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49DE76">
      <w:pPr>
        <w:ind w:firstLine="800"/>
        <w:rPr>
          <w:color w:val="000000" w:themeColor="text1"/>
          <w:sz w:val="40"/>
          <w:szCs w:val="32"/>
          <w14:textFill>
            <w14:solidFill>
              <w14:schemeClr w14:val="tx1"/>
            </w14:solidFill>
          </w14:textFill>
        </w:rPr>
      </w:pPr>
      <w:r>
        <w:rPr>
          <w:rFonts w:hint="eastAsia"/>
          <w:color w:val="000000" w:themeColor="text1"/>
          <w:sz w:val="40"/>
          <w:szCs w:val="32"/>
          <w14:textFill>
            <w14:solidFill>
              <w14:schemeClr w14:val="tx1"/>
            </w14:solidFill>
          </w14:textFill>
        </w:rPr>
        <w:drawing>
          <wp:anchor distT="0" distB="0" distL="114300" distR="114300" simplePos="0" relativeHeight="251660288" behindDoc="0" locked="0" layoutInCell="1" allowOverlap="1">
            <wp:simplePos x="0" y="0"/>
            <wp:positionH relativeFrom="column">
              <wp:posOffset>74930</wp:posOffset>
            </wp:positionH>
            <wp:positionV relativeFrom="paragraph">
              <wp:posOffset>46990</wp:posOffset>
            </wp:positionV>
            <wp:extent cx="1087755" cy="646430"/>
            <wp:effectExtent l="0" t="0" r="0" b="0"/>
            <wp:wrapNone/>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087755" cy="646430"/>
                    </a:xfrm>
                    <a:prstGeom prst="rect">
                      <a:avLst/>
                    </a:prstGeom>
                    <a:noFill/>
                    <a:ln>
                      <a:noFill/>
                    </a:ln>
                  </pic:spPr>
                </pic:pic>
              </a:graphicData>
            </a:graphic>
          </wp:anchor>
        </w:drawing>
      </w:r>
      <w:r>
        <w:rPr>
          <w:rFonts w:hint="eastAsia"/>
          <w:color w:val="000000" w:themeColor="text1"/>
          <w:sz w:val="40"/>
          <w:szCs w:val="32"/>
          <w14:textFill>
            <w14:solidFill>
              <w14:schemeClr w14:val="tx1"/>
            </w14:solidFill>
          </w14:textFill>
        </w:rPr>
        <w:t xml:space="preserve">                 </w:t>
      </w:r>
    </w:p>
    <w:p w14:paraId="28E831DB">
      <w:pPr>
        <w:ind w:firstLine="800"/>
        <w:rPr>
          <w:color w:val="000000" w:themeColor="text1"/>
          <w:sz w:val="28"/>
          <w:szCs w:val="28"/>
          <w14:textFill>
            <w14:solidFill>
              <w14:schemeClr w14:val="tx1"/>
            </w14:solidFill>
          </w14:textFill>
        </w:rPr>
      </w:pPr>
      <w:r>
        <w:rPr>
          <w:rFonts w:hint="eastAsia"/>
          <w:color w:val="000000" w:themeColor="text1"/>
          <w:sz w:val="40"/>
          <w:szCs w:val="32"/>
          <w14:textFill>
            <w14:solidFill>
              <w14:schemeClr w14:val="tx1"/>
            </w14:solidFill>
          </w14:textFill>
        </w:rPr>
        <w:t xml:space="preserve">                          </w:t>
      </w:r>
      <w:r>
        <w:rPr>
          <w:rFonts w:hint="eastAsia"/>
          <w:color w:val="000000" w:themeColor="text1"/>
          <w:sz w:val="28"/>
          <w:szCs w:val="28"/>
          <w14:textFill>
            <w14:solidFill>
              <w14:schemeClr w14:val="tx1"/>
            </w14:solidFill>
          </w14:textFill>
        </w:rPr>
        <w:t>T</w:t>
      </w:r>
      <w:r>
        <w:rPr>
          <w:color w:val="000000" w:themeColor="text1"/>
          <w:sz w:val="28"/>
          <w:szCs w:val="28"/>
          <w14:textFill>
            <w14:solidFill>
              <w14:schemeClr w14:val="tx1"/>
            </w14:solidFill>
          </w14:textFill>
        </w:rPr>
        <w:t>/CECS</w:t>
      </w:r>
      <w:r>
        <w:rPr>
          <w:rFonts w:hint="eastAsia"/>
          <w:color w:val="000000" w:themeColor="text1"/>
          <w:sz w:val="28"/>
          <w:szCs w:val="28"/>
          <w14:textFill>
            <w14:solidFill>
              <w14:schemeClr w14:val="tx1"/>
            </w14:solidFill>
          </w14:textFill>
        </w:rPr>
        <w:t xml:space="preserve"> </w:t>
      </w:r>
      <w:r>
        <w:rPr>
          <w:color w:val="000000" w:themeColor="text1"/>
          <w:sz w:val="30"/>
          <w:szCs w:val="30"/>
          <w14:textFill>
            <w14:solidFill>
              <w14:schemeClr w14:val="tx1"/>
            </w14:solidFill>
          </w14:textFill>
        </w:rPr>
        <w:t>XXX</w:t>
      </w:r>
      <w:r>
        <w:rPr>
          <w:rFonts w:hint="eastAsia"/>
          <w:color w:val="000000" w:themeColor="text1"/>
          <w:sz w:val="30"/>
          <w:szCs w:val="30"/>
          <w14:textFill>
            <w14:solidFill>
              <w14:schemeClr w14:val="tx1"/>
            </w14:solidFill>
          </w14:textFill>
        </w:rPr>
        <w:t>-</w:t>
      </w:r>
      <w:r>
        <w:rPr>
          <w:color w:val="000000" w:themeColor="text1"/>
          <w:sz w:val="30"/>
          <w:szCs w:val="30"/>
          <w14:textFill>
            <w14:solidFill>
              <w14:schemeClr w14:val="tx1"/>
            </w14:solidFill>
          </w14:textFill>
        </w:rPr>
        <w:t xml:space="preserve"> 202</w:t>
      </w:r>
      <w:r>
        <w:rPr>
          <w:rFonts w:hint="eastAsia"/>
          <w:color w:val="000000" w:themeColor="text1"/>
          <w:sz w:val="30"/>
          <w:szCs w:val="30"/>
          <w14:textFill>
            <w14:solidFill>
              <w14:schemeClr w14:val="tx1"/>
            </w14:solidFill>
          </w14:textFill>
        </w:rPr>
        <w:t>5</w:t>
      </w:r>
      <w:r>
        <w:rPr>
          <w:rFonts w:hint="eastAsia"/>
          <w:color w:val="000000" w:themeColor="text1"/>
          <w:sz w:val="28"/>
          <w:szCs w:val="28"/>
          <w14:textFill>
            <w14:solidFill>
              <w14:schemeClr w14:val="tx1"/>
            </w14:solidFill>
          </w14:textFill>
        </w:rPr>
        <w:tab/>
      </w:r>
      <w:r>
        <w:rPr>
          <w:rFonts w:hint="eastAsia"/>
          <w:color w:val="000000" w:themeColor="text1"/>
          <w:sz w:val="28"/>
          <w:szCs w:val="28"/>
          <w14:textFill>
            <w14:solidFill>
              <w14:schemeClr w14:val="tx1"/>
            </w14:solidFill>
          </w14:textFill>
        </w:rPr>
        <w:t xml:space="preserve">   </w:t>
      </w:r>
    </w:p>
    <w:p w14:paraId="6ECD61FE">
      <w:pPr>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49530</wp:posOffset>
                </wp:positionV>
                <wp:extent cx="6228715" cy="0"/>
                <wp:effectExtent l="5715" t="13335" r="13970" b="5715"/>
                <wp:wrapNone/>
                <wp:docPr id="1" name="Line 2"/>
                <wp:cNvGraphicFramePr/>
                <a:graphic xmlns:a="http://schemas.openxmlformats.org/drawingml/2006/main">
                  <a:graphicData uri="http://schemas.microsoft.com/office/word/2010/wordprocessingShape">
                    <wps:wsp>
                      <wps:cNvCnPr>
                        <a:cxnSpLocks noChangeShapeType="1"/>
                      </wps:cNvCnPr>
                      <wps:spPr bwMode="auto">
                        <a:xfrm>
                          <a:off x="0" y="0"/>
                          <a:ext cx="6228715" cy="0"/>
                        </a:xfrm>
                        <a:prstGeom prst="line">
                          <a:avLst/>
                        </a:prstGeom>
                        <a:noFill/>
                        <a:ln w="9525">
                          <a:solidFill>
                            <a:srgbClr val="000000"/>
                          </a:solidFill>
                          <a:round/>
                        </a:ln>
                      </wps:spPr>
                      <wps:bodyPr/>
                    </wps:wsp>
                  </a:graphicData>
                </a:graphic>
              </wp:anchor>
            </w:drawing>
          </mc:Choice>
          <mc:Fallback>
            <w:pict>
              <v:line id="Line 2" o:spid="_x0000_s1026" o:spt="20" style="position:absolute;left:0pt;margin-left:-1.5pt;margin-top:3.9pt;height:0pt;width:490.45pt;z-index:251659264;mso-width-relative:page;mso-height-relative:page;" filled="f" stroked="t" coordsize="21600,21600" o:gfxdata="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7dK8VtQAAAAGAQAADwAAAAAAAAABACAAAAAiAAAAZHJzL2Rvd25y&#10;ZXYueG1sUEsBAhQAFAAAAAgAh07iQJx09sXJAQAAnwMAAA4AAAAAAAAAAQAgAAAAIwEAAGRycy9l&#10;Mm9Eb2MueG1sUEsFBgAAAAAGAAYAWQEAAF4FAAAAAA==&#10;">
                <v:fill on="f" focussize="0,0"/>
                <v:stroke color="#000000" joinstyle="round"/>
                <v:imagedata o:title=""/>
                <o:lock v:ext="edit" aspectratio="f"/>
              </v:line>
            </w:pict>
          </mc:Fallback>
        </mc:AlternateContent>
      </w:r>
    </w:p>
    <w:p w14:paraId="58353965">
      <w:pPr>
        <w:ind w:firstLine="720"/>
        <w:jc w:val="center"/>
        <w:rPr>
          <w:color w:val="000000" w:themeColor="text1"/>
          <w:sz w:val="36"/>
          <w:szCs w:val="36"/>
          <w14:textFill>
            <w14:solidFill>
              <w14:schemeClr w14:val="tx1"/>
            </w14:solidFill>
          </w14:textFill>
        </w:rPr>
      </w:pPr>
    </w:p>
    <w:p w14:paraId="0CE7B5BB">
      <w:pPr>
        <w:ind w:firstLine="720"/>
        <w:jc w:val="center"/>
        <w:rPr>
          <w:color w:val="000000" w:themeColor="text1"/>
          <w:sz w:val="36"/>
          <w:szCs w:val="36"/>
          <w14:textFill>
            <w14:solidFill>
              <w14:schemeClr w14:val="tx1"/>
            </w14:solidFill>
          </w14:textFill>
        </w:rPr>
      </w:pPr>
      <w:r>
        <w:rPr>
          <w:rFonts w:hint="eastAsia"/>
          <w:color w:val="000000" w:themeColor="text1"/>
          <w:sz w:val="36"/>
          <w:szCs w:val="36"/>
          <w14:textFill>
            <w14:solidFill>
              <w14:schemeClr w14:val="tx1"/>
            </w14:solidFill>
          </w14:textFill>
        </w:rPr>
        <w:t>中国工程建设标准化协会标准</w:t>
      </w:r>
    </w:p>
    <w:p w14:paraId="303378D6">
      <w:pPr>
        <w:ind w:firstLine="560"/>
        <w:jc w:val="center"/>
        <w:rPr>
          <w:color w:val="000000" w:themeColor="text1"/>
          <w:sz w:val="28"/>
          <w:szCs w:val="28"/>
          <w14:textFill>
            <w14:solidFill>
              <w14:schemeClr w14:val="tx1"/>
            </w14:solidFill>
          </w14:textFill>
        </w:rPr>
      </w:pPr>
    </w:p>
    <w:p w14:paraId="41AF8288">
      <w:pPr>
        <w:ind w:firstLine="960"/>
        <w:jc w:val="center"/>
        <w:rPr>
          <w:color w:val="000000" w:themeColor="text1"/>
          <w:sz w:val="48"/>
          <w:szCs w:val="48"/>
          <w14:textFill>
            <w14:solidFill>
              <w14:schemeClr w14:val="tx1"/>
            </w14:solidFill>
          </w14:textFill>
        </w:rPr>
      </w:pPr>
      <w:bookmarkStart w:id="0" w:name="_Hlk24881545"/>
      <w:bookmarkStart w:id="1" w:name="OLE_LINK1"/>
      <w:bookmarkStart w:id="2" w:name="OLE_LINK2"/>
      <w:r>
        <w:rPr>
          <w:rFonts w:hint="eastAsia"/>
          <w:color w:val="000000" w:themeColor="text1"/>
          <w:sz w:val="48"/>
          <w:szCs w:val="48"/>
          <w14:textFill>
            <w14:solidFill>
              <w14:schemeClr w14:val="tx1"/>
            </w14:solidFill>
          </w14:textFill>
        </w:rPr>
        <w:t>建筑中人员安全防护设计标准</w:t>
      </w:r>
    </w:p>
    <w:bookmarkEnd w:id="0"/>
    <w:bookmarkEnd w:id="1"/>
    <w:bookmarkEnd w:id="2"/>
    <w:p w14:paraId="052F7E9D">
      <w:pPr>
        <w:ind w:firstLine="48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Standard for design of personnel safety protection in buildings</w:t>
      </w:r>
    </w:p>
    <w:p w14:paraId="0A191365">
      <w:pPr>
        <w:ind w:firstLine="480"/>
        <w:jc w:val="center"/>
        <w:rPr>
          <w:color w:val="000000" w:themeColor="text1"/>
          <w14:textFill>
            <w14:solidFill>
              <w14:schemeClr w14:val="tx1"/>
            </w14:solidFill>
          </w14:textFill>
        </w:rPr>
      </w:pPr>
    </w:p>
    <w:p w14:paraId="7F09D2AB">
      <w:pPr>
        <w:ind w:firstLine="48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（征求意见稿）</w:t>
      </w:r>
    </w:p>
    <w:p w14:paraId="36E3E72D">
      <w:pPr>
        <w:ind w:firstLine="560"/>
        <w:rPr>
          <w:color w:val="000000" w:themeColor="text1"/>
          <w:sz w:val="28"/>
          <w:szCs w:val="28"/>
          <w14:textFill>
            <w14:solidFill>
              <w14:schemeClr w14:val="tx1"/>
            </w14:solidFill>
          </w14:textFill>
        </w:rPr>
      </w:pPr>
    </w:p>
    <w:p w14:paraId="60288954">
      <w:pPr>
        <w:ind w:firstLine="560"/>
        <w:rPr>
          <w:color w:val="000000" w:themeColor="text1"/>
          <w:sz w:val="28"/>
          <w:szCs w:val="28"/>
          <w14:textFill>
            <w14:solidFill>
              <w14:schemeClr w14:val="tx1"/>
            </w14:solidFill>
          </w14:textFill>
        </w:rPr>
      </w:pPr>
    </w:p>
    <w:p w14:paraId="0E294F82">
      <w:pPr>
        <w:ind w:firstLine="560"/>
        <w:rPr>
          <w:color w:val="000000" w:themeColor="text1"/>
          <w:sz w:val="28"/>
          <w:szCs w:val="28"/>
          <w14:textFill>
            <w14:solidFill>
              <w14:schemeClr w14:val="tx1"/>
            </w14:solidFill>
          </w14:textFill>
        </w:rPr>
      </w:pPr>
    </w:p>
    <w:p w14:paraId="61DBE898">
      <w:pPr>
        <w:ind w:firstLine="480"/>
        <w:rPr>
          <w:color w:val="000000" w:themeColor="text1"/>
          <w:sz w:val="28"/>
          <w:szCs w:val="28"/>
          <w14:textFill>
            <w14:solidFill>
              <w14:schemeClr w14:val="tx1"/>
            </w14:solidFill>
          </w14:textFill>
        </w:rPr>
      </w:pPr>
    </w:p>
    <w:p w14:paraId="4C76FC2A">
      <w:pPr>
        <w:ind w:firstLine="560"/>
        <w:rPr>
          <w:color w:val="000000" w:themeColor="text1"/>
          <w:sz w:val="28"/>
          <w:szCs w:val="28"/>
          <w14:textFill>
            <w14:solidFill>
              <w14:schemeClr w14:val="tx1"/>
            </w14:solidFill>
          </w14:textFill>
        </w:rPr>
      </w:pPr>
    </w:p>
    <w:p w14:paraId="0BB4B525">
      <w:pPr>
        <w:ind w:firstLine="560"/>
        <w:rPr>
          <w:color w:val="000000" w:themeColor="text1"/>
          <w:sz w:val="28"/>
          <w:szCs w:val="28"/>
          <w14:textFill>
            <w14:solidFill>
              <w14:schemeClr w14:val="tx1"/>
            </w14:solidFill>
          </w14:textFill>
        </w:rPr>
      </w:pPr>
    </w:p>
    <w:p w14:paraId="2E9616C6">
      <w:pPr>
        <w:ind w:firstLine="560"/>
        <w:rPr>
          <w:color w:val="000000" w:themeColor="text1"/>
          <w:sz w:val="28"/>
          <w:szCs w:val="28"/>
          <w14:textFill>
            <w14:solidFill>
              <w14:schemeClr w14:val="tx1"/>
            </w14:solidFill>
          </w14:textFill>
        </w:rPr>
      </w:pPr>
    </w:p>
    <w:p w14:paraId="4EF46499">
      <w:pPr>
        <w:ind w:firstLine="720"/>
        <w:jc w:val="center"/>
        <w:rPr>
          <w:color w:val="000000" w:themeColor="text1"/>
          <w:sz w:val="36"/>
          <w:szCs w:val="32"/>
          <w14:textFill>
            <w14:solidFill>
              <w14:schemeClr w14:val="tx1"/>
            </w14:solidFill>
          </w14:textFill>
        </w:rPr>
      </w:pPr>
    </w:p>
    <w:p w14:paraId="10C4240A">
      <w:pPr>
        <w:ind w:firstLine="720"/>
        <w:jc w:val="center"/>
        <w:rPr>
          <w:color w:val="000000" w:themeColor="text1"/>
          <w:sz w:val="36"/>
          <w:szCs w:val="32"/>
          <w14:textFill>
            <w14:solidFill>
              <w14:schemeClr w14:val="tx1"/>
            </w14:solidFill>
          </w14:textFill>
        </w:rPr>
      </w:pPr>
    </w:p>
    <w:p w14:paraId="4FA76108">
      <w:pPr>
        <w:ind w:firstLine="720"/>
        <w:jc w:val="center"/>
        <w:rPr>
          <w:color w:val="000000" w:themeColor="text1"/>
          <w:sz w:val="36"/>
          <w:szCs w:val="32"/>
          <w14:textFill>
            <w14:solidFill>
              <w14:schemeClr w14:val="tx1"/>
            </w14:solidFill>
          </w14:textFill>
        </w:rPr>
      </w:pPr>
    </w:p>
    <w:p w14:paraId="63426218">
      <w:pPr>
        <w:ind w:firstLine="600"/>
        <w:jc w:val="center"/>
        <w:rPr>
          <w:color w:val="000000" w:themeColor="text1"/>
          <w:sz w:val="30"/>
          <w:szCs w:val="30"/>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440" w:right="1134" w:bottom="1440" w:left="1134" w:header="851" w:footer="992" w:gutter="0"/>
          <w:cols w:space="720" w:num="1"/>
          <w:docGrid w:type="lines" w:linePitch="312" w:charSpace="0"/>
        </w:sectPr>
      </w:pPr>
      <w:r>
        <w:rPr>
          <w:color w:val="000000" w:themeColor="text1"/>
          <w:sz w:val="30"/>
          <w:szCs w:val="30"/>
          <w14:textFill>
            <w14:solidFill>
              <w14:schemeClr w14:val="tx1"/>
            </w14:solidFill>
          </w14:textFill>
        </w:rPr>
        <w:t>中国</w:t>
      </w:r>
      <w:r>
        <w:rPr>
          <w:rFonts w:hint="eastAsia"/>
          <w:color w:val="000000" w:themeColor="text1"/>
          <w:sz w:val="30"/>
          <w:szCs w:val="30"/>
          <w14:textFill>
            <w14:solidFill>
              <w14:schemeClr w14:val="tx1"/>
            </w14:solidFill>
          </w14:textFill>
        </w:rPr>
        <w:t>XXXX</w:t>
      </w:r>
      <w:r>
        <w:rPr>
          <w:color w:val="000000" w:themeColor="text1"/>
          <w:sz w:val="30"/>
          <w:szCs w:val="30"/>
          <w14:textFill>
            <w14:solidFill>
              <w14:schemeClr w14:val="tx1"/>
            </w14:solidFill>
          </w14:textFill>
        </w:rPr>
        <w:t>出版社</w:t>
      </w:r>
    </w:p>
    <w:p w14:paraId="04BA2C08">
      <w:pPr>
        <w:ind w:firstLine="720"/>
        <w:jc w:val="center"/>
        <w:rPr>
          <w:color w:val="000000" w:themeColor="text1"/>
          <w:sz w:val="36"/>
          <w:szCs w:val="32"/>
          <w14:textFill>
            <w14:solidFill>
              <w14:schemeClr w14:val="tx1"/>
            </w14:solidFill>
          </w14:textFill>
        </w:rPr>
      </w:pPr>
    </w:p>
    <w:p w14:paraId="7537E54D">
      <w:pPr>
        <w:jc w:val="center"/>
        <w:rPr>
          <w:color w:val="000000" w:themeColor="text1"/>
          <w:sz w:val="36"/>
          <w:szCs w:val="36"/>
          <w14:textFill>
            <w14:solidFill>
              <w14:schemeClr w14:val="tx1"/>
            </w14:solidFill>
          </w14:textFill>
        </w:rPr>
      </w:pPr>
      <w:r>
        <w:rPr>
          <w:rFonts w:hint="eastAsia"/>
          <w:color w:val="000000" w:themeColor="text1"/>
          <w:sz w:val="36"/>
          <w:szCs w:val="36"/>
          <w14:textFill>
            <w14:solidFill>
              <w14:schemeClr w14:val="tx1"/>
            </w14:solidFill>
          </w14:textFill>
        </w:rPr>
        <w:t>中国工程建设标准化协会标准</w:t>
      </w:r>
    </w:p>
    <w:p w14:paraId="7C64B63A">
      <w:pPr>
        <w:jc w:val="center"/>
        <w:rPr>
          <w:color w:val="000000" w:themeColor="text1"/>
          <w:sz w:val="36"/>
          <w:szCs w:val="32"/>
          <w14:textFill>
            <w14:solidFill>
              <w14:schemeClr w14:val="tx1"/>
            </w14:solidFill>
          </w14:textFill>
        </w:rPr>
      </w:pPr>
    </w:p>
    <w:p w14:paraId="3EAFC7A1">
      <w:pPr>
        <w:jc w:val="center"/>
        <w:rPr>
          <w:color w:val="000000" w:themeColor="text1"/>
          <w:sz w:val="48"/>
          <w:szCs w:val="48"/>
          <w14:textFill>
            <w14:solidFill>
              <w14:schemeClr w14:val="tx1"/>
            </w14:solidFill>
          </w14:textFill>
        </w:rPr>
      </w:pPr>
      <w:bookmarkStart w:id="3" w:name="_Hlk94015287"/>
      <w:r>
        <w:rPr>
          <w:rFonts w:hint="eastAsia"/>
          <w:color w:val="000000" w:themeColor="text1"/>
          <w:sz w:val="48"/>
          <w:szCs w:val="48"/>
          <w14:textFill>
            <w14:solidFill>
              <w14:schemeClr w14:val="tx1"/>
            </w14:solidFill>
          </w14:textFill>
        </w:rPr>
        <w:t>建筑中人员安全防护设计标准</w:t>
      </w:r>
    </w:p>
    <w:bookmarkEnd w:id="3"/>
    <w:p w14:paraId="788A4F5D">
      <w:pPr>
        <w:ind w:firstLine="48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Standard for design of personnel safety protection in buildings</w:t>
      </w:r>
    </w:p>
    <w:p w14:paraId="6D13A7DB">
      <w:pPr>
        <w:ind w:firstLine="480"/>
        <w:jc w:val="center"/>
        <w:rPr>
          <w:color w:val="000000" w:themeColor="text1"/>
          <w14:textFill>
            <w14:solidFill>
              <w14:schemeClr w14:val="tx1"/>
            </w14:solidFill>
          </w14:textFill>
        </w:rPr>
      </w:pPr>
    </w:p>
    <w:p w14:paraId="261B6D2D">
      <w:pPr>
        <w:ind w:firstLine="600"/>
        <w:jc w:val="center"/>
        <w:rPr>
          <w:color w:val="000000"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T/CECS-</w:t>
      </w:r>
      <w:r>
        <w:rPr>
          <w:color w:val="000000" w:themeColor="text1"/>
          <w:sz w:val="30"/>
          <w:szCs w:val="30"/>
          <w14:textFill>
            <w14:solidFill>
              <w14:schemeClr w14:val="tx1"/>
            </w14:solidFill>
          </w14:textFill>
        </w:rPr>
        <w:t xml:space="preserve"> XXX</w:t>
      </w:r>
      <w:r>
        <w:rPr>
          <w:rFonts w:hint="eastAsia"/>
          <w:color w:val="000000" w:themeColor="text1"/>
          <w:sz w:val="30"/>
          <w:szCs w:val="30"/>
          <w14:textFill>
            <w14:solidFill>
              <w14:schemeClr w14:val="tx1"/>
            </w14:solidFill>
          </w14:textFill>
        </w:rPr>
        <w:t>-</w:t>
      </w:r>
      <w:r>
        <w:rPr>
          <w:color w:val="000000" w:themeColor="text1"/>
          <w:sz w:val="30"/>
          <w:szCs w:val="30"/>
          <w14:textFill>
            <w14:solidFill>
              <w14:schemeClr w14:val="tx1"/>
            </w14:solidFill>
          </w14:textFill>
        </w:rPr>
        <w:t xml:space="preserve"> 202</w:t>
      </w:r>
      <w:r>
        <w:rPr>
          <w:rFonts w:hint="eastAsia"/>
          <w:color w:val="000000" w:themeColor="text1"/>
          <w:sz w:val="30"/>
          <w:szCs w:val="30"/>
          <w14:textFill>
            <w14:solidFill>
              <w14:schemeClr w14:val="tx1"/>
            </w14:solidFill>
          </w14:textFill>
        </w:rPr>
        <w:t>5</w:t>
      </w:r>
    </w:p>
    <w:p w14:paraId="0538317E">
      <w:pPr>
        <w:ind w:firstLine="720"/>
        <w:jc w:val="center"/>
        <w:rPr>
          <w:color w:val="000000" w:themeColor="text1"/>
          <w:sz w:val="36"/>
          <w:szCs w:val="32"/>
          <w14:textFill>
            <w14:solidFill>
              <w14:schemeClr w14:val="tx1"/>
            </w14:solidFill>
          </w14:textFill>
        </w:rPr>
      </w:pPr>
    </w:p>
    <w:p w14:paraId="57CF4F97">
      <w:pPr>
        <w:ind w:firstLine="720"/>
        <w:jc w:val="center"/>
        <w:rPr>
          <w:color w:val="000000" w:themeColor="text1"/>
          <w:sz w:val="36"/>
          <w:szCs w:val="32"/>
          <w14:textFill>
            <w14:solidFill>
              <w14:schemeClr w14:val="tx1"/>
            </w14:solidFill>
          </w14:textFill>
        </w:rPr>
      </w:pPr>
    </w:p>
    <w:p w14:paraId="472D4320">
      <w:pPr>
        <w:ind w:firstLine="1280" w:firstLineChars="400"/>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主编单位：深圳市建筑科学研究院股份有限公司</w:t>
      </w:r>
    </w:p>
    <w:p w14:paraId="2E74F25A">
      <w:pPr>
        <w:ind w:firstLine="1280" w:firstLineChars="400"/>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批准单位：中国工程建设标准化协会</w:t>
      </w:r>
    </w:p>
    <w:p w14:paraId="5782245C">
      <w:pPr>
        <w:ind w:firstLine="1280" w:firstLineChars="400"/>
        <w:rPr>
          <w:color w:val="000000" w:themeColor="text1"/>
          <w:sz w:val="36"/>
          <w:szCs w:val="32"/>
          <w14:textFill>
            <w14:solidFill>
              <w14:schemeClr w14:val="tx1"/>
            </w14:solidFill>
          </w14:textFill>
        </w:rPr>
      </w:pPr>
      <w:r>
        <w:rPr>
          <w:rFonts w:hint="eastAsia"/>
          <w:color w:val="000000" w:themeColor="text1"/>
          <w:sz w:val="32"/>
          <w:szCs w:val="32"/>
          <w14:textFill>
            <w14:solidFill>
              <w14:schemeClr w14:val="tx1"/>
            </w14:solidFill>
          </w14:textFill>
        </w:rPr>
        <w:t>施行日期：20</w:t>
      </w:r>
      <w:r>
        <w:rPr>
          <w:color w:val="000000" w:themeColor="text1"/>
          <w:sz w:val="32"/>
          <w:szCs w:val="32"/>
          <w14:textFill>
            <w14:solidFill>
              <w14:schemeClr w14:val="tx1"/>
            </w14:solidFill>
          </w14:textFill>
        </w:rPr>
        <w:t>2</w:t>
      </w:r>
      <w:r>
        <w:rPr>
          <w:rFonts w:hint="eastAsia"/>
          <w:color w:val="000000" w:themeColor="text1"/>
          <w:sz w:val="32"/>
          <w:szCs w:val="32"/>
          <w14:textFill>
            <w14:solidFill>
              <w14:schemeClr w14:val="tx1"/>
            </w14:solidFill>
          </w14:textFill>
        </w:rPr>
        <w:t>5年</w:t>
      </w:r>
      <w:r>
        <w:rPr>
          <w:color w:val="000000" w:themeColor="text1"/>
          <w:sz w:val="32"/>
          <w:szCs w:val="32"/>
          <w14:textFill>
            <w14:solidFill>
              <w14:schemeClr w14:val="tx1"/>
            </w14:solidFill>
          </w14:textFill>
        </w:rPr>
        <w:t>XX</w:t>
      </w:r>
      <w:r>
        <w:rPr>
          <w:rFonts w:hint="eastAsia"/>
          <w:color w:val="000000" w:themeColor="text1"/>
          <w:sz w:val="32"/>
          <w:szCs w:val="32"/>
          <w14:textFill>
            <w14:solidFill>
              <w14:schemeClr w14:val="tx1"/>
            </w14:solidFill>
          </w14:textFill>
        </w:rPr>
        <w:t>月</w:t>
      </w:r>
      <w:r>
        <w:rPr>
          <w:color w:val="000000" w:themeColor="text1"/>
          <w:sz w:val="32"/>
          <w:szCs w:val="32"/>
          <w14:textFill>
            <w14:solidFill>
              <w14:schemeClr w14:val="tx1"/>
            </w14:solidFill>
          </w14:textFill>
        </w:rPr>
        <w:t>XX</w:t>
      </w:r>
      <w:r>
        <w:rPr>
          <w:rFonts w:hint="eastAsia"/>
          <w:color w:val="000000" w:themeColor="text1"/>
          <w:sz w:val="32"/>
          <w:szCs w:val="32"/>
          <w14:textFill>
            <w14:solidFill>
              <w14:schemeClr w14:val="tx1"/>
            </w14:solidFill>
          </w14:textFill>
        </w:rPr>
        <w:t>日</w:t>
      </w:r>
    </w:p>
    <w:p w14:paraId="36B9CA12">
      <w:pPr>
        <w:ind w:firstLine="720"/>
        <w:jc w:val="center"/>
        <w:rPr>
          <w:color w:val="000000" w:themeColor="text1"/>
          <w:sz w:val="36"/>
          <w:szCs w:val="32"/>
          <w14:textFill>
            <w14:solidFill>
              <w14:schemeClr w14:val="tx1"/>
            </w14:solidFill>
          </w14:textFill>
        </w:rPr>
      </w:pPr>
    </w:p>
    <w:p w14:paraId="1089D68E">
      <w:pPr>
        <w:ind w:firstLine="720"/>
        <w:jc w:val="center"/>
        <w:rPr>
          <w:color w:val="000000" w:themeColor="text1"/>
          <w:sz w:val="36"/>
          <w:szCs w:val="32"/>
          <w14:textFill>
            <w14:solidFill>
              <w14:schemeClr w14:val="tx1"/>
            </w14:solidFill>
          </w14:textFill>
        </w:rPr>
      </w:pPr>
    </w:p>
    <w:p w14:paraId="12F8BA0A">
      <w:pPr>
        <w:ind w:firstLine="720"/>
        <w:jc w:val="center"/>
        <w:rPr>
          <w:color w:val="000000" w:themeColor="text1"/>
          <w:sz w:val="36"/>
          <w:szCs w:val="32"/>
          <w14:textFill>
            <w14:solidFill>
              <w14:schemeClr w14:val="tx1"/>
            </w14:solidFill>
          </w14:textFill>
        </w:rPr>
      </w:pPr>
    </w:p>
    <w:p w14:paraId="6B05CACD">
      <w:pPr>
        <w:ind w:firstLine="720"/>
        <w:jc w:val="center"/>
        <w:rPr>
          <w:color w:val="000000" w:themeColor="text1"/>
          <w:sz w:val="36"/>
          <w:szCs w:val="32"/>
          <w14:textFill>
            <w14:solidFill>
              <w14:schemeClr w14:val="tx1"/>
            </w14:solidFill>
          </w14:textFill>
        </w:rPr>
      </w:pPr>
    </w:p>
    <w:p w14:paraId="58420B04">
      <w:pPr>
        <w:ind w:firstLine="720"/>
        <w:jc w:val="center"/>
        <w:rPr>
          <w:color w:val="000000" w:themeColor="text1"/>
          <w:sz w:val="36"/>
          <w:szCs w:val="32"/>
          <w14:textFill>
            <w14:solidFill>
              <w14:schemeClr w14:val="tx1"/>
            </w14:solidFill>
          </w14:textFill>
        </w:rPr>
      </w:pPr>
    </w:p>
    <w:p w14:paraId="78AD6BB2">
      <w:pPr>
        <w:ind w:firstLine="720"/>
        <w:jc w:val="center"/>
        <w:rPr>
          <w:color w:val="000000" w:themeColor="text1"/>
          <w:sz w:val="36"/>
          <w:szCs w:val="32"/>
          <w14:textFill>
            <w14:solidFill>
              <w14:schemeClr w14:val="tx1"/>
            </w14:solidFill>
          </w14:textFill>
        </w:rPr>
      </w:pPr>
    </w:p>
    <w:p w14:paraId="3009844D">
      <w:pPr>
        <w:ind w:firstLine="720"/>
        <w:jc w:val="center"/>
        <w:rPr>
          <w:color w:val="000000" w:themeColor="text1"/>
          <w:sz w:val="36"/>
          <w:szCs w:val="32"/>
          <w14:textFill>
            <w14:solidFill>
              <w14:schemeClr w14:val="tx1"/>
            </w14:solidFill>
          </w14:textFill>
        </w:rPr>
      </w:pPr>
    </w:p>
    <w:p w14:paraId="78254287">
      <w:pPr>
        <w:ind w:firstLine="600"/>
        <w:jc w:val="center"/>
        <w:rPr>
          <w:color w:val="000000" w:themeColor="text1"/>
          <w:sz w:val="30"/>
          <w:szCs w:val="30"/>
          <w14:textFill>
            <w14:solidFill>
              <w14:schemeClr w14:val="tx1"/>
            </w14:solidFill>
          </w14:textFill>
        </w:rPr>
      </w:pPr>
      <w:r>
        <w:rPr>
          <w:color w:val="000000" w:themeColor="text1"/>
          <w:sz w:val="30"/>
          <w:szCs w:val="30"/>
          <w14:textFill>
            <w14:solidFill>
              <w14:schemeClr w14:val="tx1"/>
            </w14:solidFill>
          </w14:textFill>
        </w:rPr>
        <w:t>中国</w:t>
      </w:r>
      <w:r>
        <w:rPr>
          <w:rFonts w:hint="eastAsia"/>
          <w:color w:val="000000" w:themeColor="text1"/>
          <w:sz w:val="30"/>
          <w:szCs w:val="30"/>
          <w14:textFill>
            <w14:solidFill>
              <w14:schemeClr w14:val="tx1"/>
            </w14:solidFill>
          </w14:textFill>
        </w:rPr>
        <w:t>XXXX</w:t>
      </w:r>
      <w:r>
        <w:rPr>
          <w:color w:val="000000" w:themeColor="text1"/>
          <w:sz w:val="30"/>
          <w:szCs w:val="30"/>
          <w14:textFill>
            <w14:solidFill>
              <w14:schemeClr w14:val="tx1"/>
            </w14:solidFill>
          </w14:textFill>
        </w:rPr>
        <w:t>出版社</w:t>
      </w:r>
    </w:p>
    <w:p w14:paraId="48763CF6">
      <w:pPr>
        <w:ind w:firstLine="600"/>
        <w:jc w:val="center"/>
        <w:rPr>
          <w:color w:val="000000" w:themeColor="text1"/>
          <w:sz w:val="30"/>
          <w:szCs w:val="30"/>
          <w14:textFill>
            <w14:solidFill>
              <w14:schemeClr w14:val="tx1"/>
            </w14:solidFill>
          </w14:textFill>
        </w:rPr>
        <w:sectPr>
          <w:pgSz w:w="11906" w:h="16838"/>
          <w:pgMar w:top="1440" w:right="1134" w:bottom="1440" w:left="1134" w:header="851" w:footer="992" w:gutter="0"/>
          <w:cols w:space="720" w:num="1"/>
          <w:docGrid w:type="lines" w:linePitch="312" w:charSpace="0"/>
        </w:sectPr>
      </w:pPr>
      <w:r>
        <w:rPr>
          <w:color w:val="000000" w:themeColor="text1"/>
          <w:sz w:val="30"/>
          <w:szCs w:val="30"/>
          <w14:textFill>
            <w14:solidFill>
              <w14:schemeClr w14:val="tx1"/>
            </w14:solidFill>
          </w14:textFill>
        </w:rPr>
        <w:t>202</w:t>
      </w:r>
      <w:r>
        <w:rPr>
          <w:rFonts w:hint="eastAsia"/>
          <w:color w:val="000000" w:themeColor="text1"/>
          <w:sz w:val="30"/>
          <w:szCs w:val="30"/>
          <w14:textFill>
            <w14:solidFill>
              <w14:schemeClr w14:val="tx1"/>
            </w14:solidFill>
          </w14:textFill>
        </w:rPr>
        <w:t>X</w:t>
      </w:r>
      <w:r>
        <w:rPr>
          <w:color w:val="000000" w:themeColor="text1"/>
          <w:sz w:val="30"/>
          <w:szCs w:val="30"/>
          <w14:textFill>
            <w14:solidFill>
              <w14:schemeClr w14:val="tx1"/>
            </w14:solidFill>
          </w14:textFill>
        </w:rPr>
        <w:t xml:space="preserve">  北京</w:t>
      </w:r>
    </w:p>
    <w:p w14:paraId="49DE872F">
      <w:pPr>
        <w:ind w:firstLine="480"/>
        <w:rPr>
          <w:color w:val="000000" w:themeColor="text1"/>
          <w:szCs w:val="20"/>
          <w14:textFill>
            <w14:solidFill>
              <w14:schemeClr w14:val="tx1"/>
            </w14:solidFill>
          </w14:textFill>
        </w:rPr>
      </w:pPr>
    </w:p>
    <w:p w14:paraId="78F4F036">
      <w:pPr>
        <w:ind w:firstLine="560"/>
        <w:jc w:val="center"/>
        <w:rPr>
          <w:rFonts w:eastAsia="仿宋"/>
          <w:color w:val="000000" w:themeColor="text1"/>
          <w:sz w:val="28"/>
          <w:szCs w:val="28"/>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前  言</w:t>
      </w:r>
    </w:p>
    <w:p w14:paraId="67B03529">
      <w:pPr>
        <w:ind w:firstLine="480"/>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根据中国工程建设标准化协会《关于印发&lt;201</w:t>
      </w:r>
      <w:r>
        <w:rPr>
          <w:color w:val="000000" w:themeColor="text1"/>
          <w:kern w:val="0"/>
          <w14:textFill>
            <w14:solidFill>
              <w14:schemeClr w14:val="tx1"/>
            </w14:solidFill>
          </w14:textFill>
        </w:rPr>
        <w:t>9</w:t>
      </w:r>
      <w:r>
        <w:rPr>
          <w:rFonts w:hint="eastAsia"/>
          <w:color w:val="000000" w:themeColor="text1"/>
          <w:kern w:val="0"/>
          <w14:textFill>
            <w14:solidFill>
              <w14:schemeClr w14:val="tx1"/>
            </w14:solidFill>
          </w14:textFill>
        </w:rPr>
        <w:t>年第</w:t>
      </w:r>
      <w:r>
        <w:rPr>
          <w:rFonts w:hint="eastAsia"/>
          <w:color w:val="000000" w:themeColor="text1"/>
          <w:kern w:val="0"/>
          <w:lang w:val="en-US" w:eastAsia="zh-CN"/>
          <w14:textFill>
            <w14:solidFill>
              <w14:schemeClr w14:val="tx1"/>
            </w14:solidFill>
          </w14:textFill>
        </w:rPr>
        <w:t>一</w:t>
      </w:r>
      <w:r>
        <w:rPr>
          <w:rFonts w:hint="eastAsia"/>
          <w:color w:val="000000" w:themeColor="text1"/>
          <w:kern w:val="0"/>
          <w14:textFill>
            <w14:solidFill>
              <w14:schemeClr w14:val="tx1"/>
            </w14:solidFill>
          </w14:textFill>
        </w:rPr>
        <w:t>批工程建设协会标准制订、修订计划》的通知》（建标协字[201</w:t>
      </w:r>
      <w:r>
        <w:rPr>
          <w:color w:val="000000" w:themeColor="text1"/>
          <w:kern w:val="0"/>
          <w14:textFill>
            <w14:solidFill>
              <w14:schemeClr w14:val="tx1"/>
            </w14:solidFill>
          </w14:textFill>
        </w:rPr>
        <w:t>9</w:t>
      </w:r>
      <w:r>
        <w:rPr>
          <w:rFonts w:hint="eastAsia"/>
          <w:color w:val="000000" w:themeColor="text1"/>
          <w:kern w:val="0"/>
          <w14:textFill>
            <w14:solidFill>
              <w14:schemeClr w14:val="tx1"/>
            </w14:solidFill>
          </w14:textFill>
        </w:rPr>
        <w:t>]0</w:t>
      </w:r>
      <w:r>
        <w:rPr>
          <w:rFonts w:hint="eastAsia"/>
          <w:color w:val="000000" w:themeColor="text1"/>
          <w:kern w:val="0"/>
          <w:lang w:val="en-US" w:eastAsia="zh-CN"/>
          <w14:textFill>
            <w14:solidFill>
              <w14:schemeClr w14:val="tx1"/>
            </w14:solidFill>
          </w14:textFill>
        </w:rPr>
        <w:t>1</w:t>
      </w:r>
      <w:r>
        <w:rPr>
          <w:color w:val="000000" w:themeColor="text1"/>
          <w:kern w:val="0"/>
          <w14:textFill>
            <w14:solidFill>
              <w14:schemeClr w14:val="tx1"/>
            </w14:solidFill>
          </w14:textFill>
        </w:rPr>
        <w:t>2</w:t>
      </w:r>
      <w:r>
        <w:rPr>
          <w:rFonts w:hint="eastAsia"/>
          <w:color w:val="000000" w:themeColor="text1"/>
          <w:kern w:val="0"/>
          <w14:textFill>
            <w14:solidFill>
              <w14:schemeClr w14:val="tx1"/>
            </w14:solidFill>
          </w14:textFill>
        </w:rPr>
        <w:t>号）的要求，编制组经深入调查研究，认真总结实践经验，参考国内外先进标准，并在广泛征求意见的基础上，制定本标准。</w:t>
      </w:r>
    </w:p>
    <w:p w14:paraId="6DF4554F">
      <w:pPr>
        <w:ind w:firstLine="480"/>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本标准共分为</w:t>
      </w:r>
      <w:r>
        <w:rPr>
          <w:color w:val="000000" w:themeColor="text1"/>
          <w:kern w:val="0"/>
          <w14:textFill>
            <w14:solidFill>
              <w14:schemeClr w14:val="tx1"/>
            </w14:solidFill>
          </w14:textFill>
        </w:rPr>
        <w:t>4</w:t>
      </w:r>
      <w:r>
        <w:rPr>
          <w:rFonts w:hint="eastAsia"/>
          <w:color w:val="000000" w:themeColor="text1"/>
          <w:kern w:val="0"/>
          <w14:textFill>
            <w14:solidFill>
              <w14:schemeClr w14:val="tx1"/>
            </w14:solidFill>
          </w14:textFill>
        </w:rPr>
        <w:t>章和1个附录，主要内容包括：总则、术语、基本规定、安全防护设计要求、附录等。</w:t>
      </w:r>
    </w:p>
    <w:p w14:paraId="5179BBB9">
      <w:pPr>
        <w:ind w:firstLine="480"/>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本标准的某些内容可能直接或间接涉及专利，本标准的发布机构不承担识别这些专利的责任。</w:t>
      </w:r>
    </w:p>
    <w:p w14:paraId="46238425">
      <w:pPr>
        <w:ind w:firstLine="480"/>
        <w:rPr>
          <w:rFonts w:cs="宋体"/>
          <w:kern w:val="0"/>
        </w:rPr>
      </w:pPr>
      <w:r>
        <w:rPr>
          <w:rFonts w:hint="eastAsia" w:cs="宋体"/>
          <w:kern w:val="0"/>
        </w:rPr>
        <w:t>本标准由中国工程建设标准化协会施工安全专业委员会归口管理</w:t>
      </w:r>
      <w:r>
        <w:rPr>
          <w:rFonts w:cs="宋体"/>
          <w:kern w:val="0"/>
        </w:rPr>
        <w:t>，由</w:t>
      </w:r>
      <w:r>
        <w:rPr>
          <w:rFonts w:hint="eastAsia" w:cs="宋体"/>
          <w:kern w:val="0"/>
        </w:rPr>
        <w:t>深圳市</w:t>
      </w:r>
      <w:r>
        <w:rPr>
          <w:rFonts w:cs="宋体"/>
          <w:kern w:val="0"/>
        </w:rPr>
        <w:t>建筑科学研究院</w:t>
      </w:r>
      <w:r>
        <w:rPr>
          <w:rFonts w:hint="eastAsia" w:cs="宋体"/>
          <w:kern w:val="0"/>
        </w:rPr>
        <w:t>股份有限公司</w:t>
      </w:r>
      <w:r>
        <w:rPr>
          <w:rFonts w:cs="宋体"/>
          <w:kern w:val="0"/>
        </w:rPr>
        <w:t>负责具体技术内容的解释。</w:t>
      </w:r>
      <w:r>
        <w:rPr>
          <w:rFonts w:hint="eastAsia" w:cs="宋体"/>
          <w:kern w:val="0"/>
        </w:rPr>
        <w:t>执行过程中，如有意见或建议，请反馈给深圳市建筑科学研究院股份有限公司解释单位</w:t>
      </w:r>
      <w:r>
        <w:rPr>
          <w:rFonts w:cs="宋体"/>
          <w:kern w:val="0"/>
        </w:rPr>
        <w:t>（地址：</w:t>
      </w:r>
      <w:r>
        <w:rPr>
          <w:rFonts w:hint="eastAsia" w:cs="宋体"/>
          <w:kern w:val="0"/>
        </w:rPr>
        <w:t>深圳市福田区梅坳三路2</w:t>
      </w:r>
      <w:r>
        <w:rPr>
          <w:rFonts w:cs="宋体"/>
          <w:kern w:val="0"/>
        </w:rPr>
        <w:t>9</w:t>
      </w:r>
      <w:r>
        <w:rPr>
          <w:rFonts w:hint="eastAsia" w:cs="宋体"/>
          <w:kern w:val="0"/>
        </w:rPr>
        <w:t>号建科大楼</w:t>
      </w:r>
      <w:r>
        <w:rPr>
          <w:rFonts w:cs="宋体"/>
          <w:kern w:val="0"/>
        </w:rPr>
        <w:t>，邮编：518049）</w:t>
      </w:r>
      <w:r>
        <w:rPr>
          <w:rFonts w:hint="eastAsia" w:cs="宋体"/>
          <w:kern w:val="0"/>
        </w:rPr>
        <w:t>。</w:t>
      </w:r>
    </w:p>
    <w:p w14:paraId="5B915469">
      <w:pPr>
        <w:ind w:firstLine="480"/>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主编单位：深圳市建筑科学研究院股份有限公司</w:t>
      </w:r>
    </w:p>
    <w:p w14:paraId="7160193B">
      <w:pPr>
        <w:ind w:firstLine="480"/>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 xml:space="preserve">参编单位： </w:t>
      </w:r>
      <w:r>
        <w:rPr>
          <w:color w:val="000000" w:themeColor="text1"/>
          <w:kern w:val="0"/>
          <w14:textFill>
            <w14:solidFill>
              <w14:schemeClr w14:val="tx1"/>
            </w14:solidFill>
          </w14:textFill>
        </w:rPr>
        <w:t xml:space="preserve"> </w:t>
      </w:r>
      <w:r>
        <w:rPr>
          <w:rFonts w:hint="eastAsia"/>
          <w:color w:val="000000" w:themeColor="text1"/>
          <w:kern w:val="0"/>
          <w14:textFill>
            <w14:solidFill>
              <w14:schemeClr w14:val="tx1"/>
            </w14:solidFill>
          </w14:textFill>
        </w:rPr>
        <w:t>XXXXXXXX</w:t>
      </w:r>
    </w:p>
    <w:p w14:paraId="0EB4EB84">
      <w:pPr>
        <w:ind w:firstLine="480"/>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XXXXXXXX</w:t>
      </w:r>
    </w:p>
    <w:p w14:paraId="4DBBDCD3">
      <w:pPr>
        <w:ind w:firstLine="480"/>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主要起草人：  XXX  XXX  XXX  XXX</w:t>
      </w:r>
    </w:p>
    <w:p w14:paraId="3B137B7F">
      <w:pPr>
        <w:ind w:firstLine="480"/>
        <w:rPr>
          <w:rFonts w:eastAsia="仿宋"/>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主要审查人：  XXX   XXX  XXX  XXX</w:t>
      </w:r>
    </w:p>
    <w:p w14:paraId="75757FBD">
      <w:pPr>
        <w:ind w:firstLine="480"/>
        <w:rPr>
          <w:color w:val="000000" w:themeColor="text1"/>
          <w:kern w:val="0"/>
          <w14:textFill>
            <w14:solidFill>
              <w14:schemeClr w14:val="tx1"/>
            </w14:solidFill>
          </w14:textFill>
        </w:rPr>
        <w:sectPr>
          <w:pgSz w:w="11906" w:h="16838"/>
          <w:pgMar w:top="1440" w:right="1134" w:bottom="1440" w:left="1134" w:header="851" w:footer="992" w:gutter="0"/>
          <w:cols w:space="720" w:num="1"/>
          <w:docGrid w:type="lines" w:linePitch="312" w:charSpace="0"/>
        </w:sectPr>
      </w:pPr>
      <w:r>
        <w:rPr>
          <w:rFonts w:hint="eastAsia"/>
          <w:color w:val="000000" w:themeColor="text1"/>
          <w:kern w:val="0"/>
          <w14:textFill>
            <w14:solidFill>
              <w14:schemeClr w14:val="tx1"/>
            </w14:solidFill>
          </w14:textFill>
        </w:rPr>
        <w:t xml:space="preserve">  </w:t>
      </w:r>
    </w:p>
    <w:p w14:paraId="37B2763D">
      <w:pPr>
        <w:pStyle w:val="25"/>
        <w:tabs>
          <w:tab w:val="right" w:leader="dot" w:pos="9628"/>
        </w:tabs>
        <w:ind w:left="480" w:firstLine="600"/>
        <w:jc w:val="center"/>
        <w:rPr>
          <w:rFonts w:eastAsia="仿宋"/>
          <w:color w:val="000000" w:themeColor="text1"/>
          <w:sz w:val="30"/>
          <w:szCs w:val="30"/>
          <w14:textFill>
            <w14:solidFill>
              <w14:schemeClr w14:val="tx1"/>
            </w14:solidFill>
          </w14:textFill>
        </w:rPr>
      </w:pPr>
      <w:bookmarkStart w:id="4" w:name="_Hlk11013219"/>
      <w:r>
        <w:rPr>
          <w:rFonts w:hint="eastAsia" w:eastAsia="仿宋"/>
          <w:color w:val="000000" w:themeColor="text1"/>
          <w:sz w:val="30"/>
          <w:szCs w:val="30"/>
          <w14:textFill>
            <w14:solidFill>
              <w14:schemeClr w14:val="tx1"/>
            </w14:solidFill>
          </w14:textFill>
        </w:rPr>
        <w:t>目    次</w:t>
      </w:r>
    </w:p>
    <w:p w14:paraId="546ED04F">
      <w:pPr>
        <w:pStyle w:val="25"/>
        <w:tabs>
          <w:tab w:val="right" w:leader="dot" w:pos="9638"/>
        </w:tabs>
        <w:ind w:left="480"/>
      </w:pPr>
      <w:r>
        <w:rPr>
          <w:b/>
          <w:color w:val="000000" w:themeColor="text1"/>
          <w:kern w:val="0"/>
          <w:sz w:val="28"/>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TOC \o "1-3" \h \z \u </w:instrText>
      </w:r>
      <w:r>
        <w:rPr>
          <w:b/>
          <w:color w:val="000000" w:themeColor="text1"/>
          <w:kern w:val="0"/>
          <w:sz w:val="28"/>
          <w:szCs w:val="21"/>
          <w14:textFill>
            <w14:solidFill>
              <w14:schemeClr w14:val="tx1"/>
            </w14:solidFill>
          </w14:textFill>
        </w:rPr>
        <w:fldChar w:fldCharType="separate"/>
      </w:r>
      <w:r>
        <w:fldChar w:fldCharType="begin"/>
      </w:r>
      <w:r>
        <w:instrText xml:space="preserve"> HYPERLINK \l "_Toc19565" </w:instrText>
      </w:r>
      <w:r>
        <w:fldChar w:fldCharType="separate"/>
      </w:r>
      <w:r>
        <w:t>1 总 则</w:t>
      </w:r>
      <w:r>
        <w:tab/>
      </w:r>
      <w:r>
        <w:fldChar w:fldCharType="begin"/>
      </w:r>
      <w:r>
        <w:instrText xml:space="preserve"> PAGEREF _Toc19565 \h </w:instrText>
      </w:r>
      <w:r>
        <w:fldChar w:fldCharType="separate"/>
      </w:r>
      <w:r>
        <w:t>1</w:t>
      </w:r>
      <w:r>
        <w:fldChar w:fldCharType="end"/>
      </w:r>
      <w:r>
        <w:fldChar w:fldCharType="end"/>
      </w:r>
    </w:p>
    <w:p w14:paraId="3A3A51D9">
      <w:pPr>
        <w:pStyle w:val="25"/>
        <w:tabs>
          <w:tab w:val="right" w:leader="dot" w:pos="9638"/>
        </w:tabs>
        <w:ind w:left="480"/>
      </w:pPr>
      <w:r>
        <w:fldChar w:fldCharType="begin"/>
      </w:r>
      <w:r>
        <w:instrText xml:space="preserve"> HYPERLINK \l "_Toc6719" </w:instrText>
      </w:r>
      <w:r>
        <w:fldChar w:fldCharType="separate"/>
      </w:r>
      <w:r>
        <w:t>2 术语</w:t>
      </w:r>
      <w:r>
        <w:tab/>
      </w:r>
      <w:r>
        <w:fldChar w:fldCharType="begin"/>
      </w:r>
      <w:r>
        <w:instrText xml:space="preserve"> PAGEREF _Toc6719 \h </w:instrText>
      </w:r>
      <w:r>
        <w:fldChar w:fldCharType="separate"/>
      </w:r>
      <w:r>
        <w:t>3</w:t>
      </w:r>
      <w:r>
        <w:fldChar w:fldCharType="end"/>
      </w:r>
      <w:r>
        <w:fldChar w:fldCharType="end"/>
      </w:r>
    </w:p>
    <w:p w14:paraId="6A62C1EE">
      <w:pPr>
        <w:pStyle w:val="25"/>
        <w:tabs>
          <w:tab w:val="right" w:leader="dot" w:pos="9638"/>
        </w:tabs>
        <w:ind w:left="480"/>
      </w:pPr>
      <w:r>
        <w:fldChar w:fldCharType="begin"/>
      </w:r>
      <w:r>
        <w:instrText xml:space="preserve"> HYPERLINK \l "_Toc8274" </w:instrText>
      </w:r>
      <w:r>
        <w:fldChar w:fldCharType="separate"/>
      </w:r>
      <w:r>
        <w:t>3  基本规定</w:t>
      </w:r>
      <w:r>
        <w:tab/>
      </w:r>
      <w:r>
        <w:fldChar w:fldCharType="begin"/>
      </w:r>
      <w:r>
        <w:instrText xml:space="preserve"> PAGEREF _Toc8274 \h </w:instrText>
      </w:r>
      <w:r>
        <w:fldChar w:fldCharType="separate"/>
      </w:r>
      <w:r>
        <w:t>4</w:t>
      </w:r>
      <w:r>
        <w:fldChar w:fldCharType="end"/>
      </w:r>
      <w:r>
        <w:fldChar w:fldCharType="end"/>
      </w:r>
    </w:p>
    <w:p w14:paraId="69B6A7F7">
      <w:pPr>
        <w:pStyle w:val="25"/>
        <w:tabs>
          <w:tab w:val="right" w:leader="dot" w:pos="9638"/>
        </w:tabs>
        <w:ind w:left="480"/>
      </w:pPr>
      <w:r>
        <w:fldChar w:fldCharType="begin"/>
      </w:r>
      <w:r>
        <w:instrText xml:space="preserve"> HYPERLINK \l "_Toc28467" </w:instrText>
      </w:r>
      <w:r>
        <w:fldChar w:fldCharType="separate"/>
      </w:r>
      <w:r>
        <w:t>4安全防护设计技术要求</w:t>
      </w:r>
      <w:r>
        <w:tab/>
      </w:r>
      <w:r>
        <w:fldChar w:fldCharType="begin"/>
      </w:r>
      <w:r>
        <w:instrText xml:space="preserve"> PAGEREF _Toc28467 \h </w:instrText>
      </w:r>
      <w:r>
        <w:fldChar w:fldCharType="separate"/>
      </w:r>
      <w:r>
        <w:t>8</w:t>
      </w:r>
      <w:r>
        <w:fldChar w:fldCharType="end"/>
      </w:r>
      <w:r>
        <w:fldChar w:fldCharType="end"/>
      </w:r>
    </w:p>
    <w:p w14:paraId="1F56AD23">
      <w:pPr>
        <w:pStyle w:val="14"/>
        <w:tabs>
          <w:tab w:val="right" w:leader="dot" w:pos="9638"/>
        </w:tabs>
        <w:ind w:left="960"/>
      </w:pPr>
      <w:r>
        <w:fldChar w:fldCharType="begin"/>
      </w:r>
      <w:r>
        <w:instrText xml:space="preserve"> HYPERLINK \l "_Toc4152" </w:instrText>
      </w:r>
      <w:r>
        <w:fldChar w:fldCharType="separate"/>
      </w:r>
      <w:r>
        <w:t>4.</w:t>
      </w:r>
      <w:r>
        <w:rPr>
          <w:rFonts w:hint="eastAsia"/>
        </w:rPr>
        <w:t>1规划平面安全防护设计</w:t>
      </w:r>
      <w:r>
        <w:tab/>
      </w:r>
      <w:r>
        <w:fldChar w:fldCharType="begin"/>
      </w:r>
      <w:r>
        <w:instrText xml:space="preserve"> PAGEREF _Toc4152 \h </w:instrText>
      </w:r>
      <w:r>
        <w:fldChar w:fldCharType="separate"/>
      </w:r>
      <w:r>
        <w:t>8</w:t>
      </w:r>
      <w:r>
        <w:fldChar w:fldCharType="end"/>
      </w:r>
      <w:r>
        <w:fldChar w:fldCharType="end"/>
      </w:r>
    </w:p>
    <w:p w14:paraId="5B3CDB99">
      <w:pPr>
        <w:pStyle w:val="14"/>
        <w:tabs>
          <w:tab w:val="right" w:leader="dot" w:pos="9638"/>
        </w:tabs>
        <w:ind w:left="960"/>
      </w:pPr>
      <w:r>
        <w:fldChar w:fldCharType="begin"/>
      </w:r>
      <w:r>
        <w:instrText xml:space="preserve"> HYPERLINK \l "_Toc12636" </w:instrText>
      </w:r>
      <w:r>
        <w:fldChar w:fldCharType="separate"/>
      </w:r>
      <w:r>
        <w:t>4.</w:t>
      </w:r>
      <w:r>
        <w:rPr>
          <w:rFonts w:hint="eastAsia"/>
        </w:rPr>
        <w:t>2围护安全防护设计</w:t>
      </w:r>
      <w:r>
        <w:tab/>
      </w:r>
      <w:r>
        <w:fldChar w:fldCharType="begin"/>
      </w:r>
      <w:r>
        <w:instrText xml:space="preserve"> PAGEREF _Toc12636 \h </w:instrText>
      </w:r>
      <w:r>
        <w:fldChar w:fldCharType="separate"/>
      </w:r>
      <w:r>
        <w:t>9</w:t>
      </w:r>
      <w:r>
        <w:fldChar w:fldCharType="end"/>
      </w:r>
      <w:r>
        <w:fldChar w:fldCharType="end"/>
      </w:r>
    </w:p>
    <w:p w14:paraId="48C16C26">
      <w:pPr>
        <w:pStyle w:val="14"/>
        <w:tabs>
          <w:tab w:val="right" w:leader="dot" w:pos="9638"/>
        </w:tabs>
        <w:ind w:left="960"/>
      </w:pPr>
      <w:r>
        <w:fldChar w:fldCharType="begin"/>
      </w:r>
      <w:r>
        <w:instrText xml:space="preserve"> HYPERLINK \l "_Toc31176" </w:instrText>
      </w:r>
      <w:r>
        <w:fldChar w:fldCharType="separate"/>
      </w:r>
      <w:r>
        <w:t>4.</w:t>
      </w:r>
      <w:r>
        <w:rPr>
          <w:rFonts w:hint="eastAsia"/>
        </w:rPr>
        <w:t>3交通疏散安全防护设计</w:t>
      </w:r>
      <w:r>
        <w:tab/>
      </w:r>
      <w:r>
        <w:fldChar w:fldCharType="begin"/>
      </w:r>
      <w:r>
        <w:instrText xml:space="preserve"> PAGEREF _Toc31176 \h </w:instrText>
      </w:r>
      <w:r>
        <w:fldChar w:fldCharType="separate"/>
      </w:r>
      <w:r>
        <w:t>11</w:t>
      </w:r>
      <w:r>
        <w:fldChar w:fldCharType="end"/>
      </w:r>
      <w:r>
        <w:fldChar w:fldCharType="end"/>
      </w:r>
    </w:p>
    <w:p w14:paraId="3F5ED967">
      <w:pPr>
        <w:pStyle w:val="14"/>
        <w:tabs>
          <w:tab w:val="right" w:leader="dot" w:pos="9638"/>
        </w:tabs>
        <w:ind w:left="960"/>
      </w:pPr>
      <w:r>
        <w:fldChar w:fldCharType="begin"/>
      </w:r>
      <w:r>
        <w:instrText xml:space="preserve"> HYPERLINK \l "_Toc13234" </w:instrText>
      </w:r>
      <w:r>
        <w:fldChar w:fldCharType="separate"/>
      </w:r>
      <w:r>
        <w:t>4.</w:t>
      </w:r>
      <w:r>
        <w:rPr>
          <w:rFonts w:hint="eastAsia"/>
        </w:rPr>
        <w:t>4设备隔离安全防护设计</w:t>
      </w:r>
      <w:r>
        <w:tab/>
      </w:r>
      <w:r>
        <w:fldChar w:fldCharType="begin"/>
      </w:r>
      <w:r>
        <w:instrText xml:space="preserve"> PAGEREF _Toc13234 \h </w:instrText>
      </w:r>
      <w:r>
        <w:fldChar w:fldCharType="separate"/>
      </w:r>
      <w:r>
        <w:t>14</w:t>
      </w:r>
      <w:r>
        <w:fldChar w:fldCharType="end"/>
      </w:r>
      <w:r>
        <w:fldChar w:fldCharType="end"/>
      </w:r>
    </w:p>
    <w:p w14:paraId="34C717F7">
      <w:pPr>
        <w:pStyle w:val="14"/>
        <w:tabs>
          <w:tab w:val="right" w:leader="dot" w:pos="9638"/>
        </w:tabs>
        <w:ind w:left="960"/>
      </w:pPr>
      <w:r>
        <w:fldChar w:fldCharType="begin"/>
      </w:r>
      <w:r>
        <w:instrText xml:space="preserve"> HYPERLINK \l "_Toc18521" </w:instrText>
      </w:r>
      <w:r>
        <w:fldChar w:fldCharType="separate"/>
      </w:r>
      <w:r>
        <w:t>4.</w:t>
      </w:r>
      <w:r>
        <w:rPr>
          <w:rFonts w:hint="eastAsia"/>
        </w:rPr>
        <w:t>5维修维护安全防护设计</w:t>
      </w:r>
      <w:r>
        <w:tab/>
      </w:r>
      <w:r>
        <w:fldChar w:fldCharType="begin"/>
      </w:r>
      <w:r>
        <w:instrText xml:space="preserve"> PAGEREF _Toc18521 \h </w:instrText>
      </w:r>
      <w:r>
        <w:fldChar w:fldCharType="separate"/>
      </w:r>
      <w:r>
        <w:t>16</w:t>
      </w:r>
      <w:r>
        <w:fldChar w:fldCharType="end"/>
      </w:r>
      <w:r>
        <w:fldChar w:fldCharType="end"/>
      </w:r>
    </w:p>
    <w:p w14:paraId="54EF2683">
      <w:pPr>
        <w:pStyle w:val="14"/>
        <w:tabs>
          <w:tab w:val="right" w:leader="dot" w:pos="9638"/>
        </w:tabs>
        <w:ind w:left="960"/>
      </w:pPr>
      <w:r>
        <w:fldChar w:fldCharType="begin"/>
      </w:r>
      <w:r>
        <w:instrText xml:space="preserve"> HYPERLINK \l "_Toc3938" </w:instrText>
      </w:r>
      <w:r>
        <w:fldChar w:fldCharType="separate"/>
      </w:r>
      <w:r>
        <w:t>4.</w:t>
      </w:r>
      <w:r>
        <w:rPr>
          <w:rFonts w:hint="eastAsia"/>
        </w:rPr>
        <w:t>6建筑材料安全防护选用</w:t>
      </w:r>
      <w:r>
        <w:tab/>
      </w:r>
      <w:r>
        <w:fldChar w:fldCharType="begin"/>
      </w:r>
      <w:r>
        <w:instrText xml:space="preserve"> PAGEREF _Toc3938 \h </w:instrText>
      </w:r>
      <w:r>
        <w:fldChar w:fldCharType="separate"/>
      </w:r>
      <w:r>
        <w:t>20</w:t>
      </w:r>
      <w:r>
        <w:fldChar w:fldCharType="end"/>
      </w:r>
      <w:r>
        <w:fldChar w:fldCharType="end"/>
      </w:r>
    </w:p>
    <w:p w14:paraId="75A549E0">
      <w:pPr>
        <w:pStyle w:val="14"/>
        <w:tabs>
          <w:tab w:val="right" w:leader="dot" w:pos="9638"/>
        </w:tabs>
        <w:ind w:left="960"/>
      </w:pPr>
      <w:r>
        <w:fldChar w:fldCharType="begin"/>
      </w:r>
      <w:r>
        <w:instrText xml:space="preserve"> HYPERLINK \l "_Toc1719" </w:instrText>
      </w:r>
      <w:r>
        <w:fldChar w:fldCharType="separate"/>
      </w:r>
      <w:r>
        <w:t>4.</w:t>
      </w:r>
      <w:r>
        <w:rPr>
          <w:rFonts w:hint="eastAsia"/>
        </w:rPr>
        <w:t>7施工安全防护设计</w:t>
      </w:r>
      <w:r>
        <w:tab/>
      </w:r>
      <w:r>
        <w:fldChar w:fldCharType="begin"/>
      </w:r>
      <w:r>
        <w:instrText xml:space="preserve"> PAGEREF _Toc1719 \h </w:instrText>
      </w:r>
      <w:r>
        <w:fldChar w:fldCharType="separate"/>
      </w:r>
      <w:r>
        <w:t>22</w:t>
      </w:r>
      <w:r>
        <w:fldChar w:fldCharType="end"/>
      </w:r>
      <w:r>
        <w:fldChar w:fldCharType="end"/>
      </w:r>
    </w:p>
    <w:p w14:paraId="611011DB">
      <w:pPr>
        <w:pStyle w:val="25"/>
        <w:tabs>
          <w:tab w:val="right" w:leader="dot" w:pos="9638"/>
        </w:tabs>
        <w:ind w:left="480"/>
      </w:pPr>
      <w:r>
        <w:fldChar w:fldCharType="begin"/>
      </w:r>
      <w:r>
        <w:instrText xml:space="preserve"> HYPERLINK \l "_Toc26907" </w:instrText>
      </w:r>
      <w:r>
        <w:fldChar w:fldCharType="separate"/>
      </w:r>
      <w:r>
        <w:t>附录A 安全防护设计红黄绿清单示例</w:t>
      </w:r>
      <w:r>
        <w:tab/>
      </w:r>
      <w:r>
        <w:fldChar w:fldCharType="begin"/>
      </w:r>
      <w:r>
        <w:instrText xml:space="preserve"> PAGEREF _Toc26907 \h </w:instrText>
      </w:r>
      <w:r>
        <w:fldChar w:fldCharType="separate"/>
      </w:r>
      <w:r>
        <w:t>25</w:t>
      </w:r>
      <w:r>
        <w:fldChar w:fldCharType="end"/>
      </w:r>
      <w:r>
        <w:fldChar w:fldCharType="end"/>
      </w:r>
    </w:p>
    <w:p w14:paraId="4089E596">
      <w:pPr>
        <w:pStyle w:val="25"/>
        <w:tabs>
          <w:tab w:val="right" w:leader="dot" w:pos="9638"/>
        </w:tabs>
        <w:ind w:left="480"/>
      </w:pPr>
      <w:r>
        <w:fldChar w:fldCharType="begin"/>
      </w:r>
      <w:r>
        <w:instrText xml:space="preserve"> HYPERLINK \l "_Toc8123" </w:instrText>
      </w:r>
      <w:r>
        <w:fldChar w:fldCharType="separate"/>
      </w:r>
      <w:r>
        <w:t>用词说明</w:t>
      </w:r>
      <w:r>
        <w:tab/>
      </w:r>
      <w:r>
        <w:fldChar w:fldCharType="begin"/>
      </w:r>
      <w:r>
        <w:instrText xml:space="preserve"> PAGEREF _Toc8123 \h </w:instrText>
      </w:r>
      <w:r>
        <w:fldChar w:fldCharType="separate"/>
      </w:r>
      <w:r>
        <w:t>36</w:t>
      </w:r>
      <w:r>
        <w:fldChar w:fldCharType="end"/>
      </w:r>
      <w:r>
        <w:fldChar w:fldCharType="end"/>
      </w:r>
    </w:p>
    <w:p w14:paraId="05397BF8">
      <w:pPr>
        <w:pStyle w:val="25"/>
        <w:tabs>
          <w:tab w:val="right" w:leader="dot" w:pos="9638"/>
        </w:tabs>
        <w:ind w:left="480"/>
      </w:pPr>
      <w:r>
        <w:fldChar w:fldCharType="begin"/>
      </w:r>
      <w:r>
        <w:instrText xml:space="preserve"> HYPERLINK \l "_Toc32162" </w:instrText>
      </w:r>
      <w:r>
        <w:fldChar w:fldCharType="separate"/>
      </w:r>
      <w:r>
        <w:t>引用标准名录</w:t>
      </w:r>
      <w:r>
        <w:tab/>
      </w:r>
      <w:r>
        <w:fldChar w:fldCharType="begin"/>
      </w:r>
      <w:r>
        <w:instrText xml:space="preserve"> PAGEREF _Toc32162 \h </w:instrText>
      </w:r>
      <w:r>
        <w:fldChar w:fldCharType="separate"/>
      </w:r>
      <w:r>
        <w:t>37</w:t>
      </w:r>
      <w:r>
        <w:fldChar w:fldCharType="end"/>
      </w:r>
      <w:r>
        <w:fldChar w:fldCharType="end"/>
      </w:r>
    </w:p>
    <w:p w14:paraId="09558FB8">
      <w:pPr>
        <w:pStyle w:val="25"/>
        <w:tabs>
          <w:tab w:val="right" w:leader="dot" w:pos="9638"/>
        </w:tabs>
        <w:ind w:left="480"/>
      </w:pPr>
      <w:r>
        <w:rPr>
          <w:rFonts w:hint="eastAsia"/>
          <w:bCs/>
          <w:color w:val="000000" w:themeColor="text1"/>
          <w:szCs w:val="21"/>
          <w14:textFill>
            <w14:solidFill>
              <w14:schemeClr w14:val="tx1"/>
            </w14:solidFill>
          </w14:textFill>
        </w:rPr>
        <w:t>附：</w:t>
      </w:r>
      <w:r>
        <w:fldChar w:fldCharType="begin"/>
      </w:r>
      <w:r>
        <w:instrText xml:space="preserve"> HYPERLINK \l "_Toc19716" </w:instrText>
      </w:r>
      <w:r>
        <w:fldChar w:fldCharType="separate"/>
      </w:r>
      <w:r>
        <w:t>条文说明</w:t>
      </w:r>
      <w:r>
        <w:tab/>
      </w:r>
      <w:r>
        <w:fldChar w:fldCharType="begin"/>
      </w:r>
      <w:r>
        <w:instrText xml:space="preserve"> PAGEREF _Toc19716 \h </w:instrText>
      </w:r>
      <w:r>
        <w:fldChar w:fldCharType="separate"/>
      </w:r>
      <w:r>
        <w:t>38</w:t>
      </w:r>
      <w:r>
        <w:fldChar w:fldCharType="end"/>
      </w:r>
      <w:r>
        <w:fldChar w:fldCharType="end"/>
      </w:r>
    </w:p>
    <w:p w14:paraId="32774948">
      <w:pPr>
        <w:pStyle w:val="25"/>
        <w:tabs>
          <w:tab w:val="right" w:leader="dot" w:pos="9628"/>
        </w:tabs>
        <w:spacing w:line="276" w:lineRule="auto"/>
        <w:ind w:left="480" w:firstLine="480"/>
        <w:rPr>
          <w:color w:val="000000" w:themeColor="text1"/>
          <w:szCs w:val="21"/>
          <w14:textFill>
            <w14:solidFill>
              <w14:schemeClr w14:val="tx1"/>
            </w14:solidFill>
          </w14:textFill>
        </w:rPr>
        <w:sectPr>
          <w:pgSz w:w="11906" w:h="16838"/>
          <w:pgMar w:top="1440" w:right="1134" w:bottom="1440" w:left="1134" w:header="851" w:footer="992" w:gutter="0"/>
          <w:cols w:space="720" w:num="1"/>
          <w:docGrid w:type="lines" w:linePitch="312" w:charSpace="0"/>
        </w:sectPr>
      </w:pPr>
      <w:r>
        <w:rPr>
          <w:bCs/>
          <w:color w:val="000000" w:themeColor="text1"/>
          <w:szCs w:val="21"/>
          <w:lang w:val="zh-CN"/>
          <w14:textFill>
            <w14:solidFill>
              <w14:schemeClr w14:val="tx1"/>
            </w14:solidFill>
          </w14:textFill>
        </w:rPr>
        <w:fldChar w:fldCharType="end"/>
      </w:r>
      <w:bookmarkEnd w:id="4"/>
    </w:p>
    <w:p w14:paraId="254314EB">
      <w:pPr>
        <w:adjustRightInd w:val="0"/>
        <w:snapToGrid w:val="0"/>
        <w:ind w:firstLine="600"/>
        <w:jc w:val="center"/>
        <w:rPr>
          <w:rFonts w:eastAsia="仿宋"/>
          <w:color w:val="000000" w:themeColor="text1"/>
          <w:sz w:val="30"/>
          <w:szCs w:val="30"/>
          <w14:textFill>
            <w14:solidFill>
              <w14:schemeClr w14:val="tx1"/>
            </w14:solidFill>
          </w14:textFill>
        </w:rPr>
      </w:pPr>
      <w:bookmarkStart w:id="5" w:name="_Toc3965569"/>
      <w:bookmarkStart w:id="6" w:name="_Toc10493955"/>
      <w:bookmarkStart w:id="7" w:name="_Toc24788664"/>
      <w:bookmarkStart w:id="8" w:name="_Toc10579203"/>
    </w:p>
    <w:p w14:paraId="198632F8">
      <w:pPr>
        <w:ind w:firstLine="600"/>
        <w:jc w:val="center"/>
        <w:rPr>
          <w:rFonts w:eastAsia="仿宋"/>
          <w:color w:val="000000" w:themeColor="text1"/>
          <w:sz w:val="30"/>
          <w:szCs w:val="30"/>
          <w14:textFill>
            <w14:solidFill>
              <w14:schemeClr w14:val="tx1"/>
            </w14:solidFill>
          </w14:textFill>
        </w:rPr>
      </w:pPr>
      <w:r>
        <w:rPr>
          <w:rFonts w:eastAsia="仿宋"/>
          <w:color w:val="000000" w:themeColor="text1"/>
          <w:sz w:val="30"/>
          <w:szCs w:val="30"/>
          <w14:textFill>
            <w14:solidFill>
              <w14:schemeClr w14:val="tx1"/>
            </w14:solidFill>
          </w14:textFill>
        </w:rPr>
        <w:t>Contents</w:t>
      </w:r>
    </w:p>
    <w:p w14:paraId="4C5E2564">
      <w:pPr>
        <w:pStyle w:val="25"/>
        <w:tabs>
          <w:tab w:val="right" w:leader="dot" w:pos="9628"/>
        </w:tabs>
        <w:ind w:left="480" w:firstLine="482"/>
        <w:rPr>
          <w:color w:val="000000" w:themeColor="text1"/>
          <w:szCs w:val="21"/>
          <w14:textFill>
            <w14:solidFill>
              <w14:schemeClr w14:val="tx1"/>
            </w14:solidFill>
          </w14:textFill>
        </w:rPr>
      </w:pPr>
      <w:r>
        <w:fldChar w:fldCharType="begin"/>
      </w:r>
      <w:r>
        <w:instrText xml:space="preserve"> HYPERLINK \l "_Toc93527360" </w:instrText>
      </w:r>
      <w:r>
        <w:fldChar w:fldCharType="separate"/>
      </w:r>
      <w:r>
        <w:rPr>
          <w:rStyle w:val="37"/>
          <w:rFonts w:eastAsia="仿宋"/>
          <w:color w:val="000000" w:themeColor="text1"/>
          <w:szCs w:val="21"/>
          <w:u w:val="none"/>
          <w14:textFill>
            <w14:solidFill>
              <w14:schemeClr w14:val="tx1"/>
            </w14:solidFill>
          </w14:textFill>
        </w:rPr>
        <w:t xml:space="preserve">1 </w:t>
      </w:r>
      <w:r>
        <w:rPr>
          <w:b/>
          <w:bCs/>
          <w:color w:val="000000" w:themeColor="text1"/>
          <w:szCs w:val="21"/>
          <w14:textFill>
            <w14:solidFill>
              <w14:schemeClr w14:val="tx1"/>
            </w14:solidFill>
          </w14:textFill>
        </w:rPr>
        <w:t xml:space="preserve">General </w:t>
      </w:r>
      <w:r>
        <w:rPr>
          <w:rFonts w:hint="eastAsia"/>
          <w:b/>
          <w:bCs/>
          <w:color w:val="000000" w:themeColor="text1"/>
          <w:szCs w:val="21"/>
          <w14:textFill>
            <w14:solidFill>
              <w14:schemeClr w14:val="tx1"/>
            </w14:solidFill>
          </w14:textFill>
        </w:rPr>
        <w:t>p</w:t>
      </w:r>
      <w:r>
        <w:rPr>
          <w:b/>
          <w:bCs/>
          <w:color w:val="000000" w:themeColor="text1"/>
          <w:szCs w:val="21"/>
          <w14:textFill>
            <w14:solidFill>
              <w14:schemeClr w14:val="tx1"/>
            </w14:solidFill>
          </w14:textFill>
        </w:rPr>
        <w:t>rivisions</w:t>
      </w:r>
      <w:r>
        <w:rPr>
          <w:color w:val="000000" w:themeColor="text1"/>
          <w:szCs w:val="21"/>
          <w14:textFill>
            <w14:solidFill>
              <w14:schemeClr w14:val="tx1"/>
            </w14:solidFill>
          </w14:textFill>
        </w:rPr>
        <w:tab/>
      </w:r>
      <w:r>
        <w:rPr>
          <w:color w:val="000000" w:themeColor="text1"/>
          <w:szCs w:val="21"/>
          <w14:textFill>
            <w14:solidFill>
              <w14:schemeClr w14:val="tx1"/>
            </w14:solidFill>
          </w14:textFill>
        </w:rPr>
        <w:fldChar w:fldCharType="end"/>
      </w:r>
      <w:r>
        <w:rPr>
          <w:rFonts w:hint="eastAsia"/>
          <w:color w:val="000000" w:themeColor="text1"/>
          <w:szCs w:val="21"/>
          <w14:textFill>
            <w14:solidFill>
              <w14:schemeClr w14:val="tx1"/>
            </w14:solidFill>
          </w14:textFill>
        </w:rPr>
        <w:t>1</w:t>
      </w:r>
    </w:p>
    <w:p w14:paraId="52CD4A3D">
      <w:pPr>
        <w:pStyle w:val="25"/>
        <w:tabs>
          <w:tab w:val="right" w:leader="dot" w:pos="9628"/>
        </w:tabs>
        <w:ind w:left="480" w:firstLine="480"/>
        <w:rPr>
          <w:color w:val="000000" w:themeColor="text1"/>
          <w:szCs w:val="21"/>
          <w14:textFill>
            <w14:solidFill>
              <w14:schemeClr w14:val="tx1"/>
            </w14:solidFill>
          </w14:textFill>
        </w:rPr>
      </w:pPr>
      <w:r>
        <w:fldChar w:fldCharType="begin"/>
      </w:r>
      <w:r>
        <w:instrText xml:space="preserve"> HYPERLINK \l "_Toc93527361" </w:instrText>
      </w:r>
      <w:r>
        <w:fldChar w:fldCharType="separate"/>
      </w:r>
      <w:r>
        <w:rPr>
          <w:rStyle w:val="37"/>
          <w:rFonts w:eastAsia="仿宋"/>
          <w:color w:val="000000" w:themeColor="text1"/>
          <w:szCs w:val="21"/>
          <w:u w:val="none"/>
          <w14:textFill>
            <w14:solidFill>
              <w14:schemeClr w14:val="tx1"/>
            </w14:solidFill>
          </w14:textFill>
        </w:rPr>
        <w:t xml:space="preserve">2 </w:t>
      </w:r>
      <w:r>
        <w:rPr>
          <w:b/>
          <w:bCs/>
          <w:color w:val="000000" w:themeColor="text1"/>
          <w:szCs w:val="21"/>
          <w14:textFill>
            <w14:solidFill>
              <w14:schemeClr w14:val="tx1"/>
            </w14:solidFill>
          </w14:textFill>
        </w:rPr>
        <w:t>Term</w:t>
      </w:r>
      <w:r>
        <w:rPr>
          <w:rFonts w:hint="eastAsia"/>
          <w:b/>
          <w:bCs/>
          <w:color w:val="000000" w:themeColor="text1"/>
          <w:szCs w:val="21"/>
          <w14:textFill>
            <w14:solidFill>
              <w14:schemeClr w14:val="tx1"/>
            </w14:solidFill>
          </w14:textFill>
        </w:rPr>
        <w:t>s</w:t>
      </w:r>
      <w:r>
        <w:rPr>
          <w:color w:val="000000" w:themeColor="text1"/>
          <w:szCs w:val="21"/>
          <w14:textFill>
            <w14:solidFill>
              <w14:schemeClr w14:val="tx1"/>
            </w14:solidFill>
          </w14:textFill>
        </w:rPr>
        <w:tab/>
      </w:r>
      <w:r>
        <w:rPr>
          <w:color w:val="000000" w:themeColor="text1"/>
          <w:szCs w:val="21"/>
          <w14:textFill>
            <w14:solidFill>
              <w14:schemeClr w14:val="tx1"/>
            </w14:solidFill>
          </w14:textFill>
        </w:rPr>
        <w:fldChar w:fldCharType="end"/>
      </w:r>
      <w:r>
        <w:rPr>
          <w:rFonts w:hint="eastAsia"/>
          <w:color w:val="000000" w:themeColor="text1"/>
          <w:szCs w:val="21"/>
          <w14:textFill>
            <w14:solidFill>
              <w14:schemeClr w14:val="tx1"/>
            </w14:solidFill>
          </w14:textFill>
        </w:rPr>
        <w:t>3</w:t>
      </w:r>
    </w:p>
    <w:p w14:paraId="28A5E8FE">
      <w:pPr>
        <w:pStyle w:val="25"/>
        <w:tabs>
          <w:tab w:val="right" w:leader="dot" w:pos="9628"/>
        </w:tabs>
        <w:ind w:left="480" w:firstLine="480"/>
        <w:rPr>
          <w:color w:val="000000" w:themeColor="text1"/>
          <w:szCs w:val="21"/>
          <w14:textFill>
            <w14:solidFill>
              <w14:schemeClr w14:val="tx1"/>
            </w14:solidFill>
          </w14:textFill>
        </w:rPr>
      </w:pPr>
      <w:r>
        <w:fldChar w:fldCharType="begin"/>
      </w:r>
      <w:r>
        <w:instrText xml:space="preserve"> HYPERLINK \l "_Toc93527362" </w:instrText>
      </w:r>
      <w:r>
        <w:fldChar w:fldCharType="separate"/>
      </w:r>
      <w:r>
        <w:rPr>
          <w:color w:val="0D0D0D" w:themeColor="text1" w:themeTint="F2"/>
          <w14:textFill>
            <w14:solidFill>
              <w14:schemeClr w14:val="tx1">
                <w14:lumMod w14:val="95000"/>
                <w14:lumOff w14:val="5000"/>
              </w14:schemeClr>
            </w14:solidFill>
          </w14:textFill>
        </w:rPr>
        <w:t>3</w:t>
      </w:r>
      <w:r>
        <w:rPr>
          <w:b/>
          <w:bCs/>
          <w:color w:val="0D0D0D" w:themeColor="text1" w:themeTint="F2"/>
          <w14:textFill>
            <w14:solidFill>
              <w14:schemeClr w14:val="tx1">
                <w14:lumMod w14:val="95000"/>
                <w14:lumOff w14:val="5000"/>
              </w14:schemeClr>
            </w14:solidFill>
          </w14:textFill>
        </w:rPr>
        <w:t xml:space="preserve"> </w:t>
      </w:r>
      <w:r>
        <w:rPr>
          <w:b/>
          <w:bCs/>
          <w:color w:val="0D0D0D" w:themeColor="text1" w:themeTint="F2"/>
          <w:szCs w:val="21"/>
          <w14:textFill>
            <w14:solidFill>
              <w14:schemeClr w14:val="tx1">
                <w14:lumMod w14:val="95000"/>
                <w14:lumOff w14:val="5000"/>
              </w14:schemeClr>
            </w14:solidFill>
          </w14:textFill>
        </w:rPr>
        <w:t xml:space="preserve">Basic </w:t>
      </w:r>
      <w:r>
        <w:rPr>
          <w:rFonts w:hint="eastAsia"/>
          <w:b/>
          <w:bCs/>
          <w:color w:val="0D0D0D" w:themeColor="text1" w:themeTint="F2"/>
          <w:szCs w:val="21"/>
          <w14:textFill>
            <w14:solidFill>
              <w14:schemeClr w14:val="tx1">
                <w14:lumMod w14:val="95000"/>
                <w14:lumOff w14:val="5000"/>
              </w14:schemeClr>
            </w14:solidFill>
          </w14:textFill>
        </w:rPr>
        <w:t>r</w:t>
      </w:r>
      <w:r>
        <w:rPr>
          <w:b/>
          <w:bCs/>
          <w:color w:val="0D0D0D" w:themeColor="text1" w:themeTint="F2"/>
          <w:szCs w:val="21"/>
          <w14:textFill>
            <w14:solidFill>
              <w14:schemeClr w14:val="tx1">
                <w14:lumMod w14:val="95000"/>
                <w14:lumOff w14:val="5000"/>
              </w14:schemeClr>
            </w14:solidFill>
          </w14:textFill>
        </w:rPr>
        <w:t>e</w:t>
      </w:r>
      <w:r>
        <w:rPr>
          <w:rFonts w:hint="eastAsia"/>
          <w:b/>
          <w:bCs/>
          <w:color w:val="0D0D0D" w:themeColor="text1" w:themeTint="F2"/>
          <w:szCs w:val="21"/>
          <w14:textFill>
            <w14:solidFill>
              <w14:schemeClr w14:val="tx1">
                <w14:lumMod w14:val="95000"/>
                <w14:lumOff w14:val="5000"/>
              </w14:schemeClr>
            </w14:solidFill>
          </w14:textFill>
        </w:rPr>
        <w:t>quirements</w:t>
      </w:r>
      <w:r>
        <w:rPr>
          <w:color w:val="000000" w:themeColor="text1"/>
          <w:szCs w:val="21"/>
          <w14:textFill>
            <w14:solidFill>
              <w14:schemeClr w14:val="tx1"/>
            </w14:solidFill>
          </w14:textFill>
        </w:rPr>
        <w:tab/>
      </w:r>
      <w:r>
        <w:rPr>
          <w:color w:val="000000" w:themeColor="text1"/>
          <w:szCs w:val="21"/>
          <w14:textFill>
            <w14:solidFill>
              <w14:schemeClr w14:val="tx1"/>
            </w14:solidFill>
          </w14:textFill>
        </w:rPr>
        <w:fldChar w:fldCharType="end"/>
      </w:r>
      <w:r>
        <w:rPr>
          <w:rFonts w:hint="eastAsia"/>
          <w:color w:val="000000" w:themeColor="text1"/>
          <w:szCs w:val="21"/>
          <w14:textFill>
            <w14:solidFill>
              <w14:schemeClr w14:val="tx1"/>
            </w14:solidFill>
          </w14:textFill>
        </w:rPr>
        <w:t>4</w:t>
      </w:r>
    </w:p>
    <w:p w14:paraId="7FE82226">
      <w:pPr>
        <w:pStyle w:val="25"/>
        <w:tabs>
          <w:tab w:val="right" w:leader="dot" w:pos="9628"/>
        </w:tabs>
        <w:ind w:left="480" w:firstLine="480"/>
        <w:rPr>
          <w:color w:val="000000" w:themeColor="text1"/>
          <w:szCs w:val="21"/>
          <w14:textFill>
            <w14:solidFill>
              <w14:schemeClr w14:val="tx1"/>
            </w14:solidFill>
          </w14:textFill>
        </w:rPr>
      </w:pPr>
      <w:r>
        <w:fldChar w:fldCharType="begin"/>
      </w:r>
      <w:r>
        <w:instrText xml:space="preserve"> HYPERLINK \l "_Toc93527363" </w:instrText>
      </w:r>
      <w:r>
        <w:fldChar w:fldCharType="separate"/>
      </w:r>
      <w:r>
        <w:rPr>
          <w:color w:val="0D0D0D" w:themeColor="text1" w:themeTint="F2"/>
          <w14:textFill>
            <w14:solidFill>
              <w14:schemeClr w14:val="tx1">
                <w14:lumMod w14:val="95000"/>
                <w14:lumOff w14:val="5000"/>
              </w14:schemeClr>
            </w14:solidFill>
          </w14:textFill>
        </w:rPr>
        <w:t>4</w:t>
      </w:r>
      <w:r>
        <w:rPr>
          <w:rStyle w:val="37"/>
          <w:rFonts w:eastAsia="仿宋"/>
          <w:color w:val="000000" w:themeColor="text1"/>
          <w:szCs w:val="21"/>
          <w:u w:val="none"/>
          <w14:textFill>
            <w14:solidFill>
              <w14:schemeClr w14:val="tx1"/>
            </w14:solidFill>
          </w14:textFill>
        </w:rPr>
        <w:t xml:space="preserve"> </w:t>
      </w:r>
      <w:r>
        <w:rPr>
          <w:rFonts w:hint="eastAsia"/>
          <w:b/>
          <w:bCs/>
          <w:color w:val="000000" w:themeColor="text1"/>
          <w:szCs w:val="21"/>
          <w14:textFill>
            <w14:solidFill>
              <w14:schemeClr w14:val="tx1"/>
            </w14:solidFill>
          </w14:textFill>
        </w:rPr>
        <w:t>P</w:t>
      </w:r>
      <w:r>
        <w:rPr>
          <w:b/>
          <w:bCs/>
          <w:color w:val="000000" w:themeColor="text1"/>
          <w:szCs w:val="21"/>
          <w14:textFill>
            <w14:solidFill>
              <w14:schemeClr w14:val="tx1"/>
            </w14:solidFill>
          </w14:textFill>
        </w:rPr>
        <w:t>ersonnel safety protection</w:t>
      </w:r>
      <w:r>
        <w:rPr>
          <w:rFonts w:hint="eastAsia"/>
          <w:b/>
          <w:bCs/>
          <w:color w:val="000000" w:themeColor="text1"/>
          <w:szCs w:val="21"/>
          <w14:textFill>
            <w14:solidFill>
              <w14:schemeClr w14:val="tx1"/>
            </w14:solidFill>
          </w14:textFill>
        </w:rPr>
        <w:t xml:space="preserve"> design</w:t>
      </w:r>
      <w:r>
        <w:rPr>
          <w:color w:val="000000" w:themeColor="text1"/>
          <w:szCs w:val="21"/>
          <w14:textFill>
            <w14:solidFill>
              <w14:schemeClr w14:val="tx1"/>
            </w14:solidFill>
          </w14:textFill>
        </w:rPr>
        <w:tab/>
      </w:r>
      <w:r>
        <w:rPr>
          <w:color w:val="000000" w:themeColor="text1"/>
          <w:szCs w:val="21"/>
          <w14:textFill>
            <w14:solidFill>
              <w14:schemeClr w14:val="tx1"/>
            </w14:solidFill>
          </w14:textFill>
        </w:rPr>
        <w:fldChar w:fldCharType="end"/>
      </w:r>
      <w:r>
        <w:rPr>
          <w:rFonts w:hint="eastAsia"/>
          <w:color w:val="000000" w:themeColor="text1"/>
          <w:szCs w:val="21"/>
          <w14:textFill>
            <w14:solidFill>
              <w14:schemeClr w14:val="tx1"/>
            </w14:solidFill>
          </w14:textFill>
        </w:rPr>
        <w:t>8</w:t>
      </w:r>
    </w:p>
    <w:p w14:paraId="07730FC2">
      <w:pPr>
        <w:pStyle w:val="14"/>
        <w:tabs>
          <w:tab w:val="right" w:leader="dot" w:pos="9628"/>
        </w:tabs>
        <w:ind w:left="960" w:firstLine="480"/>
        <w:rPr>
          <w:rFonts w:cstheme="minorBidi"/>
          <w:sz w:val="22"/>
          <w14:ligatures w14:val="standardContextual"/>
        </w:rPr>
      </w:pPr>
      <w:r>
        <w:fldChar w:fldCharType="begin"/>
      </w:r>
      <w:r>
        <w:instrText xml:space="preserve"> HYPERLINK \l "_Toc213254727" </w:instrText>
      </w:r>
      <w:r>
        <w:fldChar w:fldCharType="separate"/>
      </w:r>
      <w:r>
        <w:rPr>
          <w:rStyle w:val="37"/>
          <w:rFonts w:hint="eastAsia" w:eastAsia="仿宋"/>
          <w:color w:val="auto"/>
          <w:u w:val="none"/>
        </w:rPr>
        <w:t>4.1</w:t>
      </w:r>
      <w:r>
        <w:t xml:space="preserve"> </w:t>
      </w:r>
      <w:r>
        <w:rPr>
          <w:rStyle w:val="37"/>
          <w:rFonts w:eastAsia="仿宋"/>
          <w:color w:val="auto"/>
          <w:u w:val="none"/>
        </w:rPr>
        <w:t>Planning the safety protection design of the floor plan</w:t>
      </w:r>
      <w:r>
        <w:rPr>
          <w:rFonts w:hint="eastAsia"/>
        </w:rPr>
        <w:tab/>
      </w:r>
      <w:r>
        <w:rPr>
          <w:rFonts w:hint="eastAsia"/>
        </w:rPr>
        <w:fldChar w:fldCharType="end"/>
      </w:r>
      <w:r>
        <w:rPr>
          <w:rFonts w:hint="eastAsia"/>
        </w:rPr>
        <w:t>8</w:t>
      </w:r>
    </w:p>
    <w:p w14:paraId="64303401">
      <w:pPr>
        <w:pStyle w:val="14"/>
        <w:tabs>
          <w:tab w:val="right" w:leader="dot" w:pos="9628"/>
        </w:tabs>
        <w:ind w:left="960" w:firstLine="480"/>
        <w:rPr>
          <w:rFonts w:cstheme="minorBidi"/>
          <w:sz w:val="22"/>
          <w14:ligatures w14:val="standardContextual"/>
        </w:rPr>
      </w:pPr>
      <w:r>
        <w:fldChar w:fldCharType="begin"/>
      </w:r>
      <w:r>
        <w:instrText xml:space="preserve"> HYPERLINK \l "_Toc213254728" </w:instrText>
      </w:r>
      <w:r>
        <w:fldChar w:fldCharType="separate"/>
      </w:r>
      <w:r>
        <w:rPr>
          <w:rStyle w:val="37"/>
          <w:rFonts w:hint="eastAsia" w:eastAsia="仿宋"/>
          <w:color w:val="auto"/>
          <w:u w:val="none"/>
        </w:rPr>
        <w:t>4.2</w:t>
      </w:r>
      <w:r>
        <w:t xml:space="preserve"> </w:t>
      </w:r>
      <w:r>
        <w:rPr>
          <w:rStyle w:val="37"/>
          <w:rFonts w:eastAsia="仿宋"/>
          <w:color w:val="auto"/>
          <w:u w:val="none"/>
        </w:rPr>
        <w:t>Enclosure safety protection design</w:t>
      </w:r>
      <w:r>
        <w:rPr>
          <w:rFonts w:hint="eastAsia"/>
        </w:rPr>
        <w:tab/>
      </w:r>
      <w:r>
        <w:rPr>
          <w:rFonts w:hint="eastAsia"/>
        </w:rPr>
        <w:fldChar w:fldCharType="end"/>
      </w:r>
      <w:r>
        <w:rPr>
          <w:rFonts w:hint="eastAsia"/>
        </w:rPr>
        <w:t>10</w:t>
      </w:r>
    </w:p>
    <w:p w14:paraId="284802DA">
      <w:pPr>
        <w:pStyle w:val="14"/>
        <w:tabs>
          <w:tab w:val="right" w:leader="dot" w:pos="9628"/>
        </w:tabs>
        <w:ind w:left="960" w:firstLine="480"/>
        <w:rPr>
          <w:rFonts w:cstheme="minorBidi"/>
          <w:sz w:val="22"/>
          <w14:ligatures w14:val="standardContextual"/>
        </w:rPr>
      </w:pPr>
      <w:r>
        <w:fldChar w:fldCharType="begin"/>
      </w:r>
      <w:r>
        <w:instrText xml:space="preserve"> HYPERLINK \l "_Toc213254729" </w:instrText>
      </w:r>
      <w:r>
        <w:fldChar w:fldCharType="separate"/>
      </w:r>
      <w:r>
        <w:rPr>
          <w:rStyle w:val="37"/>
          <w:rFonts w:hint="eastAsia" w:eastAsia="仿宋"/>
          <w:color w:val="auto"/>
          <w:u w:val="none"/>
        </w:rPr>
        <w:t>4.3</w:t>
      </w:r>
      <w:r>
        <w:t xml:space="preserve"> </w:t>
      </w:r>
      <w:r>
        <w:rPr>
          <w:rStyle w:val="37"/>
          <w:rFonts w:eastAsia="仿宋"/>
          <w:color w:val="auto"/>
          <w:u w:val="none"/>
        </w:rPr>
        <w:t>Traffic evacuation safety protection design</w:t>
      </w:r>
      <w:r>
        <w:rPr>
          <w:rFonts w:hint="eastAsia"/>
        </w:rPr>
        <w:tab/>
      </w:r>
      <w:r>
        <w:rPr>
          <w:rFonts w:hint="eastAsia"/>
        </w:rPr>
        <w:fldChar w:fldCharType="begin"/>
      </w:r>
      <w:r>
        <w:rPr>
          <w:rFonts w:hint="eastAsia"/>
        </w:rPr>
        <w:instrText xml:space="preserve"> </w:instrText>
      </w:r>
      <w:r>
        <w:instrText xml:space="preserve">PAGEREF _Toc213254729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6DA21BAA">
      <w:pPr>
        <w:pStyle w:val="14"/>
        <w:tabs>
          <w:tab w:val="right" w:leader="dot" w:pos="9628"/>
        </w:tabs>
        <w:ind w:left="960" w:firstLine="480"/>
        <w:rPr>
          <w:rFonts w:cstheme="minorBidi"/>
          <w:sz w:val="22"/>
          <w14:ligatures w14:val="standardContextual"/>
        </w:rPr>
      </w:pPr>
      <w:r>
        <w:fldChar w:fldCharType="begin"/>
      </w:r>
      <w:r>
        <w:instrText xml:space="preserve"> HYPERLINK \l "_Toc213254730" </w:instrText>
      </w:r>
      <w:r>
        <w:fldChar w:fldCharType="separate"/>
      </w:r>
      <w:r>
        <w:rPr>
          <w:rStyle w:val="37"/>
          <w:rFonts w:hint="eastAsia" w:eastAsia="仿宋"/>
          <w:color w:val="auto"/>
          <w:u w:val="none"/>
        </w:rPr>
        <w:t>4.4</w:t>
      </w:r>
      <w:r>
        <w:t xml:space="preserve"> </w:t>
      </w:r>
      <w:r>
        <w:rPr>
          <w:rStyle w:val="37"/>
          <w:rFonts w:eastAsia="仿宋"/>
          <w:color w:val="auto"/>
          <w:u w:val="none"/>
        </w:rPr>
        <w:t>Design of equipment isolation and security protectio</w:t>
      </w:r>
      <w:r>
        <w:rPr>
          <w:rFonts w:hint="eastAsia"/>
        </w:rPr>
        <w:tab/>
      </w:r>
      <w:r>
        <w:rPr>
          <w:rFonts w:hint="eastAsia"/>
        </w:rPr>
        <w:fldChar w:fldCharType="begin"/>
      </w:r>
      <w:r>
        <w:rPr>
          <w:rFonts w:hint="eastAsia"/>
        </w:rPr>
        <w:instrText xml:space="preserve"> </w:instrText>
      </w:r>
      <w:r>
        <w:instrText xml:space="preserve">PAGEREF _Toc213254730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7F0C4AFB">
      <w:pPr>
        <w:pStyle w:val="14"/>
        <w:tabs>
          <w:tab w:val="right" w:leader="dot" w:pos="9628"/>
        </w:tabs>
        <w:ind w:left="960" w:firstLine="480"/>
        <w:rPr>
          <w:rFonts w:cstheme="minorBidi"/>
          <w:sz w:val="22"/>
          <w14:ligatures w14:val="standardContextual"/>
        </w:rPr>
      </w:pPr>
      <w:r>
        <w:fldChar w:fldCharType="begin"/>
      </w:r>
      <w:r>
        <w:instrText xml:space="preserve"> HYPERLINK \l "_Toc213254731" </w:instrText>
      </w:r>
      <w:r>
        <w:fldChar w:fldCharType="separate"/>
      </w:r>
      <w:r>
        <w:rPr>
          <w:rStyle w:val="37"/>
          <w:rFonts w:hint="eastAsia" w:eastAsia="仿宋"/>
          <w:color w:val="auto"/>
          <w:u w:val="none"/>
        </w:rPr>
        <w:t>4.5</w:t>
      </w:r>
      <w:r>
        <w:t xml:space="preserve"> </w:t>
      </w:r>
      <w:r>
        <w:rPr>
          <w:rStyle w:val="37"/>
          <w:rFonts w:eastAsia="仿宋"/>
          <w:color w:val="auto"/>
          <w:u w:val="none"/>
        </w:rPr>
        <w:t>Safety protection design for maintenance and repair</w:t>
      </w:r>
      <w:r>
        <w:rPr>
          <w:rFonts w:hint="eastAsia"/>
        </w:rPr>
        <w:tab/>
      </w:r>
      <w:r>
        <w:rPr>
          <w:rFonts w:hint="eastAsia"/>
        </w:rPr>
        <w:fldChar w:fldCharType="begin"/>
      </w:r>
      <w:r>
        <w:rPr>
          <w:rFonts w:hint="eastAsia"/>
        </w:rPr>
        <w:instrText xml:space="preserve"> </w:instrText>
      </w:r>
      <w:r>
        <w:instrText xml:space="preserve">PAGEREF _Toc213254731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bookmarkStart w:id="119" w:name="_GoBack"/>
      <w:bookmarkEnd w:id="119"/>
    </w:p>
    <w:p w14:paraId="15A573B3">
      <w:pPr>
        <w:pStyle w:val="14"/>
        <w:tabs>
          <w:tab w:val="right" w:leader="dot" w:pos="9628"/>
        </w:tabs>
        <w:ind w:left="960" w:firstLine="480"/>
        <w:rPr>
          <w:rFonts w:cstheme="minorBidi"/>
          <w:sz w:val="22"/>
          <w14:ligatures w14:val="standardContextual"/>
        </w:rPr>
      </w:pPr>
      <w:r>
        <w:fldChar w:fldCharType="begin"/>
      </w:r>
      <w:r>
        <w:instrText xml:space="preserve"> HYPERLINK \l "_Toc213254732" </w:instrText>
      </w:r>
      <w:r>
        <w:fldChar w:fldCharType="separate"/>
      </w:r>
      <w:r>
        <w:rPr>
          <w:rStyle w:val="37"/>
          <w:rFonts w:hint="eastAsia" w:eastAsia="仿宋"/>
          <w:color w:val="auto"/>
          <w:u w:val="none"/>
        </w:rPr>
        <w:t>4.6</w:t>
      </w:r>
      <w:r>
        <w:t xml:space="preserve"> </w:t>
      </w:r>
      <w:r>
        <w:rPr>
          <w:rStyle w:val="37"/>
          <w:rFonts w:eastAsia="仿宋"/>
          <w:color w:val="auto"/>
          <w:u w:val="none"/>
        </w:rPr>
        <w:t>Selection of safety protection measures for building materials</w:t>
      </w:r>
      <w:r>
        <w:rPr>
          <w:rFonts w:hint="eastAsia"/>
        </w:rPr>
        <w:tab/>
      </w:r>
      <w:r>
        <w:rPr>
          <w:rFonts w:hint="eastAsia"/>
        </w:rPr>
        <w:fldChar w:fldCharType="end"/>
      </w:r>
      <w:r>
        <w:rPr>
          <w:rFonts w:hint="eastAsia"/>
        </w:rPr>
        <w:t>20</w:t>
      </w:r>
    </w:p>
    <w:p w14:paraId="07545EE4">
      <w:pPr>
        <w:pStyle w:val="14"/>
        <w:tabs>
          <w:tab w:val="right" w:leader="dot" w:pos="9628"/>
        </w:tabs>
        <w:ind w:left="960" w:firstLine="480"/>
        <w:rPr>
          <w:rFonts w:cstheme="minorBidi"/>
          <w:sz w:val="22"/>
          <w14:ligatures w14:val="standardContextual"/>
        </w:rPr>
      </w:pPr>
      <w:r>
        <w:fldChar w:fldCharType="begin"/>
      </w:r>
      <w:r>
        <w:instrText xml:space="preserve"> HYPERLINK \l "_Toc213254733" </w:instrText>
      </w:r>
      <w:r>
        <w:fldChar w:fldCharType="separate"/>
      </w:r>
      <w:r>
        <w:rPr>
          <w:rStyle w:val="37"/>
          <w:rFonts w:hint="eastAsia" w:eastAsia="仿宋"/>
          <w:color w:val="auto"/>
          <w:u w:val="none"/>
        </w:rPr>
        <w:t>4.7</w:t>
      </w:r>
      <w:r>
        <w:t xml:space="preserve"> </w:t>
      </w:r>
      <w:r>
        <w:rPr>
          <w:rStyle w:val="37"/>
          <w:rFonts w:eastAsia="仿宋"/>
          <w:color w:val="auto"/>
          <w:u w:val="none"/>
        </w:rPr>
        <w:t>Construction safety protection design</w:t>
      </w:r>
      <w:r>
        <w:rPr>
          <w:rFonts w:hint="eastAsia"/>
        </w:rPr>
        <w:tab/>
      </w:r>
      <w:r>
        <w:rPr>
          <w:rFonts w:hint="eastAsia"/>
        </w:rPr>
        <w:fldChar w:fldCharType="begin"/>
      </w:r>
      <w:r>
        <w:rPr>
          <w:rFonts w:hint="eastAsia"/>
        </w:rPr>
        <w:instrText xml:space="preserve"> </w:instrText>
      </w:r>
      <w:r>
        <w:instrText xml:space="preserve">PAGEREF _Toc213254733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4AC90188">
      <w:pPr>
        <w:pStyle w:val="25"/>
        <w:ind w:left="480" w:right="-360" w:rightChars="-150" w:firstLine="482"/>
        <w:rPr>
          <w:color w:val="0D0D0D" w:themeColor="text1" w:themeTint="F2"/>
          <w:szCs w:val="21"/>
          <w14:textFill>
            <w14:solidFill>
              <w14:schemeClr w14:val="tx1">
                <w14:lumMod w14:val="95000"/>
                <w14:lumOff w14:val="5000"/>
              </w14:schemeClr>
            </w14:solidFill>
          </w14:textFill>
        </w:rPr>
      </w:pPr>
      <w:r>
        <w:rPr>
          <w:rStyle w:val="37"/>
          <w:rFonts w:eastAsia="仿宋"/>
          <w:b/>
          <w:bCs/>
          <w:color w:val="0D0D0D" w:themeColor="text1" w:themeTint="F2"/>
          <w:szCs w:val="21"/>
          <w:u w:val="none"/>
          <w14:textFill>
            <w14:solidFill>
              <w14:schemeClr w14:val="tx1">
                <w14:lumMod w14:val="95000"/>
                <w14:lumOff w14:val="5000"/>
              </w14:schemeClr>
            </w14:solidFill>
          </w14:textFill>
        </w:rPr>
        <w:t>Appendix A</w:t>
      </w:r>
      <w:r>
        <w:fldChar w:fldCharType="begin"/>
      </w:r>
      <w:r>
        <w:instrText xml:space="preserve"> HYPERLINK \l "_Toc93527377" </w:instrText>
      </w:r>
      <w:r>
        <w:fldChar w:fldCharType="separate"/>
      </w:r>
      <w:r>
        <w:rPr>
          <w:rStyle w:val="37"/>
          <w:rFonts w:eastAsia="仿宋"/>
          <w:b/>
          <w:bCs/>
          <w:color w:val="0D0D0D" w:themeColor="text1" w:themeTint="F2"/>
          <w:szCs w:val="21"/>
          <w:u w:val="none"/>
          <w14:textFill>
            <w14:solidFill>
              <w14:schemeClr w14:val="tx1">
                <w14:lumMod w14:val="95000"/>
                <w14:lumOff w14:val="5000"/>
              </w14:schemeClr>
            </w14:solidFill>
          </w14:textFill>
        </w:rPr>
        <w:t xml:space="preserve"> </w:t>
      </w:r>
      <w:r>
        <w:rPr>
          <w:rStyle w:val="37"/>
          <w:rFonts w:hint="eastAsia" w:eastAsia="仿宋"/>
          <w:b/>
          <w:bCs/>
          <w:color w:val="0D0D0D" w:themeColor="text1" w:themeTint="F2"/>
          <w:szCs w:val="21"/>
          <w:u w:val="none"/>
          <w14:textFill>
            <w14:solidFill>
              <w14:schemeClr w14:val="tx1">
                <w14:lumMod w14:val="95000"/>
                <w14:lumOff w14:val="5000"/>
              </w14:schemeClr>
            </w14:solidFill>
          </w14:textFill>
        </w:rPr>
        <w:t>:</w:t>
      </w:r>
      <w:r>
        <w:rPr>
          <w:rFonts w:hint="eastAsia" w:eastAsia="仿宋"/>
          <w:b/>
          <w:bCs/>
          <w:color w:val="0D0D0D" w:themeColor="text1" w:themeTint="F2"/>
          <w:szCs w:val="21"/>
          <w14:textFill>
            <w14:solidFill>
              <w14:schemeClr w14:val="tx1">
                <w14:lumMod w14:val="95000"/>
                <w14:lumOff w14:val="5000"/>
              </w14:schemeClr>
            </w14:solidFill>
          </w14:textFill>
        </w:rPr>
        <w:t>e</w:t>
      </w:r>
      <w:r>
        <w:rPr>
          <w:b/>
          <w:bCs/>
          <w:color w:val="0D0D0D" w:themeColor="text1" w:themeTint="F2"/>
          <w:szCs w:val="21"/>
          <w14:textFill>
            <w14:solidFill>
              <w14:schemeClr w14:val="tx1">
                <w14:lumMod w14:val="95000"/>
                <w14:lumOff w14:val="5000"/>
              </w14:schemeClr>
            </w14:solidFill>
          </w14:textFill>
        </w:rPr>
        <w:t xml:space="preserve">xample of </w:t>
      </w:r>
      <w:r>
        <w:rPr>
          <w:rFonts w:hint="eastAsia"/>
          <w:b/>
          <w:bCs/>
          <w:color w:val="0D0D0D" w:themeColor="text1" w:themeTint="F2"/>
          <w:szCs w:val="21"/>
          <w14:textFill>
            <w14:solidFill>
              <w14:schemeClr w14:val="tx1">
                <w14:lumMod w14:val="95000"/>
                <w14:lumOff w14:val="5000"/>
              </w14:schemeClr>
            </w14:solidFill>
          </w14:textFill>
        </w:rPr>
        <w:t>e</w:t>
      </w:r>
      <w:r>
        <w:rPr>
          <w:b/>
          <w:bCs/>
          <w:color w:val="0D0D0D" w:themeColor="text1" w:themeTint="F2"/>
          <w:szCs w:val="21"/>
          <w14:textFill>
            <w14:solidFill>
              <w14:schemeClr w14:val="tx1">
                <w14:lumMod w14:val="95000"/>
                <w14:lumOff w14:val="5000"/>
              </w14:schemeClr>
            </w14:solidFill>
          </w14:textFill>
        </w:rPr>
        <w:t xml:space="preserve">ed, </w:t>
      </w:r>
      <w:r>
        <w:rPr>
          <w:rFonts w:hint="eastAsia"/>
          <w:b/>
          <w:bCs/>
          <w:color w:val="0D0D0D" w:themeColor="text1" w:themeTint="F2"/>
          <w:szCs w:val="21"/>
          <w14:textFill>
            <w14:solidFill>
              <w14:schemeClr w14:val="tx1">
                <w14:lumMod w14:val="95000"/>
                <w14:lumOff w14:val="5000"/>
              </w14:schemeClr>
            </w14:solidFill>
          </w14:textFill>
        </w:rPr>
        <w:t>y</w:t>
      </w:r>
      <w:r>
        <w:rPr>
          <w:b/>
          <w:bCs/>
          <w:color w:val="0D0D0D" w:themeColor="text1" w:themeTint="F2"/>
          <w:szCs w:val="21"/>
          <w14:textFill>
            <w14:solidFill>
              <w14:schemeClr w14:val="tx1">
                <w14:lumMod w14:val="95000"/>
                <w14:lumOff w14:val="5000"/>
              </w14:schemeClr>
            </w14:solidFill>
          </w14:textFill>
        </w:rPr>
        <w:t xml:space="preserve">ellow, and </w:t>
      </w:r>
      <w:r>
        <w:rPr>
          <w:rFonts w:hint="eastAsia"/>
          <w:b/>
          <w:bCs/>
          <w:color w:val="0D0D0D" w:themeColor="text1" w:themeTint="F2"/>
          <w:szCs w:val="21"/>
          <w14:textFill>
            <w14:solidFill>
              <w14:schemeClr w14:val="tx1">
                <w14:lumMod w14:val="95000"/>
                <w14:lumOff w14:val="5000"/>
              </w14:schemeClr>
            </w14:solidFill>
          </w14:textFill>
        </w:rPr>
        <w:t>g</w:t>
      </w:r>
      <w:r>
        <w:rPr>
          <w:b/>
          <w:bCs/>
          <w:color w:val="0D0D0D" w:themeColor="text1" w:themeTint="F2"/>
          <w:szCs w:val="21"/>
          <w14:textFill>
            <w14:solidFill>
              <w14:schemeClr w14:val="tx1">
                <w14:lumMod w14:val="95000"/>
                <w14:lumOff w14:val="5000"/>
              </w14:schemeClr>
            </w14:solidFill>
          </w14:textFill>
        </w:rPr>
        <w:t xml:space="preserve">reen </w:t>
      </w:r>
      <w:r>
        <w:rPr>
          <w:rFonts w:hint="eastAsia"/>
          <w:b/>
          <w:bCs/>
          <w:color w:val="0D0D0D" w:themeColor="text1" w:themeTint="F2"/>
          <w:szCs w:val="21"/>
          <w14:textFill>
            <w14:solidFill>
              <w14:schemeClr w14:val="tx1">
                <w14:lumMod w14:val="95000"/>
                <w14:lumOff w14:val="5000"/>
              </w14:schemeClr>
            </w14:solidFill>
          </w14:textFill>
        </w:rPr>
        <w:t>c</w:t>
      </w:r>
      <w:r>
        <w:rPr>
          <w:b/>
          <w:bCs/>
          <w:color w:val="0D0D0D" w:themeColor="text1" w:themeTint="F2"/>
          <w:szCs w:val="21"/>
          <w14:textFill>
            <w14:solidFill>
              <w14:schemeClr w14:val="tx1">
                <w14:lumMod w14:val="95000"/>
                <w14:lumOff w14:val="5000"/>
              </w14:schemeClr>
            </w14:solidFill>
          </w14:textFill>
        </w:rPr>
        <w:t xml:space="preserve">hecklist for </w:t>
      </w:r>
      <w:r>
        <w:rPr>
          <w:rFonts w:hint="eastAsia"/>
          <w:b/>
          <w:bCs/>
          <w:color w:val="0D0D0D" w:themeColor="text1" w:themeTint="F2"/>
          <w:szCs w:val="21"/>
          <w14:textFill>
            <w14:solidFill>
              <w14:schemeClr w14:val="tx1">
                <w14:lumMod w14:val="95000"/>
                <w14:lumOff w14:val="5000"/>
              </w14:schemeClr>
            </w14:solidFill>
          </w14:textFill>
        </w:rPr>
        <w:t>s</w:t>
      </w:r>
      <w:r>
        <w:rPr>
          <w:b/>
          <w:bCs/>
          <w:color w:val="0D0D0D" w:themeColor="text1" w:themeTint="F2"/>
          <w:szCs w:val="21"/>
          <w14:textFill>
            <w14:solidFill>
              <w14:schemeClr w14:val="tx1">
                <w14:lumMod w14:val="95000"/>
                <w14:lumOff w14:val="5000"/>
              </w14:schemeClr>
            </w14:solidFill>
          </w14:textFill>
        </w:rPr>
        <w:t xml:space="preserve">afety </w:t>
      </w:r>
      <w:r>
        <w:rPr>
          <w:rFonts w:hint="eastAsia"/>
          <w:b/>
          <w:bCs/>
          <w:color w:val="0D0D0D" w:themeColor="text1" w:themeTint="F2"/>
          <w:szCs w:val="21"/>
          <w14:textFill>
            <w14:solidFill>
              <w14:schemeClr w14:val="tx1">
                <w14:lumMod w14:val="95000"/>
                <w14:lumOff w14:val="5000"/>
              </w14:schemeClr>
            </w14:solidFill>
          </w14:textFill>
        </w:rPr>
        <w:t>d</w:t>
      </w:r>
      <w:r>
        <w:rPr>
          <w:b/>
          <w:bCs/>
          <w:color w:val="0D0D0D" w:themeColor="text1" w:themeTint="F2"/>
          <w:szCs w:val="21"/>
          <w14:textFill>
            <w14:solidFill>
              <w14:schemeClr w14:val="tx1">
                <w14:lumMod w14:val="95000"/>
                <w14:lumOff w14:val="5000"/>
              </w14:schemeClr>
            </w14:solidFill>
          </w14:textFill>
        </w:rPr>
        <w:t>esign</w:t>
      </w:r>
      <w:r>
        <w:rPr>
          <w:rFonts w:hint="eastAsia"/>
          <w:color w:val="0D0D0D" w:themeColor="text1" w:themeTint="F2"/>
          <w:szCs w:val="21"/>
          <w14:textFill>
            <w14:solidFill>
              <w14:schemeClr w14:val="tx1">
                <w14:lumMod w14:val="95000"/>
                <w14:lumOff w14:val="5000"/>
              </w14:schemeClr>
            </w14:solidFill>
          </w14:textFill>
        </w:rPr>
        <w:t>.................</w:t>
      </w:r>
      <w:r>
        <w:rPr>
          <w:rFonts w:hint="eastAsia"/>
          <w:color w:val="0D0D0D" w:themeColor="text1" w:themeTint="F2"/>
          <w:szCs w:val="21"/>
          <w:lang w:val="en-US" w:eastAsia="zh-CN"/>
          <w14:textFill>
            <w14:solidFill>
              <w14:schemeClr w14:val="tx1">
                <w14:lumMod w14:val="95000"/>
                <w14:lumOff w14:val="5000"/>
              </w14:schemeClr>
            </w14:solidFill>
          </w14:textFill>
        </w:rPr>
        <w:t>2</w:t>
      </w:r>
      <w:r>
        <w:rPr>
          <w:color w:val="0D0D0D" w:themeColor="text1" w:themeTint="F2"/>
          <w:szCs w:val="21"/>
          <w14:textFill>
            <w14:solidFill>
              <w14:schemeClr w14:val="tx1">
                <w14:lumMod w14:val="95000"/>
                <w14:lumOff w14:val="5000"/>
              </w14:schemeClr>
            </w14:solidFill>
          </w14:textFill>
        </w:rPr>
        <w:fldChar w:fldCharType="end"/>
      </w:r>
      <w:r>
        <w:rPr>
          <w:rFonts w:hint="eastAsia"/>
          <w:color w:val="0D0D0D" w:themeColor="text1" w:themeTint="F2"/>
          <w:szCs w:val="21"/>
          <w14:textFill>
            <w14:solidFill>
              <w14:schemeClr w14:val="tx1">
                <w14:lumMod w14:val="95000"/>
                <w14:lumOff w14:val="5000"/>
              </w14:schemeClr>
            </w14:solidFill>
          </w14:textFill>
        </w:rPr>
        <w:t>5</w:t>
      </w:r>
    </w:p>
    <w:p w14:paraId="1C4C9ACC">
      <w:pPr>
        <w:pStyle w:val="14"/>
        <w:ind w:left="480" w:leftChars="200" w:right="-360" w:rightChars="-150" w:firstLine="482"/>
        <w:rPr>
          <w:b/>
          <w:bCs/>
          <w:color w:val="0D0D0D" w:themeColor="text1" w:themeTint="F2"/>
          <w14:textFill>
            <w14:solidFill>
              <w14:schemeClr w14:val="tx1">
                <w14:lumMod w14:val="95000"/>
                <w14:lumOff w14:val="5000"/>
              </w14:schemeClr>
            </w14:solidFill>
          </w14:textFill>
        </w:rPr>
      </w:pPr>
      <w:r>
        <w:fldChar w:fldCharType="begin"/>
      </w:r>
      <w:r>
        <w:instrText xml:space="preserve"> HYPERLINK \l "_Toc93527381" </w:instrText>
      </w:r>
      <w:r>
        <w:fldChar w:fldCharType="separate"/>
      </w:r>
      <w:r>
        <w:rPr>
          <w:b/>
          <w:bCs/>
        </w:rPr>
        <w:t xml:space="preserve">Explanation of </w:t>
      </w:r>
      <w:r>
        <w:rPr>
          <w:rFonts w:hint="eastAsia"/>
          <w:b/>
          <w:bCs/>
        </w:rPr>
        <w:t>w</w:t>
      </w:r>
      <w:r>
        <w:rPr>
          <w:b/>
          <w:bCs/>
        </w:rPr>
        <w:t>ording</w:t>
      </w:r>
      <w:r>
        <w:rPr>
          <w:rFonts w:hint="eastAsia"/>
        </w:rPr>
        <w:t>....................................................................................................</w:t>
      </w:r>
      <w:r>
        <w:rPr>
          <w:rFonts w:hint="eastAsia"/>
          <w:color w:val="0D0D0D" w:themeColor="text1" w:themeTint="F2"/>
          <w14:textFill>
            <w14:solidFill>
              <w14:schemeClr w14:val="tx1">
                <w14:lumMod w14:val="95000"/>
                <w14:lumOff w14:val="5000"/>
              </w14:schemeClr>
            </w14:solidFill>
          </w14:textFill>
        </w:rPr>
        <w:t>3</w:t>
      </w:r>
      <w:r>
        <w:rPr>
          <w:rFonts w:hint="eastAsia"/>
          <w:color w:val="0D0D0D" w:themeColor="text1" w:themeTint="F2"/>
          <w14:textFill>
            <w14:solidFill>
              <w14:schemeClr w14:val="tx1">
                <w14:lumMod w14:val="95000"/>
                <w14:lumOff w14:val="5000"/>
              </w14:schemeClr>
            </w14:solidFill>
          </w14:textFill>
        </w:rPr>
        <w:fldChar w:fldCharType="end"/>
      </w:r>
      <w:r>
        <w:rPr>
          <w:rFonts w:hint="eastAsia"/>
          <w:color w:val="0D0D0D" w:themeColor="text1" w:themeTint="F2"/>
          <w14:textFill>
            <w14:solidFill>
              <w14:schemeClr w14:val="tx1">
                <w14:lumMod w14:val="95000"/>
                <w14:lumOff w14:val="5000"/>
              </w14:schemeClr>
            </w14:solidFill>
          </w14:textFill>
        </w:rPr>
        <w:t>6</w:t>
      </w:r>
    </w:p>
    <w:p w14:paraId="41DB3629">
      <w:pPr>
        <w:pStyle w:val="25"/>
        <w:tabs>
          <w:tab w:val="right" w:leader="dot" w:pos="9628"/>
        </w:tabs>
        <w:ind w:left="480" w:firstLine="480"/>
        <w:rPr>
          <w:b/>
          <w:bCs/>
        </w:rPr>
      </w:pPr>
      <w:r>
        <w:fldChar w:fldCharType="begin"/>
      </w:r>
      <w:r>
        <w:instrText xml:space="preserve"> HYPERLINK \l "_Toc93527382" </w:instrText>
      </w:r>
      <w:r>
        <w:fldChar w:fldCharType="separate"/>
      </w:r>
      <w:r>
        <w:rPr>
          <w:b/>
          <w:bCs/>
        </w:rPr>
        <w:t xml:space="preserve">List of </w:t>
      </w:r>
      <w:r>
        <w:rPr>
          <w:rFonts w:hint="eastAsia"/>
          <w:b/>
          <w:bCs/>
        </w:rPr>
        <w:t>quoted</w:t>
      </w:r>
      <w:r>
        <w:rPr>
          <w:b/>
          <w:bCs/>
        </w:rPr>
        <w:t xml:space="preserve"> </w:t>
      </w:r>
      <w:r>
        <w:rPr>
          <w:rFonts w:hint="eastAsia"/>
          <w:b/>
          <w:bCs/>
        </w:rPr>
        <w:t>s</w:t>
      </w:r>
      <w:r>
        <w:rPr>
          <w:b/>
          <w:bCs/>
        </w:rPr>
        <w:t>tandards</w:t>
      </w:r>
      <w:r>
        <w:rPr>
          <w:color w:val="0D0D0D" w:themeColor="text1" w:themeTint="F2"/>
          <w14:textFill>
            <w14:solidFill>
              <w14:schemeClr w14:val="tx1">
                <w14:lumMod w14:val="95000"/>
                <w14:lumOff w14:val="5000"/>
              </w14:schemeClr>
            </w14:solidFill>
          </w14:textFill>
        </w:rPr>
        <w:tab/>
      </w:r>
      <w:r>
        <w:rPr>
          <w:rFonts w:hint="eastAsia"/>
          <w:color w:val="0D0D0D" w:themeColor="text1" w:themeTint="F2"/>
          <w14:textFill>
            <w14:solidFill>
              <w14:schemeClr w14:val="tx1">
                <w14:lumMod w14:val="95000"/>
                <w14:lumOff w14:val="5000"/>
              </w14:schemeClr>
            </w14:solidFill>
          </w14:textFill>
        </w:rPr>
        <w:t>3</w:t>
      </w:r>
      <w:r>
        <w:rPr>
          <w:rFonts w:hint="eastAsia"/>
          <w:color w:val="0D0D0D" w:themeColor="text1" w:themeTint="F2"/>
          <w14:textFill>
            <w14:solidFill>
              <w14:schemeClr w14:val="tx1">
                <w14:lumMod w14:val="95000"/>
                <w14:lumOff w14:val="5000"/>
              </w14:schemeClr>
            </w14:solidFill>
          </w14:textFill>
        </w:rPr>
        <w:fldChar w:fldCharType="end"/>
      </w:r>
      <w:r>
        <w:rPr>
          <w:rFonts w:hint="eastAsia"/>
          <w:color w:val="0D0D0D" w:themeColor="text1" w:themeTint="F2"/>
          <w14:textFill>
            <w14:solidFill>
              <w14:schemeClr w14:val="tx1">
                <w14:lumMod w14:val="95000"/>
                <w14:lumOff w14:val="5000"/>
              </w14:schemeClr>
            </w14:solidFill>
          </w14:textFill>
        </w:rPr>
        <w:t>7</w:t>
      </w:r>
    </w:p>
    <w:p w14:paraId="11B9A9A0">
      <w:pPr>
        <w:pStyle w:val="25"/>
        <w:tabs>
          <w:tab w:val="right" w:leader="dot" w:pos="9628"/>
        </w:tabs>
        <w:ind w:left="480" w:firstLine="482"/>
        <w:rPr>
          <w:b/>
          <w:bCs/>
          <w:color w:val="0D0D0D" w:themeColor="text1" w:themeTint="F2"/>
          <w14:textFill>
            <w14:solidFill>
              <w14:schemeClr w14:val="tx1">
                <w14:lumMod w14:val="95000"/>
                <w14:lumOff w14:val="5000"/>
              </w14:schemeClr>
            </w14:solidFill>
          </w14:textFill>
        </w:rPr>
      </w:pPr>
      <w:r>
        <w:rPr>
          <w:rFonts w:hint="eastAsia"/>
          <w:b/>
          <w:bCs/>
        </w:rPr>
        <w:t xml:space="preserve">Addition: </w:t>
      </w:r>
      <w:r>
        <w:fldChar w:fldCharType="begin"/>
      </w:r>
      <w:r>
        <w:instrText xml:space="preserve"> HYPERLINK \l "_Toc93527382" </w:instrText>
      </w:r>
      <w:r>
        <w:fldChar w:fldCharType="separate"/>
      </w:r>
      <w:r>
        <w:rPr>
          <w:rFonts w:hint="eastAsia"/>
          <w:b/>
          <w:bCs/>
        </w:rPr>
        <w:t>e</w:t>
      </w:r>
      <w:r>
        <w:rPr>
          <w:b/>
          <w:bCs/>
        </w:rPr>
        <w:t xml:space="preserve">xplanation of </w:t>
      </w:r>
      <w:r>
        <w:rPr>
          <w:rFonts w:hint="eastAsia"/>
          <w:b/>
          <w:bCs/>
        </w:rPr>
        <w:t>p</w:t>
      </w:r>
      <w:r>
        <w:rPr>
          <w:b/>
          <w:bCs/>
        </w:rPr>
        <w:t>r</w:t>
      </w:r>
      <w:r>
        <w:rPr>
          <w:rFonts w:hint="eastAsia"/>
          <w:b/>
          <w:bCs/>
        </w:rPr>
        <w:t>ov</w:t>
      </w:r>
      <w:r>
        <w:rPr>
          <w:b/>
          <w:bCs/>
        </w:rPr>
        <w:t>i</w:t>
      </w:r>
      <w:r>
        <w:rPr>
          <w:rFonts w:hint="eastAsia"/>
          <w:b/>
          <w:bCs/>
        </w:rPr>
        <w:t>s</w:t>
      </w:r>
      <w:r>
        <w:rPr>
          <w:b/>
          <w:bCs/>
        </w:rPr>
        <w:t>ions</w:t>
      </w:r>
      <w:r>
        <w:rPr>
          <w:color w:val="0D0D0D" w:themeColor="text1" w:themeTint="F2"/>
          <w14:textFill>
            <w14:solidFill>
              <w14:schemeClr w14:val="tx1">
                <w14:lumMod w14:val="95000"/>
                <w14:lumOff w14:val="5000"/>
              </w14:schemeClr>
            </w14:solidFill>
          </w14:textFill>
        </w:rPr>
        <w:tab/>
      </w:r>
      <w:r>
        <w:rPr>
          <w:rFonts w:hint="eastAsia"/>
          <w:color w:val="0D0D0D" w:themeColor="text1" w:themeTint="F2"/>
          <w14:textFill>
            <w14:solidFill>
              <w14:schemeClr w14:val="tx1">
                <w14:lumMod w14:val="95000"/>
                <w14:lumOff w14:val="5000"/>
              </w14:schemeClr>
            </w14:solidFill>
          </w14:textFill>
        </w:rPr>
        <w:t>3</w:t>
      </w:r>
      <w:r>
        <w:rPr>
          <w:rFonts w:hint="eastAsia"/>
          <w:color w:val="0D0D0D" w:themeColor="text1" w:themeTint="F2"/>
          <w14:textFill>
            <w14:solidFill>
              <w14:schemeClr w14:val="tx1">
                <w14:lumMod w14:val="95000"/>
                <w14:lumOff w14:val="5000"/>
              </w14:schemeClr>
            </w14:solidFill>
          </w14:textFill>
        </w:rPr>
        <w:fldChar w:fldCharType="end"/>
      </w:r>
      <w:r>
        <w:rPr>
          <w:rFonts w:hint="eastAsia"/>
          <w:color w:val="0D0D0D" w:themeColor="text1" w:themeTint="F2"/>
          <w14:textFill>
            <w14:solidFill>
              <w14:schemeClr w14:val="tx1">
                <w14:lumMod w14:val="95000"/>
                <w14:lumOff w14:val="5000"/>
              </w14:schemeClr>
            </w14:solidFill>
          </w14:textFill>
        </w:rPr>
        <w:t>8</w:t>
      </w:r>
    </w:p>
    <w:p w14:paraId="1AAD13BA">
      <w:pPr>
        <w:pStyle w:val="127"/>
        <w:rPr>
          <w:rFonts w:hint="default"/>
        </w:rPr>
        <w:sectPr>
          <w:footerReference r:id="rId11" w:type="default"/>
          <w:pgSz w:w="11906" w:h="16838"/>
          <w:pgMar w:top="1418" w:right="1134" w:bottom="1134" w:left="1418" w:header="851" w:footer="992" w:gutter="0"/>
          <w:cols w:space="425" w:num="1"/>
          <w:docGrid w:linePitch="312" w:charSpace="0"/>
        </w:sectPr>
      </w:pPr>
      <w:bookmarkStart w:id="9" w:name="_Toc19565"/>
      <w:bookmarkStart w:id="10" w:name="_Toc213254723"/>
    </w:p>
    <w:p w14:paraId="7CDA8DAD">
      <w:pPr>
        <w:pStyle w:val="127"/>
        <w:rPr>
          <w:rFonts w:hint="default"/>
        </w:rPr>
      </w:pPr>
      <w:r>
        <w:t>1</w:t>
      </w:r>
      <w:bookmarkStart w:id="11" w:name="_Toc198719418"/>
      <w:r>
        <w:t xml:space="preserve"> 总 则</w:t>
      </w:r>
      <w:bookmarkEnd w:id="5"/>
      <w:bookmarkEnd w:id="6"/>
      <w:bookmarkEnd w:id="7"/>
      <w:bookmarkEnd w:id="8"/>
      <w:bookmarkEnd w:id="9"/>
      <w:bookmarkEnd w:id="10"/>
      <w:bookmarkEnd w:id="11"/>
    </w:p>
    <w:p w14:paraId="677A0E25">
      <w:pPr>
        <w:pStyle w:val="82"/>
        <w:numPr>
          <w:ilvl w:val="0"/>
          <w:numId w:val="6"/>
        </w:numPr>
        <w:rPr>
          <w:rFonts w:ascii="Times New Roman" w:hAnsi="Times New Roman"/>
          <w:color w:val="000000" w:themeColor="text1"/>
          <w:szCs w:val="24"/>
          <w14:textFill>
            <w14:solidFill>
              <w14:schemeClr w14:val="tx1"/>
            </w14:solidFill>
          </w14:textFill>
        </w:rPr>
      </w:pPr>
      <w:r>
        <w:rPr>
          <w:rFonts w:hint="eastAsia" w:ascii="Times New Roman" w:hAnsi="Times New Roman"/>
          <w:color w:val="000000" w:themeColor="text1"/>
          <w:szCs w:val="24"/>
          <w14:textFill>
            <w14:solidFill>
              <w14:schemeClr w14:val="tx1"/>
            </w14:solidFill>
          </w14:textFill>
        </w:rPr>
        <w:t>为了在建筑设计中考虑施工和运行阶段人员的安全，做到技术先进、经济合理、安全适用，制定本标准。</w:t>
      </w:r>
    </w:p>
    <w:p w14:paraId="507D9BA6">
      <w:r>
        <w:rPr>
          <w:rFonts w:hint="eastAsia"/>
        </w:rPr>
        <w:t>【条文说明】当前，国内对建筑工程的安全关注更多的是施工阶段，对设计阶段中施工和使用安全的关注较少。然而，设计是工程建设的灵魂，工程的主要安全特性已由设计文件确定，工程项目的建设必须按照设计要求施工，一旦出现安全设计问题, 则难以纠正或将出现难以预料的事故。工程安全设计问题具有潜伏期长、事故出现突然和生命财产损失巨大的特点，设计阶段的不安全因素决定了施工和运营阶段潜在的危害和安全隐患。</w:t>
      </w:r>
    </w:p>
    <w:p w14:paraId="7DC912F5">
      <w:pPr>
        <w:ind w:firstLine="420"/>
      </w:pPr>
      <w:r>
        <w:rPr>
          <w:rFonts w:hint="eastAsia"/>
        </w:rPr>
        <w:t>本条阐明了制定本标准的目的和基本原则。传统的建筑设计标准多侧重于建筑建成后的使用安全（如防火疏散、结构安全），而对施工阶段的安全考虑相对不足。本标准强调在设计源头考虑建筑在全寿命期内（特别是施工、维护阶段）可能对人员造成的安全与健康风险，通过采取合理的设计措施，从根源上消除或减少危险源，实现“本质安全”。这不仅有助于降低安全事故发生率，也能在全寿命周期内取得更好的经济效益。</w:t>
      </w:r>
    </w:p>
    <w:p w14:paraId="25E9312C">
      <w:pPr>
        <w:ind w:firstLine="480" w:firstLineChars="200"/>
      </w:pPr>
      <w:r>
        <w:rPr>
          <w:rFonts w:hint="eastAsia"/>
        </w:rPr>
        <w:t>我国当前建筑安全相关的法规标准与安全设计的重要性尚不匹配，涉及安全设计的内容只在国家政策层面有所体现，而尚无专门针对设计阶段安全风险预防与处置措施的具体标准可供参考。因此，有必要开展建筑设计阶段安全防控的措施、方法和途径，规范建筑设计阶段的安全工作，有效降低工程建设过程及后期运营过程中的各类风险。</w:t>
      </w:r>
    </w:p>
    <w:p w14:paraId="7E103BAC">
      <w:pPr>
        <w:pStyle w:val="82"/>
        <w:numPr>
          <w:ilvl w:val="0"/>
          <w:numId w:val="6"/>
        </w:numPr>
        <w:rPr>
          <w:rFonts w:ascii="Times New Roman" w:hAnsi="Times New Roman"/>
          <w:color w:val="000000" w:themeColor="text1"/>
          <w:szCs w:val="24"/>
          <w14:textFill>
            <w14:solidFill>
              <w14:schemeClr w14:val="tx1"/>
            </w14:solidFill>
          </w14:textFill>
        </w:rPr>
      </w:pPr>
      <w:r>
        <w:rPr>
          <w:rFonts w:hint="eastAsia" w:ascii="Times New Roman" w:hAnsi="Times New Roman"/>
          <w:color w:val="000000" w:themeColor="text1"/>
          <w:szCs w:val="24"/>
          <w14:textFill>
            <w14:solidFill>
              <w14:schemeClr w14:val="tx1"/>
            </w14:solidFill>
          </w14:textFill>
        </w:rPr>
        <w:t>本标准适用于对民用建筑施工和使用人员进行的安全防护设计。</w:t>
      </w:r>
    </w:p>
    <w:p w14:paraId="4FCE3BC1">
      <w:r>
        <w:rPr>
          <w:rFonts w:hint="eastAsia"/>
        </w:rPr>
        <w:t>【条文说明】本标准主要适用于各类民用建筑，包括居住建筑、公共建筑等。工业建筑因工艺复杂、危险源特殊，其安全设计通常需遵循更具针对性的行业标准，但本标准中的基本原则和部分通用性条款（如疏散、维护设计等）亦可参考使用。</w:t>
      </w:r>
    </w:p>
    <w:p w14:paraId="35D74823">
      <w:r>
        <w:tab/>
      </w:r>
      <w:r>
        <w:rPr>
          <w:rFonts w:hint="eastAsia"/>
        </w:rPr>
        <w:t>建筑中人员安全防护设计是建筑安全设计目标的一部分，建筑安全不限于结构安全、还包含消防安全、电器安全和电梯安全等，建筑设计所考虑的美学、成本和功能等内容不在本标准内，但满足相应设计和安全要求时不应损害建筑全寿命周期内建筑中人员的健康和安全。</w:t>
      </w:r>
    </w:p>
    <w:p w14:paraId="1EF72535">
      <w:pPr>
        <w:pStyle w:val="82"/>
        <w:numPr>
          <w:ilvl w:val="0"/>
          <w:numId w:val="6"/>
        </w:numPr>
        <w:rPr>
          <w:rFonts w:ascii="Times New Roman" w:hAnsi="Times New Roman"/>
          <w:color w:val="000000" w:themeColor="text1"/>
          <w:szCs w:val="24"/>
          <w14:textFill>
            <w14:solidFill>
              <w14:schemeClr w14:val="tx1"/>
            </w14:solidFill>
          </w14:textFill>
        </w:rPr>
      </w:pPr>
      <w:r>
        <w:rPr>
          <w:rFonts w:hint="eastAsia" w:ascii="Times New Roman" w:hAnsi="Times New Roman"/>
          <w:color w:val="000000" w:themeColor="text1"/>
          <w:szCs w:val="24"/>
          <w14:textFill>
            <w14:solidFill>
              <w14:schemeClr w14:val="tx1"/>
            </w14:solidFill>
          </w14:textFill>
        </w:rPr>
        <w:t>人员安全防护设计，除应符合本标准</w:t>
      </w:r>
      <w:r>
        <w:rPr>
          <w:rFonts w:hint="eastAsia" w:ascii="Times New Roman" w:hAnsi="Times New Roman"/>
          <w:color w:val="000000" w:themeColor="text1"/>
          <w:szCs w:val="24"/>
          <w:lang w:val="en-US"/>
          <w14:textFill>
            <w14:solidFill>
              <w14:schemeClr w14:val="tx1"/>
            </w14:solidFill>
          </w14:textFill>
        </w:rPr>
        <w:t>规定</w:t>
      </w:r>
      <w:r>
        <w:rPr>
          <w:rFonts w:hint="eastAsia" w:ascii="Times New Roman" w:hAnsi="Times New Roman"/>
          <w:color w:val="000000" w:themeColor="text1"/>
          <w:szCs w:val="24"/>
          <w14:textFill>
            <w14:solidFill>
              <w14:schemeClr w14:val="tx1"/>
            </w14:solidFill>
          </w14:textFill>
        </w:rPr>
        <w:t>外，尚应符合国家现行有关标准</w:t>
      </w:r>
      <w:r>
        <w:rPr>
          <w:rFonts w:hint="eastAsia" w:ascii="Times New Roman" w:hAnsi="Times New Roman"/>
          <w:color w:val="000000" w:themeColor="text1"/>
          <w:szCs w:val="24"/>
          <w:lang w:val="en-US"/>
          <w14:textFill>
            <w14:solidFill>
              <w14:schemeClr w14:val="tx1"/>
            </w14:solidFill>
          </w14:textFill>
        </w:rPr>
        <w:t>和现行中国工程建设标准化协会有关标准</w:t>
      </w:r>
      <w:r>
        <w:rPr>
          <w:rFonts w:hint="eastAsia" w:ascii="Times New Roman" w:hAnsi="Times New Roman"/>
          <w:color w:val="000000" w:themeColor="text1"/>
          <w:szCs w:val="24"/>
          <w14:textFill>
            <w14:solidFill>
              <w14:schemeClr w14:val="tx1"/>
            </w14:solidFill>
          </w14:textFill>
        </w:rPr>
        <w:t>的规定。</w:t>
      </w:r>
    </w:p>
    <w:p w14:paraId="0A5B2877">
      <w:pPr>
        <w:pStyle w:val="82"/>
        <w:ind w:firstLine="0"/>
        <w:rPr>
          <w:rFonts w:ascii="Times New Roman" w:hAnsi="Times New Roman"/>
          <w:color w:val="000000" w:themeColor="text1"/>
          <w14:textFill>
            <w14:solidFill>
              <w14:schemeClr w14:val="tx1"/>
            </w14:solidFill>
          </w14:textFill>
        </w:rPr>
      </w:pPr>
      <w:r>
        <w:rPr>
          <w:rFonts w:hint="eastAsia" w:ascii="Times New Roman" w:hAnsi="Times New Roman"/>
        </w:rPr>
        <w:t>【条文说明】安全设计是一个系统工程，需与《民用建筑通用规范》GB 55031、《建筑结构荷载规范》GB 50009、《建筑设计防火规范》GB 50016、《民用建筑设计统一标准》GB 50352等国家现行有关标准协调一致、配套使用。当其他标准有更高要求时，应遵循其规定。</w:t>
      </w:r>
    </w:p>
    <w:p w14:paraId="662C1846">
      <w:pPr>
        <w:ind w:firstLine="480"/>
      </w:pPr>
      <w:r>
        <w:br w:type="page"/>
      </w:r>
      <w:bookmarkStart w:id="12" w:name="_Toc3965570"/>
      <w:bookmarkStart w:id="13" w:name="_Toc10493956"/>
      <w:bookmarkStart w:id="14" w:name="_Toc24788665"/>
      <w:bookmarkStart w:id="15" w:name="_Toc10579204"/>
    </w:p>
    <w:p w14:paraId="44AC145D">
      <w:pPr>
        <w:pStyle w:val="127"/>
        <w:rPr>
          <w:rFonts w:hint="default"/>
        </w:rPr>
      </w:pPr>
      <w:bookmarkStart w:id="16" w:name="_Toc94038760"/>
      <w:bookmarkStart w:id="17" w:name="_Toc213254724"/>
      <w:bookmarkStart w:id="18" w:name="_Toc6719"/>
      <w:r>
        <w:t>2 术语</w:t>
      </w:r>
      <w:bookmarkEnd w:id="12"/>
      <w:bookmarkEnd w:id="13"/>
      <w:bookmarkEnd w:id="14"/>
      <w:bookmarkEnd w:id="15"/>
      <w:bookmarkEnd w:id="16"/>
      <w:bookmarkEnd w:id="17"/>
      <w:bookmarkEnd w:id="18"/>
    </w:p>
    <w:p w14:paraId="189612F2">
      <w:pPr>
        <w:pStyle w:val="82"/>
        <w:numPr>
          <w:ilvl w:val="0"/>
          <w:numId w:val="7"/>
        </w:numPr>
        <w:ind w:left="567" w:hanging="567"/>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人员安全</w:t>
      </w:r>
      <w:r>
        <w:rPr>
          <w:rFonts w:ascii="Times New Roman" w:hAnsi="Times New Roman"/>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safety</w:t>
      </w:r>
      <w:r>
        <w:rPr>
          <w:rFonts w:ascii="Times New Roman" w:hAnsi="Times New Roman"/>
          <w:color w:val="000000" w:themeColor="text1"/>
          <w14:textFill>
            <w14:solidFill>
              <w14:schemeClr w14:val="tx1"/>
            </w14:solidFill>
          </w14:textFill>
        </w:rPr>
        <w:t xml:space="preserve"> for persion</w:t>
      </w:r>
    </w:p>
    <w:p w14:paraId="50619B9D">
      <w:pPr>
        <w:ind w:firstLine="480"/>
      </w:pPr>
      <w:r>
        <w:rPr>
          <w:rFonts w:hint="eastAsia"/>
        </w:rPr>
        <w:t>建筑施工和使用期间，建筑施工、维护或在建筑内生活的人员的安全和健康。</w:t>
      </w:r>
    </w:p>
    <w:p w14:paraId="4B9BBDBC">
      <w:r>
        <w:rPr>
          <w:rFonts w:hint="eastAsia"/>
        </w:rPr>
        <w:t>【条文说明】扩展了传统“使用者”的概念，明确包含了施工、维护等工作人员，并涵盖了健康危害（如化学物质暴露、职业病）。</w:t>
      </w:r>
    </w:p>
    <w:p w14:paraId="30CABE1F">
      <w:pPr>
        <w:pStyle w:val="62"/>
        <w:spacing w:line="360" w:lineRule="auto"/>
      </w:pPr>
      <w:r>
        <w:rPr>
          <w:rFonts w:hint="eastAsia"/>
        </w:rPr>
        <w:t>人员安全防护设计design for safety</w:t>
      </w:r>
    </w:p>
    <w:p w14:paraId="6CEC8985">
      <w:pPr>
        <w:ind w:firstLine="480"/>
      </w:pPr>
      <w:r>
        <w:rPr>
          <w:rFonts w:hint="eastAsia"/>
        </w:rPr>
        <w:t>设计时考虑建筑施工和使用人员安全所采取的合理防护设计。</w:t>
      </w:r>
    </w:p>
    <w:p w14:paraId="4964A07D">
      <w:r>
        <w:rPr>
          <w:rFonts w:hint="eastAsia"/>
        </w:rPr>
        <w:t>【条文说明】核心是</w:t>
      </w:r>
      <w:r>
        <w:t>“</w:t>
      </w:r>
      <w:r>
        <w:rPr>
          <w:rFonts w:hint="eastAsia"/>
        </w:rPr>
        <w:t>设计干预</w:t>
      </w:r>
      <w:r>
        <w:t>”</w:t>
      </w:r>
      <w:r>
        <w:rPr>
          <w:rFonts w:hint="eastAsia"/>
        </w:rPr>
        <w:t xml:space="preserve">，强调通过主动的设计手段，而非仅依靠后期的管理或防护装备，来前置性地解决安全问题。安全防护设计将始终是更广泛的设计目标的一部分，包括实用性，美学，成本和功能，在不损害建筑施工与使用者健康与安全的基础上，综合平衡各种目标之间的关系。从概念设计阶段开始，在以下关键环节发挥作用： </w:t>
      </w:r>
    </w:p>
    <w:p w14:paraId="346DA7EA">
      <w:pPr>
        <w:ind w:firstLine="480"/>
      </w:pPr>
      <w:r>
        <w:rPr>
          <w:rFonts w:hint="eastAsia"/>
        </w:rPr>
        <w:t>1）设计及其预期目标；</w:t>
      </w:r>
    </w:p>
    <w:p w14:paraId="6DCF80F0">
      <w:pPr>
        <w:ind w:firstLine="480"/>
      </w:pPr>
      <w:r>
        <w:rPr>
          <w:rFonts w:hint="eastAsia"/>
        </w:rPr>
        <w:t>2）材料的使用；</w:t>
      </w:r>
    </w:p>
    <w:p w14:paraId="4C927B96">
      <w:pPr>
        <w:ind w:firstLine="480"/>
      </w:pPr>
      <w:r>
        <w:rPr>
          <w:rFonts w:hint="eastAsia"/>
        </w:rPr>
        <w:t>3）可采用的建筑施工、维修、运营、操作和拆除和拆毁、以及清除的工艺与方法；</w:t>
      </w:r>
    </w:p>
    <w:p w14:paraId="2A9C01D6">
      <w:pPr>
        <w:ind w:firstLine="480"/>
      </w:pPr>
      <w:r>
        <w:rPr>
          <w:rFonts w:hint="eastAsia"/>
        </w:rPr>
        <w:t>4）需要符合的法律法规、设计准则和标准。</w:t>
      </w:r>
    </w:p>
    <w:p w14:paraId="3DFF2823">
      <w:pPr>
        <w:pStyle w:val="62"/>
        <w:spacing w:line="360" w:lineRule="auto"/>
      </w:pPr>
      <w:r>
        <w:rPr>
          <w:rFonts w:hint="eastAsia"/>
        </w:rPr>
        <w:t>能量隔离点e</w:t>
      </w:r>
      <w:r>
        <w:t>nergy isolation point</w:t>
      </w:r>
      <w:r>
        <w:rPr>
          <w:rFonts w:hint="eastAsia"/>
        </w:rPr>
        <w:t xml:space="preserve"> </w:t>
      </w:r>
    </w:p>
    <w:p w14:paraId="00B3A5CE">
      <w:pPr>
        <w:ind w:firstLine="480"/>
      </w:pPr>
      <w:r>
        <w:rPr>
          <w:rFonts w:hint="eastAsia"/>
        </w:rPr>
        <w:t>为了控制危险能量，在能量源与设备或系统之间设置的、能够可靠中断能量传递或储存的物理装置或位置。能量隔离包括三个主要方面：电气隔离 、盲板隔离 、机械隔离。</w:t>
      </w:r>
    </w:p>
    <w:p w14:paraId="06EC7035">
      <w:r>
        <w:rPr>
          <w:rFonts w:hint="eastAsia"/>
        </w:rPr>
        <w:t>【条文说明】能量隔离点是一个物理上的“断点”，通过这个点，可以将危险的设备与所有能量来源（如电、流体、机械能等）彻底、安全地隔离开来，从而为人员进行维修、清洁、调试等作业提供一个安全的工作环境。</w:t>
      </w:r>
    </w:p>
    <w:p w14:paraId="379966B7">
      <w:pPr>
        <w:pStyle w:val="62"/>
        <w:numPr>
          <w:ilvl w:val="0"/>
          <w:numId w:val="7"/>
        </w:numPr>
        <w:ind w:firstLine="480"/>
      </w:pPr>
      <w:r>
        <w:br w:type="page"/>
      </w:r>
    </w:p>
    <w:p w14:paraId="13064812">
      <w:pPr>
        <w:pStyle w:val="127"/>
        <w:rPr>
          <w:rFonts w:hint="default"/>
        </w:rPr>
      </w:pPr>
      <w:bookmarkStart w:id="19" w:name="_Toc10579205"/>
      <w:bookmarkStart w:id="20" w:name="_Toc24788666"/>
      <w:bookmarkStart w:id="21" w:name="_Toc3965572"/>
      <w:bookmarkStart w:id="22" w:name="_Toc10493957"/>
      <w:bookmarkStart w:id="23" w:name="_Toc94038761"/>
      <w:bookmarkStart w:id="24" w:name="_Toc8274"/>
      <w:bookmarkStart w:id="25" w:name="_Toc213254725"/>
      <w:r>
        <w:t xml:space="preserve">3  </w:t>
      </w:r>
      <w:bookmarkEnd w:id="19"/>
      <w:bookmarkEnd w:id="20"/>
      <w:bookmarkEnd w:id="21"/>
      <w:bookmarkEnd w:id="22"/>
      <w:r>
        <w:t>基本规定</w:t>
      </w:r>
      <w:bookmarkEnd w:id="23"/>
      <w:bookmarkEnd w:id="24"/>
      <w:bookmarkEnd w:id="25"/>
    </w:p>
    <w:p w14:paraId="7307A491">
      <w:pPr>
        <w:pStyle w:val="129"/>
      </w:pPr>
      <w:bookmarkStart w:id="26" w:name="_Hlk94026748"/>
      <w:r>
        <w:rPr>
          <w:rFonts w:hint="eastAsia"/>
        </w:rPr>
        <w:t>人员安全防护设计应根据建筑的特点和用途，以及建筑的施工、运营和周围环境等因素，采取差异化、针对性的防护措施。</w:t>
      </w:r>
    </w:p>
    <w:p w14:paraId="07413A34">
      <w:r>
        <w:rPr>
          <w:rFonts w:hint="eastAsia"/>
        </w:rPr>
        <w:t>【条文说明】本条提出了建筑人员安全防护设计的基本要求。</w:t>
      </w:r>
      <w:r>
        <w:rPr>
          <w:rFonts w:ascii="宋体" w:hAnsi="宋体" w:cs="宋体"/>
          <w:kern w:val="0"/>
          <w:lang w:bidi="ar"/>
        </w:rPr>
        <w:t>建筑设计是贯穿全寿命周期的动态过程。</w:t>
      </w:r>
      <w:r>
        <w:rPr>
          <w:rFonts w:hint="eastAsia"/>
        </w:rPr>
        <w:t>设计人员需动态考虑建筑在施工、运营过程中，不同人群（施工人员、维护人员、使用者）在不同场景下可能面临的安全风险。这些风险与建筑的类型（如医院、学校、住宅）、用途、施工方法、运营模式及周边环境（如临近电力线路、交通要道）密切相关。</w:t>
      </w:r>
    </w:p>
    <w:p w14:paraId="1D65E1AF">
      <w:pPr>
        <w:pStyle w:val="129"/>
      </w:pPr>
      <w:r>
        <w:rPr>
          <w:rFonts w:hint="eastAsia"/>
        </w:rPr>
        <w:t>设计过程中应对人员安全防护进行分析，应明确对控制已识别风险所需的资源和应采取的措施。</w:t>
      </w:r>
    </w:p>
    <w:p w14:paraId="688FC087">
      <w:r>
        <w:rPr>
          <w:rFonts w:hint="eastAsia"/>
        </w:rPr>
        <w:t>【条文说明】本条要求设计人员不能仅凭经验，而需进行系统化的安全分析。此过程类似于结构、消防等专项分析，旨在客观评估已识别风险，并明确控制这些风险所需的设计资源（如预留空间、预算）和具体技术措施（如选用特定材料、构造），使用风险管理的方法将潜在的危害消除或控制在源头。</w:t>
      </w:r>
    </w:p>
    <w:p w14:paraId="745DDA84">
      <w:pPr>
        <w:pStyle w:val="129"/>
      </w:pPr>
      <w:r>
        <w:rPr>
          <w:rFonts w:hint="eastAsia"/>
        </w:rPr>
        <w:t>人员安全防护设计应贯穿于方案设计、初步设计和施工图设计等阶段的设计文件中，并应符合下列规定：</w:t>
      </w:r>
    </w:p>
    <w:p w14:paraId="4F94F07D">
      <w:pPr>
        <w:ind w:firstLine="480" w:firstLineChars="200"/>
        <w:rPr>
          <w:color w:val="000000" w:themeColor="text1"/>
          <w:kern w:val="0"/>
          <w:szCs w:val="20"/>
          <w14:textFill>
            <w14:solidFill>
              <w14:schemeClr w14:val="tx1"/>
            </w14:solidFill>
          </w14:textFill>
        </w:rPr>
      </w:pPr>
      <w:r>
        <w:rPr>
          <w:rFonts w:hint="eastAsia"/>
          <w:color w:val="000000" w:themeColor="text1"/>
          <w:kern w:val="0"/>
          <w:szCs w:val="20"/>
          <w14:textFill>
            <w14:solidFill>
              <w14:schemeClr w14:val="tx1"/>
            </w14:solidFill>
          </w14:textFill>
        </w:rPr>
        <w:t>1 在施工招投标阶段，设计人员应参与业主组织的投标评估活动，评估投标单位对招标文件中“人员安全防护设计”的回应；</w:t>
      </w:r>
    </w:p>
    <w:p w14:paraId="1FDAD30A">
      <w:pPr>
        <w:ind w:firstLine="420"/>
      </w:pPr>
      <w:r>
        <w:rPr>
          <w:rFonts w:hint="eastAsia"/>
        </w:rPr>
        <w:t>2 在施工阶段，设计人员应考虑设计变更可能产生的对项目全寿命周期内建筑中人员安全防护的风险。</w:t>
      </w:r>
    </w:p>
    <w:p w14:paraId="28DEE221">
      <w:pPr>
        <w:rPr>
          <w:lang w:val="sq-AL"/>
        </w:rPr>
      </w:pPr>
      <w:r>
        <w:rPr>
          <w:rFonts w:hint="eastAsia"/>
          <w:color w:val="000000" w:themeColor="text1"/>
          <w14:textFill>
            <w14:solidFill>
              <w14:schemeClr w14:val="tx1"/>
            </w14:solidFill>
          </w14:textFill>
        </w:rPr>
        <w:t>【条文说明】</w:t>
      </w:r>
      <w:r>
        <w:rPr>
          <w:rFonts w:hint="eastAsia"/>
        </w:rPr>
        <w:t>本条明确了安全防护设计要贯穿于建筑设计的所有阶段，并在各阶段设计文件中均有体现。</w:t>
      </w:r>
      <w:r>
        <w:rPr>
          <w:rFonts w:hint="eastAsia"/>
          <w:color w:val="000000" w:themeColor="text1"/>
          <w:szCs w:val="21"/>
          <w14:textFill>
            <w14:solidFill>
              <w14:schemeClr w14:val="tx1"/>
            </w14:solidFill>
          </w14:textFill>
        </w:rPr>
        <w:t>为确保在初步设计阶段能识别建筑中人员安全防护涉及的风险。</w:t>
      </w:r>
      <w:r>
        <w:rPr>
          <w:rFonts w:hint="eastAsia"/>
          <w:lang w:val="sq-AL"/>
        </w:rPr>
        <w:t>建筑中人员安全防护设计不仅存在于建筑的方案设计阶段、初步设计阶段和施工图设计阶段，而</w:t>
      </w:r>
      <w:r>
        <w:rPr>
          <w:rFonts w:hint="eastAsia"/>
        </w:rPr>
        <w:t>是要</w:t>
      </w:r>
      <w:r>
        <w:rPr>
          <w:rFonts w:hint="eastAsia"/>
          <w:lang w:val="sq-AL"/>
        </w:rPr>
        <w:t>贯穿于建筑项目全寿命周期，建筑中人员安全防护设计本质上是立足于设计阶段的建筑全过程咨询。建筑设计</w:t>
      </w:r>
      <w:r>
        <w:rPr>
          <w:rFonts w:hint="eastAsia"/>
        </w:rPr>
        <w:t>各阶段</w:t>
      </w:r>
      <w:r>
        <w:rPr>
          <w:rFonts w:hint="eastAsia"/>
          <w:lang w:val="sq-AL"/>
        </w:rPr>
        <w:t>人员安全防护采取的措施及成果见图1。</w:t>
      </w:r>
    </w:p>
    <w:p w14:paraId="0995C802">
      <w:pPr>
        <w:spacing w:after="240" w:afterLines="100"/>
      </w:pPr>
      <w:r>
        <w:drawing>
          <wp:inline distT="0" distB="0" distL="0" distR="0">
            <wp:extent cx="5939790" cy="2961640"/>
            <wp:effectExtent l="0" t="0" r="3810" b="0"/>
            <wp:docPr id="119406073" name="图片 1" descr="图表, 树状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06073" name="图片 1" descr="图表, 树状图&#10;&#10;AI 生成的内容可能不正确。"/>
                    <pic:cNvPicPr>
                      <a:picLocks noChangeAspect="1"/>
                    </pic:cNvPicPr>
                  </pic:nvPicPr>
                  <pic:blipFill>
                    <a:blip r:embed="rId21"/>
                    <a:stretch>
                      <a:fillRect/>
                    </a:stretch>
                  </pic:blipFill>
                  <pic:spPr>
                    <a:xfrm>
                      <a:off x="0" y="0"/>
                      <a:ext cx="5939790" cy="2961640"/>
                    </a:xfrm>
                    <a:prstGeom prst="rect">
                      <a:avLst/>
                    </a:prstGeom>
                  </pic:spPr>
                </pic:pic>
              </a:graphicData>
            </a:graphic>
          </wp:inline>
        </w:drawing>
      </w:r>
    </w:p>
    <w:p w14:paraId="5226BB29">
      <w:pPr>
        <w:spacing w:after="240" w:afterLines="100"/>
        <w:jc w:val="center"/>
      </w:pPr>
      <w:r>
        <w:rPr>
          <w:rFonts w:hint="eastAsia"/>
        </w:rPr>
        <w:t>图1 设计各阶段安全防护措施及成果</w:t>
      </w:r>
    </w:p>
    <w:p w14:paraId="069D3FA4">
      <w:pPr>
        <w:pStyle w:val="129"/>
      </w:pPr>
      <w:r>
        <w:rPr>
          <w:rFonts w:hint="eastAsia"/>
        </w:rPr>
        <w:t>方案设计阶段应完成施工和运行阶段建筑中人员安全防护设计工作所需各类信息的收集，包括项目所属行业的风险概况和统计数据、建筑场地的环境背景数据。应确定安全策略和重大方案。</w:t>
      </w:r>
    </w:p>
    <w:p w14:paraId="2C49D5E5">
      <w:pPr>
        <w:pStyle w:val="129"/>
      </w:pPr>
      <w:r>
        <w:rPr>
          <w:rFonts w:hint="eastAsia"/>
        </w:rPr>
        <w:t>初步设计阶段应系统性地识别风险并制定设计措施，应组织召开人员安全防护设计讨论会，识别建筑各阶段存在对建筑中人员的潜在风险以及处置这些风险所需的措施，详见附录A。</w:t>
      </w:r>
    </w:p>
    <w:p w14:paraId="279F8AD5">
      <w:pPr>
        <w:pStyle w:val="129"/>
      </w:pPr>
      <w:r>
        <w:rPr>
          <w:rFonts w:hint="eastAsia"/>
        </w:rPr>
        <w:t>施工图设计阶段，应对设计中提出的人员安全防护设计方案进行深化、细化和优化</w:t>
      </w:r>
      <w:bookmarkStart w:id="27" w:name="_Hlk214552687"/>
      <w:r>
        <w:rPr>
          <w:rFonts w:hint="eastAsia"/>
        </w:rPr>
        <w:t>，并应符合下列规定：</w:t>
      </w:r>
      <w:bookmarkEnd w:id="27"/>
    </w:p>
    <w:p w14:paraId="2E9DE2A6">
      <w:pPr>
        <w:pStyle w:val="82"/>
        <w:ind w:firstLine="720" w:firstLineChars="30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1</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将初步设计阶段提出的永久性锚点、安全通道、防护设施等安全概念和措施转化为具体的、可实现的构造详图、安装节点和材料规格；</w:t>
      </w:r>
    </w:p>
    <w:p w14:paraId="7A0CC8E7">
      <w:pPr>
        <w:pStyle w:val="82"/>
        <w:ind w:firstLine="720" w:firstLineChars="30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在满足安全目标的前提下，通过多方案比选，选择在全寿命周期内成本效益更高的设计方案；</w:t>
      </w:r>
    </w:p>
    <w:p w14:paraId="57843483">
      <w:pPr>
        <w:pStyle w:val="82"/>
        <w:ind w:firstLine="720" w:firstLineChars="3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 xml:space="preserve">3 </w:t>
      </w:r>
      <w:r>
        <w:rPr>
          <w:rFonts w:hint="eastAsia" w:ascii="Times New Roman" w:hAnsi="Times New Roman"/>
          <w:color w:val="000000" w:themeColor="text1"/>
          <w:lang w:val="en-US"/>
          <w14:textFill>
            <w14:solidFill>
              <w14:schemeClr w14:val="tx1"/>
            </w14:solidFill>
          </w14:textFill>
        </w:rPr>
        <w:t>应</w:t>
      </w:r>
      <w:r>
        <w:rPr>
          <w:rFonts w:hint="eastAsia" w:ascii="Times New Roman" w:hAnsi="Times New Roman"/>
          <w:color w:val="000000" w:themeColor="text1"/>
          <w14:textFill>
            <w14:solidFill>
              <w14:schemeClr w14:val="tx1"/>
            </w14:solidFill>
          </w14:textFill>
        </w:rPr>
        <w:t>考虑当地施工技术水平和习惯，优化设计细节。</w:t>
      </w:r>
    </w:p>
    <w:p w14:paraId="05DF6354">
      <w:r>
        <w:rPr>
          <w:rFonts w:hint="eastAsia"/>
        </w:rPr>
        <w:t>【条文说明】施工图设计技术是从可行性优化、经济合理性优化、可施工性优化等几方面将设计方案和初步设计意图转化为可直接用于施工的详细技术文件的关键阶段。本条强调在施工图设计阶段应对前期确定的安全防护设计方案进行深化、细化和优化</w:t>
      </w:r>
      <w:r>
        <w:rPr>
          <w:rFonts w:hint="eastAsia"/>
          <w:color w:val="000000" w:themeColor="text1"/>
          <w:szCs w:val="21"/>
          <w14:textFill>
            <w14:solidFill>
              <w14:schemeClr w14:val="tx1"/>
            </w14:solidFill>
          </w14:textFill>
        </w:rPr>
        <w:t>，确保其与结构、建筑、设备等各专业设计无缝集成，不存在施工冲突</w:t>
      </w:r>
      <w:r>
        <w:rPr>
          <w:rFonts w:hint="eastAsia"/>
        </w:rPr>
        <w:t>。</w:t>
      </w:r>
    </w:p>
    <w:p w14:paraId="65F249E8">
      <w:pPr>
        <w:ind w:firstLine="480"/>
      </w:pPr>
      <w:r>
        <w:rPr>
          <w:rFonts w:hint="eastAsia"/>
        </w:rPr>
        <w:t>经济合理性优化，例如，比较设置永久性检修平台与预留安装临时平台条件两种方案的成本与长期效益。</w:t>
      </w:r>
    </w:p>
    <w:p w14:paraId="1B0A328F">
      <w:pPr>
        <w:ind w:firstLine="480"/>
      </w:pPr>
      <w:bookmarkStart w:id="28" w:name="_Hlk213254589"/>
      <w:r>
        <w:rPr>
          <w:rFonts w:hint="eastAsia"/>
        </w:rPr>
        <w:t>可施工性优化</w:t>
      </w:r>
      <w:bookmarkEnd w:id="28"/>
      <w:r>
        <w:rPr>
          <w:rFonts w:hint="eastAsia"/>
        </w:rPr>
        <w:t>是确保安全设计意图能准确、高效地落地到实际工程中的必要步骤，</w:t>
      </w:r>
      <w:r>
        <w:rPr>
          <w:rFonts w:hint="eastAsia"/>
          <w:color w:val="000000" w:themeColor="text1"/>
          <w14:textFill>
            <w14:solidFill>
              <w14:schemeClr w14:val="tx1"/>
            </w14:solidFill>
          </w14:textFill>
        </w:rPr>
        <w:t>使安全防护措施更容易被正确施工，避免因设计过于复杂或难以实现而导致施工阶段被简化或废弃。</w:t>
      </w:r>
    </w:p>
    <w:p w14:paraId="7142534A">
      <w:pPr>
        <w:pStyle w:val="129"/>
      </w:pPr>
      <w:r>
        <w:rPr>
          <w:rFonts w:hint="eastAsia"/>
        </w:rPr>
        <w:t>人员安全防护设计应根据危险源情况，采取消除、替代、控制、个人防护等措施，应优先选用消除危险源的措施，并应符合下列规定：</w:t>
      </w:r>
    </w:p>
    <w:p w14:paraId="188238B1">
      <w:pPr>
        <w:ind w:firstLine="420"/>
        <w:rPr>
          <w:color w:val="000000" w:themeColor="text1"/>
          <w:kern w:val="0"/>
          <w:szCs w:val="20"/>
          <w14:textFill>
            <w14:solidFill>
              <w14:schemeClr w14:val="tx1"/>
            </w14:solidFill>
          </w14:textFill>
        </w:rPr>
      </w:pPr>
      <w:r>
        <w:rPr>
          <w:rFonts w:hint="eastAsia"/>
          <w:color w:val="000000" w:themeColor="text1"/>
          <w:kern w:val="0"/>
          <w:szCs w:val="20"/>
          <w14:textFill>
            <w14:solidFill>
              <w14:schemeClr w14:val="tx1"/>
            </w14:solidFill>
          </w14:textFill>
        </w:rPr>
        <w:t>1应通过设计手段彻底消除危险源；</w:t>
      </w:r>
    </w:p>
    <w:p w14:paraId="56C5AD0D">
      <w:pPr>
        <w:ind w:firstLine="420"/>
      </w:pPr>
      <w:r>
        <w:rPr>
          <w:rFonts w:hint="eastAsia"/>
        </w:rPr>
        <w:t>2当危险源无法完全消除，应尝试用危险性较低的材料、工艺或设备来替代危险性高的；</w:t>
      </w:r>
    </w:p>
    <w:p w14:paraId="788CA1E3">
      <w:pPr>
        <w:ind w:firstLine="420"/>
      </w:pPr>
      <w:r>
        <w:rPr>
          <w:rFonts w:hint="eastAsia"/>
        </w:rPr>
        <w:t>3应在设计上采用物理的防护措施将人员与危险隔离；</w:t>
      </w:r>
    </w:p>
    <w:p w14:paraId="462B7D52">
      <w:pPr>
        <w:ind w:firstLine="420"/>
      </w:pPr>
      <w:r>
        <w:rPr>
          <w:rFonts w:hint="eastAsia"/>
        </w:rPr>
        <w:t>4 应设置警示标识和管理规定，以及设置个人防护装备。</w:t>
      </w:r>
    </w:p>
    <w:p w14:paraId="0D73965F">
      <w:r>
        <w:rPr>
          <w:rFonts w:hint="eastAsia"/>
        </w:rPr>
        <w:t>【条文说明】本条确立了建筑人员安全防护设计的最基本原则和最高优先级策略为本质安全设计，其核心在于要求设计人员遵循风险控制的“层次原则”，优先采用从根源上消除危险。</w:t>
      </w:r>
    </w:p>
    <w:p w14:paraId="265C7D5A">
      <w:pPr>
        <w:ind w:firstLine="480"/>
      </w:pPr>
      <w:r>
        <w:rPr>
          <w:rFonts w:hint="eastAsia"/>
        </w:rPr>
        <w:t>其核心思想与实施层次包括：</w:t>
      </w:r>
    </w:p>
    <w:p w14:paraId="45419A12">
      <w:pPr>
        <w:ind w:firstLine="480"/>
      </w:pPr>
      <w:r>
        <w:rPr>
          <w:rFonts w:hint="eastAsia"/>
        </w:rPr>
        <w:t>1.  消除（最高优先级），这是最有效、最可靠的安全策略。例如，通过采用平整屋面代替坡屋面，消除未来维护作业的高处坠落风险；通过用低毒性材料替代高毒性材料，消除化学中毒的健康风险。</w:t>
      </w:r>
    </w:p>
    <w:p w14:paraId="00C07D1C">
      <w:pPr>
        <w:ind w:firstLine="480"/>
      </w:pPr>
      <w:r>
        <w:rPr>
          <w:rFonts w:hint="eastAsia"/>
        </w:rPr>
        <w:t>2.  替代：例如，用预制装配式构件替代现浇作业，减少高空作业和现场切割的风险；用水性涂料替代溶剂型涂料，减少火灾和健康危害。</w:t>
      </w:r>
    </w:p>
    <w:p w14:paraId="738C431B">
      <w:pPr>
        <w:ind w:firstLine="480"/>
      </w:pPr>
      <w:r>
        <w:rPr>
          <w:rFonts w:hint="eastAsia"/>
        </w:rPr>
        <w:t>3.  工程控制是一种隔离手段，这是在无法完全消除和替代后采取的主要手段。例如，设置永久性护栏、防护罩、联锁装置等。</w:t>
      </w:r>
    </w:p>
    <w:p w14:paraId="66F75BE4">
      <w:pPr>
        <w:ind w:firstLine="480"/>
      </w:pPr>
      <w:r>
        <w:rPr>
          <w:rFonts w:hint="eastAsia"/>
        </w:rPr>
        <w:t>4.  警示与个人防护（最低优先级）是最后一道防线。本标准强调，设计需优先追求前三个层次，而不能将保障安全的责任依赖于后续的管理和个体行为。</w:t>
      </w:r>
    </w:p>
    <w:p w14:paraId="3A8D3396">
      <w:pPr>
        <w:pStyle w:val="129"/>
      </w:pPr>
      <w:r>
        <w:rPr>
          <w:rFonts w:hint="eastAsia"/>
        </w:rPr>
        <w:t>控制系统的安全控制设计应简化控制过程、降低对偏差的敏感性，宜采用全封闭或局部密闭的工程控制方式。</w:t>
      </w:r>
    </w:p>
    <w:p w14:paraId="5600E1B3">
      <w:r>
        <w:rPr>
          <w:rFonts w:hint="eastAsia"/>
        </w:rPr>
        <w:t>【条文说明】本条针对“控制系统的安全控制”提出从设计上简化过程、降低对偏差的敏感性并优先采用工程控制（如全封闭或局部密闭）抵御源头风险，具体需要通过工艺本质安全化、联锁与联锁防呆、冗余与分级保护、异常检测与联动处置（含泄压、切断、稀释与导排）等手段提升控制系统的可靠性和容错能力，并与安全相关控制系统、功能安全和本质安全等类标准的要求相衔接，同时在设计文件中给出边界条件、设定值与失效策略，使装置在偏离工况时仍保持受控与可预期。</w:t>
      </w:r>
      <w:bookmarkEnd w:id="26"/>
      <w:bookmarkStart w:id="29" w:name="_Toc10579206"/>
      <w:bookmarkStart w:id="30" w:name="_Toc10493958"/>
      <w:bookmarkStart w:id="31" w:name="_Toc3965573"/>
    </w:p>
    <w:p w14:paraId="7ADF728E">
      <w:pPr>
        <w:ind w:firstLine="480"/>
        <w:rPr>
          <w:rFonts w:eastAsia="仿宋"/>
          <w:color w:val="000000" w:themeColor="text1"/>
          <w14:textFill>
            <w14:solidFill>
              <w14:schemeClr w14:val="tx1"/>
            </w14:solidFill>
          </w14:textFill>
        </w:rPr>
      </w:pPr>
      <w:r>
        <w:rPr>
          <w:rFonts w:eastAsia="仿宋"/>
          <w:color w:val="000000" w:themeColor="text1"/>
          <w14:textFill>
            <w14:solidFill>
              <w14:schemeClr w14:val="tx1"/>
            </w14:solidFill>
          </w14:textFill>
        </w:rPr>
        <w:br w:type="page"/>
      </w:r>
    </w:p>
    <w:p w14:paraId="693AAC51">
      <w:pPr>
        <w:pStyle w:val="127"/>
        <w:rPr>
          <w:rFonts w:hint="default"/>
        </w:rPr>
      </w:pPr>
      <w:bookmarkStart w:id="32" w:name="_Toc94038762"/>
      <w:bookmarkStart w:id="33" w:name="_Toc28467"/>
      <w:bookmarkStart w:id="34" w:name="_Toc213254726"/>
      <w:bookmarkStart w:id="35" w:name="_Hlk209079831"/>
      <w:r>
        <w:t>4</w:t>
      </w:r>
      <w:bookmarkEnd w:id="29"/>
      <w:bookmarkEnd w:id="30"/>
      <w:bookmarkEnd w:id="31"/>
      <w:bookmarkEnd w:id="32"/>
      <w:bookmarkStart w:id="36" w:name="_Toc13478208"/>
      <w:bookmarkStart w:id="37" w:name="_Toc94038768"/>
      <w:r>
        <w:t>安全防护设计</w:t>
      </w:r>
      <w:bookmarkEnd w:id="36"/>
      <w:bookmarkEnd w:id="37"/>
      <w:r>
        <w:t>技术要求</w:t>
      </w:r>
      <w:bookmarkEnd w:id="33"/>
      <w:bookmarkEnd w:id="34"/>
    </w:p>
    <w:p w14:paraId="0AF18DA6">
      <w:pPr>
        <w:pStyle w:val="4"/>
      </w:pPr>
      <w:bookmarkStart w:id="38" w:name="_Toc213254727"/>
      <w:bookmarkStart w:id="39" w:name="_Toc4152"/>
      <w:bookmarkStart w:id="40" w:name="_Toc94038769"/>
      <w:bookmarkStart w:id="41" w:name="_Toc13478210"/>
      <w:r>
        <w:t>4.</w:t>
      </w:r>
      <w:r>
        <w:rPr>
          <w:rFonts w:hint="eastAsia"/>
        </w:rPr>
        <w:t>1规划平面安全防护设计</w:t>
      </w:r>
      <w:bookmarkEnd w:id="38"/>
      <w:bookmarkEnd w:id="39"/>
    </w:p>
    <w:p w14:paraId="6FD3D432">
      <w:pPr>
        <w:pStyle w:val="132"/>
      </w:pPr>
      <w:r>
        <w:rPr>
          <w:rFonts w:hint="eastAsia"/>
        </w:rPr>
        <w:t>建筑布局应远离高压线、铁路、化学品储存区等危险源。当无法避免时，应设计防撞墩、围墙等永久性防护屏障和安全距离。</w:t>
      </w:r>
    </w:p>
    <w:p w14:paraId="2C807987">
      <w:r>
        <w:rPr>
          <w:rFonts w:hint="eastAsia"/>
        </w:rPr>
        <w:t>【条文说明】这是《工业企业总平面设计规范》GB 50187要求，通过布局和隔离从源头消除重大外部风险。</w:t>
      </w:r>
    </w:p>
    <w:p w14:paraId="57C2F128">
      <w:pPr>
        <w:pStyle w:val="132"/>
      </w:pPr>
      <w:r>
        <w:rPr>
          <w:rFonts w:hint="eastAsia"/>
        </w:rPr>
        <w:t>在边坡、洼地等区域，设计应考虑永久性排水沟、挡土墙等防洪、防滑坡措施，应将重要设备房布置在洪水线以上。</w:t>
      </w:r>
    </w:p>
    <w:p w14:paraId="6CAA5F73">
      <w:r>
        <w:rPr>
          <w:rFonts w:hint="eastAsia"/>
        </w:rPr>
        <w:t>【条文说明】本条基于场地风险的评估是参考了英国《建筑（设计与管理）条例 2015》CDM 2015等国际法规的要求。</w:t>
      </w:r>
    </w:p>
    <w:p w14:paraId="5F1CA966">
      <w:pPr>
        <w:pStyle w:val="132"/>
      </w:pPr>
      <w:r>
        <w:rPr>
          <w:rFonts w:hint="eastAsia"/>
        </w:rPr>
        <w:t>建筑主体以及起重机、脚手架等临时设施的活动范围与架空电力线之间的最小安全距离应符合表4.1.3的规定。</w:t>
      </w:r>
    </w:p>
    <w:p w14:paraId="699B9A2D">
      <w:pPr>
        <w:pStyle w:val="82"/>
        <w:ind w:firstLine="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表4.</w:t>
      </w:r>
      <w:r>
        <w:rPr>
          <w:rFonts w:hint="eastAsia" w:ascii="Times New Roman" w:hAnsi="Times New Roman"/>
          <w:color w:val="000000" w:themeColor="text1"/>
          <w:szCs w:val="21"/>
          <w:lang w:val="en-US"/>
          <w14:textFill>
            <w14:solidFill>
              <w14:schemeClr w14:val="tx1"/>
            </w14:solidFill>
          </w14:textFill>
        </w:rPr>
        <w:t>1</w:t>
      </w:r>
      <w:r>
        <w:rPr>
          <w:rFonts w:hint="eastAsia" w:ascii="Times New Roman" w:hAnsi="Times New Roman"/>
          <w:color w:val="000000" w:themeColor="text1"/>
          <w:szCs w:val="21"/>
          <w14:textFill>
            <w14:solidFill>
              <w14:schemeClr w14:val="tx1"/>
            </w14:solidFill>
          </w14:textFill>
        </w:rPr>
        <w:t>.</w:t>
      </w:r>
      <w:r>
        <w:rPr>
          <w:rFonts w:hint="eastAsia" w:ascii="Times New Roman" w:hAnsi="Times New Roman"/>
          <w:color w:val="000000" w:themeColor="text1"/>
          <w:szCs w:val="21"/>
          <w:lang w:val="en-US"/>
          <w14:textFill>
            <w14:solidFill>
              <w14:schemeClr w14:val="tx1"/>
            </w14:solidFill>
          </w14:textFill>
        </w:rPr>
        <w:t>3</w:t>
      </w:r>
      <w:r>
        <w:rPr>
          <w:rFonts w:hint="eastAsia" w:ascii="Times New Roman" w:hAnsi="Times New Roman"/>
          <w:color w:val="000000" w:themeColor="text1"/>
          <w:szCs w:val="21"/>
          <w14:textFill>
            <w14:solidFill>
              <w14:schemeClr w14:val="tx1"/>
            </w14:solidFill>
          </w14:textFill>
        </w:rPr>
        <w:t xml:space="preserve"> 建筑主体与架空电线最小安全距离</w:t>
      </w:r>
    </w:p>
    <w:tbl>
      <w:tblPr>
        <w:tblStyle w:val="31"/>
        <w:tblW w:w="0" w:type="auto"/>
        <w:tblInd w:w="22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9"/>
        <w:gridCol w:w="2553"/>
      </w:tblGrid>
      <w:tr w14:paraId="4ADD3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tcPr>
          <w:p w14:paraId="11768E50">
            <w:pPr>
              <w:pStyle w:val="82"/>
              <w:ind w:left="420"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电压等级 (kV)</w:t>
            </w:r>
          </w:p>
        </w:tc>
        <w:tc>
          <w:tcPr>
            <w:tcW w:w="2553" w:type="dxa"/>
          </w:tcPr>
          <w:p w14:paraId="0C3E3E00">
            <w:pPr>
              <w:pStyle w:val="82"/>
              <w:ind w:firstLine="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最小安全距离 (m)</w:t>
            </w:r>
          </w:p>
        </w:tc>
      </w:tr>
      <w:tr w14:paraId="402D8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tcPr>
          <w:p w14:paraId="2468A9B1">
            <w:pPr>
              <w:pStyle w:val="82"/>
              <w:ind w:firstLine="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&lt; 1  </w:t>
            </w:r>
          </w:p>
        </w:tc>
        <w:tc>
          <w:tcPr>
            <w:tcW w:w="2553" w:type="dxa"/>
          </w:tcPr>
          <w:p w14:paraId="5E42B52E">
            <w:pPr>
              <w:pStyle w:val="82"/>
              <w:ind w:firstLine="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3.0</w:t>
            </w:r>
          </w:p>
        </w:tc>
      </w:tr>
      <w:tr w14:paraId="04D58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tcPr>
          <w:p w14:paraId="2D12CF6E">
            <w:pPr>
              <w:pStyle w:val="82"/>
              <w:ind w:firstLine="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1 - 33</w:t>
            </w:r>
          </w:p>
        </w:tc>
        <w:tc>
          <w:tcPr>
            <w:tcW w:w="2553" w:type="dxa"/>
          </w:tcPr>
          <w:p w14:paraId="45AC7A1D">
            <w:pPr>
              <w:pStyle w:val="82"/>
              <w:ind w:firstLine="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4.6</w:t>
            </w:r>
          </w:p>
        </w:tc>
      </w:tr>
      <w:tr w14:paraId="12359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tcPr>
          <w:p w14:paraId="0F553C44">
            <w:pPr>
              <w:pStyle w:val="82"/>
              <w:ind w:firstLine="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66 - 132 </w:t>
            </w:r>
          </w:p>
        </w:tc>
        <w:tc>
          <w:tcPr>
            <w:tcW w:w="2553" w:type="dxa"/>
          </w:tcPr>
          <w:p w14:paraId="53F5A7DC">
            <w:pPr>
              <w:pStyle w:val="82"/>
              <w:ind w:firstLine="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5.5</w:t>
            </w:r>
          </w:p>
        </w:tc>
      </w:tr>
      <w:tr w14:paraId="12CE4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tcPr>
          <w:p w14:paraId="2C97ED21">
            <w:pPr>
              <w:pStyle w:val="82"/>
              <w:ind w:firstLine="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132 - 275</w:t>
            </w:r>
          </w:p>
        </w:tc>
        <w:tc>
          <w:tcPr>
            <w:tcW w:w="2553" w:type="dxa"/>
          </w:tcPr>
          <w:p w14:paraId="5B70D5FD">
            <w:pPr>
              <w:pStyle w:val="82"/>
              <w:ind w:firstLine="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6.7</w:t>
            </w:r>
          </w:p>
        </w:tc>
      </w:tr>
      <w:tr w14:paraId="77A9D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tcPr>
          <w:p w14:paraId="0E1ED4FB">
            <w:pPr>
              <w:pStyle w:val="82"/>
              <w:ind w:firstLine="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275 - 400</w:t>
            </w:r>
          </w:p>
        </w:tc>
        <w:tc>
          <w:tcPr>
            <w:tcW w:w="2553" w:type="dxa"/>
          </w:tcPr>
          <w:p w14:paraId="4FDD4B98">
            <w:pPr>
              <w:pStyle w:val="82"/>
              <w:ind w:firstLine="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8.0</w:t>
            </w:r>
          </w:p>
        </w:tc>
      </w:tr>
      <w:tr w14:paraId="00B0A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tcPr>
          <w:p w14:paraId="49EBBDCB">
            <w:pPr>
              <w:pStyle w:val="82"/>
              <w:ind w:firstLine="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&gt; 400  </w:t>
            </w:r>
          </w:p>
        </w:tc>
        <w:tc>
          <w:tcPr>
            <w:tcW w:w="2553" w:type="dxa"/>
          </w:tcPr>
          <w:p w14:paraId="73DD025D">
            <w:pPr>
              <w:pStyle w:val="82"/>
              <w:ind w:firstLine="0"/>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9.1</w:t>
            </w:r>
          </w:p>
        </w:tc>
      </w:tr>
    </w:tbl>
    <w:p w14:paraId="12F7D1EF">
      <w:pPr>
        <w:pStyle w:val="82"/>
        <w:ind w:firstLine="0"/>
        <w:jc w:val="center"/>
        <w:rPr>
          <w:rFonts w:ascii="Times New Roman" w:hAnsi="Times New Roman"/>
          <w:color w:val="000000" w:themeColor="text1"/>
          <w:szCs w:val="21"/>
          <w14:textFill>
            <w14:solidFill>
              <w14:schemeClr w14:val="tx1"/>
            </w14:solidFill>
          </w14:textFill>
        </w:rPr>
      </w:pPr>
    </w:p>
    <w:p w14:paraId="483D89CD">
      <w:r>
        <w:rPr>
          <w:rFonts w:hint="eastAsia"/>
        </w:rPr>
        <w:t>【条文说明】本条要求建筑主体与架空电线之间保持足够距离，避免在操作起重机和其他高大设备时发生触电危险。安全距离基于电压等级的击穿空气电弧距离计算，并包含足够的安全裕量，这是全球通行的强制性安全规定。本条依据《建筑与市政工程施工现场临时用电安全技术标准》JGJ 46，以及《60kV及以下架空电力线路设计标准》GB 50061-2017并参照新加坡《Code of Practice for Working Safely At Height》CP33：2019，设计时需要根据电压等级确定安全净距，并在必要时采取防护隔离措施。</w:t>
      </w:r>
    </w:p>
    <w:p w14:paraId="7BDC69DA">
      <w:pPr>
        <w:pStyle w:val="132"/>
      </w:pPr>
      <w:r>
        <w:rPr>
          <w:rFonts w:hint="eastAsia"/>
        </w:rPr>
        <w:t>设计人员应优化设计，减少人员因工作、生活需要进入密闭空间，并符合下列规定：</w:t>
      </w:r>
    </w:p>
    <w:p w14:paraId="51D5D9C3">
      <w:pPr>
        <w:pStyle w:val="82"/>
        <w:ind w:firstLine="48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1</w:t>
      </w:r>
      <w:r>
        <w:rPr>
          <w:rFonts w:hint="eastAsia" w:ascii="Times New Roman" w:hAnsi="Times New Roman"/>
          <w:color w:val="000000" w:themeColor="text1"/>
          <w:szCs w:val="21"/>
          <w:lang w:val="en-US" w:eastAsia="zh-CN"/>
          <w14:textFill>
            <w14:solidFill>
              <w14:schemeClr w14:val="tx1"/>
            </w14:solidFill>
          </w14:textFill>
        </w:rPr>
        <w:t xml:space="preserve"> </w:t>
      </w:r>
      <w:r>
        <w:rPr>
          <w:rFonts w:hint="eastAsia" w:ascii="Times New Roman" w:hAnsi="Times New Roman"/>
          <w:color w:val="000000" w:themeColor="text1"/>
          <w:szCs w:val="21"/>
          <w14:textFill>
            <w14:solidFill>
              <w14:schemeClr w14:val="tx1"/>
            </w14:solidFill>
          </w14:textFill>
        </w:rPr>
        <w:t>应通过风险评估识别所有因功能需求可能进入的吊顶内、管廊、狭窄设备间、储罐、污水井等密闭空间；</w:t>
      </w:r>
    </w:p>
    <w:p w14:paraId="140FFA90">
      <w:pPr>
        <w:pStyle w:val="82"/>
        <w:ind w:firstLine="48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 xml:space="preserve">2 </w:t>
      </w:r>
      <w:r>
        <w:rPr>
          <w:rFonts w:hint="eastAsia" w:ascii="Times New Roman" w:hAnsi="Times New Roman"/>
          <w:color w:val="000000" w:themeColor="text1"/>
          <w:szCs w:val="21"/>
          <w:lang w:val="en-US"/>
          <w14:textFill>
            <w14:solidFill>
              <w14:schemeClr w14:val="tx1"/>
            </w14:solidFill>
          </w14:textFill>
        </w:rPr>
        <w:t>宜</w:t>
      </w:r>
      <w:r>
        <w:rPr>
          <w:rFonts w:hint="eastAsia" w:ascii="Times New Roman" w:hAnsi="Times New Roman"/>
          <w:color w:val="000000" w:themeColor="text1"/>
          <w:szCs w:val="21"/>
          <w14:textFill>
            <w14:solidFill>
              <w14:schemeClr w14:val="tx1"/>
            </w14:solidFill>
          </w14:textFill>
        </w:rPr>
        <w:t>采用预制泵站、一体化机房</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模块化、集成化设备，</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将过滤器、阀门、仪表</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需要频繁检修的部件设置在易于直接接触的位置，或通过铰链、滑轨等设计将其移至空间外进行维护。</w:t>
      </w:r>
    </w:p>
    <w:p w14:paraId="440C2F4B">
      <w:r>
        <w:rPr>
          <w:rFonts w:hint="eastAsia"/>
        </w:rPr>
        <w:t>【条文说明】本条规定可以通过限制空间尺度，避免形成可进入的密闭空间，从源头消除人员被困或窒息的危险，必要时将相关功能调整到密闭空间外进行。设计人员需在结构布置和设备安装阶段充分考虑这一要求，避免形成封闭腔体或狭小通道。新加坡《Design for Safety》指南的核心原则是“消除危害”（Elimination），即在设计源头避免风险。英国《Construction (Design and Management) Regulations 2015》（CDM 2015）同样要求设计师优先考虑消除风险和危险点。这是最有效的安全措施。</w:t>
      </w:r>
    </w:p>
    <w:p w14:paraId="0A9B76BE">
      <w:pPr>
        <w:pStyle w:val="132"/>
        <w:ind w:left="0" w:firstLine="0"/>
      </w:pPr>
      <w:r>
        <w:rPr>
          <w:rFonts w:hint="eastAsia"/>
        </w:rPr>
        <w:t>设计前应准确定位已有地下管线位置，所有地下管线必须在竣工图中准确标注其类型、材质、管径、埋深和平面坐标，误差＜±150 mm，宜采用RFID标签等电子标识系统进行精准定位。</w:t>
      </w:r>
    </w:p>
    <w:p w14:paraId="09271585">
      <w:r>
        <w:rPr>
          <w:rFonts w:hint="eastAsia"/>
        </w:rPr>
        <w:t>【条文说明】本条要求设计时准确定位地下管线，防止施工中误挖导致事故。设计人员需要利用探测技术和现状资料，绘制地下管线综合图，并在图纸中标注保护措施。精准的竣工资料是后续所有开挖作业最重要的安全前提，可有效避免挖断管线导致的触电、爆炸、窒息等重大事故。主要依据为《建筑工程资料管理规程》JGJ/T 185及国际通用的竣工图要求。</w:t>
      </w:r>
    </w:p>
    <w:p w14:paraId="5B268D27">
      <w:pPr>
        <w:pStyle w:val="132"/>
        <w:ind w:left="0" w:firstLine="0"/>
      </w:pPr>
      <w:r>
        <w:rPr>
          <w:rFonts w:hint="eastAsia"/>
        </w:rPr>
        <w:t>所有机电管线的穿墙、穿楼板开孔应在结构施工图中精确定位，并采用预埋套管的方式，严禁后期人工开凿。</w:t>
      </w:r>
    </w:p>
    <w:p w14:paraId="051E3DD8">
      <w:r>
        <w:rPr>
          <w:rFonts w:hint="eastAsia"/>
        </w:rPr>
        <w:t>【条文说明】本条要求管道、槽道和开孔应预埋或内置，避免现场开凿带来的坠落和结构破坏风险。设计人员需要在施工图阶段明确预留孔洞位置和尺寸，减少二次施工。尽量减少人工现场开凿，防止对结构构件造成破坏，保障结构安全。</w:t>
      </w:r>
    </w:p>
    <w:p w14:paraId="411EAD1D">
      <w:pPr>
        <w:pStyle w:val="4"/>
      </w:pPr>
      <w:bookmarkStart w:id="42" w:name="_Toc213254728"/>
      <w:bookmarkStart w:id="43" w:name="_Toc12636"/>
      <w:r>
        <w:t>4.</w:t>
      </w:r>
      <w:r>
        <w:rPr>
          <w:rFonts w:hint="eastAsia"/>
        </w:rPr>
        <w:t>2围护安全防护设计</w:t>
      </w:r>
      <w:bookmarkEnd w:id="40"/>
      <w:bookmarkEnd w:id="41"/>
      <w:bookmarkEnd w:id="42"/>
      <w:bookmarkEnd w:id="43"/>
    </w:p>
    <w:p w14:paraId="50E40CA6">
      <w:pPr>
        <w:pStyle w:val="82"/>
        <w:numPr>
          <w:ilvl w:val="0"/>
          <w:numId w:val="8"/>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阳台、外廊、室内回廊、上人屋面、楼梯井等临空部位必须设置坚固、高度达标的防护栏杆或墙体，并</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符合施工阶段、使用阶段相应规范的要求。</w:t>
      </w:r>
      <w:r>
        <w:rPr>
          <w:rFonts w:hint="eastAsia" w:ascii="Times New Roman" w:hAnsi="Times New Roman"/>
          <w:color w:val="000000" w:themeColor="text1"/>
          <w:szCs w:val="21"/>
          <w:lang w:val="en-US"/>
          <w14:textFill>
            <w14:solidFill>
              <w14:schemeClr w14:val="tx1"/>
            </w14:solidFill>
          </w14:textFill>
        </w:rPr>
        <w:t>其中，</w:t>
      </w:r>
      <w:r>
        <w:rPr>
          <w:rFonts w:hint="eastAsia" w:ascii="Times New Roman" w:hAnsi="Times New Roman"/>
          <w:color w:val="000000" w:themeColor="text1"/>
          <w:szCs w:val="21"/>
          <w14:textFill>
            <w14:solidFill>
              <w14:schemeClr w14:val="tx1"/>
            </w14:solidFill>
          </w14:textFill>
        </w:rPr>
        <w:t>栏杆及女儿墙的高度应大于1.2m ，栏杆竖向杆件之间的净距不应大于0.11cm，栏杆的水平荷载</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大于1.5kN/m。</w:t>
      </w:r>
    </w:p>
    <w:p w14:paraId="57C61159">
      <w:r>
        <w:rPr>
          <w:rFonts w:hint="eastAsia"/>
        </w:rPr>
        <w:t>【条文说明】本条旨在防止人员坠落，保障施工及使用阶段的安全，主要依据为《绿色建筑评价标准》GB/T 50378-2019第 4.2.2条，采取措施提高阳台、外窗、窗台、防护栏杆等安全防护水平，同时借鉴了新加坡等地的标准。本条规定阳台护栏和屋面女儿墙高度要大于1.2m，该栏杆高度要求符合《住宅项目规范》（GB55038-2025）和《建筑施工安全检查标准》JGJ 59-2011的规定，设计时要确保栏杆结构稳固、间距合理，并采用耐久性良好的材料，以避免因护栏失效导致的高处坠落风险。需要将护墙设计到符合护栏要求的高度，无需在施工期间和未来的屋顶维护中建造护栏。水平荷载力参照了新加坡的设计要求。</w:t>
      </w:r>
    </w:p>
    <w:p w14:paraId="64946363">
      <w:pPr>
        <w:pStyle w:val="82"/>
        <w:numPr>
          <w:ilvl w:val="0"/>
          <w:numId w:val="8"/>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门窗、玻璃幕墙、室内隔断、淋浴屏、低于腰窗的玻璃等可能发生撞击的部位必须采用钢化玻璃、夹层玻璃等安全玻璃，并</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设置醒目的防撞提示标识。</w:t>
      </w:r>
      <w:r>
        <w:rPr>
          <w:rFonts w:hint="eastAsia" w:ascii="Times New Roman" w:hAnsi="Times New Roman"/>
          <w:color w:val="000000" w:themeColor="text1"/>
          <w:szCs w:val="21"/>
          <w:lang w:val="en-US"/>
          <w14:textFill>
            <w14:solidFill>
              <w14:schemeClr w14:val="tx1"/>
            </w14:solidFill>
          </w14:textFill>
        </w:rPr>
        <w:t>同时设计</w:t>
      </w:r>
      <w:r>
        <w:rPr>
          <w:rFonts w:hint="eastAsia" w:ascii="Times New Roman" w:hAnsi="Times New Roman"/>
          <w:color w:val="000000" w:themeColor="text1"/>
          <w:szCs w:val="21"/>
          <w14:textFill>
            <w14:solidFill>
              <w14:schemeClr w14:val="tx1"/>
            </w14:solidFill>
          </w14:textFill>
        </w:rPr>
        <w:t>应规定安全玻璃的种类、适用部位、撞击性能要求和标识设置的具体标准。</w:t>
      </w:r>
    </w:p>
    <w:p w14:paraId="2BB5C7EC">
      <w:r>
        <w:rPr>
          <w:rFonts w:hint="eastAsia"/>
        </w:rPr>
        <w:t>【条文说明】《绿色建筑评价标准》GB/T 50378-2019第 4.1.2条要求采用耐久性好、易维护的装饰装修建筑材料，及第 4.2.3条要求使用安全玻璃，需要规定防止人员误撞，以及规定防撞条的高度（成人及儿童视线水平）、宽度和颜色对比度。</w:t>
      </w:r>
    </w:p>
    <w:p w14:paraId="77C38558">
      <w:pPr>
        <w:pStyle w:val="82"/>
        <w:numPr>
          <w:ilvl w:val="0"/>
          <w:numId w:val="8"/>
        </w:numPr>
        <w:ind w:firstLine="0"/>
        <w:rPr>
          <w:rFonts w:ascii="Times New Roman" w:hAnsi="Times New Roman" w:eastAsia="仿宋"/>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应规定外墙饰面砖、金属屋面、石材、金属板材、保温材料、光伏屋面等材料与主体的连接方式、锚固件规格、防腐要求、设计使用年限，并</w:t>
      </w:r>
      <w:r>
        <w:rPr>
          <w:rFonts w:hint="eastAsia" w:ascii="Times New Roman" w:hAnsi="Times New Roman"/>
          <w:color w:val="000000" w:themeColor="text1"/>
          <w:szCs w:val="21"/>
          <w:lang w:val="en-US"/>
          <w14:textFill>
            <w14:solidFill>
              <w14:schemeClr w14:val="tx1"/>
            </w14:solidFill>
          </w14:textFill>
        </w:rPr>
        <w:t>宜</w:t>
      </w:r>
      <w:r>
        <w:rPr>
          <w:rFonts w:hint="eastAsia" w:ascii="Times New Roman" w:hAnsi="Times New Roman"/>
          <w:color w:val="000000" w:themeColor="text1"/>
          <w:szCs w:val="21"/>
          <w14:textFill>
            <w14:solidFill>
              <w14:schemeClr w14:val="tx1"/>
            </w14:solidFill>
          </w14:textFill>
        </w:rPr>
        <w:t>采用保温结构一体化、结构保温装饰一体化等措施。对高层建筑和台风多发地区应有抗风压和抗负风压设计要求。</w:t>
      </w:r>
    </w:p>
    <w:p w14:paraId="22DF6E4B">
      <w:r>
        <w:rPr>
          <w:rFonts w:hint="eastAsia"/>
        </w:rPr>
        <w:t>【条文说明】本条主要依据为《绿色建筑评价标准》GB/T 50378-2019的第 4.1.2条，建筑外墙、屋面、门窗、幕墙及外保温等围护结构应满足安全、耐久和防护的要求。</w:t>
      </w:r>
    </w:p>
    <w:p w14:paraId="7096E752">
      <w:pPr>
        <w:pStyle w:val="82"/>
        <w:numPr>
          <w:ilvl w:val="0"/>
          <w:numId w:val="8"/>
        </w:numPr>
        <w:ind w:firstLine="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瓷砖、石材、幕墙板</w:t>
      </w:r>
      <w:r>
        <w:rPr>
          <w:rFonts w:hint="eastAsia" w:ascii="Times New Roman" w:hAnsi="Times New Roman"/>
          <w:color w:val="000000" w:themeColor="text1"/>
          <w:szCs w:val="21"/>
          <w:lang w:val="en-US"/>
          <w14:textFill>
            <w14:solidFill>
              <w14:schemeClr w14:val="tx1"/>
            </w14:solidFill>
          </w14:textFill>
        </w:rPr>
        <w:t>等</w:t>
      </w:r>
      <w:r>
        <w:rPr>
          <w:rFonts w:ascii="Times New Roman" w:hAnsi="Times New Roman"/>
          <w:color w:val="000000" w:themeColor="text1"/>
          <w:szCs w:val="21"/>
          <w14:textFill>
            <w14:solidFill>
              <w14:schemeClr w14:val="tx1"/>
            </w14:solidFill>
          </w14:textFill>
        </w:rPr>
        <w:t>外墙饰面、保温系统等</w:t>
      </w:r>
      <w:r>
        <w:rPr>
          <w:rFonts w:hint="eastAsia" w:ascii="Times New Roman" w:hAnsi="Times New Roman"/>
          <w:color w:val="000000" w:themeColor="text1"/>
          <w:szCs w:val="21"/>
          <w:lang w:val="en-US"/>
          <w14:textFill>
            <w14:solidFill>
              <w14:schemeClr w14:val="tx1"/>
            </w14:solidFill>
          </w14:textFill>
        </w:rPr>
        <w:t>部位</w:t>
      </w:r>
      <w:r>
        <w:rPr>
          <w:rFonts w:ascii="Times New Roman" w:hAnsi="Times New Roman"/>
          <w:color w:val="000000" w:themeColor="text1"/>
          <w:szCs w:val="21"/>
          <w14:textFill>
            <w14:solidFill>
              <w14:schemeClr w14:val="tx1"/>
            </w14:solidFill>
          </w14:textFill>
        </w:rPr>
        <w:t>必须采用可靠的连接与锚固系统，并应进行抗风压和抗震验算。</w:t>
      </w:r>
    </w:p>
    <w:p w14:paraId="683517D8">
      <w:r>
        <w:rPr>
          <w:rFonts w:hint="eastAsia"/>
        </w:rPr>
        <w:t>【条文说明】本条主要依据为《外墙饰面砖工程施工及验收规程》JGJ 126、《建筑幕墙》GB/T 21086，防止材料脱落造成物体打击事故，是公共安全的基本要求。</w:t>
      </w:r>
    </w:p>
    <w:p w14:paraId="57E09867">
      <w:pPr>
        <w:pStyle w:val="82"/>
        <w:numPr>
          <w:ilvl w:val="0"/>
          <w:numId w:val="8"/>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外窗、落地窗、推拉门等应具备滑轮、滑轨强度</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防脱落、缓冲装置。应规定门窗五金件的选用标准、耐久性测试，以及</w:t>
      </w:r>
      <w:r>
        <w:rPr>
          <w:rFonts w:hint="eastAsia" w:ascii="Times New Roman" w:hAnsi="Times New Roman"/>
          <w:color w:val="000000" w:themeColor="text1"/>
          <w:szCs w:val="21"/>
          <w:lang w:val="en-US"/>
          <w14:textFill>
            <w14:solidFill>
              <w14:schemeClr w14:val="tx1"/>
            </w14:solidFill>
          </w14:textFill>
        </w:rPr>
        <w:t>规定</w:t>
      </w:r>
      <w:r>
        <w:rPr>
          <w:rFonts w:hint="eastAsia" w:ascii="Times New Roman" w:hAnsi="Times New Roman"/>
          <w:color w:val="000000" w:themeColor="text1"/>
          <w:szCs w:val="21"/>
          <w14:textFill>
            <w14:solidFill>
              <w14:schemeClr w14:val="tx1"/>
            </w14:solidFill>
          </w14:textFill>
        </w:rPr>
        <w:t>防止低龄儿童意外开启的儿童安全锁选项等技术要求。高层建筑应避免使用外平开窗。</w:t>
      </w:r>
    </w:p>
    <w:p w14:paraId="5E438693">
      <w:r>
        <w:rPr>
          <w:rFonts w:hint="eastAsia"/>
        </w:rPr>
        <w:t>【条文说明】部分地方规定7层及以上不得采用外平开窗。</w:t>
      </w:r>
    </w:p>
    <w:p w14:paraId="7F0821ED">
      <w:pPr>
        <w:pStyle w:val="82"/>
        <w:numPr>
          <w:ilvl w:val="0"/>
          <w:numId w:val="8"/>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室内外装饰构件、家具、护栏的所有外露边缘、棱角均应进行倒圆或磨边处理。公众可触及的金属板材切口必须去毛刺。</w:t>
      </w:r>
    </w:p>
    <w:p w14:paraId="0E4E1EDC">
      <w:pPr>
        <w:pStyle w:val="82"/>
        <w:numPr>
          <w:ilvl w:val="0"/>
          <w:numId w:val="8"/>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对于人员出入口、通道等上方的建筑立面，</w:t>
      </w:r>
      <w:r>
        <w:rPr>
          <w:rFonts w:hint="eastAsia" w:ascii="Times New Roman" w:hAnsi="Times New Roman"/>
          <w:color w:val="000000" w:themeColor="text1"/>
          <w:szCs w:val="21"/>
          <w:lang w:val="en-US"/>
          <w14:textFill>
            <w14:solidFill>
              <w14:schemeClr w14:val="tx1"/>
            </w14:solidFill>
          </w14:textFill>
        </w:rPr>
        <w:t>当</w:t>
      </w:r>
      <w:r>
        <w:rPr>
          <w:rFonts w:hint="eastAsia" w:ascii="Times New Roman" w:hAnsi="Times New Roman"/>
          <w:color w:val="000000" w:themeColor="text1"/>
          <w:szCs w:val="21"/>
          <w14:textFill>
            <w14:solidFill>
              <w14:schemeClr w14:val="tx1"/>
            </w14:solidFill>
          </w14:textFill>
        </w:rPr>
        <w:t>存在装饰线条、设备平台、幕墙等物品</w:t>
      </w:r>
      <w:r>
        <w:rPr>
          <w:rFonts w:hint="eastAsia" w:ascii="Times New Roman" w:hAnsi="Times New Roman"/>
          <w:color w:val="000000" w:themeColor="text1"/>
          <w:szCs w:val="21"/>
          <w:lang w:val="en-US"/>
          <w14:textFill>
            <w14:solidFill>
              <w14:schemeClr w14:val="tx1"/>
            </w14:solidFill>
          </w14:textFill>
        </w:rPr>
        <w:t>的</w:t>
      </w:r>
      <w:r>
        <w:rPr>
          <w:rFonts w:hint="eastAsia" w:ascii="Times New Roman" w:hAnsi="Times New Roman"/>
          <w:color w:val="000000" w:themeColor="text1"/>
          <w:szCs w:val="21"/>
          <w14:textFill>
            <w14:solidFill>
              <w14:schemeClr w14:val="tx1"/>
            </w14:solidFill>
          </w14:textFill>
        </w:rPr>
        <w:t>坠落风险</w:t>
      </w:r>
      <w:r>
        <w:rPr>
          <w:rFonts w:hint="eastAsia" w:ascii="Times New Roman" w:hAnsi="Times New Roman"/>
          <w:color w:val="000000" w:themeColor="text1"/>
          <w:szCs w:val="21"/>
          <w:lang w:val="en-US"/>
          <w14:textFill>
            <w14:solidFill>
              <w14:schemeClr w14:val="tx1"/>
            </w14:solidFill>
          </w14:textFill>
        </w:rPr>
        <w:t>时</w:t>
      </w:r>
      <w:r>
        <w:rPr>
          <w:rFonts w:hint="eastAsia" w:ascii="Times New Roman" w:hAnsi="Times New Roman"/>
          <w:color w:val="000000" w:themeColor="text1"/>
          <w:szCs w:val="21"/>
          <w14:textFill>
            <w14:solidFill>
              <w14:schemeClr w14:val="tx1"/>
            </w14:solidFill>
          </w14:textFill>
        </w:rPr>
        <w:t>，应</w:t>
      </w:r>
      <w:r>
        <w:rPr>
          <w:rFonts w:hint="eastAsia" w:ascii="Times New Roman" w:hAnsi="Times New Roman"/>
          <w:color w:val="000000" w:themeColor="text1"/>
          <w:szCs w:val="21"/>
          <w:lang w:val="en-US"/>
          <w14:textFill>
            <w14:solidFill>
              <w14:schemeClr w14:val="tx1"/>
            </w14:solidFill>
          </w14:textFill>
        </w:rPr>
        <w:t>设置</w:t>
      </w:r>
      <w:r>
        <w:rPr>
          <w:rFonts w:hint="eastAsia" w:ascii="Times New Roman" w:hAnsi="Times New Roman"/>
          <w:color w:val="000000" w:themeColor="text1"/>
          <w:szCs w:val="21"/>
          <w14:textFill>
            <w14:solidFill>
              <w14:schemeClr w14:val="tx1"/>
            </w14:solidFill>
          </w14:textFill>
        </w:rPr>
        <w:t>相应的防坠落措施。</w:t>
      </w:r>
    </w:p>
    <w:p w14:paraId="66028568">
      <w:pPr>
        <w:rPr>
          <w:lang w:val="sq-AL"/>
        </w:rPr>
      </w:pPr>
      <w:r>
        <w:rPr>
          <w:rFonts w:hint="eastAsia"/>
          <w:lang w:val="sq-AL"/>
        </w:rPr>
        <w:t>【条文说明】新加坡《Design for Safety》指南强制要求考虑物体坠落风险，这是“被动安全”设计的关键。</w:t>
      </w:r>
    </w:p>
    <w:p w14:paraId="09C4DC6C">
      <w:pPr>
        <w:pStyle w:val="4"/>
      </w:pPr>
      <w:bookmarkStart w:id="44" w:name="_Toc13478215"/>
      <w:bookmarkStart w:id="45" w:name="_Toc94038774"/>
      <w:bookmarkStart w:id="46" w:name="_Toc534374775"/>
      <w:bookmarkStart w:id="47" w:name="_Toc534378774"/>
      <w:bookmarkStart w:id="48" w:name="_Toc31176"/>
      <w:bookmarkStart w:id="49" w:name="_Toc213254729"/>
      <w:r>
        <w:t>4.</w:t>
      </w:r>
      <w:bookmarkEnd w:id="44"/>
      <w:bookmarkEnd w:id="45"/>
      <w:bookmarkEnd w:id="46"/>
      <w:bookmarkEnd w:id="47"/>
      <w:r>
        <w:rPr>
          <w:rFonts w:hint="eastAsia"/>
        </w:rPr>
        <w:t>3交通疏散安全防护设计</w:t>
      </w:r>
      <w:bookmarkEnd w:id="48"/>
      <w:bookmarkEnd w:id="49"/>
    </w:p>
    <w:p w14:paraId="6048D574">
      <w:pPr>
        <w:pStyle w:val="82"/>
        <w:numPr>
          <w:ilvl w:val="0"/>
          <w:numId w:val="9"/>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建筑内部交通流线设计应清晰、连续、无障碍，应遵循“人员导向”原则，避免流线交叉和冲突点。</w:t>
      </w:r>
    </w:p>
    <w:p w14:paraId="6531A226">
      <w:pPr>
        <w:rPr>
          <w:lang w:val="sq-AL"/>
        </w:rPr>
      </w:pPr>
      <w:r>
        <w:rPr>
          <w:rFonts w:hint="eastAsia"/>
          <w:lang w:val="sq-AL"/>
        </w:rPr>
        <w:t>【条文说明】 《民用建筑设计统一标准》GB 50352-2019 第6章明确规定了交通与疏散的设计原则，新加坡《Fire Code》和英国《Approved Document B》也强调疏散路线的合理性和可靠性。</w:t>
      </w:r>
    </w:p>
    <w:p w14:paraId="3C2671EF">
      <w:pPr>
        <w:pStyle w:val="82"/>
        <w:numPr>
          <w:ilvl w:val="0"/>
          <w:numId w:val="9"/>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通道与走廊设计应符合</w:t>
      </w:r>
      <w:r>
        <w:rPr>
          <w:rFonts w:hint="eastAsia" w:ascii="Times New Roman" w:hAnsi="Times New Roman"/>
          <w:color w:val="000000" w:themeColor="text1"/>
          <w:szCs w:val="21"/>
          <w:lang w:val="en-US"/>
          <w14:textFill>
            <w14:solidFill>
              <w14:schemeClr w14:val="tx1"/>
            </w14:solidFill>
          </w14:textFill>
        </w:rPr>
        <w:t>下列</w:t>
      </w:r>
      <w:r>
        <w:rPr>
          <w:rFonts w:hint="eastAsia" w:ascii="Times New Roman" w:hAnsi="Times New Roman"/>
          <w:color w:val="000000" w:themeColor="text1"/>
          <w:szCs w:val="21"/>
          <w14:textFill>
            <w14:solidFill>
              <w14:schemeClr w14:val="tx1"/>
            </w14:solidFill>
          </w14:textFill>
        </w:rPr>
        <w:t>规定：</w:t>
      </w:r>
    </w:p>
    <w:p w14:paraId="29EDA768">
      <w:pPr>
        <w:pStyle w:val="82"/>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1 主要疏散通道及走廊的净宽度不应小于1.4</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；高层公共建筑、医院、学校</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人员密集场所的主要通道净宽不宜小于1.8</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w:t>
      </w:r>
    </w:p>
    <w:p w14:paraId="1D3C027F">
      <w:r>
        <w:rPr>
          <w:rFonts w:hint="eastAsia"/>
        </w:rPr>
        <w:t>【条文说明】本条是结合《建筑设计防火规范》GB 50016-2014和《民用建筑设计统一标准》GB 50352-2019 等标准的要求。</w:t>
      </w:r>
    </w:p>
    <w:p w14:paraId="22388114">
      <w:pPr>
        <w:pStyle w:val="82"/>
        <w:rPr>
          <w:rFonts w:ascii="Times New Roman" w:hAnsi="Times New Roman" w:eastAsia="仿宋"/>
          <w:color w:val="000000" w:themeColor="text1"/>
          <w14:textFill>
            <w14:solidFill>
              <w14:schemeClr w14:val="tx1"/>
            </w14:solidFill>
          </w14:textFill>
        </w:rPr>
      </w:pPr>
      <w:r>
        <w:rPr>
          <w:rFonts w:hint="eastAsia" w:ascii="Times New Roman" w:hAnsi="Times New Roman" w:eastAsia="仿宋"/>
          <w:color w:val="000000" w:themeColor="text1"/>
          <w14:textFill>
            <w14:solidFill>
              <w14:schemeClr w14:val="tx1"/>
            </w14:solidFill>
          </w14:textFill>
        </w:rPr>
        <w:t xml:space="preserve"> </w:t>
      </w:r>
      <w:r>
        <w:rPr>
          <w:rFonts w:hint="eastAsia" w:ascii="Times New Roman" w:hAnsi="Times New Roman"/>
          <w:color w:val="000000" w:themeColor="text1"/>
          <w:szCs w:val="21"/>
          <w14:textFill>
            <w14:solidFill>
              <w14:schemeClr w14:val="tx1"/>
            </w14:solidFill>
          </w14:textFill>
        </w:rPr>
        <w:t>2 通道、走廊的净高不应低于2.2</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；有设备管线的局部区域净高不应低于2.0</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，并应设置防撞提示；</w:t>
      </w:r>
    </w:p>
    <w:p w14:paraId="6CBCA5EB">
      <w:pPr>
        <w:pStyle w:val="82"/>
        <w:ind w:firstLine="48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 人员流动密集区域的墙面阳角、柱角等位置，应进行圆角或倒角处理，或加装防撞护角，通道转角处墙面宜做圆弧形处理或切角，切角斜边长度不应小于0.6</w:t>
      </w:r>
      <w:r>
        <w:rPr>
          <w:rFonts w:hint="eastAsia" w:ascii="Times New Roman" w:hAnsi="Times New Roman"/>
          <w:color w:val="000000" w:themeColor="text1"/>
          <w:lang w:val="en-US"/>
          <w14:textFill>
            <w14:solidFill>
              <w14:schemeClr w14:val="tx1"/>
            </w14:solidFill>
          </w14:textFill>
        </w:rPr>
        <w:t xml:space="preserve"> m</w:t>
      </w:r>
      <w:r>
        <w:rPr>
          <w:rFonts w:hint="eastAsia" w:ascii="Times New Roman" w:hAnsi="Times New Roman"/>
          <w:color w:val="000000" w:themeColor="text1"/>
          <w14:textFill>
            <w14:solidFill>
              <w14:schemeClr w14:val="tx1"/>
            </w14:solidFill>
          </w14:textFill>
        </w:rPr>
        <w:t>。凸出于通道内的柱角、墙阳角必须做防撞处理；</w:t>
      </w:r>
    </w:p>
    <w:p w14:paraId="1C36176B">
      <w:pPr>
        <w:rPr>
          <w:lang w:val="sq-AL"/>
        </w:rPr>
      </w:pPr>
      <w:r>
        <w:rPr>
          <w:rFonts w:hint="eastAsia"/>
          <w:lang w:val="sq-AL"/>
        </w:rPr>
        <w:t>【条文说明】防碰撞设计借鉴了新加坡《Code on Accessibility》和医院设计标准，防止紧急疏散时发生碰撞伤害。</w:t>
      </w:r>
    </w:p>
    <w:p w14:paraId="622D1ED7">
      <w:pPr>
        <w:pStyle w:val="82"/>
        <w:ind w:firstLine="0"/>
        <w:rPr>
          <w:rFonts w:ascii="Times New Roman" w:hAnsi="Times New Roman"/>
          <w:color w:val="000000" w:themeColor="text1"/>
          <w14:textFill>
            <w14:solidFill>
              <w14:schemeClr w14:val="tx1"/>
            </w14:solidFill>
          </w14:textFill>
        </w:rPr>
      </w:pPr>
      <w:r>
        <w:rPr>
          <w:rFonts w:hint="eastAsia" w:ascii="Times New Roman" w:hAnsi="Times New Roman" w:eastAsia="仿宋"/>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4 长直通道超过20</w:t>
      </w:r>
      <w:r>
        <w:rPr>
          <w:rFonts w:hint="eastAsia" w:ascii="Times New Roman" w:hAnsi="Times New Roman"/>
          <w:color w:val="000000" w:themeColor="text1"/>
          <w:lang w:val="en-US"/>
          <w14:textFill>
            <w14:solidFill>
              <w14:schemeClr w14:val="tx1"/>
            </w14:solidFill>
          </w14:textFill>
        </w:rPr>
        <w:t xml:space="preserve"> m</w:t>
      </w:r>
      <w:r>
        <w:rPr>
          <w:rFonts w:hint="eastAsia" w:ascii="Times New Roman" w:hAnsi="Times New Roman"/>
          <w:color w:val="000000" w:themeColor="text1"/>
          <w14:textFill>
            <w14:solidFill>
              <w14:schemeClr w14:val="tx1"/>
            </w14:solidFill>
          </w14:textFill>
        </w:rPr>
        <w:t>时，端部应设置玻璃隔断、窗口</w:t>
      </w:r>
      <w:r>
        <w:rPr>
          <w:rFonts w:hint="eastAsia" w:ascii="Times New Roman" w:hAnsi="Times New Roman"/>
          <w:color w:val="000000" w:themeColor="text1"/>
          <w:lang w:val="en-US"/>
          <w14:textFill>
            <w14:solidFill>
              <w14:schemeClr w14:val="tx1"/>
            </w14:solidFill>
          </w14:textFill>
        </w:rPr>
        <w:t>等</w:t>
      </w:r>
      <w:r>
        <w:rPr>
          <w:rFonts w:hint="eastAsia" w:ascii="Times New Roman" w:hAnsi="Times New Roman"/>
          <w:color w:val="000000" w:themeColor="text1"/>
          <w14:textFill>
            <w14:solidFill>
              <w14:schemeClr w14:val="tx1"/>
            </w14:solidFill>
          </w14:textFill>
        </w:rPr>
        <w:t>通透性设计或明确的灯光、图案</w:t>
      </w:r>
      <w:r>
        <w:rPr>
          <w:rFonts w:hint="eastAsia" w:ascii="Times New Roman" w:hAnsi="Times New Roman"/>
          <w:color w:val="000000" w:themeColor="text1"/>
          <w:lang w:val="en-US"/>
          <w14:textFill>
            <w14:solidFill>
              <w14:schemeClr w14:val="tx1"/>
            </w14:solidFill>
          </w14:textFill>
        </w:rPr>
        <w:t>等</w:t>
      </w:r>
      <w:r>
        <w:rPr>
          <w:rFonts w:hint="eastAsia" w:ascii="Times New Roman" w:hAnsi="Times New Roman"/>
          <w:color w:val="000000" w:themeColor="text1"/>
          <w14:textFill>
            <w14:solidFill>
              <w14:schemeClr w14:val="tx1"/>
            </w14:solidFill>
          </w14:textFill>
        </w:rPr>
        <w:t>视觉标识。</w:t>
      </w:r>
    </w:p>
    <w:p w14:paraId="7804F611">
      <w:pPr>
        <w:rPr>
          <w:szCs w:val="21"/>
        </w:rPr>
      </w:pPr>
      <w:r>
        <w:rPr>
          <w:rFonts w:hint="eastAsia"/>
        </w:rPr>
        <w:t>【条文说明】本条参考了日本和欧洲的建筑设计指南，避免因长而无变化的通道产生封闭压抑感，引导人员前行。</w:t>
      </w:r>
    </w:p>
    <w:p w14:paraId="7160F3D1">
      <w:pPr>
        <w:pStyle w:val="82"/>
        <w:numPr>
          <w:ilvl w:val="0"/>
          <w:numId w:val="9"/>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楼梯与台阶设计应符合</w:t>
      </w:r>
      <w:r>
        <w:rPr>
          <w:rFonts w:hint="eastAsia" w:ascii="Times New Roman" w:hAnsi="Times New Roman"/>
          <w:color w:val="000000" w:themeColor="text1"/>
          <w:szCs w:val="21"/>
          <w:lang w:val="en-US"/>
          <w14:textFill>
            <w14:solidFill>
              <w14:schemeClr w14:val="tx1"/>
            </w14:solidFill>
          </w14:textFill>
        </w:rPr>
        <w:t>下列规定</w:t>
      </w:r>
      <w:r>
        <w:rPr>
          <w:rFonts w:hint="eastAsia" w:ascii="Times New Roman" w:hAnsi="Times New Roman"/>
          <w:color w:val="000000" w:themeColor="text1"/>
          <w:szCs w:val="21"/>
          <w14:textFill>
            <w14:solidFill>
              <w14:schemeClr w14:val="tx1"/>
            </w14:solidFill>
          </w14:textFill>
        </w:rPr>
        <w:t>：</w:t>
      </w:r>
    </w:p>
    <w:p w14:paraId="2F768CB1">
      <w:pPr>
        <w:pStyle w:val="82"/>
        <w:ind w:left="420" w:firstLine="0"/>
        <w:rPr>
          <w:rFonts w:ascii="Times New Roman" w:hAnsi="Times New Roman" w:cs="Segoe UI"/>
          <w:color w:val="0F1115"/>
          <w:kern w:val="0"/>
          <w:szCs w:val="21"/>
        </w:rPr>
      </w:pPr>
      <w:r>
        <w:rPr>
          <w:rFonts w:hint="eastAsia" w:ascii="Times New Roman" w:hAnsi="Times New Roman"/>
          <w:color w:val="000000" w:themeColor="text1"/>
          <w:szCs w:val="21"/>
          <w14:textFill>
            <w14:solidFill>
              <w14:schemeClr w14:val="tx1"/>
            </w14:solidFill>
          </w14:textFill>
        </w:rPr>
        <w:t xml:space="preserve">1 </w:t>
      </w:r>
      <w:r>
        <w:rPr>
          <w:rFonts w:ascii="Times New Roman" w:hAnsi="Times New Roman" w:cs="Segoe UI"/>
          <w:color w:val="0F1115"/>
          <w:kern w:val="0"/>
          <w:szCs w:val="21"/>
        </w:rPr>
        <w:t>高层公共建筑</w:t>
      </w:r>
      <w:r>
        <w:rPr>
          <w:rFonts w:hint="eastAsia" w:ascii="Times New Roman" w:hAnsi="Times New Roman" w:cs="Segoe UI"/>
          <w:color w:val="0F1115"/>
          <w:kern w:val="0"/>
          <w:szCs w:val="21"/>
        </w:rPr>
        <w:t>的疏散楼梯宽度</w:t>
      </w:r>
      <w:r>
        <w:rPr>
          <w:rFonts w:ascii="Times New Roman" w:hAnsi="Times New Roman" w:cs="Segoe UI"/>
          <w:color w:val="0F1115"/>
          <w:kern w:val="0"/>
          <w:szCs w:val="21"/>
        </w:rPr>
        <w:t>不应小于1.3</w:t>
      </w:r>
      <w:r>
        <w:rPr>
          <w:rFonts w:hint="eastAsia" w:ascii="Times New Roman" w:hAnsi="Times New Roman" w:cs="Segoe UI"/>
          <w:color w:val="0F1115"/>
          <w:kern w:val="0"/>
          <w:szCs w:val="21"/>
          <w:lang w:val="en-US"/>
        </w:rPr>
        <w:t xml:space="preserve"> m</w:t>
      </w:r>
      <w:r>
        <w:rPr>
          <w:rFonts w:hint="eastAsia" w:ascii="Times New Roman" w:hAnsi="Times New Roman" w:cs="Segoe UI"/>
          <w:color w:val="0F1115"/>
          <w:kern w:val="0"/>
          <w:szCs w:val="21"/>
        </w:rPr>
        <w:t>，</w:t>
      </w:r>
      <w:r>
        <w:rPr>
          <w:rFonts w:ascii="Times New Roman" w:hAnsi="Times New Roman" w:cs="Segoe UI"/>
          <w:color w:val="0F1115"/>
          <w:kern w:val="0"/>
          <w:szCs w:val="21"/>
        </w:rPr>
        <w:t>疏散楼梯的梯段净宽不应小于1.1</w:t>
      </w:r>
      <w:r>
        <w:rPr>
          <w:rFonts w:hint="eastAsia" w:ascii="Times New Roman" w:hAnsi="Times New Roman" w:cs="Segoe UI"/>
          <w:color w:val="0F1115"/>
          <w:kern w:val="0"/>
          <w:szCs w:val="21"/>
          <w:lang w:val="en-US"/>
        </w:rPr>
        <w:t xml:space="preserve"> m</w:t>
      </w:r>
      <w:r>
        <w:rPr>
          <w:rFonts w:hint="eastAsia" w:ascii="Times New Roman" w:hAnsi="Times New Roman" w:cs="Segoe UI"/>
          <w:color w:val="0F1115"/>
          <w:kern w:val="0"/>
          <w:szCs w:val="21"/>
        </w:rPr>
        <w:t>；</w:t>
      </w:r>
    </w:p>
    <w:p w14:paraId="72002E33">
      <w:r>
        <w:rPr>
          <w:rFonts w:hint="eastAsia"/>
        </w:rPr>
        <w:t>【条文说明】《建筑设计防火规范》GB 50016-2014（2018年版）第5.5.18条：强制性条文，保证疏散效率。</w:t>
      </w:r>
    </w:p>
    <w:p w14:paraId="0BF95ACF">
      <w:pPr>
        <w:pStyle w:val="82"/>
        <w:ind w:firstLine="484" w:firstLineChars="202"/>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 xml:space="preserve">2 </w:t>
      </w:r>
      <w:r>
        <w:rPr>
          <w:rFonts w:ascii="Times New Roman" w:hAnsi="Times New Roman" w:cs="Segoe UI"/>
          <w:color w:val="0F1115"/>
          <w:kern w:val="0"/>
          <w:szCs w:val="21"/>
        </w:rPr>
        <w:t>同一楼梯的踏步高度与宽度应一致。</w:t>
      </w:r>
      <w:r>
        <w:rPr>
          <w:rFonts w:ascii="Times New Roman" w:hAnsi="Times New Roman" w:cs="Segoe UI"/>
          <w:b/>
          <w:bCs/>
          <w:color w:val="0F1115"/>
          <w:kern w:val="0"/>
          <w:szCs w:val="21"/>
        </w:rPr>
        <w:t>踏步高度不应大于0.175</w:t>
      </w:r>
      <w:r>
        <w:rPr>
          <w:rFonts w:hint="eastAsia" w:ascii="Times New Roman" w:hAnsi="Times New Roman" w:cs="Segoe UI"/>
          <w:b/>
          <w:bCs/>
          <w:color w:val="0F1115"/>
          <w:kern w:val="0"/>
          <w:szCs w:val="21"/>
          <w:lang w:val="en-US"/>
        </w:rPr>
        <w:t xml:space="preserve"> m</w:t>
      </w:r>
      <w:r>
        <w:rPr>
          <w:rFonts w:ascii="Times New Roman" w:hAnsi="Times New Roman" w:cs="Segoe UI"/>
          <w:b/>
          <w:bCs/>
          <w:color w:val="0F1115"/>
          <w:kern w:val="0"/>
          <w:szCs w:val="21"/>
        </w:rPr>
        <w:t>，宽度不应小于0.26</w:t>
      </w:r>
      <w:r>
        <w:rPr>
          <w:rFonts w:hint="eastAsia" w:ascii="Times New Roman" w:hAnsi="Times New Roman" w:cs="Segoe UI"/>
          <w:b/>
          <w:bCs/>
          <w:color w:val="0F1115"/>
          <w:kern w:val="0"/>
          <w:szCs w:val="21"/>
          <w:lang w:val="en-US"/>
        </w:rPr>
        <w:t xml:space="preserve"> m</w:t>
      </w:r>
      <w:r>
        <w:rPr>
          <w:rFonts w:hint="eastAsia" w:ascii="Times New Roman" w:hAnsi="Times New Roman" w:cs="Segoe UI"/>
          <w:color w:val="0F1115"/>
          <w:kern w:val="0"/>
          <w:szCs w:val="21"/>
        </w:rPr>
        <w:t>；</w:t>
      </w:r>
    </w:p>
    <w:p w14:paraId="781D6979">
      <w:pPr>
        <w:rPr>
          <w:lang w:val="sq-AL"/>
        </w:rPr>
      </w:pPr>
      <w:r>
        <w:rPr>
          <w:rFonts w:hint="eastAsia" w:eastAsia="仿宋"/>
          <w:lang w:val="sq-AL"/>
        </w:rPr>
        <w:t>【</w:t>
      </w:r>
      <w:r>
        <w:rPr>
          <w:rFonts w:hint="eastAsia" w:ascii="宋体" w:hAnsi="宋体" w:cs="宋体"/>
          <w:lang w:val="sq-AL"/>
        </w:rPr>
        <w:t>条文说明</w:t>
      </w:r>
      <w:r>
        <w:rPr>
          <w:rFonts w:hint="eastAsia" w:eastAsia="仿宋"/>
          <w:lang w:val="sq-AL"/>
        </w:rPr>
        <w:t>】</w:t>
      </w:r>
      <w:r>
        <w:rPr>
          <w:rFonts w:hint="eastAsia"/>
          <w:lang w:val="sq-AL"/>
        </w:rPr>
        <w:t>《民用建筑设计统一标准》GB 50352-2019 第6.8.10条：符合人体工程学，避免绊倒风险。新加坡CP 14《Code of Practice for Staircases》</w:t>
      </w:r>
      <w:r>
        <w:rPr>
          <w:rFonts w:hint="eastAsia"/>
        </w:rPr>
        <w:t>中也</w:t>
      </w:r>
      <w:r>
        <w:rPr>
          <w:rFonts w:hint="eastAsia"/>
          <w:lang w:val="sq-AL"/>
        </w:rPr>
        <w:t>有类似规定。</w:t>
      </w:r>
    </w:p>
    <w:p w14:paraId="1B644297">
      <w:pPr>
        <w:pStyle w:val="82"/>
        <w:ind w:firstLine="480" w:firstLineChars="20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 xml:space="preserve">3 </w:t>
      </w:r>
      <w:r>
        <w:rPr>
          <w:rFonts w:ascii="Times New Roman" w:hAnsi="Times New Roman"/>
          <w:color w:val="000000" w:themeColor="text1"/>
          <w:szCs w:val="21"/>
          <w14:textFill>
            <w14:solidFill>
              <w14:schemeClr w14:val="tx1"/>
            </w14:solidFill>
          </w14:textFill>
        </w:rPr>
        <w:t>踏步前缘宜设置材质与踏面有色彩对比</w:t>
      </w:r>
      <w:r>
        <w:rPr>
          <w:rFonts w:hint="eastAsia" w:ascii="Times New Roman" w:hAnsi="Times New Roman"/>
          <w:color w:val="000000" w:themeColor="text1"/>
          <w:szCs w:val="21"/>
          <w14:textFill>
            <w14:solidFill>
              <w14:schemeClr w14:val="tx1"/>
            </w14:solidFill>
          </w14:textFill>
        </w:rPr>
        <w:t>的</w:t>
      </w:r>
      <w:r>
        <w:rPr>
          <w:rFonts w:ascii="Times New Roman" w:hAnsi="Times New Roman"/>
          <w:color w:val="000000" w:themeColor="text1"/>
          <w:szCs w:val="21"/>
          <w14:textFill>
            <w14:solidFill>
              <w14:schemeClr w14:val="tx1"/>
            </w14:solidFill>
          </w14:textFill>
        </w:rPr>
        <w:t>防滑条。踏步应设置踢面</w:t>
      </w:r>
      <w:r>
        <w:rPr>
          <w:rFonts w:hint="eastAsia" w:ascii="Times New Roman" w:hAnsi="Times New Roman"/>
          <w:color w:val="000000" w:themeColor="text1"/>
          <w:szCs w:val="21"/>
          <w14:textFill>
            <w14:solidFill>
              <w14:schemeClr w14:val="tx1"/>
            </w14:solidFill>
          </w14:textFill>
        </w:rPr>
        <w:t>；</w:t>
      </w:r>
    </w:p>
    <w:p w14:paraId="705B699A">
      <w:r>
        <w:rPr>
          <w:rFonts w:hint="eastAsia"/>
        </w:rPr>
        <w:t>【条文说明】本条参考美国ADA和新加坡相关规定，防滑条是国际通用防跌倒设计；设置踢面也是重要的安全措施，</w:t>
      </w:r>
      <w:r>
        <w:t>避免做成无踢面的通透式楼梯，防止物体坠落或卡脚</w:t>
      </w:r>
      <w:r>
        <w:rPr>
          <w:rFonts w:hint="eastAsia"/>
        </w:rPr>
        <w:t>。</w:t>
      </w:r>
    </w:p>
    <w:p w14:paraId="7DEF3579">
      <w:pPr>
        <w:pStyle w:val="82"/>
        <w:ind w:firstLine="0"/>
        <w:rPr>
          <w:rFonts w:ascii="Times New Roman" w:hAnsi="Times New Roman" w:cs="Segoe UI"/>
          <w:color w:val="0F1115"/>
          <w:kern w:val="0"/>
          <w:szCs w:val="21"/>
        </w:rPr>
      </w:pPr>
      <w:r>
        <w:rPr>
          <w:rFonts w:ascii="Times New Roman" w:hAnsi="Times New Roman"/>
          <w:color w:val="000000" w:themeColor="text1"/>
          <w:szCs w:val="21"/>
          <w14:textFill>
            <w14:solidFill>
              <w14:schemeClr w14:val="tx1"/>
            </w14:solidFill>
          </w14:textFill>
        </w:rPr>
        <w:tab/>
      </w:r>
      <w:r>
        <w:rPr>
          <w:rFonts w:hint="eastAsia" w:ascii="Times New Roman" w:hAnsi="Times New Roman"/>
          <w:color w:val="000000" w:themeColor="text1"/>
          <w:szCs w:val="21"/>
          <w14:textFill>
            <w14:solidFill>
              <w14:schemeClr w14:val="tx1"/>
            </w14:solidFill>
          </w14:textFill>
        </w:rPr>
        <w:t xml:space="preserve">4 </w:t>
      </w:r>
      <w:r>
        <w:rPr>
          <w:rFonts w:ascii="Times New Roman" w:hAnsi="Times New Roman" w:cs="Segoe UI"/>
          <w:color w:val="0F1115"/>
          <w:kern w:val="0"/>
          <w:szCs w:val="21"/>
        </w:rPr>
        <w:t>楼梯两侧应设置连续、牢固的扶手。</w:t>
      </w:r>
    </w:p>
    <w:p w14:paraId="5CE35EF6">
      <w:r>
        <w:rPr>
          <w:rFonts w:hint="eastAsia"/>
        </w:rPr>
        <w:t>【条文说明】《民用建筑设计统一标准》GB 50352-2019，双层扶手是医院、幼儿园的国际标配，确保所有人群安全。</w:t>
      </w:r>
    </w:p>
    <w:p w14:paraId="19BEF4E3">
      <w:pPr>
        <w:pStyle w:val="82"/>
        <w:numPr>
          <w:ilvl w:val="0"/>
          <w:numId w:val="9"/>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出入口与门设计应符合</w:t>
      </w:r>
      <w:r>
        <w:rPr>
          <w:rFonts w:hint="eastAsia" w:ascii="Times New Roman" w:hAnsi="Times New Roman"/>
          <w:color w:val="000000" w:themeColor="text1"/>
          <w:szCs w:val="21"/>
          <w:lang w:val="en-US"/>
          <w14:textFill>
            <w14:solidFill>
              <w14:schemeClr w14:val="tx1"/>
            </w14:solidFill>
          </w14:textFill>
        </w:rPr>
        <w:t>下列规定</w:t>
      </w:r>
      <w:r>
        <w:rPr>
          <w:rFonts w:hint="eastAsia" w:ascii="Times New Roman" w:hAnsi="Times New Roman"/>
          <w:color w:val="000000" w:themeColor="text1"/>
          <w:szCs w:val="21"/>
          <w14:textFill>
            <w14:solidFill>
              <w14:schemeClr w14:val="tx1"/>
            </w14:solidFill>
          </w14:textFill>
        </w:rPr>
        <w:t>：</w:t>
      </w:r>
    </w:p>
    <w:p w14:paraId="4DC5630F">
      <w:pPr>
        <w:pStyle w:val="82"/>
        <w:rPr>
          <w:rFonts w:ascii="Times New Roman" w:hAnsi="Times New Roman" w:cs="Segoe UI"/>
          <w:color w:val="0F1115"/>
          <w:kern w:val="0"/>
          <w:szCs w:val="21"/>
        </w:rPr>
      </w:pPr>
      <w:r>
        <w:rPr>
          <w:rFonts w:hint="eastAsia" w:ascii="Times New Roman" w:hAnsi="Times New Roman"/>
          <w:color w:val="000000" w:themeColor="text1"/>
          <w:szCs w:val="21"/>
          <w14:textFill>
            <w14:solidFill>
              <w14:schemeClr w14:val="tx1"/>
            </w14:solidFill>
          </w14:textFill>
        </w:rPr>
        <w:t xml:space="preserve">1 </w:t>
      </w:r>
      <w:r>
        <w:rPr>
          <w:rFonts w:ascii="Times New Roman" w:hAnsi="Times New Roman" w:cs="Segoe UI"/>
          <w:color w:val="0F1115"/>
          <w:kern w:val="0"/>
          <w:szCs w:val="21"/>
        </w:rPr>
        <w:t>疏散门及安全出口的净宽度不应小于0.9</w:t>
      </w:r>
      <w:r>
        <w:rPr>
          <w:rFonts w:hint="eastAsia" w:ascii="Times New Roman" w:hAnsi="Times New Roman" w:cs="Segoe UI"/>
          <w:color w:val="0F1115"/>
          <w:kern w:val="0"/>
          <w:szCs w:val="21"/>
          <w:lang w:val="en-US"/>
        </w:rPr>
        <w:t xml:space="preserve"> m</w:t>
      </w:r>
      <w:r>
        <w:rPr>
          <w:rFonts w:ascii="Times New Roman" w:hAnsi="Times New Roman" w:cs="Segoe UI"/>
          <w:color w:val="0F1115"/>
          <w:kern w:val="0"/>
          <w:szCs w:val="21"/>
        </w:rPr>
        <w:t>，并应向疏散方向开启</w:t>
      </w:r>
      <w:r>
        <w:rPr>
          <w:rFonts w:hint="eastAsia" w:ascii="Times New Roman" w:hAnsi="Times New Roman" w:cs="Segoe UI"/>
          <w:color w:val="0F1115"/>
          <w:kern w:val="0"/>
          <w:szCs w:val="21"/>
        </w:rPr>
        <w:t>；</w:t>
      </w:r>
    </w:p>
    <w:p w14:paraId="287611F0">
      <w:r>
        <w:rPr>
          <w:rFonts w:hint="eastAsia"/>
        </w:rPr>
        <w:t>【条文说明】《建筑设计防火规范》GB 50016 第5.5.18条，确保人员快速通过，防止在门口拥堵。</w:t>
      </w:r>
    </w:p>
    <w:p w14:paraId="549AF5B5">
      <w:pPr>
        <w:rPr>
          <w:rFonts w:cs="Segoe UI"/>
          <w:color w:val="0F1115"/>
          <w:kern w:val="0"/>
          <w:szCs w:val="21"/>
        </w:rPr>
      </w:pPr>
      <w:r>
        <w:rPr>
          <w:color w:val="000000" w:themeColor="text1"/>
          <w:szCs w:val="21"/>
          <w14:textFill>
            <w14:solidFill>
              <w14:schemeClr w14:val="tx1"/>
            </w14:solidFill>
          </w14:textFill>
        </w:rPr>
        <w:tab/>
      </w:r>
      <w:r>
        <w:rPr>
          <w:rFonts w:hint="eastAsia"/>
          <w:color w:val="000000" w:themeColor="text1"/>
          <w:szCs w:val="21"/>
          <w14:textFill>
            <w14:solidFill>
              <w14:schemeClr w14:val="tx1"/>
            </w14:solidFill>
          </w14:textFill>
        </w:rPr>
        <w:t xml:space="preserve">2 </w:t>
      </w:r>
      <w:r>
        <w:rPr>
          <w:rFonts w:cs="Segoe UI"/>
          <w:color w:val="0F1115"/>
          <w:kern w:val="0"/>
          <w:szCs w:val="21"/>
        </w:rPr>
        <w:t>全玻璃门视线高度1.2</w:t>
      </w:r>
      <w:r>
        <w:rPr>
          <w:rFonts w:hint="eastAsia" w:cs="Segoe UI"/>
          <w:color w:val="0F1115"/>
          <w:kern w:val="0"/>
          <w:szCs w:val="21"/>
        </w:rPr>
        <w:t xml:space="preserve"> m</w:t>
      </w:r>
      <w:r>
        <w:rPr>
          <w:rFonts w:cs="Segoe UI"/>
          <w:color w:val="0F1115"/>
          <w:kern w:val="0"/>
          <w:szCs w:val="21"/>
        </w:rPr>
        <w:t>至1.6</w:t>
      </w:r>
      <w:r>
        <w:rPr>
          <w:rFonts w:hint="eastAsia" w:cs="Segoe UI"/>
          <w:color w:val="0F1115"/>
          <w:kern w:val="0"/>
          <w:szCs w:val="21"/>
        </w:rPr>
        <w:t xml:space="preserve"> m</w:t>
      </w:r>
      <w:r>
        <w:rPr>
          <w:rFonts w:cs="Segoe UI"/>
          <w:color w:val="0F1115"/>
          <w:kern w:val="0"/>
          <w:szCs w:val="21"/>
        </w:rPr>
        <w:t>处</w:t>
      </w:r>
      <w:r>
        <w:rPr>
          <w:rFonts w:hint="eastAsia" w:cs="Segoe UI"/>
          <w:color w:val="0F1115"/>
          <w:kern w:val="0"/>
          <w:szCs w:val="21"/>
        </w:rPr>
        <w:t>应</w:t>
      </w:r>
      <w:r>
        <w:rPr>
          <w:rFonts w:cs="Segoe UI"/>
          <w:color w:val="0F1115"/>
          <w:kern w:val="0"/>
          <w:szCs w:val="21"/>
        </w:rPr>
        <w:t>设置醒目的条纹或点状图案</w:t>
      </w:r>
      <w:r>
        <w:rPr>
          <w:rFonts w:hint="eastAsia" w:cs="Segoe UI"/>
          <w:color w:val="0F1115"/>
          <w:kern w:val="0"/>
          <w:szCs w:val="21"/>
        </w:rPr>
        <w:t>的</w:t>
      </w:r>
      <w:r>
        <w:rPr>
          <w:rFonts w:cs="Segoe UI"/>
          <w:color w:val="0F1115"/>
          <w:kern w:val="0"/>
          <w:szCs w:val="21"/>
        </w:rPr>
        <w:t>防撞标识</w:t>
      </w:r>
      <w:r>
        <w:rPr>
          <w:rFonts w:hint="eastAsia" w:cs="Segoe UI"/>
          <w:color w:val="0F1115"/>
          <w:kern w:val="0"/>
          <w:szCs w:val="21"/>
        </w:rPr>
        <w:t>；</w:t>
      </w:r>
    </w:p>
    <w:p w14:paraId="57D11292">
      <w:r>
        <w:rPr>
          <w:rFonts w:hint="eastAsia"/>
        </w:rPr>
        <w:t>【条文说明】《建筑玻璃应用技术规程》JGJ 113，防撞标识是国际通用最佳实践，防止人员误撞。</w:t>
      </w:r>
    </w:p>
    <w:p w14:paraId="0AC24183">
      <w:pPr>
        <w:rPr>
          <w:rFonts w:cs="Segoe UI"/>
          <w:color w:val="0F1115"/>
          <w:kern w:val="0"/>
          <w:szCs w:val="21"/>
        </w:rPr>
      </w:pPr>
      <w:r>
        <w:rPr>
          <w:color w:val="000000" w:themeColor="text1"/>
          <w:szCs w:val="21"/>
          <w14:textFill>
            <w14:solidFill>
              <w14:schemeClr w14:val="tx1"/>
            </w14:solidFill>
          </w14:textFill>
        </w:rPr>
        <w:tab/>
      </w:r>
      <w:r>
        <w:rPr>
          <w:rFonts w:hint="eastAsia"/>
          <w:color w:val="000000" w:themeColor="text1"/>
          <w:szCs w:val="21"/>
          <w14:textFill>
            <w14:solidFill>
              <w14:schemeClr w14:val="tx1"/>
            </w14:solidFill>
          </w14:textFill>
        </w:rPr>
        <w:t>3</w:t>
      </w:r>
      <w:r>
        <w:rPr>
          <w:rFonts w:cs="Segoe UI"/>
          <w:color w:val="0F1115"/>
          <w:kern w:val="0"/>
          <w:szCs w:val="21"/>
        </w:rPr>
        <w:t>设置门禁系统的疏散门，必须保证在火灾信号触发时能自动释放。</w:t>
      </w:r>
    </w:p>
    <w:p w14:paraId="5957E33B">
      <w:bookmarkStart w:id="50" w:name="_Hlk209552439"/>
      <w:r>
        <w:rPr>
          <w:rFonts w:hint="eastAsia"/>
        </w:rPr>
        <w:t>【条文说明】</w:t>
      </w:r>
      <w:bookmarkEnd w:id="50"/>
      <w:r>
        <w:rPr>
          <w:rFonts w:hint="eastAsia"/>
        </w:rPr>
        <w:t>根据《火灾自动报警系统设计规范》GB 50116，疏散门是生命通道的基本要求，全球防火规范均强制规定，</w:t>
      </w:r>
      <w:r>
        <w:t>且不需任何工具即可从疏散侧徒手、单一动作开启</w:t>
      </w:r>
      <w:r>
        <w:rPr>
          <w:rFonts w:hint="eastAsia"/>
        </w:rPr>
        <w:t>。</w:t>
      </w:r>
    </w:p>
    <w:p w14:paraId="00167039">
      <w:pPr>
        <w:pStyle w:val="82"/>
        <w:numPr>
          <w:ilvl w:val="0"/>
          <w:numId w:val="9"/>
        </w:numPr>
        <w:ind w:firstLine="0"/>
      </w:pPr>
      <w:r>
        <w:rPr>
          <w:rFonts w:hint="eastAsia"/>
        </w:rPr>
        <w:t>居住区场地内无障碍系统应与主要通道无障碍衔接。</w:t>
      </w:r>
    </w:p>
    <w:p w14:paraId="3688B28E">
      <w:pPr>
        <w:pStyle w:val="82"/>
        <w:numPr>
          <w:ilvl w:val="0"/>
          <w:numId w:val="9"/>
        </w:numPr>
        <w:ind w:firstLine="0"/>
      </w:pPr>
      <w:r>
        <w:rPr>
          <w:rFonts w:hint="eastAsia"/>
        </w:rPr>
        <w:t>适老建筑的公共走廊宜一侧安装连续扶手，扶手高度</w:t>
      </w:r>
      <w:r>
        <w:rPr>
          <w:rFonts w:hint="eastAsia"/>
          <w:lang w:val="en-US" w:eastAsia="zh-CN"/>
        </w:rPr>
        <w:t>应</w:t>
      </w:r>
      <w:r>
        <w:rPr>
          <w:rFonts w:hint="eastAsia"/>
        </w:rPr>
        <w:t>为</w:t>
      </w:r>
      <w:r>
        <w:rPr>
          <w:rFonts w:hint="eastAsia" w:ascii="Times New Roman" w:hAnsi="Times New Roman" w:eastAsia="宋体" w:cs="Times New Roman"/>
          <w:kern w:val="2"/>
          <w:sz w:val="24"/>
          <w:szCs w:val="24"/>
          <w:lang w:val="en-US" w:eastAsia="zh-CN" w:bidi="ar-SA"/>
        </w:rPr>
        <w:t>0.8m~0.9m</w:t>
      </w:r>
      <w:r>
        <w:rPr>
          <w:rFonts w:hint="eastAsia"/>
        </w:rPr>
        <w:t>。安全扶手与墙间应有</w:t>
      </w:r>
      <w:r>
        <w:rPr>
          <w:rFonts w:hint="eastAsia" w:ascii="Times New Roman" w:hAnsi="Times New Roman" w:eastAsia="宋体" w:cs="Times New Roman"/>
          <w:kern w:val="2"/>
          <w:sz w:val="24"/>
          <w:szCs w:val="24"/>
          <w:lang w:val="en-US" w:eastAsia="zh-CN" w:bidi="ar-SA"/>
        </w:rPr>
        <w:t>40mm~50mm</w:t>
      </w:r>
      <w:r>
        <w:rPr>
          <w:rFonts w:hint="eastAsia"/>
        </w:rPr>
        <w:t>的空隙，扶手转角作圆角处理。扶手端部向下方或墙壁方向弯曲。</w:t>
      </w:r>
    </w:p>
    <w:p w14:paraId="49870147">
      <w:pPr>
        <w:pStyle w:val="82"/>
        <w:numPr>
          <w:ilvl w:val="0"/>
          <w:numId w:val="9"/>
        </w:numPr>
        <w:ind w:firstLine="0"/>
        <w:rPr>
          <w:rFonts w:hint="eastAsia"/>
        </w:rPr>
      </w:pPr>
      <w:r>
        <w:rPr>
          <w:rFonts w:hint="eastAsia"/>
        </w:rPr>
        <w:t>适老建筑淋浴区宜采用外开门或软质隔断，宜放置安全、稳固、防滑的浴凳。</w:t>
      </w:r>
    </w:p>
    <w:p w14:paraId="1BB52175">
      <w:pPr>
        <w:pStyle w:val="82"/>
        <w:numPr>
          <w:ilvl w:val="0"/>
          <w:numId w:val="9"/>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应急照明与标识设计应符合</w:t>
      </w:r>
      <w:r>
        <w:rPr>
          <w:rFonts w:hint="eastAsia" w:ascii="Times New Roman" w:hAnsi="Times New Roman"/>
          <w:color w:val="000000" w:themeColor="text1"/>
          <w:szCs w:val="21"/>
          <w:lang w:val="en-US"/>
          <w14:textFill>
            <w14:solidFill>
              <w14:schemeClr w14:val="tx1"/>
            </w14:solidFill>
          </w14:textFill>
        </w:rPr>
        <w:t>下列规定</w:t>
      </w:r>
      <w:r>
        <w:rPr>
          <w:rFonts w:hint="eastAsia" w:ascii="Times New Roman" w:hAnsi="Times New Roman"/>
          <w:color w:val="000000" w:themeColor="text1"/>
          <w:szCs w:val="21"/>
          <w14:textFill>
            <w14:solidFill>
              <w14:schemeClr w14:val="tx1"/>
            </w14:solidFill>
          </w14:textFill>
        </w:rPr>
        <w:t>：</w:t>
      </w:r>
    </w:p>
    <w:p w14:paraId="0ED142E0">
      <w:pPr>
        <w:ind w:firstLine="42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1 </w:t>
      </w:r>
      <w:r>
        <w:rPr>
          <w:rFonts w:cs="Segoe UI"/>
          <w:color w:val="0F1115"/>
          <w:kern w:val="0"/>
          <w:szCs w:val="21"/>
        </w:rPr>
        <w:t>疏散路线上的安全出口标志和疏散方向标志必须保持视觉连续性，</w:t>
      </w:r>
      <w:r>
        <w:rPr>
          <w:rFonts w:hint="eastAsia" w:cs="Segoe UI"/>
          <w:color w:val="0F1115"/>
          <w:kern w:val="0"/>
          <w:szCs w:val="21"/>
        </w:rPr>
        <w:t>应</w:t>
      </w:r>
      <w:r>
        <w:rPr>
          <w:rFonts w:cs="Segoe UI"/>
          <w:color w:val="0F1115"/>
          <w:kern w:val="0"/>
          <w:szCs w:val="21"/>
        </w:rPr>
        <w:t>设置在人员最容易看到的位置</w:t>
      </w:r>
      <w:r>
        <w:rPr>
          <w:rFonts w:hint="eastAsia" w:cs="Segoe UI"/>
          <w:color w:val="0F1115"/>
          <w:kern w:val="0"/>
          <w:szCs w:val="21"/>
        </w:rPr>
        <w:t>；</w:t>
      </w:r>
    </w:p>
    <w:p w14:paraId="0CFF35CA">
      <w:r>
        <w:rPr>
          <w:rFonts w:hint="eastAsia"/>
        </w:rPr>
        <w:t>【条文说明】本条主要参考《消防应急照明和疏散指示系统技术标准》GB 51309-2018 第3.2.9条中的规定，确保在任何情况下都能清晰指示方向，任何位置到最近标志的视距不应大于15 m，袋形走道尽头不应大于10 m。</w:t>
      </w:r>
    </w:p>
    <w:p w14:paraId="35BF3284">
      <w:pPr>
        <w:ind w:firstLine="420"/>
        <w:rPr>
          <w:color w:val="000000" w:themeColor="text1"/>
          <w:szCs w:val="21"/>
          <w14:textFill>
            <w14:solidFill>
              <w14:schemeClr w14:val="tx1"/>
            </w14:solidFill>
          </w14:textFill>
        </w:rPr>
      </w:pPr>
      <w:r>
        <w:rPr>
          <w:rFonts w:hint="eastAsia" w:cs="Segoe UI"/>
          <w:color w:val="0F1115"/>
          <w:kern w:val="0"/>
          <w:szCs w:val="21"/>
        </w:rPr>
        <w:t>2</w:t>
      </w:r>
      <w:r>
        <w:rPr>
          <w:rFonts w:cs="Segoe UI"/>
          <w:color w:val="0F1115"/>
          <w:kern w:val="0"/>
          <w:szCs w:val="21"/>
        </w:rPr>
        <w:t>在商场、车站</w:t>
      </w:r>
      <w:r>
        <w:rPr>
          <w:rFonts w:hint="eastAsia" w:cs="Segoe UI"/>
          <w:color w:val="0F1115"/>
          <w:kern w:val="0"/>
          <w:szCs w:val="21"/>
        </w:rPr>
        <w:t>等</w:t>
      </w:r>
      <w:r>
        <w:rPr>
          <w:rFonts w:cs="Segoe UI"/>
          <w:color w:val="0F1115"/>
          <w:kern w:val="0"/>
          <w:szCs w:val="21"/>
        </w:rPr>
        <w:t>大型公共场所、烟雾可能积聚的区域，除墙面标志外，宜增设蓄光型或电致发光型地面疏散指示标志</w:t>
      </w:r>
      <w:r>
        <w:rPr>
          <w:rFonts w:hint="eastAsia" w:cs="Segoe UI"/>
          <w:color w:val="0F1115"/>
          <w:kern w:val="0"/>
          <w:szCs w:val="21"/>
        </w:rPr>
        <w:t>；</w:t>
      </w:r>
    </w:p>
    <w:p w14:paraId="0301CB46">
      <w:r>
        <w:rPr>
          <w:rFonts w:hint="eastAsia"/>
        </w:rPr>
        <w:t>【条文说明】地面疏散指示设计要求借鉴了日本和英国的相关标准：烟雾通常自上而下蔓延，地面标志在能见度低时更为有效，可</w:t>
      </w:r>
      <w:r>
        <w:rPr>
          <w:rFonts w:cs="Segoe UI"/>
          <w:color w:val="0F1115"/>
          <w:kern w:val="0"/>
          <w:szCs w:val="21"/>
        </w:rPr>
        <w:t>形成清晰的“逃生路径”</w:t>
      </w:r>
      <w:r>
        <w:rPr>
          <w:rFonts w:hint="eastAsia"/>
        </w:rPr>
        <w:t>。</w:t>
      </w:r>
    </w:p>
    <w:p w14:paraId="76DFDD52">
      <w:pPr>
        <w:rPr>
          <w:color w:val="000000" w:themeColor="text1"/>
          <w:szCs w:val="21"/>
          <w14:textFill>
            <w14:solidFill>
              <w14:schemeClr w14:val="tx1"/>
            </w14:solidFill>
          </w14:textFill>
        </w:rPr>
      </w:pPr>
      <w:r>
        <w:rPr>
          <w:color w:val="000000" w:themeColor="text1"/>
          <w:szCs w:val="21"/>
          <w14:textFill>
            <w14:solidFill>
              <w14:schemeClr w14:val="tx1"/>
            </w14:solidFill>
          </w14:textFill>
        </w:rPr>
        <w:tab/>
      </w:r>
      <w:r>
        <w:rPr>
          <w:rFonts w:hint="eastAsia"/>
          <w:color w:val="000000" w:themeColor="text1"/>
          <w:szCs w:val="21"/>
          <w14:textFill>
            <w14:solidFill>
              <w14:schemeClr w14:val="tx1"/>
            </w14:solidFill>
          </w14:textFill>
        </w:rPr>
        <w:t xml:space="preserve">3 </w:t>
      </w:r>
      <w:r>
        <w:rPr>
          <w:rFonts w:hint="eastAsia" w:cs="Segoe UI"/>
          <w:color w:val="0F1115"/>
          <w:kern w:val="0"/>
          <w:szCs w:val="21"/>
        </w:rPr>
        <w:t>疏散通道地面中心的最低水平照度不应低于1.0 lx，人员密集场所不应低于3.0 lx。</w:t>
      </w:r>
    </w:p>
    <w:p w14:paraId="053A8908">
      <w:r>
        <w:rPr>
          <w:rFonts w:hint="eastAsia"/>
        </w:rPr>
        <w:t>【条文说明】本条主要参考《消防应急照明和疏散指示系统技术标准》GB 51309-2018 第3.2.5条中的规定：保证人员能看清地面障碍，安全撤离。</w:t>
      </w:r>
    </w:p>
    <w:p w14:paraId="31A7B43A">
      <w:pPr>
        <w:pStyle w:val="82"/>
        <w:numPr>
          <w:ilvl w:val="0"/>
          <w:numId w:val="9"/>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在不利场地条件及靠近人流密集区域的道路应设置限速措施。</w:t>
      </w:r>
    </w:p>
    <w:p w14:paraId="09B9D104">
      <w:r>
        <w:rPr>
          <w:rFonts w:hint="eastAsia"/>
        </w:rPr>
        <w:t>【条文说明】本条要求在不利场地条件及靠近施工区域的路段设置限速措施，以降低车辆与人员冲突风险，设计时需要结合《建筑施工安全技术统一规范》</w:t>
      </w:r>
      <w:r>
        <w:t>GB 50870-2013</w:t>
      </w:r>
      <w:r>
        <w:rPr>
          <w:rFonts w:hint="eastAsia"/>
        </w:rPr>
        <w:t>及交通安全标准，合理布置限速标志、减速设施并确保夜间可视性。</w:t>
      </w:r>
    </w:p>
    <w:p w14:paraId="389445EB">
      <w:pPr>
        <w:pStyle w:val="82"/>
        <w:numPr>
          <w:ilvl w:val="0"/>
          <w:numId w:val="9"/>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rPr>
        <w:t>场地出入口</w:t>
      </w:r>
      <w:r>
        <w:rPr>
          <w:rFonts w:hint="eastAsia" w:ascii="Times New Roman" w:hAnsi="Times New Roman"/>
          <w:lang w:val="en-US"/>
        </w:rPr>
        <w:t>应设计</w:t>
      </w:r>
      <w:r>
        <w:rPr>
          <w:rFonts w:hint="eastAsia" w:ascii="Times New Roman" w:hAnsi="Times New Roman"/>
          <w:color w:val="000000" w:themeColor="text1"/>
          <w:szCs w:val="21"/>
          <w14:textFill>
            <w14:solidFill>
              <w14:schemeClr w14:val="tx1"/>
            </w14:solidFill>
          </w14:textFill>
        </w:rPr>
        <w:t>单行系统，在道路设计中</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引入减速带、震动标线、限宽装置等交通减速设施。</w:t>
      </w:r>
    </w:p>
    <w:p w14:paraId="2B4B1C71">
      <w:pPr>
        <w:pStyle w:val="82"/>
        <w:ind w:firstLine="0"/>
        <w:rPr>
          <w:rFonts w:ascii="Times New Roman" w:hAnsi="Times New Roman"/>
        </w:rPr>
      </w:pPr>
      <w:r>
        <w:rPr>
          <w:rFonts w:hint="eastAsia" w:ascii="Times New Roman" w:hAnsi="Times New Roman"/>
        </w:rPr>
        <w:t>【条文说明】</w:t>
      </w:r>
      <w:r>
        <w:rPr>
          <w:rFonts w:hint="eastAsia" w:ascii="Times New Roman" w:hAnsi="Times New Roman"/>
          <w:lang w:val="en-US"/>
        </w:rPr>
        <w:t>本条</w:t>
      </w:r>
      <w:r>
        <w:rPr>
          <w:rFonts w:hint="eastAsia" w:ascii="Times New Roman" w:hAnsi="Times New Roman"/>
        </w:rPr>
        <w:t>强调场地出入口</w:t>
      </w:r>
      <w:r>
        <w:rPr>
          <w:rFonts w:hint="eastAsia" w:ascii="Times New Roman" w:hAnsi="Times New Roman"/>
          <w:lang w:val="en-US"/>
        </w:rPr>
        <w:t>需</w:t>
      </w:r>
      <w:r>
        <w:rPr>
          <w:rFonts w:hint="eastAsia" w:ascii="Times New Roman" w:hAnsi="Times New Roman"/>
          <w:color w:val="000000" w:themeColor="text1"/>
          <w:szCs w:val="21"/>
          <w14:textFill>
            <w14:solidFill>
              <w14:schemeClr w14:val="tx1"/>
            </w14:solidFill>
          </w14:textFill>
        </w:rPr>
        <w:t>采用</w:t>
      </w:r>
      <w:r>
        <w:rPr>
          <w:rFonts w:hint="eastAsia" w:ascii="Times New Roman" w:hAnsi="Times New Roman"/>
        </w:rPr>
        <w:t>单行系统和减速设施，旨在减少车辆碰撞和拥堵，设计时</w:t>
      </w:r>
      <w:r>
        <w:rPr>
          <w:rFonts w:hint="eastAsia" w:ascii="Times New Roman" w:hAnsi="Times New Roman"/>
          <w:lang w:val="en-US"/>
        </w:rPr>
        <w:t>需要</w:t>
      </w:r>
      <w:r>
        <w:rPr>
          <w:rFonts w:hint="eastAsia" w:ascii="Times New Roman" w:hAnsi="Times New Roman"/>
        </w:rPr>
        <w:t>结合施工交通组织方案，优先采用物理隔离与标识引导，确保施工车辆与社会交通安全分流。</w:t>
      </w:r>
    </w:p>
    <w:p w14:paraId="7B8EED3E">
      <w:pPr>
        <w:pStyle w:val="82"/>
        <w:numPr>
          <w:ilvl w:val="0"/>
          <w:numId w:val="9"/>
        </w:numPr>
        <w:ind w:firstLine="0"/>
        <w:rPr>
          <w:rFonts w:ascii="Times New Roman" w:hAnsi="Times New Roman"/>
          <w:bCs/>
          <w:szCs w:val="21"/>
        </w:rPr>
      </w:pPr>
      <w:r>
        <w:rPr>
          <w:rFonts w:hint="eastAsia" w:ascii="Times New Roman" w:hAnsi="Times New Roman"/>
          <w:bCs/>
          <w:szCs w:val="21"/>
        </w:rPr>
        <w:t>在车辆通行区的区域，</w:t>
      </w:r>
      <w:r>
        <w:rPr>
          <w:rFonts w:hint="eastAsia" w:ascii="Times New Roman" w:hAnsi="Times New Roman"/>
          <w:bCs/>
          <w:szCs w:val="21"/>
          <w:lang w:val="en-US"/>
        </w:rPr>
        <w:t>应</w:t>
      </w:r>
      <w:r>
        <w:rPr>
          <w:rFonts w:hint="eastAsia" w:ascii="Times New Roman" w:hAnsi="Times New Roman"/>
          <w:bCs/>
          <w:szCs w:val="21"/>
        </w:rPr>
        <w:t>额外考虑进入办公区域、食堂及厕所的安全可达性。</w:t>
      </w:r>
    </w:p>
    <w:p w14:paraId="35306DB1">
      <w:pPr>
        <w:pStyle w:val="82"/>
        <w:numPr>
          <w:ilvl w:val="0"/>
          <w:numId w:val="9"/>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在交通设计时，应为行人提供单独的入口和出口。</w:t>
      </w:r>
    </w:p>
    <w:p w14:paraId="1DECF70B">
      <w:pPr>
        <w:pStyle w:val="82"/>
        <w:numPr>
          <w:ilvl w:val="0"/>
          <w:numId w:val="9"/>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设计时宜将重型运输通道与轻型车辆通道分开，并</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将行人与车辆通道分开。</w:t>
      </w:r>
    </w:p>
    <w:p w14:paraId="26CE2F5F">
      <w:pPr>
        <w:pStyle w:val="82"/>
        <w:numPr>
          <w:ilvl w:val="0"/>
          <w:numId w:val="9"/>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设计时应规划建筑内存储区域。</w:t>
      </w:r>
    </w:p>
    <w:p w14:paraId="4EFC2933">
      <w:r>
        <w:rPr>
          <w:rFonts w:hint="eastAsia"/>
        </w:rPr>
        <w:t>【条文说明】4.3.8~4.3.11 本组条款要求通过物理屏障、行人专用通道、合理的车辆流线等设计，保障行人安全并减少车辆倒车和交叉干扰，设计时需结合《城市道路交通设施设计规范》GB 50688-2011，确保人车分离、重轻型车辆分流，并在仓储区、办公区、食堂等关键节点设置安全可达路径。</w:t>
      </w:r>
    </w:p>
    <w:p w14:paraId="3AC573A0">
      <w:pPr>
        <w:pStyle w:val="82"/>
        <w:ind w:firstLine="0"/>
        <w:rPr>
          <w:rFonts w:ascii="Times New Roman" w:hAnsi="Times New Roman" w:eastAsia="仿宋"/>
          <w:color w:val="000000" w:themeColor="text1"/>
          <w14:textFill>
            <w14:solidFill>
              <w14:schemeClr w14:val="tx1"/>
            </w14:solidFill>
          </w14:textFill>
        </w:rPr>
      </w:pPr>
    </w:p>
    <w:p w14:paraId="43F1A2C2">
      <w:pPr>
        <w:pStyle w:val="4"/>
      </w:pPr>
      <w:bookmarkStart w:id="51" w:name="_Toc213254730"/>
      <w:bookmarkStart w:id="52" w:name="_Toc13234"/>
      <w:r>
        <w:t>4.</w:t>
      </w:r>
      <w:r>
        <w:rPr>
          <w:rFonts w:hint="eastAsia"/>
        </w:rPr>
        <w:t>4设备隔离安全防护设计</w:t>
      </w:r>
      <w:bookmarkEnd w:id="51"/>
      <w:bookmarkEnd w:id="52"/>
    </w:p>
    <w:p w14:paraId="27FDB9F4">
      <w:pPr>
        <w:pStyle w:val="82"/>
        <w:numPr>
          <w:ilvl w:val="0"/>
          <w:numId w:val="10"/>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机械设备的位置应</w:t>
      </w:r>
      <w:r>
        <w:rPr>
          <w:rFonts w:hint="eastAsia" w:ascii="Times New Roman" w:hAnsi="Times New Roman"/>
          <w:color w:val="000000" w:themeColor="text1"/>
          <w:szCs w:val="21"/>
          <w:lang w:val="en-US"/>
          <w14:textFill>
            <w14:solidFill>
              <w14:schemeClr w14:val="tx1"/>
            </w14:solidFill>
          </w14:textFill>
        </w:rPr>
        <w:t>确保</w:t>
      </w:r>
      <w:r>
        <w:rPr>
          <w:rFonts w:hint="eastAsia" w:ascii="Times New Roman" w:hAnsi="Times New Roman"/>
          <w:color w:val="000000" w:themeColor="text1"/>
          <w:szCs w:val="21"/>
          <w14:textFill>
            <w14:solidFill>
              <w14:schemeClr w14:val="tx1"/>
            </w14:solidFill>
          </w14:textFill>
        </w:rPr>
        <w:t>人员难以接近危险部件。设计应综合考虑工艺动线、检修动线与疏散动线，</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设置仅授权进入的受限空间、上锁/挂牌（LOTO）与必要的标识警示。</w:t>
      </w:r>
    </w:p>
    <w:p w14:paraId="4BD39870">
      <w:r>
        <w:rPr>
          <w:rFonts w:hint="eastAsia"/>
        </w:rPr>
        <w:t>【条文说明】本条提出机械设备需布置在人员难以接近的部位，借由空间分隔、围栏、通道组织及最小接近距离控制等手段，从源头减少人员与危险点的可达性并降低误入风险。设置警示标识是为了使设备危险区与人员作业区清晰分隔并便于监管。</w:t>
      </w:r>
    </w:p>
    <w:p w14:paraId="0F8BCF84">
      <w:pPr>
        <w:ind w:firstLine="480"/>
        <w:rPr>
          <w:szCs w:val="21"/>
        </w:rPr>
      </w:pPr>
      <w:r>
        <w:rPr>
          <w:rFonts w:hint="eastAsia"/>
          <w:szCs w:val="21"/>
        </w:rPr>
        <w:t>本条要求安全防护设施在机器出现故障时仍能防止危及人员安全，强调防护和控制系统的失效安全（Fail-Safe）与故障导向设计，建议采用具有自监测和诊断功能的安全回路与联锁逻辑、选择合适的性能等级/安全完整性等级，并在布置上避免旁路与人为失效路径，同时确保电源中断、停电或控制失灵时设备能保持或转入安全状态。</w:t>
      </w:r>
    </w:p>
    <w:p w14:paraId="01A4B1BB">
      <w:pPr>
        <w:pStyle w:val="82"/>
        <w:numPr>
          <w:ilvl w:val="0"/>
          <w:numId w:val="10"/>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电梯、风机、水泵、制冷机组、变配电装置、传送带、厨房设备等所有机械与电气设备，其设计、选型和布局必须优先采用设备本身的安全措施，其次</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采用安全防护装置，最后应采用警示信息，其危险部位必须与人员活动区域进行物理隔离。</w:t>
      </w:r>
    </w:p>
    <w:p w14:paraId="2642FDF2">
      <w:r>
        <w:rPr>
          <w:rFonts w:hint="eastAsia"/>
        </w:rPr>
        <w:t>【条文说明】 本条主要参考《机械安全设计通则》ISO 12100 和《机械安全 设计通则 风险评价与风险降低》GB/T 15706-2012中的“安全防护三层级方法”，其优先级顺序为：1. 消除危险；2. 设置防护装置；3. 使用警示标识。这是全球通用的机械安全设计基石。</w:t>
      </w:r>
    </w:p>
    <w:p w14:paraId="7314EA6E">
      <w:pPr>
        <w:pStyle w:val="82"/>
        <w:numPr>
          <w:ilvl w:val="0"/>
          <w:numId w:val="10"/>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冷水机组、水泵、锅炉、变压器、大型风机</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所有产生噪声、振动、热量或具有危险运动部件的设备，必须设置在专用的、可上锁的设备间内，严禁设置在人员日常工作或密集通行的区域。</w:t>
      </w:r>
    </w:p>
    <w:p w14:paraId="0472682D">
      <w:r>
        <w:rPr>
          <w:rFonts w:hint="eastAsia"/>
        </w:rPr>
        <w:t>【条文说明】本条是物理隔离与防护装置要求，参考《民用建筑设计统一标准》GB 50352 中对设备用房设置的通用要求，这是最根本的隔离措施，实现“空间隔离”。</w:t>
      </w:r>
    </w:p>
    <w:p w14:paraId="341338ED">
      <w:pPr>
        <w:pStyle w:val="82"/>
        <w:numPr>
          <w:ilvl w:val="0"/>
          <w:numId w:val="10"/>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设计时</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遵循“固定式防护优先于可拆卸防护、集体防护优先于个体防护”的层级，</w:t>
      </w:r>
      <w:r>
        <w:rPr>
          <w:rFonts w:hint="eastAsia" w:ascii="Times New Roman" w:hAnsi="Times New Roman"/>
          <w:color w:val="000000" w:themeColor="text1"/>
          <w:szCs w:val="21"/>
          <w:lang w:val="en-US"/>
          <w14:textFill>
            <w14:solidFill>
              <w14:schemeClr w14:val="tx1"/>
            </w14:solidFill>
          </w14:textFill>
        </w:rPr>
        <w:t>可</w:t>
      </w:r>
      <w:r>
        <w:rPr>
          <w:rFonts w:hint="eastAsia" w:ascii="Times New Roman" w:hAnsi="Times New Roman"/>
          <w:color w:val="000000" w:themeColor="text1"/>
          <w:szCs w:val="21"/>
          <w14:textFill>
            <w14:solidFill>
              <w14:schemeClr w14:val="tx1"/>
            </w14:solidFill>
          </w14:textFill>
        </w:rPr>
        <w:t>结合设备用途与维护需求配置防护罩、联锁、急停、光电保护与安全距离等措施，并</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与现行机械安全风险评估和防护装置类标准相协调。皮带、联轴器、链条、齿轮、旋转轴</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所有暴露的运动部件必须设置永久性的固定式防护罩，防护罩必须用工具才能打开或拆卸。</w:t>
      </w:r>
    </w:p>
    <w:p w14:paraId="607BA6E0">
      <w:r>
        <w:rPr>
          <w:rFonts w:hint="eastAsia"/>
        </w:rPr>
        <w:t xml:space="preserve">【条文说明】本条强调对机械设备设置必要的防护设施以减少机械伤害，意在通过本质安全与工程控制优先的原则，将人员与运动部件、热表面、锐边、挤压剪切点等危险源有效隔离。 </w:t>
      </w:r>
    </w:p>
    <w:p w14:paraId="02BDC3DC">
      <w:pPr>
        <w:ind w:firstLine="480"/>
      </w:pPr>
      <w:r>
        <w:rPr>
          <w:rFonts w:hint="eastAsia"/>
        </w:rPr>
        <w:t>根据《机械安全 防止上下肢触及危险区的安全距离》GB/T 23821-2022 和《机械安全 防护装置 固定式和活动式防护装置设计与制造一般要求》GB/T 8196-2018，这是防止接触性伤害的核心手段。</w:t>
      </w:r>
    </w:p>
    <w:p w14:paraId="450F724A">
      <w:pPr>
        <w:pStyle w:val="82"/>
        <w:numPr>
          <w:ilvl w:val="0"/>
          <w:numId w:val="10"/>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传送带进出口等设备的防护装置，其开口与危险区域必须保持安全距离，应符合下列规定：</w:t>
      </w:r>
    </w:p>
    <w:p w14:paraId="7CA05088">
      <w:pPr>
        <w:pStyle w:val="82"/>
        <w:numPr>
          <w:ilvl w:val="255"/>
          <w:numId w:val="0"/>
        </w:numPr>
        <w:ind w:firstLine="480" w:firstLineChars="20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14:textFill>
            <w14:solidFill>
              <w14:schemeClr w14:val="tx1"/>
            </w14:solidFill>
          </w14:textFill>
        </w:rPr>
        <w:t xml:space="preserve">1 </w:t>
      </w:r>
      <w:r>
        <w:rPr>
          <w:rFonts w:hint="eastAsia" w:ascii="Times New Roman" w:hAnsi="Times New Roman"/>
          <w:color w:val="000000" w:themeColor="text1"/>
          <w:szCs w:val="21"/>
          <w14:textFill>
            <w14:solidFill>
              <w14:schemeClr w14:val="tx1"/>
            </w14:solidFill>
          </w14:textFill>
        </w:rPr>
        <w:t>防止手指触及的开口尺寸应小于8</w:t>
      </w:r>
      <w:r>
        <w:rPr>
          <w:rFonts w:hint="eastAsia" w:ascii="Times New Roman" w:hAnsi="Times New Roman"/>
          <w:color w:val="000000" w:themeColor="text1"/>
          <w:szCs w:val="21"/>
          <w:lang w:val="en-US"/>
          <w14:textFill>
            <w14:solidFill>
              <w14:schemeClr w14:val="tx1"/>
            </w14:solidFill>
          </w14:textFill>
        </w:rPr>
        <w:t xml:space="preserve"> </w:t>
      </w:r>
      <w:r>
        <w:rPr>
          <w:rFonts w:hint="eastAsia" w:ascii="Times New Roman" w:hAnsi="Times New Roman"/>
          <w:color w:val="000000" w:themeColor="text1"/>
          <w:szCs w:val="21"/>
          <w14:textFill>
            <w14:solidFill>
              <w14:schemeClr w14:val="tx1"/>
            </w14:solidFill>
          </w14:textFill>
        </w:rPr>
        <w:t>mm；</w:t>
      </w:r>
    </w:p>
    <w:p w14:paraId="2D3E6579">
      <w:pPr>
        <w:pStyle w:val="82"/>
        <w:numPr>
          <w:ilvl w:val="255"/>
          <w:numId w:val="0"/>
        </w:numPr>
        <w:ind w:firstLine="480" w:firstLineChars="20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14:textFill>
            <w14:solidFill>
              <w14:schemeClr w14:val="tx1"/>
            </w14:solidFill>
          </w14:textFill>
        </w:rPr>
        <w:t xml:space="preserve">2 </w:t>
      </w:r>
      <w:r>
        <w:rPr>
          <w:rFonts w:hint="eastAsia" w:ascii="Times New Roman" w:hAnsi="Times New Roman"/>
          <w:color w:val="000000" w:themeColor="text1"/>
          <w:szCs w:val="21"/>
          <w14:textFill>
            <w14:solidFill>
              <w14:schemeClr w14:val="tx1"/>
            </w14:solidFill>
          </w14:textFill>
        </w:rPr>
        <w:t>防止手臂触及的</w:t>
      </w:r>
      <w:r>
        <w:rPr>
          <w:rFonts w:hint="eastAsia" w:ascii="Times New Roman" w:hAnsi="Times New Roman"/>
          <w:color w:val="000000" w:themeColor="text1"/>
          <w:szCs w:val="21"/>
          <w:lang w:val="en-US"/>
          <w14:textFill>
            <w14:solidFill>
              <w14:schemeClr w14:val="tx1"/>
            </w14:solidFill>
          </w14:textFill>
        </w:rPr>
        <w:t>区域</w:t>
      </w:r>
      <w:r>
        <w:rPr>
          <w:rFonts w:hint="eastAsia" w:ascii="Times New Roman" w:hAnsi="Times New Roman"/>
          <w:color w:val="000000" w:themeColor="text1"/>
          <w:szCs w:val="21"/>
          <w14:textFill>
            <w14:solidFill>
              <w14:schemeClr w14:val="tx1"/>
            </w14:solidFill>
          </w14:textFill>
        </w:rPr>
        <w:t>，深度应大于1.2</w:t>
      </w:r>
      <w:r>
        <w:rPr>
          <w:rFonts w:hint="eastAsia" w:ascii="Times New Roman" w:hAnsi="Times New Roman"/>
          <w:color w:val="000000" w:themeColor="text1"/>
          <w:szCs w:val="21"/>
          <w:lang w:val="en-US"/>
          <w14:textFill>
            <w14:solidFill>
              <w14:schemeClr w14:val="tx1"/>
            </w14:solidFill>
          </w14:textFill>
        </w:rPr>
        <w:t xml:space="preserve"> </w:t>
      </w:r>
      <w:r>
        <w:rPr>
          <w:rFonts w:hint="eastAsia" w:ascii="Times New Roman" w:hAnsi="Times New Roman"/>
          <w:color w:val="000000" w:themeColor="text1"/>
          <w:szCs w:val="21"/>
          <w14:textFill>
            <w14:solidFill>
              <w14:schemeClr w14:val="tx1"/>
            </w14:solidFill>
          </w14:textFill>
        </w:rPr>
        <w:t>m。</w:t>
      </w:r>
    </w:p>
    <w:p w14:paraId="4DC7945E">
      <w:r>
        <w:rPr>
          <w:rFonts w:hint="eastAsia"/>
        </w:rPr>
        <w:t>【条文说明】本条参考《机械安全 防止上下肢触及危险区的安全距离》GB/T 23821-2022 中提供的身体各部位与不同开口尺寸的安全距离数据表，这是国际通用的设计依据。</w:t>
      </w:r>
    </w:p>
    <w:p w14:paraId="7C93C9F0">
      <w:pPr>
        <w:pStyle w:val="82"/>
        <w:numPr>
          <w:ilvl w:val="0"/>
          <w:numId w:val="10"/>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电梯曳引机、大型电机</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需要频繁进行维护或调整的设备，其防护罩应安装安全联锁装置。一旦防护罩被打开，设备必须自动切断动力源并制动，且只有罩体关闭后才能重新启动。</w:t>
      </w:r>
    </w:p>
    <w:p w14:paraId="4CB6FCB0">
      <w:r>
        <w:rPr>
          <w:rFonts w:hint="eastAsia"/>
        </w:rPr>
        <w:t>【条文说明】本条参考《机械安全 与防护装置相关的联锁装置 设计和选择原则》GB/T 18831-2017，是为了确保维护人员在任何情况下都不会暴露于危险能量中。</w:t>
      </w:r>
    </w:p>
    <w:p w14:paraId="2308D98F">
      <w:pPr>
        <w:pStyle w:val="82"/>
        <w:numPr>
          <w:ilvl w:val="0"/>
          <w:numId w:val="10"/>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设计应设置可开启且带联锁的活动防护或检修门、观察窗、可折叠检修平台与安全作业面，</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明确维护边界与程序并提供充分照明与操作空间。设计宜保障在不拆除防护装置的情况下能对机械进行维护。</w:t>
      </w:r>
    </w:p>
    <w:p w14:paraId="258F12D3">
      <w:r>
        <w:rPr>
          <w:rFonts w:hint="eastAsia"/>
        </w:rPr>
        <w:t>【条文说明】本条强调防护装置需要满足可以在不拆除的情况下开展必要维护，同时满足</w:t>
      </w:r>
      <w:r>
        <w:rPr>
          <w:rFonts w:hint="eastAsia"/>
          <w:color w:val="000000" w:themeColor="text1"/>
          <w:szCs w:val="21"/>
          <w14:textFill>
            <w14:solidFill>
              <w14:schemeClr w14:val="tx1"/>
            </w14:solidFill>
          </w14:textFill>
        </w:rPr>
        <w:t>设备在保养、点检、换件等活动中保持持续的安全隔离状态，</w:t>
      </w:r>
      <w:r>
        <w:rPr>
          <w:rFonts w:hint="eastAsia"/>
        </w:rPr>
        <w:t>以避免因拆除防护进行检修而带来的额外风险。</w:t>
      </w:r>
    </w:p>
    <w:p w14:paraId="7CD1F440">
      <w:pPr>
        <w:pStyle w:val="82"/>
        <w:numPr>
          <w:ilvl w:val="0"/>
          <w:numId w:val="10"/>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所有能量隔离点必须有清晰、永久的标识，标明其所控制的设备名称及编号。隔离点的操作手柄或阀门本身应有开/关状态的明确指示。</w:t>
      </w:r>
    </w:p>
    <w:p w14:paraId="1D944605">
      <w:r>
        <w:rPr>
          <w:rFonts w:hint="eastAsia"/>
        </w:rPr>
        <w:t>【条文说明】本条参考了《安全标志及其使用导则》GB 2894-2025，防止误操作是安全管理的基本要求。</w:t>
      </w:r>
    </w:p>
    <w:p w14:paraId="5C4EF093">
      <w:pPr>
        <w:pStyle w:val="82"/>
        <w:numPr>
          <w:ilvl w:val="0"/>
          <w:numId w:val="10"/>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设备的能量隔离点，</w:t>
      </w:r>
      <w:r>
        <w:rPr>
          <w:rFonts w:hint="eastAsia" w:ascii="Times New Roman" w:hAnsi="Times New Roman"/>
          <w:color w:val="000000" w:themeColor="text1"/>
          <w:szCs w:val="21"/>
          <w:lang w:val="en-US"/>
          <w14:textFill>
            <w14:solidFill>
              <w14:schemeClr w14:val="tx1"/>
            </w14:solidFill>
          </w14:textFill>
        </w:rPr>
        <w:t>如</w:t>
      </w:r>
      <w:r>
        <w:rPr>
          <w:rFonts w:hint="eastAsia" w:ascii="Times New Roman" w:hAnsi="Times New Roman"/>
          <w:color w:val="000000" w:themeColor="text1"/>
          <w:szCs w:val="21"/>
          <w14:textFill>
            <w14:solidFill>
              <w14:schemeClr w14:val="tx1"/>
            </w14:solidFill>
          </w14:textFill>
        </w:rPr>
        <w:t>电源隔离开关、阀门</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必须设置在设备旁边、易于接近、光线充足的位置，不应被设备本身或其他障碍物阻挡。</w:t>
      </w:r>
    </w:p>
    <w:p w14:paraId="5B703189">
      <w:pPr>
        <w:rPr>
          <w:lang w:val="sq-AL"/>
        </w:rPr>
      </w:pPr>
      <w:r>
        <w:rPr>
          <w:rFonts w:hint="eastAsia"/>
          <w:lang w:val="sq-AL"/>
        </w:rPr>
        <w:t>【条文说明】本条主要依据美国OSHA 1910.147、新加坡WSH《Lockout-Tagout Guidelines》中的有关规定，是执行“挂牌上锁”（LOTO）程序的前提，确保维修安全。</w:t>
      </w:r>
    </w:p>
    <w:p w14:paraId="7A293174">
      <w:pPr>
        <w:pStyle w:val="82"/>
        <w:numPr>
          <w:ilvl w:val="0"/>
          <w:numId w:val="10"/>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14:textFill>
            <w14:solidFill>
              <w14:schemeClr w14:val="tx1"/>
            </w14:solidFill>
          </w14:textFill>
        </w:rPr>
        <w:t>当</w:t>
      </w:r>
      <w:r>
        <w:rPr>
          <w:rFonts w:hint="eastAsia" w:ascii="Times New Roman" w:hAnsi="Times New Roman"/>
          <w:color w:val="000000" w:themeColor="text1"/>
          <w:szCs w:val="21"/>
          <w14:textFill>
            <w14:solidFill>
              <w14:schemeClr w14:val="tx1"/>
            </w14:solidFill>
          </w14:textFill>
        </w:rPr>
        <w:t>蒸汽管道、锅炉外壳、热交换器</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人员可触及范围内的设备表面温度高于60</w:t>
      </w:r>
      <w:r>
        <w:rPr>
          <w:rFonts w:hint="eastAsia" w:ascii="Times New Roman" w:hAnsi="Times New Roman" w:eastAsia="宋体" w:cs="Times New Roman"/>
          <w:kern w:val="2"/>
          <w:sz w:val="24"/>
          <w:szCs w:val="24"/>
          <w:lang w:val="sq-AL" w:eastAsia="zh-CN" w:bidi="ar-SA"/>
        </w:rPr>
        <w:t>℃</w:t>
      </w:r>
      <w:r>
        <w:rPr>
          <w:rFonts w:hint="eastAsia" w:ascii="Times New Roman" w:hAnsi="Times New Roman"/>
          <w:color w:val="000000" w:themeColor="text1"/>
          <w:szCs w:val="21"/>
          <w14:textFill>
            <w14:solidFill>
              <w14:schemeClr w14:val="tx1"/>
            </w14:solidFill>
          </w14:textFill>
        </w:rPr>
        <w:t>时，必须设置隔热防护层或防护罩。</w:t>
      </w:r>
    </w:p>
    <w:p w14:paraId="195B236F">
      <w:r>
        <w:rPr>
          <w:rFonts w:hint="eastAsia"/>
        </w:rPr>
        <w:t>【条文说明】根据欧盟机械指令附录I 1.5.13条、中国相关行业规范（如锅炉房设计规范）等指导文件中的要求，60℃是公认的皮肤接触安全阈值。</w:t>
      </w:r>
    </w:p>
    <w:p w14:paraId="586B0934">
      <w:pPr>
        <w:pStyle w:val="82"/>
        <w:numPr>
          <w:ilvl w:val="0"/>
          <w:numId w:val="10"/>
        </w:numPr>
        <w:ind w:firstLine="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压力管道、储气罐、液压装置等承压设备，必须设置安全阀</w:t>
      </w:r>
      <w:r>
        <w:rPr>
          <w:rFonts w:hint="eastAsia" w:ascii="Times New Roman" w:hAnsi="Times New Roman"/>
          <w:color w:val="000000" w:themeColor="text1"/>
          <w:szCs w:val="21"/>
          <w14:textFill>
            <w14:solidFill>
              <w14:schemeClr w14:val="tx1"/>
            </w14:solidFill>
          </w14:textFill>
        </w:rPr>
        <w:t>等</w:t>
      </w:r>
      <w:r>
        <w:rPr>
          <w:rFonts w:ascii="Times New Roman" w:hAnsi="Times New Roman"/>
          <w:color w:val="000000" w:themeColor="text1"/>
          <w:szCs w:val="21"/>
          <w14:textFill>
            <w14:solidFill>
              <w14:schemeClr w14:val="tx1"/>
            </w14:solidFill>
          </w14:textFill>
        </w:rPr>
        <w:t>超压安全泄放装置，且其排放口应导向安全区域。高压射流风险区域应进行隔离。</w:t>
      </w:r>
    </w:p>
    <w:p w14:paraId="1D4CEC5B">
      <w:r>
        <w:rPr>
          <w:rFonts w:hint="eastAsia"/>
        </w:rPr>
        <w:t>【条文说明】本条主要依据是《固定式压力容器安全技术监察规程》TSG 21-2016 等相关特种设备安全技术规范，是为了防止爆炸和高压流体喷射伤害。</w:t>
      </w:r>
    </w:p>
    <w:p w14:paraId="2B141815">
      <w:pPr>
        <w:pStyle w:val="82"/>
        <w:numPr>
          <w:ilvl w:val="0"/>
          <w:numId w:val="10"/>
        </w:numPr>
        <w:ind w:firstLine="0"/>
        <w:rPr>
          <w:rFonts w:ascii="Times New Roman" w:hAnsi="Times New Roman" w:cs="Segoe UI"/>
          <w:color w:val="0F1115"/>
          <w:kern w:val="0"/>
          <w:szCs w:val="21"/>
        </w:rPr>
      </w:pPr>
      <w:r>
        <w:rPr>
          <w:rFonts w:ascii="Times New Roman" w:hAnsi="Times New Roman" w:cs="Segoe UI"/>
          <w:color w:val="0F1115"/>
          <w:kern w:val="0"/>
          <w:szCs w:val="21"/>
        </w:rPr>
        <w:t>在设备旁、以及长生产线或大型设备房的多个关键通道位置，应设置蘑菇头式</w:t>
      </w:r>
      <w:r>
        <w:rPr>
          <w:rFonts w:hint="eastAsia" w:ascii="Times New Roman" w:hAnsi="Times New Roman" w:cs="Segoe UI"/>
          <w:color w:val="0F1115"/>
          <w:kern w:val="0"/>
          <w:szCs w:val="21"/>
          <w:lang w:val="en-US"/>
        </w:rPr>
        <w:t>等</w:t>
      </w:r>
      <w:r>
        <w:rPr>
          <w:rFonts w:ascii="Times New Roman" w:hAnsi="Times New Roman" w:cs="Segoe UI"/>
          <w:color w:val="0F1115"/>
          <w:kern w:val="0"/>
          <w:szCs w:val="21"/>
        </w:rPr>
        <w:t>醒目的紧急停机按钮。按钮应能自锁，并需手动复位才能重启。</w:t>
      </w:r>
    </w:p>
    <w:p w14:paraId="3CEC99DF">
      <w:r>
        <w:rPr>
          <w:rFonts w:hint="eastAsia"/>
        </w:rPr>
        <w:t>【条文说明】根据ISO 13850《机械安全 急停功能 设计原则》，在发生危险时，需要为人员提供最快速、最直接的干预手段。</w:t>
      </w:r>
    </w:p>
    <w:p w14:paraId="5BD7DB59">
      <w:pPr>
        <w:pStyle w:val="4"/>
      </w:pPr>
      <w:bookmarkStart w:id="53" w:name="_Toc534374773"/>
      <w:bookmarkStart w:id="54" w:name="_Toc534378787"/>
      <w:bookmarkStart w:id="55" w:name="_Toc94038779"/>
      <w:bookmarkStart w:id="56" w:name="_Toc13478220"/>
      <w:bookmarkStart w:id="57" w:name="_Toc18521"/>
      <w:bookmarkStart w:id="58" w:name="_Toc213254731"/>
      <w:r>
        <w:t>4.</w:t>
      </w:r>
      <w:bookmarkEnd w:id="53"/>
      <w:bookmarkEnd w:id="54"/>
      <w:bookmarkEnd w:id="55"/>
      <w:bookmarkEnd w:id="56"/>
      <w:r>
        <w:rPr>
          <w:rFonts w:hint="eastAsia"/>
        </w:rPr>
        <w:t>5维修维护安全防护设计</w:t>
      </w:r>
      <w:bookmarkEnd w:id="57"/>
      <w:bookmarkEnd w:id="58"/>
    </w:p>
    <w:p w14:paraId="0306CF49">
      <w:pPr>
        <w:pStyle w:val="82"/>
        <w:numPr>
          <w:ilvl w:val="0"/>
          <w:numId w:val="11"/>
        </w:numPr>
        <w:ind w:firstLine="0"/>
        <w:rPr>
          <w:rFonts w:ascii="Times New Roman" w:hAnsi="Times New Roman"/>
          <w:color w:val="000000" w:themeColor="text1"/>
          <w:szCs w:val="21"/>
          <w14:textFill>
            <w14:solidFill>
              <w14:schemeClr w14:val="tx1"/>
            </w14:solidFill>
          </w14:textFill>
        </w:rPr>
      </w:pPr>
      <w:bookmarkStart w:id="59" w:name="_Toc492671580"/>
      <w:r>
        <w:rPr>
          <w:rFonts w:hint="eastAsia" w:ascii="Times New Roman" w:hAnsi="Times New Roman"/>
          <w:color w:val="000000" w:themeColor="text1"/>
          <w:szCs w:val="21"/>
          <w14:textFill>
            <w14:solidFill>
              <w14:schemeClr w14:val="tx1"/>
            </w14:solidFill>
          </w14:textFill>
        </w:rPr>
        <w:t>建筑设计应将维修维护活动的安全需求作为设计输入条件之一，应在设计图纸和说明中明确标识出需要定期检查、清洁、更换和维护的设备及其安全到达方式。</w:t>
      </w:r>
    </w:p>
    <w:p w14:paraId="374AD0DA">
      <w:pPr>
        <w:rPr>
          <w:lang w:val="sq-AL"/>
        </w:rPr>
      </w:pPr>
      <w:r>
        <w:rPr>
          <w:rFonts w:hint="eastAsia"/>
          <w:lang w:val="sq-AL"/>
        </w:rPr>
        <w:t>【条文说明】这是新加坡《Design for Safety Regulations》、英国《Construction (Design and Management) Regulations 2015》(CDM 2015) 和澳大利亚《Work Health and Safety Act》中的核心要求，其理念是将健康和安全风险在设计阶段尽可能消除或最小化，而非留给维修人员通过个人行为去规避。</w:t>
      </w:r>
    </w:p>
    <w:p w14:paraId="4C3B10EA">
      <w:pPr>
        <w:pStyle w:val="82"/>
        <w:numPr>
          <w:ilvl w:val="0"/>
          <w:numId w:val="11"/>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设计中应考虑与清洁、维修和维护有关的安全要求，</w:t>
      </w:r>
      <w:r>
        <w:rPr>
          <w:rFonts w:hint="eastAsia" w:ascii="Times New Roman" w:hAnsi="Times New Roman"/>
          <w:color w:val="000000" w:themeColor="text1"/>
          <w:szCs w:val="21"/>
          <w:lang w:val="en-US"/>
          <w14:textFill>
            <w14:solidFill>
              <w14:schemeClr w14:val="tx1"/>
            </w14:solidFill>
          </w14:textFill>
        </w:rPr>
        <w:t>并应</w:t>
      </w:r>
      <w:r>
        <w:rPr>
          <w:rFonts w:hint="eastAsia" w:ascii="Times New Roman" w:hAnsi="Times New Roman"/>
          <w:color w:val="000000" w:themeColor="text1"/>
          <w:szCs w:val="21"/>
          <w14:textFill>
            <w14:solidFill>
              <w14:schemeClr w14:val="tx1"/>
            </w14:solidFill>
          </w14:textFill>
        </w:rPr>
        <w:t>符合</w:t>
      </w:r>
      <w:r>
        <w:rPr>
          <w:rFonts w:hint="eastAsia" w:ascii="Times New Roman" w:hAnsi="Times New Roman"/>
          <w:color w:val="000000" w:themeColor="text1"/>
          <w:szCs w:val="21"/>
          <w:lang w:val="en-US"/>
          <w14:textFill>
            <w14:solidFill>
              <w14:schemeClr w14:val="tx1"/>
            </w14:solidFill>
          </w14:textFill>
        </w:rPr>
        <w:t>下列</w:t>
      </w:r>
      <w:r>
        <w:rPr>
          <w:rFonts w:hint="eastAsia" w:ascii="Times New Roman" w:hAnsi="Times New Roman"/>
          <w:color w:val="000000" w:themeColor="text1"/>
          <w:szCs w:val="21"/>
          <w14:textFill>
            <w14:solidFill>
              <w14:schemeClr w14:val="tx1"/>
            </w14:solidFill>
          </w14:textFill>
        </w:rPr>
        <w:t>规定：</w:t>
      </w:r>
    </w:p>
    <w:p w14:paraId="1104CA0F">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r>
        <w:rPr>
          <w:rFonts w:hint="eastAsia"/>
          <w:color w:val="000000" w:themeColor="text1"/>
          <w:szCs w:val="21"/>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建筑的维护活动宜在地面，或者符合安全的结构上进行；</w:t>
      </w:r>
    </w:p>
    <w:p w14:paraId="7FC86E3F">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 应避免在危险区域存在污垢堆积；</w:t>
      </w:r>
    </w:p>
    <w:p w14:paraId="473A6E0F">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 应设置永久锚固和高处维护需要的吊装点；</w:t>
      </w:r>
    </w:p>
    <w:p w14:paraId="279D0300">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 应避免将高危险率装置放置在楼梯和其他凹槽上方；</w:t>
      </w:r>
    </w:p>
    <w:p w14:paraId="4D88F0C3">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 应减少进入密闭空间的需求；</w:t>
      </w:r>
    </w:p>
    <w:p w14:paraId="198959E9">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 应使用高耐用低维修率材料或设备；</w:t>
      </w:r>
    </w:p>
    <w:p w14:paraId="454AF6CB">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w:t>
      </w:r>
      <w:r>
        <w:rPr>
          <w:rFonts w:hint="eastAsia"/>
          <w:color w:val="000000" w:themeColor="text1"/>
          <w:szCs w:val="21"/>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应将位于屋顶的维护设施设置在屋顶中央，远离天线和屋顶边缘。应提供专用的通道走廊，包括扶手和防滑表面。并应标记危险和步行区域。</w:t>
      </w:r>
    </w:p>
    <w:p w14:paraId="67EA9798">
      <w:r>
        <w:rPr>
          <w:rFonts w:hint="eastAsia"/>
        </w:rPr>
        <w:t>【条文说明】本条要求在设计中考虑清洁、维修和维护的安全，核心在于通过合理布置将维护活动尽量安排在地面或安全结构上，避免高处作业，符合《建筑设计防火规范》GB 50016-2014及《建筑施工安全技术统一规范》GB 50870-2013的要求。</w:t>
      </w:r>
    </w:p>
    <w:p w14:paraId="2DC697DC">
      <w:pPr>
        <w:pStyle w:val="82"/>
        <w:numPr>
          <w:ilvl w:val="0"/>
          <w:numId w:val="11"/>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设计中应尽量消除在高处维护工作的需要，并应符合</w:t>
      </w:r>
      <w:r>
        <w:rPr>
          <w:rFonts w:hint="eastAsia" w:ascii="Times New Roman" w:hAnsi="Times New Roman"/>
          <w:color w:val="000000" w:themeColor="text1"/>
          <w:szCs w:val="21"/>
          <w:lang w:val="en-US"/>
          <w14:textFill>
            <w14:solidFill>
              <w14:schemeClr w14:val="tx1"/>
            </w14:solidFill>
          </w14:textFill>
        </w:rPr>
        <w:t>下列</w:t>
      </w:r>
      <w:r>
        <w:rPr>
          <w:rFonts w:hint="eastAsia" w:ascii="Times New Roman" w:hAnsi="Times New Roman"/>
          <w:color w:val="000000" w:themeColor="text1"/>
          <w:szCs w:val="21"/>
          <w14:textFill>
            <w14:solidFill>
              <w14:schemeClr w14:val="tx1"/>
            </w14:solidFill>
          </w14:textFill>
        </w:rPr>
        <w:t>规定：</w:t>
      </w:r>
    </w:p>
    <w:p w14:paraId="36BC8D24">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宜采取减少灰尘和污垢积累的设计；</w:t>
      </w:r>
    </w:p>
    <w:p w14:paraId="7A7F7D15">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 建筑立面的清洁宜采用机械清洗且有安全保障的方式；</w:t>
      </w:r>
    </w:p>
    <w:p w14:paraId="07EE9B20">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清洁设施应有效地收集灰尘和烟雾；</w:t>
      </w:r>
    </w:p>
    <w:p w14:paraId="67C1BDEA">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 设备选型时应优先选择低维护率和可地面检修的系统。</w:t>
      </w:r>
    </w:p>
    <w:p w14:paraId="0E9FA90E">
      <w:r>
        <w:rPr>
          <w:rFonts w:hint="eastAsia"/>
        </w:rPr>
        <w:t>【条文说明】</w:t>
      </w:r>
      <w:r>
        <w:rPr>
          <w:rFonts w:hint="eastAsia"/>
        </w:rPr>
        <w:tab/>
      </w:r>
      <w:r>
        <w:rPr>
          <w:rFonts w:hint="eastAsia"/>
        </w:rPr>
        <w:t>本条提出需要尽量消除高处维护需求，建议设计采用优化构造减少积尘、使用地面喷射清洗方案、预留远程检测接口，并最大限度地减少高处手动操作，以降低高处作业频率和坠落风险。</w:t>
      </w:r>
    </w:p>
    <w:p w14:paraId="1E2538E8">
      <w:pPr>
        <w:pStyle w:val="82"/>
        <w:numPr>
          <w:ilvl w:val="0"/>
          <w:numId w:val="11"/>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设计永久性安全设施，</w:t>
      </w:r>
      <w:r>
        <w:rPr>
          <w:rFonts w:hint="eastAsia" w:ascii="Times New Roman" w:hAnsi="Times New Roman"/>
          <w:color w:val="000000" w:themeColor="text1"/>
          <w:szCs w:val="21"/>
          <w:lang w:val="en-US"/>
          <w14:textFill>
            <w14:solidFill>
              <w14:schemeClr w14:val="tx1"/>
            </w14:solidFill>
          </w14:textFill>
        </w:rPr>
        <w:t>同时应</w:t>
      </w:r>
      <w:r>
        <w:rPr>
          <w:rFonts w:hint="eastAsia" w:ascii="Times New Roman" w:hAnsi="Times New Roman"/>
          <w:color w:val="000000" w:themeColor="text1"/>
          <w:szCs w:val="21"/>
          <w14:textFill>
            <w14:solidFill>
              <w14:schemeClr w14:val="tx1"/>
            </w14:solidFill>
          </w14:textFill>
        </w:rPr>
        <w:t>在设计文件中明确</w:t>
      </w:r>
      <w:r>
        <w:rPr>
          <w:rFonts w:hint="eastAsia" w:ascii="Times New Roman" w:hAnsi="Times New Roman"/>
          <w:color w:val="000000" w:themeColor="text1"/>
          <w:szCs w:val="21"/>
          <w:lang w:val="en-US"/>
          <w14:textFill>
            <w14:solidFill>
              <w14:schemeClr w14:val="tx1"/>
            </w14:solidFill>
          </w14:textFill>
        </w:rPr>
        <w:t>其</w:t>
      </w:r>
      <w:r>
        <w:rPr>
          <w:rFonts w:hint="eastAsia" w:ascii="Times New Roman" w:hAnsi="Times New Roman"/>
          <w:color w:val="000000" w:themeColor="text1"/>
          <w:szCs w:val="21"/>
          <w14:textFill>
            <w14:solidFill>
              <w14:schemeClr w14:val="tx1"/>
            </w14:solidFill>
          </w14:textFill>
        </w:rPr>
        <w:t>承载能力、布置位置和使用条件，</w:t>
      </w:r>
      <w:r>
        <w:rPr>
          <w:rFonts w:hint="eastAsia" w:ascii="Times New Roman" w:hAnsi="Times New Roman"/>
          <w:color w:val="000000" w:themeColor="text1"/>
          <w:szCs w:val="21"/>
          <w:lang w:val="en-US"/>
          <w14:textFill>
            <w14:solidFill>
              <w14:schemeClr w14:val="tx1"/>
            </w14:solidFill>
          </w14:textFill>
        </w:rPr>
        <w:t>并</w:t>
      </w:r>
      <w:r>
        <w:rPr>
          <w:rFonts w:hint="eastAsia" w:ascii="Times New Roman" w:hAnsi="Times New Roman"/>
          <w:color w:val="000000" w:themeColor="text1"/>
          <w:szCs w:val="21"/>
          <w14:textFill>
            <w14:solidFill>
              <w14:schemeClr w14:val="tx1"/>
            </w14:solidFill>
          </w14:textFill>
        </w:rPr>
        <w:t>应符合</w:t>
      </w:r>
      <w:r>
        <w:rPr>
          <w:rFonts w:hint="eastAsia" w:ascii="Times New Roman" w:hAnsi="Times New Roman"/>
          <w:color w:val="000000" w:themeColor="text1"/>
          <w:szCs w:val="21"/>
          <w:lang w:val="en-US"/>
          <w14:textFill>
            <w14:solidFill>
              <w14:schemeClr w14:val="tx1"/>
            </w14:solidFill>
          </w14:textFill>
        </w:rPr>
        <w:t>下列</w:t>
      </w:r>
      <w:r>
        <w:rPr>
          <w:rFonts w:hint="eastAsia" w:ascii="Times New Roman" w:hAnsi="Times New Roman"/>
          <w:color w:val="000000" w:themeColor="text1"/>
          <w:szCs w:val="21"/>
          <w14:textFill>
            <w14:solidFill>
              <w14:schemeClr w14:val="tx1"/>
            </w14:solidFill>
          </w14:textFill>
        </w:rPr>
        <w:t>规定：</w:t>
      </w:r>
    </w:p>
    <w:p w14:paraId="1504E650">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 应在必须进行高空维护的区域，设计永久性符合安全的通道；</w:t>
      </w:r>
    </w:p>
    <w:p w14:paraId="78045038">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 应设计方便临时性维护的永久锚点；</w:t>
      </w:r>
    </w:p>
    <w:p w14:paraId="58866748">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 应为吊装货物提供永久性的防坠落升降装置。</w:t>
      </w:r>
    </w:p>
    <w:p w14:paraId="37352793">
      <w:r>
        <w:rPr>
          <w:rFonts w:hint="eastAsia"/>
        </w:rPr>
        <w:t>【条文说明】本条要求在必须进行高空维护的部位设计永久性安全设施，如安全通道、锚点和防坠落装置，以确保高空安全工作，</w:t>
      </w:r>
      <w:r>
        <w:rPr>
          <w:rFonts w:hint="eastAsia"/>
          <w:color w:val="000000" w:themeColor="text1"/>
          <w:szCs w:val="21"/>
          <w14:textFill>
            <w14:solidFill>
              <w14:schemeClr w14:val="tx1"/>
            </w14:solidFill>
          </w14:textFill>
        </w:rPr>
        <w:t>符合《建筑施工安全检查标准》JGJ 59-2011的要求。</w:t>
      </w:r>
    </w:p>
    <w:p w14:paraId="0D3BF3E5">
      <w:pPr>
        <w:pStyle w:val="82"/>
        <w:numPr>
          <w:ilvl w:val="0"/>
          <w:numId w:val="11"/>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检修通道设计应符合</w:t>
      </w:r>
      <w:r>
        <w:rPr>
          <w:rFonts w:hint="eastAsia" w:ascii="Times New Roman" w:hAnsi="Times New Roman"/>
          <w:color w:val="000000" w:themeColor="text1"/>
          <w:szCs w:val="21"/>
          <w:lang w:val="en-US"/>
          <w14:textFill>
            <w14:solidFill>
              <w14:schemeClr w14:val="tx1"/>
            </w14:solidFill>
          </w14:textFill>
        </w:rPr>
        <w:t>下列</w:t>
      </w:r>
      <w:r>
        <w:rPr>
          <w:rFonts w:hint="eastAsia" w:ascii="Times New Roman" w:hAnsi="Times New Roman"/>
          <w:color w:val="000000" w:themeColor="text1"/>
          <w:szCs w:val="21"/>
          <w14:textFill>
            <w14:solidFill>
              <w14:schemeClr w14:val="tx1"/>
            </w14:solidFill>
          </w14:textFill>
        </w:rPr>
        <w:t>规定：</w:t>
      </w:r>
    </w:p>
    <w:p w14:paraId="5008423A">
      <w:pPr>
        <w:pStyle w:val="82"/>
        <w:ind w:firstLine="48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1 所有设备周围应设置永久性检修通道，净宽不应小于0.6</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，净高不应小于1.8</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。通道地面应平整、防滑，并能承受预计的荷载；</w:t>
      </w:r>
    </w:p>
    <w:p w14:paraId="67E18116">
      <w:pPr>
        <w:rPr>
          <w:lang w:val="sq-AL"/>
        </w:rPr>
      </w:pPr>
      <w:r>
        <w:rPr>
          <w:rFonts w:hint="eastAsia"/>
          <w:lang w:val="sq-AL"/>
        </w:rPr>
        <w:t>【条文说明】本条参考美国OSHA 1910标准、新加坡SS 557:2010《Code of practice for access and maintenance of building services》，确保人员携带工具包可安全通行。</w:t>
      </w:r>
    </w:p>
    <w:p w14:paraId="512216E9">
      <w:pPr>
        <w:rPr>
          <w:color w:val="000000" w:themeColor="text1"/>
          <w:szCs w:val="21"/>
          <w14:textFill>
            <w14:solidFill>
              <w14:schemeClr w14:val="tx1"/>
            </w14:solidFill>
          </w14:textFill>
        </w:rPr>
      </w:pPr>
      <w:r>
        <w:rPr>
          <w:color w:val="000000" w:themeColor="text1"/>
          <w:szCs w:val="21"/>
          <w:lang w:val="sq-AL"/>
          <w14:textFill>
            <w14:solidFill>
              <w14:schemeClr w14:val="tx1"/>
            </w14:solidFill>
          </w14:textFill>
        </w:rPr>
        <w:tab/>
      </w:r>
      <w:r>
        <w:rPr>
          <w:rFonts w:hint="eastAsia"/>
          <w:color w:val="000000" w:themeColor="text1"/>
          <w:szCs w:val="21"/>
          <w14:textFill>
            <w14:solidFill>
              <w14:schemeClr w14:val="tx1"/>
            </w14:solidFill>
          </w14:textFill>
        </w:rPr>
        <w:t>2 在水泵阀门、过滤器、电气接线端子等需要维修操作的设备前方，应提供最小净空尺寸为0.75 m（宽）x 1.0 m（深）x 1.5 m（高） 的操作空间；</w:t>
      </w:r>
    </w:p>
    <w:p w14:paraId="23D5D465">
      <w:r>
        <w:rPr>
          <w:rFonts w:hint="eastAsia"/>
        </w:rPr>
        <w:t>【条文说明】依据新加坡CP 52:2018《Code of Practice for Mechanical Ventilation and Air-Conditioning in Buildings》，确保维修人员有足够空间以安全姿势进行操作（如蹲下、使用工具），避免别扭姿势导致劳损或失误。</w:t>
      </w:r>
    </w:p>
    <w:p w14:paraId="5D41E1CF">
      <w:pPr>
        <w:rPr>
          <w:color w:val="000000" w:themeColor="text1"/>
          <w:szCs w:val="21"/>
          <w14:textFill>
            <w14:solidFill>
              <w14:schemeClr w14:val="tx1"/>
            </w14:solidFill>
          </w14:textFill>
        </w:rPr>
      </w:pPr>
      <w:r>
        <w:rPr>
          <w:color w:val="000000" w:themeColor="text1"/>
          <w:szCs w:val="21"/>
          <w14:textFill>
            <w14:solidFill>
              <w14:schemeClr w14:val="tx1"/>
            </w14:solidFill>
          </w14:textFill>
        </w:rPr>
        <w:tab/>
      </w:r>
      <w:r>
        <w:rPr>
          <w:rFonts w:hint="eastAsia"/>
          <w:color w:val="000000" w:themeColor="text1"/>
          <w:szCs w:val="21"/>
          <w14:textFill>
            <w14:solidFill>
              <w14:schemeClr w14:val="tx1"/>
            </w14:solidFill>
          </w14:textFill>
        </w:rPr>
        <w:t>3 灯具、传感器、AHU检修口、阀门等所有高于1.8 m且需要频繁维护的设备，必须设置永久性固定钢梯、带防护栏的检修平台，严禁仅依靠移动式梯子进行操作。</w:t>
      </w:r>
    </w:p>
    <w:p w14:paraId="4380A81A">
      <w:r>
        <w:rPr>
          <w:rFonts w:hint="eastAsia"/>
        </w:rPr>
        <w:t>【条文说明】依据《固定式钢梯及平台安全要求》GB 4053、新加坡《Work at Height Regulations》，移动梯子是高风险作业，固定设施提供了更高等级的安全保障。</w:t>
      </w:r>
    </w:p>
    <w:p w14:paraId="39BDC87C">
      <w:pPr>
        <w:pStyle w:val="82"/>
        <w:numPr>
          <w:ilvl w:val="0"/>
          <w:numId w:val="11"/>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净尺寸（长、宽、高）小于 0.6</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 xml:space="preserve"> 的密闭空间，应设计为完全封闭且人员不可进入</w:t>
      </w:r>
      <w:r>
        <w:rPr>
          <w:rFonts w:hint="eastAsia" w:ascii="Times New Roman" w:hAnsi="Times New Roman"/>
          <w:color w:val="000000" w:themeColor="text1"/>
          <w:szCs w:val="21"/>
          <w:lang w:val="en-US"/>
          <w14:textFill>
            <w14:solidFill>
              <w14:schemeClr w14:val="tx1"/>
            </w14:solidFill>
          </w14:textFill>
        </w:rPr>
        <w:t>的空间</w:t>
      </w:r>
      <w:r>
        <w:rPr>
          <w:rFonts w:hint="eastAsia" w:ascii="Times New Roman" w:hAnsi="Times New Roman"/>
          <w:color w:val="000000" w:themeColor="text1"/>
          <w:szCs w:val="21"/>
          <w14:textFill>
            <w14:solidFill>
              <w14:schemeClr w14:val="tx1"/>
            </w14:solidFill>
          </w14:textFill>
        </w:rPr>
        <w:t>，</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仅预留供设备安装检修的、需使用工具才能开启的密封盖板。</w:t>
      </w:r>
    </w:p>
    <w:p w14:paraId="40C10B1F">
      <w:pPr>
        <w:pStyle w:val="82"/>
        <w:numPr>
          <w:ilvl w:val="0"/>
          <w:numId w:val="11"/>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检修空间需要人员进入的空间其最小净尺寸应</w:t>
      </w:r>
      <w:r>
        <w:rPr>
          <w:rFonts w:hint="eastAsia" w:ascii="Times New Roman" w:hAnsi="Times New Roman"/>
          <w:color w:val="000000" w:themeColor="text1"/>
          <w:szCs w:val="21"/>
          <w:lang w:val="en-US"/>
          <w14:textFill>
            <w14:solidFill>
              <w14:schemeClr w14:val="tx1"/>
            </w14:solidFill>
          </w14:textFill>
        </w:rPr>
        <w:t>符合下列</w:t>
      </w:r>
      <w:r>
        <w:rPr>
          <w:rFonts w:hint="eastAsia" w:ascii="Times New Roman" w:hAnsi="Times New Roman"/>
          <w:color w:val="000000" w:themeColor="text1"/>
          <w:szCs w:val="21"/>
          <w14:textFill>
            <w14:solidFill>
              <w14:schemeClr w14:val="tx1"/>
            </w14:solidFill>
          </w14:textFill>
        </w:rPr>
        <w:t>规定：</w:t>
      </w:r>
    </w:p>
    <w:p w14:paraId="48D48871">
      <w:pPr>
        <w:pStyle w:val="82"/>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1 通道、坑道净宽不应小于 0.75 m；</w:t>
      </w:r>
    </w:p>
    <w:p w14:paraId="1C832B46">
      <w:pPr>
        <w:pStyle w:val="82"/>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 xml:space="preserve">2 检修区域最小净空不宜小于 1.2 m x 1.2 m，净高不宜小于 1.5 m。 </w:t>
      </w:r>
    </w:p>
    <w:p w14:paraId="6F1FD632">
      <w:r>
        <w:rPr>
          <w:rFonts w:hint="eastAsia"/>
        </w:rPr>
        <w:t>【条文说明】本条规定旨在限制空间尺度，以避免形成可进入的密闭空间，从源头消除人员被困或窒息的危险。设计人员在结构布置和设备安装阶段要充分考虑这一要求，避免形成封闭腔体或狭小通道。《民用建筑通用规范》GB 55031-2022，以及新加坡《Design for Safety》指南的核心原则是“消除危害”（Elimination），即在设计源头避免风险。这是最有效的安全措施。英国《Construction (Design and Management) Regulations 2015》（CDM 2015）同样要求设计师优先考虑消除风险和危险点。</w:t>
      </w:r>
    </w:p>
    <w:p w14:paraId="33693E17">
      <w:pPr>
        <w:ind w:firstLine="480"/>
        <w:rPr>
          <w:szCs w:val="21"/>
        </w:rPr>
      </w:pPr>
      <w:r>
        <w:rPr>
          <w:rFonts w:hint="eastAsia"/>
        </w:rPr>
        <w:t>本条中的尺寸参考了人体工程学数据（成年男性第95百分位肩宽约0.5米，加上冬装及安全装备余量）以及香港《设计及建造阶段安全指南》、新加坡SS 557《Code of practice for access and maintenance of building services》中的相关建议，0.6米是普遍认为人体无法进入的临界值。</w:t>
      </w:r>
    </w:p>
    <w:p w14:paraId="677FD0FE">
      <w:pPr>
        <w:pStyle w:val="82"/>
        <w:numPr>
          <w:ilvl w:val="0"/>
          <w:numId w:val="11"/>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配电室门应向外开启，净宽不宜小于 1.0</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，净高不宜小于 2.1</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，门口</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无障碍物。配电柜前后应预留足够的操作和维护通道。柜前操作空间净宽不宜小于 1.5</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，柜后维护空间净宽不宜小于 0.8</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，净高不低于 2.0</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w:t>
      </w:r>
    </w:p>
    <w:p w14:paraId="2D819BE8">
      <w:r>
        <w:rPr>
          <w:rFonts w:hint="eastAsia"/>
        </w:rPr>
        <w:t>【条文说明】本条要求配电室设计需要合理考虑位置、入口和工作空间，确保操作和检修安全，便于人员使用。依据《民用建筑电气设计标准》</w:t>
      </w:r>
      <w:r>
        <w:t>GB 51348-2019</w:t>
      </w:r>
      <w:r>
        <w:rPr>
          <w:rFonts w:hint="eastAsia"/>
        </w:rPr>
        <w:t>，配电室应具备双向疏散通道，且工作区净高和净距满足安全操作要求。参照《低压配电设计规范》GB 50054-2011和新加坡CP5：1998《Code of practice for electrical installations》，需要确保紧急情况下人员能快速撤离，并为维修提供安全操作空间。</w:t>
      </w:r>
    </w:p>
    <w:p w14:paraId="6046E1E1">
      <w:pPr>
        <w:pStyle w:val="82"/>
        <w:numPr>
          <w:ilvl w:val="0"/>
          <w:numId w:val="11"/>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设备周围必须预留足够的安全操作和维修空间。其净空距离应符合</w:t>
      </w:r>
      <w:r>
        <w:rPr>
          <w:rFonts w:hint="eastAsia" w:ascii="Times New Roman" w:hAnsi="Times New Roman"/>
          <w:color w:val="000000" w:themeColor="text1"/>
          <w:szCs w:val="21"/>
          <w:lang w:val="en-US"/>
          <w14:textFill>
            <w14:solidFill>
              <w14:schemeClr w14:val="tx1"/>
            </w14:solidFill>
          </w14:textFill>
        </w:rPr>
        <w:t>下列规定</w:t>
      </w:r>
      <w:r>
        <w:rPr>
          <w:rFonts w:hint="eastAsia" w:ascii="Times New Roman" w:hAnsi="Times New Roman"/>
          <w:color w:val="000000" w:themeColor="text1"/>
          <w:szCs w:val="21"/>
          <w14:textFill>
            <w14:solidFill>
              <w14:schemeClr w14:val="tx1"/>
            </w14:solidFill>
          </w14:textFill>
        </w:rPr>
        <w:t>：设备前方≥1.0</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，两侧及后方≥0.8</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，需上部作业</w:t>
      </w:r>
      <w:r>
        <w:rPr>
          <w:rFonts w:hint="eastAsia" w:ascii="Times New Roman" w:hAnsi="Times New Roman"/>
          <w:color w:val="000000" w:themeColor="text1"/>
          <w:szCs w:val="21"/>
          <w:lang w:val="en-US"/>
          <w14:textFill>
            <w14:solidFill>
              <w14:schemeClr w14:val="tx1"/>
            </w14:solidFill>
          </w14:textFill>
        </w:rPr>
        <w:t>的空间其</w:t>
      </w:r>
      <w:r>
        <w:rPr>
          <w:rFonts w:hint="eastAsia" w:ascii="Times New Roman" w:hAnsi="Times New Roman"/>
          <w:color w:val="000000" w:themeColor="text1"/>
          <w:szCs w:val="21"/>
          <w14:textFill>
            <w14:solidFill>
              <w14:schemeClr w14:val="tx1"/>
            </w14:solidFill>
          </w14:textFill>
        </w:rPr>
        <w:t>顶部净空≥1.5</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w:t>
      </w:r>
    </w:p>
    <w:p w14:paraId="1A546356">
      <w:r>
        <w:rPr>
          <w:rFonts w:hint="eastAsia"/>
        </w:rPr>
        <w:t>【条文说明】本条参照《通用用电设备配电设计规范》GB 50055 及各类机房设计规范（如泵站、制冷机房），需要确保操作人员有安全姿态进行作业。</w:t>
      </w:r>
    </w:p>
    <w:p w14:paraId="3273919E">
      <w:pPr>
        <w:pStyle w:val="82"/>
        <w:numPr>
          <w:ilvl w:val="0"/>
          <w:numId w:val="11"/>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所有管道、阀门、过滤器、水泵、空调机组等设备的周围，应预留不少于 0.6</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 xml:space="preserve"> 的净空检修通道。对于需要工具操作或更换部件的设备，其操作面一侧的净空距离不应小于该部件短边长度的 1.2倍。</w:t>
      </w:r>
    </w:p>
    <w:p w14:paraId="16A616CB">
      <w:r>
        <w:rPr>
          <w:rFonts w:hint="eastAsia"/>
        </w:rPr>
        <w:t>【条文说明】 本条提出管道和设备应预留足够空间，保障安装和维修人员在安全位置作业。参考《工业企业设计卫生标准》GBZ 1-2010，以及美国ASSE A10系列标准及新加坡SS 557，同时依据人体工程学和安全操作半径，设计需要确保检修通道宽度和高度符合规范，确保维修人员有足够的空间以安全姿势（而非别扭姿势）进行操作，防止工具使用不当或紧急情况下无法撤离。</w:t>
      </w:r>
    </w:p>
    <w:p w14:paraId="7CC52CA7">
      <w:pPr>
        <w:pStyle w:val="82"/>
        <w:numPr>
          <w:ilvl w:val="0"/>
          <w:numId w:val="11"/>
        </w:numPr>
        <w:ind w:firstLine="0"/>
        <w:rPr>
          <w:rFonts w:ascii="Times New Roman" w:hAnsi="Times New Roman" w:eastAsia="仿宋"/>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建筑设计应为外立面、玻璃、遮阳装置等部位的日常维护和清洁提供安全、便利的条件。宜设计永久性的、与建筑一体化的擦窗机轨道、检修通道、锚固点等。</w:t>
      </w:r>
    </w:p>
    <w:p w14:paraId="334F0ABD">
      <w:r>
        <w:rPr>
          <w:rFonts w:hint="eastAsia"/>
        </w:rPr>
        <w:t>【条文说明】 本条旨在要求高层建筑必须预留安全可靠的清洁和维护设计，避免后期加装吊篮等临时设施带来的风险，需要明确规定锚固点的位置、数量和荷载要求。</w:t>
      </w:r>
    </w:p>
    <w:p w14:paraId="7A5BC91A">
      <w:pPr>
        <w:pStyle w:val="82"/>
        <w:numPr>
          <w:ilvl w:val="0"/>
          <w:numId w:val="11"/>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人员检修及活动区域的屋顶桁架中平行设置的檩条或椽条之间的最大中心间距不应大于 600</w:t>
      </w:r>
      <w:r>
        <w:rPr>
          <w:rFonts w:hint="eastAsia" w:ascii="Times New Roman" w:hAnsi="Times New Roman"/>
          <w:color w:val="000000" w:themeColor="text1"/>
          <w:szCs w:val="21"/>
          <w:lang w:val="en-US"/>
          <w14:textFill>
            <w14:solidFill>
              <w14:schemeClr w14:val="tx1"/>
            </w14:solidFill>
          </w14:textFill>
        </w:rPr>
        <w:t>mm</w:t>
      </w:r>
      <w:r>
        <w:rPr>
          <w:rFonts w:hint="eastAsia" w:ascii="Times New Roman" w:hAnsi="Times New Roman"/>
          <w:color w:val="000000" w:themeColor="text1"/>
          <w:szCs w:val="21"/>
          <w14:textFill>
            <w14:solidFill>
              <w14:schemeClr w14:val="tx1"/>
            </w14:solidFill>
          </w14:textFill>
        </w:rPr>
        <w:t>。</w:t>
      </w:r>
    </w:p>
    <w:p w14:paraId="2E3EDF7C">
      <w:r>
        <w:rPr>
          <w:rFonts w:hint="eastAsia"/>
        </w:rPr>
        <w:t>【条文说明】本条提出需要减少屋顶桁架檩条之间的间距，防止人员误入或坠落。设计时需要通过优化结构间距或增加防护网，降低高处坠落风险。根据新加坡《Code of Practice on Buildability》和英国HSE（健康与安全执行局）中的要求，600mm被称为“防坠落间距”，该间距确保了即使有人失足，其髋部也会被卡住，从而防止完全坠落。</w:t>
      </w:r>
    </w:p>
    <w:p w14:paraId="3D106765">
      <w:pPr>
        <w:pStyle w:val="82"/>
        <w:numPr>
          <w:ilvl w:val="0"/>
          <w:numId w:val="11"/>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设备布局与安装应符合</w:t>
      </w:r>
      <w:r>
        <w:rPr>
          <w:rFonts w:hint="eastAsia" w:ascii="Times New Roman" w:hAnsi="Times New Roman"/>
          <w:color w:val="000000" w:themeColor="text1"/>
          <w:szCs w:val="21"/>
          <w:lang w:val="en-US"/>
          <w14:textFill>
            <w14:solidFill>
              <w14:schemeClr w14:val="tx1"/>
            </w14:solidFill>
          </w14:textFill>
        </w:rPr>
        <w:t>下列</w:t>
      </w:r>
      <w:r>
        <w:rPr>
          <w:rFonts w:hint="eastAsia" w:ascii="Times New Roman" w:hAnsi="Times New Roman"/>
          <w:color w:val="000000" w:themeColor="text1"/>
          <w:szCs w:val="21"/>
          <w14:textFill>
            <w14:solidFill>
              <w14:schemeClr w14:val="tx1"/>
            </w14:solidFill>
          </w14:textFill>
        </w:rPr>
        <w:t>要求：</w:t>
      </w:r>
    </w:p>
    <w:p w14:paraId="395B753E">
      <w:pPr>
        <w:pStyle w:val="82"/>
        <w:ind w:firstLine="48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1 过滤器、皮带、润滑油点、断路器</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需要频繁操作或更换的部件应布置在易于直接接触的位置，</w:t>
      </w:r>
      <w:r>
        <w:rPr>
          <w:rFonts w:hint="eastAsia" w:ascii="Times New Roman" w:hAnsi="Times New Roman"/>
          <w:color w:val="000000" w:themeColor="text1"/>
          <w:szCs w:val="21"/>
          <w:lang w:val="en-US"/>
          <w14:textFill>
            <w14:solidFill>
              <w14:schemeClr w14:val="tx1"/>
            </w14:solidFill>
          </w14:textFill>
        </w:rPr>
        <w:t>与</w:t>
      </w:r>
      <w:r>
        <w:rPr>
          <w:rFonts w:hint="eastAsia" w:ascii="Times New Roman" w:hAnsi="Times New Roman"/>
          <w:color w:val="000000" w:themeColor="text1"/>
          <w:szCs w:val="21"/>
          <w14:textFill>
            <w14:solidFill>
              <w14:schemeClr w14:val="tx1"/>
            </w14:solidFill>
          </w14:textFill>
        </w:rPr>
        <w:t>地</w:t>
      </w:r>
      <w:r>
        <w:rPr>
          <w:rFonts w:hint="eastAsia" w:ascii="Times New Roman" w:hAnsi="Times New Roman"/>
          <w:color w:val="000000" w:themeColor="text1"/>
          <w:szCs w:val="21"/>
          <w:lang w:val="en-US"/>
          <w14:textFill>
            <w14:solidFill>
              <w14:schemeClr w14:val="tx1"/>
            </w14:solidFill>
          </w14:textFill>
        </w:rPr>
        <w:t>面</w:t>
      </w:r>
      <w:r>
        <w:rPr>
          <w:rFonts w:hint="eastAsia" w:ascii="Times New Roman" w:hAnsi="Times New Roman"/>
          <w:color w:val="000000" w:themeColor="text1"/>
          <w:szCs w:val="21"/>
          <w14:textFill>
            <w14:solidFill>
              <w14:schemeClr w14:val="tx1"/>
            </w14:solidFill>
          </w14:textFill>
        </w:rPr>
        <w:t>或平台</w:t>
      </w:r>
      <w:r>
        <w:rPr>
          <w:rFonts w:hint="eastAsia" w:ascii="Times New Roman" w:hAnsi="Times New Roman"/>
          <w:color w:val="000000" w:themeColor="text1"/>
          <w:szCs w:val="21"/>
          <w:lang w:val="en-US"/>
          <w14:textFill>
            <w14:solidFill>
              <w14:schemeClr w14:val="tx1"/>
            </w14:solidFill>
          </w14:textFill>
        </w:rPr>
        <w:t>的距离宜设置在</w:t>
      </w:r>
      <w:r>
        <w:rPr>
          <w:rFonts w:hint="eastAsia" w:ascii="Times New Roman" w:hAnsi="Times New Roman"/>
          <w:color w:val="000000" w:themeColor="text1"/>
          <w:szCs w:val="21"/>
          <w14:textFill>
            <w14:solidFill>
              <w14:schemeClr w14:val="tx1"/>
            </w14:solidFill>
          </w14:textFill>
        </w:rPr>
        <w:t>0.4</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至1.6</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之间；；</w:t>
      </w:r>
    </w:p>
    <w:p w14:paraId="04ADA66A">
      <w:r>
        <w:rPr>
          <w:rFonts w:hint="eastAsia"/>
        </w:rPr>
        <w:t>【条文说明】本条参考人因工程学“黄金操作区域”概念，减少攀爬、弯腰、伸展等动作，提高安全性和效率。本条中的数据值主要参考国际通用的人体尺度数据。</w:t>
      </w:r>
    </w:p>
    <w:p w14:paraId="14D5F0A6">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rFonts w:hint="eastAsia"/>
          <w:color w:val="000000" w:themeColor="text1"/>
          <w:szCs w:val="21"/>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设备的电机、控制面板等主要检修面应朝向检修通道。配电柜的门应能完全打开至90度以上，且前方空间应无障碍；</w:t>
      </w:r>
    </w:p>
    <w:p w14:paraId="6E7DD65C">
      <w:r>
        <w:rPr>
          <w:rFonts w:hint="eastAsia"/>
        </w:rPr>
        <w:t>【条文说明】《低压配电设计规范》GB 50054 中明确要求配电柜前留有操作和维护空间，避免维修人员在狭小空间内进行复杂操作。</w:t>
      </w:r>
    </w:p>
    <w:p w14:paraId="6C958141">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r>
        <w:rPr>
          <w:rFonts w:hint="eastAsia"/>
          <w:color w:val="000000" w:themeColor="text1"/>
          <w:szCs w:val="21"/>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对于大型电机、压缩机、锅炉模块等重量超过25 kg的重型部件或设备，应设计吊点、导轨、滑轮组或维护用叉车通道。</w:t>
      </w:r>
    </w:p>
    <w:p w14:paraId="3E8C81F1">
      <w:r>
        <w:rPr>
          <w:rFonts w:hint="eastAsia"/>
        </w:rPr>
        <w:t>【条文说明】本条参考欧盟《Manual Handling Directive》、新加坡WSH Council发布的《Guidelines on Design for Safety》中的要求，旨在避免人工搬运重物造成的伤害。</w:t>
      </w:r>
    </w:p>
    <w:p w14:paraId="2F61C09C">
      <w:pPr>
        <w:pStyle w:val="82"/>
        <w:numPr>
          <w:ilvl w:val="0"/>
          <w:numId w:val="11"/>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永久性检修设施设计应符合</w:t>
      </w:r>
      <w:r>
        <w:rPr>
          <w:rFonts w:hint="eastAsia" w:ascii="Times New Roman" w:hAnsi="Times New Roman"/>
          <w:color w:val="000000" w:themeColor="text1"/>
          <w:szCs w:val="21"/>
          <w:lang w:val="en-US"/>
          <w14:textFill>
            <w14:solidFill>
              <w14:schemeClr w14:val="tx1"/>
            </w14:solidFill>
          </w14:textFill>
        </w:rPr>
        <w:t>下列规定</w:t>
      </w:r>
      <w:r>
        <w:rPr>
          <w:rFonts w:hint="eastAsia" w:ascii="Times New Roman" w:hAnsi="Times New Roman"/>
          <w:color w:val="000000" w:themeColor="text1"/>
          <w:szCs w:val="21"/>
          <w14:textFill>
            <w14:solidFill>
              <w14:schemeClr w14:val="tx1"/>
            </w14:solidFill>
          </w14:textFill>
        </w:rPr>
        <w:t>：</w:t>
      </w:r>
    </w:p>
    <w:p w14:paraId="5426F424">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r>
        <w:rPr>
          <w:rFonts w:hint="eastAsia"/>
          <w:color w:val="000000" w:themeColor="text1"/>
          <w:szCs w:val="21"/>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建筑高度超过2层或8 m的玻璃幕墙、天窗及需要清洁的外墙，应设计永久性埋件和擦窗机轨道系统；</w:t>
      </w:r>
    </w:p>
    <w:p w14:paraId="7570F040">
      <w:r>
        <w:rPr>
          <w:rFonts w:hint="eastAsia"/>
        </w:rPr>
        <w:t>【条文说明】本条参考《擦窗机》GB/T 19154-2017 及新加坡BCA中的相关要求，旨在避免使用临时吊篮或蜘蛛人高空作业。</w:t>
      </w:r>
    </w:p>
    <w:p w14:paraId="08BDCC07">
      <w:pPr>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 屋顶、大型设备平台等区域的边缘，以及可能需要进行临时高空作业的位置，应预埋符合安全标准的永久性检修锚点，其设计荷载不应小于22 kN。</w:t>
      </w:r>
    </w:p>
    <w:p w14:paraId="7448D6EC">
      <w:r>
        <w:rPr>
          <w:rFonts w:hint="eastAsia"/>
        </w:rPr>
        <w:t>【条文说明】本条参考《坠落防护 挂点装置》GB 30862和新加坡CP33:2019《Code of Practice for Working Safely At Height》中的相关要求，旨在为后续维修提供安全挂接点。</w:t>
      </w:r>
    </w:p>
    <w:bookmarkEnd w:id="59"/>
    <w:p w14:paraId="296A0649">
      <w:pPr>
        <w:pStyle w:val="4"/>
      </w:pPr>
      <w:bookmarkStart w:id="60" w:name="_Toc213254732"/>
      <w:bookmarkStart w:id="61" w:name="_Toc3938"/>
      <w:r>
        <w:t>4.</w:t>
      </w:r>
      <w:r>
        <w:rPr>
          <w:rFonts w:hint="eastAsia"/>
        </w:rPr>
        <w:t>6建筑材料安全防护选用</w:t>
      </w:r>
      <w:bookmarkEnd w:id="60"/>
      <w:bookmarkEnd w:id="61"/>
    </w:p>
    <w:p w14:paraId="637FDD62">
      <w:pPr>
        <w:pStyle w:val="82"/>
        <w:numPr>
          <w:ilvl w:val="0"/>
          <w:numId w:val="12"/>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在设计选材时，应优先选用在其安装、使用、维护、改造</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建筑各阶段对人员安全风险最低的材料和构造方式。选择应基于风险评估，并考虑材料的物理特性、化学特性及其与使用环境的匹配度。</w:t>
      </w:r>
    </w:p>
    <w:p w14:paraId="3B5CE1A7">
      <w:r>
        <w:rPr>
          <w:rFonts w:hint="eastAsia"/>
          <w:lang w:val="sq-AL"/>
        </w:rPr>
        <w:t>【条文说明】这是新加坡《Design for Safety Regulations》和英国《Construction (Design and Management) Regulations 2015》(CDM 2015) 的核心原则，要求设计师从源头消除或减少可预见的风险，《绿色建筑评价标准》GB/T 50378-2019 的“安全耐久”章节也蕴含此理念。</w:t>
      </w:r>
      <w:r>
        <w:rPr>
          <w:rFonts w:hint="eastAsia"/>
        </w:rPr>
        <w:t>本条没有考虑拆除的风险，因为相关要素还缺乏规定的依据。</w:t>
      </w:r>
    </w:p>
    <w:p w14:paraId="75499077">
      <w:pPr>
        <w:pStyle w:val="82"/>
        <w:numPr>
          <w:ilvl w:val="0"/>
          <w:numId w:val="12"/>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设计应采用下列形式降低材料在施工、使用阶段的潜在危险：</w:t>
      </w:r>
    </w:p>
    <w:p w14:paraId="22382C67">
      <w:pPr>
        <w:pStyle w:val="82"/>
        <w:numPr>
          <w:ilvl w:val="0"/>
          <w:numId w:val="13"/>
        </w:numP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14:textFill>
            <w14:solidFill>
              <w14:schemeClr w14:val="tx1"/>
            </w14:solidFill>
          </w14:textFill>
        </w:rPr>
        <w:t>宜优先选用低危险源材料替代高危险源材料；</w:t>
      </w:r>
    </w:p>
    <w:p w14:paraId="600C38F8">
      <w:pPr>
        <w:pStyle w:val="82"/>
        <w:numPr>
          <w:ilvl w:val="0"/>
          <w:numId w:val="13"/>
        </w:numP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14:textFill>
            <w14:solidFill>
              <w14:schemeClr w14:val="tx1"/>
            </w14:solidFill>
          </w14:textFill>
        </w:rPr>
        <w:t>宜</w:t>
      </w:r>
      <w:r>
        <w:rPr>
          <w:rFonts w:hint="eastAsia" w:ascii="Times New Roman" w:hAnsi="Times New Roman"/>
          <w:color w:val="000000" w:themeColor="text1"/>
          <w:szCs w:val="21"/>
          <w14:textFill>
            <w14:solidFill>
              <w14:schemeClr w14:val="tx1"/>
            </w14:solidFill>
          </w14:textFill>
        </w:rPr>
        <w:t>控制材料有害物质含量；</w:t>
      </w:r>
    </w:p>
    <w:p w14:paraId="4FF25BDB">
      <w:pPr>
        <w:pStyle w:val="82"/>
        <w:numPr>
          <w:ilvl w:val="0"/>
          <w:numId w:val="13"/>
        </w:numP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14:textFill>
            <w14:solidFill>
              <w14:schemeClr w14:val="tx1"/>
            </w14:solidFill>
          </w14:textFill>
        </w:rPr>
        <w:t>宜</w:t>
      </w:r>
      <w:r>
        <w:rPr>
          <w:rFonts w:hint="eastAsia" w:ascii="Times New Roman" w:hAnsi="Times New Roman"/>
          <w:color w:val="000000" w:themeColor="text1"/>
          <w:szCs w:val="21"/>
          <w14:textFill>
            <w14:solidFill>
              <w14:schemeClr w14:val="tx1"/>
            </w14:solidFill>
          </w14:textFill>
        </w:rPr>
        <w:t>选择产生低挥发性有机化合物排放的涂料或其他饰面层。</w:t>
      </w:r>
    </w:p>
    <w:p w14:paraId="1FBAD1A1">
      <w:r>
        <w:rPr>
          <w:rFonts w:hint="eastAsia"/>
        </w:rPr>
        <w:t>【条文说明】本条提出在设计中综合降低材料在施工与运维阶段的潜在危险，包括最小化危险材料库存、以低危替代高危、控制有害物质含量并在不可避免暴露时配套个体防护，以及优先选择低挥发性有机化合物（VOC）的涂料与饰面层；实施时结合危险化学品分级与储配规范、材料合格证与限量标准（如涂料和胶黏剂中有害物质及VOC含量），选择污染物符合要求的材料，以减少施工中对施工人员的直接伤害，还要满足投入使用后室内空气的污染物能满足相应标准的要求。并在图纸与技术要求中明确替代路径、库存上限与现场防护要求，以在源头与过程双重环节降低中毒、火灾、爆炸及职业病风险。</w:t>
      </w:r>
    </w:p>
    <w:p w14:paraId="5D08C4A2">
      <w:pPr>
        <w:pStyle w:val="82"/>
        <w:numPr>
          <w:ilvl w:val="0"/>
          <w:numId w:val="12"/>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宜优先选用环保低排放、可机械化施工、便于标准化安装与拆卸的材料。</w:t>
      </w:r>
    </w:p>
    <w:p w14:paraId="346C6F11">
      <w:pPr>
        <w:pStyle w:val="82"/>
        <w:numPr>
          <w:ilvl w:val="0"/>
          <w:numId w:val="12"/>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在卫生间、厨房、走廊、楼梯踏步、坡道</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潮湿、油腻或人员流动密集的区域，宜选择经防滑处理的瓷砖、石材或防滑卷材。地面材料干态静摩擦系数（COF）不应小于0.5，湿态静摩擦系数不应小于0.6。</w:t>
      </w:r>
    </w:p>
    <w:p w14:paraId="3EEDAE73">
      <w:r>
        <w:rPr>
          <w:rFonts w:hint="eastAsia"/>
        </w:rPr>
        <w:t>【条文说明】本条主要参照《建筑地面工程防滑技术规程》JGJ/T 331-2014 、美国ASTM C1028标准、澳大利亚/新西兰AS 4586等标准中的相关要求，旨在防止滑倒事故。</w:t>
      </w:r>
    </w:p>
    <w:p w14:paraId="3F4A525C">
      <w:pPr>
        <w:pStyle w:val="82"/>
        <w:numPr>
          <w:ilvl w:val="0"/>
          <w:numId w:val="12"/>
        </w:numPr>
        <w:ind w:firstLine="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上人屋面、露台、阳台、设备平台的地面材料应耐磨、防滑且耐候，其湿态静摩擦系数（COF）不宜小于0.6。</w:t>
      </w:r>
    </w:p>
    <w:p w14:paraId="2146726F">
      <w:pPr>
        <w:rPr>
          <w:lang w:val="sq-AL"/>
        </w:rPr>
      </w:pPr>
      <w:r>
        <w:rPr>
          <w:rFonts w:hint="eastAsia"/>
          <w:lang w:val="sq-AL"/>
        </w:rPr>
        <w:t>【条文说明】本条主要参照新加坡CP 33《Code of Practice for Working Safely At Height》中关于高空作业面的防滑要求，</w:t>
      </w:r>
      <w:r>
        <w:rPr>
          <w:lang w:val="sq-AL"/>
        </w:rPr>
        <w:t>严禁采用光滑的石材、瓷砖</w:t>
      </w:r>
      <w:r>
        <w:rPr>
          <w:rFonts w:hint="eastAsia"/>
          <w:lang w:val="sq-AL"/>
        </w:rPr>
        <w:t>，这是对施工和维护人员的关键保护</w:t>
      </w:r>
      <w:r>
        <w:rPr>
          <w:lang w:val="sq-AL"/>
        </w:rPr>
        <w:t>。</w:t>
      </w:r>
    </w:p>
    <w:p w14:paraId="26A0CC17">
      <w:pPr>
        <w:pStyle w:val="82"/>
        <w:numPr>
          <w:ilvl w:val="0"/>
          <w:numId w:val="12"/>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涂料、胶粘剂、地板、人造板、密封胶</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室内装饰装修材料的挥发性有机化合物（VOC）和甲醛释放量必须符合国家绿色产品认证或环境标志产品认证的要求。</w:t>
      </w:r>
    </w:p>
    <w:p w14:paraId="01C257F0">
      <w:r>
        <w:rPr>
          <w:rFonts w:hint="eastAsia"/>
        </w:rPr>
        <w:t>【条文说明】本条主要参照《室内空气质量标准》GB/T 18883-2022、《建筑用墙面涂料中有害物质限量》GB 18582-2020等系列强制国标，欧盟CE认证也对VOC有严格限制，旨在保障长期使用者的呼吸健康。</w:t>
      </w:r>
    </w:p>
    <w:p w14:paraId="17B453E7">
      <w:pPr>
        <w:pStyle w:val="82"/>
        <w:numPr>
          <w:ilvl w:val="0"/>
          <w:numId w:val="12"/>
        </w:numPr>
        <w:ind w:firstLine="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严禁使用含石棉、放射性超标的材料。</w:t>
      </w:r>
      <w:r>
        <w:rPr>
          <w:rFonts w:hint="eastAsia" w:ascii="Times New Roman" w:hAnsi="Times New Roman"/>
          <w:color w:val="000000" w:themeColor="text1"/>
          <w:szCs w:val="21"/>
          <w:lang w:val="en-US"/>
          <w14:textFill>
            <w14:solidFill>
              <w14:schemeClr w14:val="tx1"/>
            </w14:solidFill>
          </w14:textFill>
        </w:rPr>
        <w:t>不应</w:t>
      </w:r>
      <w:r>
        <w:rPr>
          <w:rFonts w:ascii="Times New Roman" w:hAnsi="Times New Roman"/>
          <w:color w:val="000000" w:themeColor="text1"/>
          <w:szCs w:val="21"/>
          <w14:textFill>
            <w14:solidFill>
              <w14:schemeClr w14:val="tx1"/>
            </w14:solidFill>
          </w14:textFill>
        </w:rPr>
        <w:t>使用铅、铬、镉等重金属</w:t>
      </w:r>
      <w:r>
        <w:rPr>
          <w:rFonts w:hint="eastAsia" w:ascii="Times New Roman" w:hAnsi="Times New Roman"/>
          <w:color w:val="000000" w:themeColor="text1"/>
          <w:szCs w:val="21"/>
          <w14:textFill>
            <w14:solidFill>
              <w14:schemeClr w14:val="tx1"/>
            </w14:solidFill>
          </w14:textFill>
        </w:rPr>
        <w:t>含量高</w:t>
      </w:r>
      <w:r>
        <w:rPr>
          <w:rFonts w:ascii="Times New Roman" w:hAnsi="Times New Roman"/>
          <w:color w:val="000000" w:themeColor="text1"/>
          <w:szCs w:val="21"/>
          <w14:textFill>
            <w14:solidFill>
              <w14:schemeClr w14:val="tx1"/>
            </w14:solidFill>
          </w14:textFill>
        </w:rPr>
        <w:t>的涂料和颜料。儿童活动场所的装修材料应符合相关儿童产品安全标准。</w:t>
      </w:r>
    </w:p>
    <w:p w14:paraId="7C0383DB">
      <w:r>
        <w:rPr>
          <w:rFonts w:hint="eastAsia"/>
        </w:rPr>
        <w:t>【条文说明】世界卫生组织（WHO）已明确认定石棉为一级致癌物，多数发达国家已禁用。中国《建筑材料放射性核素限量》GB 6566-2010 也对建筑材料中的放射性物质进行了强制性限制。</w:t>
      </w:r>
    </w:p>
    <w:p w14:paraId="2DE66F95">
      <w:pPr>
        <w:pStyle w:val="82"/>
        <w:numPr>
          <w:ilvl w:val="0"/>
          <w:numId w:val="12"/>
        </w:numPr>
        <w:ind w:firstLine="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在卫生间、厨房、地下室</w:t>
      </w:r>
      <w:r>
        <w:rPr>
          <w:rFonts w:hint="eastAsia" w:ascii="Times New Roman" w:hAnsi="Times New Roman"/>
          <w:color w:val="000000" w:themeColor="text1"/>
          <w:szCs w:val="21"/>
          <w:lang w:val="en-US"/>
          <w14:textFill>
            <w14:solidFill>
              <w14:schemeClr w14:val="tx1"/>
            </w14:solidFill>
          </w14:textFill>
        </w:rPr>
        <w:t>等</w:t>
      </w:r>
      <w:r>
        <w:rPr>
          <w:rFonts w:ascii="Times New Roman" w:hAnsi="Times New Roman"/>
          <w:color w:val="000000" w:themeColor="text1"/>
          <w:szCs w:val="21"/>
          <w14:textFill>
            <w14:solidFill>
              <w14:schemeClr w14:val="tx1"/>
            </w14:solidFill>
          </w14:textFill>
        </w:rPr>
        <w:t>潮湿空间及医疗、养老建筑中，宜选用抗菌瓷砖、防霉涂料、硅藻泥</w:t>
      </w:r>
      <w:r>
        <w:rPr>
          <w:rFonts w:hint="eastAsia" w:ascii="Times New Roman" w:hAnsi="Times New Roman"/>
          <w:color w:val="000000" w:themeColor="text1"/>
          <w:szCs w:val="21"/>
          <w:lang w:val="en-US"/>
          <w14:textFill>
            <w14:solidFill>
              <w14:schemeClr w14:val="tx1"/>
            </w14:solidFill>
          </w14:textFill>
        </w:rPr>
        <w:t>等</w:t>
      </w:r>
      <w:r>
        <w:rPr>
          <w:rFonts w:ascii="Times New Roman" w:hAnsi="Times New Roman"/>
          <w:color w:val="000000" w:themeColor="text1"/>
          <w:szCs w:val="21"/>
          <w14:textFill>
            <w14:solidFill>
              <w14:schemeClr w14:val="tx1"/>
            </w14:solidFill>
          </w14:textFill>
        </w:rPr>
        <w:t>无机型、具有抗菌防霉功能的饰面材料。</w:t>
      </w:r>
    </w:p>
    <w:p w14:paraId="7C5366E4">
      <w:pPr>
        <w:rPr>
          <w:lang w:val="sq-AL"/>
        </w:rPr>
      </w:pPr>
      <w:r>
        <w:rPr>
          <w:rFonts w:hint="eastAsia"/>
          <w:lang w:val="sq-AL"/>
        </w:rPr>
        <w:t>【条文说明】本条主要参照《抗菌和抗病毒涂料》HG/T 3950-2025 ，此要求旨在</w:t>
      </w:r>
      <w:r>
        <w:rPr>
          <w:lang w:val="sq-AL"/>
        </w:rPr>
        <w:t>减少病原体滋生</w:t>
      </w:r>
      <w:r>
        <w:rPr>
          <w:rFonts w:hint="eastAsia"/>
          <w:lang w:val="sq-AL"/>
        </w:rPr>
        <w:t>，特别有助于保障免疫力低下人群的健康，符合健康建筑（WELL Standard）理念。</w:t>
      </w:r>
    </w:p>
    <w:p w14:paraId="269F28C6">
      <w:pPr>
        <w:pStyle w:val="82"/>
        <w:numPr>
          <w:ilvl w:val="0"/>
          <w:numId w:val="12"/>
        </w:numPr>
        <w:ind w:firstLine="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在天花板、高处安装的装饰构件等有坠落风险的部位，宜优先选用铝格栅、轻质石膏板、复合材料</w:t>
      </w:r>
      <w:r>
        <w:rPr>
          <w:rFonts w:hint="eastAsia" w:ascii="Times New Roman" w:hAnsi="Times New Roman"/>
          <w:color w:val="000000" w:themeColor="text1"/>
          <w:szCs w:val="21"/>
          <w:lang w:val="en-US"/>
          <w14:textFill>
            <w14:solidFill>
              <w14:schemeClr w14:val="tx1"/>
            </w14:solidFill>
          </w14:textFill>
        </w:rPr>
        <w:t>等</w:t>
      </w:r>
      <w:r>
        <w:rPr>
          <w:rFonts w:ascii="Times New Roman" w:hAnsi="Times New Roman"/>
          <w:color w:val="000000" w:themeColor="text1"/>
          <w:szCs w:val="21"/>
          <w14:textFill>
            <w14:solidFill>
              <w14:schemeClr w14:val="tx1"/>
            </w14:solidFill>
          </w14:textFill>
        </w:rPr>
        <w:t>轻质材料。</w:t>
      </w:r>
    </w:p>
    <w:p w14:paraId="42EBF5CB">
      <w:r>
        <w:rPr>
          <w:rFonts w:hint="eastAsia"/>
        </w:rPr>
        <w:t>【条文说明】本条借鉴了国际安全设计中的最不利情形（worst-case scenario）分析思路，根据坠落防护的“减轻后果”原则，即使安装牢固，也应考虑极端情况下的风险，</w:t>
      </w:r>
      <w:r>
        <w:t>以降低坠落时的冲击能量</w:t>
      </w:r>
      <w:r>
        <w:rPr>
          <w:rFonts w:hint="eastAsia"/>
        </w:rPr>
        <w:t>。</w:t>
      </w:r>
    </w:p>
    <w:p w14:paraId="7B5D0815">
      <w:pPr>
        <w:pStyle w:val="82"/>
        <w:numPr>
          <w:ilvl w:val="0"/>
          <w:numId w:val="12"/>
        </w:numPr>
        <w:ind w:firstLine="0"/>
        <w:rPr>
          <w:rFonts w:ascii="Times New Roman" w:hAnsi="Times New Roman" w:cs="Segoe UI"/>
          <w:color w:val="0F1115"/>
          <w:kern w:val="0"/>
          <w:szCs w:val="21"/>
        </w:rPr>
      </w:pPr>
      <w:r>
        <w:rPr>
          <w:rFonts w:ascii="Times New Roman" w:hAnsi="Times New Roman" w:cs="Segoe UI"/>
          <w:color w:val="0F1115"/>
          <w:kern w:val="0"/>
          <w:szCs w:val="21"/>
        </w:rPr>
        <w:t>公共场所的墙面、台面材料应选择釉面砖、树脂板、不锈钢</w:t>
      </w:r>
      <w:r>
        <w:rPr>
          <w:rFonts w:hint="eastAsia" w:ascii="Times New Roman" w:hAnsi="Times New Roman" w:cs="Segoe UI"/>
          <w:color w:val="0F1115"/>
          <w:kern w:val="0"/>
          <w:szCs w:val="21"/>
          <w:lang w:val="en-US"/>
        </w:rPr>
        <w:t>等</w:t>
      </w:r>
      <w:r>
        <w:rPr>
          <w:rFonts w:ascii="Times New Roman" w:hAnsi="Times New Roman" w:cs="Segoe UI"/>
          <w:color w:val="0F1115"/>
          <w:kern w:val="0"/>
          <w:szCs w:val="21"/>
        </w:rPr>
        <w:t>耐污、耐腐蚀、表面致密的材料。</w:t>
      </w:r>
    </w:p>
    <w:p w14:paraId="3B0BF927">
      <w:r>
        <w:rPr>
          <w:rFonts w:hint="eastAsia"/>
        </w:rPr>
        <w:t>【条文说明】本条</w:t>
      </w:r>
      <w:r>
        <w:rPr>
          <w:rFonts w:hint="eastAsia"/>
          <w:lang w:val="sq-AL"/>
        </w:rPr>
        <w:t>从生命周期安全角度考虑，</w:t>
      </w:r>
      <w:r>
        <w:t>减少化学清洁剂的使用和接触</w:t>
      </w:r>
      <w:r>
        <w:rPr>
          <w:rFonts w:hint="eastAsia"/>
        </w:rPr>
        <w:t>，从而</w:t>
      </w:r>
      <w:r>
        <w:rPr>
          <w:rFonts w:hint="eastAsia"/>
          <w:lang w:val="sq-AL"/>
        </w:rPr>
        <w:t>减少维护人员的健康风险，符合医院、实验室等环境的国际通用设计标准。</w:t>
      </w:r>
    </w:p>
    <w:p w14:paraId="556219D2">
      <w:pPr>
        <w:pStyle w:val="4"/>
      </w:pPr>
      <w:bookmarkStart w:id="62" w:name="_Toc1719"/>
      <w:bookmarkStart w:id="63" w:name="_Toc213254733"/>
      <w:r>
        <w:t>4.</w:t>
      </w:r>
      <w:r>
        <w:rPr>
          <w:rFonts w:hint="eastAsia"/>
        </w:rPr>
        <w:t>7施工安全防护设计</w:t>
      </w:r>
      <w:bookmarkEnd w:id="62"/>
      <w:bookmarkEnd w:id="63"/>
    </w:p>
    <w:p w14:paraId="269F50DA">
      <w:pPr>
        <w:pStyle w:val="82"/>
        <w:numPr>
          <w:ilvl w:val="0"/>
          <w:numId w:val="12"/>
        </w:numPr>
        <w:ind w:firstLine="0"/>
        <w:rPr>
          <w:rFonts w:ascii="Times New Roman" w:hAnsi="Times New Roman"/>
          <w:color w:val="000000" w:themeColor="text1"/>
          <w:szCs w:val="21"/>
          <w14:textFill>
            <w14:solidFill>
              <w14:schemeClr w14:val="tx1"/>
            </w14:solidFill>
          </w14:textFill>
        </w:rPr>
      </w:pPr>
      <w:bookmarkStart w:id="64" w:name="_Hlk213224780"/>
      <w:r>
        <w:rPr>
          <w:rFonts w:hint="eastAsia" w:ascii="Times New Roman" w:hAnsi="Times New Roman" w:cs="Segoe UI"/>
          <w:color w:val="0F1115"/>
          <w:kern w:val="0"/>
          <w:szCs w:val="21"/>
          <w:lang w:val="en-US"/>
        </w:rPr>
        <w:t>宜</w:t>
      </w:r>
      <w:r>
        <w:rPr>
          <w:rFonts w:ascii="Times New Roman" w:hAnsi="Times New Roman" w:cs="Segoe UI"/>
          <w:color w:val="0F1115"/>
          <w:kern w:val="0"/>
          <w:szCs w:val="21"/>
        </w:rPr>
        <w:t>优先选用预制楼梯、预制墙板、集成卫浴</w:t>
      </w:r>
      <w:r>
        <w:rPr>
          <w:rFonts w:hint="eastAsia" w:ascii="Times New Roman" w:hAnsi="Times New Roman" w:cs="Segoe UI"/>
          <w:color w:val="0F1115"/>
          <w:kern w:val="0"/>
          <w:szCs w:val="21"/>
          <w:lang w:val="en-US"/>
        </w:rPr>
        <w:t>等</w:t>
      </w:r>
      <w:r>
        <w:rPr>
          <w:rFonts w:ascii="Times New Roman" w:hAnsi="Times New Roman" w:cs="Segoe UI"/>
          <w:color w:val="0F1115"/>
          <w:kern w:val="0"/>
          <w:szCs w:val="21"/>
        </w:rPr>
        <w:t>预制装配式构件。</w:t>
      </w:r>
    </w:p>
    <w:p w14:paraId="2F856029">
      <w:pPr>
        <w:rPr>
          <w:color w:val="000000" w:themeColor="text1"/>
          <w:szCs w:val="21"/>
          <w14:textFill>
            <w14:solidFill>
              <w14:schemeClr w14:val="tx1"/>
            </w14:solidFill>
          </w14:textFill>
        </w:rPr>
      </w:pPr>
      <w:r>
        <w:rPr>
          <w:rFonts w:hint="eastAsia"/>
          <w:lang w:val="sq-AL"/>
        </w:rPr>
        <w:t>【条文说明】本条主要参照新加坡《Buildability Design Score》，鼓励预制化以提高施工安全和效率，</w:t>
      </w:r>
      <w:r>
        <w:rPr>
          <w:rFonts w:cs="Segoe UI"/>
          <w:color w:val="0F1115"/>
          <w:kern w:val="0"/>
          <w:szCs w:val="21"/>
        </w:rPr>
        <w:t>减少现场湿作业、高空作业和切割作业</w:t>
      </w:r>
      <w:r>
        <w:rPr>
          <w:rFonts w:hint="eastAsia" w:cs="Segoe UI"/>
          <w:color w:val="0F1115"/>
          <w:kern w:val="0"/>
          <w:szCs w:val="21"/>
        </w:rPr>
        <w:t>，</w:t>
      </w:r>
      <w:r>
        <w:rPr>
          <w:rFonts w:hint="eastAsia"/>
          <w:lang w:val="sq-AL"/>
        </w:rPr>
        <w:t>这是“通过设计消除风险”的最高级体现</w:t>
      </w:r>
      <w:r>
        <w:rPr>
          <w:lang w:val="sq-AL"/>
        </w:rPr>
        <w:t>，从源头降低施工风险</w:t>
      </w:r>
      <w:r>
        <w:rPr>
          <w:rFonts w:hint="eastAsia"/>
          <w:lang w:val="sq-AL"/>
        </w:rPr>
        <w:t>。</w:t>
      </w:r>
    </w:p>
    <w:p w14:paraId="2AC6DAB0">
      <w:pPr>
        <w:ind w:firstLine="420"/>
        <w:rPr>
          <w:lang w:val="sq-AL"/>
        </w:rPr>
      </w:pPr>
      <w:r>
        <w:rPr>
          <w:rFonts w:hint="eastAsia"/>
          <w:lang w:val="sq-AL"/>
        </w:rPr>
        <w:t>本条主要参照新加坡《Buildability Design Score》，</w:t>
      </w:r>
      <w:r>
        <w:rPr>
          <w:rFonts w:hint="eastAsia"/>
        </w:rPr>
        <w:t>是为了</w:t>
      </w:r>
      <w:r>
        <w:rPr>
          <w:rFonts w:hint="eastAsia"/>
          <w:color w:val="000000" w:themeColor="text1"/>
          <w:szCs w:val="21"/>
          <w14:textFill>
            <w14:solidFill>
              <w14:schemeClr w14:val="tx1"/>
            </w14:solidFill>
          </w14:textFill>
        </w:rPr>
        <w:t>减少高空作业、现场焊接和湿作业，从而降低施工风险</w:t>
      </w:r>
      <w:r>
        <w:rPr>
          <w:rFonts w:hint="eastAsia"/>
        </w:rPr>
        <w:t>，</w:t>
      </w:r>
      <w:r>
        <w:rPr>
          <w:rFonts w:hint="eastAsia"/>
          <w:lang w:val="sq-AL"/>
        </w:rPr>
        <w:t>这是从根源上减少施工现场危险作业的最有效方法。</w:t>
      </w:r>
    </w:p>
    <w:p w14:paraId="29C06AF4">
      <w:pPr>
        <w:pStyle w:val="82"/>
        <w:numPr>
          <w:ilvl w:val="0"/>
          <w:numId w:val="14"/>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对于预制围护结构构件，设计时</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优先考虑外墙和外窗的一体化，设计人员应在方案阶段优化构件组合，并</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在施工图中明确连接节点和吊装方式。</w:t>
      </w:r>
    </w:p>
    <w:p w14:paraId="55D3E463">
      <w:r>
        <w:rPr>
          <w:rFonts w:hint="eastAsia"/>
        </w:rPr>
        <w:t>【条文说明】本条要求预制构件设计时应考虑外墙与外窗的一体化，是为了</w:t>
      </w:r>
      <w:r>
        <w:rPr>
          <w:rFonts w:hint="eastAsia"/>
          <w:color w:val="000000" w:themeColor="text1"/>
          <w:szCs w:val="21"/>
          <w14:textFill>
            <w14:solidFill>
              <w14:schemeClr w14:val="tx1"/>
            </w14:solidFill>
          </w14:textFill>
        </w:rPr>
        <w:t>确保施工安全和结构整体性，</w:t>
      </w:r>
      <w:r>
        <w:rPr>
          <w:rFonts w:hint="eastAsia"/>
        </w:rPr>
        <w:t xml:space="preserve">减少现场高空拼装作业，降低坠落和物体打击风险，主要依据是《装配式混凝土建筑技术标准》GB/T 51231-2016。 </w:t>
      </w:r>
    </w:p>
    <w:p w14:paraId="3CED8A53">
      <w:pPr>
        <w:pStyle w:val="82"/>
        <w:numPr>
          <w:ilvl w:val="0"/>
          <w:numId w:val="14"/>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应结合施工设计并建造永久性楼梯，应</w:t>
      </w:r>
      <w:r>
        <w:rPr>
          <w:rFonts w:hint="eastAsia" w:ascii="Times New Roman" w:hAnsi="Times New Roman"/>
          <w:color w:val="000000" w:themeColor="text1"/>
          <w:szCs w:val="21"/>
          <w:lang w:val="en-US"/>
          <w14:textFill>
            <w14:solidFill>
              <w14:schemeClr w14:val="tx1"/>
            </w14:solidFill>
          </w14:textFill>
        </w:rPr>
        <w:t>按照国家现行标准</w:t>
      </w:r>
      <w:r>
        <w:rPr>
          <w:rFonts w:hint="eastAsia" w:ascii="Times New Roman" w:hAnsi="Times New Roman"/>
          <w:color w:val="000000" w:themeColor="text1"/>
          <w:szCs w:val="21"/>
          <w14:textFill>
            <w14:solidFill>
              <w14:schemeClr w14:val="tx1"/>
            </w14:solidFill>
          </w14:textFill>
        </w:rPr>
        <w:t>《建筑施工安全检查标准》JGJ 59-2011和《建筑设计防火规范》GB 50016-2014</w:t>
      </w:r>
      <w:r>
        <w:rPr>
          <w:rFonts w:hint="eastAsia" w:ascii="Times New Roman" w:hAnsi="Times New Roman"/>
          <w:color w:val="000000" w:themeColor="text1"/>
          <w:szCs w:val="21"/>
          <w:lang w:val="en-US"/>
          <w14:textFill>
            <w14:solidFill>
              <w14:schemeClr w14:val="tx1"/>
            </w14:solidFill>
          </w14:textFill>
        </w:rPr>
        <w:t>进行设计。</w:t>
      </w:r>
    </w:p>
    <w:p w14:paraId="7FE05C41">
      <w:r>
        <w:rPr>
          <w:rFonts w:hint="eastAsia"/>
        </w:rPr>
        <w:t>【条文说明】本条要求在施工阶段应设计并建造可使用的永久性楼梯，</w:t>
      </w:r>
      <w:r>
        <w:rPr>
          <w:rFonts w:hint="eastAsia"/>
          <w:color w:val="000000" w:themeColor="text1"/>
          <w:szCs w:val="21"/>
          <w14:textFill>
            <w14:solidFill>
              <w14:schemeClr w14:val="tx1"/>
            </w14:solidFill>
          </w14:textFill>
        </w:rPr>
        <w:t>确保楼梯结构稳固、踏步尺寸合理并具备防滑措施，</w:t>
      </w:r>
      <w:r>
        <w:rPr>
          <w:rFonts w:hint="eastAsia"/>
        </w:rPr>
        <w:t>旨在保障施工人员的垂直疏散安全，避免依赖临时楼梯和脚手架等临时设施带来的坠落和其他风险。</w:t>
      </w:r>
    </w:p>
    <w:p w14:paraId="5D401C1A">
      <w:pPr>
        <w:pStyle w:val="82"/>
        <w:numPr>
          <w:ilvl w:val="0"/>
          <w:numId w:val="14"/>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在设计图中集成施工和维修所需的永久性锚点、吊点、安全生命线系统和检修通道。</w:t>
      </w:r>
    </w:p>
    <w:p w14:paraId="7F830043">
      <w:r>
        <w:rPr>
          <w:rFonts w:hint="eastAsia"/>
        </w:rPr>
        <w:t>【条文说明】本条主要考虑将安全设施作为建筑的一部分进行一体化设计</w:t>
      </w:r>
      <w:r>
        <w:rPr>
          <w:rFonts w:hint="eastAsia"/>
          <w:color w:val="000000" w:themeColor="text1"/>
          <w:szCs w:val="21"/>
          <w14:textFill>
            <w14:solidFill>
              <w14:schemeClr w14:val="tx1"/>
            </w14:solidFill>
          </w14:textFill>
        </w:rPr>
        <w:t>，避免后期打孔和安装临时设施</w:t>
      </w:r>
      <w:r>
        <w:rPr>
          <w:rFonts w:hint="eastAsia"/>
        </w:rPr>
        <w:t>。</w:t>
      </w:r>
      <w:bookmarkEnd w:id="64"/>
    </w:p>
    <w:p w14:paraId="5FADFCFB">
      <w:pPr>
        <w:pStyle w:val="82"/>
        <w:numPr>
          <w:ilvl w:val="0"/>
          <w:numId w:val="14"/>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考虑预制楼梯、大型设备</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大型构件的吊装顺序、运输路径和临时存放场地，并</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在设计图中预留必要的吊装孔和运输通道。</w:t>
      </w:r>
    </w:p>
    <w:p w14:paraId="30CEFFBA">
      <w:r>
        <w:rPr>
          <w:rFonts w:hint="eastAsia"/>
        </w:rPr>
        <w:t>【条文说明】本条主要参照英国CDM 2015中的相关规定，要求设计师考虑施工的可行性，避免因设计不考虑安装而导致的高风险临时措施。</w:t>
      </w:r>
    </w:p>
    <w:p w14:paraId="6DF904A8">
      <w:pPr>
        <w:pStyle w:val="82"/>
        <w:numPr>
          <w:ilvl w:val="0"/>
          <w:numId w:val="14"/>
        </w:numPr>
        <w:ind w:firstLine="0"/>
        <w:rPr>
          <w:rFonts w:ascii="Times New Roman" w:hAnsi="Times New Roman"/>
          <w:color w:val="000000" w:themeColor="text1"/>
          <w:szCs w:val="21"/>
          <w14:textFill>
            <w14:solidFill>
              <w14:schemeClr w14:val="tx1"/>
            </w14:solidFill>
          </w14:textFill>
        </w:rPr>
      </w:pPr>
      <w:r>
        <w:rPr>
          <w:rFonts w:ascii="Times New Roman" w:hAnsi="Times New Roman" w:cs="Segoe UI"/>
          <w:color w:val="0F1115"/>
          <w:kern w:val="0"/>
          <w:szCs w:val="21"/>
        </w:rPr>
        <w:t>选材时应考虑单件材料的重量和尺寸。重量超过25</w:t>
      </w:r>
      <w:r>
        <w:rPr>
          <w:rFonts w:hint="eastAsia" w:ascii="Times New Roman" w:hAnsi="Times New Roman" w:cs="Segoe UI"/>
          <w:color w:val="0F1115"/>
          <w:kern w:val="0"/>
          <w:szCs w:val="21"/>
          <w:lang w:val="en-US"/>
        </w:rPr>
        <w:t xml:space="preserve"> </w:t>
      </w:r>
      <w:r>
        <w:rPr>
          <w:rFonts w:ascii="Times New Roman" w:hAnsi="Times New Roman" w:cs="Segoe UI"/>
          <w:color w:val="0F1115"/>
          <w:kern w:val="0"/>
          <w:szCs w:val="21"/>
        </w:rPr>
        <w:t>kg的部件应设计有吊装孔或抓握点。</w:t>
      </w:r>
    </w:p>
    <w:p w14:paraId="090027E8">
      <w:pPr>
        <w:rPr>
          <w:rFonts w:hint="eastAsia"/>
          <w:lang w:val="sq-AL"/>
        </w:rPr>
      </w:pPr>
      <w:r>
        <w:rPr>
          <w:rFonts w:hint="eastAsia"/>
          <w:lang w:val="sq-AL"/>
        </w:rPr>
        <w:t>【条文说明】依据欧盟《Manual Handling Directive》、新加坡WSH《Guidelines on Design for Safety》等标准，减少人工搬运的肌肉骨骼损伤风险，保护施工和未来维修人员的健康。</w:t>
      </w:r>
    </w:p>
    <w:p w14:paraId="1035548C">
      <w:pPr>
        <w:pStyle w:val="82"/>
        <w:numPr>
          <w:ilvl w:val="0"/>
          <w:numId w:val="14"/>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设计人员</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在施工组织设计中明确吊装路线和构件尺寸。楼梯井、施工电梯出口</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穿越主要施工通道、人员活动区域的梁、板、楼梯段</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预制构件，其单件最大重量宜控制在 500</w:t>
      </w:r>
      <w:r>
        <w:rPr>
          <w:rFonts w:hint="eastAsia" w:ascii="Times New Roman" w:hAnsi="Times New Roman"/>
          <w:color w:val="000000" w:themeColor="text1"/>
          <w:szCs w:val="21"/>
          <w:lang w:val="en-US"/>
          <w14:textFill>
            <w14:solidFill>
              <w14:schemeClr w14:val="tx1"/>
            </w14:solidFill>
          </w14:textFill>
        </w:rPr>
        <w:t xml:space="preserve"> kg</w:t>
      </w:r>
      <w:r>
        <w:rPr>
          <w:rFonts w:hint="eastAsia" w:ascii="Times New Roman" w:hAnsi="Times New Roman"/>
          <w:color w:val="000000" w:themeColor="text1"/>
          <w:szCs w:val="21"/>
          <w14:textFill>
            <w14:solidFill>
              <w14:schemeClr w14:val="tx1"/>
            </w14:solidFill>
          </w14:textFill>
        </w:rPr>
        <w:t>以内，且必须设计有明确、可靠的吊装和翻转吊点，并</w:t>
      </w:r>
      <w:r>
        <w:rPr>
          <w:rFonts w:hint="eastAsia" w:ascii="Times New Roman" w:hAnsi="Times New Roman"/>
          <w:color w:val="000000" w:themeColor="text1"/>
          <w:szCs w:val="21"/>
          <w:lang w:val="en-US"/>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制定专项吊装方案。</w:t>
      </w:r>
    </w:p>
    <w:p w14:paraId="68F92765">
      <w:r>
        <w:rPr>
          <w:rFonts w:hint="eastAsia"/>
        </w:rPr>
        <w:t>【条文说明】本条规定是为了通过限制预制构件尺寸，以降低吊装和运输过程中的碰撞风险</w:t>
      </w:r>
      <w:r>
        <w:rPr>
          <w:rFonts w:hint="eastAsia"/>
          <w:color w:val="000000" w:themeColor="text1"/>
          <w:szCs w:val="21"/>
          <w14:textFill>
            <w14:solidFill>
              <w14:schemeClr w14:val="tx1"/>
            </w14:solidFill>
          </w14:textFill>
        </w:rPr>
        <w:t>，确保运输安全</w:t>
      </w:r>
      <w:r>
        <w:rPr>
          <w:rFonts w:hint="eastAsia"/>
        </w:rPr>
        <w:t>。例如安装墙板时事先在地面上固定窗户，减少工人暴露于从高处跌落或被坠落的物体撞击下。限制重量是为了便于人工辅助就位和调整，减少对大型机械的依赖和因机械操作失误带来的风险。500公斤是多数标准中认为4-6名工人可进行辅助操作的临界重量参考值。核心依据是“机械搬运优于人工搬运”的安全原则。</w:t>
      </w:r>
    </w:p>
    <w:p w14:paraId="396931CC">
      <w:pPr>
        <w:pStyle w:val="82"/>
        <w:numPr>
          <w:ilvl w:val="0"/>
          <w:numId w:val="14"/>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14:textFill>
            <w14:solidFill>
              <w14:schemeClr w14:val="tx1"/>
            </w14:solidFill>
          </w14:textFill>
        </w:rPr>
        <w:t>宜</w:t>
      </w:r>
      <w:r>
        <w:rPr>
          <w:rFonts w:hint="eastAsia" w:ascii="Times New Roman" w:hAnsi="Times New Roman"/>
          <w:color w:val="000000" w:themeColor="text1"/>
          <w:szCs w:val="21"/>
          <w14:textFill>
            <w14:solidFill>
              <w14:schemeClr w14:val="tx1"/>
            </w14:solidFill>
          </w14:textFill>
        </w:rPr>
        <w:t>使用BIM技术进行施工过程模拟。</w:t>
      </w:r>
    </w:p>
    <w:p w14:paraId="13A82C5D">
      <w:r>
        <w:rPr>
          <w:rFonts w:hint="eastAsia"/>
        </w:rPr>
        <w:t>【条文说明】BIM技术是“数字孪生”在安全领域的应用，能够</w:t>
      </w:r>
      <w:r>
        <w:rPr>
          <w:rFonts w:hint="eastAsia"/>
          <w:color w:val="000000" w:themeColor="text1"/>
          <w:szCs w:val="21"/>
          <w14:textFill>
            <w14:solidFill>
              <w14:schemeClr w14:val="tx1"/>
            </w14:solidFill>
          </w14:textFill>
        </w:rPr>
        <w:t>提前发现和解决施工中的起重机与建筑物的碰撞等安全冲突，一般</w:t>
      </w:r>
      <w:r>
        <w:rPr>
          <w:rFonts w:hint="eastAsia"/>
        </w:rPr>
        <w:t>用于事前风险识别和方案优化。</w:t>
      </w:r>
    </w:p>
    <w:p w14:paraId="35BAA9AD">
      <w:pPr>
        <w:pStyle w:val="82"/>
        <w:numPr>
          <w:ilvl w:val="0"/>
          <w:numId w:val="14"/>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对于地下管线铺设和更换，应优先采用顶管、定向钻、裂管法等非开挖技术。</w:t>
      </w:r>
      <w:r>
        <w:rPr>
          <w:rFonts w:hint="eastAsia" w:ascii="Times New Roman" w:hAnsi="Times New Roman"/>
          <w:color w:val="000000" w:themeColor="text1"/>
          <w:szCs w:val="21"/>
          <w:lang w:val="en-US"/>
          <w14:textFill>
            <w14:solidFill>
              <w14:schemeClr w14:val="tx1"/>
            </w14:solidFill>
          </w14:textFill>
        </w:rPr>
        <w:t>当</w:t>
      </w:r>
      <w:r>
        <w:rPr>
          <w:rFonts w:hint="eastAsia" w:ascii="Times New Roman" w:hAnsi="Times New Roman"/>
          <w:color w:val="000000" w:themeColor="text1"/>
          <w:szCs w:val="21"/>
          <w14:textFill>
            <w14:solidFill>
              <w14:schemeClr w14:val="tx1"/>
            </w14:solidFill>
          </w14:textFill>
        </w:rPr>
        <w:t>必须采用明挖</w:t>
      </w:r>
      <w:r>
        <w:rPr>
          <w:rFonts w:hint="eastAsia" w:ascii="Times New Roman" w:hAnsi="Times New Roman"/>
          <w:color w:val="000000" w:themeColor="text1"/>
          <w:szCs w:val="21"/>
          <w:lang w:val="en-US"/>
          <w14:textFill>
            <w14:solidFill>
              <w14:schemeClr w14:val="tx1"/>
            </w14:solidFill>
          </w14:textFill>
        </w:rPr>
        <w:t>时</w:t>
      </w:r>
      <w:r>
        <w:rPr>
          <w:rFonts w:hint="eastAsia" w:ascii="Times New Roman" w:hAnsi="Times New Roman"/>
          <w:color w:val="000000" w:themeColor="text1"/>
          <w:szCs w:val="21"/>
          <w14:textFill>
            <w14:solidFill>
              <w14:schemeClr w14:val="tx1"/>
            </w14:solidFill>
          </w14:textFill>
        </w:rPr>
        <w:t>，应执行</w:t>
      </w:r>
      <w:r>
        <w:rPr>
          <w:rFonts w:hint="eastAsia" w:ascii="Times New Roman" w:hAnsi="Times New Roman"/>
          <w:color w:val="000000" w:themeColor="text1"/>
          <w:szCs w:val="21"/>
          <w:lang w:val="en-US"/>
          <w14:textFill>
            <w14:solidFill>
              <w14:schemeClr w14:val="tx1"/>
            </w14:solidFill>
          </w14:textFill>
        </w:rPr>
        <w:t>本标准</w:t>
      </w:r>
      <w:r>
        <w:rPr>
          <w:rFonts w:hint="eastAsia" w:ascii="Times New Roman" w:hAnsi="Times New Roman"/>
          <w:color w:val="000000" w:themeColor="text1"/>
          <w:szCs w:val="21"/>
          <w14:textFill>
            <w14:solidFill>
              <w14:schemeClr w14:val="tx1"/>
            </w14:solidFill>
          </w14:textFill>
        </w:rPr>
        <w:t>4.7.10条</w:t>
      </w:r>
      <w:r>
        <w:rPr>
          <w:rFonts w:hint="eastAsia" w:ascii="Times New Roman" w:hAnsi="Times New Roman"/>
          <w:color w:val="000000" w:themeColor="text1"/>
          <w:szCs w:val="21"/>
          <w:lang w:val="en-US"/>
          <w14:textFill>
            <w14:solidFill>
              <w14:schemeClr w14:val="tx1"/>
            </w14:solidFill>
          </w14:textFill>
        </w:rPr>
        <w:t>中</w:t>
      </w:r>
      <w:r>
        <w:rPr>
          <w:rFonts w:hint="eastAsia" w:ascii="Times New Roman" w:hAnsi="Times New Roman"/>
          <w:color w:val="000000" w:themeColor="text1"/>
          <w:szCs w:val="21"/>
          <w14:textFill>
            <w14:solidFill>
              <w14:schemeClr w14:val="tx1"/>
            </w14:solidFill>
          </w14:textFill>
        </w:rPr>
        <w:t>的要求。</w:t>
      </w:r>
    </w:p>
    <w:p w14:paraId="550C2D09">
      <w:r>
        <w:rPr>
          <w:rFonts w:hint="eastAsia"/>
        </w:rPr>
        <w:t>【条文说明】本条提出管沟需采用非开挖技术，以减少挖掘坍塌和地下管线破坏风险。设计时优先考虑顶管、定向钻进等工艺，并在施工方案中明确安全控制措施。非开挖技术能从本质上消除开挖作业中的所有重大风险（坍塌、管线破坏、人员坠落等），这是新加坡和香港等地强制推行的先进工法，符合“本质安全设计”的最高原则。</w:t>
      </w:r>
    </w:p>
    <w:p w14:paraId="4F288E48">
      <w:pPr>
        <w:pStyle w:val="82"/>
        <w:numPr>
          <w:ilvl w:val="0"/>
          <w:numId w:val="14"/>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设计时应确定基坑边坡合理的坡度和支护形式，基坑边缘与周边建筑物、构筑物基础底脚之间的最小安全距离（D）应不小于基坑深度（H）的 1.5倍（即 D ≥ 1.5H），且不应小于 2</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w:t>
      </w:r>
    </w:p>
    <w:p w14:paraId="61E73C17">
      <w:r>
        <w:rPr>
          <w:rFonts w:hint="eastAsia"/>
        </w:rPr>
        <w:t xml:space="preserve">【条文说明】本条主要依据《建筑基坑支护技术规程》JGJ 120-2012，提出基坑要留足安全空间并远离静载和动载影响，以降低坍塌风险。 </w:t>
      </w:r>
    </w:p>
    <w:p w14:paraId="7EF939AF">
      <w:pPr>
        <w:pStyle w:val="82"/>
        <w:numPr>
          <w:ilvl w:val="0"/>
          <w:numId w:val="14"/>
        </w:numPr>
        <w:ind w:firstLine="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基坑施工组织应控制周边荷载。挖掘宜远离建筑物，墙壁和固定工厂</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静态载荷或交通和挖掘设备</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动态载荷的影响。基坑边缘 1.5</w:t>
      </w:r>
      <w:r>
        <w:rPr>
          <w:rFonts w:hint="eastAsia" w:ascii="Times New Roman" w:hAnsi="Times New Roman"/>
          <w:color w:val="000000" w:themeColor="text1"/>
          <w:szCs w:val="21"/>
          <w:lang w:val="en-US"/>
          <w14:textFill>
            <w14:solidFill>
              <w14:schemeClr w14:val="tx1"/>
            </w14:solidFill>
          </w14:textFill>
        </w:rPr>
        <w:t xml:space="preserve"> m</w:t>
      </w:r>
      <w:r>
        <w:rPr>
          <w:rFonts w:hint="eastAsia" w:ascii="Times New Roman" w:hAnsi="Times New Roman"/>
          <w:color w:val="000000" w:themeColor="text1"/>
          <w:szCs w:val="21"/>
          <w14:textFill>
            <w14:solidFill>
              <w14:schemeClr w14:val="tx1"/>
            </w14:solidFill>
          </w14:textFill>
        </w:rPr>
        <w:t xml:space="preserve"> 范围内严禁堆放任何材料、土方或停放设备。所有道路、机械设备</w:t>
      </w:r>
      <w:r>
        <w:rPr>
          <w:rFonts w:hint="eastAsia" w:ascii="Times New Roman" w:hAnsi="Times New Roman"/>
          <w:color w:val="000000" w:themeColor="text1"/>
          <w:szCs w:val="21"/>
          <w:lang w:val="en-US"/>
          <w14:textFill>
            <w14:solidFill>
              <w14:schemeClr w14:val="tx1"/>
            </w14:solidFill>
          </w14:textFill>
        </w:rPr>
        <w:t>等</w:t>
      </w:r>
      <w:r>
        <w:rPr>
          <w:rFonts w:hint="eastAsia" w:ascii="Times New Roman" w:hAnsi="Times New Roman"/>
          <w:color w:val="000000" w:themeColor="text1"/>
          <w:szCs w:val="21"/>
          <w14:textFill>
            <w14:solidFill>
              <w14:schemeClr w14:val="tx1"/>
            </w14:solidFill>
          </w14:textFill>
        </w:rPr>
        <w:t>动、静荷载源必须与坑边保持至少 1.5倍基坑深度的距离。</w:t>
      </w:r>
    </w:p>
    <w:p w14:paraId="3A26EE07">
      <w:r>
        <w:rPr>
          <w:rFonts w:hint="eastAsia"/>
        </w:rPr>
        <w:t>【条文说明】安全距离基于土力学边坡稳定理论（如朗肯、库伦土压力理论），目的是防止基坑坍塌和邻近建筑物沉降，具体数值参考中国《建筑基坑支护技术规程》JGJ 120和新加坡SS 557中关于工作空间和安全距离的规定。1.5米的设备材料禁放区是防止物体滚落伤人的基本要求。</w:t>
      </w:r>
    </w:p>
    <w:p w14:paraId="02865B56">
      <w:pPr>
        <w:rPr>
          <w:rFonts w:eastAsia="仿宋"/>
          <w:color w:val="000000" w:themeColor="text1"/>
          <w:szCs w:val="21"/>
          <w:lang w:val="sq-AL"/>
          <w14:textFill>
            <w14:solidFill>
              <w14:schemeClr w14:val="tx1"/>
            </w14:solidFill>
          </w14:textFill>
        </w:rPr>
      </w:pPr>
    </w:p>
    <w:bookmarkEnd w:id="35"/>
    <w:p w14:paraId="776AAF15">
      <w:pPr>
        <w:ind w:firstLine="420"/>
        <w:rPr>
          <w:bCs/>
        </w:rPr>
      </w:pPr>
      <w:r>
        <w:rPr>
          <w:bCs/>
        </w:rPr>
        <w:br w:type="page"/>
      </w:r>
    </w:p>
    <w:p w14:paraId="52CBA55A">
      <w:pPr>
        <w:spacing w:line="240" w:lineRule="auto"/>
        <w:rPr>
          <w:lang w:val="sq-AL"/>
        </w:rPr>
      </w:pPr>
      <w:bookmarkStart w:id="65" w:name="_Toc534378788"/>
      <w:bookmarkStart w:id="66" w:name="_Toc534374788"/>
      <w:r>
        <mc:AlternateContent>
          <mc:Choice Requires="wps">
            <w:drawing>
              <wp:anchor distT="0" distB="0" distL="114300" distR="114300" simplePos="0" relativeHeight="251662336" behindDoc="0" locked="0" layoutInCell="1" allowOverlap="1">
                <wp:simplePos x="0" y="0"/>
                <wp:positionH relativeFrom="column">
                  <wp:posOffset>4685030</wp:posOffset>
                </wp:positionH>
                <wp:positionV relativeFrom="paragraph">
                  <wp:posOffset>1500505</wp:posOffset>
                </wp:positionV>
                <wp:extent cx="17145" cy="12700"/>
                <wp:effectExtent l="0" t="0" r="8255" b="13335"/>
                <wp:wrapNone/>
                <wp:docPr id="9" name="Text Box 22"/>
                <wp:cNvGraphicFramePr/>
                <a:graphic xmlns:a="http://schemas.openxmlformats.org/drawingml/2006/main">
                  <a:graphicData uri="http://schemas.microsoft.com/office/word/2010/wordprocessingShape">
                    <wps:wsp>
                      <wps:cNvSpPr txBox="1"/>
                      <wps:spPr bwMode="auto">
                        <a:xfrm>
                          <a:off x="0" y="0"/>
                          <a:ext cx="17335" cy="12679"/>
                        </a:xfrm>
                        <a:prstGeom prst="rect">
                          <a:avLst/>
                        </a:prstGeom>
                        <a:solidFill>
                          <a:srgbClr val="FFFFFF"/>
                        </a:solidFill>
                        <a:ln w="9525">
                          <a:solidFill>
                            <a:srgbClr val="000000"/>
                          </a:solidFill>
                          <a:prstDash val="sysDot"/>
                          <a:miter lim="800000"/>
                        </a:ln>
                        <a:effectLst/>
                      </wps:spPr>
                      <wps:bodyPr rot="0" vert="horz" wrap="square" lIns="91440" tIns="45720" rIns="91440" bIns="45720" anchor="t" anchorCtr="0" upright="1">
                        <a:noAutofit/>
                      </wps:bodyPr>
                    </wps:wsp>
                  </a:graphicData>
                </a:graphic>
              </wp:anchor>
            </w:drawing>
          </mc:Choice>
          <mc:Fallback>
            <w:pict>
              <v:shape id="Text Box 22" o:spid="_x0000_s1026" o:spt="202" type="#_x0000_t202" style="position:absolute;left:0pt;margin-left:368.9pt;margin-top:118.15pt;height:1pt;width:1.35pt;z-index:251662336;mso-width-relative:page;mso-height-relative:page;" fillcolor="#FFFFFF" filled="t" stroked="t" coordsize="21600,21600" o:gfxdata="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Fa1BwHZAAAACwEAAA8AAAAAAAAAAQAgAAAAIgAAAGRycy9kb3ducmV2LnhtbFBLAQIUABQAAAAI&#10;AIdO4kDRfaCcJQIAAHEEAAAOAAAAAAAAAAEAIAAAACgBAABkcnMvZTJvRG9jLnhtbFBLBQYAAAAA&#10;BgAGAFkBAAC/BQAAAAA=&#10;">
                <v:fill on="t" focussize="0,0"/>
                <v:stroke color="#000000" miterlimit="8" joinstyle="miter" dashstyle="1 1"/>
                <v:imagedata o:title=""/>
                <o:lock v:ext="edit" aspectratio="f"/>
              </v:shape>
            </w:pict>
          </mc:Fallback>
        </mc:AlternateContent>
      </w:r>
    </w:p>
    <w:p w14:paraId="69934DAD">
      <w:pPr>
        <w:pStyle w:val="127"/>
        <w:rPr>
          <w:rFonts w:hint="default"/>
        </w:rPr>
      </w:pPr>
      <w:bookmarkStart w:id="67" w:name="_Toc213254734"/>
      <w:bookmarkStart w:id="68" w:name="_Toc26907"/>
      <w:bookmarkStart w:id="69" w:name="_Toc13478223"/>
      <w:bookmarkStart w:id="70" w:name="_Toc94038783"/>
      <w:r>
        <w:t xml:space="preserve">附录A </w:t>
      </w:r>
      <w:bookmarkEnd w:id="65"/>
      <w:bookmarkEnd w:id="66"/>
      <w:r>
        <w:t>安全防护设计红黄绿清单示例</w:t>
      </w:r>
      <w:bookmarkEnd w:id="67"/>
      <w:bookmarkEnd w:id="68"/>
      <w:bookmarkEnd w:id="69"/>
      <w:bookmarkEnd w:id="70"/>
    </w:p>
    <w:p w14:paraId="5317D9D6">
      <w:pPr>
        <w:spacing w:line="276" w:lineRule="auto"/>
        <w:jc w:val="center"/>
        <w:rPr>
          <w:sz w:val="28"/>
        </w:rPr>
      </w:pPr>
      <w:r>
        <w:rPr>
          <w:rFonts w:hint="eastAsia"/>
          <w:sz w:val="28"/>
        </w:rPr>
        <w:t>（资料性附录）</w:t>
      </w:r>
    </w:p>
    <w:p w14:paraId="550CC779">
      <w:r>
        <w:rPr>
          <w:b/>
        </w:rPr>
        <w:t>A.0.1</w:t>
      </w:r>
      <w:r>
        <w:rPr>
          <w:rFonts w:hint="eastAsia"/>
        </w:rPr>
        <w:t>宜采用红黄绿清单法辅助设计人员开展设计工作。</w:t>
      </w:r>
    </w:p>
    <w:p w14:paraId="664D59E7">
      <w:r>
        <w:rPr>
          <w:rFonts w:hint="eastAsia"/>
          <w:color w:val="000000" w:themeColor="text1"/>
          <w14:textFill>
            <w14:solidFill>
              <w14:schemeClr w14:val="tx1"/>
            </w14:solidFill>
          </w14:textFill>
        </w:rPr>
        <w:t>【条文说明】</w:t>
      </w:r>
      <w:r>
        <w:rPr>
          <w:rFonts w:hint="eastAsia"/>
        </w:rPr>
        <w:t>本条倡导在方案、初设与施工图阶段系统应用“红黄绿清单法”，以全寿命周期视角在设计源头识别并分级处置风险，明晰在设计过程中各项程序、产品和工艺工法，需要消除或避免事项和需要鼓励采用的事项。要求在设计说明/BIM模型中标注风险项、控制等级与闭环责任，这与ISO 45001关于危害辨识、风险评估与持续改进的管理框架一致，并与Safe Work Australia《结构安全设计实践守则》明确的“生命周期+风险管理+信息传递”五要素相衔接</w:t>
      </w:r>
      <w:r>
        <w:rPr>
          <w:rFonts w:hint="eastAsia"/>
          <w:vertAlign w:val="superscript"/>
        </w:rPr>
        <w:t>[1][2]</w:t>
      </w:r>
      <w:r>
        <w:rPr>
          <w:rFonts w:hint="eastAsia"/>
        </w:rPr>
        <w:t>。</w:t>
      </w:r>
    </w:p>
    <w:p w14:paraId="407ED0CE">
      <w:pPr>
        <w:rPr>
          <w:rFonts w:cs="Times New Roman (正文 CS 字体)"/>
          <w:szCs w:val="21"/>
        </w:rPr>
      </w:pPr>
      <w:r>
        <w:rPr>
          <w:b/>
        </w:rPr>
        <w:t xml:space="preserve">A.0.2 </w:t>
      </w:r>
      <w:r>
        <w:rPr>
          <w:rFonts w:hint="eastAsia"/>
        </w:rPr>
        <w:t>红色清单包含</w:t>
      </w:r>
      <w:r>
        <w:rPr>
          <w:rFonts w:hint="eastAsia" w:cs="Times New Roman (正文 CS 字体)"/>
          <w:szCs w:val="21"/>
        </w:rPr>
        <w:t>应竭尽可能在项目中消除的危险程序，产品和工艺，并应在设计方案中检查排除。当红色事项不能采用排除或采用其他方式替代时，应向项目负责人员递交说明，并应向相关责任人提供预警并逐级传递。红色清单具体内容</w:t>
      </w:r>
      <w:r>
        <w:rPr>
          <w:rFonts w:hint="eastAsia"/>
        </w:rPr>
        <w:t>应符合表A.0.2的规定。</w:t>
      </w:r>
    </w:p>
    <w:p w14:paraId="5C1D392A">
      <w:pPr>
        <w:jc w:val="center"/>
        <w:rPr>
          <w:rFonts w:cs="Times New Roman (正文 CS 字体)"/>
        </w:rPr>
      </w:pPr>
      <w:r>
        <w:rPr>
          <w:rFonts w:hint="eastAsia" w:cs="Times New Roman (正文 CS 字体)"/>
        </w:rPr>
        <w:t>表</w:t>
      </w:r>
      <w:r>
        <w:rPr>
          <w:rFonts w:cs="Times New Roman (正文 CS 字体)"/>
        </w:rPr>
        <w:t>A.0.2</w:t>
      </w:r>
      <w:r>
        <w:rPr>
          <w:rFonts w:hint="eastAsia" w:cs="Times New Roman (正文 CS 字体)"/>
        </w:rPr>
        <w:t>安全设计红绿蓝辅助清单</w:t>
      </w:r>
    </w:p>
    <w:tbl>
      <w:tblPr>
        <w:tblStyle w:val="30"/>
        <w:tblW w:w="5000" w:type="pct"/>
        <w:jc w:val="center"/>
        <w:tblLayout w:type="autofit"/>
        <w:tblCellMar>
          <w:top w:w="0" w:type="dxa"/>
          <w:left w:w="0" w:type="dxa"/>
          <w:bottom w:w="0" w:type="dxa"/>
          <w:right w:w="0" w:type="dxa"/>
        </w:tblCellMar>
      </w:tblPr>
      <w:tblGrid>
        <w:gridCol w:w="187"/>
        <w:gridCol w:w="9177"/>
      </w:tblGrid>
      <w:tr w14:paraId="369DB657">
        <w:tblPrEx>
          <w:tblCellMar>
            <w:top w:w="0" w:type="dxa"/>
            <w:left w:w="0" w:type="dxa"/>
            <w:bottom w:w="0" w:type="dxa"/>
            <w:right w:w="0" w:type="dxa"/>
          </w:tblCellMar>
        </w:tblPrEx>
        <w:trPr>
          <w:trHeight w:val="561" w:hRule="exact"/>
          <w:jc w:val="center"/>
        </w:trPr>
        <w:tc>
          <w:tcPr>
            <w:tcW w:w="5000" w:type="pct"/>
            <w:gridSpan w:val="2"/>
            <w:tcBorders>
              <w:top w:val="single" w:color="auto" w:sz="4" w:space="0"/>
              <w:left w:val="single" w:color="auto" w:sz="4" w:space="0"/>
              <w:bottom w:val="single" w:color="auto" w:sz="4" w:space="0"/>
              <w:right w:val="single" w:color="auto" w:sz="4" w:space="0"/>
            </w:tcBorders>
            <w:shd w:val="clear" w:color="auto" w:fill="D1D3D4"/>
            <w:vAlign w:val="center"/>
          </w:tcPr>
          <w:p w14:paraId="6826E14A">
            <w:pPr>
              <w:jc w:val="center"/>
              <w:rPr>
                <w:rFonts w:cs="Times New Roman (正文 CS 字体)"/>
                <w:b/>
                <w:szCs w:val="21"/>
              </w:rPr>
            </w:pPr>
            <w:r>
              <w:rPr>
                <w:rFonts w:hint="eastAsia" w:cs="Times New Roman (正文 CS 字体)"/>
                <w:b/>
                <w:color w:val="ED1C24"/>
                <w:szCs w:val="21"/>
              </w:rPr>
              <w:t>红色清单</w:t>
            </w:r>
          </w:p>
        </w:tc>
      </w:tr>
      <w:tr w14:paraId="6DBD2F87">
        <w:tblPrEx>
          <w:tblCellMar>
            <w:top w:w="0" w:type="dxa"/>
            <w:left w:w="0" w:type="dxa"/>
            <w:bottom w:w="0" w:type="dxa"/>
            <w:right w:w="0" w:type="dxa"/>
          </w:tblCellMar>
        </w:tblPrEx>
        <w:trPr>
          <w:trHeight w:val="288" w:hRule="atLeast"/>
          <w:jc w:val="center"/>
        </w:trPr>
        <w:tc>
          <w:tcPr>
            <w:tcW w:w="100" w:type="pct"/>
            <w:tcBorders>
              <w:top w:val="single" w:color="auto" w:sz="4" w:space="0"/>
              <w:left w:val="single" w:color="939598" w:sz="4" w:space="0"/>
              <w:bottom w:val="single" w:color="939598" w:sz="4" w:space="0"/>
              <w:right w:val="single" w:color="939598" w:sz="4" w:space="0"/>
            </w:tcBorders>
            <w:shd w:val="clear" w:color="auto" w:fill="ED1C24"/>
            <w:vAlign w:val="center"/>
          </w:tcPr>
          <w:p w14:paraId="5B68F501">
            <w:pPr>
              <w:spacing w:after="200"/>
              <w:jc w:val="left"/>
              <w:rPr>
                <w:kern w:val="0"/>
                <w:szCs w:val="21"/>
              </w:rPr>
            </w:pPr>
          </w:p>
        </w:tc>
        <w:tc>
          <w:tcPr>
            <w:tcW w:w="4900" w:type="pct"/>
            <w:tcBorders>
              <w:top w:val="single" w:color="auto" w:sz="4" w:space="0"/>
              <w:left w:val="single" w:color="939598" w:sz="4" w:space="0"/>
              <w:bottom w:val="single" w:color="939598" w:sz="4" w:space="0"/>
              <w:right w:val="single" w:color="939598" w:sz="4" w:space="0"/>
            </w:tcBorders>
            <w:vAlign w:val="center"/>
          </w:tcPr>
          <w:p w14:paraId="648C198D">
            <w:pPr>
              <w:jc w:val="left"/>
              <w:rPr>
                <w:rFonts w:cs="Times New Roman (正文 CS 字体)"/>
                <w:szCs w:val="21"/>
              </w:rPr>
            </w:pPr>
            <w:r>
              <w:rPr>
                <w:rFonts w:cs="Arial Narrow"/>
                <w:szCs w:val="21"/>
              </w:rPr>
              <w:t>●</w:t>
            </w:r>
            <w:r>
              <w:rPr>
                <w:rFonts w:cs="Arial Narrow"/>
                <w:spacing w:val="11"/>
                <w:szCs w:val="21"/>
              </w:rPr>
              <w:t xml:space="preserve"> </w:t>
            </w:r>
            <w:r>
              <w:rPr>
                <w:rFonts w:hint="eastAsia" w:cs="Arial Narrow"/>
                <w:spacing w:val="11"/>
                <w:szCs w:val="21"/>
              </w:rPr>
              <w:t xml:space="preserve">01 </w:t>
            </w:r>
            <w:r>
              <w:rPr>
                <w:rFonts w:hint="eastAsia" w:cs="Times New Roman (正文 CS 字体)"/>
                <w:szCs w:val="21"/>
              </w:rPr>
              <w:t>缺乏足够的施工前信息，例如：实地查勘，地质，障碍物，服务，土壤污染等；</w:t>
            </w:r>
          </w:p>
        </w:tc>
      </w:tr>
      <w:tr w14:paraId="15D460D2">
        <w:tblPrEx>
          <w:tblCellMar>
            <w:top w:w="0" w:type="dxa"/>
            <w:left w:w="0" w:type="dxa"/>
            <w:bottom w:w="0" w:type="dxa"/>
            <w:right w:w="0" w:type="dxa"/>
          </w:tblCellMar>
        </w:tblPrEx>
        <w:trPr>
          <w:trHeight w:val="288" w:hRule="atLeast"/>
          <w:jc w:val="center"/>
        </w:trPr>
        <w:tc>
          <w:tcPr>
            <w:tcW w:w="100" w:type="pct"/>
            <w:tcBorders>
              <w:top w:val="single" w:color="939598" w:sz="4" w:space="0"/>
              <w:left w:val="single" w:color="939598" w:sz="4" w:space="0"/>
              <w:bottom w:val="single" w:color="939598" w:sz="4" w:space="0"/>
              <w:right w:val="single" w:color="939598" w:sz="4" w:space="0"/>
            </w:tcBorders>
            <w:shd w:val="clear" w:color="auto" w:fill="ED1C24"/>
            <w:vAlign w:val="center"/>
          </w:tcPr>
          <w:p w14:paraId="0DD5512C">
            <w:pPr>
              <w:spacing w:after="200"/>
              <w:jc w:val="left"/>
              <w:rPr>
                <w:kern w:val="0"/>
                <w:szCs w:val="21"/>
              </w:rPr>
            </w:pPr>
          </w:p>
        </w:tc>
        <w:tc>
          <w:tcPr>
            <w:tcW w:w="4900" w:type="pct"/>
            <w:tcBorders>
              <w:top w:val="single" w:color="939598" w:sz="4" w:space="0"/>
              <w:left w:val="single" w:color="939598" w:sz="4" w:space="0"/>
              <w:bottom w:val="single" w:color="939598" w:sz="4" w:space="0"/>
              <w:right w:val="single" w:color="939598" w:sz="4" w:space="0"/>
            </w:tcBorders>
            <w:vAlign w:val="center"/>
          </w:tcPr>
          <w:p w14:paraId="4B97B3AA">
            <w:pPr>
              <w:jc w:val="left"/>
              <w:rPr>
                <w:rFonts w:cs="Times New Roman (正文 CS 字体)"/>
                <w:szCs w:val="21"/>
              </w:rPr>
            </w:pPr>
            <w:r>
              <w:rPr>
                <w:rFonts w:cs="Arial Narrow"/>
                <w:szCs w:val="21"/>
              </w:rPr>
              <w:t>●</w:t>
            </w:r>
            <w:r>
              <w:rPr>
                <w:rFonts w:cs="Arial Narrow"/>
                <w:spacing w:val="7"/>
                <w:szCs w:val="21"/>
              </w:rPr>
              <w:t xml:space="preserve"> </w:t>
            </w:r>
            <w:r>
              <w:rPr>
                <w:rFonts w:hint="eastAsia" w:cs="Arial Narrow"/>
                <w:spacing w:val="7"/>
                <w:szCs w:val="21"/>
              </w:rPr>
              <w:t xml:space="preserve">02 </w:t>
            </w:r>
            <w:r>
              <w:rPr>
                <w:rFonts w:hint="eastAsia" w:cs="Times New Roman (正文 CS 字体)"/>
                <w:szCs w:val="21"/>
              </w:rPr>
              <w:t>易碎屋顶灯和屋顶组件；</w:t>
            </w:r>
          </w:p>
        </w:tc>
      </w:tr>
      <w:tr w14:paraId="13F3896C">
        <w:tblPrEx>
          <w:tblCellMar>
            <w:top w:w="0" w:type="dxa"/>
            <w:left w:w="0" w:type="dxa"/>
            <w:bottom w:w="0" w:type="dxa"/>
            <w:right w:w="0" w:type="dxa"/>
          </w:tblCellMar>
        </w:tblPrEx>
        <w:trPr>
          <w:trHeight w:val="288" w:hRule="atLeast"/>
          <w:jc w:val="center"/>
        </w:trPr>
        <w:tc>
          <w:tcPr>
            <w:tcW w:w="100" w:type="pct"/>
            <w:tcBorders>
              <w:top w:val="single" w:color="939598" w:sz="4" w:space="0"/>
              <w:left w:val="single" w:color="939598" w:sz="4" w:space="0"/>
              <w:bottom w:val="single" w:color="939598" w:sz="4" w:space="0"/>
              <w:right w:val="single" w:color="939598" w:sz="4" w:space="0"/>
            </w:tcBorders>
            <w:shd w:val="clear" w:color="auto" w:fill="ED1C24"/>
            <w:vAlign w:val="center"/>
          </w:tcPr>
          <w:p w14:paraId="0F930686">
            <w:pPr>
              <w:spacing w:after="200"/>
              <w:jc w:val="left"/>
              <w:rPr>
                <w:kern w:val="0"/>
                <w:szCs w:val="21"/>
              </w:rPr>
            </w:pPr>
          </w:p>
        </w:tc>
        <w:tc>
          <w:tcPr>
            <w:tcW w:w="4900" w:type="pct"/>
            <w:tcBorders>
              <w:top w:val="single" w:color="939598" w:sz="4" w:space="0"/>
              <w:left w:val="single" w:color="939598" w:sz="4" w:space="0"/>
              <w:bottom w:val="single" w:color="939598" w:sz="4" w:space="0"/>
              <w:right w:val="single" w:color="939598" w:sz="4" w:space="0"/>
            </w:tcBorders>
            <w:vAlign w:val="center"/>
          </w:tcPr>
          <w:p w14:paraId="166DF8EE">
            <w:pPr>
              <w:jc w:val="left"/>
              <w:rPr>
                <w:rFonts w:cs="Times New Roman (正文 CS 字体)"/>
                <w:szCs w:val="21"/>
              </w:rPr>
            </w:pPr>
            <w:r>
              <w:rPr>
                <w:rFonts w:cs="Arial Narrow"/>
                <w:szCs w:val="21"/>
              </w:rPr>
              <w:t>●</w:t>
            </w:r>
            <w:r>
              <w:rPr>
                <w:rFonts w:hint="eastAsia" w:cs="Arial Narrow"/>
                <w:szCs w:val="21"/>
              </w:rPr>
              <w:t xml:space="preserve"> 03 </w:t>
            </w:r>
            <w:r>
              <w:rPr>
                <w:rFonts w:hint="eastAsia" w:cs="Times New Roman (正文 CS 字体)"/>
                <w:szCs w:val="21"/>
              </w:rPr>
              <w:t>没有设计能容纳安全网的钢结构；</w:t>
            </w:r>
          </w:p>
        </w:tc>
      </w:tr>
      <w:tr w14:paraId="3C637E02">
        <w:tblPrEx>
          <w:tblCellMar>
            <w:top w:w="0" w:type="dxa"/>
            <w:left w:w="0" w:type="dxa"/>
            <w:bottom w:w="0" w:type="dxa"/>
            <w:right w:w="0" w:type="dxa"/>
          </w:tblCellMar>
        </w:tblPrEx>
        <w:trPr>
          <w:trHeight w:val="288" w:hRule="atLeast"/>
          <w:jc w:val="center"/>
        </w:trPr>
        <w:tc>
          <w:tcPr>
            <w:tcW w:w="100" w:type="pct"/>
            <w:tcBorders>
              <w:top w:val="single" w:color="939598" w:sz="4" w:space="0"/>
              <w:left w:val="single" w:color="939598" w:sz="4" w:space="0"/>
              <w:bottom w:val="single" w:color="939598" w:sz="4" w:space="0"/>
              <w:right w:val="single" w:color="939598" w:sz="4" w:space="0"/>
            </w:tcBorders>
            <w:shd w:val="clear" w:color="auto" w:fill="ED1C24"/>
            <w:vAlign w:val="center"/>
          </w:tcPr>
          <w:p w14:paraId="00EBA83D">
            <w:pPr>
              <w:spacing w:after="200"/>
              <w:jc w:val="left"/>
              <w:rPr>
                <w:kern w:val="0"/>
                <w:szCs w:val="21"/>
              </w:rPr>
            </w:pPr>
          </w:p>
        </w:tc>
        <w:tc>
          <w:tcPr>
            <w:tcW w:w="4900" w:type="pct"/>
            <w:tcBorders>
              <w:top w:val="single" w:color="939598" w:sz="4" w:space="0"/>
              <w:left w:val="single" w:color="939598" w:sz="4" w:space="0"/>
              <w:bottom w:val="single" w:color="939598" w:sz="4" w:space="0"/>
              <w:right w:val="single" w:color="939598" w:sz="4" w:space="0"/>
            </w:tcBorders>
            <w:vAlign w:val="center"/>
          </w:tcPr>
          <w:p w14:paraId="6BA1E1E2">
            <w:pPr>
              <w:jc w:val="left"/>
              <w:rPr>
                <w:rFonts w:cs="Times New Roman (正文 CS 字体)"/>
                <w:szCs w:val="21"/>
              </w:rPr>
            </w:pPr>
            <w:r>
              <w:rPr>
                <w:rFonts w:cs="Arial Narrow"/>
                <w:szCs w:val="21"/>
              </w:rPr>
              <w:t>●</w:t>
            </w:r>
            <w:r>
              <w:rPr>
                <w:rFonts w:cs="Times New Roman (正文 CS 字体)"/>
                <w:szCs w:val="21"/>
              </w:rPr>
              <w:t xml:space="preserve"> </w:t>
            </w:r>
            <w:r>
              <w:rPr>
                <w:rFonts w:hint="eastAsia" w:cs="Times New Roman (正文 CS 字体)"/>
                <w:szCs w:val="21"/>
              </w:rPr>
              <w:t>04 设计需要接驳的屋顶安装服务（如用于维护等）时没有提供安全通道（例如存在障碍）；</w:t>
            </w:r>
          </w:p>
        </w:tc>
      </w:tr>
      <w:tr w14:paraId="4B8B6801">
        <w:tblPrEx>
          <w:tblCellMar>
            <w:top w:w="0" w:type="dxa"/>
            <w:left w:w="0" w:type="dxa"/>
            <w:bottom w:w="0" w:type="dxa"/>
            <w:right w:w="0" w:type="dxa"/>
          </w:tblCellMar>
        </w:tblPrEx>
        <w:trPr>
          <w:trHeight w:val="288" w:hRule="atLeast"/>
          <w:jc w:val="center"/>
        </w:trPr>
        <w:tc>
          <w:tcPr>
            <w:tcW w:w="100" w:type="pct"/>
            <w:tcBorders>
              <w:top w:val="single" w:color="939598" w:sz="4" w:space="0"/>
              <w:left w:val="single" w:color="939598" w:sz="4" w:space="0"/>
              <w:bottom w:val="single" w:color="939598" w:sz="4" w:space="0"/>
              <w:right w:val="single" w:color="939598" w:sz="4" w:space="0"/>
            </w:tcBorders>
            <w:shd w:val="clear" w:color="auto" w:fill="ED1C24"/>
            <w:vAlign w:val="center"/>
          </w:tcPr>
          <w:p w14:paraId="4FE5EF1D">
            <w:pPr>
              <w:spacing w:after="200"/>
              <w:jc w:val="left"/>
              <w:rPr>
                <w:kern w:val="0"/>
                <w:szCs w:val="21"/>
              </w:rPr>
            </w:pPr>
          </w:p>
        </w:tc>
        <w:tc>
          <w:tcPr>
            <w:tcW w:w="4900" w:type="pct"/>
            <w:tcBorders>
              <w:top w:val="single" w:color="939598" w:sz="4" w:space="0"/>
              <w:left w:val="single" w:color="939598" w:sz="4" w:space="0"/>
              <w:bottom w:val="single" w:color="939598" w:sz="4" w:space="0"/>
              <w:right w:val="single" w:color="939598" w:sz="4" w:space="0"/>
            </w:tcBorders>
            <w:vAlign w:val="center"/>
          </w:tcPr>
          <w:p w14:paraId="431303F3">
            <w:pPr>
              <w:jc w:val="left"/>
              <w:rPr>
                <w:rFonts w:cs="Times New Roman (正文 CS 字体)"/>
                <w:szCs w:val="21"/>
              </w:rPr>
            </w:pPr>
            <w:r>
              <w:rPr>
                <w:rFonts w:cs="Arial Narrow"/>
                <w:szCs w:val="21"/>
              </w:rPr>
              <w:t>●</w:t>
            </w:r>
            <w:r>
              <w:rPr>
                <w:rFonts w:hint="eastAsia" w:cs="Arial Narrow"/>
                <w:szCs w:val="21"/>
              </w:rPr>
              <w:t xml:space="preserve"> 05 </w:t>
            </w:r>
            <w:r>
              <w:rPr>
                <w:rFonts w:hint="eastAsia" w:cs="Times New Roman (正文 CS 字体)"/>
                <w:szCs w:val="21"/>
              </w:rPr>
              <w:t>无法安全接驳的玻璃窗，应预期所有玻璃窗都需要清洁和更换，因此安全的接驳系统是必不可少的；</w:t>
            </w:r>
          </w:p>
        </w:tc>
      </w:tr>
      <w:tr w14:paraId="6815560F">
        <w:tblPrEx>
          <w:tblCellMar>
            <w:top w:w="0" w:type="dxa"/>
            <w:left w:w="0" w:type="dxa"/>
            <w:bottom w:w="0" w:type="dxa"/>
            <w:right w:w="0" w:type="dxa"/>
          </w:tblCellMar>
        </w:tblPrEx>
        <w:trPr>
          <w:trHeight w:val="288" w:hRule="atLeast"/>
          <w:jc w:val="center"/>
        </w:trPr>
        <w:tc>
          <w:tcPr>
            <w:tcW w:w="100" w:type="pct"/>
            <w:tcBorders>
              <w:top w:val="single" w:color="939598" w:sz="4" w:space="0"/>
              <w:left w:val="single" w:color="939598" w:sz="4" w:space="0"/>
              <w:bottom w:val="single" w:color="939598" w:sz="4" w:space="0"/>
              <w:right w:val="single" w:color="939598" w:sz="4" w:space="0"/>
            </w:tcBorders>
            <w:shd w:val="clear" w:color="auto" w:fill="ED1C24"/>
            <w:vAlign w:val="center"/>
          </w:tcPr>
          <w:p w14:paraId="3E21C954">
            <w:pPr>
              <w:spacing w:after="200"/>
              <w:jc w:val="left"/>
              <w:rPr>
                <w:kern w:val="0"/>
                <w:szCs w:val="21"/>
              </w:rPr>
            </w:pPr>
          </w:p>
        </w:tc>
        <w:tc>
          <w:tcPr>
            <w:tcW w:w="4900" w:type="pct"/>
            <w:tcBorders>
              <w:top w:val="single" w:color="939598" w:sz="4" w:space="0"/>
              <w:left w:val="single" w:color="939598" w:sz="4" w:space="0"/>
              <w:bottom w:val="single" w:color="939598" w:sz="4" w:space="0"/>
              <w:right w:val="single" w:color="939598" w:sz="4" w:space="0"/>
            </w:tcBorders>
            <w:vAlign w:val="center"/>
          </w:tcPr>
          <w:p w14:paraId="313562A0">
            <w:pPr>
              <w:jc w:val="left"/>
              <w:rPr>
                <w:rFonts w:cs="Times New Roman (正文 CS 字体)"/>
                <w:szCs w:val="21"/>
              </w:rPr>
            </w:pPr>
            <w:r>
              <w:rPr>
                <w:rFonts w:cs="Arial Narrow"/>
                <w:szCs w:val="21"/>
              </w:rPr>
              <w:t>●</w:t>
            </w:r>
            <w:r>
              <w:rPr>
                <w:rFonts w:hint="eastAsia" w:cs="Arial Narrow"/>
                <w:szCs w:val="21"/>
              </w:rPr>
              <w:t xml:space="preserve"> 06 </w:t>
            </w:r>
            <w:r>
              <w:rPr>
                <w:rFonts w:hint="eastAsia" w:cs="Times New Roman (正文 CS 字体)"/>
                <w:szCs w:val="21"/>
              </w:rPr>
              <w:t>入口，地板，坡道，楼梯和自动扶梯等不是专门为避免在使用和维护过程中滑倒和绊倒而设计的，包括了考虑雨水的影响和溢漏；</w:t>
            </w:r>
          </w:p>
        </w:tc>
      </w:tr>
      <w:tr w14:paraId="36FE68BE">
        <w:tblPrEx>
          <w:tblCellMar>
            <w:top w:w="0" w:type="dxa"/>
            <w:left w:w="0" w:type="dxa"/>
            <w:bottom w:w="0" w:type="dxa"/>
            <w:right w:w="0" w:type="dxa"/>
          </w:tblCellMar>
        </w:tblPrEx>
        <w:trPr>
          <w:trHeight w:val="288" w:hRule="atLeast"/>
          <w:jc w:val="center"/>
        </w:trPr>
        <w:tc>
          <w:tcPr>
            <w:tcW w:w="100" w:type="pct"/>
            <w:tcBorders>
              <w:top w:val="single" w:color="939598" w:sz="4" w:space="0"/>
              <w:left w:val="single" w:color="939598" w:sz="4" w:space="0"/>
              <w:bottom w:val="single" w:color="939598" w:sz="4" w:space="0"/>
              <w:right w:val="single" w:color="939598" w:sz="4" w:space="0"/>
            </w:tcBorders>
            <w:shd w:val="clear" w:color="auto" w:fill="ED1C24"/>
            <w:vAlign w:val="center"/>
          </w:tcPr>
          <w:p w14:paraId="159377A9">
            <w:pPr>
              <w:spacing w:after="200"/>
              <w:jc w:val="left"/>
              <w:rPr>
                <w:kern w:val="0"/>
                <w:szCs w:val="21"/>
              </w:rPr>
            </w:pPr>
          </w:p>
        </w:tc>
        <w:tc>
          <w:tcPr>
            <w:tcW w:w="4900" w:type="pct"/>
            <w:tcBorders>
              <w:top w:val="single" w:color="939598" w:sz="4" w:space="0"/>
              <w:left w:val="single" w:color="939598" w:sz="4" w:space="0"/>
              <w:bottom w:val="single" w:color="939598" w:sz="4" w:space="0"/>
              <w:right w:val="single" w:color="939598" w:sz="4" w:space="0"/>
            </w:tcBorders>
            <w:vAlign w:val="center"/>
          </w:tcPr>
          <w:p w14:paraId="55624BAF">
            <w:pPr>
              <w:jc w:val="left"/>
              <w:rPr>
                <w:rFonts w:cs="Times New Roman (正文 CS 字体)"/>
              </w:rPr>
            </w:pPr>
            <w:r>
              <w:rPr>
                <w:rFonts w:cs="Arial Narrow"/>
              </w:rPr>
              <w:t>●</w:t>
            </w:r>
            <w:r>
              <w:rPr>
                <w:rFonts w:hint="eastAsia" w:cs="Arial Narrow"/>
              </w:rPr>
              <w:t xml:space="preserve"> 07</w:t>
            </w:r>
            <w:r>
              <w:rPr>
                <w:rFonts w:hint="eastAsia" w:cs="Times New Roman (正文 CS 字体)"/>
                <w:szCs w:val="21"/>
              </w:rPr>
              <w:t>设计中凡是涉及了在使用和维护活动期间有不利的照明，噪音，振动，温度，湿度和气流或化学和/或生物情况；</w:t>
            </w:r>
          </w:p>
        </w:tc>
      </w:tr>
      <w:tr w14:paraId="55BB0418">
        <w:tblPrEx>
          <w:tblCellMar>
            <w:top w:w="0" w:type="dxa"/>
            <w:left w:w="0" w:type="dxa"/>
            <w:bottom w:w="0" w:type="dxa"/>
            <w:right w:w="0" w:type="dxa"/>
          </w:tblCellMar>
        </w:tblPrEx>
        <w:trPr>
          <w:trHeight w:val="288" w:hRule="atLeast"/>
          <w:jc w:val="center"/>
        </w:trPr>
        <w:tc>
          <w:tcPr>
            <w:tcW w:w="100" w:type="pct"/>
            <w:tcBorders>
              <w:top w:val="single" w:color="939598" w:sz="4" w:space="0"/>
              <w:left w:val="single" w:color="939598" w:sz="4" w:space="0"/>
              <w:bottom w:val="single" w:color="939598" w:sz="4" w:space="0"/>
              <w:right w:val="single" w:color="939598" w:sz="4" w:space="0"/>
            </w:tcBorders>
            <w:shd w:val="clear" w:color="auto" w:fill="ED1C24"/>
            <w:vAlign w:val="center"/>
          </w:tcPr>
          <w:p w14:paraId="590517A4">
            <w:pPr>
              <w:spacing w:after="200"/>
              <w:jc w:val="left"/>
              <w:rPr>
                <w:kern w:val="0"/>
                <w:szCs w:val="21"/>
              </w:rPr>
            </w:pPr>
          </w:p>
        </w:tc>
        <w:tc>
          <w:tcPr>
            <w:tcW w:w="4900" w:type="pct"/>
            <w:tcBorders>
              <w:top w:val="single" w:color="939598" w:sz="4" w:space="0"/>
              <w:left w:val="single" w:color="939598" w:sz="4" w:space="0"/>
              <w:bottom w:val="single" w:color="939598" w:sz="4" w:space="0"/>
              <w:right w:val="single" w:color="939598" w:sz="4" w:space="0"/>
            </w:tcBorders>
            <w:vAlign w:val="center"/>
          </w:tcPr>
          <w:p w14:paraId="3368C785">
            <w:pPr>
              <w:jc w:val="left"/>
              <w:rPr>
                <w:rFonts w:cs="Times New Roman (正文 CS 字体)"/>
                <w:szCs w:val="21"/>
              </w:rPr>
            </w:pPr>
            <w:r>
              <w:rPr>
                <w:rFonts w:cs="Arial Narrow"/>
                <w:szCs w:val="21"/>
              </w:rPr>
              <w:t>●</w:t>
            </w:r>
            <w:r>
              <w:rPr>
                <w:rFonts w:hint="eastAsia" w:cs="Arial Narrow"/>
                <w:szCs w:val="21"/>
              </w:rPr>
              <w:t xml:space="preserve"> 08 </w:t>
            </w:r>
            <w:r>
              <w:rPr>
                <w:rFonts w:hint="eastAsia" w:cs="Times New Roman (正文 CS 字体)"/>
                <w:szCs w:val="21"/>
              </w:rPr>
              <w:t>设计的结构或构筑物在施工期间无法遏制火灾；</w:t>
            </w:r>
          </w:p>
        </w:tc>
      </w:tr>
      <w:tr w14:paraId="3CD8E2A1">
        <w:tblPrEx>
          <w:tblCellMar>
            <w:top w:w="0" w:type="dxa"/>
            <w:left w:w="0" w:type="dxa"/>
            <w:bottom w:w="0" w:type="dxa"/>
            <w:right w:w="0" w:type="dxa"/>
          </w:tblCellMar>
        </w:tblPrEx>
        <w:trPr>
          <w:trHeight w:val="288" w:hRule="atLeast"/>
          <w:jc w:val="center"/>
        </w:trPr>
        <w:tc>
          <w:tcPr>
            <w:tcW w:w="100" w:type="pct"/>
            <w:tcBorders>
              <w:top w:val="single" w:color="939598" w:sz="4" w:space="0"/>
              <w:left w:val="single" w:color="939598" w:sz="4" w:space="0"/>
              <w:bottom w:val="single" w:color="939598" w:sz="4" w:space="0"/>
              <w:right w:val="single" w:color="939598" w:sz="4" w:space="0"/>
            </w:tcBorders>
            <w:shd w:val="clear" w:color="auto" w:fill="ED1C24"/>
            <w:vAlign w:val="center"/>
          </w:tcPr>
          <w:p w14:paraId="0298F134">
            <w:pPr>
              <w:spacing w:after="200"/>
              <w:jc w:val="left"/>
              <w:rPr>
                <w:kern w:val="0"/>
                <w:szCs w:val="21"/>
              </w:rPr>
            </w:pPr>
          </w:p>
        </w:tc>
        <w:tc>
          <w:tcPr>
            <w:tcW w:w="4900" w:type="pct"/>
            <w:tcBorders>
              <w:top w:val="single" w:color="939598" w:sz="4" w:space="0"/>
              <w:left w:val="single" w:color="939598" w:sz="4" w:space="0"/>
              <w:bottom w:val="single" w:color="939598" w:sz="4" w:space="0"/>
              <w:right w:val="single" w:color="939598" w:sz="4" w:space="0"/>
            </w:tcBorders>
            <w:vAlign w:val="center"/>
          </w:tcPr>
          <w:p w14:paraId="4069FB42">
            <w:pPr>
              <w:jc w:val="left"/>
              <w:rPr>
                <w:rFonts w:cs="Times New Roman (正文 CS 字体)"/>
                <w:szCs w:val="21"/>
              </w:rPr>
            </w:pPr>
            <w:r>
              <w:rPr>
                <w:rFonts w:cs="Arial Narrow"/>
                <w:szCs w:val="21"/>
              </w:rPr>
              <w:t>●</w:t>
            </w:r>
            <w:r>
              <w:rPr>
                <w:rFonts w:hint="eastAsia" w:cs="Arial Narrow"/>
                <w:szCs w:val="21"/>
              </w:rPr>
              <w:t xml:space="preserve"> 09 </w:t>
            </w:r>
            <w:r>
              <w:rPr>
                <w:rFonts w:hint="eastAsia" w:cs="Times New Roman (正文 CS 字体)"/>
                <w:szCs w:val="21"/>
              </w:rPr>
              <w:t>在基坑开挖过程中，无法为放坡或开挖台阶提供足够的空间以减少坍塌的风险。在可能的情况下，无法避免将基坑开挖的定在静载荷（如建筑物，墙壁和固定植物）或动态载荷（包括交通和挖掘设备）的附近。</w:t>
            </w:r>
          </w:p>
        </w:tc>
      </w:tr>
    </w:tbl>
    <w:p w14:paraId="677B0830">
      <w:pPr>
        <w:rPr>
          <w:bCs/>
        </w:rPr>
      </w:pPr>
      <w:r>
        <w:rPr>
          <w:rFonts w:hint="eastAsia"/>
          <w:color w:val="000000" w:themeColor="text1"/>
          <w14:textFill>
            <w14:solidFill>
              <w14:schemeClr w14:val="tx1"/>
            </w14:solidFill>
          </w14:textFill>
        </w:rPr>
        <w:t>【条文说明】</w:t>
      </w:r>
      <w:r>
        <w:rPr>
          <w:rFonts w:hint="eastAsia"/>
          <w:bCs/>
        </w:rPr>
        <w:t>本条将红色清单界定为在设计阶段应剔除或替代的高危程序/产品/工法，并要求无法消除时形成书面说明与逐级预警，与英国CDM 2015（L153 指引）强调在前期由建设单位与总设计（PD）主导“消除/降低风险与提供充分的前期信息（PCI）”的法定义务一致，同时亦符合澳洲Safe Design“合理可行（reasonably practicable）消减源头风险”的监管期望</w:t>
      </w:r>
      <w:r>
        <w:rPr>
          <w:rFonts w:hint="eastAsia"/>
          <w:bCs/>
          <w:vertAlign w:val="superscript"/>
        </w:rPr>
        <w:t>[2][3]</w:t>
      </w:r>
      <w:r>
        <w:rPr>
          <w:rFonts w:hint="eastAsia"/>
          <w:bCs/>
        </w:rPr>
        <w:t>。</w:t>
      </w:r>
    </w:p>
    <w:p w14:paraId="75F60123">
      <w:pPr>
        <w:rPr>
          <w:szCs w:val="21"/>
        </w:rPr>
      </w:pPr>
      <w:r>
        <w:rPr>
          <w:rFonts w:hint="eastAsia"/>
          <w:szCs w:val="21"/>
        </w:rPr>
        <w:t>红色清单逐条条文说明（在设计中需要优先消除/替代）</w:t>
      </w:r>
    </w:p>
    <w:p w14:paraId="79968489">
      <w:pPr>
        <w:rPr>
          <w:szCs w:val="21"/>
        </w:rPr>
      </w:pPr>
      <w:r>
        <w:rPr>
          <w:rFonts w:hint="eastAsia"/>
          <w:szCs w:val="21"/>
        </w:rPr>
        <w:t>红</w:t>
      </w:r>
      <w:r>
        <w:rPr>
          <w:rFonts w:cs="Cambria Math"/>
          <w:szCs w:val="21"/>
        </w:rPr>
        <w:t>‑</w:t>
      </w:r>
      <w:r>
        <w:rPr>
          <w:szCs w:val="21"/>
        </w:rPr>
        <w:t>01</w:t>
      </w:r>
      <w:r>
        <w:rPr>
          <w:rFonts w:hint="eastAsia"/>
          <w:szCs w:val="21"/>
        </w:rPr>
        <w:t xml:space="preserve"> 施工前信息缺失（石棉、地质、障碍物、地下管线、土壤污染等）</w:t>
      </w:r>
    </w:p>
    <w:p w14:paraId="1E678078">
      <w:pPr>
        <w:ind w:firstLine="420"/>
        <w:rPr>
          <w:szCs w:val="21"/>
        </w:rPr>
      </w:pPr>
      <w:r>
        <w:rPr>
          <w:rFonts w:hint="eastAsia"/>
          <w:szCs w:val="21"/>
        </w:rPr>
        <w:t>将前置信息缺失列为红色项，旨在避免施工中触发坍塌、触电、爆炸、暴露等事故链；英国CDM 2015（L153）要求业主提供充分的前期信息（PCI）供设计与承包方安全策划，开挖作业还需要遵循美国OSHA 29 CFR 1926 Subpart P（Excavations）关于探查地下设施、支护/放坡与“胜任人员”检查的强制要求，设计阶段需要组织探测与第三方检测并在总图及专业图纸中标注控制区与隔离措施</w:t>
      </w:r>
      <w:r>
        <w:rPr>
          <w:rFonts w:hint="eastAsia"/>
          <w:szCs w:val="21"/>
          <w:vertAlign w:val="superscript"/>
        </w:rPr>
        <w:t>[3][5]</w:t>
      </w:r>
      <w:r>
        <w:rPr>
          <w:rFonts w:hint="eastAsia"/>
          <w:szCs w:val="21"/>
        </w:rPr>
        <w:t>。</w:t>
      </w:r>
    </w:p>
    <w:p w14:paraId="03B84973">
      <w:pPr>
        <w:rPr>
          <w:szCs w:val="21"/>
        </w:rPr>
      </w:pPr>
      <w:r>
        <w:rPr>
          <w:rFonts w:hint="eastAsia"/>
          <w:szCs w:val="21"/>
        </w:rPr>
        <w:t>红</w:t>
      </w:r>
      <w:r>
        <w:rPr>
          <w:rFonts w:cs="Cambria Math"/>
          <w:szCs w:val="21"/>
        </w:rPr>
        <w:t>‑</w:t>
      </w:r>
      <w:r>
        <w:rPr>
          <w:szCs w:val="21"/>
        </w:rPr>
        <w:t>02</w:t>
      </w:r>
      <w:r>
        <w:rPr>
          <w:rFonts w:hint="eastAsia"/>
          <w:szCs w:val="21"/>
        </w:rPr>
        <w:t xml:space="preserve"> 易碎屋顶采光板</w:t>
      </w:r>
      <w:r>
        <w:rPr>
          <w:szCs w:val="21"/>
        </w:rPr>
        <w:t>/</w:t>
      </w:r>
      <w:r>
        <w:rPr>
          <w:rFonts w:hint="eastAsia"/>
          <w:szCs w:val="21"/>
        </w:rPr>
        <w:t>构件</w:t>
      </w:r>
    </w:p>
    <w:p w14:paraId="4FE669B0">
      <w:pPr>
        <w:ind w:firstLine="420"/>
        <w:rPr>
          <w:szCs w:val="21"/>
        </w:rPr>
      </w:pPr>
      <w:r>
        <w:rPr>
          <w:rFonts w:hint="eastAsia"/>
          <w:szCs w:val="21"/>
        </w:rPr>
        <w:t>将脆性屋面采光板及易碎构件列为红色项，是为了防止踏破坠落；英国HSE HSG33《屋面作业的健康与安全》统计显示屋面坠落事故中“跌穿脆性材料”占比很高，设计需采用可承载检修荷载的采光系统并配置永久通道、防护网与边缘防护，并在图纸中明确检修路径与禁行区</w:t>
      </w:r>
      <w:r>
        <w:rPr>
          <w:rFonts w:hint="eastAsia"/>
          <w:szCs w:val="21"/>
          <w:vertAlign w:val="superscript"/>
        </w:rPr>
        <w:t>[10][11]</w:t>
      </w:r>
      <w:r>
        <w:rPr>
          <w:rFonts w:hint="eastAsia"/>
          <w:szCs w:val="21"/>
        </w:rPr>
        <w:t>。</w:t>
      </w:r>
    </w:p>
    <w:p w14:paraId="55716585">
      <w:pPr>
        <w:rPr>
          <w:szCs w:val="21"/>
        </w:rPr>
      </w:pPr>
      <w:r>
        <w:rPr>
          <w:rFonts w:hint="eastAsia"/>
          <w:szCs w:val="21"/>
        </w:rPr>
        <w:t>红</w:t>
      </w:r>
      <w:r>
        <w:rPr>
          <w:rFonts w:cs="Cambria Math"/>
          <w:szCs w:val="21"/>
        </w:rPr>
        <w:t>‑</w:t>
      </w:r>
      <w:r>
        <w:rPr>
          <w:szCs w:val="21"/>
        </w:rPr>
        <w:t>0</w:t>
      </w:r>
      <w:r>
        <w:rPr>
          <w:rFonts w:hint="eastAsia"/>
          <w:szCs w:val="21"/>
        </w:rPr>
        <w:t>3 钢结构未预留安全网容纳点</w:t>
      </w:r>
      <w:r>
        <w:rPr>
          <w:szCs w:val="21"/>
        </w:rPr>
        <w:t>/</w:t>
      </w:r>
      <w:r>
        <w:rPr>
          <w:rFonts w:hint="eastAsia"/>
          <w:szCs w:val="21"/>
        </w:rPr>
        <w:t>边缘防护构造</w:t>
      </w:r>
    </w:p>
    <w:p w14:paraId="7A507E52">
      <w:pPr>
        <w:ind w:firstLine="420"/>
        <w:rPr>
          <w:szCs w:val="21"/>
        </w:rPr>
      </w:pPr>
      <w:r>
        <w:rPr>
          <w:rFonts w:hint="eastAsia"/>
          <w:szCs w:val="21"/>
        </w:rPr>
        <w:t>未按标准化做法预留安全网挂点与临边防护会导致高处坠落防护缺口；需遵循</w:t>
      </w:r>
      <w:r>
        <w:rPr>
          <w:szCs w:val="21"/>
        </w:rPr>
        <w:t>EN 1263</w:t>
      </w:r>
      <w:r>
        <w:rPr>
          <w:rFonts w:cs="Cambria Math"/>
          <w:szCs w:val="21"/>
        </w:rPr>
        <w:t>‑</w:t>
      </w:r>
      <w:r>
        <w:rPr>
          <w:szCs w:val="21"/>
        </w:rPr>
        <w:t>1/2</w:t>
      </w:r>
      <w:r>
        <w:rPr>
          <w:rFonts w:hint="eastAsia"/>
          <w:szCs w:val="21"/>
        </w:rPr>
        <w:t>（临时工程设备—安全网）的类别与系统布置要求（</w:t>
      </w:r>
      <w:r>
        <w:rPr>
          <w:szCs w:val="21"/>
        </w:rPr>
        <w:t>S/T/U/V</w:t>
      </w:r>
      <w:r>
        <w:rPr>
          <w:rFonts w:hint="eastAsia"/>
          <w:szCs w:val="21"/>
        </w:rPr>
        <w:t>），并在深化设计中标注挂点位置、承载标识与安装维护程序（</w:t>
      </w:r>
      <w:r>
        <w:rPr>
          <w:szCs w:val="21"/>
        </w:rPr>
        <w:t xml:space="preserve">FASET </w:t>
      </w:r>
      <w:r>
        <w:rPr>
          <w:rFonts w:hint="eastAsia"/>
          <w:szCs w:val="21"/>
        </w:rPr>
        <w:t>公告对</w:t>
      </w:r>
      <w:r>
        <w:rPr>
          <w:szCs w:val="21"/>
        </w:rPr>
        <w:t xml:space="preserve"> EN 1263 </w:t>
      </w:r>
      <w:r>
        <w:rPr>
          <w:rFonts w:hint="eastAsia"/>
          <w:szCs w:val="21"/>
        </w:rPr>
        <w:t>变更亦有说明）</w:t>
      </w:r>
      <w:r>
        <w:rPr>
          <w:szCs w:val="21"/>
          <w:vertAlign w:val="superscript"/>
        </w:rPr>
        <w:t>[14][15]</w:t>
      </w:r>
      <w:r>
        <w:rPr>
          <w:rFonts w:hint="eastAsia"/>
          <w:szCs w:val="21"/>
        </w:rPr>
        <w:t>。</w:t>
      </w:r>
    </w:p>
    <w:p w14:paraId="7D0B1C47">
      <w:pPr>
        <w:rPr>
          <w:szCs w:val="21"/>
        </w:rPr>
      </w:pPr>
      <w:r>
        <w:rPr>
          <w:rFonts w:hint="eastAsia"/>
          <w:szCs w:val="21"/>
        </w:rPr>
        <w:t>红</w:t>
      </w:r>
      <w:r>
        <w:rPr>
          <w:rFonts w:cs="Cambria Math"/>
          <w:szCs w:val="21"/>
        </w:rPr>
        <w:t>‑</w:t>
      </w:r>
      <w:r>
        <w:rPr>
          <w:szCs w:val="21"/>
        </w:rPr>
        <w:t>0</w:t>
      </w:r>
      <w:r>
        <w:rPr>
          <w:rFonts w:hint="eastAsia"/>
          <w:szCs w:val="21"/>
        </w:rPr>
        <w:t>4 屋顶安装服务无安全通道</w:t>
      </w:r>
      <w:r>
        <w:rPr>
          <w:szCs w:val="21"/>
        </w:rPr>
        <w:t>/</w:t>
      </w:r>
      <w:r>
        <w:rPr>
          <w:rFonts w:hint="eastAsia"/>
          <w:szCs w:val="21"/>
        </w:rPr>
        <w:t>作业面</w:t>
      </w:r>
    </w:p>
    <w:p w14:paraId="2E48BFD0">
      <w:pPr>
        <w:ind w:firstLine="420"/>
        <w:rPr>
          <w:szCs w:val="21"/>
        </w:rPr>
      </w:pPr>
      <w:r>
        <w:rPr>
          <w:rFonts w:hint="eastAsia"/>
          <w:szCs w:val="21"/>
        </w:rPr>
        <w:t>对需开展屋面检修的机电服务系统，如未配置安全可达路径与安全作业面需列为红色项，以避免跨越障碍、临边坠落与热表面灼伤；英国HSG33要求为屋面作业提供安全通行与集体防护，澳洲Safe Design 守则强调在设计阶段预置维护通道、锚固点与平台并远离临边/开口与辐射源</w:t>
      </w:r>
      <w:r>
        <w:rPr>
          <w:rFonts w:hint="eastAsia"/>
          <w:szCs w:val="21"/>
          <w:vertAlign w:val="superscript"/>
        </w:rPr>
        <w:t>[10][2]</w:t>
      </w:r>
      <w:r>
        <w:rPr>
          <w:rFonts w:hint="eastAsia"/>
          <w:szCs w:val="21"/>
        </w:rPr>
        <w:t>。</w:t>
      </w:r>
    </w:p>
    <w:p w14:paraId="37F35752">
      <w:pPr>
        <w:rPr>
          <w:szCs w:val="21"/>
        </w:rPr>
      </w:pPr>
      <w:r>
        <w:rPr>
          <w:rFonts w:hint="eastAsia"/>
          <w:szCs w:val="21"/>
        </w:rPr>
        <w:t>红</w:t>
      </w:r>
      <w:r>
        <w:rPr>
          <w:rFonts w:cs="Cambria Math"/>
          <w:szCs w:val="21"/>
        </w:rPr>
        <w:t>‑</w:t>
      </w:r>
      <w:r>
        <w:rPr>
          <w:szCs w:val="21"/>
        </w:rPr>
        <w:t>0</w:t>
      </w:r>
      <w:r>
        <w:rPr>
          <w:rFonts w:hint="eastAsia"/>
          <w:szCs w:val="21"/>
        </w:rPr>
        <w:t>5 玻璃窗无法安全接近清洁</w:t>
      </w:r>
      <w:r>
        <w:rPr>
          <w:szCs w:val="21"/>
        </w:rPr>
        <w:t>/</w:t>
      </w:r>
      <w:r>
        <w:rPr>
          <w:rFonts w:hint="eastAsia"/>
          <w:szCs w:val="21"/>
        </w:rPr>
        <w:t>更换</w:t>
      </w:r>
    </w:p>
    <w:p w14:paraId="0D69A694">
      <w:pPr>
        <w:ind w:firstLine="420"/>
        <w:rPr>
          <w:szCs w:val="21"/>
        </w:rPr>
      </w:pPr>
      <w:r>
        <w:rPr>
          <w:rFonts w:hint="eastAsia"/>
          <w:szCs w:val="21"/>
        </w:rPr>
        <w:t>外窗若无安全清洁</w:t>
      </w:r>
      <w:r>
        <w:rPr>
          <w:szCs w:val="21"/>
        </w:rPr>
        <w:t>/</w:t>
      </w:r>
      <w:r>
        <w:rPr>
          <w:rFonts w:hint="eastAsia"/>
          <w:szCs w:val="21"/>
        </w:rPr>
        <w:t>更换方案需列为红色项，以免高处攀附与非计划性临边作业；英国</w:t>
      </w:r>
      <w:r>
        <w:rPr>
          <w:szCs w:val="21"/>
        </w:rPr>
        <w:t>BS 8213</w:t>
      </w:r>
      <w:r>
        <w:rPr>
          <w:rFonts w:cs="Cambria Math"/>
          <w:szCs w:val="21"/>
        </w:rPr>
        <w:t>‑</w:t>
      </w:r>
      <w:r>
        <w:rPr>
          <w:szCs w:val="21"/>
        </w:rPr>
        <w:t>1</w:t>
      </w:r>
      <w:r>
        <w:rPr>
          <w:rFonts w:hint="eastAsia"/>
          <w:szCs w:val="21"/>
        </w:rPr>
        <w:t>明确外窗在使用与清洁阶段的安全设计要求（如可内开、可翻转五金、清洁轨道</w:t>
      </w:r>
      <w:r>
        <w:rPr>
          <w:szCs w:val="21"/>
        </w:rPr>
        <w:t>/</w:t>
      </w:r>
      <w:r>
        <w:rPr>
          <w:rFonts w:hint="eastAsia"/>
          <w:szCs w:val="21"/>
        </w:rPr>
        <w:t>吊篮锚点等），设计要在立面与节点详图中定义维护方法与可达边界，并与屋面通道一体化策划</w:t>
      </w:r>
      <w:r>
        <w:rPr>
          <w:szCs w:val="21"/>
          <w:vertAlign w:val="superscript"/>
        </w:rPr>
        <w:t>[16][10]</w:t>
      </w:r>
      <w:r>
        <w:rPr>
          <w:rFonts w:hint="eastAsia"/>
          <w:szCs w:val="21"/>
        </w:rPr>
        <w:t>。</w:t>
      </w:r>
    </w:p>
    <w:p w14:paraId="292841AD">
      <w:pPr>
        <w:rPr>
          <w:szCs w:val="21"/>
        </w:rPr>
      </w:pPr>
      <w:r>
        <w:rPr>
          <w:rFonts w:hint="eastAsia"/>
          <w:szCs w:val="21"/>
        </w:rPr>
        <w:t>红</w:t>
      </w:r>
      <w:r>
        <w:rPr>
          <w:rFonts w:cs="Cambria Math"/>
          <w:szCs w:val="21"/>
        </w:rPr>
        <w:t>‑</w:t>
      </w:r>
      <w:r>
        <w:rPr>
          <w:rFonts w:hint="eastAsia"/>
          <w:szCs w:val="21"/>
        </w:rPr>
        <w:t>06 入口、地面、坡道、楼梯等防滑</w:t>
      </w:r>
      <w:r>
        <w:rPr>
          <w:szCs w:val="21"/>
        </w:rPr>
        <w:t>/</w:t>
      </w:r>
      <w:r>
        <w:rPr>
          <w:rFonts w:hint="eastAsia"/>
          <w:szCs w:val="21"/>
        </w:rPr>
        <w:t>防绊不足</w:t>
      </w:r>
    </w:p>
    <w:p w14:paraId="086C4F63">
      <w:pPr>
        <w:ind w:firstLine="420"/>
        <w:rPr>
          <w:szCs w:val="21"/>
        </w:rPr>
      </w:pPr>
      <w:r>
        <w:rPr>
          <w:rFonts w:hint="eastAsia"/>
          <w:szCs w:val="21"/>
        </w:rPr>
        <w:t>将行走界面未针对湿滑与溢漏做防滑防绊列为红色项，旨在降低滑跌事故并保障疏散；英国HSE“Slips and trips”与HSE GEIS2《地面防滑性能评估》给出了摆锤法（PTV≥36 为低滑倒风险）等评估与控制要点，设计需明确排水/截水构造、踏步比例、扶手与照明对比度，并对“雨天与清洗工况”进行校核</w:t>
      </w:r>
      <w:r>
        <w:rPr>
          <w:rFonts w:hint="eastAsia"/>
          <w:szCs w:val="21"/>
          <w:vertAlign w:val="superscript"/>
        </w:rPr>
        <w:t>[17][18]</w:t>
      </w:r>
      <w:r>
        <w:rPr>
          <w:rFonts w:hint="eastAsia"/>
          <w:szCs w:val="21"/>
        </w:rPr>
        <w:t>。</w:t>
      </w:r>
    </w:p>
    <w:p w14:paraId="3E2E2BA8">
      <w:pPr>
        <w:rPr>
          <w:szCs w:val="21"/>
        </w:rPr>
      </w:pPr>
      <w:r>
        <w:rPr>
          <w:rFonts w:hint="eastAsia"/>
          <w:szCs w:val="21"/>
        </w:rPr>
        <w:t>红</w:t>
      </w:r>
      <w:r>
        <w:rPr>
          <w:rFonts w:cs="Cambria Math"/>
          <w:szCs w:val="21"/>
        </w:rPr>
        <w:t>‑</w:t>
      </w:r>
      <w:r>
        <w:rPr>
          <w:rFonts w:hint="eastAsia"/>
          <w:szCs w:val="21"/>
        </w:rPr>
        <w:t>07 使用与维护期间存在不利环境条件（照明</w:t>
      </w:r>
      <w:r>
        <w:rPr>
          <w:szCs w:val="21"/>
        </w:rPr>
        <w:t>/</w:t>
      </w:r>
      <w:r>
        <w:rPr>
          <w:rFonts w:hint="eastAsia"/>
          <w:szCs w:val="21"/>
        </w:rPr>
        <w:t>噪声</w:t>
      </w:r>
      <w:r>
        <w:rPr>
          <w:szCs w:val="21"/>
        </w:rPr>
        <w:t>/</w:t>
      </w:r>
      <w:r>
        <w:rPr>
          <w:rFonts w:hint="eastAsia"/>
          <w:szCs w:val="21"/>
        </w:rPr>
        <w:t>振动</w:t>
      </w:r>
      <w:r>
        <w:rPr>
          <w:szCs w:val="21"/>
        </w:rPr>
        <w:t>/</w:t>
      </w:r>
      <w:r>
        <w:rPr>
          <w:rFonts w:hint="eastAsia"/>
          <w:szCs w:val="21"/>
        </w:rPr>
        <w:t>温湿</w:t>
      </w:r>
      <w:r>
        <w:rPr>
          <w:szCs w:val="21"/>
        </w:rPr>
        <w:t>/</w:t>
      </w:r>
      <w:r>
        <w:rPr>
          <w:rFonts w:hint="eastAsia"/>
          <w:szCs w:val="21"/>
        </w:rPr>
        <w:t>气流</w:t>
      </w:r>
      <w:r>
        <w:rPr>
          <w:szCs w:val="21"/>
        </w:rPr>
        <w:t>/</w:t>
      </w:r>
      <w:r>
        <w:rPr>
          <w:rFonts w:hint="eastAsia"/>
          <w:szCs w:val="21"/>
        </w:rPr>
        <w:t>化学</w:t>
      </w:r>
      <w:r>
        <w:rPr>
          <w:szCs w:val="21"/>
        </w:rPr>
        <w:t>/</w:t>
      </w:r>
      <w:r>
        <w:rPr>
          <w:rFonts w:hint="eastAsia"/>
          <w:szCs w:val="21"/>
        </w:rPr>
        <w:t>生物）</w:t>
      </w:r>
    </w:p>
    <w:p w14:paraId="0C4DA9B2">
      <w:pPr>
        <w:ind w:firstLine="420"/>
        <w:rPr>
          <w:szCs w:val="21"/>
        </w:rPr>
      </w:pPr>
      <w:r>
        <w:rPr>
          <w:rFonts w:hint="eastAsia"/>
          <w:szCs w:val="21"/>
        </w:rPr>
        <w:t>对长期作业点存在照度不足、眩光、噪声振动超标、温湿与气流不适或化学</w:t>
      </w:r>
      <w:r>
        <w:rPr>
          <w:szCs w:val="21"/>
        </w:rPr>
        <w:t>/</w:t>
      </w:r>
      <w:r>
        <w:rPr>
          <w:rFonts w:hint="eastAsia"/>
          <w:szCs w:val="21"/>
        </w:rPr>
        <w:t>生物暴露的空间列为红色项，要求通过照明、人机工学与暖通局排及隔振包覆等工程措施将暴露控制在限值内；可参照</w:t>
      </w:r>
      <w:r>
        <w:rPr>
          <w:szCs w:val="21"/>
        </w:rPr>
        <w:t>EN 12464</w:t>
      </w:r>
      <w:r>
        <w:rPr>
          <w:rFonts w:cs="Cambria Math"/>
          <w:szCs w:val="21"/>
        </w:rPr>
        <w:t>‑</w:t>
      </w:r>
      <w:r>
        <w:rPr>
          <w:szCs w:val="21"/>
        </w:rPr>
        <w:t>1</w:t>
      </w:r>
      <w:r>
        <w:rPr>
          <w:rFonts w:hint="eastAsia"/>
          <w:szCs w:val="21"/>
        </w:rPr>
        <w:t>（室内工作场所照明）的照度</w:t>
      </w:r>
      <w:r>
        <w:rPr>
          <w:szCs w:val="21"/>
        </w:rPr>
        <w:t>/</w:t>
      </w:r>
      <w:r>
        <w:rPr>
          <w:rFonts w:hint="eastAsia"/>
          <w:szCs w:val="21"/>
        </w:rPr>
        <w:t>眩光控制与维护照度概念，并结合</w:t>
      </w:r>
      <w:r>
        <w:rPr>
          <w:szCs w:val="21"/>
        </w:rPr>
        <w:t>OSHA 1910.95</w:t>
      </w:r>
      <w:r>
        <w:rPr>
          <w:rFonts w:hint="eastAsia"/>
          <w:szCs w:val="21"/>
        </w:rPr>
        <w:t>（职业噪声暴露）对工程控制与听力保护计划的强制要求开展设计</w:t>
      </w:r>
      <w:r>
        <w:rPr>
          <w:szCs w:val="21"/>
          <w:vertAlign w:val="superscript"/>
        </w:rPr>
        <w:t>[19][20]</w:t>
      </w:r>
      <w:r>
        <w:rPr>
          <w:rFonts w:hint="eastAsia"/>
          <w:szCs w:val="21"/>
        </w:rPr>
        <w:t>。</w:t>
      </w:r>
    </w:p>
    <w:p w14:paraId="1A73C717">
      <w:pPr>
        <w:rPr>
          <w:szCs w:val="21"/>
        </w:rPr>
      </w:pPr>
      <w:r>
        <w:rPr>
          <w:rFonts w:hint="eastAsia"/>
          <w:szCs w:val="21"/>
        </w:rPr>
        <w:t>红</w:t>
      </w:r>
      <w:r>
        <w:rPr>
          <w:rFonts w:cs="Cambria Math"/>
          <w:szCs w:val="21"/>
        </w:rPr>
        <w:t>‑</w:t>
      </w:r>
      <w:r>
        <w:rPr>
          <w:rFonts w:hint="eastAsia"/>
          <w:szCs w:val="21"/>
        </w:rPr>
        <w:t>08 施工期间无法遏制火灾（无分区</w:t>
      </w:r>
      <w:r>
        <w:rPr>
          <w:szCs w:val="21"/>
        </w:rPr>
        <w:t>/</w:t>
      </w:r>
      <w:r>
        <w:rPr>
          <w:rFonts w:hint="eastAsia"/>
          <w:szCs w:val="21"/>
        </w:rPr>
        <w:t>临时消防）</w:t>
      </w:r>
    </w:p>
    <w:p w14:paraId="66A98463">
      <w:pPr>
        <w:ind w:firstLine="420"/>
        <w:rPr>
          <w:szCs w:val="21"/>
        </w:rPr>
      </w:pPr>
      <w:r>
        <w:rPr>
          <w:rFonts w:hint="eastAsia"/>
          <w:szCs w:val="21"/>
        </w:rPr>
        <w:t>将施工阶段缺乏分区/阻火与临时消防措施列为红色项，防止在未完工结构中火势蔓延；NFPA 241（2022 版）提供施工、改造与拆除阶段的最低防火措施框架，英国HSE HSG168（2022 第三版）则强调在前施工阶段通过设计与组织将火灾风险消除或降低，并配置临时报警、消防供水、疏散路线与高火险工艺隔离</w:t>
      </w:r>
      <w:r>
        <w:rPr>
          <w:rFonts w:hint="eastAsia"/>
          <w:szCs w:val="21"/>
          <w:vertAlign w:val="superscript"/>
        </w:rPr>
        <w:t>[4][21]</w:t>
      </w:r>
      <w:r>
        <w:rPr>
          <w:rFonts w:hint="eastAsia"/>
          <w:szCs w:val="21"/>
        </w:rPr>
        <w:t>。</w:t>
      </w:r>
    </w:p>
    <w:p w14:paraId="1048AB4D">
      <w:pPr>
        <w:rPr>
          <w:szCs w:val="21"/>
        </w:rPr>
      </w:pPr>
      <w:r>
        <w:rPr>
          <w:rFonts w:hint="eastAsia"/>
          <w:szCs w:val="21"/>
        </w:rPr>
        <w:t>红</w:t>
      </w:r>
      <w:r>
        <w:rPr>
          <w:rFonts w:cs="Cambria Math"/>
          <w:szCs w:val="21"/>
        </w:rPr>
        <w:t>‑</w:t>
      </w:r>
      <w:r>
        <w:rPr>
          <w:rFonts w:hint="eastAsia"/>
          <w:szCs w:val="21"/>
        </w:rPr>
        <w:t>09 基坑开挖无法满足放坡</w:t>
      </w:r>
      <w:r>
        <w:rPr>
          <w:szCs w:val="21"/>
        </w:rPr>
        <w:t>/</w:t>
      </w:r>
      <w:r>
        <w:rPr>
          <w:rFonts w:hint="eastAsia"/>
          <w:szCs w:val="21"/>
        </w:rPr>
        <w:t>台阶作业空间且邻近静载</w:t>
      </w:r>
      <w:r>
        <w:rPr>
          <w:szCs w:val="21"/>
        </w:rPr>
        <w:t>/</w:t>
      </w:r>
      <w:r>
        <w:rPr>
          <w:rFonts w:hint="eastAsia"/>
          <w:szCs w:val="21"/>
        </w:rPr>
        <w:t>动载影响</w:t>
      </w:r>
    </w:p>
    <w:p w14:paraId="4EE05A93">
      <w:pPr>
        <w:ind w:firstLine="420"/>
        <w:rPr>
          <w:szCs w:val="21"/>
        </w:rPr>
      </w:pPr>
      <w:r>
        <w:rPr>
          <w:rFonts w:hint="eastAsia"/>
          <w:szCs w:val="21"/>
        </w:rPr>
        <w:t>当基坑受限致无法安全放坡/分台阶、且近旁存在建筑静载或交通/机械动载时，要列为红色项并通过支护替代放坡、优化开挖顺序与监测预警进行设计替代；美国OSHA 1926 Subpart P对放坡、支护、土质分类与“胜任人员”检查有硬性要求，可用作边界条件与作业许可的强制参照</w:t>
      </w:r>
      <w:r>
        <w:rPr>
          <w:rFonts w:hint="eastAsia"/>
          <w:szCs w:val="21"/>
          <w:vertAlign w:val="superscript"/>
        </w:rPr>
        <w:t>[22]</w:t>
      </w:r>
      <w:r>
        <w:rPr>
          <w:rFonts w:hint="eastAsia"/>
          <w:szCs w:val="21"/>
        </w:rPr>
        <w:t>。</w:t>
      </w:r>
    </w:p>
    <w:p w14:paraId="0FFF9CB0">
      <w:pPr>
        <w:rPr>
          <w:szCs w:val="21"/>
        </w:rPr>
      </w:pPr>
      <w:r>
        <w:rPr>
          <w:rFonts w:hint="eastAsia"/>
          <w:szCs w:val="21"/>
        </w:rPr>
        <w:t>整体说明</w:t>
      </w:r>
    </w:p>
    <w:p w14:paraId="5C2AB2E6">
      <w:pPr>
        <w:ind w:firstLine="420"/>
        <w:rPr>
          <w:bCs/>
        </w:rPr>
      </w:pPr>
      <w:r>
        <w:rPr>
          <w:rFonts w:hint="eastAsia"/>
          <w:szCs w:val="21"/>
        </w:rPr>
        <w:t>上述红色清单为“优先消除/替代”类事项；若因功能/条件确需保留，需在设计交付物中建立“红色事项台账”，明确替代技术路线、临时控制措施、残余风险说明、监测与验收节点，并与施工与运维的专项方案联动。</w:t>
      </w:r>
    </w:p>
    <w:p w14:paraId="6D1E0CC6">
      <w:pPr>
        <w:rPr>
          <w:rFonts w:cs="Times New Roman (正文 CS 字体)"/>
          <w:szCs w:val="21"/>
        </w:rPr>
      </w:pPr>
      <w:r>
        <w:rPr>
          <w:b/>
        </w:rPr>
        <w:t xml:space="preserve">A.0.3 </w:t>
      </w:r>
      <w:r>
        <w:rPr>
          <w:rFonts w:hint="eastAsia" w:cs="Times New Roman (正文 CS 字体)"/>
          <w:szCs w:val="21"/>
        </w:rPr>
        <w:t>黄色清单应包括要尽可能消除或减少的产品，过程和程序，仅在不可避免的情况下进行指明/允许。黄色事项应向相关责任人提供信息并逐级传递。黄色清单具体内容</w:t>
      </w:r>
      <w:r>
        <w:rPr>
          <w:rFonts w:hint="eastAsia"/>
        </w:rPr>
        <w:t>应符合表A.0.3的规定。</w:t>
      </w:r>
    </w:p>
    <w:p w14:paraId="34DD055C">
      <w:pPr>
        <w:jc w:val="center"/>
        <w:rPr>
          <w:rFonts w:cs="Times New Roman (正文 CS 字体)"/>
        </w:rPr>
      </w:pPr>
      <w:r>
        <w:rPr>
          <w:rFonts w:hint="eastAsia" w:cs="Times New Roman (正文 CS 字体)"/>
        </w:rPr>
        <w:t>表</w:t>
      </w:r>
      <w:r>
        <w:rPr>
          <w:rFonts w:cs="Times New Roman (正文 CS 字体)"/>
        </w:rPr>
        <w:t>A.0.3</w:t>
      </w:r>
      <w:r>
        <w:rPr>
          <w:rFonts w:hint="eastAsia" w:cs="Times New Roman (正文 CS 字体)"/>
        </w:rPr>
        <w:t>安全设计红绿蓝辅助清单</w:t>
      </w:r>
    </w:p>
    <w:tbl>
      <w:tblPr>
        <w:tblStyle w:val="30"/>
        <w:tblW w:w="5000" w:type="pct"/>
        <w:jc w:val="center"/>
        <w:tblLayout w:type="autofit"/>
        <w:tblCellMar>
          <w:top w:w="0" w:type="dxa"/>
          <w:left w:w="0" w:type="dxa"/>
          <w:bottom w:w="0" w:type="dxa"/>
          <w:right w:w="0" w:type="dxa"/>
        </w:tblCellMar>
      </w:tblPr>
      <w:tblGrid>
        <w:gridCol w:w="260"/>
        <w:gridCol w:w="9104"/>
      </w:tblGrid>
      <w:tr w14:paraId="51977B5B">
        <w:tblPrEx>
          <w:tblCellMar>
            <w:top w:w="0" w:type="dxa"/>
            <w:left w:w="0" w:type="dxa"/>
            <w:bottom w:w="0" w:type="dxa"/>
            <w:right w:w="0" w:type="dxa"/>
          </w:tblCellMar>
        </w:tblPrEx>
        <w:trPr>
          <w:trHeight w:val="288" w:hRule="atLeast"/>
          <w:jc w:val="center"/>
        </w:trPr>
        <w:tc>
          <w:tcPr>
            <w:tcW w:w="5000" w:type="pct"/>
            <w:gridSpan w:val="2"/>
            <w:tcBorders>
              <w:top w:val="single" w:color="939598" w:sz="4" w:space="0"/>
              <w:left w:val="single" w:color="939598" w:sz="4" w:space="0"/>
              <w:bottom w:val="single" w:color="939598" w:sz="4" w:space="0"/>
              <w:right w:val="single" w:color="939598" w:sz="4" w:space="0"/>
            </w:tcBorders>
            <w:shd w:val="clear" w:color="auto" w:fill="D1D3D4"/>
            <w:vAlign w:val="center"/>
          </w:tcPr>
          <w:p w14:paraId="1E2376F6">
            <w:pPr>
              <w:spacing w:before="29"/>
              <w:ind w:left="75" w:right="-20"/>
              <w:jc w:val="center"/>
              <w:rPr>
                <w:rFonts w:cs="Times New Roman (正文 CS 字体)"/>
                <w:b/>
                <w:szCs w:val="21"/>
              </w:rPr>
            </w:pPr>
            <w:r>
              <w:rPr>
                <w:rFonts w:hint="eastAsia" w:cs="Times New Roman (正文 CS 字体)"/>
                <w:b/>
                <w:color w:val="ED7D31"/>
                <w:szCs w:val="21"/>
              </w:rPr>
              <w:t>黄色清单</w:t>
            </w:r>
          </w:p>
        </w:tc>
      </w:tr>
      <w:tr w14:paraId="5F8B77AE">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3B64308B">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0DA72036">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01流通区域的内部窨井/检查室;</w:t>
            </w:r>
          </w:p>
        </w:tc>
      </w:tr>
      <w:tr w14:paraId="2E6DB523">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047B33AB">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0579D85A">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02重型二手车通道区域的外部窨井;</w:t>
            </w:r>
          </w:p>
        </w:tc>
      </w:tr>
      <w:tr w14:paraId="508A178A">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41CABB48">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197FA282">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03 预制混凝土楼梯顶部的“唇部”细节（即绊倒危险）的规格;</w:t>
            </w:r>
          </w:p>
        </w:tc>
      </w:tr>
      <w:tr w14:paraId="690E0F43">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5CB5D974">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47642C8E">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04 外部铺砌区域浅台阶（即上升装置）的规格;</w:t>
            </w:r>
          </w:p>
        </w:tc>
      </w:tr>
      <w:tr w14:paraId="57F0C068">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5B6C68B6">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68F9F31E">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05 重型砌块规格;</w:t>
            </w:r>
          </w:p>
        </w:tc>
      </w:tr>
      <w:tr w14:paraId="2D6B9AB3">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4A122EF2">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369FD999">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06 大且重的玻璃面板;</w:t>
            </w:r>
          </w:p>
        </w:tc>
      </w:tr>
      <w:tr w14:paraId="7CA4750B">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141A8FE2">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5A0E962F">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07 为了安装服务而悬挑的混凝土/砖/砌块墙或地板;</w:t>
            </w:r>
          </w:p>
        </w:tc>
      </w:tr>
      <w:tr w14:paraId="4FABCB3D">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4C2B1D62">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2D131224">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08 重型门楣的规格（使用细长金属或空心混凝土门楣作为备选方案）；</w:t>
            </w:r>
          </w:p>
        </w:tc>
      </w:tr>
      <w:tr w14:paraId="1D6E767A">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0CA0CD0A">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0FE69F00">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09 溶剂型涂料和稀释剂或异氰酸酯的规格，特别针对在密闭空间中的使用;</w:t>
            </w:r>
          </w:p>
        </w:tc>
      </w:tr>
      <w:tr w14:paraId="1472DBFC">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31C3F7FE">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460DA4AA">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10 幕墙或面板系统的规格中没有提及脚手架的绑扎与扒；</w:t>
            </w:r>
          </w:p>
        </w:tc>
      </w:tr>
      <w:tr w14:paraId="1141BA2A">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156E1E4D">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3C8D3BF3">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11 用危险性较低的化学品替代危险品；</w:t>
            </w:r>
          </w:p>
        </w:tc>
      </w:tr>
      <w:tr w14:paraId="40249E3F">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218F8B6A">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1AE43727">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12 修改设计，以减少灰尘和污垢可以收集的区域，从而消除需要在高处清洁的需求；</w:t>
            </w:r>
          </w:p>
        </w:tc>
      </w:tr>
      <w:tr w14:paraId="64FA74B1">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57D7B0E0">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08A960FD">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13 设计工厂有效地提取灰尘和烟雾，而不是将其存放在一定区域等待以后清洁；</w:t>
            </w:r>
          </w:p>
        </w:tc>
      </w:tr>
      <w:tr w14:paraId="7F0BAF16">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775B9FA3">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11081B4A">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14 简化过程控制和降低偏差敏感度，从而改善处理危险化学品时控制系统的可靠性；</w:t>
            </w:r>
          </w:p>
        </w:tc>
      </w:tr>
      <w:tr w14:paraId="547DF546">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7E48CA96">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4990D666">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15 使用特定建筑构件和构造方法以消除须在临时工作中须要的脚手架或模板；</w:t>
            </w:r>
          </w:p>
        </w:tc>
      </w:tr>
      <w:tr w14:paraId="6E29BF4C">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7F375FAF">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0A5EB3F0">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16 明晰使用了缓凝砂浆混合物且高于3.5米的砌块墙的规格；</w:t>
            </w:r>
          </w:p>
        </w:tc>
      </w:tr>
      <w:tr w14:paraId="4F2988D3">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529CC0E4">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62A0D573">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17 场地交通路线中不允许“单向”系统和/或车辆交通与现场人员隔离；</w:t>
            </w:r>
          </w:p>
        </w:tc>
      </w:tr>
      <w:tr w14:paraId="14521DF6">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0772DDA6">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5CADD85C">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18 场地布局没有交付和/或存储材料（包括特定组件）的足够空间；</w:t>
            </w:r>
          </w:p>
        </w:tc>
      </w:tr>
      <w:tr w14:paraId="74086335">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2D54265B">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10504F8C">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19 使用机械提升装置无法处理的重型结构部件（由于通道限制/地基载荷等）；</w:t>
            </w:r>
          </w:p>
        </w:tc>
      </w:tr>
      <w:tr w14:paraId="3ABB0739">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00D2CEAF">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324FCEBD">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20 现场焊接，特别是对于新结构；</w:t>
            </w:r>
          </w:p>
        </w:tc>
      </w:tr>
      <w:tr w14:paraId="1449F308">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FAA61A"/>
            <w:vAlign w:val="center"/>
          </w:tcPr>
          <w:p w14:paraId="3410DD87">
            <w:pPr>
              <w:jc w:val="left"/>
              <w:rPr>
                <w:rFonts w:cs="Times New Roman (正文 CS 字体)"/>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060F4EAD">
            <w:pPr>
              <w:jc w:val="left"/>
              <w:rPr>
                <w:rFonts w:cs="Times New Roman (正文 CS 字体)"/>
                <w:szCs w:val="21"/>
              </w:rPr>
            </w:pPr>
            <w:r>
              <w:rPr>
                <w:rFonts w:hint="eastAsia" w:cs="Times New Roman (正文 CS 字体)"/>
                <w:szCs w:val="21"/>
              </w:rPr>
              <w:t>● 21 需要在“实时”铁路和架空电力线附近使用大型打桩钻机和起重机，或靠近障碍物而妨碍了钻井平台的防护。</w:t>
            </w:r>
          </w:p>
        </w:tc>
      </w:tr>
    </w:tbl>
    <w:p w14:paraId="73FD2583">
      <w:pPr>
        <w:rPr>
          <w:bCs/>
        </w:rPr>
      </w:pPr>
      <w:r>
        <w:rPr>
          <w:rFonts w:hint="eastAsia"/>
          <w:color w:val="000000" w:themeColor="text1"/>
          <w14:textFill>
            <w14:solidFill>
              <w14:schemeClr w14:val="tx1"/>
            </w14:solidFill>
          </w14:textFill>
        </w:rPr>
        <w:t>【条文说明】</w:t>
      </w:r>
      <w:r>
        <w:rPr>
          <w:rFonts w:hint="eastAsia"/>
          <w:bCs/>
        </w:rPr>
        <w:t>本条将黄色清单定位为“仅在不可避免时允许、需配套专门控制”的中高风险事项，落实“工程控制优先、ALARP（尽可能低且可行）”思路：以设计简化、预制化、联锁与联动故障安全为主，辅以作业许可与监测，该分级与处置路径可分别在CDM 2015（L153）的角色与职责分配、及ISO 45001的策划-运行-评价闭环中找到方法学支撑</w:t>
      </w:r>
      <w:r>
        <w:rPr>
          <w:rFonts w:hint="eastAsia"/>
          <w:bCs/>
          <w:vertAlign w:val="superscript"/>
        </w:rPr>
        <w:t>[1][3]</w:t>
      </w:r>
      <w:r>
        <w:rPr>
          <w:rFonts w:hint="eastAsia"/>
          <w:bCs/>
        </w:rPr>
        <w:t>。</w:t>
      </w:r>
    </w:p>
    <w:p w14:paraId="519507DA">
      <w:pPr>
        <w:rPr>
          <w:szCs w:val="21"/>
        </w:rPr>
      </w:pPr>
      <w:r>
        <w:rPr>
          <w:rFonts w:hint="eastAsia"/>
          <w:szCs w:val="21"/>
        </w:rPr>
        <w:t>黄色清单逐条条文说明（需尽量减少，仅在无法避免时允许）</w:t>
      </w:r>
    </w:p>
    <w:p w14:paraId="5D5B1A5F">
      <w:pPr>
        <w:rPr>
          <w:szCs w:val="21"/>
        </w:rPr>
      </w:pPr>
      <w:r>
        <w:rPr>
          <w:rFonts w:hint="eastAsia"/>
          <w:szCs w:val="21"/>
        </w:rPr>
        <w:t>黄</w:t>
      </w:r>
      <w:r>
        <w:rPr>
          <w:rFonts w:cs="Cambria Math"/>
          <w:szCs w:val="21"/>
        </w:rPr>
        <w:t>‑</w:t>
      </w:r>
      <w:r>
        <w:rPr>
          <w:szCs w:val="21"/>
        </w:rPr>
        <w:t>01</w:t>
      </w:r>
      <w:r>
        <w:rPr>
          <w:rFonts w:hint="eastAsia"/>
          <w:szCs w:val="21"/>
        </w:rPr>
        <w:t xml:space="preserve"> 流通区域的内部窨井</w:t>
      </w:r>
      <w:r>
        <w:rPr>
          <w:szCs w:val="21"/>
        </w:rPr>
        <w:t>/</w:t>
      </w:r>
      <w:r>
        <w:rPr>
          <w:rFonts w:hint="eastAsia"/>
          <w:szCs w:val="21"/>
        </w:rPr>
        <w:t>检查室</w:t>
      </w:r>
    </w:p>
    <w:p w14:paraId="0B0FA919">
      <w:pPr>
        <w:ind w:firstLine="420"/>
        <w:rPr>
          <w:szCs w:val="21"/>
        </w:rPr>
      </w:pPr>
      <w:r>
        <w:rPr>
          <w:rFonts w:hint="eastAsia"/>
          <w:szCs w:val="21"/>
        </w:rPr>
        <w:t>将流通区域内的检查井列为黄色项，是为了降低绊倒、坠落与车辆碾压风险；英国HSE《Slips and trips》与BS EN 124对井盖承载等级、防滑性能及锁定装置有明确要求，设计优先采用避开主通道布置、加装防滑盖板与警示标识，并在 BIM 模型中标注检修通道与安全隔离措施</w:t>
      </w:r>
      <w:r>
        <w:rPr>
          <w:rFonts w:hint="eastAsia"/>
          <w:szCs w:val="21"/>
          <w:vertAlign w:val="superscript"/>
        </w:rPr>
        <w:t>[1]</w:t>
      </w:r>
      <w:r>
        <w:rPr>
          <w:rFonts w:hint="eastAsia"/>
          <w:szCs w:val="21"/>
        </w:rPr>
        <w:t>。</w:t>
      </w:r>
    </w:p>
    <w:p w14:paraId="72D6DDD9">
      <w:pPr>
        <w:rPr>
          <w:szCs w:val="21"/>
        </w:rPr>
      </w:pPr>
      <w:r>
        <w:rPr>
          <w:rFonts w:hint="eastAsia"/>
          <w:szCs w:val="21"/>
        </w:rPr>
        <w:t>黄</w:t>
      </w:r>
      <w:r>
        <w:rPr>
          <w:rFonts w:cs="Cambria Math"/>
          <w:szCs w:val="21"/>
        </w:rPr>
        <w:t>‑</w:t>
      </w:r>
      <w:r>
        <w:rPr>
          <w:szCs w:val="21"/>
        </w:rPr>
        <w:t>02</w:t>
      </w:r>
      <w:r>
        <w:rPr>
          <w:rFonts w:hint="eastAsia"/>
          <w:szCs w:val="21"/>
        </w:rPr>
        <w:t xml:space="preserve"> 重型二手车通道区域的外部窨井</w:t>
      </w:r>
    </w:p>
    <w:p w14:paraId="3809CFC2">
      <w:pPr>
        <w:ind w:firstLine="420"/>
        <w:rPr>
          <w:szCs w:val="21"/>
        </w:rPr>
      </w:pPr>
      <w:r>
        <w:rPr>
          <w:rFonts w:hint="eastAsia"/>
          <w:szCs w:val="21"/>
        </w:rPr>
        <w:t>此类井盖若未按EN 124 D400 级或更高等级设计，极易因荷载破坏导致事故；需在设计阶段通过交通荷载校核、抗滑纹理与防移位锁定确保安全，并参考HSE《Workplace transport safety》对人车分流与防护隔离的要求，避免井盖位于转弯或制动区。</w:t>
      </w:r>
    </w:p>
    <w:p w14:paraId="6B741E1D">
      <w:pPr>
        <w:rPr>
          <w:szCs w:val="21"/>
        </w:rPr>
      </w:pPr>
      <w:r>
        <w:rPr>
          <w:rFonts w:hint="eastAsia"/>
          <w:szCs w:val="21"/>
        </w:rPr>
        <w:t>黄</w:t>
      </w:r>
      <w:r>
        <w:rPr>
          <w:rFonts w:cs="Cambria Math"/>
          <w:szCs w:val="21"/>
        </w:rPr>
        <w:t>‑</w:t>
      </w:r>
      <w:r>
        <w:rPr>
          <w:szCs w:val="21"/>
        </w:rPr>
        <w:t>03</w:t>
      </w:r>
      <w:r>
        <w:rPr>
          <w:rFonts w:hint="eastAsia"/>
          <w:szCs w:val="21"/>
        </w:rPr>
        <w:t xml:space="preserve"> 预制混凝土楼梯顶部“唇部”细节（绊倒危险）</w:t>
      </w:r>
    </w:p>
    <w:p w14:paraId="60B43A2A">
      <w:pPr>
        <w:ind w:firstLine="420"/>
        <w:rPr>
          <w:szCs w:val="21"/>
        </w:rPr>
      </w:pPr>
      <w:r>
        <w:rPr>
          <w:rFonts w:hint="eastAsia"/>
          <w:szCs w:val="21"/>
        </w:rPr>
        <w:t>该细节若未处理平顺，极易引发绊倒事故；英国</w:t>
      </w:r>
      <w:r>
        <w:rPr>
          <w:szCs w:val="21"/>
        </w:rPr>
        <w:t>BS 5395</w:t>
      </w:r>
      <w:r>
        <w:rPr>
          <w:rFonts w:cs="Cambria Math"/>
          <w:szCs w:val="21"/>
        </w:rPr>
        <w:t>‑</w:t>
      </w:r>
      <w:r>
        <w:rPr>
          <w:szCs w:val="21"/>
        </w:rPr>
        <w:t>1</w:t>
      </w:r>
      <w:r>
        <w:rPr>
          <w:rFonts w:hint="eastAsia"/>
          <w:szCs w:val="21"/>
        </w:rPr>
        <w:t>（楼梯设计）要求踏步前缘圆角与防滑条，</w:t>
      </w:r>
      <w:r>
        <w:rPr>
          <w:szCs w:val="21"/>
        </w:rPr>
        <w:t>HSE</w:t>
      </w:r>
      <w:r>
        <w:rPr>
          <w:rFonts w:hint="eastAsia"/>
          <w:szCs w:val="21"/>
        </w:rPr>
        <w:t>《</w:t>
      </w:r>
      <w:r>
        <w:rPr>
          <w:szCs w:val="21"/>
        </w:rPr>
        <w:t>Slips and trips</w:t>
      </w:r>
      <w:r>
        <w:rPr>
          <w:rFonts w:hint="eastAsia"/>
          <w:szCs w:val="21"/>
        </w:rPr>
        <w:t>》亦强调楼梯边缘对比度与防滑性能，设计需取消“唇部”或采用倒角处理并确保踏步一致性。</w:t>
      </w:r>
    </w:p>
    <w:p w14:paraId="7D28525E">
      <w:pPr>
        <w:rPr>
          <w:szCs w:val="21"/>
        </w:rPr>
      </w:pPr>
      <w:r>
        <w:rPr>
          <w:rFonts w:hint="eastAsia"/>
          <w:szCs w:val="21"/>
        </w:rPr>
        <w:t>黄</w:t>
      </w:r>
      <w:r>
        <w:rPr>
          <w:rFonts w:cs="Cambria Math"/>
          <w:szCs w:val="21"/>
        </w:rPr>
        <w:t>‑</w:t>
      </w:r>
      <w:r>
        <w:rPr>
          <w:szCs w:val="21"/>
        </w:rPr>
        <w:t>04</w:t>
      </w:r>
      <w:r>
        <w:rPr>
          <w:rFonts w:hint="eastAsia"/>
          <w:szCs w:val="21"/>
        </w:rPr>
        <w:t xml:space="preserve"> 外部铺砌区域浅台阶</w:t>
      </w:r>
    </w:p>
    <w:p w14:paraId="0EECDCAF">
      <w:pPr>
        <w:ind w:firstLine="420"/>
        <w:rPr>
          <w:szCs w:val="21"/>
        </w:rPr>
      </w:pPr>
      <w:r>
        <w:rPr>
          <w:rFonts w:hint="eastAsia"/>
          <w:szCs w:val="21"/>
        </w:rPr>
        <w:t>浅台阶在雨雪条件下风险更高，HSE 指南建议优先采用坡道或平台过渡，当不可避免时，需在设计中明确防滑等级（PTV≥36）、排水坡度与视觉对比，并在 EN 1436（路面标线）框架下配置警示标识。</w:t>
      </w:r>
    </w:p>
    <w:p w14:paraId="2FDAD4DB">
      <w:pPr>
        <w:rPr>
          <w:szCs w:val="21"/>
        </w:rPr>
      </w:pPr>
      <w:r>
        <w:rPr>
          <w:rFonts w:hint="eastAsia"/>
          <w:szCs w:val="21"/>
        </w:rPr>
        <w:t>黄</w:t>
      </w:r>
      <w:r>
        <w:rPr>
          <w:rFonts w:cs="Cambria Math"/>
          <w:szCs w:val="21"/>
        </w:rPr>
        <w:t>‑</w:t>
      </w:r>
      <w:r>
        <w:rPr>
          <w:szCs w:val="21"/>
        </w:rPr>
        <w:t>05</w:t>
      </w:r>
      <w:r>
        <w:rPr>
          <w:rFonts w:hint="eastAsia"/>
          <w:szCs w:val="21"/>
        </w:rPr>
        <w:t xml:space="preserve"> 重型砌块规格</w:t>
      </w:r>
    </w:p>
    <w:p w14:paraId="7924A0A2">
      <w:pPr>
        <w:ind w:firstLine="420"/>
        <w:rPr>
          <w:szCs w:val="21"/>
        </w:rPr>
      </w:pPr>
      <w:r>
        <w:rPr>
          <w:rFonts w:hint="eastAsia"/>
          <w:szCs w:val="21"/>
        </w:rPr>
        <w:t>大质量砌块增加手工搬运伤害与挤压风险，需优先采用轻质砌块或机械化吊装，并符合ISO 11228（手工搬运人体工效）与Safe Work Australia《Manual tasks Code of Practice》的重量限值与作业姿态控制要求。</w:t>
      </w:r>
    </w:p>
    <w:p w14:paraId="0D336735">
      <w:pPr>
        <w:rPr>
          <w:szCs w:val="21"/>
        </w:rPr>
      </w:pPr>
      <w:r>
        <w:rPr>
          <w:rFonts w:hint="eastAsia"/>
          <w:szCs w:val="21"/>
        </w:rPr>
        <w:t>黄</w:t>
      </w:r>
      <w:r>
        <w:rPr>
          <w:rFonts w:cs="Cambria Math"/>
          <w:szCs w:val="21"/>
        </w:rPr>
        <w:t>‑</w:t>
      </w:r>
      <w:r>
        <w:rPr>
          <w:szCs w:val="21"/>
        </w:rPr>
        <w:t>06</w:t>
      </w:r>
      <w:r>
        <w:rPr>
          <w:rFonts w:hint="eastAsia"/>
          <w:szCs w:val="21"/>
        </w:rPr>
        <w:t xml:space="preserve"> 大且重的玻璃面板</w:t>
      </w:r>
    </w:p>
    <w:p w14:paraId="080B1594">
      <w:pPr>
        <w:ind w:firstLine="420"/>
        <w:rPr>
          <w:szCs w:val="21"/>
        </w:rPr>
      </w:pPr>
      <w:r>
        <w:rPr>
          <w:rFonts w:hint="eastAsia"/>
          <w:szCs w:val="21"/>
        </w:rPr>
        <w:t>大尺寸玻璃在搬运与安装中存在割伤、倾覆与坠落风险，英国</w:t>
      </w:r>
      <w:r>
        <w:rPr>
          <w:szCs w:val="21"/>
        </w:rPr>
        <w:t>BS 8213</w:t>
      </w:r>
      <w:r>
        <w:rPr>
          <w:rFonts w:cs="Cambria Math"/>
          <w:szCs w:val="21"/>
        </w:rPr>
        <w:t>‑</w:t>
      </w:r>
      <w:r>
        <w:rPr>
          <w:szCs w:val="21"/>
        </w:rPr>
        <w:t>1</w:t>
      </w:r>
      <w:r>
        <w:rPr>
          <w:rFonts w:hint="eastAsia"/>
          <w:szCs w:val="21"/>
        </w:rPr>
        <w:t>要求在设计阶段考虑分段尺寸、吊装点与临时固定，并在施工方案中配置真空吊具与防护屏障。</w:t>
      </w:r>
    </w:p>
    <w:p w14:paraId="2C478085">
      <w:pPr>
        <w:rPr>
          <w:szCs w:val="21"/>
        </w:rPr>
      </w:pPr>
      <w:r>
        <w:rPr>
          <w:rFonts w:hint="eastAsia"/>
          <w:szCs w:val="21"/>
        </w:rPr>
        <w:t>黄</w:t>
      </w:r>
      <w:r>
        <w:rPr>
          <w:rFonts w:cs="Cambria Math"/>
          <w:szCs w:val="21"/>
        </w:rPr>
        <w:t>‑</w:t>
      </w:r>
      <w:r>
        <w:rPr>
          <w:szCs w:val="21"/>
        </w:rPr>
        <w:t>07</w:t>
      </w:r>
      <w:r>
        <w:rPr>
          <w:rFonts w:hint="eastAsia"/>
          <w:szCs w:val="21"/>
        </w:rPr>
        <w:t xml:space="preserve"> 悬挑墙或地板用于安装服务</w:t>
      </w:r>
    </w:p>
    <w:p w14:paraId="4E1A392B">
      <w:pPr>
        <w:ind w:firstLine="420"/>
        <w:rPr>
          <w:szCs w:val="21"/>
        </w:rPr>
      </w:pPr>
      <w:r>
        <w:rPr>
          <w:rFonts w:hint="eastAsia"/>
          <w:szCs w:val="21"/>
        </w:rPr>
        <w:t>悬挑结构在施工中增加坠落与结构失稳风险，要优先采用整体预制或临时支撑，并参考HSE Temporary Works Code与EN 12811（临时结构）对悬挑平台与支撑系统的安全要求。</w:t>
      </w:r>
    </w:p>
    <w:p w14:paraId="5F101211">
      <w:pPr>
        <w:rPr>
          <w:szCs w:val="21"/>
        </w:rPr>
      </w:pPr>
      <w:r>
        <w:rPr>
          <w:rFonts w:hint="eastAsia"/>
          <w:szCs w:val="21"/>
        </w:rPr>
        <w:t>黄</w:t>
      </w:r>
      <w:r>
        <w:rPr>
          <w:rFonts w:cs="Cambria Math"/>
          <w:szCs w:val="21"/>
        </w:rPr>
        <w:t>‑</w:t>
      </w:r>
      <w:r>
        <w:rPr>
          <w:szCs w:val="21"/>
        </w:rPr>
        <w:t>08</w:t>
      </w:r>
      <w:r>
        <w:rPr>
          <w:rFonts w:hint="eastAsia"/>
          <w:szCs w:val="21"/>
        </w:rPr>
        <w:t xml:space="preserve"> 重型门楣规格（建议采用轻质替代）</w:t>
      </w:r>
    </w:p>
    <w:p w14:paraId="06920227">
      <w:pPr>
        <w:ind w:firstLine="420"/>
        <w:rPr>
          <w:szCs w:val="21"/>
        </w:rPr>
      </w:pPr>
      <w:r>
        <w:rPr>
          <w:rFonts w:hint="eastAsia"/>
          <w:szCs w:val="21"/>
        </w:rPr>
        <w:t>重型门楣在安装中增加手工搬运与坠落物风险，要采用轻质钢构或空心混凝土替代，并符合ISO 11228与Safe Work Australia对重量控制的要求，同时在设计中预留吊装点。</w:t>
      </w:r>
    </w:p>
    <w:p w14:paraId="2A693BD4">
      <w:pPr>
        <w:rPr>
          <w:szCs w:val="21"/>
        </w:rPr>
      </w:pPr>
      <w:r>
        <w:rPr>
          <w:rFonts w:hint="eastAsia"/>
          <w:szCs w:val="21"/>
        </w:rPr>
        <w:t>黄</w:t>
      </w:r>
      <w:r>
        <w:rPr>
          <w:rFonts w:cs="Cambria Math"/>
          <w:szCs w:val="21"/>
        </w:rPr>
        <w:t>‑</w:t>
      </w:r>
      <w:r>
        <w:rPr>
          <w:szCs w:val="21"/>
        </w:rPr>
        <w:t>09</w:t>
      </w:r>
      <w:r>
        <w:rPr>
          <w:rFonts w:hint="eastAsia"/>
          <w:szCs w:val="21"/>
        </w:rPr>
        <w:t xml:space="preserve"> 溶剂型涂料</w:t>
      </w:r>
      <w:r>
        <w:rPr>
          <w:szCs w:val="21"/>
        </w:rPr>
        <w:t>/</w:t>
      </w:r>
      <w:r>
        <w:rPr>
          <w:rFonts w:hint="eastAsia"/>
          <w:szCs w:val="21"/>
        </w:rPr>
        <w:t>稀释剂或异氰酸酯（尤其在密闭空间）</w:t>
      </w:r>
    </w:p>
    <w:p w14:paraId="22290D8F">
      <w:pPr>
        <w:ind w:firstLine="420"/>
        <w:rPr>
          <w:szCs w:val="21"/>
        </w:rPr>
      </w:pPr>
      <w:r>
        <w:rPr>
          <w:rFonts w:hint="eastAsia"/>
          <w:szCs w:val="21"/>
        </w:rPr>
        <w:t>此类化学品在密闭空间喷涂会导致中毒、爆炸与火灾，要优先采用低 VOC 水性体系，并符合EU 2004/42/EC（VOC 限值）与OSHA 1910.107（喷涂防爆要求），设计需明确通风、局排与防爆电气配置。</w:t>
      </w:r>
    </w:p>
    <w:p w14:paraId="1BF9DCC0">
      <w:pPr>
        <w:rPr>
          <w:szCs w:val="21"/>
        </w:rPr>
      </w:pPr>
      <w:r>
        <w:rPr>
          <w:rFonts w:hint="eastAsia"/>
          <w:szCs w:val="21"/>
        </w:rPr>
        <w:t>黄</w:t>
      </w:r>
      <w:r>
        <w:rPr>
          <w:rFonts w:cs="Cambria Math"/>
          <w:szCs w:val="21"/>
        </w:rPr>
        <w:t>‑</w:t>
      </w:r>
      <w:r>
        <w:rPr>
          <w:szCs w:val="21"/>
        </w:rPr>
        <w:t>10</w:t>
      </w:r>
      <w:r>
        <w:rPr>
          <w:rFonts w:hint="eastAsia"/>
          <w:szCs w:val="21"/>
        </w:rPr>
        <w:t xml:space="preserve"> 幕墙或面板系统未考虑脚手架绑扎点</w:t>
      </w:r>
    </w:p>
    <w:p w14:paraId="5B967542">
      <w:pPr>
        <w:ind w:firstLine="420"/>
        <w:rPr>
          <w:szCs w:val="21"/>
        </w:rPr>
      </w:pPr>
      <w:r>
        <w:rPr>
          <w:rFonts w:hint="eastAsia"/>
          <w:szCs w:val="21"/>
        </w:rPr>
        <w:t>幕墙设计若未预留绑扎点，将导致临时脚手架搭设不安全，需在设计中按EN 12811与HSE Temporary Works要求设置锚固点并在施工图中标注荷载等级与安装顺序。</w:t>
      </w:r>
    </w:p>
    <w:p w14:paraId="361D5811">
      <w:pPr>
        <w:rPr>
          <w:szCs w:val="21"/>
        </w:rPr>
      </w:pPr>
      <w:r>
        <w:rPr>
          <w:rFonts w:hint="eastAsia"/>
          <w:szCs w:val="21"/>
        </w:rPr>
        <w:t>黄</w:t>
      </w:r>
      <w:r>
        <w:rPr>
          <w:rFonts w:cs="Cambria Math"/>
          <w:szCs w:val="21"/>
        </w:rPr>
        <w:t>‑</w:t>
      </w:r>
      <w:r>
        <w:rPr>
          <w:szCs w:val="21"/>
        </w:rPr>
        <w:t>11</w:t>
      </w:r>
      <w:r>
        <w:rPr>
          <w:rFonts w:hint="eastAsia"/>
          <w:szCs w:val="21"/>
        </w:rPr>
        <w:t xml:space="preserve"> 用危险性较低的化学品替代危险品</w:t>
      </w:r>
    </w:p>
    <w:p w14:paraId="1EC85E04">
      <w:pPr>
        <w:ind w:firstLine="420"/>
        <w:rPr>
          <w:szCs w:val="21"/>
        </w:rPr>
      </w:pPr>
      <w:r>
        <w:rPr>
          <w:rFonts w:hint="eastAsia"/>
          <w:szCs w:val="21"/>
        </w:rPr>
        <w:t>此条强调替代原则（Substitution），符合ISO 45001与Safe Design 守则的风险控制层级，设计需在材料选型阶段完成替代评估并记录在设计风险登记表中。</w:t>
      </w:r>
    </w:p>
    <w:p w14:paraId="07CB9121">
      <w:pPr>
        <w:rPr>
          <w:szCs w:val="21"/>
        </w:rPr>
      </w:pPr>
      <w:r>
        <w:rPr>
          <w:rFonts w:hint="eastAsia"/>
          <w:szCs w:val="21"/>
        </w:rPr>
        <w:t>黄</w:t>
      </w:r>
      <w:r>
        <w:rPr>
          <w:rFonts w:cs="Cambria Math"/>
          <w:szCs w:val="21"/>
        </w:rPr>
        <w:t>‑</w:t>
      </w:r>
      <w:r>
        <w:rPr>
          <w:szCs w:val="21"/>
        </w:rPr>
        <w:t>12</w:t>
      </w:r>
      <w:r>
        <w:rPr>
          <w:rFonts w:hint="eastAsia"/>
          <w:szCs w:val="21"/>
        </w:rPr>
        <w:t xml:space="preserve"> 修改设计以减少灰尘和污垢积聚</w:t>
      </w:r>
    </w:p>
    <w:p w14:paraId="278B5204">
      <w:pPr>
        <w:ind w:firstLine="420"/>
        <w:rPr>
          <w:szCs w:val="21"/>
        </w:rPr>
      </w:pPr>
      <w:r>
        <w:rPr>
          <w:rFonts w:hint="eastAsia"/>
          <w:szCs w:val="21"/>
        </w:rPr>
        <w:t>此措施旨在降低高处清洁需求，符合HSE《Designing for cleaning and maintenance》的可维护性原则，设计需优化节点、减少水平积尘面并预留清洁通道。</w:t>
      </w:r>
    </w:p>
    <w:p w14:paraId="26D631AE">
      <w:pPr>
        <w:rPr>
          <w:szCs w:val="21"/>
        </w:rPr>
      </w:pPr>
      <w:r>
        <w:rPr>
          <w:rFonts w:hint="eastAsia"/>
          <w:szCs w:val="21"/>
        </w:rPr>
        <w:t>黄</w:t>
      </w:r>
      <w:r>
        <w:rPr>
          <w:rFonts w:cs="Cambria Math"/>
          <w:szCs w:val="21"/>
        </w:rPr>
        <w:t>‑</w:t>
      </w:r>
      <w:r>
        <w:rPr>
          <w:szCs w:val="21"/>
        </w:rPr>
        <w:t>13</w:t>
      </w:r>
      <w:r>
        <w:rPr>
          <w:rFonts w:hint="eastAsia"/>
          <w:szCs w:val="21"/>
        </w:rPr>
        <w:t xml:space="preserve"> 设计工厂有效提取灰尘和烟雾</w:t>
      </w:r>
    </w:p>
    <w:p w14:paraId="023CABF8">
      <w:pPr>
        <w:ind w:firstLine="420"/>
        <w:rPr>
          <w:szCs w:val="21"/>
        </w:rPr>
      </w:pPr>
      <w:r>
        <w:rPr>
          <w:rFonts w:hint="eastAsia"/>
          <w:szCs w:val="21"/>
        </w:rPr>
        <w:t>此条要求在设计阶段配置局部排风与集尘系统，符合OSHA 1910.94（通风控制）与HSE COSHH对有害物质控制的要求，避免粉尘在高处或隐蔽空间积聚。</w:t>
      </w:r>
    </w:p>
    <w:p w14:paraId="6C9DEEB5">
      <w:pPr>
        <w:rPr>
          <w:szCs w:val="21"/>
        </w:rPr>
      </w:pPr>
      <w:r>
        <w:rPr>
          <w:rFonts w:hint="eastAsia"/>
          <w:szCs w:val="21"/>
        </w:rPr>
        <w:t>黄</w:t>
      </w:r>
      <w:r>
        <w:rPr>
          <w:rFonts w:cs="Cambria Math"/>
          <w:szCs w:val="21"/>
        </w:rPr>
        <w:t>‑</w:t>
      </w:r>
      <w:r>
        <w:rPr>
          <w:szCs w:val="21"/>
        </w:rPr>
        <w:t>14</w:t>
      </w:r>
      <w:r>
        <w:rPr>
          <w:rFonts w:hint="eastAsia"/>
          <w:szCs w:val="21"/>
        </w:rPr>
        <w:t xml:space="preserve"> 简化过程控制并降低偏差敏感度</w:t>
      </w:r>
    </w:p>
    <w:p w14:paraId="01DB76A5">
      <w:pPr>
        <w:ind w:firstLine="420"/>
        <w:rPr>
          <w:szCs w:val="21"/>
        </w:rPr>
      </w:pPr>
      <w:r>
        <w:rPr>
          <w:rFonts w:hint="eastAsia"/>
          <w:szCs w:val="21"/>
        </w:rPr>
        <w:t>此条强调本质安全化与防呆设计，符合IEC 61511（功能安全）与Safe Work Australia的工程控制优先原则，设计需采用冗余、联锁与报警，并在控制逻辑中设置失效安全模式。</w:t>
      </w:r>
    </w:p>
    <w:p w14:paraId="5B6336BC">
      <w:pPr>
        <w:rPr>
          <w:szCs w:val="21"/>
        </w:rPr>
      </w:pPr>
      <w:r>
        <w:rPr>
          <w:rFonts w:hint="eastAsia"/>
          <w:szCs w:val="21"/>
        </w:rPr>
        <w:t>黄</w:t>
      </w:r>
      <w:r>
        <w:rPr>
          <w:rFonts w:cs="Cambria Math"/>
          <w:szCs w:val="21"/>
        </w:rPr>
        <w:t>‑</w:t>
      </w:r>
      <w:r>
        <w:rPr>
          <w:szCs w:val="21"/>
        </w:rPr>
        <w:t>15</w:t>
      </w:r>
      <w:r>
        <w:rPr>
          <w:rFonts w:hint="eastAsia"/>
          <w:szCs w:val="21"/>
        </w:rPr>
        <w:t xml:space="preserve"> 使用特定构件和构造方法以消除临时脚手架或模板</w:t>
      </w:r>
    </w:p>
    <w:p w14:paraId="0837BD3E">
      <w:pPr>
        <w:ind w:firstLine="420"/>
        <w:rPr>
          <w:szCs w:val="21"/>
        </w:rPr>
      </w:pPr>
      <w:r>
        <w:rPr>
          <w:rFonts w:hint="eastAsia"/>
          <w:szCs w:val="21"/>
        </w:rPr>
        <w:t>此措施减少高处临时作业风险，符合HSE Temporary Works和EN 12812（模板支撑）的安全要求，设计需采用装配式构件与免支撑体系。</w:t>
      </w:r>
    </w:p>
    <w:p w14:paraId="5D63B010">
      <w:pPr>
        <w:rPr>
          <w:szCs w:val="21"/>
        </w:rPr>
      </w:pPr>
      <w:r>
        <w:rPr>
          <w:rFonts w:hint="eastAsia"/>
          <w:szCs w:val="21"/>
        </w:rPr>
        <w:t>黄</w:t>
      </w:r>
      <w:r>
        <w:rPr>
          <w:rFonts w:cs="Cambria Math"/>
          <w:szCs w:val="21"/>
        </w:rPr>
        <w:t>‑</w:t>
      </w:r>
      <w:r>
        <w:rPr>
          <w:szCs w:val="21"/>
        </w:rPr>
        <w:t>16</w:t>
      </w:r>
      <w:r>
        <w:rPr>
          <w:rFonts w:hint="eastAsia"/>
          <w:szCs w:val="21"/>
        </w:rPr>
        <w:t xml:space="preserve"> 缓凝砂浆混合物且高于</w:t>
      </w:r>
      <w:r>
        <w:rPr>
          <w:szCs w:val="21"/>
        </w:rPr>
        <w:t>3.5</w:t>
      </w:r>
      <w:r>
        <w:rPr>
          <w:rFonts w:hint="eastAsia"/>
          <w:szCs w:val="21"/>
        </w:rPr>
        <w:t>米的砌块墙</w:t>
      </w:r>
    </w:p>
    <w:p w14:paraId="54664D06">
      <w:pPr>
        <w:ind w:firstLine="420"/>
        <w:rPr>
          <w:szCs w:val="21"/>
        </w:rPr>
      </w:pPr>
      <w:r>
        <w:rPr>
          <w:rFonts w:hint="eastAsia"/>
          <w:szCs w:val="21"/>
        </w:rPr>
        <w:t>此类墙体在施工中存在稳定性不足与坍塌风险，需在设计中明确分段施工、临时支撑与养护时间，并参考HSE masonry wall collapse guidance。</w:t>
      </w:r>
    </w:p>
    <w:p w14:paraId="73A5B8A4">
      <w:pPr>
        <w:rPr>
          <w:szCs w:val="21"/>
        </w:rPr>
      </w:pPr>
      <w:r>
        <w:rPr>
          <w:rFonts w:hint="eastAsia"/>
          <w:szCs w:val="21"/>
        </w:rPr>
        <w:t>黄</w:t>
      </w:r>
      <w:r>
        <w:rPr>
          <w:rFonts w:cs="Cambria Math"/>
          <w:szCs w:val="21"/>
        </w:rPr>
        <w:t>‑</w:t>
      </w:r>
      <w:r>
        <w:rPr>
          <w:szCs w:val="21"/>
        </w:rPr>
        <w:t>17</w:t>
      </w:r>
      <w:r>
        <w:rPr>
          <w:rFonts w:hint="eastAsia"/>
          <w:szCs w:val="21"/>
        </w:rPr>
        <w:t xml:space="preserve"> 场地交通路线未采用单向系统或未实现人车隔离</w:t>
      </w:r>
    </w:p>
    <w:p w14:paraId="37A96723">
      <w:pPr>
        <w:ind w:firstLine="420"/>
        <w:rPr>
          <w:szCs w:val="21"/>
        </w:rPr>
      </w:pPr>
      <w:r>
        <w:rPr>
          <w:rFonts w:hint="eastAsia"/>
          <w:szCs w:val="21"/>
        </w:rPr>
        <w:t>此条强调交通流线安全，符合HSE《Workplace transport safety》与Safe Work Australia Traffic Management Code，设计需在总图中规划单向流线、隔离护栏与限速措施。</w:t>
      </w:r>
    </w:p>
    <w:p w14:paraId="78E6716B">
      <w:pPr>
        <w:rPr>
          <w:szCs w:val="21"/>
        </w:rPr>
      </w:pPr>
      <w:r>
        <w:rPr>
          <w:rFonts w:hint="eastAsia"/>
          <w:szCs w:val="21"/>
        </w:rPr>
        <w:t>黄</w:t>
      </w:r>
      <w:r>
        <w:rPr>
          <w:rFonts w:cs="Cambria Math"/>
          <w:szCs w:val="21"/>
        </w:rPr>
        <w:t>‑</w:t>
      </w:r>
      <w:r>
        <w:rPr>
          <w:szCs w:val="21"/>
        </w:rPr>
        <w:t>18</w:t>
      </w:r>
      <w:r>
        <w:rPr>
          <w:rFonts w:hint="eastAsia"/>
          <w:szCs w:val="21"/>
        </w:rPr>
        <w:t xml:space="preserve"> 场地布局未预留足够的交付</w:t>
      </w:r>
      <w:r>
        <w:rPr>
          <w:szCs w:val="21"/>
        </w:rPr>
        <w:t>/</w:t>
      </w:r>
      <w:r>
        <w:rPr>
          <w:rFonts w:hint="eastAsia"/>
          <w:szCs w:val="21"/>
        </w:rPr>
        <w:t>存储空间</w:t>
      </w:r>
    </w:p>
    <w:p w14:paraId="3B9A0F8E">
      <w:pPr>
        <w:ind w:firstLine="420"/>
        <w:rPr>
          <w:szCs w:val="21"/>
        </w:rPr>
      </w:pPr>
      <w:r>
        <w:rPr>
          <w:rFonts w:hint="eastAsia"/>
          <w:szCs w:val="21"/>
        </w:rPr>
        <w:t>此问题会导致材料堆放混乱、吊装交叉作业，增加碰撞与坠落风险，设计需在总图中明确堆场、吊装区与缓冲区，并符合HSE lifting operations guidance。</w:t>
      </w:r>
    </w:p>
    <w:p w14:paraId="205393D4">
      <w:pPr>
        <w:rPr>
          <w:szCs w:val="21"/>
        </w:rPr>
      </w:pPr>
      <w:r>
        <w:rPr>
          <w:rFonts w:hint="eastAsia"/>
          <w:szCs w:val="21"/>
        </w:rPr>
        <w:t>黄</w:t>
      </w:r>
      <w:r>
        <w:rPr>
          <w:rFonts w:cs="Cambria Math"/>
          <w:szCs w:val="21"/>
        </w:rPr>
        <w:t>‑</w:t>
      </w:r>
      <w:r>
        <w:rPr>
          <w:szCs w:val="21"/>
        </w:rPr>
        <w:t>19</w:t>
      </w:r>
      <w:r>
        <w:rPr>
          <w:rFonts w:hint="eastAsia"/>
          <w:szCs w:val="21"/>
        </w:rPr>
        <w:t xml:space="preserve"> 使用机械提升装置无法处理的重型构件</w:t>
      </w:r>
    </w:p>
    <w:p w14:paraId="415AEC4E">
      <w:pPr>
        <w:ind w:firstLine="420"/>
        <w:rPr>
          <w:szCs w:val="21"/>
        </w:rPr>
      </w:pPr>
      <w:r>
        <w:rPr>
          <w:rFonts w:hint="eastAsia"/>
          <w:szCs w:val="21"/>
        </w:rPr>
        <w:t>此条要求在设计阶段控制构件重量或优化吊装路径，符合ISO 11228与HSE lifting operations，避免因通道限制或地基承载不足导致手工搬运或吊装事故。</w:t>
      </w:r>
    </w:p>
    <w:p w14:paraId="58284054">
      <w:pPr>
        <w:rPr>
          <w:szCs w:val="21"/>
        </w:rPr>
      </w:pPr>
      <w:r>
        <w:rPr>
          <w:rFonts w:hint="eastAsia"/>
          <w:szCs w:val="21"/>
        </w:rPr>
        <w:t>黄</w:t>
      </w:r>
      <w:r>
        <w:rPr>
          <w:rFonts w:cs="Cambria Math"/>
          <w:szCs w:val="21"/>
        </w:rPr>
        <w:t>‑</w:t>
      </w:r>
      <w:r>
        <w:rPr>
          <w:szCs w:val="21"/>
        </w:rPr>
        <w:t>20</w:t>
      </w:r>
      <w:r>
        <w:rPr>
          <w:rFonts w:hint="eastAsia"/>
          <w:szCs w:val="21"/>
        </w:rPr>
        <w:t xml:space="preserve"> 现场焊接（尤其新结构）</w:t>
      </w:r>
    </w:p>
    <w:p w14:paraId="1B38C81C">
      <w:pPr>
        <w:ind w:firstLine="420"/>
        <w:rPr>
          <w:szCs w:val="21"/>
        </w:rPr>
      </w:pPr>
      <w:r>
        <w:rPr>
          <w:rFonts w:hint="eastAsia"/>
          <w:szCs w:val="21"/>
        </w:rPr>
        <w:t>此类工序增加火灾、烟雾与高处坠落风险，需优先采用工厂预制与螺栓连接，并在确需焊接时符合NFPA 51B（动火作业）与HSE hot work permit要求。</w:t>
      </w:r>
    </w:p>
    <w:p w14:paraId="6C619BBB">
      <w:pPr>
        <w:rPr>
          <w:szCs w:val="21"/>
        </w:rPr>
      </w:pPr>
      <w:r>
        <w:rPr>
          <w:rFonts w:hint="eastAsia"/>
          <w:szCs w:val="21"/>
        </w:rPr>
        <w:t>黄</w:t>
      </w:r>
      <w:r>
        <w:rPr>
          <w:rFonts w:cs="Cambria Math"/>
          <w:szCs w:val="21"/>
        </w:rPr>
        <w:t>‑</w:t>
      </w:r>
      <w:r>
        <w:rPr>
          <w:szCs w:val="21"/>
        </w:rPr>
        <w:t>21</w:t>
      </w:r>
      <w:r>
        <w:rPr>
          <w:rFonts w:hint="eastAsia"/>
          <w:szCs w:val="21"/>
        </w:rPr>
        <w:t xml:space="preserve"> 在“实时”铁路或架空电力线附近使用大型打桩钻机</w:t>
      </w:r>
      <w:r>
        <w:rPr>
          <w:szCs w:val="21"/>
        </w:rPr>
        <w:t>/</w:t>
      </w:r>
      <w:r>
        <w:rPr>
          <w:rFonts w:hint="eastAsia"/>
          <w:szCs w:val="21"/>
        </w:rPr>
        <w:t>起重机</w:t>
      </w:r>
    </w:p>
    <w:p w14:paraId="77A052A9">
      <w:pPr>
        <w:rPr>
          <w:bCs/>
        </w:rPr>
      </w:pPr>
      <w:r>
        <w:rPr>
          <w:rFonts w:hint="eastAsia"/>
          <w:szCs w:val="21"/>
        </w:rPr>
        <w:t>此类作业存在触电、碰撞与倾覆风险，应在设计阶段通过工艺替代、隔离距离与防护屏障降低风险，并符合OSHA 1926 Subpart CC（起重机靠近电力线）与HSE lifting near overhead lines guidance。</w:t>
      </w:r>
    </w:p>
    <w:p w14:paraId="5C9015CE">
      <w:pPr>
        <w:rPr>
          <w:rFonts w:cs="Times New Roman (正文 CS 字体)"/>
          <w:szCs w:val="21"/>
        </w:rPr>
      </w:pPr>
      <w:r>
        <w:rPr>
          <w:b/>
        </w:rPr>
        <w:t>A.0.4</w:t>
      </w:r>
      <w:r>
        <w:rPr>
          <w:rFonts w:hint="eastAsia"/>
        </w:rPr>
        <w:t>绿色清单应包括</w:t>
      </w:r>
      <w:r>
        <w:rPr>
          <w:rFonts w:hint="eastAsia" w:cs="Times New Roman (正文 CS 字体)"/>
          <w:szCs w:val="21"/>
        </w:rPr>
        <w:t>积极在</w:t>
      </w:r>
      <w:bookmarkStart w:id="71" w:name="OLE_LINK3"/>
      <w:bookmarkStart w:id="72" w:name="OLE_LINK4"/>
      <w:r>
        <w:rPr>
          <w:rFonts w:hint="eastAsia" w:cs="Times New Roman (正文 CS 字体)"/>
          <w:szCs w:val="21"/>
        </w:rPr>
        <w:t>设计中鼓励</w:t>
      </w:r>
      <w:bookmarkEnd w:id="71"/>
      <w:bookmarkEnd w:id="72"/>
      <w:r>
        <w:rPr>
          <w:rFonts w:hint="eastAsia" w:cs="Times New Roman (正文 CS 字体)"/>
          <w:szCs w:val="21"/>
        </w:rPr>
        <w:t>采用的产品，流程和程序。绿色清单具体内容</w:t>
      </w:r>
      <w:r>
        <w:rPr>
          <w:rFonts w:hint="eastAsia"/>
        </w:rPr>
        <w:t>应符合表A.0.4的规定。</w:t>
      </w:r>
    </w:p>
    <w:p w14:paraId="1EA155C8">
      <w:pPr>
        <w:jc w:val="center"/>
        <w:rPr>
          <w:rFonts w:cs="Times New Roman (正文 CS 字体)"/>
        </w:rPr>
      </w:pPr>
      <w:r>
        <w:rPr>
          <w:rFonts w:hint="eastAsia" w:cs="Times New Roman (正文 CS 字体)"/>
        </w:rPr>
        <w:t>表</w:t>
      </w:r>
      <w:r>
        <w:rPr>
          <w:rFonts w:cs="Times New Roman (正文 CS 字体)"/>
        </w:rPr>
        <w:t>A.0.4</w:t>
      </w:r>
      <w:r>
        <w:rPr>
          <w:rFonts w:hint="eastAsia" w:cs="Times New Roman (正文 CS 字体)"/>
        </w:rPr>
        <w:t>安全设计红绿蓝辅助清单</w:t>
      </w:r>
    </w:p>
    <w:tbl>
      <w:tblPr>
        <w:tblStyle w:val="30"/>
        <w:tblW w:w="5000" w:type="pct"/>
        <w:jc w:val="center"/>
        <w:tblLayout w:type="autofit"/>
        <w:tblCellMar>
          <w:top w:w="0" w:type="dxa"/>
          <w:left w:w="0" w:type="dxa"/>
          <w:bottom w:w="0" w:type="dxa"/>
          <w:right w:w="0" w:type="dxa"/>
        </w:tblCellMar>
      </w:tblPr>
      <w:tblGrid>
        <w:gridCol w:w="260"/>
        <w:gridCol w:w="9104"/>
      </w:tblGrid>
      <w:tr w14:paraId="647E2C64">
        <w:tblPrEx>
          <w:tblCellMar>
            <w:top w:w="0" w:type="dxa"/>
            <w:left w:w="0" w:type="dxa"/>
            <w:bottom w:w="0" w:type="dxa"/>
            <w:right w:w="0" w:type="dxa"/>
          </w:tblCellMar>
        </w:tblPrEx>
        <w:trPr>
          <w:trHeight w:val="288" w:hRule="atLeast"/>
          <w:jc w:val="center"/>
        </w:trPr>
        <w:tc>
          <w:tcPr>
            <w:tcW w:w="5000" w:type="pct"/>
            <w:gridSpan w:val="2"/>
            <w:tcBorders>
              <w:top w:val="single" w:color="939598" w:sz="4" w:space="0"/>
              <w:left w:val="single" w:color="939598" w:sz="4" w:space="0"/>
              <w:bottom w:val="single" w:color="939598" w:sz="4" w:space="0"/>
              <w:right w:val="single" w:color="939598" w:sz="4" w:space="0"/>
            </w:tcBorders>
            <w:shd w:val="clear" w:color="auto" w:fill="D1D3D4"/>
            <w:vAlign w:val="center"/>
          </w:tcPr>
          <w:p w14:paraId="2E649A3F">
            <w:pPr>
              <w:spacing w:before="29"/>
              <w:ind w:left="75" w:right="-20"/>
              <w:jc w:val="center"/>
              <w:rPr>
                <w:rFonts w:cs="Times New Roman (正文 CS 字体)"/>
                <w:b/>
                <w:szCs w:val="21"/>
              </w:rPr>
            </w:pPr>
            <w:r>
              <w:rPr>
                <w:rFonts w:hint="eastAsia" w:cs="Times New Roman (正文 CS 字体)"/>
                <w:b/>
                <w:color w:val="385623"/>
                <w:szCs w:val="21"/>
              </w:rPr>
              <w:t>绿色清单</w:t>
            </w:r>
          </w:p>
        </w:tc>
      </w:tr>
      <w:tr w14:paraId="62676F07">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00A650"/>
            <w:vAlign w:val="center"/>
          </w:tcPr>
          <w:p w14:paraId="5779D96F">
            <w:pPr>
              <w:spacing w:before="29"/>
              <w:ind w:left="75" w:right="-20"/>
              <w:jc w:val="left"/>
              <w:rPr>
                <w:rFonts w:cs="Times New Roman (正文 CS 字体)"/>
                <w:szCs w:val="21"/>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789760BF">
            <w:pPr>
              <w:jc w:val="left"/>
              <w:rPr>
                <w:rFonts w:cs="Times New Roman (正文 CS 字体)"/>
                <w:szCs w:val="21"/>
              </w:rPr>
            </w:pPr>
            <w:r>
              <w:rPr>
                <w:rFonts w:hint="eastAsia" w:cs="Times New Roman (正文 CS 字体)"/>
                <w:szCs w:val="21"/>
              </w:rPr>
              <w:t>● 01 足够的施工车辆通道，以最大限度地减少倒车需求（单向系统）；</w:t>
            </w:r>
          </w:p>
        </w:tc>
      </w:tr>
      <w:tr w14:paraId="5F014885">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00A650"/>
            <w:vAlign w:val="center"/>
          </w:tcPr>
          <w:p w14:paraId="351B5242">
            <w:pPr>
              <w:spacing w:before="29"/>
              <w:ind w:left="75" w:right="-20"/>
              <w:jc w:val="left"/>
              <w:rPr>
                <w:rFonts w:cs="Times New Roman (正文 CS 字体)"/>
                <w:szCs w:val="21"/>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742F8B56">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02 为工厂房间提供足够的通道和净高空间，并且足以更换重型部件;</w:t>
            </w:r>
          </w:p>
        </w:tc>
      </w:tr>
      <w:tr w14:paraId="3B353B90">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00A650"/>
            <w:vAlign w:val="center"/>
          </w:tcPr>
          <w:p w14:paraId="4F47EDE8">
            <w:pPr>
              <w:spacing w:before="29"/>
              <w:ind w:left="75" w:right="-20"/>
              <w:jc w:val="left"/>
              <w:rPr>
                <w:rFonts w:cs="Times New Roman (正文 CS 字体)"/>
                <w:szCs w:val="21"/>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157EC416">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03 机械/电气设备，灯具，安全装置等有考虑周到位置以方便进出且远离拥挤的地区;</w:t>
            </w:r>
          </w:p>
        </w:tc>
      </w:tr>
      <w:tr w14:paraId="7E86D2D7">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00A650"/>
            <w:vAlign w:val="center"/>
          </w:tcPr>
          <w:p w14:paraId="043AC64D">
            <w:pPr>
              <w:spacing w:before="29"/>
              <w:ind w:left="75" w:right="-20"/>
              <w:jc w:val="left"/>
              <w:rPr>
                <w:rFonts w:cs="Times New Roman (正文 CS 字体)"/>
                <w:szCs w:val="21"/>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5DD63A48">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04 具有预制固定件的混凝土产品规格，以避免钻孔;</w:t>
            </w:r>
          </w:p>
        </w:tc>
      </w:tr>
      <w:tr w14:paraId="77F27F83">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00A650"/>
            <w:vAlign w:val="center"/>
          </w:tcPr>
          <w:p w14:paraId="15537785">
            <w:pPr>
              <w:spacing w:before="29"/>
              <w:ind w:left="75" w:right="-20"/>
              <w:jc w:val="left"/>
              <w:rPr>
                <w:rFonts w:cs="Times New Roman (正文 CS 字体)"/>
                <w:szCs w:val="21"/>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3E1CF512">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05 尽早安装永久性通道和使用预制手扶梯；</w:t>
            </w:r>
          </w:p>
        </w:tc>
      </w:tr>
      <w:tr w14:paraId="5D2DB0DA">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00A650"/>
            <w:vAlign w:val="center"/>
          </w:tcPr>
          <w:p w14:paraId="2D12CBD6">
            <w:pPr>
              <w:spacing w:before="29"/>
              <w:ind w:left="75" w:right="-20"/>
              <w:jc w:val="left"/>
              <w:rPr>
                <w:rFonts w:cs="Times New Roman (正文 CS 字体)"/>
                <w:szCs w:val="21"/>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4522A556">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06 在竣工移交后，在可预见风险的永久性工程中提供边缘保护以预防坠落;</w:t>
            </w:r>
          </w:p>
        </w:tc>
      </w:tr>
      <w:tr w14:paraId="4968A183">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00A650"/>
            <w:vAlign w:val="center"/>
          </w:tcPr>
          <w:p w14:paraId="3CE68884">
            <w:pPr>
              <w:spacing w:before="29"/>
              <w:ind w:left="75" w:right="-20"/>
              <w:jc w:val="left"/>
              <w:rPr>
                <w:rFonts w:cs="Times New Roman (正文 CS 字体)"/>
                <w:szCs w:val="21"/>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73100A50">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07  实用且安全的窗户清洁方法（例如从内部）;</w:t>
            </w:r>
          </w:p>
        </w:tc>
      </w:tr>
      <w:tr w14:paraId="47E947E7">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00A650"/>
            <w:vAlign w:val="center"/>
          </w:tcPr>
          <w:p w14:paraId="4E090192">
            <w:pPr>
              <w:spacing w:before="29"/>
              <w:ind w:left="75" w:right="-20"/>
              <w:jc w:val="left"/>
              <w:rPr>
                <w:rFonts w:cs="Times New Roman (正文 CS 字体)"/>
                <w:szCs w:val="21"/>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4A8E15DB">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08 场外制造和预制构件，以尽量减少现场危害;</w:t>
            </w:r>
          </w:p>
        </w:tc>
      </w:tr>
      <w:tr w14:paraId="7B9A9D6C">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00A650"/>
            <w:vAlign w:val="center"/>
          </w:tcPr>
          <w:p w14:paraId="5B783E7C">
            <w:pPr>
              <w:spacing w:before="29"/>
              <w:ind w:left="75" w:right="-20"/>
              <w:jc w:val="left"/>
              <w:rPr>
                <w:rFonts w:cs="Times New Roman (正文 CS 字体)"/>
                <w:szCs w:val="21"/>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2F020585">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09 鼓励使用工程控制措施，以尽量减少个人防护用品的使用；</w:t>
            </w:r>
          </w:p>
        </w:tc>
      </w:tr>
      <w:tr w14:paraId="5FD234E2">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00A650"/>
            <w:vAlign w:val="center"/>
          </w:tcPr>
          <w:p w14:paraId="75963DD4">
            <w:pPr>
              <w:spacing w:before="29"/>
              <w:ind w:left="75" w:right="-20"/>
              <w:jc w:val="left"/>
              <w:rPr>
                <w:rFonts w:cs="Times New Roman (正文 CS 字体)"/>
                <w:szCs w:val="21"/>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1FCEE920">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10 使用高耐久性和低维护材料，无需重新涂层或处理;</w:t>
            </w:r>
          </w:p>
        </w:tc>
      </w:tr>
      <w:tr w14:paraId="3DB06D87">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00A650"/>
            <w:vAlign w:val="center"/>
          </w:tcPr>
          <w:p w14:paraId="1E43AE27">
            <w:pPr>
              <w:spacing w:before="29"/>
              <w:ind w:left="75" w:right="-20"/>
              <w:jc w:val="left"/>
              <w:rPr>
                <w:rFonts w:cs="Times New Roman (正文 CS 字体)"/>
                <w:szCs w:val="21"/>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257CBECC">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11设计建筑结构的可以在地面或安全地从结构上进行维护，例如，将空调机组和升降机定位在地面并设计向内开启的窗户等；</w:t>
            </w:r>
          </w:p>
        </w:tc>
      </w:tr>
      <w:tr w14:paraId="7057D161">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00A650"/>
            <w:vAlign w:val="center"/>
          </w:tcPr>
          <w:p w14:paraId="3466B095">
            <w:pPr>
              <w:spacing w:before="29"/>
              <w:ind w:left="75" w:right="-20"/>
              <w:jc w:val="left"/>
              <w:rPr>
                <w:rFonts w:cs="Times New Roman (正文 CS 字体)"/>
                <w:szCs w:val="21"/>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6291041E">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12在连接过程中，使用连续支撑梁进行梁柱双连接，增加梁座、额外螺栓孔或其他冗余连接点。这将在安装过程中为梁提供持续支撑以消除由于意外振动，没有对齐和意外施工负荷引起的跌落;</w:t>
            </w:r>
          </w:p>
        </w:tc>
      </w:tr>
      <w:tr w14:paraId="081A4FF1">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00A650"/>
            <w:vAlign w:val="center"/>
          </w:tcPr>
          <w:p w14:paraId="74087850">
            <w:pPr>
              <w:spacing w:before="29"/>
              <w:ind w:left="75" w:right="-20"/>
              <w:jc w:val="left"/>
              <w:rPr>
                <w:rFonts w:cs="Times New Roman (正文 CS 字体)"/>
                <w:szCs w:val="21"/>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03FC7B7E">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13减少屋顶桁架和板条之间的空间，以减少屋顶施工期间内部跌落的风险；</w:t>
            </w:r>
          </w:p>
        </w:tc>
      </w:tr>
      <w:tr w14:paraId="4743708E">
        <w:tblPrEx>
          <w:tblCellMar>
            <w:top w:w="0" w:type="dxa"/>
            <w:left w:w="0" w:type="dxa"/>
            <w:bottom w:w="0" w:type="dxa"/>
            <w:right w:w="0" w:type="dxa"/>
          </w:tblCellMar>
        </w:tblPrEx>
        <w:trPr>
          <w:trHeight w:val="288" w:hRule="atLeast"/>
          <w:jc w:val="center"/>
        </w:trPr>
        <w:tc>
          <w:tcPr>
            <w:tcW w:w="139" w:type="pct"/>
            <w:tcBorders>
              <w:top w:val="single" w:color="939598" w:sz="4" w:space="0"/>
              <w:left w:val="single" w:color="939598" w:sz="4" w:space="0"/>
              <w:bottom w:val="single" w:color="939598" w:sz="4" w:space="0"/>
              <w:right w:val="single" w:color="939598" w:sz="4" w:space="0"/>
            </w:tcBorders>
            <w:shd w:val="clear" w:color="auto" w:fill="00A650"/>
            <w:vAlign w:val="center"/>
          </w:tcPr>
          <w:p w14:paraId="747988BE">
            <w:pPr>
              <w:spacing w:before="29"/>
              <w:ind w:left="75" w:right="-20"/>
              <w:jc w:val="left"/>
              <w:rPr>
                <w:rFonts w:cs="Times New Roman (正文 CS 字体)"/>
                <w:szCs w:val="21"/>
              </w:rPr>
            </w:pPr>
          </w:p>
        </w:tc>
        <w:tc>
          <w:tcPr>
            <w:tcW w:w="4861" w:type="pct"/>
            <w:tcBorders>
              <w:top w:val="single" w:color="939598" w:sz="4" w:space="0"/>
              <w:left w:val="single" w:color="939598" w:sz="4" w:space="0"/>
              <w:bottom w:val="single" w:color="939598" w:sz="4" w:space="0"/>
              <w:right w:val="single" w:color="939598" w:sz="4" w:space="0"/>
            </w:tcBorders>
            <w:vAlign w:val="center"/>
          </w:tcPr>
          <w:p w14:paraId="757FEA10">
            <w:pPr>
              <w:pStyle w:val="82"/>
              <w:numPr>
                <w:ilvl w:val="0"/>
                <w:numId w:val="15"/>
              </w:numPr>
              <w:jc w:val="left"/>
              <w:rPr>
                <w:rFonts w:ascii="Times New Roman" w:hAnsi="Times New Roman" w:cs="Times New Roman (正文 CS 字体)"/>
                <w:szCs w:val="21"/>
              </w:rPr>
            </w:pPr>
            <w:r>
              <w:rPr>
                <w:rFonts w:hint="eastAsia" w:ascii="Times New Roman" w:hAnsi="Times New Roman" w:cs="Times New Roman (正文 CS 字体)"/>
                <w:szCs w:val="21"/>
              </w:rPr>
              <w:t>14 将重型运输通道与较轻的车辆通道分开，并将行人与车辆分开。</w:t>
            </w:r>
          </w:p>
        </w:tc>
      </w:tr>
    </w:tbl>
    <w:p w14:paraId="0141E476">
      <w:pPr>
        <w:tabs>
          <w:tab w:val="left" w:pos="851"/>
        </w:tabs>
        <w:jc w:val="left"/>
        <w:rPr>
          <w:szCs w:val="21"/>
        </w:rPr>
      </w:pPr>
      <w:r>
        <w:rPr>
          <w:rFonts w:hint="eastAsia"/>
          <w:color w:val="000000" w:themeColor="text1"/>
          <w14:textFill>
            <w14:solidFill>
              <w14:schemeClr w14:val="tx1"/>
            </w14:solidFill>
          </w14:textFill>
        </w:rPr>
        <w:t>【条文说明】</w:t>
      </w:r>
      <w:r>
        <w:rPr>
          <w:rFonts w:hint="eastAsia"/>
          <w:szCs w:val="21"/>
        </w:rPr>
        <w:t>本条将绿色清单作为提升本质安全与可维护性的优先做法（标准化/工厂化、便捷检修、人机工程优化、人车分流等），需固化进企业通用构造做法和投标/交付考核；国外实践中，Safe Work Australia将“可施工、可使用、可维护、可拆除”的一体化设计写入守则，而英国HSE HSG168（2022 第三版）进一步强调在前施工阶段通过设计消除或显著降低火灾与施工风险</w:t>
      </w:r>
      <w:r>
        <w:rPr>
          <w:rFonts w:hint="eastAsia"/>
          <w:szCs w:val="21"/>
          <w:vertAlign w:val="superscript"/>
        </w:rPr>
        <w:t>[2][4]</w:t>
      </w:r>
      <w:r>
        <w:rPr>
          <w:rFonts w:hint="eastAsia"/>
          <w:szCs w:val="21"/>
        </w:rPr>
        <w:t>。</w:t>
      </w:r>
    </w:p>
    <w:p w14:paraId="57E6336B">
      <w:pPr>
        <w:rPr>
          <w:szCs w:val="21"/>
        </w:rPr>
      </w:pPr>
      <w:r>
        <w:rPr>
          <w:rFonts w:hint="eastAsia"/>
          <w:szCs w:val="21"/>
        </w:rPr>
        <w:t xml:space="preserve"> 绿色清单逐条条文说明（需积极推广采用）</w:t>
      </w:r>
    </w:p>
    <w:p w14:paraId="354F84B0">
      <w:pPr>
        <w:rPr>
          <w:szCs w:val="21"/>
        </w:rPr>
      </w:pPr>
      <w:r>
        <w:rPr>
          <w:rFonts w:hint="eastAsia"/>
          <w:szCs w:val="21"/>
        </w:rPr>
        <w:t>绿</w:t>
      </w:r>
      <w:r>
        <w:rPr>
          <w:rFonts w:cs="Cambria Math"/>
          <w:szCs w:val="21"/>
        </w:rPr>
        <w:t>‑</w:t>
      </w:r>
      <w:r>
        <w:rPr>
          <w:szCs w:val="21"/>
        </w:rPr>
        <w:t>01</w:t>
      </w:r>
      <w:r>
        <w:rPr>
          <w:rFonts w:hint="eastAsia"/>
          <w:szCs w:val="21"/>
        </w:rPr>
        <w:t xml:space="preserve"> 足够的施工车辆通道，最大限度减少倒车（单向系统）</w:t>
      </w:r>
    </w:p>
    <w:p w14:paraId="46A219B2">
      <w:pPr>
        <w:ind w:firstLine="420"/>
        <w:rPr>
          <w:szCs w:val="21"/>
        </w:rPr>
      </w:pPr>
      <w:r>
        <w:rPr>
          <w:rFonts w:hint="eastAsia"/>
          <w:szCs w:val="21"/>
        </w:rPr>
        <w:t>在总图与场内交通组织阶段优先布置单向流线、穿行式装卸位和清晰的路权标识，并以护栏、人行道、视距与警示系统实现人车物理隔离，从源头减少倒车和交叉会车情形、降低“倒车盲区”事故；这与英国</w:t>
      </w:r>
      <w:r>
        <w:rPr>
          <w:szCs w:val="21"/>
        </w:rPr>
        <w:t xml:space="preserve"> HSE </w:t>
      </w:r>
      <w:r>
        <w:rPr>
          <w:rFonts w:hint="eastAsia"/>
          <w:szCs w:val="21"/>
        </w:rPr>
        <w:t>对通过一行制（</w:t>
      </w:r>
      <w:r>
        <w:rPr>
          <w:szCs w:val="21"/>
        </w:rPr>
        <w:t>one</w:t>
      </w:r>
      <w:r>
        <w:rPr>
          <w:rFonts w:cs="Cambria Math"/>
          <w:szCs w:val="21"/>
        </w:rPr>
        <w:t>‑</w:t>
      </w:r>
      <w:r>
        <w:rPr>
          <w:szCs w:val="21"/>
        </w:rPr>
        <w:t>way systems</w:t>
      </w:r>
      <w:r>
        <w:rPr>
          <w:rFonts w:hint="eastAsia"/>
          <w:szCs w:val="21"/>
        </w:rPr>
        <w:t>）尽量消除倒车与人车分离的原则一致</w:t>
      </w:r>
      <w:r>
        <w:rPr>
          <w:szCs w:val="21"/>
          <w:vertAlign w:val="superscript"/>
        </w:rPr>
        <w:t>[1][2]</w:t>
      </w:r>
      <w:r>
        <w:rPr>
          <w:rFonts w:hint="eastAsia"/>
          <w:szCs w:val="21"/>
        </w:rPr>
        <w:t>。</w:t>
      </w:r>
    </w:p>
    <w:p w14:paraId="53C09FA0">
      <w:pPr>
        <w:rPr>
          <w:szCs w:val="21"/>
        </w:rPr>
      </w:pPr>
      <w:r>
        <w:rPr>
          <w:rFonts w:hint="eastAsia"/>
          <w:szCs w:val="21"/>
        </w:rPr>
        <w:t>绿</w:t>
      </w:r>
      <w:r>
        <w:rPr>
          <w:rFonts w:cs="Cambria Math"/>
          <w:szCs w:val="21"/>
        </w:rPr>
        <w:t>‑</w:t>
      </w:r>
      <w:r>
        <w:rPr>
          <w:szCs w:val="21"/>
        </w:rPr>
        <w:t>02</w:t>
      </w:r>
      <w:r>
        <w:rPr>
          <w:rFonts w:hint="eastAsia"/>
          <w:szCs w:val="21"/>
        </w:rPr>
        <w:t xml:space="preserve"> 为机房</w:t>
      </w:r>
      <w:r>
        <w:rPr>
          <w:szCs w:val="21"/>
        </w:rPr>
        <w:t>/</w:t>
      </w:r>
      <w:r>
        <w:rPr>
          <w:rFonts w:hint="eastAsia"/>
          <w:szCs w:val="21"/>
        </w:rPr>
        <w:t>厂房提供足够通道与净高，满足重部件更换</w:t>
      </w:r>
    </w:p>
    <w:p w14:paraId="1FB88E6D">
      <w:pPr>
        <w:ind w:firstLine="420"/>
        <w:rPr>
          <w:szCs w:val="21"/>
        </w:rPr>
      </w:pPr>
      <w:r>
        <w:rPr>
          <w:rFonts w:hint="eastAsia"/>
          <w:szCs w:val="21"/>
        </w:rPr>
        <w:t>机房与设备间在方案阶段即按可维护性配置门宽、净高、转运通道与更换回转空间，并为电气盘等设置可达的安全作业面；当设备布置在夹层或屋顶时，需提供固定楼梯/永久通道直达工作区，符合 OSHA 29 CFR 1910.303 对电气设备周边工作空间与安全通行的要求以及 Safe Work Australia《安全设计（设备/装置）》对维护可达性的设计义务</w:t>
      </w:r>
      <w:r>
        <w:rPr>
          <w:rFonts w:hint="eastAsia"/>
          <w:szCs w:val="21"/>
          <w:vertAlign w:val="superscript"/>
        </w:rPr>
        <w:t>[3][4]</w:t>
      </w:r>
      <w:r>
        <w:rPr>
          <w:rFonts w:hint="eastAsia"/>
          <w:szCs w:val="21"/>
        </w:rPr>
        <w:t>。</w:t>
      </w:r>
    </w:p>
    <w:p w14:paraId="063CA226">
      <w:pPr>
        <w:rPr>
          <w:szCs w:val="21"/>
        </w:rPr>
      </w:pPr>
      <w:r>
        <w:rPr>
          <w:rFonts w:hint="eastAsia"/>
          <w:szCs w:val="21"/>
        </w:rPr>
        <w:t>绿</w:t>
      </w:r>
      <w:r>
        <w:rPr>
          <w:rFonts w:cs="Cambria Math"/>
          <w:szCs w:val="21"/>
        </w:rPr>
        <w:t>‑</w:t>
      </w:r>
      <w:r>
        <w:rPr>
          <w:szCs w:val="21"/>
        </w:rPr>
        <w:t>03</w:t>
      </w:r>
      <w:r>
        <w:rPr>
          <w:rFonts w:hint="eastAsia"/>
          <w:szCs w:val="21"/>
        </w:rPr>
        <w:t xml:space="preserve"> 机电设备、灯具与安全装置位置便于进出且避开拥挤区</w:t>
      </w:r>
    </w:p>
    <w:p w14:paraId="5F254845">
      <w:pPr>
        <w:ind w:firstLine="420"/>
        <w:rPr>
          <w:szCs w:val="21"/>
        </w:rPr>
      </w:pPr>
      <w:r>
        <w:rPr>
          <w:rFonts w:hint="eastAsia"/>
          <w:szCs w:val="21"/>
        </w:rPr>
        <w:t>在专业合模与BIM阶段优先将维护频次高的设备置于非拥挤、易接近区域，避免“仅能以梯接近”的不安全情景，并明确隔离/挂牌（LOTO）位置与维护边界，以强化全寿命期的运维安全，这与 Safe Work Australia《结构安全设计守则》“生命周期+信息传递”的核心要点及 HSE（COMAH）Plant Design 对本质安全与可维护布局的原则一致</w:t>
      </w:r>
      <w:r>
        <w:rPr>
          <w:rFonts w:hint="eastAsia"/>
          <w:szCs w:val="21"/>
          <w:vertAlign w:val="superscript"/>
        </w:rPr>
        <w:t>[5][6]</w:t>
      </w:r>
      <w:r>
        <w:rPr>
          <w:rFonts w:hint="eastAsia"/>
          <w:szCs w:val="21"/>
        </w:rPr>
        <w:t>。</w:t>
      </w:r>
    </w:p>
    <w:p w14:paraId="34526F4F">
      <w:pPr>
        <w:rPr>
          <w:szCs w:val="21"/>
        </w:rPr>
      </w:pPr>
      <w:r>
        <w:rPr>
          <w:rFonts w:hint="eastAsia"/>
          <w:szCs w:val="21"/>
        </w:rPr>
        <w:t>绿</w:t>
      </w:r>
      <w:r>
        <w:rPr>
          <w:rFonts w:cs="Cambria Math"/>
          <w:szCs w:val="21"/>
        </w:rPr>
        <w:t>‑</w:t>
      </w:r>
      <w:r>
        <w:rPr>
          <w:szCs w:val="21"/>
        </w:rPr>
        <w:t>04</w:t>
      </w:r>
      <w:r>
        <w:rPr>
          <w:rFonts w:hint="eastAsia"/>
          <w:szCs w:val="21"/>
        </w:rPr>
        <w:t xml:space="preserve"> 混凝土产品采用预制固定件以避免现场钻孔</w:t>
      </w:r>
    </w:p>
    <w:p w14:paraId="59850749">
      <w:pPr>
        <w:ind w:firstLine="420"/>
        <w:rPr>
          <w:szCs w:val="21"/>
        </w:rPr>
      </w:pPr>
      <w:r>
        <w:rPr>
          <w:rFonts w:hint="eastAsia"/>
          <w:szCs w:val="21"/>
        </w:rPr>
        <w:t>在构件工厂预埋锚固/吊装件，减少现场钻孔与切割，从源头降低可吸入结晶硅粉尘（RCS）与手持工具振动暴露，同时提升安装质量和效率；符合 OSHA 1926.1153 对RCS的控制路径与 HSE“Construction dust”对湿作/源头控制/局排的工程控制序列</w:t>
      </w:r>
      <w:r>
        <w:rPr>
          <w:rFonts w:hint="eastAsia"/>
          <w:szCs w:val="21"/>
          <w:vertAlign w:val="superscript"/>
        </w:rPr>
        <w:t>[7][8]</w:t>
      </w:r>
      <w:r>
        <w:rPr>
          <w:rFonts w:hint="eastAsia"/>
          <w:szCs w:val="21"/>
        </w:rPr>
        <w:t>。</w:t>
      </w:r>
    </w:p>
    <w:p w14:paraId="5F755056">
      <w:pPr>
        <w:rPr>
          <w:szCs w:val="21"/>
        </w:rPr>
      </w:pPr>
      <w:r>
        <w:rPr>
          <w:rFonts w:hint="eastAsia"/>
          <w:szCs w:val="21"/>
        </w:rPr>
        <w:t>绿</w:t>
      </w:r>
      <w:r>
        <w:rPr>
          <w:rFonts w:cs="Cambria Math"/>
          <w:szCs w:val="21"/>
        </w:rPr>
        <w:t>‑</w:t>
      </w:r>
      <w:r>
        <w:rPr>
          <w:szCs w:val="21"/>
        </w:rPr>
        <w:t>0</w:t>
      </w:r>
      <w:r>
        <w:rPr>
          <w:rFonts w:hint="eastAsia"/>
          <w:szCs w:val="21"/>
        </w:rPr>
        <w:t>5 尽早安装永久性通道</w:t>
      </w:r>
      <w:r>
        <w:rPr>
          <w:szCs w:val="21"/>
        </w:rPr>
        <w:t>/</w:t>
      </w:r>
      <w:r>
        <w:rPr>
          <w:rFonts w:hint="eastAsia"/>
          <w:szCs w:val="21"/>
        </w:rPr>
        <w:t>优先使用预制梯塔或手扶梯模块</w:t>
      </w:r>
    </w:p>
    <w:p w14:paraId="3297E4C2">
      <w:pPr>
        <w:ind w:firstLine="420"/>
        <w:rPr>
          <w:szCs w:val="21"/>
        </w:rPr>
      </w:pPr>
      <w:r>
        <w:rPr>
          <w:rFonts w:hint="eastAsia"/>
          <w:szCs w:val="21"/>
        </w:rPr>
        <w:t>在施工早期形成可用的永久楼梯或预制梯塔，以确保受控疏散与高处通行、降低对临时攀登设施依赖，呼应 HSENI 内部坠落防护关于“可在施工中提前使用永久楼梯”的建议及 NFPA 241 对施工阶段安全疏散通道的最低要求</w:t>
      </w:r>
      <w:r>
        <w:rPr>
          <w:rFonts w:hint="eastAsia"/>
          <w:szCs w:val="21"/>
          <w:vertAlign w:val="superscript"/>
        </w:rPr>
        <w:t>[11][12]</w:t>
      </w:r>
      <w:r>
        <w:rPr>
          <w:rFonts w:hint="eastAsia"/>
          <w:szCs w:val="21"/>
        </w:rPr>
        <w:t>。</w:t>
      </w:r>
    </w:p>
    <w:p w14:paraId="082FC770">
      <w:pPr>
        <w:rPr>
          <w:szCs w:val="21"/>
        </w:rPr>
      </w:pPr>
      <w:r>
        <w:rPr>
          <w:rFonts w:hint="eastAsia"/>
          <w:szCs w:val="21"/>
        </w:rPr>
        <w:t>绿</w:t>
      </w:r>
      <w:r>
        <w:rPr>
          <w:rFonts w:cs="Cambria Math"/>
          <w:szCs w:val="21"/>
        </w:rPr>
        <w:t>‑</w:t>
      </w:r>
      <w:r>
        <w:rPr>
          <w:szCs w:val="21"/>
        </w:rPr>
        <w:t>0</w:t>
      </w:r>
      <w:r>
        <w:rPr>
          <w:rFonts w:hint="eastAsia"/>
          <w:szCs w:val="21"/>
        </w:rPr>
        <w:t>6 竣工移交后在可预见风险处提供永久边缘保护</w:t>
      </w:r>
    </w:p>
    <w:p w14:paraId="2C02C8D0">
      <w:pPr>
        <w:ind w:firstLine="420"/>
        <w:rPr>
          <w:szCs w:val="21"/>
        </w:rPr>
      </w:pPr>
      <w:r>
        <w:rPr>
          <w:rFonts w:hint="eastAsia"/>
          <w:szCs w:val="21"/>
        </w:rPr>
        <w:t>针对屋面、采光带、设备平台等临边与开口处，需配置符合EN 13374（按A/B/C级适用坡度与荷载）或同等性能的永久/可维护边缘防护，并在图纸中明确系统类型与检修要求，确保在日常运维与临时进入时持续有效</w:t>
      </w:r>
      <w:r>
        <w:rPr>
          <w:rFonts w:hint="eastAsia"/>
          <w:szCs w:val="21"/>
          <w:vertAlign w:val="superscript"/>
        </w:rPr>
        <w:t>[13]</w:t>
      </w:r>
      <w:r>
        <w:rPr>
          <w:rFonts w:hint="eastAsia"/>
          <w:szCs w:val="21"/>
        </w:rPr>
        <w:t>。</w:t>
      </w:r>
    </w:p>
    <w:p w14:paraId="01DEA517">
      <w:pPr>
        <w:rPr>
          <w:szCs w:val="21"/>
        </w:rPr>
      </w:pPr>
      <w:r>
        <w:rPr>
          <w:rFonts w:hint="eastAsia"/>
          <w:szCs w:val="21"/>
        </w:rPr>
        <w:t>绿</w:t>
      </w:r>
      <w:r>
        <w:rPr>
          <w:rFonts w:cs="Cambria Math"/>
          <w:szCs w:val="21"/>
        </w:rPr>
        <w:t>‑</w:t>
      </w:r>
      <w:r>
        <w:rPr>
          <w:szCs w:val="21"/>
        </w:rPr>
        <w:t>0</w:t>
      </w:r>
      <w:r>
        <w:rPr>
          <w:rFonts w:hint="eastAsia"/>
          <w:szCs w:val="21"/>
        </w:rPr>
        <w:t>7 实用且安全的窗户清洁方法（优先内部清洁</w:t>
      </w:r>
      <w:r>
        <w:rPr>
          <w:szCs w:val="21"/>
        </w:rPr>
        <w:t>/</w:t>
      </w:r>
      <w:r>
        <w:rPr>
          <w:rFonts w:hint="eastAsia"/>
          <w:szCs w:val="21"/>
        </w:rPr>
        <w:t>可翻转）</w:t>
      </w:r>
    </w:p>
    <w:p w14:paraId="55700872">
      <w:pPr>
        <w:ind w:firstLine="420"/>
        <w:rPr>
          <w:szCs w:val="21"/>
        </w:rPr>
      </w:pPr>
      <w:r>
        <w:rPr>
          <w:rFonts w:hint="eastAsia"/>
          <w:szCs w:val="21"/>
        </w:rPr>
        <w:t>外窗需通过内开、可翻转清洁五金或清洗轨道</w:t>
      </w:r>
      <w:r>
        <w:rPr>
          <w:szCs w:val="21"/>
        </w:rPr>
        <w:t>/</w:t>
      </w:r>
      <w:r>
        <w:rPr>
          <w:rFonts w:hint="eastAsia"/>
          <w:szCs w:val="21"/>
        </w:rPr>
        <w:t>吊篮锚点等方式，确保清洁与更换在受保护位置进行，符合英国</w:t>
      </w:r>
      <w:r>
        <w:rPr>
          <w:szCs w:val="21"/>
        </w:rPr>
        <w:t xml:space="preserve"> BS 8213</w:t>
      </w:r>
      <w:r>
        <w:rPr>
          <w:rFonts w:cs="Cambria Math"/>
          <w:szCs w:val="21"/>
        </w:rPr>
        <w:t>‑</w:t>
      </w:r>
      <w:r>
        <w:rPr>
          <w:szCs w:val="21"/>
        </w:rPr>
        <w:t xml:space="preserve">1 </w:t>
      </w:r>
      <w:r>
        <w:rPr>
          <w:rFonts w:hint="eastAsia"/>
          <w:szCs w:val="21"/>
        </w:rPr>
        <w:t>关于使用与清洁阶段的安全设计与可达性要求</w:t>
      </w:r>
      <w:r>
        <w:rPr>
          <w:szCs w:val="21"/>
          <w:vertAlign w:val="superscript"/>
        </w:rPr>
        <w:t>[14]</w:t>
      </w:r>
      <w:r>
        <w:rPr>
          <w:rFonts w:hint="eastAsia"/>
          <w:szCs w:val="21"/>
        </w:rPr>
        <w:t>。</w:t>
      </w:r>
    </w:p>
    <w:p w14:paraId="4600D3E2">
      <w:pPr>
        <w:rPr>
          <w:szCs w:val="21"/>
        </w:rPr>
      </w:pPr>
      <w:r>
        <w:rPr>
          <w:rFonts w:hint="eastAsia"/>
          <w:szCs w:val="21"/>
        </w:rPr>
        <w:t>绿</w:t>
      </w:r>
      <w:r>
        <w:rPr>
          <w:rFonts w:cs="Cambria Math"/>
          <w:szCs w:val="21"/>
        </w:rPr>
        <w:t>‑</w:t>
      </w:r>
      <w:r>
        <w:rPr>
          <w:szCs w:val="21"/>
        </w:rPr>
        <w:t>0</w:t>
      </w:r>
      <w:r>
        <w:rPr>
          <w:rFonts w:hint="eastAsia"/>
          <w:szCs w:val="21"/>
        </w:rPr>
        <w:t>8 场外制造与预制构件，尽量减少现场危害</w:t>
      </w:r>
    </w:p>
    <w:p w14:paraId="28CD671C">
      <w:pPr>
        <w:ind w:firstLine="420"/>
        <w:rPr>
          <w:szCs w:val="21"/>
        </w:rPr>
      </w:pPr>
      <w:r>
        <w:rPr>
          <w:rFonts w:hint="eastAsia"/>
          <w:szCs w:val="21"/>
        </w:rPr>
        <w:t>通过装配化/模块化与早期协作减少现场高处临时作业、动火、粉尘与交叉作业，提升质量与进度可控性，这与 Safe Work Australia《Safe design of structures》倡导的工程化/工厂化路径及 英国CDM 2015（L153）“在前期通过设计消除/降低施工风险”的法定原则一致</w:t>
      </w:r>
      <w:r>
        <w:rPr>
          <w:rFonts w:hint="eastAsia"/>
          <w:szCs w:val="21"/>
          <w:vertAlign w:val="superscript"/>
        </w:rPr>
        <w:t>[5][15]</w:t>
      </w:r>
      <w:r>
        <w:rPr>
          <w:rFonts w:hint="eastAsia"/>
          <w:szCs w:val="21"/>
        </w:rPr>
        <w:t>。</w:t>
      </w:r>
    </w:p>
    <w:p w14:paraId="6AF96720">
      <w:pPr>
        <w:rPr>
          <w:szCs w:val="21"/>
        </w:rPr>
      </w:pPr>
      <w:r>
        <w:rPr>
          <w:rFonts w:hint="eastAsia"/>
          <w:szCs w:val="21"/>
        </w:rPr>
        <w:t>绿</w:t>
      </w:r>
      <w:r>
        <w:rPr>
          <w:rFonts w:cs="Cambria Math"/>
          <w:szCs w:val="21"/>
        </w:rPr>
        <w:t>‑</w:t>
      </w:r>
      <w:r>
        <w:rPr>
          <w:rFonts w:hint="eastAsia"/>
          <w:szCs w:val="21"/>
        </w:rPr>
        <w:t>09 鼓励工程控制，尽量减少对个体防护用品（</w:t>
      </w:r>
      <w:r>
        <w:rPr>
          <w:szCs w:val="21"/>
        </w:rPr>
        <w:t>PPE</w:t>
      </w:r>
      <w:r>
        <w:rPr>
          <w:rFonts w:hint="eastAsia"/>
          <w:szCs w:val="21"/>
        </w:rPr>
        <w:t>）的依赖</w:t>
      </w:r>
    </w:p>
    <w:p w14:paraId="7CF61B2D">
      <w:pPr>
        <w:ind w:firstLine="420"/>
        <w:rPr>
          <w:szCs w:val="21"/>
        </w:rPr>
      </w:pPr>
      <w:r>
        <w:rPr>
          <w:rFonts w:hint="eastAsia"/>
          <w:szCs w:val="21"/>
        </w:rPr>
        <w:t>在材料、工艺与设备层面优先采用本质安全与工程控制（封闭、隔离、局排、联锁等），将PPE作为最后屏障，并在设计文件中标注控制层级与失效策略；该层级符合 ISO 45001 与 Safe Design 风险管理方法</w:t>
      </w:r>
      <w:r>
        <w:rPr>
          <w:rFonts w:hint="eastAsia"/>
          <w:szCs w:val="21"/>
          <w:vertAlign w:val="superscript"/>
        </w:rPr>
        <w:t>[5][16]</w:t>
      </w:r>
      <w:r>
        <w:rPr>
          <w:rFonts w:hint="eastAsia"/>
          <w:szCs w:val="21"/>
        </w:rPr>
        <w:t>。</w:t>
      </w:r>
    </w:p>
    <w:p w14:paraId="087D8490">
      <w:pPr>
        <w:rPr>
          <w:szCs w:val="21"/>
        </w:rPr>
      </w:pPr>
      <w:r>
        <w:rPr>
          <w:rFonts w:hint="eastAsia"/>
          <w:szCs w:val="21"/>
        </w:rPr>
        <w:t>绿</w:t>
      </w:r>
      <w:r>
        <w:rPr>
          <w:rFonts w:cs="Cambria Math"/>
          <w:szCs w:val="21"/>
        </w:rPr>
        <w:t>‑</w:t>
      </w:r>
      <w:r>
        <w:rPr>
          <w:szCs w:val="21"/>
        </w:rPr>
        <w:t>1</w:t>
      </w:r>
      <w:r>
        <w:rPr>
          <w:rFonts w:hint="eastAsia"/>
          <w:szCs w:val="21"/>
        </w:rPr>
        <w:t>0 使用高耐久、低维护材料</w:t>
      </w:r>
    </w:p>
    <w:p w14:paraId="52533B7D">
      <w:pPr>
        <w:ind w:firstLine="420"/>
        <w:rPr>
          <w:szCs w:val="21"/>
        </w:rPr>
      </w:pPr>
      <w:r>
        <w:rPr>
          <w:rFonts w:hint="eastAsia"/>
          <w:szCs w:val="21"/>
        </w:rPr>
        <w:t>优选耐候/抗腐/抗紫外/易清洁材料与构造，减少周期性翻修、打磨或高处维护频次，降低全寿命期暴露与停运成本；该思路与 Safe Design 的“设计促进安全维护”及 HSE HSG33 对减少屋面维护暴露的建议一致</w:t>
      </w:r>
      <w:r>
        <w:rPr>
          <w:rFonts w:hint="eastAsia"/>
          <w:szCs w:val="21"/>
          <w:vertAlign w:val="superscript"/>
        </w:rPr>
        <w:t>[5][17]</w:t>
      </w:r>
      <w:r>
        <w:rPr>
          <w:rFonts w:hint="eastAsia"/>
          <w:szCs w:val="21"/>
        </w:rPr>
        <w:t>。</w:t>
      </w:r>
    </w:p>
    <w:p w14:paraId="5E1E0692">
      <w:pPr>
        <w:rPr>
          <w:szCs w:val="21"/>
        </w:rPr>
      </w:pPr>
      <w:r>
        <w:rPr>
          <w:rFonts w:hint="eastAsia"/>
          <w:szCs w:val="21"/>
        </w:rPr>
        <w:t>绿</w:t>
      </w:r>
      <w:r>
        <w:rPr>
          <w:rFonts w:cs="Cambria Math"/>
          <w:szCs w:val="21"/>
        </w:rPr>
        <w:t>‑</w:t>
      </w:r>
      <w:r>
        <w:rPr>
          <w:szCs w:val="21"/>
        </w:rPr>
        <w:t>1</w:t>
      </w:r>
      <w:r>
        <w:rPr>
          <w:rFonts w:hint="eastAsia"/>
          <w:szCs w:val="21"/>
        </w:rPr>
        <w:t>1 将可维护性落到结构与机电布局——地面或安全结构上维护</w:t>
      </w:r>
    </w:p>
    <w:p w14:paraId="40EEF8EA">
      <w:pPr>
        <w:ind w:firstLine="420"/>
        <w:rPr>
          <w:szCs w:val="21"/>
        </w:rPr>
      </w:pPr>
      <w:r>
        <w:rPr>
          <w:rFonts w:hint="eastAsia"/>
          <w:szCs w:val="21"/>
        </w:rPr>
        <w:t>如将空调机组落地/至可达平台、外窗向内开启、在结构上提供可靠站位/防滑/照明与标识/永久锚点，形成“不攀爬”的维护路径，呼应 HSG33 关于屋面作业可达性的要求与 Safe Design 的全寿命可维护性原则</w:t>
      </w:r>
      <w:r>
        <w:rPr>
          <w:rFonts w:hint="eastAsia"/>
          <w:szCs w:val="21"/>
          <w:vertAlign w:val="superscript"/>
        </w:rPr>
        <w:t>[5][17]</w:t>
      </w:r>
      <w:r>
        <w:rPr>
          <w:rFonts w:hint="eastAsia"/>
          <w:szCs w:val="21"/>
        </w:rPr>
        <w:t>。</w:t>
      </w:r>
    </w:p>
    <w:p w14:paraId="2ACFF5BC">
      <w:pPr>
        <w:rPr>
          <w:szCs w:val="21"/>
        </w:rPr>
      </w:pPr>
      <w:r>
        <w:rPr>
          <w:rFonts w:hint="eastAsia"/>
          <w:szCs w:val="21"/>
        </w:rPr>
        <w:t>绿</w:t>
      </w:r>
      <w:r>
        <w:rPr>
          <w:rFonts w:cs="Cambria Math"/>
          <w:szCs w:val="21"/>
        </w:rPr>
        <w:t>‑</w:t>
      </w:r>
      <w:r>
        <w:rPr>
          <w:szCs w:val="21"/>
        </w:rPr>
        <w:t>1</w:t>
      </w:r>
      <w:r>
        <w:rPr>
          <w:rFonts w:hint="eastAsia"/>
          <w:szCs w:val="21"/>
        </w:rPr>
        <w:t>2 钢结构安装采用连续支撑</w:t>
      </w:r>
      <w:r>
        <w:rPr>
          <w:szCs w:val="21"/>
        </w:rPr>
        <w:t>/</w:t>
      </w:r>
      <w:r>
        <w:rPr>
          <w:rFonts w:hint="eastAsia"/>
          <w:szCs w:val="21"/>
        </w:rPr>
        <w:t>双连接与冗余连接点</w:t>
      </w:r>
    </w:p>
    <w:p w14:paraId="07130724">
      <w:pPr>
        <w:ind w:firstLine="420"/>
        <w:rPr>
          <w:szCs w:val="21"/>
        </w:rPr>
      </w:pPr>
      <w:r>
        <w:rPr>
          <w:rFonts w:hint="eastAsia"/>
          <w:szCs w:val="21"/>
        </w:rPr>
        <w:t>在梁柱安装过程中通过梁座、错列孔、夹板或双连接等方式，保障构件在换钩、找正和未最终固定阶段持续受支撑与稳定，符合 OSHA 29 CFR 1926 Subpart R 钢结构安装的双连接与稳定性条款与附录指南</w:t>
      </w:r>
      <w:r>
        <w:rPr>
          <w:rFonts w:hint="eastAsia"/>
          <w:szCs w:val="21"/>
          <w:vertAlign w:val="superscript"/>
        </w:rPr>
        <w:t>[18][19]</w:t>
      </w:r>
      <w:r>
        <w:rPr>
          <w:rFonts w:hint="eastAsia"/>
          <w:szCs w:val="21"/>
        </w:rPr>
        <w:t>。</w:t>
      </w:r>
    </w:p>
    <w:p w14:paraId="00059B64">
      <w:pPr>
        <w:rPr>
          <w:szCs w:val="21"/>
        </w:rPr>
      </w:pPr>
      <w:r>
        <w:rPr>
          <w:rFonts w:hint="eastAsia"/>
          <w:szCs w:val="21"/>
        </w:rPr>
        <w:t>绿</w:t>
      </w:r>
      <w:r>
        <w:rPr>
          <w:rFonts w:cs="Cambria Math"/>
          <w:szCs w:val="21"/>
        </w:rPr>
        <w:t>‑</w:t>
      </w:r>
      <w:r>
        <w:rPr>
          <w:szCs w:val="21"/>
        </w:rPr>
        <w:t>1</w:t>
      </w:r>
      <w:r>
        <w:rPr>
          <w:rFonts w:hint="eastAsia"/>
          <w:szCs w:val="21"/>
        </w:rPr>
        <w:t>3 减少屋顶桁架与板条间距，降低内部跌落风险</w:t>
      </w:r>
    </w:p>
    <w:p w14:paraId="7226FE5A">
      <w:pPr>
        <w:ind w:firstLine="420"/>
        <w:rPr>
          <w:szCs w:val="21"/>
        </w:rPr>
      </w:pPr>
      <w:r>
        <w:rPr>
          <w:rFonts w:hint="eastAsia"/>
          <w:szCs w:val="21"/>
        </w:rPr>
        <w:t>在屋面施工阶段通过密化檩条/板条并结合安全网/临时平台控制内部坠落路径，符合 HSE HSG33 关于屋面内部坠落的防控要点</w:t>
      </w:r>
      <w:r>
        <w:rPr>
          <w:rFonts w:hint="eastAsia"/>
          <w:szCs w:val="21"/>
          <w:vertAlign w:val="superscript"/>
        </w:rPr>
        <w:t>[17]</w:t>
      </w:r>
      <w:r>
        <w:rPr>
          <w:rFonts w:hint="eastAsia"/>
          <w:szCs w:val="21"/>
        </w:rPr>
        <w:t>。</w:t>
      </w:r>
    </w:p>
    <w:p w14:paraId="5CF8B749">
      <w:pPr>
        <w:rPr>
          <w:szCs w:val="21"/>
        </w:rPr>
      </w:pPr>
      <w:r>
        <w:rPr>
          <w:rFonts w:hint="eastAsia"/>
          <w:szCs w:val="21"/>
        </w:rPr>
        <w:t>绿</w:t>
      </w:r>
      <w:r>
        <w:rPr>
          <w:rFonts w:cs="Cambria Math"/>
          <w:szCs w:val="21"/>
        </w:rPr>
        <w:t>‑</w:t>
      </w:r>
      <w:r>
        <w:rPr>
          <w:szCs w:val="21"/>
        </w:rPr>
        <w:t>1</w:t>
      </w:r>
      <w:r>
        <w:rPr>
          <w:rFonts w:hint="eastAsia"/>
          <w:szCs w:val="21"/>
        </w:rPr>
        <w:t>4 重型运输通道与轻型车辆及行人分流</w:t>
      </w:r>
    </w:p>
    <w:p w14:paraId="4C9C4535">
      <w:pPr>
        <w:ind w:firstLine="420"/>
        <w:rPr>
          <w:szCs w:val="21"/>
        </w:rPr>
        <w:sectPr>
          <w:footerReference r:id="rId12" w:type="default"/>
          <w:pgSz w:w="11906" w:h="16838"/>
          <w:pgMar w:top="1418" w:right="1134" w:bottom="1134" w:left="1418" w:header="851" w:footer="992" w:gutter="0"/>
          <w:pgNumType w:start="1"/>
          <w:cols w:space="425" w:num="1"/>
          <w:docGrid w:linePitch="312" w:charSpace="0"/>
        </w:sectPr>
      </w:pPr>
      <w:r>
        <w:rPr>
          <w:rFonts w:hint="eastAsia"/>
          <w:szCs w:val="21"/>
        </w:rPr>
        <w:t>在总图中对重型车辆、轻型车辆与行人实施物理分离与交叉点控制，配合限速、标识与视距措施，满足 HSE 对人车分离与安全通行路线的硬性要求，并可参考 Safe Work Australia《施工交通管理指南》的组织措施与图示做法</w:t>
      </w:r>
      <w:r>
        <w:rPr>
          <w:rFonts w:hint="eastAsia"/>
          <w:szCs w:val="21"/>
          <w:vertAlign w:val="superscript"/>
        </w:rPr>
        <w:t>[2][20]</w:t>
      </w:r>
      <w:r>
        <w:rPr>
          <w:rFonts w:hint="eastAsia"/>
          <w:szCs w:val="21"/>
        </w:rPr>
        <w:t>。</w:t>
      </w:r>
    </w:p>
    <w:p w14:paraId="2217EC5B">
      <w:pPr>
        <w:spacing w:line="240" w:lineRule="auto"/>
        <w:rPr>
          <w:rFonts w:eastAsia="仿宋"/>
          <w:szCs w:val="21"/>
        </w:rPr>
      </w:pPr>
      <w:r>
        <w:rPr>
          <w:rFonts w:hint="eastAsia" w:eastAsia="仿宋"/>
          <w:szCs w:val="21"/>
        </w:rPr>
        <w:t>参考文献</w:t>
      </w:r>
    </w:p>
    <w:p w14:paraId="0AD31A55">
      <w:pPr>
        <w:spacing w:line="240" w:lineRule="auto"/>
        <w:rPr>
          <w:rFonts w:eastAsia="仿宋"/>
          <w:szCs w:val="21"/>
        </w:rPr>
      </w:pPr>
      <w:r>
        <w:rPr>
          <w:rFonts w:eastAsia="仿宋"/>
          <w:szCs w:val="21"/>
        </w:rPr>
        <w:t>[1] ISO 45001:2018 - Occupational health and safety management systems</w:t>
      </w:r>
    </w:p>
    <w:p w14:paraId="5FA5D5FD">
      <w:pPr>
        <w:spacing w:line="240" w:lineRule="auto"/>
        <w:rPr>
          <w:rFonts w:eastAsia="仿宋"/>
          <w:szCs w:val="21"/>
        </w:rPr>
      </w:pPr>
      <w:r>
        <w:rPr>
          <w:rFonts w:eastAsia="仿宋"/>
          <w:szCs w:val="21"/>
        </w:rPr>
        <w:t>[2] Model Code of Practice Safe design of structures - Safe Work Australia</w:t>
      </w:r>
    </w:p>
    <w:p w14:paraId="780F4411">
      <w:pPr>
        <w:spacing w:line="240" w:lineRule="auto"/>
        <w:rPr>
          <w:rFonts w:eastAsia="仿宋"/>
          <w:szCs w:val="21"/>
        </w:rPr>
      </w:pPr>
      <w:r>
        <w:rPr>
          <w:rFonts w:eastAsia="仿宋"/>
          <w:szCs w:val="21"/>
        </w:rPr>
        <w:t>[3] Managing health and safety in construction - HSE</w:t>
      </w:r>
    </w:p>
    <w:p w14:paraId="7CB3355C">
      <w:pPr>
        <w:spacing w:line="240" w:lineRule="auto"/>
        <w:rPr>
          <w:rFonts w:eastAsia="仿宋"/>
          <w:szCs w:val="21"/>
        </w:rPr>
      </w:pPr>
      <w:r>
        <w:rPr>
          <w:rFonts w:eastAsia="仿宋"/>
          <w:szCs w:val="21"/>
        </w:rPr>
        <w:t>[4] Fire safety in construction - HSE</w:t>
      </w:r>
    </w:p>
    <w:p w14:paraId="02130DED">
      <w:pPr>
        <w:spacing w:line="240" w:lineRule="auto"/>
        <w:rPr>
          <w:rFonts w:eastAsia="仿宋"/>
          <w:szCs w:val="21"/>
        </w:rPr>
      </w:pPr>
      <w:r>
        <w:rPr>
          <w:rFonts w:eastAsia="仿宋"/>
          <w:szCs w:val="21"/>
        </w:rPr>
        <w:t xml:space="preserve">[5] 1926 Subpart P - Excavations | Occupational Safety and Health </w:t>
      </w:r>
      <w:r>
        <w:rPr>
          <w:rFonts w:hint="eastAsia" w:eastAsia="仿宋"/>
          <w:szCs w:val="21"/>
        </w:rPr>
        <w:t>Act of 1970</w:t>
      </w:r>
    </w:p>
    <w:p w14:paraId="3009E82F">
      <w:pPr>
        <w:spacing w:line="240" w:lineRule="auto"/>
        <w:rPr>
          <w:rFonts w:eastAsia="仿宋"/>
          <w:szCs w:val="21"/>
        </w:rPr>
      </w:pPr>
      <w:r>
        <w:rPr>
          <w:rFonts w:eastAsia="仿宋"/>
          <w:szCs w:val="21"/>
        </w:rPr>
        <w:t>[6] 1926.1153 - Respirable crystalline silica. | Occupational Safety and ...</w:t>
      </w:r>
    </w:p>
    <w:p w14:paraId="071D1791">
      <w:pPr>
        <w:spacing w:line="240" w:lineRule="auto"/>
        <w:rPr>
          <w:rFonts w:eastAsia="仿宋"/>
          <w:szCs w:val="21"/>
        </w:rPr>
      </w:pPr>
      <w:r>
        <w:rPr>
          <w:rFonts w:eastAsia="仿宋"/>
          <w:szCs w:val="21"/>
        </w:rPr>
        <w:t>[7] Construction dust - HSE</w:t>
      </w:r>
    </w:p>
    <w:p w14:paraId="021DBA8B">
      <w:pPr>
        <w:spacing w:line="240" w:lineRule="auto"/>
        <w:rPr>
          <w:rFonts w:eastAsia="仿宋"/>
          <w:szCs w:val="21"/>
        </w:rPr>
      </w:pPr>
      <w:r>
        <w:rPr>
          <w:rFonts w:eastAsia="仿宋"/>
          <w:szCs w:val="21"/>
        </w:rPr>
        <w:t>[8] Construction - HSE</w:t>
      </w:r>
    </w:p>
    <w:p w14:paraId="498A280F">
      <w:pPr>
        <w:spacing w:line="240" w:lineRule="auto"/>
        <w:rPr>
          <w:rFonts w:eastAsia="仿宋"/>
          <w:szCs w:val="21"/>
        </w:rPr>
      </w:pPr>
      <w:r>
        <w:rPr>
          <w:rFonts w:eastAsia="仿宋"/>
          <w:szCs w:val="21"/>
        </w:rPr>
        <w:t>[9] PILE INSTALLATION &amp; EXTRACTION OPERATIONS</w:t>
      </w:r>
    </w:p>
    <w:p w14:paraId="542F9ED1">
      <w:pPr>
        <w:spacing w:line="240" w:lineRule="auto"/>
        <w:rPr>
          <w:rFonts w:eastAsia="仿宋"/>
          <w:szCs w:val="21"/>
        </w:rPr>
      </w:pPr>
      <w:r>
        <w:rPr>
          <w:rFonts w:eastAsia="仿宋"/>
          <w:szCs w:val="21"/>
        </w:rPr>
        <w:t>[10] Health and safety in roof work - HSE</w:t>
      </w:r>
    </w:p>
    <w:p w14:paraId="41ECA0D3">
      <w:pPr>
        <w:spacing w:line="240" w:lineRule="auto"/>
        <w:rPr>
          <w:rFonts w:eastAsia="仿宋"/>
          <w:szCs w:val="21"/>
        </w:rPr>
      </w:pPr>
      <w:r>
        <w:rPr>
          <w:rFonts w:eastAsia="仿宋"/>
          <w:szCs w:val="21"/>
        </w:rPr>
        <w:t>[11] Health and safety in roof work HSG33</w:t>
      </w:r>
    </w:p>
    <w:p w14:paraId="2DE2A3E2">
      <w:pPr>
        <w:spacing w:line="240" w:lineRule="auto"/>
        <w:rPr>
          <w:rFonts w:eastAsia="仿宋"/>
          <w:szCs w:val="21"/>
        </w:rPr>
      </w:pPr>
      <w:r>
        <w:rPr>
          <w:rFonts w:eastAsia="仿宋"/>
          <w:szCs w:val="21"/>
        </w:rPr>
        <w:t xml:space="preserve">[12] 1910.107 - Spray finishing using flammable and combustible materials </w:t>
      </w:r>
    </w:p>
    <w:p w14:paraId="6AB5D7C9">
      <w:pPr>
        <w:spacing w:line="240" w:lineRule="auto"/>
        <w:rPr>
          <w:rFonts w:eastAsia="仿宋"/>
          <w:szCs w:val="21"/>
        </w:rPr>
      </w:pPr>
      <w:r>
        <w:rPr>
          <w:rFonts w:eastAsia="仿宋"/>
          <w:szCs w:val="21"/>
        </w:rPr>
        <w:t>[13] Directive - 2004/42 - EN - Decopaint Directive - EUR-Lex</w:t>
      </w:r>
    </w:p>
    <w:p w14:paraId="5D242D2F">
      <w:pPr>
        <w:spacing w:line="240" w:lineRule="auto"/>
        <w:rPr>
          <w:rFonts w:eastAsia="仿宋"/>
          <w:szCs w:val="21"/>
        </w:rPr>
      </w:pPr>
      <w:r>
        <w:rPr>
          <w:rFonts w:eastAsia="仿宋"/>
          <w:szCs w:val="21"/>
        </w:rPr>
        <w:t>[14] EN 1263-1:2014 - Temporary works equipment - Safety nets - iTeh Standards</w:t>
      </w:r>
    </w:p>
    <w:p w14:paraId="4FE644E2">
      <w:pPr>
        <w:spacing w:line="240" w:lineRule="auto"/>
        <w:rPr>
          <w:rFonts w:eastAsia="仿宋"/>
          <w:szCs w:val="21"/>
        </w:rPr>
      </w:pPr>
      <w:r>
        <w:rPr>
          <w:rFonts w:eastAsia="仿宋"/>
          <w:szCs w:val="21"/>
        </w:rPr>
        <w:t>[15] FASET Bulletin SN21 (Revision 3) Changes to BS EN 1263</w:t>
      </w:r>
    </w:p>
    <w:p w14:paraId="4FED5FA7">
      <w:pPr>
        <w:spacing w:line="240" w:lineRule="auto"/>
        <w:rPr>
          <w:rFonts w:eastAsia="仿宋"/>
          <w:szCs w:val="21"/>
        </w:rPr>
      </w:pPr>
      <w:r>
        <w:rPr>
          <w:rFonts w:eastAsia="仿宋"/>
          <w:szCs w:val="21"/>
        </w:rPr>
        <w:t>[16] BS 8213-1 - Windows doors and rooflights. Design for safety in use and</w:t>
      </w:r>
    </w:p>
    <w:p w14:paraId="607B636E">
      <w:pPr>
        <w:spacing w:line="240" w:lineRule="auto"/>
        <w:rPr>
          <w:rFonts w:eastAsia="仿宋"/>
          <w:szCs w:val="21"/>
        </w:rPr>
      </w:pPr>
      <w:r>
        <w:rPr>
          <w:rFonts w:eastAsia="仿宋"/>
          <w:szCs w:val="21"/>
        </w:rPr>
        <w:t>[17] Slips and trips - HSE</w:t>
      </w:r>
    </w:p>
    <w:p w14:paraId="78A26406">
      <w:pPr>
        <w:spacing w:line="240" w:lineRule="auto"/>
        <w:rPr>
          <w:rFonts w:eastAsia="仿宋"/>
          <w:szCs w:val="21"/>
        </w:rPr>
      </w:pPr>
      <w:r>
        <w:rPr>
          <w:rFonts w:eastAsia="仿宋"/>
          <w:szCs w:val="21"/>
        </w:rPr>
        <w:t>[18] Assessing the slip resistance of flooring - HSE</w:t>
      </w:r>
    </w:p>
    <w:p w14:paraId="08E43E0F">
      <w:pPr>
        <w:spacing w:line="240" w:lineRule="auto"/>
        <w:rPr>
          <w:rFonts w:eastAsia="仿宋"/>
          <w:szCs w:val="21"/>
        </w:rPr>
      </w:pPr>
      <w:r>
        <w:rPr>
          <w:rFonts w:eastAsia="仿宋"/>
          <w:szCs w:val="21"/>
        </w:rPr>
        <w:t>[19] Lighting of indoor workplaces - Fagerhult</w:t>
      </w:r>
    </w:p>
    <w:p w14:paraId="372D6CF0">
      <w:pPr>
        <w:spacing w:line="240" w:lineRule="auto"/>
        <w:rPr>
          <w:rFonts w:eastAsia="仿宋"/>
          <w:szCs w:val="21"/>
        </w:rPr>
      </w:pPr>
      <w:r>
        <w:rPr>
          <w:rFonts w:eastAsia="仿宋"/>
          <w:szCs w:val="21"/>
        </w:rPr>
        <w:t xml:space="preserve">[20] 1910.95 - Occupational noise exposure. | Occupational Safety and Health </w:t>
      </w:r>
    </w:p>
    <w:p w14:paraId="64B90276">
      <w:pPr>
        <w:spacing w:line="240" w:lineRule="auto"/>
        <w:rPr>
          <w:rFonts w:eastAsia="仿宋"/>
          <w:szCs w:val="21"/>
        </w:rPr>
      </w:pPr>
      <w:r>
        <w:rPr>
          <w:rFonts w:eastAsia="仿宋"/>
          <w:szCs w:val="21"/>
        </w:rPr>
        <w:t>[21] NFPA 241 Standard Development</w:t>
      </w:r>
    </w:p>
    <w:p w14:paraId="28A04974">
      <w:pPr>
        <w:spacing w:line="240" w:lineRule="auto"/>
        <w:rPr>
          <w:rFonts w:eastAsia="仿宋"/>
          <w:szCs w:val="21"/>
        </w:rPr>
      </w:pPr>
      <w:r>
        <w:rPr>
          <w:rFonts w:eastAsia="仿宋"/>
          <w:szCs w:val="21"/>
        </w:rPr>
        <w:t>[22] eCFR :: 29 CFR Part 1926 Subpart P -- Excavations</w:t>
      </w:r>
    </w:p>
    <w:p w14:paraId="282E9FCA">
      <w:pPr>
        <w:spacing w:line="240" w:lineRule="auto"/>
        <w:rPr>
          <w:rFonts w:eastAsia="仿宋"/>
          <w:szCs w:val="21"/>
        </w:rPr>
      </w:pPr>
    </w:p>
    <w:p w14:paraId="1FB4C826">
      <w:pPr>
        <w:spacing w:line="240" w:lineRule="auto"/>
        <w:rPr>
          <w:rFonts w:eastAsia="仿宋"/>
          <w:szCs w:val="21"/>
        </w:rPr>
      </w:pPr>
    </w:p>
    <w:p w14:paraId="756F2362">
      <w:pPr>
        <w:ind w:firstLine="480"/>
      </w:pPr>
      <w:bookmarkStart w:id="73" w:name="_Toc356120989"/>
      <w:bookmarkStart w:id="74" w:name="_Toc355942840"/>
      <w:bookmarkStart w:id="75" w:name="_Toc94038788"/>
      <w:bookmarkStart w:id="76" w:name="_Toc357441747"/>
      <w:bookmarkStart w:id="77" w:name="_Toc534374794"/>
      <w:bookmarkStart w:id="78" w:name="_Toc355860949"/>
      <w:bookmarkStart w:id="79" w:name="_Toc492671591"/>
      <w:bookmarkStart w:id="80" w:name="_Toc312953067"/>
      <w:bookmarkStart w:id="81" w:name="_Toc13478228"/>
      <w:bookmarkStart w:id="82" w:name="_Toc308274722"/>
      <w:bookmarkStart w:id="83" w:name="_Toc328642974"/>
      <w:r>
        <w:rPr>
          <w:rFonts w:hint="eastAsia"/>
        </w:rPr>
        <w:br w:type="page"/>
      </w:r>
    </w:p>
    <w:p w14:paraId="43AD4EAD">
      <w:pPr>
        <w:pStyle w:val="127"/>
        <w:rPr>
          <w:rFonts w:hint="default"/>
        </w:rPr>
      </w:pPr>
      <w:bookmarkStart w:id="84" w:name="_Toc213254735"/>
      <w:bookmarkStart w:id="85" w:name="_Toc8123"/>
      <w:r>
        <w:t>用词说明</w:t>
      </w:r>
      <w:bookmarkEnd w:id="73"/>
      <w:bookmarkEnd w:id="74"/>
      <w:bookmarkEnd w:id="75"/>
      <w:bookmarkEnd w:id="76"/>
      <w:bookmarkEnd w:id="77"/>
      <w:bookmarkEnd w:id="78"/>
      <w:bookmarkEnd w:id="79"/>
      <w:bookmarkEnd w:id="80"/>
      <w:bookmarkEnd w:id="81"/>
      <w:bookmarkEnd w:id="82"/>
      <w:bookmarkEnd w:id="83"/>
      <w:bookmarkEnd w:id="84"/>
      <w:bookmarkEnd w:id="85"/>
    </w:p>
    <w:p w14:paraId="6AB02839">
      <w:pPr>
        <w:numPr>
          <w:ilvl w:val="255"/>
          <w:numId w:val="0"/>
        </w:numPr>
        <w:spacing w:line="460" w:lineRule="exact"/>
        <w:ind w:firstLine="480" w:firstLineChars="200"/>
      </w:pPr>
      <w:r>
        <w:t>为便于在执行本标准</w:t>
      </w:r>
      <w:r>
        <w:rPr>
          <w:rFonts w:hint="eastAsia"/>
        </w:rPr>
        <w:t>条款</w:t>
      </w:r>
      <w:r>
        <w:t>时区别对待，对要求严格程度不同的用词说明如下：</w:t>
      </w:r>
    </w:p>
    <w:p w14:paraId="030409B2">
      <w:pPr>
        <w:numPr>
          <w:ilvl w:val="0"/>
          <w:numId w:val="16"/>
        </w:numPr>
        <w:tabs>
          <w:tab w:val="left" w:pos="19"/>
        </w:tabs>
        <w:spacing w:line="460" w:lineRule="exact"/>
        <w:ind w:firstLine="480"/>
      </w:pPr>
      <w:r>
        <w:t>表示很严格，非这样做不可的：</w:t>
      </w:r>
    </w:p>
    <w:p w14:paraId="4CF4B639">
      <w:pPr>
        <w:tabs>
          <w:tab w:val="left" w:pos="19"/>
        </w:tabs>
        <w:spacing w:line="460" w:lineRule="exact"/>
        <w:ind w:left="960" w:leftChars="400"/>
        <w:rPr>
          <w:spacing w:val="120"/>
        </w:rPr>
      </w:pPr>
      <w:r>
        <w:t>正面词采用</w:t>
      </w:r>
      <w:r>
        <w:rPr>
          <w:rFonts w:hint="eastAsia"/>
        </w:rPr>
        <w:t>“</w:t>
      </w:r>
      <w:r>
        <w:t>必须</w:t>
      </w:r>
      <w:r>
        <w:rPr>
          <w:rFonts w:hint="eastAsia"/>
        </w:rPr>
        <w:t>”</w:t>
      </w:r>
      <w:r>
        <w:t>反面词采用</w:t>
      </w:r>
      <w:r>
        <w:rPr>
          <w:rFonts w:hint="eastAsia"/>
        </w:rPr>
        <w:t>“</w:t>
      </w:r>
      <w:r>
        <w:t>严禁</w:t>
      </w:r>
      <w:r>
        <w:rPr>
          <w:rFonts w:hint="eastAsia"/>
        </w:rPr>
        <w:t>”</w:t>
      </w:r>
      <w:r>
        <w:rPr>
          <w:spacing w:val="120"/>
        </w:rPr>
        <w:t>；</w:t>
      </w:r>
    </w:p>
    <w:p w14:paraId="62FF8A44">
      <w:pPr>
        <w:numPr>
          <w:ilvl w:val="0"/>
          <w:numId w:val="16"/>
        </w:numPr>
        <w:tabs>
          <w:tab w:val="left" w:pos="19"/>
        </w:tabs>
        <w:spacing w:line="460" w:lineRule="exact"/>
        <w:ind w:firstLine="480"/>
      </w:pPr>
      <w:r>
        <w:t>表示很严格，在正常情况下均应这样做的：</w:t>
      </w:r>
    </w:p>
    <w:p w14:paraId="00683038">
      <w:pPr>
        <w:tabs>
          <w:tab w:val="left" w:pos="19"/>
        </w:tabs>
        <w:spacing w:line="460" w:lineRule="exact"/>
        <w:ind w:left="960" w:leftChars="400"/>
      </w:pPr>
      <w:r>
        <w:t>正面词采用</w:t>
      </w:r>
      <w:r>
        <w:rPr>
          <w:rFonts w:hint="eastAsia"/>
        </w:rPr>
        <w:t>“</w:t>
      </w:r>
      <w:r>
        <w:t>应</w:t>
      </w:r>
      <w:r>
        <w:rPr>
          <w:rFonts w:hint="eastAsia"/>
        </w:rPr>
        <w:t>”</w:t>
      </w:r>
      <w:r>
        <w:t>，反面词采用</w:t>
      </w:r>
      <w:r>
        <w:rPr>
          <w:rFonts w:hint="eastAsia"/>
        </w:rPr>
        <w:t>“</w:t>
      </w:r>
      <w:r>
        <w:t>不应</w:t>
      </w:r>
      <w:r>
        <w:rPr>
          <w:rFonts w:hint="eastAsia"/>
        </w:rPr>
        <w:t>”</w:t>
      </w:r>
      <w:r>
        <w:t>或</w:t>
      </w:r>
      <w:r>
        <w:rPr>
          <w:rFonts w:hint="eastAsia"/>
        </w:rPr>
        <w:t>“</w:t>
      </w:r>
      <w:r>
        <w:t>不得</w:t>
      </w:r>
      <w:r>
        <w:rPr>
          <w:rFonts w:hint="eastAsia"/>
        </w:rPr>
        <w:t>”</w:t>
      </w:r>
      <w:r>
        <w:rPr>
          <w:spacing w:val="120"/>
        </w:rPr>
        <w:t>；</w:t>
      </w:r>
    </w:p>
    <w:p w14:paraId="380E7BD5">
      <w:pPr>
        <w:numPr>
          <w:ilvl w:val="0"/>
          <w:numId w:val="16"/>
        </w:numPr>
        <w:tabs>
          <w:tab w:val="left" w:pos="19"/>
        </w:tabs>
        <w:spacing w:line="460" w:lineRule="exact"/>
        <w:ind w:firstLine="480"/>
      </w:pPr>
      <w:r>
        <w:t>表示允许稍有选择，在条件许可时首先</w:t>
      </w:r>
      <w:r>
        <w:rPr>
          <w:rFonts w:hint="eastAsia"/>
        </w:rPr>
        <w:t>应</w:t>
      </w:r>
      <w:r>
        <w:t>这样做的：</w:t>
      </w:r>
    </w:p>
    <w:p w14:paraId="1EB169A8">
      <w:pPr>
        <w:tabs>
          <w:tab w:val="left" w:pos="19"/>
        </w:tabs>
        <w:spacing w:line="460" w:lineRule="exact"/>
        <w:ind w:left="960" w:leftChars="400"/>
      </w:pPr>
      <w:r>
        <w:t>正面词采用</w:t>
      </w:r>
      <w:r>
        <w:rPr>
          <w:rFonts w:hint="eastAsia"/>
        </w:rPr>
        <w:t>“</w:t>
      </w:r>
      <w:r>
        <w:t>宜</w:t>
      </w:r>
      <w:r>
        <w:rPr>
          <w:rFonts w:hint="eastAsia"/>
        </w:rPr>
        <w:t>”</w:t>
      </w:r>
      <w:r>
        <w:t>，反面词采用</w:t>
      </w:r>
      <w:r>
        <w:rPr>
          <w:rFonts w:hint="eastAsia"/>
        </w:rPr>
        <w:t>“</w:t>
      </w:r>
      <w:r>
        <w:t>不宜</w:t>
      </w:r>
      <w:r>
        <w:rPr>
          <w:rFonts w:hint="eastAsia"/>
        </w:rPr>
        <w:t>”</w:t>
      </w:r>
      <w:r>
        <w:rPr>
          <w:spacing w:val="120"/>
        </w:rPr>
        <w:t>；</w:t>
      </w:r>
    </w:p>
    <w:p w14:paraId="172F1AA4">
      <w:pPr>
        <w:numPr>
          <w:ilvl w:val="0"/>
          <w:numId w:val="16"/>
        </w:numPr>
        <w:tabs>
          <w:tab w:val="left" w:pos="19"/>
        </w:tabs>
        <w:spacing w:line="460" w:lineRule="exact"/>
        <w:ind w:firstLine="480"/>
      </w:pPr>
      <w:r>
        <w:t>表示有选择，在一定条件下可以这样做的，可采用“可”。</w:t>
      </w:r>
    </w:p>
    <w:p w14:paraId="051DB96F">
      <w:pPr>
        <w:tabs>
          <w:tab w:val="left" w:pos="19"/>
        </w:tabs>
        <w:spacing w:line="460" w:lineRule="exact"/>
        <w:ind w:left="960" w:leftChars="400"/>
        <w:rPr>
          <w:spacing w:val="120"/>
        </w:rPr>
      </w:pPr>
    </w:p>
    <w:p w14:paraId="605F7F1C">
      <w:pPr>
        <w:spacing w:line="460" w:lineRule="exact"/>
        <w:ind w:firstLine="480"/>
        <w:rPr>
          <w:szCs w:val="22"/>
          <w:lang w:val="sq-AL"/>
        </w:rPr>
      </w:pPr>
    </w:p>
    <w:p w14:paraId="4A9C4052">
      <w:pPr>
        <w:spacing w:line="460" w:lineRule="exact"/>
        <w:ind w:firstLine="480"/>
        <w:rPr>
          <w:szCs w:val="22"/>
          <w:lang w:val="sq-AL"/>
        </w:rPr>
        <w:sectPr>
          <w:footerReference r:id="rId13" w:type="default"/>
          <w:pgSz w:w="11906" w:h="16838"/>
          <w:pgMar w:top="1134" w:right="1418" w:bottom="1418" w:left="1134" w:header="851" w:footer="992" w:gutter="0"/>
          <w:cols w:space="425" w:num="1"/>
          <w:docGrid w:linePitch="312" w:charSpace="0"/>
        </w:sectPr>
      </w:pPr>
    </w:p>
    <w:p w14:paraId="675C59E3">
      <w:pPr>
        <w:widowControl/>
        <w:spacing w:line="240" w:lineRule="auto"/>
        <w:jc w:val="left"/>
        <w:rPr>
          <w:sz w:val="30"/>
          <w:szCs w:val="30"/>
        </w:rPr>
      </w:pPr>
      <w:bookmarkStart w:id="86" w:name="_Toc328642975"/>
      <w:bookmarkStart w:id="87" w:name="_Toc355942841"/>
      <w:bookmarkStart w:id="88" w:name="_Toc312953068"/>
      <w:bookmarkStart w:id="89" w:name="_Toc308274723"/>
      <w:bookmarkStart w:id="90" w:name="_Toc356120990"/>
      <w:bookmarkStart w:id="91" w:name="_Toc357441748"/>
      <w:bookmarkStart w:id="92" w:name="_Toc355860950"/>
      <w:bookmarkStart w:id="93" w:name="_Toc362013145"/>
    </w:p>
    <w:p w14:paraId="5CF139F9">
      <w:pPr>
        <w:pStyle w:val="127"/>
        <w:rPr>
          <w:rFonts w:hint="default"/>
        </w:rPr>
      </w:pPr>
      <w:bookmarkStart w:id="94" w:name="_Toc32162"/>
      <w:bookmarkStart w:id="95" w:name="_Toc492671592"/>
      <w:bookmarkStart w:id="96" w:name="_Toc213254736"/>
      <w:bookmarkStart w:id="97" w:name="_Toc94038789"/>
      <w:bookmarkStart w:id="98" w:name="_Toc534374661"/>
      <w:bookmarkStart w:id="99" w:name="_Toc534374795"/>
      <w:bookmarkStart w:id="100" w:name="_Toc13478229"/>
      <w:r>
        <w:t>引用标准名录</w:t>
      </w:r>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p>
    <w:p w14:paraId="2D49DD80">
      <w:pPr>
        <w:tabs>
          <w:tab w:val="left" w:pos="19"/>
        </w:tabs>
        <w:spacing w:line="460" w:lineRule="exact"/>
        <w:ind w:firstLine="480"/>
        <w:rPr>
          <w:szCs w:val="20"/>
          <w:lang w:val="sq-AL"/>
        </w:rPr>
      </w:pPr>
      <w:r>
        <w:rPr>
          <w:rFonts w:hint="eastAsia"/>
          <w:szCs w:val="20"/>
          <w:lang w:val="sq-AL"/>
        </w:rPr>
        <w:t>本标准引用下列标准。其中，注日期的，仅对该日期对应的版本适用本导则；不注日期的，其最新版适用于本标准。</w:t>
      </w:r>
    </w:p>
    <w:p w14:paraId="384CCDEF">
      <w:pPr>
        <w:tabs>
          <w:tab w:val="left" w:pos="19"/>
        </w:tabs>
        <w:spacing w:line="460" w:lineRule="exact"/>
        <w:ind w:firstLine="480"/>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《建筑设计防火规范》GB 50016</w:t>
      </w:r>
    </w:p>
    <w:p w14:paraId="38D6CAA6">
      <w:pPr>
        <w:tabs>
          <w:tab w:val="left" w:pos="19"/>
        </w:tabs>
        <w:spacing w:line="460" w:lineRule="exact"/>
        <w:ind w:firstLine="48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《建筑施工安全检查标准》JGJ 59</w:t>
      </w:r>
    </w:p>
    <w:p w14:paraId="3B8E7338">
      <w:pPr>
        <w:jc w:val="center"/>
        <w:rPr>
          <w:sz w:val="28"/>
          <w:szCs w:val="28"/>
          <w:lang w:val="sq-AL"/>
        </w:rPr>
      </w:pPr>
      <w:bookmarkStart w:id="101" w:name="_Toc328642922"/>
      <w:bookmarkStart w:id="102" w:name="_Toc312953069"/>
      <w:bookmarkStart w:id="103" w:name="_Toc328642976"/>
      <w:bookmarkStart w:id="104" w:name="_Toc362013146"/>
      <w:bookmarkStart w:id="105" w:name="_Toc357441228"/>
      <w:bookmarkStart w:id="106" w:name="_Toc465439180"/>
      <w:bookmarkStart w:id="107" w:name="_Toc355942842"/>
      <w:bookmarkStart w:id="108" w:name="_Toc355861157"/>
      <w:bookmarkStart w:id="109" w:name="_Toc455481647"/>
      <w:bookmarkStart w:id="110" w:name="_Toc357441749"/>
      <w:bookmarkStart w:id="111" w:name="_Toc356120991"/>
      <w:bookmarkStart w:id="112" w:name="_Toc355860951"/>
    </w:p>
    <w:p w14:paraId="62E6FEE3">
      <w:pPr>
        <w:jc w:val="center"/>
        <w:rPr>
          <w:sz w:val="28"/>
          <w:szCs w:val="28"/>
          <w:lang w:val="sq-AL"/>
        </w:rPr>
        <w:sectPr>
          <w:footerReference r:id="rId14" w:type="default"/>
          <w:pgSz w:w="11906" w:h="16838"/>
          <w:pgMar w:top="1134" w:right="1418" w:bottom="1418" w:left="1134" w:header="851" w:footer="992" w:gutter="0"/>
          <w:cols w:space="425" w:num="1"/>
          <w:docGrid w:linePitch="312" w:charSpace="0"/>
        </w:sectPr>
      </w:pPr>
    </w:p>
    <w:bookmarkEnd w:id="101"/>
    <w:bookmarkEnd w:id="102"/>
    <w:bookmarkEnd w:id="103"/>
    <w:bookmarkEnd w:id="104"/>
    <w:bookmarkEnd w:id="105"/>
    <w:bookmarkEnd w:id="106"/>
    <w:bookmarkEnd w:id="107"/>
    <w:bookmarkEnd w:id="108"/>
    <w:bookmarkEnd w:id="109"/>
    <w:bookmarkEnd w:id="110"/>
    <w:bookmarkEnd w:id="111"/>
    <w:bookmarkEnd w:id="112"/>
    <w:p w14:paraId="52CD389C">
      <w:pPr>
        <w:ind w:firstLine="720"/>
        <w:jc w:val="center"/>
        <w:rPr>
          <w:color w:val="000000" w:themeColor="text1"/>
          <w:sz w:val="36"/>
          <w:szCs w:val="48"/>
          <w:lang w:val="sq-AL"/>
          <w14:textFill>
            <w14:solidFill>
              <w14:schemeClr w14:val="tx1"/>
            </w14:solidFill>
          </w14:textFill>
        </w:rPr>
      </w:pPr>
    </w:p>
    <w:p w14:paraId="260192F6">
      <w:pPr>
        <w:ind w:firstLine="720"/>
        <w:jc w:val="center"/>
        <w:rPr>
          <w:color w:val="000000" w:themeColor="text1"/>
          <w:sz w:val="36"/>
          <w:szCs w:val="48"/>
          <w:lang w:val="sq-AL"/>
          <w14:textFill>
            <w14:solidFill>
              <w14:schemeClr w14:val="tx1"/>
            </w14:solidFill>
          </w14:textFill>
        </w:rPr>
      </w:pPr>
    </w:p>
    <w:p w14:paraId="256FBC7D">
      <w:pPr>
        <w:ind w:firstLine="720"/>
        <w:jc w:val="center"/>
        <w:rPr>
          <w:color w:val="000000" w:themeColor="text1"/>
          <w:sz w:val="36"/>
          <w:szCs w:val="48"/>
          <w:lang w:val="sq-AL"/>
          <w14:textFill>
            <w14:solidFill>
              <w14:schemeClr w14:val="tx1"/>
            </w14:solidFill>
          </w14:textFill>
        </w:rPr>
      </w:pPr>
    </w:p>
    <w:p w14:paraId="4A9EC813">
      <w:pPr>
        <w:ind w:firstLine="720"/>
        <w:jc w:val="center"/>
        <w:rPr>
          <w:color w:val="000000" w:themeColor="text1"/>
          <w:sz w:val="36"/>
          <w:szCs w:val="48"/>
          <w:lang w:val="sq-AL"/>
          <w14:textFill>
            <w14:solidFill>
              <w14:schemeClr w14:val="tx1"/>
            </w14:solidFill>
          </w14:textFill>
        </w:rPr>
      </w:pPr>
    </w:p>
    <w:p w14:paraId="486E5160">
      <w:pPr>
        <w:ind w:firstLine="720"/>
        <w:jc w:val="center"/>
        <w:rPr>
          <w:color w:val="000000" w:themeColor="text1"/>
          <w:sz w:val="36"/>
          <w:szCs w:val="48"/>
          <w:lang w:val="sq-AL"/>
          <w14:textFill>
            <w14:solidFill>
              <w14:schemeClr w14:val="tx1"/>
            </w14:solidFill>
          </w14:textFill>
        </w:rPr>
      </w:pPr>
    </w:p>
    <w:p w14:paraId="4B34ACDC">
      <w:pPr>
        <w:ind w:firstLine="720"/>
        <w:jc w:val="center"/>
        <w:rPr>
          <w:color w:val="000000" w:themeColor="text1"/>
          <w:sz w:val="36"/>
          <w:szCs w:val="48"/>
          <w:lang w:val="sq-AL"/>
          <w14:textFill>
            <w14:solidFill>
              <w14:schemeClr w14:val="tx1"/>
            </w14:solidFill>
          </w14:textFill>
        </w:rPr>
      </w:pPr>
    </w:p>
    <w:p w14:paraId="3ED85DB9">
      <w:pPr>
        <w:ind w:firstLine="720"/>
        <w:jc w:val="center"/>
        <w:rPr>
          <w:color w:val="000000" w:themeColor="text1"/>
          <w:sz w:val="36"/>
          <w:szCs w:val="48"/>
          <w:lang w:val="sq-AL"/>
          <w14:textFill>
            <w14:solidFill>
              <w14:schemeClr w14:val="tx1"/>
            </w14:solidFill>
          </w14:textFill>
        </w:rPr>
      </w:pPr>
    </w:p>
    <w:p w14:paraId="0D9047F8">
      <w:pPr>
        <w:ind w:firstLine="720"/>
        <w:jc w:val="center"/>
        <w:rPr>
          <w:color w:val="000000" w:themeColor="text1"/>
          <w:sz w:val="36"/>
          <w:szCs w:val="48"/>
          <w:lang w:val="sq-AL"/>
          <w14:textFill>
            <w14:solidFill>
              <w14:schemeClr w14:val="tx1"/>
            </w14:solidFill>
          </w14:textFill>
        </w:rPr>
      </w:pPr>
      <w:r>
        <w:rPr>
          <w:rFonts w:hint="eastAsia"/>
          <w:color w:val="000000" w:themeColor="text1"/>
          <w:sz w:val="36"/>
          <w:szCs w:val="48"/>
          <w:lang w:val="sq-AL"/>
          <w14:textFill>
            <w14:solidFill>
              <w14:schemeClr w14:val="tx1"/>
            </w14:solidFill>
          </w14:textFill>
        </w:rPr>
        <w:t>建筑中人员安全防护设计标准</w:t>
      </w:r>
    </w:p>
    <w:p w14:paraId="7325ACB0">
      <w:pPr>
        <w:ind w:firstLine="720"/>
        <w:jc w:val="center"/>
        <w:rPr>
          <w:color w:val="000000" w:themeColor="text1"/>
          <w:w w:val="150"/>
          <w:sz w:val="28"/>
          <w:szCs w:val="28"/>
          <w:lang w:val="sq-AL"/>
          <w14:textFill>
            <w14:solidFill>
              <w14:schemeClr w14:val="tx1"/>
            </w14:solidFill>
          </w14:textFill>
        </w:rPr>
      </w:pPr>
      <w:r>
        <w:rPr>
          <w:rFonts w:hint="eastAsia"/>
          <w:color w:val="000000" w:themeColor="text1"/>
          <w:w w:val="150"/>
          <w:lang w:val="sq-AL"/>
          <w14:textFill>
            <w14:solidFill>
              <w14:schemeClr w14:val="tx1"/>
            </w14:solidFill>
          </w14:textFill>
        </w:rPr>
        <w:t xml:space="preserve">  </w:t>
      </w:r>
      <w:r>
        <w:rPr>
          <w:color w:val="000000" w:themeColor="text1"/>
          <w:lang w:val="sq-AL"/>
          <w14:textFill>
            <w14:solidFill>
              <w14:schemeClr w14:val="tx1"/>
            </w14:solidFill>
          </w14:textFill>
        </w:rPr>
        <w:t>Prevention through Design for Safety in Buildings</w:t>
      </w:r>
      <w:r>
        <w:rPr>
          <w:color w:val="000000" w:themeColor="text1"/>
          <w:w w:val="150"/>
          <w:lang w:val="sq-AL"/>
          <w14:textFill>
            <w14:solidFill>
              <w14:schemeClr w14:val="tx1"/>
            </w14:solidFill>
          </w14:textFill>
        </w:rPr>
        <w:t xml:space="preserve"> </w:t>
      </w:r>
    </w:p>
    <w:p w14:paraId="075ED39A">
      <w:pPr>
        <w:ind w:firstLine="480"/>
        <w:jc w:val="center"/>
        <w:rPr>
          <w:color w:val="000000" w:themeColor="text1"/>
          <w:szCs w:val="21"/>
          <w:lang w:val="de-DE"/>
          <w14:textFill>
            <w14:solidFill>
              <w14:schemeClr w14:val="tx1"/>
            </w14:solidFill>
          </w14:textFill>
        </w:rPr>
      </w:pPr>
    </w:p>
    <w:p w14:paraId="5BE87191">
      <w:pPr>
        <w:ind w:firstLine="600"/>
        <w:jc w:val="center"/>
        <w:rPr>
          <w:color w:val="000000"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T/CECS-</w:t>
      </w:r>
      <w:r>
        <w:rPr>
          <w:color w:val="000000" w:themeColor="text1"/>
          <w:sz w:val="30"/>
          <w:szCs w:val="30"/>
          <w14:textFill>
            <w14:solidFill>
              <w14:schemeClr w14:val="tx1"/>
            </w14:solidFill>
          </w14:textFill>
        </w:rPr>
        <w:t xml:space="preserve"> XXX</w:t>
      </w:r>
      <w:r>
        <w:rPr>
          <w:rFonts w:hint="eastAsia"/>
          <w:color w:val="000000" w:themeColor="text1"/>
          <w:sz w:val="30"/>
          <w:szCs w:val="30"/>
          <w14:textFill>
            <w14:solidFill>
              <w14:schemeClr w14:val="tx1"/>
            </w14:solidFill>
          </w14:textFill>
        </w:rPr>
        <w:t>-</w:t>
      </w:r>
      <w:r>
        <w:rPr>
          <w:color w:val="000000" w:themeColor="text1"/>
          <w:sz w:val="30"/>
          <w:szCs w:val="30"/>
          <w14:textFill>
            <w14:solidFill>
              <w14:schemeClr w14:val="tx1"/>
            </w14:solidFill>
          </w14:textFill>
        </w:rPr>
        <w:t xml:space="preserve"> 202</w:t>
      </w:r>
      <w:r>
        <w:rPr>
          <w:rFonts w:hint="eastAsia"/>
          <w:color w:val="000000" w:themeColor="text1"/>
          <w:sz w:val="30"/>
          <w:szCs w:val="30"/>
          <w14:textFill>
            <w14:solidFill>
              <w14:schemeClr w14:val="tx1"/>
            </w14:solidFill>
          </w14:textFill>
        </w:rPr>
        <w:t>5</w:t>
      </w:r>
    </w:p>
    <w:p w14:paraId="7F59B179">
      <w:pPr>
        <w:ind w:firstLine="480"/>
        <w:jc w:val="center"/>
        <w:rPr>
          <w:color w:val="000000" w:themeColor="text1"/>
          <w:szCs w:val="21"/>
          <w:lang w:val="de-DE"/>
          <w14:textFill>
            <w14:solidFill>
              <w14:schemeClr w14:val="tx1"/>
            </w14:solidFill>
          </w14:textFill>
        </w:rPr>
      </w:pPr>
    </w:p>
    <w:p w14:paraId="2EFA5B14">
      <w:pPr>
        <w:pStyle w:val="127"/>
        <w:rPr>
          <w:rFonts w:hint="default"/>
        </w:rPr>
      </w:pPr>
      <w:bookmarkStart w:id="113" w:name="_Toc10494007"/>
      <w:bookmarkStart w:id="114" w:name="_Toc19716"/>
      <w:bookmarkStart w:id="115" w:name="_Toc3965624"/>
      <w:bookmarkStart w:id="116" w:name="_Toc24788681"/>
      <w:bookmarkStart w:id="117" w:name="_Toc445039651"/>
      <w:bookmarkStart w:id="118" w:name="_Toc10579255"/>
      <w:r>
        <w:t>条文说明</w:t>
      </w:r>
      <w:bookmarkEnd w:id="113"/>
      <w:bookmarkEnd w:id="114"/>
      <w:bookmarkEnd w:id="115"/>
      <w:bookmarkEnd w:id="116"/>
      <w:bookmarkEnd w:id="117"/>
      <w:bookmarkEnd w:id="118"/>
    </w:p>
    <w:p w14:paraId="5584EC4D">
      <w:pPr>
        <w:widowControl/>
        <w:spacing w:line="240" w:lineRule="auto"/>
        <w:jc w:val="left"/>
      </w:pPr>
    </w:p>
    <w:sectPr>
      <w:headerReference r:id="rId17" w:type="first"/>
      <w:headerReference r:id="rId15" w:type="default"/>
      <w:footerReference r:id="rId18" w:type="default"/>
      <w:headerReference r:id="rId16" w:type="even"/>
      <w:pgSz w:w="11906" w:h="16838"/>
      <w:pgMar w:top="1418" w:right="1134" w:bottom="1134" w:left="1418" w:header="851" w:footer="992" w:gutter="0"/>
      <w:cols w:space="425"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imesNewRomanPS-BoldMT">
    <w:altName w:val="Times New Roman"/>
    <w:panose1 w:val="00000000000000000000"/>
    <w:charset w:val="00"/>
    <w:family w:val="roman"/>
    <w:pitch w:val="default"/>
    <w:sig w:usb0="00000000" w:usb1="00000000" w:usb2="00000009" w:usb3="00000000" w:csb0="000001FF" w:csb1="00000000"/>
  </w:font>
  <w:font w:name="TimesNewRomanPSMT">
    <w:altName w:val="Times New Roman"/>
    <w:panose1 w:val="00000000000000000000"/>
    <w:charset w:val="00"/>
    <w:family w:val="roman"/>
    <w:pitch w:val="default"/>
    <w:sig w:usb0="00000000" w:usb1="00000000" w:usb2="00000009" w:usb3="00000000" w:csb0="0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swiss"/>
    <w:pitch w:val="default"/>
    <w:sig w:usb0="E4002EFF" w:usb1="C000E47F" w:usb2="00000009" w:usb3="00000000" w:csb0="200001FF" w:csb1="00000000"/>
  </w:font>
  <w:font w:name="Times New Roman (正文 CS 字体)">
    <w:altName w:val="宋体"/>
    <w:panose1 w:val="00000000000000000000"/>
    <w:charset w:val="00"/>
    <w:family w:val="roman"/>
    <w:pitch w:val="default"/>
    <w:sig w:usb0="00000000" w:usb1="00000000" w:usb2="00000009" w:usb3="00000000" w:csb0="000001FF" w:csb1="00000000"/>
  </w:font>
  <w:font w:name="Arial Narrow">
    <w:panose1 w:val="020B0606020202030204"/>
    <w:charset w:val="00"/>
    <w:family w:val="swiss"/>
    <w:pitch w:val="default"/>
    <w:sig w:usb0="00000287" w:usb1="00000800" w:usb2="00000000" w:usb3="00000000" w:csb0="2000009F" w:csb1="DFD7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73856">
    <w:pPr>
      <w:pStyle w:val="20"/>
      <w:ind w:right="18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EB7FFE">
    <w:pPr>
      <w:pStyle w:val="20"/>
      <w:framePr w:wrap="around" w:vAnchor="text" w:hAnchor="margin" w:xAlign="right" w:y="1"/>
      <w:ind w:firstLine="360"/>
      <w:rPr>
        <w:rStyle w:val="34"/>
      </w:rPr>
    </w:pPr>
    <w:r>
      <w:fldChar w:fldCharType="begin"/>
    </w:r>
    <w:r>
      <w:rPr>
        <w:rStyle w:val="34"/>
      </w:rPr>
      <w:instrText xml:space="preserve">PAGE  </w:instrText>
    </w:r>
    <w:r>
      <w:fldChar w:fldCharType="end"/>
    </w:r>
  </w:p>
  <w:p w14:paraId="319A0E03">
    <w:pPr>
      <w:pStyle w:val="2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DC3222">
    <w:pPr>
      <w:pStyle w:val="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38425">
    <w:pPr>
      <w:pStyle w:val="20"/>
      <w:ind w:firstLine="360"/>
      <w:jc w:val="right"/>
    </w:pPr>
    <w:r>
      <w:fldChar w:fldCharType="begin"/>
    </w:r>
    <w:r>
      <w:instrText xml:space="preserve">PAGE   \* MERGEFORMAT</w:instrText>
    </w:r>
    <w:r>
      <w:fldChar w:fldCharType="separate"/>
    </w:r>
    <w:r>
      <w:rPr>
        <w:lang w:val="zh-CN"/>
      </w:rPr>
      <w:t>8</w:t>
    </w:r>
    <w:r>
      <w:fldChar w:fldCharType="end"/>
    </w:r>
  </w:p>
  <w:p w14:paraId="628149B2">
    <w:pPr>
      <w:pStyle w:val="20"/>
      <w:ind w:right="630" w:firstLine="360"/>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FC526">
    <w:pPr>
      <w:pStyle w:val="20"/>
      <w:ind w:firstLine="360"/>
      <w:jc w:val="right"/>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676581">
                          <w:pPr>
                            <w:pStyle w:val="20"/>
                            <w:ind w:firstLine="360"/>
                            <w:jc w:val="right"/>
                          </w:pPr>
                          <w:r>
                            <w:fldChar w:fldCharType="begin"/>
                          </w:r>
                          <w:r>
                            <w:instrText xml:space="preserve">PAGE   \* MERGEFORMAT</w:instrText>
                          </w:r>
                          <w:r>
                            <w:fldChar w:fldCharType="separate"/>
                          </w:r>
                          <w:r>
                            <w:rPr>
                              <w:lang w:val="zh-CN"/>
                            </w:rP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62676581">
                    <w:pPr>
                      <w:pStyle w:val="20"/>
                      <w:ind w:firstLine="360"/>
                      <w:jc w:val="right"/>
                    </w:pPr>
                    <w:r>
                      <w:fldChar w:fldCharType="begin"/>
                    </w:r>
                    <w:r>
                      <w:instrText xml:space="preserve">PAGE   \* MERGEFORMAT</w:instrText>
                    </w:r>
                    <w:r>
                      <w:fldChar w:fldCharType="separate"/>
                    </w:r>
                    <w:r>
                      <w:rPr>
                        <w:lang w:val="zh-CN"/>
                      </w:rPr>
                      <w:t>8</w:t>
                    </w:r>
                    <w:r>
                      <w:fldChar w:fldCharType="end"/>
                    </w:r>
                  </w:p>
                </w:txbxContent>
              </v:textbox>
            </v:shape>
          </w:pict>
        </mc:Fallback>
      </mc:AlternateContent>
    </w:r>
  </w:p>
  <w:p w14:paraId="18CB0FD5">
    <w:pPr>
      <w:pStyle w:val="20"/>
      <w:ind w:right="630" w:firstLine="360"/>
      <w:jc w:val="righ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86201F">
    <w:pPr>
      <w:pStyle w:val="20"/>
      <w:ind w:firstLine="360"/>
      <w:jc w:val="cente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6334"/>
                          </w:sdtPr>
                          <w:sdtContent>
                            <w:p w14:paraId="34769F82">
                              <w:pPr>
                                <w:pStyle w:val="20"/>
                                <w:ind w:firstLine="360"/>
                                <w:jc w:val="center"/>
                              </w:pPr>
                              <w:r>
                                <w:rPr>
                                  <w:lang w:val="sq-AL"/>
                                </w:rPr>
                                <w:fldChar w:fldCharType="begin"/>
                              </w:r>
                              <w:r>
                                <w:instrText xml:space="preserve">PAGE   \* MERGEFORMAT</w:instrText>
                              </w:r>
                              <w:r>
                                <w:rPr>
                                  <w:lang w:val="sq-AL"/>
                                </w:rPr>
                                <w:fldChar w:fldCharType="separate"/>
                              </w:r>
                              <w:r>
                                <w:rPr>
                                  <w:lang w:val="zh-CN"/>
                                </w:rPr>
                                <w:t>32</w:t>
                              </w:r>
                              <w:r>
                                <w:rPr>
                                  <w:lang w:val="zh-CN"/>
                                </w:rPr>
                                <w:fldChar w:fldCharType="end"/>
                              </w:r>
                            </w:p>
                          </w:sdtContent>
                        </w:sdt>
                        <w:p w14:paraId="45D1FDD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sdt>
                    <w:sdtPr>
                      <w:id w:val="147476334"/>
                    </w:sdtPr>
                    <w:sdtContent>
                      <w:p w14:paraId="34769F82">
                        <w:pPr>
                          <w:pStyle w:val="20"/>
                          <w:ind w:firstLine="360"/>
                          <w:jc w:val="center"/>
                        </w:pPr>
                        <w:r>
                          <w:rPr>
                            <w:lang w:val="sq-AL"/>
                          </w:rPr>
                          <w:fldChar w:fldCharType="begin"/>
                        </w:r>
                        <w:r>
                          <w:instrText xml:space="preserve">PAGE   \* MERGEFORMAT</w:instrText>
                        </w:r>
                        <w:r>
                          <w:rPr>
                            <w:lang w:val="sq-AL"/>
                          </w:rPr>
                          <w:fldChar w:fldCharType="separate"/>
                        </w:r>
                        <w:r>
                          <w:rPr>
                            <w:lang w:val="zh-CN"/>
                          </w:rPr>
                          <w:t>32</w:t>
                        </w:r>
                        <w:r>
                          <w:rPr>
                            <w:lang w:val="zh-CN"/>
                          </w:rPr>
                          <w:fldChar w:fldCharType="end"/>
                        </w:r>
                      </w:p>
                    </w:sdtContent>
                  </w:sdt>
                  <w:p w14:paraId="45D1FDD7"/>
                </w:txbxContent>
              </v:textbox>
            </v:shape>
          </w:pict>
        </mc:Fallback>
      </mc:AlternateContent>
    </w:r>
  </w:p>
  <w:p w14:paraId="248B2027">
    <w:pPr>
      <w:ind w:right="65" w:firstLine="260"/>
      <w:jc w:val="right"/>
      <w:rPr>
        <w:rFonts w:hint="eastAsia" w:ascii="黑体" w:hAnsi="黑体" w:eastAsia="黑体"/>
        <w:color w:val="000000"/>
        <w:sz w:val="13"/>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5F4C1">
    <w:pPr>
      <w:pStyle w:val="20"/>
      <w:ind w:firstLine="360"/>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67480"/>
                          </w:sdtPr>
                          <w:sdtContent>
                            <w:p w14:paraId="48F8397D">
                              <w:pPr>
                                <w:pStyle w:val="20"/>
                                <w:ind w:firstLine="360"/>
                                <w:jc w:val="center"/>
                              </w:pPr>
                              <w:r>
                                <w:rPr>
                                  <w:lang w:val="sq-AL"/>
                                </w:rPr>
                                <w:fldChar w:fldCharType="begin"/>
                              </w:r>
                              <w:r>
                                <w:instrText xml:space="preserve">PAGE   \* MERGEFORMAT</w:instrText>
                              </w:r>
                              <w:r>
                                <w:rPr>
                                  <w:lang w:val="sq-AL"/>
                                </w:rPr>
                                <w:fldChar w:fldCharType="separate"/>
                              </w:r>
                              <w:r>
                                <w:rPr>
                                  <w:lang w:val="zh-CN"/>
                                </w:rPr>
                                <w:t>37</w:t>
                              </w:r>
                              <w:r>
                                <w:rPr>
                                  <w:lang w:val="zh-CN"/>
                                </w:rPr>
                                <w:fldChar w:fldCharType="end"/>
                              </w:r>
                            </w:p>
                          </w:sdtContent>
                        </w:sdt>
                        <w:p w14:paraId="75C254F6"/>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sdt>
                    <w:sdtPr>
                      <w:id w:val="147467480"/>
                    </w:sdtPr>
                    <w:sdtContent>
                      <w:p w14:paraId="48F8397D">
                        <w:pPr>
                          <w:pStyle w:val="20"/>
                          <w:ind w:firstLine="360"/>
                          <w:jc w:val="center"/>
                        </w:pPr>
                        <w:r>
                          <w:rPr>
                            <w:lang w:val="sq-AL"/>
                          </w:rPr>
                          <w:fldChar w:fldCharType="begin"/>
                        </w:r>
                        <w:r>
                          <w:instrText xml:space="preserve">PAGE   \* MERGEFORMAT</w:instrText>
                        </w:r>
                        <w:r>
                          <w:rPr>
                            <w:lang w:val="sq-AL"/>
                          </w:rPr>
                          <w:fldChar w:fldCharType="separate"/>
                        </w:r>
                        <w:r>
                          <w:rPr>
                            <w:lang w:val="zh-CN"/>
                          </w:rPr>
                          <w:t>37</w:t>
                        </w:r>
                        <w:r>
                          <w:rPr>
                            <w:lang w:val="zh-CN"/>
                          </w:rPr>
                          <w:fldChar w:fldCharType="end"/>
                        </w:r>
                      </w:p>
                    </w:sdtContent>
                  </w:sdt>
                  <w:p w14:paraId="75C254F6"/>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783AF">
    <w:pPr>
      <w:pStyle w:val="20"/>
      <w:ind w:firstLine="360"/>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1575"/>
                          </w:sdtPr>
                          <w:sdtContent>
                            <w:p w14:paraId="79F1649A">
                              <w:pPr>
                                <w:pStyle w:val="20"/>
                                <w:ind w:firstLine="360"/>
                                <w:jc w:val="center"/>
                              </w:pPr>
                              <w:r>
                                <w:rPr>
                                  <w:lang w:val="sq-AL"/>
                                </w:rPr>
                                <w:fldChar w:fldCharType="begin"/>
                              </w:r>
                              <w:r>
                                <w:instrText xml:space="preserve">PAGE   \* MERGEFORMAT</w:instrText>
                              </w:r>
                              <w:r>
                                <w:rPr>
                                  <w:lang w:val="sq-AL"/>
                                </w:rPr>
                                <w:fldChar w:fldCharType="separate"/>
                              </w:r>
                              <w:r>
                                <w:rPr>
                                  <w:lang w:val="zh-CN"/>
                                </w:rPr>
                                <w:t>46</w:t>
                              </w:r>
                              <w:r>
                                <w:rPr>
                                  <w:lang w:val="zh-CN"/>
                                </w:rPr>
                                <w:fldChar w:fldCharType="end"/>
                              </w:r>
                            </w:p>
                          </w:sdtContent>
                        </w:sdt>
                        <w:p w14:paraId="3CAD622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sdt>
                    <w:sdtPr>
                      <w:id w:val="147471575"/>
                    </w:sdtPr>
                    <w:sdtContent>
                      <w:p w14:paraId="79F1649A">
                        <w:pPr>
                          <w:pStyle w:val="20"/>
                          <w:ind w:firstLine="360"/>
                          <w:jc w:val="center"/>
                        </w:pPr>
                        <w:r>
                          <w:rPr>
                            <w:lang w:val="sq-AL"/>
                          </w:rPr>
                          <w:fldChar w:fldCharType="begin"/>
                        </w:r>
                        <w:r>
                          <w:instrText xml:space="preserve">PAGE   \* MERGEFORMAT</w:instrText>
                        </w:r>
                        <w:r>
                          <w:rPr>
                            <w:lang w:val="sq-AL"/>
                          </w:rPr>
                          <w:fldChar w:fldCharType="separate"/>
                        </w:r>
                        <w:r>
                          <w:rPr>
                            <w:lang w:val="zh-CN"/>
                          </w:rPr>
                          <w:t>46</w:t>
                        </w:r>
                        <w:r>
                          <w:rPr>
                            <w:lang w:val="zh-CN"/>
                          </w:rPr>
                          <w:fldChar w:fldCharType="end"/>
                        </w:r>
                      </w:p>
                    </w:sdtContent>
                  </w:sdt>
                  <w:p w14:paraId="3CAD6227"/>
                </w:txbxContent>
              </v:textbox>
            </v:shape>
          </w:pict>
        </mc:Fallback>
      </mc:AlternateContent>
    </w:r>
  </w:p>
  <w:p w14:paraId="1AF3A8D8">
    <w:pPr>
      <w:pStyle w:val="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5D94F">
    <w:pPr>
      <w:pStyle w:val="21"/>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DF119">
    <w:pPr>
      <w:pStyle w:val="2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0CA6AC">
    <w:pPr>
      <w:pStyle w:val="21"/>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DF87BB">
    <w:pPr>
      <w:pStyle w:val="21"/>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7F03E">
    <w:pPr>
      <w:pStyle w:val="21"/>
      <w:pBdr>
        <w:bottom w:val="none" w:color="auto" w:sz="0" w:space="0"/>
      </w:pBdr>
      <w:ind w:firstLine="360"/>
    </w:pPr>
    <w:r>
      <mc:AlternateContent>
        <mc:Choice Requires="wps">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3200400" cy="314325"/>
              <wp:effectExtent l="0" t="0" r="0" b="0"/>
              <wp:wrapNone/>
              <wp:docPr id="6" name="WordArt 2"/>
              <wp:cNvGraphicFramePr/>
              <a:graphic xmlns:a="http://schemas.openxmlformats.org/drawingml/2006/main">
                <a:graphicData uri="http://schemas.microsoft.com/office/word/2010/wordprocessingShape">
                  <wps:wsp>
                    <wps:cNvSpPr txBox="1"/>
                    <wps:spPr bwMode="auto">
                      <a:xfrm rot="18900000">
                        <a:off x="0" y="0"/>
                        <a:ext cx="3200400" cy="314325"/>
                      </a:xfrm>
                      <a:prstGeom prst="rect">
                        <a:avLst/>
                      </a:prstGeom>
                    </wps:spPr>
                    <wps:txbx>
                      <w:txbxContent>
                        <w:p w14:paraId="7C3B2953">
                          <w:pPr>
                            <w:ind w:firstLine="640"/>
                            <w:jc w:val="center"/>
                            <w:rPr>
                              <w:kern w:val="0"/>
                            </w:rPr>
                          </w:pPr>
                          <w:r>
                            <w:rPr>
                              <w:rFonts w:hint="eastAsia" w:ascii="宋体" w:hAnsi="宋体"/>
                              <w:color w:val="000000"/>
                              <w:sz w:val="32"/>
                              <w:szCs w:val="32"/>
                              <w14:textFill>
                                <w14:solidFill>
                                  <w14:srgbClr w14:val="000000">
                                    <w14:alpha w14:val="50000"/>
                                  </w14:srgbClr>
                                </w14:solidFill>
                              </w14:textFill>
                            </w:rPr>
                            <w:t>预荐-室内环境管理专家</w:t>
                          </w:r>
                        </w:p>
                      </w:txbxContent>
                    </wps:txbx>
                    <wps:bodyPr wrap="square" lIns="0" tIns="0" rIns="0" bIns="0" numCol="1" fromWordArt="1">
                      <a:prstTxWarp prst="textPlain">
                        <a:avLst>
                          <a:gd name="adj" fmla="val 50000"/>
                        </a:avLst>
                      </a:prstTxWarp>
                      <a:noAutofit/>
                    </wps:bodyPr>
                  </wps:wsp>
                </a:graphicData>
              </a:graphic>
            </wp:anchor>
          </w:drawing>
        </mc:Choice>
        <mc:Fallback>
          <w:pict>
            <v:shape id="WordArt 2" o:spid="_x0000_s1026" o:spt="202" type="#_x0000_t202" style="position:absolute;left:0pt;height:24.75pt;width:252pt;mso-position-horizontal:center;mso-position-horizontal-relative:margin;mso-position-vertical:center;mso-position-vertical-relative:margin;rotation:-2949120f;z-index:-251655168;mso-width-relative:page;mso-height-relative:page;" filled="f" stroked="f" coordsize="21600,21600" o:allowincell="f" o:gfxdata="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uEFU3UAAAABAEAAA8AAAAAAAAAAQAgAAAAIgAAAGRycy9kb3ducmV2LnhtbFBL&#10;AQIUABQAAAAIAIdO4kDjqX1C+gEAAAUEAAAOAAAAAAAAAAEAIAAAACMBAABkcnMvZTJvRG9jLnht&#10;bFBLBQYAAAAABgAGAFkBAACPBQAAAAA=&#10;" adj="10800">
              <v:fill on="f" focussize="0,0"/>
              <v:stroke on="f"/>
              <v:imagedata o:title=""/>
              <o:lock v:ext="edit" aspectratio="f"/>
              <v:textbox inset="0mm,0mm,0mm,0mm">
                <w:txbxContent>
                  <w:p w14:paraId="7C3B2953">
                    <w:pPr>
                      <w:ind w:firstLine="640"/>
                      <w:jc w:val="center"/>
                      <w:rPr>
                        <w:kern w:val="0"/>
                      </w:rPr>
                    </w:pPr>
                    <w:r>
                      <w:rPr>
                        <w:rFonts w:hint="eastAsia" w:ascii="宋体" w:hAnsi="宋体"/>
                        <w:color w:val="000000"/>
                        <w:sz w:val="32"/>
                        <w:szCs w:val="32"/>
                        <w14:textFill>
                          <w14:solidFill>
                            <w14:srgbClr w14:val="000000">
                              <w14:alpha w14:val="50000"/>
                            </w14:srgbClr>
                          </w14:solidFill>
                        </w14:textFill>
                      </w:rPr>
                      <w:t>预荐-室内环境管理专家</w:t>
                    </w: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4EC66">
    <w:pPr>
      <w:pStyle w:val="21"/>
      <w:ind w:firstLine="360"/>
    </w:pPr>
    <w:r>
      <mc:AlternateContent>
        <mc:Choice Requires="wps">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3200400" cy="314325"/>
              <wp:effectExtent l="0" t="0" r="0" b="0"/>
              <wp:wrapNone/>
              <wp:docPr id="3" name="WordArt 1"/>
              <wp:cNvGraphicFramePr/>
              <a:graphic xmlns:a="http://schemas.openxmlformats.org/drawingml/2006/main">
                <a:graphicData uri="http://schemas.microsoft.com/office/word/2010/wordprocessingShape">
                  <wps:wsp>
                    <wps:cNvSpPr txBox="1"/>
                    <wps:spPr bwMode="auto">
                      <a:xfrm rot="18900000">
                        <a:off x="0" y="0"/>
                        <a:ext cx="3200400" cy="314325"/>
                      </a:xfrm>
                      <a:prstGeom prst="rect">
                        <a:avLst/>
                      </a:prstGeom>
                    </wps:spPr>
                    <wps:txbx>
                      <w:txbxContent>
                        <w:p w14:paraId="7B473F8F">
                          <w:pPr>
                            <w:ind w:firstLine="640"/>
                            <w:jc w:val="center"/>
                            <w:rPr>
                              <w:kern w:val="0"/>
                            </w:rPr>
                          </w:pPr>
                          <w:r>
                            <w:rPr>
                              <w:rFonts w:hint="eastAsia" w:ascii="宋体" w:hAnsi="宋体"/>
                              <w:color w:val="000000"/>
                              <w:sz w:val="32"/>
                              <w:szCs w:val="32"/>
                              <w14:textFill>
                                <w14:solidFill>
                                  <w14:srgbClr w14:val="000000">
                                    <w14:alpha w14:val="50000"/>
                                  </w14:srgbClr>
                                </w14:solidFill>
                              </w14:textFill>
                            </w:rPr>
                            <w:t>预荐-室内环境管理专家</w:t>
                          </w:r>
                        </w:p>
                      </w:txbxContent>
                    </wps:txbx>
                    <wps:bodyPr wrap="square" lIns="0" tIns="0" rIns="0" bIns="0" numCol="1" fromWordArt="1">
                      <a:prstTxWarp prst="textPlain">
                        <a:avLst>
                          <a:gd name="adj" fmla="val 50000"/>
                        </a:avLst>
                      </a:prstTxWarp>
                      <a:noAutofit/>
                    </wps:bodyPr>
                  </wps:wsp>
                </a:graphicData>
              </a:graphic>
            </wp:anchor>
          </w:drawing>
        </mc:Choice>
        <mc:Fallback>
          <w:pict>
            <v:shape id="WordArt 1" o:spid="_x0000_s1026" o:spt="202" type="#_x0000_t202" style="position:absolute;left:0pt;height:24.75pt;width:252pt;mso-position-horizontal:center;mso-position-horizontal-relative:margin;mso-position-vertical:center;mso-position-vertical-relative:margin;rotation:-2949120f;z-index:-251654144;mso-width-relative:page;mso-height-relative:page;" filled="f" stroked="f" coordsize="21600,21600" o:allowincell="f" o:gfxdata="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uEFU3UAAAABAEAAA8AAAAAAAAAAQAgAAAAIgAAAGRycy9kb3ducmV2LnhtbFBL&#10;AQIUABQAAAAIAIdO4kA19n5d+gEAAAUEAAAOAAAAAAAAAAEAIAAAACMBAABkcnMvZTJvRG9jLnht&#10;bFBLBQYAAAAABgAGAFkBAACPBQAAAAA=&#10;" adj="10800">
              <v:fill on="f" focussize="0,0"/>
              <v:stroke on="f"/>
              <v:imagedata o:title=""/>
              <o:lock v:ext="edit" aspectratio="f"/>
              <v:textbox inset="0mm,0mm,0mm,0mm">
                <w:txbxContent>
                  <w:p w14:paraId="7B473F8F">
                    <w:pPr>
                      <w:ind w:firstLine="640"/>
                      <w:jc w:val="center"/>
                      <w:rPr>
                        <w:kern w:val="0"/>
                      </w:rPr>
                    </w:pPr>
                    <w:r>
                      <w:rPr>
                        <w:rFonts w:hint="eastAsia" w:ascii="宋体" w:hAnsi="宋体"/>
                        <w:color w:val="000000"/>
                        <w:sz w:val="32"/>
                        <w:szCs w:val="32"/>
                        <w14:textFill>
                          <w14:solidFill>
                            <w14:srgbClr w14:val="000000">
                              <w14:alpha w14:val="50000"/>
                            </w14:srgbClr>
                          </w14:solidFill>
                        </w14:textFill>
                      </w:rPr>
                      <w:t>预荐-室内环境管理专家</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944A19"/>
    <w:multiLevelType w:val="singleLevel"/>
    <w:tmpl w:val="13944A19"/>
    <w:lvl w:ilvl="0" w:tentative="0">
      <w:start w:val="1"/>
      <w:numFmt w:val="decimal"/>
      <w:lvlText w:val="%1"/>
      <w:lvlJc w:val="left"/>
      <w:pPr>
        <w:ind w:left="0" w:firstLine="40"/>
      </w:pPr>
      <w:rPr>
        <w:rFonts w:hint="default"/>
      </w:rPr>
    </w:lvl>
  </w:abstractNum>
  <w:abstractNum w:abstractNumId="1">
    <w:nsid w:val="13D91713"/>
    <w:multiLevelType w:val="multilevel"/>
    <w:tmpl w:val="13D91713"/>
    <w:lvl w:ilvl="0" w:tentative="0">
      <w:start w:val="0"/>
      <w:numFmt w:val="bullet"/>
      <w:lvlText w:val="●"/>
      <w:lvlJc w:val="left"/>
      <w:pPr>
        <w:ind w:left="360" w:hanging="360"/>
      </w:pPr>
      <w:rPr>
        <w:rFonts w:hint="eastAsia" w:ascii="宋体" w:hAnsi="宋体" w:eastAsia="宋体" w:cs="Times New Roman (正文 CS 字体)"/>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2">
    <w:nsid w:val="145C37BE"/>
    <w:multiLevelType w:val="multilevel"/>
    <w:tmpl w:val="145C37BE"/>
    <w:lvl w:ilvl="0" w:tentative="0">
      <w:start w:val="1"/>
      <w:numFmt w:val="decimal"/>
      <w:lvlText w:val="4.2.%1"/>
      <w:lvlJc w:val="left"/>
      <w:rPr>
        <w:rFonts w:hint="default" w:ascii="Times New Roman" w:hAnsi="Times New Roman" w:cs="Times New Roman"/>
        <w:b/>
        <w:i w:val="0"/>
        <w:sz w:val="24"/>
        <w:szCs w:val="24"/>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BD864A7"/>
    <w:multiLevelType w:val="multilevel"/>
    <w:tmpl w:val="1BD864A7"/>
    <w:lvl w:ilvl="0" w:tentative="0">
      <w:start w:val="1"/>
      <w:numFmt w:val="decimal"/>
      <w:lvlText w:val="4.3.%1"/>
      <w:lvlJc w:val="left"/>
      <w:rPr>
        <w:rFonts w:hint="default" w:ascii="Times New Roman" w:hAnsi="Times New Roman" w:cs="Times New Roman"/>
        <w:b/>
        <w:i w:val="0"/>
        <w:sz w:val="24"/>
        <w:szCs w:val="24"/>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F7731EB"/>
    <w:multiLevelType w:val="multilevel"/>
    <w:tmpl w:val="2F7731EB"/>
    <w:lvl w:ilvl="0" w:tentative="0">
      <w:start w:val="1"/>
      <w:numFmt w:val="decimal"/>
      <w:lvlText w:val="1.0.%1"/>
      <w:lvlJc w:val="left"/>
      <w:pPr>
        <w:tabs>
          <w:tab w:val="left" w:pos="839"/>
        </w:tabs>
        <w:ind w:left="0" w:firstLine="0"/>
      </w:pPr>
      <w:rPr>
        <w:rFonts w:hint="default" w:ascii="Times New Roman" w:hAnsi="Times New Roman"/>
        <w:b/>
        <w:i w:val="0"/>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5761C97"/>
    <w:multiLevelType w:val="multilevel"/>
    <w:tmpl w:val="35761C97"/>
    <w:lvl w:ilvl="0" w:tentative="0">
      <w:start w:val="1"/>
      <w:numFmt w:val="decimal"/>
      <w:lvlText w:val="%1"/>
      <w:lvlJc w:val="left"/>
      <w:pPr>
        <w:ind w:left="780" w:hanging="360"/>
      </w:pPr>
      <w:rPr>
        <w:rFonts w:hint="default" w:ascii="Times New Roman" w:hAnsi="Times New Roman"/>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35F1110A"/>
    <w:multiLevelType w:val="multilevel"/>
    <w:tmpl w:val="35F1110A"/>
    <w:lvl w:ilvl="0" w:tentative="0">
      <w:start w:val="1"/>
      <w:numFmt w:val="decimal"/>
      <w:lvlText w:val="4.6.%1"/>
      <w:lvlJc w:val="left"/>
      <w:rPr>
        <w:rFonts w:hint="default"/>
        <w:b/>
        <w:i w:val="0"/>
        <w:sz w:val="24"/>
        <w:szCs w:val="24"/>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7F5782D"/>
    <w:multiLevelType w:val="multilevel"/>
    <w:tmpl w:val="37F5782D"/>
    <w:lvl w:ilvl="0" w:tentative="0">
      <w:start w:val="1"/>
      <w:numFmt w:val="decimal"/>
      <w:lvlText w:val="4.4.%1"/>
      <w:lvlJc w:val="left"/>
      <w:rPr>
        <w:rFonts w:hint="default" w:ascii="Times New Roman" w:hAnsi="Times New Roman" w:cs="Times New Roman"/>
        <w:b/>
        <w:i w:val="0"/>
        <w:sz w:val="24"/>
        <w:szCs w:val="24"/>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FBF3BDF"/>
    <w:multiLevelType w:val="multilevel"/>
    <w:tmpl w:val="3FBF3BDF"/>
    <w:lvl w:ilvl="0" w:tentative="0">
      <w:start w:val="1"/>
      <w:numFmt w:val="decimal"/>
      <w:lvlText w:val="4.5.%1"/>
      <w:lvlJc w:val="left"/>
      <w:rPr>
        <w:rFonts w:hint="default" w:ascii="Times New Roman" w:hAnsi="Times New Roman" w:cs="Times New Roman"/>
        <w:b/>
        <w:i w:val="0"/>
        <w:sz w:val="24"/>
        <w:szCs w:val="24"/>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405D751A"/>
    <w:multiLevelType w:val="multilevel"/>
    <w:tmpl w:val="405D751A"/>
    <w:lvl w:ilvl="0" w:tentative="0">
      <w:start w:val="1"/>
      <w:numFmt w:val="decimal"/>
      <w:lvlText w:val="2.0.%1"/>
      <w:lvlJc w:val="left"/>
      <w:pPr>
        <w:ind w:left="1260" w:hanging="420"/>
      </w:pPr>
      <w:rPr>
        <w:rFonts w:hint="default"/>
        <w:sz w:val="24"/>
        <w:szCs w:val="24"/>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0">
    <w:nsid w:val="548E15F5"/>
    <w:multiLevelType w:val="multilevel"/>
    <w:tmpl w:val="548E15F5"/>
    <w:lvl w:ilvl="0" w:tentative="0">
      <w:start w:val="1"/>
      <w:numFmt w:val="decimal"/>
      <w:pStyle w:val="129"/>
      <w:lvlText w:val="3.0.%1"/>
      <w:lvlJc w:val="left"/>
      <w:pPr>
        <w:tabs>
          <w:tab w:val="left" w:pos="839"/>
        </w:tabs>
        <w:ind w:left="0" w:firstLine="0"/>
      </w:pPr>
      <w:rPr>
        <w:rFonts w:hint="default" w:ascii="Times New Roman" w:hAnsi="Times New Roman"/>
        <w:b/>
        <w:i w:val="0"/>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646260FA"/>
    <w:multiLevelType w:val="multilevel"/>
    <w:tmpl w:val="646260FA"/>
    <w:lvl w:ilvl="0" w:tentative="0">
      <w:start w:val="1"/>
      <w:numFmt w:val="decimal"/>
      <w:pStyle w:val="76"/>
      <w:suff w:val="nothing"/>
      <w:lvlText w:val="表%1　"/>
      <w:lvlJc w:val="left"/>
      <w:pPr>
        <w:ind w:left="0" w:firstLine="0"/>
      </w:pPr>
      <w:rPr>
        <w:rFonts w:hint="eastAsia" w:ascii="宋体" w:hAnsi="宋体" w:eastAsia="宋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2">
    <w:nsid w:val="65216A7F"/>
    <w:multiLevelType w:val="multilevel"/>
    <w:tmpl w:val="65216A7F"/>
    <w:lvl w:ilvl="0" w:tentative="0">
      <w:start w:val="2"/>
      <w:numFmt w:val="decimal"/>
      <w:pStyle w:val="62"/>
      <w:lvlText w:val="2.0.%1"/>
      <w:lvlJc w:val="left"/>
      <w:pPr>
        <w:ind w:left="420" w:hanging="420"/>
      </w:pPr>
      <w:rPr>
        <w:rFonts w:hint="default"/>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6CEA2025"/>
    <w:multiLevelType w:val="multilevel"/>
    <w:tmpl w:val="6CEA2025"/>
    <w:lvl w:ilvl="0" w:tentative="0">
      <w:start w:val="1"/>
      <w:numFmt w:val="none"/>
      <w:pStyle w:val="68"/>
      <w:suff w:val="nothing"/>
      <w:lvlText w:val="%1"/>
      <w:lvlJc w:val="left"/>
      <w:pPr>
        <w:ind w:left="0" w:firstLine="0"/>
      </w:pPr>
      <w:rPr>
        <w:rFonts w:hint="default" w:ascii="Times New Roman" w:hAnsi="Times New Roman"/>
        <w:b/>
        <w:i w:val="0"/>
        <w:sz w:val="21"/>
      </w:rPr>
    </w:lvl>
    <w:lvl w:ilvl="1" w:tentative="0">
      <w:start w:val="1"/>
      <w:numFmt w:val="decimal"/>
      <w:pStyle w:val="83"/>
      <w:suff w:val="nothing"/>
      <w:lvlText w:val="%1%2　"/>
      <w:lvlJc w:val="left"/>
      <w:pPr>
        <w:ind w:left="0" w:firstLine="0"/>
      </w:pPr>
      <w:rPr>
        <w:rFonts w:hint="eastAsia" w:ascii="黑体" w:hAnsi="Times New Roman" w:eastAsia="黑体"/>
        <w:b w:val="0"/>
        <w:i w:val="0"/>
        <w:sz w:val="21"/>
      </w:rPr>
    </w:lvl>
    <w:lvl w:ilvl="2" w:tentative="0">
      <w:start w:val="1"/>
      <w:numFmt w:val="decimal"/>
      <w:pStyle w:val="74"/>
      <w:suff w:val="nothing"/>
      <w:lvlText w:val="%1%2.%3　"/>
      <w:lvlJc w:val="left"/>
      <w:pPr>
        <w:ind w:left="420" w:firstLine="0"/>
      </w:pPr>
      <w:rPr>
        <w:rFonts w:hint="eastAsia" w:ascii="黑体" w:hAnsi="Times New Roman" w:eastAsia="黑体"/>
        <w:b w:val="0"/>
        <w:i w:val="0"/>
        <w:sz w:val="21"/>
      </w:rPr>
    </w:lvl>
    <w:lvl w:ilvl="3" w:tentative="0">
      <w:start w:val="1"/>
      <w:numFmt w:val="decimal"/>
      <w:pStyle w:val="73"/>
      <w:suff w:val="nothing"/>
      <w:lvlText w:val="%1%2.%3.%4　"/>
      <w:lvlJc w:val="left"/>
      <w:pPr>
        <w:ind w:left="0" w:firstLine="0"/>
      </w:pPr>
      <w:rPr>
        <w:rFonts w:hint="eastAsia" w:ascii="宋体" w:hAnsi="宋体" w:eastAsia="宋体"/>
        <w:b w:val="0"/>
        <w:bCs w:val="0"/>
        <w:i w:val="0"/>
        <w:iCs w:val="0"/>
        <w:caps w:val="0"/>
        <w:smallCaps w:val="0"/>
        <w:strike w:val="0"/>
        <w:dstrike w:val="0"/>
        <w:color w:val="000000"/>
        <w:spacing w:val="0"/>
        <w:w w:val="100"/>
        <w:kern w:val="0"/>
        <w:position w:val="0"/>
        <w:sz w:val="21"/>
        <w:u w:val="none"/>
        <w:shd w:val="clear" w:color="auto" w:fill="auto"/>
        <w14:shadow w14:blurRad="0" w14:dist="0" w14:dir="0" w14:sx="0" w14:sy="0" w14:kx="0" w14:ky="0" w14:algn="none">
          <w14:srgbClr w14:val="000000"/>
        </w14:shadow>
      </w:rPr>
    </w:lvl>
    <w:lvl w:ilvl="4" w:tentative="0">
      <w:start w:val="1"/>
      <w:numFmt w:val="decimal"/>
      <w:pStyle w:val="72"/>
      <w:suff w:val="nothing"/>
      <w:lvlText w:val="%1%2.%3.%4.%5　"/>
      <w:lvlJc w:val="left"/>
      <w:pPr>
        <w:ind w:left="0" w:firstLine="0"/>
      </w:pPr>
      <w:rPr>
        <w:rFonts w:hint="eastAsia" w:ascii="黑体" w:hAnsi="Times New Roman" w:eastAsia="黑体"/>
        <w:b w:val="0"/>
        <w:i w:val="0"/>
        <w:sz w:val="21"/>
      </w:rPr>
    </w:lvl>
    <w:lvl w:ilvl="5" w:tentative="0">
      <w:start w:val="1"/>
      <w:numFmt w:val="decimal"/>
      <w:pStyle w:val="71"/>
      <w:suff w:val="nothing"/>
      <w:lvlText w:val="%1%2.%3.%4.%5.%6　"/>
      <w:lvlJc w:val="left"/>
      <w:pPr>
        <w:ind w:left="0" w:firstLine="0"/>
      </w:pPr>
      <w:rPr>
        <w:rFonts w:hint="eastAsia" w:ascii="黑体" w:hAnsi="Times New Roman" w:eastAsia="黑体"/>
        <w:b w:val="0"/>
        <w:i w:val="0"/>
        <w:sz w:val="21"/>
      </w:rPr>
    </w:lvl>
    <w:lvl w:ilvl="6" w:tentative="0">
      <w:start w:val="1"/>
      <w:numFmt w:val="decimal"/>
      <w:pStyle w:val="7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4">
    <w:nsid w:val="77E43E9A"/>
    <w:multiLevelType w:val="multilevel"/>
    <w:tmpl w:val="77E43E9A"/>
    <w:lvl w:ilvl="0" w:tentative="0">
      <w:start w:val="1"/>
      <w:numFmt w:val="decimal"/>
      <w:lvlText w:val="4.7.%1"/>
      <w:lvlJc w:val="left"/>
      <w:rPr>
        <w:rFonts w:hint="default"/>
        <w:b/>
        <w:i w:val="0"/>
        <w:sz w:val="24"/>
        <w:szCs w:val="24"/>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7D2A0EC4"/>
    <w:multiLevelType w:val="multilevel"/>
    <w:tmpl w:val="7D2A0EC4"/>
    <w:lvl w:ilvl="0" w:tentative="0">
      <w:start w:val="1"/>
      <w:numFmt w:val="decimal"/>
      <w:pStyle w:val="132"/>
      <w:lvlText w:val="4.1.%1"/>
      <w:lvlJc w:val="left"/>
      <w:pPr>
        <w:ind w:left="620" w:hanging="420"/>
      </w:pPr>
      <w:rPr>
        <w:rFonts w:hint="default"/>
        <w:b/>
        <w:i w:val="0"/>
        <w:sz w:val="24"/>
        <w:szCs w:val="24"/>
        <w:lang w:val="en-US"/>
      </w:rPr>
    </w:lvl>
    <w:lvl w:ilvl="1" w:tentative="0">
      <w:start w:val="1"/>
      <w:numFmt w:val="lowerLetter"/>
      <w:lvlText w:val="%2)"/>
      <w:lvlJc w:val="left"/>
      <w:pPr>
        <w:ind w:left="1550" w:hanging="420"/>
      </w:pPr>
      <w:rPr>
        <w:rFonts w:hint="eastAsia"/>
      </w:rPr>
    </w:lvl>
    <w:lvl w:ilvl="2" w:tentative="0">
      <w:start w:val="1"/>
      <w:numFmt w:val="lowerRoman"/>
      <w:lvlText w:val="%3."/>
      <w:lvlJc w:val="right"/>
      <w:pPr>
        <w:ind w:left="1970" w:hanging="420"/>
      </w:pPr>
      <w:rPr>
        <w:rFonts w:hint="eastAsia"/>
      </w:rPr>
    </w:lvl>
    <w:lvl w:ilvl="3" w:tentative="0">
      <w:start w:val="1"/>
      <w:numFmt w:val="decimal"/>
      <w:lvlText w:val="%4."/>
      <w:lvlJc w:val="left"/>
      <w:pPr>
        <w:ind w:left="2390" w:hanging="420"/>
      </w:pPr>
      <w:rPr>
        <w:rFonts w:hint="eastAsia"/>
      </w:rPr>
    </w:lvl>
    <w:lvl w:ilvl="4" w:tentative="0">
      <w:start w:val="1"/>
      <w:numFmt w:val="lowerLetter"/>
      <w:lvlText w:val="%5)"/>
      <w:lvlJc w:val="left"/>
      <w:pPr>
        <w:ind w:left="2810" w:hanging="420"/>
      </w:pPr>
      <w:rPr>
        <w:rFonts w:hint="eastAsia"/>
      </w:rPr>
    </w:lvl>
    <w:lvl w:ilvl="5" w:tentative="0">
      <w:start w:val="1"/>
      <w:numFmt w:val="lowerRoman"/>
      <w:lvlText w:val="%6."/>
      <w:lvlJc w:val="right"/>
      <w:pPr>
        <w:ind w:left="3230" w:hanging="420"/>
      </w:pPr>
      <w:rPr>
        <w:rFonts w:hint="eastAsia"/>
      </w:rPr>
    </w:lvl>
    <w:lvl w:ilvl="6" w:tentative="0">
      <w:start w:val="1"/>
      <w:numFmt w:val="decimal"/>
      <w:lvlText w:val="%7."/>
      <w:lvlJc w:val="left"/>
      <w:pPr>
        <w:ind w:left="3650" w:hanging="420"/>
      </w:pPr>
      <w:rPr>
        <w:rFonts w:hint="eastAsia"/>
      </w:rPr>
    </w:lvl>
    <w:lvl w:ilvl="7" w:tentative="0">
      <w:start w:val="1"/>
      <w:numFmt w:val="lowerLetter"/>
      <w:lvlText w:val="%8)"/>
      <w:lvlJc w:val="left"/>
      <w:pPr>
        <w:ind w:left="4070" w:hanging="420"/>
      </w:pPr>
      <w:rPr>
        <w:rFonts w:hint="eastAsia"/>
      </w:rPr>
    </w:lvl>
    <w:lvl w:ilvl="8" w:tentative="0">
      <w:start w:val="1"/>
      <w:numFmt w:val="lowerRoman"/>
      <w:lvlText w:val="%9."/>
      <w:lvlJc w:val="right"/>
      <w:pPr>
        <w:ind w:left="4490" w:hanging="420"/>
      </w:pPr>
      <w:rPr>
        <w:rFonts w:hint="eastAsia"/>
      </w:rPr>
    </w:lvl>
  </w:abstractNum>
  <w:num w:numId="1">
    <w:abstractNumId w:val="12"/>
  </w:num>
  <w:num w:numId="2">
    <w:abstractNumId w:val="13"/>
  </w:num>
  <w:num w:numId="3">
    <w:abstractNumId w:val="11"/>
  </w:num>
  <w:num w:numId="4">
    <w:abstractNumId w:val="10"/>
  </w:num>
  <w:num w:numId="5">
    <w:abstractNumId w:val="15"/>
  </w:num>
  <w:num w:numId="6">
    <w:abstractNumId w:val="4"/>
  </w:num>
  <w:num w:numId="7">
    <w:abstractNumId w:val="9"/>
  </w:num>
  <w:num w:numId="8">
    <w:abstractNumId w:val="2"/>
  </w:num>
  <w:num w:numId="9">
    <w:abstractNumId w:val="3"/>
  </w:num>
  <w:num w:numId="10">
    <w:abstractNumId w:val="7"/>
  </w:num>
  <w:num w:numId="11">
    <w:abstractNumId w:val="8"/>
  </w:num>
  <w:num w:numId="12">
    <w:abstractNumId w:val="6"/>
  </w:num>
  <w:num w:numId="13">
    <w:abstractNumId w:val="5"/>
  </w:num>
  <w:num w:numId="14">
    <w:abstractNumId w:val="14"/>
  </w:num>
  <w:num w:numId="15">
    <w:abstractNumId w:val="1"/>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17D"/>
    <w:rsid w:val="00000485"/>
    <w:rsid w:val="00000B99"/>
    <w:rsid w:val="00001407"/>
    <w:rsid w:val="000019C5"/>
    <w:rsid w:val="0000200E"/>
    <w:rsid w:val="00002258"/>
    <w:rsid w:val="00002568"/>
    <w:rsid w:val="000028DD"/>
    <w:rsid w:val="00003004"/>
    <w:rsid w:val="00003D7F"/>
    <w:rsid w:val="00005025"/>
    <w:rsid w:val="0000542C"/>
    <w:rsid w:val="000057BD"/>
    <w:rsid w:val="00006236"/>
    <w:rsid w:val="00006596"/>
    <w:rsid w:val="000065CD"/>
    <w:rsid w:val="000070E5"/>
    <w:rsid w:val="0000724C"/>
    <w:rsid w:val="00007A51"/>
    <w:rsid w:val="00007BDD"/>
    <w:rsid w:val="0001010D"/>
    <w:rsid w:val="00010492"/>
    <w:rsid w:val="000110E7"/>
    <w:rsid w:val="0001133E"/>
    <w:rsid w:val="00011480"/>
    <w:rsid w:val="000115CD"/>
    <w:rsid w:val="000119E9"/>
    <w:rsid w:val="00012269"/>
    <w:rsid w:val="000122F3"/>
    <w:rsid w:val="00012677"/>
    <w:rsid w:val="00013225"/>
    <w:rsid w:val="00014018"/>
    <w:rsid w:val="000145BE"/>
    <w:rsid w:val="00014974"/>
    <w:rsid w:val="00014B55"/>
    <w:rsid w:val="00014BF9"/>
    <w:rsid w:val="00014DA6"/>
    <w:rsid w:val="0001520A"/>
    <w:rsid w:val="000154E7"/>
    <w:rsid w:val="00015C8A"/>
    <w:rsid w:val="000166D8"/>
    <w:rsid w:val="00016757"/>
    <w:rsid w:val="00016E3A"/>
    <w:rsid w:val="00016F24"/>
    <w:rsid w:val="00017D4A"/>
    <w:rsid w:val="00020348"/>
    <w:rsid w:val="00021019"/>
    <w:rsid w:val="000212A1"/>
    <w:rsid w:val="000214B3"/>
    <w:rsid w:val="00021846"/>
    <w:rsid w:val="0002204E"/>
    <w:rsid w:val="00022196"/>
    <w:rsid w:val="00022AEA"/>
    <w:rsid w:val="00022BD1"/>
    <w:rsid w:val="000238AF"/>
    <w:rsid w:val="00023A16"/>
    <w:rsid w:val="00023DEA"/>
    <w:rsid w:val="000243A1"/>
    <w:rsid w:val="00024BC8"/>
    <w:rsid w:val="00024FC8"/>
    <w:rsid w:val="00025048"/>
    <w:rsid w:val="0002518F"/>
    <w:rsid w:val="00025246"/>
    <w:rsid w:val="000254F2"/>
    <w:rsid w:val="0002573C"/>
    <w:rsid w:val="00025EEF"/>
    <w:rsid w:val="00025FE9"/>
    <w:rsid w:val="00026466"/>
    <w:rsid w:val="000264DA"/>
    <w:rsid w:val="00026C95"/>
    <w:rsid w:val="00026D72"/>
    <w:rsid w:val="00027636"/>
    <w:rsid w:val="00027673"/>
    <w:rsid w:val="00027E66"/>
    <w:rsid w:val="00027F93"/>
    <w:rsid w:val="00030348"/>
    <w:rsid w:val="000306E7"/>
    <w:rsid w:val="00030737"/>
    <w:rsid w:val="000312F4"/>
    <w:rsid w:val="00031347"/>
    <w:rsid w:val="000324C4"/>
    <w:rsid w:val="00032521"/>
    <w:rsid w:val="0003292A"/>
    <w:rsid w:val="00033524"/>
    <w:rsid w:val="000349BB"/>
    <w:rsid w:val="00034D73"/>
    <w:rsid w:val="0003528A"/>
    <w:rsid w:val="0003587A"/>
    <w:rsid w:val="000359B1"/>
    <w:rsid w:val="00035A37"/>
    <w:rsid w:val="00035E87"/>
    <w:rsid w:val="00036F64"/>
    <w:rsid w:val="00040656"/>
    <w:rsid w:val="00040AED"/>
    <w:rsid w:val="00040F4A"/>
    <w:rsid w:val="00041A77"/>
    <w:rsid w:val="00042C39"/>
    <w:rsid w:val="00042F9A"/>
    <w:rsid w:val="00043661"/>
    <w:rsid w:val="000436D2"/>
    <w:rsid w:val="000438DF"/>
    <w:rsid w:val="00043D19"/>
    <w:rsid w:val="000442A9"/>
    <w:rsid w:val="00044379"/>
    <w:rsid w:val="0004481C"/>
    <w:rsid w:val="00045889"/>
    <w:rsid w:val="00045CC6"/>
    <w:rsid w:val="00046ADC"/>
    <w:rsid w:val="00047834"/>
    <w:rsid w:val="000479FB"/>
    <w:rsid w:val="00047B5B"/>
    <w:rsid w:val="00047F07"/>
    <w:rsid w:val="00050487"/>
    <w:rsid w:val="000508EE"/>
    <w:rsid w:val="00050B18"/>
    <w:rsid w:val="000512BE"/>
    <w:rsid w:val="0005196F"/>
    <w:rsid w:val="00051D12"/>
    <w:rsid w:val="0005200A"/>
    <w:rsid w:val="000528B9"/>
    <w:rsid w:val="000533CB"/>
    <w:rsid w:val="00053525"/>
    <w:rsid w:val="00053AEA"/>
    <w:rsid w:val="00053C10"/>
    <w:rsid w:val="00054D7A"/>
    <w:rsid w:val="00055B7D"/>
    <w:rsid w:val="00056149"/>
    <w:rsid w:val="00056A55"/>
    <w:rsid w:val="00060746"/>
    <w:rsid w:val="00060E18"/>
    <w:rsid w:val="00061C9B"/>
    <w:rsid w:val="0006234A"/>
    <w:rsid w:val="00062721"/>
    <w:rsid w:val="00063720"/>
    <w:rsid w:val="00063739"/>
    <w:rsid w:val="00063F58"/>
    <w:rsid w:val="0006405F"/>
    <w:rsid w:val="000643EA"/>
    <w:rsid w:val="0006469D"/>
    <w:rsid w:val="00064C16"/>
    <w:rsid w:val="00065493"/>
    <w:rsid w:val="00065C1A"/>
    <w:rsid w:val="00066978"/>
    <w:rsid w:val="00066991"/>
    <w:rsid w:val="00066D68"/>
    <w:rsid w:val="0006755A"/>
    <w:rsid w:val="00067A53"/>
    <w:rsid w:val="00070E40"/>
    <w:rsid w:val="00070FEC"/>
    <w:rsid w:val="00071408"/>
    <w:rsid w:val="00072362"/>
    <w:rsid w:val="0007236D"/>
    <w:rsid w:val="00072C2C"/>
    <w:rsid w:val="000730AB"/>
    <w:rsid w:val="0007374A"/>
    <w:rsid w:val="000737F3"/>
    <w:rsid w:val="00073D8F"/>
    <w:rsid w:val="00076841"/>
    <w:rsid w:val="00077094"/>
    <w:rsid w:val="00077884"/>
    <w:rsid w:val="00081189"/>
    <w:rsid w:val="000820C3"/>
    <w:rsid w:val="00082A8C"/>
    <w:rsid w:val="00082D3A"/>
    <w:rsid w:val="00083CA6"/>
    <w:rsid w:val="00083CBE"/>
    <w:rsid w:val="0008433D"/>
    <w:rsid w:val="00084755"/>
    <w:rsid w:val="000848F0"/>
    <w:rsid w:val="000851B9"/>
    <w:rsid w:val="0008535D"/>
    <w:rsid w:val="0008601F"/>
    <w:rsid w:val="000865B6"/>
    <w:rsid w:val="000865F3"/>
    <w:rsid w:val="000868F1"/>
    <w:rsid w:val="00086B9A"/>
    <w:rsid w:val="00086F7C"/>
    <w:rsid w:val="000870E0"/>
    <w:rsid w:val="0009020E"/>
    <w:rsid w:val="00090620"/>
    <w:rsid w:val="00090DD6"/>
    <w:rsid w:val="00091041"/>
    <w:rsid w:val="000918DD"/>
    <w:rsid w:val="00092C29"/>
    <w:rsid w:val="00092D76"/>
    <w:rsid w:val="00092FFC"/>
    <w:rsid w:val="00093878"/>
    <w:rsid w:val="00093E91"/>
    <w:rsid w:val="0009403E"/>
    <w:rsid w:val="0009416B"/>
    <w:rsid w:val="0009425B"/>
    <w:rsid w:val="00094827"/>
    <w:rsid w:val="00094FF6"/>
    <w:rsid w:val="000950F9"/>
    <w:rsid w:val="00095E74"/>
    <w:rsid w:val="00096677"/>
    <w:rsid w:val="000967CC"/>
    <w:rsid w:val="000968F5"/>
    <w:rsid w:val="00096DD6"/>
    <w:rsid w:val="00097CE4"/>
    <w:rsid w:val="00097DE4"/>
    <w:rsid w:val="000A02A7"/>
    <w:rsid w:val="000A05BF"/>
    <w:rsid w:val="000A0909"/>
    <w:rsid w:val="000A1182"/>
    <w:rsid w:val="000A12B2"/>
    <w:rsid w:val="000A1930"/>
    <w:rsid w:val="000A1DB0"/>
    <w:rsid w:val="000A2007"/>
    <w:rsid w:val="000A21AC"/>
    <w:rsid w:val="000A3593"/>
    <w:rsid w:val="000A373B"/>
    <w:rsid w:val="000A401F"/>
    <w:rsid w:val="000A5F14"/>
    <w:rsid w:val="000A6D60"/>
    <w:rsid w:val="000A7127"/>
    <w:rsid w:val="000A7430"/>
    <w:rsid w:val="000A7C0B"/>
    <w:rsid w:val="000B0ADB"/>
    <w:rsid w:val="000B1088"/>
    <w:rsid w:val="000B1E6C"/>
    <w:rsid w:val="000B1EAF"/>
    <w:rsid w:val="000B25E1"/>
    <w:rsid w:val="000B41F2"/>
    <w:rsid w:val="000B47F5"/>
    <w:rsid w:val="000B62E1"/>
    <w:rsid w:val="000B649D"/>
    <w:rsid w:val="000B6C28"/>
    <w:rsid w:val="000B6FD7"/>
    <w:rsid w:val="000B700F"/>
    <w:rsid w:val="000B70D7"/>
    <w:rsid w:val="000B727E"/>
    <w:rsid w:val="000B7669"/>
    <w:rsid w:val="000B7FCF"/>
    <w:rsid w:val="000B7FE4"/>
    <w:rsid w:val="000C012E"/>
    <w:rsid w:val="000C057A"/>
    <w:rsid w:val="000C0F2E"/>
    <w:rsid w:val="000C131C"/>
    <w:rsid w:val="000C148B"/>
    <w:rsid w:val="000C14F6"/>
    <w:rsid w:val="000C1950"/>
    <w:rsid w:val="000C1B16"/>
    <w:rsid w:val="000C2E20"/>
    <w:rsid w:val="000C2F57"/>
    <w:rsid w:val="000C363E"/>
    <w:rsid w:val="000C4B2B"/>
    <w:rsid w:val="000C4F90"/>
    <w:rsid w:val="000C5B28"/>
    <w:rsid w:val="000C5D4D"/>
    <w:rsid w:val="000C5E2F"/>
    <w:rsid w:val="000C7565"/>
    <w:rsid w:val="000D0A1A"/>
    <w:rsid w:val="000D10B2"/>
    <w:rsid w:val="000D165E"/>
    <w:rsid w:val="000D1E42"/>
    <w:rsid w:val="000D2003"/>
    <w:rsid w:val="000D20AA"/>
    <w:rsid w:val="000D23CA"/>
    <w:rsid w:val="000D277A"/>
    <w:rsid w:val="000D28F1"/>
    <w:rsid w:val="000D2EA0"/>
    <w:rsid w:val="000D3178"/>
    <w:rsid w:val="000D38F8"/>
    <w:rsid w:val="000D3E47"/>
    <w:rsid w:val="000D48C0"/>
    <w:rsid w:val="000D4AF2"/>
    <w:rsid w:val="000D58A0"/>
    <w:rsid w:val="000D598A"/>
    <w:rsid w:val="000D5EB1"/>
    <w:rsid w:val="000D61A7"/>
    <w:rsid w:val="000D633B"/>
    <w:rsid w:val="000D68F4"/>
    <w:rsid w:val="000D69C3"/>
    <w:rsid w:val="000D6BF4"/>
    <w:rsid w:val="000D6EDA"/>
    <w:rsid w:val="000D701A"/>
    <w:rsid w:val="000D7797"/>
    <w:rsid w:val="000D7C7C"/>
    <w:rsid w:val="000E00BB"/>
    <w:rsid w:val="000E0426"/>
    <w:rsid w:val="000E07D7"/>
    <w:rsid w:val="000E1653"/>
    <w:rsid w:val="000E1DBA"/>
    <w:rsid w:val="000E1F63"/>
    <w:rsid w:val="000E27FD"/>
    <w:rsid w:val="000E2D71"/>
    <w:rsid w:val="000E3B50"/>
    <w:rsid w:val="000E4B03"/>
    <w:rsid w:val="000E4ED0"/>
    <w:rsid w:val="000E4F9C"/>
    <w:rsid w:val="000E50D8"/>
    <w:rsid w:val="000E5552"/>
    <w:rsid w:val="000E5A46"/>
    <w:rsid w:val="000E6072"/>
    <w:rsid w:val="000E62DF"/>
    <w:rsid w:val="000E6557"/>
    <w:rsid w:val="000E6665"/>
    <w:rsid w:val="000E779C"/>
    <w:rsid w:val="000E7BBB"/>
    <w:rsid w:val="000F07A5"/>
    <w:rsid w:val="000F2095"/>
    <w:rsid w:val="000F22B0"/>
    <w:rsid w:val="000F332D"/>
    <w:rsid w:val="000F38CF"/>
    <w:rsid w:val="000F44AD"/>
    <w:rsid w:val="000F4E0E"/>
    <w:rsid w:val="000F53C5"/>
    <w:rsid w:val="000F54E3"/>
    <w:rsid w:val="000F5A25"/>
    <w:rsid w:val="000F645F"/>
    <w:rsid w:val="000F691C"/>
    <w:rsid w:val="000F6BAE"/>
    <w:rsid w:val="000F6C13"/>
    <w:rsid w:val="000F6C5C"/>
    <w:rsid w:val="000F6F1D"/>
    <w:rsid w:val="000F7619"/>
    <w:rsid w:val="001004A9"/>
    <w:rsid w:val="00100C4A"/>
    <w:rsid w:val="00100EA8"/>
    <w:rsid w:val="00101089"/>
    <w:rsid w:val="001010DD"/>
    <w:rsid w:val="00101237"/>
    <w:rsid w:val="001012ED"/>
    <w:rsid w:val="001016A9"/>
    <w:rsid w:val="00101E4D"/>
    <w:rsid w:val="00102779"/>
    <w:rsid w:val="00102B22"/>
    <w:rsid w:val="00102FFA"/>
    <w:rsid w:val="001033D0"/>
    <w:rsid w:val="001042F2"/>
    <w:rsid w:val="00104514"/>
    <w:rsid w:val="0010502F"/>
    <w:rsid w:val="001054C3"/>
    <w:rsid w:val="00105D67"/>
    <w:rsid w:val="00106125"/>
    <w:rsid w:val="0010645A"/>
    <w:rsid w:val="0010688A"/>
    <w:rsid w:val="00106AAA"/>
    <w:rsid w:val="00106E91"/>
    <w:rsid w:val="00106F7C"/>
    <w:rsid w:val="0010707D"/>
    <w:rsid w:val="00107639"/>
    <w:rsid w:val="001078AF"/>
    <w:rsid w:val="001078C0"/>
    <w:rsid w:val="001106B9"/>
    <w:rsid w:val="00110950"/>
    <w:rsid w:val="00110E74"/>
    <w:rsid w:val="00110FD1"/>
    <w:rsid w:val="00111162"/>
    <w:rsid w:val="001113E8"/>
    <w:rsid w:val="00111A9D"/>
    <w:rsid w:val="00112CEA"/>
    <w:rsid w:val="00113181"/>
    <w:rsid w:val="001133CF"/>
    <w:rsid w:val="0011375B"/>
    <w:rsid w:val="00113841"/>
    <w:rsid w:val="00113DDC"/>
    <w:rsid w:val="00114146"/>
    <w:rsid w:val="001146F5"/>
    <w:rsid w:val="00114A23"/>
    <w:rsid w:val="00114BC9"/>
    <w:rsid w:val="00115287"/>
    <w:rsid w:val="001157DC"/>
    <w:rsid w:val="00116058"/>
    <w:rsid w:val="001167B6"/>
    <w:rsid w:val="00116A92"/>
    <w:rsid w:val="0011742C"/>
    <w:rsid w:val="001176A4"/>
    <w:rsid w:val="00117B9A"/>
    <w:rsid w:val="00117BA0"/>
    <w:rsid w:val="00120795"/>
    <w:rsid w:val="001208AB"/>
    <w:rsid w:val="001208D2"/>
    <w:rsid w:val="001209C3"/>
    <w:rsid w:val="00120B1B"/>
    <w:rsid w:val="00120F52"/>
    <w:rsid w:val="001214C6"/>
    <w:rsid w:val="001226D0"/>
    <w:rsid w:val="00123589"/>
    <w:rsid w:val="00123888"/>
    <w:rsid w:val="00123FE8"/>
    <w:rsid w:val="00124ED7"/>
    <w:rsid w:val="00125785"/>
    <w:rsid w:val="00125C59"/>
    <w:rsid w:val="00125D3A"/>
    <w:rsid w:val="001261CD"/>
    <w:rsid w:val="00126C3D"/>
    <w:rsid w:val="00126D41"/>
    <w:rsid w:val="001272FF"/>
    <w:rsid w:val="00127474"/>
    <w:rsid w:val="00130919"/>
    <w:rsid w:val="00130F2F"/>
    <w:rsid w:val="001314BD"/>
    <w:rsid w:val="00131A6A"/>
    <w:rsid w:val="0013323F"/>
    <w:rsid w:val="001337B2"/>
    <w:rsid w:val="001343CC"/>
    <w:rsid w:val="001349A1"/>
    <w:rsid w:val="00134CB9"/>
    <w:rsid w:val="00135209"/>
    <w:rsid w:val="001352EB"/>
    <w:rsid w:val="001355B5"/>
    <w:rsid w:val="001359D3"/>
    <w:rsid w:val="00135E4B"/>
    <w:rsid w:val="00135E6F"/>
    <w:rsid w:val="00136093"/>
    <w:rsid w:val="00136764"/>
    <w:rsid w:val="00136AC1"/>
    <w:rsid w:val="0013727A"/>
    <w:rsid w:val="001373C6"/>
    <w:rsid w:val="00137467"/>
    <w:rsid w:val="0013755E"/>
    <w:rsid w:val="00140676"/>
    <w:rsid w:val="001406A1"/>
    <w:rsid w:val="00140AD6"/>
    <w:rsid w:val="00141E24"/>
    <w:rsid w:val="00141F34"/>
    <w:rsid w:val="00142164"/>
    <w:rsid w:val="00142374"/>
    <w:rsid w:val="00142410"/>
    <w:rsid w:val="001425FA"/>
    <w:rsid w:val="00143E46"/>
    <w:rsid w:val="001445B6"/>
    <w:rsid w:val="00144A78"/>
    <w:rsid w:val="00145316"/>
    <w:rsid w:val="00146106"/>
    <w:rsid w:val="001462C7"/>
    <w:rsid w:val="00147A0B"/>
    <w:rsid w:val="00150C92"/>
    <w:rsid w:val="001510EA"/>
    <w:rsid w:val="001516B2"/>
    <w:rsid w:val="00151E99"/>
    <w:rsid w:val="0015250B"/>
    <w:rsid w:val="0015278D"/>
    <w:rsid w:val="00152C68"/>
    <w:rsid w:val="00154083"/>
    <w:rsid w:val="00154496"/>
    <w:rsid w:val="00155081"/>
    <w:rsid w:val="00155217"/>
    <w:rsid w:val="0015555C"/>
    <w:rsid w:val="00155701"/>
    <w:rsid w:val="0015603D"/>
    <w:rsid w:val="00156078"/>
    <w:rsid w:val="00156CD5"/>
    <w:rsid w:val="00156F5D"/>
    <w:rsid w:val="00157776"/>
    <w:rsid w:val="001578E5"/>
    <w:rsid w:val="001611AC"/>
    <w:rsid w:val="00161244"/>
    <w:rsid w:val="00161299"/>
    <w:rsid w:val="00162BCD"/>
    <w:rsid w:val="00163418"/>
    <w:rsid w:val="00163787"/>
    <w:rsid w:val="001639A0"/>
    <w:rsid w:val="00163A93"/>
    <w:rsid w:val="001645F0"/>
    <w:rsid w:val="00164B5F"/>
    <w:rsid w:val="00164D30"/>
    <w:rsid w:val="001652ED"/>
    <w:rsid w:val="001654B4"/>
    <w:rsid w:val="001657DA"/>
    <w:rsid w:val="0016599C"/>
    <w:rsid w:val="00165CC7"/>
    <w:rsid w:val="001660A2"/>
    <w:rsid w:val="001666CC"/>
    <w:rsid w:val="00167DDA"/>
    <w:rsid w:val="00170E58"/>
    <w:rsid w:val="00170FD0"/>
    <w:rsid w:val="001710EA"/>
    <w:rsid w:val="001714A6"/>
    <w:rsid w:val="0017241F"/>
    <w:rsid w:val="00172F98"/>
    <w:rsid w:val="00172FE8"/>
    <w:rsid w:val="00173597"/>
    <w:rsid w:val="00173EB6"/>
    <w:rsid w:val="0017472A"/>
    <w:rsid w:val="00174DB3"/>
    <w:rsid w:val="001751F0"/>
    <w:rsid w:val="001756EE"/>
    <w:rsid w:val="00175CAD"/>
    <w:rsid w:val="00176189"/>
    <w:rsid w:val="001766F7"/>
    <w:rsid w:val="00176A00"/>
    <w:rsid w:val="001770D5"/>
    <w:rsid w:val="0017729A"/>
    <w:rsid w:val="001772D9"/>
    <w:rsid w:val="0017761B"/>
    <w:rsid w:val="0018025E"/>
    <w:rsid w:val="00180F8B"/>
    <w:rsid w:val="00181275"/>
    <w:rsid w:val="00181391"/>
    <w:rsid w:val="001819E1"/>
    <w:rsid w:val="00181A44"/>
    <w:rsid w:val="00181CBC"/>
    <w:rsid w:val="00181DA4"/>
    <w:rsid w:val="001820E3"/>
    <w:rsid w:val="0018244D"/>
    <w:rsid w:val="0018263F"/>
    <w:rsid w:val="001830FB"/>
    <w:rsid w:val="00183633"/>
    <w:rsid w:val="00183A93"/>
    <w:rsid w:val="00184866"/>
    <w:rsid w:val="00184AEF"/>
    <w:rsid w:val="00184EC3"/>
    <w:rsid w:val="00184FD6"/>
    <w:rsid w:val="0018527E"/>
    <w:rsid w:val="00185974"/>
    <w:rsid w:val="00186231"/>
    <w:rsid w:val="0018689C"/>
    <w:rsid w:val="00186B5D"/>
    <w:rsid w:val="00186F88"/>
    <w:rsid w:val="00187ACA"/>
    <w:rsid w:val="0019022F"/>
    <w:rsid w:val="0019093B"/>
    <w:rsid w:val="00190BEC"/>
    <w:rsid w:val="00190DC4"/>
    <w:rsid w:val="00191804"/>
    <w:rsid w:val="0019208D"/>
    <w:rsid w:val="001921DA"/>
    <w:rsid w:val="00192227"/>
    <w:rsid w:val="0019242E"/>
    <w:rsid w:val="00192A63"/>
    <w:rsid w:val="00192C38"/>
    <w:rsid w:val="00193269"/>
    <w:rsid w:val="001936DA"/>
    <w:rsid w:val="00193CA5"/>
    <w:rsid w:val="00193FE2"/>
    <w:rsid w:val="00194586"/>
    <w:rsid w:val="001948A8"/>
    <w:rsid w:val="00194CC8"/>
    <w:rsid w:val="0019559A"/>
    <w:rsid w:val="001962B5"/>
    <w:rsid w:val="00196718"/>
    <w:rsid w:val="0019681C"/>
    <w:rsid w:val="00196AB0"/>
    <w:rsid w:val="0019702F"/>
    <w:rsid w:val="0019744E"/>
    <w:rsid w:val="0019764A"/>
    <w:rsid w:val="00197ADC"/>
    <w:rsid w:val="00197B54"/>
    <w:rsid w:val="00197FE1"/>
    <w:rsid w:val="001A068C"/>
    <w:rsid w:val="001A070A"/>
    <w:rsid w:val="001A0830"/>
    <w:rsid w:val="001A2B3B"/>
    <w:rsid w:val="001A335C"/>
    <w:rsid w:val="001A4070"/>
    <w:rsid w:val="001A4718"/>
    <w:rsid w:val="001A4B88"/>
    <w:rsid w:val="001A501A"/>
    <w:rsid w:val="001A5762"/>
    <w:rsid w:val="001A5FA7"/>
    <w:rsid w:val="001A66CC"/>
    <w:rsid w:val="001A7122"/>
    <w:rsid w:val="001A7707"/>
    <w:rsid w:val="001A7C6F"/>
    <w:rsid w:val="001A7F4F"/>
    <w:rsid w:val="001B0B83"/>
    <w:rsid w:val="001B0D56"/>
    <w:rsid w:val="001B12F5"/>
    <w:rsid w:val="001B22B1"/>
    <w:rsid w:val="001B2AF0"/>
    <w:rsid w:val="001B3B63"/>
    <w:rsid w:val="001B412D"/>
    <w:rsid w:val="001B4149"/>
    <w:rsid w:val="001B452A"/>
    <w:rsid w:val="001B460B"/>
    <w:rsid w:val="001B5AEB"/>
    <w:rsid w:val="001B6411"/>
    <w:rsid w:val="001B6882"/>
    <w:rsid w:val="001B6C9F"/>
    <w:rsid w:val="001B70B4"/>
    <w:rsid w:val="001B7386"/>
    <w:rsid w:val="001B79C5"/>
    <w:rsid w:val="001B7EF8"/>
    <w:rsid w:val="001C0899"/>
    <w:rsid w:val="001C1387"/>
    <w:rsid w:val="001C179F"/>
    <w:rsid w:val="001C17F1"/>
    <w:rsid w:val="001C2079"/>
    <w:rsid w:val="001C21E5"/>
    <w:rsid w:val="001C26FC"/>
    <w:rsid w:val="001C29C0"/>
    <w:rsid w:val="001C2B80"/>
    <w:rsid w:val="001C350E"/>
    <w:rsid w:val="001C3A52"/>
    <w:rsid w:val="001C3C30"/>
    <w:rsid w:val="001C4B6F"/>
    <w:rsid w:val="001C4D14"/>
    <w:rsid w:val="001C51C3"/>
    <w:rsid w:val="001C578E"/>
    <w:rsid w:val="001C5819"/>
    <w:rsid w:val="001C5B36"/>
    <w:rsid w:val="001C5B86"/>
    <w:rsid w:val="001C6166"/>
    <w:rsid w:val="001C6D95"/>
    <w:rsid w:val="001C708A"/>
    <w:rsid w:val="001C7B45"/>
    <w:rsid w:val="001D05D3"/>
    <w:rsid w:val="001D0856"/>
    <w:rsid w:val="001D0BEE"/>
    <w:rsid w:val="001D149A"/>
    <w:rsid w:val="001D1614"/>
    <w:rsid w:val="001D190A"/>
    <w:rsid w:val="001D1E31"/>
    <w:rsid w:val="001D222D"/>
    <w:rsid w:val="001D2E09"/>
    <w:rsid w:val="001D3662"/>
    <w:rsid w:val="001D3B61"/>
    <w:rsid w:val="001D3EEE"/>
    <w:rsid w:val="001D4C11"/>
    <w:rsid w:val="001D6175"/>
    <w:rsid w:val="001D664B"/>
    <w:rsid w:val="001D6785"/>
    <w:rsid w:val="001D6AC0"/>
    <w:rsid w:val="001D6B20"/>
    <w:rsid w:val="001D711A"/>
    <w:rsid w:val="001D72CF"/>
    <w:rsid w:val="001E080F"/>
    <w:rsid w:val="001E1096"/>
    <w:rsid w:val="001E1610"/>
    <w:rsid w:val="001E18FA"/>
    <w:rsid w:val="001E2B32"/>
    <w:rsid w:val="001E2C2E"/>
    <w:rsid w:val="001E3883"/>
    <w:rsid w:val="001E4006"/>
    <w:rsid w:val="001E4897"/>
    <w:rsid w:val="001E48C7"/>
    <w:rsid w:val="001E4C5A"/>
    <w:rsid w:val="001E4DAE"/>
    <w:rsid w:val="001E5172"/>
    <w:rsid w:val="001E55D0"/>
    <w:rsid w:val="001E58C8"/>
    <w:rsid w:val="001E5D44"/>
    <w:rsid w:val="001E5E74"/>
    <w:rsid w:val="001E61B0"/>
    <w:rsid w:val="001E637D"/>
    <w:rsid w:val="001E6717"/>
    <w:rsid w:val="001E69FE"/>
    <w:rsid w:val="001E77CC"/>
    <w:rsid w:val="001E7CDB"/>
    <w:rsid w:val="001E7D27"/>
    <w:rsid w:val="001F0F8C"/>
    <w:rsid w:val="001F1C69"/>
    <w:rsid w:val="001F203E"/>
    <w:rsid w:val="001F31E0"/>
    <w:rsid w:val="001F34CD"/>
    <w:rsid w:val="001F35CF"/>
    <w:rsid w:val="001F3BF2"/>
    <w:rsid w:val="001F3BFA"/>
    <w:rsid w:val="001F3D50"/>
    <w:rsid w:val="001F3DA3"/>
    <w:rsid w:val="001F3E94"/>
    <w:rsid w:val="001F4185"/>
    <w:rsid w:val="001F42F1"/>
    <w:rsid w:val="001F4624"/>
    <w:rsid w:val="001F5134"/>
    <w:rsid w:val="001F57A0"/>
    <w:rsid w:val="001F5A98"/>
    <w:rsid w:val="001F608B"/>
    <w:rsid w:val="001F62BD"/>
    <w:rsid w:val="001F69C7"/>
    <w:rsid w:val="001F7198"/>
    <w:rsid w:val="00200580"/>
    <w:rsid w:val="00200D5D"/>
    <w:rsid w:val="00201308"/>
    <w:rsid w:val="002016F1"/>
    <w:rsid w:val="00202484"/>
    <w:rsid w:val="0020409C"/>
    <w:rsid w:val="00204385"/>
    <w:rsid w:val="002050D8"/>
    <w:rsid w:val="002055F1"/>
    <w:rsid w:val="0020583C"/>
    <w:rsid w:val="0020596A"/>
    <w:rsid w:val="00205B0B"/>
    <w:rsid w:val="00205EF3"/>
    <w:rsid w:val="00206307"/>
    <w:rsid w:val="00206F53"/>
    <w:rsid w:val="00210568"/>
    <w:rsid w:val="00210CEB"/>
    <w:rsid w:val="00211383"/>
    <w:rsid w:val="00211C91"/>
    <w:rsid w:val="00211D50"/>
    <w:rsid w:val="0021244A"/>
    <w:rsid w:val="00212712"/>
    <w:rsid w:val="00212D32"/>
    <w:rsid w:val="002140C5"/>
    <w:rsid w:val="00214784"/>
    <w:rsid w:val="002148A0"/>
    <w:rsid w:val="00214E85"/>
    <w:rsid w:val="002150F8"/>
    <w:rsid w:val="00215453"/>
    <w:rsid w:val="00215726"/>
    <w:rsid w:val="00215771"/>
    <w:rsid w:val="0021618C"/>
    <w:rsid w:val="00216195"/>
    <w:rsid w:val="00216CBE"/>
    <w:rsid w:val="00217038"/>
    <w:rsid w:val="00217135"/>
    <w:rsid w:val="002173CF"/>
    <w:rsid w:val="002174CC"/>
    <w:rsid w:val="00217729"/>
    <w:rsid w:val="0021792F"/>
    <w:rsid w:val="00220164"/>
    <w:rsid w:val="002201AD"/>
    <w:rsid w:val="002202A2"/>
    <w:rsid w:val="0022083D"/>
    <w:rsid w:val="0022087E"/>
    <w:rsid w:val="002212E6"/>
    <w:rsid w:val="0022222F"/>
    <w:rsid w:val="0022226C"/>
    <w:rsid w:val="00222A8A"/>
    <w:rsid w:val="002232D7"/>
    <w:rsid w:val="00223701"/>
    <w:rsid w:val="00224139"/>
    <w:rsid w:val="00225259"/>
    <w:rsid w:val="00225C71"/>
    <w:rsid w:val="00225E4B"/>
    <w:rsid w:val="00226A14"/>
    <w:rsid w:val="00226A6E"/>
    <w:rsid w:val="002274D8"/>
    <w:rsid w:val="00227695"/>
    <w:rsid w:val="00230ABB"/>
    <w:rsid w:val="00231009"/>
    <w:rsid w:val="0023110B"/>
    <w:rsid w:val="00232345"/>
    <w:rsid w:val="00232715"/>
    <w:rsid w:val="00233817"/>
    <w:rsid w:val="00233D3A"/>
    <w:rsid w:val="00235744"/>
    <w:rsid w:val="00236047"/>
    <w:rsid w:val="00236B3D"/>
    <w:rsid w:val="002374F4"/>
    <w:rsid w:val="002375AF"/>
    <w:rsid w:val="00237862"/>
    <w:rsid w:val="00237ADF"/>
    <w:rsid w:val="00237CE0"/>
    <w:rsid w:val="0024013E"/>
    <w:rsid w:val="00240223"/>
    <w:rsid w:val="0024035D"/>
    <w:rsid w:val="0024053F"/>
    <w:rsid w:val="00240902"/>
    <w:rsid w:val="00240C2E"/>
    <w:rsid w:val="00241AEC"/>
    <w:rsid w:val="00241C14"/>
    <w:rsid w:val="00241FC2"/>
    <w:rsid w:val="00242167"/>
    <w:rsid w:val="002430D3"/>
    <w:rsid w:val="0024324F"/>
    <w:rsid w:val="0024376D"/>
    <w:rsid w:val="00244440"/>
    <w:rsid w:val="0024488B"/>
    <w:rsid w:val="002448CC"/>
    <w:rsid w:val="00244FBC"/>
    <w:rsid w:val="00245724"/>
    <w:rsid w:val="00246FFA"/>
    <w:rsid w:val="0024717B"/>
    <w:rsid w:val="002472C3"/>
    <w:rsid w:val="00247397"/>
    <w:rsid w:val="002478C9"/>
    <w:rsid w:val="0025070F"/>
    <w:rsid w:val="00250BE3"/>
    <w:rsid w:val="00250F63"/>
    <w:rsid w:val="00250FA8"/>
    <w:rsid w:val="0025158D"/>
    <w:rsid w:val="0025188A"/>
    <w:rsid w:val="00251A95"/>
    <w:rsid w:val="00251BFE"/>
    <w:rsid w:val="002527AC"/>
    <w:rsid w:val="00252998"/>
    <w:rsid w:val="002536B0"/>
    <w:rsid w:val="0025372F"/>
    <w:rsid w:val="00253CEC"/>
    <w:rsid w:val="00254450"/>
    <w:rsid w:val="00255DCA"/>
    <w:rsid w:val="00255FBA"/>
    <w:rsid w:val="00256549"/>
    <w:rsid w:val="00256D5E"/>
    <w:rsid w:val="00257A03"/>
    <w:rsid w:val="002603E3"/>
    <w:rsid w:val="00261E52"/>
    <w:rsid w:val="00261E9E"/>
    <w:rsid w:val="00262B74"/>
    <w:rsid w:val="00262C46"/>
    <w:rsid w:val="00262F53"/>
    <w:rsid w:val="002631D6"/>
    <w:rsid w:val="00263757"/>
    <w:rsid w:val="002637D5"/>
    <w:rsid w:val="00263CB5"/>
    <w:rsid w:val="00264550"/>
    <w:rsid w:val="00266634"/>
    <w:rsid w:val="00266CC4"/>
    <w:rsid w:val="00266F0F"/>
    <w:rsid w:val="0026710B"/>
    <w:rsid w:val="00270216"/>
    <w:rsid w:val="00270594"/>
    <w:rsid w:val="00270850"/>
    <w:rsid w:val="00271333"/>
    <w:rsid w:val="00271E8C"/>
    <w:rsid w:val="0027237B"/>
    <w:rsid w:val="00272A1F"/>
    <w:rsid w:val="00273C05"/>
    <w:rsid w:val="0027416C"/>
    <w:rsid w:val="00274283"/>
    <w:rsid w:val="00274306"/>
    <w:rsid w:val="00274AD0"/>
    <w:rsid w:val="00274E3F"/>
    <w:rsid w:val="002763E6"/>
    <w:rsid w:val="002765E4"/>
    <w:rsid w:val="00276732"/>
    <w:rsid w:val="0027745A"/>
    <w:rsid w:val="00280DFA"/>
    <w:rsid w:val="002810D8"/>
    <w:rsid w:val="00281297"/>
    <w:rsid w:val="00281A80"/>
    <w:rsid w:val="00281B2D"/>
    <w:rsid w:val="0028224B"/>
    <w:rsid w:val="0028284C"/>
    <w:rsid w:val="0028289F"/>
    <w:rsid w:val="00282EAF"/>
    <w:rsid w:val="0028373D"/>
    <w:rsid w:val="002839A3"/>
    <w:rsid w:val="0028434B"/>
    <w:rsid w:val="00284821"/>
    <w:rsid w:val="002858F1"/>
    <w:rsid w:val="002864B0"/>
    <w:rsid w:val="00286722"/>
    <w:rsid w:val="00286F42"/>
    <w:rsid w:val="00287BCD"/>
    <w:rsid w:val="00290144"/>
    <w:rsid w:val="0029052E"/>
    <w:rsid w:val="00290660"/>
    <w:rsid w:val="00290EAA"/>
    <w:rsid w:val="002912CE"/>
    <w:rsid w:val="002919B0"/>
    <w:rsid w:val="00291A7F"/>
    <w:rsid w:val="00293048"/>
    <w:rsid w:val="00293140"/>
    <w:rsid w:val="002962D4"/>
    <w:rsid w:val="0029684E"/>
    <w:rsid w:val="00296932"/>
    <w:rsid w:val="00296C4F"/>
    <w:rsid w:val="00296D74"/>
    <w:rsid w:val="00296F3A"/>
    <w:rsid w:val="00296F54"/>
    <w:rsid w:val="00296FD2"/>
    <w:rsid w:val="00297F4C"/>
    <w:rsid w:val="002A0032"/>
    <w:rsid w:val="002A0688"/>
    <w:rsid w:val="002A0C46"/>
    <w:rsid w:val="002A0C8D"/>
    <w:rsid w:val="002A11BB"/>
    <w:rsid w:val="002A1B7A"/>
    <w:rsid w:val="002A2020"/>
    <w:rsid w:val="002A202C"/>
    <w:rsid w:val="002A2136"/>
    <w:rsid w:val="002A22CD"/>
    <w:rsid w:val="002A26AE"/>
    <w:rsid w:val="002A30F8"/>
    <w:rsid w:val="002A3CA7"/>
    <w:rsid w:val="002A448E"/>
    <w:rsid w:val="002A4491"/>
    <w:rsid w:val="002A47E4"/>
    <w:rsid w:val="002A48E0"/>
    <w:rsid w:val="002A493B"/>
    <w:rsid w:val="002A4986"/>
    <w:rsid w:val="002A51B8"/>
    <w:rsid w:val="002A5243"/>
    <w:rsid w:val="002A5F2C"/>
    <w:rsid w:val="002A6261"/>
    <w:rsid w:val="002A705B"/>
    <w:rsid w:val="002A78EF"/>
    <w:rsid w:val="002B051A"/>
    <w:rsid w:val="002B083A"/>
    <w:rsid w:val="002B0845"/>
    <w:rsid w:val="002B0985"/>
    <w:rsid w:val="002B0EFC"/>
    <w:rsid w:val="002B1738"/>
    <w:rsid w:val="002B3453"/>
    <w:rsid w:val="002B3478"/>
    <w:rsid w:val="002B39D9"/>
    <w:rsid w:val="002B42A1"/>
    <w:rsid w:val="002B49F8"/>
    <w:rsid w:val="002B53F0"/>
    <w:rsid w:val="002B5BF9"/>
    <w:rsid w:val="002B5CC3"/>
    <w:rsid w:val="002B625B"/>
    <w:rsid w:val="002B69A1"/>
    <w:rsid w:val="002B7180"/>
    <w:rsid w:val="002C15B8"/>
    <w:rsid w:val="002C19DE"/>
    <w:rsid w:val="002C24E1"/>
    <w:rsid w:val="002C2F42"/>
    <w:rsid w:val="002C2F9F"/>
    <w:rsid w:val="002C2FEC"/>
    <w:rsid w:val="002C327D"/>
    <w:rsid w:val="002C3293"/>
    <w:rsid w:val="002C3833"/>
    <w:rsid w:val="002C3D0D"/>
    <w:rsid w:val="002C4171"/>
    <w:rsid w:val="002C4625"/>
    <w:rsid w:val="002C5236"/>
    <w:rsid w:val="002C5288"/>
    <w:rsid w:val="002C5B18"/>
    <w:rsid w:val="002C5E3B"/>
    <w:rsid w:val="002C616D"/>
    <w:rsid w:val="002C61D4"/>
    <w:rsid w:val="002C630D"/>
    <w:rsid w:val="002C645E"/>
    <w:rsid w:val="002C6736"/>
    <w:rsid w:val="002C68B7"/>
    <w:rsid w:val="002C6A5F"/>
    <w:rsid w:val="002C6E39"/>
    <w:rsid w:val="002C74D7"/>
    <w:rsid w:val="002C7D7C"/>
    <w:rsid w:val="002C7F6F"/>
    <w:rsid w:val="002D02D1"/>
    <w:rsid w:val="002D05B9"/>
    <w:rsid w:val="002D061F"/>
    <w:rsid w:val="002D084D"/>
    <w:rsid w:val="002D0851"/>
    <w:rsid w:val="002D0C51"/>
    <w:rsid w:val="002D21A4"/>
    <w:rsid w:val="002D24ED"/>
    <w:rsid w:val="002D2848"/>
    <w:rsid w:val="002D3E5A"/>
    <w:rsid w:val="002D40EB"/>
    <w:rsid w:val="002D42AF"/>
    <w:rsid w:val="002D4862"/>
    <w:rsid w:val="002D51BB"/>
    <w:rsid w:val="002D51FC"/>
    <w:rsid w:val="002D5975"/>
    <w:rsid w:val="002D5B2F"/>
    <w:rsid w:val="002D676A"/>
    <w:rsid w:val="002D69F9"/>
    <w:rsid w:val="002D6B5F"/>
    <w:rsid w:val="002D7DAF"/>
    <w:rsid w:val="002E034E"/>
    <w:rsid w:val="002E0AB1"/>
    <w:rsid w:val="002E0FA7"/>
    <w:rsid w:val="002E130C"/>
    <w:rsid w:val="002E1448"/>
    <w:rsid w:val="002E1886"/>
    <w:rsid w:val="002E2419"/>
    <w:rsid w:val="002E249B"/>
    <w:rsid w:val="002E25AB"/>
    <w:rsid w:val="002E25E6"/>
    <w:rsid w:val="002E28F7"/>
    <w:rsid w:val="002E31B2"/>
    <w:rsid w:val="002E3214"/>
    <w:rsid w:val="002E3406"/>
    <w:rsid w:val="002E3736"/>
    <w:rsid w:val="002E3A4A"/>
    <w:rsid w:val="002E3CA0"/>
    <w:rsid w:val="002E3CE9"/>
    <w:rsid w:val="002E3D26"/>
    <w:rsid w:val="002E5238"/>
    <w:rsid w:val="002E5396"/>
    <w:rsid w:val="002E5553"/>
    <w:rsid w:val="002E7D34"/>
    <w:rsid w:val="002E7D6F"/>
    <w:rsid w:val="002F02E4"/>
    <w:rsid w:val="002F0667"/>
    <w:rsid w:val="002F0A34"/>
    <w:rsid w:val="002F1BF6"/>
    <w:rsid w:val="002F1C16"/>
    <w:rsid w:val="002F233A"/>
    <w:rsid w:val="002F2E0B"/>
    <w:rsid w:val="002F4114"/>
    <w:rsid w:val="002F43B7"/>
    <w:rsid w:val="002F4525"/>
    <w:rsid w:val="002F4B1C"/>
    <w:rsid w:val="002F5089"/>
    <w:rsid w:val="002F6419"/>
    <w:rsid w:val="002F67FE"/>
    <w:rsid w:val="002F790A"/>
    <w:rsid w:val="002F7D08"/>
    <w:rsid w:val="003012C3"/>
    <w:rsid w:val="0030162E"/>
    <w:rsid w:val="00301DA9"/>
    <w:rsid w:val="00301F08"/>
    <w:rsid w:val="00302ACD"/>
    <w:rsid w:val="003031BD"/>
    <w:rsid w:val="00304743"/>
    <w:rsid w:val="003047E0"/>
    <w:rsid w:val="0030518C"/>
    <w:rsid w:val="00305C9A"/>
    <w:rsid w:val="003062B0"/>
    <w:rsid w:val="003068E6"/>
    <w:rsid w:val="00307433"/>
    <w:rsid w:val="00307487"/>
    <w:rsid w:val="003074B7"/>
    <w:rsid w:val="00310224"/>
    <w:rsid w:val="00310652"/>
    <w:rsid w:val="0031120D"/>
    <w:rsid w:val="00311784"/>
    <w:rsid w:val="00313069"/>
    <w:rsid w:val="003147F1"/>
    <w:rsid w:val="0031508E"/>
    <w:rsid w:val="00315148"/>
    <w:rsid w:val="003152FC"/>
    <w:rsid w:val="00315DFB"/>
    <w:rsid w:val="00316746"/>
    <w:rsid w:val="00317C3C"/>
    <w:rsid w:val="00320170"/>
    <w:rsid w:val="00321462"/>
    <w:rsid w:val="003215D0"/>
    <w:rsid w:val="00321DFB"/>
    <w:rsid w:val="0032301C"/>
    <w:rsid w:val="00323EDD"/>
    <w:rsid w:val="0032428E"/>
    <w:rsid w:val="003250ED"/>
    <w:rsid w:val="003251D3"/>
    <w:rsid w:val="00325272"/>
    <w:rsid w:val="00325322"/>
    <w:rsid w:val="00325FEC"/>
    <w:rsid w:val="003262BB"/>
    <w:rsid w:val="00326941"/>
    <w:rsid w:val="00327827"/>
    <w:rsid w:val="00330003"/>
    <w:rsid w:val="00330857"/>
    <w:rsid w:val="003308E8"/>
    <w:rsid w:val="003313F5"/>
    <w:rsid w:val="00331C67"/>
    <w:rsid w:val="00332A41"/>
    <w:rsid w:val="003335CC"/>
    <w:rsid w:val="00333B69"/>
    <w:rsid w:val="00333FAE"/>
    <w:rsid w:val="003343A4"/>
    <w:rsid w:val="00334486"/>
    <w:rsid w:val="00334A38"/>
    <w:rsid w:val="00334D3F"/>
    <w:rsid w:val="00334E5C"/>
    <w:rsid w:val="003353EE"/>
    <w:rsid w:val="00336A32"/>
    <w:rsid w:val="00337106"/>
    <w:rsid w:val="0033751A"/>
    <w:rsid w:val="00337828"/>
    <w:rsid w:val="00337C16"/>
    <w:rsid w:val="00337F69"/>
    <w:rsid w:val="003406B8"/>
    <w:rsid w:val="00340EB2"/>
    <w:rsid w:val="00341BFE"/>
    <w:rsid w:val="00342274"/>
    <w:rsid w:val="003425C2"/>
    <w:rsid w:val="00342634"/>
    <w:rsid w:val="003427E7"/>
    <w:rsid w:val="00342D11"/>
    <w:rsid w:val="003430E3"/>
    <w:rsid w:val="003434DC"/>
    <w:rsid w:val="00343CBB"/>
    <w:rsid w:val="003440E4"/>
    <w:rsid w:val="0034431D"/>
    <w:rsid w:val="00345545"/>
    <w:rsid w:val="00345C68"/>
    <w:rsid w:val="0034668A"/>
    <w:rsid w:val="00346BFA"/>
    <w:rsid w:val="00347EB3"/>
    <w:rsid w:val="003520F2"/>
    <w:rsid w:val="00352DBD"/>
    <w:rsid w:val="003552CF"/>
    <w:rsid w:val="003553A1"/>
    <w:rsid w:val="003556B2"/>
    <w:rsid w:val="00355E4A"/>
    <w:rsid w:val="003561A0"/>
    <w:rsid w:val="00356CC4"/>
    <w:rsid w:val="00357248"/>
    <w:rsid w:val="003578BA"/>
    <w:rsid w:val="00357A58"/>
    <w:rsid w:val="00357C68"/>
    <w:rsid w:val="00357D98"/>
    <w:rsid w:val="00357F05"/>
    <w:rsid w:val="0036020A"/>
    <w:rsid w:val="0036039E"/>
    <w:rsid w:val="003604D7"/>
    <w:rsid w:val="003606FB"/>
    <w:rsid w:val="00360985"/>
    <w:rsid w:val="00360F43"/>
    <w:rsid w:val="003616A3"/>
    <w:rsid w:val="00361B6D"/>
    <w:rsid w:val="0036237E"/>
    <w:rsid w:val="003630D7"/>
    <w:rsid w:val="00363945"/>
    <w:rsid w:val="00363981"/>
    <w:rsid w:val="00363A7E"/>
    <w:rsid w:val="00364250"/>
    <w:rsid w:val="003649FD"/>
    <w:rsid w:val="003653B6"/>
    <w:rsid w:val="00365526"/>
    <w:rsid w:val="003657B1"/>
    <w:rsid w:val="00365E60"/>
    <w:rsid w:val="00366E20"/>
    <w:rsid w:val="00367770"/>
    <w:rsid w:val="003705A5"/>
    <w:rsid w:val="00370D68"/>
    <w:rsid w:val="003715F8"/>
    <w:rsid w:val="003716E2"/>
    <w:rsid w:val="003719BA"/>
    <w:rsid w:val="00371BD3"/>
    <w:rsid w:val="00371CFA"/>
    <w:rsid w:val="00371F71"/>
    <w:rsid w:val="0037246F"/>
    <w:rsid w:val="003728C4"/>
    <w:rsid w:val="00372F90"/>
    <w:rsid w:val="003735DB"/>
    <w:rsid w:val="00374898"/>
    <w:rsid w:val="003752A9"/>
    <w:rsid w:val="00375550"/>
    <w:rsid w:val="00375629"/>
    <w:rsid w:val="00375A2E"/>
    <w:rsid w:val="003774F7"/>
    <w:rsid w:val="0038019A"/>
    <w:rsid w:val="0038098C"/>
    <w:rsid w:val="00381C15"/>
    <w:rsid w:val="003824CF"/>
    <w:rsid w:val="0038321D"/>
    <w:rsid w:val="00383DFC"/>
    <w:rsid w:val="0038474B"/>
    <w:rsid w:val="00385283"/>
    <w:rsid w:val="003853A8"/>
    <w:rsid w:val="003859CB"/>
    <w:rsid w:val="00385C73"/>
    <w:rsid w:val="00386054"/>
    <w:rsid w:val="00386B02"/>
    <w:rsid w:val="0038774C"/>
    <w:rsid w:val="003879CE"/>
    <w:rsid w:val="00387DC5"/>
    <w:rsid w:val="00387EDD"/>
    <w:rsid w:val="00387EF5"/>
    <w:rsid w:val="00390C2F"/>
    <w:rsid w:val="003910BB"/>
    <w:rsid w:val="00391F6F"/>
    <w:rsid w:val="0039277D"/>
    <w:rsid w:val="003928A5"/>
    <w:rsid w:val="00392C18"/>
    <w:rsid w:val="00393078"/>
    <w:rsid w:val="003932F2"/>
    <w:rsid w:val="00393309"/>
    <w:rsid w:val="003934BC"/>
    <w:rsid w:val="00393DA7"/>
    <w:rsid w:val="0039471C"/>
    <w:rsid w:val="00394C30"/>
    <w:rsid w:val="00395CDB"/>
    <w:rsid w:val="00395EF8"/>
    <w:rsid w:val="003963DC"/>
    <w:rsid w:val="003965CB"/>
    <w:rsid w:val="00396D01"/>
    <w:rsid w:val="00396E8D"/>
    <w:rsid w:val="00396FE8"/>
    <w:rsid w:val="003A0854"/>
    <w:rsid w:val="003A10DD"/>
    <w:rsid w:val="003A133F"/>
    <w:rsid w:val="003A1564"/>
    <w:rsid w:val="003A171D"/>
    <w:rsid w:val="003A195B"/>
    <w:rsid w:val="003A1F87"/>
    <w:rsid w:val="003A210A"/>
    <w:rsid w:val="003A27F6"/>
    <w:rsid w:val="003A28AC"/>
    <w:rsid w:val="003A295E"/>
    <w:rsid w:val="003A2AE8"/>
    <w:rsid w:val="003A2E39"/>
    <w:rsid w:val="003A2F30"/>
    <w:rsid w:val="003A3A1E"/>
    <w:rsid w:val="003A4169"/>
    <w:rsid w:val="003A4643"/>
    <w:rsid w:val="003A4779"/>
    <w:rsid w:val="003A7DA3"/>
    <w:rsid w:val="003A7F33"/>
    <w:rsid w:val="003B0009"/>
    <w:rsid w:val="003B0BA4"/>
    <w:rsid w:val="003B0D52"/>
    <w:rsid w:val="003B1034"/>
    <w:rsid w:val="003B1201"/>
    <w:rsid w:val="003B1447"/>
    <w:rsid w:val="003B194F"/>
    <w:rsid w:val="003B21C4"/>
    <w:rsid w:val="003B2CB8"/>
    <w:rsid w:val="003B2CFD"/>
    <w:rsid w:val="003B3040"/>
    <w:rsid w:val="003B309F"/>
    <w:rsid w:val="003B3130"/>
    <w:rsid w:val="003B34A1"/>
    <w:rsid w:val="003B36CF"/>
    <w:rsid w:val="003B3783"/>
    <w:rsid w:val="003B390C"/>
    <w:rsid w:val="003B4365"/>
    <w:rsid w:val="003B492C"/>
    <w:rsid w:val="003B52E2"/>
    <w:rsid w:val="003B6562"/>
    <w:rsid w:val="003B6F0F"/>
    <w:rsid w:val="003B755A"/>
    <w:rsid w:val="003B784B"/>
    <w:rsid w:val="003C028B"/>
    <w:rsid w:val="003C0C7F"/>
    <w:rsid w:val="003C0CC2"/>
    <w:rsid w:val="003C101F"/>
    <w:rsid w:val="003C13CA"/>
    <w:rsid w:val="003C1EE6"/>
    <w:rsid w:val="003C2671"/>
    <w:rsid w:val="003C27B3"/>
    <w:rsid w:val="003C323E"/>
    <w:rsid w:val="003C3A01"/>
    <w:rsid w:val="003C3AEC"/>
    <w:rsid w:val="003C452D"/>
    <w:rsid w:val="003C50DD"/>
    <w:rsid w:val="003C568F"/>
    <w:rsid w:val="003C5B1E"/>
    <w:rsid w:val="003C5C0A"/>
    <w:rsid w:val="003D04AA"/>
    <w:rsid w:val="003D09BF"/>
    <w:rsid w:val="003D0CE8"/>
    <w:rsid w:val="003D14B9"/>
    <w:rsid w:val="003D25AB"/>
    <w:rsid w:val="003D36FD"/>
    <w:rsid w:val="003D4950"/>
    <w:rsid w:val="003D61CB"/>
    <w:rsid w:val="003D639D"/>
    <w:rsid w:val="003D68E1"/>
    <w:rsid w:val="003D6929"/>
    <w:rsid w:val="003D6A78"/>
    <w:rsid w:val="003D6FCD"/>
    <w:rsid w:val="003D7396"/>
    <w:rsid w:val="003D7803"/>
    <w:rsid w:val="003E0202"/>
    <w:rsid w:val="003E0372"/>
    <w:rsid w:val="003E0ABB"/>
    <w:rsid w:val="003E0C8D"/>
    <w:rsid w:val="003E0FF1"/>
    <w:rsid w:val="003E1FB7"/>
    <w:rsid w:val="003E2620"/>
    <w:rsid w:val="003E324C"/>
    <w:rsid w:val="003E3799"/>
    <w:rsid w:val="003E3C41"/>
    <w:rsid w:val="003E4F9F"/>
    <w:rsid w:val="003E5A68"/>
    <w:rsid w:val="003E5F20"/>
    <w:rsid w:val="003E7CA9"/>
    <w:rsid w:val="003E7F17"/>
    <w:rsid w:val="003F050F"/>
    <w:rsid w:val="003F0E09"/>
    <w:rsid w:val="003F10FA"/>
    <w:rsid w:val="003F1C5F"/>
    <w:rsid w:val="003F2679"/>
    <w:rsid w:val="003F2D16"/>
    <w:rsid w:val="003F2FFB"/>
    <w:rsid w:val="003F3C68"/>
    <w:rsid w:val="003F412B"/>
    <w:rsid w:val="003F4409"/>
    <w:rsid w:val="003F507B"/>
    <w:rsid w:val="003F5908"/>
    <w:rsid w:val="003F63F2"/>
    <w:rsid w:val="003F6DD4"/>
    <w:rsid w:val="003F777B"/>
    <w:rsid w:val="003F7EA1"/>
    <w:rsid w:val="00400D5A"/>
    <w:rsid w:val="00400FC0"/>
    <w:rsid w:val="0040163E"/>
    <w:rsid w:val="004016C2"/>
    <w:rsid w:val="00401C20"/>
    <w:rsid w:val="00401CD5"/>
    <w:rsid w:val="00401FF2"/>
    <w:rsid w:val="0040270D"/>
    <w:rsid w:val="004034D5"/>
    <w:rsid w:val="00403A85"/>
    <w:rsid w:val="00403AB1"/>
    <w:rsid w:val="00403C01"/>
    <w:rsid w:val="0040425C"/>
    <w:rsid w:val="00404508"/>
    <w:rsid w:val="004045E1"/>
    <w:rsid w:val="00404D36"/>
    <w:rsid w:val="00405137"/>
    <w:rsid w:val="00405CDF"/>
    <w:rsid w:val="004068CB"/>
    <w:rsid w:val="0040725C"/>
    <w:rsid w:val="004074D2"/>
    <w:rsid w:val="00410659"/>
    <w:rsid w:val="004108EB"/>
    <w:rsid w:val="00410B2F"/>
    <w:rsid w:val="00410B52"/>
    <w:rsid w:val="00410DA6"/>
    <w:rsid w:val="00411776"/>
    <w:rsid w:val="00411BBD"/>
    <w:rsid w:val="00411D54"/>
    <w:rsid w:val="00411E7F"/>
    <w:rsid w:val="004121A1"/>
    <w:rsid w:val="0041278E"/>
    <w:rsid w:val="00413140"/>
    <w:rsid w:val="00413806"/>
    <w:rsid w:val="00413F32"/>
    <w:rsid w:val="00414103"/>
    <w:rsid w:val="0041419E"/>
    <w:rsid w:val="0041425D"/>
    <w:rsid w:val="00415521"/>
    <w:rsid w:val="004155E7"/>
    <w:rsid w:val="004157AC"/>
    <w:rsid w:val="004157DB"/>
    <w:rsid w:val="00415B59"/>
    <w:rsid w:val="00415CB9"/>
    <w:rsid w:val="004164BB"/>
    <w:rsid w:val="00416A0A"/>
    <w:rsid w:val="00417238"/>
    <w:rsid w:val="00417245"/>
    <w:rsid w:val="004174B5"/>
    <w:rsid w:val="00417999"/>
    <w:rsid w:val="00417E9E"/>
    <w:rsid w:val="00420872"/>
    <w:rsid w:val="00420CEF"/>
    <w:rsid w:val="00421BBA"/>
    <w:rsid w:val="00422B4C"/>
    <w:rsid w:val="00422DCB"/>
    <w:rsid w:val="0042380D"/>
    <w:rsid w:val="00423991"/>
    <w:rsid w:val="00423C48"/>
    <w:rsid w:val="0042485C"/>
    <w:rsid w:val="00424C0C"/>
    <w:rsid w:val="00424DF9"/>
    <w:rsid w:val="00424E16"/>
    <w:rsid w:val="00424F76"/>
    <w:rsid w:val="0042521A"/>
    <w:rsid w:val="00425565"/>
    <w:rsid w:val="00425B40"/>
    <w:rsid w:val="004260A0"/>
    <w:rsid w:val="00426723"/>
    <w:rsid w:val="00426984"/>
    <w:rsid w:val="00426F1A"/>
    <w:rsid w:val="00427DF5"/>
    <w:rsid w:val="00430362"/>
    <w:rsid w:val="004305FF"/>
    <w:rsid w:val="004307E1"/>
    <w:rsid w:val="00430FF7"/>
    <w:rsid w:val="00431DB1"/>
    <w:rsid w:val="0043262C"/>
    <w:rsid w:val="00432E3E"/>
    <w:rsid w:val="00433CDA"/>
    <w:rsid w:val="00434481"/>
    <w:rsid w:val="00434651"/>
    <w:rsid w:val="00434AD1"/>
    <w:rsid w:val="0043580F"/>
    <w:rsid w:val="00435968"/>
    <w:rsid w:val="00435D30"/>
    <w:rsid w:val="0043728E"/>
    <w:rsid w:val="004376A6"/>
    <w:rsid w:val="00437E7D"/>
    <w:rsid w:val="004408C3"/>
    <w:rsid w:val="00440BB2"/>
    <w:rsid w:val="00440D0E"/>
    <w:rsid w:val="004412B1"/>
    <w:rsid w:val="00441454"/>
    <w:rsid w:val="00441D3F"/>
    <w:rsid w:val="00442441"/>
    <w:rsid w:val="00442454"/>
    <w:rsid w:val="00442BAB"/>
    <w:rsid w:val="00443115"/>
    <w:rsid w:val="0044313C"/>
    <w:rsid w:val="00443F6F"/>
    <w:rsid w:val="00444335"/>
    <w:rsid w:val="004447BE"/>
    <w:rsid w:val="004455F6"/>
    <w:rsid w:val="00446608"/>
    <w:rsid w:val="00446D6C"/>
    <w:rsid w:val="00447495"/>
    <w:rsid w:val="00447703"/>
    <w:rsid w:val="004477ED"/>
    <w:rsid w:val="00450357"/>
    <w:rsid w:val="0045080E"/>
    <w:rsid w:val="004513AB"/>
    <w:rsid w:val="004513C1"/>
    <w:rsid w:val="004517C0"/>
    <w:rsid w:val="00451CAA"/>
    <w:rsid w:val="004521ED"/>
    <w:rsid w:val="00452664"/>
    <w:rsid w:val="004535C4"/>
    <w:rsid w:val="00453780"/>
    <w:rsid w:val="004538EB"/>
    <w:rsid w:val="004539CB"/>
    <w:rsid w:val="00453CB7"/>
    <w:rsid w:val="00453F99"/>
    <w:rsid w:val="004544C0"/>
    <w:rsid w:val="00454538"/>
    <w:rsid w:val="004557F0"/>
    <w:rsid w:val="004562E9"/>
    <w:rsid w:val="004562F5"/>
    <w:rsid w:val="00456390"/>
    <w:rsid w:val="004566F7"/>
    <w:rsid w:val="00456BB7"/>
    <w:rsid w:val="0045767C"/>
    <w:rsid w:val="00457821"/>
    <w:rsid w:val="00457D6E"/>
    <w:rsid w:val="00460588"/>
    <w:rsid w:val="00460FD9"/>
    <w:rsid w:val="00461271"/>
    <w:rsid w:val="004616B8"/>
    <w:rsid w:val="00461B8A"/>
    <w:rsid w:val="004621AF"/>
    <w:rsid w:val="004627E5"/>
    <w:rsid w:val="004632C6"/>
    <w:rsid w:val="00463B9B"/>
    <w:rsid w:val="00463CC7"/>
    <w:rsid w:val="004642CD"/>
    <w:rsid w:val="004645A5"/>
    <w:rsid w:val="0046498D"/>
    <w:rsid w:val="00464FFE"/>
    <w:rsid w:val="0046510C"/>
    <w:rsid w:val="004653DB"/>
    <w:rsid w:val="004655BC"/>
    <w:rsid w:val="004667BB"/>
    <w:rsid w:val="00466AE6"/>
    <w:rsid w:val="004672DD"/>
    <w:rsid w:val="00467315"/>
    <w:rsid w:val="00467997"/>
    <w:rsid w:val="00470CB1"/>
    <w:rsid w:val="00470DFB"/>
    <w:rsid w:val="00471447"/>
    <w:rsid w:val="00471985"/>
    <w:rsid w:val="00472368"/>
    <w:rsid w:val="00472555"/>
    <w:rsid w:val="00472A7B"/>
    <w:rsid w:val="00472C1E"/>
    <w:rsid w:val="00473AA9"/>
    <w:rsid w:val="00473D9F"/>
    <w:rsid w:val="0047440F"/>
    <w:rsid w:val="00474ADB"/>
    <w:rsid w:val="004750F8"/>
    <w:rsid w:val="004753E3"/>
    <w:rsid w:val="00475582"/>
    <w:rsid w:val="00475840"/>
    <w:rsid w:val="00475A23"/>
    <w:rsid w:val="00475AC1"/>
    <w:rsid w:val="00475AC7"/>
    <w:rsid w:val="004761BC"/>
    <w:rsid w:val="00476200"/>
    <w:rsid w:val="0047675A"/>
    <w:rsid w:val="00476C5E"/>
    <w:rsid w:val="00477510"/>
    <w:rsid w:val="00480184"/>
    <w:rsid w:val="00480730"/>
    <w:rsid w:val="004807A9"/>
    <w:rsid w:val="0048191A"/>
    <w:rsid w:val="004825CF"/>
    <w:rsid w:val="00483820"/>
    <w:rsid w:val="00483DB0"/>
    <w:rsid w:val="0048497F"/>
    <w:rsid w:val="00484C4A"/>
    <w:rsid w:val="00485125"/>
    <w:rsid w:val="004854E5"/>
    <w:rsid w:val="00485B57"/>
    <w:rsid w:val="00486F09"/>
    <w:rsid w:val="0048754E"/>
    <w:rsid w:val="00487AC5"/>
    <w:rsid w:val="0049015A"/>
    <w:rsid w:val="004901A7"/>
    <w:rsid w:val="00490A63"/>
    <w:rsid w:val="00490B1A"/>
    <w:rsid w:val="00491092"/>
    <w:rsid w:val="00491259"/>
    <w:rsid w:val="00491986"/>
    <w:rsid w:val="00491D72"/>
    <w:rsid w:val="00492122"/>
    <w:rsid w:val="00492573"/>
    <w:rsid w:val="00492672"/>
    <w:rsid w:val="004929C2"/>
    <w:rsid w:val="004932E9"/>
    <w:rsid w:val="0049341D"/>
    <w:rsid w:val="004934E2"/>
    <w:rsid w:val="00493764"/>
    <w:rsid w:val="00493831"/>
    <w:rsid w:val="00493A9A"/>
    <w:rsid w:val="00493B28"/>
    <w:rsid w:val="00493CFF"/>
    <w:rsid w:val="0049414A"/>
    <w:rsid w:val="0049572D"/>
    <w:rsid w:val="004957B7"/>
    <w:rsid w:val="00495FCF"/>
    <w:rsid w:val="004961C3"/>
    <w:rsid w:val="0049699F"/>
    <w:rsid w:val="00496A15"/>
    <w:rsid w:val="00496BEA"/>
    <w:rsid w:val="00496D81"/>
    <w:rsid w:val="00497132"/>
    <w:rsid w:val="00497235"/>
    <w:rsid w:val="00497FC5"/>
    <w:rsid w:val="004A117D"/>
    <w:rsid w:val="004A1AA2"/>
    <w:rsid w:val="004A1C6E"/>
    <w:rsid w:val="004A2988"/>
    <w:rsid w:val="004A2BF1"/>
    <w:rsid w:val="004A30AE"/>
    <w:rsid w:val="004A3106"/>
    <w:rsid w:val="004A336C"/>
    <w:rsid w:val="004A3A8E"/>
    <w:rsid w:val="004A3F9F"/>
    <w:rsid w:val="004A4742"/>
    <w:rsid w:val="004A490C"/>
    <w:rsid w:val="004A4FDA"/>
    <w:rsid w:val="004A5CCC"/>
    <w:rsid w:val="004A5ED2"/>
    <w:rsid w:val="004A6349"/>
    <w:rsid w:val="004A649F"/>
    <w:rsid w:val="004A6919"/>
    <w:rsid w:val="004A6BC6"/>
    <w:rsid w:val="004A6BD1"/>
    <w:rsid w:val="004A6C0A"/>
    <w:rsid w:val="004A7228"/>
    <w:rsid w:val="004A7B45"/>
    <w:rsid w:val="004B0E2E"/>
    <w:rsid w:val="004B0F73"/>
    <w:rsid w:val="004B1A51"/>
    <w:rsid w:val="004B1A9E"/>
    <w:rsid w:val="004B1F94"/>
    <w:rsid w:val="004B233D"/>
    <w:rsid w:val="004B244E"/>
    <w:rsid w:val="004B2EE3"/>
    <w:rsid w:val="004B3517"/>
    <w:rsid w:val="004B3C41"/>
    <w:rsid w:val="004B41F8"/>
    <w:rsid w:val="004B522C"/>
    <w:rsid w:val="004B56AA"/>
    <w:rsid w:val="004B641B"/>
    <w:rsid w:val="004B653A"/>
    <w:rsid w:val="004B68F2"/>
    <w:rsid w:val="004B6A9D"/>
    <w:rsid w:val="004B7310"/>
    <w:rsid w:val="004B7B78"/>
    <w:rsid w:val="004B7DD8"/>
    <w:rsid w:val="004C1257"/>
    <w:rsid w:val="004C1625"/>
    <w:rsid w:val="004C2562"/>
    <w:rsid w:val="004C2626"/>
    <w:rsid w:val="004C2F04"/>
    <w:rsid w:val="004C30C5"/>
    <w:rsid w:val="004C354B"/>
    <w:rsid w:val="004C3DD8"/>
    <w:rsid w:val="004C4A63"/>
    <w:rsid w:val="004C5284"/>
    <w:rsid w:val="004C6175"/>
    <w:rsid w:val="004C61B2"/>
    <w:rsid w:val="004C6A35"/>
    <w:rsid w:val="004D039C"/>
    <w:rsid w:val="004D0FA3"/>
    <w:rsid w:val="004D10EF"/>
    <w:rsid w:val="004D1272"/>
    <w:rsid w:val="004D133F"/>
    <w:rsid w:val="004D3D8B"/>
    <w:rsid w:val="004D4F94"/>
    <w:rsid w:val="004D5340"/>
    <w:rsid w:val="004D53EA"/>
    <w:rsid w:val="004D641C"/>
    <w:rsid w:val="004D6E72"/>
    <w:rsid w:val="004D7033"/>
    <w:rsid w:val="004D7143"/>
    <w:rsid w:val="004D78AF"/>
    <w:rsid w:val="004D7EAB"/>
    <w:rsid w:val="004E0452"/>
    <w:rsid w:val="004E1D2E"/>
    <w:rsid w:val="004E221D"/>
    <w:rsid w:val="004E2F33"/>
    <w:rsid w:val="004E3062"/>
    <w:rsid w:val="004E445D"/>
    <w:rsid w:val="004E48AC"/>
    <w:rsid w:val="004E518C"/>
    <w:rsid w:val="004E54C1"/>
    <w:rsid w:val="004E55BD"/>
    <w:rsid w:val="004E561E"/>
    <w:rsid w:val="004E5BDD"/>
    <w:rsid w:val="004E5F8A"/>
    <w:rsid w:val="004E6693"/>
    <w:rsid w:val="004E67FF"/>
    <w:rsid w:val="004E6931"/>
    <w:rsid w:val="004F0A6F"/>
    <w:rsid w:val="004F0E6E"/>
    <w:rsid w:val="004F0EC8"/>
    <w:rsid w:val="004F2106"/>
    <w:rsid w:val="004F2203"/>
    <w:rsid w:val="004F366C"/>
    <w:rsid w:val="004F3687"/>
    <w:rsid w:val="004F3695"/>
    <w:rsid w:val="004F4084"/>
    <w:rsid w:val="004F460D"/>
    <w:rsid w:val="004F4AA1"/>
    <w:rsid w:val="004F5194"/>
    <w:rsid w:val="004F54C3"/>
    <w:rsid w:val="004F55F4"/>
    <w:rsid w:val="004F61D5"/>
    <w:rsid w:val="004F6E50"/>
    <w:rsid w:val="004F72C9"/>
    <w:rsid w:val="00501077"/>
    <w:rsid w:val="00501705"/>
    <w:rsid w:val="005018B9"/>
    <w:rsid w:val="00501AAC"/>
    <w:rsid w:val="00501AFA"/>
    <w:rsid w:val="00501B14"/>
    <w:rsid w:val="00501C15"/>
    <w:rsid w:val="005020D6"/>
    <w:rsid w:val="00502107"/>
    <w:rsid w:val="005021F4"/>
    <w:rsid w:val="005023E6"/>
    <w:rsid w:val="00502971"/>
    <w:rsid w:val="00503D58"/>
    <w:rsid w:val="00503F12"/>
    <w:rsid w:val="005045C2"/>
    <w:rsid w:val="0050484E"/>
    <w:rsid w:val="00504D26"/>
    <w:rsid w:val="00504FD7"/>
    <w:rsid w:val="005052D6"/>
    <w:rsid w:val="00505868"/>
    <w:rsid w:val="0050589A"/>
    <w:rsid w:val="0050650E"/>
    <w:rsid w:val="00506822"/>
    <w:rsid w:val="00506988"/>
    <w:rsid w:val="00507065"/>
    <w:rsid w:val="005073DF"/>
    <w:rsid w:val="005075B4"/>
    <w:rsid w:val="005079C8"/>
    <w:rsid w:val="00510556"/>
    <w:rsid w:val="00510638"/>
    <w:rsid w:val="00510898"/>
    <w:rsid w:val="00510958"/>
    <w:rsid w:val="00510ADC"/>
    <w:rsid w:val="00510E0F"/>
    <w:rsid w:val="00510E35"/>
    <w:rsid w:val="0051145E"/>
    <w:rsid w:val="00511AD2"/>
    <w:rsid w:val="00512348"/>
    <w:rsid w:val="005125E9"/>
    <w:rsid w:val="00512A5B"/>
    <w:rsid w:val="005133E3"/>
    <w:rsid w:val="00513B69"/>
    <w:rsid w:val="00513B85"/>
    <w:rsid w:val="00514235"/>
    <w:rsid w:val="005143CA"/>
    <w:rsid w:val="00514738"/>
    <w:rsid w:val="005156AB"/>
    <w:rsid w:val="005158C9"/>
    <w:rsid w:val="0051644F"/>
    <w:rsid w:val="0051668D"/>
    <w:rsid w:val="005166F5"/>
    <w:rsid w:val="00516D32"/>
    <w:rsid w:val="00517510"/>
    <w:rsid w:val="00520020"/>
    <w:rsid w:val="00520422"/>
    <w:rsid w:val="0052078E"/>
    <w:rsid w:val="00521284"/>
    <w:rsid w:val="00521711"/>
    <w:rsid w:val="0052182C"/>
    <w:rsid w:val="00521A65"/>
    <w:rsid w:val="00521E00"/>
    <w:rsid w:val="00522C65"/>
    <w:rsid w:val="00522DBC"/>
    <w:rsid w:val="0052408C"/>
    <w:rsid w:val="00524659"/>
    <w:rsid w:val="00526B40"/>
    <w:rsid w:val="00526CCA"/>
    <w:rsid w:val="005273B2"/>
    <w:rsid w:val="0052773D"/>
    <w:rsid w:val="00527D8C"/>
    <w:rsid w:val="005303C1"/>
    <w:rsid w:val="00530636"/>
    <w:rsid w:val="00530806"/>
    <w:rsid w:val="005310CE"/>
    <w:rsid w:val="0053156B"/>
    <w:rsid w:val="005320E3"/>
    <w:rsid w:val="00532459"/>
    <w:rsid w:val="00532A83"/>
    <w:rsid w:val="0053395A"/>
    <w:rsid w:val="005339C4"/>
    <w:rsid w:val="00533A17"/>
    <w:rsid w:val="00533F2A"/>
    <w:rsid w:val="005347A3"/>
    <w:rsid w:val="00534E05"/>
    <w:rsid w:val="00535260"/>
    <w:rsid w:val="005357FA"/>
    <w:rsid w:val="00535B76"/>
    <w:rsid w:val="00536823"/>
    <w:rsid w:val="0053703D"/>
    <w:rsid w:val="00537E0A"/>
    <w:rsid w:val="00537E4F"/>
    <w:rsid w:val="005406B2"/>
    <w:rsid w:val="005406CB"/>
    <w:rsid w:val="00540BC6"/>
    <w:rsid w:val="005412F6"/>
    <w:rsid w:val="0054132D"/>
    <w:rsid w:val="0054141D"/>
    <w:rsid w:val="0054159E"/>
    <w:rsid w:val="00541E60"/>
    <w:rsid w:val="00541EAE"/>
    <w:rsid w:val="00542498"/>
    <w:rsid w:val="005427B5"/>
    <w:rsid w:val="0054312C"/>
    <w:rsid w:val="00543190"/>
    <w:rsid w:val="00543617"/>
    <w:rsid w:val="00543B08"/>
    <w:rsid w:val="00543BFC"/>
    <w:rsid w:val="00543EE6"/>
    <w:rsid w:val="005446AF"/>
    <w:rsid w:val="00544C78"/>
    <w:rsid w:val="00544EB3"/>
    <w:rsid w:val="00545136"/>
    <w:rsid w:val="005451CD"/>
    <w:rsid w:val="0054565F"/>
    <w:rsid w:val="00545BB1"/>
    <w:rsid w:val="00545D5B"/>
    <w:rsid w:val="005464A0"/>
    <w:rsid w:val="005469C3"/>
    <w:rsid w:val="00546ACA"/>
    <w:rsid w:val="00547844"/>
    <w:rsid w:val="00547A19"/>
    <w:rsid w:val="00550149"/>
    <w:rsid w:val="00550941"/>
    <w:rsid w:val="00550A23"/>
    <w:rsid w:val="005514BD"/>
    <w:rsid w:val="0055178D"/>
    <w:rsid w:val="00551A98"/>
    <w:rsid w:val="005527F8"/>
    <w:rsid w:val="00552B30"/>
    <w:rsid w:val="0055333D"/>
    <w:rsid w:val="00554867"/>
    <w:rsid w:val="0055492C"/>
    <w:rsid w:val="005551E0"/>
    <w:rsid w:val="00555B89"/>
    <w:rsid w:val="00555E89"/>
    <w:rsid w:val="00556100"/>
    <w:rsid w:val="00556128"/>
    <w:rsid w:val="00556B12"/>
    <w:rsid w:val="00556E11"/>
    <w:rsid w:val="00556E2E"/>
    <w:rsid w:val="00557E87"/>
    <w:rsid w:val="00557FC6"/>
    <w:rsid w:val="00560E7E"/>
    <w:rsid w:val="0056187F"/>
    <w:rsid w:val="00561C07"/>
    <w:rsid w:val="00561C80"/>
    <w:rsid w:val="00561D96"/>
    <w:rsid w:val="0056278C"/>
    <w:rsid w:val="00562B18"/>
    <w:rsid w:val="005632AE"/>
    <w:rsid w:val="0056357E"/>
    <w:rsid w:val="00563B7B"/>
    <w:rsid w:val="005649BE"/>
    <w:rsid w:val="00564B11"/>
    <w:rsid w:val="0056502B"/>
    <w:rsid w:val="00565244"/>
    <w:rsid w:val="005652AE"/>
    <w:rsid w:val="005652B9"/>
    <w:rsid w:val="00565663"/>
    <w:rsid w:val="005656F1"/>
    <w:rsid w:val="00565969"/>
    <w:rsid w:val="00565BDC"/>
    <w:rsid w:val="00565C93"/>
    <w:rsid w:val="005662F1"/>
    <w:rsid w:val="00566C0D"/>
    <w:rsid w:val="0056712D"/>
    <w:rsid w:val="005702F6"/>
    <w:rsid w:val="005704B4"/>
    <w:rsid w:val="00570D9A"/>
    <w:rsid w:val="00570F1E"/>
    <w:rsid w:val="005716E8"/>
    <w:rsid w:val="00571FE4"/>
    <w:rsid w:val="005721AF"/>
    <w:rsid w:val="00572B7E"/>
    <w:rsid w:val="00572CD7"/>
    <w:rsid w:val="00572E40"/>
    <w:rsid w:val="00572E9F"/>
    <w:rsid w:val="00573BD3"/>
    <w:rsid w:val="005743B8"/>
    <w:rsid w:val="0057482D"/>
    <w:rsid w:val="0057557F"/>
    <w:rsid w:val="00575912"/>
    <w:rsid w:val="005761F0"/>
    <w:rsid w:val="00576345"/>
    <w:rsid w:val="0057651A"/>
    <w:rsid w:val="00577DFD"/>
    <w:rsid w:val="00580AA5"/>
    <w:rsid w:val="0058125D"/>
    <w:rsid w:val="005812F1"/>
    <w:rsid w:val="00581335"/>
    <w:rsid w:val="00581BC9"/>
    <w:rsid w:val="00582052"/>
    <w:rsid w:val="00582290"/>
    <w:rsid w:val="005826A5"/>
    <w:rsid w:val="00582DF6"/>
    <w:rsid w:val="00582E5E"/>
    <w:rsid w:val="00582FC2"/>
    <w:rsid w:val="005836F9"/>
    <w:rsid w:val="00583A16"/>
    <w:rsid w:val="005846EE"/>
    <w:rsid w:val="00585558"/>
    <w:rsid w:val="00585CCD"/>
    <w:rsid w:val="00585F4E"/>
    <w:rsid w:val="00585FA9"/>
    <w:rsid w:val="00586284"/>
    <w:rsid w:val="005862EF"/>
    <w:rsid w:val="005863D4"/>
    <w:rsid w:val="005868D9"/>
    <w:rsid w:val="00586E70"/>
    <w:rsid w:val="00586F10"/>
    <w:rsid w:val="0058796D"/>
    <w:rsid w:val="00587A76"/>
    <w:rsid w:val="00587D87"/>
    <w:rsid w:val="00587F4C"/>
    <w:rsid w:val="00590003"/>
    <w:rsid w:val="00591540"/>
    <w:rsid w:val="00591589"/>
    <w:rsid w:val="005916AB"/>
    <w:rsid w:val="0059194D"/>
    <w:rsid w:val="00591AEF"/>
    <w:rsid w:val="00591F1E"/>
    <w:rsid w:val="00592233"/>
    <w:rsid w:val="00592A05"/>
    <w:rsid w:val="00592DF1"/>
    <w:rsid w:val="00593C51"/>
    <w:rsid w:val="00593FC3"/>
    <w:rsid w:val="00594241"/>
    <w:rsid w:val="0059427B"/>
    <w:rsid w:val="00595497"/>
    <w:rsid w:val="005958C7"/>
    <w:rsid w:val="00595DA8"/>
    <w:rsid w:val="00595F0B"/>
    <w:rsid w:val="00595FB1"/>
    <w:rsid w:val="00596638"/>
    <w:rsid w:val="00596837"/>
    <w:rsid w:val="005969C2"/>
    <w:rsid w:val="00597B44"/>
    <w:rsid w:val="00597DFF"/>
    <w:rsid w:val="005A019C"/>
    <w:rsid w:val="005A0274"/>
    <w:rsid w:val="005A02EB"/>
    <w:rsid w:val="005A0F33"/>
    <w:rsid w:val="005A12CF"/>
    <w:rsid w:val="005A1903"/>
    <w:rsid w:val="005A2CDE"/>
    <w:rsid w:val="005A2F6A"/>
    <w:rsid w:val="005A3127"/>
    <w:rsid w:val="005A31C3"/>
    <w:rsid w:val="005A36D4"/>
    <w:rsid w:val="005A408E"/>
    <w:rsid w:val="005A4D50"/>
    <w:rsid w:val="005A4E84"/>
    <w:rsid w:val="005A5360"/>
    <w:rsid w:val="005A64BB"/>
    <w:rsid w:val="005A70BA"/>
    <w:rsid w:val="005A7E0C"/>
    <w:rsid w:val="005B0087"/>
    <w:rsid w:val="005B1413"/>
    <w:rsid w:val="005B18BE"/>
    <w:rsid w:val="005B1B37"/>
    <w:rsid w:val="005B2055"/>
    <w:rsid w:val="005B2107"/>
    <w:rsid w:val="005B26E6"/>
    <w:rsid w:val="005B2F7C"/>
    <w:rsid w:val="005B34D5"/>
    <w:rsid w:val="005B3655"/>
    <w:rsid w:val="005B39BE"/>
    <w:rsid w:val="005B3DE9"/>
    <w:rsid w:val="005B3E65"/>
    <w:rsid w:val="005B4542"/>
    <w:rsid w:val="005B4929"/>
    <w:rsid w:val="005B524E"/>
    <w:rsid w:val="005B577C"/>
    <w:rsid w:val="005B634C"/>
    <w:rsid w:val="005B64D4"/>
    <w:rsid w:val="005B65CB"/>
    <w:rsid w:val="005B680B"/>
    <w:rsid w:val="005B6B7F"/>
    <w:rsid w:val="005B6EC2"/>
    <w:rsid w:val="005B70C0"/>
    <w:rsid w:val="005C0B36"/>
    <w:rsid w:val="005C0EEB"/>
    <w:rsid w:val="005C1A11"/>
    <w:rsid w:val="005C27EF"/>
    <w:rsid w:val="005C2EAC"/>
    <w:rsid w:val="005C3588"/>
    <w:rsid w:val="005C3E1D"/>
    <w:rsid w:val="005C3FCD"/>
    <w:rsid w:val="005C4299"/>
    <w:rsid w:val="005C458A"/>
    <w:rsid w:val="005C5527"/>
    <w:rsid w:val="005C5A29"/>
    <w:rsid w:val="005C5D3E"/>
    <w:rsid w:val="005C6F8E"/>
    <w:rsid w:val="005C711A"/>
    <w:rsid w:val="005D0443"/>
    <w:rsid w:val="005D1ABC"/>
    <w:rsid w:val="005D1CA1"/>
    <w:rsid w:val="005D224D"/>
    <w:rsid w:val="005D260F"/>
    <w:rsid w:val="005D37ED"/>
    <w:rsid w:val="005D3840"/>
    <w:rsid w:val="005D5729"/>
    <w:rsid w:val="005D5CCF"/>
    <w:rsid w:val="005D60CF"/>
    <w:rsid w:val="005D6767"/>
    <w:rsid w:val="005D6856"/>
    <w:rsid w:val="005D6C05"/>
    <w:rsid w:val="005D6E73"/>
    <w:rsid w:val="005D743E"/>
    <w:rsid w:val="005E102B"/>
    <w:rsid w:val="005E12D9"/>
    <w:rsid w:val="005E1E5C"/>
    <w:rsid w:val="005E217C"/>
    <w:rsid w:val="005E2702"/>
    <w:rsid w:val="005E4205"/>
    <w:rsid w:val="005E4396"/>
    <w:rsid w:val="005E44E9"/>
    <w:rsid w:val="005E45B9"/>
    <w:rsid w:val="005E53A3"/>
    <w:rsid w:val="005E5A65"/>
    <w:rsid w:val="005E702A"/>
    <w:rsid w:val="005E722F"/>
    <w:rsid w:val="005E73CD"/>
    <w:rsid w:val="005E7F14"/>
    <w:rsid w:val="005F04C1"/>
    <w:rsid w:val="005F197B"/>
    <w:rsid w:val="005F20CC"/>
    <w:rsid w:val="005F2465"/>
    <w:rsid w:val="005F2FA2"/>
    <w:rsid w:val="005F34BE"/>
    <w:rsid w:val="005F3519"/>
    <w:rsid w:val="005F3DB3"/>
    <w:rsid w:val="005F40E8"/>
    <w:rsid w:val="005F42AD"/>
    <w:rsid w:val="005F4F9F"/>
    <w:rsid w:val="005F5537"/>
    <w:rsid w:val="005F580F"/>
    <w:rsid w:val="005F5DB3"/>
    <w:rsid w:val="005F71EF"/>
    <w:rsid w:val="00600276"/>
    <w:rsid w:val="00600423"/>
    <w:rsid w:val="0060096A"/>
    <w:rsid w:val="00600AA7"/>
    <w:rsid w:val="00600B86"/>
    <w:rsid w:val="00600D35"/>
    <w:rsid w:val="00600DF7"/>
    <w:rsid w:val="00600EF9"/>
    <w:rsid w:val="0060154D"/>
    <w:rsid w:val="00601593"/>
    <w:rsid w:val="00602C2E"/>
    <w:rsid w:val="00602D96"/>
    <w:rsid w:val="006030CD"/>
    <w:rsid w:val="00603219"/>
    <w:rsid w:val="00603350"/>
    <w:rsid w:val="00603482"/>
    <w:rsid w:val="00604315"/>
    <w:rsid w:val="006044D8"/>
    <w:rsid w:val="006044E0"/>
    <w:rsid w:val="00604847"/>
    <w:rsid w:val="0060505E"/>
    <w:rsid w:val="0060605E"/>
    <w:rsid w:val="006060B6"/>
    <w:rsid w:val="006065B2"/>
    <w:rsid w:val="00606793"/>
    <w:rsid w:val="006074DA"/>
    <w:rsid w:val="00607BF5"/>
    <w:rsid w:val="00610110"/>
    <w:rsid w:val="00610181"/>
    <w:rsid w:val="006104F1"/>
    <w:rsid w:val="00610B49"/>
    <w:rsid w:val="00610F24"/>
    <w:rsid w:val="00610FE0"/>
    <w:rsid w:val="0061111E"/>
    <w:rsid w:val="0061190F"/>
    <w:rsid w:val="00611A1E"/>
    <w:rsid w:val="00611F4A"/>
    <w:rsid w:val="00611F7B"/>
    <w:rsid w:val="0061201E"/>
    <w:rsid w:val="0061237A"/>
    <w:rsid w:val="00612ED6"/>
    <w:rsid w:val="006131C4"/>
    <w:rsid w:val="006134F5"/>
    <w:rsid w:val="00613543"/>
    <w:rsid w:val="0061372B"/>
    <w:rsid w:val="00613C64"/>
    <w:rsid w:val="00614145"/>
    <w:rsid w:val="00614E05"/>
    <w:rsid w:val="006152D4"/>
    <w:rsid w:val="00616003"/>
    <w:rsid w:val="00616CC0"/>
    <w:rsid w:val="00616D07"/>
    <w:rsid w:val="00617404"/>
    <w:rsid w:val="006202F3"/>
    <w:rsid w:val="00620421"/>
    <w:rsid w:val="006209ED"/>
    <w:rsid w:val="0062144F"/>
    <w:rsid w:val="006215DB"/>
    <w:rsid w:val="0062250B"/>
    <w:rsid w:val="006232A5"/>
    <w:rsid w:val="0062347A"/>
    <w:rsid w:val="00623775"/>
    <w:rsid w:val="00623EAE"/>
    <w:rsid w:val="00624194"/>
    <w:rsid w:val="00624636"/>
    <w:rsid w:val="006246EB"/>
    <w:rsid w:val="00624839"/>
    <w:rsid w:val="00625251"/>
    <w:rsid w:val="006257E6"/>
    <w:rsid w:val="00625A52"/>
    <w:rsid w:val="00626E14"/>
    <w:rsid w:val="006270F8"/>
    <w:rsid w:val="0062735B"/>
    <w:rsid w:val="00627459"/>
    <w:rsid w:val="00627537"/>
    <w:rsid w:val="00627942"/>
    <w:rsid w:val="00630AD7"/>
    <w:rsid w:val="00630EF2"/>
    <w:rsid w:val="00632461"/>
    <w:rsid w:val="0063299B"/>
    <w:rsid w:val="006337EA"/>
    <w:rsid w:val="00633DBE"/>
    <w:rsid w:val="006342D2"/>
    <w:rsid w:val="0063437E"/>
    <w:rsid w:val="00634704"/>
    <w:rsid w:val="006352A5"/>
    <w:rsid w:val="00635F9F"/>
    <w:rsid w:val="0063659D"/>
    <w:rsid w:val="0063660A"/>
    <w:rsid w:val="00636B42"/>
    <w:rsid w:val="0063737B"/>
    <w:rsid w:val="0063763C"/>
    <w:rsid w:val="00637C9D"/>
    <w:rsid w:val="00640158"/>
    <w:rsid w:val="00640672"/>
    <w:rsid w:val="006408B7"/>
    <w:rsid w:val="00640C32"/>
    <w:rsid w:val="00640E3D"/>
    <w:rsid w:val="006413D9"/>
    <w:rsid w:val="006416D0"/>
    <w:rsid w:val="00641995"/>
    <w:rsid w:val="0064235C"/>
    <w:rsid w:val="006425DD"/>
    <w:rsid w:val="006432C9"/>
    <w:rsid w:val="0064354B"/>
    <w:rsid w:val="00645490"/>
    <w:rsid w:val="006469FB"/>
    <w:rsid w:val="00646C24"/>
    <w:rsid w:val="00646DA4"/>
    <w:rsid w:val="0064776D"/>
    <w:rsid w:val="00647A06"/>
    <w:rsid w:val="006500BE"/>
    <w:rsid w:val="006513BE"/>
    <w:rsid w:val="0065159D"/>
    <w:rsid w:val="0065169A"/>
    <w:rsid w:val="00651FDC"/>
    <w:rsid w:val="00653283"/>
    <w:rsid w:val="00653512"/>
    <w:rsid w:val="00653B5F"/>
    <w:rsid w:val="006546C2"/>
    <w:rsid w:val="006547E5"/>
    <w:rsid w:val="00654DDB"/>
    <w:rsid w:val="00655EA8"/>
    <w:rsid w:val="00657DA4"/>
    <w:rsid w:val="00660D1D"/>
    <w:rsid w:val="00661091"/>
    <w:rsid w:val="006620C1"/>
    <w:rsid w:val="00662437"/>
    <w:rsid w:val="00662EE5"/>
    <w:rsid w:val="00663A6F"/>
    <w:rsid w:val="00663B90"/>
    <w:rsid w:val="00664B51"/>
    <w:rsid w:val="00664F41"/>
    <w:rsid w:val="00665410"/>
    <w:rsid w:val="00665BF8"/>
    <w:rsid w:val="00665EDF"/>
    <w:rsid w:val="00666005"/>
    <w:rsid w:val="00666084"/>
    <w:rsid w:val="0066794A"/>
    <w:rsid w:val="00670850"/>
    <w:rsid w:val="00670922"/>
    <w:rsid w:val="00670BA7"/>
    <w:rsid w:val="00670EC5"/>
    <w:rsid w:val="006723BD"/>
    <w:rsid w:val="006729BB"/>
    <w:rsid w:val="00672AB9"/>
    <w:rsid w:val="00672E0C"/>
    <w:rsid w:val="00672E7D"/>
    <w:rsid w:val="00672F80"/>
    <w:rsid w:val="00673BB1"/>
    <w:rsid w:val="00674239"/>
    <w:rsid w:val="006742D2"/>
    <w:rsid w:val="00674413"/>
    <w:rsid w:val="0067515C"/>
    <w:rsid w:val="0067523F"/>
    <w:rsid w:val="00675552"/>
    <w:rsid w:val="00677109"/>
    <w:rsid w:val="00677264"/>
    <w:rsid w:val="00677550"/>
    <w:rsid w:val="00677798"/>
    <w:rsid w:val="00677BC7"/>
    <w:rsid w:val="00677C65"/>
    <w:rsid w:val="00677D0E"/>
    <w:rsid w:val="006805B3"/>
    <w:rsid w:val="00681293"/>
    <w:rsid w:val="0068186F"/>
    <w:rsid w:val="00681AF8"/>
    <w:rsid w:val="0068247A"/>
    <w:rsid w:val="00682734"/>
    <w:rsid w:val="00682CE9"/>
    <w:rsid w:val="00682F50"/>
    <w:rsid w:val="00682F81"/>
    <w:rsid w:val="006831E2"/>
    <w:rsid w:val="006837EB"/>
    <w:rsid w:val="00683BB6"/>
    <w:rsid w:val="006850FE"/>
    <w:rsid w:val="00685179"/>
    <w:rsid w:val="0068615E"/>
    <w:rsid w:val="006863CF"/>
    <w:rsid w:val="00686C58"/>
    <w:rsid w:val="006878EC"/>
    <w:rsid w:val="00687F19"/>
    <w:rsid w:val="00690250"/>
    <w:rsid w:val="00690658"/>
    <w:rsid w:val="00690C49"/>
    <w:rsid w:val="00690F39"/>
    <w:rsid w:val="006912FC"/>
    <w:rsid w:val="00691977"/>
    <w:rsid w:val="00692A29"/>
    <w:rsid w:val="00692D3A"/>
    <w:rsid w:val="00692DFE"/>
    <w:rsid w:val="00692FC8"/>
    <w:rsid w:val="00693462"/>
    <w:rsid w:val="00693D2A"/>
    <w:rsid w:val="006940C2"/>
    <w:rsid w:val="00694A7D"/>
    <w:rsid w:val="00694E3B"/>
    <w:rsid w:val="00694EC4"/>
    <w:rsid w:val="006959EC"/>
    <w:rsid w:val="00696875"/>
    <w:rsid w:val="00697869"/>
    <w:rsid w:val="00697C13"/>
    <w:rsid w:val="006A2AC9"/>
    <w:rsid w:val="006A2B2B"/>
    <w:rsid w:val="006A2B9F"/>
    <w:rsid w:val="006A37A3"/>
    <w:rsid w:val="006A382C"/>
    <w:rsid w:val="006A3B8D"/>
    <w:rsid w:val="006A4C7D"/>
    <w:rsid w:val="006A4D5D"/>
    <w:rsid w:val="006A58A5"/>
    <w:rsid w:val="006A70DD"/>
    <w:rsid w:val="006B0340"/>
    <w:rsid w:val="006B0AFE"/>
    <w:rsid w:val="006B12BA"/>
    <w:rsid w:val="006B1440"/>
    <w:rsid w:val="006B1B8E"/>
    <w:rsid w:val="006B2006"/>
    <w:rsid w:val="006B2422"/>
    <w:rsid w:val="006B29E3"/>
    <w:rsid w:val="006B2F0C"/>
    <w:rsid w:val="006B3ED0"/>
    <w:rsid w:val="006B4876"/>
    <w:rsid w:val="006B4952"/>
    <w:rsid w:val="006B539A"/>
    <w:rsid w:val="006B577C"/>
    <w:rsid w:val="006B5B01"/>
    <w:rsid w:val="006B6A46"/>
    <w:rsid w:val="006B6B9B"/>
    <w:rsid w:val="006B7297"/>
    <w:rsid w:val="006B799A"/>
    <w:rsid w:val="006C0BC0"/>
    <w:rsid w:val="006C0F17"/>
    <w:rsid w:val="006C2417"/>
    <w:rsid w:val="006C3458"/>
    <w:rsid w:val="006C385E"/>
    <w:rsid w:val="006C393B"/>
    <w:rsid w:val="006C48D6"/>
    <w:rsid w:val="006C4B4E"/>
    <w:rsid w:val="006C4D8A"/>
    <w:rsid w:val="006C530E"/>
    <w:rsid w:val="006C64AA"/>
    <w:rsid w:val="006C699A"/>
    <w:rsid w:val="006D0829"/>
    <w:rsid w:val="006D0DD5"/>
    <w:rsid w:val="006D1235"/>
    <w:rsid w:val="006D214C"/>
    <w:rsid w:val="006D2156"/>
    <w:rsid w:val="006D28DC"/>
    <w:rsid w:val="006D2A90"/>
    <w:rsid w:val="006D3086"/>
    <w:rsid w:val="006D30D0"/>
    <w:rsid w:val="006D31E3"/>
    <w:rsid w:val="006D3E37"/>
    <w:rsid w:val="006D455C"/>
    <w:rsid w:val="006D4E13"/>
    <w:rsid w:val="006D54B9"/>
    <w:rsid w:val="006D6806"/>
    <w:rsid w:val="006D7067"/>
    <w:rsid w:val="006D713B"/>
    <w:rsid w:val="006D71D7"/>
    <w:rsid w:val="006D7BA0"/>
    <w:rsid w:val="006D7BEB"/>
    <w:rsid w:val="006D7DBD"/>
    <w:rsid w:val="006E0D56"/>
    <w:rsid w:val="006E12C8"/>
    <w:rsid w:val="006E1FD3"/>
    <w:rsid w:val="006E2151"/>
    <w:rsid w:val="006E3000"/>
    <w:rsid w:val="006E3BD4"/>
    <w:rsid w:val="006E4580"/>
    <w:rsid w:val="006E4D07"/>
    <w:rsid w:val="006E6525"/>
    <w:rsid w:val="006E6677"/>
    <w:rsid w:val="006E692A"/>
    <w:rsid w:val="006E6D10"/>
    <w:rsid w:val="006E6F03"/>
    <w:rsid w:val="006E70C7"/>
    <w:rsid w:val="006E7137"/>
    <w:rsid w:val="006E7583"/>
    <w:rsid w:val="006F009D"/>
    <w:rsid w:val="006F0101"/>
    <w:rsid w:val="006F0116"/>
    <w:rsid w:val="006F06E7"/>
    <w:rsid w:val="006F1082"/>
    <w:rsid w:val="006F1455"/>
    <w:rsid w:val="006F1878"/>
    <w:rsid w:val="006F2578"/>
    <w:rsid w:val="006F2BF0"/>
    <w:rsid w:val="006F3148"/>
    <w:rsid w:val="006F3402"/>
    <w:rsid w:val="006F3721"/>
    <w:rsid w:val="006F4941"/>
    <w:rsid w:val="006F4B0D"/>
    <w:rsid w:val="006F4E92"/>
    <w:rsid w:val="006F53EC"/>
    <w:rsid w:val="006F6C64"/>
    <w:rsid w:val="006F714A"/>
    <w:rsid w:val="006F76DB"/>
    <w:rsid w:val="006F7739"/>
    <w:rsid w:val="006F77CF"/>
    <w:rsid w:val="006F7850"/>
    <w:rsid w:val="006F7C08"/>
    <w:rsid w:val="00700164"/>
    <w:rsid w:val="007002C5"/>
    <w:rsid w:val="007004A9"/>
    <w:rsid w:val="0070072D"/>
    <w:rsid w:val="00700820"/>
    <w:rsid w:val="00700851"/>
    <w:rsid w:val="007017D8"/>
    <w:rsid w:val="00701B8A"/>
    <w:rsid w:val="00702175"/>
    <w:rsid w:val="00702436"/>
    <w:rsid w:val="00702B98"/>
    <w:rsid w:val="00703853"/>
    <w:rsid w:val="00703A25"/>
    <w:rsid w:val="00704837"/>
    <w:rsid w:val="00705919"/>
    <w:rsid w:val="00705F98"/>
    <w:rsid w:val="0070629D"/>
    <w:rsid w:val="0070648A"/>
    <w:rsid w:val="007064EC"/>
    <w:rsid w:val="007065FA"/>
    <w:rsid w:val="00706AC6"/>
    <w:rsid w:val="00706C92"/>
    <w:rsid w:val="0070778E"/>
    <w:rsid w:val="00707EFF"/>
    <w:rsid w:val="00710696"/>
    <w:rsid w:val="00710F96"/>
    <w:rsid w:val="0071131E"/>
    <w:rsid w:val="00711357"/>
    <w:rsid w:val="0071160B"/>
    <w:rsid w:val="007116D1"/>
    <w:rsid w:val="0071171C"/>
    <w:rsid w:val="007118A7"/>
    <w:rsid w:val="00712229"/>
    <w:rsid w:val="00712A8D"/>
    <w:rsid w:val="0071326D"/>
    <w:rsid w:val="00713743"/>
    <w:rsid w:val="00713D16"/>
    <w:rsid w:val="00713E2A"/>
    <w:rsid w:val="00715171"/>
    <w:rsid w:val="00715340"/>
    <w:rsid w:val="00715419"/>
    <w:rsid w:val="007156BD"/>
    <w:rsid w:val="0071645B"/>
    <w:rsid w:val="007169A2"/>
    <w:rsid w:val="00716B48"/>
    <w:rsid w:val="00716BA9"/>
    <w:rsid w:val="00717CAC"/>
    <w:rsid w:val="00717EAD"/>
    <w:rsid w:val="007200A8"/>
    <w:rsid w:val="00720263"/>
    <w:rsid w:val="00720D9C"/>
    <w:rsid w:val="0072100C"/>
    <w:rsid w:val="00721479"/>
    <w:rsid w:val="007220D5"/>
    <w:rsid w:val="00722B8E"/>
    <w:rsid w:val="007231A5"/>
    <w:rsid w:val="007239BD"/>
    <w:rsid w:val="00723DD4"/>
    <w:rsid w:val="00723DF4"/>
    <w:rsid w:val="00723EFE"/>
    <w:rsid w:val="00724014"/>
    <w:rsid w:val="00724020"/>
    <w:rsid w:val="00724432"/>
    <w:rsid w:val="0072464E"/>
    <w:rsid w:val="0072480F"/>
    <w:rsid w:val="00724E1D"/>
    <w:rsid w:val="00725B19"/>
    <w:rsid w:val="00725ED5"/>
    <w:rsid w:val="007262DD"/>
    <w:rsid w:val="0072634E"/>
    <w:rsid w:val="00726448"/>
    <w:rsid w:val="00726613"/>
    <w:rsid w:val="007268EA"/>
    <w:rsid w:val="00726924"/>
    <w:rsid w:val="00727F53"/>
    <w:rsid w:val="00730DD8"/>
    <w:rsid w:val="00731269"/>
    <w:rsid w:val="00731CB1"/>
    <w:rsid w:val="007321FB"/>
    <w:rsid w:val="00732B89"/>
    <w:rsid w:val="00733369"/>
    <w:rsid w:val="0073341B"/>
    <w:rsid w:val="00733E5C"/>
    <w:rsid w:val="007345F4"/>
    <w:rsid w:val="00734E18"/>
    <w:rsid w:val="0073577B"/>
    <w:rsid w:val="0073583A"/>
    <w:rsid w:val="00735CDF"/>
    <w:rsid w:val="00735D8A"/>
    <w:rsid w:val="00735FDA"/>
    <w:rsid w:val="007361CF"/>
    <w:rsid w:val="00737582"/>
    <w:rsid w:val="00737A0C"/>
    <w:rsid w:val="00737CD7"/>
    <w:rsid w:val="00740497"/>
    <w:rsid w:val="00740674"/>
    <w:rsid w:val="00740866"/>
    <w:rsid w:val="00740D9E"/>
    <w:rsid w:val="00741FAB"/>
    <w:rsid w:val="00742294"/>
    <w:rsid w:val="007422A1"/>
    <w:rsid w:val="0074293D"/>
    <w:rsid w:val="00742A6B"/>
    <w:rsid w:val="00742CDE"/>
    <w:rsid w:val="007431B9"/>
    <w:rsid w:val="007433FE"/>
    <w:rsid w:val="00744855"/>
    <w:rsid w:val="007452AE"/>
    <w:rsid w:val="007463B0"/>
    <w:rsid w:val="0074656D"/>
    <w:rsid w:val="00746750"/>
    <w:rsid w:val="00747BC2"/>
    <w:rsid w:val="00750555"/>
    <w:rsid w:val="007519C6"/>
    <w:rsid w:val="00751CCB"/>
    <w:rsid w:val="00751CE1"/>
    <w:rsid w:val="007522B7"/>
    <w:rsid w:val="0075295B"/>
    <w:rsid w:val="00752AF1"/>
    <w:rsid w:val="0075310E"/>
    <w:rsid w:val="00753BEE"/>
    <w:rsid w:val="00753C62"/>
    <w:rsid w:val="00754777"/>
    <w:rsid w:val="00754FD1"/>
    <w:rsid w:val="007553FB"/>
    <w:rsid w:val="00755580"/>
    <w:rsid w:val="00755C8C"/>
    <w:rsid w:val="00755D24"/>
    <w:rsid w:val="00755E22"/>
    <w:rsid w:val="0075694E"/>
    <w:rsid w:val="0075767F"/>
    <w:rsid w:val="007579FE"/>
    <w:rsid w:val="00757E43"/>
    <w:rsid w:val="00757F99"/>
    <w:rsid w:val="00760578"/>
    <w:rsid w:val="00760D85"/>
    <w:rsid w:val="00761107"/>
    <w:rsid w:val="00761B54"/>
    <w:rsid w:val="00761FA7"/>
    <w:rsid w:val="00764D23"/>
    <w:rsid w:val="00764EC7"/>
    <w:rsid w:val="0076510F"/>
    <w:rsid w:val="00765B90"/>
    <w:rsid w:val="00765C86"/>
    <w:rsid w:val="00765CF2"/>
    <w:rsid w:val="00766087"/>
    <w:rsid w:val="00766D91"/>
    <w:rsid w:val="00767305"/>
    <w:rsid w:val="00767425"/>
    <w:rsid w:val="007679A8"/>
    <w:rsid w:val="007709F5"/>
    <w:rsid w:val="007714E0"/>
    <w:rsid w:val="007714F6"/>
    <w:rsid w:val="007717C6"/>
    <w:rsid w:val="00771D81"/>
    <w:rsid w:val="00771EAD"/>
    <w:rsid w:val="007725C9"/>
    <w:rsid w:val="00772B3C"/>
    <w:rsid w:val="007730F5"/>
    <w:rsid w:val="00773BF7"/>
    <w:rsid w:val="00774790"/>
    <w:rsid w:val="00774A25"/>
    <w:rsid w:val="00775131"/>
    <w:rsid w:val="007753B3"/>
    <w:rsid w:val="00775DB2"/>
    <w:rsid w:val="00776316"/>
    <w:rsid w:val="00776BF2"/>
    <w:rsid w:val="0078010E"/>
    <w:rsid w:val="00780313"/>
    <w:rsid w:val="00780A73"/>
    <w:rsid w:val="00780B81"/>
    <w:rsid w:val="00781318"/>
    <w:rsid w:val="00781B08"/>
    <w:rsid w:val="00781B62"/>
    <w:rsid w:val="007820C8"/>
    <w:rsid w:val="007826C4"/>
    <w:rsid w:val="007827FE"/>
    <w:rsid w:val="00782862"/>
    <w:rsid w:val="007836E8"/>
    <w:rsid w:val="00783786"/>
    <w:rsid w:val="00784146"/>
    <w:rsid w:val="00784435"/>
    <w:rsid w:val="007849A3"/>
    <w:rsid w:val="00785BC8"/>
    <w:rsid w:val="00786079"/>
    <w:rsid w:val="00786122"/>
    <w:rsid w:val="00786700"/>
    <w:rsid w:val="00786C1F"/>
    <w:rsid w:val="0078759B"/>
    <w:rsid w:val="0078795E"/>
    <w:rsid w:val="00787CB8"/>
    <w:rsid w:val="00791B88"/>
    <w:rsid w:val="00791BA5"/>
    <w:rsid w:val="00791DF2"/>
    <w:rsid w:val="00792AED"/>
    <w:rsid w:val="0079301D"/>
    <w:rsid w:val="007930CB"/>
    <w:rsid w:val="00793500"/>
    <w:rsid w:val="007939D2"/>
    <w:rsid w:val="00794753"/>
    <w:rsid w:val="00794AD3"/>
    <w:rsid w:val="00794ECC"/>
    <w:rsid w:val="00795469"/>
    <w:rsid w:val="0079553E"/>
    <w:rsid w:val="00795FCF"/>
    <w:rsid w:val="00796134"/>
    <w:rsid w:val="007961C4"/>
    <w:rsid w:val="00796282"/>
    <w:rsid w:val="00796809"/>
    <w:rsid w:val="00796864"/>
    <w:rsid w:val="00796A10"/>
    <w:rsid w:val="00797158"/>
    <w:rsid w:val="00797C00"/>
    <w:rsid w:val="00797F8C"/>
    <w:rsid w:val="007A01BD"/>
    <w:rsid w:val="007A0963"/>
    <w:rsid w:val="007A0B92"/>
    <w:rsid w:val="007A0E01"/>
    <w:rsid w:val="007A0E9D"/>
    <w:rsid w:val="007A0F21"/>
    <w:rsid w:val="007A0FD4"/>
    <w:rsid w:val="007A1849"/>
    <w:rsid w:val="007A1ECF"/>
    <w:rsid w:val="007A26DD"/>
    <w:rsid w:val="007A29BA"/>
    <w:rsid w:val="007A2AED"/>
    <w:rsid w:val="007A3611"/>
    <w:rsid w:val="007A47DE"/>
    <w:rsid w:val="007A5120"/>
    <w:rsid w:val="007A515B"/>
    <w:rsid w:val="007A5B01"/>
    <w:rsid w:val="007A5E10"/>
    <w:rsid w:val="007A66B6"/>
    <w:rsid w:val="007A66EC"/>
    <w:rsid w:val="007A69FB"/>
    <w:rsid w:val="007A6ABA"/>
    <w:rsid w:val="007A7597"/>
    <w:rsid w:val="007B00E9"/>
    <w:rsid w:val="007B08E8"/>
    <w:rsid w:val="007B1B5E"/>
    <w:rsid w:val="007B1C27"/>
    <w:rsid w:val="007B1C74"/>
    <w:rsid w:val="007B1DBA"/>
    <w:rsid w:val="007B26BD"/>
    <w:rsid w:val="007B3138"/>
    <w:rsid w:val="007B3188"/>
    <w:rsid w:val="007B4D03"/>
    <w:rsid w:val="007B602C"/>
    <w:rsid w:val="007B6A41"/>
    <w:rsid w:val="007B6A94"/>
    <w:rsid w:val="007B6BEE"/>
    <w:rsid w:val="007B6DCB"/>
    <w:rsid w:val="007B7B93"/>
    <w:rsid w:val="007B7E2F"/>
    <w:rsid w:val="007B7FDF"/>
    <w:rsid w:val="007C0834"/>
    <w:rsid w:val="007C111B"/>
    <w:rsid w:val="007C19E1"/>
    <w:rsid w:val="007C1B2A"/>
    <w:rsid w:val="007C1CFD"/>
    <w:rsid w:val="007C29E6"/>
    <w:rsid w:val="007C2D54"/>
    <w:rsid w:val="007C2E13"/>
    <w:rsid w:val="007C304E"/>
    <w:rsid w:val="007C3281"/>
    <w:rsid w:val="007C3771"/>
    <w:rsid w:val="007C3A89"/>
    <w:rsid w:val="007C3CAF"/>
    <w:rsid w:val="007C4440"/>
    <w:rsid w:val="007C455F"/>
    <w:rsid w:val="007C4B70"/>
    <w:rsid w:val="007C4E1F"/>
    <w:rsid w:val="007C5700"/>
    <w:rsid w:val="007C5CFF"/>
    <w:rsid w:val="007C69FA"/>
    <w:rsid w:val="007C6DDA"/>
    <w:rsid w:val="007C6E11"/>
    <w:rsid w:val="007C6EEA"/>
    <w:rsid w:val="007C745D"/>
    <w:rsid w:val="007D048F"/>
    <w:rsid w:val="007D0860"/>
    <w:rsid w:val="007D089F"/>
    <w:rsid w:val="007D0B58"/>
    <w:rsid w:val="007D216D"/>
    <w:rsid w:val="007D2528"/>
    <w:rsid w:val="007D3281"/>
    <w:rsid w:val="007D36E5"/>
    <w:rsid w:val="007D3E36"/>
    <w:rsid w:val="007D4731"/>
    <w:rsid w:val="007D47EF"/>
    <w:rsid w:val="007D4B1A"/>
    <w:rsid w:val="007D4FAC"/>
    <w:rsid w:val="007D5A9C"/>
    <w:rsid w:val="007D5AF7"/>
    <w:rsid w:val="007D5FD1"/>
    <w:rsid w:val="007D61B4"/>
    <w:rsid w:val="007D628A"/>
    <w:rsid w:val="007D62A0"/>
    <w:rsid w:val="007D6485"/>
    <w:rsid w:val="007D6A78"/>
    <w:rsid w:val="007D7469"/>
    <w:rsid w:val="007D7B81"/>
    <w:rsid w:val="007D7F50"/>
    <w:rsid w:val="007E0B91"/>
    <w:rsid w:val="007E0C83"/>
    <w:rsid w:val="007E0C8D"/>
    <w:rsid w:val="007E127A"/>
    <w:rsid w:val="007E1823"/>
    <w:rsid w:val="007E18EA"/>
    <w:rsid w:val="007E2BD7"/>
    <w:rsid w:val="007E2C34"/>
    <w:rsid w:val="007E30BB"/>
    <w:rsid w:val="007E3CF0"/>
    <w:rsid w:val="007E51E1"/>
    <w:rsid w:val="007E5489"/>
    <w:rsid w:val="007E5CBD"/>
    <w:rsid w:val="007E68AB"/>
    <w:rsid w:val="007E7251"/>
    <w:rsid w:val="007E79C1"/>
    <w:rsid w:val="007E7E7D"/>
    <w:rsid w:val="007E7F76"/>
    <w:rsid w:val="007F030E"/>
    <w:rsid w:val="007F06BA"/>
    <w:rsid w:val="007F096B"/>
    <w:rsid w:val="007F0E33"/>
    <w:rsid w:val="007F1086"/>
    <w:rsid w:val="007F1962"/>
    <w:rsid w:val="007F1CD7"/>
    <w:rsid w:val="007F1FAA"/>
    <w:rsid w:val="007F2134"/>
    <w:rsid w:val="007F364F"/>
    <w:rsid w:val="007F3F9C"/>
    <w:rsid w:val="007F4527"/>
    <w:rsid w:val="007F47CD"/>
    <w:rsid w:val="007F4B32"/>
    <w:rsid w:val="007F4EF6"/>
    <w:rsid w:val="007F5B09"/>
    <w:rsid w:val="007F5C43"/>
    <w:rsid w:val="007F61EE"/>
    <w:rsid w:val="007F620D"/>
    <w:rsid w:val="007F7EFF"/>
    <w:rsid w:val="00800913"/>
    <w:rsid w:val="00800B95"/>
    <w:rsid w:val="00800E93"/>
    <w:rsid w:val="008010F4"/>
    <w:rsid w:val="00801120"/>
    <w:rsid w:val="008015F2"/>
    <w:rsid w:val="00802014"/>
    <w:rsid w:val="008020B6"/>
    <w:rsid w:val="0080226C"/>
    <w:rsid w:val="00802B8E"/>
    <w:rsid w:val="00803241"/>
    <w:rsid w:val="008033FC"/>
    <w:rsid w:val="00803419"/>
    <w:rsid w:val="0080366B"/>
    <w:rsid w:val="0080398F"/>
    <w:rsid w:val="008039ED"/>
    <w:rsid w:val="00803A14"/>
    <w:rsid w:val="00804546"/>
    <w:rsid w:val="00804A23"/>
    <w:rsid w:val="00804E5E"/>
    <w:rsid w:val="008059CC"/>
    <w:rsid w:val="00805F29"/>
    <w:rsid w:val="008060EF"/>
    <w:rsid w:val="00807544"/>
    <w:rsid w:val="008076FF"/>
    <w:rsid w:val="0080789C"/>
    <w:rsid w:val="00807AB1"/>
    <w:rsid w:val="0081018B"/>
    <w:rsid w:val="008106DE"/>
    <w:rsid w:val="0081073E"/>
    <w:rsid w:val="008108EB"/>
    <w:rsid w:val="00810B5A"/>
    <w:rsid w:val="00810C77"/>
    <w:rsid w:val="00810D6F"/>
    <w:rsid w:val="0081119A"/>
    <w:rsid w:val="0081139C"/>
    <w:rsid w:val="008115F8"/>
    <w:rsid w:val="0081289D"/>
    <w:rsid w:val="00812DF5"/>
    <w:rsid w:val="00812E5B"/>
    <w:rsid w:val="00813302"/>
    <w:rsid w:val="008137AE"/>
    <w:rsid w:val="008137B9"/>
    <w:rsid w:val="0081395F"/>
    <w:rsid w:val="00813C35"/>
    <w:rsid w:val="00813FFD"/>
    <w:rsid w:val="00814336"/>
    <w:rsid w:val="008146DE"/>
    <w:rsid w:val="00814F4A"/>
    <w:rsid w:val="00815ED5"/>
    <w:rsid w:val="0081627E"/>
    <w:rsid w:val="00816734"/>
    <w:rsid w:val="00816748"/>
    <w:rsid w:val="008169D0"/>
    <w:rsid w:val="00817327"/>
    <w:rsid w:val="00817A17"/>
    <w:rsid w:val="00817D0C"/>
    <w:rsid w:val="00820158"/>
    <w:rsid w:val="008204EF"/>
    <w:rsid w:val="00820A29"/>
    <w:rsid w:val="00820D70"/>
    <w:rsid w:val="00820F93"/>
    <w:rsid w:val="008210EF"/>
    <w:rsid w:val="00821AC0"/>
    <w:rsid w:val="00821BC4"/>
    <w:rsid w:val="00821C02"/>
    <w:rsid w:val="00821D8F"/>
    <w:rsid w:val="0082282F"/>
    <w:rsid w:val="00822BBF"/>
    <w:rsid w:val="00823BBF"/>
    <w:rsid w:val="008240F7"/>
    <w:rsid w:val="008241AA"/>
    <w:rsid w:val="00824B50"/>
    <w:rsid w:val="00824CA0"/>
    <w:rsid w:val="00824EA6"/>
    <w:rsid w:val="008255D9"/>
    <w:rsid w:val="00825812"/>
    <w:rsid w:val="008259E8"/>
    <w:rsid w:val="00825C95"/>
    <w:rsid w:val="00826087"/>
    <w:rsid w:val="00826A01"/>
    <w:rsid w:val="0082711E"/>
    <w:rsid w:val="0082755C"/>
    <w:rsid w:val="008275BF"/>
    <w:rsid w:val="00827834"/>
    <w:rsid w:val="008278E8"/>
    <w:rsid w:val="0083091B"/>
    <w:rsid w:val="0083153C"/>
    <w:rsid w:val="008319C1"/>
    <w:rsid w:val="0083246C"/>
    <w:rsid w:val="008328BA"/>
    <w:rsid w:val="00833352"/>
    <w:rsid w:val="00833740"/>
    <w:rsid w:val="00833E85"/>
    <w:rsid w:val="008341FF"/>
    <w:rsid w:val="00834B78"/>
    <w:rsid w:val="00834C41"/>
    <w:rsid w:val="00834E07"/>
    <w:rsid w:val="00834E25"/>
    <w:rsid w:val="00835ACF"/>
    <w:rsid w:val="00835FD3"/>
    <w:rsid w:val="008362D4"/>
    <w:rsid w:val="00836495"/>
    <w:rsid w:val="00837AA4"/>
    <w:rsid w:val="00840301"/>
    <w:rsid w:val="008410EE"/>
    <w:rsid w:val="008413EF"/>
    <w:rsid w:val="0084256E"/>
    <w:rsid w:val="00842626"/>
    <w:rsid w:val="00843C3B"/>
    <w:rsid w:val="00844F8C"/>
    <w:rsid w:val="00845404"/>
    <w:rsid w:val="00845EF9"/>
    <w:rsid w:val="0084605F"/>
    <w:rsid w:val="008466B5"/>
    <w:rsid w:val="00846B66"/>
    <w:rsid w:val="00847BE0"/>
    <w:rsid w:val="00847EBD"/>
    <w:rsid w:val="0085024F"/>
    <w:rsid w:val="0085168A"/>
    <w:rsid w:val="0085181D"/>
    <w:rsid w:val="00851D1B"/>
    <w:rsid w:val="00851DE6"/>
    <w:rsid w:val="00852948"/>
    <w:rsid w:val="00852C13"/>
    <w:rsid w:val="008532EB"/>
    <w:rsid w:val="0085333A"/>
    <w:rsid w:val="00853393"/>
    <w:rsid w:val="00853404"/>
    <w:rsid w:val="00854159"/>
    <w:rsid w:val="00854348"/>
    <w:rsid w:val="00854416"/>
    <w:rsid w:val="008551C3"/>
    <w:rsid w:val="00856127"/>
    <w:rsid w:val="008566F1"/>
    <w:rsid w:val="00856A4F"/>
    <w:rsid w:val="008578FF"/>
    <w:rsid w:val="0086003A"/>
    <w:rsid w:val="0086019D"/>
    <w:rsid w:val="008603CE"/>
    <w:rsid w:val="00860AFE"/>
    <w:rsid w:val="00861123"/>
    <w:rsid w:val="008613DB"/>
    <w:rsid w:val="0086181F"/>
    <w:rsid w:val="00861AE3"/>
    <w:rsid w:val="00861CBC"/>
    <w:rsid w:val="008628DC"/>
    <w:rsid w:val="00862ABC"/>
    <w:rsid w:val="00862EC9"/>
    <w:rsid w:val="0086317C"/>
    <w:rsid w:val="00863427"/>
    <w:rsid w:val="008634FC"/>
    <w:rsid w:val="008636A4"/>
    <w:rsid w:val="00863AA4"/>
    <w:rsid w:val="00864785"/>
    <w:rsid w:val="00864AB2"/>
    <w:rsid w:val="00864DEC"/>
    <w:rsid w:val="00865719"/>
    <w:rsid w:val="00865799"/>
    <w:rsid w:val="00866833"/>
    <w:rsid w:val="008669BA"/>
    <w:rsid w:val="008705F5"/>
    <w:rsid w:val="0087099E"/>
    <w:rsid w:val="00870C0B"/>
    <w:rsid w:val="00870D45"/>
    <w:rsid w:val="008711EC"/>
    <w:rsid w:val="00871FA9"/>
    <w:rsid w:val="008728D0"/>
    <w:rsid w:val="00872B1B"/>
    <w:rsid w:val="00873452"/>
    <w:rsid w:val="0087388A"/>
    <w:rsid w:val="00873A09"/>
    <w:rsid w:val="00873D38"/>
    <w:rsid w:val="008753E9"/>
    <w:rsid w:val="00875530"/>
    <w:rsid w:val="00875869"/>
    <w:rsid w:val="00877C7C"/>
    <w:rsid w:val="00877CE2"/>
    <w:rsid w:val="008802E8"/>
    <w:rsid w:val="00880873"/>
    <w:rsid w:val="00881C30"/>
    <w:rsid w:val="00881E35"/>
    <w:rsid w:val="00881F8D"/>
    <w:rsid w:val="008834BC"/>
    <w:rsid w:val="008836C6"/>
    <w:rsid w:val="008839CA"/>
    <w:rsid w:val="00884037"/>
    <w:rsid w:val="00884269"/>
    <w:rsid w:val="00884586"/>
    <w:rsid w:val="00884DCF"/>
    <w:rsid w:val="00884EF4"/>
    <w:rsid w:val="00885660"/>
    <w:rsid w:val="00885A46"/>
    <w:rsid w:val="0088625E"/>
    <w:rsid w:val="008864EC"/>
    <w:rsid w:val="008868BE"/>
    <w:rsid w:val="0088746C"/>
    <w:rsid w:val="0089086B"/>
    <w:rsid w:val="00890F1D"/>
    <w:rsid w:val="00891CA8"/>
    <w:rsid w:val="00891E7B"/>
    <w:rsid w:val="0089271F"/>
    <w:rsid w:val="00892AC1"/>
    <w:rsid w:val="00893096"/>
    <w:rsid w:val="00894D4C"/>
    <w:rsid w:val="00894E6C"/>
    <w:rsid w:val="008959E9"/>
    <w:rsid w:val="00896567"/>
    <w:rsid w:val="00896BD4"/>
    <w:rsid w:val="00896C7D"/>
    <w:rsid w:val="00896E43"/>
    <w:rsid w:val="00896E73"/>
    <w:rsid w:val="008977AD"/>
    <w:rsid w:val="00897AAB"/>
    <w:rsid w:val="00897C8E"/>
    <w:rsid w:val="00897E45"/>
    <w:rsid w:val="008A0514"/>
    <w:rsid w:val="008A0598"/>
    <w:rsid w:val="008A0631"/>
    <w:rsid w:val="008A0E19"/>
    <w:rsid w:val="008A171A"/>
    <w:rsid w:val="008A20D6"/>
    <w:rsid w:val="008A231C"/>
    <w:rsid w:val="008A2C39"/>
    <w:rsid w:val="008A2CEE"/>
    <w:rsid w:val="008A358C"/>
    <w:rsid w:val="008A4655"/>
    <w:rsid w:val="008A47DE"/>
    <w:rsid w:val="008A4C9F"/>
    <w:rsid w:val="008A534B"/>
    <w:rsid w:val="008A5BC8"/>
    <w:rsid w:val="008A6826"/>
    <w:rsid w:val="008B00FC"/>
    <w:rsid w:val="008B013A"/>
    <w:rsid w:val="008B07BE"/>
    <w:rsid w:val="008B15D9"/>
    <w:rsid w:val="008B15E2"/>
    <w:rsid w:val="008B1804"/>
    <w:rsid w:val="008B192E"/>
    <w:rsid w:val="008B3267"/>
    <w:rsid w:val="008B33D5"/>
    <w:rsid w:val="008B37B2"/>
    <w:rsid w:val="008B3C61"/>
    <w:rsid w:val="008B4AB9"/>
    <w:rsid w:val="008B4F62"/>
    <w:rsid w:val="008B54EC"/>
    <w:rsid w:val="008B5A08"/>
    <w:rsid w:val="008B6308"/>
    <w:rsid w:val="008B6378"/>
    <w:rsid w:val="008B6614"/>
    <w:rsid w:val="008B6C03"/>
    <w:rsid w:val="008B75E8"/>
    <w:rsid w:val="008C01AB"/>
    <w:rsid w:val="008C053E"/>
    <w:rsid w:val="008C13B4"/>
    <w:rsid w:val="008C13F1"/>
    <w:rsid w:val="008C18EE"/>
    <w:rsid w:val="008C1B9F"/>
    <w:rsid w:val="008C1CB0"/>
    <w:rsid w:val="008C2926"/>
    <w:rsid w:val="008C2A5A"/>
    <w:rsid w:val="008C2D50"/>
    <w:rsid w:val="008C2DC7"/>
    <w:rsid w:val="008C3AAA"/>
    <w:rsid w:val="008C4104"/>
    <w:rsid w:val="008C4149"/>
    <w:rsid w:val="008C4295"/>
    <w:rsid w:val="008C4AA6"/>
    <w:rsid w:val="008C50B1"/>
    <w:rsid w:val="008C5258"/>
    <w:rsid w:val="008C5D19"/>
    <w:rsid w:val="008C6176"/>
    <w:rsid w:val="008C62F0"/>
    <w:rsid w:val="008C6821"/>
    <w:rsid w:val="008C7F2B"/>
    <w:rsid w:val="008D02D5"/>
    <w:rsid w:val="008D06E9"/>
    <w:rsid w:val="008D08DE"/>
    <w:rsid w:val="008D08E0"/>
    <w:rsid w:val="008D0A19"/>
    <w:rsid w:val="008D0DA9"/>
    <w:rsid w:val="008D0F26"/>
    <w:rsid w:val="008D1109"/>
    <w:rsid w:val="008D1340"/>
    <w:rsid w:val="008D18D8"/>
    <w:rsid w:val="008D1CC0"/>
    <w:rsid w:val="008D28C5"/>
    <w:rsid w:val="008D3134"/>
    <w:rsid w:val="008D31E2"/>
    <w:rsid w:val="008D34FF"/>
    <w:rsid w:val="008D381F"/>
    <w:rsid w:val="008D388E"/>
    <w:rsid w:val="008D3903"/>
    <w:rsid w:val="008D3D27"/>
    <w:rsid w:val="008D4047"/>
    <w:rsid w:val="008D4148"/>
    <w:rsid w:val="008D42BD"/>
    <w:rsid w:val="008D4BA1"/>
    <w:rsid w:val="008D4DE6"/>
    <w:rsid w:val="008D4DF5"/>
    <w:rsid w:val="008D57EC"/>
    <w:rsid w:val="008D5CBF"/>
    <w:rsid w:val="008D627E"/>
    <w:rsid w:val="008D7557"/>
    <w:rsid w:val="008D77AD"/>
    <w:rsid w:val="008D7868"/>
    <w:rsid w:val="008D7D8A"/>
    <w:rsid w:val="008D7DCB"/>
    <w:rsid w:val="008E032E"/>
    <w:rsid w:val="008E0365"/>
    <w:rsid w:val="008E0E92"/>
    <w:rsid w:val="008E0F52"/>
    <w:rsid w:val="008E1410"/>
    <w:rsid w:val="008E1804"/>
    <w:rsid w:val="008E3011"/>
    <w:rsid w:val="008E3221"/>
    <w:rsid w:val="008E3B3E"/>
    <w:rsid w:val="008E3C5B"/>
    <w:rsid w:val="008E40C1"/>
    <w:rsid w:val="008E40F1"/>
    <w:rsid w:val="008E494E"/>
    <w:rsid w:val="008E54E1"/>
    <w:rsid w:val="008E634F"/>
    <w:rsid w:val="008E67C0"/>
    <w:rsid w:val="008E692A"/>
    <w:rsid w:val="008E6A3A"/>
    <w:rsid w:val="008E6AC7"/>
    <w:rsid w:val="008E6D4D"/>
    <w:rsid w:val="008E796F"/>
    <w:rsid w:val="008E7A65"/>
    <w:rsid w:val="008F0BDD"/>
    <w:rsid w:val="008F0CDF"/>
    <w:rsid w:val="008F10D6"/>
    <w:rsid w:val="008F14E3"/>
    <w:rsid w:val="008F15F8"/>
    <w:rsid w:val="008F162E"/>
    <w:rsid w:val="008F237D"/>
    <w:rsid w:val="008F2815"/>
    <w:rsid w:val="008F2EF3"/>
    <w:rsid w:val="008F3159"/>
    <w:rsid w:val="008F3636"/>
    <w:rsid w:val="008F3D81"/>
    <w:rsid w:val="008F4210"/>
    <w:rsid w:val="008F4428"/>
    <w:rsid w:val="008F45B8"/>
    <w:rsid w:val="008F471C"/>
    <w:rsid w:val="008F4C20"/>
    <w:rsid w:val="008F4C3D"/>
    <w:rsid w:val="008F4EC2"/>
    <w:rsid w:val="008F5C77"/>
    <w:rsid w:val="008F5D1C"/>
    <w:rsid w:val="008F60B0"/>
    <w:rsid w:val="008F660E"/>
    <w:rsid w:val="008F6FBF"/>
    <w:rsid w:val="008F75FA"/>
    <w:rsid w:val="00900C21"/>
    <w:rsid w:val="00900C47"/>
    <w:rsid w:val="00900EB1"/>
    <w:rsid w:val="009017F8"/>
    <w:rsid w:val="00901F6E"/>
    <w:rsid w:val="009020A2"/>
    <w:rsid w:val="0090227D"/>
    <w:rsid w:val="0090259A"/>
    <w:rsid w:val="009025D2"/>
    <w:rsid w:val="00903276"/>
    <w:rsid w:val="00903344"/>
    <w:rsid w:val="009034E1"/>
    <w:rsid w:val="009036C0"/>
    <w:rsid w:val="00903BAE"/>
    <w:rsid w:val="00904071"/>
    <w:rsid w:val="0090410D"/>
    <w:rsid w:val="0090464E"/>
    <w:rsid w:val="00904728"/>
    <w:rsid w:val="009051FE"/>
    <w:rsid w:val="0090522A"/>
    <w:rsid w:val="00905726"/>
    <w:rsid w:val="00905843"/>
    <w:rsid w:val="0090673D"/>
    <w:rsid w:val="00906D7F"/>
    <w:rsid w:val="0090730D"/>
    <w:rsid w:val="009074A4"/>
    <w:rsid w:val="00907D01"/>
    <w:rsid w:val="009102B2"/>
    <w:rsid w:val="009103EC"/>
    <w:rsid w:val="00910ED2"/>
    <w:rsid w:val="009130DE"/>
    <w:rsid w:val="0091332B"/>
    <w:rsid w:val="009140DD"/>
    <w:rsid w:val="009143C1"/>
    <w:rsid w:val="00914537"/>
    <w:rsid w:val="00914ACC"/>
    <w:rsid w:val="009150FB"/>
    <w:rsid w:val="0091516F"/>
    <w:rsid w:val="0091553B"/>
    <w:rsid w:val="00915932"/>
    <w:rsid w:val="00916BA7"/>
    <w:rsid w:val="009170FF"/>
    <w:rsid w:val="00917213"/>
    <w:rsid w:val="00917559"/>
    <w:rsid w:val="0091756A"/>
    <w:rsid w:val="00917880"/>
    <w:rsid w:val="00917BC5"/>
    <w:rsid w:val="009206AB"/>
    <w:rsid w:val="009207DE"/>
    <w:rsid w:val="00920825"/>
    <w:rsid w:val="009218E7"/>
    <w:rsid w:val="0092193F"/>
    <w:rsid w:val="00923974"/>
    <w:rsid w:val="00923D9D"/>
    <w:rsid w:val="00924501"/>
    <w:rsid w:val="009246BE"/>
    <w:rsid w:val="009247DE"/>
    <w:rsid w:val="009249A4"/>
    <w:rsid w:val="00924D76"/>
    <w:rsid w:val="00925020"/>
    <w:rsid w:val="009270FD"/>
    <w:rsid w:val="00927210"/>
    <w:rsid w:val="00930369"/>
    <w:rsid w:val="00930379"/>
    <w:rsid w:val="009308E5"/>
    <w:rsid w:val="00930BE7"/>
    <w:rsid w:val="00930D4A"/>
    <w:rsid w:val="009312E6"/>
    <w:rsid w:val="00931312"/>
    <w:rsid w:val="009316CF"/>
    <w:rsid w:val="009317D6"/>
    <w:rsid w:val="00931FCA"/>
    <w:rsid w:val="0093398D"/>
    <w:rsid w:val="00933CA7"/>
    <w:rsid w:val="009341AB"/>
    <w:rsid w:val="00934E1B"/>
    <w:rsid w:val="00935344"/>
    <w:rsid w:val="00935E24"/>
    <w:rsid w:val="00935FBA"/>
    <w:rsid w:val="0093669D"/>
    <w:rsid w:val="00936783"/>
    <w:rsid w:val="009367F5"/>
    <w:rsid w:val="00936D54"/>
    <w:rsid w:val="00937131"/>
    <w:rsid w:val="00937326"/>
    <w:rsid w:val="00937848"/>
    <w:rsid w:val="00937BB6"/>
    <w:rsid w:val="00937D9B"/>
    <w:rsid w:val="00940451"/>
    <w:rsid w:val="009405A4"/>
    <w:rsid w:val="00940760"/>
    <w:rsid w:val="00940BC5"/>
    <w:rsid w:val="0094129B"/>
    <w:rsid w:val="009417F2"/>
    <w:rsid w:val="00941EAE"/>
    <w:rsid w:val="0094230E"/>
    <w:rsid w:val="00942779"/>
    <w:rsid w:val="00942891"/>
    <w:rsid w:val="00942934"/>
    <w:rsid w:val="00942B01"/>
    <w:rsid w:val="00942D54"/>
    <w:rsid w:val="009430E8"/>
    <w:rsid w:val="00943213"/>
    <w:rsid w:val="009433DF"/>
    <w:rsid w:val="00943D20"/>
    <w:rsid w:val="009445D2"/>
    <w:rsid w:val="00944AD4"/>
    <w:rsid w:val="00945201"/>
    <w:rsid w:val="0094531B"/>
    <w:rsid w:val="009457BC"/>
    <w:rsid w:val="00945C76"/>
    <w:rsid w:val="00945CA1"/>
    <w:rsid w:val="009461A4"/>
    <w:rsid w:val="00946607"/>
    <w:rsid w:val="00946A3F"/>
    <w:rsid w:val="00946CF4"/>
    <w:rsid w:val="009474EF"/>
    <w:rsid w:val="00947727"/>
    <w:rsid w:val="00947A87"/>
    <w:rsid w:val="00950B45"/>
    <w:rsid w:val="00950CE6"/>
    <w:rsid w:val="009512D0"/>
    <w:rsid w:val="00951573"/>
    <w:rsid w:val="0095174F"/>
    <w:rsid w:val="00951CF2"/>
    <w:rsid w:val="00951E59"/>
    <w:rsid w:val="00952E98"/>
    <w:rsid w:val="00953846"/>
    <w:rsid w:val="00953F57"/>
    <w:rsid w:val="0095401C"/>
    <w:rsid w:val="00955489"/>
    <w:rsid w:val="0095569D"/>
    <w:rsid w:val="0095574B"/>
    <w:rsid w:val="00955C95"/>
    <w:rsid w:val="00955DED"/>
    <w:rsid w:val="009561F3"/>
    <w:rsid w:val="00956205"/>
    <w:rsid w:val="00956C1D"/>
    <w:rsid w:val="00956DF7"/>
    <w:rsid w:val="00957A93"/>
    <w:rsid w:val="0096048D"/>
    <w:rsid w:val="00961533"/>
    <w:rsid w:val="00961A57"/>
    <w:rsid w:val="00961B4F"/>
    <w:rsid w:val="00961E90"/>
    <w:rsid w:val="00962263"/>
    <w:rsid w:val="00962494"/>
    <w:rsid w:val="009626BD"/>
    <w:rsid w:val="00962882"/>
    <w:rsid w:val="00962F20"/>
    <w:rsid w:val="00963825"/>
    <w:rsid w:val="00963B95"/>
    <w:rsid w:val="00963C27"/>
    <w:rsid w:val="00963E7D"/>
    <w:rsid w:val="009648B2"/>
    <w:rsid w:val="00964E23"/>
    <w:rsid w:val="00965C6D"/>
    <w:rsid w:val="009661B6"/>
    <w:rsid w:val="00966376"/>
    <w:rsid w:val="00966AB8"/>
    <w:rsid w:val="00967500"/>
    <w:rsid w:val="00967A8D"/>
    <w:rsid w:val="0097015B"/>
    <w:rsid w:val="00971BE5"/>
    <w:rsid w:val="0097218B"/>
    <w:rsid w:val="009725BF"/>
    <w:rsid w:val="009729EE"/>
    <w:rsid w:val="0097301F"/>
    <w:rsid w:val="00974614"/>
    <w:rsid w:val="00974ABF"/>
    <w:rsid w:val="00974FCC"/>
    <w:rsid w:val="0097547A"/>
    <w:rsid w:val="00975FDD"/>
    <w:rsid w:val="009765D1"/>
    <w:rsid w:val="00977A4E"/>
    <w:rsid w:val="00977E6A"/>
    <w:rsid w:val="00980C9B"/>
    <w:rsid w:val="00981601"/>
    <w:rsid w:val="009829F0"/>
    <w:rsid w:val="00983559"/>
    <w:rsid w:val="009838C0"/>
    <w:rsid w:val="009844D1"/>
    <w:rsid w:val="00984532"/>
    <w:rsid w:val="00984FE0"/>
    <w:rsid w:val="0098526C"/>
    <w:rsid w:val="0098550A"/>
    <w:rsid w:val="0098564D"/>
    <w:rsid w:val="00985E77"/>
    <w:rsid w:val="009865E2"/>
    <w:rsid w:val="009866BD"/>
    <w:rsid w:val="0098700A"/>
    <w:rsid w:val="0098708F"/>
    <w:rsid w:val="0098722D"/>
    <w:rsid w:val="009875AD"/>
    <w:rsid w:val="00987736"/>
    <w:rsid w:val="00987C00"/>
    <w:rsid w:val="00987D71"/>
    <w:rsid w:val="00987F0C"/>
    <w:rsid w:val="0099079F"/>
    <w:rsid w:val="009915BD"/>
    <w:rsid w:val="00991AE4"/>
    <w:rsid w:val="00991B10"/>
    <w:rsid w:val="00992C5B"/>
    <w:rsid w:val="0099341C"/>
    <w:rsid w:val="0099379D"/>
    <w:rsid w:val="00993C21"/>
    <w:rsid w:val="00993D9D"/>
    <w:rsid w:val="00994E34"/>
    <w:rsid w:val="00995393"/>
    <w:rsid w:val="00995B1C"/>
    <w:rsid w:val="00995CC6"/>
    <w:rsid w:val="009964AE"/>
    <w:rsid w:val="009969E3"/>
    <w:rsid w:val="00996CAA"/>
    <w:rsid w:val="009A0D15"/>
    <w:rsid w:val="009A1019"/>
    <w:rsid w:val="009A1701"/>
    <w:rsid w:val="009A2314"/>
    <w:rsid w:val="009A25AA"/>
    <w:rsid w:val="009A2ED7"/>
    <w:rsid w:val="009A3268"/>
    <w:rsid w:val="009A3499"/>
    <w:rsid w:val="009A3890"/>
    <w:rsid w:val="009A3DF7"/>
    <w:rsid w:val="009A4279"/>
    <w:rsid w:val="009A47C9"/>
    <w:rsid w:val="009A551E"/>
    <w:rsid w:val="009A57B6"/>
    <w:rsid w:val="009A6018"/>
    <w:rsid w:val="009A60BB"/>
    <w:rsid w:val="009A635F"/>
    <w:rsid w:val="009A6639"/>
    <w:rsid w:val="009A6983"/>
    <w:rsid w:val="009A6AC8"/>
    <w:rsid w:val="009A6FA9"/>
    <w:rsid w:val="009A7605"/>
    <w:rsid w:val="009A7937"/>
    <w:rsid w:val="009B067A"/>
    <w:rsid w:val="009B0BA6"/>
    <w:rsid w:val="009B0ED3"/>
    <w:rsid w:val="009B12E4"/>
    <w:rsid w:val="009B16AA"/>
    <w:rsid w:val="009B28C6"/>
    <w:rsid w:val="009B348A"/>
    <w:rsid w:val="009B385F"/>
    <w:rsid w:val="009B3C1B"/>
    <w:rsid w:val="009B4201"/>
    <w:rsid w:val="009B469F"/>
    <w:rsid w:val="009B4E4F"/>
    <w:rsid w:val="009B5C57"/>
    <w:rsid w:val="009B5EBB"/>
    <w:rsid w:val="009B5FC6"/>
    <w:rsid w:val="009B6BD8"/>
    <w:rsid w:val="009B7C71"/>
    <w:rsid w:val="009C0156"/>
    <w:rsid w:val="009C026E"/>
    <w:rsid w:val="009C03B1"/>
    <w:rsid w:val="009C03BB"/>
    <w:rsid w:val="009C0564"/>
    <w:rsid w:val="009C1F74"/>
    <w:rsid w:val="009C2203"/>
    <w:rsid w:val="009C24CD"/>
    <w:rsid w:val="009C3D51"/>
    <w:rsid w:val="009C4CA0"/>
    <w:rsid w:val="009C4F8B"/>
    <w:rsid w:val="009C54CD"/>
    <w:rsid w:val="009C58BC"/>
    <w:rsid w:val="009C6325"/>
    <w:rsid w:val="009C6FD2"/>
    <w:rsid w:val="009C7B82"/>
    <w:rsid w:val="009D005F"/>
    <w:rsid w:val="009D01C6"/>
    <w:rsid w:val="009D0D60"/>
    <w:rsid w:val="009D1E2B"/>
    <w:rsid w:val="009D238B"/>
    <w:rsid w:val="009D2E82"/>
    <w:rsid w:val="009D3147"/>
    <w:rsid w:val="009D31CF"/>
    <w:rsid w:val="009D331C"/>
    <w:rsid w:val="009D33A0"/>
    <w:rsid w:val="009D362E"/>
    <w:rsid w:val="009D375B"/>
    <w:rsid w:val="009D3C85"/>
    <w:rsid w:val="009D3C88"/>
    <w:rsid w:val="009D4557"/>
    <w:rsid w:val="009D4D42"/>
    <w:rsid w:val="009D517F"/>
    <w:rsid w:val="009D522B"/>
    <w:rsid w:val="009D5977"/>
    <w:rsid w:val="009D5982"/>
    <w:rsid w:val="009D5AF8"/>
    <w:rsid w:val="009D60A8"/>
    <w:rsid w:val="009D654F"/>
    <w:rsid w:val="009D7A6D"/>
    <w:rsid w:val="009D7B99"/>
    <w:rsid w:val="009E0688"/>
    <w:rsid w:val="009E07DA"/>
    <w:rsid w:val="009E0FB0"/>
    <w:rsid w:val="009E146A"/>
    <w:rsid w:val="009E2411"/>
    <w:rsid w:val="009E258B"/>
    <w:rsid w:val="009E2A7F"/>
    <w:rsid w:val="009E2B42"/>
    <w:rsid w:val="009E3194"/>
    <w:rsid w:val="009E37B4"/>
    <w:rsid w:val="009E4360"/>
    <w:rsid w:val="009E4368"/>
    <w:rsid w:val="009E46BB"/>
    <w:rsid w:val="009E4A1E"/>
    <w:rsid w:val="009E4BD1"/>
    <w:rsid w:val="009E4BD2"/>
    <w:rsid w:val="009E4EAE"/>
    <w:rsid w:val="009E51B4"/>
    <w:rsid w:val="009E5D74"/>
    <w:rsid w:val="009E6020"/>
    <w:rsid w:val="009E604E"/>
    <w:rsid w:val="009E637A"/>
    <w:rsid w:val="009E72C2"/>
    <w:rsid w:val="009E77E5"/>
    <w:rsid w:val="009E7B9B"/>
    <w:rsid w:val="009F051A"/>
    <w:rsid w:val="009F14A8"/>
    <w:rsid w:val="009F1DBE"/>
    <w:rsid w:val="009F21D0"/>
    <w:rsid w:val="009F2548"/>
    <w:rsid w:val="009F2609"/>
    <w:rsid w:val="009F2B68"/>
    <w:rsid w:val="009F39A4"/>
    <w:rsid w:val="009F3A81"/>
    <w:rsid w:val="009F4805"/>
    <w:rsid w:val="009F484D"/>
    <w:rsid w:val="009F4CDB"/>
    <w:rsid w:val="009F57AB"/>
    <w:rsid w:val="009F5826"/>
    <w:rsid w:val="009F5ADB"/>
    <w:rsid w:val="009F6141"/>
    <w:rsid w:val="009F625F"/>
    <w:rsid w:val="009F6754"/>
    <w:rsid w:val="009F69F6"/>
    <w:rsid w:val="009F715B"/>
    <w:rsid w:val="009F7397"/>
    <w:rsid w:val="009F7EB8"/>
    <w:rsid w:val="00A00A71"/>
    <w:rsid w:val="00A0111E"/>
    <w:rsid w:val="00A01EF6"/>
    <w:rsid w:val="00A02A97"/>
    <w:rsid w:val="00A0307A"/>
    <w:rsid w:val="00A03298"/>
    <w:rsid w:val="00A03BD6"/>
    <w:rsid w:val="00A03CA9"/>
    <w:rsid w:val="00A04206"/>
    <w:rsid w:val="00A04643"/>
    <w:rsid w:val="00A04F7C"/>
    <w:rsid w:val="00A05072"/>
    <w:rsid w:val="00A05868"/>
    <w:rsid w:val="00A05CE4"/>
    <w:rsid w:val="00A06551"/>
    <w:rsid w:val="00A06BA1"/>
    <w:rsid w:val="00A07085"/>
    <w:rsid w:val="00A07544"/>
    <w:rsid w:val="00A07C84"/>
    <w:rsid w:val="00A07F58"/>
    <w:rsid w:val="00A10410"/>
    <w:rsid w:val="00A1051F"/>
    <w:rsid w:val="00A1059B"/>
    <w:rsid w:val="00A10FB9"/>
    <w:rsid w:val="00A11216"/>
    <w:rsid w:val="00A1152E"/>
    <w:rsid w:val="00A121C7"/>
    <w:rsid w:val="00A12286"/>
    <w:rsid w:val="00A125DF"/>
    <w:rsid w:val="00A12798"/>
    <w:rsid w:val="00A13187"/>
    <w:rsid w:val="00A13627"/>
    <w:rsid w:val="00A1362D"/>
    <w:rsid w:val="00A146B4"/>
    <w:rsid w:val="00A1489B"/>
    <w:rsid w:val="00A14EEB"/>
    <w:rsid w:val="00A14F96"/>
    <w:rsid w:val="00A15DC8"/>
    <w:rsid w:val="00A1607A"/>
    <w:rsid w:val="00A16185"/>
    <w:rsid w:val="00A164FE"/>
    <w:rsid w:val="00A16AD8"/>
    <w:rsid w:val="00A16D35"/>
    <w:rsid w:val="00A17406"/>
    <w:rsid w:val="00A1756D"/>
    <w:rsid w:val="00A177A2"/>
    <w:rsid w:val="00A17C0C"/>
    <w:rsid w:val="00A17FC0"/>
    <w:rsid w:val="00A21275"/>
    <w:rsid w:val="00A2246B"/>
    <w:rsid w:val="00A233FD"/>
    <w:rsid w:val="00A241A4"/>
    <w:rsid w:val="00A24388"/>
    <w:rsid w:val="00A24499"/>
    <w:rsid w:val="00A24FF4"/>
    <w:rsid w:val="00A2506C"/>
    <w:rsid w:val="00A25389"/>
    <w:rsid w:val="00A255D1"/>
    <w:rsid w:val="00A2569C"/>
    <w:rsid w:val="00A25BBA"/>
    <w:rsid w:val="00A25F6B"/>
    <w:rsid w:val="00A26082"/>
    <w:rsid w:val="00A263E5"/>
    <w:rsid w:val="00A267B8"/>
    <w:rsid w:val="00A269B4"/>
    <w:rsid w:val="00A26A2F"/>
    <w:rsid w:val="00A26E15"/>
    <w:rsid w:val="00A26E6D"/>
    <w:rsid w:val="00A27372"/>
    <w:rsid w:val="00A279E0"/>
    <w:rsid w:val="00A27CEB"/>
    <w:rsid w:val="00A27F85"/>
    <w:rsid w:val="00A306C1"/>
    <w:rsid w:val="00A307E2"/>
    <w:rsid w:val="00A30B50"/>
    <w:rsid w:val="00A30C35"/>
    <w:rsid w:val="00A30C4F"/>
    <w:rsid w:val="00A316A3"/>
    <w:rsid w:val="00A32B79"/>
    <w:rsid w:val="00A32D7D"/>
    <w:rsid w:val="00A33006"/>
    <w:rsid w:val="00A3316F"/>
    <w:rsid w:val="00A332D2"/>
    <w:rsid w:val="00A338B0"/>
    <w:rsid w:val="00A35940"/>
    <w:rsid w:val="00A36349"/>
    <w:rsid w:val="00A3642C"/>
    <w:rsid w:val="00A364CD"/>
    <w:rsid w:val="00A4011A"/>
    <w:rsid w:val="00A413A0"/>
    <w:rsid w:val="00A418F9"/>
    <w:rsid w:val="00A41962"/>
    <w:rsid w:val="00A41EA1"/>
    <w:rsid w:val="00A41F88"/>
    <w:rsid w:val="00A42194"/>
    <w:rsid w:val="00A42458"/>
    <w:rsid w:val="00A4267A"/>
    <w:rsid w:val="00A42BBE"/>
    <w:rsid w:val="00A42C37"/>
    <w:rsid w:val="00A4351E"/>
    <w:rsid w:val="00A43B2E"/>
    <w:rsid w:val="00A43BA9"/>
    <w:rsid w:val="00A4451C"/>
    <w:rsid w:val="00A449AD"/>
    <w:rsid w:val="00A44E2D"/>
    <w:rsid w:val="00A4507E"/>
    <w:rsid w:val="00A4696E"/>
    <w:rsid w:val="00A46F72"/>
    <w:rsid w:val="00A476F7"/>
    <w:rsid w:val="00A47C57"/>
    <w:rsid w:val="00A47D18"/>
    <w:rsid w:val="00A50D59"/>
    <w:rsid w:val="00A51D52"/>
    <w:rsid w:val="00A52D4D"/>
    <w:rsid w:val="00A53101"/>
    <w:rsid w:val="00A53E2D"/>
    <w:rsid w:val="00A53F01"/>
    <w:rsid w:val="00A53F9E"/>
    <w:rsid w:val="00A54622"/>
    <w:rsid w:val="00A546EF"/>
    <w:rsid w:val="00A54A52"/>
    <w:rsid w:val="00A55358"/>
    <w:rsid w:val="00A55F78"/>
    <w:rsid w:val="00A56701"/>
    <w:rsid w:val="00A56BCD"/>
    <w:rsid w:val="00A570F0"/>
    <w:rsid w:val="00A572EF"/>
    <w:rsid w:val="00A574A4"/>
    <w:rsid w:val="00A575D5"/>
    <w:rsid w:val="00A60155"/>
    <w:rsid w:val="00A601EC"/>
    <w:rsid w:val="00A605AE"/>
    <w:rsid w:val="00A616C3"/>
    <w:rsid w:val="00A61C13"/>
    <w:rsid w:val="00A62236"/>
    <w:rsid w:val="00A62B35"/>
    <w:rsid w:val="00A62B66"/>
    <w:rsid w:val="00A632E8"/>
    <w:rsid w:val="00A636D8"/>
    <w:rsid w:val="00A63C4C"/>
    <w:rsid w:val="00A64091"/>
    <w:rsid w:val="00A64813"/>
    <w:rsid w:val="00A648F6"/>
    <w:rsid w:val="00A64A62"/>
    <w:rsid w:val="00A64BD5"/>
    <w:rsid w:val="00A65708"/>
    <w:rsid w:val="00A660C4"/>
    <w:rsid w:val="00A666DE"/>
    <w:rsid w:val="00A66746"/>
    <w:rsid w:val="00A66978"/>
    <w:rsid w:val="00A669A4"/>
    <w:rsid w:val="00A669BA"/>
    <w:rsid w:val="00A66B05"/>
    <w:rsid w:val="00A672DF"/>
    <w:rsid w:val="00A67B5C"/>
    <w:rsid w:val="00A67BA5"/>
    <w:rsid w:val="00A700FC"/>
    <w:rsid w:val="00A70D8D"/>
    <w:rsid w:val="00A71131"/>
    <w:rsid w:val="00A718A2"/>
    <w:rsid w:val="00A71922"/>
    <w:rsid w:val="00A71AB8"/>
    <w:rsid w:val="00A7217C"/>
    <w:rsid w:val="00A72486"/>
    <w:rsid w:val="00A728AC"/>
    <w:rsid w:val="00A7297E"/>
    <w:rsid w:val="00A72EF0"/>
    <w:rsid w:val="00A733F0"/>
    <w:rsid w:val="00A73A60"/>
    <w:rsid w:val="00A73EE2"/>
    <w:rsid w:val="00A74B32"/>
    <w:rsid w:val="00A74C35"/>
    <w:rsid w:val="00A75611"/>
    <w:rsid w:val="00A75F50"/>
    <w:rsid w:val="00A76679"/>
    <w:rsid w:val="00A77E86"/>
    <w:rsid w:val="00A77EAC"/>
    <w:rsid w:val="00A80E9C"/>
    <w:rsid w:val="00A81344"/>
    <w:rsid w:val="00A82125"/>
    <w:rsid w:val="00A826EB"/>
    <w:rsid w:val="00A828AB"/>
    <w:rsid w:val="00A82ECB"/>
    <w:rsid w:val="00A8349E"/>
    <w:rsid w:val="00A8554A"/>
    <w:rsid w:val="00A85F1C"/>
    <w:rsid w:val="00A86210"/>
    <w:rsid w:val="00A86943"/>
    <w:rsid w:val="00A86E81"/>
    <w:rsid w:val="00A8758B"/>
    <w:rsid w:val="00A87EB3"/>
    <w:rsid w:val="00A901E8"/>
    <w:rsid w:val="00A905BB"/>
    <w:rsid w:val="00A90FBE"/>
    <w:rsid w:val="00A91057"/>
    <w:rsid w:val="00A910C6"/>
    <w:rsid w:val="00A91A6E"/>
    <w:rsid w:val="00A922B1"/>
    <w:rsid w:val="00A922FC"/>
    <w:rsid w:val="00A93F0E"/>
    <w:rsid w:val="00A9429E"/>
    <w:rsid w:val="00A9536E"/>
    <w:rsid w:val="00A967C7"/>
    <w:rsid w:val="00A96FAA"/>
    <w:rsid w:val="00A973CA"/>
    <w:rsid w:val="00A975B3"/>
    <w:rsid w:val="00A9771A"/>
    <w:rsid w:val="00AA09E0"/>
    <w:rsid w:val="00AA198D"/>
    <w:rsid w:val="00AA1C85"/>
    <w:rsid w:val="00AA1EB8"/>
    <w:rsid w:val="00AA29C0"/>
    <w:rsid w:val="00AA2E0A"/>
    <w:rsid w:val="00AA2EBE"/>
    <w:rsid w:val="00AA305B"/>
    <w:rsid w:val="00AA35A7"/>
    <w:rsid w:val="00AA3981"/>
    <w:rsid w:val="00AA4B44"/>
    <w:rsid w:val="00AA4D44"/>
    <w:rsid w:val="00AA4FD7"/>
    <w:rsid w:val="00AA4FFC"/>
    <w:rsid w:val="00AA51BB"/>
    <w:rsid w:val="00AA56A0"/>
    <w:rsid w:val="00AA574E"/>
    <w:rsid w:val="00AA5ECB"/>
    <w:rsid w:val="00AA62B8"/>
    <w:rsid w:val="00AA64A2"/>
    <w:rsid w:val="00AA6518"/>
    <w:rsid w:val="00AA7242"/>
    <w:rsid w:val="00AA75F7"/>
    <w:rsid w:val="00AB0C14"/>
    <w:rsid w:val="00AB0F2D"/>
    <w:rsid w:val="00AB1196"/>
    <w:rsid w:val="00AB169B"/>
    <w:rsid w:val="00AB16C1"/>
    <w:rsid w:val="00AB1E56"/>
    <w:rsid w:val="00AB1EDA"/>
    <w:rsid w:val="00AB2DF0"/>
    <w:rsid w:val="00AB3470"/>
    <w:rsid w:val="00AB363B"/>
    <w:rsid w:val="00AB4AF9"/>
    <w:rsid w:val="00AB4CF6"/>
    <w:rsid w:val="00AB5159"/>
    <w:rsid w:val="00AB51EE"/>
    <w:rsid w:val="00AB5268"/>
    <w:rsid w:val="00AB5527"/>
    <w:rsid w:val="00AB5C04"/>
    <w:rsid w:val="00AB62C1"/>
    <w:rsid w:val="00AB77A5"/>
    <w:rsid w:val="00AC043B"/>
    <w:rsid w:val="00AC061D"/>
    <w:rsid w:val="00AC14F6"/>
    <w:rsid w:val="00AC233E"/>
    <w:rsid w:val="00AC2753"/>
    <w:rsid w:val="00AC3471"/>
    <w:rsid w:val="00AC36D8"/>
    <w:rsid w:val="00AC438A"/>
    <w:rsid w:val="00AC4750"/>
    <w:rsid w:val="00AC4BB9"/>
    <w:rsid w:val="00AC5375"/>
    <w:rsid w:val="00AC5774"/>
    <w:rsid w:val="00AC5CED"/>
    <w:rsid w:val="00AC5FE3"/>
    <w:rsid w:val="00AC6678"/>
    <w:rsid w:val="00AC766E"/>
    <w:rsid w:val="00AC768C"/>
    <w:rsid w:val="00AC7EDD"/>
    <w:rsid w:val="00AD040D"/>
    <w:rsid w:val="00AD0A2A"/>
    <w:rsid w:val="00AD1045"/>
    <w:rsid w:val="00AD1D6D"/>
    <w:rsid w:val="00AD1DBE"/>
    <w:rsid w:val="00AD265F"/>
    <w:rsid w:val="00AD2A09"/>
    <w:rsid w:val="00AD2CBF"/>
    <w:rsid w:val="00AD4351"/>
    <w:rsid w:val="00AD4AC8"/>
    <w:rsid w:val="00AD5050"/>
    <w:rsid w:val="00AD5107"/>
    <w:rsid w:val="00AD5DF4"/>
    <w:rsid w:val="00AD68AD"/>
    <w:rsid w:val="00AD71C2"/>
    <w:rsid w:val="00AD72A6"/>
    <w:rsid w:val="00AD7416"/>
    <w:rsid w:val="00AD755D"/>
    <w:rsid w:val="00AD75CE"/>
    <w:rsid w:val="00AD7E85"/>
    <w:rsid w:val="00AD7F64"/>
    <w:rsid w:val="00AE0F04"/>
    <w:rsid w:val="00AE1482"/>
    <w:rsid w:val="00AE157F"/>
    <w:rsid w:val="00AE167A"/>
    <w:rsid w:val="00AE19FC"/>
    <w:rsid w:val="00AE2008"/>
    <w:rsid w:val="00AE209E"/>
    <w:rsid w:val="00AE31FD"/>
    <w:rsid w:val="00AE3702"/>
    <w:rsid w:val="00AE3901"/>
    <w:rsid w:val="00AE3DE0"/>
    <w:rsid w:val="00AE4234"/>
    <w:rsid w:val="00AE43F6"/>
    <w:rsid w:val="00AE4DBB"/>
    <w:rsid w:val="00AE5B56"/>
    <w:rsid w:val="00AE65B9"/>
    <w:rsid w:val="00AE660B"/>
    <w:rsid w:val="00AE6644"/>
    <w:rsid w:val="00AE6ED4"/>
    <w:rsid w:val="00AE713B"/>
    <w:rsid w:val="00AE7665"/>
    <w:rsid w:val="00AE7B16"/>
    <w:rsid w:val="00AF0431"/>
    <w:rsid w:val="00AF060F"/>
    <w:rsid w:val="00AF062E"/>
    <w:rsid w:val="00AF07EE"/>
    <w:rsid w:val="00AF106E"/>
    <w:rsid w:val="00AF1329"/>
    <w:rsid w:val="00AF1546"/>
    <w:rsid w:val="00AF1C30"/>
    <w:rsid w:val="00AF2034"/>
    <w:rsid w:val="00AF2249"/>
    <w:rsid w:val="00AF22FE"/>
    <w:rsid w:val="00AF37AA"/>
    <w:rsid w:val="00AF3BC2"/>
    <w:rsid w:val="00AF43C8"/>
    <w:rsid w:val="00AF4E15"/>
    <w:rsid w:val="00AF5B2E"/>
    <w:rsid w:val="00AF5C04"/>
    <w:rsid w:val="00AF6838"/>
    <w:rsid w:val="00AF7290"/>
    <w:rsid w:val="00AF79EC"/>
    <w:rsid w:val="00AF7A77"/>
    <w:rsid w:val="00AF7BD8"/>
    <w:rsid w:val="00B00FBE"/>
    <w:rsid w:val="00B01187"/>
    <w:rsid w:val="00B024E4"/>
    <w:rsid w:val="00B02637"/>
    <w:rsid w:val="00B032D3"/>
    <w:rsid w:val="00B0355F"/>
    <w:rsid w:val="00B037F4"/>
    <w:rsid w:val="00B03D5E"/>
    <w:rsid w:val="00B043D9"/>
    <w:rsid w:val="00B0473E"/>
    <w:rsid w:val="00B051F3"/>
    <w:rsid w:val="00B054D5"/>
    <w:rsid w:val="00B0560A"/>
    <w:rsid w:val="00B056FC"/>
    <w:rsid w:val="00B05E36"/>
    <w:rsid w:val="00B06B63"/>
    <w:rsid w:val="00B0729B"/>
    <w:rsid w:val="00B07431"/>
    <w:rsid w:val="00B1036F"/>
    <w:rsid w:val="00B10733"/>
    <w:rsid w:val="00B10735"/>
    <w:rsid w:val="00B1090F"/>
    <w:rsid w:val="00B109C7"/>
    <w:rsid w:val="00B113BB"/>
    <w:rsid w:val="00B11421"/>
    <w:rsid w:val="00B11879"/>
    <w:rsid w:val="00B125C9"/>
    <w:rsid w:val="00B127E4"/>
    <w:rsid w:val="00B132D7"/>
    <w:rsid w:val="00B135F3"/>
    <w:rsid w:val="00B1361A"/>
    <w:rsid w:val="00B13EF0"/>
    <w:rsid w:val="00B14920"/>
    <w:rsid w:val="00B14EFC"/>
    <w:rsid w:val="00B152F3"/>
    <w:rsid w:val="00B15CD6"/>
    <w:rsid w:val="00B15D26"/>
    <w:rsid w:val="00B160D2"/>
    <w:rsid w:val="00B162C1"/>
    <w:rsid w:val="00B1694D"/>
    <w:rsid w:val="00B16E2E"/>
    <w:rsid w:val="00B16E9B"/>
    <w:rsid w:val="00B17169"/>
    <w:rsid w:val="00B200DC"/>
    <w:rsid w:val="00B202F6"/>
    <w:rsid w:val="00B20477"/>
    <w:rsid w:val="00B206B2"/>
    <w:rsid w:val="00B21780"/>
    <w:rsid w:val="00B21B65"/>
    <w:rsid w:val="00B21C8F"/>
    <w:rsid w:val="00B228B0"/>
    <w:rsid w:val="00B23101"/>
    <w:rsid w:val="00B23BC7"/>
    <w:rsid w:val="00B23CA0"/>
    <w:rsid w:val="00B23EBB"/>
    <w:rsid w:val="00B25555"/>
    <w:rsid w:val="00B2561F"/>
    <w:rsid w:val="00B2590A"/>
    <w:rsid w:val="00B25BF4"/>
    <w:rsid w:val="00B25ED6"/>
    <w:rsid w:val="00B25EEA"/>
    <w:rsid w:val="00B2683C"/>
    <w:rsid w:val="00B274E2"/>
    <w:rsid w:val="00B27A43"/>
    <w:rsid w:val="00B27B85"/>
    <w:rsid w:val="00B30233"/>
    <w:rsid w:val="00B305AD"/>
    <w:rsid w:val="00B312E4"/>
    <w:rsid w:val="00B31688"/>
    <w:rsid w:val="00B3176B"/>
    <w:rsid w:val="00B3230A"/>
    <w:rsid w:val="00B3263E"/>
    <w:rsid w:val="00B326EA"/>
    <w:rsid w:val="00B328E3"/>
    <w:rsid w:val="00B32C96"/>
    <w:rsid w:val="00B32D83"/>
    <w:rsid w:val="00B33972"/>
    <w:rsid w:val="00B339B6"/>
    <w:rsid w:val="00B33BAD"/>
    <w:rsid w:val="00B34E78"/>
    <w:rsid w:val="00B351DA"/>
    <w:rsid w:val="00B35622"/>
    <w:rsid w:val="00B35637"/>
    <w:rsid w:val="00B35E3D"/>
    <w:rsid w:val="00B36145"/>
    <w:rsid w:val="00B36180"/>
    <w:rsid w:val="00B364AB"/>
    <w:rsid w:val="00B365F8"/>
    <w:rsid w:val="00B36CBA"/>
    <w:rsid w:val="00B378E6"/>
    <w:rsid w:val="00B4061A"/>
    <w:rsid w:val="00B40A29"/>
    <w:rsid w:val="00B40BC4"/>
    <w:rsid w:val="00B40EAE"/>
    <w:rsid w:val="00B42428"/>
    <w:rsid w:val="00B425CF"/>
    <w:rsid w:val="00B42BEA"/>
    <w:rsid w:val="00B434B1"/>
    <w:rsid w:val="00B437F2"/>
    <w:rsid w:val="00B43A5D"/>
    <w:rsid w:val="00B44645"/>
    <w:rsid w:val="00B447FC"/>
    <w:rsid w:val="00B44E70"/>
    <w:rsid w:val="00B45118"/>
    <w:rsid w:val="00B455C0"/>
    <w:rsid w:val="00B4633B"/>
    <w:rsid w:val="00B46D0A"/>
    <w:rsid w:val="00B46E58"/>
    <w:rsid w:val="00B52FC2"/>
    <w:rsid w:val="00B53208"/>
    <w:rsid w:val="00B536C5"/>
    <w:rsid w:val="00B545FC"/>
    <w:rsid w:val="00B54D45"/>
    <w:rsid w:val="00B54DEF"/>
    <w:rsid w:val="00B54EE5"/>
    <w:rsid w:val="00B5539D"/>
    <w:rsid w:val="00B55543"/>
    <w:rsid w:val="00B55857"/>
    <w:rsid w:val="00B55934"/>
    <w:rsid w:val="00B55B78"/>
    <w:rsid w:val="00B56B9E"/>
    <w:rsid w:val="00B56E85"/>
    <w:rsid w:val="00B5723E"/>
    <w:rsid w:val="00B57345"/>
    <w:rsid w:val="00B57FCA"/>
    <w:rsid w:val="00B60356"/>
    <w:rsid w:val="00B60EF8"/>
    <w:rsid w:val="00B6142C"/>
    <w:rsid w:val="00B61FA0"/>
    <w:rsid w:val="00B62C15"/>
    <w:rsid w:val="00B62C87"/>
    <w:rsid w:val="00B630B1"/>
    <w:rsid w:val="00B6357D"/>
    <w:rsid w:val="00B63736"/>
    <w:rsid w:val="00B63BA4"/>
    <w:rsid w:val="00B63E22"/>
    <w:rsid w:val="00B63FE7"/>
    <w:rsid w:val="00B6418B"/>
    <w:rsid w:val="00B645AE"/>
    <w:rsid w:val="00B64AE8"/>
    <w:rsid w:val="00B64B25"/>
    <w:rsid w:val="00B650CC"/>
    <w:rsid w:val="00B65541"/>
    <w:rsid w:val="00B6627F"/>
    <w:rsid w:val="00B667CC"/>
    <w:rsid w:val="00B668F8"/>
    <w:rsid w:val="00B66EBF"/>
    <w:rsid w:val="00B67303"/>
    <w:rsid w:val="00B67348"/>
    <w:rsid w:val="00B67964"/>
    <w:rsid w:val="00B70508"/>
    <w:rsid w:val="00B7067E"/>
    <w:rsid w:val="00B7105C"/>
    <w:rsid w:val="00B71E17"/>
    <w:rsid w:val="00B71E5D"/>
    <w:rsid w:val="00B7254F"/>
    <w:rsid w:val="00B72C0C"/>
    <w:rsid w:val="00B72E45"/>
    <w:rsid w:val="00B72EA4"/>
    <w:rsid w:val="00B734CE"/>
    <w:rsid w:val="00B736D0"/>
    <w:rsid w:val="00B739CF"/>
    <w:rsid w:val="00B73C29"/>
    <w:rsid w:val="00B7402A"/>
    <w:rsid w:val="00B757D3"/>
    <w:rsid w:val="00B802F4"/>
    <w:rsid w:val="00B80A6F"/>
    <w:rsid w:val="00B80E9E"/>
    <w:rsid w:val="00B81239"/>
    <w:rsid w:val="00B81240"/>
    <w:rsid w:val="00B81947"/>
    <w:rsid w:val="00B8207F"/>
    <w:rsid w:val="00B82226"/>
    <w:rsid w:val="00B82342"/>
    <w:rsid w:val="00B825FF"/>
    <w:rsid w:val="00B82C17"/>
    <w:rsid w:val="00B831B0"/>
    <w:rsid w:val="00B83F28"/>
    <w:rsid w:val="00B84702"/>
    <w:rsid w:val="00B84CF2"/>
    <w:rsid w:val="00B87157"/>
    <w:rsid w:val="00B8718B"/>
    <w:rsid w:val="00B90051"/>
    <w:rsid w:val="00B91217"/>
    <w:rsid w:val="00B9166D"/>
    <w:rsid w:val="00B916CD"/>
    <w:rsid w:val="00B927BD"/>
    <w:rsid w:val="00B929CA"/>
    <w:rsid w:val="00B92D53"/>
    <w:rsid w:val="00B92F04"/>
    <w:rsid w:val="00B93523"/>
    <w:rsid w:val="00B93533"/>
    <w:rsid w:val="00B937D0"/>
    <w:rsid w:val="00B939FD"/>
    <w:rsid w:val="00B9430F"/>
    <w:rsid w:val="00B95424"/>
    <w:rsid w:val="00B9592E"/>
    <w:rsid w:val="00B95981"/>
    <w:rsid w:val="00B95B7A"/>
    <w:rsid w:val="00B960AC"/>
    <w:rsid w:val="00B961D6"/>
    <w:rsid w:val="00B971DA"/>
    <w:rsid w:val="00B9739D"/>
    <w:rsid w:val="00B97750"/>
    <w:rsid w:val="00B97AD0"/>
    <w:rsid w:val="00BA0ED2"/>
    <w:rsid w:val="00BA1565"/>
    <w:rsid w:val="00BA22F2"/>
    <w:rsid w:val="00BA259E"/>
    <w:rsid w:val="00BA2FC8"/>
    <w:rsid w:val="00BA2FE3"/>
    <w:rsid w:val="00BA3741"/>
    <w:rsid w:val="00BA3D76"/>
    <w:rsid w:val="00BA4DCC"/>
    <w:rsid w:val="00BA62C8"/>
    <w:rsid w:val="00BA64C9"/>
    <w:rsid w:val="00BA7164"/>
    <w:rsid w:val="00BA7523"/>
    <w:rsid w:val="00BA7B88"/>
    <w:rsid w:val="00BB0288"/>
    <w:rsid w:val="00BB02D1"/>
    <w:rsid w:val="00BB0346"/>
    <w:rsid w:val="00BB07DA"/>
    <w:rsid w:val="00BB08AC"/>
    <w:rsid w:val="00BB1289"/>
    <w:rsid w:val="00BB157F"/>
    <w:rsid w:val="00BB1AA2"/>
    <w:rsid w:val="00BB1EC3"/>
    <w:rsid w:val="00BB2AE2"/>
    <w:rsid w:val="00BB35D5"/>
    <w:rsid w:val="00BB360D"/>
    <w:rsid w:val="00BB3BDD"/>
    <w:rsid w:val="00BB3C51"/>
    <w:rsid w:val="00BB3C60"/>
    <w:rsid w:val="00BB3D7F"/>
    <w:rsid w:val="00BB3DE9"/>
    <w:rsid w:val="00BB400A"/>
    <w:rsid w:val="00BB43BF"/>
    <w:rsid w:val="00BB59FF"/>
    <w:rsid w:val="00BB5DBC"/>
    <w:rsid w:val="00BB5E20"/>
    <w:rsid w:val="00BB5EC0"/>
    <w:rsid w:val="00BB5EEC"/>
    <w:rsid w:val="00BB6143"/>
    <w:rsid w:val="00BB65E7"/>
    <w:rsid w:val="00BB6716"/>
    <w:rsid w:val="00BB6DFC"/>
    <w:rsid w:val="00BB7183"/>
    <w:rsid w:val="00BB7B71"/>
    <w:rsid w:val="00BB7CFA"/>
    <w:rsid w:val="00BC02FA"/>
    <w:rsid w:val="00BC06ED"/>
    <w:rsid w:val="00BC0ED2"/>
    <w:rsid w:val="00BC0F97"/>
    <w:rsid w:val="00BC0FC4"/>
    <w:rsid w:val="00BC0FE7"/>
    <w:rsid w:val="00BC33D9"/>
    <w:rsid w:val="00BC44F7"/>
    <w:rsid w:val="00BC561F"/>
    <w:rsid w:val="00BC59DA"/>
    <w:rsid w:val="00BC5AEE"/>
    <w:rsid w:val="00BC5B6D"/>
    <w:rsid w:val="00BC6790"/>
    <w:rsid w:val="00BC6AEB"/>
    <w:rsid w:val="00BC6DDC"/>
    <w:rsid w:val="00BC7286"/>
    <w:rsid w:val="00BC73B8"/>
    <w:rsid w:val="00BD031C"/>
    <w:rsid w:val="00BD27B0"/>
    <w:rsid w:val="00BD3205"/>
    <w:rsid w:val="00BD3446"/>
    <w:rsid w:val="00BD4772"/>
    <w:rsid w:val="00BD49ED"/>
    <w:rsid w:val="00BD4AAC"/>
    <w:rsid w:val="00BD4E04"/>
    <w:rsid w:val="00BD4F50"/>
    <w:rsid w:val="00BD578A"/>
    <w:rsid w:val="00BD5D11"/>
    <w:rsid w:val="00BD609C"/>
    <w:rsid w:val="00BD692B"/>
    <w:rsid w:val="00BD6F35"/>
    <w:rsid w:val="00BD74B6"/>
    <w:rsid w:val="00BD7FD0"/>
    <w:rsid w:val="00BE00C3"/>
    <w:rsid w:val="00BE0334"/>
    <w:rsid w:val="00BE0B4B"/>
    <w:rsid w:val="00BE0F3F"/>
    <w:rsid w:val="00BE10DD"/>
    <w:rsid w:val="00BE116A"/>
    <w:rsid w:val="00BE20E2"/>
    <w:rsid w:val="00BE2DAF"/>
    <w:rsid w:val="00BE2E53"/>
    <w:rsid w:val="00BE342F"/>
    <w:rsid w:val="00BE41EA"/>
    <w:rsid w:val="00BE4DC3"/>
    <w:rsid w:val="00BE4DF3"/>
    <w:rsid w:val="00BE4FFB"/>
    <w:rsid w:val="00BE55D3"/>
    <w:rsid w:val="00BE660B"/>
    <w:rsid w:val="00BE6C73"/>
    <w:rsid w:val="00BE7F9A"/>
    <w:rsid w:val="00BF01F9"/>
    <w:rsid w:val="00BF0DC3"/>
    <w:rsid w:val="00BF15E9"/>
    <w:rsid w:val="00BF20F9"/>
    <w:rsid w:val="00BF2329"/>
    <w:rsid w:val="00BF2699"/>
    <w:rsid w:val="00BF36B5"/>
    <w:rsid w:val="00BF3A2A"/>
    <w:rsid w:val="00BF3B44"/>
    <w:rsid w:val="00BF4E2A"/>
    <w:rsid w:val="00BF5209"/>
    <w:rsid w:val="00BF5711"/>
    <w:rsid w:val="00BF5878"/>
    <w:rsid w:val="00BF5D6C"/>
    <w:rsid w:val="00BF6539"/>
    <w:rsid w:val="00BF7BD4"/>
    <w:rsid w:val="00BF7F87"/>
    <w:rsid w:val="00C00392"/>
    <w:rsid w:val="00C0045D"/>
    <w:rsid w:val="00C005A3"/>
    <w:rsid w:val="00C009C5"/>
    <w:rsid w:val="00C00CDC"/>
    <w:rsid w:val="00C00D8D"/>
    <w:rsid w:val="00C02096"/>
    <w:rsid w:val="00C02C32"/>
    <w:rsid w:val="00C031A6"/>
    <w:rsid w:val="00C034AF"/>
    <w:rsid w:val="00C03DD4"/>
    <w:rsid w:val="00C04383"/>
    <w:rsid w:val="00C04B89"/>
    <w:rsid w:val="00C04B98"/>
    <w:rsid w:val="00C06291"/>
    <w:rsid w:val="00C067D4"/>
    <w:rsid w:val="00C06B3C"/>
    <w:rsid w:val="00C06D52"/>
    <w:rsid w:val="00C079F5"/>
    <w:rsid w:val="00C1075C"/>
    <w:rsid w:val="00C1191D"/>
    <w:rsid w:val="00C11A64"/>
    <w:rsid w:val="00C12A95"/>
    <w:rsid w:val="00C148D8"/>
    <w:rsid w:val="00C14956"/>
    <w:rsid w:val="00C15083"/>
    <w:rsid w:val="00C1518A"/>
    <w:rsid w:val="00C17DD1"/>
    <w:rsid w:val="00C206D9"/>
    <w:rsid w:val="00C20FA2"/>
    <w:rsid w:val="00C215A3"/>
    <w:rsid w:val="00C220E0"/>
    <w:rsid w:val="00C221CA"/>
    <w:rsid w:val="00C223C0"/>
    <w:rsid w:val="00C22966"/>
    <w:rsid w:val="00C22DFB"/>
    <w:rsid w:val="00C233C5"/>
    <w:rsid w:val="00C239F1"/>
    <w:rsid w:val="00C24555"/>
    <w:rsid w:val="00C24B9C"/>
    <w:rsid w:val="00C24BAA"/>
    <w:rsid w:val="00C25390"/>
    <w:rsid w:val="00C25B58"/>
    <w:rsid w:val="00C25D47"/>
    <w:rsid w:val="00C270C0"/>
    <w:rsid w:val="00C31F4E"/>
    <w:rsid w:val="00C32A9D"/>
    <w:rsid w:val="00C32AFF"/>
    <w:rsid w:val="00C3335D"/>
    <w:rsid w:val="00C33550"/>
    <w:rsid w:val="00C335E5"/>
    <w:rsid w:val="00C33BFE"/>
    <w:rsid w:val="00C344D6"/>
    <w:rsid w:val="00C34D44"/>
    <w:rsid w:val="00C35B66"/>
    <w:rsid w:val="00C35E9A"/>
    <w:rsid w:val="00C3621E"/>
    <w:rsid w:val="00C36498"/>
    <w:rsid w:val="00C3750D"/>
    <w:rsid w:val="00C377A7"/>
    <w:rsid w:val="00C379FD"/>
    <w:rsid w:val="00C41F6A"/>
    <w:rsid w:val="00C41FE8"/>
    <w:rsid w:val="00C42CFF"/>
    <w:rsid w:val="00C42DB8"/>
    <w:rsid w:val="00C42E9F"/>
    <w:rsid w:val="00C439CC"/>
    <w:rsid w:val="00C439F0"/>
    <w:rsid w:val="00C43DBE"/>
    <w:rsid w:val="00C44FD0"/>
    <w:rsid w:val="00C4517F"/>
    <w:rsid w:val="00C46B73"/>
    <w:rsid w:val="00C46F43"/>
    <w:rsid w:val="00C47484"/>
    <w:rsid w:val="00C476F0"/>
    <w:rsid w:val="00C504B3"/>
    <w:rsid w:val="00C505FE"/>
    <w:rsid w:val="00C506AE"/>
    <w:rsid w:val="00C50706"/>
    <w:rsid w:val="00C507B5"/>
    <w:rsid w:val="00C50BD1"/>
    <w:rsid w:val="00C5109A"/>
    <w:rsid w:val="00C51804"/>
    <w:rsid w:val="00C51A3C"/>
    <w:rsid w:val="00C51E5F"/>
    <w:rsid w:val="00C52F68"/>
    <w:rsid w:val="00C5368C"/>
    <w:rsid w:val="00C537E8"/>
    <w:rsid w:val="00C53987"/>
    <w:rsid w:val="00C53BDF"/>
    <w:rsid w:val="00C54708"/>
    <w:rsid w:val="00C54870"/>
    <w:rsid w:val="00C54E13"/>
    <w:rsid w:val="00C54E51"/>
    <w:rsid w:val="00C54FF6"/>
    <w:rsid w:val="00C55533"/>
    <w:rsid w:val="00C558E7"/>
    <w:rsid w:val="00C5624B"/>
    <w:rsid w:val="00C5694A"/>
    <w:rsid w:val="00C56B59"/>
    <w:rsid w:val="00C56C17"/>
    <w:rsid w:val="00C57ECC"/>
    <w:rsid w:val="00C60099"/>
    <w:rsid w:val="00C6010C"/>
    <w:rsid w:val="00C606DC"/>
    <w:rsid w:val="00C60807"/>
    <w:rsid w:val="00C60A68"/>
    <w:rsid w:val="00C611EB"/>
    <w:rsid w:val="00C61932"/>
    <w:rsid w:val="00C62310"/>
    <w:rsid w:val="00C62736"/>
    <w:rsid w:val="00C62828"/>
    <w:rsid w:val="00C62D8E"/>
    <w:rsid w:val="00C631B5"/>
    <w:rsid w:val="00C636E3"/>
    <w:rsid w:val="00C64401"/>
    <w:rsid w:val="00C644C3"/>
    <w:rsid w:val="00C647E5"/>
    <w:rsid w:val="00C64832"/>
    <w:rsid w:val="00C64BCE"/>
    <w:rsid w:val="00C65A12"/>
    <w:rsid w:val="00C65ECE"/>
    <w:rsid w:val="00C66080"/>
    <w:rsid w:val="00C6631E"/>
    <w:rsid w:val="00C67B17"/>
    <w:rsid w:val="00C70DA3"/>
    <w:rsid w:val="00C70F6C"/>
    <w:rsid w:val="00C7199C"/>
    <w:rsid w:val="00C71B4C"/>
    <w:rsid w:val="00C71EC3"/>
    <w:rsid w:val="00C726DD"/>
    <w:rsid w:val="00C73384"/>
    <w:rsid w:val="00C7488F"/>
    <w:rsid w:val="00C748A6"/>
    <w:rsid w:val="00C74946"/>
    <w:rsid w:val="00C757A5"/>
    <w:rsid w:val="00C758E3"/>
    <w:rsid w:val="00C76220"/>
    <w:rsid w:val="00C76230"/>
    <w:rsid w:val="00C7646D"/>
    <w:rsid w:val="00C76C1F"/>
    <w:rsid w:val="00C76EF2"/>
    <w:rsid w:val="00C76FD7"/>
    <w:rsid w:val="00C77DD0"/>
    <w:rsid w:val="00C8075D"/>
    <w:rsid w:val="00C808C7"/>
    <w:rsid w:val="00C80995"/>
    <w:rsid w:val="00C81520"/>
    <w:rsid w:val="00C81C8C"/>
    <w:rsid w:val="00C81FF9"/>
    <w:rsid w:val="00C82648"/>
    <w:rsid w:val="00C82869"/>
    <w:rsid w:val="00C82BEA"/>
    <w:rsid w:val="00C82CFA"/>
    <w:rsid w:val="00C83B83"/>
    <w:rsid w:val="00C83EEF"/>
    <w:rsid w:val="00C84605"/>
    <w:rsid w:val="00C84740"/>
    <w:rsid w:val="00C84C9A"/>
    <w:rsid w:val="00C85570"/>
    <w:rsid w:val="00C85B28"/>
    <w:rsid w:val="00C85FDD"/>
    <w:rsid w:val="00C865BE"/>
    <w:rsid w:val="00C86781"/>
    <w:rsid w:val="00C86B1F"/>
    <w:rsid w:val="00C86D9B"/>
    <w:rsid w:val="00C87937"/>
    <w:rsid w:val="00C87E47"/>
    <w:rsid w:val="00C9011D"/>
    <w:rsid w:val="00C90ABC"/>
    <w:rsid w:val="00C90B5C"/>
    <w:rsid w:val="00C90C22"/>
    <w:rsid w:val="00C90C61"/>
    <w:rsid w:val="00C9160D"/>
    <w:rsid w:val="00C92388"/>
    <w:rsid w:val="00C92889"/>
    <w:rsid w:val="00C928E3"/>
    <w:rsid w:val="00C92A8D"/>
    <w:rsid w:val="00C92B8A"/>
    <w:rsid w:val="00C92EE0"/>
    <w:rsid w:val="00C9302F"/>
    <w:rsid w:val="00C93B8D"/>
    <w:rsid w:val="00C94767"/>
    <w:rsid w:val="00C94844"/>
    <w:rsid w:val="00C953A3"/>
    <w:rsid w:val="00C953BF"/>
    <w:rsid w:val="00C95886"/>
    <w:rsid w:val="00C95E90"/>
    <w:rsid w:val="00C9679B"/>
    <w:rsid w:val="00C96ACB"/>
    <w:rsid w:val="00C977FA"/>
    <w:rsid w:val="00C9787C"/>
    <w:rsid w:val="00CA0469"/>
    <w:rsid w:val="00CA04EC"/>
    <w:rsid w:val="00CA05C5"/>
    <w:rsid w:val="00CA078C"/>
    <w:rsid w:val="00CA0E08"/>
    <w:rsid w:val="00CA1E7A"/>
    <w:rsid w:val="00CA1FF2"/>
    <w:rsid w:val="00CA221C"/>
    <w:rsid w:val="00CA22FC"/>
    <w:rsid w:val="00CA2436"/>
    <w:rsid w:val="00CA29D2"/>
    <w:rsid w:val="00CA2B4F"/>
    <w:rsid w:val="00CA3357"/>
    <w:rsid w:val="00CA33A9"/>
    <w:rsid w:val="00CA3504"/>
    <w:rsid w:val="00CA35B8"/>
    <w:rsid w:val="00CA3679"/>
    <w:rsid w:val="00CA3FB1"/>
    <w:rsid w:val="00CA4EF7"/>
    <w:rsid w:val="00CA5295"/>
    <w:rsid w:val="00CA54CF"/>
    <w:rsid w:val="00CA5EF7"/>
    <w:rsid w:val="00CA6169"/>
    <w:rsid w:val="00CA6306"/>
    <w:rsid w:val="00CA6652"/>
    <w:rsid w:val="00CA6ACF"/>
    <w:rsid w:val="00CA6E3D"/>
    <w:rsid w:val="00CB111A"/>
    <w:rsid w:val="00CB141E"/>
    <w:rsid w:val="00CB1B3D"/>
    <w:rsid w:val="00CB33C7"/>
    <w:rsid w:val="00CB3442"/>
    <w:rsid w:val="00CB389F"/>
    <w:rsid w:val="00CB3F5F"/>
    <w:rsid w:val="00CB4221"/>
    <w:rsid w:val="00CB448E"/>
    <w:rsid w:val="00CB44D3"/>
    <w:rsid w:val="00CB4A12"/>
    <w:rsid w:val="00CB51CF"/>
    <w:rsid w:val="00CB5D09"/>
    <w:rsid w:val="00CB5DA9"/>
    <w:rsid w:val="00CB5EC9"/>
    <w:rsid w:val="00CB6D82"/>
    <w:rsid w:val="00CB6DA3"/>
    <w:rsid w:val="00CB712E"/>
    <w:rsid w:val="00CB738F"/>
    <w:rsid w:val="00CB77CD"/>
    <w:rsid w:val="00CC0AFD"/>
    <w:rsid w:val="00CC157F"/>
    <w:rsid w:val="00CC353F"/>
    <w:rsid w:val="00CC4098"/>
    <w:rsid w:val="00CC4868"/>
    <w:rsid w:val="00CC48E5"/>
    <w:rsid w:val="00CC5D34"/>
    <w:rsid w:val="00CC62BF"/>
    <w:rsid w:val="00CC7A8F"/>
    <w:rsid w:val="00CC7C24"/>
    <w:rsid w:val="00CD0009"/>
    <w:rsid w:val="00CD01A2"/>
    <w:rsid w:val="00CD02AC"/>
    <w:rsid w:val="00CD0618"/>
    <w:rsid w:val="00CD0B03"/>
    <w:rsid w:val="00CD0E3B"/>
    <w:rsid w:val="00CD1355"/>
    <w:rsid w:val="00CD1739"/>
    <w:rsid w:val="00CD1860"/>
    <w:rsid w:val="00CD1CF3"/>
    <w:rsid w:val="00CD1DF1"/>
    <w:rsid w:val="00CD24E1"/>
    <w:rsid w:val="00CD292E"/>
    <w:rsid w:val="00CD35DB"/>
    <w:rsid w:val="00CD4089"/>
    <w:rsid w:val="00CD408C"/>
    <w:rsid w:val="00CD40A8"/>
    <w:rsid w:val="00CD4490"/>
    <w:rsid w:val="00CD4A99"/>
    <w:rsid w:val="00CD5434"/>
    <w:rsid w:val="00CD66A0"/>
    <w:rsid w:val="00CD75E0"/>
    <w:rsid w:val="00CD7D0B"/>
    <w:rsid w:val="00CD7DF8"/>
    <w:rsid w:val="00CD7E21"/>
    <w:rsid w:val="00CD7F65"/>
    <w:rsid w:val="00CE0215"/>
    <w:rsid w:val="00CE0D48"/>
    <w:rsid w:val="00CE1763"/>
    <w:rsid w:val="00CE1A39"/>
    <w:rsid w:val="00CE229A"/>
    <w:rsid w:val="00CE27BE"/>
    <w:rsid w:val="00CE2F45"/>
    <w:rsid w:val="00CE3BBE"/>
    <w:rsid w:val="00CE3CF3"/>
    <w:rsid w:val="00CE3F53"/>
    <w:rsid w:val="00CE4B3B"/>
    <w:rsid w:val="00CE4B94"/>
    <w:rsid w:val="00CE4F01"/>
    <w:rsid w:val="00CE62A4"/>
    <w:rsid w:val="00CE62F4"/>
    <w:rsid w:val="00CE63DA"/>
    <w:rsid w:val="00CE7297"/>
    <w:rsid w:val="00CE7603"/>
    <w:rsid w:val="00CE7683"/>
    <w:rsid w:val="00CE7C07"/>
    <w:rsid w:val="00CE7C73"/>
    <w:rsid w:val="00CF0612"/>
    <w:rsid w:val="00CF082D"/>
    <w:rsid w:val="00CF1B52"/>
    <w:rsid w:val="00CF2EF7"/>
    <w:rsid w:val="00CF35BC"/>
    <w:rsid w:val="00CF373F"/>
    <w:rsid w:val="00CF3D83"/>
    <w:rsid w:val="00CF5C81"/>
    <w:rsid w:val="00CF609F"/>
    <w:rsid w:val="00CF6520"/>
    <w:rsid w:val="00CF6EC4"/>
    <w:rsid w:val="00CF7502"/>
    <w:rsid w:val="00CF75AB"/>
    <w:rsid w:val="00CF7D4A"/>
    <w:rsid w:val="00D0013D"/>
    <w:rsid w:val="00D003EC"/>
    <w:rsid w:val="00D006F6"/>
    <w:rsid w:val="00D00997"/>
    <w:rsid w:val="00D00A2C"/>
    <w:rsid w:val="00D01079"/>
    <w:rsid w:val="00D011F6"/>
    <w:rsid w:val="00D01437"/>
    <w:rsid w:val="00D03651"/>
    <w:rsid w:val="00D0365E"/>
    <w:rsid w:val="00D03CEC"/>
    <w:rsid w:val="00D03CED"/>
    <w:rsid w:val="00D04539"/>
    <w:rsid w:val="00D045DE"/>
    <w:rsid w:val="00D05024"/>
    <w:rsid w:val="00D058CA"/>
    <w:rsid w:val="00D05910"/>
    <w:rsid w:val="00D059FA"/>
    <w:rsid w:val="00D060AB"/>
    <w:rsid w:val="00D06301"/>
    <w:rsid w:val="00D06535"/>
    <w:rsid w:val="00D06D15"/>
    <w:rsid w:val="00D06FEF"/>
    <w:rsid w:val="00D074D3"/>
    <w:rsid w:val="00D07669"/>
    <w:rsid w:val="00D107A1"/>
    <w:rsid w:val="00D108BB"/>
    <w:rsid w:val="00D109FB"/>
    <w:rsid w:val="00D11234"/>
    <w:rsid w:val="00D114EA"/>
    <w:rsid w:val="00D11B25"/>
    <w:rsid w:val="00D127AF"/>
    <w:rsid w:val="00D1286F"/>
    <w:rsid w:val="00D12B72"/>
    <w:rsid w:val="00D12F6E"/>
    <w:rsid w:val="00D1301E"/>
    <w:rsid w:val="00D13B88"/>
    <w:rsid w:val="00D14082"/>
    <w:rsid w:val="00D143A2"/>
    <w:rsid w:val="00D148E3"/>
    <w:rsid w:val="00D15140"/>
    <w:rsid w:val="00D1598B"/>
    <w:rsid w:val="00D15A74"/>
    <w:rsid w:val="00D15D5C"/>
    <w:rsid w:val="00D162AD"/>
    <w:rsid w:val="00D16893"/>
    <w:rsid w:val="00D1750E"/>
    <w:rsid w:val="00D2021B"/>
    <w:rsid w:val="00D20227"/>
    <w:rsid w:val="00D20516"/>
    <w:rsid w:val="00D20804"/>
    <w:rsid w:val="00D20BFC"/>
    <w:rsid w:val="00D20E70"/>
    <w:rsid w:val="00D21059"/>
    <w:rsid w:val="00D21162"/>
    <w:rsid w:val="00D21D39"/>
    <w:rsid w:val="00D21DC9"/>
    <w:rsid w:val="00D222FB"/>
    <w:rsid w:val="00D22589"/>
    <w:rsid w:val="00D2293A"/>
    <w:rsid w:val="00D2299B"/>
    <w:rsid w:val="00D229D1"/>
    <w:rsid w:val="00D22B7F"/>
    <w:rsid w:val="00D2352C"/>
    <w:rsid w:val="00D23764"/>
    <w:rsid w:val="00D24861"/>
    <w:rsid w:val="00D24862"/>
    <w:rsid w:val="00D24919"/>
    <w:rsid w:val="00D24E5A"/>
    <w:rsid w:val="00D2595E"/>
    <w:rsid w:val="00D25F5C"/>
    <w:rsid w:val="00D2660A"/>
    <w:rsid w:val="00D26857"/>
    <w:rsid w:val="00D2699F"/>
    <w:rsid w:val="00D26A2F"/>
    <w:rsid w:val="00D27046"/>
    <w:rsid w:val="00D276D6"/>
    <w:rsid w:val="00D27C9C"/>
    <w:rsid w:val="00D30543"/>
    <w:rsid w:val="00D30DDC"/>
    <w:rsid w:val="00D31335"/>
    <w:rsid w:val="00D315BA"/>
    <w:rsid w:val="00D317CF"/>
    <w:rsid w:val="00D31A43"/>
    <w:rsid w:val="00D3206F"/>
    <w:rsid w:val="00D320E0"/>
    <w:rsid w:val="00D32B6C"/>
    <w:rsid w:val="00D334F0"/>
    <w:rsid w:val="00D345C7"/>
    <w:rsid w:val="00D34D16"/>
    <w:rsid w:val="00D34DB8"/>
    <w:rsid w:val="00D34F84"/>
    <w:rsid w:val="00D350A6"/>
    <w:rsid w:val="00D35355"/>
    <w:rsid w:val="00D3597E"/>
    <w:rsid w:val="00D3646A"/>
    <w:rsid w:val="00D36962"/>
    <w:rsid w:val="00D37A6E"/>
    <w:rsid w:val="00D37FBB"/>
    <w:rsid w:val="00D401D3"/>
    <w:rsid w:val="00D412E3"/>
    <w:rsid w:val="00D418BD"/>
    <w:rsid w:val="00D425A7"/>
    <w:rsid w:val="00D4446E"/>
    <w:rsid w:val="00D44EB4"/>
    <w:rsid w:val="00D455EA"/>
    <w:rsid w:val="00D45AE0"/>
    <w:rsid w:val="00D4609D"/>
    <w:rsid w:val="00D466CE"/>
    <w:rsid w:val="00D46D93"/>
    <w:rsid w:val="00D4731C"/>
    <w:rsid w:val="00D4792D"/>
    <w:rsid w:val="00D47B32"/>
    <w:rsid w:val="00D47DCA"/>
    <w:rsid w:val="00D50710"/>
    <w:rsid w:val="00D51E10"/>
    <w:rsid w:val="00D51EF7"/>
    <w:rsid w:val="00D5237A"/>
    <w:rsid w:val="00D5275A"/>
    <w:rsid w:val="00D52B72"/>
    <w:rsid w:val="00D536B6"/>
    <w:rsid w:val="00D53A7C"/>
    <w:rsid w:val="00D53A97"/>
    <w:rsid w:val="00D54861"/>
    <w:rsid w:val="00D54B4D"/>
    <w:rsid w:val="00D54B4F"/>
    <w:rsid w:val="00D5504B"/>
    <w:rsid w:val="00D552C3"/>
    <w:rsid w:val="00D55800"/>
    <w:rsid w:val="00D55810"/>
    <w:rsid w:val="00D55A48"/>
    <w:rsid w:val="00D55F84"/>
    <w:rsid w:val="00D565D2"/>
    <w:rsid w:val="00D56860"/>
    <w:rsid w:val="00D569E8"/>
    <w:rsid w:val="00D574F2"/>
    <w:rsid w:val="00D5770A"/>
    <w:rsid w:val="00D6067C"/>
    <w:rsid w:val="00D618E4"/>
    <w:rsid w:val="00D62508"/>
    <w:rsid w:val="00D627FD"/>
    <w:rsid w:val="00D62AF6"/>
    <w:rsid w:val="00D632CC"/>
    <w:rsid w:val="00D639C9"/>
    <w:rsid w:val="00D63BCF"/>
    <w:rsid w:val="00D642C3"/>
    <w:rsid w:val="00D6692F"/>
    <w:rsid w:val="00D66AD6"/>
    <w:rsid w:val="00D6770E"/>
    <w:rsid w:val="00D67F4A"/>
    <w:rsid w:val="00D7012E"/>
    <w:rsid w:val="00D7106F"/>
    <w:rsid w:val="00D7136F"/>
    <w:rsid w:val="00D718B0"/>
    <w:rsid w:val="00D72569"/>
    <w:rsid w:val="00D73CA1"/>
    <w:rsid w:val="00D747C7"/>
    <w:rsid w:val="00D748D1"/>
    <w:rsid w:val="00D748ED"/>
    <w:rsid w:val="00D74B90"/>
    <w:rsid w:val="00D753CF"/>
    <w:rsid w:val="00D75F83"/>
    <w:rsid w:val="00D76453"/>
    <w:rsid w:val="00D76763"/>
    <w:rsid w:val="00D767B8"/>
    <w:rsid w:val="00D76DEC"/>
    <w:rsid w:val="00D772F4"/>
    <w:rsid w:val="00D77E78"/>
    <w:rsid w:val="00D801F5"/>
    <w:rsid w:val="00D80273"/>
    <w:rsid w:val="00D80AA1"/>
    <w:rsid w:val="00D80FF8"/>
    <w:rsid w:val="00D818FD"/>
    <w:rsid w:val="00D81B8E"/>
    <w:rsid w:val="00D82293"/>
    <w:rsid w:val="00D827F8"/>
    <w:rsid w:val="00D83E8E"/>
    <w:rsid w:val="00D8429F"/>
    <w:rsid w:val="00D85040"/>
    <w:rsid w:val="00D8569E"/>
    <w:rsid w:val="00D8570D"/>
    <w:rsid w:val="00D85FDD"/>
    <w:rsid w:val="00D8626B"/>
    <w:rsid w:val="00D86A09"/>
    <w:rsid w:val="00D86C3E"/>
    <w:rsid w:val="00D86FE5"/>
    <w:rsid w:val="00D8788D"/>
    <w:rsid w:val="00D87A99"/>
    <w:rsid w:val="00D87C76"/>
    <w:rsid w:val="00D87EBC"/>
    <w:rsid w:val="00D908FE"/>
    <w:rsid w:val="00D90F2B"/>
    <w:rsid w:val="00D918D1"/>
    <w:rsid w:val="00D92224"/>
    <w:rsid w:val="00D92720"/>
    <w:rsid w:val="00D931A6"/>
    <w:rsid w:val="00D9328C"/>
    <w:rsid w:val="00D95214"/>
    <w:rsid w:val="00D952D4"/>
    <w:rsid w:val="00D9655B"/>
    <w:rsid w:val="00D9664D"/>
    <w:rsid w:val="00D971BB"/>
    <w:rsid w:val="00D972EC"/>
    <w:rsid w:val="00D97503"/>
    <w:rsid w:val="00DA01CC"/>
    <w:rsid w:val="00DA04F0"/>
    <w:rsid w:val="00DA0AFF"/>
    <w:rsid w:val="00DA12AE"/>
    <w:rsid w:val="00DA1C02"/>
    <w:rsid w:val="00DA278A"/>
    <w:rsid w:val="00DA3101"/>
    <w:rsid w:val="00DA3317"/>
    <w:rsid w:val="00DA36E9"/>
    <w:rsid w:val="00DA3889"/>
    <w:rsid w:val="00DA3F9D"/>
    <w:rsid w:val="00DA4DBA"/>
    <w:rsid w:val="00DA54F6"/>
    <w:rsid w:val="00DA57BF"/>
    <w:rsid w:val="00DA591B"/>
    <w:rsid w:val="00DA5D8E"/>
    <w:rsid w:val="00DA6D9B"/>
    <w:rsid w:val="00DA764B"/>
    <w:rsid w:val="00DA77B3"/>
    <w:rsid w:val="00DA7C76"/>
    <w:rsid w:val="00DB0098"/>
    <w:rsid w:val="00DB01EB"/>
    <w:rsid w:val="00DB15CF"/>
    <w:rsid w:val="00DB184B"/>
    <w:rsid w:val="00DB27EE"/>
    <w:rsid w:val="00DB2969"/>
    <w:rsid w:val="00DB2EA6"/>
    <w:rsid w:val="00DB302A"/>
    <w:rsid w:val="00DB372D"/>
    <w:rsid w:val="00DB438B"/>
    <w:rsid w:val="00DB4528"/>
    <w:rsid w:val="00DB555A"/>
    <w:rsid w:val="00DB581C"/>
    <w:rsid w:val="00DB5BF8"/>
    <w:rsid w:val="00DB5E64"/>
    <w:rsid w:val="00DB5EDF"/>
    <w:rsid w:val="00DB5FDB"/>
    <w:rsid w:val="00DB61DB"/>
    <w:rsid w:val="00DB637A"/>
    <w:rsid w:val="00DB6D00"/>
    <w:rsid w:val="00DB718B"/>
    <w:rsid w:val="00DB71B3"/>
    <w:rsid w:val="00DB72A5"/>
    <w:rsid w:val="00DB7449"/>
    <w:rsid w:val="00DB74E9"/>
    <w:rsid w:val="00DB753D"/>
    <w:rsid w:val="00DB7D79"/>
    <w:rsid w:val="00DC0122"/>
    <w:rsid w:val="00DC0509"/>
    <w:rsid w:val="00DC0E0E"/>
    <w:rsid w:val="00DC117C"/>
    <w:rsid w:val="00DC16B7"/>
    <w:rsid w:val="00DC19B5"/>
    <w:rsid w:val="00DC1D17"/>
    <w:rsid w:val="00DC2047"/>
    <w:rsid w:val="00DC21A6"/>
    <w:rsid w:val="00DC2288"/>
    <w:rsid w:val="00DC2B94"/>
    <w:rsid w:val="00DC34E1"/>
    <w:rsid w:val="00DC3C66"/>
    <w:rsid w:val="00DC4927"/>
    <w:rsid w:val="00DC5E5D"/>
    <w:rsid w:val="00DC63A6"/>
    <w:rsid w:val="00DC6DFF"/>
    <w:rsid w:val="00DC7001"/>
    <w:rsid w:val="00DC71AC"/>
    <w:rsid w:val="00DC75C9"/>
    <w:rsid w:val="00DD14A3"/>
    <w:rsid w:val="00DD1922"/>
    <w:rsid w:val="00DD1E0F"/>
    <w:rsid w:val="00DD1E89"/>
    <w:rsid w:val="00DD250B"/>
    <w:rsid w:val="00DD29E8"/>
    <w:rsid w:val="00DD2C63"/>
    <w:rsid w:val="00DD3F35"/>
    <w:rsid w:val="00DD4050"/>
    <w:rsid w:val="00DD4471"/>
    <w:rsid w:val="00DD4675"/>
    <w:rsid w:val="00DD524A"/>
    <w:rsid w:val="00DD6277"/>
    <w:rsid w:val="00DD669E"/>
    <w:rsid w:val="00DD66BD"/>
    <w:rsid w:val="00DD66E5"/>
    <w:rsid w:val="00DD6A77"/>
    <w:rsid w:val="00DE0946"/>
    <w:rsid w:val="00DE0F9C"/>
    <w:rsid w:val="00DE1639"/>
    <w:rsid w:val="00DE3545"/>
    <w:rsid w:val="00DE372B"/>
    <w:rsid w:val="00DE37F0"/>
    <w:rsid w:val="00DE3FCF"/>
    <w:rsid w:val="00DE4051"/>
    <w:rsid w:val="00DE41C2"/>
    <w:rsid w:val="00DE41E8"/>
    <w:rsid w:val="00DE4831"/>
    <w:rsid w:val="00DE5073"/>
    <w:rsid w:val="00DE580A"/>
    <w:rsid w:val="00DE5867"/>
    <w:rsid w:val="00DE5F3F"/>
    <w:rsid w:val="00DE6264"/>
    <w:rsid w:val="00DE667F"/>
    <w:rsid w:val="00DE6E85"/>
    <w:rsid w:val="00DE73D6"/>
    <w:rsid w:val="00DE73E5"/>
    <w:rsid w:val="00DE7618"/>
    <w:rsid w:val="00DE7752"/>
    <w:rsid w:val="00DE78D5"/>
    <w:rsid w:val="00DE79D7"/>
    <w:rsid w:val="00DE7F2E"/>
    <w:rsid w:val="00DE7F43"/>
    <w:rsid w:val="00DF0148"/>
    <w:rsid w:val="00DF01D2"/>
    <w:rsid w:val="00DF02D4"/>
    <w:rsid w:val="00DF0566"/>
    <w:rsid w:val="00DF0A2D"/>
    <w:rsid w:val="00DF0AB1"/>
    <w:rsid w:val="00DF16C1"/>
    <w:rsid w:val="00DF2649"/>
    <w:rsid w:val="00DF28D2"/>
    <w:rsid w:val="00DF3226"/>
    <w:rsid w:val="00DF48E9"/>
    <w:rsid w:val="00DF58C8"/>
    <w:rsid w:val="00DF6097"/>
    <w:rsid w:val="00DF66AE"/>
    <w:rsid w:val="00DF6CF4"/>
    <w:rsid w:val="00DF7310"/>
    <w:rsid w:val="00DF732A"/>
    <w:rsid w:val="00DF7788"/>
    <w:rsid w:val="00E000F9"/>
    <w:rsid w:val="00E00118"/>
    <w:rsid w:val="00E00731"/>
    <w:rsid w:val="00E00A45"/>
    <w:rsid w:val="00E00BA5"/>
    <w:rsid w:val="00E0171F"/>
    <w:rsid w:val="00E0185D"/>
    <w:rsid w:val="00E0225A"/>
    <w:rsid w:val="00E02E1E"/>
    <w:rsid w:val="00E030F6"/>
    <w:rsid w:val="00E03447"/>
    <w:rsid w:val="00E03AE0"/>
    <w:rsid w:val="00E04431"/>
    <w:rsid w:val="00E044F9"/>
    <w:rsid w:val="00E048F5"/>
    <w:rsid w:val="00E049FB"/>
    <w:rsid w:val="00E04C87"/>
    <w:rsid w:val="00E05110"/>
    <w:rsid w:val="00E0588B"/>
    <w:rsid w:val="00E05925"/>
    <w:rsid w:val="00E05969"/>
    <w:rsid w:val="00E05B67"/>
    <w:rsid w:val="00E064F9"/>
    <w:rsid w:val="00E068F0"/>
    <w:rsid w:val="00E06EE2"/>
    <w:rsid w:val="00E07D38"/>
    <w:rsid w:val="00E07D51"/>
    <w:rsid w:val="00E10275"/>
    <w:rsid w:val="00E109A9"/>
    <w:rsid w:val="00E10F19"/>
    <w:rsid w:val="00E11AA6"/>
    <w:rsid w:val="00E1238F"/>
    <w:rsid w:val="00E12E56"/>
    <w:rsid w:val="00E13329"/>
    <w:rsid w:val="00E1386C"/>
    <w:rsid w:val="00E14484"/>
    <w:rsid w:val="00E148A6"/>
    <w:rsid w:val="00E15312"/>
    <w:rsid w:val="00E15497"/>
    <w:rsid w:val="00E15A91"/>
    <w:rsid w:val="00E15B58"/>
    <w:rsid w:val="00E15FDF"/>
    <w:rsid w:val="00E16006"/>
    <w:rsid w:val="00E17093"/>
    <w:rsid w:val="00E17D42"/>
    <w:rsid w:val="00E20AC4"/>
    <w:rsid w:val="00E2294F"/>
    <w:rsid w:val="00E23623"/>
    <w:rsid w:val="00E23879"/>
    <w:rsid w:val="00E248BA"/>
    <w:rsid w:val="00E24B13"/>
    <w:rsid w:val="00E25104"/>
    <w:rsid w:val="00E2520A"/>
    <w:rsid w:val="00E2550E"/>
    <w:rsid w:val="00E258C2"/>
    <w:rsid w:val="00E25B70"/>
    <w:rsid w:val="00E25E6B"/>
    <w:rsid w:val="00E25EEF"/>
    <w:rsid w:val="00E26905"/>
    <w:rsid w:val="00E26CF7"/>
    <w:rsid w:val="00E2734F"/>
    <w:rsid w:val="00E273BA"/>
    <w:rsid w:val="00E274BB"/>
    <w:rsid w:val="00E3087B"/>
    <w:rsid w:val="00E309C9"/>
    <w:rsid w:val="00E310A6"/>
    <w:rsid w:val="00E312DB"/>
    <w:rsid w:val="00E33C94"/>
    <w:rsid w:val="00E33E7B"/>
    <w:rsid w:val="00E34781"/>
    <w:rsid w:val="00E34D4D"/>
    <w:rsid w:val="00E3582A"/>
    <w:rsid w:val="00E37E37"/>
    <w:rsid w:val="00E40500"/>
    <w:rsid w:val="00E4063B"/>
    <w:rsid w:val="00E40FF5"/>
    <w:rsid w:val="00E41F59"/>
    <w:rsid w:val="00E4233C"/>
    <w:rsid w:val="00E42349"/>
    <w:rsid w:val="00E4284E"/>
    <w:rsid w:val="00E429BE"/>
    <w:rsid w:val="00E42B87"/>
    <w:rsid w:val="00E43992"/>
    <w:rsid w:val="00E43F04"/>
    <w:rsid w:val="00E43F6B"/>
    <w:rsid w:val="00E44122"/>
    <w:rsid w:val="00E442B5"/>
    <w:rsid w:val="00E4460C"/>
    <w:rsid w:val="00E44FF3"/>
    <w:rsid w:val="00E4541D"/>
    <w:rsid w:val="00E4577B"/>
    <w:rsid w:val="00E469E2"/>
    <w:rsid w:val="00E46E36"/>
    <w:rsid w:val="00E4727E"/>
    <w:rsid w:val="00E50469"/>
    <w:rsid w:val="00E5085D"/>
    <w:rsid w:val="00E50B0E"/>
    <w:rsid w:val="00E50D76"/>
    <w:rsid w:val="00E5100C"/>
    <w:rsid w:val="00E5201D"/>
    <w:rsid w:val="00E520D5"/>
    <w:rsid w:val="00E522EC"/>
    <w:rsid w:val="00E528A9"/>
    <w:rsid w:val="00E52E91"/>
    <w:rsid w:val="00E53194"/>
    <w:rsid w:val="00E533CB"/>
    <w:rsid w:val="00E53B45"/>
    <w:rsid w:val="00E53CE6"/>
    <w:rsid w:val="00E540F5"/>
    <w:rsid w:val="00E54526"/>
    <w:rsid w:val="00E5493F"/>
    <w:rsid w:val="00E54A61"/>
    <w:rsid w:val="00E553AA"/>
    <w:rsid w:val="00E5618F"/>
    <w:rsid w:val="00E5626F"/>
    <w:rsid w:val="00E56B81"/>
    <w:rsid w:val="00E56F1B"/>
    <w:rsid w:val="00E573A3"/>
    <w:rsid w:val="00E579AE"/>
    <w:rsid w:val="00E57BF5"/>
    <w:rsid w:val="00E57FAE"/>
    <w:rsid w:val="00E600FC"/>
    <w:rsid w:val="00E6023E"/>
    <w:rsid w:val="00E60AD1"/>
    <w:rsid w:val="00E614BC"/>
    <w:rsid w:val="00E618D9"/>
    <w:rsid w:val="00E61A65"/>
    <w:rsid w:val="00E61BE1"/>
    <w:rsid w:val="00E62148"/>
    <w:rsid w:val="00E62566"/>
    <w:rsid w:val="00E64247"/>
    <w:rsid w:val="00E6435D"/>
    <w:rsid w:val="00E651D8"/>
    <w:rsid w:val="00E65439"/>
    <w:rsid w:val="00E65A25"/>
    <w:rsid w:val="00E65B73"/>
    <w:rsid w:val="00E65FE0"/>
    <w:rsid w:val="00E66034"/>
    <w:rsid w:val="00E664B5"/>
    <w:rsid w:val="00E66641"/>
    <w:rsid w:val="00E668A9"/>
    <w:rsid w:val="00E67182"/>
    <w:rsid w:val="00E6746C"/>
    <w:rsid w:val="00E675EF"/>
    <w:rsid w:val="00E67E5E"/>
    <w:rsid w:val="00E67F72"/>
    <w:rsid w:val="00E70036"/>
    <w:rsid w:val="00E70BCB"/>
    <w:rsid w:val="00E70C5B"/>
    <w:rsid w:val="00E71141"/>
    <w:rsid w:val="00E71C01"/>
    <w:rsid w:val="00E71F02"/>
    <w:rsid w:val="00E721D5"/>
    <w:rsid w:val="00E72302"/>
    <w:rsid w:val="00E72BFF"/>
    <w:rsid w:val="00E72C41"/>
    <w:rsid w:val="00E73671"/>
    <w:rsid w:val="00E73709"/>
    <w:rsid w:val="00E73F68"/>
    <w:rsid w:val="00E742D2"/>
    <w:rsid w:val="00E743A8"/>
    <w:rsid w:val="00E74A73"/>
    <w:rsid w:val="00E74DB6"/>
    <w:rsid w:val="00E75A38"/>
    <w:rsid w:val="00E76F1C"/>
    <w:rsid w:val="00E77643"/>
    <w:rsid w:val="00E7782F"/>
    <w:rsid w:val="00E77AF1"/>
    <w:rsid w:val="00E80A56"/>
    <w:rsid w:val="00E811B3"/>
    <w:rsid w:val="00E81FE3"/>
    <w:rsid w:val="00E82611"/>
    <w:rsid w:val="00E826A5"/>
    <w:rsid w:val="00E827D4"/>
    <w:rsid w:val="00E82935"/>
    <w:rsid w:val="00E82D2E"/>
    <w:rsid w:val="00E82DF1"/>
    <w:rsid w:val="00E83508"/>
    <w:rsid w:val="00E83667"/>
    <w:rsid w:val="00E83B71"/>
    <w:rsid w:val="00E84385"/>
    <w:rsid w:val="00E84503"/>
    <w:rsid w:val="00E84974"/>
    <w:rsid w:val="00E84DD6"/>
    <w:rsid w:val="00E85623"/>
    <w:rsid w:val="00E85A6F"/>
    <w:rsid w:val="00E85DA8"/>
    <w:rsid w:val="00E85EF0"/>
    <w:rsid w:val="00E86208"/>
    <w:rsid w:val="00E87624"/>
    <w:rsid w:val="00E876E4"/>
    <w:rsid w:val="00E87760"/>
    <w:rsid w:val="00E90145"/>
    <w:rsid w:val="00E90303"/>
    <w:rsid w:val="00E908B3"/>
    <w:rsid w:val="00E90AFE"/>
    <w:rsid w:val="00E90DB8"/>
    <w:rsid w:val="00E914C9"/>
    <w:rsid w:val="00E91CB8"/>
    <w:rsid w:val="00E91E33"/>
    <w:rsid w:val="00E91F9B"/>
    <w:rsid w:val="00E929B0"/>
    <w:rsid w:val="00E929EF"/>
    <w:rsid w:val="00E934CA"/>
    <w:rsid w:val="00E93894"/>
    <w:rsid w:val="00E93D07"/>
    <w:rsid w:val="00E94CBC"/>
    <w:rsid w:val="00E94F29"/>
    <w:rsid w:val="00E952EA"/>
    <w:rsid w:val="00E95317"/>
    <w:rsid w:val="00E95B3C"/>
    <w:rsid w:val="00EA0C3E"/>
    <w:rsid w:val="00EA149F"/>
    <w:rsid w:val="00EA1E03"/>
    <w:rsid w:val="00EA1EC3"/>
    <w:rsid w:val="00EA2310"/>
    <w:rsid w:val="00EA2CD5"/>
    <w:rsid w:val="00EA35C5"/>
    <w:rsid w:val="00EA3B5F"/>
    <w:rsid w:val="00EA3FDE"/>
    <w:rsid w:val="00EA40A2"/>
    <w:rsid w:val="00EA4100"/>
    <w:rsid w:val="00EA4108"/>
    <w:rsid w:val="00EA455C"/>
    <w:rsid w:val="00EA47E3"/>
    <w:rsid w:val="00EA4949"/>
    <w:rsid w:val="00EA50C0"/>
    <w:rsid w:val="00EA5894"/>
    <w:rsid w:val="00EA678B"/>
    <w:rsid w:val="00EA69BD"/>
    <w:rsid w:val="00EA6A0B"/>
    <w:rsid w:val="00EA75C3"/>
    <w:rsid w:val="00EA7CD4"/>
    <w:rsid w:val="00EA7FC4"/>
    <w:rsid w:val="00EB11DF"/>
    <w:rsid w:val="00EB16AA"/>
    <w:rsid w:val="00EB20DB"/>
    <w:rsid w:val="00EB30A2"/>
    <w:rsid w:val="00EB3668"/>
    <w:rsid w:val="00EB36FC"/>
    <w:rsid w:val="00EB3AE4"/>
    <w:rsid w:val="00EB4035"/>
    <w:rsid w:val="00EB463B"/>
    <w:rsid w:val="00EB4BB3"/>
    <w:rsid w:val="00EB5189"/>
    <w:rsid w:val="00EB5542"/>
    <w:rsid w:val="00EB5792"/>
    <w:rsid w:val="00EB581E"/>
    <w:rsid w:val="00EB5C15"/>
    <w:rsid w:val="00EB6695"/>
    <w:rsid w:val="00EB67FE"/>
    <w:rsid w:val="00EB696F"/>
    <w:rsid w:val="00EB69F8"/>
    <w:rsid w:val="00EB6D76"/>
    <w:rsid w:val="00EB758B"/>
    <w:rsid w:val="00EB7892"/>
    <w:rsid w:val="00EC0239"/>
    <w:rsid w:val="00EC1450"/>
    <w:rsid w:val="00EC1585"/>
    <w:rsid w:val="00EC165F"/>
    <w:rsid w:val="00EC1A0A"/>
    <w:rsid w:val="00EC1AE4"/>
    <w:rsid w:val="00EC253E"/>
    <w:rsid w:val="00EC2B7D"/>
    <w:rsid w:val="00EC3850"/>
    <w:rsid w:val="00EC43ED"/>
    <w:rsid w:val="00EC4D9F"/>
    <w:rsid w:val="00EC4EAF"/>
    <w:rsid w:val="00EC5B81"/>
    <w:rsid w:val="00EC60B2"/>
    <w:rsid w:val="00EC6170"/>
    <w:rsid w:val="00EC7BE8"/>
    <w:rsid w:val="00EC7FEB"/>
    <w:rsid w:val="00ED008E"/>
    <w:rsid w:val="00ED01CE"/>
    <w:rsid w:val="00ED01D6"/>
    <w:rsid w:val="00ED11BC"/>
    <w:rsid w:val="00ED129F"/>
    <w:rsid w:val="00ED1C30"/>
    <w:rsid w:val="00ED24DE"/>
    <w:rsid w:val="00ED2D64"/>
    <w:rsid w:val="00ED32AF"/>
    <w:rsid w:val="00ED33FD"/>
    <w:rsid w:val="00ED346D"/>
    <w:rsid w:val="00ED34CC"/>
    <w:rsid w:val="00ED400D"/>
    <w:rsid w:val="00ED448D"/>
    <w:rsid w:val="00ED4BCF"/>
    <w:rsid w:val="00ED507B"/>
    <w:rsid w:val="00ED582D"/>
    <w:rsid w:val="00ED591D"/>
    <w:rsid w:val="00ED60F4"/>
    <w:rsid w:val="00ED63C8"/>
    <w:rsid w:val="00ED682B"/>
    <w:rsid w:val="00ED6ABE"/>
    <w:rsid w:val="00ED7288"/>
    <w:rsid w:val="00ED7323"/>
    <w:rsid w:val="00EE03BB"/>
    <w:rsid w:val="00EE0601"/>
    <w:rsid w:val="00EE1D68"/>
    <w:rsid w:val="00EE23CC"/>
    <w:rsid w:val="00EE35D8"/>
    <w:rsid w:val="00EE39AE"/>
    <w:rsid w:val="00EE3D36"/>
    <w:rsid w:val="00EE587F"/>
    <w:rsid w:val="00EE5B80"/>
    <w:rsid w:val="00EE5D13"/>
    <w:rsid w:val="00EE606C"/>
    <w:rsid w:val="00EE620C"/>
    <w:rsid w:val="00EE6333"/>
    <w:rsid w:val="00EE67F1"/>
    <w:rsid w:val="00EE71D7"/>
    <w:rsid w:val="00EE73E1"/>
    <w:rsid w:val="00EE7B4A"/>
    <w:rsid w:val="00EE7D2F"/>
    <w:rsid w:val="00EF0069"/>
    <w:rsid w:val="00EF0A3F"/>
    <w:rsid w:val="00EF136F"/>
    <w:rsid w:val="00EF14CD"/>
    <w:rsid w:val="00EF1B39"/>
    <w:rsid w:val="00EF2100"/>
    <w:rsid w:val="00EF2253"/>
    <w:rsid w:val="00EF2967"/>
    <w:rsid w:val="00EF369B"/>
    <w:rsid w:val="00EF3882"/>
    <w:rsid w:val="00EF3B38"/>
    <w:rsid w:val="00EF3E17"/>
    <w:rsid w:val="00EF3F27"/>
    <w:rsid w:val="00EF4229"/>
    <w:rsid w:val="00EF43F3"/>
    <w:rsid w:val="00EF4E15"/>
    <w:rsid w:val="00EF579D"/>
    <w:rsid w:val="00EF5D75"/>
    <w:rsid w:val="00EF69C2"/>
    <w:rsid w:val="00EF6B38"/>
    <w:rsid w:val="00EF6BF2"/>
    <w:rsid w:val="00EF7168"/>
    <w:rsid w:val="00EF7AAE"/>
    <w:rsid w:val="00F002C4"/>
    <w:rsid w:val="00F006FF"/>
    <w:rsid w:val="00F01133"/>
    <w:rsid w:val="00F012AC"/>
    <w:rsid w:val="00F01C5C"/>
    <w:rsid w:val="00F02377"/>
    <w:rsid w:val="00F0247F"/>
    <w:rsid w:val="00F0275C"/>
    <w:rsid w:val="00F02AD9"/>
    <w:rsid w:val="00F0312A"/>
    <w:rsid w:val="00F04239"/>
    <w:rsid w:val="00F047C2"/>
    <w:rsid w:val="00F048F0"/>
    <w:rsid w:val="00F0498E"/>
    <w:rsid w:val="00F0557B"/>
    <w:rsid w:val="00F05615"/>
    <w:rsid w:val="00F07579"/>
    <w:rsid w:val="00F07691"/>
    <w:rsid w:val="00F07D11"/>
    <w:rsid w:val="00F11684"/>
    <w:rsid w:val="00F117A0"/>
    <w:rsid w:val="00F11965"/>
    <w:rsid w:val="00F133C1"/>
    <w:rsid w:val="00F13890"/>
    <w:rsid w:val="00F13C7A"/>
    <w:rsid w:val="00F13FDC"/>
    <w:rsid w:val="00F14421"/>
    <w:rsid w:val="00F146A8"/>
    <w:rsid w:val="00F1477B"/>
    <w:rsid w:val="00F148E5"/>
    <w:rsid w:val="00F14C1B"/>
    <w:rsid w:val="00F1514E"/>
    <w:rsid w:val="00F1528C"/>
    <w:rsid w:val="00F1528F"/>
    <w:rsid w:val="00F152E1"/>
    <w:rsid w:val="00F156EA"/>
    <w:rsid w:val="00F15BE7"/>
    <w:rsid w:val="00F164D9"/>
    <w:rsid w:val="00F16740"/>
    <w:rsid w:val="00F16F91"/>
    <w:rsid w:val="00F170FD"/>
    <w:rsid w:val="00F17273"/>
    <w:rsid w:val="00F17B63"/>
    <w:rsid w:val="00F20818"/>
    <w:rsid w:val="00F2198A"/>
    <w:rsid w:val="00F21FA1"/>
    <w:rsid w:val="00F22355"/>
    <w:rsid w:val="00F2284E"/>
    <w:rsid w:val="00F23E50"/>
    <w:rsid w:val="00F23F9D"/>
    <w:rsid w:val="00F2510E"/>
    <w:rsid w:val="00F2539A"/>
    <w:rsid w:val="00F258A7"/>
    <w:rsid w:val="00F27E30"/>
    <w:rsid w:val="00F27FD6"/>
    <w:rsid w:val="00F31679"/>
    <w:rsid w:val="00F3222C"/>
    <w:rsid w:val="00F322F7"/>
    <w:rsid w:val="00F3251E"/>
    <w:rsid w:val="00F3253E"/>
    <w:rsid w:val="00F32E4A"/>
    <w:rsid w:val="00F342A4"/>
    <w:rsid w:val="00F347E8"/>
    <w:rsid w:val="00F35024"/>
    <w:rsid w:val="00F35EEB"/>
    <w:rsid w:val="00F3633C"/>
    <w:rsid w:val="00F36A81"/>
    <w:rsid w:val="00F36AFD"/>
    <w:rsid w:val="00F37028"/>
    <w:rsid w:val="00F3749E"/>
    <w:rsid w:val="00F37953"/>
    <w:rsid w:val="00F37D67"/>
    <w:rsid w:val="00F40604"/>
    <w:rsid w:val="00F4096D"/>
    <w:rsid w:val="00F414FD"/>
    <w:rsid w:val="00F41B4D"/>
    <w:rsid w:val="00F421A5"/>
    <w:rsid w:val="00F426CA"/>
    <w:rsid w:val="00F42CAE"/>
    <w:rsid w:val="00F42F15"/>
    <w:rsid w:val="00F42F53"/>
    <w:rsid w:val="00F43E79"/>
    <w:rsid w:val="00F445EE"/>
    <w:rsid w:val="00F446B4"/>
    <w:rsid w:val="00F45949"/>
    <w:rsid w:val="00F45CAB"/>
    <w:rsid w:val="00F46855"/>
    <w:rsid w:val="00F46F07"/>
    <w:rsid w:val="00F50525"/>
    <w:rsid w:val="00F5069E"/>
    <w:rsid w:val="00F50CB5"/>
    <w:rsid w:val="00F51166"/>
    <w:rsid w:val="00F51441"/>
    <w:rsid w:val="00F516BC"/>
    <w:rsid w:val="00F51C4B"/>
    <w:rsid w:val="00F527AB"/>
    <w:rsid w:val="00F540EA"/>
    <w:rsid w:val="00F5451D"/>
    <w:rsid w:val="00F548EC"/>
    <w:rsid w:val="00F5567C"/>
    <w:rsid w:val="00F5570A"/>
    <w:rsid w:val="00F5662A"/>
    <w:rsid w:val="00F56CB4"/>
    <w:rsid w:val="00F574B8"/>
    <w:rsid w:val="00F57BC6"/>
    <w:rsid w:val="00F6046A"/>
    <w:rsid w:val="00F6047B"/>
    <w:rsid w:val="00F60532"/>
    <w:rsid w:val="00F60A8C"/>
    <w:rsid w:val="00F61761"/>
    <w:rsid w:val="00F618F0"/>
    <w:rsid w:val="00F61A01"/>
    <w:rsid w:val="00F61B73"/>
    <w:rsid w:val="00F61D7E"/>
    <w:rsid w:val="00F62565"/>
    <w:rsid w:val="00F6286D"/>
    <w:rsid w:val="00F628A7"/>
    <w:rsid w:val="00F62A0D"/>
    <w:rsid w:val="00F63299"/>
    <w:rsid w:val="00F63A06"/>
    <w:rsid w:val="00F63B39"/>
    <w:rsid w:val="00F63D8B"/>
    <w:rsid w:val="00F63FE9"/>
    <w:rsid w:val="00F6447E"/>
    <w:rsid w:val="00F6524E"/>
    <w:rsid w:val="00F6576C"/>
    <w:rsid w:val="00F65BA6"/>
    <w:rsid w:val="00F65FE7"/>
    <w:rsid w:val="00F66036"/>
    <w:rsid w:val="00F66C48"/>
    <w:rsid w:val="00F6761B"/>
    <w:rsid w:val="00F67DC2"/>
    <w:rsid w:val="00F703F7"/>
    <w:rsid w:val="00F70484"/>
    <w:rsid w:val="00F704C0"/>
    <w:rsid w:val="00F70715"/>
    <w:rsid w:val="00F70959"/>
    <w:rsid w:val="00F7160F"/>
    <w:rsid w:val="00F71ABC"/>
    <w:rsid w:val="00F7246A"/>
    <w:rsid w:val="00F72CB2"/>
    <w:rsid w:val="00F72F4D"/>
    <w:rsid w:val="00F73A4A"/>
    <w:rsid w:val="00F74388"/>
    <w:rsid w:val="00F75C24"/>
    <w:rsid w:val="00F76446"/>
    <w:rsid w:val="00F76975"/>
    <w:rsid w:val="00F76BEA"/>
    <w:rsid w:val="00F76FEF"/>
    <w:rsid w:val="00F77D77"/>
    <w:rsid w:val="00F800C6"/>
    <w:rsid w:val="00F8078B"/>
    <w:rsid w:val="00F8372A"/>
    <w:rsid w:val="00F8398B"/>
    <w:rsid w:val="00F83A0F"/>
    <w:rsid w:val="00F83DE8"/>
    <w:rsid w:val="00F842A9"/>
    <w:rsid w:val="00F84947"/>
    <w:rsid w:val="00F84996"/>
    <w:rsid w:val="00F84F12"/>
    <w:rsid w:val="00F850A7"/>
    <w:rsid w:val="00F86277"/>
    <w:rsid w:val="00F86E7A"/>
    <w:rsid w:val="00F8751A"/>
    <w:rsid w:val="00F90C34"/>
    <w:rsid w:val="00F91032"/>
    <w:rsid w:val="00F915DC"/>
    <w:rsid w:val="00F919DE"/>
    <w:rsid w:val="00F91D4A"/>
    <w:rsid w:val="00F92983"/>
    <w:rsid w:val="00F92AAC"/>
    <w:rsid w:val="00F93CCE"/>
    <w:rsid w:val="00F94B5E"/>
    <w:rsid w:val="00F95076"/>
    <w:rsid w:val="00F958BA"/>
    <w:rsid w:val="00F9688A"/>
    <w:rsid w:val="00F96950"/>
    <w:rsid w:val="00F96EAA"/>
    <w:rsid w:val="00F97BDD"/>
    <w:rsid w:val="00FA02E3"/>
    <w:rsid w:val="00FA0A8B"/>
    <w:rsid w:val="00FA0DF0"/>
    <w:rsid w:val="00FA1896"/>
    <w:rsid w:val="00FA1A10"/>
    <w:rsid w:val="00FA1A7D"/>
    <w:rsid w:val="00FA1D53"/>
    <w:rsid w:val="00FA2694"/>
    <w:rsid w:val="00FA27EC"/>
    <w:rsid w:val="00FA29A0"/>
    <w:rsid w:val="00FA2BF9"/>
    <w:rsid w:val="00FA2C69"/>
    <w:rsid w:val="00FA396F"/>
    <w:rsid w:val="00FA454E"/>
    <w:rsid w:val="00FA57A4"/>
    <w:rsid w:val="00FA6AA0"/>
    <w:rsid w:val="00FA7174"/>
    <w:rsid w:val="00FA7188"/>
    <w:rsid w:val="00FA736C"/>
    <w:rsid w:val="00FA7F67"/>
    <w:rsid w:val="00FB0085"/>
    <w:rsid w:val="00FB0B03"/>
    <w:rsid w:val="00FB0D5E"/>
    <w:rsid w:val="00FB121C"/>
    <w:rsid w:val="00FB1498"/>
    <w:rsid w:val="00FB16A1"/>
    <w:rsid w:val="00FB1C32"/>
    <w:rsid w:val="00FB3796"/>
    <w:rsid w:val="00FB3E56"/>
    <w:rsid w:val="00FB3EBA"/>
    <w:rsid w:val="00FB4030"/>
    <w:rsid w:val="00FB41F4"/>
    <w:rsid w:val="00FB4414"/>
    <w:rsid w:val="00FB4605"/>
    <w:rsid w:val="00FB4E2A"/>
    <w:rsid w:val="00FB4E6C"/>
    <w:rsid w:val="00FB6B29"/>
    <w:rsid w:val="00FB7024"/>
    <w:rsid w:val="00FB77D8"/>
    <w:rsid w:val="00FB78BC"/>
    <w:rsid w:val="00FB794F"/>
    <w:rsid w:val="00FB7AAE"/>
    <w:rsid w:val="00FC11AD"/>
    <w:rsid w:val="00FC1AE4"/>
    <w:rsid w:val="00FC1B51"/>
    <w:rsid w:val="00FC1B95"/>
    <w:rsid w:val="00FC299A"/>
    <w:rsid w:val="00FC3DBA"/>
    <w:rsid w:val="00FC46F2"/>
    <w:rsid w:val="00FC48C1"/>
    <w:rsid w:val="00FC494E"/>
    <w:rsid w:val="00FC4B72"/>
    <w:rsid w:val="00FC4BCB"/>
    <w:rsid w:val="00FC5036"/>
    <w:rsid w:val="00FC51EC"/>
    <w:rsid w:val="00FC5347"/>
    <w:rsid w:val="00FC5938"/>
    <w:rsid w:val="00FC59E1"/>
    <w:rsid w:val="00FC5EE7"/>
    <w:rsid w:val="00FC6130"/>
    <w:rsid w:val="00FC6403"/>
    <w:rsid w:val="00FC679D"/>
    <w:rsid w:val="00FC74D7"/>
    <w:rsid w:val="00FD028A"/>
    <w:rsid w:val="00FD02E3"/>
    <w:rsid w:val="00FD0574"/>
    <w:rsid w:val="00FD0873"/>
    <w:rsid w:val="00FD0A2B"/>
    <w:rsid w:val="00FD0F72"/>
    <w:rsid w:val="00FD1563"/>
    <w:rsid w:val="00FD2083"/>
    <w:rsid w:val="00FD2177"/>
    <w:rsid w:val="00FD249C"/>
    <w:rsid w:val="00FD4AF3"/>
    <w:rsid w:val="00FD4BAD"/>
    <w:rsid w:val="00FD4E18"/>
    <w:rsid w:val="00FD5BAF"/>
    <w:rsid w:val="00FD5C65"/>
    <w:rsid w:val="00FD6BD0"/>
    <w:rsid w:val="00FD7074"/>
    <w:rsid w:val="00FD7219"/>
    <w:rsid w:val="00FD765E"/>
    <w:rsid w:val="00FE0F3D"/>
    <w:rsid w:val="00FE102D"/>
    <w:rsid w:val="00FE1378"/>
    <w:rsid w:val="00FE1499"/>
    <w:rsid w:val="00FE14D6"/>
    <w:rsid w:val="00FE177E"/>
    <w:rsid w:val="00FE1BEF"/>
    <w:rsid w:val="00FE1DE4"/>
    <w:rsid w:val="00FE20AC"/>
    <w:rsid w:val="00FE26F9"/>
    <w:rsid w:val="00FE2C56"/>
    <w:rsid w:val="00FE325E"/>
    <w:rsid w:val="00FE45AC"/>
    <w:rsid w:val="00FE4B15"/>
    <w:rsid w:val="00FE4C4F"/>
    <w:rsid w:val="00FE4CD4"/>
    <w:rsid w:val="00FE519F"/>
    <w:rsid w:val="00FE64B3"/>
    <w:rsid w:val="00FE7120"/>
    <w:rsid w:val="00FF0A6B"/>
    <w:rsid w:val="00FF0B25"/>
    <w:rsid w:val="00FF0CA0"/>
    <w:rsid w:val="00FF0D1C"/>
    <w:rsid w:val="00FF0F86"/>
    <w:rsid w:val="00FF14A5"/>
    <w:rsid w:val="00FF1A6A"/>
    <w:rsid w:val="00FF1E83"/>
    <w:rsid w:val="00FF2086"/>
    <w:rsid w:val="00FF2647"/>
    <w:rsid w:val="00FF2B96"/>
    <w:rsid w:val="00FF3946"/>
    <w:rsid w:val="00FF427C"/>
    <w:rsid w:val="00FF4AA0"/>
    <w:rsid w:val="00FF4D23"/>
    <w:rsid w:val="00FF5B4F"/>
    <w:rsid w:val="00FF5E49"/>
    <w:rsid w:val="00FF62F3"/>
    <w:rsid w:val="00FF6AFC"/>
    <w:rsid w:val="00FF6BF2"/>
    <w:rsid w:val="00FF6C48"/>
    <w:rsid w:val="00FF7076"/>
    <w:rsid w:val="00FF764D"/>
    <w:rsid w:val="00FF7BF3"/>
    <w:rsid w:val="013019FE"/>
    <w:rsid w:val="01787946"/>
    <w:rsid w:val="0179546C"/>
    <w:rsid w:val="01BB3CD7"/>
    <w:rsid w:val="01EC5C3E"/>
    <w:rsid w:val="021F4265"/>
    <w:rsid w:val="022F4B5D"/>
    <w:rsid w:val="02581525"/>
    <w:rsid w:val="032E211A"/>
    <w:rsid w:val="03860C23"/>
    <w:rsid w:val="03863E70"/>
    <w:rsid w:val="03EF2612"/>
    <w:rsid w:val="041D2A27"/>
    <w:rsid w:val="045555AE"/>
    <w:rsid w:val="04B74C29"/>
    <w:rsid w:val="04ED2FF5"/>
    <w:rsid w:val="050C164F"/>
    <w:rsid w:val="051E3BC1"/>
    <w:rsid w:val="05257DE5"/>
    <w:rsid w:val="052F448C"/>
    <w:rsid w:val="05502988"/>
    <w:rsid w:val="059211F2"/>
    <w:rsid w:val="05A36F5B"/>
    <w:rsid w:val="05CF1AFF"/>
    <w:rsid w:val="06021ED4"/>
    <w:rsid w:val="060D2627"/>
    <w:rsid w:val="066761DB"/>
    <w:rsid w:val="067032E2"/>
    <w:rsid w:val="06BD5DFB"/>
    <w:rsid w:val="06C659AD"/>
    <w:rsid w:val="06C76C7A"/>
    <w:rsid w:val="06E25862"/>
    <w:rsid w:val="070C28DE"/>
    <w:rsid w:val="07284F83"/>
    <w:rsid w:val="072E19D4"/>
    <w:rsid w:val="073836D3"/>
    <w:rsid w:val="0759347C"/>
    <w:rsid w:val="079A613C"/>
    <w:rsid w:val="08202AE5"/>
    <w:rsid w:val="08D5688C"/>
    <w:rsid w:val="08E438FF"/>
    <w:rsid w:val="09175C96"/>
    <w:rsid w:val="09267C87"/>
    <w:rsid w:val="0962617A"/>
    <w:rsid w:val="09B82FC7"/>
    <w:rsid w:val="0A064A00"/>
    <w:rsid w:val="0A5470C9"/>
    <w:rsid w:val="0AAB2F0E"/>
    <w:rsid w:val="0B0A069C"/>
    <w:rsid w:val="0B255821"/>
    <w:rsid w:val="0BCA5242"/>
    <w:rsid w:val="0C7C0C2E"/>
    <w:rsid w:val="0CD345CA"/>
    <w:rsid w:val="0CFF53BF"/>
    <w:rsid w:val="0D0251B4"/>
    <w:rsid w:val="0D0A0D5E"/>
    <w:rsid w:val="0D314E4D"/>
    <w:rsid w:val="0D5154EF"/>
    <w:rsid w:val="0D662D48"/>
    <w:rsid w:val="0D903C4C"/>
    <w:rsid w:val="0DFA16E3"/>
    <w:rsid w:val="0E440BB0"/>
    <w:rsid w:val="0E666D78"/>
    <w:rsid w:val="0E680D42"/>
    <w:rsid w:val="0EA77ABC"/>
    <w:rsid w:val="0F0D4EAF"/>
    <w:rsid w:val="0F44530B"/>
    <w:rsid w:val="0F825E34"/>
    <w:rsid w:val="0FF747FD"/>
    <w:rsid w:val="100131FC"/>
    <w:rsid w:val="101B7514"/>
    <w:rsid w:val="102B0279"/>
    <w:rsid w:val="107240FA"/>
    <w:rsid w:val="111F2485"/>
    <w:rsid w:val="11292A0B"/>
    <w:rsid w:val="11325998"/>
    <w:rsid w:val="118714DF"/>
    <w:rsid w:val="119C142F"/>
    <w:rsid w:val="11AC0F46"/>
    <w:rsid w:val="11E06E41"/>
    <w:rsid w:val="11E309D8"/>
    <w:rsid w:val="11E72304"/>
    <w:rsid w:val="12007B07"/>
    <w:rsid w:val="12415B32"/>
    <w:rsid w:val="12445622"/>
    <w:rsid w:val="125036DD"/>
    <w:rsid w:val="12B207DE"/>
    <w:rsid w:val="13182D33"/>
    <w:rsid w:val="13274D28"/>
    <w:rsid w:val="1399374C"/>
    <w:rsid w:val="14172FEE"/>
    <w:rsid w:val="14183EAC"/>
    <w:rsid w:val="142474B9"/>
    <w:rsid w:val="142E3FB2"/>
    <w:rsid w:val="14496F20"/>
    <w:rsid w:val="14535FF1"/>
    <w:rsid w:val="14EC6EEE"/>
    <w:rsid w:val="1546345F"/>
    <w:rsid w:val="15C471A6"/>
    <w:rsid w:val="15DD5B72"/>
    <w:rsid w:val="164200CB"/>
    <w:rsid w:val="166B2BA7"/>
    <w:rsid w:val="16B70710"/>
    <w:rsid w:val="16C90EF1"/>
    <w:rsid w:val="16DE1446"/>
    <w:rsid w:val="16F032F8"/>
    <w:rsid w:val="17013AE2"/>
    <w:rsid w:val="170B4961"/>
    <w:rsid w:val="17393711"/>
    <w:rsid w:val="174D31CB"/>
    <w:rsid w:val="17543BBA"/>
    <w:rsid w:val="17614581"/>
    <w:rsid w:val="176837F9"/>
    <w:rsid w:val="176D7083"/>
    <w:rsid w:val="17935082"/>
    <w:rsid w:val="17B172B6"/>
    <w:rsid w:val="17FD699F"/>
    <w:rsid w:val="181B6E25"/>
    <w:rsid w:val="181E2472"/>
    <w:rsid w:val="18365A0D"/>
    <w:rsid w:val="18493992"/>
    <w:rsid w:val="18A230A3"/>
    <w:rsid w:val="18C13529"/>
    <w:rsid w:val="193A32DB"/>
    <w:rsid w:val="196F7429"/>
    <w:rsid w:val="19EF7910"/>
    <w:rsid w:val="1A79037D"/>
    <w:rsid w:val="1B222AAA"/>
    <w:rsid w:val="1B365757"/>
    <w:rsid w:val="1B6805D3"/>
    <w:rsid w:val="1B735A3E"/>
    <w:rsid w:val="1BF37BE9"/>
    <w:rsid w:val="1C4B0278"/>
    <w:rsid w:val="1C995F32"/>
    <w:rsid w:val="1CC03ABA"/>
    <w:rsid w:val="1CF109CE"/>
    <w:rsid w:val="1D1E3640"/>
    <w:rsid w:val="1D73277F"/>
    <w:rsid w:val="1DA13929"/>
    <w:rsid w:val="1DC168DF"/>
    <w:rsid w:val="1DE40335"/>
    <w:rsid w:val="1E4946EC"/>
    <w:rsid w:val="1E641526"/>
    <w:rsid w:val="1E917E41"/>
    <w:rsid w:val="1EBC3110"/>
    <w:rsid w:val="1ECC0E79"/>
    <w:rsid w:val="1F413615"/>
    <w:rsid w:val="1F896D6A"/>
    <w:rsid w:val="1FA45952"/>
    <w:rsid w:val="1FCB2EDF"/>
    <w:rsid w:val="1FD2426D"/>
    <w:rsid w:val="1FD33A11"/>
    <w:rsid w:val="20586E69"/>
    <w:rsid w:val="20735A50"/>
    <w:rsid w:val="208A2D9A"/>
    <w:rsid w:val="20F57DCB"/>
    <w:rsid w:val="210C1A01"/>
    <w:rsid w:val="212136FE"/>
    <w:rsid w:val="213E4898"/>
    <w:rsid w:val="21494A03"/>
    <w:rsid w:val="21636CBF"/>
    <w:rsid w:val="21C351EA"/>
    <w:rsid w:val="221633D1"/>
    <w:rsid w:val="22407BB4"/>
    <w:rsid w:val="22551E62"/>
    <w:rsid w:val="22592A24"/>
    <w:rsid w:val="225E628C"/>
    <w:rsid w:val="22765E01"/>
    <w:rsid w:val="22CC2B38"/>
    <w:rsid w:val="22D82B00"/>
    <w:rsid w:val="22ED6D05"/>
    <w:rsid w:val="22FB5A67"/>
    <w:rsid w:val="232E3EB1"/>
    <w:rsid w:val="233F60BE"/>
    <w:rsid w:val="23F53B0C"/>
    <w:rsid w:val="2406098A"/>
    <w:rsid w:val="24101808"/>
    <w:rsid w:val="243522E2"/>
    <w:rsid w:val="246D6C5B"/>
    <w:rsid w:val="24946405"/>
    <w:rsid w:val="25223279"/>
    <w:rsid w:val="257E230E"/>
    <w:rsid w:val="259C15A5"/>
    <w:rsid w:val="25F74A2E"/>
    <w:rsid w:val="26103D41"/>
    <w:rsid w:val="266D2F42"/>
    <w:rsid w:val="268A58A2"/>
    <w:rsid w:val="26F96584"/>
    <w:rsid w:val="270218DC"/>
    <w:rsid w:val="270C62B7"/>
    <w:rsid w:val="272E7869"/>
    <w:rsid w:val="275B2D9A"/>
    <w:rsid w:val="27A06B10"/>
    <w:rsid w:val="28120F00"/>
    <w:rsid w:val="2857083D"/>
    <w:rsid w:val="28976054"/>
    <w:rsid w:val="2903193C"/>
    <w:rsid w:val="298F4F7D"/>
    <w:rsid w:val="2996630C"/>
    <w:rsid w:val="29B03871"/>
    <w:rsid w:val="29BF3AB4"/>
    <w:rsid w:val="29D87103"/>
    <w:rsid w:val="29FB1396"/>
    <w:rsid w:val="2A13795C"/>
    <w:rsid w:val="2A5561C7"/>
    <w:rsid w:val="2A8D770F"/>
    <w:rsid w:val="2A9A1E2C"/>
    <w:rsid w:val="2AB3763B"/>
    <w:rsid w:val="2B0F1CB0"/>
    <w:rsid w:val="2B285689"/>
    <w:rsid w:val="2B5B2431"/>
    <w:rsid w:val="2BB94533"/>
    <w:rsid w:val="2C1300E8"/>
    <w:rsid w:val="2C3B319A"/>
    <w:rsid w:val="2C912C1D"/>
    <w:rsid w:val="2CA60F5C"/>
    <w:rsid w:val="2D0E71F7"/>
    <w:rsid w:val="2D2A393B"/>
    <w:rsid w:val="2D3239D3"/>
    <w:rsid w:val="2DC518B5"/>
    <w:rsid w:val="2DD815E9"/>
    <w:rsid w:val="2DF73ABB"/>
    <w:rsid w:val="2E494294"/>
    <w:rsid w:val="2E4A4A00"/>
    <w:rsid w:val="2E76670C"/>
    <w:rsid w:val="2E7D5932"/>
    <w:rsid w:val="2E8E0AB2"/>
    <w:rsid w:val="2EBA484A"/>
    <w:rsid w:val="2ED55B28"/>
    <w:rsid w:val="2ED95618"/>
    <w:rsid w:val="2EDF26F1"/>
    <w:rsid w:val="2EFC160A"/>
    <w:rsid w:val="2F0E473E"/>
    <w:rsid w:val="2F2B1BEC"/>
    <w:rsid w:val="2F7644ED"/>
    <w:rsid w:val="2F7B081A"/>
    <w:rsid w:val="2F7B222C"/>
    <w:rsid w:val="2F7D5AF9"/>
    <w:rsid w:val="2FF67B04"/>
    <w:rsid w:val="302E54F0"/>
    <w:rsid w:val="30511E6A"/>
    <w:rsid w:val="30C419B0"/>
    <w:rsid w:val="30D37E45"/>
    <w:rsid w:val="3115220C"/>
    <w:rsid w:val="311566B0"/>
    <w:rsid w:val="311E5289"/>
    <w:rsid w:val="314D409C"/>
    <w:rsid w:val="3163566D"/>
    <w:rsid w:val="316B7477"/>
    <w:rsid w:val="317433D6"/>
    <w:rsid w:val="319D5437"/>
    <w:rsid w:val="31A16195"/>
    <w:rsid w:val="32003469"/>
    <w:rsid w:val="322F37A1"/>
    <w:rsid w:val="326A75BE"/>
    <w:rsid w:val="32D103B5"/>
    <w:rsid w:val="330469DC"/>
    <w:rsid w:val="33315B57"/>
    <w:rsid w:val="33572FB0"/>
    <w:rsid w:val="335E60EC"/>
    <w:rsid w:val="33890C8F"/>
    <w:rsid w:val="33F97BC3"/>
    <w:rsid w:val="34A22D8F"/>
    <w:rsid w:val="351E7AED"/>
    <w:rsid w:val="3555351F"/>
    <w:rsid w:val="35777939"/>
    <w:rsid w:val="35E30B2B"/>
    <w:rsid w:val="35E86141"/>
    <w:rsid w:val="360C62D3"/>
    <w:rsid w:val="36536868"/>
    <w:rsid w:val="369760E9"/>
    <w:rsid w:val="377A101B"/>
    <w:rsid w:val="37DF6FED"/>
    <w:rsid w:val="384E7E60"/>
    <w:rsid w:val="386D0B7F"/>
    <w:rsid w:val="38AF73EA"/>
    <w:rsid w:val="38C22C79"/>
    <w:rsid w:val="391B05DB"/>
    <w:rsid w:val="393022D9"/>
    <w:rsid w:val="397523E2"/>
    <w:rsid w:val="3A030A65"/>
    <w:rsid w:val="3A157721"/>
    <w:rsid w:val="3AB72586"/>
    <w:rsid w:val="3ACD2686"/>
    <w:rsid w:val="3AE422AB"/>
    <w:rsid w:val="3AEC222F"/>
    <w:rsid w:val="3AF67A8F"/>
    <w:rsid w:val="3AFB06C4"/>
    <w:rsid w:val="3AFE01B5"/>
    <w:rsid w:val="3B47390A"/>
    <w:rsid w:val="3B476FEE"/>
    <w:rsid w:val="3C040F23"/>
    <w:rsid w:val="3C065573"/>
    <w:rsid w:val="3C265C15"/>
    <w:rsid w:val="3C3E2F5F"/>
    <w:rsid w:val="3C4A1903"/>
    <w:rsid w:val="3CDC62D4"/>
    <w:rsid w:val="3CF8135F"/>
    <w:rsid w:val="3D762284"/>
    <w:rsid w:val="3DAE1A1E"/>
    <w:rsid w:val="3DB37034"/>
    <w:rsid w:val="3DE96EFA"/>
    <w:rsid w:val="3DF862C0"/>
    <w:rsid w:val="3E2B12C1"/>
    <w:rsid w:val="3E375EB7"/>
    <w:rsid w:val="3EB5502E"/>
    <w:rsid w:val="3EB70DA6"/>
    <w:rsid w:val="3ED01E68"/>
    <w:rsid w:val="3F012022"/>
    <w:rsid w:val="3F542A99"/>
    <w:rsid w:val="3FA70E1B"/>
    <w:rsid w:val="3FF04570"/>
    <w:rsid w:val="3FF638FD"/>
    <w:rsid w:val="4012098A"/>
    <w:rsid w:val="406B3BF6"/>
    <w:rsid w:val="40A9471F"/>
    <w:rsid w:val="40D07EFD"/>
    <w:rsid w:val="41436921"/>
    <w:rsid w:val="41686388"/>
    <w:rsid w:val="416C29FE"/>
    <w:rsid w:val="41766CF7"/>
    <w:rsid w:val="41D028AB"/>
    <w:rsid w:val="41D34149"/>
    <w:rsid w:val="420C1409"/>
    <w:rsid w:val="427868F5"/>
    <w:rsid w:val="42982B61"/>
    <w:rsid w:val="42D80AF1"/>
    <w:rsid w:val="43407237"/>
    <w:rsid w:val="435766B4"/>
    <w:rsid w:val="43911BC6"/>
    <w:rsid w:val="43C27FD1"/>
    <w:rsid w:val="4458062F"/>
    <w:rsid w:val="446C5F79"/>
    <w:rsid w:val="4489222E"/>
    <w:rsid w:val="44F468B0"/>
    <w:rsid w:val="450E5498"/>
    <w:rsid w:val="453A3784"/>
    <w:rsid w:val="456926CF"/>
    <w:rsid w:val="45717F01"/>
    <w:rsid w:val="45916D18"/>
    <w:rsid w:val="45970D10"/>
    <w:rsid w:val="45AB2CE7"/>
    <w:rsid w:val="464949DA"/>
    <w:rsid w:val="46737CA9"/>
    <w:rsid w:val="4698770F"/>
    <w:rsid w:val="46A71700"/>
    <w:rsid w:val="47680E90"/>
    <w:rsid w:val="476D46F8"/>
    <w:rsid w:val="477C748E"/>
    <w:rsid w:val="483153FC"/>
    <w:rsid w:val="48A4239B"/>
    <w:rsid w:val="49105C83"/>
    <w:rsid w:val="491D5CAA"/>
    <w:rsid w:val="49715AC0"/>
    <w:rsid w:val="49D413B1"/>
    <w:rsid w:val="4A037596"/>
    <w:rsid w:val="4A0A4883"/>
    <w:rsid w:val="4A712751"/>
    <w:rsid w:val="4A911074"/>
    <w:rsid w:val="4BEB79AC"/>
    <w:rsid w:val="4C075499"/>
    <w:rsid w:val="4C595DC7"/>
    <w:rsid w:val="4C8B224F"/>
    <w:rsid w:val="4CC03C24"/>
    <w:rsid w:val="4CD86AB8"/>
    <w:rsid w:val="4D681CBB"/>
    <w:rsid w:val="4D737781"/>
    <w:rsid w:val="4DDE00FE"/>
    <w:rsid w:val="4DF66862"/>
    <w:rsid w:val="4E6B74B7"/>
    <w:rsid w:val="4F304C8A"/>
    <w:rsid w:val="4F436800"/>
    <w:rsid w:val="4F7B31EE"/>
    <w:rsid w:val="4F9111A0"/>
    <w:rsid w:val="4FB819BC"/>
    <w:rsid w:val="4FED287A"/>
    <w:rsid w:val="5018037F"/>
    <w:rsid w:val="503009B9"/>
    <w:rsid w:val="503B1837"/>
    <w:rsid w:val="50476914"/>
    <w:rsid w:val="50506965"/>
    <w:rsid w:val="50720FD1"/>
    <w:rsid w:val="50827466"/>
    <w:rsid w:val="50901457"/>
    <w:rsid w:val="50970A38"/>
    <w:rsid w:val="509C0D4E"/>
    <w:rsid w:val="50AA2519"/>
    <w:rsid w:val="50D62FEC"/>
    <w:rsid w:val="50EF43D0"/>
    <w:rsid w:val="510F6820"/>
    <w:rsid w:val="51134562"/>
    <w:rsid w:val="512F2A1E"/>
    <w:rsid w:val="513424C7"/>
    <w:rsid w:val="51385D77"/>
    <w:rsid w:val="51694182"/>
    <w:rsid w:val="516B614C"/>
    <w:rsid w:val="517F6DC2"/>
    <w:rsid w:val="518965D2"/>
    <w:rsid w:val="51B41252"/>
    <w:rsid w:val="51FB4DB5"/>
    <w:rsid w:val="526553D4"/>
    <w:rsid w:val="528F03EC"/>
    <w:rsid w:val="52AF02BB"/>
    <w:rsid w:val="52C8137C"/>
    <w:rsid w:val="53A96AB8"/>
    <w:rsid w:val="542425E2"/>
    <w:rsid w:val="543E18F6"/>
    <w:rsid w:val="545038CD"/>
    <w:rsid w:val="546B6463"/>
    <w:rsid w:val="549902D9"/>
    <w:rsid w:val="549A4653"/>
    <w:rsid w:val="54B25E40"/>
    <w:rsid w:val="54BA2DB9"/>
    <w:rsid w:val="54EE1F62"/>
    <w:rsid w:val="5507618C"/>
    <w:rsid w:val="550870A1"/>
    <w:rsid w:val="55221EF1"/>
    <w:rsid w:val="5536081F"/>
    <w:rsid w:val="554A42CB"/>
    <w:rsid w:val="556357A4"/>
    <w:rsid w:val="55774994"/>
    <w:rsid w:val="55FF4B9F"/>
    <w:rsid w:val="565C2507"/>
    <w:rsid w:val="56660C90"/>
    <w:rsid w:val="5697353F"/>
    <w:rsid w:val="56CD6F61"/>
    <w:rsid w:val="57B8376D"/>
    <w:rsid w:val="57C40364"/>
    <w:rsid w:val="582B0EE3"/>
    <w:rsid w:val="584A6390"/>
    <w:rsid w:val="58A14202"/>
    <w:rsid w:val="58F86605"/>
    <w:rsid w:val="58FF201C"/>
    <w:rsid w:val="592D1F39"/>
    <w:rsid w:val="59545699"/>
    <w:rsid w:val="596671F9"/>
    <w:rsid w:val="59AA358A"/>
    <w:rsid w:val="59D16D68"/>
    <w:rsid w:val="59F36CDF"/>
    <w:rsid w:val="5A026F22"/>
    <w:rsid w:val="5AB126F6"/>
    <w:rsid w:val="5AEB079B"/>
    <w:rsid w:val="5AFB2552"/>
    <w:rsid w:val="5B0A0784"/>
    <w:rsid w:val="5B1533D9"/>
    <w:rsid w:val="5B6B6D49"/>
    <w:rsid w:val="5B7C4AB2"/>
    <w:rsid w:val="5B8322E4"/>
    <w:rsid w:val="5BCF72D8"/>
    <w:rsid w:val="5C871960"/>
    <w:rsid w:val="5CDE7FFF"/>
    <w:rsid w:val="5D223D98"/>
    <w:rsid w:val="5D2E6280"/>
    <w:rsid w:val="5D812854"/>
    <w:rsid w:val="5DBC0D7C"/>
    <w:rsid w:val="5DCB3ACF"/>
    <w:rsid w:val="5DDC7A8A"/>
    <w:rsid w:val="5E9D190F"/>
    <w:rsid w:val="5F337B7D"/>
    <w:rsid w:val="5F9112D9"/>
    <w:rsid w:val="5FAB0C22"/>
    <w:rsid w:val="5FD17AC2"/>
    <w:rsid w:val="5FDC0215"/>
    <w:rsid w:val="60216110"/>
    <w:rsid w:val="60261490"/>
    <w:rsid w:val="608C5797"/>
    <w:rsid w:val="60923DFD"/>
    <w:rsid w:val="609E371C"/>
    <w:rsid w:val="60A02D04"/>
    <w:rsid w:val="611F2AAF"/>
    <w:rsid w:val="61580343"/>
    <w:rsid w:val="61614E76"/>
    <w:rsid w:val="61720E31"/>
    <w:rsid w:val="617A1A94"/>
    <w:rsid w:val="61970E97"/>
    <w:rsid w:val="61AF53ED"/>
    <w:rsid w:val="61F30321"/>
    <w:rsid w:val="62060222"/>
    <w:rsid w:val="620F48D2"/>
    <w:rsid w:val="62261C95"/>
    <w:rsid w:val="62F15D85"/>
    <w:rsid w:val="631F32BE"/>
    <w:rsid w:val="63936E3D"/>
    <w:rsid w:val="639A641D"/>
    <w:rsid w:val="63DC2E7B"/>
    <w:rsid w:val="65490B9B"/>
    <w:rsid w:val="657336BA"/>
    <w:rsid w:val="657A6506"/>
    <w:rsid w:val="657C227E"/>
    <w:rsid w:val="65913850"/>
    <w:rsid w:val="65DA349F"/>
    <w:rsid w:val="65FA7647"/>
    <w:rsid w:val="660202AA"/>
    <w:rsid w:val="66081D64"/>
    <w:rsid w:val="660A1C3D"/>
    <w:rsid w:val="660B1854"/>
    <w:rsid w:val="668D04BB"/>
    <w:rsid w:val="6692787F"/>
    <w:rsid w:val="6700378B"/>
    <w:rsid w:val="67957627"/>
    <w:rsid w:val="68012F0F"/>
    <w:rsid w:val="68850CA8"/>
    <w:rsid w:val="693A17B3"/>
    <w:rsid w:val="693B5FAC"/>
    <w:rsid w:val="69BA15C7"/>
    <w:rsid w:val="69CF6BB5"/>
    <w:rsid w:val="6A4D3339"/>
    <w:rsid w:val="6A885221"/>
    <w:rsid w:val="6AA95198"/>
    <w:rsid w:val="6AB204F0"/>
    <w:rsid w:val="6ACB15B2"/>
    <w:rsid w:val="6AED3D15"/>
    <w:rsid w:val="6B1B6095"/>
    <w:rsid w:val="6B215897"/>
    <w:rsid w:val="6B560E7C"/>
    <w:rsid w:val="6B607F4C"/>
    <w:rsid w:val="6B686E01"/>
    <w:rsid w:val="6B6D2669"/>
    <w:rsid w:val="6B8F438D"/>
    <w:rsid w:val="6BB37AA8"/>
    <w:rsid w:val="6BC24763"/>
    <w:rsid w:val="6BC8789F"/>
    <w:rsid w:val="6BCA186A"/>
    <w:rsid w:val="6BEC17E0"/>
    <w:rsid w:val="6C2471CC"/>
    <w:rsid w:val="6CB618FA"/>
    <w:rsid w:val="6CD504C6"/>
    <w:rsid w:val="6CFC5A53"/>
    <w:rsid w:val="6D082189"/>
    <w:rsid w:val="6D260D22"/>
    <w:rsid w:val="6D2B458A"/>
    <w:rsid w:val="6D3744A9"/>
    <w:rsid w:val="6D5B6C1D"/>
    <w:rsid w:val="6D7C6B93"/>
    <w:rsid w:val="6DA41BED"/>
    <w:rsid w:val="6E445903"/>
    <w:rsid w:val="6E5F2F3F"/>
    <w:rsid w:val="6E7C5B52"/>
    <w:rsid w:val="6EA33DCB"/>
    <w:rsid w:val="6EA67037"/>
    <w:rsid w:val="6EE80984"/>
    <w:rsid w:val="6EEA6186"/>
    <w:rsid w:val="6F137F98"/>
    <w:rsid w:val="6F2F65B3"/>
    <w:rsid w:val="6F905097"/>
    <w:rsid w:val="6FCF744E"/>
    <w:rsid w:val="701A152C"/>
    <w:rsid w:val="706F09FF"/>
    <w:rsid w:val="70784995"/>
    <w:rsid w:val="70A87F05"/>
    <w:rsid w:val="70F3716D"/>
    <w:rsid w:val="70F73101"/>
    <w:rsid w:val="70FA1AFE"/>
    <w:rsid w:val="711B258D"/>
    <w:rsid w:val="711C66C3"/>
    <w:rsid w:val="71557E27"/>
    <w:rsid w:val="71724535"/>
    <w:rsid w:val="71744751"/>
    <w:rsid w:val="71FF439E"/>
    <w:rsid w:val="72137AC3"/>
    <w:rsid w:val="72842772"/>
    <w:rsid w:val="72FC67AC"/>
    <w:rsid w:val="73920EBF"/>
    <w:rsid w:val="73D32ABD"/>
    <w:rsid w:val="73D414D7"/>
    <w:rsid w:val="746C550D"/>
    <w:rsid w:val="748A428C"/>
    <w:rsid w:val="758C6DEA"/>
    <w:rsid w:val="759F5D2E"/>
    <w:rsid w:val="75AE7B06"/>
    <w:rsid w:val="75EC6237"/>
    <w:rsid w:val="762B3235"/>
    <w:rsid w:val="766A6123"/>
    <w:rsid w:val="76A65971"/>
    <w:rsid w:val="76EE0B02"/>
    <w:rsid w:val="76F961D8"/>
    <w:rsid w:val="76FB4FCD"/>
    <w:rsid w:val="7706409E"/>
    <w:rsid w:val="771C5DA1"/>
    <w:rsid w:val="772207AC"/>
    <w:rsid w:val="77253DF8"/>
    <w:rsid w:val="773B7DE1"/>
    <w:rsid w:val="774626EC"/>
    <w:rsid w:val="778925D9"/>
    <w:rsid w:val="77E31CE9"/>
    <w:rsid w:val="785E1CB7"/>
    <w:rsid w:val="78947809"/>
    <w:rsid w:val="78B13B95"/>
    <w:rsid w:val="78BA46C4"/>
    <w:rsid w:val="78D863D1"/>
    <w:rsid w:val="795D3D1D"/>
    <w:rsid w:val="799B65F3"/>
    <w:rsid w:val="79F226B7"/>
    <w:rsid w:val="7A301431"/>
    <w:rsid w:val="7A396538"/>
    <w:rsid w:val="7A3B66BC"/>
    <w:rsid w:val="7A410F49"/>
    <w:rsid w:val="7A5A7E7A"/>
    <w:rsid w:val="7A611D04"/>
    <w:rsid w:val="7ABE2599"/>
    <w:rsid w:val="7AC1208A"/>
    <w:rsid w:val="7ACE7785"/>
    <w:rsid w:val="7AD95625"/>
    <w:rsid w:val="7AE30252"/>
    <w:rsid w:val="7B38059E"/>
    <w:rsid w:val="7B5E7074"/>
    <w:rsid w:val="7B656EB9"/>
    <w:rsid w:val="7BE6624C"/>
    <w:rsid w:val="7C2823C0"/>
    <w:rsid w:val="7C507B69"/>
    <w:rsid w:val="7C807C61"/>
    <w:rsid w:val="7C835849"/>
    <w:rsid w:val="7CD42548"/>
    <w:rsid w:val="7CDC0AA2"/>
    <w:rsid w:val="7CE60045"/>
    <w:rsid w:val="7D42050F"/>
    <w:rsid w:val="7DD722F0"/>
    <w:rsid w:val="7E2C5F0E"/>
    <w:rsid w:val="7E3D5ECB"/>
    <w:rsid w:val="7E991353"/>
    <w:rsid w:val="7EB443DF"/>
    <w:rsid w:val="7ED77C8A"/>
    <w:rsid w:val="7F2D7CEE"/>
    <w:rsid w:val="7F6776A3"/>
    <w:rsid w:val="7FD17EE9"/>
    <w:rsid w:val="7FFB29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nhideWhenUsed="0" w:uiPriority="35" w:semiHidden="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qFormat="1" w:unhideWhenUsed="0" w:uiPriority="0" w:semiHidden="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22" w:semiHidden="0" w:name="Strong"/>
    <w:lsdException w:qFormat="1" w:unhideWhenUsed="0" w:uiPriority="20" w:semiHidden="0" w:name="Emphasis"/>
    <w:lsdException w:qFormat="1" w:unhideWhenUsed="0" w:uiPriority="99"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39" w:semiHidden="0" w:name="Table Grid"/>
    <w:lsdException w:uiPriority="0" w:name="Table Theme"/>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51"/>
    <w:qFormat/>
    <w:uiPriority w:val="9"/>
    <w:pPr>
      <w:keepNext/>
      <w:keepLines/>
      <w:outlineLvl w:val="0"/>
    </w:pPr>
    <w:rPr>
      <w:rFonts w:ascii="宋体" w:hAnsi="宋体"/>
      <w:kern w:val="44"/>
      <w:szCs w:val="20"/>
    </w:rPr>
  </w:style>
  <w:style w:type="paragraph" w:styleId="3">
    <w:name w:val="heading 2"/>
    <w:basedOn w:val="1"/>
    <w:next w:val="1"/>
    <w:link w:val="44"/>
    <w:qFormat/>
    <w:uiPriority w:val="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9"/>
    <w:qFormat/>
    <w:uiPriority w:val="9"/>
    <w:pPr>
      <w:keepNext/>
      <w:keepLines/>
      <w:spacing w:before="240" w:after="240"/>
      <w:jc w:val="center"/>
      <w:outlineLvl w:val="2"/>
    </w:pPr>
    <w:rPr>
      <w:rFonts w:eastAsia="黑体"/>
      <w:b/>
      <w:bCs/>
      <w:sz w:val="28"/>
      <w:szCs w:val="32"/>
    </w:rPr>
  </w:style>
  <w:style w:type="paragraph" w:styleId="5">
    <w:name w:val="heading 4"/>
    <w:basedOn w:val="1"/>
    <w:next w:val="1"/>
    <w:link w:val="48"/>
    <w:qFormat/>
    <w:uiPriority w:val="9"/>
    <w:pPr>
      <w:keepNext/>
      <w:keepLines/>
      <w:spacing w:before="280" w:after="290" w:line="376" w:lineRule="auto"/>
      <w:outlineLvl w:val="3"/>
    </w:pPr>
    <w:rPr>
      <w:rFonts w:ascii="Cambria" w:hAnsi="Cambria"/>
      <w:b/>
      <w:bCs/>
      <w:sz w:val="28"/>
      <w:szCs w:val="28"/>
    </w:rPr>
  </w:style>
  <w:style w:type="paragraph" w:styleId="6">
    <w:name w:val="heading 5"/>
    <w:basedOn w:val="1"/>
    <w:next w:val="1"/>
    <w:link w:val="54"/>
    <w:qFormat/>
    <w:uiPriority w:val="9"/>
    <w:pPr>
      <w:keepNext/>
      <w:keepLines/>
      <w:spacing w:before="280" w:after="290" w:line="376" w:lineRule="auto"/>
      <w:ind w:left="1984" w:hanging="708"/>
      <w:outlineLvl w:val="4"/>
    </w:pPr>
    <w:rPr>
      <w:rFonts w:ascii="Calibri" w:hAnsi="Calibri"/>
      <w:b/>
      <w:bCs/>
      <w:sz w:val="28"/>
      <w:szCs w:val="28"/>
    </w:rPr>
  </w:style>
  <w:style w:type="paragraph" w:styleId="7">
    <w:name w:val="heading 6"/>
    <w:basedOn w:val="1"/>
    <w:next w:val="1"/>
    <w:link w:val="119"/>
    <w:semiHidden/>
    <w:unhideWhenUsed/>
    <w:qFormat/>
    <w:uiPriority w:val="9"/>
    <w:pPr>
      <w:keepNext/>
      <w:keepLines/>
      <w:spacing w:before="240" w:after="64" w:line="320" w:lineRule="auto"/>
      <w:outlineLvl w:val="5"/>
    </w:pPr>
    <w:rPr>
      <w:rFonts w:ascii="Cambria" w:hAnsi="Cambria"/>
      <w:b/>
      <w:bCs/>
      <w:kern w:val="0"/>
    </w:rPr>
  </w:style>
  <w:style w:type="character" w:default="1" w:styleId="32">
    <w:name w:val="Default Paragraph Font"/>
    <w:semiHidden/>
    <w:unhideWhenUsed/>
    <w:qFormat/>
    <w:uiPriority w:val="1"/>
  </w:style>
  <w:style w:type="table" w:default="1" w:styleId="30">
    <w:name w:val="Normal Table"/>
    <w:semiHidden/>
    <w:unhideWhenUsed/>
    <w:uiPriority w:val="99"/>
    <w:tblPr>
      <w:tblCellMar>
        <w:top w:w="0" w:type="dxa"/>
        <w:left w:w="108" w:type="dxa"/>
        <w:bottom w:w="0" w:type="dxa"/>
        <w:right w:w="108" w:type="dxa"/>
      </w:tblCellMar>
    </w:tblPr>
  </w:style>
  <w:style w:type="paragraph" w:styleId="8">
    <w:name w:val="toc 7"/>
    <w:basedOn w:val="1"/>
    <w:next w:val="1"/>
    <w:unhideWhenUsed/>
    <w:qFormat/>
    <w:uiPriority w:val="39"/>
    <w:pPr>
      <w:ind w:left="2520" w:leftChars="1200"/>
    </w:pPr>
    <w:rPr>
      <w:rFonts w:ascii="Calibri" w:hAnsi="Calibri"/>
      <w:szCs w:val="22"/>
    </w:rPr>
  </w:style>
  <w:style w:type="paragraph" w:styleId="9">
    <w:name w:val="caption"/>
    <w:basedOn w:val="1"/>
    <w:next w:val="1"/>
    <w:qFormat/>
    <w:uiPriority w:val="35"/>
    <w:pPr>
      <w:spacing w:line="240" w:lineRule="auto"/>
    </w:pPr>
    <w:rPr>
      <w:rFonts w:ascii="Cambria" w:hAnsi="Cambria" w:eastAsia="黑体"/>
      <w:sz w:val="20"/>
      <w:szCs w:val="20"/>
      <w:lang w:val="sq-AL"/>
    </w:rPr>
  </w:style>
  <w:style w:type="paragraph" w:styleId="10">
    <w:name w:val="Document Map"/>
    <w:basedOn w:val="1"/>
    <w:link w:val="67"/>
    <w:semiHidden/>
    <w:qFormat/>
    <w:uiPriority w:val="99"/>
    <w:pPr>
      <w:shd w:val="clear" w:color="auto" w:fill="000080"/>
    </w:pPr>
  </w:style>
  <w:style w:type="paragraph" w:styleId="11">
    <w:name w:val="annotation text"/>
    <w:basedOn w:val="1"/>
    <w:link w:val="40"/>
    <w:qFormat/>
    <w:uiPriority w:val="99"/>
    <w:pPr>
      <w:jc w:val="left"/>
    </w:pPr>
    <w:rPr>
      <w:szCs w:val="20"/>
    </w:rPr>
  </w:style>
  <w:style w:type="paragraph" w:styleId="12">
    <w:name w:val="Body Text Indent"/>
    <w:basedOn w:val="1"/>
    <w:link w:val="115"/>
    <w:unhideWhenUsed/>
    <w:qFormat/>
    <w:uiPriority w:val="99"/>
    <w:pPr>
      <w:spacing w:after="120" w:line="300" w:lineRule="auto"/>
      <w:ind w:left="420" w:leftChars="200"/>
    </w:pPr>
  </w:style>
  <w:style w:type="paragraph" w:styleId="13">
    <w:name w:val="toc 5"/>
    <w:basedOn w:val="1"/>
    <w:next w:val="1"/>
    <w:unhideWhenUsed/>
    <w:qFormat/>
    <w:uiPriority w:val="39"/>
    <w:pPr>
      <w:ind w:left="1680" w:leftChars="800"/>
    </w:pPr>
    <w:rPr>
      <w:rFonts w:ascii="Calibri" w:hAnsi="Calibri"/>
      <w:szCs w:val="22"/>
    </w:rPr>
  </w:style>
  <w:style w:type="paragraph" w:styleId="14">
    <w:name w:val="toc 3"/>
    <w:basedOn w:val="1"/>
    <w:next w:val="1"/>
    <w:qFormat/>
    <w:uiPriority w:val="39"/>
    <w:pPr>
      <w:ind w:left="840" w:leftChars="400"/>
    </w:pPr>
  </w:style>
  <w:style w:type="paragraph" w:styleId="15">
    <w:name w:val="Plain Text"/>
    <w:basedOn w:val="1"/>
    <w:link w:val="47"/>
    <w:qFormat/>
    <w:uiPriority w:val="0"/>
    <w:rPr>
      <w:rFonts w:ascii="宋体" w:hAnsi="Courier New" w:cs="Courier New"/>
      <w:szCs w:val="21"/>
    </w:rPr>
  </w:style>
  <w:style w:type="paragraph" w:styleId="16">
    <w:name w:val="toc 8"/>
    <w:basedOn w:val="1"/>
    <w:next w:val="1"/>
    <w:unhideWhenUsed/>
    <w:qFormat/>
    <w:uiPriority w:val="39"/>
    <w:pPr>
      <w:ind w:left="2940" w:leftChars="1400"/>
    </w:pPr>
    <w:rPr>
      <w:rFonts w:ascii="Calibri" w:hAnsi="Calibri"/>
      <w:szCs w:val="22"/>
    </w:rPr>
  </w:style>
  <w:style w:type="paragraph" w:styleId="17">
    <w:name w:val="Date"/>
    <w:basedOn w:val="1"/>
    <w:next w:val="1"/>
    <w:link w:val="63"/>
    <w:qFormat/>
    <w:uiPriority w:val="99"/>
    <w:rPr>
      <w:szCs w:val="20"/>
    </w:rPr>
  </w:style>
  <w:style w:type="paragraph" w:styleId="18">
    <w:name w:val="endnote text"/>
    <w:basedOn w:val="1"/>
    <w:link w:val="46"/>
    <w:qFormat/>
    <w:uiPriority w:val="0"/>
    <w:pPr>
      <w:snapToGrid w:val="0"/>
      <w:jc w:val="left"/>
    </w:pPr>
  </w:style>
  <w:style w:type="paragraph" w:styleId="19">
    <w:name w:val="Balloon Text"/>
    <w:basedOn w:val="1"/>
    <w:link w:val="55"/>
    <w:semiHidden/>
    <w:qFormat/>
    <w:uiPriority w:val="99"/>
    <w:rPr>
      <w:sz w:val="18"/>
      <w:szCs w:val="18"/>
    </w:rPr>
  </w:style>
  <w:style w:type="paragraph" w:styleId="20">
    <w:name w:val="footer"/>
    <w:basedOn w:val="1"/>
    <w:link w:val="45"/>
    <w:qFormat/>
    <w:uiPriority w:val="99"/>
    <w:pPr>
      <w:tabs>
        <w:tab w:val="center" w:pos="4153"/>
        <w:tab w:val="right" w:pos="8306"/>
      </w:tabs>
      <w:snapToGrid w:val="0"/>
      <w:jc w:val="left"/>
    </w:pPr>
    <w:rPr>
      <w:sz w:val="18"/>
      <w:szCs w:val="18"/>
    </w:rPr>
  </w:style>
  <w:style w:type="paragraph" w:styleId="21">
    <w:name w:val="header"/>
    <w:basedOn w:val="1"/>
    <w:link w:val="49"/>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style>
  <w:style w:type="paragraph" w:styleId="23">
    <w:name w:val="toc 4"/>
    <w:basedOn w:val="1"/>
    <w:next w:val="1"/>
    <w:unhideWhenUsed/>
    <w:qFormat/>
    <w:uiPriority w:val="39"/>
    <w:pPr>
      <w:ind w:left="1260" w:leftChars="600"/>
    </w:pPr>
    <w:rPr>
      <w:rFonts w:ascii="Calibri" w:hAnsi="Calibri"/>
      <w:szCs w:val="22"/>
    </w:rPr>
  </w:style>
  <w:style w:type="paragraph" w:styleId="24">
    <w:name w:val="toc 6"/>
    <w:basedOn w:val="1"/>
    <w:next w:val="1"/>
    <w:unhideWhenUsed/>
    <w:qFormat/>
    <w:uiPriority w:val="39"/>
    <w:pPr>
      <w:ind w:left="2100" w:leftChars="1000"/>
    </w:pPr>
    <w:rPr>
      <w:rFonts w:ascii="Calibri" w:hAnsi="Calibri"/>
      <w:szCs w:val="22"/>
    </w:rPr>
  </w:style>
  <w:style w:type="paragraph" w:styleId="25">
    <w:name w:val="toc 2"/>
    <w:basedOn w:val="1"/>
    <w:next w:val="1"/>
    <w:qFormat/>
    <w:uiPriority w:val="39"/>
    <w:pPr>
      <w:ind w:left="420" w:leftChars="200"/>
    </w:pPr>
  </w:style>
  <w:style w:type="paragraph" w:styleId="26">
    <w:name w:val="toc 9"/>
    <w:basedOn w:val="1"/>
    <w:next w:val="1"/>
    <w:unhideWhenUsed/>
    <w:qFormat/>
    <w:uiPriority w:val="39"/>
    <w:pPr>
      <w:ind w:left="3360" w:leftChars="1600"/>
    </w:pPr>
    <w:rPr>
      <w:rFonts w:ascii="Calibri" w:hAnsi="Calibri"/>
      <w:szCs w:val="22"/>
    </w:rPr>
  </w:style>
  <w:style w:type="paragraph" w:styleId="27">
    <w:name w:val="Normal (Web)"/>
    <w:basedOn w:val="1"/>
    <w:qFormat/>
    <w:uiPriority w:val="99"/>
    <w:pPr>
      <w:widowControl/>
      <w:spacing w:before="100" w:beforeAutospacing="1" w:after="100" w:afterAutospacing="1"/>
      <w:jc w:val="left"/>
    </w:pPr>
    <w:rPr>
      <w:rFonts w:ascii="宋体" w:hAnsi="宋体" w:cs="宋体"/>
      <w:kern w:val="0"/>
    </w:rPr>
  </w:style>
  <w:style w:type="paragraph" w:styleId="28">
    <w:name w:val="Title"/>
    <w:basedOn w:val="1"/>
    <w:next w:val="1"/>
    <w:link w:val="104"/>
    <w:qFormat/>
    <w:uiPriority w:val="10"/>
    <w:pPr>
      <w:spacing w:before="240" w:after="60"/>
      <w:jc w:val="center"/>
      <w:outlineLvl w:val="0"/>
    </w:pPr>
    <w:rPr>
      <w:rFonts w:ascii="Cambria" w:hAnsi="Cambria"/>
      <w:b/>
      <w:bCs/>
      <w:kern w:val="0"/>
      <w:sz w:val="32"/>
      <w:szCs w:val="32"/>
    </w:rPr>
  </w:style>
  <w:style w:type="paragraph" w:styleId="29">
    <w:name w:val="annotation subject"/>
    <w:basedOn w:val="11"/>
    <w:next w:val="11"/>
    <w:link w:val="42"/>
    <w:qFormat/>
    <w:uiPriority w:val="99"/>
    <w:rPr>
      <w:b/>
      <w:bCs/>
      <w:szCs w:val="24"/>
    </w:rPr>
  </w:style>
  <w:style w:type="table" w:styleId="31">
    <w:name w:val="Table Grid"/>
    <w:basedOn w:val="3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qFormat/>
    <w:uiPriority w:val="22"/>
    <w:rPr>
      <w:b/>
      <w:bCs/>
    </w:rPr>
  </w:style>
  <w:style w:type="character" w:styleId="34">
    <w:name w:val="page number"/>
    <w:basedOn w:val="32"/>
    <w:qFormat/>
    <w:uiPriority w:val="0"/>
  </w:style>
  <w:style w:type="character" w:styleId="35">
    <w:name w:val="FollowedHyperlink"/>
    <w:basedOn w:val="32"/>
    <w:semiHidden/>
    <w:unhideWhenUsed/>
    <w:qFormat/>
    <w:uiPriority w:val="0"/>
    <w:rPr>
      <w:color w:val="954F72" w:themeColor="followedHyperlink"/>
      <w:u w:val="single"/>
      <w14:textFill>
        <w14:solidFill>
          <w14:schemeClr w14:val="folHlink"/>
        </w14:solidFill>
      </w14:textFill>
    </w:rPr>
  </w:style>
  <w:style w:type="character" w:styleId="36">
    <w:name w:val="Emphasis"/>
    <w:qFormat/>
    <w:uiPriority w:val="20"/>
    <w:rPr>
      <w:i/>
      <w:iCs/>
    </w:rPr>
  </w:style>
  <w:style w:type="character" w:styleId="37">
    <w:name w:val="Hyperlink"/>
    <w:unhideWhenUsed/>
    <w:qFormat/>
    <w:uiPriority w:val="99"/>
    <w:rPr>
      <w:color w:val="0000FF"/>
      <w:u w:val="single"/>
    </w:rPr>
  </w:style>
  <w:style w:type="character" w:styleId="38">
    <w:name w:val="annotation reference"/>
    <w:qFormat/>
    <w:uiPriority w:val="99"/>
    <w:rPr>
      <w:sz w:val="21"/>
      <w:szCs w:val="21"/>
    </w:rPr>
  </w:style>
  <w:style w:type="character" w:customStyle="1" w:styleId="39">
    <w:name w:val="description"/>
    <w:qFormat/>
    <w:uiPriority w:val="0"/>
  </w:style>
  <w:style w:type="character" w:customStyle="1" w:styleId="40">
    <w:name w:val="批注文字 字符"/>
    <w:link w:val="11"/>
    <w:qFormat/>
    <w:uiPriority w:val="99"/>
    <w:rPr>
      <w:kern w:val="2"/>
      <w:sz w:val="21"/>
    </w:rPr>
  </w:style>
  <w:style w:type="character" w:customStyle="1" w:styleId="41">
    <w:name w:val="short_text"/>
    <w:qFormat/>
    <w:uiPriority w:val="0"/>
  </w:style>
  <w:style w:type="character" w:customStyle="1" w:styleId="42">
    <w:name w:val="批注主题 字符"/>
    <w:link w:val="29"/>
    <w:qFormat/>
    <w:uiPriority w:val="99"/>
    <w:rPr>
      <w:b/>
      <w:bCs/>
      <w:kern w:val="2"/>
      <w:sz w:val="21"/>
      <w:szCs w:val="24"/>
    </w:rPr>
  </w:style>
  <w:style w:type="character" w:customStyle="1" w:styleId="43">
    <w:name w:val="纯文本 Char1"/>
    <w:semiHidden/>
    <w:qFormat/>
    <w:uiPriority w:val="99"/>
    <w:rPr>
      <w:rFonts w:ascii="宋体" w:hAnsi="Courier New" w:eastAsia="宋体" w:cs="Courier New"/>
      <w:szCs w:val="21"/>
    </w:rPr>
  </w:style>
  <w:style w:type="character" w:customStyle="1" w:styleId="44">
    <w:name w:val="标题 2 字符"/>
    <w:link w:val="3"/>
    <w:qFormat/>
    <w:uiPriority w:val="9"/>
    <w:rPr>
      <w:rFonts w:ascii="Arial" w:hAnsi="Arial" w:eastAsia="黑体"/>
      <w:b/>
      <w:bCs/>
      <w:kern w:val="2"/>
      <w:sz w:val="32"/>
      <w:szCs w:val="32"/>
    </w:rPr>
  </w:style>
  <w:style w:type="character" w:customStyle="1" w:styleId="45">
    <w:name w:val="页脚 字符"/>
    <w:link w:val="20"/>
    <w:qFormat/>
    <w:uiPriority w:val="99"/>
    <w:rPr>
      <w:kern w:val="2"/>
      <w:sz w:val="18"/>
      <w:szCs w:val="18"/>
    </w:rPr>
  </w:style>
  <w:style w:type="character" w:customStyle="1" w:styleId="46">
    <w:name w:val="尾注文本 字符"/>
    <w:link w:val="18"/>
    <w:qFormat/>
    <w:uiPriority w:val="0"/>
    <w:rPr>
      <w:kern w:val="2"/>
      <w:sz w:val="21"/>
      <w:szCs w:val="24"/>
    </w:rPr>
  </w:style>
  <w:style w:type="character" w:customStyle="1" w:styleId="47">
    <w:name w:val="纯文本 字符"/>
    <w:link w:val="15"/>
    <w:qFormat/>
    <w:uiPriority w:val="0"/>
    <w:rPr>
      <w:rFonts w:ascii="宋体" w:hAnsi="Courier New" w:cs="Courier New"/>
      <w:kern w:val="2"/>
      <w:sz w:val="21"/>
      <w:szCs w:val="21"/>
    </w:rPr>
  </w:style>
  <w:style w:type="character" w:customStyle="1" w:styleId="48">
    <w:name w:val="标题 4 字符"/>
    <w:link w:val="5"/>
    <w:qFormat/>
    <w:uiPriority w:val="9"/>
    <w:rPr>
      <w:rFonts w:ascii="Cambria" w:hAnsi="Cambria" w:eastAsia="宋体" w:cs="Times New Roman"/>
      <w:b/>
      <w:bCs/>
      <w:kern w:val="2"/>
      <w:sz w:val="28"/>
      <w:szCs w:val="28"/>
    </w:rPr>
  </w:style>
  <w:style w:type="character" w:customStyle="1" w:styleId="49">
    <w:name w:val="页眉 字符"/>
    <w:link w:val="21"/>
    <w:qFormat/>
    <w:uiPriority w:val="99"/>
    <w:rPr>
      <w:kern w:val="2"/>
      <w:sz w:val="18"/>
      <w:szCs w:val="18"/>
    </w:rPr>
  </w:style>
  <w:style w:type="character" w:customStyle="1" w:styleId="50">
    <w:name w:val="未处理的提及1"/>
    <w:unhideWhenUsed/>
    <w:qFormat/>
    <w:uiPriority w:val="99"/>
    <w:rPr>
      <w:color w:val="605E5C"/>
      <w:shd w:val="clear" w:color="auto" w:fill="E1DFDD"/>
    </w:rPr>
  </w:style>
  <w:style w:type="character" w:customStyle="1" w:styleId="51">
    <w:name w:val="标题 1 字符"/>
    <w:link w:val="2"/>
    <w:qFormat/>
    <w:uiPriority w:val="9"/>
    <w:rPr>
      <w:rFonts w:ascii="宋体" w:hAnsi="宋体"/>
      <w:kern w:val="44"/>
      <w:sz w:val="24"/>
    </w:rPr>
  </w:style>
  <w:style w:type="character" w:customStyle="1" w:styleId="52">
    <w:name w:val="批注主题 Char1"/>
    <w:semiHidden/>
    <w:qFormat/>
    <w:uiPriority w:val="99"/>
    <w:rPr>
      <w:rFonts w:ascii="Times New Roman" w:hAnsi="Times New Roman" w:eastAsia="宋体" w:cs="Times New Roman"/>
      <w:b/>
      <w:bCs/>
      <w:szCs w:val="24"/>
    </w:rPr>
  </w:style>
  <w:style w:type="character" w:customStyle="1" w:styleId="53">
    <w:name w:val="日期 Char1"/>
    <w:semiHidden/>
    <w:qFormat/>
    <w:uiPriority w:val="99"/>
    <w:rPr>
      <w:rFonts w:ascii="Times New Roman" w:hAnsi="Times New Roman" w:eastAsia="宋体" w:cs="Times New Roman"/>
      <w:szCs w:val="24"/>
    </w:rPr>
  </w:style>
  <w:style w:type="character" w:customStyle="1" w:styleId="54">
    <w:name w:val="标题 5 字符"/>
    <w:link w:val="6"/>
    <w:qFormat/>
    <w:uiPriority w:val="9"/>
    <w:rPr>
      <w:rFonts w:ascii="Calibri" w:hAnsi="Calibri"/>
      <w:b/>
      <w:bCs/>
      <w:kern w:val="2"/>
      <w:sz w:val="28"/>
      <w:szCs w:val="28"/>
    </w:rPr>
  </w:style>
  <w:style w:type="character" w:customStyle="1" w:styleId="55">
    <w:name w:val="批注框文本 字符"/>
    <w:link w:val="19"/>
    <w:semiHidden/>
    <w:qFormat/>
    <w:uiPriority w:val="99"/>
    <w:rPr>
      <w:kern w:val="2"/>
      <w:sz w:val="18"/>
      <w:szCs w:val="18"/>
    </w:rPr>
  </w:style>
  <w:style w:type="character" w:customStyle="1" w:styleId="56">
    <w:name w:val="MTEquationSection"/>
    <w:qFormat/>
    <w:uiPriority w:val="0"/>
    <w:rPr>
      <w:b/>
      <w:vanish/>
      <w:color w:val="FF0000"/>
      <w:sz w:val="30"/>
      <w:szCs w:val="30"/>
    </w:rPr>
  </w:style>
  <w:style w:type="character" w:customStyle="1" w:styleId="57">
    <w:name w:val="文档结构图 Char1"/>
    <w:semiHidden/>
    <w:qFormat/>
    <w:uiPriority w:val="99"/>
    <w:rPr>
      <w:rFonts w:ascii="宋体" w:hAnsi="Times New Roman" w:eastAsia="宋体" w:cs="Times New Roman"/>
      <w:sz w:val="18"/>
      <w:szCs w:val="18"/>
    </w:rPr>
  </w:style>
  <w:style w:type="character" w:customStyle="1" w:styleId="58">
    <w:name w:val="批注框文本 Char1"/>
    <w:semiHidden/>
    <w:qFormat/>
    <w:uiPriority w:val="99"/>
    <w:rPr>
      <w:rFonts w:ascii="Times New Roman" w:hAnsi="Times New Roman" w:eastAsia="宋体" w:cs="Times New Roman"/>
      <w:sz w:val="18"/>
      <w:szCs w:val="18"/>
    </w:rPr>
  </w:style>
  <w:style w:type="character" w:customStyle="1" w:styleId="59">
    <w:name w:val="标题 3 字符"/>
    <w:link w:val="4"/>
    <w:qFormat/>
    <w:uiPriority w:val="9"/>
    <w:rPr>
      <w:rFonts w:eastAsia="黑体"/>
      <w:b/>
      <w:bCs/>
      <w:kern w:val="2"/>
      <w:sz w:val="28"/>
      <w:szCs w:val="32"/>
    </w:rPr>
  </w:style>
  <w:style w:type="character" w:customStyle="1" w:styleId="60">
    <w:name w:val="hps"/>
    <w:qFormat/>
    <w:uiPriority w:val="0"/>
  </w:style>
  <w:style w:type="character" w:customStyle="1" w:styleId="61">
    <w:name w:val="第二章-条 字符"/>
    <w:link w:val="62"/>
    <w:qFormat/>
    <w:locked/>
    <w:uiPriority w:val="0"/>
    <w:rPr>
      <w:sz w:val="24"/>
    </w:rPr>
  </w:style>
  <w:style w:type="paragraph" w:customStyle="1" w:styleId="62">
    <w:name w:val="第二章-条"/>
    <w:link w:val="61"/>
    <w:qFormat/>
    <w:uiPriority w:val="0"/>
    <w:pPr>
      <w:numPr>
        <w:ilvl w:val="0"/>
        <w:numId w:val="1"/>
      </w:numPr>
      <w:autoSpaceDE w:val="0"/>
      <w:autoSpaceDN w:val="0"/>
      <w:jc w:val="both"/>
    </w:pPr>
    <w:rPr>
      <w:rFonts w:ascii="Times New Roman" w:hAnsi="Times New Roman" w:eastAsia="宋体" w:cs="Times New Roman"/>
      <w:sz w:val="24"/>
      <w:lang w:val="en-US" w:eastAsia="zh-CN" w:bidi="ar-SA"/>
    </w:rPr>
  </w:style>
  <w:style w:type="character" w:customStyle="1" w:styleId="63">
    <w:name w:val="日期 字符"/>
    <w:link w:val="17"/>
    <w:qFormat/>
    <w:uiPriority w:val="99"/>
    <w:rPr>
      <w:kern w:val="2"/>
      <w:sz w:val="24"/>
    </w:rPr>
  </w:style>
  <w:style w:type="character" w:customStyle="1" w:styleId="64">
    <w:name w:val="标题 2 Char"/>
    <w:qFormat/>
    <w:uiPriority w:val="9"/>
    <w:rPr>
      <w:rFonts w:ascii="Cambria" w:hAnsi="Cambria" w:eastAsia="宋体" w:cs="Times New Roman"/>
      <w:b/>
      <w:bCs/>
      <w:kern w:val="2"/>
      <w:sz w:val="32"/>
      <w:szCs w:val="32"/>
    </w:rPr>
  </w:style>
  <w:style w:type="character" w:customStyle="1" w:styleId="65">
    <w:name w:val="尾注文本 Char1"/>
    <w:semiHidden/>
    <w:qFormat/>
    <w:uiPriority w:val="99"/>
    <w:rPr>
      <w:rFonts w:ascii="Times New Roman" w:hAnsi="Times New Roman" w:eastAsia="宋体" w:cs="Times New Roman"/>
      <w:szCs w:val="24"/>
    </w:rPr>
  </w:style>
  <w:style w:type="character" w:customStyle="1" w:styleId="66">
    <w:name w:val="批注文字 Char1"/>
    <w:semiHidden/>
    <w:qFormat/>
    <w:uiPriority w:val="99"/>
    <w:rPr>
      <w:rFonts w:ascii="Times New Roman" w:hAnsi="Times New Roman" w:eastAsia="宋体" w:cs="Times New Roman"/>
      <w:szCs w:val="24"/>
    </w:rPr>
  </w:style>
  <w:style w:type="character" w:customStyle="1" w:styleId="67">
    <w:name w:val="文档结构图 字符"/>
    <w:link w:val="10"/>
    <w:semiHidden/>
    <w:qFormat/>
    <w:uiPriority w:val="99"/>
    <w:rPr>
      <w:kern w:val="2"/>
      <w:sz w:val="21"/>
      <w:szCs w:val="24"/>
      <w:shd w:val="clear" w:color="auto" w:fill="000080"/>
    </w:rPr>
  </w:style>
  <w:style w:type="paragraph" w:customStyle="1" w:styleId="68">
    <w:name w:val="前言、引言标题"/>
    <w:next w:val="1"/>
    <w:qFormat/>
    <w:uiPriority w:val="0"/>
    <w:pPr>
      <w:numPr>
        <w:ilvl w:val="0"/>
        <w:numId w:val="2"/>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69">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70">
    <w:name w:val="五级条标题"/>
    <w:basedOn w:val="71"/>
    <w:next w:val="62"/>
    <w:qFormat/>
    <w:uiPriority w:val="99"/>
    <w:pPr>
      <w:numPr>
        <w:ilvl w:val="6"/>
      </w:numPr>
      <w:outlineLvl w:val="6"/>
    </w:pPr>
  </w:style>
  <w:style w:type="paragraph" w:customStyle="1" w:styleId="71">
    <w:name w:val="四级条标题"/>
    <w:basedOn w:val="72"/>
    <w:next w:val="62"/>
    <w:qFormat/>
    <w:uiPriority w:val="99"/>
    <w:pPr>
      <w:numPr>
        <w:ilvl w:val="5"/>
      </w:numPr>
      <w:outlineLvl w:val="5"/>
    </w:pPr>
  </w:style>
  <w:style w:type="paragraph" w:customStyle="1" w:styleId="72">
    <w:name w:val="三级条标题"/>
    <w:basedOn w:val="73"/>
    <w:next w:val="62"/>
    <w:qFormat/>
    <w:uiPriority w:val="99"/>
    <w:pPr>
      <w:numPr>
        <w:ilvl w:val="4"/>
      </w:numPr>
      <w:outlineLvl w:val="4"/>
    </w:pPr>
  </w:style>
  <w:style w:type="paragraph" w:customStyle="1" w:styleId="73">
    <w:name w:val="二级条标题"/>
    <w:basedOn w:val="74"/>
    <w:next w:val="62"/>
    <w:qFormat/>
    <w:uiPriority w:val="99"/>
    <w:pPr>
      <w:numPr>
        <w:ilvl w:val="3"/>
      </w:numPr>
      <w:outlineLvl w:val="3"/>
    </w:pPr>
  </w:style>
  <w:style w:type="paragraph" w:customStyle="1" w:styleId="74">
    <w:name w:val="一级条标题"/>
    <w:next w:val="62"/>
    <w:qFormat/>
    <w:uiPriority w:val="99"/>
    <w:pPr>
      <w:numPr>
        <w:ilvl w:val="2"/>
        <w:numId w:val="2"/>
      </w:numPr>
      <w:outlineLvl w:val="2"/>
    </w:pPr>
    <w:rPr>
      <w:rFonts w:ascii="Times New Roman" w:hAnsi="Times New Roman" w:eastAsia="黑体" w:cs="Times New Roman"/>
      <w:sz w:val="21"/>
      <w:lang w:val="en-US" w:eastAsia="zh-CN" w:bidi="ar-SA"/>
    </w:rPr>
  </w:style>
  <w:style w:type="paragraph" w:customStyle="1" w:styleId="75">
    <w:name w:val="Char Char Char Char"/>
    <w:basedOn w:val="1"/>
    <w:qFormat/>
    <w:uiPriority w:val="0"/>
    <w:rPr>
      <w:sz w:val="32"/>
      <w:szCs w:val="32"/>
    </w:rPr>
  </w:style>
  <w:style w:type="paragraph" w:customStyle="1" w:styleId="76">
    <w:name w:val="正文表标题"/>
    <w:next w:val="62"/>
    <w:qFormat/>
    <w:uiPriority w:val="0"/>
    <w:pPr>
      <w:numPr>
        <w:ilvl w:val="0"/>
        <w:numId w:val="3"/>
      </w:numPr>
      <w:jc w:val="center"/>
    </w:pPr>
    <w:rPr>
      <w:rFonts w:ascii="黑体" w:hAnsi="Times New Roman" w:eastAsia="黑体" w:cs="Times New Roman"/>
      <w:sz w:val="21"/>
      <w:lang w:val="en-US" w:eastAsia="zh-CN" w:bidi="ar-SA"/>
    </w:rPr>
  </w:style>
  <w:style w:type="paragraph" w:styleId="77">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78">
    <w:name w:val="Char"/>
    <w:basedOn w:val="1"/>
    <w:qFormat/>
    <w:uiPriority w:val="0"/>
    <w:pPr>
      <w:tabs>
        <w:tab w:val="left" w:pos="4665"/>
        <w:tab w:val="left" w:pos="8970"/>
      </w:tabs>
      <w:ind w:firstLine="400"/>
    </w:pPr>
    <w:rPr>
      <w:rFonts w:ascii="Tahoma" w:hAnsi="Tahoma" w:cs="Tahoma"/>
    </w:rPr>
  </w:style>
  <w:style w:type="paragraph" w:customStyle="1" w:styleId="79">
    <w:name w:val="Char Char Char Char1"/>
    <w:basedOn w:val="1"/>
    <w:qFormat/>
    <w:uiPriority w:val="0"/>
    <w:rPr>
      <w:sz w:val="32"/>
      <w:szCs w:val="32"/>
    </w:rPr>
  </w:style>
  <w:style w:type="paragraph" w:customStyle="1" w:styleId="80">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81">
    <w:name w:val="Char2"/>
    <w:basedOn w:val="1"/>
    <w:qFormat/>
    <w:uiPriority w:val="0"/>
    <w:rPr>
      <w:rFonts w:ascii="Tahoma" w:hAnsi="Tahoma"/>
      <w:szCs w:val="20"/>
    </w:rPr>
  </w:style>
  <w:style w:type="paragraph" w:styleId="82">
    <w:name w:val="List Paragraph"/>
    <w:basedOn w:val="1"/>
    <w:link w:val="130"/>
    <w:qFormat/>
    <w:uiPriority w:val="34"/>
    <w:pPr>
      <w:ind w:firstLine="420"/>
    </w:pPr>
    <w:rPr>
      <w:rFonts w:ascii="Calibri" w:hAnsi="Calibri"/>
      <w:szCs w:val="22"/>
      <w:lang w:val="sq-AL"/>
    </w:rPr>
  </w:style>
  <w:style w:type="paragraph" w:customStyle="1" w:styleId="83">
    <w:name w:val="章标题"/>
    <w:next w:val="62"/>
    <w:qFormat/>
    <w:uiPriority w:val="99"/>
    <w:pPr>
      <w:numPr>
        <w:ilvl w:val="1"/>
        <w:numId w:val="2"/>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84">
    <w:name w:val="Char21"/>
    <w:basedOn w:val="1"/>
    <w:qFormat/>
    <w:uiPriority w:val="0"/>
    <w:rPr>
      <w:rFonts w:ascii="Tahoma" w:hAnsi="Tahoma"/>
      <w:szCs w:val="20"/>
    </w:rPr>
  </w:style>
  <w:style w:type="paragraph" w:customStyle="1" w:styleId="85">
    <w:name w:val="TOC 标题1"/>
    <w:basedOn w:val="2"/>
    <w:next w:val="1"/>
    <w:qFormat/>
    <w:uiPriority w:val="39"/>
    <w:pPr>
      <w:widowControl/>
      <w:spacing w:before="480" w:line="276" w:lineRule="auto"/>
      <w:jc w:val="left"/>
      <w:outlineLvl w:val="9"/>
    </w:pPr>
    <w:rPr>
      <w:rFonts w:ascii="Cambria" w:hAnsi="Cambria"/>
      <w:bCs/>
      <w:color w:val="365F91"/>
      <w:kern w:val="0"/>
      <w:sz w:val="28"/>
      <w:szCs w:val="28"/>
    </w:rPr>
  </w:style>
  <w:style w:type="table" w:customStyle="1" w:styleId="86">
    <w:name w:val="网格型1"/>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
    <w:name w:val="网格型2"/>
    <w:basedOn w:val="30"/>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8">
    <w:name w:val="15"/>
    <w:basedOn w:val="32"/>
    <w:qFormat/>
    <w:uiPriority w:val="0"/>
    <w:rPr>
      <w:rFonts w:hint="eastAsia" w:ascii="宋体" w:hAnsi="宋体" w:eastAsia="宋体"/>
      <w:color w:val="000000"/>
      <w:sz w:val="22"/>
      <w:szCs w:val="22"/>
      <w:u w:val="single"/>
    </w:rPr>
  </w:style>
  <w:style w:type="character" w:customStyle="1" w:styleId="89">
    <w:name w:val="16"/>
    <w:basedOn w:val="32"/>
    <w:qFormat/>
    <w:uiPriority w:val="0"/>
    <w:rPr>
      <w:rFonts w:hint="eastAsia" w:ascii="宋体" w:hAnsi="宋体" w:eastAsia="宋体"/>
      <w:color w:val="000000"/>
      <w:sz w:val="22"/>
      <w:szCs w:val="22"/>
    </w:rPr>
  </w:style>
  <w:style w:type="paragraph" w:customStyle="1" w:styleId="90">
    <w:name w:val="msolistparagraph"/>
    <w:basedOn w:val="1"/>
    <w:qFormat/>
    <w:uiPriority w:val="0"/>
    <w:pPr>
      <w:ind w:firstLine="420"/>
    </w:pPr>
    <w:rPr>
      <w:rFonts w:hint="eastAsia" w:ascii="等线" w:hAnsi="等线" w:eastAsia="等线"/>
      <w:szCs w:val="22"/>
    </w:rPr>
  </w:style>
  <w:style w:type="character" w:customStyle="1" w:styleId="91">
    <w:name w:val="normaltextrun"/>
    <w:basedOn w:val="32"/>
    <w:qFormat/>
    <w:uiPriority w:val="0"/>
  </w:style>
  <w:style w:type="paragraph" w:customStyle="1" w:styleId="92">
    <w:name w:val="paragraph"/>
    <w:basedOn w:val="1"/>
    <w:qFormat/>
    <w:uiPriority w:val="0"/>
    <w:pPr>
      <w:widowControl/>
      <w:spacing w:before="100" w:beforeAutospacing="1" w:after="100" w:afterAutospacing="1"/>
      <w:jc w:val="left"/>
    </w:pPr>
    <w:rPr>
      <w:rFonts w:eastAsia="Times New Roman"/>
      <w:kern w:val="0"/>
    </w:rPr>
  </w:style>
  <w:style w:type="character" w:customStyle="1" w:styleId="93">
    <w:name w:val="eop"/>
    <w:basedOn w:val="32"/>
    <w:qFormat/>
    <w:uiPriority w:val="0"/>
  </w:style>
  <w:style w:type="table" w:customStyle="1" w:styleId="94">
    <w:name w:val="TableGrid"/>
    <w:qFormat/>
    <w:uiPriority w:val="0"/>
    <w:rPr>
      <w:rFonts w:asciiTheme="minorHAnsi" w:hAnsiTheme="minorHAnsi" w:eastAsiaTheme="minorEastAsia" w:cstheme="minorBidi"/>
      <w:kern w:val="2"/>
      <w:sz w:val="24"/>
      <w:szCs w:val="22"/>
      <w:lang w:eastAsia="zh-TW"/>
    </w:rPr>
    <w:tblPr>
      <w:tblCellMar>
        <w:top w:w="0" w:type="dxa"/>
        <w:left w:w="0" w:type="dxa"/>
        <w:bottom w:w="0" w:type="dxa"/>
        <w:right w:w="0" w:type="dxa"/>
      </w:tblCellMar>
    </w:tblPr>
  </w:style>
  <w:style w:type="character" w:customStyle="1" w:styleId="95">
    <w:name w:val="op_dict_text2"/>
    <w:basedOn w:val="32"/>
    <w:qFormat/>
    <w:uiPriority w:val="0"/>
  </w:style>
  <w:style w:type="character" w:customStyle="1" w:styleId="96">
    <w:name w:val="scxp254264459"/>
    <w:basedOn w:val="32"/>
    <w:qFormat/>
    <w:uiPriority w:val="0"/>
  </w:style>
  <w:style w:type="character" w:styleId="97">
    <w:name w:val="Placeholder Text"/>
    <w:basedOn w:val="32"/>
    <w:unhideWhenUsed/>
    <w:qFormat/>
    <w:uiPriority w:val="99"/>
    <w:rPr>
      <w:color w:val="808080"/>
    </w:rPr>
  </w:style>
  <w:style w:type="paragraph" w:customStyle="1" w:styleId="98">
    <w:name w:val="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character" w:customStyle="1" w:styleId="99">
    <w:name w:val="high-light-bg4"/>
    <w:basedOn w:val="32"/>
    <w:qFormat/>
    <w:uiPriority w:val="0"/>
  </w:style>
  <w:style w:type="character" w:customStyle="1" w:styleId="100">
    <w:name w:val="批注文字 字符1"/>
    <w:basedOn w:val="32"/>
    <w:semiHidden/>
    <w:qFormat/>
    <w:uiPriority w:val="99"/>
  </w:style>
  <w:style w:type="table" w:customStyle="1" w:styleId="101">
    <w:name w:val="网格型3"/>
    <w:basedOn w:val="30"/>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02">
    <w:name w:val="标题 61"/>
    <w:basedOn w:val="1"/>
    <w:next w:val="1"/>
    <w:semiHidden/>
    <w:unhideWhenUsed/>
    <w:qFormat/>
    <w:uiPriority w:val="9"/>
    <w:pPr>
      <w:keepNext/>
      <w:keepLines/>
      <w:spacing w:before="240" w:after="64" w:line="320" w:lineRule="auto"/>
      <w:outlineLvl w:val="5"/>
    </w:pPr>
    <w:rPr>
      <w:rFonts w:ascii="Cambria" w:hAnsi="Cambria"/>
      <w:b/>
      <w:bCs/>
    </w:rPr>
  </w:style>
  <w:style w:type="paragraph" w:customStyle="1" w:styleId="103">
    <w:name w:val="标题1"/>
    <w:basedOn w:val="1"/>
    <w:next w:val="1"/>
    <w:qFormat/>
    <w:uiPriority w:val="10"/>
    <w:pPr>
      <w:spacing w:line="240" w:lineRule="auto"/>
      <w:jc w:val="center"/>
      <w:outlineLvl w:val="0"/>
    </w:pPr>
    <w:rPr>
      <w:rFonts w:ascii="Cambria" w:hAnsi="Cambria"/>
      <w:b/>
      <w:bCs/>
      <w:sz w:val="32"/>
      <w:szCs w:val="32"/>
    </w:rPr>
  </w:style>
  <w:style w:type="character" w:customStyle="1" w:styleId="104">
    <w:name w:val="标题 字符"/>
    <w:basedOn w:val="32"/>
    <w:link w:val="28"/>
    <w:qFormat/>
    <w:uiPriority w:val="10"/>
    <w:rPr>
      <w:rFonts w:ascii="Cambria" w:hAnsi="Cambria" w:eastAsia="宋体" w:cs="Times New Roman"/>
      <w:b/>
      <w:bCs/>
      <w:sz w:val="32"/>
      <w:szCs w:val="32"/>
    </w:rPr>
  </w:style>
  <w:style w:type="paragraph" w:customStyle="1" w:styleId="105">
    <w:name w:val="MTDisplayEquation"/>
    <w:basedOn w:val="1"/>
    <w:next w:val="1"/>
    <w:link w:val="106"/>
    <w:qFormat/>
    <w:uiPriority w:val="0"/>
    <w:pPr>
      <w:tabs>
        <w:tab w:val="center" w:pos="4160"/>
        <w:tab w:val="right" w:pos="8300"/>
      </w:tabs>
      <w:spacing w:line="240" w:lineRule="auto"/>
      <w:jc w:val="center"/>
    </w:pPr>
    <w:rPr>
      <w:szCs w:val="22"/>
    </w:rPr>
  </w:style>
  <w:style w:type="character" w:customStyle="1" w:styleId="106">
    <w:name w:val="MTDisplayEquation Char"/>
    <w:basedOn w:val="32"/>
    <w:link w:val="105"/>
    <w:qFormat/>
    <w:uiPriority w:val="0"/>
    <w:rPr>
      <w:kern w:val="2"/>
      <w:sz w:val="21"/>
      <w:szCs w:val="22"/>
    </w:rPr>
  </w:style>
  <w:style w:type="table" w:customStyle="1" w:styleId="107">
    <w:name w:val="网格型4"/>
    <w:basedOn w:val="30"/>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08">
    <w:name w:val="xl24"/>
    <w:basedOn w:val="1"/>
    <w:qFormat/>
    <w:uiPriority w:val="0"/>
    <w:pPr>
      <w:widowControl/>
      <w:spacing w:before="100" w:beforeAutospacing="1" w:after="100" w:afterAutospacing="1" w:line="240" w:lineRule="auto"/>
      <w:jc w:val="center"/>
    </w:pPr>
    <w:rPr>
      <w:rFonts w:ascii="宋体" w:hAnsi="宋体"/>
      <w:kern w:val="0"/>
    </w:rPr>
  </w:style>
  <w:style w:type="character" w:customStyle="1" w:styleId="109">
    <w:name w:val="apple-converted-space"/>
    <w:basedOn w:val="32"/>
    <w:qFormat/>
    <w:uiPriority w:val="0"/>
  </w:style>
  <w:style w:type="paragraph" w:customStyle="1" w:styleId="110">
    <w:name w:val="ordinary-output"/>
    <w:basedOn w:val="1"/>
    <w:qFormat/>
    <w:uiPriority w:val="0"/>
    <w:pPr>
      <w:widowControl/>
      <w:spacing w:before="100" w:beforeAutospacing="1" w:after="75" w:line="330" w:lineRule="atLeast"/>
      <w:jc w:val="left"/>
    </w:pPr>
    <w:rPr>
      <w:rFonts w:ascii="宋体" w:hAnsi="宋体" w:cs="宋体"/>
      <w:color w:val="333333"/>
      <w:kern w:val="0"/>
      <w:sz w:val="27"/>
      <w:szCs w:val="27"/>
    </w:rPr>
  </w:style>
  <w:style w:type="paragraph" w:customStyle="1" w:styleId="111">
    <w:name w:val="分项目要点描述"/>
    <w:basedOn w:val="1"/>
    <w:qFormat/>
    <w:uiPriority w:val="0"/>
    <w:rPr>
      <w:b/>
    </w:rPr>
  </w:style>
  <w:style w:type="paragraph" w:customStyle="1" w:styleId="112">
    <w:name w:val="描述正文"/>
    <w:basedOn w:val="1"/>
    <w:qFormat/>
    <w:uiPriority w:val="0"/>
    <w:pPr>
      <w:spacing w:line="240" w:lineRule="auto"/>
    </w:pPr>
  </w:style>
  <w:style w:type="paragraph" w:customStyle="1" w:styleId="113">
    <w:name w:val="分项备注"/>
    <w:basedOn w:val="112"/>
    <w:qFormat/>
    <w:uiPriority w:val="0"/>
    <w:rPr>
      <w:rFonts w:ascii="楷体_GB2312" w:hAnsi="楷体_GB2312" w:eastAsia="楷体_GB2312"/>
    </w:rPr>
  </w:style>
  <w:style w:type="character" w:customStyle="1" w:styleId="114">
    <w:name w:val="con"/>
    <w:basedOn w:val="32"/>
    <w:qFormat/>
    <w:uiPriority w:val="0"/>
  </w:style>
  <w:style w:type="character" w:customStyle="1" w:styleId="115">
    <w:name w:val="正文文本缩进 字符"/>
    <w:basedOn w:val="32"/>
    <w:link w:val="12"/>
    <w:qFormat/>
    <w:uiPriority w:val="99"/>
    <w:rPr>
      <w:kern w:val="2"/>
      <w:sz w:val="24"/>
      <w:szCs w:val="24"/>
    </w:rPr>
  </w:style>
  <w:style w:type="paragraph" w:customStyle="1" w:styleId="116">
    <w:name w:val="列出段落1"/>
    <w:basedOn w:val="1"/>
    <w:qFormat/>
    <w:uiPriority w:val="34"/>
    <w:pPr>
      <w:spacing w:line="240" w:lineRule="auto"/>
      <w:ind w:firstLine="420"/>
    </w:pPr>
    <w:rPr>
      <w:rFonts w:ascii="Calibri" w:hAnsi="Calibri"/>
      <w:szCs w:val="22"/>
      <w:lang w:val="sq-AL"/>
    </w:rPr>
  </w:style>
  <w:style w:type="character" w:customStyle="1" w:styleId="117">
    <w:name w:val="fontstyle01"/>
    <w:basedOn w:val="32"/>
    <w:qFormat/>
    <w:uiPriority w:val="0"/>
    <w:rPr>
      <w:rFonts w:hint="default" w:ascii="TimesNewRomanPS-BoldMT" w:hAnsi="TimesNewRomanPS-BoldMT"/>
      <w:b/>
      <w:bCs/>
      <w:color w:val="231F20"/>
      <w:sz w:val="22"/>
      <w:szCs w:val="22"/>
    </w:rPr>
  </w:style>
  <w:style w:type="character" w:customStyle="1" w:styleId="118">
    <w:name w:val="fontstyle21"/>
    <w:basedOn w:val="32"/>
    <w:qFormat/>
    <w:uiPriority w:val="0"/>
    <w:rPr>
      <w:rFonts w:hint="default" w:ascii="TimesNewRomanPSMT" w:hAnsi="TimesNewRomanPSMT"/>
      <w:color w:val="231F20"/>
      <w:sz w:val="22"/>
      <w:szCs w:val="22"/>
    </w:rPr>
  </w:style>
  <w:style w:type="character" w:customStyle="1" w:styleId="119">
    <w:name w:val="标题 6 字符"/>
    <w:basedOn w:val="32"/>
    <w:link w:val="7"/>
    <w:semiHidden/>
    <w:qFormat/>
    <w:uiPriority w:val="9"/>
    <w:rPr>
      <w:rFonts w:ascii="Cambria" w:hAnsi="Cambria" w:eastAsia="宋体" w:cs="Times New Roman"/>
      <w:b/>
      <w:bCs/>
      <w:sz w:val="24"/>
      <w:szCs w:val="24"/>
    </w:rPr>
  </w:style>
  <w:style w:type="table" w:customStyle="1" w:styleId="120">
    <w:name w:val="网格表 1 浅色 - 着色 51"/>
    <w:basedOn w:val="30"/>
    <w:qFormat/>
    <w:uiPriority w:val="46"/>
    <w:rPr>
      <w:rFonts w:ascii="Calibri" w:hAnsi="Calibri"/>
      <w:kern w:val="2"/>
      <w:sz w:val="21"/>
      <w:szCs w:val="22"/>
    </w:rPr>
    <w:tblPr>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Pr>
    <w:tblStylePr w:type="firstRow">
      <w:rPr>
        <w:b/>
        <w:bCs/>
      </w:rPr>
      <w:tcPr>
        <w:tcBorders>
          <w:bottom w:val="single" w:color="92CDDC" w:sz="12" w:space="0"/>
        </w:tcBorders>
      </w:tcPr>
    </w:tblStylePr>
    <w:tblStylePr w:type="lastRow">
      <w:rPr>
        <w:b/>
        <w:bCs/>
      </w:rPr>
      <w:tcPr>
        <w:tcBorders>
          <w:top w:val="double" w:color="92CDDC" w:sz="2" w:space="0"/>
        </w:tcBorders>
      </w:tcPr>
    </w:tblStylePr>
    <w:tblStylePr w:type="firstCol">
      <w:rPr>
        <w:b/>
        <w:bCs/>
      </w:rPr>
    </w:tblStylePr>
    <w:tblStylePr w:type="lastCol">
      <w:rPr>
        <w:b/>
        <w:bCs/>
      </w:rPr>
    </w:tblStylePr>
  </w:style>
  <w:style w:type="table" w:customStyle="1" w:styleId="121">
    <w:name w:val="网格表 4 - 着色 11"/>
    <w:basedOn w:val="30"/>
    <w:qFormat/>
    <w:uiPriority w:val="49"/>
    <w:rPr>
      <w:rFonts w:ascii="Calibri" w:hAnsi="Calibri"/>
      <w:kern w:val="2"/>
      <w:sz w:val="21"/>
      <w:szCs w:val="22"/>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character" w:customStyle="1" w:styleId="122">
    <w:name w:val="标题 字符1"/>
    <w:basedOn w:val="32"/>
    <w:qFormat/>
    <w:uiPriority w:val="0"/>
    <w:rPr>
      <w:rFonts w:asciiTheme="majorHAnsi" w:hAnsiTheme="majorHAnsi" w:eastAsiaTheme="majorEastAsia" w:cstheme="majorBidi"/>
      <w:b/>
      <w:bCs/>
      <w:kern w:val="2"/>
      <w:sz w:val="32"/>
      <w:szCs w:val="32"/>
    </w:rPr>
  </w:style>
  <w:style w:type="character" w:customStyle="1" w:styleId="123">
    <w:name w:val="标题 6 字符1"/>
    <w:basedOn w:val="32"/>
    <w:semiHidden/>
    <w:qFormat/>
    <w:uiPriority w:val="0"/>
    <w:rPr>
      <w:rFonts w:asciiTheme="majorHAnsi" w:hAnsiTheme="majorHAnsi" w:eastAsiaTheme="majorEastAsia" w:cstheme="majorBidi"/>
      <w:b/>
      <w:bCs/>
      <w:kern w:val="2"/>
      <w:sz w:val="24"/>
      <w:szCs w:val="24"/>
    </w:rPr>
  </w:style>
  <w:style w:type="table" w:customStyle="1" w:styleId="124">
    <w:name w:val="网格表 1 浅色 - 着色 52"/>
    <w:basedOn w:val="30"/>
    <w:qFormat/>
    <w:uiPriority w:val="46"/>
    <w:tblPr>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Pr>
    <w:tblStylePr w:type="firstRow">
      <w:rPr>
        <w:b/>
        <w:bCs/>
      </w:rPr>
      <w:tcPr>
        <w:tcBorders>
          <w:bottom w:val="single" w:color="9CC2E5" w:themeColor="accent5" w:themeTint="99" w:sz="12" w:space="0"/>
        </w:tcBorders>
      </w:tcPr>
    </w:tblStylePr>
    <w:tblStylePr w:type="lastRow">
      <w:rPr>
        <w:b/>
        <w:bCs/>
      </w:rPr>
      <w:tcPr>
        <w:tcBorders>
          <w:top w:val="double" w:color="9CC2E5" w:themeColor="accent5" w:themeTint="99" w:sz="2" w:space="0"/>
        </w:tcBorders>
      </w:tcPr>
    </w:tblStylePr>
    <w:tblStylePr w:type="firstCol">
      <w:rPr>
        <w:b/>
        <w:bCs/>
      </w:rPr>
    </w:tblStylePr>
    <w:tblStylePr w:type="lastCol">
      <w:rPr>
        <w:b/>
        <w:bCs/>
      </w:rPr>
    </w:tblStylePr>
  </w:style>
  <w:style w:type="table" w:customStyle="1" w:styleId="125">
    <w:name w:val="网格表 4 - 着色 12"/>
    <w:basedOn w:val="30"/>
    <w:qFormat/>
    <w:uiPriority w:val="49"/>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color w:val="FFFFFF" w:themeColor="background1"/>
        <w14:textFill>
          <w14:solidFill>
            <w14:schemeClr w14:val="bg1"/>
          </w14:solidFill>
        </w14:textFill>
      </w:rPr>
      <w:tcPr>
        <w:tcBorders>
          <w:top w:val="single" w:color="4472C4" w:themeColor="accent1" w:sz="4" w:space="0"/>
          <w:left w:val="single" w:color="4472C4" w:themeColor="accent1" w:sz="4" w:space="0"/>
          <w:bottom w:val="single" w:color="4472C4" w:themeColor="accent1" w:sz="4" w:space="0"/>
          <w:right w:val="single" w:color="4472C4" w:themeColor="accent1" w:sz="4" w:space="0"/>
          <w:insideH w:val="nil"/>
          <w:insideV w:val="nil"/>
        </w:tcBorders>
        <w:shd w:val="clear" w:color="auto" w:fill="4472C4" w:themeFill="accent1"/>
      </w:tcPr>
    </w:tblStylePr>
    <w:tblStylePr w:type="lastRow">
      <w:rPr>
        <w:b/>
        <w:bCs/>
      </w:rPr>
      <w:tcPr>
        <w:tcBorders>
          <w:top w:val="double" w:color="4472C4" w:themeColor="accent1" w:sz="4" w:space="0"/>
        </w:tcBorders>
      </w:tcPr>
    </w:tblStylePr>
    <w:tblStylePr w:type="firstCol">
      <w:rPr>
        <w:b/>
        <w:bCs/>
      </w:rPr>
    </w:tblStylePr>
    <w:tblStylePr w:type="lastCol">
      <w:rPr>
        <w:b/>
        <w:bCs/>
      </w:rPr>
    </w:tblStylePr>
    <w:tblStylePr w:type="band1Vert">
      <w:tcPr>
        <w:shd w:val="clear" w:color="auto" w:fill="D9E2F3" w:themeFill="accent1" w:themeFillTint="33"/>
      </w:tcPr>
    </w:tblStylePr>
    <w:tblStylePr w:type="band1Horz">
      <w:tcPr>
        <w:shd w:val="clear" w:color="auto" w:fill="D9E2F3" w:themeFill="accent1" w:themeFillTint="33"/>
      </w:tcPr>
    </w:tblStylePr>
  </w:style>
  <w:style w:type="paragraph" w:customStyle="1" w:styleId="126">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27">
    <w:name w:val="章名"/>
    <w:basedOn w:val="1"/>
    <w:next w:val="1"/>
    <w:qFormat/>
    <w:uiPriority w:val="0"/>
    <w:pPr>
      <w:keepNext/>
      <w:keepLines/>
      <w:spacing w:before="260" w:after="260" w:line="415" w:lineRule="auto"/>
      <w:jc w:val="center"/>
      <w:outlineLvl w:val="1"/>
    </w:pPr>
    <w:rPr>
      <w:rFonts w:hint="eastAsia"/>
      <w:b/>
      <w:bCs/>
      <w:sz w:val="30"/>
      <w:szCs w:val="30"/>
    </w:rPr>
  </w:style>
  <w:style w:type="paragraph" w:customStyle="1" w:styleId="128">
    <w:name w:val="标准—条"/>
    <w:basedOn w:val="82"/>
    <w:link w:val="131"/>
    <w:qFormat/>
    <w:uiPriority w:val="0"/>
    <w:pPr>
      <w:spacing w:line="276" w:lineRule="auto"/>
      <w:ind w:firstLine="200"/>
      <w:pPrChange w:id="0" w:author="WPS_1650511220" w:date="2025-11-11T10:30:00Z">
        <w:pPr>
          <w:widowControl w:val="0"/>
          <w:spacing w:line="276" w:lineRule="auto"/>
          <w:jc w:val="both"/>
        </w:pPr>
      </w:pPrChange>
    </w:pPr>
    <w:rPr>
      <w:rFonts w:ascii="Times New Roman" w:hAnsi="Times New Roman"/>
      <w:color w:val="000000" w:themeColor="text1"/>
      <w:rPrChange w:id="1" w:author="WPS_1650511220" w:date="2025-11-11T10:30:00Z">
        <w:rPr>
          <w:rFonts w:ascii="仿宋" w:hAnsi="仿宋" w:eastAsia="仿宋"/>
          <w:color w:val="000000" w:themeColor="text1"/>
          <w:kern w:val="2"/>
          <w:sz w:val="21"/>
          <w:szCs w:val="22"/>
          <w:lang w:val="sq-AL" w:eastAsia="zh-CN" w:bidi="ar-SA"/>
          <w14:textFill>
            <w14:solidFill>
              <w14:schemeClr w14:val="tx1"/>
            </w14:solidFill>
          </w14:textFill>
        </w:rPr>
      </w:rPrChange>
      <w14:textFill>
        <w14:solidFill>
          <w14:schemeClr w14:val="tx1"/>
        </w14:solidFill>
      </w14:textFill>
    </w:rPr>
  </w:style>
  <w:style w:type="paragraph" w:customStyle="1" w:styleId="129">
    <w:name w:val="第三章条"/>
    <w:basedOn w:val="62"/>
    <w:next w:val="1"/>
    <w:link w:val="133"/>
    <w:qFormat/>
    <w:uiPriority w:val="0"/>
    <w:pPr>
      <w:numPr>
        <w:numId w:val="4"/>
      </w:numPr>
      <w:tabs>
        <w:tab w:val="left" w:pos="839"/>
      </w:tabs>
      <w:spacing w:line="360" w:lineRule="auto"/>
    </w:pPr>
    <w:rPr>
      <w:color w:val="000000" w:themeColor="text1"/>
      <w14:textFill>
        <w14:solidFill>
          <w14:schemeClr w14:val="tx1"/>
        </w14:solidFill>
      </w14:textFill>
    </w:rPr>
  </w:style>
  <w:style w:type="character" w:customStyle="1" w:styleId="130">
    <w:name w:val="列表段落 字符"/>
    <w:basedOn w:val="32"/>
    <w:link w:val="82"/>
    <w:qFormat/>
    <w:uiPriority w:val="34"/>
    <w:rPr>
      <w:rFonts w:ascii="Calibri" w:hAnsi="Calibri"/>
      <w:kern w:val="2"/>
      <w:sz w:val="21"/>
      <w:szCs w:val="22"/>
      <w:lang w:val="sq-AL"/>
    </w:rPr>
  </w:style>
  <w:style w:type="character" w:customStyle="1" w:styleId="131">
    <w:name w:val="标准—条 字符"/>
    <w:basedOn w:val="130"/>
    <w:link w:val="128"/>
    <w:qFormat/>
    <w:uiPriority w:val="0"/>
    <w:rPr>
      <w:rFonts w:ascii="Calibri" w:hAnsi="Calibri"/>
      <w:color w:val="000000" w:themeColor="text1"/>
      <w:kern w:val="2"/>
      <w:sz w:val="24"/>
      <w:szCs w:val="22"/>
      <w:lang w:val="sq-AL"/>
      <w14:textFill>
        <w14:solidFill>
          <w14:schemeClr w14:val="tx1"/>
        </w14:solidFill>
      </w14:textFill>
    </w:rPr>
  </w:style>
  <w:style w:type="paragraph" w:customStyle="1" w:styleId="132">
    <w:name w:val="第四章第一节条"/>
    <w:basedOn w:val="62"/>
    <w:next w:val="1"/>
    <w:link w:val="134"/>
    <w:qFormat/>
    <w:uiPriority w:val="0"/>
    <w:pPr>
      <w:numPr>
        <w:numId w:val="5"/>
      </w:numPr>
      <w:spacing w:line="360" w:lineRule="auto"/>
    </w:pPr>
    <w:rPr>
      <w:color w:val="000000" w:themeColor="text1"/>
      <w:szCs w:val="21"/>
      <w14:textFill>
        <w14:solidFill>
          <w14:schemeClr w14:val="tx1"/>
        </w14:solidFill>
      </w14:textFill>
    </w:rPr>
  </w:style>
  <w:style w:type="character" w:customStyle="1" w:styleId="133">
    <w:name w:val="第三章条 字符"/>
    <w:basedOn w:val="61"/>
    <w:link w:val="129"/>
    <w:qFormat/>
    <w:uiPriority w:val="0"/>
    <w:rPr>
      <w:color w:val="000000" w:themeColor="text1"/>
      <w:sz w:val="24"/>
      <w14:textFill>
        <w14:solidFill>
          <w14:schemeClr w14:val="tx1"/>
        </w14:solidFill>
      </w14:textFill>
    </w:rPr>
  </w:style>
  <w:style w:type="character" w:customStyle="1" w:styleId="134">
    <w:name w:val="第四章第一节条 字符"/>
    <w:basedOn w:val="130"/>
    <w:link w:val="132"/>
    <w:qFormat/>
    <w:uiPriority w:val="0"/>
    <w:rPr>
      <w:rFonts w:ascii="Calibri" w:hAnsi="Calibri"/>
      <w:color w:val="000000" w:themeColor="text1"/>
      <w:kern w:val="2"/>
      <w:sz w:val="24"/>
      <w:szCs w:val="21"/>
      <w:lang w:val="sq-AL"/>
      <w14:textFill>
        <w14:solidFill>
          <w14:schemeClr w14:val="tx1"/>
        </w14:solidFill>
      </w14:textFill>
    </w:rPr>
  </w:style>
  <w:style w:type="paragraph" w:customStyle="1" w:styleId="135">
    <w:name w:val="修订3"/>
    <w:hidden/>
    <w:unhideWhenUsed/>
    <w:qFormat/>
    <w:uiPriority w:val="99"/>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8.xml"/><Relationship Id="rId17" Type="http://schemas.openxmlformats.org/officeDocument/2006/relationships/header" Target="header6.xml"/><Relationship Id="rId16" Type="http://schemas.openxmlformats.org/officeDocument/2006/relationships/header" Target="header5.xml"/><Relationship Id="rId15" Type="http://schemas.openxmlformats.org/officeDocument/2006/relationships/header" Target="header4.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7F672B-E84E-4290-A4E5-5A81579EDCDD}">
  <ds:schemaRefs/>
</ds:datastoreItem>
</file>

<file path=docProps/app.xml><?xml version="1.0" encoding="utf-8"?>
<Properties xmlns="http://schemas.openxmlformats.org/officeDocument/2006/extended-properties" xmlns:vt="http://schemas.openxmlformats.org/officeDocument/2006/docPropsVTypes">
  <Template>Normal.dotm</Template>
  <Pages>43</Pages>
  <Words>25465</Words>
  <Characters>30298</Characters>
  <Lines>240</Lines>
  <Paragraphs>67</Paragraphs>
  <TotalTime>1</TotalTime>
  <ScaleCrop>false</ScaleCrop>
  <LinksUpToDate>false</LinksUpToDate>
  <CharactersWithSpaces>32170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2025-11-27T07:42:00Z</dcterms:created>
  <dc:creator>lenovo</dc:creator>
  <cp:lastModifiedBy>yolo</cp:lastModifiedBy>
  <cp:lastPrinted>2019-06-17T09:09:00Z</cp:lastPrinted>
  <dcterms:modified xsi:type="dcterms:W3CDTF">2025-12-17T07:49:10Z</dcterms:modified>
  <dc:title>UDC</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eyJoZGlkIjoiMGU2ZTllMjE4NmI4MjAzNjllNjkwNGYxNzQwMDdkYzQiLCJ1c2VySWQiOiIyNzE3NzcyMjQifQ==</vt:lpwstr>
  </property>
  <property fmtid="{D5CDD505-2E9C-101B-9397-08002B2CF9AE}" pid="4" name="ICV">
    <vt:lpwstr>06BD19108B194A02A1CF5DED50FEC272_13</vt:lpwstr>
  </property>
</Properties>
</file>