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ind w:firstLine="0" w:firstLineChars="0"/>
        <w:rPr>
          <w:rFonts w:hint="eastAsia" w:ascii="黑体" w:hAnsi="黑体" w:eastAsia="黑体"/>
          <w:bCs/>
          <w:sz w:val="28"/>
          <w:szCs w:val="28"/>
        </w:rPr>
      </w:pPr>
      <w:bookmarkStart w:id="0" w:name="_Hlk86648555"/>
      <w:r>
        <w:drawing>
          <wp:inline distT="0" distB="0" distL="0" distR="0">
            <wp:extent cx="1737995" cy="11493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inline>
        </w:drawing>
      </w:r>
    </w:p>
    <w:p>
      <w:pPr>
        <w:ind w:firstLine="0" w:firstLineChars="0"/>
        <w:jc w:val="right"/>
        <w:rPr>
          <w:rFonts w:hint="eastAsia" w:ascii="宋体" w:hAnsi="宋体"/>
          <w:b/>
          <w:bCs/>
          <w:szCs w:val="24"/>
        </w:rPr>
      </w:pPr>
      <w:r>
        <w:rPr>
          <w:rFonts w:cs="Times New Roman"/>
          <w:b/>
          <w:bCs/>
          <w:sz w:val="30"/>
          <w:szCs w:val="30"/>
        </w:rPr>
        <w:t xml:space="preserve">                             CECS×××—202×</w:t>
      </w:r>
      <w:r>
        <w:rPr>
          <w:rFonts w:ascii="宋体" w:hAnsi="宋体"/>
          <w:szCs w:val="24"/>
        </w:rPr>
        <w:drawing>
          <wp:inline distT="0" distB="0" distL="0" distR="0">
            <wp:extent cx="5676900" cy="8255"/>
            <wp:effectExtent l="0" t="0" r="0" b="0"/>
            <wp:docPr id="8" name="图片 8" descr="C:\Users\admin\AppData\Local\Temp\ksohtml\wps816D.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AppData\Local\Temp\ksohtml\wps816D.tmp.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676900" cy="8255"/>
                    </a:xfrm>
                    <a:prstGeom prst="rect">
                      <a:avLst/>
                    </a:prstGeom>
                    <a:noFill/>
                    <a:ln>
                      <a:noFill/>
                    </a:ln>
                  </pic:spPr>
                </pic:pic>
              </a:graphicData>
            </a:graphic>
          </wp:inline>
        </w:drawing>
      </w:r>
    </w:p>
    <w:p>
      <w:pPr>
        <w:ind w:firstLine="562"/>
        <w:jc w:val="center"/>
        <w:rPr>
          <w:rFonts w:hint="eastAsia" w:ascii="宋体" w:hAnsi="宋体"/>
          <w:b/>
          <w:szCs w:val="24"/>
        </w:rPr>
      </w:pPr>
      <w:r>
        <w:rPr>
          <w:rFonts w:hint="eastAsia" w:ascii="宋体" w:hAnsi="宋体"/>
          <w:b/>
          <w:sz w:val="28"/>
          <w:szCs w:val="24"/>
        </w:rPr>
        <w:t>中国工程建设标准化协会标准</w:t>
      </w:r>
    </w:p>
    <w:p>
      <w:pPr>
        <w:ind w:firstLine="480"/>
        <w:jc w:val="center"/>
        <w:rPr>
          <w:rFonts w:hint="eastAsia" w:ascii="宋体" w:hAnsi="宋体"/>
          <w:szCs w:val="24"/>
        </w:rPr>
      </w:pPr>
    </w:p>
    <w:p>
      <w:pPr>
        <w:ind w:firstLine="0" w:firstLineChars="0"/>
        <w:jc w:val="center"/>
        <w:rPr>
          <w:rFonts w:hint="eastAsia" w:asciiTheme="minorEastAsia" w:hAnsiTheme="minorEastAsia" w:eastAsiaTheme="minorEastAsia"/>
          <w:b/>
          <w:bCs/>
          <w:sz w:val="44"/>
          <w:szCs w:val="44"/>
        </w:rPr>
      </w:pPr>
    </w:p>
    <w:p>
      <w:pPr>
        <w:ind w:firstLine="0" w:firstLineChars="0"/>
        <w:jc w:val="center"/>
        <w:rPr>
          <w:rFonts w:hint="eastAsia" w:asciiTheme="minorEastAsia" w:hAnsiTheme="minorEastAsia" w:eastAsiaTheme="minorEastAsia"/>
          <w:b/>
          <w:bCs/>
          <w:sz w:val="44"/>
          <w:szCs w:val="44"/>
        </w:rPr>
      </w:pPr>
    </w:p>
    <w:p>
      <w:pPr>
        <w:ind w:firstLine="883"/>
        <w:jc w:val="center"/>
        <w:rPr>
          <w:rFonts w:hint="eastAsia" w:ascii="黑体" w:hAnsi="黑体" w:eastAsia="黑体"/>
          <w:b/>
          <w:bCs/>
          <w:sz w:val="44"/>
          <w:szCs w:val="44"/>
          <w:lang w:eastAsia="zh-CN"/>
        </w:rPr>
      </w:pPr>
      <w:bookmarkStart w:id="1" w:name="OLE_LINK11"/>
      <w:bookmarkStart w:id="2" w:name="OLE_LINK7"/>
      <w:r>
        <w:rPr>
          <w:rFonts w:hint="eastAsia" w:ascii="黑体" w:hAnsi="黑体" w:eastAsia="黑体"/>
          <w:b/>
          <w:bCs/>
          <w:sz w:val="44"/>
          <w:szCs w:val="44"/>
        </w:rPr>
        <w:t>泥水盾构</w:t>
      </w:r>
      <w:r>
        <w:rPr>
          <w:rFonts w:hint="eastAsia" w:ascii="黑体" w:hAnsi="黑体" w:eastAsia="黑体"/>
          <w:b/>
          <w:bCs/>
          <w:sz w:val="44"/>
          <w:szCs w:val="44"/>
          <w:lang w:val="en-US" w:eastAsia="zh-CN"/>
        </w:rPr>
        <w:t>废水</w:t>
      </w:r>
      <w:r>
        <w:rPr>
          <w:rFonts w:hint="eastAsia" w:ascii="黑体" w:hAnsi="黑体" w:eastAsia="黑体"/>
          <w:b/>
          <w:bCs/>
          <w:sz w:val="44"/>
          <w:szCs w:val="44"/>
        </w:rPr>
        <w:t>处理</w:t>
      </w:r>
      <w:bookmarkEnd w:id="1"/>
      <w:r>
        <w:rPr>
          <w:rFonts w:hint="eastAsia" w:ascii="黑体" w:hAnsi="黑体" w:eastAsia="黑体"/>
          <w:b/>
          <w:bCs/>
          <w:sz w:val="44"/>
          <w:szCs w:val="44"/>
        </w:rPr>
        <w:t>技术</w:t>
      </w:r>
      <w:r>
        <w:rPr>
          <w:rFonts w:hint="eastAsia" w:ascii="黑体" w:hAnsi="黑体" w:eastAsia="黑体"/>
          <w:b/>
          <w:bCs/>
          <w:sz w:val="44"/>
          <w:szCs w:val="44"/>
          <w:lang w:val="en-US" w:eastAsia="zh-CN"/>
        </w:rPr>
        <w:t>规程</w:t>
      </w:r>
      <w:bookmarkEnd w:id="2"/>
    </w:p>
    <w:p>
      <w:pPr>
        <w:ind w:firstLine="560"/>
        <w:jc w:val="center"/>
        <w:rPr>
          <w:rFonts w:hint="eastAsia" w:eastAsia="黑体"/>
          <w:sz w:val="28"/>
          <w:szCs w:val="28"/>
        </w:rPr>
      </w:pPr>
      <w:r>
        <w:rPr>
          <w:rFonts w:hint="eastAsia" w:eastAsia="黑体"/>
          <w:sz w:val="28"/>
          <w:szCs w:val="28"/>
        </w:rPr>
        <w:t xml:space="preserve">Technical </w:t>
      </w:r>
      <w:r>
        <w:rPr>
          <w:rFonts w:hint="eastAsia" w:eastAsia="黑体"/>
          <w:sz w:val="28"/>
          <w:szCs w:val="28"/>
          <w:lang w:val="en-US" w:eastAsia="zh-CN"/>
        </w:rPr>
        <w:t>r</w:t>
      </w:r>
      <w:r>
        <w:rPr>
          <w:rFonts w:hint="eastAsia" w:eastAsia="黑体"/>
          <w:sz w:val="28"/>
          <w:szCs w:val="28"/>
        </w:rPr>
        <w:t xml:space="preserve">egulations for </w:t>
      </w:r>
      <w:r>
        <w:rPr>
          <w:rFonts w:hint="eastAsia" w:eastAsia="黑体"/>
          <w:sz w:val="28"/>
          <w:szCs w:val="28"/>
          <w:lang w:val="en-US" w:eastAsia="zh-CN"/>
        </w:rPr>
        <w:t>w</w:t>
      </w:r>
      <w:r>
        <w:rPr>
          <w:rFonts w:hint="eastAsia" w:eastAsia="黑体"/>
          <w:sz w:val="28"/>
          <w:szCs w:val="28"/>
        </w:rPr>
        <w:t xml:space="preserve">astewater </w:t>
      </w:r>
      <w:r>
        <w:rPr>
          <w:rFonts w:hint="eastAsia" w:eastAsia="黑体"/>
          <w:sz w:val="28"/>
          <w:szCs w:val="28"/>
          <w:lang w:val="en-US" w:eastAsia="zh-CN"/>
        </w:rPr>
        <w:t>t</w:t>
      </w:r>
      <w:r>
        <w:rPr>
          <w:rFonts w:hint="eastAsia" w:eastAsia="黑体"/>
          <w:sz w:val="28"/>
          <w:szCs w:val="28"/>
        </w:rPr>
        <w:t xml:space="preserve">reatment of </w:t>
      </w:r>
      <w:r>
        <w:rPr>
          <w:rFonts w:hint="eastAsia" w:eastAsia="黑体"/>
          <w:sz w:val="28"/>
          <w:szCs w:val="28"/>
          <w:lang w:val="en-US" w:eastAsia="zh-CN"/>
        </w:rPr>
        <w:t>s</w:t>
      </w:r>
      <w:r>
        <w:rPr>
          <w:rFonts w:hint="eastAsia" w:eastAsia="黑体"/>
          <w:sz w:val="28"/>
          <w:szCs w:val="28"/>
        </w:rPr>
        <w:t xml:space="preserve">lurry </w:t>
      </w:r>
      <w:r>
        <w:rPr>
          <w:rFonts w:hint="eastAsia" w:eastAsia="黑体"/>
          <w:sz w:val="28"/>
          <w:szCs w:val="28"/>
          <w:lang w:val="en-US" w:eastAsia="zh-CN"/>
        </w:rPr>
        <w:t>s</w:t>
      </w:r>
      <w:r>
        <w:rPr>
          <w:rFonts w:hint="eastAsia" w:eastAsia="黑体"/>
          <w:sz w:val="28"/>
          <w:szCs w:val="28"/>
        </w:rPr>
        <w:t>hield</w:t>
      </w:r>
    </w:p>
    <w:p>
      <w:pPr>
        <w:ind w:firstLine="560"/>
        <w:jc w:val="center"/>
        <w:rPr>
          <w:rFonts w:eastAsia="黑体"/>
          <w:sz w:val="28"/>
          <w:szCs w:val="28"/>
        </w:rPr>
      </w:pPr>
      <w:r>
        <w:rPr>
          <w:rFonts w:hint="eastAsia" w:eastAsia="黑体"/>
          <w:sz w:val="28"/>
          <w:szCs w:val="28"/>
        </w:rPr>
        <w:t>（征求意见稿）</w:t>
      </w:r>
    </w:p>
    <w:p>
      <w:pPr>
        <w:ind w:firstLine="0" w:firstLineChars="0"/>
        <w:jc w:val="center"/>
        <w:rPr>
          <w:rFonts w:hint="eastAsia" w:cs="Times New Roman" w:asciiTheme="minorEastAsia" w:hAnsiTheme="minorEastAsia" w:eastAsiaTheme="minorEastAsia"/>
          <w:sz w:val="28"/>
          <w:szCs w:val="28"/>
        </w:rPr>
      </w:pPr>
    </w:p>
    <w:p>
      <w:pPr>
        <w:ind w:firstLine="0" w:firstLineChars="0"/>
        <w:jc w:val="center"/>
        <w:rPr>
          <w:rFonts w:hint="eastAsia" w:ascii="黑体" w:hAnsi="黑体" w:eastAsia="黑体"/>
          <w:b/>
          <w:bCs/>
          <w:sz w:val="44"/>
          <w:szCs w:val="44"/>
        </w:rPr>
      </w:pPr>
    </w:p>
    <w:p>
      <w:pPr>
        <w:ind w:firstLine="0" w:firstLineChars="0"/>
        <w:jc w:val="center"/>
        <w:rPr>
          <w:rFonts w:hint="eastAsia" w:ascii="黑体" w:hAnsi="黑体" w:eastAsia="黑体"/>
          <w:b/>
          <w:bCs/>
          <w:sz w:val="44"/>
          <w:szCs w:val="44"/>
        </w:rPr>
      </w:pPr>
    </w:p>
    <w:p>
      <w:pPr>
        <w:ind w:firstLine="0" w:firstLineChars="0"/>
        <w:jc w:val="center"/>
        <w:rPr>
          <w:rFonts w:hint="eastAsia" w:ascii="黑体" w:hAnsi="黑体" w:eastAsia="黑体"/>
          <w:b/>
          <w:bCs/>
          <w:sz w:val="44"/>
          <w:szCs w:val="44"/>
        </w:rPr>
      </w:pPr>
    </w:p>
    <w:p>
      <w:pPr>
        <w:ind w:firstLine="0" w:firstLineChars="0"/>
        <w:jc w:val="center"/>
        <w:rPr>
          <w:rFonts w:hint="eastAsia" w:ascii="黑体" w:hAnsi="黑体" w:eastAsia="黑体"/>
          <w:b/>
          <w:bCs/>
          <w:sz w:val="44"/>
          <w:szCs w:val="44"/>
        </w:rPr>
      </w:pPr>
    </w:p>
    <w:p>
      <w:pPr>
        <w:ind w:firstLine="0" w:firstLineChars="0"/>
        <w:jc w:val="center"/>
        <w:rPr>
          <w:rFonts w:hint="eastAsia" w:ascii="黑体" w:hAnsi="黑体" w:eastAsia="黑体"/>
          <w:b/>
          <w:bCs/>
          <w:sz w:val="44"/>
          <w:szCs w:val="44"/>
        </w:rPr>
      </w:pPr>
    </w:p>
    <w:p>
      <w:pPr>
        <w:ind w:firstLine="0" w:firstLineChars="0"/>
        <w:jc w:val="center"/>
        <w:rPr>
          <w:rFonts w:hint="eastAsia" w:ascii="黑体" w:hAnsi="黑体" w:eastAsia="黑体"/>
          <w:b/>
          <w:bCs/>
          <w:sz w:val="44"/>
          <w:szCs w:val="44"/>
        </w:rPr>
      </w:pPr>
    </w:p>
    <w:p>
      <w:pPr>
        <w:ind w:firstLine="0" w:firstLineChars="0"/>
        <w:rPr>
          <w:rFonts w:hint="eastAsia" w:ascii="黑体" w:hAnsi="黑体" w:eastAsia="黑体"/>
          <w:b/>
          <w:bCs/>
          <w:sz w:val="44"/>
          <w:szCs w:val="44"/>
        </w:rPr>
      </w:pPr>
    </w:p>
    <w:p>
      <w:pPr>
        <w:ind w:firstLine="0" w:firstLineChars="0"/>
        <w:jc w:val="center"/>
        <w:rPr>
          <w:rFonts w:hint="eastAsia" w:ascii="仿宋" w:hAnsi="仿宋" w:eastAsia="仿宋"/>
          <w:b/>
          <w:bCs/>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425" w:num="1"/>
          <w:docGrid w:type="lines" w:linePitch="312" w:charSpace="0"/>
        </w:sectPr>
      </w:pPr>
      <w:r>
        <w:rPr>
          <w:rFonts w:ascii="仿宋" w:hAnsi="仿宋" w:eastAsia="仿宋"/>
          <w:b/>
          <w:bCs/>
          <w:szCs w:val="44"/>
        </w:rPr>
        <w:t>中国计划出版社</w:t>
      </w:r>
      <w:bookmarkEnd w:id="0"/>
    </w:p>
    <w:p>
      <w:pPr>
        <w:ind w:firstLine="0" w:firstLineChars="0"/>
        <w:jc w:val="center"/>
        <w:rPr>
          <w:rFonts w:hint="eastAsia" w:ascii="宋体" w:hAnsi="宋体"/>
          <w:b/>
          <w:szCs w:val="24"/>
        </w:rPr>
      </w:pPr>
      <w:r>
        <w:rPr>
          <w:rFonts w:hint="eastAsia" w:ascii="宋体" w:hAnsi="宋体"/>
          <w:b/>
          <w:sz w:val="28"/>
          <w:szCs w:val="24"/>
        </w:rPr>
        <w:t>中国工程建设标准化协会标准</w:t>
      </w:r>
    </w:p>
    <w:p>
      <w:pPr>
        <w:ind w:firstLine="0" w:firstLineChars="0"/>
        <w:jc w:val="center"/>
        <w:rPr>
          <w:rFonts w:hint="eastAsia" w:ascii="黑体" w:hAnsi="黑体" w:eastAsia="黑体"/>
          <w:b/>
          <w:bCs/>
          <w:sz w:val="48"/>
          <w:szCs w:val="48"/>
        </w:rPr>
      </w:pPr>
    </w:p>
    <w:p>
      <w:pPr>
        <w:ind w:firstLine="0" w:firstLineChars="0"/>
        <w:jc w:val="center"/>
        <w:rPr>
          <w:rFonts w:hint="eastAsia" w:ascii="黑体" w:hAnsi="黑体" w:eastAsia="黑体"/>
          <w:b/>
          <w:bCs/>
          <w:sz w:val="48"/>
          <w:szCs w:val="48"/>
        </w:rPr>
      </w:pPr>
    </w:p>
    <w:p>
      <w:pPr>
        <w:ind w:firstLine="0" w:firstLineChars="0"/>
        <w:jc w:val="center"/>
        <w:rPr>
          <w:rFonts w:hint="eastAsia" w:ascii="黑体" w:hAnsi="黑体" w:eastAsia="黑体"/>
          <w:b/>
          <w:bCs/>
          <w:sz w:val="48"/>
          <w:szCs w:val="48"/>
        </w:rPr>
      </w:pPr>
    </w:p>
    <w:p>
      <w:pPr>
        <w:ind w:firstLine="0" w:firstLineChars="0"/>
        <w:jc w:val="center"/>
        <w:rPr>
          <w:rFonts w:hint="eastAsia" w:ascii="黑体" w:hAnsi="黑体" w:eastAsia="黑体"/>
          <w:b/>
          <w:bCs/>
          <w:sz w:val="44"/>
          <w:szCs w:val="44"/>
        </w:rPr>
      </w:pPr>
      <w:r>
        <w:rPr>
          <w:rFonts w:hint="eastAsia" w:ascii="黑体" w:hAnsi="黑体" w:eastAsia="黑体"/>
          <w:b/>
          <w:bCs/>
          <w:sz w:val="44"/>
          <w:szCs w:val="44"/>
        </w:rPr>
        <w:t>泥水盾构废水处理技术规程</w:t>
      </w:r>
    </w:p>
    <w:p>
      <w:pPr>
        <w:ind w:firstLine="560"/>
        <w:jc w:val="center"/>
        <w:rPr>
          <w:rFonts w:hint="eastAsia" w:eastAsia="黑体"/>
          <w:sz w:val="28"/>
          <w:szCs w:val="28"/>
        </w:rPr>
      </w:pPr>
      <w:r>
        <w:rPr>
          <w:rFonts w:hint="eastAsia" w:eastAsia="黑体"/>
          <w:sz w:val="28"/>
          <w:szCs w:val="28"/>
        </w:rPr>
        <w:t xml:space="preserve">Technical </w:t>
      </w:r>
      <w:r>
        <w:rPr>
          <w:rFonts w:hint="eastAsia" w:eastAsia="黑体"/>
          <w:sz w:val="28"/>
          <w:szCs w:val="28"/>
          <w:lang w:val="en-US" w:eastAsia="zh-CN"/>
        </w:rPr>
        <w:t>r</w:t>
      </w:r>
      <w:r>
        <w:rPr>
          <w:rFonts w:hint="eastAsia" w:eastAsia="黑体"/>
          <w:sz w:val="28"/>
          <w:szCs w:val="28"/>
        </w:rPr>
        <w:t xml:space="preserve">egulations for </w:t>
      </w:r>
      <w:r>
        <w:rPr>
          <w:rFonts w:hint="eastAsia" w:eastAsia="黑体"/>
          <w:sz w:val="28"/>
          <w:szCs w:val="28"/>
          <w:lang w:val="en-US" w:eastAsia="zh-CN"/>
        </w:rPr>
        <w:t>w</w:t>
      </w:r>
      <w:r>
        <w:rPr>
          <w:rFonts w:hint="eastAsia" w:eastAsia="黑体"/>
          <w:sz w:val="28"/>
          <w:szCs w:val="28"/>
        </w:rPr>
        <w:t xml:space="preserve">astewater </w:t>
      </w:r>
      <w:r>
        <w:rPr>
          <w:rFonts w:hint="eastAsia" w:eastAsia="黑体"/>
          <w:sz w:val="28"/>
          <w:szCs w:val="28"/>
          <w:lang w:val="en-US" w:eastAsia="zh-CN"/>
        </w:rPr>
        <w:t>t</w:t>
      </w:r>
      <w:r>
        <w:rPr>
          <w:rFonts w:hint="eastAsia" w:eastAsia="黑体"/>
          <w:sz w:val="28"/>
          <w:szCs w:val="28"/>
        </w:rPr>
        <w:t xml:space="preserve">reatment of </w:t>
      </w:r>
      <w:r>
        <w:rPr>
          <w:rFonts w:hint="eastAsia" w:eastAsia="黑体"/>
          <w:sz w:val="28"/>
          <w:szCs w:val="28"/>
          <w:lang w:val="en-US" w:eastAsia="zh-CN"/>
        </w:rPr>
        <w:t>s</w:t>
      </w:r>
      <w:r>
        <w:rPr>
          <w:rFonts w:hint="eastAsia" w:eastAsia="黑体"/>
          <w:sz w:val="28"/>
          <w:szCs w:val="28"/>
        </w:rPr>
        <w:t xml:space="preserve">lurry </w:t>
      </w:r>
      <w:r>
        <w:rPr>
          <w:rFonts w:hint="eastAsia" w:eastAsia="黑体"/>
          <w:sz w:val="28"/>
          <w:szCs w:val="28"/>
          <w:lang w:val="en-US" w:eastAsia="zh-CN"/>
        </w:rPr>
        <w:t>s</w:t>
      </w:r>
      <w:r>
        <w:rPr>
          <w:rFonts w:hint="eastAsia" w:eastAsia="黑体"/>
          <w:sz w:val="28"/>
          <w:szCs w:val="28"/>
        </w:rPr>
        <w:t>hield</w:t>
      </w:r>
    </w:p>
    <w:p>
      <w:pPr>
        <w:ind w:firstLine="0" w:firstLineChars="0"/>
        <w:jc w:val="center"/>
        <w:rPr>
          <w:rFonts w:eastAsia="黑体"/>
          <w:sz w:val="28"/>
          <w:szCs w:val="28"/>
        </w:rPr>
      </w:pPr>
      <w:bookmarkStart w:id="167" w:name="_GoBack"/>
      <w:bookmarkEnd w:id="167"/>
    </w:p>
    <w:p>
      <w:pPr>
        <w:ind w:firstLine="0" w:firstLineChars="0"/>
        <w:jc w:val="center"/>
        <w:rPr>
          <w:rFonts w:eastAsia="黑体" w:cs="Times New Roman"/>
          <w:b/>
          <w:sz w:val="28"/>
          <w:szCs w:val="28"/>
        </w:rPr>
      </w:pPr>
      <w:r>
        <w:rPr>
          <w:rFonts w:eastAsia="黑体" w:cs="Times New Roman"/>
          <w:b/>
          <w:sz w:val="28"/>
          <w:szCs w:val="28"/>
        </w:rPr>
        <w:t>CECS×××—202×</w:t>
      </w:r>
    </w:p>
    <w:p>
      <w:pPr>
        <w:ind w:firstLine="0" w:firstLineChars="0"/>
        <w:rPr>
          <w:rFonts w:eastAsia="黑体" w:cs="Times New Roman"/>
          <w:b/>
          <w:sz w:val="28"/>
          <w:szCs w:val="28"/>
        </w:rPr>
      </w:pPr>
    </w:p>
    <w:p>
      <w:pPr>
        <w:ind w:firstLine="0" w:firstLineChars="0"/>
        <w:rPr>
          <w:rFonts w:eastAsia="黑体" w:cs="Times New Roman"/>
          <w:b/>
          <w:sz w:val="28"/>
          <w:szCs w:val="28"/>
        </w:rPr>
      </w:pPr>
    </w:p>
    <w:p>
      <w:pPr>
        <w:ind w:firstLine="0" w:firstLineChars="0"/>
        <w:rPr>
          <w:rFonts w:eastAsia="黑体" w:cs="Times New Roman"/>
          <w:b/>
          <w:sz w:val="28"/>
          <w:szCs w:val="28"/>
        </w:rPr>
      </w:pPr>
    </w:p>
    <w:p>
      <w:pPr>
        <w:ind w:firstLine="0" w:firstLineChars="0"/>
        <w:rPr>
          <w:rFonts w:eastAsia="黑体" w:cs="Times New Roman"/>
          <w:b/>
          <w:sz w:val="28"/>
          <w:szCs w:val="28"/>
        </w:rPr>
      </w:pPr>
    </w:p>
    <w:p>
      <w:pPr>
        <w:ind w:firstLine="1680" w:firstLineChars="600"/>
        <w:rPr>
          <w:rFonts w:hint="eastAsia"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主编单位：中铁十四局集团有限公司</w:t>
      </w:r>
    </w:p>
    <w:p>
      <w:pPr>
        <w:ind w:firstLine="1680" w:firstLineChars="600"/>
        <w:rPr>
          <w:rFonts w:hint="eastAsia"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批准部门：中国工程建设标准化协会</w:t>
      </w:r>
    </w:p>
    <w:p>
      <w:pPr>
        <w:ind w:firstLine="1680" w:firstLineChars="600"/>
        <w:rPr>
          <w:rFonts w:hint="eastAsia"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施行日期：</w:t>
      </w:r>
      <w:r>
        <w:rPr>
          <w:rFonts w:cs="Times New Roman" w:eastAsiaTheme="minorEastAsia"/>
          <w:sz w:val="28"/>
          <w:szCs w:val="28"/>
        </w:rPr>
        <w:t>202×年××月××日</w:t>
      </w:r>
    </w:p>
    <w:p>
      <w:pPr>
        <w:ind w:firstLine="560"/>
        <w:jc w:val="center"/>
        <w:rPr>
          <w:rFonts w:hint="eastAsia" w:cs="Times New Roman" w:asciiTheme="minorEastAsia" w:hAnsiTheme="minorEastAsia" w:eastAsiaTheme="minorEastAsia"/>
          <w:sz w:val="28"/>
          <w:szCs w:val="28"/>
        </w:rPr>
      </w:pPr>
    </w:p>
    <w:p>
      <w:pPr>
        <w:ind w:firstLine="560"/>
        <w:jc w:val="center"/>
        <w:rPr>
          <w:rFonts w:hint="eastAsia" w:cs="Times New Roman" w:asciiTheme="minorEastAsia" w:hAnsiTheme="minorEastAsia" w:eastAsiaTheme="minorEastAsia"/>
          <w:sz w:val="28"/>
          <w:szCs w:val="28"/>
        </w:rPr>
      </w:pPr>
    </w:p>
    <w:p>
      <w:pPr>
        <w:ind w:firstLine="560"/>
        <w:jc w:val="center"/>
        <w:rPr>
          <w:rFonts w:hint="eastAsia" w:cs="Times New Roman" w:asciiTheme="minorEastAsia" w:hAnsiTheme="minorEastAsia" w:eastAsiaTheme="minorEastAsia"/>
          <w:sz w:val="28"/>
          <w:szCs w:val="28"/>
        </w:rPr>
      </w:pPr>
    </w:p>
    <w:p>
      <w:pPr>
        <w:ind w:firstLine="560"/>
        <w:jc w:val="center"/>
        <w:rPr>
          <w:rFonts w:hint="eastAsia" w:cs="Times New Roman" w:asciiTheme="minorEastAsia" w:hAnsiTheme="minorEastAsia" w:eastAsiaTheme="minorEastAsia"/>
          <w:sz w:val="28"/>
          <w:szCs w:val="28"/>
        </w:rPr>
      </w:pPr>
    </w:p>
    <w:p>
      <w:pPr>
        <w:ind w:firstLine="560"/>
        <w:jc w:val="center"/>
        <w:rPr>
          <w:rFonts w:hint="eastAsia" w:cs="Times New Roman" w:asciiTheme="minorEastAsia" w:hAnsiTheme="minorEastAsia" w:eastAsiaTheme="minorEastAsia"/>
          <w:sz w:val="28"/>
          <w:szCs w:val="28"/>
        </w:rPr>
      </w:pPr>
    </w:p>
    <w:p>
      <w:pPr>
        <w:ind w:firstLine="560"/>
        <w:jc w:val="center"/>
        <w:rPr>
          <w:rFonts w:hint="eastAsia" w:ascii="仿宋" w:hAnsi="仿宋" w:eastAsia="仿宋" w:cs="Times New Roman"/>
          <w:sz w:val="28"/>
          <w:szCs w:val="28"/>
        </w:rPr>
      </w:pPr>
      <w:r>
        <w:rPr>
          <w:rFonts w:hint="eastAsia" w:ascii="仿宋" w:hAnsi="仿宋" w:eastAsia="仿宋" w:cs="Times New Roman"/>
          <w:sz w:val="28"/>
          <w:szCs w:val="28"/>
        </w:rPr>
        <w:t>中国计划出版社</w:t>
      </w:r>
    </w:p>
    <w:p>
      <w:pPr>
        <w:ind w:firstLine="560"/>
        <w:jc w:val="center"/>
        <w:rPr>
          <w:rFonts w:eastAsia="黑体" w:cs="Times New Roman"/>
          <w:sz w:val="28"/>
          <w:szCs w:val="28"/>
        </w:rPr>
      </w:pPr>
      <w:r>
        <w:rPr>
          <w:rFonts w:cs="Times New Roman" w:eastAsiaTheme="minorEastAsia"/>
          <w:sz w:val="28"/>
          <w:szCs w:val="28"/>
        </w:rPr>
        <w:t>20</w:t>
      </w:r>
      <w:r>
        <w:rPr>
          <w:rFonts w:hint="eastAsia" w:cs="Times New Roman" w:eastAsiaTheme="minorEastAsia"/>
          <w:sz w:val="28"/>
          <w:szCs w:val="28"/>
        </w:rPr>
        <w:t>2</w:t>
      </w:r>
      <w:r>
        <w:rPr>
          <w:rFonts w:cs="Times New Roman" w:eastAsiaTheme="minorEastAsia"/>
          <w:sz w:val="28"/>
          <w:szCs w:val="28"/>
        </w:rPr>
        <w:t xml:space="preserve">× </w:t>
      </w:r>
      <w:r>
        <w:rPr>
          <w:rFonts w:hint="eastAsia" w:cs="Times New Roman" w:asciiTheme="minorEastAsia" w:hAnsiTheme="minorEastAsia" w:eastAsiaTheme="minorEastAsia"/>
          <w:sz w:val="28"/>
          <w:szCs w:val="28"/>
        </w:rPr>
        <w:t xml:space="preserve">北 </w:t>
      </w:r>
      <w:r>
        <w:rPr>
          <w:rFonts w:cs="Times New Roman" w:asciiTheme="minorEastAsia" w:hAnsiTheme="minorEastAsia" w:eastAsiaTheme="minorEastAsia"/>
          <w:sz w:val="28"/>
          <w:szCs w:val="28"/>
        </w:rPr>
        <w:t xml:space="preserve">  </w:t>
      </w:r>
      <w:r>
        <w:rPr>
          <w:rFonts w:hint="eastAsia" w:cs="Times New Roman" w:asciiTheme="minorEastAsia" w:hAnsiTheme="minorEastAsia" w:eastAsiaTheme="minorEastAsia"/>
          <w:sz w:val="28"/>
          <w:szCs w:val="28"/>
        </w:rPr>
        <w:t>京</w:t>
      </w:r>
      <w:r>
        <w:rPr>
          <w:rFonts w:eastAsia="黑体" w:cs="Times New Roman"/>
          <w:sz w:val="28"/>
          <w:szCs w:val="28"/>
        </w:rPr>
        <w:br w:type="page"/>
      </w:r>
    </w:p>
    <w:p>
      <w:pPr>
        <w:pStyle w:val="14"/>
        <w:ind w:firstLine="0" w:firstLineChars="0"/>
        <w:outlineLvl w:val="9"/>
      </w:pPr>
      <w:bookmarkStart w:id="3" w:name="_Toc12362"/>
      <w:bookmarkStart w:id="4" w:name="_Toc24785"/>
      <w:bookmarkStart w:id="5" w:name="_Toc26724"/>
      <w:bookmarkStart w:id="6" w:name="_Toc2448"/>
      <w:bookmarkStart w:id="7" w:name="_Toc86672466"/>
      <w:bookmarkStart w:id="8" w:name="_Toc15966"/>
      <w:bookmarkStart w:id="9" w:name="_Toc25409"/>
      <w:r>
        <w:rPr>
          <w:rFonts w:hint="eastAsia"/>
        </w:rPr>
        <w:t>前  言</w:t>
      </w:r>
      <w:bookmarkEnd w:id="3"/>
      <w:bookmarkEnd w:id="4"/>
      <w:bookmarkEnd w:id="5"/>
      <w:bookmarkEnd w:id="6"/>
      <w:bookmarkEnd w:id="7"/>
      <w:bookmarkEnd w:id="8"/>
      <w:bookmarkEnd w:id="9"/>
    </w:p>
    <w:p>
      <w:pPr>
        <w:ind w:firstLine="480"/>
      </w:pPr>
      <w:r>
        <w:rPr>
          <w:rFonts w:hint="eastAsia"/>
        </w:rPr>
        <w:t>根据中国工程建设标准化协会《关于印发&lt;2022年第二批协会标准制订、修订计划&gt;的通知》（建标协字[2022]40号）的要求，编制组经深入调查研究，认真总结实践经验，参考国内外先进标准，并在广泛征求意见的基础上，制定本标准。</w:t>
      </w:r>
    </w:p>
    <w:p>
      <w:pPr>
        <w:ind w:firstLine="480"/>
      </w:pPr>
      <w:r>
        <w:rPr>
          <w:rFonts w:hint="eastAsia"/>
        </w:rPr>
        <w:t>本标准共分八章，主要内容包括：总则、术语、基本规定、场地规划、设备配置、浆渣处理、资源化利用、环境保护。</w:t>
      </w:r>
    </w:p>
    <w:p>
      <w:pPr>
        <w:ind w:firstLine="480"/>
      </w:pPr>
      <w:r>
        <w:rPr>
          <w:rFonts w:hint="eastAsia"/>
        </w:rPr>
        <w:t>本标准的某些内容可能直接或间接涉及专利，本标准的发布机构不承担识别这些专利的责任。</w:t>
      </w:r>
    </w:p>
    <w:p>
      <w:pPr>
        <w:ind w:firstLine="480"/>
      </w:pPr>
      <w:r>
        <w:rPr>
          <w:rFonts w:hint="eastAsia"/>
        </w:rPr>
        <w:t>本标准由中国工程建设标准化协会绿色建造专业委员会归口管理，由中铁十四局集团有限公司负责具体技术内容的解释。执行过程中，如有意见或建议，请反馈给中铁十四局集团有限公司（地址：济南市历下区奥体西路2666号，邮编：250101，联系方式：18661614283，E-mail：sxting0920@163.com）</w:t>
      </w:r>
      <w:r>
        <w:fldChar w:fldCharType="begin"/>
      </w:r>
      <w:r>
        <w:instrText xml:space="preserve"> HYPERLINK "mailto:fmren.@bjtu.edu.cn），以供今后修订时参考。" </w:instrText>
      </w:r>
      <w:r>
        <w:fldChar w:fldCharType="separate"/>
      </w:r>
      <w:r>
        <w:rPr>
          <w:rFonts w:hint="eastAsia"/>
        </w:rPr>
        <w:t>，以供今后修订时参考。</w:t>
      </w:r>
      <w:r>
        <w:rPr>
          <w:rFonts w:hint="eastAsia"/>
        </w:rPr>
        <w:fldChar w:fldCharType="end"/>
      </w:r>
    </w:p>
    <w:p>
      <w:pPr>
        <w:ind w:firstLine="482"/>
      </w:pPr>
      <w:r>
        <w:rPr>
          <w:rFonts w:hint="eastAsia"/>
          <w:b/>
          <w:bCs/>
        </w:rPr>
        <w:t>主编单位：</w:t>
      </w:r>
      <w:r>
        <w:rPr>
          <w:rFonts w:hint="eastAsia"/>
        </w:rPr>
        <w:t>中铁十四局集团有限公司</w:t>
      </w:r>
    </w:p>
    <w:p>
      <w:pPr>
        <w:ind w:firstLine="482"/>
        <w:rPr>
          <w:bCs/>
        </w:rPr>
      </w:pPr>
      <w:r>
        <w:rPr>
          <w:rFonts w:hint="eastAsia"/>
          <w:b/>
          <w:bCs/>
        </w:rPr>
        <w:t>参编单位：</w:t>
      </w:r>
      <w:r>
        <w:rPr>
          <w:rFonts w:hint="eastAsia"/>
          <w:bCs/>
        </w:rPr>
        <w:t>中铁十四局大盾构工程有限公司</w:t>
      </w:r>
    </w:p>
    <w:p>
      <w:pPr>
        <w:ind w:firstLine="1680" w:firstLineChars="700"/>
        <w:rPr>
          <w:bCs/>
        </w:rPr>
      </w:pPr>
      <w:r>
        <w:rPr>
          <w:rFonts w:hint="eastAsia"/>
          <w:bCs/>
        </w:rPr>
        <w:t>北京交通大学</w:t>
      </w:r>
    </w:p>
    <w:p>
      <w:pPr>
        <w:ind w:firstLine="1680" w:firstLineChars="700"/>
        <w:rPr>
          <w:bCs/>
        </w:rPr>
      </w:pPr>
      <w:r>
        <w:rPr>
          <w:rFonts w:hint="eastAsia"/>
          <w:bCs/>
        </w:rPr>
        <w:t>中国海洋大学</w:t>
      </w:r>
    </w:p>
    <w:p>
      <w:pPr>
        <w:ind w:firstLine="1680" w:firstLineChars="700"/>
        <w:rPr>
          <w:bCs/>
        </w:rPr>
      </w:pPr>
      <w:r>
        <w:rPr>
          <w:rFonts w:hint="eastAsia"/>
          <w:bCs/>
        </w:rPr>
        <w:t>铁正检测科技有限公司</w:t>
      </w:r>
    </w:p>
    <w:p>
      <w:pPr>
        <w:ind w:firstLine="482"/>
      </w:pPr>
      <w:r>
        <w:rPr>
          <w:rFonts w:hint="eastAsia"/>
          <w:b/>
        </w:rPr>
        <w:t>主要起草人</w:t>
      </w:r>
      <w:r>
        <w:rPr>
          <w:rFonts w:hint="eastAsia"/>
        </w:rPr>
        <w:t>：陈健、苏秀婷、袁大军、张奉春、李秀东、陈鹏、吴遁、</w:t>
      </w:r>
    </w:p>
    <w:p>
      <w:pPr>
        <w:ind w:firstLine="1920" w:firstLineChars="800"/>
      </w:pPr>
      <w:r>
        <w:rPr>
          <w:rFonts w:hint="eastAsia"/>
        </w:rPr>
        <w:t>舒计城、王志奎、杨公标、陈建福、徐慧旺、赵斌、黄习习、</w:t>
      </w:r>
    </w:p>
    <w:p>
      <w:pPr>
        <w:ind w:firstLine="1920" w:firstLineChars="800"/>
      </w:pPr>
      <w:r>
        <w:rPr>
          <w:rFonts w:hint="eastAsia"/>
        </w:rPr>
        <w:t>商跃峰、栾心国、王志康、安芳慧、沙飞、赵曼、杜明哲</w:t>
      </w:r>
    </w:p>
    <w:p>
      <w:pPr>
        <w:ind w:firstLine="1920" w:firstLineChars="800"/>
      </w:pPr>
    </w:p>
    <w:p>
      <w:pPr>
        <w:ind w:firstLine="482"/>
        <w:rPr>
          <w:b/>
        </w:rPr>
      </w:pPr>
      <w:r>
        <w:rPr>
          <w:rFonts w:hint="eastAsia"/>
          <w:b/>
        </w:rPr>
        <w:t>主要审查人：</w:t>
      </w:r>
    </w:p>
    <w:p>
      <w:pPr>
        <w:ind w:firstLine="0" w:firstLineChars="0"/>
        <w:rPr>
          <w:b/>
          <w:bCs/>
        </w:rPr>
      </w:pPr>
    </w:p>
    <w:p>
      <w:pPr>
        <w:ind w:firstLine="480"/>
      </w:pPr>
      <w:r>
        <w:rPr>
          <w:rFonts w:hint="eastAsia"/>
        </w:rPr>
        <w:br w:type="page"/>
      </w:r>
    </w:p>
    <w:p>
      <w:pPr>
        <w:pStyle w:val="11"/>
        <w:tabs>
          <w:tab w:val="right" w:leader="dot" w:pos="8306"/>
        </w:tabs>
        <w:ind w:firstLine="0" w:firstLineChars="0"/>
        <w:jc w:val="center"/>
      </w:pPr>
      <w:bookmarkStart w:id="10" w:name="_Toc1602"/>
      <w:bookmarkStart w:id="11" w:name="_Toc2636"/>
      <w:bookmarkStart w:id="12" w:name="_Toc13116"/>
      <w:bookmarkStart w:id="13" w:name="_Toc2030"/>
      <w:bookmarkStart w:id="14" w:name="_Toc86672467"/>
      <w:r>
        <w:rPr>
          <w:rFonts w:hint="eastAsia"/>
          <w:b/>
          <w:bCs/>
          <w:sz w:val="32"/>
          <w:szCs w:val="28"/>
        </w:rPr>
        <w:t xml:space="preserve">目  </w:t>
      </w:r>
      <w:bookmarkEnd w:id="10"/>
      <w:bookmarkEnd w:id="11"/>
      <w:bookmarkEnd w:id="12"/>
      <w:r>
        <w:rPr>
          <w:rFonts w:hint="eastAsia"/>
          <w:b/>
          <w:bCs/>
          <w:sz w:val="32"/>
          <w:szCs w:val="28"/>
        </w:rPr>
        <w:t>次</w:t>
      </w:r>
      <w:bookmarkEnd w:id="13"/>
      <w:bookmarkEnd w:id="14"/>
    </w:p>
    <w:p>
      <w:pPr>
        <w:pStyle w:val="11"/>
        <w:tabs>
          <w:tab w:val="right" w:leader="dot" w:pos="8296"/>
        </w:tabs>
        <w:ind w:firstLine="480"/>
        <w:rPr>
          <w:rFonts w:hint="eastAsia" w:asciiTheme="minorHAnsi" w:hAnsiTheme="minorHAnsi" w:eastAsiaTheme="minorEastAsia"/>
          <w:b/>
          <w:bCs/>
          <w:sz w:val="22"/>
          <w:szCs w:val="24"/>
          <w14:ligatures w14:val="standardContextual"/>
        </w:rPr>
      </w:pPr>
      <w:r>
        <w:rPr>
          <w:rFonts w:hint="eastAsia"/>
          <w:bCs/>
        </w:rPr>
        <w:fldChar w:fldCharType="begin"/>
      </w:r>
      <w:r>
        <w:rPr>
          <w:rFonts w:hint="eastAsia"/>
          <w:bCs/>
        </w:rPr>
        <w:instrText xml:space="preserve">TOC \o "1-2" \h \u </w:instrText>
      </w:r>
      <w:r>
        <w:rPr>
          <w:rFonts w:hint="eastAsia"/>
          <w:bCs/>
        </w:rPr>
        <w:fldChar w:fldCharType="separate"/>
      </w:r>
      <w:r>
        <w:fldChar w:fldCharType="begin"/>
      </w:r>
      <w:r>
        <w:instrText xml:space="preserve"> HYPERLINK \l "_Toc190813002" </w:instrText>
      </w:r>
      <w:r>
        <w:fldChar w:fldCharType="separate"/>
      </w:r>
      <w:r>
        <w:rPr>
          <w:rStyle w:val="20"/>
          <w:rFonts w:hint="eastAsia"/>
          <w:b/>
          <w:bCs/>
        </w:rPr>
        <w:t>1 总  则</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_Toc190813002 \h</w:instrText>
      </w:r>
      <w:r>
        <w:rPr>
          <w:rFonts w:hint="eastAsia"/>
          <w:b/>
          <w:bCs/>
        </w:rPr>
        <w:instrText xml:space="preserve"> </w:instrText>
      </w:r>
      <w:r>
        <w:rPr>
          <w:b/>
          <w:bCs/>
        </w:rPr>
        <w:fldChar w:fldCharType="separate"/>
      </w:r>
      <w:r>
        <w:rPr>
          <w:b/>
          <w:bCs/>
        </w:rPr>
        <w:t>1</w:t>
      </w:r>
      <w:r>
        <w:rPr>
          <w:rFonts w:hint="eastAsia"/>
          <w:b/>
          <w:bCs/>
        </w:rPr>
        <w:fldChar w:fldCharType="end"/>
      </w:r>
      <w:r>
        <w:rPr>
          <w:rFonts w:hint="eastAsia"/>
          <w:b/>
          <w:bCs/>
        </w:rPr>
        <w:fldChar w:fldCharType="end"/>
      </w:r>
    </w:p>
    <w:p>
      <w:pPr>
        <w:pStyle w:val="11"/>
        <w:tabs>
          <w:tab w:val="right" w:leader="dot" w:pos="8296"/>
        </w:tabs>
        <w:ind w:firstLine="482"/>
        <w:rPr>
          <w:rFonts w:hint="eastAsia" w:asciiTheme="minorHAnsi" w:hAnsiTheme="minorHAnsi" w:eastAsiaTheme="minorEastAsia"/>
          <w:b/>
          <w:bCs/>
          <w:sz w:val="22"/>
          <w:szCs w:val="24"/>
          <w14:ligatures w14:val="standardContextual"/>
        </w:rPr>
      </w:pPr>
      <w:r>
        <w:fldChar w:fldCharType="begin"/>
      </w:r>
      <w:r>
        <w:instrText xml:space="preserve"> HYPERLINK \l "_Toc190813003" </w:instrText>
      </w:r>
      <w:r>
        <w:fldChar w:fldCharType="separate"/>
      </w:r>
      <w:r>
        <w:rPr>
          <w:rStyle w:val="20"/>
          <w:rFonts w:hint="eastAsia"/>
          <w:b/>
          <w:bCs/>
        </w:rPr>
        <w:t>2 术  语</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_Toc190813003 \h</w:instrText>
      </w:r>
      <w:r>
        <w:rPr>
          <w:rFonts w:hint="eastAsia"/>
          <w:b/>
          <w:bCs/>
        </w:rPr>
        <w:instrText xml:space="preserve"> </w:instrText>
      </w:r>
      <w:r>
        <w:rPr>
          <w:b/>
          <w:bCs/>
        </w:rPr>
        <w:fldChar w:fldCharType="separate"/>
      </w:r>
      <w:r>
        <w:rPr>
          <w:b/>
          <w:bCs/>
        </w:rPr>
        <w:t>2</w:t>
      </w:r>
      <w:r>
        <w:rPr>
          <w:rFonts w:hint="eastAsia"/>
          <w:b/>
          <w:bCs/>
        </w:rPr>
        <w:fldChar w:fldCharType="end"/>
      </w:r>
      <w:r>
        <w:rPr>
          <w:rFonts w:hint="eastAsia"/>
          <w:b/>
          <w:bCs/>
        </w:rPr>
        <w:fldChar w:fldCharType="end"/>
      </w:r>
    </w:p>
    <w:p>
      <w:pPr>
        <w:pStyle w:val="11"/>
        <w:tabs>
          <w:tab w:val="right" w:leader="dot" w:pos="8296"/>
        </w:tabs>
        <w:ind w:firstLine="482"/>
        <w:rPr>
          <w:rFonts w:hint="eastAsia" w:asciiTheme="minorHAnsi" w:hAnsiTheme="minorHAnsi" w:eastAsiaTheme="minorEastAsia"/>
          <w:b/>
          <w:bCs/>
          <w:sz w:val="22"/>
          <w:szCs w:val="24"/>
          <w14:ligatures w14:val="standardContextual"/>
        </w:rPr>
      </w:pPr>
      <w:r>
        <w:fldChar w:fldCharType="begin"/>
      </w:r>
      <w:r>
        <w:instrText xml:space="preserve"> HYPERLINK \l "_Toc190813004" </w:instrText>
      </w:r>
      <w:r>
        <w:fldChar w:fldCharType="separate"/>
      </w:r>
      <w:r>
        <w:rPr>
          <w:rStyle w:val="20"/>
          <w:rFonts w:hint="eastAsia"/>
          <w:b/>
          <w:bCs/>
        </w:rPr>
        <w:t>3 基本规定</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_Toc190813004 \h</w:instrText>
      </w:r>
      <w:r>
        <w:rPr>
          <w:rFonts w:hint="eastAsia"/>
          <w:b/>
          <w:bCs/>
        </w:rPr>
        <w:instrText xml:space="preserve"> </w:instrText>
      </w:r>
      <w:r>
        <w:rPr>
          <w:b/>
          <w:bCs/>
        </w:rPr>
        <w:fldChar w:fldCharType="separate"/>
      </w:r>
      <w:r>
        <w:rPr>
          <w:b/>
          <w:bCs/>
        </w:rPr>
        <w:t>8</w:t>
      </w:r>
      <w:r>
        <w:rPr>
          <w:rFonts w:hint="eastAsia"/>
          <w:b/>
          <w:bCs/>
        </w:rPr>
        <w:fldChar w:fldCharType="end"/>
      </w:r>
      <w:r>
        <w:rPr>
          <w:rFonts w:hint="eastAsia"/>
          <w:b/>
          <w:bCs/>
        </w:rPr>
        <w:fldChar w:fldCharType="end"/>
      </w:r>
    </w:p>
    <w:p>
      <w:pPr>
        <w:pStyle w:val="11"/>
        <w:tabs>
          <w:tab w:val="right" w:leader="dot" w:pos="8296"/>
        </w:tabs>
        <w:ind w:firstLine="482"/>
        <w:rPr>
          <w:rFonts w:hint="eastAsia" w:asciiTheme="minorHAnsi" w:hAnsiTheme="minorHAnsi" w:eastAsiaTheme="minorEastAsia"/>
          <w:b/>
          <w:bCs/>
          <w:sz w:val="22"/>
          <w:szCs w:val="24"/>
          <w14:ligatures w14:val="standardContextual"/>
        </w:rPr>
      </w:pPr>
      <w:r>
        <w:fldChar w:fldCharType="begin"/>
      </w:r>
      <w:r>
        <w:instrText xml:space="preserve"> HYPERLINK \l "_Toc190813005" </w:instrText>
      </w:r>
      <w:r>
        <w:fldChar w:fldCharType="separate"/>
      </w:r>
      <w:r>
        <w:rPr>
          <w:rStyle w:val="20"/>
          <w:rFonts w:hint="eastAsia"/>
          <w:b/>
          <w:bCs/>
        </w:rPr>
        <w:t>4 场地布置与设计</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_Toc190813005 \h</w:instrText>
      </w:r>
      <w:r>
        <w:rPr>
          <w:rFonts w:hint="eastAsia"/>
          <w:b/>
          <w:bCs/>
        </w:rPr>
        <w:instrText xml:space="preserve"> </w:instrText>
      </w:r>
      <w:r>
        <w:rPr>
          <w:b/>
          <w:bCs/>
        </w:rPr>
        <w:fldChar w:fldCharType="separate"/>
      </w:r>
      <w:r>
        <w:rPr>
          <w:b/>
          <w:bCs/>
        </w:rPr>
        <w:t>10</w:t>
      </w:r>
      <w:r>
        <w:rPr>
          <w:rFonts w:hint="eastAsia"/>
          <w:b/>
          <w:bCs/>
        </w:rPr>
        <w:fldChar w:fldCharType="end"/>
      </w:r>
      <w:r>
        <w:rPr>
          <w:rFonts w:hint="eastAsia"/>
          <w:b/>
          <w:bCs/>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"_Toc190813006" </w:instrText>
      </w:r>
      <w:r>
        <w:fldChar w:fldCharType="separate"/>
      </w:r>
      <w:r>
        <w:rPr>
          <w:rStyle w:val="20"/>
          <w:rFonts w:hint="eastAsia"/>
        </w:rPr>
        <w:t>4.1 场地布置</w:t>
      </w:r>
      <w:r>
        <w:rPr>
          <w:rFonts w:hint="eastAsia"/>
        </w:rPr>
        <w:tab/>
      </w:r>
      <w:r>
        <w:rPr>
          <w:rFonts w:hint="eastAsia"/>
        </w:rPr>
        <w:fldChar w:fldCharType="begin"/>
      </w:r>
      <w:r>
        <w:rPr>
          <w:rFonts w:hint="eastAsia"/>
        </w:rPr>
        <w:instrText xml:space="preserve"> </w:instrText>
      </w:r>
      <w:r>
        <w:instrText xml:space="preserve">PAGEREF _Toc190813006 \h</w:instrText>
      </w:r>
      <w:r>
        <w:rPr>
          <w:rFonts w:hint="eastAsia"/>
        </w:rPr>
        <w:instrText xml:space="preserve"> </w:instrText>
      </w:r>
      <w:r>
        <w:fldChar w:fldCharType="separate"/>
      </w:r>
      <w:r>
        <w:t>10</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"_Toc190813007" </w:instrText>
      </w:r>
      <w:r>
        <w:fldChar w:fldCharType="separate"/>
      </w:r>
      <w:r>
        <w:rPr>
          <w:rStyle w:val="20"/>
          <w:rFonts w:hint="eastAsia"/>
        </w:rPr>
        <w:t>4.2 场地设计</w:t>
      </w:r>
      <w:r>
        <w:rPr>
          <w:rFonts w:hint="eastAsia"/>
        </w:rPr>
        <w:tab/>
      </w:r>
      <w:r>
        <w:rPr>
          <w:rFonts w:hint="eastAsia"/>
        </w:rPr>
        <w:fldChar w:fldCharType="begin"/>
      </w:r>
      <w:r>
        <w:rPr>
          <w:rFonts w:hint="eastAsia"/>
        </w:rPr>
        <w:instrText xml:space="preserve"> </w:instrText>
      </w:r>
      <w:r>
        <w:instrText xml:space="preserve">PAGEREF _Toc190813007 \h</w:instrText>
      </w:r>
      <w:r>
        <w:rPr>
          <w:rFonts w:hint="eastAsia"/>
        </w:rPr>
        <w:instrText xml:space="preserve"> </w:instrText>
      </w:r>
      <w:r>
        <w:fldChar w:fldCharType="separate"/>
      </w:r>
      <w:r>
        <w:t>11</w:t>
      </w:r>
      <w:r>
        <w:rPr>
          <w:rFonts w:hint="eastAsia"/>
        </w:rPr>
        <w:fldChar w:fldCharType="end"/>
      </w:r>
      <w:r>
        <w:rPr>
          <w:rFonts w:hint="eastAsia"/>
        </w:rPr>
        <w:fldChar w:fldCharType="end"/>
      </w:r>
    </w:p>
    <w:p>
      <w:pPr>
        <w:pStyle w:val="11"/>
        <w:tabs>
          <w:tab w:val="right" w:leader="dot" w:pos="8296"/>
        </w:tabs>
        <w:ind w:firstLine="482"/>
        <w:rPr>
          <w:rFonts w:hint="eastAsia" w:asciiTheme="minorHAnsi" w:hAnsiTheme="minorHAnsi" w:eastAsiaTheme="minorEastAsia"/>
          <w:b/>
          <w:bCs/>
          <w:sz w:val="22"/>
          <w:szCs w:val="24"/>
          <w14:ligatures w14:val="standardContextual"/>
        </w:rPr>
      </w:pPr>
      <w:r>
        <w:fldChar w:fldCharType="begin"/>
      </w:r>
      <w:r>
        <w:instrText xml:space="preserve"> HYPERLINK \l "_Toc190813008" </w:instrText>
      </w:r>
      <w:r>
        <w:fldChar w:fldCharType="separate"/>
      </w:r>
      <w:r>
        <w:rPr>
          <w:rStyle w:val="20"/>
          <w:rFonts w:hint="eastAsia"/>
          <w:b/>
          <w:bCs/>
        </w:rPr>
        <w:t>5 设备配置</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_Toc190813008 \h</w:instrText>
      </w:r>
      <w:r>
        <w:rPr>
          <w:rFonts w:hint="eastAsia"/>
          <w:b/>
          <w:bCs/>
        </w:rPr>
        <w:instrText xml:space="preserve"> </w:instrText>
      </w:r>
      <w:r>
        <w:rPr>
          <w:b/>
          <w:bCs/>
        </w:rPr>
        <w:fldChar w:fldCharType="separate"/>
      </w:r>
      <w:r>
        <w:rPr>
          <w:b/>
          <w:bCs/>
        </w:rPr>
        <w:t>13</w:t>
      </w:r>
      <w:r>
        <w:rPr>
          <w:rFonts w:hint="eastAsia"/>
          <w:b/>
          <w:bCs/>
        </w:rPr>
        <w:fldChar w:fldCharType="end"/>
      </w:r>
      <w:r>
        <w:rPr>
          <w:rFonts w:hint="eastAsia"/>
          <w:b/>
          <w:bCs/>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"_Toc190813009" </w:instrText>
      </w:r>
      <w:r>
        <w:fldChar w:fldCharType="separate"/>
      </w:r>
      <w:r>
        <w:rPr>
          <w:rStyle w:val="20"/>
          <w:rFonts w:hint="eastAsia"/>
        </w:rPr>
        <w:t>5.1 一般规定</w:t>
      </w:r>
      <w:r>
        <w:rPr>
          <w:rFonts w:hint="eastAsia"/>
        </w:rPr>
        <w:tab/>
      </w:r>
      <w:r>
        <w:rPr>
          <w:rFonts w:hint="eastAsia"/>
        </w:rPr>
        <w:fldChar w:fldCharType="begin"/>
      </w:r>
      <w:r>
        <w:rPr>
          <w:rFonts w:hint="eastAsia"/>
        </w:rPr>
        <w:instrText xml:space="preserve"> </w:instrText>
      </w:r>
      <w:r>
        <w:instrText xml:space="preserve">PAGEREF _Toc190813009 \h</w:instrText>
      </w:r>
      <w:r>
        <w:rPr>
          <w:rFonts w:hint="eastAsia"/>
        </w:rPr>
        <w:instrText xml:space="preserve"> </w:instrText>
      </w:r>
      <w:r>
        <w:fldChar w:fldCharType="separate"/>
      </w:r>
      <w:r>
        <w:t>13</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"_Toc190813010" </w:instrText>
      </w:r>
      <w:r>
        <w:fldChar w:fldCharType="separate"/>
      </w:r>
      <w:r>
        <w:rPr>
          <w:rStyle w:val="20"/>
          <w:rFonts w:hint="eastAsia"/>
        </w:rPr>
        <w:t>5.2 设备选型</w:t>
      </w:r>
      <w:r>
        <w:rPr>
          <w:rFonts w:hint="eastAsia"/>
        </w:rPr>
        <w:tab/>
      </w:r>
      <w:r>
        <w:rPr>
          <w:rFonts w:hint="eastAsia"/>
        </w:rPr>
        <w:fldChar w:fldCharType="begin"/>
      </w:r>
      <w:r>
        <w:rPr>
          <w:rFonts w:hint="eastAsia"/>
        </w:rPr>
        <w:instrText xml:space="preserve"> </w:instrText>
      </w:r>
      <w:r>
        <w:instrText xml:space="preserve">PAGEREF _Toc190813010 \h</w:instrText>
      </w:r>
      <w:r>
        <w:rPr>
          <w:rFonts w:hint="eastAsia"/>
        </w:rPr>
        <w:instrText xml:space="preserve"> </w:instrText>
      </w:r>
      <w:r>
        <w:fldChar w:fldCharType="separate"/>
      </w:r>
      <w:r>
        <w:t>13</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"_Toc190813011" </w:instrText>
      </w:r>
      <w:r>
        <w:fldChar w:fldCharType="separate"/>
      </w:r>
      <w:r>
        <w:rPr>
          <w:rStyle w:val="20"/>
          <w:rFonts w:hint="eastAsia" w:cs="Times New Roman"/>
        </w:rPr>
        <w:t>5.3 设备安装及调试</w:t>
      </w:r>
      <w:r>
        <w:rPr>
          <w:rFonts w:hint="eastAsia"/>
        </w:rPr>
        <w:tab/>
      </w:r>
      <w:r>
        <w:rPr>
          <w:rFonts w:hint="eastAsia"/>
        </w:rPr>
        <w:fldChar w:fldCharType="begin"/>
      </w:r>
      <w:r>
        <w:rPr>
          <w:rFonts w:hint="eastAsia"/>
        </w:rPr>
        <w:instrText xml:space="preserve"> </w:instrText>
      </w:r>
      <w:r>
        <w:instrText xml:space="preserve">PAGEREF _Toc190813011 \h</w:instrText>
      </w:r>
      <w:r>
        <w:rPr>
          <w:rFonts w:hint="eastAsia"/>
        </w:rPr>
        <w:instrText xml:space="preserve"> </w:instrText>
      </w:r>
      <w:r>
        <w:fldChar w:fldCharType="separate"/>
      </w:r>
      <w:r>
        <w:t>15</w:t>
      </w:r>
      <w:r>
        <w:rPr>
          <w:rFonts w:hint="eastAsia"/>
        </w:rPr>
        <w:fldChar w:fldCharType="end"/>
      </w:r>
      <w:r>
        <w:rPr>
          <w:rFonts w:hint="eastAsia"/>
        </w:rPr>
        <w:fldChar w:fldCharType="end"/>
      </w:r>
    </w:p>
    <w:p>
      <w:pPr>
        <w:pStyle w:val="11"/>
        <w:tabs>
          <w:tab w:val="right" w:leader="dot" w:pos="8296"/>
        </w:tabs>
        <w:ind w:firstLine="482"/>
        <w:rPr>
          <w:rFonts w:hint="eastAsia" w:asciiTheme="minorHAnsi" w:hAnsiTheme="minorHAnsi" w:eastAsiaTheme="minorEastAsia"/>
          <w:b/>
          <w:bCs/>
          <w:sz w:val="22"/>
          <w:szCs w:val="24"/>
          <w14:ligatures w14:val="standardContextual"/>
        </w:rPr>
      </w:pPr>
      <w:r>
        <w:fldChar w:fldCharType="begin"/>
      </w:r>
      <w:r>
        <w:instrText xml:space="preserve"> HYPERLINK \l "_Toc190813012" </w:instrText>
      </w:r>
      <w:r>
        <w:fldChar w:fldCharType="separate"/>
      </w:r>
      <w:r>
        <w:rPr>
          <w:rStyle w:val="20"/>
          <w:rFonts w:hint="eastAsia"/>
          <w:b/>
          <w:bCs/>
        </w:rPr>
        <w:t>6 浆渣处理</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_Toc190813012 \h</w:instrText>
      </w:r>
      <w:r>
        <w:rPr>
          <w:rFonts w:hint="eastAsia"/>
          <w:b/>
          <w:bCs/>
        </w:rPr>
        <w:instrText xml:space="preserve"> </w:instrText>
      </w:r>
      <w:r>
        <w:rPr>
          <w:b/>
          <w:bCs/>
        </w:rPr>
        <w:fldChar w:fldCharType="separate"/>
      </w:r>
      <w:r>
        <w:rPr>
          <w:b/>
          <w:bCs/>
        </w:rPr>
        <w:t>17</w:t>
      </w:r>
      <w:r>
        <w:rPr>
          <w:rFonts w:hint="eastAsia"/>
          <w:b/>
          <w:bCs/>
        </w:rPr>
        <w:fldChar w:fldCharType="end"/>
      </w:r>
      <w:r>
        <w:rPr>
          <w:rFonts w:hint="eastAsia"/>
          <w:b/>
          <w:bCs/>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"_Toc190813013" </w:instrText>
      </w:r>
      <w:r>
        <w:fldChar w:fldCharType="separate"/>
      </w:r>
      <w:r>
        <w:rPr>
          <w:rStyle w:val="20"/>
          <w:rFonts w:hint="eastAsia"/>
        </w:rPr>
        <w:t>6.1 一般规定</w:t>
      </w:r>
      <w:r>
        <w:rPr>
          <w:rFonts w:hint="eastAsia"/>
        </w:rPr>
        <w:tab/>
      </w:r>
      <w:r>
        <w:rPr>
          <w:rFonts w:hint="eastAsia"/>
        </w:rPr>
        <w:fldChar w:fldCharType="begin"/>
      </w:r>
      <w:r>
        <w:rPr>
          <w:rFonts w:hint="eastAsia"/>
        </w:rPr>
        <w:instrText xml:space="preserve"> </w:instrText>
      </w:r>
      <w:r>
        <w:instrText xml:space="preserve">PAGEREF _Toc190813013 \h</w:instrText>
      </w:r>
      <w:r>
        <w:rPr>
          <w:rFonts w:hint="eastAsia"/>
        </w:rPr>
        <w:instrText xml:space="preserve"> </w:instrText>
      </w:r>
      <w:r>
        <w:fldChar w:fldCharType="separate"/>
      </w:r>
      <w:r>
        <w:t>17</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"_Toc190813014" </w:instrText>
      </w:r>
      <w:r>
        <w:fldChar w:fldCharType="separate"/>
      </w:r>
      <w:r>
        <w:rPr>
          <w:rStyle w:val="20"/>
          <w:rFonts w:hint="eastAsia" w:cs="Times New Roman"/>
        </w:rPr>
        <w:t>6.2 浆渣分离处理</w:t>
      </w:r>
      <w:r>
        <w:rPr>
          <w:rFonts w:hint="eastAsia"/>
        </w:rPr>
        <w:tab/>
      </w:r>
      <w:r>
        <w:rPr>
          <w:rFonts w:hint="eastAsia"/>
        </w:rPr>
        <w:fldChar w:fldCharType="begin"/>
      </w:r>
      <w:r>
        <w:rPr>
          <w:rFonts w:hint="eastAsia"/>
        </w:rPr>
        <w:instrText xml:space="preserve"> </w:instrText>
      </w:r>
      <w:r>
        <w:instrText xml:space="preserve">PAGEREF _Toc190813014 \h</w:instrText>
      </w:r>
      <w:r>
        <w:rPr>
          <w:rFonts w:hint="eastAsia"/>
        </w:rPr>
        <w:instrText xml:space="preserve"> </w:instrText>
      </w:r>
      <w:r>
        <w:fldChar w:fldCharType="separate"/>
      </w:r>
      <w:r>
        <w:t>17</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"_Toc190813015" </w:instrText>
      </w:r>
      <w:r>
        <w:fldChar w:fldCharType="separate"/>
      </w:r>
      <w:r>
        <w:rPr>
          <w:rStyle w:val="20"/>
          <w:rFonts w:hint="eastAsia"/>
        </w:rPr>
        <w:t>6.3 泥浆循环利用</w:t>
      </w:r>
      <w:r>
        <w:rPr>
          <w:rFonts w:hint="eastAsia"/>
        </w:rPr>
        <w:tab/>
      </w:r>
      <w:r>
        <w:rPr>
          <w:rFonts w:hint="eastAsia"/>
        </w:rPr>
        <w:fldChar w:fldCharType="begin"/>
      </w:r>
      <w:r>
        <w:rPr>
          <w:rFonts w:hint="eastAsia"/>
        </w:rPr>
        <w:instrText xml:space="preserve"> </w:instrText>
      </w:r>
      <w:r>
        <w:instrText xml:space="preserve">PAGEREF _Toc190813015 \h</w:instrText>
      </w:r>
      <w:r>
        <w:rPr>
          <w:rFonts w:hint="eastAsia"/>
        </w:rPr>
        <w:instrText xml:space="preserve"> </w:instrText>
      </w:r>
      <w:r>
        <w:fldChar w:fldCharType="separate"/>
      </w:r>
      <w:r>
        <w:t>18</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"_Toc190813016" </w:instrText>
      </w:r>
      <w:r>
        <w:fldChar w:fldCharType="separate"/>
      </w:r>
      <w:r>
        <w:rPr>
          <w:rStyle w:val="20"/>
          <w:rFonts w:hint="eastAsia"/>
        </w:rPr>
        <w:t>6.4 废浆处理</w:t>
      </w:r>
      <w:r>
        <w:rPr>
          <w:rFonts w:hint="eastAsia"/>
        </w:rPr>
        <w:tab/>
      </w:r>
      <w:r>
        <w:rPr>
          <w:rFonts w:hint="eastAsia"/>
        </w:rPr>
        <w:fldChar w:fldCharType="begin"/>
      </w:r>
      <w:r>
        <w:rPr>
          <w:rFonts w:hint="eastAsia"/>
        </w:rPr>
        <w:instrText xml:space="preserve"> </w:instrText>
      </w:r>
      <w:r>
        <w:instrText xml:space="preserve">PAGEREF _Toc190813016 \h</w:instrText>
      </w:r>
      <w:r>
        <w:rPr>
          <w:rFonts w:hint="eastAsia"/>
        </w:rPr>
        <w:instrText xml:space="preserve"> </w:instrText>
      </w:r>
      <w:r>
        <w:fldChar w:fldCharType="separate"/>
      </w:r>
      <w:r>
        <w:t>19</w:t>
      </w:r>
      <w:r>
        <w:rPr>
          <w:rFonts w:hint="eastAsia"/>
        </w:rPr>
        <w:fldChar w:fldCharType="end"/>
      </w:r>
      <w:r>
        <w:rPr>
          <w:rFonts w:hint="eastAsia"/>
        </w:rPr>
        <w:fldChar w:fldCharType="end"/>
      </w:r>
    </w:p>
    <w:p>
      <w:pPr>
        <w:pStyle w:val="11"/>
        <w:tabs>
          <w:tab w:val="right" w:leader="dot" w:pos="8296"/>
        </w:tabs>
        <w:ind w:firstLine="482"/>
        <w:rPr>
          <w:rFonts w:hint="eastAsia" w:asciiTheme="minorHAnsi" w:hAnsiTheme="minorHAnsi" w:eastAsiaTheme="minorEastAsia"/>
          <w:b/>
          <w:bCs/>
          <w:sz w:val="22"/>
          <w:szCs w:val="24"/>
          <w14:ligatures w14:val="standardContextual"/>
        </w:rPr>
      </w:pPr>
      <w:r>
        <w:fldChar w:fldCharType="begin"/>
      </w:r>
      <w:r>
        <w:instrText xml:space="preserve"> HYPERLINK \l "_Toc190813017" </w:instrText>
      </w:r>
      <w:r>
        <w:fldChar w:fldCharType="separate"/>
      </w:r>
      <w:r>
        <w:rPr>
          <w:rStyle w:val="20"/>
          <w:rFonts w:hint="eastAsia"/>
          <w:b/>
          <w:bCs/>
        </w:rPr>
        <w:t>7 资源化利用</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_Toc190813017 \h</w:instrText>
      </w:r>
      <w:r>
        <w:rPr>
          <w:rFonts w:hint="eastAsia"/>
          <w:b/>
          <w:bCs/>
        </w:rPr>
        <w:instrText xml:space="preserve"> </w:instrText>
      </w:r>
      <w:r>
        <w:rPr>
          <w:b/>
          <w:bCs/>
        </w:rPr>
        <w:fldChar w:fldCharType="separate"/>
      </w:r>
      <w:r>
        <w:rPr>
          <w:b/>
          <w:bCs/>
        </w:rPr>
        <w:t>20</w:t>
      </w:r>
      <w:r>
        <w:rPr>
          <w:rFonts w:hint="eastAsia"/>
          <w:b/>
          <w:bCs/>
        </w:rPr>
        <w:fldChar w:fldCharType="end"/>
      </w:r>
      <w:r>
        <w:rPr>
          <w:rFonts w:hint="eastAsia"/>
          <w:b/>
          <w:bCs/>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"_Toc190813018" </w:instrText>
      </w:r>
      <w:r>
        <w:fldChar w:fldCharType="separate"/>
      </w:r>
      <w:r>
        <w:rPr>
          <w:rStyle w:val="20"/>
          <w:rFonts w:hint="eastAsia"/>
        </w:rPr>
        <w:t>7.1 一般规定</w:t>
      </w:r>
      <w:r>
        <w:rPr>
          <w:rFonts w:hint="eastAsia"/>
        </w:rPr>
        <w:tab/>
      </w:r>
      <w:r>
        <w:rPr>
          <w:rFonts w:hint="eastAsia"/>
        </w:rPr>
        <w:fldChar w:fldCharType="begin"/>
      </w:r>
      <w:r>
        <w:rPr>
          <w:rFonts w:hint="eastAsia"/>
        </w:rPr>
        <w:instrText xml:space="preserve"> </w:instrText>
      </w:r>
      <w:r>
        <w:instrText xml:space="preserve">PAGEREF _Toc190813018 \h</w:instrText>
      </w:r>
      <w:r>
        <w:rPr>
          <w:rFonts w:hint="eastAsia"/>
        </w:rPr>
        <w:instrText xml:space="preserve"> </w:instrText>
      </w:r>
      <w:r>
        <w:fldChar w:fldCharType="separate"/>
      </w:r>
      <w:r>
        <w:t>20</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"_Toc190813019" </w:instrText>
      </w:r>
      <w:r>
        <w:fldChar w:fldCharType="separate"/>
      </w:r>
      <w:r>
        <w:rPr>
          <w:rStyle w:val="20"/>
          <w:rFonts w:hint="eastAsia"/>
        </w:rPr>
        <w:t>7.2 无害化处理</w:t>
      </w:r>
      <w:r>
        <w:rPr>
          <w:rFonts w:hint="eastAsia"/>
        </w:rPr>
        <w:tab/>
      </w:r>
      <w:r>
        <w:rPr>
          <w:rFonts w:hint="eastAsia"/>
        </w:rPr>
        <w:fldChar w:fldCharType="begin"/>
      </w:r>
      <w:r>
        <w:rPr>
          <w:rFonts w:hint="eastAsia"/>
        </w:rPr>
        <w:instrText xml:space="preserve"> </w:instrText>
      </w:r>
      <w:r>
        <w:instrText xml:space="preserve">PAGEREF _Toc190813019 \h</w:instrText>
      </w:r>
      <w:r>
        <w:rPr>
          <w:rFonts w:hint="eastAsia"/>
        </w:rPr>
        <w:instrText xml:space="preserve"> </w:instrText>
      </w:r>
      <w:r>
        <w:fldChar w:fldCharType="separate"/>
      </w:r>
      <w:r>
        <w:t>20</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"_Toc190813020" </w:instrText>
      </w:r>
      <w:r>
        <w:fldChar w:fldCharType="separate"/>
      </w:r>
      <w:r>
        <w:rPr>
          <w:rStyle w:val="20"/>
          <w:rFonts w:hint="eastAsia"/>
        </w:rPr>
        <w:t>7.3 再生产品应用</w:t>
      </w:r>
      <w:r>
        <w:rPr>
          <w:rFonts w:hint="eastAsia"/>
        </w:rPr>
        <w:tab/>
      </w:r>
      <w:r>
        <w:rPr>
          <w:rFonts w:hint="eastAsia"/>
        </w:rPr>
        <w:fldChar w:fldCharType="begin"/>
      </w:r>
      <w:r>
        <w:rPr>
          <w:rFonts w:hint="eastAsia"/>
        </w:rPr>
        <w:instrText xml:space="preserve"> </w:instrText>
      </w:r>
      <w:r>
        <w:instrText xml:space="preserve">PAGEREF _Toc190813020 \h</w:instrText>
      </w:r>
      <w:r>
        <w:rPr>
          <w:rFonts w:hint="eastAsia"/>
        </w:rPr>
        <w:instrText xml:space="preserve"> </w:instrText>
      </w:r>
      <w:r>
        <w:fldChar w:fldCharType="separate"/>
      </w:r>
      <w:r>
        <w:t>21</w:t>
      </w:r>
      <w:r>
        <w:rPr>
          <w:rFonts w:hint="eastAsia"/>
        </w:rPr>
        <w:fldChar w:fldCharType="end"/>
      </w:r>
      <w:r>
        <w:rPr>
          <w:rFonts w:hint="eastAsia"/>
        </w:rPr>
        <w:fldChar w:fldCharType="end"/>
      </w:r>
    </w:p>
    <w:p>
      <w:pPr>
        <w:pStyle w:val="11"/>
        <w:tabs>
          <w:tab w:val="right" w:leader="dot" w:pos="8296"/>
        </w:tabs>
        <w:ind w:firstLine="482"/>
        <w:rPr>
          <w:rFonts w:hint="eastAsia" w:asciiTheme="minorHAnsi" w:hAnsiTheme="minorHAnsi" w:eastAsiaTheme="minorEastAsia"/>
          <w:b/>
          <w:bCs/>
          <w:sz w:val="22"/>
          <w:szCs w:val="24"/>
          <w14:ligatures w14:val="standardContextual"/>
        </w:rPr>
      </w:pPr>
      <w:r>
        <w:fldChar w:fldCharType="begin"/>
      </w:r>
      <w:r>
        <w:instrText xml:space="preserve"> HYPERLINK \l "_Toc190813021" </w:instrText>
      </w:r>
      <w:r>
        <w:fldChar w:fldCharType="separate"/>
      </w:r>
      <w:r>
        <w:rPr>
          <w:rStyle w:val="20"/>
          <w:rFonts w:hint="eastAsia"/>
          <w:b/>
          <w:bCs/>
        </w:rPr>
        <w:t>8 环境保护</w:t>
      </w:r>
      <w:r>
        <w:rPr>
          <w:rFonts w:hint="eastAsia"/>
          <w:b/>
          <w:bCs/>
        </w:rPr>
        <w:tab/>
      </w:r>
      <w:r>
        <w:rPr>
          <w:rFonts w:hint="eastAsia"/>
          <w:b/>
          <w:bCs/>
        </w:rPr>
        <w:fldChar w:fldCharType="begin"/>
      </w:r>
      <w:r>
        <w:rPr>
          <w:rFonts w:hint="eastAsia"/>
          <w:b/>
          <w:bCs/>
        </w:rPr>
        <w:instrText xml:space="preserve"> </w:instrText>
      </w:r>
      <w:r>
        <w:rPr>
          <w:b/>
          <w:bCs/>
        </w:rPr>
        <w:instrText xml:space="preserve">PAGEREF _Toc190813021 \h</w:instrText>
      </w:r>
      <w:r>
        <w:rPr>
          <w:rFonts w:hint="eastAsia"/>
          <w:b/>
          <w:bCs/>
        </w:rPr>
        <w:instrText xml:space="preserve"> </w:instrText>
      </w:r>
      <w:r>
        <w:rPr>
          <w:b/>
          <w:bCs/>
        </w:rPr>
        <w:fldChar w:fldCharType="separate"/>
      </w:r>
      <w:r>
        <w:rPr>
          <w:b/>
          <w:bCs/>
        </w:rPr>
        <w:t>23</w:t>
      </w:r>
      <w:r>
        <w:rPr>
          <w:rFonts w:hint="eastAsia"/>
          <w:b/>
          <w:bCs/>
        </w:rPr>
        <w:fldChar w:fldCharType="end"/>
      </w:r>
      <w:r>
        <w:rPr>
          <w:rFonts w:hint="eastAsia"/>
          <w:b/>
          <w:bCs/>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"_Toc190813022" </w:instrText>
      </w:r>
      <w:r>
        <w:fldChar w:fldCharType="separate"/>
      </w:r>
      <w:r>
        <w:rPr>
          <w:rStyle w:val="20"/>
          <w:rFonts w:hint="eastAsia"/>
        </w:rPr>
        <w:t>8.1 一般规定</w:t>
      </w:r>
      <w:r>
        <w:rPr>
          <w:rFonts w:hint="eastAsia"/>
        </w:rPr>
        <w:tab/>
      </w:r>
      <w:r>
        <w:rPr>
          <w:rFonts w:hint="eastAsia"/>
        </w:rPr>
        <w:fldChar w:fldCharType="begin"/>
      </w:r>
      <w:r>
        <w:rPr>
          <w:rFonts w:hint="eastAsia"/>
        </w:rPr>
        <w:instrText xml:space="preserve"> </w:instrText>
      </w:r>
      <w:r>
        <w:instrText xml:space="preserve">PAGEREF _Toc190813022 \h</w:instrText>
      </w:r>
      <w:r>
        <w:rPr>
          <w:rFonts w:hint="eastAsia"/>
        </w:rPr>
        <w:instrText xml:space="preserve"> </w:instrText>
      </w:r>
      <w:r>
        <w:fldChar w:fldCharType="separate"/>
      </w:r>
      <w:r>
        <w:t>23</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"_Toc190813023" </w:instrText>
      </w:r>
      <w:r>
        <w:fldChar w:fldCharType="separate"/>
      </w:r>
      <w:r>
        <w:rPr>
          <w:rStyle w:val="20"/>
          <w:rFonts w:hint="eastAsia"/>
        </w:rPr>
        <w:t>8.2 日常管理</w:t>
      </w:r>
      <w:r>
        <w:rPr>
          <w:rFonts w:hint="eastAsia"/>
        </w:rPr>
        <w:tab/>
      </w:r>
      <w:r>
        <w:rPr>
          <w:rFonts w:hint="eastAsia"/>
        </w:rPr>
        <w:fldChar w:fldCharType="begin"/>
      </w:r>
      <w:r>
        <w:rPr>
          <w:rFonts w:hint="eastAsia"/>
        </w:rPr>
        <w:instrText xml:space="preserve"> </w:instrText>
      </w:r>
      <w:r>
        <w:instrText xml:space="preserve">PAGEREF _Toc190813023 \h</w:instrText>
      </w:r>
      <w:r>
        <w:rPr>
          <w:rFonts w:hint="eastAsia"/>
        </w:rPr>
        <w:instrText xml:space="preserve"> </w:instrText>
      </w:r>
      <w:r>
        <w:fldChar w:fldCharType="separate"/>
      </w:r>
      <w:r>
        <w:t>23</w:t>
      </w:r>
      <w:r>
        <w:rPr>
          <w:rFonts w:hint="eastAsia"/>
        </w:rPr>
        <w:fldChar w:fldCharType="end"/>
      </w:r>
      <w:r>
        <w:rPr>
          <w:rFonts w:hint="eastAsia"/>
        </w:rPr>
        <w:fldChar w:fldCharType="end"/>
      </w:r>
    </w:p>
    <w:p>
      <w:pPr>
        <w:pStyle w:val="13"/>
        <w:tabs>
          <w:tab w:val="right" w:leader="dot" w:pos="8296"/>
        </w:tabs>
        <w:ind w:left="480" w:firstLine="480"/>
        <w:rPr>
          <w:rFonts w:hint="eastAsia" w:asciiTheme="minorHAnsi" w:hAnsiTheme="minorHAnsi" w:eastAsiaTheme="minorEastAsia"/>
          <w:sz w:val="22"/>
          <w:szCs w:val="24"/>
          <w14:ligatures w14:val="standardContextual"/>
        </w:rPr>
      </w:pPr>
      <w:r>
        <w:fldChar w:fldCharType="begin"/>
      </w:r>
      <w:r>
        <w:instrText xml:space="preserve"> HYPERLINK \l "_Toc190813024" </w:instrText>
      </w:r>
      <w:r>
        <w:fldChar w:fldCharType="separate"/>
      </w:r>
      <w:r>
        <w:rPr>
          <w:rStyle w:val="20"/>
          <w:rFonts w:hint="eastAsia"/>
        </w:rPr>
        <w:t>8.3 应急管理</w:t>
      </w:r>
      <w:r>
        <w:rPr>
          <w:rFonts w:hint="eastAsia"/>
        </w:rPr>
        <w:tab/>
      </w:r>
      <w:r>
        <w:rPr>
          <w:rFonts w:hint="eastAsia"/>
        </w:rPr>
        <w:fldChar w:fldCharType="begin"/>
      </w:r>
      <w:r>
        <w:rPr>
          <w:rFonts w:hint="eastAsia"/>
        </w:rPr>
        <w:instrText xml:space="preserve"> </w:instrText>
      </w:r>
      <w:r>
        <w:instrText xml:space="preserve">PAGEREF _Toc190813024 \h</w:instrText>
      </w:r>
      <w:r>
        <w:rPr>
          <w:rFonts w:hint="eastAsia"/>
        </w:rPr>
        <w:instrText xml:space="preserve"> </w:instrText>
      </w:r>
      <w:r>
        <w:fldChar w:fldCharType="separate"/>
      </w:r>
      <w:r>
        <w:t>23</w:t>
      </w:r>
      <w:r>
        <w:rPr>
          <w:rFonts w:hint="eastAsia"/>
        </w:rPr>
        <w:fldChar w:fldCharType="end"/>
      </w:r>
      <w:r>
        <w:rPr>
          <w:rFonts w:hint="eastAsia"/>
        </w:rPr>
        <w:fldChar w:fldCharType="end"/>
      </w:r>
    </w:p>
    <w:p>
      <w:pPr>
        <w:pStyle w:val="11"/>
        <w:tabs>
          <w:tab w:val="right" w:leader="dot" w:pos="8296"/>
        </w:tabs>
        <w:ind w:firstLine="480"/>
        <w:rPr>
          <w:rFonts w:hint="eastAsia" w:asciiTheme="minorHAnsi" w:hAnsiTheme="minorHAnsi" w:eastAsiaTheme="minorEastAsia"/>
          <w:sz w:val="22"/>
          <w:szCs w:val="24"/>
          <w14:ligatures w14:val="standardContextual"/>
        </w:rPr>
      </w:pPr>
      <w:r>
        <w:fldChar w:fldCharType="begin"/>
      </w:r>
      <w:r>
        <w:instrText xml:space="preserve"> HYPERLINK \l "_Toc190813025" </w:instrText>
      </w:r>
      <w:r>
        <w:fldChar w:fldCharType="separate"/>
      </w:r>
      <w:r>
        <w:rPr>
          <w:rStyle w:val="20"/>
          <w:rFonts w:hint="eastAsia" w:asciiTheme="minorEastAsia" w:hAnsiTheme="minorEastAsia" w:cstheme="minorEastAsia"/>
          <w:b/>
          <w:bCs/>
        </w:rPr>
        <w:t>本标准用词说明</w:t>
      </w:r>
      <w:r>
        <w:rPr>
          <w:rFonts w:hint="eastAsia"/>
        </w:rPr>
        <w:tab/>
      </w:r>
      <w:r>
        <w:rPr>
          <w:rFonts w:hint="eastAsia"/>
        </w:rPr>
        <w:fldChar w:fldCharType="begin"/>
      </w:r>
      <w:r>
        <w:rPr>
          <w:rFonts w:hint="eastAsia"/>
        </w:rPr>
        <w:instrText xml:space="preserve"> </w:instrText>
      </w:r>
      <w:r>
        <w:instrText xml:space="preserve">PAGEREF _Toc190813025 \h</w:instrText>
      </w:r>
      <w:r>
        <w:rPr>
          <w:rFonts w:hint="eastAsia"/>
        </w:rPr>
        <w:instrText xml:space="preserve"> </w:instrText>
      </w:r>
      <w:r>
        <w:fldChar w:fldCharType="separate"/>
      </w:r>
      <w:r>
        <w:t>25</w:t>
      </w:r>
      <w:r>
        <w:rPr>
          <w:rFonts w:hint="eastAsia"/>
        </w:rPr>
        <w:fldChar w:fldCharType="end"/>
      </w:r>
      <w:r>
        <w:rPr>
          <w:rFonts w:hint="eastAsia"/>
        </w:rPr>
        <w:fldChar w:fldCharType="end"/>
      </w:r>
    </w:p>
    <w:p>
      <w:pPr>
        <w:pStyle w:val="11"/>
        <w:tabs>
          <w:tab w:val="right" w:leader="dot" w:pos="8296"/>
        </w:tabs>
        <w:ind w:firstLine="480"/>
        <w:rPr>
          <w:rFonts w:hint="eastAsia" w:asciiTheme="minorHAnsi" w:hAnsiTheme="minorHAnsi" w:eastAsiaTheme="minorEastAsia"/>
          <w:sz w:val="22"/>
          <w:szCs w:val="24"/>
          <w14:ligatures w14:val="standardContextual"/>
        </w:rPr>
      </w:pPr>
      <w:r>
        <w:fldChar w:fldCharType="begin"/>
      </w:r>
      <w:r>
        <w:instrText xml:space="preserve"> HYPERLINK \l "_Toc190813026" </w:instrText>
      </w:r>
      <w:r>
        <w:fldChar w:fldCharType="separate"/>
      </w:r>
      <w:r>
        <w:rPr>
          <w:rStyle w:val="20"/>
          <w:rFonts w:hint="eastAsia"/>
        </w:rPr>
        <w:t>引用标准名录</w:t>
      </w:r>
      <w:r>
        <w:rPr>
          <w:rFonts w:hint="eastAsia"/>
        </w:rPr>
        <w:tab/>
      </w:r>
      <w:r>
        <w:rPr>
          <w:rFonts w:hint="eastAsia"/>
        </w:rPr>
        <w:fldChar w:fldCharType="begin"/>
      </w:r>
      <w:r>
        <w:rPr>
          <w:rFonts w:hint="eastAsia"/>
        </w:rPr>
        <w:instrText xml:space="preserve"> </w:instrText>
      </w:r>
      <w:r>
        <w:instrText xml:space="preserve">PAGEREF _Toc190813026 \h</w:instrText>
      </w:r>
      <w:r>
        <w:rPr>
          <w:rFonts w:hint="eastAsia"/>
        </w:rPr>
        <w:instrText xml:space="preserve"> </w:instrText>
      </w:r>
      <w:r>
        <w:fldChar w:fldCharType="separate"/>
      </w:r>
      <w:r>
        <w:t>26</w:t>
      </w:r>
      <w:r>
        <w:rPr>
          <w:rFonts w:hint="eastAsia"/>
        </w:rPr>
        <w:fldChar w:fldCharType="end"/>
      </w:r>
      <w:r>
        <w:rPr>
          <w:rFonts w:hint="eastAsia"/>
        </w:rPr>
        <w:fldChar w:fldCharType="end"/>
      </w:r>
    </w:p>
    <w:p>
      <w:pPr>
        <w:pStyle w:val="2"/>
        <w:ind w:firstLine="0" w:firstLineChars="0"/>
        <w:sectPr>
          <w:footerReference r:id="rId11" w:type="default"/>
          <w:pgSz w:w="11906" w:h="16838"/>
          <w:pgMar w:top="1440" w:right="1800" w:bottom="1440" w:left="1800" w:header="851" w:footer="992" w:gutter="0"/>
          <w:pgNumType w:start="1"/>
          <w:cols w:space="425" w:num="1"/>
          <w:docGrid w:type="lines" w:linePitch="312" w:charSpace="0"/>
        </w:sectPr>
      </w:pPr>
      <w:r>
        <w:rPr>
          <w:rFonts w:hint="eastAsia"/>
        </w:rPr>
        <w:fldChar w:fldCharType="end"/>
      </w:r>
      <w:bookmarkStart w:id="15" w:name="_Toc2759"/>
      <w:bookmarkStart w:id="16" w:name="_Toc25395"/>
      <w:bookmarkStart w:id="17" w:name="_Toc24526"/>
      <w:bookmarkStart w:id="18" w:name="_Toc705"/>
      <w:bookmarkStart w:id="19" w:name="_Toc29704"/>
      <w:bookmarkStart w:id="20" w:name="_Toc17757"/>
    </w:p>
    <w:p>
      <w:pPr>
        <w:pStyle w:val="2"/>
        <w:ind w:firstLine="0" w:firstLineChars="0"/>
        <w:rPr>
          <w:rFonts w:hint="eastAsia" w:ascii="宋体" w:hAnsi="宋体"/>
          <w:szCs w:val="24"/>
        </w:rPr>
      </w:pPr>
      <w:bookmarkStart w:id="21" w:name="_Toc190813002"/>
      <w:r>
        <w:rPr>
          <w:rFonts w:hint="eastAsia"/>
          <w:sz w:val="32"/>
        </w:rPr>
        <w:t>1</w:t>
      </w:r>
      <w:r>
        <w:rPr>
          <w:sz w:val="32"/>
        </w:rPr>
        <w:t xml:space="preserve"> </w:t>
      </w:r>
      <w:r>
        <w:rPr>
          <w:rFonts w:hint="eastAsia"/>
          <w:sz w:val="32"/>
        </w:rPr>
        <w:t xml:space="preserve">总 </w:t>
      </w:r>
      <w:r>
        <w:rPr>
          <w:sz w:val="32"/>
        </w:rPr>
        <w:t xml:space="preserve"> </w:t>
      </w:r>
      <w:r>
        <w:rPr>
          <w:rFonts w:hint="eastAsia"/>
          <w:sz w:val="32"/>
        </w:rPr>
        <w:t>则</w:t>
      </w:r>
      <w:bookmarkEnd w:id="15"/>
      <w:bookmarkEnd w:id="16"/>
      <w:bookmarkEnd w:id="17"/>
      <w:bookmarkEnd w:id="18"/>
      <w:bookmarkEnd w:id="19"/>
      <w:bookmarkEnd w:id="20"/>
      <w:bookmarkEnd w:id="21"/>
    </w:p>
    <w:p>
      <w:pPr>
        <w:pStyle w:val="23"/>
        <w:numPr>
          <w:ilvl w:val="0"/>
          <w:numId w:val="2"/>
        </w:numPr>
        <w:spacing w:before="156" w:beforeLines="50" w:after="156" w:afterLines="50"/>
        <w:ind w:left="0" w:firstLine="0" w:firstLineChars="0"/>
        <w:rPr>
          <w:bCs/>
          <w:szCs w:val="24"/>
        </w:rPr>
      </w:pPr>
      <w:r>
        <w:rPr>
          <w:rFonts w:hint="eastAsia"/>
          <w:bCs/>
          <w:szCs w:val="24"/>
        </w:rPr>
        <w:t>为</w:t>
      </w:r>
      <w:bookmarkStart w:id="22" w:name="_Hlk172459921"/>
      <w:r>
        <w:rPr>
          <w:rFonts w:hint="eastAsia"/>
          <w:bCs/>
          <w:szCs w:val="24"/>
        </w:rPr>
        <w:t>规范大直径泥水盾构浆渣</w:t>
      </w:r>
      <w:bookmarkEnd w:id="22"/>
      <w:r>
        <w:rPr>
          <w:rFonts w:hint="eastAsia"/>
          <w:bCs/>
          <w:szCs w:val="24"/>
        </w:rPr>
        <w:t>处理技术的应用，促进浆渣</w:t>
      </w:r>
      <w:r>
        <w:rPr>
          <w:rFonts w:hint="eastAsia"/>
          <w:szCs w:val="24"/>
        </w:rPr>
        <w:t>源头</w:t>
      </w:r>
      <w:r>
        <w:rPr>
          <w:szCs w:val="24"/>
        </w:rPr>
        <w:t>减量、</w:t>
      </w:r>
      <w:r>
        <w:rPr>
          <w:rFonts w:hint="eastAsia"/>
          <w:bCs/>
          <w:szCs w:val="24"/>
        </w:rPr>
        <w:t>资源化利用，提高环保处置水平，保障地下工程建设可持续发展，制定本标准；</w:t>
      </w:r>
    </w:p>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rPr>
      </w:pPr>
      <w:r>
        <w:rPr>
          <w:rFonts w:hint="eastAsia"/>
          <w:color w:val="auto"/>
        </w:rPr>
        <w:t>本标准结合国家有关建筑垃圾处理的法律法规和相关政策的规定，对大直径泥水盾构浆渣的减量化、资源化和环保处置提出相关要求，旨在规范大直径泥水盾构浆渣的处理处置、加强大直径泥水盾构浆渣的管理和利用。</w:t>
      </w:r>
    </w:p>
    <w:p>
      <w:pPr>
        <w:pStyle w:val="23"/>
        <w:numPr>
          <w:ilvl w:val="0"/>
          <w:numId w:val="2"/>
        </w:numPr>
        <w:spacing w:before="156" w:beforeLines="50" w:after="156" w:afterLines="50"/>
        <w:ind w:left="0" w:firstLine="0" w:firstLineChars="0"/>
        <w:rPr>
          <w:bCs/>
          <w:szCs w:val="24"/>
        </w:rPr>
      </w:pPr>
      <w:r>
        <w:rPr>
          <w:rFonts w:hint="eastAsia"/>
          <w:bCs/>
          <w:szCs w:val="24"/>
        </w:rPr>
        <w:t>本标准适用于大直径泥水盾构工程浆渣处理与利用。</w:t>
      </w:r>
    </w:p>
    <w:p>
      <w:pPr>
        <w:pStyle w:val="23"/>
        <w:numPr>
          <w:ilvl w:val="0"/>
          <w:numId w:val="2"/>
        </w:numPr>
        <w:spacing w:before="156" w:beforeLines="50" w:after="156" w:afterLines="50"/>
        <w:ind w:left="0" w:firstLine="0" w:firstLineChars="0"/>
        <w:rPr>
          <w:bCs/>
          <w:szCs w:val="24"/>
        </w:rPr>
      </w:pPr>
      <w:r>
        <w:rPr>
          <w:rFonts w:hint="eastAsia"/>
          <w:bCs/>
          <w:szCs w:val="24"/>
        </w:rPr>
        <w:t>大直径泥水盾构浆渣处理除应符合本标准外，尚应符合国家现行有关标准和现行中国工程建设标准化协会有关标准的规定。</w:t>
      </w:r>
    </w:p>
    <w:p>
      <w:pPr>
        <w:pStyle w:val="23"/>
        <w:numPr>
          <w:ilvl w:val="0"/>
          <w:numId w:val="2"/>
        </w:numPr>
        <w:spacing w:before="156" w:beforeLines="50" w:after="156" w:afterLines="50"/>
        <w:ind w:firstLineChars="0"/>
        <w:rPr>
          <w:szCs w:val="24"/>
        </w:rPr>
      </w:pPr>
      <w:r>
        <w:rPr>
          <w:rFonts w:hint="eastAsia"/>
        </w:rPr>
        <w:br w:type="page"/>
      </w:r>
    </w:p>
    <w:p>
      <w:pPr>
        <w:pStyle w:val="2"/>
        <w:ind w:firstLine="0" w:firstLineChars="0"/>
        <w:rPr>
          <w:rFonts w:hint="eastAsia" w:ascii="宋体" w:hAnsi="宋体"/>
          <w:szCs w:val="24"/>
        </w:rPr>
      </w:pPr>
      <w:bookmarkStart w:id="23" w:name="_Toc28507"/>
      <w:bookmarkStart w:id="24" w:name="_Toc6598"/>
      <w:bookmarkStart w:id="25" w:name="_Toc190813003"/>
      <w:bookmarkStart w:id="26" w:name="_Toc3092"/>
      <w:bookmarkStart w:id="27" w:name="_Toc4698"/>
      <w:bookmarkStart w:id="28" w:name="_Toc8100"/>
      <w:bookmarkStart w:id="29" w:name="_Toc7591"/>
      <w:r>
        <w:rPr>
          <w:rFonts w:hint="eastAsia"/>
          <w:sz w:val="32"/>
        </w:rPr>
        <w:t>2</w:t>
      </w:r>
      <w:r>
        <w:rPr>
          <w:sz w:val="32"/>
        </w:rPr>
        <w:t xml:space="preserve"> </w:t>
      </w:r>
      <w:r>
        <w:rPr>
          <w:rFonts w:hint="eastAsia"/>
          <w:sz w:val="32"/>
        </w:rPr>
        <w:t xml:space="preserve">术 </w:t>
      </w:r>
      <w:r>
        <w:rPr>
          <w:sz w:val="32"/>
        </w:rPr>
        <w:t xml:space="preserve"> </w:t>
      </w:r>
      <w:r>
        <w:rPr>
          <w:rFonts w:hint="eastAsia"/>
          <w:sz w:val="32"/>
        </w:rPr>
        <w:t>语</w:t>
      </w:r>
      <w:bookmarkEnd w:id="23"/>
      <w:bookmarkEnd w:id="24"/>
      <w:bookmarkEnd w:id="25"/>
      <w:bookmarkEnd w:id="26"/>
      <w:bookmarkEnd w:id="27"/>
      <w:bookmarkEnd w:id="28"/>
      <w:bookmarkEnd w:id="29"/>
    </w:p>
    <w:p>
      <w:pPr>
        <w:pStyle w:val="23"/>
        <w:numPr>
          <w:ilvl w:val="0"/>
          <w:numId w:val="3"/>
        </w:numPr>
        <w:spacing w:before="156" w:beforeLines="50" w:after="156" w:afterLines="50"/>
        <w:ind w:firstLineChars="0"/>
        <w:rPr>
          <w:bCs/>
          <w:szCs w:val="24"/>
        </w:rPr>
      </w:pPr>
      <w:bookmarkStart w:id="30" w:name="OLE_LINK3"/>
      <w:bookmarkStart w:id="31" w:name="OLE_LINK13"/>
      <w:r>
        <w:rPr>
          <w:rFonts w:hint="eastAsia"/>
          <w:bCs/>
          <w:szCs w:val="24"/>
        </w:rPr>
        <w:t>大直径泥水盾构</w:t>
      </w:r>
      <w:bookmarkEnd w:id="30"/>
      <w:r>
        <w:rPr>
          <w:rFonts w:hint="eastAsia"/>
          <w:bCs/>
          <w:szCs w:val="24"/>
        </w:rPr>
        <w:t xml:space="preserve"> </w:t>
      </w:r>
      <w:bookmarkEnd w:id="31"/>
      <w:r>
        <w:rPr>
          <w:rFonts w:hint="eastAsia"/>
          <w:bCs/>
          <w:szCs w:val="24"/>
        </w:rPr>
        <w:t>large-diameter slurry shield</w:t>
      </w:r>
    </w:p>
    <w:p>
      <w:pPr>
        <w:spacing w:before="156" w:beforeLines="50" w:after="156" w:afterLines="50"/>
        <w:ind w:firstLine="480"/>
        <w:rPr>
          <w:szCs w:val="24"/>
        </w:rPr>
      </w:pPr>
      <w:bookmarkStart w:id="32" w:name="OLE_LINK43"/>
      <w:r>
        <w:rPr>
          <w:rFonts w:hint="eastAsia"/>
          <w:szCs w:val="24"/>
        </w:rPr>
        <w:t>以泥浆为主要介质平衡隧道开挖面地层压力，通过泥浆输送系统出渣的开挖直径大于10m的压力平衡式盾构施工工艺</w:t>
      </w:r>
      <w:bookmarkEnd w:id="32"/>
      <w:r>
        <w:rPr>
          <w:rFonts w:hint="eastAsia"/>
          <w:szCs w:val="24"/>
        </w:rPr>
        <w:t>。</w:t>
      </w:r>
    </w:p>
    <w:p>
      <w:pPr>
        <w:pStyle w:val="33"/>
        <w:ind w:firstLine="480"/>
        <w:rPr>
          <w:color w:val="auto"/>
          <w:highlight w:val="yellow"/>
        </w:rPr>
      </w:pPr>
      <w:r>
        <w:rPr>
          <w:rFonts w:hint="eastAsia"/>
          <w:color w:val="auto"/>
        </w:rPr>
        <w:t>条文说明</w:t>
      </w:r>
    </w:p>
    <w:p>
      <w:pPr>
        <w:pStyle w:val="34"/>
        <w:rPr>
          <w:color w:val="auto"/>
        </w:rPr>
      </w:pPr>
      <w:r>
        <w:rPr>
          <w:color w:val="auto"/>
        </w:rPr>
        <w:t>国家标准《全断面隧道掘进机 泥水平衡盾构机》GB/T 35019-2018</w:t>
      </w:r>
      <w:r>
        <w:rPr>
          <w:rFonts w:hint="eastAsia"/>
          <w:color w:val="auto"/>
        </w:rPr>
        <w:t>，将“泥水平衡盾构机”定义为“以泥浆为主要介质平衡隧道开挖面地层压力、通过泥浆输送系统出渣的盾构机”。行业内通常将开挖直径大于10m的盾构机视为大直径盾构，如企业标准《大直径泥水盾构施工技术指南》Q/CRCC 33301-2018总则中指出“本指南适用于开挖直径10m及以上的泥水盾构施工。”综合上述标准，将本标准中“大直径泥水盾构”定义为“以泥浆为主要介质平衡隧道开挖面地层压力，通过泥浆输送系统出渣的开挖直径大于10m的压力平衡式盾构施工工艺”。</w:t>
      </w:r>
    </w:p>
    <w:p>
      <w:pPr>
        <w:pStyle w:val="23"/>
        <w:numPr>
          <w:ilvl w:val="0"/>
          <w:numId w:val="3"/>
        </w:numPr>
        <w:spacing w:before="156" w:beforeLines="50" w:after="156" w:afterLines="50"/>
        <w:ind w:firstLineChars="0"/>
        <w:rPr>
          <w:bCs/>
          <w:szCs w:val="24"/>
        </w:rPr>
      </w:pPr>
      <w:r>
        <w:rPr>
          <w:rFonts w:hint="eastAsia"/>
          <w:bCs/>
          <w:szCs w:val="24"/>
        </w:rPr>
        <w:t>盾构浆渣 shield slurry</w:t>
      </w:r>
    </w:p>
    <w:p>
      <w:pPr>
        <w:spacing w:before="156" w:beforeLines="50" w:after="156" w:afterLines="50"/>
        <w:ind w:firstLine="480"/>
        <w:rPr>
          <w:szCs w:val="24"/>
        </w:rPr>
      </w:pPr>
      <w:bookmarkStart w:id="33" w:name="OLE_LINK15"/>
      <w:r>
        <w:rPr>
          <w:rFonts w:hint="eastAsia"/>
          <w:szCs w:val="24"/>
        </w:rPr>
        <w:t>泥水盾构施工过程中从开挖仓排出的泥浆和渣土的混合物。</w:t>
      </w:r>
    </w:p>
    <w:bookmarkEnd w:id="33"/>
    <w:p>
      <w:pPr>
        <w:pStyle w:val="33"/>
        <w:ind w:firstLine="480"/>
        <w:rPr>
          <w:color w:val="auto"/>
        </w:rPr>
      </w:pPr>
      <w:r>
        <w:rPr>
          <w:rFonts w:hint="eastAsia"/>
          <w:color w:val="auto"/>
        </w:rPr>
        <w:t>条文说明</w:t>
      </w:r>
    </w:p>
    <w:p>
      <w:pPr>
        <w:pStyle w:val="34"/>
        <w:rPr>
          <w:color w:val="auto"/>
        </w:rPr>
      </w:pPr>
      <w:r>
        <w:rPr>
          <w:rFonts w:hint="eastAsia"/>
          <w:color w:val="auto"/>
        </w:rPr>
        <w:t>《盾构渣土处理技术规程》T/CECS 1185-2022中“盾构渣土”的定义为“采用盾构工艺施工产生的渣土。”，同时提及“盾构渣土包括盾构施工过程中产生的泥浆”；陈滨彬等论著的《泥水平衡盾构渣浆处理及循环利用技术发展现状》中，指出“泥水平衡盾构渣浆通常为水、天然黏土、膨润土、CMC添加剂等组成的</w:t>
      </w:r>
      <w:bookmarkStart w:id="34" w:name="OLE_LINK22"/>
      <w:r>
        <w:rPr>
          <w:rFonts w:hint="eastAsia"/>
          <w:color w:val="auto"/>
        </w:rPr>
        <w:t>分散泥浆体系</w:t>
      </w:r>
      <w:bookmarkEnd w:id="34"/>
      <w:r>
        <w:rPr>
          <w:rFonts w:hint="eastAsia"/>
          <w:color w:val="auto"/>
        </w:rPr>
        <w:t>，固含率20%～40%。</w:t>
      </w:r>
      <w:bookmarkStart w:id="35" w:name="OLE_LINK24"/>
      <w:r>
        <w:rPr>
          <w:rFonts w:hint="eastAsia"/>
          <w:color w:val="auto"/>
        </w:rPr>
        <w:t>相比其他类盾构渣土，其含水率更高、稳定性更差。</w:t>
      </w:r>
      <w:bookmarkEnd w:id="35"/>
      <w:r>
        <w:rPr>
          <w:rFonts w:hint="eastAsia"/>
          <w:color w:val="auto"/>
        </w:rPr>
        <w:t>”；《工程废弃泥浆综合处理技术标准》T/CMEA 24-2022中，“工程废弃泥浆”定义为“在建筑工程、隧道工程、基础工程等建设过程中配制与使用的泥术混合物。它是一种由水、膨润土颗粒、黏性土颗粒以及外加剂组成的介于液态和固态之间的悬浊体。也包括利用废弃渣土加水制作的泥浆”。综合上述论著及标准、规程，将本标准中“盾构浆渣”定义为“泥水盾构施工过程中从开挖仓排出的泥浆和渣土的混合物。”。</w:t>
      </w:r>
    </w:p>
    <w:p>
      <w:pPr>
        <w:pStyle w:val="23"/>
        <w:numPr>
          <w:ilvl w:val="0"/>
          <w:numId w:val="3"/>
        </w:numPr>
        <w:spacing w:before="156" w:beforeLines="50" w:after="156" w:afterLines="50"/>
        <w:ind w:firstLineChars="0"/>
        <w:rPr>
          <w:bCs/>
          <w:szCs w:val="24"/>
        </w:rPr>
      </w:pPr>
      <w:r>
        <w:rPr>
          <w:rFonts w:hint="eastAsia"/>
          <w:bCs/>
          <w:szCs w:val="24"/>
        </w:rPr>
        <w:t>盾构浆渣处理 shield slurry treatment</w:t>
      </w:r>
    </w:p>
    <w:p>
      <w:pPr>
        <w:spacing w:before="156" w:beforeLines="50" w:after="156" w:afterLines="50"/>
        <w:ind w:firstLine="480"/>
        <w:rPr>
          <w:szCs w:val="24"/>
        </w:rPr>
      </w:pPr>
      <w:r>
        <w:rPr>
          <w:rFonts w:hint="eastAsia"/>
          <w:szCs w:val="24"/>
        </w:rPr>
        <w:t>对盾构浆渣进行浆渣分离、泥水分离、分离物料再利用等处理的全过程。</w:t>
      </w:r>
    </w:p>
    <w:p>
      <w:pPr>
        <w:pStyle w:val="33"/>
        <w:ind w:firstLine="480"/>
        <w:rPr>
          <w:color w:val="auto"/>
        </w:rPr>
      </w:pPr>
      <w:r>
        <w:rPr>
          <w:rFonts w:hint="eastAsia"/>
          <w:color w:val="auto"/>
        </w:rPr>
        <w:t>条文说明</w:t>
      </w:r>
    </w:p>
    <w:p>
      <w:pPr>
        <w:pStyle w:val="34"/>
        <w:rPr>
          <w:color w:val="auto"/>
        </w:rPr>
      </w:pPr>
      <w:r>
        <w:rPr>
          <w:rFonts w:hint="eastAsia"/>
          <w:color w:val="auto"/>
        </w:rPr>
        <w:t>《盾构渣土处理技术规程》T/CECS 1185-2022中“盾构渣土处理”的定义为“对盾构渣土进行的收集、运输、破碎、泥砂分离、砂石集料筛分、泥水分离、水净化等处理过程，按处理场地的不同分为现场处理和集中处理。”；《湖南省盾构渣土处理技术标准》DBJ43/T515-2020中，“盾构渣土处理”的定义为“对盾构渣土进行收集、运输、处理的全过程，按处理场地的不同分为现场处理和集中处理”。由于浆渣含水量较高，与上述标准中的“渣土处理”的过程不同，本条所指的处理的全过程是泥水盾构机排出的浆渣泵送至浆渣处理系统进行处理，经过振筛、旋流实现浆渣分离后，渣土（旋流筛分后分离出的大于20μm的物料）进行外运或资源化利用，满足盾构机正常施工的泥浆泵回</w:t>
      </w:r>
      <w:bookmarkStart w:id="36" w:name="OLE_LINK46"/>
      <w:r>
        <w:rPr>
          <w:rFonts w:hint="eastAsia"/>
          <w:color w:val="auto"/>
        </w:rPr>
        <w:t>到盾构机开挖仓</w:t>
      </w:r>
      <w:bookmarkEnd w:id="36"/>
      <w:r>
        <w:rPr>
          <w:rFonts w:hint="eastAsia"/>
          <w:color w:val="auto"/>
        </w:rPr>
        <w:t>，废弃的泥浆经过泥水分离后生成干化土进行外运或资源化利用、生成清水达标排放或再利用。</w:t>
      </w:r>
    </w:p>
    <w:p>
      <w:pPr>
        <w:pStyle w:val="23"/>
        <w:numPr>
          <w:ilvl w:val="0"/>
          <w:numId w:val="3"/>
        </w:numPr>
        <w:spacing w:before="156" w:beforeLines="50" w:after="156" w:afterLines="50"/>
        <w:ind w:firstLineChars="0"/>
        <w:rPr>
          <w:bCs/>
          <w:szCs w:val="24"/>
        </w:rPr>
      </w:pPr>
      <w:bookmarkStart w:id="37" w:name="OLE_LINK25"/>
      <w:r>
        <w:rPr>
          <w:rFonts w:hint="eastAsia"/>
          <w:bCs/>
          <w:szCs w:val="24"/>
        </w:rPr>
        <w:t>源头减量化</w:t>
      </w:r>
      <w:bookmarkEnd w:id="37"/>
      <w:r>
        <w:rPr>
          <w:rFonts w:hint="eastAsia"/>
          <w:bCs/>
          <w:szCs w:val="24"/>
        </w:rPr>
        <w:t xml:space="preserve"> source reduction</w:t>
      </w:r>
    </w:p>
    <w:p>
      <w:pPr>
        <w:spacing w:before="156" w:beforeLines="50" w:after="156" w:afterLines="50"/>
        <w:ind w:firstLine="480"/>
        <w:rPr>
          <w:szCs w:val="24"/>
        </w:rPr>
      </w:pPr>
      <w:r>
        <w:rPr>
          <w:rFonts w:hint="eastAsia"/>
          <w:szCs w:val="24"/>
        </w:rPr>
        <w:t>在盾构工程建设的策划、设计、施工等过程中，通过采取掘进参数与刀盘优化、泥浆循环、浆渣资源化利用等措施，从源头减少盾构浆渣产生。</w:t>
      </w:r>
    </w:p>
    <w:p>
      <w:pPr>
        <w:pStyle w:val="33"/>
        <w:ind w:firstLine="480"/>
        <w:rPr>
          <w:color w:val="auto"/>
        </w:rPr>
      </w:pPr>
      <w:r>
        <w:rPr>
          <w:rFonts w:hint="eastAsia"/>
          <w:color w:val="auto"/>
        </w:rPr>
        <w:t>条文说明</w:t>
      </w:r>
    </w:p>
    <w:p>
      <w:pPr>
        <w:pStyle w:val="34"/>
        <w:spacing w:before="156" w:beforeLines="50" w:after="156" w:afterLines="50"/>
        <w:rPr>
          <w:color w:val="auto"/>
          <w:szCs w:val="24"/>
        </w:rPr>
      </w:pPr>
      <w:r>
        <w:rPr>
          <w:rFonts w:hint="eastAsia"/>
          <w:color w:val="auto"/>
        </w:rPr>
        <w:t>《施工现场建筑垃圾减量化技术标准》JGJ/T 498-2024中，施工现场建筑垃圾包括工程泥浆等，施工现场建筑垃圾的减量化工作应遵循“估算先行、源头减量、分类管理、就地处理、排放控制”的总体原则，因此提出盾构浆渣的源头减量化。“源头减量”通常是指从源头上采取措施，减少或避免废弃物的产生和排放，以降低对环境的影响。具体来说，就是通过合理的设计、规划和改进生产过程、工艺流程、产品设计等方式，从源头上减少废弃物的产生，提高资源利用效率，从而减少对环境的负担。</w:t>
      </w:r>
      <w:bookmarkStart w:id="38" w:name="OLE_LINK23"/>
      <w:r>
        <w:rPr>
          <w:rFonts w:hint="eastAsia"/>
          <w:color w:val="auto"/>
        </w:rPr>
        <w:t>《</w:t>
      </w:r>
      <w:bookmarkStart w:id="39" w:name="OLE_LINK33"/>
      <w:r>
        <w:rPr>
          <w:rFonts w:hint="eastAsia"/>
          <w:color w:val="auto"/>
        </w:rPr>
        <w:t>湖南省盾构渣土处理技术标准</w:t>
      </w:r>
      <w:bookmarkEnd w:id="39"/>
      <w:bookmarkStart w:id="40" w:name="OLE_LINK26"/>
      <w:r>
        <w:rPr>
          <w:rFonts w:hint="eastAsia"/>
          <w:color w:val="auto"/>
        </w:rPr>
        <w:t>》</w:t>
      </w:r>
      <w:bookmarkEnd w:id="38"/>
      <w:bookmarkEnd w:id="40"/>
      <w:r>
        <w:rPr>
          <w:rFonts w:hint="eastAsia"/>
          <w:color w:val="auto"/>
        </w:rPr>
        <w:t>DBJ43/T515-2020中“源头减量化”的定义“在工程建设的策划、设计、施工等过程中采取合理措施，从源头减少盾构渣土的产生。”“源头减量”的措施包括掘进参数与刀盘优化、泥浆循环、浆渣资源化利用等；通过掘进参数与刀盘优化，精确控制开挖轮廓，避免超挖，提高切削效率，减少无效渣土的产生；通过泥浆循环，</w:t>
      </w:r>
      <w:r>
        <w:rPr>
          <w:rFonts w:hint="eastAsia"/>
          <w:szCs w:val="24"/>
        </w:rPr>
        <w:t>将符合标准的泥浆泵送到盾构机开挖仓</w:t>
      </w:r>
      <w:r>
        <w:rPr>
          <w:rFonts w:hint="eastAsia"/>
          <w:color w:val="auto"/>
        </w:rPr>
        <w:t>，减少盾构浆渣的总量；通过资源化利用，达标的分离水循坏使用，减少盾构浆渣的总量。</w:t>
      </w:r>
    </w:p>
    <w:p>
      <w:pPr>
        <w:pStyle w:val="23"/>
        <w:numPr>
          <w:ilvl w:val="0"/>
          <w:numId w:val="3"/>
        </w:numPr>
        <w:spacing w:before="156" w:beforeLines="50" w:after="156" w:afterLines="50"/>
        <w:ind w:firstLineChars="0"/>
        <w:rPr>
          <w:bCs/>
          <w:szCs w:val="24"/>
        </w:rPr>
      </w:pPr>
      <w:r>
        <w:rPr>
          <w:rFonts w:hint="eastAsia"/>
          <w:bCs/>
          <w:szCs w:val="24"/>
        </w:rPr>
        <w:t>无害化处理 harmless treatment</w:t>
      </w:r>
    </w:p>
    <w:p>
      <w:pPr>
        <w:spacing w:before="156" w:beforeLines="50" w:after="156" w:afterLines="50"/>
        <w:ind w:firstLine="480"/>
        <w:rPr>
          <w:szCs w:val="24"/>
        </w:rPr>
      </w:pPr>
      <w:r>
        <w:rPr>
          <w:rFonts w:hint="eastAsia"/>
          <w:szCs w:val="24"/>
        </w:rPr>
        <w:t>采用化学、物理和生物方法，对盾构浆渣中阴离子表面活性剂等物质造成的环境污染进行消除的过程。</w:t>
      </w:r>
    </w:p>
    <w:p>
      <w:pPr>
        <w:pStyle w:val="33"/>
        <w:ind w:firstLine="480"/>
        <w:rPr>
          <w:color w:val="auto"/>
        </w:rPr>
      </w:pPr>
      <w:bookmarkStart w:id="41" w:name="OLE_LINK4"/>
      <w:r>
        <w:rPr>
          <w:rFonts w:hint="eastAsia"/>
          <w:color w:val="auto"/>
        </w:rPr>
        <w:t>条文说明</w:t>
      </w:r>
    </w:p>
    <w:p>
      <w:pPr>
        <w:pStyle w:val="34"/>
        <w:spacing w:before="156" w:beforeLines="50" w:after="156" w:afterLines="50"/>
        <w:rPr>
          <w:color w:val="auto"/>
          <w:szCs w:val="24"/>
        </w:rPr>
      </w:pPr>
      <w:r>
        <w:rPr>
          <w:rFonts w:hint="eastAsia"/>
          <w:color w:val="auto"/>
        </w:rPr>
        <w:t>无害化处理，是一种环境科学学术用语，指的是将废弃物或有害物质通过合适的方法和技术进行处理，以降低或消除对环境和人类健康的危害，达到无害化的目的。程丽敏论著的《市政轨道交通盾构渣土处理减量化再利用技术》中，“泥浆无害化”定义为“盾构泥浆含有膨润土、CMS(甲基淀粉)、纯碱泡沫剂、其他高分子聚合物等，经理化性质分析、重金属有机物污染分析后在加药搅拌系统中去除泡沫剂、有机化合物等有害成分。”。《湖南省盾构渣土处理技术标准》DBJ43/T515-2020中“无害化处理”的定义“采用化学、物理和生物方法，对盾构渣土中阴离子表面活性剂等物质造成的环境污染和高含水率对渣土堆体产生的地质危害进行消除或降低的过程。”《工程泥浆技术标准》</w:t>
      </w:r>
      <w:r>
        <w:rPr>
          <w:color w:val="auto"/>
        </w:rPr>
        <w:t>DBJ/T</w:t>
      </w:r>
      <w:r>
        <w:rPr>
          <w:rFonts w:hint="eastAsia"/>
          <w:color w:val="auto"/>
        </w:rPr>
        <w:t xml:space="preserve"> </w:t>
      </w:r>
      <w:r>
        <w:rPr>
          <w:color w:val="auto"/>
        </w:rPr>
        <w:t>13-417-2023</w:t>
      </w:r>
      <w:r>
        <w:rPr>
          <w:rFonts w:hint="eastAsia"/>
          <w:color w:val="auto"/>
        </w:rPr>
        <w:t>中“泥浆无害化处理”的定义是“将泥浆中的泥土、砂石和水进行分离和分类处理，达到现行外运和排放标准”。考虑到“盾构浆渣”含泥浆</w:t>
      </w:r>
      <w:r>
        <w:rPr>
          <w:rFonts w:hint="eastAsia"/>
          <w:color w:val="auto"/>
          <w:szCs w:val="24"/>
        </w:rPr>
        <w:t>，处理前不涉及堆体产生的地质危害，因此仅考虑环境污染的消除。</w:t>
      </w:r>
    </w:p>
    <w:bookmarkEnd w:id="41"/>
    <w:p>
      <w:pPr>
        <w:pStyle w:val="23"/>
        <w:numPr>
          <w:ilvl w:val="0"/>
          <w:numId w:val="3"/>
        </w:numPr>
        <w:spacing w:before="156" w:beforeLines="50" w:after="156" w:afterLines="50"/>
        <w:ind w:firstLineChars="0"/>
        <w:rPr>
          <w:bCs/>
          <w:szCs w:val="24"/>
        </w:rPr>
      </w:pPr>
      <w:r>
        <w:rPr>
          <w:rFonts w:hint="eastAsia"/>
          <w:bCs/>
          <w:szCs w:val="24"/>
        </w:rPr>
        <w:t>粗料分离 separation of coarse particles</w:t>
      </w:r>
    </w:p>
    <w:p>
      <w:pPr>
        <w:spacing w:before="156" w:beforeLines="50" w:after="156" w:afterLines="50"/>
        <w:ind w:firstLine="480"/>
        <w:rPr>
          <w:szCs w:val="24"/>
        </w:rPr>
      </w:pPr>
      <w:r>
        <w:rPr>
          <w:rFonts w:hint="eastAsia"/>
          <w:szCs w:val="24"/>
        </w:rPr>
        <w:t>采用预筛分工艺，将2mm及以上的石块、泥块等渣料分离出来的过程。</w:t>
      </w:r>
    </w:p>
    <w:p>
      <w:pPr>
        <w:pStyle w:val="33"/>
        <w:ind w:firstLine="480"/>
        <w:rPr>
          <w:color w:val="auto"/>
        </w:rPr>
      </w:pPr>
      <w:r>
        <w:rPr>
          <w:rFonts w:hint="eastAsia"/>
          <w:color w:val="auto"/>
        </w:rPr>
        <w:t>条文说明</w:t>
      </w:r>
    </w:p>
    <w:p>
      <w:pPr>
        <w:pStyle w:val="34"/>
        <w:spacing w:before="156" w:beforeLines="50" w:after="156" w:afterLines="50"/>
        <w:rPr>
          <w:color w:val="auto"/>
        </w:rPr>
      </w:pPr>
      <w:r>
        <w:rPr>
          <w:rFonts w:hint="eastAsia"/>
          <w:color w:val="auto"/>
        </w:rPr>
        <w:t>团体标准《泥水平衡盾构工程泥浆处理技术标准》</w:t>
      </w:r>
      <w:bookmarkStart w:id="42" w:name="OLE_LINK44"/>
      <w:r>
        <w:rPr>
          <w:color w:val="auto"/>
        </w:rPr>
        <w:t>T/DGGC 025-2024</w:t>
      </w:r>
      <w:bookmarkEnd w:id="42"/>
      <w:r>
        <w:rPr>
          <w:rFonts w:hint="eastAsia"/>
          <w:color w:val="auto"/>
        </w:rPr>
        <w:t>中，“粗料分离”定义为“采用筛分工艺，将3mm及以上的石块、泥块等物料分离出来的过程。”。</w:t>
      </w:r>
      <w:bookmarkStart w:id="43" w:name="OLE_LINK27"/>
      <w:r>
        <w:rPr>
          <w:rFonts w:hint="eastAsia"/>
          <w:color w:val="auto"/>
        </w:rPr>
        <w:t>赵海涛论著的《京张高铁大直径泥水盾构施工泥浆环保处理措施研究》中提到，“盾构掘进时产生的污浆由排泥泵送入泥水分离设备，经过预筛分器的两层粗筛后(将粒径超过3mm的渣料分离)。”；历朋林论著的《粉质黏土地层泥水盾构泥浆脱水处理技术研究》中提到，“预筛分器两层粗筛的筛选将粒径＞3mm的渣料筛出”；而郭卫社等论著的《盾构渣土无害化处理、资源化利用现状与展望》中提到，</w:t>
      </w:r>
      <w:bookmarkEnd w:id="43"/>
      <w:r>
        <w:rPr>
          <w:rFonts w:hint="eastAsia"/>
          <w:color w:val="auto"/>
        </w:rPr>
        <w:t>泥浆无害化处理工艺流程中“预分筛”是“将盾构排除的泥浆中2mm以上的固体颗粒进行分离”；陈滨彬等论著的《泥水平衡盾构渣浆处理及循环利用技术发展现状》中，指出“盾构泥浆经过预筛分器将粒径在2mm以上的渣料分离出来”。可以看出，预筛分可以将2mm以上的渣料分离出来，综合考虑，将“粗料”定义为“2mm及以上”。</w:t>
      </w:r>
      <w:bookmarkStart w:id="44" w:name="OLE_LINK5"/>
    </w:p>
    <w:p>
      <w:pPr>
        <w:pStyle w:val="23"/>
        <w:numPr>
          <w:ilvl w:val="0"/>
          <w:numId w:val="3"/>
        </w:numPr>
        <w:spacing w:before="156" w:beforeLines="50" w:after="156" w:afterLines="50"/>
        <w:ind w:firstLineChars="0"/>
        <w:rPr>
          <w:bCs/>
          <w:szCs w:val="24"/>
        </w:rPr>
      </w:pPr>
      <w:r>
        <w:rPr>
          <w:rFonts w:hint="eastAsia"/>
          <w:bCs/>
          <w:szCs w:val="24"/>
        </w:rPr>
        <w:t>旋流筛分</w:t>
      </w:r>
      <w:bookmarkEnd w:id="44"/>
      <w:r>
        <w:rPr>
          <w:rFonts w:hint="eastAsia"/>
          <w:bCs/>
          <w:szCs w:val="24"/>
        </w:rPr>
        <w:t xml:space="preserve"> cyclone screening</w:t>
      </w:r>
    </w:p>
    <w:p>
      <w:pPr>
        <w:spacing w:before="156" w:beforeLines="50" w:after="156" w:afterLines="50"/>
        <w:ind w:firstLine="480"/>
        <w:rPr>
          <w:szCs w:val="24"/>
        </w:rPr>
      </w:pPr>
      <w:bookmarkStart w:id="45" w:name="OLE_LINK16"/>
      <w:r>
        <w:rPr>
          <w:rFonts w:hint="eastAsia"/>
          <w:szCs w:val="24"/>
          <w:lang w:val="en-US" w:eastAsia="zh-CN"/>
        </w:rPr>
        <w:t>采用一级</w:t>
      </w:r>
      <w:r>
        <w:rPr>
          <w:rFonts w:hint="eastAsia"/>
          <w:szCs w:val="24"/>
        </w:rPr>
        <w:t>旋流器</w:t>
      </w:r>
      <w:r>
        <w:rPr>
          <w:rFonts w:hint="eastAsia"/>
          <w:szCs w:val="24"/>
          <w:lang w:eastAsia="zh-CN"/>
        </w:rPr>
        <w:t>、</w:t>
      </w:r>
      <w:r>
        <w:rPr>
          <w:rFonts w:hint="eastAsia"/>
          <w:szCs w:val="24"/>
          <w:lang w:val="en-US" w:eastAsia="zh-CN"/>
        </w:rPr>
        <w:t>二级旋流器</w:t>
      </w:r>
      <w:r>
        <w:rPr>
          <w:rFonts w:hint="eastAsia"/>
          <w:szCs w:val="24"/>
        </w:rPr>
        <w:t>分离出来</w:t>
      </w:r>
      <w:bookmarkStart w:id="46" w:name="_Hlk186746352"/>
      <w:r>
        <w:rPr>
          <w:szCs w:val="24"/>
        </w:rPr>
        <w:t>20μm</w:t>
      </w:r>
      <w:r>
        <w:rPr>
          <w:rFonts w:hint="eastAsia"/>
          <w:szCs w:val="24"/>
        </w:rPr>
        <w:t>~2</w:t>
      </w:r>
      <w:r>
        <w:rPr>
          <w:szCs w:val="24"/>
        </w:rPr>
        <w:t>mm</w:t>
      </w:r>
      <w:bookmarkEnd w:id="46"/>
      <w:r>
        <w:rPr>
          <w:rFonts w:hint="eastAsia"/>
          <w:szCs w:val="24"/>
        </w:rPr>
        <w:t>物料</w:t>
      </w:r>
      <w:r>
        <w:rPr>
          <w:rFonts w:hint="eastAsia"/>
          <w:szCs w:val="24"/>
          <w:lang w:val="en-US" w:eastAsia="zh-CN"/>
        </w:rPr>
        <w:t>的</w:t>
      </w:r>
      <w:r>
        <w:rPr>
          <w:rFonts w:hint="eastAsia"/>
          <w:szCs w:val="24"/>
        </w:rPr>
        <w:t>分离过程。</w:t>
      </w:r>
      <w:bookmarkEnd w:id="45"/>
    </w:p>
    <w:p>
      <w:pPr>
        <w:pStyle w:val="33"/>
        <w:ind w:firstLine="480"/>
        <w:rPr>
          <w:color w:val="auto"/>
        </w:rPr>
      </w:pPr>
      <w:r>
        <w:rPr>
          <w:rFonts w:hint="eastAsia"/>
          <w:color w:val="auto"/>
        </w:rPr>
        <w:t>条文说明</w:t>
      </w:r>
    </w:p>
    <w:p>
      <w:pPr>
        <w:pStyle w:val="34"/>
        <w:rPr>
          <w:color w:val="auto"/>
        </w:rPr>
      </w:pPr>
      <w:r>
        <w:rPr>
          <w:rFonts w:hint="eastAsia"/>
          <w:color w:val="auto"/>
        </w:rPr>
        <w:t>团体标准《泥水平衡盾构工程泥浆处理技术标准》T/DGGC 025-2024中，“旋流筛分”定义为“采用混流、筛分工艺，将旋流器分离出来的物料脱水的过程。”；陈滨彬等论著的《泥水平衡盾构渣浆处理及循环利用技术发展现状》中，指出“筛余的泥浆由一级处理设备清除大部分74μm以上的砂质颗粒，二级处理设备可清除泥浆中35μm以上的泥质颗粒”；而郭卫社等论著的《盾构渣土无害化处理、资源化利用现状与展望》中提到，“旋流器可以将粒径为20μm~2mm的固体颗粒分离出来，是利用泥浆中固、液相各颗粒所受的离心力大小不同进行分离。”；张华论著的《大直径盾构泥水分离处理技术研究与应用》中，以京沈客运专线13标望京隧道工程为例，认为泥水处理中经过一级、二级旋流器后，可以将20μm~2mm的固体颗粒分离出来。综合考虑技术发展因素，将“旋流筛分”分离出来的物料的粒径认为是“</w:t>
      </w:r>
      <w:r>
        <w:rPr>
          <w:color w:val="auto"/>
        </w:rPr>
        <w:t>20μm~2mm</w:t>
      </w:r>
      <w:r>
        <w:rPr>
          <w:rFonts w:hint="eastAsia"/>
          <w:color w:val="auto"/>
        </w:rPr>
        <w:t>”。</w:t>
      </w:r>
    </w:p>
    <w:p>
      <w:pPr>
        <w:pStyle w:val="34"/>
        <w:ind w:firstLine="0" w:firstLineChars="0"/>
        <w:jc w:val="center"/>
        <w:rPr>
          <w:color w:val="auto"/>
        </w:rPr>
      </w:pPr>
      <w:r>
        <w:rPr>
          <w:color w:val="auto"/>
        </w:rPr>
        <w:drawing>
          <wp:inline distT="0" distB="0" distL="0" distR="0">
            <wp:extent cx="3640455" cy="2480945"/>
            <wp:effectExtent l="0" t="0" r="0" b="0"/>
            <wp:docPr id="62456430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564300" name="图片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647243" cy="2485798"/>
                    </a:xfrm>
                    <a:prstGeom prst="rect">
                      <a:avLst/>
                    </a:prstGeom>
                    <a:noFill/>
                    <a:ln>
                      <a:noFill/>
                    </a:ln>
                  </pic:spPr>
                </pic:pic>
              </a:graphicData>
            </a:graphic>
          </wp:inline>
        </w:drawing>
      </w:r>
    </w:p>
    <w:p>
      <w:pPr>
        <w:pStyle w:val="34"/>
        <w:ind w:firstLine="0" w:firstLineChars="0"/>
        <w:jc w:val="center"/>
        <w:rPr>
          <w:color w:val="auto"/>
        </w:rPr>
      </w:pPr>
      <w:r>
        <w:rPr>
          <w:rFonts w:hint="eastAsia"/>
          <w:color w:val="auto"/>
        </w:rPr>
        <w:t>图1 泥浆无害化处理工艺流程（参照郭卫社等，2020）</w:t>
      </w:r>
    </w:p>
    <w:p>
      <w:pPr>
        <w:pStyle w:val="23"/>
        <w:numPr>
          <w:ilvl w:val="0"/>
          <w:numId w:val="3"/>
        </w:numPr>
        <w:spacing w:before="156" w:beforeLines="50" w:after="156" w:afterLines="50"/>
        <w:ind w:firstLineChars="0"/>
        <w:rPr>
          <w:bCs/>
          <w:szCs w:val="24"/>
        </w:rPr>
      </w:pPr>
      <w:r>
        <w:rPr>
          <w:rFonts w:hint="eastAsia"/>
          <w:bCs/>
          <w:szCs w:val="24"/>
        </w:rPr>
        <w:t>废浆处理 waste slurry treatment</w:t>
      </w:r>
    </w:p>
    <w:p>
      <w:pPr>
        <w:spacing w:before="156" w:beforeLines="50" w:after="156" w:afterLines="50"/>
        <w:ind w:firstLine="480"/>
        <w:rPr>
          <w:szCs w:val="24"/>
        </w:rPr>
      </w:pPr>
      <w:r>
        <w:rPr>
          <w:rFonts w:hint="eastAsia"/>
          <w:szCs w:val="24"/>
        </w:rPr>
        <w:t>指标不达标的泥浆通过固液分离，分离出干化土和水的过程。</w:t>
      </w:r>
    </w:p>
    <w:p>
      <w:pPr>
        <w:pStyle w:val="33"/>
        <w:ind w:firstLine="480"/>
        <w:rPr>
          <w:color w:val="auto"/>
        </w:rPr>
      </w:pPr>
      <w:r>
        <w:rPr>
          <w:rFonts w:hint="eastAsia"/>
          <w:color w:val="auto"/>
        </w:rPr>
        <w:t>条文说明</w:t>
      </w:r>
    </w:p>
    <w:p>
      <w:pPr>
        <w:pStyle w:val="34"/>
        <w:rPr>
          <w:color w:val="auto"/>
        </w:rPr>
      </w:pPr>
      <w:r>
        <w:rPr>
          <w:rFonts w:hint="eastAsia"/>
          <w:color w:val="auto"/>
        </w:rPr>
        <w:t>当回盾构机泥水仓的泥浆指标不达标时，弃掉的泥浆通过压滤、离心或其他工艺进行彻底的固液分离，分离出低含水率的干化土和能够直接排放或处理后能够直接排放的清水。</w:t>
      </w:r>
    </w:p>
    <w:p>
      <w:pPr>
        <w:pStyle w:val="23"/>
        <w:numPr>
          <w:ilvl w:val="0"/>
          <w:numId w:val="3"/>
        </w:numPr>
        <w:spacing w:before="156" w:beforeLines="50" w:after="156" w:afterLines="50"/>
        <w:ind w:firstLineChars="0"/>
        <w:rPr>
          <w:bCs/>
          <w:szCs w:val="24"/>
        </w:rPr>
      </w:pPr>
      <w:r>
        <w:rPr>
          <w:rFonts w:hint="eastAsia"/>
          <w:bCs/>
          <w:szCs w:val="24"/>
        </w:rPr>
        <w:t>干化土 dry soil</w:t>
      </w:r>
    </w:p>
    <w:p>
      <w:pPr>
        <w:spacing w:before="156" w:beforeLines="50" w:after="156" w:afterLines="50"/>
        <w:ind w:firstLine="480"/>
        <w:rPr>
          <w:szCs w:val="24"/>
        </w:rPr>
      </w:pPr>
      <w:r>
        <w:rPr>
          <w:szCs w:val="24"/>
        </w:rPr>
        <w:t>盾构</w:t>
      </w:r>
      <w:r>
        <w:rPr>
          <w:rFonts w:hint="eastAsia"/>
          <w:szCs w:val="24"/>
        </w:rPr>
        <w:t>浆渣</w:t>
      </w:r>
      <w:r>
        <w:rPr>
          <w:szCs w:val="24"/>
        </w:rPr>
        <w:t>经浆渣分离、改性</w:t>
      </w:r>
      <w:r>
        <w:rPr>
          <w:rFonts w:hint="eastAsia"/>
          <w:szCs w:val="24"/>
        </w:rPr>
        <w:t>、</w:t>
      </w:r>
      <w:r>
        <w:rPr>
          <w:szCs w:val="24"/>
        </w:rPr>
        <w:t>脱水等处理后，形成的对环境无害的</w:t>
      </w:r>
      <w:r>
        <w:rPr>
          <w:rFonts w:hint="eastAsia"/>
          <w:szCs w:val="24"/>
        </w:rPr>
        <w:t>且</w:t>
      </w:r>
      <w:r>
        <w:rPr>
          <w:szCs w:val="24"/>
        </w:rPr>
        <w:t>含水率小于40%的</w:t>
      </w:r>
      <w:r>
        <w:rPr>
          <w:rFonts w:hint="eastAsia"/>
          <w:szCs w:val="24"/>
        </w:rPr>
        <w:t>土</w:t>
      </w:r>
      <w:r>
        <w:rPr>
          <w:szCs w:val="24"/>
        </w:rPr>
        <w:t>。</w:t>
      </w:r>
    </w:p>
    <w:p>
      <w:pPr>
        <w:pStyle w:val="33"/>
        <w:ind w:firstLine="480"/>
        <w:rPr>
          <w:color w:val="auto"/>
        </w:rPr>
      </w:pPr>
      <w:bookmarkStart w:id="47" w:name="OLE_LINK28"/>
      <w:bookmarkStart w:id="48" w:name="OLE_LINK9"/>
      <w:r>
        <w:rPr>
          <w:rFonts w:hint="eastAsia"/>
          <w:color w:val="auto"/>
        </w:rPr>
        <w:t>条文说明</w:t>
      </w:r>
    </w:p>
    <w:p>
      <w:pPr>
        <w:pStyle w:val="34"/>
        <w:rPr>
          <w:color w:val="auto"/>
        </w:rPr>
      </w:pPr>
      <w:r>
        <w:rPr>
          <w:rFonts w:hint="eastAsia"/>
          <w:color w:val="auto"/>
        </w:rPr>
        <w:t>团体标准《盾构渣土处理技术规程》T/CECS 1185-2022中“干化土”</w:t>
      </w:r>
      <w:bookmarkEnd w:id="47"/>
      <w:r>
        <w:rPr>
          <w:rFonts w:hint="eastAsia"/>
          <w:color w:val="auto"/>
        </w:rPr>
        <w:t>定义为“盾构渣土经泥砂分离、脱水、改性等处理后，形成对环境无害的、含水率小于40%的土，也可称为泥饼。”；地方标准《湖南省盾构渣土处理技术标准》DBJ43/T515-2020中“干化土”的定义“盾构渣土经相关检测，采取浆渣分离、改性、脱水等处理后，形成含水率低于40%的、符合相关要求的泥土。”本条主要参考上述标准。</w:t>
      </w:r>
    </w:p>
    <w:bookmarkEnd w:id="48"/>
    <w:p>
      <w:pPr>
        <w:pStyle w:val="23"/>
        <w:numPr>
          <w:ilvl w:val="0"/>
          <w:numId w:val="3"/>
        </w:numPr>
        <w:spacing w:before="156" w:beforeLines="50" w:after="156" w:afterLines="50"/>
        <w:ind w:firstLineChars="0"/>
        <w:rPr>
          <w:bCs/>
          <w:szCs w:val="24"/>
        </w:rPr>
      </w:pPr>
      <w:bookmarkStart w:id="49" w:name="OLE_LINK18"/>
      <w:r>
        <w:rPr>
          <w:rFonts w:hint="eastAsia"/>
          <w:bCs/>
          <w:szCs w:val="24"/>
        </w:rPr>
        <w:t>分离水</w:t>
      </w:r>
      <w:bookmarkEnd w:id="49"/>
      <w:r>
        <w:rPr>
          <w:rFonts w:hint="eastAsia"/>
          <w:bCs/>
          <w:szCs w:val="24"/>
        </w:rPr>
        <w:t xml:space="preserve"> separated water</w:t>
      </w:r>
    </w:p>
    <w:p>
      <w:pPr>
        <w:spacing w:before="156" w:beforeLines="50" w:after="156" w:afterLines="50"/>
        <w:ind w:firstLine="480"/>
        <w:rPr>
          <w:szCs w:val="24"/>
        </w:rPr>
      </w:pPr>
      <w:r>
        <w:rPr>
          <w:rFonts w:hint="eastAsia"/>
          <w:szCs w:val="24"/>
        </w:rPr>
        <w:t>盾构浆渣处理过程中从泥浆中分离出的自由水。</w:t>
      </w:r>
    </w:p>
    <w:p>
      <w:pPr>
        <w:pStyle w:val="33"/>
        <w:ind w:firstLine="480"/>
        <w:rPr>
          <w:color w:val="auto"/>
        </w:rPr>
      </w:pPr>
      <w:bookmarkStart w:id="50" w:name="OLE_LINK20"/>
      <w:r>
        <w:rPr>
          <w:rFonts w:hint="eastAsia"/>
          <w:color w:val="auto"/>
        </w:rPr>
        <w:t>条文说明</w:t>
      </w:r>
    </w:p>
    <w:p>
      <w:pPr>
        <w:pStyle w:val="34"/>
        <w:rPr>
          <w:color w:val="auto"/>
        </w:rPr>
      </w:pPr>
      <w:r>
        <w:rPr>
          <w:rFonts w:hint="eastAsia"/>
          <w:color w:val="auto"/>
        </w:rPr>
        <w:t>地方标准《湖南省盾构渣土处理技术标准》DBJ43/T515-2020中“分离水”的定义“盾构渣土处理过程中从泥浆中分离出的水，如絮凝沉淀设备的上清液和脱水设备脱出的水。”，</w:t>
      </w:r>
      <w:bookmarkStart w:id="51" w:name="OLE_LINK47"/>
      <w:bookmarkStart w:id="52" w:name="OLE_LINK29"/>
      <w:r>
        <w:rPr>
          <w:rFonts w:hint="eastAsia"/>
          <w:color w:val="auto"/>
        </w:rPr>
        <w:t>地方标准《</w:t>
      </w:r>
      <w:bookmarkStart w:id="53" w:name="OLE_LINK45"/>
      <w:r>
        <w:rPr>
          <w:rFonts w:hint="eastAsia"/>
          <w:color w:val="auto"/>
        </w:rPr>
        <w:t>工程泥浆技术标准</w:t>
      </w:r>
      <w:bookmarkEnd w:id="53"/>
      <w:r>
        <w:rPr>
          <w:rFonts w:hint="eastAsia"/>
          <w:color w:val="auto"/>
        </w:rPr>
        <w:t>》</w:t>
      </w:r>
      <w:r>
        <w:rPr>
          <w:color w:val="auto"/>
        </w:rPr>
        <w:t>DBJ/T</w:t>
      </w:r>
      <w:r>
        <w:rPr>
          <w:rFonts w:hint="eastAsia"/>
          <w:color w:val="auto"/>
        </w:rPr>
        <w:t xml:space="preserve"> </w:t>
      </w:r>
      <w:r>
        <w:rPr>
          <w:color w:val="auto"/>
        </w:rPr>
        <w:t>13-417-2023</w:t>
      </w:r>
      <w:bookmarkEnd w:id="51"/>
      <w:bookmarkEnd w:id="52"/>
      <w:r>
        <w:rPr>
          <w:rFonts w:hint="eastAsia"/>
          <w:color w:val="auto"/>
        </w:rPr>
        <w:t>中“固液分离”指“泥浆经装备处理后实现固相颗粒和自由水分离的过程”，该条款中分离出的自由水即分离水。目前泥浆脱水处理工艺一般需先进行即絮凝处理，然后再利用机械脱水设备实施泥水分离。絮凝脱水是利用絮凝剂材料的压缩双电层和吸附架桥功能，改变悬浮颗粒的界面特性，使分散的胶体聚合形成大颗粒，以便这些胶体粒子发生脱稳、沉淀，最终实现泥水分离；完成絮凝脱水后，可进入机械脱水工艺。机械脱水，即通过机械设备对泥水混合物施加外力，迫使其固液分离。常用的脱水设备有板框压滤机、带式压滤机及卧螺离心机等。</w:t>
      </w:r>
      <w:bookmarkEnd w:id="50"/>
      <w:bookmarkStart w:id="54" w:name="OLE_LINK19"/>
    </w:p>
    <w:p>
      <w:pPr>
        <w:pStyle w:val="23"/>
        <w:numPr>
          <w:ilvl w:val="0"/>
          <w:numId w:val="3"/>
        </w:numPr>
        <w:spacing w:before="156" w:beforeLines="50" w:after="156" w:afterLines="50"/>
        <w:ind w:firstLineChars="0"/>
        <w:rPr>
          <w:bCs/>
          <w:szCs w:val="24"/>
        </w:rPr>
      </w:pPr>
      <w:r>
        <w:rPr>
          <w:rFonts w:hint="eastAsia"/>
          <w:bCs/>
          <w:szCs w:val="24"/>
        </w:rPr>
        <w:t>循环回用水</w:t>
      </w:r>
      <w:bookmarkEnd w:id="54"/>
      <w:r>
        <w:rPr>
          <w:rFonts w:hint="eastAsia"/>
          <w:bCs/>
          <w:szCs w:val="24"/>
        </w:rPr>
        <w:t xml:space="preserve"> recycled water</w:t>
      </w:r>
    </w:p>
    <w:p>
      <w:pPr>
        <w:spacing w:before="156" w:beforeLines="50" w:after="156" w:afterLines="50"/>
        <w:ind w:firstLine="480"/>
        <w:rPr>
          <w:szCs w:val="24"/>
        </w:rPr>
      </w:pPr>
      <w:r>
        <w:rPr>
          <w:rFonts w:hint="eastAsia"/>
          <w:szCs w:val="24"/>
        </w:rPr>
        <w:t>对盾构浆渣处理场所中不同来源的废水，包括浆渣处理过程产生的水、场地内雨水、冲洗用水等，经收集、处理、检测达到相关回用标准后，可循环回用的水。</w:t>
      </w:r>
    </w:p>
    <w:p>
      <w:pPr>
        <w:pStyle w:val="33"/>
        <w:ind w:firstLine="480"/>
        <w:rPr>
          <w:color w:val="auto"/>
        </w:rPr>
      </w:pPr>
      <w:r>
        <w:rPr>
          <w:rFonts w:hint="eastAsia"/>
          <w:color w:val="auto"/>
        </w:rPr>
        <w:t>条文说明</w:t>
      </w:r>
    </w:p>
    <w:p>
      <w:pPr>
        <w:pStyle w:val="34"/>
        <w:spacing w:before="156" w:beforeLines="50" w:after="156" w:afterLines="50"/>
        <w:rPr>
          <w:color w:val="auto"/>
          <w:szCs w:val="24"/>
        </w:rPr>
      </w:pPr>
      <w:r>
        <w:rPr>
          <w:rFonts w:hint="eastAsia"/>
          <w:color w:val="auto"/>
        </w:rPr>
        <w:t>参考团体标准《湖南省盾构渣土处理技术标准》DBJ43/T515-2020中“循环回用水”的定义“对盾构渣土处理场所中不同来源的废水，包括渣土处理过程产生的水、场地内雨水、冲洗用水等，经收集、处理、检测达到相关回用标准后，可循环回用的水。”</w:t>
      </w:r>
    </w:p>
    <w:p>
      <w:pPr>
        <w:pStyle w:val="23"/>
        <w:numPr>
          <w:ilvl w:val="0"/>
          <w:numId w:val="3"/>
        </w:numPr>
        <w:spacing w:before="156" w:beforeLines="50" w:after="156" w:afterLines="50"/>
        <w:ind w:firstLineChars="0"/>
        <w:rPr>
          <w:szCs w:val="24"/>
        </w:rPr>
      </w:pPr>
      <w:r>
        <w:rPr>
          <w:rFonts w:hint="eastAsia"/>
          <w:bCs/>
          <w:szCs w:val="24"/>
        </w:rPr>
        <w:t>资源化利用</w:t>
      </w:r>
      <w:r>
        <w:rPr>
          <w:szCs w:val="24"/>
        </w:rPr>
        <w:t xml:space="preserve"> </w:t>
      </w:r>
      <w:r>
        <w:rPr>
          <w:rFonts w:hint="eastAsia"/>
          <w:szCs w:val="24"/>
        </w:rPr>
        <w:t>resource utilization</w:t>
      </w:r>
    </w:p>
    <w:p>
      <w:pPr>
        <w:spacing w:before="156" w:beforeLines="50" w:after="156" w:afterLines="50"/>
        <w:ind w:firstLine="480"/>
        <w:rPr>
          <w:szCs w:val="24"/>
        </w:rPr>
      </w:pPr>
      <w:bookmarkStart w:id="55" w:name="_Hlk186747287"/>
      <w:r>
        <w:rPr>
          <w:rFonts w:hint="eastAsia"/>
          <w:szCs w:val="24"/>
        </w:rPr>
        <w:t>盾构浆渣处理后，再加以利用的行为。</w:t>
      </w:r>
      <w:bookmarkEnd w:id="55"/>
    </w:p>
    <w:p>
      <w:pPr>
        <w:pStyle w:val="33"/>
        <w:ind w:firstLine="480"/>
        <w:rPr>
          <w:color w:val="auto"/>
        </w:rPr>
      </w:pPr>
      <w:r>
        <w:rPr>
          <w:rFonts w:hint="eastAsia"/>
          <w:color w:val="auto"/>
        </w:rPr>
        <w:t>条文说明</w:t>
      </w:r>
    </w:p>
    <w:p>
      <w:pPr>
        <w:pStyle w:val="34"/>
        <w:spacing w:before="156" w:beforeLines="50" w:after="156" w:afterLines="50"/>
        <w:rPr>
          <w:color w:val="auto"/>
        </w:rPr>
      </w:pPr>
      <w:bookmarkStart w:id="56" w:name="OLE_LINK12"/>
      <w:r>
        <w:rPr>
          <w:rFonts w:hint="eastAsia"/>
          <w:color w:val="auto"/>
        </w:rPr>
        <w:t>地方标准《湖南省盾构渣土处理技术标准》DBJ43/T515-2020中“资源化利用”的定义“将盾构渣土经分类收集、运输、处置等过程，再加以利用的行为。”；团体标准《盾构渣土处理技术规程》T/CECS 1185-2022，将“</w:t>
      </w:r>
      <w:bookmarkStart w:id="57" w:name="OLE_LINK14"/>
      <w:r>
        <w:rPr>
          <w:rFonts w:hint="eastAsia"/>
          <w:color w:val="auto"/>
        </w:rPr>
        <w:t>资源化利用</w:t>
      </w:r>
      <w:bookmarkEnd w:id="57"/>
      <w:r>
        <w:rPr>
          <w:rFonts w:hint="eastAsia"/>
          <w:color w:val="auto"/>
        </w:rPr>
        <w:t>”定义为“盾构渣土处理后直接利用或成为其他有用物质的原材料。”；地方标准《工程泥浆技术标准》</w:t>
      </w:r>
      <w:r>
        <w:rPr>
          <w:color w:val="auto"/>
        </w:rPr>
        <w:t>DBJ/T</w:t>
      </w:r>
      <w:r>
        <w:rPr>
          <w:rFonts w:hint="eastAsia"/>
          <w:color w:val="auto"/>
        </w:rPr>
        <w:t xml:space="preserve"> </w:t>
      </w:r>
      <w:r>
        <w:rPr>
          <w:color w:val="auto"/>
        </w:rPr>
        <w:t>13-417-2023</w:t>
      </w:r>
      <w:r>
        <w:rPr>
          <w:rFonts w:hint="eastAsia"/>
          <w:color w:val="auto"/>
        </w:rPr>
        <w:t>中“资源化利用”的定义“工程泥浆经处理转化为具备资源化物质的方法”。考虑“资源化利用”是一种处置、利用行为，综合上述标准关于“资源化利用”的定义，将其定义为“盾构浆渣处理后，再加以利用的行为。”</w:t>
      </w:r>
      <w:bookmarkEnd w:id="56"/>
      <w:r>
        <w:rPr>
          <w:rFonts w:hint="eastAsia"/>
          <w:color w:val="auto"/>
        </w:rPr>
        <w:t>资源化利用技术主要有用作工程填筑材料、盾构施工辅助材料、再生建筑材料、制备复垦基质等。</w:t>
      </w:r>
    </w:p>
    <w:p>
      <w:pPr>
        <w:pStyle w:val="34"/>
        <w:spacing w:before="156" w:beforeLines="50" w:after="156" w:afterLines="50"/>
        <w:rPr>
          <w:color w:val="auto"/>
        </w:rPr>
      </w:pPr>
    </w:p>
    <w:p>
      <w:pPr>
        <w:ind w:firstLine="480"/>
      </w:pPr>
      <w:r>
        <w:rPr>
          <w:rFonts w:hint="eastAsia"/>
        </w:rPr>
        <w:br w:type="page"/>
      </w:r>
    </w:p>
    <w:p>
      <w:pPr>
        <w:pStyle w:val="2"/>
      </w:pPr>
      <w:bookmarkStart w:id="58" w:name="_Toc1882"/>
      <w:bookmarkStart w:id="59" w:name="_Toc12883"/>
      <w:bookmarkStart w:id="60" w:name="_Toc29816"/>
      <w:bookmarkStart w:id="61" w:name="_Toc7120"/>
      <w:bookmarkStart w:id="62" w:name="_Toc21136"/>
      <w:bookmarkStart w:id="63" w:name="_Toc10538"/>
      <w:bookmarkStart w:id="64" w:name="_Toc190813004"/>
      <w:r>
        <w:rPr>
          <w:rFonts w:hint="eastAsia"/>
          <w:sz w:val="32"/>
        </w:rPr>
        <w:t>3 基本规定</w:t>
      </w:r>
      <w:bookmarkEnd w:id="58"/>
      <w:bookmarkEnd w:id="59"/>
      <w:bookmarkEnd w:id="60"/>
      <w:bookmarkEnd w:id="61"/>
      <w:bookmarkEnd w:id="62"/>
      <w:bookmarkEnd w:id="63"/>
      <w:bookmarkEnd w:id="64"/>
    </w:p>
    <w:p>
      <w:pPr>
        <w:pStyle w:val="23"/>
        <w:numPr>
          <w:ilvl w:val="0"/>
          <w:numId w:val="4"/>
        </w:numPr>
        <w:spacing w:before="156" w:beforeLines="50" w:after="156" w:afterLines="50"/>
        <w:ind w:left="0" w:firstLine="0" w:firstLineChars="0"/>
        <w:rPr>
          <w:szCs w:val="24"/>
        </w:rPr>
      </w:pPr>
      <w:r>
        <w:rPr>
          <w:rFonts w:hint="eastAsia"/>
          <w:szCs w:val="24"/>
        </w:rPr>
        <w:t>建设单位应对泥水盾构浆渣源头减量化提出明确目标及要求。</w:t>
      </w:r>
    </w:p>
    <w:p>
      <w:pPr>
        <w:pStyle w:val="33"/>
        <w:adjustRightInd w:val="0"/>
        <w:snapToGrid w:val="0"/>
        <w:ind w:left="425"/>
        <w:rPr>
          <w:color w:val="auto"/>
        </w:rPr>
      </w:pPr>
      <w:r>
        <w:rPr>
          <w:rFonts w:hint="eastAsia"/>
          <w:color w:val="auto"/>
        </w:rPr>
        <w:t>条文说明</w:t>
      </w:r>
    </w:p>
    <w:p>
      <w:pPr>
        <w:pStyle w:val="34"/>
        <w:adjustRightInd w:val="0"/>
        <w:snapToGrid w:val="0"/>
        <w:rPr>
          <w:color w:val="auto"/>
        </w:rPr>
      </w:pPr>
      <w:r>
        <w:rPr>
          <w:rFonts w:hint="eastAsia"/>
          <w:color w:val="auto"/>
        </w:rPr>
        <w:t>本条明确盾构浆渣源头减量的责任主体。建设单位应组织编制盾构浆渣源头减量方案，明确目标、措施和相关费用，纳入招标文件和合同文本，并指导监督设计、施工单位根据方案落实盾构浆渣源头减量具体工作措施。</w:t>
      </w:r>
    </w:p>
    <w:p>
      <w:pPr>
        <w:pStyle w:val="23"/>
        <w:numPr>
          <w:ilvl w:val="0"/>
          <w:numId w:val="4"/>
        </w:numPr>
        <w:spacing w:before="156" w:beforeLines="50" w:after="156" w:afterLines="50"/>
        <w:ind w:left="0" w:firstLine="0" w:firstLineChars="0"/>
        <w:rPr>
          <w:szCs w:val="24"/>
        </w:rPr>
      </w:pPr>
      <w:r>
        <w:rPr>
          <w:rFonts w:hint="eastAsia"/>
          <w:szCs w:val="24"/>
        </w:rPr>
        <w:t>宜结合工程地质条件，通过优化刀盘刀具选型、掘进参数、浆渣处理系统和施工工艺，精细化管理手段等措施，从源头减少盾构浆渣产生。</w:t>
      </w:r>
    </w:p>
    <w:p>
      <w:pPr>
        <w:pStyle w:val="33"/>
        <w:adjustRightInd w:val="0"/>
        <w:snapToGrid w:val="0"/>
        <w:ind w:left="425"/>
        <w:rPr>
          <w:color w:val="auto"/>
        </w:rPr>
      </w:pPr>
      <w:r>
        <w:rPr>
          <w:rFonts w:hint="eastAsia"/>
          <w:color w:val="auto"/>
        </w:rPr>
        <w:t>条文说明</w:t>
      </w:r>
    </w:p>
    <w:p>
      <w:pPr>
        <w:pStyle w:val="34"/>
        <w:adjustRightInd w:val="0"/>
        <w:snapToGrid w:val="0"/>
        <w:rPr>
          <w:color w:val="auto"/>
        </w:rPr>
      </w:pPr>
      <w:bookmarkStart w:id="65" w:name="OLE_LINK37"/>
      <w:r>
        <w:rPr>
          <w:rFonts w:hint="eastAsia"/>
          <w:color w:val="auto"/>
        </w:rPr>
        <w:t>本条鼓励通</w:t>
      </w:r>
      <w:bookmarkEnd w:id="65"/>
      <w:r>
        <w:rPr>
          <w:rFonts w:hint="eastAsia"/>
          <w:color w:val="auto"/>
        </w:rPr>
        <w:t>过先进的施工工艺、设备、技术减少开挖量，或通过提高施工管理精细化程度、加强施工质量控制，从而起到从源头减少盾构浆渣的目的。</w:t>
      </w:r>
    </w:p>
    <w:p>
      <w:pPr>
        <w:pStyle w:val="23"/>
        <w:numPr>
          <w:ilvl w:val="0"/>
          <w:numId w:val="4"/>
        </w:numPr>
        <w:tabs>
          <w:tab w:val="left" w:pos="420"/>
        </w:tabs>
        <w:spacing w:before="156" w:beforeLines="50" w:after="156" w:afterLines="50"/>
        <w:ind w:left="0" w:firstLine="0" w:firstLineChars="0"/>
        <w:rPr>
          <w:szCs w:val="24"/>
        </w:rPr>
      </w:pPr>
      <w:r>
        <w:rPr>
          <w:rFonts w:hint="eastAsia"/>
          <w:szCs w:val="24"/>
        </w:rPr>
        <w:t>施工现场的泥水盾构浆渣未经处理不得直接排入城市排水设施和河流，分离得到的盾构渣土和干化土未经无害化处理不得直接堆填或填埋。</w:t>
      </w:r>
    </w:p>
    <w:p>
      <w:pPr>
        <w:pStyle w:val="23"/>
        <w:numPr>
          <w:ilvl w:val="0"/>
          <w:numId w:val="4"/>
        </w:numPr>
        <w:tabs>
          <w:tab w:val="left" w:pos="420"/>
        </w:tabs>
        <w:adjustRightInd w:val="0"/>
        <w:snapToGrid/>
        <w:spacing w:before="156" w:beforeLines="50" w:after="156" w:afterLines="50"/>
        <w:ind w:firstLine="0" w:firstLineChars="0"/>
        <w:rPr>
          <w:szCs w:val="24"/>
        </w:rPr>
      </w:pPr>
      <w:r>
        <w:rPr>
          <w:rFonts w:hint="eastAsia"/>
          <w:szCs w:val="24"/>
        </w:rPr>
        <w:t>泥水盾构浆渣处理方案应以工程地质、水文地质、浆渣处理系统能力为主要依据，方案中</w:t>
      </w:r>
      <w:bookmarkStart w:id="66" w:name="OLE_LINK39"/>
      <w:r>
        <w:rPr>
          <w:rFonts w:hint="eastAsia"/>
          <w:szCs w:val="24"/>
        </w:rPr>
        <w:t>应至少包括：</w:t>
      </w:r>
    </w:p>
    <w:p>
      <w:pPr>
        <w:spacing w:before="156" w:beforeLines="50" w:after="156" w:afterLines="50"/>
        <w:ind w:firstLine="480"/>
        <w:rPr>
          <w:szCs w:val="24"/>
        </w:rPr>
      </w:pPr>
      <w:r>
        <w:rPr>
          <w:rFonts w:hint="eastAsia"/>
          <w:szCs w:val="24"/>
        </w:rPr>
        <w:t xml:space="preserve">1. </w:t>
      </w:r>
      <w:r>
        <w:rPr>
          <w:rFonts w:cs="Times New Roman" w:eastAsiaTheme="minorEastAsia"/>
          <w:szCs w:val="28"/>
        </w:rPr>
        <w:t>工程概况；</w:t>
      </w:r>
    </w:p>
    <w:p>
      <w:pPr>
        <w:pStyle w:val="34"/>
        <w:adjustRightInd w:val="0"/>
        <w:snapToGrid w:val="0"/>
        <w:spacing w:before="156" w:beforeLines="50" w:after="156" w:afterLines="50"/>
        <w:ind w:firstLine="480"/>
        <w:jc w:val="left"/>
        <w:rPr>
          <w:rFonts w:eastAsiaTheme="minorEastAsia"/>
          <w:color w:val="auto"/>
          <w:sz w:val="24"/>
          <w:szCs w:val="28"/>
        </w:rPr>
      </w:pPr>
      <w:r>
        <w:rPr>
          <w:rFonts w:eastAsiaTheme="minorEastAsia"/>
          <w:color w:val="auto"/>
          <w:sz w:val="24"/>
          <w:szCs w:val="28"/>
        </w:rPr>
        <w:t>2</w:t>
      </w:r>
      <w:r>
        <w:rPr>
          <w:rFonts w:hint="eastAsia" w:eastAsiaTheme="minorEastAsia"/>
          <w:color w:val="auto"/>
          <w:sz w:val="24"/>
          <w:szCs w:val="28"/>
        </w:rPr>
        <w:t xml:space="preserve">. </w:t>
      </w:r>
      <w:r>
        <w:rPr>
          <w:rFonts w:eastAsiaTheme="minorEastAsia"/>
          <w:color w:val="auto"/>
          <w:sz w:val="24"/>
          <w:szCs w:val="28"/>
        </w:rPr>
        <w:t>泥水盾构机技术性能参数；</w:t>
      </w:r>
    </w:p>
    <w:p>
      <w:pPr>
        <w:pStyle w:val="34"/>
        <w:adjustRightInd w:val="0"/>
        <w:snapToGrid w:val="0"/>
        <w:spacing w:before="156" w:beforeLines="50" w:after="156" w:afterLines="50"/>
        <w:ind w:firstLine="480"/>
        <w:jc w:val="left"/>
        <w:rPr>
          <w:rFonts w:eastAsiaTheme="minorEastAsia"/>
          <w:color w:val="auto"/>
          <w:sz w:val="24"/>
          <w:szCs w:val="28"/>
        </w:rPr>
      </w:pPr>
      <w:r>
        <w:rPr>
          <w:rFonts w:eastAsiaTheme="minorEastAsia"/>
          <w:color w:val="auto"/>
          <w:sz w:val="24"/>
          <w:szCs w:val="28"/>
        </w:rPr>
        <w:t>3</w:t>
      </w:r>
      <w:r>
        <w:rPr>
          <w:rFonts w:hint="eastAsia" w:eastAsiaTheme="minorEastAsia"/>
          <w:color w:val="auto"/>
          <w:sz w:val="24"/>
          <w:szCs w:val="28"/>
        </w:rPr>
        <w:t xml:space="preserve">. </w:t>
      </w:r>
      <w:r>
        <w:rPr>
          <w:rFonts w:eastAsiaTheme="minorEastAsia"/>
          <w:color w:val="auto"/>
          <w:sz w:val="24"/>
          <w:szCs w:val="28"/>
        </w:rPr>
        <w:t>浆渣处理工艺、设备选型及配置方案；</w:t>
      </w:r>
    </w:p>
    <w:p>
      <w:pPr>
        <w:pStyle w:val="34"/>
        <w:adjustRightInd w:val="0"/>
        <w:snapToGrid w:val="0"/>
        <w:spacing w:before="156" w:beforeLines="50" w:after="156" w:afterLines="50"/>
        <w:ind w:firstLine="480"/>
        <w:jc w:val="left"/>
        <w:rPr>
          <w:rFonts w:eastAsiaTheme="minorEastAsia"/>
          <w:color w:val="auto"/>
          <w:sz w:val="24"/>
          <w:szCs w:val="28"/>
        </w:rPr>
      </w:pPr>
      <w:r>
        <w:rPr>
          <w:rFonts w:eastAsiaTheme="minorEastAsia"/>
          <w:color w:val="auto"/>
          <w:sz w:val="24"/>
          <w:szCs w:val="28"/>
        </w:rPr>
        <w:t>4</w:t>
      </w:r>
      <w:r>
        <w:rPr>
          <w:rFonts w:hint="eastAsia" w:eastAsiaTheme="minorEastAsia"/>
          <w:color w:val="auto"/>
          <w:sz w:val="24"/>
          <w:szCs w:val="28"/>
        </w:rPr>
        <w:t xml:space="preserve">. </w:t>
      </w:r>
      <w:r>
        <w:rPr>
          <w:rFonts w:eastAsiaTheme="minorEastAsia"/>
          <w:color w:val="auto"/>
          <w:sz w:val="24"/>
          <w:szCs w:val="28"/>
        </w:rPr>
        <w:t>浆渣处理场区平面布置；</w:t>
      </w:r>
    </w:p>
    <w:p>
      <w:pPr>
        <w:pStyle w:val="34"/>
        <w:adjustRightInd w:val="0"/>
        <w:snapToGrid w:val="0"/>
        <w:spacing w:before="156" w:beforeLines="50" w:after="156" w:afterLines="50"/>
        <w:ind w:firstLine="480"/>
        <w:jc w:val="left"/>
        <w:rPr>
          <w:rFonts w:eastAsiaTheme="minorEastAsia"/>
          <w:color w:val="auto"/>
          <w:sz w:val="24"/>
          <w:szCs w:val="28"/>
        </w:rPr>
      </w:pPr>
      <w:r>
        <w:rPr>
          <w:rFonts w:eastAsiaTheme="minorEastAsia"/>
          <w:color w:val="auto"/>
          <w:sz w:val="24"/>
          <w:szCs w:val="28"/>
        </w:rPr>
        <w:t>5</w:t>
      </w:r>
      <w:r>
        <w:rPr>
          <w:rFonts w:hint="eastAsia" w:eastAsiaTheme="minorEastAsia"/>
          <w:color w:val="auto"/>
          <w:sz w:val="24"/>
          <w:szCs w:val="28"/>
        </w:rPr>
        <w:t xml:space="preserve">. </w:t>
      </w:r>
      <w:r>
        <w:rPr>
          <w:rFonts w:eastAsiaTheme="minorEastAsia"/>
          <w:color w:val="auto"/>
          <w:sz w:val="24"/>
          <w:szCs w:val="28"/>
        </w:rPr>
        <w:t>浆渣处理施工方案；</w:t>
      </w:r>
    </w:p>
    <w:p>
      <w:pPr>
        <w:pStyle w:val="34"/>
        <w:adjustRightInd w:val="0"/>
        <w:snapToGrid w:val="0"/>
        <w:spacing w:before="156" w:beforeLines="50" w:after="156" w:afterLines="50"/>
        <w:ind w:firstLine="480"/>
        <w:jc w:val="left"/>
        <w:rPr>
          <w:rFonts w:eastAsiaTheme="minorEastAsia"/>
          <w:color w:val="auto"/>
          <w:sz w:val="24"/>
          <w:szCs w:val="28"/>
        </w:rPr>
      </w:pPr>
      <w:r>
        <w:rPr>
          <w:rFonts w:eastAsiaTheme="minorEastAsia"/>
          <w:color w:val="auto"/>
          <w:sz w:val="24"/>
          <w:szCs w:val="28"/>
        </w:rPr>
        <w:t>6</w:t>
      </w:r>
      <w:r>
        <w:rPr>
          <w:rFonts w:hint="eastAsia" w:eastAsiaTheme="minorEastAsia"/>
          <w:color w:val="auto"/>
          <w:sz w:val="24"/>
          <w:szCs w:val="28"/>
        </w:rPr>
        <w:t xml:space="preserve">. </w:t>
      </w:r>
      <w:r>
        <w:rPr>
          <w:rFonts w:eastAsiaTheme="minorEastAsia"/>
          <w:color w:val="auto"/>
          <w:sz w:val="24"/>
          <w:szCs w:val="28"/>
        </w:rPr>
        <w:t>浆渣处理设备运行及维护。</w:t>
      </w:r>
    </w:p>
    <w:bookmarkEnd w:id="66"/>
    <w:p>
      <w:pPr>
        <w:pStyle w:val="23"/>
        <w:numPr>
          <w:ilvl w:val="0"/>
          <w:numId w:val="4"/>
        </w:numPr>
        <w:spacing w:before="156" w:beforeLines="50" w:after="156" w:afterLines="50"/>
        <w:ind w:firstLine="0" w:firstLineChars="0"/>
        <w:rPr>
          <w:szCs w:val="24"/>
        </w:rPr>
      </w:pPr>
      <w:r>
        <w:rPr>
          <w:rFonts w:hint="eastAsia"/>
          <w:szCs w:val="24"/>
        </w:rPr>
        <w:t>泥水盾构浆渣处理系统宜采用集中控制。</w:t>
      </w:r>
    </w:p>
    <w:p>
      <w:pPr>
        <w:pStyle w:val="23"/>
        <w:numPr>
          <w:ilvl w:val="0"/>
          <w:numId w:val="4"/>
        </w:numPr>
        <w:spacing w:before="156" w:beforeLines="50" w:after="156" w:afterLines="50"/>
        <w:ind w:left="0" w:firstLine="0" w:firstLineChars="0"/>
        <w:rPr>
          <w:szCs w:val="24"/>
        </w:rPr>
      </w:pPr>
      <w:r>
        <w:rPr>
          <w:rFonts w:hint="eastAsia"/>
          <w:szCs w:val="24"/>
        </w:rPr>
        <w:t>泥水</w:t>
      </w:r>
      <w:r>
        <w:rPr>
          <w:szCs w:val="24"/>
        </w:rPr>
        <w:t>盾构</w:t>
      </w:r>
      <w:r>
        <w:rPr>
          <w:rFonts w:hint="eastAsia"/>
          <w:szCs w:val="24"/>
        </w:rPr>
        <w:t>浆渣</w:t>
      </w:r>
      <w:r>
        <w:rPr>
          <w:szCs w:val="24"/>
        </w:rPr>
        <w:t>转运、处理、处置设施的设置应</w:t>
      </w:r>
      <w:r>
        <w:rPr>
          <w:rFonts w:hint="eastAsia"/>
          <w:szCs w:val="24"/>
        </w:rPr>
        <w:t>符合</w:t>
      </w:r>
      <w:r>
        <w:rPr>
          <w:szCs w:val="24"/>
        </w:rPr>
        <w:t>当地环境卫生设施</w:t>
      </w:r>
      <w:r>
        <w:rPr>
          <w:rFonts w:hint="eastAsia"/>
          <w:szCs w:val="24"/>
        </w:rPr>
        <w:t>专项的相关要求。</w:t>
      </w:r>
    </w:p>
    <w:p>
      <w:pPr>
        <w:pStyle w:val="33"/>
        <w:adjustRightInd w:val="0"/>
        <w:snapToGrid w:val="0"/>
        <w:ind w:left="425"/>
        <w:rPr>
          <w:color w:val="auto"/>
        </w:rPr>
      </w:pPr>
      <w:r>
        <w:rPr>
          <w:rFonts w:hint="eastAsia"/>
          <w:color w:val="auto"/>
        </w:rPr>
        <w:t>条文说明</w:t>
      </w:r>
    </w:p>
    <w:p>
      <w:pPr>
        <w:pStyle w:val="34"/>
        <w:adjustRightInd w:val="0"/>
        <w:snapToGrid w:val="0"/>
        <w:rPr>
          <w:color w:val="auto"/>
        </w:rPr>
      </w:pPr>
      <w:r>
        <w:rPr>
          <w:rFonts w:hint="eastAsia"/>
          <w:color w:val="auto"/>
        </w:rPr>
        <w:t>盾构浆渣属于建筑垃圾范畴。本条所指转运、处理设施是针对盾构浆渣分离出的渣土（主要为旋流筛分处理后分离出的大于20μm的物料）集中处理时盾构渣土处理工厂和垃圾填埋、堆填场地相关设施的设置，盾构渣土现场处理相关设施可纳入施工现场设施管理范畴。</w:t>
      </w:r>
    </w:p>
    <w:p>
      <w:pPr>
        <w:pStyle w:val="23"/>
        <w:numPr>
          <w:ilvl w:val="0"/>
          <w:numId w:val="4"/>
        </w:numPr>
        <w:tabs>
          <w:tab w:val="left" w:pos="420"/>
        </w:tabs>
        <w:spacing w:before="156" w:beforeLines="50" w:after="156" w:afterLines="50"/>
        <w:ind w:left="0" w:firstLine="0" w:firstLineChars="0"/>
        <w:rPr>
          <w:szCs w:val="24"/>
        </w:rPr>
      </w:pPr>
      <w:r>
        <w:rPr>
          <w:rFonts w:hint="eastAsia"/>
          <w:szCs w:val="24"/>
        </w:rPr>
        <w:t>泥水盾构浆渣处理全过程不得混入污泥、生活垃圾、河道疏浚淤泥、工业固体废物、农林垃圾、其他建筑垃圾和危险废物</w:t>
      </w:r>
      <w:r>
        <w:rPr>
          <w:rFonts w:hint="eastAsia"/>
          <w:szCs w:val="24"/>
          <w:lang w:val="en-US" w:eastAsia="zh-CN"/>
        </w:rPr>
        <w:t>等</w:t>
      </w:r>
      <w:r>
        <w:rPr>
          <w:rFonts w:hint="eastAsia"/>
          <w:szCs w:val="24"/>
        </w:rPr>
        <w:t>。</w:t>
      </w:r>
    </w:p>
    <w:p>
      <w:pPr>
        <w:pStyle w:val="33"/>
        <w:adjustRightInd w:val="0"/>
        <w:snapToGrid w:val="0"/>
        <w:ind w:left="425"/>
        <w:rPr>
          <w:color w:val="auto"/>
        </w:rPr>
      </w:pPr>
      <w:r>
        <w:rPr>
          <w:rFonts w:hint="eastAsia"/>
          <w:color w:val="auto"/>
        </w:rPr>
        <w:t>条文说明</w:t>
      </w:r>
    </w:p>
    <w:p>
      <w:pPr>
        <w:pStyle w:val="34"/>
        <w:adjustRightInd w:val="0"/>
        <w:snapToGrid w:val="0"/>
        <w:rPr>
          <w:color w:val="auto"/>
        </w:rPr>
      </w:pPr>
      <w:r>
        <w:rPr>
          <w:rFonts w:hint="eastAsia"/>
          <w:color w:val="auto"/>
        </w:rPr>
        <w:t>“污泥”是指城镇污水处理厂在污水处理过程中产生的半固态或固态物质，包括初沉污泥、活性污泥和腐殖污泥等；“生活垃圾”是指人们在日常生活中或者为日常生活提供服务的活动中产生的固体废物，以及法律、行政法规规定视为生活垃圾的固定废物，主要包括居民生活垃圾、集市贸易与商业垃圾、公共场所垃圾、街道清扫垃圾及企事业单位垃圾等；“河道疏浚淤泥”是指为恢复河道正常功能进行河道清淤疏浚工程中产生的淤泥；“工业固体废物”是指机械、轻工及其他工业在生产过程中所排出的固体废弃物；“农林垃圾”是农业生产、农产品加工、畜禽养殖业和农村居民生活排放的废弃物的总称；“其他建筑垃圾”是指新建、扩建、改建和拆除各类建筑物、构筑物、管网等，以及居民房屋装饰装修过程中产生的除盾构渣土之外的废弃物；“危险废物”是指列入国家危险废物名录或者根据国家规定的危险废物鉴别标准和鉴别方法认定的具有危险性的废物。</w:t>
      </w:r>
    </w:p>
    <w:p>
      <w:pPr>
        <w:pStyle w:val="23"/>
        <w:numPr>
          <w:ilvl w:val="0"/>
          <w:numId w:val="4"/>
        </w:numPr>
        <w:spacing w:before="156" w:beforeLines="50" w:after="156" w:afterLines="50"/>
        <w:ind w:left="0" w:firstLine="0" w:firstLineChars="0"/>
        <w:rPr>
          <w:szCs w:val="24"/>
        </w:rPr>
      </w:pPr>
      <w:r>
        <w:rPr>
          <w:rFonts w:hint="eastAsia"/>
          <w:szCs w:val="24"/>
        </w:rPr>
        <w:t>泥水盾构浆渣应以安全、环保处理为目标，宜进行多种形式的综合处理和利用，优先考虑资源化利用。</w:t>
      </w:r>
    </w:p>
    <w:p>
      <w:pPr>
        <w:pStyle w:val="23"/>
        <w:numPr>
          <w:ilvl w:val="0"/>
          <w:numId w:val="4"/>
        </w:numPr>
        <w:tabs>
          <w:tab w:val="left" w:pos="420"/>
        </w:tabs>
        <w:spacing w:before="156" w:beforeLines="50" w:after="156" w:afterLines="50"/>
        <w:ind w:left="0" w:firstLine="0" w:firstLineChars="0"/>
        <w:rPr>
          <w:szCs w:val="24"/>
        </w:rPr>
      </w:pPr>
      <w:r>
        <w:rPr>
          <w:rFonts w:hint="eastAsia"/>
          <w:szCs w:val="24"/>
        </w:rPr>
        <w:t>泥水盾构浆渣处理应采用技术可靠、经济合理的技术工艺，鼓励采用新技术、新工艺、新材料和新设备。</w:t>
      </w:r>
    </w:p>
    <w:p>
      <w:pPr>
        <w:ind w:firstLine="480"/>
      </w:pPr>
      <w:r>
        <w:rPr>
          <w:rFonts w:hint="eastAsia"/>
        </w:rPr>
        <w:br w:type="page"/>
      </w:r>
    </w:p>
    <w:p>
      <w:pPr>
        <w:pStyle w:val="2"/>
        <w:ind w:firstLine="0" w:firstLineChars="0"/>
        <w:rPr>
          <w:rFonts w:cs="Times New Roman"/>
          <w:szCs w:val="24"/>
        </w:rPr>
      </w:pPr>
      <w:bookmarkStart w:id="67" w:name="_Toc29967"/>
      <w:bookmarkStart w:id="68" w:name="_Toc10406"/>
      <w:bookmarkStart w:id="69" w:name="_Toc190813005"/>
      <w:bookmarkStart w:id="70" w:name="_Toc1666"/>
      <w:bookmarkStart w:id="71" w:name="_Toc23719"/>
      <w:bookmarkStart w:id="72" w:name="_Toc28525"/>
      <w:bookmarkStart w:id="73" w:name="_Toc21304"/>
      <w:r>
        <w:rPr>
          <w:sz w:val="32"/>
        </w:rPr>
        <w:t xml:space="preserve">4 </w:t>
      </w:r>
      <w:r>
        <w:rPr>
          <w:rFonts w:hint="eastAsia"/>
          <w:sz w:val="32"/>
          <w:szCs w:val="32"/>
        </w:rPr>
        <w:t>场地</w:t>
      </w:r>
      <w:bookmarkEnd w:id="67"/>
      <w:bookmarkEnd w:id="68"/>
      <w:r>
        <w:rPr>
          <w:rFonts w:hint="eastAsia"/>
          <w:sz w:val="32"/>
          <w:szCs w:val="32"/>
        </w:rPr>
        <w:t>布置与设计</w:t>
      </w:r>
      <w:bookmarkEnd w:id="69"/>
    </w:p>
    <w:p>
      <w:pPr>
        <w:ind w:firstLine="0" w:firstLineChars="0"/>
        <w:jc w:val="center"/>
        <w:outlineLvl w:val="1"/>
        <w:rPr>
          <w:rFonts w:cs="Times New Roman"/>
          <w:b/>
          <w:bCs/>
          <w:szCs w:val="24"/>
        </w:rPr>
      </w:pPr>
      <w:bookmarkStart w:id="74" w:name="_Toc13146"/>
      <w:bookmarkStart w:id="75" w:name="_Toc190813006"/>
      <w:bookmarkStart w:id="76" w:name="_Toc25636"/>
      <w:r>
        <w:rPr>
          <w:rFonts w:hint="eastAsia"/>
          <w:b/>
          <w:bCs/>
          <w:sz w:val="28"/>
        </w:rPr>
        <w:t>4.1</w:t>
      </w:r>
      <w:r>
        <w:rPr>
          <w:b/>
          <w:bCs/>
          <w:sz w:val="28"/>
        </w:rPr>
        <w:t xml:space="preserve"> </w:t>
      </w:r>
      <w:r>
        <w:rPr>
          <w:rFonts w:hint="eastAsia"/>
          <w:b/>
          <w:bCs/>
          <w:sz w:val="28"/>
        </w:rPr>
        <w:t>场地布置</w:t>
      </w:r>
      <w:bookmarkEnd w:id="74"/>
      <w:bookmarkEnd w:id="75"/>
      <w:bookmarkEnd w:id="76"/>
    </w:p>
    <w:p>
      <w:pPr>
        <w:pStyle w:val="23"/>
        <w:numPr>
          <w:ilvl w:val="0"/>
          <w:numId w:val="5"/>
        </w:numPr>
        <w:spacing w:before="156" w:beforeLines="50" w:after="156" w:afterLines="50"/>
        <w:ind w:left="0" w:firstLine="0" w:firstLineChars="0"/>
        <w:rPr>
          <w:szCs w:val="24"/>
        </w:rPr>
      </w:pPr>
      <w:r>
        <w:rPr>
          <w:rFonts w:hint="eastAsia"/>
          <w:szCs w:val="24"/>
        </w:rPr>
        <w:t>盾构浆渣处理场地选址宜符合下列规定：</w:t>
      </w:r>
    </w:p>
    <w:p>
      <w:pPr>
        <w:numPr>
          <w:ilvl w:val="0"/>
          <w:numId w:val="6"/>
        </w:numPr>
        <w:spacing w:before="156" w:beforeLines="50" w:after="156" w:afterLines="50"/>
        <w:ind w:firstLine="480"/>
        <w:rPr>
          <w:szCs w:val="24"/>
        </w:rPr>
      </w:pPr>
      <w:r>
        <w:rPr>
          <w:rFonts w:hint="eastAsia"/>
          <w:szCs w:val="24"/>
        </w:rPr>
        <w:t>宜靠近隧道工作井，</w:t>
      </w:r>
      <w:r>
        <w:rPr>
          <w:rFonts w:hint="eastAsia"/>
          <w:szCs w:val="24"/>
          <w:lang w:val="en-US" w:eastAsia="zh-CN"/>
        </w:rPr>
        <w:t>降低</w:t>
      </w:r>
      <w:r>
        <w:rPr>
          <w:rFonts w:hint="eastAsia"/>
          <w:szCs w:val="24"/>
        </w:rPr>
        <w:t>盾构浆渣在进排浆管路的输送距离；</w:t>
      </w:r>
    </w:p>
    <w:p>
      <w:pPr>
        <w:spacing w:before="156" w:beforeLines="50" w:after="156" w:afterLines="50"/>
        <w:ind w:firstLine="480"/>
        <w:rPr>
          <w:szCs w:val="24"/>
        </w:rPr>
      </w:pPr>
      <w:r>
        <w:rPr>
          <w:rFonts w:hint="eastAsia"/>
          <w:szCs w:val="24"/>
        </w:rPr>
        <w:t>2. 宜选择地势平坦区域，远离有土方开挖和基础加固的区域；</w:t>
      </w:r>
    </w:p>
    <w:p>
      <w:pPr>
        <w:spacing w:before="156" w:beforeLines="50" w:after="156" w:afterLines="50"/>
        <w:ind w:firstLine="480"/>
        <w:rPr>
          <w:szCs w:val="24"/>
        </w:rPr>
      </w:pPr>
      <w:r>
        <w:rPr>
          <w:rFonts w:hint="eastAsia"/>
          <w:szCs w:val="24"/>
        </w:rPr>
        <w:t>3. 宜远离密集居民区，降低对居民区的扬尘、噪声、光污染、水污染影响。</w:t>
      </w:r>
    </w:p>
    <w:p>
      <w:pPr>
        <w:pStyle w:val="23"/>
        <w:numPr>
          <w:ilvl w:val="0"/>
          <w:numId w:val="5"/>
        </w:numPr>
        <w:spacing w:before="156" w:beforeLines="50" w:after="156" w:afterLines="50"/>
        <w:ind w:left="0" w:firstLine="0" w:firstLineChars="0"/>
        <w:rPr>
          <w:szCs w:val="24"/>
        </w:rPr>
      </w:pPr>
      <w:r>
        <w:rPr>
          <w:rFonts w:hint="eastAsia"/>
          <w:szCs w:val="24"/>
        </w:rPr>
        <w:t>盾构浆渣处理场地平面布置按区域功能可分为主要设施区域、辅助设施区域及场内道路。主要设施区域布置有沉淀池、调浆池、储浆池、清水池、弃渣场、分离设备平台、泵坑、泥水操控室、配电室等，辅助设施区域布置有材料仓库、制浆池、废浆池、泥浆固化区等。</w:t>
      </w:r>
    </w:p>
    <w:p>
      <w:pPr>
        <w:pStyle w:val="23"/>
        <w:numPr>
          <w:ilvl w:val="0"/>
          <w:numId w:val="5"/>
        </w:numPr>
        <w:spacing w:before="156" w:beforeLines="50" w:after="156" w:afterLines="50"/>
        <w:ind w:left="0" w:firstLine="0" w:firstLineChars="0"/>
        <w:rPr>
          <w:szCs w:val="24"/>
        </w:rPr>
      </w:pPr>
      <w:r>
        <w:rPr>
          <w:rFonts w:hint="eastAsia"/>
          <w:szCs w:val="24"/>
        </w:rPr>
        <w:t>盾构浆渣处理场地布置应符合下列规定：</w:t>
      </w:r>
    </w:p>
    <w:p>
      <w:pPr>
        <w:numPr>
          <w:ilvl w:val="0"/>
          <w:numId w:val="7"/>
        </w:numPr>
        <w:spacing w:before="156" w:beforeLines="50" w:after="156" w:afterLines="50"/>
        <w:ind w:firstLine="480"/>
        <w:rPr>
          <w:szCs w:val="24"/>
        </w:rPr>
      </w:pPr>
      <w:r>
        <w:rPr>
          <w:rFonts w:hint="eastAsia"/>
          <w:szCs w:val="24"/>
        </w:rPr>
        <w:t>应综合隧道建设工期、水文地质条件、现场可征用地块的规模、现场施工总平面布置要求、盾构机配置、</w:t>
      </w:r>
      <w:bookmarkStart w:id="77" w:name="OLE_LINK50"/>
      <w:r>
        <w:rPr>
          <w:rFonts w:hint="eastAsia"/>
          <w:szCs w:val="24"/>
        </w:rPr>
        <w:t>所需的池体容积</w:t>
      </w:r>
      <w:bookmarkEnd w:id="77"/>
      <w:r>
        <w:rPr>
          <w:rFonts w:hint="eastAsia"/>
          <w:szCs w:val="24"/>
        </w:rPr>
        <w:t>、完成选型的浆渣处理设备的外观尺寸等因素进行合理布置；</w:t>
      </w:r>
    </w:p>
    <w:p>
      <w:pPr>
        <w:numPr>
          <w:ilvl w:val="0"/>
          <w:numId w:val="7"/>
        </w:numPr>
        <w:spacing w:before="156" w:beforeLines="50" w:after="156" w:afterLines="50"/>
        <w:ind w:firstLine="480"/>
        <w:rPr>
          <w:szCs w:val="24"/>
        </w:rPr>
      </w:pPr>
      <w:r>
        <w:rPr>
          <w:rFonts w:hint="eastAsia"/>
          <w:szCs w:val="24"/>
        </w:rPr>
        <w:t>主要设施区域、辅助设施区域面积大小应根据设施容量要求计算；</w:t>
      </w:r>
    </w:p>
    <w:p>
      <w:pPr>
        <w:numPr>
          <w:ilvl w:val="0"/>
          <w:numId w:val="7"/>
        </w:numPr>
        <w:spacing w:before="156" w:beforeLines="50" w:after="156" w:afterLines="50"/>
        <w:ind w:firstLine="480"/>
        <w:rPr>
          <w:szCs w:val="24"/>
        </w:rPr>
      </w:pPr>
      <w:r>
        <w:rPr>
          <w:rFonts w:hint="eastAsia"/>
          <w:szCs w:val="24"/>
        </w:rPr>
        <w:t>泥浆池容量应满足泥浆环流需求，渣土场容积应满足单日掘进出渣的存放要求；</w:t>
      </w:r>
    </w:p>
    <w:p>
      <w:pPr>
        <w:numPr>
          <w:ilvl w:val="0"/>
          <w:numId w:val="7"/>
        </w:numPr>
        <w:spacing w:before="156" w:beforeLines="50" w:after="156" w:afterLines="50"/>
        <w:ind w:firstLine="480"/>
        <w:rPr>
          <w:szCs w:val="24"/>
        </w:rPr>
      </w:pPr>
      <w:r>
        <w:rPr>
          <w:rFonts w:hint="eastAsia"/>
          <w:szCs w:val="24"/>
        </w:rPr>
        <w:t>应设置污水处理设备，</w:t>
      </w:r>
      <w:r>
        <w:rPr>
          <w:rFonts w:hint="eastAsia"/>
          <w:szCs w:val="24"/>
          <w:lang w:val="en-US" w:eastAsia="zh-CN"/>
        </w:rPr>
        <w:t>且</w:t>
      </w:r>
      <w:r>
        <w:rPr>
          <w:rFonts w:hint="eastAsia"/>
          <w:szCs w:val="24"/>
        </w:rPr>
        <w:t>周边应设置挡墙及排水系统，泥浆和施工废水经处理后统一排放。</w:t>
      </w:r>
    </w:p>
    <w:p>
      <w:pPr>
        <w:pStyle w:val="33"/>
        <w:adjustRightInd w:val="0"/>
        <w:snapToGrid w:val="0"/>
        <w:ind w:left="425"/>
        <w:rPr>
          <w:color w:val="auto"/>
        </w:rPr>
      </w:pPr>
      <w:r>
        <w:rPr>
          <w:rFonts w:hint="eastAsia"/>
          <w:color w:val="auto"/>
        </w:rPr>
        <w:t>条文说明</w:t>
      </w:r>
    </w:p>
    <w:p>
      <w:pPr>
        <w:pStyle w:val="34"/>
        <w:adjustRightInd w:val="0"/>
        <w:snapToGrid w:val="0"/>
        <w:rPr>
          <w:color w:val="auto"/>
        </w:rPr>
      </w:pPr>
      <w:r>
        <w:rPr>
          <w:rFonts w:hint="eastAsia"/>
          <w:color w:val="auto"/>
        </w:rPr>
        <w:t>所需的池体容积根据刀盘仓进排浆比重、</w:t>
      </w:r>
      <w:bookmarkStart w:id="78" w:name="OLE_LINK51"/>
      <w:r>
        <w:rPr>
          <w:rFonts w:hint="eastAsia"/>
          <w:color w:val="auto"/>
        </w:rPr>
        <w:t>进排浆流量</w:t>
      </w:r>
      <w:bookmarkEnd w:id="78"/>
      <w:r>
        <w:rPr>
          <w:rFonts w:hint="eastAsia"/>
          <w:color w:val="auto"/>
        </w:rPr>
        <w:t>、出渣量等数据设计计算。</w:t>
      </w:r>
    </w:p>
    <w:p>
      <w:pPr>
        <w:pStyle w:val="34"/>
        <w:adjustRightInd w:val="0"/>
        <w:snapToGrid w:val="0"/>
        <w:rPr>
          <w:color w:val="auto"/>
        </w:rPr>
      </w:pPr>
      <w:r>
        <w:rPr>
          <w:rFonts w:hint="eastAsia"/>
          <w:color w:val="auto"/>
        </w:rPr>
        <w:t>出渣量</w:t>
      </w:r>
      <w:r>
        <w:rPr>
          <w:rFonts w:hint="eastAsia"/>
          <w:color w:val="auto"/>
          <w:position w:val="-24"/>
        </w:rPr>
        <w:object>
          <v:shape id="_x0000_i1025" o:spt="75" type="#_x0000_t75" style="height:31.25pt;width:91pt;" o:ole="t" filled="f" o:preferrelative="t" stroked="f" coordsize="21600,21600">
            <v:path/>
            <v:fill on="f" focussize="0,0"/>
            <v:stroke on="f" joinstyle="miter"/>
            <v:imagedata r:id="rId19" o:title=""/>
            <o:lock v:ext="edit" aspectratio="t"/>
            <w10:wrap type="none"/>
            <w10:anchorlock/>
          </v:shape>
          <o:OLEObject Type="Embed" ProgID="Equation.KSEE3" ShapeID="_x0000_i1025" DrawAspect="Content" ObjectID="_1468075725" r:id="rId18">
            <o:LockedField>false</o:LockedField>
          </o:OLEObject>
        </w:object>
      </w:r>
    </w:p>
    <w:p>
      <w:pPr>
        <w:pStyle w:val="34"/>
        <w:adjustRightInd w:val="0"/>
        <w:snapToGrid w:val="0"/>
        <w:rPr>
          <w:rStyle w:val="21"/>
          <w:rFonts w:eastAsia="宋体" w:cstheme="minorBidi"/>
          <w:bCs w:val="0"/>
          <w:color w:val="auto"/>
        </w:rPr>
      </w:pPr>
      <w:r>
        <w:rPr>
          <w:rFonts w:hint="eastAsia"/>
          <w:color w:val="auto"/>
        </w:rPr>
        <w:t>排浆流量</w:t>
      </w:r>
      <w:r>
        <w:rPr>
          <w:rFonts w:hint="eastAsia"/>
          <w:color w:val="auto"/>
          <w:position w:val="-30"/>
        </w:rPr>
        <w:object>
          <v:shape id="_x0000_i1026" o:spt="75" type="#_x0000_t75" style="height:33.95pt;width:112.1pt;" o:ole="t" filled="f" o:preferrelative="t" stroked="f" coordsize="21600,21600">
            <v:path/>
            <v:fill on="f" focussize="0,0"/>
            <v:stroke on="f" joinstyle="miter"/>
            <v:imagedata r:id="rId21" o:title=""/>
            <o:lock v:ext="edit" aspectratio="t"/>
            <w10:wrap type="none"/>
            <w10:anchorlock/>
          </v:shape>
          <o:OLEObject Type="Embed" ProgID="Equation.KSEE3" ShapeID="_x0000_i1026" DrawAspect="Content" ObjectID="_1468075726" r:id="rId20">
            <o:LockedField>false</o:LockedField>
          </o:OLEObject>
        </w:object>
      </w:r>
    </w:p>
    <w:p>
      <w:pPr>
        <w:pStyle w:val="34"/>
        <w:adjustRightInd w:val="0"/>
        <w:snapToGrid w:val="0"/>
        <w:rPr>
          <w:color w:val="auto"/>
        </w:rPr>
      </w:pPr>
      <w:r>
        <w:rPr>
          <w:rFonts w:hint="eastAsia"/>
          <w:color w:val="auto"/>
        </w:rPr>
        <w:t>进浆流量</w:t>
      </w:r>
      <w:r>
        <w:rPr>
          <w:rFonts w:hint="eastAsia"/>
          <w:color w:val="auto"/>
          <w:position w:val="-30"/>
        </w:rPr>
        <w:object>
          <v:shape id="_x0000_i1027" o:spt="75" type="#_x0000_t75" style="height:36pt;width:139.9pt;" o:ole="t" filled="f" o:preferrelative="t" stroked="f" coordsize="21600,21600">
            <v:path/>
            <v:fill on="f" focussize="0,0"/>
            <v:stroke on="f" joinstyle="miter"/>
            <v:imagedata r:id="rId23" o:title=""/>
            <o:lock v:ext="edit" aspectratio="t"/>
            <w10:wrap type="none"/>
            <w10:anchorlock/>
          </v:shape>
          <o:OLEObject Type="Embed" ProgID="Equation.KSEE3" ShapeID="_x0000_i1027" DrawAspect="Content" ObjectID="_1468075727" r:id="rId22">
            <o:LockedField>false</o:LockedField>
          </o:OLEObject>
        </w:object>
      </w:r>
    </w:p>
    <w:p>
      <w:pPr>
        <w:pStyle w:val="34"/>
        <w:adjustRightInd w:val="0"/>
        <w:snapToGrid w:val="0"/>
        <w:rPr>
          <w:color w:val="auto"/>
        </w:rPr>
      </w:pPr>
      <w:r>
        <w:rPr>
          <w:rFonts w:hint="eastAsia"/>
          <w:color w:val="auto"/>
        </w:rPr>
        <w:t>式中，D——刀盘直径（m）；</w:t>
      </w:r>
    </w:p>
    <w:p>
      <w:pPr>
        <w:pStyle w:val="34"/>
        <w:adjustRightInd w:val="0"/>
        <w:snapToGrid w:val="0"/>
        <w:ind w:firstLine="1050" w:firstLineChars="500"/>
        <w:rPr>
          <w:color w:val="auto"/>
        </w:rPr>
      </w:pPr>
      <w:r>
        <w:rPr>
          <w:rFonts w:hint="eastAsia"/>
          <w:i/>
          <w:iCs/>
          <w:color w:val="auto"/>
        </w:rPr>
        <w:t>v</w:t>
      </w:r>
      <w:r>
        <w:rPr>
          <w:rFonts w:hint="eastAsia"/>
          <w:color w:val="auto"/>
        </w:rPr>
        <w:t>——盾构掘进平均速度（m/h）；</w:t>
      </w:r>
    </w:p>
    <w:p>
      <w:pPr>
        <w:pStyle w:val="34"/>
        <w:adjustRightInd w:val="0"/>
        <w:snapToGrid w:val="0"/>
        <w:ind w:firstLine="1050" w:firstLineChars="500"/>
        <w:rPr>
          <w:color w:val="auto"/>
        </w:rPr>
      </w:pPr>
      <w:r>
        <w:rPr>
          <w:rFonts w:hint="eastAsia"/>
          <w:i/>
          <w:iCs/>
          <w:color w:val="auto"/>
        </w:rPr>
        <w:t>ρ</w:t>
      </w:r>
      <w:r>
        <w:rPr>
          <w:rFonts w:hint="eastAsia"/>
          <w:i/>
          <w:iCs/>
          <w:color w:val="auto"/>
          <w:vertAlign w:val="subscript"/>
        </w:rPr>
        <w:t>0</w:t>
      </w:r>
      <w:r>
        <w:rPr>
          <w:rFonts w:hint="eastAsia"/>
          <w:color w:val="auto"/>
        </w:rPr>
        <w:t>——原状土比重(kg/L)；</w:t>
      </w:r>
    </w:p>
    <w:p>
      <w:pPr>
        <w:pStyle w:val="34"/>
        <w:adjustRightInd w:val="0"/>
        <w:snapToGrid w:val="0"/>
        <w:ind w:firstLine="1050" w:firstLineChars="500"/>
        <w:rPr>
          <w:color w:val="auto"/>
        </w:rPr>
      </w:pPr>
      <w:r>
        <w:rPr>
          <w:rFonts w:hint="eastAsia"/>
          <w:i/>
          <w:iCs/>
          <w:color w:val="auto"/>
        </w:rPr>
        <w:t>ρ</w:t>
      </w:r>
      <w:r>
        <w:rPr>
          <w:rFonts w:hint="eastAsia"/>
          <w:i/>
          <w:iCs/>
          <w:color w:val="auto"/>
          <w:vertAlign w:val="subscript"/>
        </w:rPr>
        <w:t>1</w:t>
      </w:r>
      <w:r>
        <w:rPr>
          <w:rFonts w:hint="eastAsia"/>
          <w:color w:val="auto"/>
        </w:rPr>
        <w:t>——进浆比重(kg/L)；</w:t>
      </w:r>
    </w:p>
    <w:p>
      <w:pPr>
        <w:pStyle w:val="34"/>
        <w:adjustRightInd w:val="0"/>
        <w:snapToGrid w:val="0"/>
        <w:ind w:firstLine="1050" w:firstLineChars="500"/>
        <w:rPr>
          <w:color w:val="auto"/>
        </w:rPr>
      </w:pPr>
      <w:r>
        <w:rPr>
          <w:rFonts w:hint="eastAsia"/>
          <w:i/>
          <w:iCs/>
          <w:color w:val="auto"/>
        </w:rPr>
        <w:t>ρ</w:t>
      </w:r>
      <w:r>
        <w:rPr>
          <w:rFonts w:hint="eastAsia"/>
          <w:i/>
          <w:iCs/>
          <w:color w:val="auto"/>
          <w:vertAlign w:val="subscript"/>
        </w:rPr>
        <w:t>2</w:t>
      </w:r>
      <w:r>
        <w:rPr>
          <w:rFonts w:hint="eastAsia"/>
          <w:color w:val="auto"/>
        </w:rPr>
        <w:t>——排浆比重(kg/L)。</w:t>
      </w:r>
    </w:p>
    <w:p>
      <w:pPr>
        <w:pStyle w:val="34"/>
        <w:adjustRightInd w:val="0"/>
        <w:snapToGrid w:val="0"/>
        <w:rPr>
          <w:color w:val="auto"/>
        </w:rPr>
      </w:pPr>
      <w:r>
        <w:rPr>
          <w:rFonts w:hint="eastAsia"/>
          <w:color w:val="auto"/>
        </w:rPr>
        <w:t>池体容积根据泥水盾构每循环的泥浆量相应配置，为保证正常盾构施工的泥浆供应，每套泥浆池容积可按0.12的富余能力系数进行控制。</w:t>
      </w:r>
    </w:p>
    <w:p>
      <w:pPr>
        <w:pStyle w:val="34"/>
        <w:adjustRightInd w:val="0"/>
        <w:snapToGrid w:val="0"/>
        <w:spacing w:before="156" w:beforeLines="50" w:after="156" w:afterLines="50"/>
        <w:ind w:firstLineChars="0"/>
      </w:pPr>
      <w:r>
        <w:rPr>
          <w:color w:val="auto"/>
        </w:rPr>
        <w:t>‌</w:t>
      </w:r>
    </w:p>
    <w:p>
      <w:pPr>
        <w:pStyle w:val="23"/>
        <w:numPr>
          <w:ilvl w:val="0"/>
          <w:numId w:val="5"/>
        </w:numPr>
        <w:spacing w:before="156" w:beforeLines="50" w:after="156" w:afterLines="50"/>
        <w:ind w:left="0" w:firstLine="0" w:firstLineChars="0"/>
        <w:rPr>
          <w:szCs w:val="24"/>
        </w:rPr>
      </w:pPr>
      <w:r>
        <w:rPr>
          <w:rFonts w:hint="eastAsia"/>
          <w:szCs w:val="24"/>
        </w:rPr>
        <w:t>运输通道设置、场地预留等应满足临时堆放和应急处理的需求。</w:t>
      </w:r>
    </w:p>
    <w:p>
      <w:pPr>
        <w:ind w:firstLine="0" w:firstLineChars="0"/>
        <w:jc w:val="center"/>
        <w:outlineLvl w:val="1"/>
        <w:rPr>
          <w:b/>
          <w:bCs/>
          <w:sz w:val="28"/>
        </w:rPr>
      </w:pPr>
      <w:bookmarkStart w:id="79" w:name="_Toc21341"/>
      <w:bookmarkStart w:id="80" w:name="_Toc2084"/>
      <w:bookmarkStart w:id="81" w:name="_Toc190813007"/>
      <w:r>
        <w:rPr>
          <w:rFonts w:hint="eastAsia"/>
          <w:b/>
          <w:bCs/>
          <w:sz w:val="28"/>
        </w:rPr>
        <w:t>4.2 场地设计</w:t>
      </w:r>
      <w:bookmarkEnd w:id="79"/>
      <w:bookmarkEnd w:id="80"/>
      <w:bookmarkEnd w:id="81"/>
    </w:p>
    <w:p>
      <w:pPr>
        <w:pStyle w:val="23"/>
        <w:numPr>
          <w:ilvl w:val="0"/>
          <w:numId w:val="8"/>
        </w:numPr>
        <w:spacing w:before="156" w:beforeLines="50" w:after="156" w:afterLines="50"/>
        <w:ind w:left="0" w:firstLine="0" w:firstLineChars="0"/>
        <w:rPr>
          <w:szCs w:val="24"/>
        </w:rPr>
      </w:pPr>
      <w:r>
        <w:rPr>
          <w:rFonts w:hint="eastAsia"/>
          <w:szCs w:val="24"/>
        </w:rPr>
        <w:t>场地建设总平面布置应符合现行国家标准《工业企业总平面设计规范》GB 50187的有关规定。</w:t>
      </w:r>
    </w:p>
    <w:p>
      <w:pPr>
        <w:pStyle w:val="23"/>
        <w:numPr>
          <w:ilvl w:val="0"/>
          <w:numId w:val="8"/>
        </w:numPr>
        <w:spacing w:before="156" w:beforeLines="50" w:after="156" w:afterLines="50"/>
        <w:ind w:left="0" w:firstLine="0" w:firstLineChars="0"/>
        <w:rPr>
          <w:rFonts w:hint="eastAsia"/>
          <w:szCs w:val="24"/>
        </w:rPr>
      </w:pPr>
      <w:r>
        <w:rPr>
          <w:rFonts w:hint="eastAsia"/>
          <w:szCs w:val="24"/>
        </w:rPr>
        <w:t>大直径盾构浆渣处理场地面积宜在10000m</w:t>
      </w:r>
      <w:r>
        <w:rPr>
          <w:rFonts w:hint="eastAsia"/>
          <w:szCs w:val="24"/>
          <w:vertAlign w:val="superscript"/>
        </w:rPr>
        <w:t>2</w:t>
      </w:r>
      <w:r>
        <w:rPr>
          <w:rFonts w:hint="eastAsia"/>
          <w:szCs w:val="24"/>
        </w:rPr>
        <w:t>~14000m</w:t>
      </w:r>
      <w:r>
        <w:rPr>
          <w:rFonts w:hint="eastAsia"/>
          <w:szCs w:val="24"/>
          <w:vertAlign w:val="superscript"/>
        </w:rPr>
        <w:t>2</w:t>
      </w:r>
      <w:r>
        <w:rPr>
          <w:rFonts w:hint="eastAsia"/>
          <w:szCs w:val="24"/>
        </w:rPr>
        <w:t>范围内。</w:t>
      </w:r>
    </w:p>
    <w:p>
      <w:pPr>
        <w:pStyle w:val="33"/>
        <w:adjustRightInd w:val="0"/>
        <w:snapToGrid w:val="0"/>
        <w:ind w:left="425"/>
        <w:rPr>
          <w:color w:val="auto"/>
        </w:rPr>
      </w:pPr>
      <w:r>
        <w:rPr>
          <w:rFonts w:hint="eastAsia"/>
          <w:color w:val="auto"/>
        </w:rPr>
        <w:t>条文说明</w:t>
      </w:r>
    </w:p>
    <w:p>
      <w:pPr>
        <w:pStyle w:val="34"/>
        <w:adjustRightInd w:val="0"/>
        <w:snapToGrid w:val="0"/>
        <w:spacing w:before="156" w:beforeLines="50" w:after="156" w:afterLines="50"/>
        <w:ind w:firstLineChars="0"/>
        <w:rPr>
          <w:rFonts w:hint="eastAsia"/>
          <w:color w:val="auto"/>
        </w:rPr>
      </w:pPr>
      <w:r>
        <w:rPr>
          <w:rFonts w:hint="eastAsia"/>
          <w:color w:val="auto"/>
        </w:rPr>
        <w:t>参考大直径泥水盾构隧道工程项目，如狮子洋隧道盾构直径为13.61m，浆渣处理场地占地面积为13065m</w:t>
      </w:r>
      <w:r>
        <w:rPr>
          <w:rFonts w:hint="eastAsia"/>
          <w:color w:val="auto"/>
          <w:vertAlign w:val="superscript"/>
        </w:rPr>
        <w:t>2</w:t>
      </w:r>
      <w:r>
        <w:rPr>
          <w:rFonts w:hint="eastAsia"/>
          <w:color w:val="auto"/>
        </w:rPr>
        <w:t>；杭州之江路输水管廊及道路提升工程盾构隧道外径为14.5m，浆渣处理场地占地面积为12880m</w:t>
      </w:r>
      <w:r>
        <w:rPr>
          <w:rFonts w:hint="eastAsia"/>
          <w:color w:val="auto"/>
          <w:vertAlign w:val="superscript"/>
        </w:rPr>
        <w:t>2</w:t>
      </w:r>
      <w:r>
        <w:rPr>
          <w:rFonts w:hint="eastAsia"/>
          <w:color w:val="auto"/>
        </w:rPr>
        <w:t>。</w:t>
      </w:r>
    </w:p>
    <w:p>
      <w:pPr>
        <w:pStyle w:val="23"/>
        <w:numPr>
          <w:ilvl w:val="0"/>
          <w:numId w:val="8"/>
        </w:numPr>
        <w:spacing w:before="156" w:beforeLines="50" w:after="156" w:afterLines="50"/>
        <w:ind w:left="0" w:firstLine="0" w:firstLineChars="0"/>
        <w:rPr>
          <w:szCs w:val="24"/>
        </w:rPr>
      </w:pPr>
      <w:r>
        <w:rPr>
          <w:rFonts w:hint="eastAsia"/>
          <w:szCs w:val="24"/>
          <w:lang w:val="en-US" w:eastAsia="zh-CN"/>
        </w:rPr>
        <w:t>盾构浆渣处理系统</w:t>
      </w:r>
      <w:r>
        <w:rPr>
          <w:rFonts w:hint="eastAsia"/>
          <w:szCs w:val="24"/>
        </w:rPr>
        <w:t>的防洪、排涝措施应符合现行国家标准《防洪标准》GB 50201的有关规定。</w:t>
      </w:r>
    </w:p>
    <w:p>
      <w:pPr>
        <w:pStyle w:val="23"/>
        <w:numPr>
          <w:ilvl w:val="0"/>
          <w:numId w:val="8"/>
        </w:numPr>
        <w:spacing w:before="156" w:beforeLines="50" w:after="156" w:afterLines="50"/>
        <w:ind w:left="0" w:firstLine="0" w:firstLineChars="0"/>
        <w:rPr>
          <w:szCs w:val="24"/>
        </w:rPr>
      </w:pPr>
      <w:r>
        <w:rPr>
          <w:rFonts w:hint="eastAsia"/>
          <w:szCs w:val="24"/>
        </w:rPr>
        <w:t>消防设施布置和使用应符合现行国家标准《建设工程施工现场消防安全技术规范》</w:t>
      </w:r>
      <w:bookmarkStart w:id="82" w:name="OLE_LINK49"/>
      <w:r>
        <w:rPr>
          <w:rFonts w:hint="eastAsia"/>
          <w:szCs w:val="24"/>
        </w:rPr>
        <w:t>GB 50720</w:t>
      </w:r>
      <w:bookmarkEnd w:id="82"/>
      <w:r>
        <w:rPr>
          <w:rFonts w:hint="eastAsia"/>
          <w:szCs w:val="24"/>
        </w:rPr>
        <w:t>的有关规定。</w:t>
      </w:r>
    </w:p>
    <w:p>
      <w:pPr>
        <w:pStyle w:val="23"/>
        <w:numPr>
          <w:ilvl w:val="0"/>
          <w:numId w:val="8"/>
        </w:numPr>
        <w:spacing w:before="156" w:beforeLines="50" w:after="156" w:afterLines="50"/>
        <w:ind w:left="0" w:firstLine="0" w:firstLineChars="0"/>
        <w:rPr>
          <w:szCs w:val="24"/>
        </w:rPr>
      </w:pPr>
      <w:r>
        <w:rPr>
          <w:rFonts w:hint="eastAsia"/>
          <w:szCs w:val="24"/>
        </w:rPr>
        <w:t>泥浆池之间应设置浆池沉渣清理通道，泥浆池和浆渣分离设备之间应设置浆沟，沿环场道路应设置排水沟。</w:t>
      </w:r>
    </w:p>
    <w:p>
      <w:pPr>
        <w:pStyle w:val="33"/>
        <w:adjustRightInd w:val="0"/>
        <w:snapToGrid w:val="0"/>
        <w:ind w:left="440"/>
        <w:rPr>
          <w:color w:val="auto"/>
        </w:rPr>
      </w:pPr>
      <w:r>
        <w:rPr>
          <w:rFonts w:hint="eastAsia"/>
          <w:color w:val="auto"/>
        </w:rPr>
        <w:t>条文说明</w:t>
      </w:r>
    </w:p>
    <w:p>
      <w:pPr>
        <w:pStyle w:val="34"/>
        <w:adjustRightInd w:val="0"/>
        <w:snapToGrid w:val="0"/>
        <w:spacing w:before="156" w:beforeLines="50" w:after="156" w:afterLines="50"/>
        <w:ind w:firstLineChars="0"/>
        <w:rPr>
          <w:szCs w:val="24"/>
        </w:rPr>
      </w:pPr>
      <w:r>
        <w:rPr>
          <w:rFonts w:hint="eastAsia"/>
          <w:color w:val="auto"/>
        </w:rPr>
        <w:t>沉渣清理通道标高应明显低于浆池顶面标高，做好临边防护；排水沟周边地面标高应明显高于排水沟顶面标高，确保地面水流能顺利流入排水沟。</w:t>
      </w:r>
    </w:p>
    <w:p>
      <w:pPr>
        <w:pStyle w:val="23"/>
        <w:numPr>
          <w:ilvl w:val="0"/>
          <w:numId w:val="8"/>
        </w:numPr>
        <w:spacing w:before="156" w:beforeLines="50" w:after="156" w:afterLines="50"/>
        <w:ind w:left="0" w:firstLine="0" w:firstLineChars="0"/>
        <w:rPr>
          <w:szCs w:val="24"/>
        </w:rPr>
      </w:pPr>
      <w:r>
        <w:rPr>
          <w:rFonts w:hint="eastAsia"/>
          <w:szCs w:val="24"/>
        </w:rPr>
        <w:t>浆渣处理设备安装应满足出渣、堆渣需要，基础承载力应考虑设备、浆渣自重及振动荷载</w:t>
      </w:r>
      <w:r>
        <w:rPr>
          <w:rFonts w:hint="eastAsia"/>
          <w:szCs w:val="24"/>
          <w:lang w:val="en-US" w:eastAsia="zh-CN"/>
        </w:rPr>
        <w:t>等要求</w:t>
      </w:r>
      <w:r>
        <w:rPr>
          <w:rFonts w:hint="eastAsia"/>
          <w:szCs w:val="24"/>
        </w:rPr>
        <w:t>。</w:t>
      </w:r>
    </w:p>
    <w:p>
      <w:pPr>
        <w:pStyle w:val="23"/>
        <w:numPr>
          <w:ilvl w:val="0"/>
          <w:numId w:val="8"/>
        </w:numPr>
        <w:spacing w:before="156" w:beforeLines="50" w:after="156" w:afterLines="50"/>
        <w:ind w:left="0" w:firstLine="0" w:firstLineChars="0"/>
        <w:rPr>
          <w:szCs w:val="24"/>
        </w:rPr>
      </w:pPr>
      <w:bookmarkStart w:id="83" w:name="OLE_LINK52"/>
      <w:r>
        <w:rPr>
          <w:rFonts w:hint="eastAsia"/>
          <w:szCs w:val="24"/>
        </w:rPr>
        <w:t>弃</w:t>
      </w:r>
      <w:bookmarkEnd w:id="83"/>
      <w:r>
        <w:rPr>
          <w:rFonts w:hint="eastAsia"/>
          <w:szCs w:val="24"/>
        </w:rPr>
        <w:t>渣场</w:t>
      </w:r>
      <w:r>
        <w:rPr>
          <w:rFonts w:ascii="宋体" w:hAnsi="宋体" w:cs="宋体"/>
          <w:szCs w:val="24"/>
        </w:rPr>
        <w:t>底板</w:t>
      </w:r>
      <w:r>
        <w:rPr>
          <w:rFonts w:hint="eastAsia" w:ascii="宋体" w:hAnsi="宋体" w:cs="宋体"/>
          <w:szCs w:val="24"/>
        </w:rPr>
        <w:t>应进行</w:t>
      </w:r>
      <w:r>
        <w:rPr>
          <w:rFonts w:ascii="宋体" w:hAnsi="宋体" w:cs="宋体"/>
          <w:szCs w:val="24"/>
        </w:rPr>
        <w:t>硬化处理，</w:t>
      </w:r>
      <w:r>
        <w:rPr>
          <w:rFonts w:hint="eastAsia"/>
          <w:szCs w:val="24"/>
        </w:rPr>
        <w:t>弃</w:t>
      </w:r>
      <w:r>
        <w:rPr>
          <w:rFonts w:ascii="宋体" w:hAnsi="宋体" w:cs="宋体"/>
          <w:szCs w:val="24"/>
        </w:rPr>
        <w:t>渣场四周应设混凝土挡墙，挡墙比分离设备出渣口略低。</w:t>
      </w:r>
    </w:p>
    <w:p>
      <w:pPr>
        <w:pStyle w:val="23"/>
        <w:numPr>
          <w:ilvl w:val="0"/>
          <w:numId w:val="8"/>
        </w:numPr>
        <w:spacing w:before="156" w:beforeLines="50" w:after="156" w:afterLines="50"/>
        <w:ind w:left="0" w:firstLine="0" w:firstLineChars="0"/>
        <w:rPr>
          <w:szCs w:val="24"/>
        </w:rPr>
      </w:pPr>
      <w:r>
        <w:rPr>
          <w:rFonts w:hint="eastAsia"/>
          <w:szCs w:val="24"/>
        </w:rPr>
        <w:t>场地主要道路应进行硬化处理，地面应平整坚实，道路应畅通。</w:t>
      </w:r>
    </w:p>
    <w:p>
      <w:pPr>
        <w:pStyle w:val="23"/>
        <w:numPr>
          <w:ilvl w:val="0"/>
          <w:numId w:val="8"/>
        </w:numPr>
        <w:spacing w:before="156" w:beforeLines="50" w:after="156" w:afterLines="50"/>
        <w:ind w:left="0" w:firstLine="0" w:firstLineChars="0"/>
        <w:rPr>
          <w:szCs w:val="24"/>
        </w:rPr>
      </w:pPr>
      <w:r>
        <w:rPr>
          <w:rFonts w:hint="eastAsia"/>
          <w:szCs w:val="24"/>
        </w:rPr>
        <w:t>场地周边应具有施工便道和交通条件，应满足各功能区最大规格运输车辆的荷载和通行要求。</w:t>
      </w:r>
    </w:p>
    <w:p>
      <w:pPr>
        <w:pStyle w:val="23"/>
        <w:numPr>
          <w:ilvl w:val="0"/>
          <w:numId w:val="8"/>
        </w:numPr>
        <w:spacing w:before="156" w:beforeLines="50" w:after="156" w:afterLines="50"/>
        <w:ind w:left="0" w:firstLine="0" w:firstLineChars="0"/>
        <w:rPr>
          <w:szCs w:val="24"/>
        </w:rPr>
        <w:sectPr>
          <w:footerReference r:id="rId12" w:type="default"/>
          <w:pgSz w:w="11906" w:h="16838"/>
          <w:pgMar w:top="1440" w:right="1800" w:bottom="1440" w:left="1800" w:header="851" w:footer="992" w:gutter="0"/>
          <w:pgNumType w:start="1"/>
          <w:cols w:space="425" w:num="1"/>
          <w:docGrid w:type="lines" w:linePitch="312" w:charSpace="0"/>
        </w:sectPr>
      </w:pPr>
      <w:r>
        <w:rPr>
          <w:rFonts w:hint="eastAsia"/>
          <w:szCs w:val="24"/>
        </w:rPr>
        <w:t>场地应设置车辆冲洗及配套系统，</w:t>
      </w:r>
      <w:r>
        <w:rPr>
          <w:rFonts w:hint="eastAsia"/>
          <w:szCs w:val="24"/>
          <w:lang w:val="en-US" w:eastAsia="zh-CN"/>
        </w:rPr>
        <w:t>并</w:t>
      </w:r>
      <w:r>
        <w:rPr>
          <w:rFonts w:hint="eastAsia"/>
          <w:szCs w:val="24"/>
        </w:rPr>
        <w:t>应满足</w:t>
      </w:r>
      <w:r>
        <w:rPr>
          <w:rFonts w:hint="default"/>
          <w:szCs w:val="24"/>
          <w:lang w:val="en-US"/>
        </w:rPr>
        <w:t>渣土</w:t>
      </w:r>
      <w:r>
        <w:rPr>
          <w:rFonts w:hint="eastAsia"/>
          <w:szCs w:val="24"/>
          <w:lang w:val="en-US" w:eastAsia="zh-CN"/>
        </w:rPr>
        <w:t>渣土</w:t>
      </w:r>
      <w:r>
        <w:rPr>
          <w:rFonts w:hint="eastAsia"/>
          <w:szCs w:val="24"/>
        </w:rPr>
        <w:t>外运要求。</w:t>
      </w:r>
    </w:p>
    <w:p>
      <w:pPr>
        <w:pStyle w:val="2"/>
        <w:ind w:firstLine="0" w:firstLineChars="0"/>
        <w:rPr>
          <w:rFonts w:cs="Times New Roman"/>
          <w:szCs w:val="24"/>
        </w:rPr>
      </w:pPr>
      <w:bookmarkStart w:id="84" w:name="_Toc190813008"/>
      <w:bookmarkStart w:id="85" w:name="_Toc20405"/>
      <w:bookmarkStart w:id="86" w:name="_Toc10498"/>
      <w:r>
        <w:rPr>
          <w:rFonts w:hint="eastAsia"/>
          <w:sz w:val="32"/>
        </w:rPr>
        <w:t>5</w:t>
      </w:r>
      <w:r>
        <w:rPr>
          <w:sz w:val="32"/>
        </w:rPr>
        <w:t xml:space="preserve"> </w:t>
      </w:r>
      <w:r>
        <w:rPr>
          <w:rFonts w:hint="eastAsia"/>
          <w:sz w:val="32"/>
          <w:szCs w:val="32"/>
        </w:rPr>
        <w:t>设备配置</w:t>
      </w:r>
      <w:bookmarkEnd w:id="84"/>
      <w:bookmarkEnd w:id="85"/>
      <w:bookmarkEnd w:id="86"/>
    </w:p>
    <w:p>
      <w:pPr>
        <w:ind w:firstLine="0" w:firstLineChars="0"/>
        <w:jc w:val="center"/>
        <w:outlineLvl w:val="1"/>
        <w:rPr>
          <w:b/>
          <w:bCs/>
          <w:sz w:val="28"/>
        </w:rPr>
      </w:pPr>
      <w:bookmarkStart w:id="87" w:name="_Toc12006"/>
      <w:bookmarkStart w:id="88" w:name="_Toc15951"/>
      <w:bookmarkStart w:id="89" w:name="_Toc190813009"/>
      <w:r>
        <w:rPr>
          <w:rFonts w:hint="eastAsia"/>
          <w:b/>
          <w:bCs/>
          <w:sz w:val="28"/>
        </w:rPr>
        <w:t>5.1</w:t>
      </w:r>
      <w:r>
        <w:rPr>
          <w:b/>
          <w:bCs/>
          <w:sz w:val="28"/>
        </w:rPr>
        <w:t xml:space="preserve"> </w:t>
      </w:r>
      <w:r>
        <w:rPr>
          <w:rFonts w:hint="eastAsia"/>
          <w:b/>
          <w:bCs/>
          <w:sz w:val="28"/>
        </w:rPr>
        <w:t>一般规定</w:t>
      </w:r>
      <w:bookmarkEnd w:id="87"/>
      <w:bookmarkEnd w:id="88"/>
      <w:bookmarkEnd w:id="89"/>
    </w:p>
    <w:p>
      <w:pPr>
        <w:pStyle w:val="23"/>
        <w:numPr>
          <w:ilvl w:val="0"/>
          <w:numId w:val="9"/>
        </w:numPr>
        <w:spacing w:before="156" w:beforeLines="50" w:after="156" w:afterLines="50"/>
        <w:ind w:firstLineChars="0"/>
        <w:rPr>
          <w:szCs w:val="24"/>
        </w:rPr>
      </w:pPr>
      <w:r>
        <w:rPr>
          <w:rFonts w:hint="eastAsia"/>
          <w:szCs w:val="24"/>
        </w:rPr>
        <w:t>浆渣处理系统应按场地布置图要求，划定设备安装基准线，并进行定位基准标记。</w:t>
      </w:r>
    </w:p>
    <w:p>
      <w:pPr>
        <w:pStyle w:val="23"/>
        <w:numPr>
          <w:ilvl w:val="0"/>
          <w:numId w:val="9"/>
        </w:numPr>
        <w:spacing w:before="156" w:beforeLines="50" w:after="156" w:afterLines="50"/>
        <w:ind w:firstLineChars="0"/>
        <w:rPr>
          <w:szCs w:val="24"/>
        </w:rPr>
      </w:pPr>
      <w:r>
        <w:rPr>
          <w:rFonts w:hint="eastAsia"/>
          <w:szCs w:val="24"/>
        </w:rPr>
        <w:t>泥水盾构浆渣处理系统宜包括</w:t>
      </w:r>
      <w:bookmarkStart w:id="90" w:name="OLE_LINK59"/>
      <w:r>
        <w:rPr>
          <w:rFonts w:hint="eastAsia"/>
          <w:szCs w:val="24"/>
        </w:rPr>
        <w:t>新浆制备系统</w:t>
      </w:r>
      <w:bookmarkEnd w:id="90"/>
      <w:r>
        <w:rPr>
          <w:rFonts w:hint="eastAsia"/>
          <w:szCs w:val="24"/>
        </w:rPr>
        <w:t>、浆渣分离系统、泥浆调整系统、泥水分离系统和电气控制系统。</w:t>
      </w:r>
    </w:p>
    <w:p>
      <w:pPr>
        <w:pStyle w:val="23"/>
        <w:numPr>
          <w:ilvl w:val="0"/>
          <w:numId w:val="9"/>
        </w:numPr>
        <w:spacing w:before="156" w:beforeLines="50" w:after="156" w:afterLines="50"/>
        <w:ind w:firstLineChars="0"/>
        <w:rPr>
          <w:szCs w:val="24"/>
        </w:rPr>
      </w:pPr>
      <w:r>
        <w:rPr>
          <w:rFonts w:hint="eastAsia"/>
          <w:szCs w:val="24"/>
        </w:rPr>
        <w:t>浆渣处理</w:t>
      </w:r>
      <w:r>
        <w:rPr>
          <w:rFonts w:hint="eastAsia"/>
          <w:szCs w:val="24"/>
          <w:lang w:val="en-US" w:eastAsia="zh-CN"/>
        </w:rPr>
        <w:t>设备</w:t>
      </w:r>
      <w:r>
        <w:rPr>
          <w:rFonts w:hint="eastAsia"/>
          <w:szCs w:val="24"/>
        </w:rPr>
        <w:t>安装应按照清理场地、核查设备基础、浆渣分离设备安装、泥水分离设备安装、制调浆泵安装、现场管路安装、电气部分安装、现场调试验收流程进行。</w:t>
      </w:r>
    </w:p>
    <w:p>
      <w:pPr>
        <w:pStyle w:val="33"/>
        <w:adjustRightInd w:val="0"/>
        <w:snapToGrid w:val="0"/>
        <w:ind w:left="440"/>
        <w:rPr>
          <w:color w:val="auto"/>
        </w:rPr>
      </w:pPr>
      <w:r>
        <w:rPr>
          <w:rFonts w:hint="eastAsia"/>
          <w:color w:val="auto"/>
        </w:rPr>
        <w:t>条文说明</w:t>
      </w:r>
    </w:p>
    <w:p>
      <w:pPr>
        <w:pStyle w:val="34"/>
        <w:adjustRightInd w:val="0"/>
        <w:snapToGrid w:val="0"/>
        <w:rPr>
          <w:color w:val="auto"/>
        </w:rPr>
      </w:pPr>
      <w:r>
        <w:rPr>
          <w:rFonts w:hint="eastAsia"/>
          <w:color w:val="auto"/>
        </w:rPr>
        <w:t>浆渣处理</w:t>
      </w:r>
      <w:r>
        <w:rPr>
          <w:rFonts w:hint="eastAsia"/>
          <w:color w:val="auto"/>
          <w:lang w:val="en-US" w:eastAsia="zh-CN"/>
        </w:rPr>
        <w:t>设备</w:t>
      </w:r>
      <w:r>
        <w:rPr>
          <w:rFonts w:hint="eastAsia"/>
          <w:color w:val="auto"/>
        </w:rPr>
        <w:t>安装结束后，应在盾构正常施工条件下连续调试3天，达到系统设计要求后方可通过系统验收。</w:t>
      </w:r>
    </w:p>
    <w:p>
      <w:pPr>
        <w:pStyle w:val="23"/>
        <w:numPr>
          <w:ilvl w:val="0"/>
          <w:numId w:val="9"/>
        </w:numPr>
        <w:spacing w:before="156" w:beforeLines="50" w:after="156" w:afterLines="50"/>
        <w:ind w:firstLineChars="0"/>
        <w:rPr>
          <w:szCs w:val="24"/>
        </w:rPr>
      </w:pPr>
      <w:r>
        <w:rPr>
          <w:rFonts w:hint="eastAsia"/>
          <w:szCs w:val="24"/>
        </w:rPr>
        <w:t>浆渣处理系统应采用模块化设计、集中布置的原则，设备基础宜采用混凝土或钢结构基础。</w:t>
      </w:r>
    </w:p>
    <w:p>
      <w:pPr>
        <w:pStyle w:val="23"/>
        <w:numPr>
          <w:ilvl w:val="0"/>
          <w:numId w:val="9"/>
        </w:numPr>
        <w:spacing w:before="156" w:beforeLines="50" w:after="156" w:afterLines="50"/>
        <w:ind w:firstLineChars="0"/>
        <w:rPr>
          <w:szCs w:val="24"/>
        </w:rPr>
      </w:pPr>
      <w:r>
        <w:rPr>
          <w:rFonts w:hint="eastAsia"/>
          <w:szCs w:val="24"/>
        </w:rPr>
        <w:t>浆渣处理设备宜采用占地面积小，机械化程度高，处理量大和分离效果好的设备。</w:t>
      </w:r>
    </w:p>
    <w:p>
      <w:pPr>
        <w:ind w:firstLine="0" w:firstLineChars="0"/>
        <w:jc w:val="center"/>
        <w:outlineLvl w:val="1"/>
        <w:rPr>
          <w:b/>
          <w:bCs/>
          <w:sz w:val="28"/>
        </w:rPr>
      </w:pPr>
      <w:bookmarkStart w:id="91" w:name="_Toc190813010"/>
      <w:bookmarkStart w:id="92" w:name="_Toc20787"/>
      <w:bookmarkStart w:id="93" w:name="_Toc17036"/>
      <w:r>
        <w:rPr>
          <w:rFonts w:hint="eastAsia"/>
          <w:b/>
          <w:bCs/>
          <w:sz w:val="28"/>
        </w:rPr>
        <w:t>5.2</w:t>
      </w:r>
      <w:r>
        <w:rPr>
          <w:b/>
          <w:bCs/>
          <w:sz w:val="28"/>
        </w:rPr>
        <w:t xml:space="preserve"> </w:t>
      </w:r>
      <w:r>
        <w:rPr>
          <w:rFonts w:hint="eastAsia"/>
          <w:b/>
          <w:bCs/>
          <w:sz w:val="28"/>
        </w:rPr>
        <w:t>设备选型</w:t>
      </w:r>
      <w:bookmarkEnd w:id="91"/>
      <w:bookmarkEnd w:id="92"/>
      <w:bookmarkEnd w:id="93"/>
    </w:p>
    <w:p>
      <w:pPr>
        <w:pStyle w:val="23"/>
        <w:numPr>
          <w:ilvl w:val="0"/>
          <w:numId w:val="10"/>
        </w:numPr>
        <w:spacing w:before="156" w:beforeLines="50" w:after="156" w:afterLines="50"/>
        <w:ind w:firstLineChars="0"/>
        <w:rPr>
          <w:szCs w:val="24"/>
        </w:rPr>
      </w:pPr>
      <w:r>
        <w:rPr>
          <w:rFonts w:hint="eastAsia"/>
          <w:szCs w:val="24"/>
        </w:rPr>
        <w:t>应根据盾构穿越地层、盾构机参数，确定制浆设备和调浆设备选型。</w:t>
      </w:r>
    </w:p>
    <w:p>
      <w:pPr>
        <w:pStyle w:val="23"/>
        <w:numPr>
          <w:ilvl w:val="0"/>
          <w:numId w:val="10"/>
        </w:numPr>
        <w:spacing w:before="156" w:beforeLines="50" w:after="156" w:afterLines="50"/>
        <w:ind w:firstLineChars="0"/>
        <w:rPr>
          <w:szCs w:val="24"/>
        </w:rPr>
      </w:pPr>
      <w:r>
        <w:rPr>
          <w:rFonts w:hint="eastAsia"/>
          <w:szCs w:val="24"/>
        </w:rPr>
        <w:t>应根据地层和地勘资料、盾构直径等，确定浆渣分离设备选型。</w:t>
      </w:r>
    </w:p>
    <w:p>
      <w:pPr>
        <w:pStyle w:val="23"/>
        <w:numPr>
          <w:ilvl w:val="0"/>
          <w:numId w:val="10"/>
        </w:numPr>
        <w:spacing w:before="156" w:beforeLines="50" w:after="156" w:afterLines="50"/>
        <w:ind w:firstLineChars="0"/>
        <w:rPr>
          <w:szCs w:val="24"/>
        </w:rPr>
      </w:pPr>
      <w:r>
        <w:rPr>
          <w:rFonts w:hint="eastAsia"/>
          <w:szCs w:val="24"/>
        </w:rPr>
        <w:t>应针对不同地层直径小于20</w:t>
      </w:r>
      <w:r>
        <w:rPr>
          <w:rFonts w:hint="default" w:ascii="Times New Roman" w:hAnsi="Times New Roman" w:cs="Times New Roman"/>
          <w:szCs w:val="24"/>
        </w:rPr>
        <w:t>μm</w:t>
      </w:r>
      <w:r>
        <w:rPr>
          <w:rFonts w:hint="eastAsia"/>
          <w:szCs w:val="24"/>
        </w:rPr>
        <w:t>颗粒含量、施工进度，确定泥水分离设备选型。</w:t>
      </w:r>
    </w:p>
    <w:p>
      <w:pPr>
        <w:pStyle w:val="23"/>
        <w:numPr>
          <w:ilvl w:val="0"/>
          <w:numId w:val="10"/>
        </w:numPr>
        <w:spacing w:before="156" w:beforeLines="50" w:after="156" w:afterLines="50"/>
        <w:ind w:firstLineChars="0"/>
        <w:rPr>
          <w:szCs w:val="24"/>
        </w:rPr>
      </w:pPr>
      <w:bookmarkStart w:id="94" w:name="OLE_LINK60"/>
      <w:r>
        <w:rPr>
          <w:rFonts w:hint="eastAsia"/>
          <w:szCs w:val="24"/>
        </w:rPr>
        <w:t>新浆</w:t>
      </w:r>
      <w:bookmarkEnd w:id="94"/>
      <w:r>
        <w:rPr>
          <w:rFonts w:hint="eastAsia"/>
          <w:szCs w:val="24"/>
        </w:rPr>
        <w:t>制备系统应符合下列要求：</w:t>
      </w:r>
    </w:p>
    <w:p>
      <w:pPr>
        <w:numPr>
          <w:ilvl w:val="0"/>
          <w:numId w:val="11"/>
        </w:numPr>
        <w:ind w:firstLine="480"/>
        <w:rPr>
          <w:szCs w:val="24"/>
        </w:rPr>
      </w:pPr>
      <w:r>
        <w:rPr>
          <w:rFonts w:hint="eastAsia"/>
          <w:szCs w:val="24"/>
        </w:rPr>
        <w:t>新浆制备系统应包括新浆制备池、剪切泵、输送泵、搅拌器、管路、材料仓库等；</w:t>
      </w:r>
    </w:p>
    <w:p>
      <w:pPr>
        <w:numPr>
          <w:ilvl w:val="0"/>
          <w:numId w:val="11"/>
        </w:numPr>
        <w:ind w:firstLine="480"/>
        <w:rPr>
          <w:szCs w:val="24"/>
        </w:rPr>
      </w:pPr>
      <w:r>
        <w:rPr>
          <w:rFonts w:hint="eastAsia"/>
          <w:szCs w:val="24"/>
        </w:rPr>
        <w:t>新浆制备池可采用钢筋混凝土池或搅拌缸；</w:t>
      </w:r>
    </w:p>
    <w:p>
      <w:pPr>
        <w:numPr>
          <w:ilvl w:val="0"/>
          <w:numId w:val="11"/>
        </w:numPr>
        <w:ind w:firstLine="480"/>
        <w:rPr>
          <w:szCs w:val="24"/>
        </w:rPr>
      </w:pPr>
      <w:r>
        <w:rPr>
          <w:rFonts w:hint="eastAsia"/>
          <w:szCs w:val="24"/>
        </w:rPr>
        <w:t>搅拌机应根据搅拌池直径、新浆性能等进行配置，安装牢固、可靠，搅拌叶片宜安装于搅拌池底部1/4~1/3处。</w:t>
      </w:r>
    </w:p>
    <w:p>
      <w:pPr>
        <w:pStyle w:val="23"/>
        <w:numPr>
          <w:ilvl w:val="0"/>
          <w:numId w:val="10"/>
        </w:numPr>
        <w:spacing w:before="156" w:beforeLines="50" w:after="156" w:afterLines="50"/>
        <w:ind w:firstLineChars="0"/>
        <w:rPr>
          <w:szCs w:val="24"/>
        </w:rPr>
      </w:pPr>
      <w:r>
        <w:rPr>
          <w:rFonts w:hint="eastAsia"/>
          <w:szCs w:val="24"/>
        </w:rPr>
        <w:t>泥浆调整系统应包括泥浆池、泵组、管阀、自动检测仪器以及控制部分。</w:t>
      </w:r>
    </w:p>
    <w:p>
      <w:pPr>
        <w:pStyle w:val="23"/>
        <w:numPr>
          <w:ilvl w:val="0"/>
          <w:numId w:val="10"/>
        </w:numPr>
        <w:spacing w:before="156" w:beforeLines="50" w:after="156" w:afterLines="50"/>
        <w:ind w:firstLineChars="0"/>
        <w:rPr>
          <w:color w:val="auto"/>
          <w:szCs w:val="24"/>
        </w:rPr>
      </w:pPr>
      <w:bookmarkStart w:id="95" w:name="OLE_LINK54"/>
      <w:r>
        <w:rPr>
          <w:rFonts w:hint="eastAsia"/>
          <w:szCs w:val="24"/>
        </w:rPr>
        <w:t>浆渣分离系统</w:t>
      </w:r>
      <w:bookmarkEnd w:id="95"/>
      <w:r>
        <w:rPr>
          <w:rFonts w:hint="eastAsia"/>
          <w:color w:val="auto"/>
          <w:szCs w:val="24"/>
        </w:rPr>
        <w:t>可包括预筛分器、一级旋流器、二级旋流器等。</w:t>
      </w:r>
    </w:p>
    <w:p>
      <w:pPr>
        <w:pStyle w:val="33"/>
        <w:adjustRightInd w:val="0"/>
        <w:snapToGrid w:val="0"/>
        <w:ind w:left="440"/>
        <w:rPr>
          <w:color w:val="auto"/>
        </w:rPr>
      </w:pPr>
      <w:bookmarkStart w:id="96" w:name="OLE_LINK55"/>
      <w:r>
        <w:rPr>
          <w:rFonts w:hint="eastAsia"/>
          <w:color w:val="auto"/>
        </w:rPr>
        <w:t>条文说明</w:t>
      </w:r>
    </w:p>
    <w:p>
      <w:pPr>
        <w:pStyle w:val="34"/>
        <w:rPr>
          <w:color w:val="auto"/>
        </w:rPr>
      </w:pPr>
      <w:r>
        <w:rPr>
          <w:rFonts w:hint="eastAsia"/>
          <w:szCs w:val="24"/>
        </w:rPr>
        <w:t>预筛分器可将浆渣中大于2mm的颗粒分离出来</w:t>
      </w:r>
      <w:r>
        <w:rPr>
          <w:rFonts w:hint="eastAsia"/>
          <w:color w:val="auto"/>
        </w:rPr>
        <w:t>，分离后的浆渣进入筛下的储浆槽。</w:t>
      </w:r>
    </w:p>
    <w:p>
      <w:pPr>
        <w:pStyle w:val="34"/>
        <w:ind w:firstLineChars="0"/>
        <w:rPr>
          <w:szCs w:val="24"/>
        </w:rPr>
      </w:pPr>
      <w:r>
        <w:rPr>
          <w:rFonts w:hint="eastAsia"/>
          <w:szCs w:val="24"/>
        </w:rPr>
        <w:t>一级旋流器可将浆渣中大于74um的颗粒分离出来，二级旋流器可将浆渣中大于20um的颗粒分离出来。旋流器的工作原理是依据水动力高速旋转产生的离心力达到处理目的，利用旋流泵在旋转过程使旋流器产生负压力，迫使旋流器内部悬浮的细微颗粒，通过离心作用产生螺旋式上升，通过上溢口被负压力挤出，浆液中粗重颗粒在自重的重力作用下落入下溢口弃浆槽内。它的主要功能是将经过振动筛分离以后的中细颗粒浆液再次进行细化处理，逐次降低浆液粒径，一般采用多级旋流器进行处理。</w:t>
      </w:r>
    </w:p>
    <w:bookmarkEnd w:id="96"/>
    <w:p>
      <w:pPr>
        <w:pStyle w:val="23"/>
        <w:numPr>
          <w:ilvl w:val="0"/>
          <w:numId w:val="10"/>
        </w:numPr>
        <w:spacing w:before="156" w:beforeLines="50" w:after="156" w:afterLines="50"/>
        <w:ind w:firstLineChars="0"/>
        <w:rPr>
          <w:szCs w:val="24"/>
        </w:rPr>
      </w:pPr>
      <w:bookmarkStart w:id="97" w:name="OLE_LINK53"/>
      <w:r>
        <w:rPr>
          <w:rFonts w:hint="eastAsia"/>
          <w:szCs w:val="24"/>
        </w:rPr>
        <w:t>浆渣分离系统宜设计应符合以下规定：</w:t>
      </w:r>
    </w:p>
    <w:p>
      <w:pPr>
        <w:pStyle w:val="23"/>
        <w:numPr>
          <w:ilvl w:val="0"/>
          <w:numId w:val="12"/>
        </w:numPr>
        <w:spacing w:before="156" w:beforeLines="50" w:after="156" w:afterLines="50"/>
        <w:ind w:firstLine="480"/>
        <w:rPr>
          <w:szCs w:val="24"/>
        </w:rPr>
      </w:pPr>
      <w:r>
        <w:rPr>
          <w:rFonts w:hint="eastAsia"/>
          <w:szCs w:val="24"/>
        </w:rPr>
        <w:t>处理量有效范围应为标定处理量的0.85~1.15；</w:t>
      </w:r>
    </w:p>
    <w:p>
      <w:pPr>
        <w:pStyle w:val="23"/>
        <w:numPr>
          <w:ilvl w:val="0"/>
          <w:numId w:val="12"/>
        </w:numPr>
        <w:spacing w:before="156" w:beforeLines="50" w:after="156" w:afterLines="50"/>
        <w:ind w:firstLine="480"/>
        <w:rPr>
          <w:szCs w:val="24"/>
        </w:rPr>
      </w:pPr>
      <w:r>
        <w:rPr>
          <w:rFonts w:hint="eastAsia"/>
          <w:szCs w:val="24"/>
          <w:lang w:val="en-US" w:eastAsia="zh-CN"/>
        </w:rPr>
        <w:t>设备</w:t>
      </w:r>
      <w:r>
        <w:rPr>
          <w:rFonts w:hint="eastAsia"/>
          <w:szCs w:val="24"/>
        </w:rPr>
        <w:t>应模块化设计，集中布置。</w:t>
      </w:r>
    </w:p>
    <w:bookmarkEnd w:id="97"/>
    <w:p>
      <w:pPr>
        <w:pStyle w:val="23"/>
        <w:numPr>
          <w:ilvl w:val="0"/>
          <w:numId w:val="10"/>
        </w:numPr>
        <w:spacing w:before="156" w:beforeLines="50" w:after="156" w:afterLines="50"/>
        <w:ind w:firstLineChars="0"/>
        <w:rPr>
          <w:szCs w:val="24"/>
        </w:rPr>
      </w:pPr>
      <w:r>
        <w:rPr>
          <w:rFonts w:hint="eastAsia"/>
          <w:szCs w:val="24"/>
        </w:rPr>
        <w:t>泥水分离设备可包括板框压滤机、带式压滤机、离心机等。</w:t>
      </w:r>
    </w:p>
    <w:p>
      <w:pPr>
        <w:pStyle w:val="33"/>
        <w:adjustRightInd w:val="0"/>
        <w:snapToGrid w:val="0"/>
        <w:ind w:left="440"/>
        <w:rPr>
          <w:color w:val="auto"/>
        </w:rPr>
      </w:pPr>
      <w:r>
        <w:rPr>
          <w:rFonts w:hint="eastAsia"/>
          <w:color w:val="auto"/>
        </w:rPr>
        <w:t>条文说明</w:t>
      </w:r>
    </w:p>
    <w:p>
      <w:pPr>
        <w:pStyle w:val="34"/>
        <w:adjustRightInd w:val="0"/>
        <w:snapToGrid w:val="0"/>
        <w:rPr>
          <w:color w:val="auto"/>
        </w:rPr>
      </w:pPr>
      <w:r>
        <w:rPr>
          <w:rFonts w:hint="eastAsia"/>
          <w:color w:val="auto"/>
        </w:rPr>
        <w:t>板</w:t>
      </w:r>
      <w:r>
        <w:rPr>
          <w:rFonts w:hint="eastAsia"/>
          <w:szCs w:val="24"/>
        </w:rPr>
        <w:t>框</w:t>
      </w:r>
      <w:r>
        <w:rPr>
          <w:rFonts w:hint="eastAsia"/>
          <w:color w:val="auto"/>
        </w:rPr>
        <w:t>压滤机是在外力作用下，将各滤板牢牢地压紧在一起，形成紧密的空腔。输液泵将固液混合物注入各个腔室，液体穿过滤布、滤板暗孔流出，而固体则在过滤布的阻隔下逐渐积累在滤板间隙中，最终被压成了厚重的滤渣。带式压滤机是利用双层网带夹持泥浆，挤压脱水辊施加力量，带式压滤机开始进行固液分离，随着剪切作用的加入，水分逐渐从固体中被挤出。离心机脱水过程中，泥浆置于“离心力”作用场中，在离心力作用下使悬浮液体中固相物料的沉降速度增加。在沉降过程中，在转鼓内壁上会附着密度较大的固体颗粒物，在液压差速器的驱动下螺旋体与转鼓作不等速的相对运动，附着在转鼓内壁上的固体颗粒物不断被分离出来并通过排渣口排出，分离后的清液经过螺旋体螺旋内液层通道从转鼓溢流口排出，最终实现固液分离。相对于压滤机来说，离心机处理效率较高。</w:t>
      </w:r>
    </w:p>
    <w:p>
      <w:pPr>
        <w:pStyle w:val="23"/>
        <w:numPr>
          <w:ilvl w:val="0"/>
          <w:numId w:val="10"/>
        </w:numPr>
        <w:spacing w:before="156" w:beforeLines="50" w:after="156" w:afterLines="50"/>
        <w:ind w:firstLineChars="0"/>
        <w:rPr>
          <w:szCs w:val="24"/>
        </w:rPr>
      </w:pPr>
      <w:bookmarkStart w:id="98" w:name="OLE_LINK57"/>
      <w:r>
        <w:rPr>
          <w:rFonts w:hint="eastAsia"/>
          <w:szCs w:val="24"/>
        </w:rPr>
        <w:t>板框压滤机应符合下列规定：</w:t>
      </w:r>
    </w:p>
    <w:p>
      <w:pPr>
        <w:pStyle w:val="23"/>
        <w:numPr>
          <w:ilvl w:val="0"/>
          <w:numId w:val="13"/>
        </w:numPr>
        <w:spacing w:before="156" w:beforeLines="50" w:after="156" w:afterLines="50"/>
        <w:ind w:firstLine="480"/>
        <w:rPr>
          <w:szCs w:val="24"/>
        </w:rPr>
      </w:pPr>
      <w:r>
        <w:rPr>
          <w:rFonts w:hint="eastAsia"/>
          <w:szCs w:val="24"/>
        </w:rPr>
        <w:t>过滤压力宜为0.6MPa~2.0MPa；</w:t>
      </w:r>
    </w:p>
    <w:p>
      <w:pPr>
        <w:pStyle w:val="23"/>
        <w:numPr>
          <w:ilvl w:val="0"/>
          <w:numId w:val="13"/>
        </w:numPr>
        <w:spacing w:before="156" w:beforeLines="50" w:after="156" w:afterLines="50"/>
        <w:ind w:firstLine="480"/>
        <w:rPr>
          <w:szCs w:val="24"/>
        </w:rPr>
      </w:pPr>
      <w:r>
        <w:rPr>
          <w:rFonts w:hint="eastAsia"/>
          <w:szCs w:val="24"/>
        </w:rPr>
        <w:t>过滤能力不应小于2kg·DS/(m</w:t>
      </w:r>
      <w:r>
        <w:rPr>
          <w:rFonts w:hint="eastAsia"/>
          <w:szCs w:val="24"/>
          <w:vertAlign w:val="superscript"/>
        </w:rPr>
        <w:t>2</w:t>
      </w:r>
      <w:r>
        <w:rPr>
          <w:rFonts w:hint="eastAsia"/>
          <w:szCs w:val="24"/>
        </w:rPr>
        <w:t>·h)；</w:t>
      </w:r>
    </w:p>
    <w:p>
      <w:pPr>
        <w:pStyle w:val="23"/>
        <w:numPr>
          <w:ilvl w:val="0"/>
          <w:numId w:val="13"/>
        </w:numPr>
        <w:spacing w:before="156" w:beforeLines="50" w:after="156" w:afterLines="50"/>
        <w:ind w:firstLine="480"/>
        <w:rPr>
          <w:szCs w:val="24"/>
        </w:rPr>
      </w:pPr>
      <w:r>
        <w:rPr>
          <w:rFonts w:hint="eastAsia"/>
          <w:szCs w:val="24"/>
        </w:rPr>
        <w:t>板框的过滤面积宜为6m</w:t>
      </w:r>
      <w:r>
        <w:rPr>
          <w:rFonts w:hint="eastAsia"/>
          <w:szCs w:val="24"/>
          <w:vertAlign w:val="superscript"/>
        </w:rPr>
        <w:t>2</w:t>
      </w:r>
      <w:r>
        <w:rPr>
          <w:rFonts w:hint="eastAsia"/>
          <w:szCs w:val="24"/>
        </w:rPr>
        <w:t>~800m</w:t>
      </w:r>
      <w:r>
        <w:rPr>
          <w:rFonts w:hint="eastAsia"/>
          <w:szCs w:val="24"/>
          <w:vertAlign w:val="superscript"/>
        </w:rPr>
        <w:t>2</w:t>
      </w:r>
      <w:r>
        <w:rPr>
          <w:rFonts w:hint="eastAsia"/>
          <w:szCs w:val="24"/>
        </w:rPr>
        <w:t>，滤室容积宜为90L~1200L；</w:t>
      </w:r>
    </w:p>
    <w:p>
      <w:pPr>
        <w:pStyle w:val="23"/>
        <w:numPr>
          <w:ilvl w:val="0"/>
          <w:numId w:val="13"/>
        </w:numPr>
        <w:spacing w:before="156" w:beforeLines="50" w:after="156" w:afterLines="50"/>
        <w:ind w:firstLine="480"/>
        <w:rPr>
          <w:szCs w:val="24"/>
        </w:rPr>
      </w:pPr>
      <w:r>
        <w:rPr>
          <w:rFonts w:hint="eastAsia"/>
          <w:szCs w:val="24"/>
        </w:rPr>
        <w:t>应根据废浆属性优选脱水效率高的滤布；</w:t>
      </w:r>
    </w:p>
    <w:p>
      <w:pPr>
        <w:pStyle w:val="23"/>
        <w:numPr>
          <w:ilvl w:val="0"/>
          <w:numId w:val="13"/>
        </w:numPr>
        <w:spacing w:before="156" w:beforeLines="50" w:after="156" w:afterLines="50"/>
        <w:ind w:firstLine="480"/>
        <w:rPr>
          <w:szCs w:val="24"/>
        </w:rPr>
      </w:pPr>
      <w:r>
        <w:rPr>
          <w:rFonts w:hint="eastAsia"/>
          <w:szCs w:val="24"/>
        </w:rPr>
        <w:t>宜设置自动清洗装置。</w:t>
      </w:r>
    </w:p>
    <w:bookmarkEnd w:id="98"/>
    <w:p>
      <w:pPr>
        <w:pStyle w:val="23"/>
        <w:numPr>
          <w:ilvl w:val="0"/>
          <w:numId w:val="10"/>
        </w:numPr>
        <w:spacing w:before="156" w:beforeLines="50" w:after="156" w:afterLines="50"/>
        <w:ind w:firstLineChars="0"/>
        <w:rPr>
          <w:szCs w:val="24"/>
        </w:rPr>
      </w:pPr>
      <w:bookmarkStart w:id="99" w:name="OLE_LINK56"/>
      <w:r>
        <w:rPr>
          <w:rFonts w:hint="eastAsia"/>
          <w:szCs w:val="24"/>
        </w:rPr>
        <w:t>带式压滤机应符合下列规定：</w:t>
      </w:r>
    </w:p>
    <w:p>
      <w:pPr>
        <w:pStyle w:val="23"/>
        <w:numPr>
          <w:ilvl w:val="0"/>
          <w:numId w:val="14"/>
        </w:numPr>
        <w:spacing w:before="156" w:beforeLines="50" w:after="156" w:afterLines="50"/>
        <w:ind w:firstLineChars="0"/>
        <w:rPr>
          <w:szCs w:val="24"/>
        </w:rPr>
      </w:pPr>
      <w:r>
        <w:rPr>
          <w:rFonts w:hint="eastAsia"/>
          <w:szCs w:val="24"/>
        </w:rPr>
        <w:t xml:space="preserve"> 压榨辊轴宜为S型布置；</w:t>
      </w:r>
    </w:p>
    <w:p>
      <w:pPr>
        <w:pStyle w:val="23"/>
        <w:numPr>
          <w:ilvl w:val="0"/>
          <w:numId w:val="14"/>
        </w:numPr>
        <w:spacing w:before="156" w:beforeLines="50" w:after="156" w:afterLines="50"/>
        <w:ind w:firstLineChars="0"/>
        <w:rPr>
          <w:szCs w:val="24"/>
        </w:rPr>
      </w:pPr>
      <w:r>
        <w:rPr>
          <w:rFonts w:hint="eastAsia"/>
          <w:szCs w:val="24"/>
        </w:rPr>
        <w:t xml:space="preserve"> 重力脱水段长度宜为3m~4m；</w:t>
      </w:r>
    </w:p>
    <w:p>
      <w:pPr>
        <w:pStyle w:val="23"/>
        <w:numPr>
          <w:ilvl w:val="0"/>
          <w:numId w:val="14"/>
        </w:numPr>
        <w:spacing w:before="156" w:beforeLines="50" w:after="156" w:afterLines="50"/>
        <w:ind w:firstLineChars="0"/>
        <w:rPr>
          <w:szCs w:val="24"/>
        </w:rPr>
      </w:pPr>
      <w:r>
        <w:rPr>
          <w:rFonts w:hint="eastAsia"/>
          <w:szCs w:val="24"/>
        </w:rPr>
        <w:t xml:space="preserve"> 滤带规格宜为20目~80目，断裂强度不得小于6.0MPa；</w:t>
      </w:r>
    </w:p>
    <w:p>
      <w:pPr>
        <w:pStyle w:val="23"/>
        <w:numPr>
          <w:ilvl w:val="0"/>
          <w:numId w:val="14"/>
        </w:numPr>
        <w:spacing w:before="156" w:beforeLines="50" w:after="156" w:afterLines="50"/>
        <w:ind w:firstLineChars="0"/>
        <w:rPr>
          <w:szCs w:val="24"/>
        </w:rPr>
      </w:pPr>
      <w:r>
        <w:rPr>
          <w:rFonts w:hint="eastAsia"/>
          <w:szCs w:val="24"/>
        </w:rPr>
        <w:t xml:space="preserve"> 网带张力应控制在0.3MPa~0.7MPa，宜为0.5MPa；</w:t>
      </w:r>
    </w:p>
    <w:p>
      <w:pPr>
        <w:pStyle w:val="23"/>
        <w:numPr>
          <w:ilvl w:val="0"/>
          <w:numId w:val="14"/>
        </w:numPr>
        <w:spacing w:before="156" w:beforeLines="50" w:after="156" w:afterLines="50"/>
        <w:ind w:firstLineChars="0"/>
        <w:rPr>
          <w:szCs w:val="24"/>
        </w:rPr>
      </w:pPr>
      <w:r>
        <w:rPr>
          <w:rFonts w:hint="eastAsia"/>
          <w:szCs w:val="24"/>
        </w:rPr>
        <w:t xml:space="preserve"> 带速应为1m/min~5m/min；</w:t>
      </w:r>
    </w:p>
    <w:p>
      <w:pPr>
        <w:pStyle w:val="23"/>
        <w:numPr>
          <w:ilvl w:val="0"/>
          <w:numId w:val="14"/>
        </w:numPr>
        <w:spacing w:before="156" w:beforeLines="50" w:after="156" w:afterLines="50"/>
        <w:ind w:firstLineChars="0"/>
        <w:rPr>
          <w:szCs w:val="24"/>
        </w:rPr>
      </w:pPr>
      <w:r>
        <w:rPr>
          <w:rFonts w:hint="eastAsia"/>
          <w:szCs w:val="24"/>
        </w:rPr>
        <w:t xml:space="preserve"> 滤带张力宜可调节，宜装配滤带纠偏装置。</w:t>
      </w:r>
    </w:p>
    <w:bookmarkEnd w:id="99"/>
    <w:p>
      <w:pPr>
        <w:pStyle w:val="23"/>
        <w:numPr>
          <w:ilvl w:val="0"/>
          <w:numId w:val="10"/>
        </w:numPr>
        <w:spacing w:before="156" w:beforeLines="50" w:after="156" w:afterLines="50"/>
        <w:ind w:firstLineChars="0"/>
        <w:rPr>
          <w:szCs w:val="24"/>
        </w:rPr>
      </w:pPr>
      <w:r>
        <w:rPr>
          <w:rFonts w:hint="eastAsia"/>
          <w:szCs w:val="24"/>
        </w:rPr>
        <w:t>离心机应符合下列规定：</w:t>
      </w:r>
    </w:p>
    <w:p>
      <w:pPr>
        <w:pStyle w:val="23"/>
        <w:numPr>
          <w:ilvl w:val="0"/>
          <w:numId w:val="15"/>
        </w:numPr>
        <w:spacing w:before="156" w:beforeLines="50" w:after="156" w:afterLines="50"/>
        <w:ind w:firstLineChars="0"/>
        <w:rPr>
          <w:szCs w:val="24"/>
        </w:rPr>
      </w:pPr>
      <w:r>
        <w:rPr>
          <w:rFonts w:hint="eastAsia"/>
          <w:szCs w:val="24"/>
        </w:rPr>
        <w:t xml:space="preserve"> 扭矩宜为16%~30%;</w:t>
      </w:r>
    </w:p>
    <w:p>
      <w:pPr>
        <w:pStyle w:val="23"/>
        <w:numPr>
          <w:ilvl w:val="0"/>
          <w:numId w:val="15"/>
        </w:numPr>
        <w:spacing w:before="156" w:beforeLines="50" w:after="156" w:afterLines="50"/>
        <w:ind w:firstLineChars="0"/>
        <w:rPr>
          <w:szCs w:val="24"/>
        </w:rPr>
      </w:pPr>
      <w:r>
        <w:rPr>
          <w:rFonts w:hint="eastAsia"/>
          <w:szCs w:val="24"/>
        </w:rPr>
        <w:t xml:space="preserve"> 转鼓直径宜为200mm~520mm，转转速宜为1600r/min~4000r/min，差转速宜为5r/min~50r/min。</w:t>
      </w:r>
    </w:p>
    <w:p>
      <w:pPr>
        <w:pStyle w:val="23"/>
        <w:numPr>
          <w:ilvl w:val="0"/>
          <w:numId w:val="10"/>
        </w:numPr>
        <w:spacing w:before="156" w:beforeLines="50" w:after="156" w:afterLines="50"/>
        <w:ind w:firstLineChars="0"/>
        <w:rPr>
          <w:szCs w:val="24"/>
        </w:rPr>
      </w:pPr>
      <w:r>
        <w:rPr>
          <w:rFonts w:hint="eastAsia"/>
          <w:szCs w:val="24"/>
        </w:rPr>
        <w:t>分离设备、排泥管弯头、浆渣泵进出口等关键部位应进行耐磨设计。</w:t>
      </w:r>
    </w:p>
    <w:p>
      <w:pPr>
        <w:ind w:firstLine="0" w:firstLineChars="0"/>
        <w:jc w:val="center"/>
        <w:outlineLvl w:val="1"/>
        <w:rPr>
          <w:rFonts w:cs="Times New Roman"/>
          <w:b/>
          <w:bCs/>
          <w:sz w:val="28"/>
          <w:szCs w:val="24"/>
        </w:rPr>
      </w:pPr>
      <w:bookmarkStart w:id="100" w:name="_Toc190813011"/>
      <w:bookmarkStart w:id="101" w:name="_Toc17934"/>
      <w:bookmarkStart w:id="102" w:name="_Toc5350"/>
      <w:r>
        <w:rPr>
          <w:rFonts w:hint="eastAsia" w:cs="Times New Roman"/>
          <w:b/>
          <w:bCs/>
          <w:sz w:val="28"/>
          <w:szCs w:val="24"/>
        </w:rPr>
        <w:t>5</w:t>
      </w:r>
      <w:r>
        <w:rPr>
          <w:rFonts w:cs="Times New Roman"/>
          <w:b/>
          <w:bCs/>
          <w:sz w:val="28"/>
          <w:szCs w:val="24"/>
        </w:rPr>
        <w:t>.</w:t>
      </w:r>
      <w:r>
        <w:rPr>
          <w:rFonts w:hint="eastAsia" w:cs="Times New Roman"/>
          <w:b/>
          <w:bCs/>
          <w:sz w:val="28"/>
          <w:szCs w:val="24"/>
        </w:rPr>
        <w:t>3 设备安装及调试</w:t>
      </w:r>
      <w:bookmarkEnd w:id="100"/>
      <w:bookmarkEnd w:id="101"/>
      <w:bookmarkEnd w:id="102"/>
    </w:p>
    <w:p>
      <w:pPr>
        <w:pStyle w:val="23"/>
        <w:numPr>
          <w:ilvl w:val="0"/>
          <w:numId w:val="16"/>
        </w:numPr>
        <w:spacing w:before="156" w:beforeLines="50" w:after="156" w:afterLines="50"/>
        <w:ind w:firstLineChars="0"/>
        <w:rPr>
          <w:szCs w:val="24"/>
        </w:rPr>
      </w:pPr>
      <w:r>
        <w:rPr>
          <w:rFonts w:hint="eastAsia"/>
          <w:szCs w:val="24"/>
        </w:rPr>
        <w:t>各系统设备应按系统设计图纸吊装就位。</w:t>
      </w:r>
    </w:p>
    <w:p>
      <w:pPr>
        <w:pStyle w:val="23"/>
        <w:numPr>
          <w:ilvl w:val="0"/>
          <w:numId w:val="16"/>
        </w:numPr>
        <w:spacing w:before="156" w:beforeLines="50" w:after="156" w:afterLines="50"/>
        <w:ind w:firstLineChars="0"/>
        <w:rPr>
          <w:szCs w:val="24"/>
        </w:rPr>
      </w:pPr>
      <w:r>
        <w:rPr>
          <w:rFonts w:hint="eastAsia"/>
          <w:szCs w:val="24"/>
        </w:rPr>
        <w:t>吊装设备应选型匹配和状况良好，并报审合格，应符合现行行业标准《建筑施工起重吊装工程安全技术规范》JGJ 276的有关规定，并遵循“十不吊”原则。</w:t>
      </w:r>
    </w:p>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rPr>
      </w:pPr>
      <w:r>
        <w:rPr>
          <w:color w:val="auto"/>
        </w:rPr>
        <w:t>遇有下列情况</w:t>
      </w:r>
      <w:r>
        <w:rPr>
          <w:rFonts w:hint="eastAsia"/>
          <w:color w:val="auto"/>
        </w:rPr>
        <w:t>禁止</w:t>
      </w:r>
      <w:r>
        <w:rPr>
          <w:color w:val="auto"/>
        </w:rPr>
        <w:t>起吊：</w:t>
      </w:r>
    </w:p>
    <w:p>
      <w:pPr>
        <w:pStyle w:val="34"/>
        <w:adjustRightInd w:val="0"/>
        <w:snapToGrid w:val="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起重指挥信号不明或乱指挥；</w:t>
      </w:r>
      <w:r>
        <w:rPr>
          <w:rFonts w:hint="eastAsia"/>
          <w:color w:val="auto"/>
          <w:lang w:eastAsia="zh-CN"/>
        </w:rPr>
        <w:t>（</w:t>
      </w:r>
      <w:r>
        <w:rPr>
          <w:rFonts w:hint="eastAsia"/>
          <w:color w:val="auto"/>
          <w:lang w:val="en-US" w:eastAsia="zh-CN"/>
        </w:rPr>
        <w:t>2</w:t>
      </w:r>
      <w:r>
        <w:rPr>
          <w:rFonts w:hint="eastAsia"/>
          <w:color w:val="auto"/>
          <w:lang w:eastAsia="zh-CN"/>
        </w:rPr>
        <w:t>）</w:t>
      </w:r>
      <w:r>
        <w:rPr>
          <w:color w:val="auto"/>
        </w:rPr>
        <w:t>超负荷；</w:t>
      </w:r>
      <w:r>
        <w:rPr>
          <w:rFonts w:hint="eastAsia"/>
          <w:color w:val="auto"/>
          <w:lang w:eastAsia="zh-CN"/>
        </w:rPr>
        <w:t>（</w:t>
      </w:r>
      <w:r>
        <w:rPr>
          <w:rFonts w:hint="eastAsia"/>
          <w:color w:val="auto"/>
          <w:lang w:val="en-US" w:eastAsia="zh-CN"/>
        </w:rPr>
        <w:t>3</w:t>
      </w:r>
      <w:r>
        <w:rPr>
          <w:rFonts w:hint="eastAsia"/>
          <w:color w:val="auto"/>
          <w:lang w:eastAsia="zh-CN"/>
        </w:rPr>
        <w:t>）</w:t>
      </w:r>
      <w:r>
        <w:rPr>
          <w:color w:val="auto"/>
        </w:rPr>
        <w:t>工件紧固不牢；</w:t>
      </w:r>
      <w:r>
        <w:rPr>
          <w:rFonts w:hint="eastAsia"/>
          <w:color w:val="auto"/>
          <w:lang w:eastAsia="zh-CN"/>
        </w:rPr>
        <w:t>（</w:t>
      </w:r>
      <w:r>
        <w:rPr>
          <w:rFonts w:hint="eastAsia"/>
          <w:color w:val="auto"/>
          <w:lang w:val="en-US" w:eastAsia="zh-CN"/>
        </w:rPr>
        <w:t>4</w:t>
      </w:r>
      <w:r>
        <w:rPr>
          <w:rFonts w:hint="eastAsia"/>
          <w:color w:val="auto"/>
          <w:lang w:eastAsia="zh-CN"/>
        </w:rPr>
        <w:t>）</w:t>
      </w:r>
      <w:r>
        <w:rPr>
          <w:color w:val="auto"/>
        </w:rPr>
        <w:t>吊物上有人；</w:t>
      </w:r>
      <w:r>
        <w:rPr>
          <w:rFonts w:hint="eastAsia"/>
          <w:color w:val="auto"/>
          <w:lang w:eastAsia="zh-CN"/>
        </w:rPr>
        <w:t>（</w:t>
      </w:r>
      <w:r>
        <w:rPr>
          <w:rFonts w:hint="eastAsia"/>
          <w:color w:val="auto"/>
          <w:lang w:val="en-US" w:eastAsia="zh-CN"/>
        </w:rPr>
        <w:t>5</w:t>
      </w:r>
      <w:r>
        <w:rPr>
          <w:rFonts w:hint="eastAsia"/>
          <w:color w:val="auto"/>
          <w:lang w:eastAsia="zh-CN"/>
        </w:rPr>
        <w:t>）</w:t>
      </w:r>
      <w:r>
        <w:rPr>
          <w:color w:val="auto"/>
        </w:rPr>
        <w:t>安全装置不灵；</w:t>
      </w:r>
      <w:r>
        <w:rPr>
          <w:rFonts w:hint="eastAsia"/>
          <w:color w:val="auto"/>
          <w:lang w:eastAsia="zh-CN"/>
        </w:rPr>
        <w:t>（</w:t>
      </w:r>
      <w:r>
        <w:rPr>
          <w:rFonts w:hint="eastAsia"/>
          <w:color w:val="auto"/>
          <w:lang w:val="en-US" w:eastAsia="zh-CN"/>
        </w:rPr>
        <w:t>6</w:t>
      </w:r>
      <w:r>
        <w:rPr>
          <w:rFonts w:hint="eastAsia"/>
          <w:color w:val="auto"/>
          <w:lang w:eastAsia="zh-CN"/>
        </w:rPr>
        <w:t>）</w:t>
      </w:r>
      <w:r>
        <w:rPr>
          <w:color w:val="auto"/>
        </w:rPr>
        <w:t>工件埋在地下；</w:t>
      </w:r>
      <w:r>
        <w:rPr>
          <w:rFonts w:hint="eastAsia"/>
          <w:color w:val="auto"/>
          <w:lang w:eastAsia="zh-CN"/>
        </w:rPr>
        <w:t>（</w:t>
      </w:r>
      <w:r>
        <w:rPr>
          <w:rFonts w:hint="eastAsia"/>
          <w:color w:val="auto"/>
          <w:lang w:val="en-US" w:eastAsia="zh-CN"/>
        </w:rPr>
        <w:t>7</w:t>
      </w:r>
      <w:r>
        <w:rPr>
          <w:rFonts w:hint="eastAsia"/>
          <w:color w:val="auto"/>
          <w:lang w:eastAsia="zh-CN"/>
        </w:rPr>
        <w:t>）</w:t>
      </w:r>
      <w:r>
        <w:rPr>
          <w:color w:val="auto"/>
        </w:rPr>
        <w:t>斜拉工件；</w:t>
      </w:r>
      <w:r>
        <w:rPr>
          <w:rFonts w:hint="eastAsia"/>
          <w:color w:val="auto"/>
          <w:lang w:eastAsia="zh-CN"/>
        </w:rPr>
        <w:t>（</w:t>
      </w:r>
      <w:r>
        <w:rPr>
          <w:rFonts w:hint="eastAsia"/>
          <w:color w:val="auto"/>
          <w:lang w:val="en-US" w:eastAsia="zh-CN"/>
        </w:rPr>
        <w:t>8</w:t>
      </w:r>
      <w:r>
        <w:rPr>
          <w:rFonts w:hint="eastAsia"/>
          <w:color w:val="auto"/>
          <w:lang w:eastAsia="zh-CN"/>
        </w:rPr>
        <w:t>）</w:t>
      </w:r>
      <w:r>
        <w:rPr>
          <w:color w:val="auto"/>
        </w:rPr>
        <w:t>光线阴暗看不清；</w:t>
      </w:r>
      <w:r>
        <w:rPr>
          <w:rFonts w:hint="eastAsia"/>
          <w:color w:val="auto"/>
          <w:lang w:eastAsia="zh-CN"/>
        </w:rPr>
        <w:t>（</w:t>
      </w:r>
      <w:r>
        <w:rPr>
          <w:rFonts w:hint="eastAsia"/>
          <w:color w:val="auto"/>
          <w:lang w:val="en-US" w:eastAsia="zh-CN"/>
        </w:rPr>
        <w:t>9</w:t>
      </w:r>
      <w:r>
        <w:rPr>
          <w:rFonts w:hint="eastAsia"/>
          <w:color w:val="auto"/>
          <w:lang w:eastAsia="zh-CN"/>
        </w:rPr>
        <w:t>）</w:t>
      </w:r>
      <w:r>
        <w:rPr>
          <w:color w:val="auto"/>
        </w:rPr>
        <w:t>小配件或短料</w:t>
      </w:r>
      <w:r>
        <w:rPr>
          <w:rFonts w:hint="eastAsia"/>
          <w:color w:val="auto"/>
        </w:rPr>
        <w:t>装</w:t>
      </w:r>
      <w:r>
        <w:rPr>
          <w:color w:val="auto"/>
        </w:rPr>
        <w:t>盛过满；</w:t>
      </w:r>
      <w:r>
        <w:rPr>
          <w:rFonts w:hint="eastAsia"/>
          <w:color w:val="auto"/>
          <w:lang w:eastAsia="zh-CN"/>
        </w:rPr>
        <w:t>（</w:t>
      </w:r>
      <w:r>
        <w:rPr>
          <w:rFonts w:hint="eastAsia"/>
          <w:color w:val="auto"/>
          <w:lang w:val="en-US" w:eastAsia="zh-CN"/>
        </w:rPr>
        <w:t>10</w:t>
      </w:r>
      <w:r>
        <w:rPr>
          <w:rFonts w:hint="eastAsia"/>
          <w:color w:val="auto"/>
          <w:lang w:eastAsia="zh-CN"/>
        </w:rPr>
        <w:t>）</w:t>
      </w:r>
      <w:r>
        <w:rPr>
          <w:color w:val="auto"/>
        </w:rPr>
        <w:t>棱角物件没有采取包垫等护角措施。</w:t>
      </w:r>
    </w:p>
    <w:p>
      <w:pPr>
        <w:pStyle w:val="23"/>
        <w:numPr>
          <w:ilvl w:val="0"/>
          <w:numId w:val="16"/>
        </w:numPr>
        <w:spacing w:before="156" w:beforeLines="50" w:after="156" w:afterLines="50"/>
        <w:ind w:firstLineChars="0"/>
        <w:rPr>
          <w:szCs w:val="24"/>
        </w:rPr>
      </w:pPr>
      <w:r>
        <w:rPr>
          <w:rFonts w:hint="eastAsia"/>
          <w:szCs w:val="24"/>
        </w:rPr>
        <w:t>浆渣分离设备、压滤设备、离心设备等重要设备安装基础平面度应不大于5mm。</w:t>
      </w:r>
    </w:p>
    <w:p>
      <w:pPr>
        <w:pStyle w:val="23"/>
        <w:numPr>
          <w:ilvl w:val="0"/>
          <w:numId w:val="16"/>
        </w:numPr>
        <w:spacing w:before="156" w:beforeLines="50" w:after="156" w:afterLines="50"/>
        <w:ind w:firstLineChars="0"/>
        <w:rPr>
          <w:szCs w:val="24"/>
        </w:rPr>
      </w:pPr>
      <w:r>
        <w:rPr>
          <w:rFonts w:hint="eastAsia"/>
          <w:szCs w:val="24"/>
        </w:rPr>
        <w:t>浆渣处理系统宜采用PLC集中控制，预留以太网联络接口Modbus TCP以及现场监控系统。</w:t>
      </w:r>
    </w:p>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rPr>
      </w:pPr>
      <w:r>
        <w:rPr>
          <w:rFonts w:hint="eastAsia"/>
          <w:color w:val="auto"/>
        </w:rPr>
        <w:t>PLC集中控制系统应能够实现电脑集中操作，并显示各设备运行状态及设备运行参数。应能实现渣浆泵、预筛、脱水设备的一键启停，应能够实现电动阀门的自动开合、调浆系统中泵的自动启停。</w:t>
      </w:r>
    </w:p>
    <w:p>
      <w:pPr>
        <w:pStyle w:val="23"/>
        <w:numPr>
          <w:ilvl w:val="0"/>
          <w:numId w:val="16"/>
        </w:numPr>
        <w:spacing w:before="156" w:beforeLines="50" w:after="156" w:afterLines="50"/>
        <w:ind w:firstLineChars="0"/>
        <w:rPr>
          <w:szCs w:val="24"/>
        </w:rPr>
      </w:pPr>
      <w:r>
        <w:rPr>
          <w:rFonts w:hint="eastAsia"/>
          <w:szCs w:val="24"/>
        </w:rPr>
        <w:t>制调浆系统中泵及阀的机旁操作执行有效，阀类元件能自动到位停止，远程操作动作正确，状态显示明确。</w:t>
      </w:r>
    </w:p>
    <w:p>
      <w:pPr>
        <w:pStyle w:val="23"/>
        <w:numPr>
          <w:ilvl w:val="0"/>
          <w:numId w:val="16"/>
        </w:numPr>
        <w:spacing w:before="156" w:beforeLines="50" w:after="156" w:afterLines="50"/>
        <w:ind w:firstLineChars="0"/>
        <w:rPr>
          <w:szCs w:val="24"/>
        </w:rPr>
      </w:pPr>
      <w:r>
        <w:rPr>
          <w:rFonts w:hint="eastAsia"/>
          <w:szCs w:val="24"/>
        </w:rPr>
        <w:t>浆渣分离设备中振动电机转向应与转向指示铭牌一致，激振力初调应达到设备说明书中所要求的振幅，振动电机制动应有效。</w:t>
      </w:r>
    </w:p>
    <w:p>
      <w:pPr>
        <w:pStyle w:val="23"/>
        <w:numPr>
          <w:ilvl w:val="0"/>
          <w:numId w:val="16"/>
        </w:numPr>
        <w:spacing w:before="156" w:beforeLines="50" w:after="156" w:afterLines="50"/>
        <w:ind w:firstLineChars="0"/>
        <w:rPr>
          <w:szCs w:val="24"/>
        </w:rPr>
      </w:pPr>
      <w:r>
        <w:rPr>
          <w:rFonts w:hint="eastAsia"/>
          <w:szCs w:val="24"/>
        </w:rPr>
        <w:t>浆渣分离设备中渣浆泵启动应正常，旋流器压力应正常，应在0.18MPa~0.22MPa之间。</w:t>
      </w:r>
    </w:p>
    <w:p>
      <w:pPr>
        <w:pStyle w:val="23"/>
        <w:numPr>
          <w:ilvl w:val="0"/>
          <w:numId w:val="16"/>
        </w:numPr>
        <w:spacing w:before="156" w:beforeLines="50" w:after="156" w:afterLines="50"/>
        <w:ind w:firstLineChars="0"/>
        <w:rPr>
          <w:szCs w:val="24"/>
        </w:rPr>
      </w:pPr>
      <w:r>
        <w:rPr>
          <w:rFonts w:hint="eastAsia"/>
          <w:szCs w:val="24"/>
          <w:lang w:val="en-US" w:eastAsia="zh-CN"/>
        </w:rPr>
        <w:t>浆渣分离设备</w:t>
      </w:r>
      <w:r>
        <w:rPr>
          <w:rFonts w:hint="eastAsia"/>
          <w:szCs w:val="24"/>
        </w:rPr>
        <w:t>、脱水设备和渣浆泵旁，应设置急停按钮。</w:t>
      </w:r>
    </w:p>
    <w:p>
      <w:pPr>
        <w:pStyle w:val="23"/>
        <w:numPr>
          <w:ilvl w:val="0"/>
          <w:numId w:val="16"/>
        </w:numPr>
        <w:spacing w:before="156" w:beforeLines="50" w:after="156" w:afterLines="50"/>
        <w:ind w:firstLineChars="0"/>
        <w:rPr>
          <w:szCs w:val="24"/>
        </w:rPr>
      </w:pPr>
      <w:r>
        <w:rPr>
          <w:rFonts w:hint="eastAsia"/>
          <w:szCs w:val="24"/>
        </w:rPr>
        <w:t>远程控制操作失灵情况下，机旁柜电源开关应能控制设备的启停。</w:t>
      </w:r>
    </w:p>
    <w:p>
      <w:pPr>
        <w:pStyle w:val="23"/>
        <w:numPr>
          <w:ilvl w:val="0"/>
          <w:numId w:val="16"/>
        </w:numPr>
        <w:spacing w:before="156" w:beforeLines="50" w:after="156" w:afterLines="50"/>
        <w:ind w:firstLineChars="0"/>
        <w:rPr>
          <w:szCs w:val="24"/>
        </w:rPr>
      </w:pPr>
      <w:r>
        <w:rPr>
          <w:rFonts w:hint="eastAsia"/>
          <w:szCs w:val="24"/>
        </w:rPr>
        <w:t>机旁柜不宜对设备进行控制操作，各</w:t>
      </w:r>
      <w:r>
        <w:rPr>
          <w:rFonts w:hint="eastAsia"/>
          <w:szCs w:val="24"/>
          <w:lang w:val="en-US" w:eastAsia="zh-CN"/>
        </w:rPr>
        <w:t>系统</w:t>
      </w:r>
      <w:r>
        <w:rPr>
          <w:rFonts w:hint="eastAsia"/>
          <w:szCs w:val="24"/>
        </w:rPr>
        <w:t>设备的机旁操作仅限于调试、维修和应急操作。</w:t>
      </w:r>
    </w:p>
    <w:p>
      <w:pPr>
        <w:pStyle w:val="23"/>
        <w:numPr>
          <w:ilvl w:val="0"/>
          <w:numId w:val="16"/>
        </w:numPr>
        <w:spacing w:before="156" w:beforeLines="50" w:after="156" w:afterLines="50"/>
        <w:ind w:firstLineChars="0"/>
        <w:rPr>
          <w:szCs w:val="24"/>
        </w:rPr>
      </w:pPr>
      <w:r>
        <w:rPr>
          <w:rFonts w:hint="eastAsia"/>
          <w:szCs w:val="24"/>
        </w:rPr>
        <w:t>管道安装应整齐有序、统一标准。</w:t>
      </w:r>
    </w:p>
    <w:p>
      <w:pPr>
        <w:pStyle w:val="23"/>
        <w:numPr>
          <w:ilvl w:val="0"/>
          <w:numId w:val="16"/>
        </w:numPr>
        <w:spacing w:before="156" w:beforeLines="50" w:after="156" w:afterLines="50"/>
        <w:ind w:firstLineChars="0"/>
        <w:rPr>
          <w:szCs w:val="24"/>
        </w:rPr>
      </w:pPr>
      <w:r>
        <w:rPr>
          <w:rFonts w:hint="eastAsia"/>
          <w:szCs w:val="24"/>
        </w:rPr>
        <w:t>管路密封应良好，应无漏浆、喷浆现象。</w:t>
      </w:r>
    </w:p>
    <w:p>
      <w:pPr>
        <w:pStyle w:val="23"/>
        <w:numPr>
          <w:ilvl w:val="0"/>
          <w:numId w:val="16"/>
        </w:numPr>
        <w:spacing w:before="156" w:beforeLines="50" w:after="156" w:afterLines="50"/>
        <w:ind w:firstLineChars="0"/>
        <w:rPr>
          <w:szCs w:val="24"/>
        </w:rPr>
      </w:pPr>
      <w:r>
        <w:rPr>
          <w:rFonts w:hint="eastAsia"/>
          <w:szCs w:val="24"/>
        </w:rPr>
        <w:t>浆渣处理设备的噪声控制应符合现行国家标准《工业企业噪声控制设计规范》GB/T 50087的有关规定，可设计包封降噪设施。</w:t>
      </w:r>
    </w:p>
    <w:p>
      <w:pPr>
        <w:pStyle w:val="23"/>
        <w:numPr>
          <w:ilvl w:val="-1"/>
          <w:numId w:val="0"/>
        </w:numPr>
        <w:spacing w:before="156" w:beforeLines="50" w:after="156" w:afterLines="50"/>
        <w:ind w:leftChars="200" w:firstLineChars="0"/>
        <w:rPr>
          <w:sz w:val="32"/>
        </w:rPr>
      </w:pPr>
    </w:p>
    <w:p>
      <w:pPr>
        <w:ind w:firstLine="480" w:firstLineChars="0"/>
        <w:rPr>
          <w:sz w:val="32"/>
        </w:rPr>
        <w:sectPr>
          <w:pgSz w:w="11906" w:h="16838"/>
          <w:pgMar w:top="1440" w:right="1800" w:bottom="1440" w:left="1800" w:header="851" w:footer="992" w:gutter="0"/>
          <w:cols w:space="425" w:num="1"/>
          <w:docGrid w:type="lines" w:linePitch="312" w:charSpace="0"/>
        </w:sectPr>
      </w:pPr>
    </w:p>
    <w:p>
      <w:pPr>
        <w:pStyle w:val="2"/>
        <w:ind w:firstLine="0" w:firstLineChars="0"/>
        <w:rPr>
          <w:rFonts w:cs="Times New Roman"/>
          <w:szCs w:val="24"/>
        </w:rPr>
      </w:pPr>
      <w:bookmarkStart w:id="103" w:name="_Toc21268"/>
      <w:bookmarkStart w:id="104" w:name="_Toc11559"/>
      <w:bookmarkStart w:id="105" w:name="_Toc190813012"/>
      <w:r>
        <w:rPr>
          <w:rFonts w:hint="eastAsia"/>
          <w:sz w:val="32"/>
        </w:rPr>
        <w:t>6</w:t>
      </w:r>
      <w:r>
        <w:rPr>
          <w:sz w:val="32"/>
        </w:rPr>
        <w:t xml:space="preserve"> </w:t>
      </w:r>
      <w:bookmarkStart w:id="106" w:name="OLE_LINK32"/>
      <w:r>
        <w:rPr>
          <w:rFonts w:hint="eastAsia"/>
          <w:sz w:val="32"/>
          <w:szCs w:val="32"/>
        </w:rPr>
        <w:t>浆渣处理</w:t>
      </w:r>
      <w:bookmarkEnd w:id="103"/>
      <w:bookmarkEnd w:id="104"/>
      <w:bookmarkEnd w:id="105"/>
    </w:p>
    <w:bookmarkEnd w:id="106"/>
    <w:p>
      <w:pPr>
        <w:ind w:firstLine="0" w:firstLineChars="0"/>
        <w:jc w:val="center"/>
        <w:outlineLvl w:val="1"/>
        <w:rPr>
          <w:b/>
          <w:bCs/>
          <w:sz w:val="28"/>
        </w:rPr>
      </w:pPr>
      <w:bookmarkStart w:id="107" w:name="_Toc190813013"/>
      <w:bookmarkStart w:id="108" w:name="_Toc23562"/>
      <w:bookmarkStart w:id="109" w:name="_Toc16778"/>
      <w:r>
        <w:rPr>
          <w:rFonts w:hint="eastAsia"/>
          <w:b/>
          <w:bCs/>
          <w:sz w:val="28"/>
        </w:rPr>
        <w:t>6.1</w:t>
      </w:r>
      <w:r>
        <w:rPr>
          <w:b/>
          <w:bCs/>
          <w:sz w:val="28"/>
        </w:rPr>
        <w:t xml:space="preserve"> </w:t>
      </w:r>
      <w:r>
        <w:rPr>
          <w:rFonts w:hint="eastAsia"/>
          <w:b/>
          <w:bCs/>
          <w:sz w:val="28"/>
        </w:rPr>
        <w:t>一般规定</w:t>
      </w:r>
      <w:bookmarkEnd w:id="107"/>
      <w:bookmarkEnd w:id="108"/>
      <w:bookmarkEnd w:id="109"/>
    </w:p>
    <w:p>
      <w:pPr>
        <w:pStyle w:val="23"/>
        <w:numPr>
          <w:ilvl w:val="0"/>
          <w:numId w:val="17"/>
        </w:numPr>
        <w:spacing w:before="156" w:beforeLines="50" w:after="156" w:afterLines="50"/>
        <w:ind w:firstLineChars="0"/>
        <w:rPr>
          <w:szCs w:val="24"/>
        </w:rPr>
      </w:pPr>
      <w:bookmarkStart w:id="110" w:name="OLE_LINK31"/>
      <w:r>
        <w:rPr>
          <w:rFonts w:hint="eastAsia"/>
          <w:szCs w:val="24"/>
        </w:rPr>
        <w:t>应采用新材料、新技术进行浆渣处理，分离出的物料经检测合格后方可外运或资源化利用。</w:t>
      </w:r>
    </w:p>
    <w:bookmarkEnd w:id="110"/>
    <w:p>
      <w:pPr>
        <w:pStyle w:val="23"/>
        <w:numPr>
          <w:ilvl w:val="0"/>
          <w:numId w:val="17"/>
        </w:numPr>
        <w:spacing w:before="156" w:beforeLines="50" w:after="156" w:afterLines="50"/>
        <w:ind w:firstLineChars="0"/>
        <w:rPr>
          <w:szCs w:val="24"/>
        </w:rPr>
      </w:pPr>
      <w:r>
        <w:rPr>
          <w:rFonts w:hint="eastAsia"/>
          <w:szCs w:val="24"/>
        </w:rPr>
        <w:t>浆渣处理应避免对附近环境产生不利影响。</w:t>
      </w:r>
    </w:p>
    <w:p>
      <w:pPr>
        <w:pStyle w:val="23"/>
        <w:numPr>
          <w:ilvl w:val="0"/>
          <w:numId w:val="17"/>
        </w:numPr>
        <w:spacing w:before="156" w:beforeLines="50" w:after="156" w:afterLines="50"/>
        <w:ind w:firstLineChars="0"/>
        <w:rPr>
          <w:szCs w:val="24"/>
        </w:rPr>
      </w:pPr>
      <w:bookmarkStart w:id="111" w:name="OLE_LINK61"/>
      <w:r>
        <w:rPr>
          <w:rFonts w:hint="eastAsia"/>
          <w:szCs w:val="24"/>
        </w:rPr>
        <w:t>浆渣处理应包括浆渣分离、浆液调整、泥水分离、分离水处理、资源化利用处理等工序，具体工艺路线应根据盾构浆渣特点确定。</w:t>
      </w:r>
    </w:p>
    <w:bookmarkEnd w:id="111"/>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rPr>
      </w:pPr>
      <w:r>
        <w:rPr>
          <w:rFonts w:hint="eastAsia"/>
          <w:color w:val="auto"/>
        </w:rPr>
        <w:t>浆液调整是指当泥浆池待注入盾构机开挖仓的泥浆指标不达标时，通过系统中的泵和阀门的配合切换，补充新浆、弃掉高比重泥浆、加水或粘度调节剂等手段，达到盾构机持续掘进的泥浆指标要求；泥水分离是通过加药搅拌、静置沉淀等程序对泥浆进行初步脱水，再通过板框压滤机、离心脱水机等深度脱水设备使泥水分离成干化土和水；分离水处理是将分离后的水通过加药、沉淀等过程去除重金属等有害成分。</w:t>
      </w:r>
    </w:p>
    <w:p>
      <w:pPr>
        <w:pStyle w:val="23"/>
        <w:numPr>
          <w:ilvl w:val="0"/>
          <w:numId w:val="17"/>
        </w:numPr>
        <w:adjustRightInd w:val="0"/>
        <w:snapToGrid w:val="0"/>
        <w:spacing w:before="156" w:beforeLines="50" w:after="156" w:afterLines="50"/>
        <w:ind w:firstLineChars="0"/>
      </w:pPr>
      <w:r>
        <w:rPr>
          <w:rFonts w:hint="eastAsia"/>
          <w:szCs w:val="24"/>
        </w:rPr>
        <w:t>浆渣处理过程应实施全过程管理。</w:t>
      </w:r>
    </w:p>
    <w:p>
      <w:pPr>
        <w:ind w:firstLine="0" w:firstLineChars="0"/>
        <w:jc w:val="center"/>
        <w:outlineLvl w:val="1"/>
        <w:rPr>
          <w:rFonts w:cs="Times New Roman"/>
          <w:b/>
          <w:bCs/>
          <w:sz w:val="28"/>
          <w:szCs w:val="24"/>
        </w:rPr>
      </w:pPr>
      <w:bookmarkStart w:id="112" w:name="_Toc190813014"/>
      <w:bookmarkStart w:id="113" w:name="_Toc20437"/>
      <w:bookmarkStart w:id="114" w:name="_Toc4223"/>
      <w:r>
        <w:rPr>
          <w:rFonts w:hint="eastAsia" w:cs="Times New Roman"/>
          <w:b/>
          <w:bCs/>
          <w:sz w:val="28"/>
          <w:szCs w:val="24"/>
        </w:rPr>
        <w:t>6</w:t>
      </w:r>
      <w:r>
        <w:rPr>
          <w:rFonts w:cs="Times New Roman"/>
          <w:b/>
          <w:bCs/>
          <w:sz w:val="28"/>
          <w:szCs w:val="24"/>
        </w:rPr>
        <w:t>.</w:t>
      </w:r>
      <w:r>
        <w:rPr>
          <w:rFonts w:hint="eastAsia" w:cs="Times New Roman"/>
          <w:b/>
          <w:bCs/>
          <w:sz w:val="28"/>
          <w:szCs w:val="24"/>
        </w:rPr>
        <w:t>2 浆渣分离处理</w:t>
      </w:r>
      <w:bookmarkEnd w:id="112"/>
      <w:bookmarkEnd w:id="113"/>
      <w:bookmarkEnd w:id="114"/>
    </w:p>
    <w:p>
      <w:pPr>
        <w:pStyle w:val="23"/>
        <w:numPr>
          <w:ilvl w:val="0"/>
          <w:numId w:val="18"/>
        </w:numPr>
        <w:spacing w:before="156" w:beforeLines="50" w:after="156" w:afterLines="50"/>
        <w:ind w:left="0" w:firstLine="0" w:firstLineChars="0"/>
        <w:rPr>
          <w:rFonts w:cs="Times New Roman"/>
          <w:szCs w:val="24"/>
        </w:rPr>
      </w:pPr>
      <w:r>
        <w:rPr>
          <w:rFonts w:hint="default" w:cs="Times New Roman"/>
          <w:szCs w:val="24"/>
        </w:rPr>
        <w:t>泥水盾构浆渣应经过浆渣预处理、粗料分离、一级、二级旋流，将浆渣逐级分离，使20μm及以上的物料分离出来；并将一</w:t>
      </w:r>
      <w:bookmarkStart w:id="115" w:name="OLE_LINK34"/>
      <w:r>
        <w:rPr>
          <w:rFonts w:hint="default" w:cs="Times New Roman"/>
          <w:szCs w:val="24"/>
        </w:rPr>
        <w:t>级</w:t>
      </w:r>
      <w:bookmarkEnd w:id="115"/>
      <w:r>
        <w:rPr>
          <w:rFonts w:hint="default" w:cs="Times New Roman"/>
          <w:szCs w:val="24"/>
        </w:rPr>
        <w:t>、二级旋流器的底流进行脱水，出渣含水率应小于40%，方可满足外运要求。</w:t>
      </w:r>
    </w:p>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rPr>
      </w:pPr>
      <w:r>
        <w:rPr>
          <w:rFonts w:hint="eastAsia"/>
          <w:color w:val="auto"/>
        </w:rPr>
        <w:t>浆渣分级分离的配置确定需考虑诸多因素，确定主要方法如下：</w:t>
      </w:r>
    </w:p>
    <w:p>
      <w:pPr>
        <w:pStyle w:val="34"/>
        <w:adjustRightInd w:val="0"/>
        <w:snapToGrid w:val="0"/>
        <w:rPr>
          <w:color w:val="auto"/>
        </w:rPr>
      </w:pPr>
      <w:r>
        <w:rPr>
          <w:rFonts w:hint="eastAsia"/>
          <w:color w:val="auto"/>
        </w:rPr>
        <w:t>（1）当泥水盾构机掘进绝大多数地层为岩层、砂层等地层时，</w:t>
      </w:r>
    </w:p>
    <w:p>
      <w:pPr>
        <w:pStyle w:val="34"/>
        <w:adjustRightInd w:val="0"/>
        <w:snapToGrid w:val="0"/>
        <w:rPr>
          <w:color w:val="auto"/>
        </w:rPr>
      </w:pPr>
      <w:r>
        <w:rPr>
          <w:rFonts w:hint="eastAsia"/>
          <w:color w:val="auto"/>
        </w:rPr>
        <w:t>排泥浆经过预筛分处理，将2mm及以上的石块、泥块等物料分离出来；</w:t>
      </w:r>
    </w:p>
    <w:p>
      <w:pPr>
        <w:pStyle w:val="34"/>
        <w:adjustRightInd w:val="0"/>
        <w:snapToGrid w:val="0"/>
        <w:rPr>
          <w:color w:val="auto"/>
        </w:rPr>
      </w:pPr>
      <w:r>
        <w:rPr>
          <w:rFonts w:hint="eastAsia"/>
          <w:color w:val="auto"/>
        </w:rPr>
        <w:t>经过一级旋流处理，将74μm</w:t>
      </w:r>
      <w:bookmarkStart w:id="116" w:name="OLE_LINK17"/>
      <w:r>
        <w:rPr>
          <w:rFonts w:hint="eastAsia"/>
          <w:color w:val="auto"/>
        </w:rPr>
        <w:t>～</w:t>
      </w:r>
      <w:bookmarkEnd w:id="116"/>
      <w:r>
        <w:rPr>
          <w:rFonts w:hint="eastAsia"/>
          <w:color w:val="auto"/>
        </w:rPr>
        <w:t>2mm的物料分离出来；</w:t>
      </w:r>
    </w:p>
    <w:p>
      <w:pPr>
        <w:pStyle w:val="34"/>
        <w:adjustRightInd w:val="0"/>
        <w:snapToGrid w:val="0"/>
        <w:rPr>
          <w:color w:val="auto"/>
        </w:rPr>
      </w:pPr>
      <w:r>
        <w:rPr>
          <w:rFonts w:hint="eastAsia"/>
          <w:color w:val="auto"/>
        </w:rPr>
        <w:t>经过二级旋流处理，将20μm～74</w:t>
      </w:r>
      <w:bookmarkStart w:id="117" w:name="OLE_LINK41"/>
      <w:r>
        <w:rPr>
          <w:rFonts w:hint="eastAsia"/>
          <w:color w:val="auto"/>
        </w:rPr>
        <w:t>μm</w:t>
      </w:r>
      <w:bookmarkEnd w:id="117"/>
      <w:r>
        <w:rPr>
          <w:rFonts w:hint="eastAsia"/>
          <w:color w:val="auto"/>
        </w:rPr>
        <w:t>及以上的物料分离出来。</w:t>
      </w:r>
    </w:p>
    <w:p>
      <w:pPr>
        <w:pStyle w:val="34"/>
        <w:adjustRightInd w:val="0"/>
        <w:snapToGrid w:val="0"/>
        <w:rPr>
          <w:color w:val="auto"/>
        </w:rPr>
      </w:pPr>
      <w:r>
        <w:rPr>
          <w:rFonts w:hint="eastAsia"/>
          <w:color w:val="auto"/>
        </w:rPr>
        <w:t>（2）当泥水盾构机掘进绝大多数地层为粉质黏土或淤泥质粉质黏土地层时，综合考虑泥浆可塑性和成团几率，浆渣经过刮泥机或滚筒筛等预处理装置，15mm～50</w:t>
      </w:r>
      <w:bookmarkStart w:id="118" w:name="OLE_LINK42"/>
      <w:r>
        <w:rPr>
          <w:rFonts w:hint="eastAsia"/>
          <w:color w:val="auto"/>
        </w:rPr>
        <w:t>mm</w:t>
      </w:r>
      <w:bookmarkEnd w:id="118"/>
      <w:r>
        <w:rPr>
          <w:rFonts w:hint="eastAsia"/>
          <w:color w:val="auto"/>
        </w:rPr>
        <w:t>以上大泥团、大泥块等物料分离出来。</w:t>
      </w:r>
    </w:p>
    <w:p>
      <w:pPr>
        <w:pStyle w:val="34"/>
        <w:adjustRightInd w:val="0"/>
        <w:snapToGrid w:val="0"/>
        <w:rPr>
          <w:color w:val="auto"/>
        </w:rPr>
      </w:pPr>
      <w:r>
        <w:rPr>
          <w:rFonts w:hint="eastAsia"/>
          <w:color w:val="auto"/>
        </w:rPr>
        <w:t>经过预筛分，将2mm以上的小泥块、石块等物料分离出来；</w:t>
      </w:r>
    </w:p>
    <w:p>
      <w:pPr>
        <w:pStyle w:val="34"/>
        <w:adjustRightInd w:val="0"/>
        <w:snapToGrid w:val="0"/>
        <w:rPr>
          <w:color w:val="auto"/>
        </w:rPr>
      </w:pPr>
      <w:r>
        <w:rPr>
          <w:rFonts w:hint="eastAsia"/>
          <w:color w:val="auto"/>
        </w:rPr>
        <w:t>经过一级旋流处理，将74μm～2mm的物料分离出来；</w:t>
      </w:r>
    </w:p>
    <w:p>
      <w:pPr>
        <w:pStyle w:val="34"/>
        <w:adjustRightInd w:val="0"/>
        <w:snapToGrid w:val="0"/>
        <w:rPr>
          <w:color w:val="auto"/>
        </w:rPr>
      </w:pPr>
      <w:r>
        <w:rPr>
          <w:rFonts w:hint="eastAsia"/>
          <w:color w:val="auto"/>
        </w:rPr>
        <w:t>经过二级旋流处理，将20μm及以上的物料分离出来。</w:t>
      </w:r>
    </w:p>
    <w:p>
      <w:pPr>
        <w:pStyle w:val="23"/>
        <w:numPr>
          <w:ilvl w:val="0"/>
          <w:numId w:val="18"/>
        </w:numPr>
        <w:spacing w:before="156" w:beforeLines="50" w:after="156" w:afterLines="50"/>
        <w:ind w:left="0" w:firstLine="0" w:firstLineChars="0"/>
        <w:rPr>
          <w:szCs w:val="24"/>
        </w:rPr>
      </w:pPr>
      <w:bookmarkStart w:id="119" w:name="OLE_LINK6"/>
      <w:r>
        <w:rPr>
          <w:rFonts w:hint="eastAsia"/>
          <w:szCs w:val="24"/>
        </w:rPr>
        <w:t>经两级旋流筛分后进入沉淀池或调浆池的泥浆，应满足苏氏漏斗粘度、密度等技术指标。</w:t>
      </w:r>
    </w:p>
    <w:bookmarkEnd w:id="119"/>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rPr>
      </w:pPr>
      <w:r>
        <w:rPr>
          <w:rFonts w:hint="eastAsia"/>
          <w:color w:val="auto"/>
        </w:rPr>
        <w:t>本条对泥浆浆液指标调整做出了规定：</w:t>
      </w:r>
    </w:p>
    <w:p>
      <w:pPr>
        <w:pStyle w:val="34"/>
        <w:adjustRightInd w:val="0"/>
        <w:snapToGrid w:val="0"/>
        <w:rPr>
          <w:color w:val="auto"/>
        </w:rPr>
      </w:pPr>
      <w:r>
        <w:rPr>
          <w:rFonts w:hint="eastAsia"/>
          <w:color w:val="auto"/>
          <w:lang w:val="en-US" w:eastAsia="zh-CN"/>
        </w:rPr>
        <w:t>一、</w:t>
      </w:r>
      <w:r>
        <w:rPr>
          <w:rFonts w:hint="eastAsia"/>
          <w:color w:val="auto"/>
        </w:rPr>
        <w:t>调浆池的泥浆密度大于1.20g/cm</w:t>
      </w:r>
      <w:r>
        <w:rPr>
          <w:rFonts w:hint="eastAsia"/>
          <w:color w:val="auto"/>
          <w:vertAlign w:val="superscript"/>
        </w:rPr>
        <w:t>3</w:t>
      </w:r>
      <w:r>
        <w:rPr>
          <w:rFonts w:hint="eastAsia"/>
          <w:color w:val="auto"/>
        </w:rPr>
        <w:t>时，启动具有弃浆功能的渣浆泵进行对外直接弃浆或输送给压滤机、离心机或其它固液分离设备进行处理。</w:t>
      </w:r>
    </w:p>
    <w:p>
      <w:pPr>
        <w:pStyle w:val="34"/>
        <w:adjustRightInd w:val="0"/>
        <w:snapToGrid w:val="0"/>
        <w:rPr>
          <w:color w:val="auto"/>
        </w:rPr>
      </w:pPr>
      <w:r>
        <w:rPr>
          <w:rFonts w:hint="eastAsia"/>
          <w:color w:val="auto"/>
          <w:lang w:val="en-US" w:eastAsia="zh-CN"/>
        </w:rPr>
        <w:t>二、</w:t>
      </w:r>
      <w:r>
        <w:rPr>
          <w:rFonts w:hint="eastAsia"/>
          <w:color w:val="auto"/>
        </w:rPr>
        <w:t>调浆池的泥浆密度小于1.05g/cm</w:t>
      </w:r>
      <w:r>
        <w:rPr>
          <w:rFonts w:hint="eastAsia"/>
          <w:color w:val="auto"/>
          <w:vertAlign w:val="superscript"/>
        </w:rPr>
        <w:t>3</w:t>
      </w:r>
      <w:r>
        <w:rPr>
          <w:rFonts w:hint="eastAsia"/>
          <w:color w:val="auto"/>
        </w:rPr>
        <w:t>时，启动具有补充新浆功能的渣浆泵，对调浆池进行补充新鲜泥浆，调整泥浆的比重达标。</w:t>
      </w:r>
    </w:p>
    <w:p>
      <w:pPr>
        <w:pStyle w:val="34"/>
        <w:adjustRightInd w:val="0"/>
        <w:snapToGrid w:val="0"/>
        <w:rPr>
          <w:color w:val="auto"/>
        </w:rPr>
      </w:pPr>
      <w:r>
        <w:rPr>
          <w:rFonts w:hint="eastAsia"/>
          <w:color w:val="auto"/>
          <w:lang w:val="en-US" w:eastAsia="zh-CN"/>
        </w:rPr>
        <w:t>三、</w:t>
      </w:r>
      <w:r>
        <w:rPr>
          <w:rFonts w:hint="eastAsia"/>
          <w:color w:val="auto"/>
        </w:rPr>
        <w:t>调浆池的泥浆粘度小于20s时，需要通过向调浆池或罐中添加增粘剂，调整泥浆粘度达标。</w:t>
      </w:r>
    </w:p>
    <w:p>
      <w:pPr>
        <w:pStyle w:val="34"/>
        <w:adjustRightInd w:val="0"/>
        <w:snapToGrid w:val="0"/>
        <w:rPr>
          <w:color w:val="auto"/>
        </w:rPr>
      </w:pPr>
      <w:r>
        <w:rPr>
          <w:rFonts w:hint="eastAsia"/>
          <w:color w:val="auto"/>
          <w:lang w:val="en-US" w:eastAsia="zh-CN"/>
        </w:rPr>
        <w:t>四、</w:t>
      </w:r>
      <w:r>
        <w:rPr>
          <w:rFonts w:hint="eastAsia"/>
          <w:color w:val="auto"/>
        </w:rPr>
        <w:t>调浆池的泥浆粘度大于25s时，需要通过向调浆池或罐中添加清水，</w:t>
      </w:r>
      <w:r>
        <w:rPr>
          <w:color w:val="auto"/>
        </w:rPr>
        <w:t>调整泥浆粘</w:t>
      </w:r>
      <w:r>
        <w:rPr>
          <w:rFonts w:hint="eastAsia"/>
          <w:color w:val="auto"/>
        </w:rPr>
        <w:t>度达标。</w:t>
      </w:r>
    </w:p>
    <w:p>
      <w:pPr>
        <w:ind w:firstLine="0" w:firstLineChars="0"/>
        <w:jc w:val="center"/>
        <w:outlineLvl w:val="1"/>
        <w:rPr>
          <w:b/>
          <w:bCs/>
          <w:sz w:val="28"/>
        </w:rPr>
      </w:pPr>
      <w:bookmarkStart w:id="120" w:name="_Toc17227"/>
      <w:bookmarkStart w:id="121" w:name="_Toc24855"/>
      <w:bookmarkStart w:id="122" w:name="_Toc190813015"/>
      <w:r>
        <w:rPr>
          <w:rFonts w:hint="eastAsia"/>
          <w:b/>
          <w:bCs/>
          <w:sz w:val="28"/>
        </w:rPr>
        <w:t>6.3</w:t>
      </w:r>
      <w:r>
        <w:rPr>
          <w:b/>
          <w:bCs/>
          <w:sz w:val="28"/>
        </w:rPr>
        <w:t xml:space="preserve"> </w:t>
      </w:r>
      <w:r>
        <w:rPr>
          <w:rFonts w:hint="eastAsia"/>
          <w:b/>
          <w:bCs/>
          <w:sz w:val="28"/>
        </w:rPr>
        <w:t>泥浆循环利用</w:t>
      </w:r>
      <w:bookmarkEnd w:id="120"/>
      <w:bookmarkEnd w:id="121"/>
      <w:bookmarkEnd w:id="122"/>
    </w:p>
    <w:p>
      <w:pPr>
        <w:pStyle w:val="23"/>
        <w:numPr>
          <w:ilvl w:val="0"/>
          <w:numId w:val="19"/>
        </w:numPr>
        <w:tabs>
          <w:tab w:val="left" w:pos="0"/>
        </w:tabs>
        <w:spacing w:before="156" w:beforeLines="50" w:after="156" w:afterLines="50"/>
        <w:ind w:left="0" w:firstLine="0" w:firstLineChars="0"/>
        <w:rPr>
          <w:rFonts w:hint="eastAsia"/>
          <w:szCs w:val="24"/>
        </w:rPr>
      </w:pPr>
      <w:r>
        <w:rPr>
          <w:rFonts w:hint="eastAsia"/>
          <w:szCs w:val="24"/>
        </w:rPr>
        <w:t>应通过泥浆循环系统将符合标准的泥浆泵送回施工掌子面，实现泥浆再利用，减少泥浆消耗。</w:t>
      </w:r>
    </w:p>
    <w:p>
      <w:pPr>
        <w:pStyle w:val="23"/>
        <w:numPr>
          <w:ilvl w:val="0"/>
          <w:numId w:val="19"/>
        </w:numPr>
        <w:tabs>
          <w:tab w:val="left" w:pos="0"/>
        </w:tabs>
        <w:spacing w:before="156" w:beforeLines="50" w:after="156" w:afterLines="50"/>
        <w:ind w:left="0" w:firstLine="0" w:firstLineChars="0"/>
        <w:rPr>
          <w:szCs w:val="24"/>
        </w:rPr>
      </w:pPr>
      <w:r>
        <w:rPr>
          <w:rFonts w:hint="eastAsia"/>
          <w:szCs w:val="24"/>
        </w:rPr>
        <w:t>在泥浆循环管路阀门动作前，应确认循坏管路畅通。</w:t>
      </w:r>
    </w:p>
    <w:p>
      <w:pPr>
        <w:pStyle w:val="23"/>
        <w:numPr>
          <w:ilvl w:val="0"/>
          <w:numId w:val="19"/>
        </w:numPr>
        <w:tabs>
          <w:tab w:val="left" w:pos="0"/>
        </w:tabs>
        <w:spacing w:before="156" w:beforeLines="50" w:after="156" w:afterLines="50"/>
        <w:ind w:left="0" w:firstLine="0" w:firstLineChars="0"/>
        <w:rPr>
          <w:szCs w:val="24"/>
        </w:rPr>
      </w:pPr>
      <w:r>
        <w:rPr>
          <w:rFonts w:hint="eastAsia"/>
          <w:szCs w:val="24"/>
        </w:rPr>
        <w:t>泥浆流量</w:t>
      </w:r>
      <w:r>
        <w:rPr>
          <w:rFonts w:hint="eastAsia"/>
          <w:szCs w:val="24"/>
          <w:lang w:val="en-US" w:eastAsia="zh-CN"/>
        </w:rPr>
        <w:t>应</w:t>
      </w:r>
      <w:r>
        <w:rPr>
          <w:rFonts w:hint="eastAsia"/>
          <w:szCs w:val="24"/>
        </w:rPr>
        <w:t>以保证管路不发生沉淀的最低流速为宜。</w:t>
      </w:r>
    </w:p>
    <w:p>
      <w:pPr>
        <w:pStyle w:val="23"/>
        <w:numPr>
          <w:ilvl w:val="0"/>
          <w:numId w:val="19"/>
        </w:numPr>
        <w:tabs>
          <w:tab w:val="left" w:pos="0"/>
        </w:tabs>
        <w:spacing w:before="156" w:beforeLines="50" w:after="156" w:afterLines="50"/>
        <w:ind w:firstLineChars="0"/>
        <w:rPr>
          <w:rFonts w:hint="eastAsia"/>
          <w:szCs w:val="24"/>
        </w:rPr>
      </w:pPr>
      <w:r>
        <w:rPr>
          <w:rFonts w:hint="eastAsia"/>
          <w:szCs w:val="24"/>
        </w:rPr>
        <w:t>泥浆管道防止堵塞的控制措施应符合下列规定：</w:t>
      </w:r>
    </w:p>
    <w:p>
      <w:pPr>
        <w:pStyle w:val="23"/>
        <w:numPr>
          <w:ilvl w:val="0"/>
          <w:numId w:val="20"/>
        </w:numPr>
        <w:spacing w:before="156" w:beforeLines="50" w:after="156" w:afterLines="50"/>
        <w:ind w:firstLineChars="0"/>
        <w:rPr>
          <w:rFonts w:hint="eastAsia"/>
          <w:szCs w:val="24"/>
        </w:rPr>
      </w:pPr>
      <w:r>
        <w:rPr>
          <w:rFonts w:hint="eastAsia"/>
          <w:szCs w:val="24"/>
        </w:rPr>
        <w:t xml:space="preserve"> 施工中应控制泥浆密度和黏度；</w:t>
      </w:r>
    </w:p>
    <w:p>
      <w:pPr>
        <w:pStyle w:val="23"/>
        <w:numPr>
          <w:ilvl w:val="0"/>
          <w:numId w:val="20"/>
        </w:numPr>
        <w:spacing w:before="156" w:beforeLines="50" w:after="156" w:afterLines="50"/>
        <w:ind w:firstLineChars="0"/>
        <w:rPr>
          <w:rFonts w:hint="eastAsia"/>
          <w:szCs w:val="24"/>
        </w:rPr>
      </w:pPr>
      <w:r>
        <w:rPr>
          <w:rFonts w:hint="eastAsia"/>
          <w:szCs w:val="24"/>
        </w:rPr>
        <w:t xml:space="preserve"> 黏性土地层中可适当加大气垫舱内格栅栅格尺寸；在排浆泵吸口位置宜增加冲刷系统；</w:t>
      </w:r>
    </w:p>
    <w:p>
      <w:pPr>
        <w:pStyle w:val="23"/>
        <w:numPr>
          <w:ilvl w:val="0"/>
          <w:numId w:val="20"/>
        </w:numPr>
        <w:spacing w:before="156" w:beforeLines="50" w:after="156" w:afterLines="50"/>
        <w:ind w:firstLineChars="0"/>
        <w:rPr>
          <w:rFonts w:hint="eastAsia"/>
          <w:szCs w:val="24"/>
        </w:rPr>
      </w:pPr>
      <w:r>
        <w:rPr>
          <w:rFonts w:hint="eastAsia"/>
          <w:szCs w:val="24"/>
        </w:rPr>
        <w:t xml:space="preserve"> 泥浆循环系统异常时，应优先循环清理气垫舱底部、排浆口、格栅处滞留异物，再循环清理开挖舱底部异物；</w:t>
      </w:r>
    </w:p>
    <w:p>
      <w:pPr>
        <w:pStyle w:val="23"/>
        <w:numPr>
          <w:ilvl w:val="0"/>
          <w:numId w:val="20"/>
        </w:numPr>
        <w:spacing w:before="156" w:beforeLines="50" w:after="156" w:afterLines="50"/>
        <w:ind w:firstLineChars="0"/>
        <w:rPr>
          <w:rFonts w:hint="eastAsia"/>
          <w:szCs w:val="24"/>
        </w:rPr>
      </w:pPr>
      <w:r>
        <w:rPr>
          <w:rFonts w:hint="eastAsia"/>
          <w:szCs w:val="24"/>
        </w:rPr>
        <w:t xml:space="preserve"> 应在排泥管口处设置钢格栅，过滤大块岩石、卵石、土块，并采用碎石机粉碎剩余岩土块后，方可通过排泥管排出；</w:t>
      </w:r>
    </w:p>
    <w:p>
      <w:pPr>
        <w:pStyle w:val="23"/>
        <w:numPr>
          <w:ilvl w:val="0"/>
          <w:numId w:val="20"/>
        </w:numPr>
        <w:spacing w:before="156" w:beforeLines="50" w:after="156" w:afterLines="50"/>
        <w:ind w:firstLineChars="0"/>
        <w:rPr>
          <w:szCs w:val="24"/>
        </w:rPr>
      </w:pPr>
      <w:r>
        <w:rPr>
          <w:rFonts w:hint="eastAsia"/>
          <w:szCs w:val="24"/>
        </w:rPr>
        <w:t xml:space="preserve"> 隧道内进排泥水管路应每隔50m~100m安装一个闸阀。</w:t>
      </w:r>
    </w:p>
    <w:p>
      <w:pPr>
        <w:pStyle w:val="23"/>
        <w:numPr>
          <w:ilvl w:val="0"/>
          <w:numId w:val="19"/>
        </w:numPr>
        <w:tabs>
          <w:tab w:val="left" w:pos="0"/>
        </w:tabs>
        <w:spacing w:before="156" w:beforeLines="50" w:after="156" w:afterLines="50"/>
        <w:ind w:left="0" w:firstLine="0" w:firstLineChars="0"/>
        <w:rPr>
          <w:szCs w:val="24"/>
        </w:rPr>
      </w:pPr>
      <w:r>
        <w:rPr>
          <w:rFonts w:hint="eastAsia"/>
          <w:szCs w:val="24"/>
        </w:rPr>
        <w:t>操作时应关注泥浆循环中泵的压力、流量、负载的变化，出现异常</w:t>
      </w:r>
      <w:r>
        <w:rPr>
          <w:rFonts w:hint="eastAsia"/>
          <w:szCs w:val="24"/>
          <w:lang w:val="en-US" w:eastAsia="zh-CN"/>
        </w:rPr>
        <w:t>时</w:t>
      </w:r>
      <w:r>
        <w:rPr>
          <w:rFonts w:hint="eastAsia"/>
          <w:szCs w:val="24"/>
        </w:rPr>
        <w:t>，应立即进行调整。</w:t>
      </w:r>
    </w:p>
    <w:p>
      <w:pPr>
        <w:ind w:firstLine="0" w:firstLineChars="0"/>
        <w:jc w:val="center"/>
        <w:outlineLvl w:val="1"/>
        <w:rPr>
          <w:b/>
          <w:bCs/>
          <w:sz w:val="28"/>
        </w:rPr>
      </w:pPr>
      <w:bookmarkStart w:id="123" w:name="_Toc190813016"/>
      <w:r>
        <w:rPr>
          <w:rFonts w:hint="eastAsia"/>
          <w:b/>
          <w:bCs/>
          <w:sz w:val="28"/>
        </w:rPr>
        <w:t>6.4</w:t>
      </w:r>
      <w:r>
        <w:rPr>
          <w:b/>
          <w:bCs/>
          <w:sz w:val="28"/>
        </w:rPr>
        <w:t xml:space="preserve"> </w:t>
      </w:r>
      <w:r>
        <w:rPr>
          <w:rFonts w:hint="eastAsia"/>
          <w:b/>
          <w:bCs/>
          <w:sz w:val="28"/>
        </w:rPr>
        <w:t>废浆处理</w:t>
      </w:r>
      <w:bookmarkEnd w:id="123"/>
    </w:p>
    <w:p>
      <w:pPr>
        <w:pStyle w:val="23"/>
        <w:numPr>
          <w:ilvl w:val="0"/>
          <w:numId w:val="21"/>
        </w:numPr>
        <w:tabs>
          <w:tab w:val="left" w:pos="0"/>
        </w:tabs>
        <w:spacing w:before="156" w:beforeLines="50" w:after="156" w:afterLines="50"/>
        <w:ind w:firstLineChars="0"/>
        <w:rPr>
          <w:szCs w:val="24"/>
        </w:rPr>
      </w:pPr>
      <w:r>
        <w:rPr>
          <w:rFonts w:hint="eastAsia"/>
          <w:szCs w:val="24"/>
        </w:rPr>
        <w:t>废浆处理方式可采用压滤处理、离心处理</w:t>
      </w:r>
      <w:r>
        <w:rPr>
          <w:rFonts w:hint="eastAsia"/>
          <w:szCs w:val="24"/>
          <w:lang w:val="en-US" w:eastAsia="zh-CN"/>
        </w:rPr>
        <w:t>或</w:t>
      </w:r>
      <w:r>
        <w:rPr>
          <w:rFonts w:hint="eastAsia"/>
          <w:szCs w:val="24"/>
        </w:rPr>
        <w:t>固化处理。</w:t>
      </w:r>
    </w:p>
    <w:p>
      <w:pPr>
        <w:pStyle w:val="23"/>
        <w:numPr>
          <w:ilvl w:val="0"/>
          <w:numId w:val="21"/>
        </w:numPr>
        <w:tabs>
          <w:tab w:val="left" w:pos="0"/>
        </w:tabs>
        <w:spacing w:before="156" w:beforeLines="50" w:after="156" w:afterLines="50"/>
        <w:ind w:firstLineChars="0"/>
        <w:rPr>
          <w:szCs w:val="24"/>
        </w:rPr>
      </w:pPr>
      <w:r>
        <w:rPr>
          <w:rFonts w:hint="eastAsia"/>
          <w:szCs w:val="24"/>
        </w:rPr>
        <w:t>废浆处理应符合下列规定：</w:t>
      </w:r>
    </w:p>
    <w:p>
      <w:pPr>
        <w:ind w:firstLine="480"/>
        <w:rPr>
          <w:color w:val="000000"/>
        </w:rPr>
      </w:pPr>
      <w:r>
        <w:rPr>
          <w:rFonts w:eastAsia="黑体"/>
          <w:color w:val="000000"/>
        </w:rPr>
        <w:t>1</w:t>
      </w:r>
      <w:r>
        <w:rPr>
          <w:rFonts w:hint="eastAsia" w:eastAsia="黑体"/>
          <w:color w:val="000000"/>
        </w:rPr>
        <w:t>.</w:t>
      </w:r>
      <w:r>
        <w:rPr>
          <w:color w:val="000000"/>
        </w:rPr>
        <w:t xml:space="preserve"> </w:t>
      </w:r>
      <w:r>
        <w:rPr>
          <w:rFonts w:ascii="宋体" w:hAnsi="宋体"/>
          <w:color w:val="000000"/>
        </w:rPr>
        <w:t>废浆外排应在循环泥浆指标劣化时开始</w:t>
      </w:r>
      <w:r>
        <w:rPr>
          <w:rFonts w:hint="eastAsia" w:ascii="宋体" w:hAnsi="宋体"/>
          <w:color w:val="000000"/>
        </w:rPr>
        <w:t>；</w:t>
      </w:r>
    </w:p>
    <w:p>
      <w:pPr>
        <w:ind w:firstLine="480"/>
        <w:rPr>
          <w:color w:val="000000"/>
        </w:rPr>
      </w:pPr>
      <w:r>
        <w:rPr>
          <w:rFonts w:eastAsia="黑体"/>
          <w:color w:val="000000"/>
        </w:rPr>
        <w:t>2</w:t>
      </w:r>
      <w:r>
        <w:rPr>
          <w:rFonts w:hint="eastAsia" w:eastAsia="黑体"/>
          <w:color w:val="000000"/>
        </w:rPr>
        <w:t>.</w:t>
      </w:r>
      <w:r>
        <w:rPr>
          <w:color w:val="000000"/>
        </w:rPr>
        <w:t xml:space="preserve"> </w:t>
      </w:r>
      <w:r>
        <w:rPr>
          <w:rFonts w:ascii="宋体" w:hAnsi="宋体"/>
          <w:color w:val="000000"/>
        </w:rPr>
        <w:t>应根据地层特性和分布情况</w:t>
      </w:r>
      <w:r>
        <w:rPr>
          <w:rFonts w:hint="eastAsia" w:ascii="宋体" w:hAnsi="宋体"/>
          <w:color w:val="000000"/>
        </w:rPr>
        <w:t>，</w:t>
      </w:r>
      <w:r>
        <w:rPr>
          <w:rFonts w:ascii="宋体" w:hAnsi="宋体"/>
          <w:color w:val="000000"/>
        </w:rPr>
        <w:t>综合考虑废浆再利用的可能性，根据胶体含量、含砂率以及场地条件判断是否进行存储</w:t>
      </w:r>
      <w:r>
        <w:rPr>
          <w:rFonts w:hint="eastAsia" w:ascii="宋体" w:hAnsi="宋体"/>
          <w:color w:val="000000"/>
        </w:rPr>
        <w:t>；</w:t>
      </w:r>
    </w:p>
    <w:p>
      <w:pPr>
        <w:ind w:firstLine="480"/>
        <w:rPr>
          <w:rFonts w:hint="eastAsia" w:ascii="宋体" w:hAnsi="宋体"/>
          <w:color w:val="000000"/>
        </w:rPr>
      </w:pPr>
      <w:r>
        <w:rPr>
          <w:rFonts w:eastAsia="黑体"/>
          <w:color w:val="000000"/>
        </w:rPr>
        <w:t>3</w:t>
      </w:r>
      <w:r>
        <w:rPr>
          <w:rFonts w:hint="eastAsia" w:eastAsia="黑体"/>
          <w:color w:val="000000"/>
        </w:rPr>
        <w:t>.</w:t>
      </w:r>
      <w:r>
        <w:rPr>
          <w:color w:val="000000"/>
        </w:rPr>
        <w:t xml:space="preserve"> </w:t>
      </w:r>
      <w:r>
        <w:rPr>
          <w:rFonts w:ascii="宋体" w:hAnsi="宋体"/>
          <w:color w:val="000000"/>
        </w:rPr>
        <w:t>应</w:t>
      </w:r>
      <w:r>
        <w:rPr>
          <w:rFonts w:hint="eastAsia" w:ascii="宋体" w:hAnsi="宋体"/>
          <w:color w:val="000000"/>
        </w:rPr>
        <w:t>根据地层特性</w:t>
      </w:r>
      <w:r>
        <w:rPr>
          <w:rFonts w:ascii="宋体" w:hAnsi="宋体"/>
          <w:color w:val="000000"/>
        </w:rPr>
        <w:t>选取废浆</w:t>
      </w:r>
      <w:r>
        <w:rPr>
          <w:rFonts w:hint="eastAsia" w:ascii="宋体" w:hAnsi="宋体"/>
          <w:color w:val="000000"/>
        </w:rPr>
        <w:t>脱水处理方式</w:t>
      </w:r>
      <w:r>
        <w:rPr>
          <w:rFonts w:ascii="宋体" w:hAnsi="宋体"/>
          <w:color w:val="000000"/>
        </w:rPr>
        <w:t>，</w:t>
      </w:r>
      <w:r>
        <w:rPr>
          <w:rFonts w:hint="eastAsia" w:ascii="宋体" w:hAnsi="宋体"/>
          <w:color w:val="000000"/>
        </w:rPr>
        <w:t>脱水</w:t>
      </w:r>
      <w:r>
        <w:rPr>
          <w:rFonts w:ascii="宋体" w:hAnsi="宋体"/>
          <w:color w:val="000000"/>
        </w:rPr>
        <w:t>处理后进行外运处理</w:t>
      </w:r>
      <w:r>
        <w:rPr>
          <w:rFonts w:hint="eastAsia" w:ascii="宋体" w:hAnsi="宋体"/>
          <w:color w:val="000000"/>
        </w:rPr>
        <w:t>或资源化利用。</w:t>
      </w:r>
    </w:p>
    <w:p>
      <w:pPr>
        <w:pStyle w:val="23"/>
        <w:numPr>
          <w:ilvl w:val="0"/>
          <w:numId w:val="21"/>
        </w:numPr>
        <w:tabs>
          <w:tab w:val="left" w:pos="0"/>
        </w:tabs>
        <w:spacing w:before="156" w:beforeLines="50" w:after="156" w:afterLines="50"/>
        <w:ind w:firstLineChars="0"/>
        <w:rPr>
          <w:szCs w:val="24"/>
        </w:rPr>
      </w:pPr>
      <w:r>
        <w:rPr>
          <w:rFonts w:hint="eastAsia"/>
          <w:szCs w:val="24"/>
        </w:rPr>
        <w:t>废浆经过压滤处理后，干化土含水率应低于30%；经离心或者其它固液分离方式处理后，干化土含水率应低于40%。</w:t>
      </w:r>
    </w:p>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rPr>
      </w:pPr>
      <w:r>
        <w:rPr>
          <w:rFonts w:hint="eastAsia"/>
          <w:color w:val="auto"/>
        </w:rPr>
        <w:t>张小连等论著的《盾构工程泥浆处置及资源化利用》中指出，压滤后的泥饼含水率&lt;30%，符合外运要求。</w:t>
      </w:r>
    </w:p>
    <w:p>
      <w:pPr>
        <w:pStyle w:val="23"/>
        <w:tabs>
          <w:tab w:val="left" w:pos="0"/>
        </w:tabs>
        <w:spacing w:before="156" w:beforeLines="50" w:after="156" w:afterLines="50"/>
        <w:ind w:firstLine="0" w:firstLineChars="0"/>
        <w:rPr>
          <w:szCs w:val="24"/>
        </w:rPr>
      </w:pPr>
    </w:p>
    <w:p>
      <w:pPr>
        <w:pStyle w:val="23"/>
        <w:tabs>
          <w:tab w:val="left" w:pos="0"/>
        </w:tabs>
        <w:spacing w:before="156" w:beforeLines="50" w:after="156" w:afterLines="50"/>
        <w:ind w:firstLine="0" w:firstLineChars="0"/>
        <w:rPr>
          <w:szCs w:val="24"/>
        </w:rPr>
        <w:sectPr>
          <w:pgSz w:w="11906" w:h="16838"/>
          <w:pgMar w:top="1440" w:right="1800" w:bottom="1440" w:left="1800" w:header="851" w:footer="992" w:gutter="0"/>
          <w:cols w:space="425" w:num="1"/>
          <w:docGrid w:type="lines" w:linePitch="312" w:charSpace="0"/>
        </w:sectPr>
      </w:pPr>
    </w:p>
    <w:p>
      <w:pPr>
        <w:pStyle w:val="2"/>
        <w:ind w:firstLine="0" w:firstLineChars="0"/>
        <w:rPr>
          <w:sz w:val="32"/>
          <w:szCs w:val="32"/>
        </w:rPr>
      </w:pPr>
      <w:bookmarkStart w:id="124" w:name="_Toc190813017"/>
      <w:bookmarkStart w:id="125" w:name="_Toc17387"/>
      <w:bookmarkStart w:id="126" w:name="_Toc12504"/>
      <w:r>
        <w:rPr>
          <w:rFonts w:hint="eastAsia"/>
          <w:sz w:val="32"/>
        </w:rPr>
        <w:t>7</w:t>
      </w:r>
      <w:r>
        <w:rPr>
          <w:sz w:val="32"/>
        </w:rPr>
        <w:t xml:space="preserve"> </w:t>
      </w:r>
      <w:bookmarkEnd w:id="70"/>
      <w:bookmarkEnd w:id="71"/>
      <w:bookmarkEnd w:id="72"/>
      <w:bookmarkEnd w:id="73"/>
      <w:r>
        <w:rPr>
          <w:rFonts w:hint="eastAsia"/>
          <w:sz w:val="32"/>
          <w:szCs w:val="32"/>
        </w:rPr>
        <w:t>资源化利用</w:t>
      </w:r>
      <w:bookmarkEnd w:id="124"/>
      <w:bookmarkEnd w:id="125"/>
      <w:bookmarkEnd w:id="126"/>
    </w:p>
    <w:p>
      <w:pPr>
        <w:ind w:firstLine="0" w:firstLineChars="0"/>
        <w:jc w:val="center"/>
        <w:outlineLvl w:val="1"/>
        <w:rPr>
          <w:b/>
          <w:bCs/>
          <w:sz w:val="28"/>
        </w:rPr>
      </w:pPr>
      <w:bookmarkStart w:id="127" w:name="_Toc190813018"/>
      <w:r>
        <w:rPr>
          <w:rFonts w:hint="eastAsia"/>
          <w:b/>
          <w:bCs/>
          <w:sz w:val="28"/>
        </w:rPr>
        <w:t>7.1 一般规定</w:t>
      </w:r>
      <w:bookmarkEnd w:id="127"/>
    </w:p>
    <w:p>
      <w:pPr>
        <w:pStyle w:val="23"/>
        <w:numPr>
          <w:ilvl w:val="0"/>
          <w:numId w:val="22"/>
        </w:numPr>
        <w:spacing w:before="156" w:beforeLines="50" w:after="156" w:afterLines="50"/>
        <w:ind w:firstLineChars="0"/>
        <w:rPr>
          <w:szCs w:val="24"/>
        </w:rPr>
      </w:pPr>
      <w:bookmarkStart w:id="128" w:name="_Toc11456"/>
      <w:bookmarkStart w:id="129" w:name="_Toc1484"/>
      <w:r>
        <w:rPr>
          <w:rFonts w:hint="eastAsia"/>
          <w:szCs w:val="24"/>
        </w:rPr>
        <w:t>盾构浆渣宜处理分离为砂石集料、干化土和水，其中砂石集料可作为再生建筑材料或用于</w:t>
      </w:r>
      <w:r>
        <w:rPr>
          <w:rFonts w:hint="eastAsia"/>
          <w:szCs w:val="24"/>
          <w:lang w:val="en-US" w:eastAsia="zh-CN"/>
        </w:rPr>
        <w:t>工程</w:t>
      </w:r>
      <w:r>
        <w:rPr>
          <w:rFonts w:hint="eastAsia"/>
          <w:szCs w:val="24"/>
        </w:rPr>
        <w:t>回填，干化土可</w:t>
      </w:r>
      <w:r>
        <w:rPr>
          <w:rFonts w:hint="eastAsia"/>
          <w:szCs w:val="24"/>
          <w:lang w:val="en-US" w:eastAsia="zh-CN"/>
        </w:rPr>
        <w:t>作为再生种植土、再生</w:t>
      </w:r>
      <w:r>
        <w:rPr>
          <w:rFonts w:hint="eastAsia"/>
          <w:szCs w:val="24"/>
        </w:rPr>
        <w:t>砖</w:t>
      </w:r>
      <w:r>
        <w:rPr>
          <w:rFonts w:hint="eastAsia"/>
          <w:szCs w:val="24"/>
          <w:lang w:eastAsia="zh-CN"/>
        </w:rPr>
        <w:t>（</w:t>
      </w:r>
      <w:r>
        <w:rPr>
          <w:rFonts w:hint="eastAsia"/>
          <w:szCs w:val="24"/>
          <w:lang w:val="en-US" w:eastAsia="zh-CN"/>
        </w:rPr>
        <w:t>砌块</w:t>
      </w:r>
      <w:r>
        <w:rPr>
          <w:rFonts w:hint="eastAsia"/>
          <w:szCs w:val="24"/>
          <w:lang w:eastAsia="zh-CN"/>
        </w:rPr>
        <w:t>）</w:t>
      </w:r>
      <w:r>
        <w:rPr>
          <w:rFonts w:hint="eastAsia"/>
          <w:szCs w:val="24"/>
        </w:rPr>
        <w:t>或道路工程原料，水可作为生产用水循环再利用。</w:t>
      </w:r>
    </w:p>
    <w:p>
      <w:pPr>
        <w:pStyle w:val="23"/>
        <w:numPr>
          <w:ilvl w:val="0"/>
          <w:numId w:val="22"/>
        </w:numPr>
        <w:spacing w:before="156" w:beforeLines="50" w:after="156" w:afterLines="50"/>
        <w:ind w:firstLineChars="0"/>
        <w:rPr>
          <w:szCs w:val="24"/>
        </w:rPr>
      </w:pPr>
      <w:r>
        <w:rPr>
          <w:rFonts w:hint="eastAsia"/>
          <w:szCs w:val="24"/>
        </w:rPr>
        <w:t>应根据不同地层盾构浆渣特性，选择合理的</w:t>
      </w:r>
      <w:bookmarkStart w:id="130" w:name="OLE_LINK30"/>
      <w:r>
        <w:rPr>
          <w:rFonts w:hint="eastAsia"/>
          <w:szCs w:val="24"/>
        </w:rPr>
        <w:t>资源化利用技术</w:t>
      </w:r>
      <w:bookmarkEnd w:id="130"/>
      <w:r>
        <w:rPr>
          <w:rFonts w:hint="eastAsia"/>
          <w:szCs w:val="24"/>
        </w:rPr>
        <w:t>，可通过下列途径实现盾构浆渣资源化利用：</w:t>
      </w:r>
    </w:p>
    <w:p>
      <w:pPr>
        <w:pStyle w:val="23"/>
        <w:numPr>
          <w:ilvl w:val="0"/>
          <w:numId w:val="23"/>
        </w:numPr>
        <w:spacing w:before="156" w:beforeLines="50" w:after="156" w:afterLines="50"/>
        <w:ind w:firstLineChars="0"/>
        <w:rPr>
          <w:szCs w:val="24"/>
        </w:rPr>
      </w:pPr>
      <w:r>
        <w:rPr>
          <w:rFonts w:hint="eastAsia"/>
          <w:szCs w:val="24"/>
        </w:rPr>
        <w:t xml:space="preserve"> 当盾构掘进地层为粉细砂、中粗砂等砂质地层时，砂粒分离主要用于同步注浆砂骨料或混凝土砂石骨料；</w:t>
      </w:r>
    </w:p>
    <w:p>
      <w:pPr>
        <w:pStyle w:val="23"/>
        <w:numPr>
          <w:ilvl w:val="0"/>
          <w:numId w:val="23"/>
        </w:numPr>
        <w:spacing w:before="156" w:beforeLines="50" w:after="156" w:afterLines="50"/>
        <w:ind w:firstLineChars="0"/>
        <w:rPr>
          <w:szCs w:val="24"/>
        </w:rPr>
      </w:pPr>
      <w:r>
        <w:rPr>
          <w:rFonts w:hint="eastAsia"/>
          <w:szCs w:val="24"/>
        </w:rPr>
        <w:t xml:space="preserve"> 当地层为粉质黏土等黏质地层时，宜将黏土颗粒添加增粘剂，用于制备泥浆膨润土；</w:t>
      </w:r>
    </w:p>
    <w:p>
      <w:pPr>
        <w:pStyle w:val="23"/>
        <w:numPr>
          <w:ilvl w:val="0"/>
          <w:numId w:val="23"/>
        </w:numPr>
        <w:spacing w:before="156" w:beforeLines="50" w:after="156" w:afterLines="50"/>
        <w:ind w:firstLineChars="0"/>
        <w:rPr>
          <w:szCs w:val="24"/>
        </w:rPr>
      </w:pPr>
      <w:r>
        <w:rPr>
          <w:rFonts w:hint="eastAsia"/>
          <w:szCs w:val="24"/>
        </w:rPr>
        <w:t xml:space="preserve"> 当地层为淤泥质黏土、粉土等混合地层时，宜添加固化剂进行浆渣改良，制备一定强度的回填土或免烧建筑材料。</w:t>
      </w:r>
    </w:p>
    <w:p>
      <w:pPr>
        <w:ind w:firstLine="0" w:firstLineChars="0"/>
        <w:jc w:val="center"/>
        <w:outlineLvl w:val="1"/>
        <w:rPr>
          <w:b/>
          <w:bCs/>
          <w:sz w:val="28"/>
        </w:rPr>
      </w:pPr>
      <w:bookmarkStart w:id="131" w:name="_Toc190813019"/>
      <w:r>
        <w:rPr>
          <w:rFonts w:hint="eastAsia"/>
          <w:b/>
          <w:bCs/>
          <w:sz w:val="28"/>
        </w:rPr>
        <w:t>7.2 无害化处理</w:t>
      </w:r>
      <w:bookmarkEnd w:id="131"/>
    </w:p>
    <w:p>
      <w:pPr>
        <w:pStyle w:val="23"/>
        <w:numPr>
          <w:ilvl w:val="0"/>
          <w:numId w:val="24"/>
        </w:numPr>
        <w:spacing w:before="156" w:beforeLines="50" w:after="156" w:afterLines="50"/>
        <w:ind w:firstLineChars="0"/>
        <w:rPr>
          <w:szCs w:val="24"/>
        </w:rPr>
      </w:pPr>
      <w:r>
        <w:rPr>
          <w:rFonts w:hint="eastAsia"/>
          <w:szCs w:val="24"/>
        </w:rPr>
        <w:t>盾构浆渣应进行危害性评价，对影响周边环境安全性的物理指标和化学指标进行检测，对于理化指标超标的盾构浆渣应采取无害化处理。</w:t>
      </w:r>
    </w:p>
    <w:p>
      <w:pPr>
        <w:pStyle w:val="33"/>
        <w:adjustRightInd w:val="0"/>
        <w:snapToGrid w:val="0"/>
        <w:ind w:left="425"/>
        <w:rPr>
          <w:color w:val="auto"/>
        </w:rPr>
      </w:pPr>
      <w:r>
        <w:rPr>
          <w:rFonts w:hint="eastAsia"/>
          <w:color w:val="auto"/>
        </w:rPr>
        <w:t>条文说明</w:t>
      </w:r>
    </w:p>
    <w:p>
      <w:pPr>
        <w:pStyle w:val="34"/>
        <w:adjustRightInd w:val="0"/>
        <w:snapToGrid w:val="0"/>
        <w:rPr>
          <w:color w:val="auto"/>
        </w:rPr>
      </w:pPr>
      <w:r>
        <w:rPr>
          <w:rFonts w:hint="eastAsia"/>
          <w:color w:val="auto"/>
        </w:rPr>
        <w:t>隧道施工往往发生在城市、郊区或农村，隧道浆渣可能会因工厂生产或农药化肥等导致污染。另外在隧道施工过程中往往需要掺入各种添加药剂，可能造成浆渣中高分子化合物超标。在不考虑浆渣污染状况的情况下随意堆置或进行资源化利用，可能会对周围环境造成损害。</w:t>
      </w:r>
    </w:p>
    <w:p>
      <w:pPr>
        <w:pStyle w:val="23"/>
        <w:numPr>
          <w:ilvl w:val="0"/>
          <w:numId w:val="24"/>
        </w:numPr>
        <w:spacing w:before="156" w:beforeLines="50" w:after="156" w:afterLines="50"/>
        <w:ind w:firstLineChars="0"/>
        <w:rPr>
          <w:szCs w:val="24"/>
        </w:rPr>
      </w:pPr>
      <w:r>
        <w:rPr>
          <w:rFonts w:hint="eastAsia"/>
          <w:szCs w:val="24"/>
        </w:rPr>
        <w:t>盾构浆渣无害化处理宜在现场检测处理效果，应定期对盾构浆渣处理后的渣土、干化土、外排水和回用水进行取样检测。现场具备条件的可在现场进行检测，不具备检测条件的应送样至</w:t>
      </w:r>
      <w:bookmarkStart w:id="132" w:name="OLE_LINK36"/>
      <w:r>
        <w:rPr>
          <w:rFonts w:hint="eastAsia"/>
          <w:szCs w:val="24"/>
        </w:rPr>
        <w:t>有资质的</w:t>
      </w:r>
      <w:bookmarkEnd w:id="132"/>
      <w:r>
        <w:rPr>
          <w:rFonts w:hint="eastAsia"/>
          <w:szCs w:val="24"/>
        </w:rPr>
        <w:t>第三方机构检测。</w:t>
      </w:r>
    </w:p>
    <w:p>
      <w:pPr>
        <w:pStyle w:val="23"/>
        <w:numPr>
          <w:ilvl w:val="0"/>
          <w:numId w:val="24"/>
        </w:numPr>
        <w:spacing w:before="156" w:beforeLines="50" w:after="156" w:afterLines="50"/>
        <w:ind w:firstLineChars="0"/>
        <w:rPr>
          <w:szCs w:val="24"/>
        </w:rPr>
      </w:pPr>
      <w:r>
        <w:rPr>
          <w:rFonts w:hint="eastAsia"/>
          <w:szCs w:val="24"/>
        </w:rPr>
        <w:t>盾构渣土及干化土的检测应按照表7.2.3的要求执行。</w:t>
      </w:r>
    </w:p>
    <w:p>
      <w:pPr>
        <w:spacing w:line="360" w:lineRule="auto"/>
        <w:ind w:firstLine="0" w:firstLineChars="0"/>
        <w:jc w:val="center"/>
        <w:rPr>
          <w:rFonts w:hint="eastAsia" w:ascii="Times New Roman" w:hAnsi="Times New Roman" w:eastAsia="黑体" w:cs="Times New Roman"/>
          <w:sz w:val="21"/>
          <w:szCs w:val="21"/>
        </w:rPr>
      </w:pPr>
      <w:r>
        <w:rPr>
          <w:rFonts w:hint="eastAsia" w:ascii="Times New Roman" w:hAnsi="Times New Roman" w:eastAsia="黑体" w:cs="Times New Roman"/>
          <w:sz w:val="21"/>
          <w:szCs w:val="21"/>
        </w:rPr>
        <w:t>表7.2.3 盾构渣土及干化土性能指标</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1559"/>
        <w:gridCol w:w="4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检测项目</w:t>
            </w:r>
          </w:p>
        </w:tc>
        <w:tc>
          <w:tcPr>
            <w:tcW w:w="1559"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指标</w:t>
            </w:r>
          </w:p>
        </w:tc>
        <w:tc>
          <w:tcPr>
            <w:tcW w:w="4899"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pH值</w:t>
            </w:r>
          </w:p>
        </w:tc>
        <w:tc>
          <w:tcPr>
            <w:tcW w:w="1559"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6~9</w:t>
            </w:r>
          </w:p>
        </w:tc>
        <w:tc>
          <w:tcPr>
            <w:tcW w:w="4899" w:type="dxa"/>
            <w:vAlign w:val="center"/>
          </w:tcPr>
          <w:p>
            <w:pPr>
              <w:pStyle w:val="23"/>
              <w:tabs>
                <w:tab w:val="left" w:pos="0"/>
              </w:tabs>
              <w:spacing w:after="0" w:line="240" w:lineRule="auto"/>
              <w:ind w:firstLine="0" w:firstLineChars="0"/>
              <w:jc w:val="center"/>
              <w:rPr>
                <w:rFonts w:hint="eastAsia"/>
                <w:sz w:val="21"/>
                <w:szCs w:val="21"/>
              </w:rPr>
            </w:pPr>
            <w:r>
              <w:rPr>
                <w:sz w:val="21"/>
                <w:szCs w:val="21"/>
              </w:rPr>
              <w:t>《土壤pH的测定》NY/T 1377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含水率</w:t>
            </w:r>
          </w:p>
        </w:tc>
        <w:tc>
          <w:tcPr>
            <w:tcW w:w="1559"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&lt;40%</w:t>
            </w:r>
          </w:p>
        </w:tc>
        <w:tc>
          <w:tcPr>
            <w:tcW w:w="4899"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《土壤水分测定法》</w:t>
            </w:r>
            <w:r>
              <w:rPr>
                <w:sz w:val="21"/>
                <w:szCs w:val="21"/>
              </w:rPr>
              <w:t xml:space="preserve">NY/T </w:t>
            </w:r>
            <w:r>
              <w:rPr>
                <w:rFonts w:hint="eastAsia"/>
                <w:sz w:val="21"/>
                <w:szCs w:val="21"/>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838"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阴离子表面活性剂浸出量</w:t>
            </w:r>
          </w:p>
        </w:tc>
        <w:tc>
          <w:tcPr>
            <w:tcW w:w="1559" w:type="dxa"/>
            <w:vAlign w:val="center"/>
          </w:tcPr>
          <w:p>
            <w:pPr>
              <w:pStyle w:val="23"/>
              <w:tabs>
                <w:tab w:val="left" w:pos="0"/>
              </w:tabs>
              <w:spacing w:after="0" w:line="240" w:lineRule="auto"/>
              <w:ind w:firstLine="0" w:firstLineChars="0"/>
              <w:jc w:val="center"/>
              <w:rPr>
                <w:rFonts w:hint="eastAsia"/>
                <w:sz w:val="21"/>
                <w:szCs w:val="21"/>
              </w:rPr>
            </w:pPr>
            <w:r>
              <w:rPr>
                <w:rFonts w:hint="eastAsia"/>
                <w:sz w:val="21"/>
                <w:szCs w:val="21"/>
              </w:rPr>
              <w:t>&lt;0.5mg/L</w:t>
            </w:r>
          </w:p>
        </w:tc>
        <w:tc>
          <w:tcPr>
            <w:tcW w:w="4899" w:type="dxa"/>
            <w:vAlign w:val="center"/>
          </w:tcPr>
          <w:p>
            <w:pPr>
              <w:pStyle w:val="23"/>
              <w:tabs>
                <w:tab w:val="left" w:pos="0"/>
              </w:tabs>
              <w:spacing w:after="0" w:line="240" w:lineRule="auto"/>
              <w:ind w:firstLine="0" w:firstLineChars="0"/>
              <w:jc w:val="center"/>
              <w:rPr>
                <w:rFonts w:hint="eastAsia"/>
                <w:sz w:val="21"/>
                <w:szCs w:val="21"/>
              </w:rPr>
            </w:pPr>
            <w:r>
              <w:rPr>
                <w:sz w:val="21"/>
                <w:szCs w:val="21"/>
              </w:rPr>
              <w:t>水质 阴离子表面活性剂的测定 亚甲蓝分光光度法》GB 7494</w:t>
            </w:r>
          </w:p>
        </w:tc>
      </w:tr>
    </w:tbl>
    <w:p>
      <w:pPr>
        <w:pStyle w:val="23"/>
        <w:numPr>
          <w:ilvl w:val="0"/>
          <w:numId w:val="24"/>
        </w:numPr>
        <w:spacing w:before="156" w:beforeLines="50" w:after="156" w:afterLines="50"/>
        <w:ind w:firstLineChars="0"/>
        <w:rPr>
          <w:szCs w:val="24"/>
        </w:rPr>
      </w:pPr>
      <w:r>
        <w:rPr>
          <w:rFonts w:hint="eastAsia"/>
          <w:szCs w:val="24"/>
        </w:rPr>
        <w:t>干化土用于堆填时，应根据堆体坡比、堆体土内摩擦角和粘聚力、堆体地基承载力、堆体高度等进行堆体稳定性验算。堆体稳定性和堆体构造应符合现行国家标准《建筑边坡工程技术规范》GB 50330的有关要求。</w:t>
      </w:r>
    </w:p>
    <w:p>
      <w:pPr>
        <w:pStyle w:val="23"/>
        <w:numPr>
          <w:ilvl w:val="0"/>
          <w:numId w:val="24"/>
        </w:numPr>
        <w:spacing w:before="156" w:beforeLines="50" w:after="156" w:afterLines="50"/>
        <w:ind w:firstLineChars="0"/>
        <w:rPr>
          <w:szCs w:val="24"/>
        </w:rPr>
      </w:pPr>
      <w:r>
        <w:rPr>
          <w:rFonts w:hint="eastAsia"/>
          <w:szCs w:val="24"/>
        </w:rPr>
        <w:t>盾构渣土、</w:t>
      </w:r>
      <w:r>
        <w:rPr>
          <w:szCs w:val="24"/>
        </w:rPr>
        <w:t>干化土用于生产再生产品的，应满足相关资源化产品的生产要求。</w:t>
      </w:r>
    </w:p>
    <w:p>
      <w:pPr>
        <w:pStyle w:val="23"/>
        <w:numPr>
          <w:ilvl w:val="0"/>
          <w:numId w:val="24"/>
        </w:numPr>
        <w:spacing w:before="156" w:beforeLines="50" w:after="156" w:afterLines="50"/>
        <w:ind w:firstLineChars="0"/>
        <w:rPr>
          <w:szCs w:val="24"/>
        </w:rPr>
      </w:pPr>
      <w:r>
        <w:rPr>
          <w:rFonts w:hint="eastAsia"/>
          <w:szCs w:val="24"/>
        </w:rPr>
        <w:t>分离水净化处理后可外排或作用循环回用水，外排时应符合现行国家标准《污水综合排放标准》GB 8978的有关规定；用作循环回用水时，应符合现行国家标准《城市污水再生利用 工业用水水质》GB/T 19923的有关规定。</w:t>
      </w:r>
    </w:p>
    <w:p>
      <w:pPr>
        <w:ind w:firstLine="0" w:firstLineChars="0"/>
        <w:jc w:val="center"/>
        <w:outlineLvl w:val="1"/>
        <w:rPr>
          <w:b/>
          <w:bCs/>
          <w:sz w:val="28"/>
        </w:rPr>
      </w:pPr>
      <w:bookmarkStart w:id="133" w:name="_Toc190813020"/>
      <w:r>
        <w:rPr>
          <w:rFonts w:hint="eastAsia"/>
          <w:b/>
          <w:bCs/>
          <w:sz w:val="28"/>
        </w:rPr>
        <w:t>7.3 再生产品应用</w:t>
      </w:r>
      <w:bookmarkEnd w:id="133"/>
    </w:p>
    <w:p>
      <w:pPr>
        <w:pStyle w:val="6"/>
        <w:numPr>
          <w:ilvl w:val="0"/>
          <w:numId w:val="25"/>
        </w:numPr>
        <w:tabs>
          <w:tab w:val="clear" w:pos="0"/>
        </w:tabs>
        <w:wordWrap/>
        <w:spacing w:line="360" w:lineRule="auto"/>
        <w:rPr>
          <w:rFonts w:ascii="Times New Roman" w:hAnsi="Times New Roman"/>
          <w:sz w:val="24"/>
          <w:szCs w:val="24"/>
        </w:rPr>
      </w:pPr>
      <w:r>
        <w:rPr>
          <w:rFonts w:hint="eastAsia" w:ascii="Times New Roman" w:hAnsi="Times New Roman"/>
          <w:sz w:val="24"/>
          <w:szCs w:val="24"/>
        </w:rPr>
        <w:t>盾构浆渣分离出的再生骨料、再生粉体可作为再生级配骨料直接应用于道路工程，也可制成再生骨料无机混合料应用于道路工程，应符合下列要求：</w:t>
      </w:r>
    </w:p>
    <w:p>
      <w:pPr>
        <w:numPr>
          <w:ilvl w:val="0"/>
          <w:numId w:val="26"/>
        </w:numPr>
        <w:spacing w:before="156" w:beforeLines="50" w:after="156" w:afterLines="50"/>
        <w:ind w:firstLine="480"/>
        <w:rPr>
          <w:szCs w:val="24"/>
        </w:rPr>
      </w:pPr>
      <w:r>
        <w:rPr>
          <w:szCs w:val="24"/>
        </w:rPr>
        <w:t>再生级配骨料与再生骨料无机混合料应符合现行行业标准《道路用建筑垃圾再生骨料无机混合料》JC/T 2281的</w:t>
      </w:r>
      <w:r>
        <w:rPr>
          <w:rFonts w:hint="eastAsia"/>
          <w:szCs w:val="24"/>
        </w:rPr>
        <w:t>有关规定</w:t>
      </w:r>
      <w:r>
        <w:rPr>
          <w:szCs w:val="24"/>
        </w:rPr>
        <w:t>。</w:t>
      </w:r>
    </w:p>
    <w:p>
      <w:pPr>
        <w:numPr>
          <w:ilvl w:val="0"/>
          <w:numId w:val="26"/>
        </w:numPr>
        <w:spacing w:before="156" w:beforeLines="50" w:after="156" w:afterLines="50"/>
        <w:ind w:firstLine="480"/>
        <w:rPr>
          <w:szCs w:val="24"/>
        </w:rPr>
      </w:pPr>
      <w:r>
        <w:rPr>
          <w:rFonts w:hint="eastAsia"/>
          <w:szCs w:val="24"/>
        </w:rPr>
        <w:t>道路用再生级配骨料和再生骨料无机混合料用于道路工程时，施工与验收应符合现行行业标准《公路路面基层施工技术细则》JTG/T F20和《城镇道路工程施工与质量验收规范》CJJ 1的有关规定。</w:t>
      </w:r>
    </w:p>
    <w:p>
      <w:pPr>
        <w:pStyle w:val="23"/>
        <w:numPr>
          <w:ilvl w:val="0"/>
          <w:numId w:val="25"/>
        </w:numPr>
        <w:ind w:firstLineChars="0"/>
        <w:rPr>
          <w:rFonts w:hint="eastAsia" w:cs="Times New Roman"/>
          <w:szCs w:val="24"/>
        </w:rPr>
      </w:pPr>
      <w:r>
        <w:rPr>
          <w:rFonts w:hint="eastAsia" w:cs="Times New Roman"/>
          <w:szCs w:val="24"/>
        </w:rPr>
        <w:t>再生骨料和再生粉体可用于再生骨料砖和砌块的生产，应符合下列要求：</w:t>
      </w:r>
    </w:p>
    <w:p>
      <w:pPr>
        <w:numPr>
          <w:ilvl w:val="0"/>
          <w:numId w:val="27"/>
        </w:numPr>
        <w:spacing w:before="156" w:beforeLines="50" w:after="156" w:afterLines="50"/>
        <w:ind w:firstLine="480" w:firstLineChars="0"/>
        <w:rPr>
          <w:szCs w:val="24"/>
        </w:rPr>
      </w:pPr>
      <w:r>
        <w:rPr>
          <w:szCs w:val="24"/>
        </w:rPr>
        <w:t>再生骨料砖的性能应符合现行行业标准《工程渣土免烧再生制品》JG/T 575、《建筑垃圾再生骨料实心砖》JG/T 505、《蒸压灰砂多孔砖》JC/T 637、《再生骨料应用技术规程》JGJ/T 240、《再生骨料地面砖和透水砖》CJ/T 400的</w:t>
      </w:r>
      <w:r>
        <w:rPr>
          <w:rFonts w:hint="eastAsia"/>
          <w:szCs w:val="24"/>
        </w:rPr>
        <w:t>有关规定</w:t>
      </w:r>
      <w:r>
        <w:rPr>
          <w:szCs w:val="24"/>
        </w:rPr>
        <w:t>。</w:t>
      </w:r>
    </w:p>
    <w:p>
      <w:pPr>
        <w:numPr>
          <w:ilvl w:val="0"/>
          <w:numId w:val="27"/>
        </w:numPr>
        <w:spacing w:before="156" w:beforeLines="50" w:after="156" w:afterLines="50"/>
        <w:ind w:firstLine="480"/>
        <w:rPr>
          <w:szCs w:val="24"/>
        </w:rPr>
      </w:pPr>
      <w:r>
        <w:rPr>
          <w:szCs w:val="24"/>
        </w:rPr>
        <w:t>再生骨料砌块的性能应符合国家现行标准《普通混凝土小型空心砌块》GB 8239、《轻集料混凝土小型空心砌块》GB/T 15229、《蒸压加气混凝土砌块》GB</w:t>
      </w:r>
      <w:r>
        <w:rPr>
          <w:rFonts w:hint="eastAsia"/>
          <w:szCs w:val="24"/>
        </w:rPr>
        <w:t>/T</w:t>
      </w:r>
      <w:r>
        <w:rPr>
          <w:szCs w:val="24"/>
        </w:rPr>
        <w:t xml:space="preserve"> 11968、《装饰混凝土砌块》JC/T 641、《再生骨料应用技术规程》JGJ/T 240的</w:t>
      </w:r>
      <w:r>
        <w:rPr>
          <w:rFonts w:hint="eastAsia"/>
          <w:szCs w:val="24"/>
        </w:rPr>
        <w:t>有关规定</w:t>
      </w:r>
      <w:r>
        <w:rPr>
          <w:szCs w:val="24"/>
        </w:rPr>
        <w:t>。</w:t>
      </w:r>
    </w:p>
    <w:p>
      <w:pPr>
        <w:pStyle w:val="6"/>
        <w:numPr>
          <w:ilvl w:val="0"/>
          <w:numId w:val="25"/>
        </w:numPr>
        <w:tabs>
          <w:tab w:val="clear" w:pos="0"/>
        </w:tabs>
        <w:wordWrap/>
        <w:spacing w:line="360" w:lineRule="auto"/>
        <w:rPr>
          <w:sz w:val="32"/>
        </w:rPr>
        <w:sectPr>
          <w:pgSz w:w="11906" w:h="16838"/>
          <w:pgMar w:top="1440" w:right="1800" w:bottom="1440" w:left="1800" w:header="851" w:footer="992" w:gutter="0"/>
          <w:cols w:space="425" w:num="1"/>
          <w:docGrid w:type="lines" w:linePitch="312" w:charSpace="0"/>
        </w:sectPr>
      </w:pPr>
      <w:bookmarkStart w:id="134" w:name="OLE_LINK10"/>
      <w:r>
        <w:rPr>
          <w:rFonts w:hint="eastAsia" w:ascii="Times New Roman" w:hAnsi="Times New Roman"/>
          <w:sz w:val="24"/>
          <w:szCs w:val="24"/>
        </w:rPr>
        <w:t>经检测合格的盾构渣土用于浇筑建材产品、高强高密度陶粒、再生种植土及绝缘材料等中，可替代部分天然骨料</w:t>
      </w:r>
      <w:bookmarkEnd w:id="134"/>
      <w:r>
        <w:rPr>
          <w:rFonts w:hint="eastAsia" w:ascii="Times New Roman" w:hAnsi="Times New Roman"/>
          <w:sz w:val="24"/>
          <w:szCs w:val="24"/>
        </w:rPr>
        <w:t>，盾构渣土再生利用应符合应用到各领域的性能要求及相关标准。</w:t>
      </w:r>
      <w:bookmarkEnd w:id="128"/>
      <w:bookmarkEnd w:id="129"/>
      <w:bookmarkStart w:id="135" w:name="_Toc13463"/>
      <w:bookmarkStart w:id="136" w:name="_Toc30888"/>
      <w:bookmarkStart w:id="137" w:name="_Toc16921"/>
      <w:bookmarkStart w:id="138" w:name="_Toc31113"/>
    </w:p>
    <w:p>
      <w:pPr>
        <w:pStyle w:val="2"/>
        <w:ind w:firstLine="0" w:firstLineChars="0"/>
        <w:rPr>
          <w:sz w:val="32"/>
        </w:rPr>
      </w:pPr>
      <w:bookmarkStart w:id="139" w:name="_Toc190813021"/>
      <w:bookmarkStart w:id="140" w:name="_Toc9390"/>
      <w:bookmarkStart w:id="141" w:name="_Toc2574"/>
      <w:r>
        <w:rPr>
          <w:rFonts w:hint="eastAsia"/>
          <w:sz w:val="32"/>
        </w:rPr>
        <w:t>8</w:t>
      </w:r>
      <w:r>
        <w:rPr>
          <w:sz w:val="32"/>
        </w:rPr>
        <w:t xml:space="preserve"> </w:t>
      </w:r>
      <w:bookmarkEnd w:id="135"/>
      <w:bookmarkEnd w:id="136"/>
      <w:bookmarkEnd w:id="137"/>
      <w:bookmarkEnd w:id="138"/>
      <w:r>
        <w:rPr>
          <w:rFonts w:hint="eastAsia"/>
          <w:sz w:val="32"/>
        </w:rPr>
        <w:t>环境保护</w:t>
      </w:r>
      <w:bookmarkEnd w:id="139"/>
      <w:bookmarkEnd w:id="140"/>
      <w:bookmarkEnd w:id="141"/>
    </w:p>
    <w:p>
      <w:pPr>
        <w:ind w:firstLine="0" w:firstLineChars="0"/>
        <w:jc w:val="center"/>
        <w:outlineLvl w:val="1"/>
        <w:rPr>
          <w:b/>
          <w:bCs/>
          <w:sz w:val="28"/>
        </w:rPr>
      </w:pPr>
      <w:bookmarkStart w:id="142" w:name="_Toc18553"/>
      <w:bookmarkStart w:id="143" w:name="_Toc7414"/>
      <w:bookmarkStart w:id="144" w:name="_Toc190813022"/>
      <w:r>
        <w:rPr>
          <w:rFonts w:hint="eastAsia"/>
          <w:b/>
          <w:bCs/>
          <w:sz w:val="28"/>
        </w:rPr>
        <w:t>8.1 一般规定</w:t>
      </w:r>
      <w:bookmarkEnd w:id="142"/>
      <w:bookmarkEnd w:id="143"/>
      <w:bookmarkEnd w:id="144"/>
    </w:p>
    <w:p>
      <w:pPr>
        <w:pStyle w:val="23"/>
        <w:numPr>
          <w:ilvl w:val="0"/>
          <w:numId w:val="28"/>
        </w:numPr>
        <w:spacing w:before="156" w:beforeLines="50" w:after="156" w:afterLines="50"/>
        <w:ind w:firstLine="0" w:firstLineChars="0"/>
        <w:rPr>
          <w:szCs w:val="24"/>
        </w:rPr>
      </w:pPr>
      <w:r>
        <w:rPr>
          <w:rFonts w:hint="eastAsia"/>
          <w:szCs w:val="24"/>
        </w:rPr>
        <w:t>盾构浆渣处理项目应建立完善的环境监测和管理制度，定期对场区及周边环境的水、气、土壤等进行环境影响监测，对浆渣处理设施的性能和环保指标进行检测、评价，做好监测记录。</w:t>
      </w:r>
    </w:p>
    <w:p>
      <w:pPr>
        <w:pStyle w:val="23"/>
        <w:numPr>
          <w:ilvl w:val="0"/>
          <w:numId w:val="28"/>
        </w:numPr>
        <w:spacing w:before="156" w:beforeLines="50" w:after="156" w:afterLines="50"/>
        <w:ind w:firstLine="0" w:firstLineChars="0"/>
        <w:rPr>
          <w:szCs w:val="24"/>
        </w:rPr>
      </w:pPr>
      <w:r>
        <w:rPr>
          <w:rFonts w:hint="eastAsia"/>
          <w:szCs w:val="24"/>
        </w:rPr>
        <w:t>环境监测数据应由有相应资质的实验室分析取得，监测报告将作为地方环境保护行政主管部门对盾构浆渣处理工作进行监督管理的依据。</w:t>
      </w:r>
    </w:p>
    <w:p>
      <w:pPr>
        <w:pStyle w:val="23"/>
        <w:numPr>
          <w:ilvl w:val="0"/>
          <w:numId w:val="28"/>
        </w:numPr>
        <w:spacing w:before="156" w:beforeLines="50" w:after="156" w:afterLines="50"/>
        <w:ind w:firstLine="0" w:firstLineChars="0"/>
        <w:rPr>
          <w:szCs w:val="24"/>
        </w:rPr>
      </w:pPr>
      <w:r>
        <w:rPr>
          <w:rFonts w:hint="eastAsia"/>
          <w:szCs w:val="24"/>
        </w:rPr>
        <w:t>盾构浆渣处理过程不得对土壤、地下水和周边环境造成二次污染。</w:t>
      </w:r>
    </w:p>
    <w:p>
      <w:pPr>
        <w:ind w:firstLine="0" w:firstLineChars="0"/>
        <w:jc w:val="center"/>
        <w:outlineLvl w:val="1"/>
        <w:rPr>
          <w:b/>
          <w:bCs/>
          <w:sz w:val="28"/>
        </w:rPr>
      </w:pPr>
      <w:bookmarkStart w:id="145" w:name="_Toc29318"/>
      <w:bookmarkStart w:id="146" w:name="_Toc190813023"/>
      <w:bookmarkStart w:id="147" w:name="_Toc25907"/>
      <w:r>
        <w:rPr>
          <w:rFonts w:hint="eastAsia"/>
          <w:b/>
          <w:bCs/>
          <w:sz w:val="28"/>
        </w:rPr>
        <w:t>8.2 日常管理</w:t>
      </w:r>
      <w:bookmarkEnd w:id="145"/>
      <w:bookmarkEnd w:id="146"/>
      <w:bookmarkEnd w:id="147"/>
    </w:p>
    <w:p>
      <w:pPr>
        <w:pStyle w:val="23"/>
        <w:numPr>
          <w:ilvl w:val="0"/>
          <w:numId w:val="29"/>
        </w:numPr>
        <w:spacing w:before="156" w:beforeLines="50" w:after="156" w:afterLines="50"/>
        <w:ind w:firstLine="0" w:firstLineChars="0"/>
        <w:rPr>
          <w:szCs w:val="24"/>
        </w:rPr>
      </w:pPr>
      <w:bookmarkStart w:id="148" w:name="_Toc29519"/>
      <w:bookmarkStart w:id="149" w:name="_Toc9031"/>
      <w:r>
        <w:rPr>
          <w:rFonts w:hint="eastAsia"/>
          <w:szCs w:val="24"/>
        </w:rPr>
        <w:t>施工期间应保持工地良好的排水状态，根据实际地形特点修建排水渠道，并与永久性排水设施相接，不得引起淤积和冲刷。</w:t>
      </w:r>
    </w:p>
    <w:p>
      <w:pPr>
        <w:pStyle w:val="23"/>
        <w:numPr>
          <w:ilvl w:val="0"/>
          <w:numId w:val="29"/>
        </w:numPr>
        <w:spacing w:before="156" w:beforeLines="50" w:after="156" w:afterLines="50"/>
        <w:ind w:firstLine="0" w:firstLineChars="0"/>
        <w:rPr>
          <w:rFonts w:hint="eastAsia"/>
          <w:szCs w:val="24"/>
        </w:rPr>
      </w:pPr>
      <w:r>
        <w:rPr>
          <w:rFonts w:hint="eastAsia"/>
          <w:szCs w:val="24"/>
        </w:rPr>
        <w:t>全量检测指标应符合现行国家标准《土壤环境质量 农用地土壤污染风险管控标准(试行)》GB 15618与《土壤环境质量 建设用地土壤污染风险管控标准(试行)》GB 36600中重金属与有机物相关限值的规定。</w:t>
      </w:r>
    </w:p>
    <w:p>
      <w:pPr>
        <w:pStyle w:val="23"/>
        <w:numPr>
          <w:ilvl w:val="0"/>
          <w:numId w:val="29"/>
        </w:numPr>
        <w:spacing w:before="156" w:beforeLines="50" w:after="156" w:afterLines="50"/>
        <w:ind w:firstLine="0" w:firstLineChars="0"/>
        <w:rPr>
          <w:szCs w:val="24"/>
        </w:rPr>
      </w:pPr>
      <w:r>
        <w:rPr>
          <w:rFonts w:hint="eastAsia"/>
          <w:szCs w:val="24"/>
        </w:rPr>
        <w:t>盾构渣土浸出液中总铬、总砷、总铅、总汞、多环芳烃类、苯酚、硝基苯等含量，应符合现行国家标准《危险废物鉴别标准 浸出毒性鉴别》GB 5085.3的有关规定。</w:t>
      </w:r>
    </w:p>
    <w:p>
      <w:pPr>
        <w:ind w:firstLine="0" w:firstLineChars="0"/>
        <w:jc w:val="center"/>
        <w:outlineLvl w:val="1"/>
        <w:rPr>
          <w:b/>
          <w:bCs/>
          <w:sz w:val="28"/>
        </w:rPr>
      </w:pPr>
      <w:bookmarkStart w:id="150" w:name="_Toc190813024"/>
      <w:r>
        <w:rPr>
          <w:rFonts w:hint="eastAsia"/>
          <w:b/>
          <w:bCs/>
          <w:sz w:val="28"/>
        </w:rPr>
        <w:t>8.3 应急管理</w:t>
      </w:r>
      <w:bookmarkEnd w:id="148"/>
      <w:bookmarkEnd w:id="149"/>
      <w:bookmarkEnd w:id="150"/>
    </w:p>
    <w:p>
      <w:pPr>
        <w:pStyle w:val="23"/>
        <w:numPr>
          <w:ilvl w:val="0"/>
          <w:numId w:val="30"/>
        </w:numPr>
        <w:spacing w:before="156" w:beforeLines="50" w:after="156" w:afterLines="50"/>
        <w:ind w:firstLineChars="0"/>
        <w:rPr>
          <w:szCs w:val="24"/>
        </w:rPr>
      </w:pPr>
      <w:r>
        <w:rPr>
          <w:rFonts w:hint="eastAsia"/>
          <w:szCs w:val="24"/>
        </w:rPr>
        <w:t>应制定盾构浆渣处理应急预案，并定期组织培训与演练。</w:t>
      </w:r>
    </w:p>
    <w:p>
      <w:pPr>
        <w:pStyle w:val="33"/>
        <w:adjustRightInd w:val="0"/>
        <w:snapToGrid w:val="0"/>
        <w:ind w:firstLine="422" w:firstLineChars="200"/>
        <w:rPr>
          <w:color w:val="auto"/>
        </w:rPr>
      </w:pPr>
      <w:r>
        <w:rPr>
          <w:rFonts w:hint="eastAsia"/>
          <w:color w:val="auto"/>
        </w:rPr>
        <w:t>条文说明</w:t>
      </w:r>
    </w:p>
    <w:p>
      <w:pPr>
        <w:pStyle w:val="34"/>
        <w:adjustRightInd w:val="0"/>
        <w:snapToGrid w:val="0"/>
        <w:rPr>
          <w:color w:val="auto"/>
          <w:szCs w:val="24"/>
        </w:rPr>
      </w:pPr>
      <w:r>
        <w:rPr>
          <w:rFonts w:hint="eastAsia"/>
          <w:color w:val="auto"/>
        </w:rPr>
        <w:t>盾构浆渣处理应急预案包括组织机构与职责、预防与预警、应急响应、指挥与信息反馈、保障措施等内容；</w:t>
      </w:r>
    </w:p>
    <w:p>
      <w:pPr>
        <w:pStyle w:val="23"/>
        <w:numPr>
          <w:ilvl w:val="0"/>
          <w:numId w:val="30"/>
        </w:numPr>
        <w:spacing w:before="156" w:beforeLines="50" w:after="156" w:afterLines="50"/>
        <w:ind w:firstLineChars="0"/>
        <w:rPr>
          <w:szCs w:val="24"/>
        </w:rPr>
      </w:pPr>
      <w:r>
        <w:rPr>
          <w:rFonts w:hint="eastAsia"/>
          <w:szCs w:val="24"/>
        </w:rPr>
        <w:t>浆渣处理事故发生后，各单位以及应急指挥组接报后应按照应急预案进行应急响应。</w:t>
      </w:r>
    </w:p>
    <w:p>
      <w:pPr>
        <w:pStyle w:val="23"/>
        <w:numPr>
          <w:ilvl w:val="0"/>
          <w:numId w:val="30"/>
        </w:numPr>
        <w:spacing w:before="156" w:beforeLines="50" w:after="156" w:afterLines="50"/>
        <w:ind w:firstLineChars="0"/>
        <w:rPr>
          <w:szCs w:val="24"/>
        </w:rPr>
      </w:pPr>
      <w:r>
        <w:rPr>
          <w:rFonts w:hint="eastAsia"/>
          <w:szCs w:val="24"/>
        </w:rPr>
        <w:t>盾构浆渣处理后的渣土和干化土在运输过程中发生遗撒、泄漏、扩散时，运输单位应及时向市环保部门和环卫主管部门报告，并按应急预案响应。</w:t>
      </w:r>
    </w:p>
    <w:p>
      <w:pPr>
        <w:ind w:firstLine="0" w:firstLineChars="0"/>
        <w:jc w:val="center"/>
        <w:outlineLvl w:val="0"/>
        <w:rPr>
          <w:rFonts w:hint="eastAsia" w:asciiTheme="minorEastAsia" w:hAnsiTheme="minorEastAsia" w:cstheme="minorEastAsia"/>
          <w:b/>
          <w:bCs/>
          <w:sz w:val="32"/>
          <w:szCs w:val="28"/>
        </w:rPr>
        <w:sectPr>
          <w:pgSz w:w="11906" w:h="16838"/>
          <w:pgMar w:top="1440" w:right="1800" w:bottom="1440" w:left="1800" w:header="851" w:footer="992" w:gutter="0"/>
          <w:cols w:space="425" w:num="1"/>
          <w:docGrid w:type="lines" w:linePitch="312" w:charSpace="0"/>
        </w:sectPr>
      </w:pPr>
      <w:bookmarkStart w:id="151" w:name="_Toc15023"/>
      <w:bookmarkStart w:id="152" w:name="_Toc31198"/>
      <w:bookmarkStart w:id="153" w:name="_Toc6063"/>
      <w:bookmarkStart w:id="154" w:name="_Toc23411"/>
      <w:bookmarkStart w:id="155" w:name="_Toc20176"/>
      <w:bookmarkStart w:id="156" w:name="_Toc30327"/>
    </w:p>
    <w:p>
      <w:pPr>
        <w:ind w:firstLine="0" w:firstLineChars="0"/>
        <w:jc w:val="center"/>
        <w:outlineLvl w:val="0"/>
        <w:rPr>
          <w:rFonts w:hint="eastAsia" w:asciiTheme="minorEastAsia" w:hAnsiTheme="minorEastAsia" w:cstheme="minorEastAsia"/>
          <w:b/>
          <w:bCs/>
          <w:sz w:val="32"/>
          <w:szCs w:val="28"/>
        </w:rPr>
      </w:pPr>
      <w:bookmarkStart w:id="157" w:name="_Toc190813025"/>
      <w:r>
        <w:rPr>
          <w:rFonts w:hint="eastAsia" w:asciiTheme="minorEastAsia" w:hAnsiTheme="minorEastAsia" w:cstheme="minorEastAsia"/>
          <w:b/>
          <w:bCs/>
          <w:sz w:val="32"/>
          <w:szCs w:val="28"/>
        </w:rPr>
        <w:t>本标准用词说明</w:t>
      </w:r>
      <w:bookmarkEnd w:id="151"/>
      <w:bookmarkEnd w:id="152"/>
      <w:bookmarkEnd w:id="153"/>
      <w:bookmarkEnd w:id="154"/>
      <w:bookmarkEnd w:id="155"/>
      <w:bookmarkEnd w:id="156"/>
      <w:bookmarkEnd w:id="157"/>
    </w:p>
    <w:p>
      <w:pPr>
        <w:ind w:left="560" w:hanging="560" w:hangingChars="200"/>
        <w:rPr>
          <w:rFonts w:hint="eastAsia" w:asciiTheme="minorEastAsia" w:hAnsiTheme="minorEastAsia" w:cstheme="minorEastAsia"/>
          <w:sz w:val="28"/>
          <w:szCs w:val="24"/>
        </w:rPr>
      </w:pPr>
    </w:p>
    <w:p>
      <w:pPr>
        <w:ind w:left="482" w:hanging="482" w:hangingChars="200"/>
        <w:rPr>
          <w:rFonts w:cs="Times New Roman"/>
          <w:szCs w:val="24"/>
        </w:rPr>
      </w:pPr>
      <w:r>
        <w:rPr>
          <w:rFonts w:cs="Times New Roman"/>
          <w:b/>
          <w:szCs w:val="24"/>
        </w:rPr>
        <w:t xml:space="preserve">1 </w:t>
      </w:r>
      <w:r>
        <w:rPr>
          <w:rFonts w:cs="Times New Roman"/>
          <w:szCs w:val="24"/>
        </w:rPr>
        <w:t>为便于在执行本</w:t>
      </w:r>
      <w:r>
        <w:rPr>
          <w:rFonts w:hint="eastAsia" w:cs="Times New Roman"/>
          <w:szCs w:val="24"/>
        </w:rPr>
        <w:t>标准</w:t>
      </w:r>
      <w:r>
        <w:rPr>
          <w:rFonts w:cs="Times New Roman"/>
          <w:szCs w:val="24"/>
        </w:rPr>
        <w:t>条文时区别对待，对要求严格程度不同的用词说明如下：</w:t>
      </w:r>
      <w:r>
        <w:rPr>
          <w:rFonts w:cs="Times New Roman"/>
          <w:b/>
          <w:szCs w:val="24"/>
        </w:rPr>
        <w:t>1）</w:t>
      </w:r>
      <w:r>
        <w:rPr>
          <w:rFonts w:cs="Times New Roman"/>
          <w:szCs w:val="24"/>
        </w:rPr>
        <w:t>表示很严格，非这样做不可的：</w:t>
      </w:r>
    </w:p>
    <w:p>
      <w:pPr>
        <w:ind w:left="480" w:leftChars="200" w:firstLine="0" w:firstLineChars="0"/>
        <w:rPr>
          <w:rFonts w:hint="eastAsia" w:ascii="宋体" w:hAnsi="宋体" w:cs="宋体"/>
          <w:szCs w:val="24"/>
        </w:rPr>
      </w:pPr>
      <w:r>
        <w:rPr>
          <w:rFonts w:cs="Times New Roman"/>
          <w:szCs w:val="24"/>
        </w:rPr>
        <w:t>正面词采</w:t>
      </w:r>
      <w:r>
        <w:rPr>
          <w:rFonts w:hint="eastAsia" w:ascii="宋体" w:hAnsi="宋体" w:cs="宋体"/>
          <w:szCs w:val="24"/>
        </w:rPr>
        <w:t>用“必须”</w:t>
      </w:r>
      <w:r>
        <w:rPr>
          <w:rFonts w:cs="Times New Roman"/>
          <w:szCs w:val="24"/>
        </w:rPr>
        <w:t>，反面词采用</w:t>
      </w:r>
      <w:r>
        <w:rPr>
          <w:rFonts w:hint="eastAsia" w:ascii="宋体" w:hAnsi="宋体" w:cs="宋体"/>
          <w:szCs w:val="24"/>
        </w:rPr>
        <w:t>“严禁”；</w:t>
      </w:r>
    </w:p>
    <w:p>
      <w:pPr>
        <w:ind w:left="480" w:leftChars="200" w:firstLine="0" w:firstLineChars="0"/>
        <w:rPr>
          <w:rFonts w:cs="Times New Roman"/>
          <w:szCs w:val="24"/>
        </w:rPr>
      </w:pPr>
      <w:r>
        <w:rPr>
          <w:rFonts w:cs="Times New Roman"/>
          <w:b/>
          <w:szCs w:val="24"/>
        </w:rPr>
        <w:t>2）</w:t>
      </w:r>
      <w:r>
        <w:rPr>
          <w:rFonts w:cs="Times New Roman"/>
          <w:szCs w:val="24"/>
        </w:rPr>
        <w:t>表示严格，在正常情况下均应这样做的：</w:t>
      </w:r>
    </w:p>
    <w:p>
      <w:pPr>
        <w:ind w:left="480" w:leftChars="200" w:firstLine="0" w:firstLineChars="0"/>
        <w:rPr>
          <w:rFonts w:hint="eastAsia" w:ascii="宋体" w:hAnsi="宋体" w:cs="宋体"/>
          <w:szCs w:val="24"/>
        </w:rPr>
      </w:pPr>
      <w:r>
        <w:rPr>
          <w:rFonts w:cs="Times New Roman"/>
          <w:szCs w:val="24"/>
        </w:rPr>
        <w:t>正面词采</w:t>
      </w:r>
      <w:r>
        <w:rPr>
          <w:rFonts w:hint="eastAsia" w:ascii="宋体" w:hAnsi="宋体" w:cs="宋体"/>
          <w:szCs w:val="24"/>
        </w:rPr>
        <w:t>用“应”，</w:t>
      </w:r>
      <w:r>
        <w:rPr>
          <w:rFonts w:cs="Times New Roman"/>
          <w:szCs w:val="24"/>
        </w:rPr>
        <w:t>反面词采</w:t>
      </w:r>
      <w:r>
        <w:rPr>
          <w:rFonts w:hint="eastAsia" w:ascii="宋体" w:hAnsi="宋体" w:cs="宋体"/>
          <w:szCs w:val="24"/>
        </w:rPr>
        <w:t>用“不应”或“不得”；</w:t>
      </w:r>
    </w:p>
    <w:p>
      <w:pPr>
        <w:ind w:left="480" w:leftChars="200" w:firstLine="0" w:firstLineChars="0"/>
        <w:rPr>
          <w:rFonts w:cs="Times New Roman"/>
          <w:szCs w:val="24"/>
        </w:rPr>
      </w:pPr>
      <w:r>
        <w:rPr>
          <w:rFonts w:cs="Times New Roman"/>
          <w:b/>
          <w:szCs w:val="24"/>
        </w:rPr>
        <w:t>3）</w:t>
      </w:r>
      <w:r>
        <w:rPr>
          <w:rFonts w:cs="Times New Roman"/>
          <w:szCs w:val="24"/>
        </w:rPr>
        <w:t>表示允许稍有选择，在条件许可时首先应这样做的：</w:t>
      </w:r>
    </w:p>
    <w:p>
      <w:pPr>
        <w:ind w:left="480" w:leftChars="200" w:firstLine="0" w:firstLineChars="0"/>
        <w:rPr>
          <w:rFonts w:hint="eastAsia" w:ascii="宋体" w:hAnsi="宋体" w:cs="宋体"/>
          <w:szCs w:val="24"/>
        </w:rPr>
      </w:pPr>
      <w:r>
        <w:rPr>
          <w:rFonts w:cs="Times New Roman"/>
          <w:szCs w:val="24"/>
        </w:rPr>
        <w:t>正面词采</w:t>
      </w:r>
      <w:r>
        <w:rPr>
          <w:rFonts w:hint="eastAsia" w:ascii="宋体" w:hAnsi="宋体" w:cs="宋体"/>
          <w:szCs w:val="24"/>
        </w:rPr>
        <w:t>用“宜”，</w:t>
      </w:r>
      <w:r>
        <w:rPr>
          <w:rFonts w:cs="Times New Roman"/>
          <w:szCs w:val="24"/>
        </w:rPr>
        <w:t>反面词采</w:t>
      </w:r>
      <w:r>
        <w:rPr>
          <w:rFonts w:hint="eastAsia" w:ascii="宋体" w:hAnsi="宋体" w:cs="宋体"/>
          <w:szCs w:val="24"/>
        </w:rPr>
        <w:t>用“不宜”；</w:t>
      </w:r>
    </w:p>
    <w:p>
      <w:pPr>
        <w:ind w:left="480" w:leftChars="200" w:firstLine="0" w:firstLineChars="0"/>
        <w:rPr>
          <w:rFonts w:cs="Times New Roman"/>
          <w:szCs w:val="24"/>
        </w:rPr>
      </w:pPr>
      <w:r>
        <w:rPr>
          <w:rFonts w:cs="Times New Roman"/>
          <w:b/>
          <w:szCs w:val="24"/>
        </w:rPr>
        <w:t>4）</w:t>
      </w:r>
      <w:r>
        <w:rPr>
          <w:rFonts w:cs="Times New Roman"/>
          <w:szCs w:val="24"/>
        </w:rPr>
        <w:t>表示有选择，在一定条件下可以这样做的：</w:t>
      </w:r>
    </w:p>
    <w:p>
      <w:pPr>
        <w:ind w:left="480" w:leftChars="200" w:firstLine="0" w:firstLineChars="0"/>
        <w:rPr>
          <w:rFonts w:cs="Times New Roman"/>
          <w:szCs w:val="24"/>
        </w:rPr>
      </w:pPr>
      <w:r>
        <w:rPr>
          <w:rFonts w:cs="Times New Roman"/>
          <w:szCs w:val="24"/>
        </w:rPr>
        <w:t>采</w:t>
      </w:r>
      <w:r>
        <w:rPr>
          <w:rFonts w:hint="eastAsia" w:ascii="宋体" w:hAnsi="宋体" w:cs="宋体"/>
          <w:szCs w:val="24"/>
        </w:rPr>
        <w:t>用“可”。</w:t>
      </w:r>
    </w:p>
    <w:p>
      <w:pPr>
        <w:ind w:firstLine="0" w:firstLineChars="0"/>
        <w:rPr>
          <w:rFonts w:hint="eastAsia" w:ascii="宋体" w:hAnsi="宋体" w:cs="宋体"/>
          <w:szCs w:val="24"/>
        </w:rPr>
      </w:pPr>
      <w:r>
        <w:rPr>
          <w:rFonts w:cs="Times New Roman"/>
          <w:b/>
          <w:szCs w:val="24"/>
        </w:rPr>
        <w:t xml:space="preserve">2  </w:t>
      </w:r>
      <w:r>
        <w:rPr>
          <w:rFonts w:hint="eastAsia" w:cs="Times New Roman"/>
          <w:szCs w:val="24"/>
        </w:rPr>
        <w:t>标准</w:t>
      </w:r>
      <w:r>
        <w:rPr>
          <w:rFonts w:cs="Times New Roman"/>
          <w:szCs w:val="24"/>
        </w:rPr>
        <w:t>中指明应按其他有关标准执行时，写法为</w:t>
      </w:r>
      <w:r>
        <w:rPr>
          <w:rFonts w:hint="eastAsia" w:ascii="宋体" w:hAnsi="宋体" w:cs="宋体"/>
          <w:szCs w:val="24"/>
        </w:rPr>
        <w:t>：“应符合……的规定（或要求）”或“应按……执行”。</w:t>
      </w:r>
    </w:p>
    <w:p>
      <w:pPr>
        <w:ind w:firstLine="480"/>
        <w:rPr>
          <w:rFonts w:hint="eastAsia" w:asciiTheme="minorEastAsia" w:hAnsiTheme="minorEastAsia" w:cstheme="minorEastAsia"/>
          <w:szCs w:val="24"/>
        </w:rPr>
      </w:pPr>
      <w:r>
        <w:rPr>
          <w:rFonts w:hint="eastAsia" w:asciiTheme="minorEastAsia" w:hAnsiTheme="minorEastAsia" w:cstheme="minorEastAsia"/>
          <w:szCs w:val="24"/>
        </w:rPr>
        <w:br w:type="page"/>
      </w:r>
    </w:p>
    <w:p>
      <w:pPr>
        <w:pStyle w:val="2"/>
      </w:pPr>
      <w:bookmarkStart w:id="158" w:name="_Toc32423"/>
      <w:bookmarkStart w:id="159" w:name="_Toc12250"/>
      <w:bookmarkStart w:id="160" w:name="_Toc11326"/>
      <w:bookmarkStart w:id="161" w:name="_Toc22175"/>
      <w:bookmarkStart w:id="162" w:name="_Toc5897"/>
      <w:bookmarkStart w:id="163" w:name="_Toc14776"/>
      <w:bookmarkStart w:id="164" w:name="_Toc190813026"/>
      <w:r>
        <w:rPr>
          <w:rFonts w:hint="eastAsia"/>
          <w:sz w:val="32"/>
          <w:szCs w:val="48"/>
        </w:rPr>
        <w:t>引用标准名录</w:t>
      </w:r>
      <w:bookmarkEnd w:id="158"/>
      <w:bookmarkEnd w:id="159"/>
      <w:bookmarkEnd w:id="160"/>
      <w:bookmarkEnd w:id="161"/>
      <w:bookmarkEnd w:id="162"/>
      <w:bookmarkEnd w:id="163"/>
      <w:bookmarkEnd w:id="164"/>
    </w:p>
    <w:p>
      <w:pPr>
        <w:pStyle w:val="6"/>
        <w:wordWrap/>
        <w:rPr>
          <w:rFonts w:ascii="Times New Roman" w:hAnsi="Times New Roman" w:cstheme="minorBidi"/>
          <w:sz w:val="24"/>
        </w:rPr>
      </w:pPr>
      <w:r>
        <w:rPr>
          <w:rFonts w:hint="eastAsia" w:ascii="Times New Roman" w:hAnsi="Times New Roman" w:cstheme="minorBidi"/>
          <w:sz w:val="24"/>
        </w:rPr>
        <w:t>《全断面隧道掘进机 泥水平衡盾构机》GB/T 35019-2018</w:t>
      </w:r>
    </w:p>
    <w:p>
      <w:pPr>
        <w:pStyle w:val="6"/>
        <w:wordWrap/>
        <w:rPr>
          <w:rFonts w:ascii="Times New Roman" w:hAnsi="Times New Roman" w:cstheme="minorBidi"/>
          <w:sz w:val="24"/>
        </w:rPr>
      </w:pPr>
      <w:r>
        <w:rPr>
          <w:rFonts w:hint="eastAsia" w:ascii="Times New Roman" w:hAnsi="Times New Roman" w:cstheme="minorBidi"/>
          <w:sz w:val="24"/>
        </w:rPr>
        <w:t>《大直径泥水盾构施工技术指南》Q/CRCC 33301-2018</w:t>
      </w:r>
    </w:p>
    <w:p>
      <w:pPr>
        <w:pStyle w:val="6"/>
        <w:wordWrap/>
        <w:rPr>
          <w:rFonts w:ascii="Times New Roman" w:hAnsi="Times New Roman" w:cstheme="minorBidi"/>
          <w:sz w:val="24"/>
        </w:rPr>
      </w:pPr>
      <w:r>
        <w:rPr>
          <w:rFonts w:hint="eastAsia" w:ascii="Times New Roman" w:hAnsi="Times New Roman" w:cstheme="minorBidi"/>
          <w:sz w:val="24"/>
        </w:rPr>
        <w:t>《盾构渣土处理技术规程》T/CECS 1185-2022</w:t>
      </w:r>
    </w:p>
    <w:p>
      <w:pPr>
        <w:pStyle w:val="6"/>
        <w:wordWrap/>
        <w:rPr>
          <w:rFonts w:ascii="Times New Roman" w:hAnsi="Times New Roman" w:cstheme="minorBidi"/>
          <w:sz w:val="24"/>
        </w:rPr>
      </w:pPr>
      <w:r>
        <w:rPr>
          <w:rFonts w:hint="eastAsia" w:ascii="Times New Roman" w:hAnsi="Times New Roman" w:cstheme="minorBidi"/>
          <w:sz w:val="24"/>
        </w:rPr>
        <w:t>《工程废弃泥浆综合处理技术标准》T/CMEA 24-2022</w:t>
      </w:r>
    </w:p>
    <w:p>
      <w:pPr>
        <w:pStyle w:val="6"/>
        <w:wordWrap/>
        <w:rPr>
          <w:rFonts w:ascii="Times New Roman" w:hAnsi="Times New Roman" w:cstheme="minorBidi"/>
          <w:sz w:val="24"/>
        </w:rPr>
      </w:pPr>
      <w:r>
        <w:rPr>
          <w:rFonts w:hint="eastAsia" w:ascii="Times New Roman" w:hAnsi="Times New Roman" w:cstheme="minorBidi"/>
          <w:sz w:val="24"/>
        </w:rPr>
        <w:t>《施工现场建筑垃圾减量化技术标准》JGJ/T 498 -2024</w:t>
      </w:r>
    </w:p>
    <w:p>
      <w:pPr>
        <w:pStyle w:val="6"/>
        <w:wordWrap/>
        <w:rPr>
          <w:rFonts w:ascii="Times New Roman" w:hAnsi="Times New Roman" w:cstheme="minorBidi"/>
          <w:sz w:val="24"/>
        </w:rPr>
      </w:pPr>
      <w:r>
        <w:fldChar w:fldCharType="begin"/>
      </w:r>
      <w:r>
        <w:instrText xml:space="preserve"> HYPERLINK "https://www.baidu.com/link?url=m-YG55yfCzRycF7peOecCdBXHGonsBC3zGTbj0e2B_NjUcUnSuahcEadO8I209TpT-s88oIegjBqAa8e1RSdnHQKkYCIaTYqA0Cx27fkFTjDfyRMz6ME1vcNx8ILmq6x&amp;wd=&amp;eqid=8bd0c8c001111ce700000004677dda0c" \t "https://www.baidu.com/_blank" </w:instrText>
      </w:r>
      <w:r>
        <w:fldChar w:fldCharType="separate"/>
      </w:r>
      <w:r>
        <w:rPr>
          <w:rFonts w:hint="eastAsia" w:ascii="Times New Roman" w:hAnsi="Times New Roman" w:cstheme="minorBidi"/>
          <w:sz w:val="24"/>
        </w:rPr>
        <w:t>《</w:t>
      </w:r>
      <w:r>
        <w:rPr>
          <w:rFonts w:ascii="Times New Roman" w:hAnsi="Times New Roman" w:cstheme="minorBidi"/>
          <w:sz w:val="24"/>
        </w:rPr>
        <w:t>湖南省盾构渣土处理技术标准</w:t>
      </w:r>
      <w:r>
        <w:rPr>
          <w:rFonts w:ascii="Times New Roman" w:hAnsi="Times New Roman" w:cstheme="minorBidi"/>
          <w:sz w:val="24"/>
        </w:rPr>
        <w:fldChar w:fldCharType="end"/>
      </w:r>
      <w:r>
        <w:rPr>
          <w:rFonts w:hint="eastAsia" w:ascii="Times New Roman" w:hAnsi="Times New Roman" w:cstheme="minorBidi"/>
          <w:sz w:val="24"/>
        </w:rPr>
        <w:t>》</w:t>
      </w:r>
      <w:r>
        <w:rPr>
          <w:rFonts w:ascii="Times New Roman" w:hAnsi="Times New Roman" w:cstheme="minorBidi"/>
          <w:sz w:val="24"/>
        </w:rPr>
        <w:t>DBJ43/T515-2020</w:t>
      </w:r>
    </w:p>
    <w:p>
      <w:pPr>
        <w:pStyle w:val="6"/>
        <w:wordWrap/>
        <w:rPr>
          <w:rFonts w:ascii="Times New Roman" w:hAnsi="Times New Roman" w:cstheme="minorBidi"/>
          <w:sz w:val="24"/>
        </w:rPr>
      </w:pPr>
      <w:r>
        <w:rPr>
          <w:rFonts w:hint="eastAsia" w:ascii="Times New Roman" w:hAnsi="Times New Roman" w:cstheme="minorBidi"/>
          <w:sz w:val="24"/>
        </w:rPr>
        <w:t>《水质 阴离子表面活性剂的测定 亚甲蓝分光光度法》GB 7494</w:t>
      </w:r>
    </w:p>
    <w:p>
      <w:pPr>
        <w:pStyle w:val="6"/>
        <w:wordWrap/>
        <w:rPr>
          <w:rFonts w:ascii="Times New Roman" w:hAnsi="Times New Roman" w:cstheme="minorBidi"/>
          <w:sz w:val="24"/>
        </w:rPr>
      </w:pPr>
      <w:r>
        <w:rPr>
          <w:rFonts w:hint="eastAsia" w:ascii="Times New Roman" w:hAnsi="Times New Roman" w:cstheme="minorBidi"/>
          <w:sz w:val="24"/>
        </w:rPr>
        <w:t>《普通混凝土小型空心砌块》GB 8239</w:t>
      </w:r>
    </w:p>
    <w:p>
      <w:pPr>
        <w:pStyle w:val="6"/>
        <w:wordWrap/>
        <w:rPr>
          <w:rFonts w:ascii="Times New Roman" w:hAnsi="Times New Roman" w:cstheme="minorBidi"/>
          <w:sz w:val="24"/>
        </w:rPr>
      </w:pPr>
      <w:r>
        <w:rPr>
          <w:rFonts w:ascii="Times New Roman" w:hAnsi="Times New Roman" w:cstheme="minorBidi"/>
          <w:sz w:val="24"/>
        </w:rPr>
        <w:t>《建筑边坡工程技术规范》GB 50330</w:t>
      </w:r>
    </w:p>
    <w:p>
      <w:pPr>
        <w:pStyle w:val="6"/>
        <w:wordWrap/>
        <w:rPr>
          <w:rFonts w:ascii="Times New Roman" w:hAnsi="Times New Roman" w:cstheme="minorBidi"/>
          <w:sz w:val="24"/>
        </w:rPr>
      </w:pPr>
      <w:r>
        <w:rPr>
          <w:rFonts w:hint="eastAsia" w:ascii="Times New Roman" w:hAnsi="Times New Roman" w:cstheme="minorBidi"/>
          <w:sz w:val="24"/>
        </w:rPr>
        <w:t>《</w:t>
      </w:r>
      <w:r>
        <w:rPr>
          <w:rFonts w:ascii="Times New Roman" w:hAnsi="Times New Roman" w:cstheme="minorBidi"/>
          <w:sz w:val="24"/>
        </w:rPr>
        <w:t>城市环境卫生设施规划标准》GB/T 50337</w:t>
      </w:r>
    </w:p>
    <w:p>
      <w:pPr>
        <w:pStyle w:val="6"/>
        <w:wordWrap/>
        <w:rPr>
          <w:rFonts w:ascii="Times New Roman" w:hAnsi="Times New Roman" w:cstheme="minorBidi"/>
          <w:sz w:val="24"/>
        </w:rPr>
      </w:pPr>
      <w:r>
        <w:rPr>
          <w:rFonts w:hint="eastAsia" w:ascii="Times New Roman" w:hAnsi="Times New Roman" w:cstheme="minorBidi"/>
          <w:sz w:val="24"/>
        </w:rPr>
        <w:t>《蒸压加气混凝土砌块》GB/T 11968</w:t>
      </w:r>
    </w:p>
    <w:p>
      <w:pPr>
        <w:pStyle w:val="6"/>
        <w:wordWrap/>
        <w:rPr>
          <w:rFonts w:ascii="Times New Roman" w:hAnsi="Times New Roman" w:cstheme="minorBidi"/>
          <w:sz w:val="24"/>
        </w:rPr>
      </w:pPr>
      <w:r>
        <w:rPr>
          <w:rFonts w:hint="eastAsia" w:ascii="Times New Roman" w:hAnsi="Times New Roman" w:cstheme="minorBidi"/>
          <w:sz w:val="24"/>
        </w:rPr>
        <w:t>《</w:t>
      </w:r>
      <w:bookmarkStart w:id="165" w:name="OLE_LINK2"/>
      <w:r>
        <w:rPr>
          <w:rFonts w:hint="eastAsia" w:ascii="Times New Roman" w:hAnsi="Times New Roman" w:cstheme="minorBidi"/>
          <w:sz w:val="24"/>
        </w:rPr>
        <w:t>地下水质量</w:t>
      </w:r>
      <w:bookmarkEnd w:id="165"/>
      <w:r>
        <w:rPr>
          <w:rFonts w:hint="eastAsia" w:ascii="Times New Roman" w:hAnsi="Times New Roman" w:cstheme="minorBidi"/>
          <w:sz w:val="24"/>
        </w:rPr>
        <w:t>标准》GB/T 14848</w:t>
      </w:r>
    </w:p>
    <w:p>
      <w:pPr>
        <w:pStyle w:val="6"/>
        <w:wordWrap/>
        <w:rPr>
          <w:rFonts w:ascii="Times New Roman" w:hAnsi="Times New Roman" w:cstheme="minorBidi"/>
          <w:sz w:val="24"/>
        </w:rPr>
      </w:pPr>
      <w:r>
        <w:rPr>
          <w:rFonts w:hint="eastAsia" w:ascii="Times New Roman" w:hAnsi="Times New Roman" w:cstheme="minorBidi"/>
          <w:sz w:val="24"/>
        </w:rPr>
        <w:t>《轻集料混凝土小型空心砌块》GB/T 15229</w:t>
      </w:r>
    </w:p>
    <w:p>
      <w:pPr>
        <w:pStyle w:val="6"/>
        <w:wordWrap/>
        <w:rPr>
          <w:rFonts w:ascii="Times New Roman" w:hAnsi="Times New Roman" w:cstheme="minorBidi"/>
          <w:sz w:val="24"/>
        </w:rPr>
      </w:pPr>
      <w:r>
        <w:rPr>
          <w:rFonts w:ascii="Times New Roman" w:hAnsi="Times New Roman" w:cstheme="minorBidi"/>
          <w:sz w:val="24"/>
        </w:rPr>
        <w:t>《城市污水处理工厂污泥检验方法》CJ/T 221</w:t>
      </w:r>
    </w:p>
    <w:p>
      <w:pPr>
        <w:pStyle w:val="6"/>
        <w:wordWrap/>
        <w:rPr>
          <w:rFonts w:ascii="Times New Roman" w:hAnsi="Times New Roman" w:cstheme="minorBidi"/>
          <w:sz w:val="24"/>
        </w:rPr>
      </w:pPr>
      <w:r>
        <w:rPr>
          <w:rFonts w:hint="eastAsia" w:ascii="Times New Roman" w:hAnsi="Times New Roman" w:cstheme="minorBidi"/>
          <w:sz w:val="24"/>
        </w:rPr>
        <w:t>《再生骨料地面砖和透水砖》CJ/T 400</w:t>
      </w:r>
    </w:p>
    <w:p>
      <w:pPr>
        <w:pStyle w:val="6"/>
        <w:wordWrap/>
        <w:rPr>
          <w:rFonts w:ascii="Times New Roman" w:hAnsi="Times New Roman" w:cstheme="minorBidi"/>
          <w:sz w:val="24"/>
        </w:rPr>
      </w:pPr>
      <w:r>
        <w:rPr>
          <w:rFonts w:hint="eastAsia" w:ascii="Times New Roman" w:hAnsi="Times New Roman" w:cstheme="minorBidi"/>
          <w:sz w:val="24"/>
        </w:rPr>
        <w:t>《工程渣土免烧再生制品》JG/T 575</w:t>
      </w:r>
    </w:p>
    <w:p>
      <w:pPr>
        <w:pStyle w:val="6"/>
        <w:wordWrap/>
        <w:rPr>
          <w:rFonts w:ascii="Times New Roman" w:hAnsi="Times New Roman" w:cstheme="minorBidi"/>
          <w:sz w:val="24"/>
        </w:rPr>
      </w:pPr>
      <w:r>
        <w:rPr>
          <w:rFonts w:hint="eastAsia" w:ascii="Times New Roman" w:hAnsi="Times New Roman" w:cstheme="minorBidi"/>
          <w:sz w:val="24"/>
        </w:rPr>
        <w:t>《土壤和沉积物 铜、锌、铅、镍、铬的测定 火焰原子吸收分光光度法》HJ 491</w:t>
      </w:r>
    </w:p>
    <w:p>
      <w:pPr>
        <w:pStyle w:val="6"/>
        <w:wordWrap/>
        <w:rPr>
          <w:rFonts w:ascii="Times New Roman" w:hAnsi="Times New Roman" w:cstheme="minorBidi"/>
          <w:sz w:val="24"/>
        </w:rPr>
      </w:pPr>
      <w:r>
        <w:rPr>
          <w:rFonts w:hint="eastAsia" w:ascii="Times New Roman" w:hAnsi="Times New Roman" w:cstheme="minorBidi"/>
          <w:sz w:val="24"/>
        </w:rPr>
        <w:t>《土壤和沉积物 汞、砷、硒、铋、锑的测定 微波消解/原子荧光法》HJ 680</w:t>
      </w:r>
    </w:p>
    <w:p>
      <w:pPr>
        <w:pStyle w:val="6"/>
        <w:wordWrap/>
        <w:rPr>
          <w:rFonts w:ascii="Times New Roman" w:hAnsi="Times New Roman" w:cstheme="minorBidi"/>
          <w:sz w:val="24"/>
        </w:rPr>
      </w:pPr>
      <w:r>
        <w:rPr>
          <w:rFonts w:hint="eastAsia" w:ascii="Times New Roman" w:hAnsi="Times New Roman" w:cstheme="minorBidi"/>
          <w:sz w:val="24"/>
        </w:rPr>
        <w:t>《土壤和沉积物 12种金属元素的测定 王水提取-电感耦合等离子体质谱法》HJ 803</w:t>
      </w:r>
    </w:p>
    <w:p>
      <w:pPr>
        <w:pStyle w:val="6"/>
        <w:wordWrap/>
        <w:rPr>
          <w:rFonts w:ascii="Times New Roman" w:hAnsi="Times New Roman" w:cstheme="minorBidi"/>
          <w:sz w:val="24"/>
        </w:rPr>
      </w:pPr>
      <w:r>
        <w:rPr>
          <w:rFonts w:hint="eastAsia" w:ascii="Times New Roman" w:hAnsi="Times New Roman" w:cstheme="minorBidi"/>
          <w:sz w:val="24"/>
        </w:rPr>
        <w:t>《土壤和沉积物 11种元素的测定 碱熔-电感耦合等离子体质谱法》HJ 974</w:t>
      </w:r>
    </w:p>
    <w:p>
      <w:pPr>
        <w:pStyle w:val="6"/>
        <w:wordWrap/>
        <w:rPr>
          <w:rFonts w:ascii="Times New Roman" w:hAnsi="Times New Roman" w:cstheme="minorBidi"/>
          <w:sz w:val="24"/>
        </w:rPr>
      </w:pPr>
      <w:r>
        <w:rPr>
          <w:rFonts w:hint="eastAsia" w:ascii="Times New Roman" w:hAnsi="Times New Roman" w:cstheme="minorBidi"/>
          <w:sz w:val="24"/>
        </w:rPr>
        <w:t>《城镇道路工程施工与质量验收规范》CJJ</w:t>
      </w:r>
      <w:r>
        <w:rPr>
          <w:rFonts w:ascii="Times New Roman" w:hAnsi="Times New Roman" w:cstheme="minorBidi"/>
          <w:sz w:val="24"/>
        </w:rPr>
        <w:t xml:space="preserve"> </w:t>
      </w:r>
      <w:r>
        <w:rPr>
          <w:rFonts w:hint="eastAsia" w:ascii="Times New Roman" w:hAnsi="Times New Roman" w:cstheme="minorBidi"/>
          <w:sz w:val="24"/>
        </w:rPr>
        <w:t>1</w:t>
      </w:r>
    </w:p>
    <w:p>
      <w:pPr>
        <w:pStyle w:val="6"/>
        <w:wordWrap/>
        <w:rPr>
          <w:rFonts w:ascii="Times New Roman" w:hAnsi="Times New Roman" w:cstheme="minorBidi"/>
          <w:sz w:val="24"/>
        </w:rPr>
      </w:pPr>
      <w:r>
        <w:rPr>
          <w:rFonts w:hint="eastAsia" w:ascii="Times New Roman" w:hAnsi="Times New Roman" w:cstheme="minorBidi"/>
          <w:sz w:val="24"/>
        </w:rPr>
        <w:t>《公路路面基层施工技术细则》JTG/T F20</w:t>
      </w:r>
    </w:p>
    <w:p>
      <w:pPr>
        <w:pStyle w:val="6"/>
        <w:wordWrap/>
        <w:rPr>
          <w:rFonts w:ascii="Times New Roman" w:hAnsi="Times New Roman" w:cstheme="minorBidi"/>
          <w:sz w:val="24"/>
        </w:rPr>
      </w:pPr>
      <w:r>
        <w:rPr>
          <w:rFonts w:hint="eastAsia" w:ascii="Times New Roman" w:hAnsi="Times New Roman" w:cstheme="minorBidi"/>
          <w:sz w:val="24"/>
        </w:rPr>
        <w:t>《再生骨料应用技术规程》JGJ/T 240</w:t>
      </w:r>
    </w:p>
    <w:p>
      <w:pPr>
        <w:pStyle w:val="6"/>
        <w:wordWrap/>
        <w:rPr>
          <w:rFonts w:ascii="Times New Roman" w:hAnsi="Times New Roman" w:cstheme="minorBidi"/>
          <w:sz w:val="24"/>
        </w:rPr>
      </w:pPr>
      <w:r>
        <w:rPr>
          <w:rFonts w:hint="eastAsia" w:ascii="Times New Roman" w:hAnsi="Times New Roman" w:cstheme="minorBidi"/>
          <w:sz w:val="24"/>
        </w:rPr>
        <w:t>《建筑垃圾再生骨料实心砖》JG/T 505</w:t>
      </w:r>
    </w:p>
    <w:p>
      <w:pPr>
        <w:pStyle w:val="6"/>
        <w:wordWrap/>
        <w:rPr>
          <w:rFonts w:ascii="Times New Roman" w:hAnsi="Times New Roman" w:cstheme="minorBidi"/>
          <w:sz w:val="24"/>
        </w:rPr>
      </w:pPr>
      <w:r>
        <w:rPr>
          <w:rFonts w:hint="eastAsia" w:ascii="Times New Roman" w:hAnsi="Times New Roman" w:cstheme="minorBidi"/>
          <w:sz w:val="24"/>
        </w:rPr>
        <w:t>《蒸压灰砂多孔砖》JC/T 637</w:t>
      </w:r>
    </w:p>
    <w:p>
      <w:pPr>
        <w:pStyle w:val="6"/>
        <w:wordWrap/>
        <w:rPr>
          <w:rFonts w:ascii="Times New Roman" w:hAnsi="Times New Roman" w:cstheme="minorBidi"/>
          <w:sz w:val="24"/>
        </w:rPr>
      </w:pPr>
      <w:r>
        <w:rPr>
          <w:rFonts w:hint="eastAsia" w:ascii="Times New Roman" w:hAnsi="Times New Roman" w:cstheme="minorBidi"/>
          <w:sz w:val="24"/>
        </w:rPr>
        <w:t>《装饰混凝土砌块》JC/T 641</w:t>
      </w:r>
    </w:p>
    <w:p>
      <w:pPr>
        <w:pStyle w:val="6"/>
        <w:wordWrap/>
        <w:rPr>
          <w:rFonts w:ascii="Times New Roman" w:hAnsi="Times New Roman" w:cstheme="minorBidi"/>
          <w:sz w:val="24"/>
        </w:rPr>
      </w:pPr>
      <w:r>
        <w:rPr>
          <w:rFonts w:hint="eastAsia" w:ascii="Times New Roman" w:hAnsi="Times New Roman" w:cstheme="minorBidi"/>
          <w:sz w:val="24"/>
        </w:rPr>
        <w:t>《道路用建筑垃圾再生骨料无机混合料》JC/T 2281</w:t>
      </w:r>
    </w:p>
    <w:p>
      <w:pPr>
        <w:pStyle w:val="6"/>
        <w:wordWrap/>
        <w:rPr>
          <w:rFonts w:ascii="Times New Roman" w:hAnsi="Times New Roman" w:cstheme="minorBidi"/>
          <w:sz w:val="24"/>
        </w:rPr>
      </w:pPr>
      <w:r>
        <w:rPr>
          <w:rFonts w:hint="eastAsia" w:ascii="Times New Roman" w:hAnsi="Times New Roman" w:cstheme="minorBidi"/>
          <w:sz w:val="24"/>
        </w:rPr>
        <w:t>《土壤pH的测定》NY/T 1377</w:t>
      </w:r>
    </w:p>
    <w:p>
      <w:pPr>
        <w:pStyle w:val="6"/>
        <w:wordWrap/>
        <w:rPr>
          <w:rFonts w:ascii="Times New Roman" w:hAnsi="Times New Roman" w:cstheme="minorBidi"/>
          <w:sz w:val="24"/>
        </w:rPr>
      </w:pPr>
      <w:r>
        <w:rPr>
          <w:rFonts w:ascii="Times New Roman" w:hAnsi="Times New Roman" w:cstheme="minorBidi"/>
          <w:sz w:val="24"/>
        </w:rPr>
        <w:t>《</w:t>
      </w:r>
      <w:bookmarkStart w:id="166" w:name="OLE_LINK1"/>
      <w:r>
        <w:rPr>
          <w:rFonts w:ascii="Times New Roman" w:hAnsi="Times New Roman" w:cstheme="minorBidi"/>
          <w:sz w:val="24"/>
        </w:rPr>
        <w:t>地表水环境质量标准</w:t>
      </w:r>
      <w:bookmarkEnd w:id="166"/>
      <w:r>
        <w:rPr>
          <w:rFonts w:ascii="Times New Roman" w:hAnsi="Times New Roman" w:cstheme="minorBidi"/>
          <w:sz w:val="24"/>
        </w:rPr>
        <w:t>》GB 3838</w:t>
      </w:r>
    </w:p>
    <w:p>
      <w:pPr>
        <w:pStyle w:val="6"/>
        <w:wordWrap/>
        <w:rPr>
          <w:rFonts w:ascii="Times New Roman" w:hAnsi="Times New Roman" w:cstheme="minorBidi"/>
          <w:sz w:val="24"/>
        </w:rPr>
      </w:pPr>
      <w:r>
        <w:rPr>
          <w:rFonts w:ascii="Times New Roman" w:hAnsi="Times New Roman" w:cstheme="minorBidi"/>
          <w:sz w:val="24"/>
        </w:rPr>
        <w:t>《污水综合排放标准》GB 8978</w:t>
      </w:r>
    </w:p>
    <w:p>
      <w:pPr>
        <w:pStyle w:val="6"/>
        <w:wordWrap/>
        <w:rPr>
          <w:rFonts w:ascii="Times New Roman" w:hAnsi="Times New Roman" w:cstheme="minorBidi"/>
          <w:sz w:val="24"/>
        </w:rPr>
      </w:pPr>
      <w:r>
        <w:rPr>
          <w:rFonts w:hint="eastAsia" w:ascii="Times New Roman" w:hAnsi="Times New Roman" w:cstheme="minorBidi"/>
          <w:sz w:val="24"/>
        </w:rPr>
        <w:t>《土壤环境质量标准 农业用地标准》GB 15618</w:t>
      </w:r>
    </w:p>
    <w:p>
      <w:pPr>
        <w:pStyle w:val="6"/>
        <w:wordWrap/>
        <w:rPr>
          <w:rFonts w:ascii="Times New Roman" w:hAnsi="Times New Roman" w:cstheme="minorBidi"/>
          <w:sz w:val="24"/>
        </w:rPr>
      </w:pPr>
      <w:r>
        <w:rPr>
          <w:rFonts w:hint="eastAsia" w:ascii="Times New Roman" w:hAnsi="Times New Roman" w:cstheme="minorBidi"/>
          <w:sz w:val="24"/>
        </w:rPr>
        <w:t>《城市污水再生利用工业用水水质》GB/T 19923</w:t>
      </w:r>
    </w:p>
    <w:p>
      <w:pPr>
        <w:pStyle w:val="6"/>
        <w:wordWrap/>
        <w:rPr>
          <w:rFonts w:ascii="Times New Roman" w:hAnsi="Times New Roman" w:cstheme="minorBidi"/>
          <w:sz w:val="24"/>
        </w:rPr>
      </w:pPr>
      <w:r>
        <w:rPr>
          <w:rFonts w:hint="eastAsia" w:ascii="Times New Roman" w:hAnsi="Times New Roman" w:cstheme="minorBidi"/>
          <w:sz w:val="24"/>
        </w:rPr>
        <w:t>《混凝土和砂浆用再生细骨料》GB/T 25176</w:t>
      </w:r>
    </w:p>
    <w:p>
      <w:pPr>
        <w:pStyle w:val="6"/>
        <w:wordWrap/>
        <w:rPr>
          <w:rFonts w:ascii="Times New Roman" w:hAnsi="Times New Roman" w:cstheme="minorBidi"/>
          <w:sz w:val="24"/>
        </w:rPr>
      </w:pPr>
      <w:r>
        <w:rPr>
          <w:rFonts w:hint="eastAsia" w:ascii="Times New Roman" w:hAnsi="Times New Roman" w:cstheme="minorBidi"/>
          <w:sz w:val="24"/>
        </w:rPr>
        <w:t>《混凝土用再生粗骨料》GB/T 25177</w:t>
      </w:r>
    </w:p>
    <w:p>
      <w:pPr>
        <w:pStyle w:val="6"/>
        <w:wordWrap/>
        <w:rPr>
          <w:rFonts w:ascii="Times New Roman" w:hAnsi="Times New Roman" w:cstheme="minorBidi"/>
          <w:sz w:val="24"/>
        </w:rPr>
      </w:pPr>
      <w:r>
        <w:rPr>
          <w:rFonts w:hint="eastAsia" w:ascii="Times New Roman" w:hAnsi="Times New Roman" w:cstheme="minorBidi"/>
          <w:sz w:val="24"/>
        </w:rPr>
        <w:t>《土壤环境质量标准 建设用地标准》GB 36600</w:t>
      </w:r>
    </w:p>
    <w:p>
      <w:pPr>
        <w:pStyle w:val="6"/>
        <w:wordWrap/>
        <w:rPr>
          <w:rFonts w:ascii="Times New Roman" w:hAnsi="Times New Roman" w:cstheme="minorBidi"/>
          <w:sz w:val="24"/>
        </w:rPr>
      </w:pPr>
      <w:r>
        <w:rPr>
          <w:rFonts w:hint="eastAsia" w:ascii="Times New Roman" w:hAnsi="Times New Roman" w:cstheme="minorBidi"/>
          <w:sz w:val="24"/>
        </w:rPr>
        <w:t>《建筑废弃物再生工厂设计标准》GB 51322</w:t>
      </w:r>
    </w:p>
    <w:p>
      <w:pPr>
        <w:pStyle w:val="6"/>
        <w:wordWrap/>
        <w:rPr>
          <w:rFonts w:ascii="Times New Roman" w:hAnsi="Times New Roman" w:cstheme="minorBidi"/>
          <w:sz w:val="24"/>
        </w:rPr>
      </w:pPr>
      <w:r>
        <w:rPr>
          <w:rFonts w:hint="eastAsia" w:ascii="Times New Roman" w:hAnsi="Times New Roman" w:cstheme="minorBidi"/>
          <w:sz w:val="24"/>
        </w:rPr>
        <w:t>《建筑垃圾处理技术标准》CJJ</w:t>
      </w:r>
      <w:r>
        <w:rPr>
          <w:rFonts w:ascii="Times New Roman" w:hAnsi="Times New Roman" w:cstheme="minorBidi"/>
          <w:sz w:val="24"/>
        </w:rPr>
        <w:t>/T</w:t>
      </w:r>
      <w:r>
        <w:rPr>
          <w:rFonts w:hint="eastAsia" w:ascii="Times New Roman" w:hAnsi="Times New Roman" w:cstheme="minorBidi"/>
          <w:sz w:val="24"/>
        </w:rPr>
        <w:t xml:space="preserve"> 134</w:t>
      </w:r>
    </w:p>
    <w:p>
      <w:pPr>
        <w:pStyle w:val="6"/>
        <w:wordWrap/>
        <w:rPr>
          <w:rFonts w:ascii="Times New Roman" w:hAnsi="Times New Roman" w:cstheme="minorBidi"/>
          <w:sz w:val="24"/>
        </w:rPr>
      </w:pPr>
      <w:r>
        <w:rPr>
          <w:rFonts w:hint="eastAsia" w:ascii="Times New Roman" w:hAnsi="Times New Roman" w:cstheme="minorBidi"/>
          <w:sz w:val="24"/>
        </w:rPr>
        <w:t>《公路水泥混凝土路面设计规范》JTG D40</w:t>
      </w:r>
    </w:p>
    <w:p>
      <w:pPr>
        <w:pStyle w:val="6"/>
        <w:wordWrap/>
        <w:rPr>
          <w:rFonts w:ascii="Times New Roman" w:hAnsi="Times New Roman" w:cstheme="minorBidi"/>
          <w:sz w:val="24"/>
        </w:rPr>
      </w:pPr>
      <w:r>
        <w:rPr>
          <w:rFonts w:hint="eastAsia" w:ascii="Times New Roman" w:hAnsi="Times New Roman" w:cstheme="minorBidi"/>
          <w:sz w:val="24"/>
        </w:rPr>
        <w:t>《公路工程集料试验规程》JTG E42</w:t>
      </w:r>
    </w:p>
    <w:p>
      <w:pPr>
        <w:pStyle w:val="6"/>
        <w:wordWrap/>
        <w:rPr>
          <w:rFonts w:ascii="Times New Roman" w:hAnsi="Times New Roman" w:cstheme="minorBidi"/>
          <w:sz w:val="24"/>
        </w:rPr>
      </w:pPr>
      <w:r>
        <w:rPr>
          <w:rFonts w:hint="eastAsia" w:ascii="Times New Roman" w:hAnsi="Times New Roman" w:cstheme="minorBidi"/>
          <w:sz w:val="24"/>
        </w:rPr>
        <w:t>《公路水泥混凝土路面施工技术细则》JTG/T F30</w:t>
      </w:r>
    </w:p>
    <w:p>
      <w:pPr>
        <w:pStyle w:val="6"/>
        <w:wordWrap/>
        <w:rPr>
          <w:rFonts w:ascii="Times New Roman" w:hAnsi="Times New Roman" w:cstheme="minorBidi"/>
          <w:sz w:val="24"/>
        </w:rPr>
      </w:pPr>
      <w:r>
        <w:rPr>
          <w:rFonts w:hint="eastAsia" w:ascii="Times New Roman" w:hAnsi="Times New Roman" w:cstheme="minorBidi"/>
          <w:sz w:val="24"/>
        </w:rPr>
        <w:t>《公路水泥混凝土路面再生利用技术细则》JGT/T F31</w:t>
      </w:r>
    </w:p>
    <w:p>
      <w:pPr>
        <w:pStyle w:val="6"/>
        <w:wordWrap/>
        <w:rPr>
          <w:rFonts w:ascii="Times New Roman" w:hAnsi="Times New Roman" w:cstheme="minorBidi"/>
          <w:sz w:val="24"/>
        </w:rPr>
      </w:pPr>
      <w:r>
        <w:rPr>
          <w:rFonts w:hint="eastAsia" w:ascii="Times New Roman" w:hAnsi="Times New Roman" w:cstheme="minorBidi"/>
          <w:sz w:val="24"/>
        </w:rPr>
        <w:t>《公路桥涵施工技术规范》JTG/T F50</w:t>
      </w:r>
    </w:p>
    <w:p>
      <w:pPr>
        <w:pStyle w:val="6"/>
        <w:wordWrap/>
        <w:rPr>
          <w:rFonts w:ascii="Times New Roman" w:hAnsi="Times New Roman" w:cstheme="minorBidi"/>
          <w:sz w:val="24"/>
        </w:rPr>
      </w:pPr>
      <w:r>
        <w:rPr>
          <w:rFonts w:ascii="Times New Roman" w:hAnsi="Times New Roman" w:cstheme="minorBidi"/>
          <w:sz w:val="24"/>
        </w:rPr>
        <w:t>《混凝土和砂浆用再生微粉》JC/T 573</w:t>
      </w:r>
    </w:p>
    <w:sectPr>
      <w:footerReference r:id="rId13"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GB2312">
    <w:altName w:val="仿宋"/>
    <w:panose1 w:val="00000000000000000000"/>
    <w:charset w:val="86"/>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9264" behindDoc="0" locked="0" layoutInCell="1" allowOverlap="1">
              <wp:simplePos x="0" y="0"/>
              <wp:positionH relativeFrom="margin">
                <wp:posOffset>2273935</wp:posOffset>
              </wp:positionH>
              <wp:positionV relativeFrom="paragraph">
                <wp:posOffset>16510</wp:posOffset>
              </wp:positionV>
              <wp:extent cx="509270" cy="147320"/>
              <wp:effectExtent l="0" t="0" r="5080" b="5715"/>
              <wp:wrapNone/>
              <wp:docPr id="2" name="文本框 2"/>
              <wp:cNvGraphicFramePr/>
              <a:graphic xmlns:a="http://schemas.openxmlformats.org/drawingml/2006/main">
                <a:graphicData uri="http://schemas.microsoft.com/office/word/2010/wordprocessingShape">
                  <wps:wsp>
                    <wps:cNvSpPr txBox="1"/>
                    <wps:spPr>
                      <a:xfrm>
                        <a:off x="0" y="0"/>
                        <a:ext cx="509304" cy="14705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79.05pt;margin-top:1.3pt;height:11.6pt;width:40.1pt;mso-position-horizontal-relative:margin;z-index:251659264;mso-width-relative:page;mso-height-relative:page;" filled="f" stroked="f" coordsize="21600,21600" o:gfxdata="UEsDBAoAAAAAAIdO4kAAAAAAAAAAAAAAAAAEAAAAZHJzL1BLAwQUAAAACACHTuJAACXY3dcAAAAI&#10;AQAADwAAAGRycy9kb3ducmV2LnhtbE2Py07DMBRE90j8g3WR2FE7Da2iEKcLHjsepVCp7Jz4kkT4&#10;EdlOWv6eywqWoxnNnKk2J2vYjCEO3knIFgIYutbrwXUS3t8ergpgMSmnlfEOJXxjhE19flapUvuj&#10;e8V5lzpGJS6WSkKf0lhyHtserYoLP6Ij79MHqxLJ0HEd1JHKreFLIdbcqsHRQq9GvO2x/dpNVoI5&#10;xPDYiPQx33VPafvCp/199izl5UUmboAlPKW/MPziEzrUxNT4yenIjIR8VWQUlbBcAyP/Oi9yYA3p&#10;VQG8rvj/A/UPUEsDBBQAAAAIAIdO4kAKRE+uMQIAAFUEAAAOAAAAZHJzL2Uyb0RvYy54bWytVM2O&#10;0zAQviPxDpbvNGl3u0DVdFW2KkJasSsVxNl1nMaS7TG226Q8ALwBJy7cea4+B2Mn6aKFwx64uJP5&#10;/76Z6fy61YochPMSTEHHo5wSYTiU0uwK+vHD+sUrSnxgpmQKjCjoUXh6vXj+bN7YmZhADaoUjmAS&#10;42eNLWgdgp1lmee10MyPwAqDxgqcZgE/3S4rHWswu1bZJM+vsgZcaR1w4T1qV52R9hndUxJCVUku&#10;VsD3WpjQZXVCsYCQfC2tp4vUbVUJHu6qyotAVEERaUgvFkF5G99sMWeznWO2lrxvgT2lhUeYNJMG&#10;i55TrVhgZO/kX6m05A48VGHEQWcdkMQIohjnj7jZ1MyKhAWp9vZMuv9/afn7w70jsizohBLDNA78&#10;9P3b6cev08+vZBLpaayfodfGol9o30CLSzPoPSoj6rZyOv4iHoJ2JPd4Jle0gXBUTvPXF/klJRxN&#10;48uX+TRlzx6CrfPhrQBNolBQh7NLlLLDrQ/YCLoOLrGWgbVUKs1PGdIU9OpimqeAswUjlMHACKFr&#10;NUqh3bY9ri2UR4TloNsLb/laYvFb5sM9c7gIiARPJdzhUynAItBLlNTgvvxLH/1xPmilpMHFKqj/&#10;vGdOUKLeGZxc3MJBcIOwHQSz1zeAuzrGI7Q8iRjgghrEyoH+hBe0jFXQxAzHWgUNg3gTuvXGC+Ri&#10;uUxOuGuWhVuzsTym7uhb7gNUMjEbaem46NnCbUuE95cR1/nP7+T18G+w+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AJdjd1wAAAAgBAAAPAAAAAAAAAAEAIAAAACIAAABkcnMvZG93bnJldi54bWxQ&#10;SwECFAAUAAAACACHTuJACkRPrjECAABVBAAADgAAAAAAAAABACAAAAAmAQAAZHJzL2Uyb0RvYy54&#10;bWxQSwUGAAAAAAYABgBZAQAAyQUAAAAA&#10;">
              <v:fill on="f" focussize="0,0"/>
              <v:stroke on="f" weight="0.5pt"/>
              <v:imagedata o:title=""/>
              <o:lock v:ext="edit" aspectratio="f"/>
              <v:textbox inset="0mm,0mm,0mm,0mm">
                <w:txbxContent>
                  <w:p>
                    <w:pPr>
                      <w:pStyle w:val="9"/>
                      <w:ind w:firstLine="360"/>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61312" behindDoc="0" locked="0" layoutInCell="1" allowOverlap="1">
              <wp:simplePos x="0" y="0"/>
              <wp:positionH relativeFrom="margin">
                <wp:posOffset>2273935</wp:posOffset>
              </wp:positionH>
              <wp:positionV relativeFrom="paragraph">
                <wp:posOffset>16510</wp:posOffset>
              </wp:positionV>
              <wp:extent cx="509270" cy="14732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09304" cy="14705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79.05pt;margin-top:1.3pt;height:11.6pt;width:40.1pt;mso-position-horizontal-relative:margin;z-index:251661312;mso-width-relative:page;mso-height-relative:page;" filled="f" stroked="f" coordsize="21600,21600" o:gfxdata="UEsDBAoAAAAAAIdO4kAAAAAAAAAAAAAAAAAEAAAAZHJzL1BLAwQUAAAACACHTuJAACXY3dcAAAAI&#10;AQAADwAAAGRycy9kb3ducmV2LnhtbE2Py07DMBRE90j8g3WR2FE7Da2iEKcLHjsepVCp7Jz4kkT4&#10;EdlOWv6eywqWoxnNnKk2J2vYjCEO3knIFgIYutbrwXUS3t8ergpgMSmnlfEOJXxjhE19flapUvuj&#10;e8V5lzpGJS6WSkKf0lhyHtserYoLP6Ij79MHqxLJ0HEd1JHKreFLIdbcqsHRQq9GvO2x/dpNVoI5&#10;xPDYiPQx33VPafvCp/199izl5UUmboAlPKW/MPziEzrUxNT4yenIjIR8VWQUlbBcAyP/Oi9yYA3p&#10;VQG8rvj/A/UPUEsDBBQAAAAIAIdO4kCgRhuhMgIAAFUEAAAOAAAAZHJzL2Uyb0RvYy54bWytVM1u&#10;EzEQviPxDpbvZDdpUyDKpgqNgpAqWikgzo7XzlqyPcZ2shseAN6AExfuPFeeg/H+pKhw6IGLMzsz&#10;/sbfNzOZXzdGk4PwQYEt6HiUUyIsh1LZXUE/fli/eEVJiMyWTIMVBT2KQK8Xz5/NazcTE6hAl8IT&#10;BLFhVruCVjG6WZYFXgnDwgicsBiU4A2L+Ol3WelZjehGZ5M8v8pq8KXzwEUI6F11Qdoj+qcAgpSK&#10;ixXwvRE2dqheaBaRUqiUC3TRvlZKweOdlEFEoguKTGN7YhG0t+nMFnM223nmKsX7J7CnPOERJ8OU&#10;xaJnqBWLjOy9+gvKKO4hgIwjDibriLSKIItx/kibTcWcaLmg1MGdRQ//D5a/P9x7osqCTimxzGDD&#10;T9+/nX78Ov38SqZJntqFGWZtHObF5g00ODSDP6AzsW6kN+kX+RCMo7jHs7iiiYSjc5q/vsgvKeEY&#10;Gl++zKeThJI9XHY+xLcCDElGQT32rpWUHW5D7FKHlFTLwlpp3fZPW1IX9OpimrcXzhEE1xZrJArd&#10;U5MVm23T89pCeURaHrq5CI6vFRa/ZSHeM4+DgExwVeIdHlIDFoHeoqQC/+Vf/pSP/cEoJTUOVkHD&#10;5z3zghL9zmLn0hQOhh+M7WDYvbkBnNUxLqHjrYkXfNSDKT2YT7hBy1QFQ8xyrFXQOJg3sRtv3EAu&#10;lss2CWfNsXhrN44n6E6+5T6CVK2ySZZOi14tnLa2N/1mpHH+87vNevg3WP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CXY3dcAAAAIAQAADwAAAAAAAAABACAAAAAiAAAAZHJzL2Rvd25yZXYueG1s&#10;UEsBAhQAFAAAAAgAh07iQKBGG6EyAgAAVQQAAA4AAAAAAAAAAQAgAAAAJgEAAGRycy9lMm9Eb2Mu&#10;eG1sUEsFBgAAAAAGAAYAWQEAAMoFAAAAAA==&#10;">
              <v:fill on="f" focussize="0,0"/>
              <v:stroke on="f" weight="0.5pt"/>
              <v:imagedata o:title=""/>
              <o:lock v:ext="edit" aspectratio="f"/>
              <v:textbox inset="0mm,0mm,0mm,0mm">
                <w:txbxContent>
                  <w:p>
                    <w:pPr>
                      <w:pStyle w:val="9"/>
                      <w:ind w:firstLine="360"/>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9"/>
                      <w:ind w:firstLine="36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B8301"/>
    <w:multiLevelType w:val="multilevel"/>
    <w:tmpl w:val="845B8301"/>
    <w:lvl w:ilvl="0" w:tentative="0">
      <w:start w:val="1"/>
      <w:numFmt w:val="decimal"/>
      <w:lvlText w:val="8.1.%1"/>
      <w:lvlJc w:val="left"/>
      <w:pPr>
        <w:tabs>
          <w:tab w:val="left" w:pos="0"/>
        </w:tabs>
        <w:ind w:left="0" w:firstLine="480"/>
      </w:pPr>
      <w:rPr>
        <w:rFonts w:hint="default" w:ascii="Times New Roman" w:hAnsi="Times New Roman" w:eastAsia="宋体" w:cs="宋体"/>
        <w:b/>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8D676A2E"/>
    <w:multiLevelType w:val="singleLevel"/>
    <w:tmpl w:val="8D676A2E"/>
    <w:lvl w:ilvl="0" w:tentative="0">
      <w:start w:val="1"/>
      <w:numFmt w:val="decimal"/>
      <w:suff w:val="space"/>
      <w:lvlText w:val="%1."/>
      <w:lvlJc w:val="left"/>
    </w:lvl>
  </w:abstractNum>
  <w:abstractNum w:abstractNumId="2">
    <w:nsid w:val="9007B264"/>
    <w:multiLevelType w:val="singleLevel"/>
    <w:tmpl w:val="9007B264"/>
    <w:lvl w:ilvl="0" w:tentative="0">
      <w:start w:val="1"/>
      <w:numFmt w:val="decimal"/>
      <w:lvlText w:val="3.0.%1"/>
      <w:lvlJc w:val="left"/>
      <w:pPr>
        <w:ind w:left="0" w:leftChars="0" w:firstLine="0" w:firstLineChars="0"/>
      </w:pPr>
      <w:rPr>
        <w:rFonts w:hint="default" w:ascii="Times New Roman" w:hAnsi="Times New Roman" w:eastAsia="宋体" w:cs="宋体"/>
        <w:b/>
        <w:bCs/>
        <w:sz w:val="24"/>
        <w:szCs w:val="24"/>
      </w:rPr>
    </w:lvl>
  </w:abstractNum>
  <w:abstractNum w:abstractNumId="3">
    <w:nsid w:val="9EB3D79B"/>
    <w:multiLevelType w:val="singleLevel"/>
    <w:tmpl w:val="9EB3D79B"/>
    <w:lvl w:ilvl="0" w:tentative="0">
      <w:start w:val="1"/>
      <w:numFmt w:val="decimal"/>
      <w:lvlText w:val="6.2.%1"/>
      <w:lvlJc w:val="left"/>
      <w:pPr>
        <w:ind w:left="440" w:hanging="440"/>
      </w:pPr>
      <w:rPr>
        <w:rFonts w:hint="default" w:ascii="Times New Roman" w:hAnsi="Times New Roman" w:eastAsia="Times New Roman" w:cs="宋体"/>
        <w:b/>
        <w:sz w:val="24"/>
      </w:rPr>
    </w:lvl>
  </w:abstractNum>
  <w:abstractNum w:abstractNumId="4">
    <w:nsid w:val="BA7E7E90"/>
    <w:multiLevelType w:val="singleLevel"/>
    <w:tmpl w:val="BA7E7E90"/>
    <w:lvl w:ilvl="0" w:tentative="0">
      <w:start w:val="1"/>
      <w:numFmt w:val="decimal"/>
      <w:suff w:val="nothing"/>
      <w:lvlText w:val="%1."/>
      <w:lvlJc w:val="left"/>
    </w:lvl>
  </w:abstractNum>
  <w:abstractNum w:abstractNumId="5">
    <w:nsid w:val="C10B1D46"/>
    <w:multiLevelType w:val="singleLevel"/>
    <w:tmpl w:val="C10B1D46"/>
    <w:lvl w:ilvl="0" w:tentative="0">
      <w:start w:val="1"/>
      <w:numFmt w:val="decimal"/>
      <w:suff w:val="nothing"/>
      <w:lvlText w:val="%1."/>
      <w:lvlJc w:val="left"/>
    </w:lvl>
  </w:abstractNum>
  <w:abstractNum w:abstractNumId="6">
    <w:nsid w:val="DCA46995"/>
    <w:multiLevelType w:val="singleLevel"/>
    <w:tmpl w:val="DCA46995"/>
    <w:lvl w:ilvl="0" w:tentative="0">
      <w:start w:val="1"/>
      <w:numFmt w:val="decimal"/>
      <w:lvlText w:val="5.3.%1"/>
      <w:lvlJc w:val="left"/>
      <w:pPr>
        <w:tabs>
          <w:tab w:val="left" w:pos="0"/>
        </w:tabs>
        <w:ind w:left="0" w:firstLine="0"/>
      </w:pPr>
      <w:rPr>
        <w:rFonts w:hint="default" w:ascii="Times New Roman" w:hAnsi="Times New Roman" w:eastAsia="Times New Roman" w:cs="Times New Roman"/>
        <w:b/>
        <w:sz w:val="24"/>
      </w:rPr>
    </w:lvl>
  </w:abstractNum>
  <w:abstractNum w:abstractNumId="7">
    <w:nsid w:val="E17FEEFA"/>
    <w:multiLevelType w:val="singleLevel"/>
    <w:tmpl w:val="E17FEEFA"/>
    <w:lvl w:ilvl="0" w:tentative="0">
      <w:start w:val="1"/>
      <w:numFmt w:val="decimal"/>
      <w:lvlText w:val="6.1.%1"/>
      <w:lvlJc w:val="left"/>
      <w:pPr>
        <w:tabs>
          <w:tab w:val="left" w:pos="0"/>
        </w:tabs>
        <w:ind w:left="0" w:firstLine="0"/>
      </w:pPr>
      <w:rPr>
        <w:rFonts w:hint="default" w:ascii="Times New Roman" w:hAnsi="Times New Roman" w:eastAsia="Times New Roman" w:cs="Times New Roman"/>
        <w:b/>
        <w:sz w:val="24"/>
      </w:rPr>
    </w:lvl>
  </w:abstractNum>
  <w:abstractNum w:abstractNumId="8">
    <w:nsid w:val="F6C93B65"/>
    <w:multiLevelType w:val="singleLevel"/>
    <w:tmpl w:val="F6C93B65"/>
    <w:lvl w:ilvl="0" w:tentative="0">
      <w:start w:val="1"/>
      <w:numFmt w:val="decimal"/>
      <w:lvlText w:val="2.0.%1"/>
      <w:lvlJc w:val="left"/>
      <w:pPr>
        <w:ind w:left="420" w:hanging="420"/>
      </w:pPr>
      <w:rPr>
        <w:rFonts w:hint="default" w:ascii="Times New Roman" w:hAnsi="Times New Roman" w:eastAsia="宋体" w:cs="Times New Roman"/>
        <w:b/>
        <w:bCs/>
        <w:sz w:val="24"/>
        <w:szCs w:val="24"/>
      </w:rPr>
    </w:lvl>
  </w:abstractNum>
  <w:abstractNum w:abstractNumId="9">
    <w:nsid w:val="0C55B3A5"/>
    <w:multiLevelType w:val="singleLevel"/>
    <w:tmpl w:val="0C55B3A5"/>
    <w:lvl w:ilvl="0" w:tentative="0">
      <w:start w:val="1"/>
      <w:numFmt w:val="decimal"/>
      <w:lvlText w:val="5.1.%1"/>
      <w:lvlJc w:val="left"/>
      <w:pPr>
        <w:tabs>
          <w:tab w:val="left" w:pos="0"/>
        </w:tabs>
        <w:ind w:left="0" w:firstLine="0"/>
      </w:pPr>
      <w:rPr>
        <w:rFonts w:hint="default" w:ascii="Times New Roman" w:hAnsi="Times New Roman" w:eastAsia="Times New Roman" w:cs="Times New Roman"/>
        <w:b/>
        <w:sz w:val="24"/>
      </w:rPr>
    </w:lvl>
  </w:abstractNum>
  <w:abstractNum w:abstractNumId="10">
    <w:nsid w:val="0F9F5CBA"/>
    <w:multiLevelType w:val="singleLevel"/>
    <w:tmpl w:val="0F9F5CBA"/>
    <w:lvl w:ilvl="0" w:tentative="0">
      <w:start w:val="1"/>
      <w:numFmt w:val="decimal"/>
      <w:lvlText w:val="1.0.%1"/>
      <w:lvlJc w:val="left"/>
      <w:pPr>
        <w:tabs>
          <w:tab w:val="left" w:pos="420"/>
        </w:tabs>
        <w:ind w:left="425" w:hanging="425"/>
      </w:pPr>
      <w:rPr>
        <w:rFonts w:hint="default" w:ascii="Times New Roman" w:hAnsi="Times New Roman" w:eastAsia="宋体" w:cs="Times New Roman"/>
        <w:b/>
        <w:bCs/>
        <w:color w:val="auto"/>
        <w:sz w:val="24"/>
        <w:szCs w:val="24"/>
      </w:rPr>
    </w:lvl>
  </w:abstractNum>
  <w:abstractNum w:abstractNumId="11">
    <w:nsid w:val="10039498"/>
    <w:multiLevelType w:val="multilevel"/>
    <w:tmpl w:val="10039498"/>
    <w:lvl w:ilvl="0" w:tentative="0">
      <w:start w:val="1"/>
      <w:numFmt w:val="decimal"/>
      <w:lvlText w:val="7.3.%1"/>
      <w:lvlJc w:val="left"/>
      <w:pPr>
        <w:tabs>
          <w:tab w:val="left" w:pos="0"/>
        </w:tabs>
        <w:ind w:left="0" w:firstLine="0"/>
      </w:pPr>
      <w:rPr>
        <w:rFonts w:hint="default" w:ascii="Times New Roman" w:hAnsi="Times New Roman" w:eastAsia="Times New Roman" w:cs="Times New Roman"/>
        <w:b/>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E22B55C"/>
    <w:multiLevelType w:val="singleLevel"/>
    <w:tmpl w:val="1E22B55C"/>
    <w:lvl w:ilvl="0" w:tentative="0">
      <w:start w:val="1"/>
      <w:numFmt w:val="decimal"/>
      <w:lvlText w:val="6.4.%1"/>
      <w:lvlJc w:val="left"/>
      <w:pPr>
        <w:ind w:left="0" w:firstLine="0"/>
      </w:pPr>
      <w:rPr>
        <w:rFonts w:hint="default" w:ascii="Times New Roman" w:hAnsi="Times New Roman" w:eastAsia="宋体" w:cs="宋体"/>
        <w:b/>
        <w:sz w:val="24"/>
      </w:rPr>
    </w:lvl>
  </w:abstractNum>
  <w:abstractNum w:abstractNumId="13">
    <w:nsid w:val="1E6D0EA1"/>
    <w:multiLevelType w:val="multilevel"/>
    <w:tmpl w:val="1E6D0EA1"/>
    <w:lvl w:ilvl="0" w:tentative="0">
      <w:start w:val="1"/>
      <w:numFmt w:val="decimal"/>
      <w:lvlText w:val="8.2.%1"/>
      <w:lvlJc w:val="left"/>
      <w:pPr>
        <w:tabs>
          <w:tab w:val="left" w:pos="0"/>
        </w:tabs>
        <w:ind w:left="0" w:firstLine="480"/>
      </w:pPr>
      <w:rPr>
        <w:rFonts w:hint="default" w:ascii="Times New Roman" w:hAnsi="Times New Roman" w:eastAsia="Times New Roman" w:cs="Times New Roman"/>
        <w:b/>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2F627D16"/>
    <w:multiLevelType w:val="singleLevel"/>
    <w:tmpl w:val="2F627D16"/>
    <w:lvl w:ilvl="0" w:tentative="0">
      <w:start w:val="1"/>
      <w:numFmt w:val="decimal"/>
      <w:suff w:val="space"/>
      <w:lvlText w:val="%1."/>
      <w:lvlJc w:val="left"/>
    </w:lvl>
  </w:abstractNum>
  <w:abstractNum w:abstractNumId="15">
    <w:nsid w:val="37F8538B"/>
    <w:multiLevelType w:val="multilevel"/>
    <w:tmpl w:val="37F8538B"/>
    <w:lvl w:ilvl="0" w:tentative="0">
      <w:start w:val="1"/>
      <w:numFmt w:val="decimal"/>
      <w:lvlText w:val="7.2.%1"/>
      <w:lvlJc w:val="left"/>
      <w:pPr>
        <w:tabs>
          <w:tab w:val="left" w:pos="0"/>
        </w:tabs>
        <w:ind w:left="0" w:firstLine="0"/>
      </w:pPr>
      <w:rPr>
        <w:rFonts w:hint="default" w:ascii="Times New Roman" w:hAnsi="Times New Roman" w:eastAsia="宋体" w:cs="宋体"/>
        <w:b/>
        <w:bCs/>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AED6482"/>
    <w:multiLevelType w:val="singleLevel"/>
    <w:tmpl w:val="3AED6482"/>
    <w:lvl w:ilvl="0" w:tentative="0">
      <w:start w:val="1"/>
      <w:numFmt w:val="decimal"/>
      <w:suff w:val="nothing"/>
      <w:lvlText w:val="%1."/>
      <w:lvlJc w:val="left"/>
    </w:lvl>
  </w:abstractNum>
  <w:abstractNum w:abstractNumId="17">
    <w:nsid w:val="3FF8566D"/>
    <w:multiLevelType w:val="singleLevel"/>
    <w:tmpl w:val="3FF8566D"/>
    <w:lvl w:ilvl="0" w:tentative="0">
      <w:start w:val="1"/>
      <w:numFmt w:val="decimal"/>
      <w:suff w:val="space"/>
      <w:lvlText w:val="%1."/>
      <w:lvlJc w:val="left"/>
    </w:lvl>
  </w:abstractNum>
  <w:abstractNum w:abstractNumId="18">
    <w:nsid w:val="401B1F60"/>
    <w:multiLevelType w:val="singleLevel"/>
    <w:tmpl w:val="401B1F60"/>
    <w:lvl w:ilvl="0" w:tentative="0">
      <w:start w:val="1"/>
      <w:numFmt w:val="decimal"/>
      <w:lvlText w:val="6.3.%1"/>
      <w:lvlJc w:val="left"/>
      <w:pPr>
        <w:ind w:left="440" w:hanging="440"/>
      </w:pPr>
      <w:rPr>
        <w:rFonts w:hint="default" w:ascii="Times New Roman" w:hAnsi="Times New Roman" w:eastAsia="宋体" w:cs="宋体"/>
        <w:b/>
        <w:sz w:val="24"/>
      </w:rPr>
    </w:lvl>
  </w:abstractNum>
  <w:abstractNum w:abstractNumId="19">
    <w:nsid w:val="4481B3F6"/>
    <w:multiLevelType w:val="singleLevel"/>
    <w:tmpl w:val="4481B3F6"/>
    <w:lvl w:ilvl="0" w:tentative="0">
      <w:start w:val="1"/>
      <w:numFmt w:val="decimal"/>
      <w:lvlText w:val="4.1.%1"/>
      <w:lvlJc w:val="left"/>
      <w:pPr>
        <w:tabs>
          <w:tab w:val="left" w:pos="420"/>
        </w:tabs>
        <w:ind w:left="425" w:hanging="425"/>
      </w:pPr>
      <w:rPr>
        <w:rFonts w:hint="default" w:ascii="Times New Roman" w:hAnsi="Times New Roman" w:cs="Times New Roman"/>
        <w:b/>
        <w:sz w:val="24"/>
      </w:rPr>
    </w:lvl>
  </w:abstractNum>
  <w:abstractNum w:abstractNumId="20">
    <w:nsid w:val="47B5B429"/>
    <w:multiLevelType w:val="multilevel"/>
    <w:tmpl w:val="47B5B429"/>
    <w:lvl w:ilvl="0" w:tentative="0">
      <w:start w:val="1"/>
      <w:numFmt w:val="decimal"/>
      <w:lvlText w:val="8.3.%1"/>
      <w:lvlJc w:val="left"/>
      <w:pPr>
        <w:tabs>
          <w:tab w:val="left" w:pos="0"/>
        </w:tabs>
        <w:ind w:left="0" w:firstLine="0"/>
      </w:pPr>
      <w:rPr>
        <w:rFonts w:hint="default" w:ascii="Times New Roman" w:hAnsi="Times New Roman" w:eastAsia="Times New Roman" w:cs="Times New Roman"/>
        <w:b/>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49202A37"/>
    <w:multiLevelType w:val="singleLevel"/>
    <w:tmpl w:val="49202A37"/>
    <w:lvl w:ilvl="0" w:tentative="0">
      <w:start w:val="1"/>
      <w:numFmt w:val="decimal"/>
      <w:suff w:val="space"/>
      <w:lvlText w:val="%1."/>
      <w:lvlJc w:val="left"/>
    </w:lvl>
  </w:abstractNum>
  <w:abstractNum w:abstractNumId="22">
    <w:nsid w:val="4C2E581F"/>
    <w:multiLevelType w:val="multilevel"/>
    <w:tmpl w:val="4C2E581F"/>
    <w:lvl w:ilvl="0" w:tentative="0">
      <w:start w:val="1"/>
      <w:numFmt w:val="decimal"/>
      <w:lvlText w:val="%1"/>
      <w:lvlJc w:val="left"/>
      <w:pPr>
        <w:ind w:left="425" w:hanging="425"/>
      </w:pPr>
    </w:lvl>
    <w:lvl w:ilvl="1" w:tentative="0">
      <w:start w:val="1"/>
      <w:numFmt w:val="decimal"/>
      <w:pStyle w:val="3"/>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3">
    <w:nsid w:val="52445120"/>
    <w:multiLevelType w:val="singleLevel"/>
    <w:tmpl w:val="52445120"/>
    <w:lvl w:ilvl="0" w:tentative="0">
      <w:start w:val="1"/>
      <w:numFmt w:val="decimal"/>
      <w:suff w:val="space"/>
      <w:lvlText w:val="%1."/>
      <w:lvlJc w:val="left"/>
    </w:lvl>
  </w:abstractNum>
  <w:abstractNum w:abstractNumId="24">
    <w:nsid w:val="58631D97"/>
    <w:multiLevelType w:val="singleLevel"/>
    <w:tmpl w:val="58631D97"/>
    <w:lvl w:ilvl="0" w:tentative="0">
      <w:start w:val="1"/>
      <w:numFmt w:val="decimal"/>
      <w:suff w:val="space"/>
      <w:lvlText w:val="%1."/>
      <w:lvlJc w:val="left"/>
    </w:lvl>
  </w:abstractNum>
  <w:abstractNum w:abstractNumId="25">
    <w:nsid w:val="5C3B0837"/>
    <w:multiLevelType w:val="singleLevel"/>
    <w:tmpl w:val="5C3B0837"/>
    <w:lvl w:ilvl="0" w:tentative="0">
      <w:start w:val="1"/>
      <w:numFmt w:val="decimal"/>
      <w:lvlText w:val="4.2.%1"/>
      <w:lvlJc w:val="left"/>
      <w:pPr>
        <w:ind w:left="440" w:hanging="440"/>
      </w:pPr>
      <w:rPr>
        <w:rFonts w:hint="default" w:ascii="Times New Roman" w:hAnsi="Times New Roman" w:eastAsia="Times New Roman" w:cs="宋体"/>
        <w:b/>
        <w:bCs/>
        <w:sz w:val="24"/>
        <w:szCs w:val="24"/>
      </w:rPr>
    </w:lvl>
  </w:abstractNum>
  <w:abstractNum w:abstractNumId="26">
    <w:nsid w:val="6610C028"/>
    <w:multiLevelType w:val="multilevel"/>
    <w:tmpl w:val="6610C028"/>
    <w:lvl w:ilvl="0" w:tentative="0">
      <w:start w:val="1"/>
      <w:numFmt w:val="decimal"/>
      <w:lvlText w:val="7.1.%1"/>
      <w:lvlJc w:val="left"/>
      <w:pPr>
        <w:tabs>
          <w:tab w:val="left" w:pos="0"/>
        </w:tabs>
        <w:ind w:left="0" w:firstLine="0"/>
      </w:pPr>
      <w:rPr>
        <w:rFonts w:hint="default" w:ascii="Times New Roman" w:hAnsi="Times New Roman" w:eastAsia="宋体" w:cs="宋体"/>
        <w:b/>
        <w:bCs/>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B4035DF"/>
    <w:multiLevelType w:val="singleLevel"/>
    <w:tmpl w:val="6B4035DF"/>
    <w:lvl w:ilvl="0" w:tentative="0">
      <w:start w:val="1"/>
      <w:numFmt w:val="decimal"/>
      <w:suff w:val="nothing"/>
      <w:lvlText w:val="%1."/>
      <w:lvlJc w:val="left"/>
    </w:lvl>
  </w:abstractNum>
  <w:abstractNum w:abstractNumId="28">
    <w:nsid w:val="70461B04"/>
    <w:multiLevelType w:val="singleLevel"/>
    <w:tmpl w:val="70461B04"/>
    <w:lvl w:ilvl="0" w:tentative="0">
      <w:start w:val="1"/>
      <w:numFmt w:val="decimal"/>
      <w:lvlText w:val="5.2.%1"/>
      <w:lvlJc w:val="left"/>
      <w:pPr>
        <w:tabs>
          <w:tab w:val="left" w:pos="0"/>
        </w:tabs>
        <w:ind w:left="0" w:firstLine="0"/>
      </w:pPr>
      <w:rPr>
        <w:rFonts w:hint="default" w:ascii="Times New Roman" w:hAnsi="Times New Roman" w:eastAsia="Times New Roman" w:cs="宋体"/>
        <w:b/>
        <w:sz w:val="24"/>
      </w:rPr>
    </w:lvl>
  </w:abstractNum>
  <w:abstractNum w:abstractNumId="29">
    <w:nsid w:val="74ABCCAE"/>
    <w:multiLevelType w:val="singleLevel"/>
    <w:tmpl w:val="74ABCCAE"/>
    <w:lvl w:ilvl="0" w:tentative="0">
      <w:start w:val="1"/>
      <w:numFmt w:val="decimal"/>
      <w:suff w:val="space"/>
      <w:lvlText w:val="%1."/>
      <w:lvlJc w:val="left"/>
    </w:lvl>
  </w:abstractNum>
  <w:num w:numId="1">
    <w:abstractNumId w:val="22"/>
  </w:num>
  <w:num w:numId="2">
    <w:abstractNumId w:val="10"/>
  </w:num>
  <w:num w:numId="3">
    <w:abstractNumId w:val="8"/>
  </w:num>
  <w:num w:numId="4">
    <w:abstractNumId w:val="2"/>
  </w:num>
  <w:num w:numId="5">
    <w:abstractNumId w:val="19"/>
  </w:num>
  <w:num w:numId="6">
    <w:abstractNumId w:val="29"/>
  </w:num>
  <w:num w:numId="7">
    <w:abstractNumId w:val="14"/>
  </w:num>
  <w:num w:numId="8">
    <w:abstractNumId w:val="25"/>
  </w:num>
  <w:num w:numId="9">
    <w:abstractNumId w:val="9"/>
  </w:num>
  <w:num w:numId="10">
    <w:abstractNumId w:val="28"/>
  </w:num>
  <w:num w:numId="11">
    <w:abstractNumId w:val="1"/>
  </w:num>
  <w:num w:numId="12">
    <w:abstractNumId w:val="17"/>
  </w:num>
  <w:num w:numId="13">
    <w:abstractNumId w:val="21"/>
  </w:num>
  <w:num w:numId="14">
    <w:abstractNumId w:val="5"/>
  </w:num>
  <w:num w:numId="15">
    <w:abstractNumId w:val="4"/>
  </w:num>
  <w:num w:numId="16">
    <w:abstractNumId w:val="6"/>
  </w:num>
  <w:num w:numId="17">
    <w:abstractNumId w:val="7"/>
  </w:num>
  <w:num w:numId="18">
    <w:abstractNumId w:val="3"/>
  </w:num>
  <w:num w:numId="19">
    <w:abstractNumId w:val="18"/>
  </w:num>
  <w:num w:numId="20">
    <w:abstractNumId w:val="27"/>
  </w:num>
  <w:num w:numId="21">
    <w:abstractNumId w:val="12"/>
  </w:num>
  <w:num w:numId="22">
    <w:abstractNumId w:val="26"/>
  </w:num>
  <w:num w:numId="23">
    <w:abstractNumId w:val="16"/>
  </w:num>
  <w:num w:numId="24">
    <w:abstractNumId w:val="15"/>
  </w:num>
  <w:num w:numId="25">
    <w:abstractNumId w:val="11"/>
  </w:num>
  <w:num w:numId="26">
    <w:abstractNumId w:val="23"/>
  </w:num>
  <w:num w:numId="27">
    <w:abstractNumId w:val="24"/>
  </w:num>
  <w:num w:numId="28">
    <w:abstractNumId w:val="0"/>
  </w:num>
  <w:num w:numId="29">
    <w:abstractNumId w:val="13"/>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1"/>
  <w:displayBackgroundShape w:val="1"/>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iN2E2MjFhOWY4ZDUwNzM3MTYzYzVkMTcyNTI3ZGQifQ=="/>
  </w:docVars>
  <w:rsids>
    <w:rsidRoot w:val="24825911"/>
    <w:rsid w:val="00002F46"/>
    <w:rsid w:val="0001260B"/>
    <w:rsid w:val="000149C0"/>
    <w:rsid w:val="00016384"/>
    <w:rsid w:val="00032B47"/>
    <w:rsid w:val="0004063A"/>
    <w:rsid w:val="00042250"/>
    <w:rsid w:val="00053577"/>
    <w:rsid w:val="00054405"/>
    <w:rsid w:val="00070457"/>
    <w:rsid w:val="000A6372"/>
    <w:rsid w:val="000A7619"/>
    <w:rsid w:val="000D5656"/>
    <w:rsid w:val="000D6534"/>
    <w:rsid w:val="000E230D"/>
    <w:rsid w:val="000E79CE"/>
    <w:rsid w:val="00101D32"/>
    <w:rsid w:val="00112DE5"/>
    <w:rsid w:val="001174D4"/>
    <w:rsid w:val="001232ED"/>
    <w:rsid w:val="0013066F"/>
    <w:rsid w:val="001317B9"/>
    <w:rsid w:val="00134C66"/>
    <w:rsid w:val="00143A17"/>
    <w:rsid w:val="00150EB3"/>
    <w:rsid w:val="00154396"/>
    <w:rsid w:val="0015759C"/>
    <w:rsid w:val="0016670B"/>
    <w:rsid w:val="00170533"/>
    <w:rsid w:val="00172210"/>
    <w:rsid w:val="0017527F"/>
    <w:rsid w:val="00176E13"/>
    <w:rsid w:val="001A3926"/>
    <w:rsid w:val="001A7385"/>
    <w:rsid w:val="001C5C37"/>
    <w:rsid w:val="001D67DD"/>
    <w:rsid w:val="001F4400"/>
    <w:rsid w:val="002071E1"/>
    <w:rsid w:val="002109B4"/>
    <w:rsid w:val="00212AFD"/>
    <w:rsid w:val="0022637A"/>
    <w:rsid w:val="00227771"/>
    <w:rsid w:val="002306C0"/>
    <w:rsid w:val="00235532"/>
    <w:rsid w:val="00245A85"/>
    <w:rsid w:val="00253A63"/>
    <w:rsid w:val="002557DD"/>
    <w:rsid w:val="00255E6F"/>
    <w:rsid w:val="002614B8"/>
    <w:rsid w:val="00263D2F"/>
    <w:rsid w:val="00291437"/>
    <w:rsid w:val="002B03F4"/>
    <w:rsid w:val="002B1841"/>
    <w:rsid w:val="002B73A5"/>
    <w:rsid w:val="002D5574"/>
    <w:rsid w:val="002E23C6"/>
    <w:rsid w:val="002E31E6"/>
    <w:rsid w:val="002F07BF"/>
    <w:rsid w:val="002F2972"/>
    <w:rsid w:val="002F6137"/>
    <w:rsid w:val="002F6CDB"/>
    <w:rsid w:val="0030115F"/>
    <w:rsid w:val="003013B3"/>
    <w:rsid w:val="0031379F"/>
    <w:rsid w:val="00317D18"/>
    <w:rsid w:val="003311B7"/>
    <w:rsid w:val="00342674"/>
    <w:rsid w:val="003524BB"/>
    <w:rsid w:val="003621DB"/>
    <w:rsid w:val="00364CC3"/>
    <w:rsid w:val="00371FF7"/>
    <w:rsid w:val="00384C7F"/>
    <w:rsid w:val="0038594D"/>
    <w:rsid w:val="003875BA"/>
    <w:rsid w:val="003933EC"/>
    <w:rsid w:val="003A6B66"/>
    <w:rsid w:val="003B2506"/>
    <w:rsid w:val="003B46BA"/>
    <w:rsid w:val="003C7433"/>
    <w:rsid w:val="003E0A5E"/>
    <w:rsid w:val="003E16FC"/>
    <w:rsid w:val="003F1BCD"/>
    <w:rsid w:val="003F1EB1"/>
    <w:rsid w:val="003F7CE1"/>
    <w:rsid w:val="00401D5D"/>
    <w:rsid w:val="004034C9"/>
    <w:rsid w:val="00404229"/>
    <w:rsid w:val="0040705E"/>
    <w:rsid w:val="004130E3"/>
    <w:rsid w:val="00420F09"/>
    <w:rsid w:val="00425E4E"/>
    <w:rsid w:val="00427AD1"/>
    <w:rsid w:val="00453EA7"/>
    <w:rsid w:val="0045574B"/>
    <w:rsid w:val="004644CD"/>
    <w:rsid w:val="004754A6"/>
    <w:rsid w:val="004764EB"/>
    <w:rsid w:val="00491BAF"/>
    <w:rsid w:val="00495A11"/>
    <w:rsid w:val="004C0FCF"/>
    <w:rsid w:val="004C50C3"/>
    <w:rsid w:val="004D232E"/>
    <w:rsid w:val="004E6A11"/>
    <w:rsid w:val="00503D18"/>
    <w:rsid w:val="005067F9"/>
    <w:rsid w:val="00510838"/>
    <w:rsid w:val="005159CB"/>
    <w:rsid w:val="00523E27"/>
    <w:rsid w:val="00527889"/>
    <w:rsid w:val="00531E29"/>
    <w:rsid w:val="00535758"/>
    <w:rsid w:val="005767EF"/>
    <w:rsid w:val="005768B3"/>
    <w:rsid w:val="005833D5"/>
    <w:rsid w:val="0058475D"/>
    <w:rsid w:val="00586CD8"/>
    <w:rsid w:val="00591EB7"/>
    <w:rsid w:val="005A0E2E"/>
    <w:rsid w:val="005B399A"/>
    <w:rsid w:val="005C79A6"/>
    <w:rsid w:val="005E2539"/>
    <w:rsid w:val="005E3BD4"/>
    <w:rsid w:val="005F108D"/>
    <w:rsid w:val="005F2235"/>
    <w:rsid w:val="005F3261"/>
    <w:rsid w:val="005F3FA3"/>
    <w:rsid w:val="006007CA"/>
    <w:rsid w:val="006126DD"/>
    <w:rsid w:val="00612759"/>
    <w:rsid w:val="006268BB"/>
    <w:rsid w:val="006279BC"/>
    <w:rsid w:val="006320C3"/>
    <w:rsid w:val="00632911"/>
    <w:rsid w:val="00633A35"/>
    <w:rsid w:val="00633A48"/>
    <w:rsid w:val="006360EA"/>
    <w:rsid w:val="00644827"/>
    <w:rsid w:val="00666C59"/>
    <w:rsid w:val="00672387"/>
    <w:rsid w:val="00672A05"/>
    <w:rsid w:val="006812BA"/>
    <w:rsid w:val="00682976"/>
    <w:rsid w:val="006A0C94"/>
    <w:rsid w:val="006A433C"/>
    <w:rsid w:val="006A7EF5"/>
    <w:rsid w:val="006B0188"/>
    <w:rsid w:val="006C27C7"/>
    <w:rsid w:val="006C309F"/>
    <w:rsid w:val="006C3CE3"/>
    <w:rsid w:val="006D32E5"/>
    <w:rsid w:val="006E30D7"/>
    <w:rsid w:val="006E56FB"/>
    <w:rsid w:val="006E7704"/>
    <w:rsid w:val="006E7F4C"/>
    <w:rsid w:val="006F77C7"/>
    <w:rsid w:val="00700717"/>
    <w:rsid w:val="00704E42"/>
    <w:rsid w:val="00705944"/>
    <w:rsid w:val="00713BE8"/>
    <w:rsid w:val="0072194A"/>
    <w:rsid w:val="0072558A"/>
    <w:rsid w:val="00732DD6"/>
    <w:rsid w:val="00751DA7"/>
    <w:rsid w:val="00752109"/>
    <w:rsid w:val="007540A2"/>
    <w:rsid w:val="00755D01"/>
    <w:rsid w:val="00757646"/>
    <w:rsid w:val="00760652"/>
    <w:rsid w:val="00793F1D"/>
    <w:rsid w:val="0079592F"/>
    <w:rsid w:val="007B56DE"/>
    <w:rsid w:val="007C35E6"/>
    <w:rsid w:val="007D6701"/>
    <w:rsid w:val="007E377E"/>
    <w:rsid w:val="007E685D"/>
    <w:rsid w:val="007E7351"/>
    <w:rsid w:val="007F4D08"/>
    <w:rsid w:val="008051FA"/>
    <w:rsid w:val="00812285"/>
    <w:rsid w:val="0081501D"/>
    <w:rsid w:val="00833631"/>
    <w:rsid w:val="00835C05"/>
    <w:rsid w:val="00836731"/>
    <w:rsid w:val="00837D31"/>
    <w:rsid w:val="00840951"/>
    <w:rsid w:val="0084217C"/>
    <w:rsid w:val="00842D86"/>
    <w:rsid w:val="008430A2"/>
    <w:rsid w:val="008442C7"/>
    <w:rsid w:val="0084554A"/>
    <w:rsid w:val="00860602"/>
    <w:rsid w:val="008626F6"/>
    <w:rsid w:val="008642C9"/>
    <w:rsid w:val="00864B47"/>
    <w:rsid w:val="00871354"/>
    <w:rsid w:val="0087216B"/>
    <w:rsid w:val="00873DD7"/>
    <w:rsid w:val="0087472A"/>
    <w:rsid w:val="00880E38"/>
    <w:rsid w:val="00886886"/>
    <w:rsid w:val="00886F63"/>
    <w:rsid w:val="00896C6E"/>
    <w:rsid w:val="008A19DF"/>
    <w:rsid w:val="008C5BB2"/>
    <w:rsid w:val="008D2D8A"/>
    <w:rsid w:val="008D7CDD"/>
    <w:rsid w:val="008E3638"/>
    <w:rsid w:val="008E4777"/>
    <w:rsid w:val="008F2CDB"/>
    <w:rsid w:val="0090105D"/>
    <w:rsid w:val="009015B1"/>
    <w:rsid w:val="00903EAA"/>
    <w:rsid w:val="00911D5A"/>
    <w:rsid w:val="00922477"/>
    <w:rsid w:val="009310FC"/>
    <w:rsid w:val="009321CC"/>
    <w:rsid w:val="0093689B"/>
    <w:rsid w:val="00937DB7"/>
    <w:rsid w:val="00950F65"/>
    <w:rsid w:val="00951A99"/>
    <w:rsid w:val="00963B76"/>
    <w:rsid w:val="00965CD0"/>
    <w:rsid w:val="00966A48"/>
    <w:rsid w:val="00970B03"/>
    <w:rsid w:val="00976031"/>
    <w:rsid w:val="0098792F"/>
    <w:rsid w:val="009A12E1"/>
    <w:rsid w:val="009B019F"/>
    <w:rsid w:val="009B745C"/>
    <w:rsid w:val="009D3D96"/>
    <w:rsid w:val="009D7A5A"/>
    <w:rsid w:val="009F236D"/>
    <w:rsid w:val="009F425A"/>
    <w:rsid w:val="009F4318"/>
    <w:rsid w:val="009F794C"/>
    <w:rsid w:val="00A03BCA"/>
    <w:rsid w:val="00A3310C"/>
    <w:rsid w:val="00A35994"/>
    <w:rsid w:val="00A42820"/>
    <w:rsid w:val="00A4603E"/>
    <w:rsid w:val="00A55665"/>
    <w:rsid w:val="00A61B1D"/>
    <w:rsid w:val="00A64171"/>
    <w:rsid w:val="00A64841"/>
    <w:rsid w:val="00A6510D"/>
    <w:rsid w:val="00A65948"/>
    <w:rsid w:val="00A7225F"/>
    <w:rsid w:val="00A92D3C"/>
    <w:rsid w:val="00A96083"/>
    <w:rsid w:val="00AA63B6"/>
    <w:rsid w:val="00AB03E8"/>
    <w:rsid w:val="00AB5AD5"/>
    <w:rsid w:val="00AC29B1"/>
    <w:rsid w:val="00AE0675"/>
    <w:rsid w:val="00AE74A6"/>
    <w:rsid w:val="00AF1913"/>
    <w:rsid w:val="00AF218D"/>
    <w:rsid w:val="00AF21C7"/>
    <w:rsid w:val="00AF2F03"/>
    <w:rsid w:val="00AF5FBF"/>
    <w:rsid w:val="00AF72C6"/>
    <w:rsid w:val="00B11B46"/>
    <w:rsid w:val="00B12D3C"/>
    <w:rsid w:val="00B14E07"/>
    <w:rsid w:val="00B21029"/>
    <w:rsid w:val="00B23114"/>
    <w:rsid w:val="00B23359"/>
    <w:rsid w:val="00B27B68"/>
    <w:rsid w:val="00B32A62"/>
    <w:rsid w:val="00B40F74"/>
    <w:rsid w:val="00B50805"/>
    <w:rsid w:val="00B549C9"/>
    <w:rsid w:val="00B55C5C"/>
    <w:rsid w:val="00B575F1"/>
    <w:rsid w:val="00B57D70"/>
    <w:rsid w:val="00B70B17"/>
    <w:rsid w:val="00B71D0B"/>
    <w:rsid w:val="00B7371E"/>
    <w:rsid w:val="00B76F57"/>
    <w:rsid w:val="00B810AA"/>
    <w:rsid w:val="00B83D26"/>
    <w:rsid w:val="00B94560"/>
    <w:rsid w:val="00B945B7"/>
    <w:rsid w:val="00BB3049"/>
    <w:rsid w:val="00BC129A"/>
    <w:rsid w:val="00BC4A2A"/>
    <w:rsid w:val="00BD2887"/>
    <w:rsid w:val="00BD3099"/>
    <w:rsid w:val="00BE2EE1"/>
    <w:rsid w:val="00BE405C"/>
    <w:rsid w:val="00BE62D1"/>
    <w:rsid w:val="00BF34D5"/>
    <w:rsid w:val="00C22621"/>
    <w:rsid w:val="00C273A7"/>
    <w:rsid w:val="00C3058E"/>
    <w:rsid w:val="00C314B4"/>
    <w:rsid w:val="00C356EC"/>
    <w:rsid w:val="00C373C6"/>
    <w:rsid w:val="00C47151"/>
    <w:rsid w:val="00C60474"/>
    <w:rsid w:val="00C62ADF"/>
    <w:rsid w:val="00C6761B"/>
    <w:rsid w:val="00C6767E"/>
    <w:rsid w:val="00C70245"/>
    <w:rsid w:val="00C71BB6"/>
    <w:rsid w:val="00C72C7A"/>
    <w:rsid w:val="00C82147"/>
    <w:rsid w:val="00C84CE9"/>
    <w:rsid w:val="00C95C32"/>
    <w:rsid w:val="00C96DF5"/>
    <w:rsid w:val="00C97462"/>
    <w:rsid w:val="00CA40F1"/>
    <w:rsid w:val="00CA609D"/>
    <w:rsid w:val="00CC3094"/>
    <w:rsid w:val="00CC3864"/>
    <w:rsid w:val="00CC55A9"/>
    <w:rsid w:val="00D0463B"/>
    <w:rsid w:val="00D12DD3"/>
    <w:rsid w:val="00D1341B"/>
    <w:rsid w:val="00D15CC4"/>
    <w:rsid w:val="00D2566C"/>
    <w:rsid w:val="00D303A0"/>
    <w:rsid w:val="00D337AA"/>
    <w:rsid w:val="00D34F7A"/>
    <w:rsid w:val="00D3648D"/>
    <w:rsid w:val="00D43B88"/>
    <w:rsid w:val="00D46207"/>
    <w:rsid w:val="00D51EEA"/>
    <w:rsid w:val="00D61C8F"/>
    <w:rsid w:val="00D82605"/>
    <w:rsid w:val="00D86769"/>
    <w:rsid w:val="00D968A1"/>
    <w:rsid w:val="00D97B12"/>
    <w:rsid w:val="00DA70D9"/>
    <w:rsid w:val="00DB077A"/>
    <w:rsid w:val="00DB24AC"/>
    <w:rsid w:val="00DB636D"/>
    <w:rsid w:val="00DC3C1E"/>
    <w:rsid w:val="00DC783A"/>
    <w:rsid w:val="00DD2557"/>
    <w:rsid w:val="00DD3875"/>
    <w:rsid w:val="00DE0F91"/>
    <w:rsid w:val="00DF0C3B"/>
    <w:rsid w:val="00DF493E"/>
    <w:rsid w:val="00E02E49"/>
    <w:rsid w:val="00E108EC"/>
    <w:rsid w:val="00E1471D"/>
    <w:rsid w:val="00E37E5E"/>
    <w:rsid w:val="00E40F48"/>
    <w:rsid w:val="00E43D85"/>
    <w:rsid w:val="00E52736"/>
    <w:rsid w:val="00E53C6E"/>
    <w:rsid w:val="00E54262"/>
    <w:rsid w:val="00E5552B"/>
    <w:rsid w:val="00E57E8D"/>
    <w:rsid w:val="00E7768B"/>
    <w:rsid w:val="00E91429"/>
    <w:rsid w:val="00EB0E51"/>
    <w:rsid w:val="00EB4AC8"/>
    <w:rsid w:val="00EC4304"/>
    <w:rsid w:val="00EC58ED"/>
    <w:rsid w:val="00ED2D87"/>
    <w:rsid w:val="00EF16CC"/>
    <w:rsid w:val="00EF5840"/>
    <w:rsid w:val="00F01846"/>
    <w:rsid w:val="00F0667B"/>
    <w:rsid w:val="00F06864"/>
    <w:rsid w:val="00F06E5E"/>
    <w:rsid w:val="00F16175"/>
    <w:rsid w:val="00F238FD"/>
    <w:rsid w:val="00F408A8"/>
    <w:rsid w:val="00F46C81"/>
    <w:rsid w:val="00F60926"/>
    <w:rsid w:val="00F62214"/>
    <w:rsid w:val="00F6357B"/>
    <w:rsid w:val="00F6737F"/>
    <w:rsid w:val="00F80E99"/>
    <w:rsid w:val="00F84E81"/>
    <w:rsid w:val="00FA62CB"/>
    <w:rsid w:val="00FA6C97"/>
    <w:rsid w:val="00FA792B"/>
    <w:rsid w:val="00FB142B"/>
    <w:rsid w:val="00FB4930"/>
    <w:rsid w:val="00FB4E51"/>
    <w:rsid w:val="00FB5D86"/>
    <w:rsid w:val="00FB70FA"/>
    <w:rsid w:val="00FC15D5"/>
    <w:rsid w:val="00FD27D9"/>
    <w:rsid w:val="00FD618A"/>
    <w:rsid w:val="00FE06D2"/>
    <w:rsid w:val="00FE0D86"/>
    <w:rsid w:val="00FE0E87"/>
    <w:rsid w:val="00FE6551"/>
    <w:rsid w:val="00FE7B41"/>
    <w:rsid w:val="00FF3438"/>
    <w:rsid w:val="00FF4AD9"/>
    <w:rsid w:val="011D7F30"/>
    <w:rsid w:val="01374E54"/>
    <w:rsid w:val="019404F8"/>
    <w:rsid w:val="01AA1AC9"/>
    <w:rsid w:val="01BC6061"/>
    <w:rsid w:val="01C0587C"/>
    <w:rsid w:val="01CD0604"/>
    <w:rsid w:val="01FB7279"/>
    <w:rsid w:val="02454477"/>
    <w:rsid w:val="026954E1"/>
    <w:rsid w:val="028653C6"/>
    <w:rsid w:val="035753CE"/>
    <w:rsid w:val="037C3C80"/>
    <w:rsid w:val="03806F86"/>
    <w:rsid w:val="03AF38F4"/>
    <w:rsid w:val="03C30C20"/>
    <w:rsid w:val="040354C1"/>
    <w:rsid w:val="044A1F97"/>
    <w:rsid w:val="049272C3"/>
    <w:rsid w:val="04AD3DAA"/>
    <w:rsid w:val="04BC223F"/>
    <w:rsid w:val="053E0EA6"/>
    <w:rsid w:val="056B00EB"/>
    <w:rsid w:val="057E72F7"/>
    <w:rsid w:val="059B1E55"/>
    <w:rsid w:val="05B913C3"/>
    <w:rsid w:val="067D77AC"/>
    <w:rsid w:val="06992DF6"/>
    <w:rsid w:val="06A43F0A"/>
    <w:rsid w:val="06B34F7C"/>
    <w:rsid w:val="06BB7E85"/>
    <w:rsid w:val="070E4C2E"/>
    <w:rsid w:val="072F7BEA"/>
    <w:rsid w:val="07C5503F"/>
    <w:rsid w:val="07CB5EA7"/>
    <w:rsid w:val="08021C34"/>
    <w:rsid w:val="08AC6127"/>
    <w:rsid w:val="08C276F9"/>
    <w:rsid w:val="09336848"/>
    <w:rsid w:val="09754434"/>
    <w:rsid w:val="09886E7B"/>
    <w:rsid w:val="0A051034"/>
    <w:rsid w:val="0A3C34DB"/>
    <w:rsid w:val="0A7B2255"/>
    <w:rsid w:val="0AD32091"/>
    <w:rsid w:val="0B756AFB"/>
    <w:rsid w:val="0B856B3B"/>
    <w:rsid w:val="0BA94858"/>
    <w:rsid w:val="0C0B13B7"/>
    <w:rsid w:val="0C7A5032"/>
    <w:rsid w:val="0C947C71"/>
    <w:rsid w:val="0CE45E76"/>
    <w:rsid w:val="0CF43F78"/>
    <w:rsid w:val="0CF84031"/>
    <w:rsid w:val="0D010BB3"/>
    <w:rsid w:val="0D112958"/>
    <w:rsid w:val="0D7017CD"/>
    <w:rsid w:val="0DAA22FA"/>
    <w:rsid w:val="0DF77E44"/>
    <w:rsid w:val="0E0545C3"/>
    <w:rsid w:val="0E2C6E8A"/>
    <w:rsid w:val="0E5254FB"/>
    <w:rsid w:val="0E761E56"/>
    <w:rsid w:val="0F456599"/>
    <w:rsid w:val="0F645F82"/>
    <w:rsid w:val="0F7F00F1"/>
    <w:rsid w:val="0F9A317D"/>
    <w:rsid w:val="105277E0"/>
    <w:rsid w:val="108D4A90"/>
    <w:rsid w:val="10D0497D"/>
    <w:rsid w:val="111C7B18"/>
    <w:rsid w:val="114540D3"/>
    <w:rsid w:val="119D294B"/>
    <w:rsid w:val="11AE4CBE"/>
    <w:rsid w:val="12685CF1"/>
    <w:rsid w:val="12775BC7"/>
    <w:rsid w:val="12C10A21"/>
    <w:rsid w:val="136F021A"/>
    <w:rsid w:val="137D7E07"/>
    <w:rsid w:val="13985C26"/>
    <w:rsid w:val="13A33C9D"/>
    <w:rsid w:val="1420035D"/>
    <w:rsid w:val="14202D5E"/>
    <w:rsid w:val="146B6E96"/>
    <w:rsid w:val="14D233B9"/>
    <w:rsid w:val="154871D8"/>
    <w:rsid w:val="15537759"/>
    <w:rsid w:val="16ED1317"/>
    <w:rsid w:val="16F65253"/>
    <w:rsid w:val="16FB6BF7"/>
    <w:rsid w:val="17103D25"/>
    <w:rsid w:val="17143815"/>
    <w:rsid w:val="171F5911"/>
    <w:rsid w:val="172E346C"/>
    <w:rsid w:val="1743234C"/>
    <w:rsid w:val="17591B70"/>
    <w:rsid w:val="179B3F36"/>
    <w:rsid w:val="17C0574B"/>
    <w:rsid w:val="18860743"/>
    <w:rsid w:val="18DF7E53"/>
    <w:rsid w:val="18EE11A3"/>
    <w:rsid w:val="1905091B"/>
    <w:rsid w:val="19310C4D"/>
    <w:rsid w:val="195858B8"/>
    <w:rsid w:val="1A3C1555"/>
    <w:rsid w:val="1A7C22BA"/>
    <w:rsid w:val="1B0C37D2"/>
    <w:rsid w:val="1B3873F5"/>
    <w:rsid w:val="1B684130"/>
    <w:rsid w:val="1B730ED9"/>
    <w:rsid w:val="1B87636E"/>
    <w:rsid w:val="1B95664B"/>
    <w:rsid w:val="1BBE1FA1"/>
    <w:rsid w:val="1C3A4B6B"/>
    <w:rsid w:val="1C3B5CE8"/>
    <w:rsid w:val="1C9D24FF"/>
    <w:rsid w:val="1D7010D5"/>
    <w:rsid w:val="1D801C31"/>
    <w:rsid w:val="1D882867"/>
    <w:rsid w:val="1DCC42CA"/>
    <w:rsid w:val="1E0428A6"/>
    <w:rsid w:val="1E0B5246"/>
    <w:rsid w:val="1E110AAE"/>
    <w:rsid w:val="1E381B92"/>
    <w:rsid w:val="1E801626"/>
    <w:rsid w:val="1E9428C9"/>
    <w:rsid w:val="1E96509E"/>
    <w:rsid w:val="1F012E9A"/>
    <w:rsid w:val="1F2315D6"/>
    <w:rsid w:val="1F316F2E"/>
    <w:rsid w:val="1F69491A"/>
    <w:rsid w:val="1F8C46BC"/>
    <w:rsid w:val="1F99537F"/>
    <w:rsid w:val="1FA32019"/>
    <w:rsid w:val="20B142F4"/>
    <w:rsid w:val="20D858B3"/>
    <w:rsid w:val="212B7A2B"/>
    <w:rsid w:val="222B14F8"/>
    <w:rsid w:val="2259364A"/>
    <w:rsid w:val="22C5455D"/>
    <w:rsid w:val="22FD2A38"/>
    <w:rsid w:val="231B5F2B"/>
    <w:rsid w:val="231F22CF"/>
    <w:rsid w:val="23377E5F"/>
    <w:rsid w:val="2365416A"/>
    <w:rsid w:val="236F700F"/>
    <w:rsid w:val="237C38A1"/>
    <w:rsid w:val="237C39F7"/>
    <w:rsid w:val="2399589D"/>
    <w:rsid w:val="239F2A24"/>
    <w:rsid w:val="23A75A11"/>
    <w:rsid w:val="23C95987"/>
    <w:rsid w:val="23DB2344"/>
    <w:rsid w:val="23FA2289"/>
    <w:rsid w:val="24507E57"/>
    <w:rsid w:val="24825911"/>
    <w:rsid w:val="24B45483"/>
    <w:rsid w:val="24B93C4E"/>
    <w:rsid w:val="24F65268"/>
    <w:rsid w:val="253B1C25"/>
    <w:rsid w:val="255D4FD6"/>
    <w:rsid w:val="258B0994"/>
    <w:rsid w:val="26123616"/>
    <w:rsid w:val="2660304A"/>
    <w:rsid w:val="2666570F"/>
    <w:rsid w:val="26A76454"/>
    <w:rsid w:val="26C54B2C"/>
    <w:rsid w:val="27231852"/>
    <w:rsid w:val="27826579"/>
    <w:rsid w:val="27D74B17"/>
    <w:rsid w:val="28832310"/>
    <w:rsid w:val="29074481"/>
    <w:rsid w:val="290F02E0"/>
    <w:rsid w:val="29585E62"/>
    <w:rsid w:val="29D1417E"/>
    <w:rsid w:val="29F021C4"/>
    <w:rsid w:val="2A043BBD"/>
    <w:rsid w:val="2A222295"/>
    <w:rsid w:val="2A3042DE"/>
    <w:rsid w:val="2ABE3864"/>
    <w:rsid w:val="2ADB00E5"/>
    <w:rsid w:val="2B280595"/>
    <w:rsid w:val="2B3828AB"/>
    <w:rsid w:val="2B3C5862"/>
    <w:rsid w:val="2B5B1387"/>
    <w:rsid w:val="2C37232D"/>
    <w:rsid w:val="2C3B0350"/>
    <w:rsid w:val="2C7C6500"/>
    <w:rsid w:val="2C9A6113"/>
    <w:rsid w:val="2CCB0E75"/>
    <w:rsid w:val="2CEB4BC0"/>
    <w:rsid w:val="2CF03F85"/>
    <w:rsid w:val="2D0F6B01"/>
    <w:rsid w:val="2D661AD8"/>
    <w:rsid w:val="2D796670"/>
    <w:rsid w:val="2D7B420F"/>
    <w:rsid w:val="2DA155D4"/>
    <w:rsid w:val="2DA74F8B"/>
    <w:rsid w:val="2DDD0614"/>
    <w:rsid w:val="2E0F3587"/>
    <w:rsid w:val="2E383E35"/>
    <w:rsid w:val="2E67652F"/>
    <w:rsid w:val="2E6E5AA9"/>
    <w:rsid w:val="2E87323E"/>
    <w:rsid w:val="2E882E49"/>
    <w:rsid w:val="2F7013AD"/>
    <w:rsid w:val="300D5C13"/>
    <w:rsid w:val="30242353"/>
    <w:rsid w:val="309B06AC"/>
    <w:rsid w:val="30C30858"/>
    <w:rsid w:val="30E451BF"/>
    <w:rsid w:val="310B3C27"/>
    <w:rsid w:val="310D3357"/>
    <w:rsid w:val="310F3084"/>
    <w:rsid w:val="31A312D4"/>
    <w:rsid w:val="31F86E36"/>
    <w:rsid w:val="324F5BF1"/>
    <w:rsid w:val="32B766C5"/>
    <w:rsid w:val="32B8715A"/>
    <w:rsid w:val="32C504E4"/>
    <w:rsid w:val="32E84322"/>
    <w:rsid w:val="32F04CDF"/>
    <w:rsid w:val="335536D1"/>
    <w:rsid w:val="336D4589"/>
    <w:rsid w:val="336E3E55"/>
    <w:rsid w:val="341C7441"/>
    <w:rsid w:val="343231DE"/>
    <w:rsid w:val="346D235F"/>
    <w:rsid w:val="35083ADC"/>
    <w:rsid w:val="35127191"/>
    <w:rsid w:val="351A48F2"/>
    <w:rsid w:val="352B46F4"/>
    <w:rsid w:val="359C1065"/>
    <w:rsid w:val="35B87892"/>
    <w:rsid w:val="35E5514D"/>
    <w:rsid w:val="35FB27FD"/>
    <w:rsid w:val="364D41F6"/>
    <w:rsid w:val="365732C7"/>
    <w:rsid w:val="365D3C67"/>
    <w:rsid w:val="36724E1E"/>
    <w:rsid w:val="368D6CE8"/>
    <w:rsid w:val="373158C6"/>
    <w:rsid w:val="377A7485"/>
    <w:rsid w:val="379D5A85"/>
    <w:rsid w:val="37B81B43"/>
    <w:rsid w:val="3830189A"/>
    <w:rsid w:val="385B13CA"/>
    <w:rsid w:val="38767A34"/>
    <w:rsid w:val="38DE35B5"/>
    <w:rsid w:val="398E34A3"/>
    <w:rsid w:val="3A4F6892"/>
    <w:rsid w:val="3AB23DDD"/>
    <w:rsid w:val="3B5C4FD1"/>
    <w:rsid w:val="3B842468"/>
    <w:rsid w:val="3BB80364"/>
    <w:rsid w:val="3BE5698E"/>
    <w:rsid w:val="3BF50BF3"/>
    <w:rsid w:val="3C245ED1"/>
    <w:rsid w:val="3CB703EE"/>
    <w:rsid w:val="3CD05856"/>
    <w:rsid w:val="3D1D2B74"/>
    <w:rsid w:val="3D633A31"/>
    <w:rsid w:val="3D8B3B2D"/>
    <w:rsid w:val="3D9328AE"/>
    <w:rsid w:val="3DFD6502"/>
    <w:rsid w:val="3E113083"/>
    <w:rsid w:val="3E1675C3"/>
    <w:rsid w:val="3E693B97"/>
    <w:rsid w:val="3EA7598E"/>
    <w:rsid w:val="3EEB27FE"/>
    <w:rsid w:val="3F45714D"/>
    <w:rsid w:val="3F6F342F"/>
    <w:rsid w:val="3FA27361"/>
    <w:rsid w:val="3FE0387E"/>
    <w:rsid w:val="3FFF4A5E"/>
    <w:rsid w:val="405B10A3"/>
    <w:rsid w:val="40BB21D1"/>
    <w:rsid w:val="41140E6F"/>
    <w:rsid w:val="41412BA9"/>
    <w:rsid w:val="41422894"/>
    <w:rsid w:val="41672D0D"/>
    <w:rsid w:val="41687FFA"/>
    <w:rsid w:val="419733CE"/>
    <w:rsid w:val="41C216A4"/>
    <w:rsid w:val="42084978"/>
    <w:rsid w:val="425C2679"/>
    <w:rsid w:val="4267663F"/>
    <w:rsid w:val="428055B4"/>
    <w:rsid w:val="42C63955"/>
    <w:rsid w:val="432B3B11"/>
    <w:rsid w:val="434A3F97"/>
    <w:rsid w:val="43532C7A"/>
    <w:rsid w:val="438B4C8D"/>
    <w:rsid w:val="43EB4839"/>
    <w:rsid w:val="442A2DB3"/>
    <w:rsid w:val="447B4624"/>
    <w:rsid w:val="44AC2A30"/>
    <w:rsid w:val="44E928E3"/>
    <w:rsid w:val="44FC5913"/>
    <w:rsid w:val="45495EC3"/>
    <w:rsid w:val="454C020B"/>
    <w:rsid w:val="454F3AE7"/>
    <w:rsid w:val="45A55DFD"/>
    <w:rsid w:val="45FB77CB"/>
    <w:rsid w:val="465F41FD"/>
    <w:rsid w:val="4724799D"/>
    <w:rsid w:val="47563B0A"/>
    <w:rsid w:val="47AC2559"/>
    <w:rsid w:val="47C15A0A"/>
    <w:rsid w:val="47C3256A"/>
    <w:rsid w:val="47DE1152"/>
    <w:rsid w:val="48390A7E"/>
    <w:rsid w:val="48460E88"/>
    <w:rsid w:val="48482A6F"/>
    <w:rsid w:val="48916CD0"/>
    <w:rsid w:val="48DD0A7C"/>
    <w:rsid w:val="48F30C2D"/>
    <w:rsid w:val="49112158"/>
    <w:rsid w:val="49186BC2"/>
    <w:rsid w:val="496A198C"/>
    <w:rsid w:val="49A60395"/>
    <w:rsid w:val="49AF0FF8"/>
    <w:rsid w:val="49B26D3A"/>
    <w:rsid w:val="4A230164"/>
    <w:rsid w:val="4AA9251A"/>
    <w:rsid w:val="4AE42F23"/>
    <w:rsid w:val="4B122882"/>
    <w:rsid w:val="4B6A3F67"/>
    <w:rsid w:val="4BD73B3D"/>
    <w:rsid w:val="4BEB70BC"/>
    <w:rsid w:val="4C532946"/>
    <w:rsid w:val="4C7331C2"/>
    <w:rsid w:val="4C917F75"/>
    <w:rsid w:val="4C982217"/>
    <w:rsid w:val="4CCA439B"/>
    <w:rsid w:val="4D250386"/>
    <w:rsid w:val="4D2E66D8"/>
    <w:rsid w:val="4D3C7046"/>
    <w:rsid w:val="4D5F5208"/>
    <w:rsid w:val="4DC9636C"/>
    <w:rsid w:val="4DD13A0C"/>
    <w:rsid w:val="4DD82416"/>
    <w:rsid w:val="4DFE254E"/>
    <w:rsid w:val="4E4A7D4C"/>
    <w:rsid w:val="4E6002CF"/>
    <w:rsid w:val="4E7444AA"/>
    <w:rsid w:val="4EA00D73"/>
    <w:rsid w:val="4EC54E1A"/>
    <w:rsid w:val="4ECA6A16"/>
    <w:rsid w:val="4EF10F53"/>
    <w:rsid w:val="4F35568B"/>
    <w:rsid w:val="4FAB42B7"/>
    <w:rsid w:val="4FD25A40"/>
    <w:rsid w:val="502E48DD"/>
    <w:rsid w:val="50EB1ADD"/>
    <w:rsid w:val="5107796B"/>
    <w:rsid w:val="513242BC"/>
    <w:rsid w:val="51E2310E"/>
    <w:rsid w:val="522A196B"/>
    <w:rsid w:val="52B15DE1"/>
    <w:rsid w:val="52E230ED"/>
    <w:rsid w:val="52F24402"/>
    <w:rsid w:val="52F83D36"/>
    <w:rsid w:val="52F859A8"/>
    <w:rsid w:val="53113538"/>
    <w:rsid w:val="53193986"/>
    <w:rsid w:val="53492103"/>
    <w:rsid w:val="53990623"/>
    <w:rsid w:val="53A5346C"/>
    <w:rsid w:val="53E61ABA"/>
    <w:rsid w:val="541A5C08"/>
    <w:rsid w:val="542B7CA6"/>
    <w:rsid w:val="54482775"/>
    <w:rsid w:val="54586535"/>
    <w:rsid w:val="545C1D7C"/>
    <w:rsid w:val="54CB4491"/>
    <w:rsid w:val="54F44B72"/>
    <w:rsid w:val="54FE1085"/>
    <w:rsid w:val="5571234A"/>
    <w:rsid w:val="557D6952"/>
    <w:rsid w:val="558201A6"/>
    <w:rsid w:val="55D52F26"/>
    <w:rsid w:val="560C5273"/>
    <w:rsid w:val="563A12A6"/>
    <w:rsid w:val="565F5B54"/>
    <w:rsid w:val="56644F18"/>
    <w:rsid w:val="56980437"/>
    <w:rsid w:val="56F45A15"/>
    <w:rsid w:val="57016C0B"/>
    <w:rsid w:val="572402C1"/>
    <w:rsid w:val="57430897"/>
    <w:rsid w:val="57444D52"/>
    <w:rsid w:val="57D60097"/>
    <w:rsid w:val="57D97C59"/>
    <w:rsid w:val="57F10A2D"/>
    <w:rsid w:val="58801DB1"/>
    <w:rsid w:val="58B254EF"/>
    <w:rsid w:val="58C61EBA"/>
    <w:rsid w:val="58F01E7D"/>
    <w:rsid w:val="59254E33"/>
    <w:rsid w:val="592B1D8E"/>
    <w:rsid w:val="59352B9C"/>
    <w:rsid w:val="5943175D"/>
    <w:rsid w:val="5963595B"/>
    <w:rsid w:val="599A2E67"/>
    <w:rsid w:val="59C97EB4"/>
    <w:rsid w:val="5A3F1F24"/>
    <w:rsid w:val="5A68135A"/>
    <w:rsid w:val="5A753B98"/>
    <w:rsid w:val="5A945C1D"/>
    <w:rsid w:val="5AB61389"/>
    <w:rsid w:val="5B177FAA"/>
    <w:rsid w:val="5B2A22B5"/>
    <w:rsid w:val="5B6A1223"/>
    <w:rsid w:val="5B8F47E5"/>
    <w:rsid w:val="5BAD78C7"/>
    <w:rsid w:val="5C2C472A"/>
    <w:rsid w:val="5CCC579B"/>
    <w:rsid w:val="5CDA23D8"/>
    <w:rsid w:val="5D0B2591"/>
    <w:rsid w:val="5D99194B"/>
    <w:rsid w:val="5E033269"/>
    <w:rsid w:val="5E2A7C2A"/>
    <w:rsid w:val="5E317DD6"/>
    <w:rsid w:val="5E341674"/>
    <w:rsid w:val="5E3E33BB"/>
    <w:rsid w:val="5E3E6996"/>
    <w:rsid w:val="5EAD6E17"/>
    <w:rsid w:val="5EF84D97"/>
    <w:rsid w:val="5EFD23AE"/>
    <w:rsid w:val="5F182D44"/>
    <w:rsid w:val="5F1C6198"/>
    <w:rsid w:val="5F203DEF"/>
    <w:rsid w:val="5F381638"/>
    <w:rsid w:val="5FB567E4"/>
    <w:rsid w:val="5FBE38EB"/>
    <w:rsid w:val="60244EEA"/>
    <w:rsid w:val="602816AC"/>
    <w:rsid w:val="60383016"/>
    <w:rsid w:val="60A86F24"/>
    <w:rsid w:val="60CE2FD3"/>
    <w:rsid w:val="60E01F3B"/>
    <w:rsid w:val="61054C1C"/>
    <w:rsid w:val="6133291E"/>
    <w:rsid w:val="6138591F"/>
    <w:rsid w:val="614C4F26"/>
    <w:rsid w:val="615F10FE"/>
    <w:rsid w:val="618B1EF3"/>
    <w:rsid w:val="61A863FA"/>
    <w:rsid w:val="61D07906"/>
    <w:rsid w:val="621E52A6"/>
    <w:rsid w:val="625E72B1"/>
    <w:rsid w:val="626F2B8D"/>
    <w:rsid w:val="62A768B8"/>
    <w:rsid w:val="62B114E5"/>
    <w:rsid w:val="62D87CBC"/>
    <w:rsid w:val="62FF1540"/>
    <w:rsid w:val="631B60BC"/>
    <w:rsid w:val="63395001"/>
    <w:rsid w:val="633B13C0"/>
    <w:rsid w:val="63934F06"/>
    <w:rsid w:val="641E0DFC"/>
    <w:rsid w:val="64414217"/>
    <w:rsid w:val="64723535"/>
    <w:rsid w:val="64D43172"/>
    <w:rsid w:val="64E352F1"/>
    <w:rsid w:val="659D498D"/>
    <w:rsid w:val="664A5AE5"/>
    <w:rsid w:val="664C4EF2"/>
    <w:rsid w:val="66EC68F2"/>
    <w:rsid w:val="66F24FDD"/>
    <w:rsid w:val="67417AD6"/>
    <w:rsid w:val="67446DCC"/>
    <w:rsid w:val="677E1BB2"/>
    <w:rsid w:val="67851192"/>
    <w:rsid w:val="67AB1021"/>
    <w:rsid w:val="67B04592"/>
    <w:rsid w:val="67D06378"/>
    <w:rsid w:val="67FA24FB"/>
    <w:rsid w:val="68024591"/>
    <w:rsid w:val="685178CD"/>
    <w:rsid w:val="685349CC"/>
    <w:rsid w:val="686314D3"/>
    <w:rsid w:val="68661909"/>
    <w:rsid w:val="68815B97"/>
    <w:rsid w:val="68983595"/>
    <w:rsid w:val="68A627E8"/>
    <w:rsid w:val="68CF24F7"/>
    <w:rsid w:val="68FC7232"/>
    <w:rsid w:val="696F72C6"/>
    <w:rsid w:val="699340CE"/>
    <w:rsid w:val="69B33D95"/>
    <w:rsid w:val="6A030432"/>
    <w:rsid w:val="6A8F5B73"/>
    <w:rsid w:val="6AB37DC4"/>
    <w:rsid w:val="6AC124E1"/>
    <w:rsid w:val="6AFD1CE1"/>
    <w:rsid w:val="6B2D5DC9"/>
    <w:rsid w:val="6B473025"/>
    <w:rsid w:val="6B4A24D7"/>
    <w:rsid w:val="6B5C78B7"/>
    <w:rsid w:val="6B6B1FD1"/>
    <w:rsid w:val="6B8600F3"/>
    <w:rsid w:val="6C315445"/>
    <w:rsid w:val="6C8C2975"/>
    <w:rsid w:val="6CDA5E56"/>
    <w:rsid w:val="6CE373EF"/>
    <w:rsid w:val="6D174FF1"/>
    <w:rsid w:val="6D19680F"/>
    <w:rsid w:val="6D2754BB"/>
    <w:rsid w:val="6D506365"/>
    <w:rsid w:val="6D9941B4"/>
    <w:rsid w:val="6E4D523C"/>
    <w:rsid w:val="6EB011EB"/>
    <w:rsid w:val="6EB1286D"/>
    <w:rsid w:val="6ECC759D"/>
    <w:rsid w:val="6EDD3662"/>
    <w:rsid w:val="6EDE366D"/>
    <w:rsid w:val="6EF4795E"/>
    <w:rsid w:val="6F4B3B4B"/>
    <w:rsid w:val="6F915235"/>
    <w:rsid w:val="70221C01"/>
    <w:rsid w:val="704020FA"/>
    <w:rsid w:val="70A96D1A"/>
    <w:rsid w:val="70C707A6"/>
    <w:rsid w:val="70EC5DDE"/>
    <w:rsid w:val="70FC26C5"/>
    <w:rsid w:val="71174B82"/>
    <w:rsid w:val="71400BCE"/>
    <w:rsid w:val="716A5681"/>
    <w:rsid w:val="71901BEB"/>
    <w:rsid w:val="71AE402D"/>
    <w:rsid w:val="71C57651"/>
    <w:rsid w:val="72C708B1"/>
    <w:rsid w:val="72CE7E91"/>
    <w:rsid w:val="72E54E82"/>
    <w:rsid w:val="73211C62"/>
    <w:rsid w:val="736E658B"/>
    <w:rsid w:val="73B15B11"/>
    <w:rsid w:val="73F438FC"/>
    <w:rsid w:val="7416389E"/>
    <w:rsid w:val="743E2DF5"/>
    <w:rsid w:val="746644C4"/>
    <w:rsid w:val="75864A53"/>
    <w:rsid w:val="75B672D6"/>
    <w:rsid w:val="75DC06BE"/>
    <w:rsid w:val="7612456C"/>
    <w:rsid w:val="764069F8"/>
    <w:rsid w:val="765E32DA"/>
    <w:rsid w:val="76964E0C"/>
    <w:rsid w:val="76E5018D"/>
    <w:rsid w:val="77A939A8"/>
    <w:rsid w:val="786B7BFA"/>
    <w:rsid w:val="788D620B"/>
    <w:rsid w:val="7892468E"/>
    <w:rsid w:val="78C87131"/>
    <w:rsid w:val="78D35CC9"/>
    <w:rsid w:val="78EF0B61"/>
    <w:rsid w:val="78F9553C"/>
    <w:rsid w:val="79060BD1"/>
    <w:rsid w:val="790C5ECE"/>
    <w:rsid w:val="79175832"/>
    <w:rsid w:val="7928524D"/>
    <w:rsid w:val="79CD0088"/>
    <w:rsid w:val="79E34772"/>
    <w:rsid w:val="79E41D48"/>
    <w:rsid w:val="79FF3378"/>
    <w:rsid w:val="7A552E71"/>
    <w:rsid w:val="7A7E06E4"/>
    <w:rsid w:val="7AAF1D4F"/>
    <w:rsid w:val="7AF728E7"/>
    <w:rsid w:val="7B0F7299"/>
    <w:rsid w:val="7B6A794C"/>
    <w:rsid w:val="7BDC6A19"/>
    <w:rsid w:val="7C3C5E6C"/>
    <w:rsid w:val="7C442F72"/>
    <w:rsid w:val="7C555BCA"/>
    <w:rsid w:val="7C6F7F0B"/>
    <w:rsid w:val="7CBC6F7B"/>
    <w:rsid w:val="7CD04806"/>
    <w:rsid w:val="7CFA29F1"/>
    <w:rsid w:val="7D8B70AB"/>
    <w:rsid w:val="7DCE51E9"/>
    <w:rsid w:val="7DF168DB"/>
    <w:rsid w:val="7E71317F"/>
    <w:rsid w:val="7E9755DB"/>
    <w:rsid w:val="7EBA08F7"/>
    <w:rsid w:val="7FC93C5D"/>
    <w:rsid w:val="7FCF0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3"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qFormat/>
    <w:uiPriority w:val="9"/>
    <w:pPr>
      <w:keepNext/>
      <w:keepLines/>
      <w:spacing w:before="120" w:after="120"/>
      <w:jc w:val="center"/>
      <w:outlineLvl w:val="0"/>
    </w:pPr>
    <w:rPr>
      <w:b/>
      <w:bCs/>
      <w:kern w:val="44"/>
      <w:szCs w:val="44"/>
    </w:rPr>
  </w:style>
  <w:style w:type="paragraph" w:styleId="3">
    <w:name w:val="heading 2"/>
    <w:basedOn w:val="1"/>
    <w:next w:val="1"/>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unhideWhenUsed/>
    <w:qFormat/>
    <w:uiPriority w:val="0"/>
    <w:pPr>
      <w:keepNext/>
      <w:keepLines/>
      <w:spacing w:before="260" w:after="260" w:line="416" w:lineRule="auto"/>
      <w:outlineLvl w:val="2"/>
    </w:pPr>
    <w:rPr>
      <w:b/>
      <w:bCs/>
      <w:sz w:val="32"/>
      <w:szCs w:val="32"/>
    </w:rPr>
  </w:style>
  <w:style w:type="character" w:default="1" w:styleId="19">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0"/>
    <w:qFormat/>
    <w:uiPriority w:val="0"/>
    <w:pPr>
      <w:jc w:val="left"/>
    </w:pPr>
  </w:style>
  <w:style w:type="paragraph" w:styleId="6">
    <w:name w:val="Body Text"/>
    <w:basedOn w:val="1"/>
    <w:link w:val="29"/>
    <w:qFormat/>
    <w:uiPriority w:val="99"/>
    <w:pPr>
      <w:wordWrap w:val="0"/>
      <w:spacing w:after="120" w:line="240" w:lineRule="auto"/>
      <w:ind w:firstLine="0" w:firstLineChars="0"/>
      <w:jc w:val="left"/>
    </w:pPr>
    <w:rPr>
      <w:rFonts w:ascii="Calibri" w:hAnsi="Calibri" w:cs="Times New Roman"/>
      <w:sz w:val="21"/>
    </w:rPr>
  </w:style>
  <w:style w:type="paragraph" w:styleId="7">
    <w:name w:val="Body Text Indent"/>
    <w:basedOn w:val="1"/>
    <w:qFormat/>
    <w:uiPriority w:val="0"/>
    <w:pPr>
      <w:spacing w:after="120"/>
      <w:ind w:left="420" w:leftChars="200"/>
    </w:pPr>
  </w:style>
  <w:style w:type="paragraph" w:styleId="8">
    <w:name w:val="Balloon Text"/>
    <w:basedOn w:val="1"/>
    <w:link w:val="32"/>
    <w:semiHidden/>
    <w:unhideWhenUsed/>
    <w:qFormat/>
    <w:uiPriority w:val="0"/>
    <w:pPr>
      <w:spacing w:line="240" w:lineRule="auto"/>
    </w:pPr>
    <w:rPr>
      <w:sz w:val="18"/>
      <w:szCs w:val="18"/>
    </w:rPr>
  </w:style>
  <w:style w:type="paragraph" w:styleId="9">
    <w:name w:val="footer"/>
    <w:basedOn w:val="1"/>
    <w:link w:val="26"/>
    <w:qFormat/>
    <w:uiPriority w:val="0"/>
    <w:pPr>
      <w:tabs>
        <w:tab w:val="center" w:pos="4153"/>
        <w:tab w:val="right" w:pos="8306"/>
      </w:tabs>
      <w:snapToGrid w:val="0"/>
      <w:jc w:val="left"/>
    </w:pPr>
    <w:rPr>
      <w:sz w:val="18"/>
      <w:szCs w:val="18"/>
    </w:rPr>
  </w:style>
  <w:style w:type="paragraph" w:styleId="10">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3">
    <w:name w:val="toc 2"/>
    <w:basedOn w:val="1"/>
    <w:next w:val="1"/>
    <w:qFormat/>
    <w:uiPriority w:val="39"/>
    <w:pPr>
      <w:ind w:left="420" w:leftChars="200"/>
    </w:pPr>
  </w:style>
  <w:style w:type="paragraph" w:styleId="14">
    <w:name w:val="Title"/>
    <w:basedOn w:val="1"/>
    <w:next w:val="1"/>
    <w:link w:val="28"/>
    <w:qFormat/>
    <w:uiPriority w:val="0"/>
    <w:pPr>
      <w:spacing w:before="240" w:after="60"/>
      <w:jc w:val="center"/>
      <w:outlineLvl w:val="0"/>
    </w:pPr>
    <w:rPr>
      <w:rFonts w:asciiTheme="majorHAnsi" w:hAnsiTheme="majorHAnsi" w:cstheme="majorBidi"/>
      <w:b/>
      <w:bCs/>
      <w:sz w:val="32"/>
      <w:szCs w:val="32"/>
    </w:rPr>
  </w:style>
  <w:style w:type="paragraph" w:styleId="15">
    <w:name w:val="annotation subject"/>
    <w:basedOn w:val="5"/>
    <w:next w:val="5"/>
    <w:link w:val="31"/>
    <w:semiHidden/>
    <w:unhideWhenUsed/>
    <w:qFormat/>
    <w:uiPriority w:val="0"/>
    <w:rPr>
      <w:b/>
      <w:bCs/>
    </w:rPr>
  </w:style>
  <w:style w:type="paragraph" w:styleId="16">
    <w:name w:val="Body Text First Indent 2"/>
    <w:basedOn w:val="7"/>
    <w:qFormat/>
    <w:uiPriority w:val="0"/>
    <w:pPr>
      <w:ind w:firstLine="420"/>
    </w:pPr>
  </w:style>
  <w:style w:type="table" w:styleId="18">
    <w:name w:val="Table Grid"/>
    <w:basedOn w:val="17"/>
    <w:qFormat/>
    <w:uiPriority w:val="59"/>
    <w:pPr>
      <w:spacing w:after="200" w:line="276" w:lineRule="auto"/>
    </w:pPr>
    <w:rPr>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basedOn w:val="19"/>
    <w:unhideWhenUsed/>
    <w:qFormat/>
    <w:uiPriority w:val="99"/>
    <w:rPr>
      <w:color w:val="0563C1" w:themeColor="hyperlink"/>
      <w:u w:val="single"/>
      <w14:textFill>
        <w14:solidFill>
          <w14:schemeClr w14:val="hlink"/>
        </w14:solidFill>
      </w14:textFill>
    </w:rPr>
  </w:style>
  <w:style w:type="character" w:styleId="21">
    <w:name w:val="annotation reference"/>
    <w:basedOn w:val="19"/>
    <w:qFormat/>
    <w:uiPriority w:val="0"/>
    <w:rPr>
      <w:sz w:val="21"/>
      <w:szCs w:val="21"/>
    </w:rPr>
  </w:style>
  <w:style w:type="paragraph" w:customStyle="1" w:styleId="22">
    <w:name w:val="列出段落1"/>
    <w:basedOn w:val="1"/>
    <w:qFormat/>
    <w:uiPriority w:val="34"/>
    <w:pPr>
      <w:ind w:firstLine="420"/>
    </w:pPr>
    <w:rPr>
      <w:rFonts w:eastAsia="仿宋GB2312" w:cs="黑体"/>
      <w:sz w:val="32"/>
    </w:rPr>
  </w:style>
  <w:style w:type="paragraph" w:styleId="23">
    <w:name w:val="List Paragraph"/>
    <w:basedOn w:val="1"/>
    <w:qFormat/>
    <w:uiPriority w:val="34"/>
    <w:pPr>
      <w:ind w:firstLine="420"/>
    </w:pPr>
  </w:style>
  <w:style w:type="paragraph" w:customStyle="1" w:styleId="24">
    <w:name w:val="标准小四"/>
    <w:basedOn w:val="1"/>
    <w:qFormat/>
    <w:uiPriority w:val="0"/>
    <w:pPr>
      <w:spacing w:line="300" w:lineRule="auto"/>
      <w:ind w:firstLine="200"/>
    </w:pPr>
    <w:rPr>
      <w:rFonts w:ascii="Arial" w:hAnsi="Arial"/>
      <w:szCs w:val="21"/>
    </w:rPr>
  </w:style>
  <w:style w:type="character" w:customStyle="1" w:styleId="25">
    <w:name w:val="页眉 字符"/>
    <w:basedOn w:val="19"/>
    <w:link w:val="10"/>
    <w:qFormat/>
    <w:uiPriority w:val="0"/>
    <w:rPr>
      <w:kern w:val="2"/>
      <w:sz w:val="18"/>
      <w:szCs w:val="18"/>
    </w:rPr>
  </w:style>
  <w:style w:type="character" w:customStyle="1" w:styleId="26">
    <w:name w:val="页脚 字符"/>
    <w:basedOn w:val="19"/>
    <w:link w:val="9"/>
    <w:qFormat/>
    <w:uiPriority w:val="0"/>
    <w:rPr>
      <w:kern w:val="2"/>
      <w:sz w:val="18"/>
      <w:szCs w:val="18"/>
    </w:rPr>
  </w:style>
  <w:style w:type="character" w:customStyle="1" w:styleId="27">
    <w:name w:val="标题 3 字符"/>
    <w:basedOn w:val="19"/>
    <w:link w:val="4"/>
    <w:qFormat/>
    <w:uiPriority w:val="0"/>
    <w:rPr>
      <w:rFonts w:cstheme="minorBidi"/>
      <w:b/>
      <w:bCs/>
      <w:kern w:val="2"/>
      <w:sz w:val="32"/>
      <w:szCs w:val="32"/>
    </w:rPr>
  </w:style>
  <w:style w:type="character" w:customStyle="1" w:styleId="28">
    <w:name w:val="标题 字符"/>
    <w:basedOn w:val="19"/>
    <w:link w:val="14"/>
    <w:qFormat/>
    <w:uiPriority w:val="0"/>
    <w:rPr>
      <w:rFonts w:asciiTheme="majorHAnsi" w:hAnsiTheme="majorHAnsi" w:cstheme="majorBidi"/>
      <w:b/>
      <w:bCs/>
      <w:kern w:val="2"/>
      <w:sz w:val="32"/>
      <w:szCs w:val="32"/>
    </w:rPr>
  </w:style>
  <w:style w:type="character" w:customStyle="1" w:styleId="29">
    <w:name w:val="正文文本 字符"/>
    <w:basedOn w:val="19"/>
    <w:link w:val="6"/>
    <w:qFormat/>
    <w:uiPriority w:val="99"/>
    <w:rPr>
      <w:rFonts w:ascii="Calibri" w:hAnsi="Calibri"/>
      <w:kern w:val="2"/>
      <w:sz w:val="21"/>
      <w:szCs w:val="22"/>
    </w:rPr>
  </w:style>
  <w:style w:type="character" w:customStyle="1" w:styleId="30">
    <w:name w:val="批注文字 字符"/>
    <w:basedOn w:val="19"/>
    <w:link w:val="5"/>
    <w:qFormat/>
    <w:uiPriority w:val="0"/>
    <w:rPr>
      <w:rFonts w:cstheme="minorBidi"/>
      <w:kern w:val="2"/>
      <w:sz w:val="24"/>
      <w:szCs w:val="22"/>
    </w:rPr>
  </w:style>
  <w:style w:type="character" w:customStyle="1" w:styleId="31">
    <w:name w:val="批注主题 字符"/>
    <w:basedOn w:val="30"/>
    <w:link w:val="15"/>
    <w:semiHidden/>
    <w:qFormat/>
    <w:uiPriority w:val="0"/>
    <w:rPr>
      <w:rFonts w:cstheme="minorBidi"/>
      <w:b/>
      <w:bCs/>
      <w:kern w:val="2"/>
      <w:sz w:val="24"/>
      <w:szCs w:val="22"/>
    </w:rPr>
  </w:style>
  <w:style w:type="character" w:customStyle="1" w:styleId="32">
    <w:name w:val="批注框文本 字符"/>
    <w:basedOn w:val="19"/>
    <w:link w:val="8"/>
    <w:semiHidden/>
    <w:qFormat/>
    <w:uiPriority w:val="0"/>
    <w:rPr>
      <w:rFonts w:cstheme="minorBidi"/>
      <w:kern w:val="2"/>
      <w:sz w:val="18"/>
      <w:szCs w:val="18"/>
    </w:rPr>
  </w:style>
  <w:style w:type="paragraph" w:customStyle="1" w:styleId="33">
    <w:name w:val="TWSM"/>
    <w:qFormat/>
    <w:uiPriority w:val="0"/>
    <w:pPr>
      <w:spacing w:line="360" w:lineRule="auto"/>
    </w:pPr>
    <w:rPr>
      <w:rFonts w:ascii="Times New Roman" w:hAnsi="Times New Roman" w:eastAsia="仿宋" w:cs="Times New Roman"/>
      <w:b/>
      <w:color w:val="000000" w:themeColor="text1"/>
      <w:kern w:val="2"/>
      <w:sz w:val="21"/>
      <w:szCs w:val="24"/>
      <w:lang w:val="en-US" w:eastAsia="zh-CN" w:bidi="ar-SA"/>
      <w14:textFill>
        <w14:solidFill>
          <w14:schemeClr w14:val="tx1"/>
        </w14:solidFill>
      </w14:textFill>
    </w:rPr>
  </w:style>
  <w:style w:type="paragraph" w:customStyle="1" w:styleId="34">
    <w:name w:val="条文说明内容"/>
    <w:qFormat/>
    <w:uiPriority w:val="0"/>
    <w:pPr>
      <w:spacing w:line="360" w:lineRule="auto"/>
      <w:ind w:firstLine="420" w:firstLineChars="200"/>
      <w:jc w:val="both"/>
    </w:pPr>
    <w:rPr>
      <w:rFonts w:ascii="Times New Roman" w:hAnsi="Times New Roman" w:eastAsia="楷体" w:cs="Times New Roman"/>
      <w:bCs/>
      <w:color w:val="000000"/>
      <w:kern w:val="2"/>
      <w:sz w:val="21"/>
      <w:szCs w:val="22"/>
      <w:lang w:val="en-US" w:eastAsia="zh-CN" w:bidi="ar-SA"/>
    </w:rPr>
  </w:style>
  <w:style w:type="paragraph" w:customStyle="1" w:styleId="35">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36">
    <w:name w:val="修订1"/>
    <w:hidden/>
    <w:unhideWhenUsed/>
    <w:qFormat/>
    <w:uiPriority w:val="99"/>
    <w:rPr>
      <w:rFonts w:ascii="Times New Roman" w:hAnsi="Times New Roman" w:eastAsia="宋体" w:cstheme="minorBidi"/>
      <w:kern w:val="2"/>
      <w:sz w:val="24"/>
      <w:szCs w:val="22"/>
      <w:lang w:val="en-US" w:eastAsia="zh-CN" w:bidi="ar-SA"/>
    </w:rPr>
  </w:style>
  <w:style w:type="paragraph" w:customStyle="1" w:styleId="37">
    <w:name w:val="修订2"/>
    <w:hidden/>
    <w:unhideWhenUsed/>
    <w:qFormat/>
    <w:uiPriority w:val="99"/>
    <w:rPr>
      <w:rFonts w:ascii="Times New Roman" w:hAnsi="Times New Roman" w:eastAsia="宋体" w:cstheme="minorBidi"/>
      <w:kern w:val="2"/>
      <w:sz w:val="24"/>
      <w:szCs w:val="22"/>
      <w:lang w:val="en-US" w:eastAsia="zh-CN" w:bidi="ar-SA"/>
    </w:rPr>
  </w:style>
  <w:style w:type="paragraph" w:customStyle="1" w:styleId="38">
    <w:name w:val="修订3"/>
    <w:hidden/>
    <w:unhideWhenUsed/>
    <w:qFormat/>
    <w:uiPriority w:val="99"/>
    <w:rPr>
      <w:rFonts w:ascii="Times New Roman" w:hAnsi="Times New Roman" w:eastAsia="宋体" w:cstheme="minorBidi"/>
      <w:kern w:val="2"/>
      <w:sz w:val="24"/>
      <w:szCs w:val="22"/>
      <w:lang w:val="en-US" w:eastAsia="zh-CN" w:bidi="ar-SA"/>
    </w:rPr>
  </w:style>
  <w:style w:type="paragraph" w:customStyle="1" w:styleId="39">
    <w:name w:val="修订4"/>
    <w:hidden/>
    <w:unhideWhenUsed/>
    <w:qFormat/>
    <w:uiPriority w:val="99"/>
    <w:rPr>
      <w:rFonts w:ascii="Times New Roman" w:hAnsi="Times New Roman" w:eastAsia="宋体" w:cstheme="minorBidi"/>
      <w:kern w:val="2"/>
      <w:sz w:val="24"/>
      <w:szCs w:val="22"/>
      <w:lang w:val="en-US" w:eastAsia="zh-CN" w:bidi="ar-SA"/>
    </w:rPr>
  </w:style>
  <w:style w:type="paragraph" w:customStyle="1" w:styleId="40">
    <w:name w:val="修订5"/>
    <w:hidden/>
    <w:unhideWhenUsed/>
    <w:qFormat/>
    <w:uiPriority w:val="99"/>
    <w:rPr>
      <w:rFonts w:ascii="Times New Roman" w:hAnsi="Times New Roman" w:eastAsia="宋体" w:cstheme="minorBidi"/>
      <w:kern w:val="2"/>
      <w:sz w:val="24"/>
      <w:szCs w:val="22"/>
      <w:lang w:val="en-US" w:eastAsia="zh-CN" w:bidi="ar-SA"/>
    </w:rPr>
  </w:style>
  <w:style w:type="paragraph" w:customStyle="1" w:styleId="41">
    <w:name w:val="Revision"/>
    <w:hidden/>
    <w:unhideWhenUsed/>
    <w:qFormat/>
    <w:uiPriority w:val="99"/>
    <w:rPr>
      <w:rFonts w:ascii="Times New Roman" w:hAnsi="Times New Roman" w:eastAsia="宋体"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6.wmf"/><Relationship Id="rId22" Type="http://schemas.openxmlformats.org/officeDocument/2006/relationships/oleObject" Target="embeddings/oleObject3.bin"/><Relationship Id="rId21" Type="http://schemas.openxmlformats.org/officeDocument/2006/relationships/image" Target="media/image5.w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1.bin"/><Relationship Id="rId17" Type="http://schemas.openxmlformats.org/officeDocument/2006/relationships/image" Target="media/image3.emf"/><Relationship Id="rId16" Type="http://schemas.openxmlformats.org/officeDocument/2006/relationships/image" Target="media/image2.png"/><Relationship Id="rId15" Type="http://schemas.openxmlformats.org/officeDocument/2006/relationships/image" Target="media/image1.emf"/><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AB3B15-1C8C-42FD-A1B6-21C324A71EA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14036</Words>
  <Characters>15593</Characters>
  <Lines>130</Lines>
  <Paragraphs>36</Paragraphs>
  <TotalTime>3</TotalTime>
  <ScaleCrop>false</ScaleCrop>
  <LinksUpToDate>false</LinksUpToDate>
  <CharactersWithSpaces>15892</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2025-02-18T15:18:00Z</dcterms:created>
  <dc:creator>会发光的</dc:creator>
  <cp:lastModifiedBy>小习</cp:lastModifiedBy>
  <dcterms:modified xsi:type="dcterms:W3CDTF">2025-10-28T07:17:51Z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814BC6BAF5654FDEADD89ED3BE6C2DB6_13</vt:lpwstr>
  </property>
  <property fmtid="{D5CDD505-2E9C-101B-9397-08002B2CF9AE}" pid="4" name="KSOTemplateDocerSaveRecord">
    <vt:lpwstr>eyJoZGlkIjoiN2YzNjBkOTgyNWQ1YTMxYzM3MzMwNWFiODNmOWIzYWMiLCJ1c2VySWQiOiIzMTgzODk5MSJ9</vt:lpwstr>
  </property>
</Properties>
</file>