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0B28A">
      <w:pPr>
        <w:adjustRightInd w:val="0"/>
        <w:snapToGrid w:val="0"/>
        <w:ind w:hanging="142"/>
        <w:rPr>
          <w:rFonts w:hint="eastAsia"/>
          <w:highlight w:val="none"/>
        </w:rPr>
      </w:pPr>
      <w:r>
        <w:rPr>
          <w:highlight w:val="none"/>
        </w:rPr>
        <w:drawing>
          <wp:inline distT="0" distB="0" distL="114300" distR="114300">
            <wp:extent cx="1717675" cy="11055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1717675" cy="1105535"/>
                    </a:xfrm>
                    <a:prstGeom prst="rect">
                      <a:avLst/>
                    </a:prstGeom>
                    <a:noFill/>
                    <a:ln>
                      <a:noFill/>
                    </a:ln>
                  </pic:spPr>
                </pic:pic>
              </a:graphicData>
            </a:graphic>
          </wp:inline>
        </w:drawing>
      </w:r>
      <w:r>
        <w:rPr>
          <w:b/>
          <w:highlight w:val="none"/>
        </w:rPr>
        <w:t xml:space="preserve">              </w:t>
      </w:r>
      <w:r>
        <w:rPr>
          <w:rFonts w:ascii="Times New Roman" w:hAnsi="Times New Roman" w:cs="Times New Roman"/>
          <w:b/>
          <w:sz w:val="30"/>
          <w:szCs w:val="30"/>
          <w:highlight w:val="none"/>
        </w:rPr>
        <w:t xml:space="preserve">T/CECS </w:t>
      </w:r>
      <w:r>
        <w:rPr>
          <w:rFonts w:hint="eastAsia" w:ascii="Times New Roman" w:hAnsi="Times New Roman" w:cs="Times New Roman"/>
          <w:b/>
          <w:sz w:val="30"/>
          <w:szCs w:val="30"/>
          <w:highlight w:val="none"/>
        </w:rPr>
        <w:t>XXXX</w:t>
      </w:r>
      <w:r>
        <w:rPr>
          <w:rFonts w:ascii="Times New Roman" w:hAnsi="Times New Roman" w:cs="Times New Roman"/>
          <w:b/>
          <w:sz w:val="30"/>
          <w:szCs w:val="30"/>
          <w:highlight w:val="none"/>
        </w:rPr>
        <w:t xml:space="preserve"> </w:t>
      </w:r>
      <w:r>
        <w:rPr>
          <w:rFonts w:ascii="Times New Roman" w:hAnsi="Times New Roman" w:eastAsia="黑体" w:cs="Times New Roman"/>
          <w:b/>
          <w:sz w:val="30"/>
          <w:szCs w:val="30"/>
          <w:highlight w:val="none"/>
        </w:rPr>
        <w:t>‒202</w:t>
      </w:r>
      <w:r>
        <w:rPr>
          <w:rFonts w:hint="eastAsia" w:ascii="Times New Roman" w:hAnsi="Times New Roman" w:eastAsia="黑体" w:cs="Times New Roman"/>
          <w:b/>
          <w:sz w:val="30"/>
          <w:szCs w:val="30"/>
          <w:highlight w:val="none"/>
        </w:rPr>
        <w:t>X</w:t>
      </w:r>
      <w:r>
        <w:rPr>
          <w:highlight w:val="none"/>
        </w:rPr>
        <w:drawing>
          <wp:inline distT="0" distB="0" distL="114300" distR="114300">
            <wp:extent cx="5492750" cy="146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5492750" cy="14605"/>
                    </a:xfrm>
                    <a:prstGeom prst="rect">
                      <a:avLst/>
                    </a:prstGeom>
                    <a:noFill/>
                    <a:ln>
                      <a:noFill/>
                    </a:ln>
                  </pic:spPr>
                </pic:pic>
              </a:graphicData>
            </a:graphic>
          </wp:inline>
        </w:drawing>
      </w:r>
      <w:r>
        <w:rPr>
          <w:rFonts w:hint="eastAsia"/>
          <w:highlight w:val="none"/>
        </w:rPr>
        <w:t xml:space="preserve"> </w:t>
      </w:r>
    </w:p>
    <w:p w14:paraId="63512495">
      <w:pPr>
        <w:adjustRightInd w:val="0"/>
        <w:snapToGrid w:val="0"/>
        <w:ind w:hanging="142"/>
        <w:rPr>
          <w:rFonts w:hint="eastAsia"/>
          <w:highlight w:val="none"/>
        </w:rPr>
      </w:pPr>
      <w:r>
        <w:rPr>
          <w:rFonts w:hint="eastAsia"/>
          <w:highlight w:val="none"/>
        </w:rPr>
        <w:t xml:space="preserve"> </w:t>
      </w:r>
    </w:p>
    <w:p w14:paraId="76B81327">
      <w:pPr>
        <w:adjustRightInd w:val="0"/>
        <w:snapToGrid w:val="0"/>
        <w:ind w:hanging="142"/>
        <w:rPr>
          <w:rFonts w:hint="eastAsia"/>
          <w:highlight w:val="none"/>
        </w:rPr>
      </w:pPr>
      <w:r>
        <w:rPr>
          <w:rFonts w:hint="eastAsia"/>
          <w:highlight w:val="none"/>
        </w:rPr>
        <w:t xml:space="preserve"> </w:t>
      </w:r>
    </w:p>
    <w:p w14:paraId="7847B52A">
      <w:pPr>
        <w:adjustRightInd w:val="0"/>
        <w:snapToGrid w:val="0"/>
        <w:ind w:hanging="142"/>
        <w:jc w:val="center"/>
        <w:rPr>
          <w:rFonts w:hint="eastAsia" w:ascii="黑体" w:hAnsi="黑体" w:eastAsia="黑体"/>
          <w:sz w:val="36"/>
          <w:szCs w:val="32"/>
          <w:highlight w:val="none"/>
        </w:rPr>
      </w:pPr>
      <w:r>
        <w:rPr>
          <w:rFonts w:ascii="黑体" w:hAnsi="黑体" w:eastAsia="黑体" w:cs="Times New Roman"/>
          <w:sz w:val="36"/>
          <w:szCs w:val="32"/>
          <w:highlight w:val="none"/>
        </w:rPr>
        <w:t>中国工程建设</w:t>
      </w:r>
      <w:r>
        <w:rPr>
          <w:rFonts w:hint="eastAsia" w:ascii="黑体" w:hAnsi="黑体" w:eastAsia="黑体" w:cs="Times New Roman"/>
          <w:sz w:val="36"/>
          <w:szCs w:val="32"/>
          <w:highlight w:val="none"/>
        </w:rPr>
        <w:t>标准化</w:t>
      </w:r>
      <w:r>
        <w:rPr>
          <w:rFonts w:ascii="黑体" w:hAnsi="黑体" w:eastAsia="黑体" w:cs="Times New Roman"/>
          <w:sz w:val="36"/>
          <w:szCs w:val="32"/>
          <w:highlight w:val="none"/>
        </w:rPr>
        <w:t>协会标准</w:t>
      </w:r>
    </w:p>
    <w:p w14:paraId="05C5BAFB">
      <w:pPr>
        <w:adjustRightInd w:val="0"/>
        <w:snapToGrid w:val="0"/>
        <w:ind w:hanging="142"/>
        <w:jc w:val="center"/>
        <w:rPr>
          <w:rFonts w:hint="eastAsia"/>
          <w:b/>
          <w:sz w:val="28"/>
          <w:szCs w:val="32"/>
          <w:highlight w:val="none"/>
        </w:rPr>
      </w:pPr>
      <w:r>
        <w:rPr>
          <w:rFonts w:hint="eastAsia"/>
          <w:b/>
          <w:sz w:val="28"/>
          <w:szCs w:val="32"/>
          <w:highlight w:val="none"/>
        </w:rPr>
        <w:t xml:space="preserve"> </w:t>
      </w:r>
    </w:p>
    <w:p w14:paraId="32576654">
      <w:pPr>
        <w:autoSpaceDN/>
        <w:ind w:hanging="142"/>
        <w:jc w:val="center"/>
        <w:rPr>
          <w:rFonts w:hint="eastAsia" w:ascii="Times New Roman" w:hAnsi="Times New Roman" w:eastAsia="黑体" w:cs="Times New Roman"/>
          <w:sz w:val="48"/>
          <w:szCs w:val="48"/>
          <w:highlight w:val="none"/>
          <w:lang w:eastAsia="zh-CN"/>
        </w:rPr>
      </w:pPr>
      <w:bookmarkStart w:id="0" w:name="_Hlk182831699"/>
      <w:r>
        <w:rPr>
          <w:rFonts w:hint="eastAsia" w:ascii="黑体" w:hAnsi="黑体" w:eastAsia="黑体" w:cs="Times New Roman"/>
          <w:sz w:val="48"/>
          <w:szCs w:val="48"/>
          <w:highlight w:val="none"/>
          <w:lang w:eastAsia="zh-CN"/>
        </w:rPr>
        <w:t>人员密集场所消防安全评估标准</w:t>
      </w:r>
    </w:p>
    <w:bookmarkEnd w:id="0"/>
    <w:p w14:paraId="29612ABD">
      <w:pPr>
        <w:adjustRightInd w:val="0"/>
        <w:snapToGrid w:val="0"/>
        <w:ind w:hanging="142"/>
        <w:jc w:val="center"/>
        <w:rPr>
          <w:rFonts w:ascii="Times New Roman" w:hAnsi="Times New Roman" w:eastAsia="黑体" w:cs="Times New Roman"/>
          <w:b/>
          <w:bCs/>
          <w:sz w:val="28"/>
          <w:highlight w:val="none"/>
        </w:rPr>
      </w:pPr>
      <w:bookmarkStart w:id="1" w:name="_Hlk140329771"/>
      <w:r>
        <w:rPr>
          <w:rFonts w:hint="eastAsia" w:ascii="Times New Roman" w:hAnsi="Times New Roman" w:eastAsia="黑体" w:cs="Times New Roman"/>
          <w:b/>
          <w:bCs/>
          <w:sz w:val="28"/>
          <w:highlight w:val="none"/>
          <w:lang w:val="en-US" w:eastAsia="zh-CN"/>
        </w:rPr>
        <w:t>Standard</w:t>
      </w:r>
      <w:r>
        <w:rPr>
          <w:rFonts w:hint="eastAsia" w:ascii="Times New Roman" w:hAnsi="Times New Roman" w:eastAsia="黑体" w:cs="Times New Roman"/>
          <w:b/>
          <w:bCs/>
          <w:sz w:val="28"/>
          <w:highlight w:val="none"/>
        </w:rPr>
        <w:t xml:space="preserve"> for fire safety assessment in densely populated areas</w:t>
      </w:r>
    </w:p>
    <w:bookmarkEnd w:id="1"/>
    <w:p w14:paraId="51F2570D">
      <w:pPr>
        <w:ind w:hanging="142"/>
        <w:jc w:val="center"/>
        <w:rPr>
          <w:rFonts w:hint="eastAsia"/>
          <w:sz w:val="36"/>
          <w:szCs w:val="36"/>
          <w:highlight w:val="none"/>
        </w:rPr>
      </w:pPr>
    </w:p>
    <w:p w14:paraId="690CF678">
      <w:pPr>
        <w:ind w:hanging="142"/>
        <w:jc w:val="center"/>
        <w:rPr>
          <w:rFonts w:hint="eastAsia"/>
          <w:sz w:val="36"/>
          <w:szCs w:val="36"/>
          <w:highlight w:val="none"/>
        </w:rPr>
      </w:pPr>
      <w:r>
        <w:rPr>
          <w:rFonts w:hint="eastAsia"/>
          <w:sz w:val="36"/>
          <w:szCs w:val="36"/>
          <w:highlight w:val="none"/>
        </w:rPr>
        <w:t>（</w:t>
      </w:r>
      <w:r>
        <w:rPr>
          <w:rFonts w:hint="eastAsia"/>
          <w:sz w:val="36"/>
          <w:szCs w:val="36"/>
          <w:highlight w:val="none"/>
          <w:lang w:val="en-US" w:eastAsia="zh-CN"/>
        </w:rPr>
        <w:t>征求意见</w:t>
      </w:r>
      <w:r>
        <w:rPr>
          <w:rFonts w:hint="eastAsia"/>
          <w:sz w:val="36"/>
          <w:szCs w:val="36"/>
          <w:highlight w:val="none"/>
        </w:rPr>
        <w:t>稿）</w:t>
      </w:r>
    </w:p>
    <w:p w14:paraId="7F010895">
      <w:pPr>
        <w:adjustRightInd w:val="0"/>
        <w:snapToGrid w:val="0"/>
        <w:ind w:hanging="142"/>
        <w:rPr>
          <w:rFonts w:hint="eastAsia"/>
          <w:highlight w:val="none"/>
        </w:rPr>
      </w:pPr>
      <w:r>
        <w:rPr>
          <w:rFonts w:hint="eastAsia"/>
          <w:highlight w:val="none"/>
        </w:rPr>
        <w:t xml:space="preserve"> </w:t>
      </w:r>
    </w:p>
    <w:p w14:paraId="3AC4AC8F">
      <w:pPr>
        <w:adjustRightInd w:val="0"/>
        <w:snapToGrid w:val="0"/>
        <w:ind w:hanging="142"/>
        <w:rPr>
          <w:rFonts w:hint="eastAsia"/>
          <w:highlight w:val="none"/>
        </w:rPr>
      </w:pPr>
    </w:p>
    <w:p w14:paraId="0582778A">
      <w:pPr>
        <w:tabs>
          <w:tab w:val="left" w:pos="7502"/>
        </w:tabs>
        <w:adjustRightInd w:val="0"/>
        <w:snapToGrid w:val="0"/>
        <w:ind w:hanging="142"/>
        <w:rPr>
          <w:rFonts w:hint="eastAsia"/>
          <w:highlight w:val="none"/>
        </w:rPr>
      </w:pPr>
      <w:r>
        <w:rPr>
          <w:rFonts w:hint="eastAsia"/>
          <w:highlight w:val="none"/>
        </w:rPr>
        <w:t xml:space="preserve"> </w:t>
      </w:r>
      <w:r>
        <w:rPr>
          <w:highlight w:val="none"/>
        </w:rPr>
        <w:tab/>
      </w:r>
      <w:r>
        <w:rPr>
          <w:highlight w:val="none"/>
        </w:rPr>
        <w:tab/>
      </w:r>
    </w:p>
    <w:p w14:paraId="46965F51">
      <w:pPr>
        <w:adjustRightInd w:val="0"/>
        <w:snapToGrid w:val="0"/>
        <w:ind w:hanging="142"/>
        <w:rPr>
          <w:rFonts w:hint="eastAsia"/>
          <w:highlight w:val="none"/>
        </w:rPr>
      </w:pPr>
      <w:r>
        <w:rPr>
          <w:rFonts w:hint="eastAsia"/>
          <w:highlight w:val="none"/>
        </w:rPr>
        <w:t xml:space="preserve"> </w:t>
      </w:r>
    </w:p>
    <w:p w14:paraId="34DA3B28">
      <w:pPr>
        <w:adjustRightInd w:val="0"/>
        <w:snapToGrid w:val="0"/>
        <w:ind w:hanging="142"/>
        <w:rPr>
          <w:rFonts w:hint="eastAsia"/>
          <w:highlight w:val="none"/>
        </w:rPr>
      </w:pPr>
      <w:r>
        <w:rPr>
          <w:rFonts w:hint="eastAsia"/>
          <w:highlight w:val="none"/>
        </w:rPr>
        <w:t xml:space="preserve"> </w:t>
      </w:r>
    </w:p>
    <w:p w14:paraId="1DCF8595">
      <w:pPr>
        <w:adjustRightInd w:val="0"/>
        <w:snapToGrid w:val="0"/>
        <w:ind w:hanging="142"/>
        <w:jc w:val="center"/>
        <w:rPr>
          <w:rFonts w:hint="eastAsia"/>
          <w:highlight w:val="none"/>
        </w:rPr>
      </w:pPr>
      <w:r>
        <w:rPr>
          <w:rFonts w:hint="eastAsia"/>
          <w:highlight w:val="none"/>
        </w:rPr>
        <w:t xml:space="preserve"> </w:t>
      </w:r>
    </w:p>
    <w:p w14:paraId="110F3782">
      <w:pPr>
        <w:adjustRightInd w:val="0"/>
        <w:snapToGrid w:val="0"/>
        <w:ind w:hanging="142"/>
        <w:jc w:val="center"/>
        <w:rPr>
          <w:rFonts w:hint="eastAsia" w:cs="Times New Roman"/>
          <w:szCs w:val="24"/>
          <w:highlight w:val="none"/>
        </w:rPr>
      </w:pPr>
      <w:r>
        <w:rPr>
          <w:rFonts w:cs="Times New Roman"/>
          <w:szCs w:val="24"/>
          <w:highlight w:val="none"/>
        </w:rPr>
        <w:br w:type="page"/>
      </w:r>
    </w:p>
    <w:p w14:paraId="7BC206F9">
      <w:pPr>
        <w:adjustRightInd w:val="0"/>
        <w:snapToGrid w:val="0"/>
        <w:ind w:hanging="142"/>
        <w:jc w:val="center"/>
        <w:rPr>
          <w:rFonts w:ascii="Times New Roman" w:hAnsi="Times New Roman" w:eastAsia="黑体" w:cs="Times New Roman"/>
          <w:sz w:val="21"/>
          <w:szCs w:val="21"/>
          <w:highlight w:val="none"/>
        </w:rPr>
      </w:pPr>
      <w:r>
        <w:rPr>
          <w:rFonts w:ascii="Times New Roman" w:hAnsi="Times New Roman" w:eastAsia="黑体" w:cs="Times New Roman"/>
          <w:sz w:val="21"/>
          <w:szCs w:val="21"/>
          <w:highlight w:val="none"/>
        </w:rPr>
        <w:t xml:space="preserve"> </w:t>
      </w:r>
    </w:p>
    <w:p w14:paraId="1047DA48">
      <w:pPr>
        <w:adjustRightInd w:val="0"/>
        <w:snapToGrid w:val="0"/>
        <w:ind w:hanging="142"/>
        <w:jc w:val="center"/>
        <w:rPr>
          <w:rFonts w:hint="eastAsia" w:eastAsia="黑体"/>
          <w:sz w:val="32"/>
          <w:szCs w:val="32"/>
          <w:highlight w:val="none"/>
        </w:rPr>
      </w:pPr>
    </w:p>
    <w:p w14:paraId="59E13A27">
      <w:pPr>
        <w:adjustRightInd w:val="0"/>
        <w:snapToGrid w:val="0"/>
        <w:ind w:hanging="142"/>
        <w:jc w:val="center"/>
        <w:rPr>
          <w:rFonts w:hint="eastAsia" w:eastAsia="黑体"/>
          <w:sz w:val="32"/>
          <w:szCs w:val="32"/>
          <w:highlight w:val="none"/>
        </w:rPr>
      </w:pPr>
      <w:r>
        <w:rPr>
          <w:rFonts w:hint="eastAsia" w:eastAsia="黑体"/>
          <w:sz w:val="32"/>
          <w:szCs w:val="32"/>
          <w:highlight w:val="none"/>
        </w:rPr>
        <w:t xml:space="preserve"> </w:t>
      </w:r>
    </w:p>
    <w:p w14:paraId="0CD5ACEF">
      <w:pPr>
        <w:adjustRightInd w:val="0"/>
        <w:snapToGrid w:val="0"/>
        <w:ind w:hanging="142"/>
        <w:jc w:val="center"/>
        <w:rPr>
          <w:rFonts w:hint="eastAsia" w:eastAsia="黑体"/>
          <w:sz w:val="32"/>
          <w:szCs w:val="32"/>
          <w:highlight w:val="none"/>
        </w:rPr>
      </w:pPr>
      <w:r>
        <w:rPr>
          <w:rFonts w:ascii="黑体" w:hAnsi="黑体" w:eastAsia="黑体" w:cs="Times New Roman"/>
          <w:sz w:val="32"/>
          <w:szCs w:val="32"/>
          <w:highlight w:val="none"/>
        </w:rPr>
        <w:t>中国工程建设</w:t>
      </w:r>
      <w:r>
        <w:rPr>
          <w:rFonts w:hint="eastAsia" w:ascii="黑体" w:hAnsi="黑体" w:eastAsia="黑体" w:cs="Times New Roman"/>
          <w:sz w:val="32"/>
          <w:szCs w:val="32"/>
          <w:highlight w:val="none"/>
        </w:rPr>
        <w:t>标准化</w:t>
      </w:r>
      <w:r>
        <w:rPr>
          <w:rFonts w:ascii="黑体" w:hAnsi="黑体" w:eastAsia="黑体" w:cs="Times New Roman"/>
          <w:sz w:val="32"/>
          <w:szCs w:val="32"/>
          <w:highlight w:val="none"/>
        </w:rPr>
        <w:t>协会标准</w:t>
      </w:r>
    </w:p>
    <w:p w14:paraId="610754DB">
      <w:pPr>
        <w:adjustRightInd w:val="0"/>
        <w:snapToGrid w:val="0"/>
        <w:ind w:hanging="142"/>
        <w:jc w:val="center"/>
        <w:rPr>
          <w:rFonts w:hint="eastAsia"/>
          <w:b/>
          <w:highlight w:val="none"/>
        </w:rPr>
      </w:pPr>
      <w:r>
        <w:rPr>
          <w:rFonts w:hint="eastAsia"/>
          <w:b/>
          <w:highlight w:val="none"/>
        </w:rPr>
        <w:t xml:space="preserve"> </w:t>
      </w:r>
    </w:p>
    <w:p w14:paraId="49B2D79F">
      <w:pPr>
        <w:autoSpaceDN/>
        <w:ind w:hanging="142"/>
        <w:jc w:val="center"/>
        <w:rPr>
          <w:rFonts w:hint="eastAsia" w:eastAsia="宋体" w:cs="Times New Roman"/>
          <w:b/>
          <w:bCs/>
          <w:sz w:val="44"/>
          <w:szCs w:val="40"/>
          <w:highlight w:val="none"/>
          <w:lang w:eastAsia="zh-CN"/>
        </w:rPr>
      </w:pPr>
      <w:r>
        <w:rPr>
          <w:rFonts w:hint="eastAsia" w:cs="Times New Roman"/>
          <w:b/>
          <w:bCs/>
          <w:sz w:val="44"/>
          <w:szCs w:val="40"/>
          <w:highlight w:val="none"/>
          <w:lang w:eastAsia="zh-CN"/>
        </w:rPr>
        <w:t>人员密集场所消防安全评估标准</w:t>
      </w:r>
    </w:p>
    <w:p w14:paraId="67A22E84">
      <w:pPr>
        <w:autoSpaceDN/>
        <w:ind w:hanging="142"/>
        <w:jc w:val="center"/>
        <w:rPr>
          <w:rFonts w:ascii="Times New Roman" w:hAnsi="Times New Roman" w:eastAsia="黑体" w:cs="Times New Roman"/>
          <w:sz w:val="44"/>
          <w:szCs w:val="44"/>
          <w:highlight w:val="none"/>
        </w:rPr>
      </w:pPr>
      <w:r>
        <w:rPr>
          <w:rFonts w:ascii="Times New Roman" w:hAnsi="Times New Roman" w:eastAsia="黑体" w:cs="Times New Roman"/>
          <w:sz w:val="44"/>
          <w:szCs w:val="44"/>
          <w:highlight w:val="none"/>
        </w:rPr>
        <w:t xml:space="preserve"> </w:t>
      </w:r>
    </w:p>
    <w:p w14:paraId="3B42EF3F">
      <w:pPr>
        <w:autoSpaceDN/>
        <w:ind w:hanging="142"/>
        <w:jc w:val="center"/>
        <w:rPr>
          <w:rFonts w:ascii="Times New Roman" w:hAnsi="Times New Roman" w:eastAsia="黑体" w:cs="Times New Roman"/>
          <w:sz w:val="44"/>
          <w:szCs w:val="44"/>
          <w:highlight w:val="none"/>
        </w:rPr>
      </w:pPr>
      <w:r>
        <w:rPr>
          <w:rFonts w:ascii="Times New Roman" w:hAnsi="Times New Roman" w:eastAsia="黑体" w:cs="Times New Roman"/>
          <w:sz w:val="44"/>
          <w:szCs w:val="44"/>
          <w:highlight w:val="none"/>
        </w:rPr>
        <w:t xml:space="preserve"> </w:t>
      </w:r>
    </w:p>
    <w:p w14:paraId="3D752E97">
      <w:pPr>
        <w:adjustRightInd w:val="0"/>
        <w:snapToGrid w:val="0"/>
        <w:ind w:hanging="142"/>
        <w:jc w:val="center"/>
        <w:rPr>
          <w:rFonts w:ascii="Times New Roman" w:hAnsi="Times New Roman" w:eastAsia="黑体" w:cs="Times New Roman"/>
          <w:sz w:val="28"/>
          <w:highlight w:val="none"/>
        </w:rPr>
      </w:pPr>
      <w:r>
        <w:rPr>
          <w:rFonts w:hint="eastAsia" w:ascii="Times New Roman" w:hAnsi="Times New Roman" w:eastAsia="黑体" w:cs="Times New Roman"/>
          <w:sz w:val="28"/>
          <w:highlight w:val="none"/>
          <w:lang w:val="en-US" w:eastAsia="zh-CN"/>
        </w:rPr>
        <w:t>Standard</w:t>
      </w:r>
      <w:r>
        <w:rPr>
          <w:rFonts w:hint="eastAsia" w:ascii="Times New Roman" w:hAnsi="Times New Roman" w:eastAsia="黑体" w:cs="Times New Roman"/>
          <w:sz w:val="28"/>
          <w:highlight w:val="none"/>
        </w:rPr>
        <w:t xml:space="preserve"> for fire safety assessment in densely populated areas</w:t>
      </w:r>
    </w:p>
    <w:p w14:paraId="7F8DAEC2">
      <w:pPr>
        <w:adjustRightInd w:val="0"/>
        <w:snapToGrid w:val="0"/>
        <w:ind w:hanging="142"/>
        <w:jc w:val="center"/>
        <w:rPr>
          <w:rFonts w:ascii="Times New Roman" w:hAnsi="Times New Roman" w:eastAsia="黑体" w:cs="Times New Roman"/>
          <w:b/>
          <w:highlight w:val="none"/>
        </w:rPr>
      </w:pPr>
    </w:p>
    <w:p w14:paraId="6CDBBDA6">
      <w:pPr>
        <w:adjustRightInd w:val="0"/>
        <w:snapToGrid w:val="0"/>
        <w:ind w:hanging="142"/>
        <w:jc w:val="center"/>
        <w:rPr>
          <w:rFonts w:hint="eastAsia" w:eastAsia="黑体"/>
          <w:b/>
          <w:sz w:val="28"/>
          <w:highlight w:val="none"/>
        </w:rPr>
      </w:pPr>
      <w:r>
        <w:rPr>
          <w:rFonts w:ascii="Times New Roman" w:hAnsi="Times New Roman" w:eastAsia="黑体" w:cs="Times New Roman"/>
          <w:b/>
          <w:sz w:val="28"/>
          <w:highlight w:val="none"/>
        </w:rPr>
        <w:t xml:space="preserve">T/CECS </w:t>
      </w:r>
      <w:r>
        <w:rPr>
          <w:rFonts w:hint="eastAsia" w:ascii="Times New Roman" w:hAnsi="Times New Roman" w:eastAsia="黑体" w:cs="Times New Roman"/>
          <w:b/>
          <w:sz w:val="28"/>
          <w:highlight w:val="none"/>
        </w:rPr>
        <w:t>XXXX</w:t>
      </w:r>
      <w:r>
        <w:rPr>
          <w:rFonts w:ascii="Times New Roman" w:hAnsi="Times New Roman" w:eastAsia="黑体" w:cs="Times New Roman"/>
          <w:b/>
          <w:sz w:val="28"/>
          <w:highlight w:val="none"/>
        </w:rPr>
        <w:t xml:space="preserve"> ‒202</w:t>
      </w:r>
      <w:r>
        <w:rPr>
          <w:rFonts w:hint="eastAsia" w:ascii="Times New Roman" w:hAnsi="Times New Roman" w:eastAsia="黑体" w:cs="Times New Roman"/>
          <w:b/>
          <w:sz w:val="28"/>
          <w:highlight w:val="none"/>
        </w:rPr>
        <w:t>X</w:t>
      </w:r>
    </w:p>
    <w:p w14:paraId="6D8019E4">
      <w:pPr>
        <w:adjustRightInd w:val="0"/>
        <w:snapToGrid w:val="0"/>
        <w:ind w:hanging="142"/>
        <w:rPr>
          <w:rFonts w:hint="eastAsia"/>
          <w:szCs w:val="24"/>
          <w:highlight w:val="none"/>
        </w:rPr>
      </w:pPr>
      <w:r>
        <w:rPr>
          <w:rFonts w:hint="eastAsia"/>
          <w:szCs w:val="24"/>
          <w:highlight w:val="none"/>
        </w:rPr>
        <w:t xml:space="preserve">  </w:t>
      </w:r>
    </w:p>
    <w:p w14:paraId="6E1DE4F0">
      <w:pPr>
        <w:adjustRightInd w:val="0"/>
        <w:snapToGrid w:val="0"/>
        <w:ind w:hanging="142"/>
        <w:rPr>
          <w:rFonts w:hint="eastAsia"/>
          <w:szCs w:val="24"/>
          <w:highlight w:val="none"/>
        </w:rPr>
      </w:pPr>
    </w:p>
    <w:p w14:paraId="0657D1B4">
      <w:pPr>
        <w:adjustRightInd w:val="0"/>
        <w:snapToGrid w:val="0"/>
        <w:ind w:hanging="142"/>
        <w:rPr>
          <w:rFonts w:hint="eastAsia"/>
          <w:szCs w:val="24"/>
          <w:highlight w:val="none"/>
        </w:rPr>
      </w:pPr>
    </w:p>
    <w:p w14:paraId="5D3A6536">
      <w:pPr>
        <w:adjustRightInd w:val="0"/>
        <w:snapToGrid w:val="0"/>
        <w:ind w:hanging="142"/>
        <w:rPr>
          <w:rFonts w:hint="eastAsia"/>
          <w:szCs w:val="24"/>
          <w:highlight w:val="none"/>
        </w:rPr>
      </w:pPr>
    </w:p>
    <w:p w14:paraId="0C58E4B7">
      <w:pPr>
        <w:adjustRightInd w:val="0"/>
        <w:snapToGrid w:val="0"/>
        <w:ind w:firstLine="1680" w:firstLineChars="700"/>
        <w:rPr>
          <w:rFonts w:hint="eastAsia" w:cs="Times New Roman"/>
          <w:szCs w:val="24"/>
          <w:highlight w:val="none"/>
        </w:rPr>
      </w:pPr>
      <w:r>
        <w:rPr>
          <w:rFonts w:cs="Times New Roman"/>
          <w:szCs w:val="24"/>
          <w:highlight w:val="none"/>
        </w:rPr>
        <w:t>主编单位：</w:t>
      </w:r>
      <w:r>
        <w:rPr>
          <w:rFonts w:hint="eastAsia" w:cs="Times New Roman"/>
          <w:szCs w:val="24"/>
          <w:highlight w:val="none"/>
        </w:rPr>
        <w:t>北京三茂建筑工程检测鉴定有限公司</w:t>
      </w:r>
    </w:p>
    <w:p w14:paraId="475FCD63">
      <w:pPr>
        <w:adjustRightInd w:val="0"/>
        <w:snapToGrid w:val="0"/>
        <w:ind w:firstLine="2880" w:firstLineChars="1200"/>
        <w:rPr>
          <w:rFonts w:hint="eastAsia" w:cs="Times New Roman"/>
          <w:szCs w:val="24"/>
          <w:highlight w:val="none"/>
        </w:rPr>
      </w:pPr>
      <w:r>
        <w:rPr>
          <w:rFonts w:hint="eastAsia" w:cs="Times New Roman"/>
          <w:szCs w:val="24"/>
          <w:highlight w:val="none"/>
        </w:rPr>
        <w:t>国润（北京）消防工程评估有限公司</w:t>
      </w:r>
    </w:p>
    <w:p w14:paraId="34842385">
      <w:pPr>
        <w:ind w:firstLine="1680" w:firstLineChars="700"/>
        <w:rPr>
          <w:rFonts w:hint="eastAsia" w:cs="Times New Roman"/>
          <w:szCs w:val="24"/>
          <w:highlight w:val="none"/>
        </w:rPr>
      </w:pPr>
      <w:r>
        <w:rPr>
          <w:rFonts w:hint="eastAsia" w:cs="Times New Roman"/>
          <w:szCs w:val="24"/>
          <w:highlight w:val="none"/>
        </w:rPr>
        <w:t>批准部门：</w:t>
      </w:r>
      <w:r>
        <w:rPr>
          <w:rFonts w:cs="Times New Roman"/>
          <w:szCs w:val="24"/>
          <w:highlight w:val="none"/>
        </w:rPr>
        <w:tab/>
      </w:r>
      <w:r>
        <w:rPr>
          <w:rFonts w:cs="Times New Roman"/>
          <w:szCs w:val="24"/>
          <w:highlight w:val="none"/>
        </w:rPr>
        <w:t>中国工程建设标准化协会</w:t>
      </w:r>
    </w:p>
    <w:p w14:paraId="03B14CD5">
      <w:pPr>
        <w:ind w:firstLine="1680" w:firstLineChars="700"/>
        <w:rPr>
          <w:rFonts w:hint="eastAsia" w:cs="Times New Roman"/>
          <w:szCs w:val="24"/>
          <w:highlight w:val="none"/>
        </w:rPr>
      </w:pPr>
      <w:r>
        <w:rPr>
          <w:rFonts w:hint="eastAsia" w:cs="Times New Roman"/>
          <w:szCs w:val="24"/>
          <w:highlight w:val="none"/>
        </w:rPr>
        <w:t>施行日期：</w:t>
      </w:r>
      <w:r>
        <w:rPr>
          <w:rFonts w:cs="Times New Roman"/>
          <w:szCs w:val="24"/>
          <w:highlight w:val="none"/>
        </w:rPr>
        <w:tab/>
      </w:r>
      <w:r>
        <w:rPr>
          <w:rFonts w:cs="Times New Roman"/>
          <w:szCs w:val="24"/>
          <w:highlight w:val="none"/>
        </w:rPr>
        <w:t>202×年××月××日</w:t>
      </w:r>
    </w:p>
    <w:p w14:paraId="7DB6B279">
      <w:pPr>
        <w:ind w:firstLine="1680" w:firstLineChars="700"/>
        <w:rPr>
          <w:rFonts w:hint="eastAsia" w:cs="Times New Roman"/>
          <w:szCs w:val="24"/>
          <w:highlight w:val="none"/>
        </w:rPr>
      </w:pPr>
    </w:p>
    <w:p w14:paraId="4768F1A4">
      <w:pPr>
        <w:ind w:firstLine="1680" w:firstLineChars="700"/>
        <w:rPr>
          <w:rFonts w:hint="eastAsia" w:cs="Times New Roman"/>
          <w:szCs w:val="24"/>
          <w:highlight w:val="none"/>
        </w:rPr>
      </w:pPr>
    </w:p>
    <w:p w14:paraId="0769821F">
      <w:pPr>
        <w:ind w:firstLine="1680" w:firstLineChars="700"/>
        <w:rPr>
          <w:rFonts w:hint="eastAsia" w:cs="Times New Roman"/>
          <w:szCs w:val="24"/>
          <w:highlight w:val="none"/>
        </w:rPr>
      </w:pPr>
    </w:p>
    <w:p w14:paraId="02493B67">
      <w:pPr>
        <w:ind w:firstLine="1680" w:firstLineChars="700"/>
        <w:rPr>
          <w:rFonts w:hint="eastAsia" w:cs="Times New Roman"/>
          <w:szCs w:val="24"/>
          <w:highlight w:val="none"/>
        </w:rPr>
      </w:pPr>
    </w:p>
    <w:p w14:paraId="7EF03591">
      <w:pPr>
        <w:jc w:val="center"/>
        <w:rPr>
          <w:rFonts w:ascii="Times New Roman" w:hAnsi="Times New Roman" w:eastAsia="仿宋" w:cs="Times New Roman"/>
          <w:bCs/>
          <w:sz w:val="26"/>
          <w:szCs w:val="24"/>
          <w:highlight w:val="none"/>
        </w:rPr>
      </w:pPr>
      <w:r>
        <w:rPr>
          <w:rFonts w:hint="eastAsia"/>
          <w:bCs/>
          <w:sz w:val="28"/>
          <w:highlight w:val="none"/>
        </w:rPr>
        <w:t>××××</w:t>
      </w:r>
      <w:r>
        <w:rPr>
          <w:rFonts w:hint="eastAsia" w:eastAsia="仿宋"/>
          <w:bCs/>
          <w:sz w:val="28"/>
          <w:highlight w:val="none"/>
        </w:rPr>
        <w:t>出版社</w:t>
      </w:r>
    </w:p>
    <w:p w14:paraId="56F4F883">
      <w:pPr>
        <w:pStyle w:val="6"/>
        <w:ind w:left="0" w:leftChars="0"/>
        <w:jc w:val="center"/>
        <w:rPr>
          <w:rFonts w:eastAsia="黑体"/>
          <w:highlight w:val="none"/>
        </w:rPr>
      </w:pPr>
      <w:r>
        <w:rPr>
          <w:rFonts w:eastAsia="黑体"/>
          <w:b/>
          <w:bCs/>
          <w:highlight w:val="none"/>
        </w:rPr>
        <w:t>20</w:t>
      </w:r>
      <w:r>
        <w:rPr>
          <w:rFonts w:hint="eastAsia" w:eastAsia="黑体"/>
          <w:b/>
          <w:bCs/>
          <w:highlight w:val="none"/>
        </w:rPr>
        <w:t>2×　</w:t>
      </w:r>
      <w:r>
        <w:rPr>
          <w:rFonts w:hint="eastAsia" w:eastAsia="黑体"/>
          <w:highlight w:val="none"/>
        </w:rPr>
        <w:t>北　　京</w:t>
      </w:r>
    </w:p>
    <w:p w14:paraId="474CBE09">
      <w:pPr>
        <w:widowControl/>
        <w:rPr>
          <w:rFonts w:ascii="Times New Roman" w:hAnsi="Times New Roman" w:eastAsia="黑体" w:cs="Times New Roman"/>
          <w:sz w:val="21"/>
          <w:szCs w:val="21"/>
          <w:highlight w:val="none"/>
        </w:rPr>
      </w:pPr>
      <w:r>
        <w:rPr>
          <w:highlight w:val="none"/>
        </w:rPr>
        <w:br w:type="page"/>
      </w:r>
    </w:p>
    <w:p w14:paraId="3763772E">
      <w:pPr>
        <w:rPr>
          <w:rFonts w:hint="eastAsia"/>
          <w:highlight w:val="none"/>
        </w:rPr>
        <w:sectPr>
          <w:footerReference r:id="rId5" w:type="default"/>
          <w:pgSz w:w="11910" w:h="16840"/>
          <w:pgMar w:top="1520" w:right="1582" w:bottom="1378" w:left="1678" w:header="720" w:footer="720" w:gutter="0"/>
          <w:pgBorders>
            <w:top w:val="none" w:sz="0" w:space="0"/>
            <w:left w:val="none" w:sz="0" w:space="0"/>
            <w:bottom w:val="none" w:sz="0" w:space="0"/>
            <w:right w:val="none" w:sz="0" w:space="0"/>
          </w:pgBorders>
          <w:pgNumType w:start="3"/>
          <w:cols w:space="720" w:num="1"/>
          <w:docGrid w:type="lines" w:linePitch="299" w:charSpace="0"/>
        </w:sectPr>
      </w:pPr>
    </w:p>
    <w:p w14:paraId="1929567B">
      <w:pPr>
        <w:ind w:hanging="142"/>
        <w:rPr>
          <w:rFonts w:ascii="Times New Roman" w:hAnsi="Times New Roman" w:eastAsia="黑体" w:cs="Times New Roman"/>
          <w:sz w:val="21"/>
          <w:szCs w:val="21"/>
          <w:highlight w:val="none"/>
        </w:rPr>
      </w:pPr>
    </w:p>
    <w:p w14:paraId="163BCF5A">
      <w:pPr>
        <w:autoSpaceDN/>
        <w:adjustRightInd w:val="0"/>
        <w:snapToGrid w:val="0"/>
        <w:ind w:hanging="142"/>
        <w:jc w:val="center"/>
        <w:rPr>
          <w:rFonts w:hint="eastAsia" w:ascii="黑体" w:hAnsi="黑体" w:eastAsia="黑体" w:cs="Times New Roman"/>
          <w:b/>
          <w:sz w:val="32"/>
          <w:szCs w:val="32"/>
          <w:highlight w:val="none"/>
        </w:rPr>
      </w:pPr>
      <w:r>
        <w:rPr>
          <w:rFonts w:ascii="黑体" w:hAnsi="黑体" w:eastAsia="黑体" w:cs="Times New Roman"/>
          <w:b/>
          <w:sz w:val="32"/>
          <w:szCs w:val="32"/>
          <w:highlight w:val="none"/>
        </w:rPr>
        <w:t>前</w:t>
      </w:r>
      <w:r>
        <w:rPr>
          <w:rFonts w:ascii="Times New Roman" w:hAnsi="Times New Roman" w:eastAsia="黑体" w:cs="Times New Roman"/>
          <w:b/>
          <w:sz w:val="32"/>
          <w:szCs w:val="32"/>
          <w:highlight w:val="none"/>
        </w:rPr>
        <w:t xml:space="preserve">  </w:t>
      </w:r>
      <w:r>
        <w:rPr>
          <w:rFonts w:hint="eastAsia" w:ascii="黑体" w:hAnsi="黑体" w:eastAsia="黑体" w:cs="Times New Roman"/>
          <w:b/>
          <w:sz w:val="32"/>
          <w:szCs w:val="32"/>
          <w:highlight w:val="none"/>
        </w:rPr>
        <w:t>言</w:t>
      </w:r>
    </w:p>
    <w:p w14:paraId="40E076B0">
      <w:pPr>
        <w:autoSpaceDN/>
        <w:adjustRightInd w:val="0"/>
        <w:snapToGrid w:val="0"/>
        <w:ind w:hanging="142"/>
        <w:jc w:val="center"/>
        <w:rPr>
          <w:rFonts w:hint="eastAsia" w:ascii="黑体" w:hAnsi="黑体" w:eastAsia="黑体" w:cs="Times New Roman"/>
          <w:b/>
          <w:sz w:val="32"/>
          <w:szCs w:val="32"/>
          <w:highlight w:val="none"/>
        </w:rPr>
      </w:pPr>
    </w:p>
    <w:p w14:paraId="5DC2D9A6">
      <w:pPr>
        <w:autoSpaceDN/>
        <w:ind w:firstLine="480" w:firstLineChars="200"/>
        <w:jc w:val="both"/>
        <w:rPr>
          <w:rFonts w:ascii="Times New Roman" w:hAnsi="Times New Roman" w:cs="Times New Roman"/>
          <w:szCs w:val="24"/>
          <w:highlight w:val="none"/>
        </w:rPr>
      </w:pPr>
      <w:r>
        <w:rPr>
          <w:rFonts w:hint="eastAsia" w:cs="Times New Roman"/>
          <w:szCs w:val="24"/>
          <w:highlight w:val="none"/>
        </w:rPr>
        <w:t>根据中国工程建设</w:t>
      </w:r>
      <w:r>
        <w:rPr>
          <w:rFonts w:cs="Times New Roman"/>
          <w:szCs w:val="24"/>
          <w:highlight w:val="none"/>
        </w:rPr>
        <w:t>标准化协会</w:t>
      </w:r>
      <w:r>
        <w:rPr>
          <w:rFonts w:hint="eastAsia" w:cs="Times New Roman"/>
          <w:szCs w:val="24"/>
          <w:highlight w:val="none"/>
        </w:rPr>
        <w:t>关于印发《</w:t>
      </w:r>
      <w:r>
        <w:rPr>
          <w:rFonts w:hint="eastAsia" w:ascii="Times New Roman" w:hAnsi="Times New Roman" w:cs="Times New Roman"/>
          <w:szCs w:val="24"/>
          <w:highlight w:val="none"/>
        </w:rPr>
        <w:t>202</w:t>
      </w:r>
      <w:r>
        <w:rPr>
          <w:rFonts w:hint="eastAsia" w:ascii="Times New Roman" w:hAnsi="Times New Roman" w:cs="Times New Roman"/>
          <w:szCs w:val="24"/>
          <w:highlight w:val="none"/>
          <w:lang w:val="en-US" w:eastAsia="zh-CN"/>
        </w:rPr>
        <w:t>4</w:t>
      </w:r>
      <w:r>
        <w:rPr>
          <w:rFonts w:hint="eastAsia" w:cs="Times New Roman"/>
          <w:szCs w:val="24"/>
          <w:highlight w:val="none"/>
        </w:rPr>
        <w:t>年第</w:t>
      </w:r>
      <w:r>
        <w:rPr>
          <w:rFonts w:hint="eastAsia" w:cs="Times New Roman"/>
          <w:szCs w:val="24"/>
          <w:highlight w:val="none"/>
          <w:lang w:val="en-US" w:eastAsia="zh-CN"/>
        </w:rPr>
        <w:t>一</w:t>
      </w:r>
      <w:r>
        <w:rPr>
          <w:rFonts w:hint="eastAsia" w:cs="Times New Roman"/>
          <w:szCs w:val="24"/>
          <w:highlight w:val="none"/>
        </w:rPr>
        <w:t>批协会标准制订、修订计划》的通知(</w:t>
      </w:r>
      <w:r>
        <w:rPr>
          <w:rFonts w:cs="Times New Roman"/>
          <w:szCs w:val="24"/>
          <w:highlight w:val="none"/>
        </w:rPr>
        <w:t>建标协字</w:t>
      </w:r>
      <w:r>
        <w:rPr>
          <w:rFonts w:hint="eastAsia" w:cs="Times New Roman"/>
          <w:szCs w:val="24"/>
          <w:highlight w:val="none"/>
          <w:lang w:eastAsia="zh-CN"/>
        </w:rPr>
        <w:t>〔202</w:t>
      </w:r>
      <w:r>
        <w:rPr>
          <w:rFonts w:hint="eastAsia" w:cs="Times New Roman"/>
          <w:szCs w:val="24"/>
          <w:highlight w:val="none"/>
          <w:lang w:val="en-US" w:eastAsia="zh-CN"/>
        </w:rPr>
        <w:t>4</w:t>
      </w:r>
      <w:r>
        <w:rPr>
          <w:rFonts w:hint="eastAsia" w:cs="Times New Roman"/>
          <w:szCs w:val="24"/>
          <w:highlight w:val="none"/>
          <w:lang w:eastAsia="zh-CN"/>
        </w:rPr>
        <w:t>〕</w:t>
      </w:r>
      <w:r>
        <w:rPr>
          <w:rFonts w:hint="eastAsia" w:cs="Times New Roman"/>
          <w:szCs w:val="24"/>
          <w:highlight w:val="none"/>
          <w:lang w:val="en-US" w:eastAsia="zh-CN"/>
        </w:rPr>
        <w:t>15</w:t>
      </w:r>
      <w:r>
        <w:rPr>
          <w:rFonts w:hint="eastAsia" w:cs="Times New Roman"/>
          <w:szCs w:val="24"/>
          <w:highlight w:val="none"/>
          <w:lang w:eastAsia="zh-CN"/>
        </w:rPr>
        <w:t>）号</w:t>
      </w:r>
      <w:r>
        <w:rPr>
          <w:rFonts w:hint="eastAsia" w:cs="Times New Roman"/>
          <w:szCs w:val="24"/>
          <w:highlight w:val="none"/>
        </w:rPr>
        <w:t>的要求，编制组经过深入调查研究，认真总结实践经验，参考国内相关标准，在广泛征求意见的基础上，制定本</w:t>
      </w:r>
      <w:r>
        <w:rPr>
          <w:rFonts w:hint="eastAsia" w:cs="Times New Roman"/>
          <w:szCs w:val="24"/>
          <w:highlight w:val="none"/>
          <w:lang w:eastAsia="zh-CN"/>
        </w:rPr>
        <w:t>标准</w:t>
      </w:r>
      <w:r>
        <w:rPr>
          <w:rFonts w:hint="eastAsia" w:cs="Times New Roman"/>
          <w:szCs w:val="24"/>
          <w:highlight w:val="none"/>
        </w:rPr>
        <w:t>。</w:t>
      </w:r>
    </w:p>
    <w:p w14:paraId="2E7A5B9C">
      <w:pPr>
        <w:autoSpaceDN/>
        <w:ind w:firstLine="480" w:firstLineChars="200"/>
        <w:jc w:val="both"/>
        <w:rPr>
          <w:rFonts w:hint="eastAsia" w:cs="Times New Roman"/>
          <w:szCs w:val="24"/>
          <w:highlight w:val="none"/>
        </w:rPr>
      </w:pPr>
      <w:r>
        <w:rPr>
          <w:rFonts w:hint="eastAsia" w:cs="Times New Roman"/>
          <w:szCs w:val="24"/>
          <w:highlight w:val="none"/>
        </w:rPr>
        <w:t>本</w:t>
      </w:r>
      <w:r>
        <w:rPr>
          <w:rFonts w:hint="eastAsia" w:cs="Times New Roman"/>
          <w:szCs w:val="24"/>
          <w:highlight w:val="none"/>
          <w:lang w:eastAsia="zh-CN"/>
        </w:rPr>
        <w:t>标准</w:t>
      </w:r>
      <w:r>
        <w:rPr>
          <w:rFonts w:hint="eastAsia" w:cs="Times New Roman"/>
          <w:szCs w:val="24"/>
          <w:highlight w:val="none"/>
        </w:rPr>
        <w:t>共分</w:t>
      </w:r>
      <w:r>
        <w:rPr>
          <w:rFonts w:hint="eastAsia" w:ascii="Times New Roman" w:hAnsi="Times New Roman" w:cs="Times New Roman"/>
          <w:szCs w:val="24"/>
          <w:highlight w:val="none"/>
          <w:lang w:val="en-US" w:eastAsia="zh-CN"/>
        </w:rPr>
        <w:t>7</w:t>
      </w:r>
      <w:r>
        <w:rPr>
          <w:rFonts w:hint="eastAsia" w:cs="Times New Roman"/>
          <w:szCs w:val="24"/>
          <w:highlight w:val="none"/>
        </w:rPr>
        <w:t>章和</w:t>
      </w:r>
      <w:r>
        <w:rPr>
          <w:rFonts w:hint="eastAsia" w:ascii="Times New Roman" w:hAnsi="Times New Roman" w:cs="Times New Roman"/>
          <w:szCs w:val="24"/>
          <w:highlight w:val="none"/>
        </w:rPr>
        <w:t>2</w:t>
      </w:r>
      <w:r>
        <w:rPr>
          <w:rFonts w:hint="eastAsia" w:cs="Times New Roman"/>
          <w:szCs w:val="24"/>
          <w:highlight w:val="none"/>
        </w:rPr>
        <w:t>个附录，主要内容包括：总则、术语、基本规定、评估内容</w:t>
      </w:r>
      <w:r>
        <w:rPr>
          <w:rFonts w:hint="eastAsia" w:cs="Times New Roman"/>
          <w:szCs w:val="24"/>
          <w:highlight w:val="none"/>
          <w:lang w:val="en-US" w:eastAsia="zh-CN"/>
        </w:rPr>
        <w:t>与</w:t>
      </w:r>
      <w:r>
        <w:rPr>
          <w:rFonts w:hint="eastAsia" w:cs="Times New Roman"/>
          <w:szCs w:val="24"/>
          <w:highlight w:val="none"/>
        </w:rPr>
        <w:t>标准、综合评估、评估报告、评估档案</w:t>
      </w:r>
      <w:r>
        <w:rPr>
          <w:rFonts w:hint="eastAsia" w:cs="Times New Roman"/>
          <w:szCs w:val="24"/>
          <w:highlight w:val="none"/>
          <w:lang w:val="en-US" w:eastAsia="zh-CN"/>
        </w:rPr>
        <w:t>等</w:t>
      </w:r>
      <w:bookmarkStart w:id="529" w:name="_GoBack"/>
      <w:bookmarkEnd w:id="529"/>
      <w:r>
        <w:rPr>
          <w:rFonts w:hint="eastAsia" w:cs="Times New Roman"/>
          <w:szCs w:val="24"/>
          <w:highlight w:val="none"/>
        </w:rPr>
        <w:t>。</w:t>
      </w:r>
    </w:p>
    <w:p w14:paraId="0BCDB238">
      <w:pPr>
        <w:autoSpaceDN/>
        <w:ind w:firstLine="480" w:firstLineChars="200"/>
        <w:jc w:val="both"/>
        <w:rPr>
          <w:rFonts w:ascii="Times New Roman" w:hAnsi="Times New Roman" w:cs="Times New Roman"/>
          <w:szCs w:val="24"/>
          <w:highlight w:val="none"/>
        </w:rPr>
      </w:pPr>
      <w:r>
        <w:rPr>
          <w:rFonts w:hint="eastAsia" w:cs="Times New Roman"/>
          <w:szCs w:val="24"/>
          <w:highlight w:val="none"/>
        </w:rPr>
        <w:t>本</w:t>
      </w:r>
      <w:r>
        <w:rPr>
          <w:rFonts w:hint="eastAsia" w:cs="Times New Roman"/>
          <w:szCs w:val="24"/>
          <w:highlight w:val="none"/>
          <w:lang w:eastAsia="zh-CN"/>
        </w:rPr>
        <w:t>标准</w:t>
      </w:r>
      <w:r>
        <w:rPr>
          <w:rFonts w:hint="eastAsia" w:cs="Times New Roman"/>
          <w:szCs w:val="24"/>
          <w:highlight w:val="none"/>
        </w:rPr>
        <w:t>的某些内容可能直接或间接涉及专利，本</w:t>
      </w:r>
      <w:r>
        <w:rPr>
          <w:rFonts w:hint="eastAsia" w:cs="Times New Roman"/>
          <w:szCs w:val="24"/>
          <w:highlight w:val="none"/>
          <w:lang w:eastAsia="zh-CN"/>
        </w:rPr>
        <w:t>标准</w:t>
      </w:r>
      <w:r>
        <w:rPr>
          <w:rFonts w:hint="eastAsia" w:cs="Times New Roman"/>
          <w:szCs w:val="24"/>
          <w:highlight w:val="none"/>
        </w:rPr>
        <w:t>的发布机构不承担识别这些专利的责任。</w:t>
      </w:r>
    </w:p>
    <w:p w14:paraId="6D021E89">
      <w:pPr>
        <w:autoSpaceDN/>
        <w:ind w:firstLine="480" w:firstLineChars="200"/>
        <w:jc w:val="both"/>
        <w:rPr>
          <w:rFonts w:ascii="Times New Roman" w:hAnsi="Times New Roman" w:cs="Times New Roman"/>
          <w:szCs w:val="24"/>
          <w:highlight w:val="none"/>
        </w:rPr>
      </w:pPr>
      <w:r>
        <w:rPr>
          <w:rFonts w:cs="Times New Roman"/>
          <w:szCs w:val="24"/>
          <w:highlight w:val="none"/>
        </w:rPr>
        <w:t>本</w:t>
      </w:r>
      <w:r>
        <w:rPr>
          <w:rFonts w:hint="eastAsia" w:cs="Times New Roman"/>
          <w:szCs w:val="24"/>
          <w:highlight w:val="none"/>
          <w:lang w:eastAsia="zh-CN"/>
        </w:rPr>
        <w:t>标准</w:t>
      </w:r>
      <w:r>
        <w:rPr>
          <w:rFonts w:hint="eastAsia" w:cs="Times New Roman"/>
          <w:szCs w:val="24"/>
          <w:highlight w:val="none"/>
        </w:rPr>
        <w:t>由中国工程建设标准化协会</w:t>
      </w:r>
      <w:r>
        <w:rPr>
          <w:rFonts w:cs="Times New Roman"/>
          <w:szCs w:val="24"/>
          <w:highlight w:val="none"/>
        </w:rPr>
        <w:t>检</w:t>
      </w:r>
      <w:r>
        <w:rPr>
          <w:rFonts w:hint="eastAsia" w:cs="Times New Roman"/>
          <w:szCs w:val="24"/>
          <w:highlight w:val="none"/>
        </w:rPr>
        <w:t>测与试验专业委员会归口管理，由北京三茂建筑工程检测鉴定有限公司负责具体技术内容的解释。执行过程中，如有意见或建议，请反馈给北京三茂建筑工程检测鉴定有限公司（地址：北京市东城区建国门内大街18号8层办公楼三座807，邮编：</w:t>
      </w:r>
      <w:r>
        <w:rPr>
          <w:rFonts w:ascii="Times New Roman" w:hAnsi="Times New Roman" w:cs="Times New Roman"/>
          <w:szCs w:val="24"/>
          <w:highlight w:val="none"/>
        </w:rPr>
        <w:t>100</w:t>
      </w:r>
      <w:r>
        <w:rPr>
          <w:rFonts w:hint="eastAsia" w:ascii="Times New Roman" w:hAnsi="Times New Roman" w:cs="Times New Roman"/>
          <w:szCs w:val="24"/>
          <w:highlight w:val="none"/>
        </w:rPr>
        <w:t>088</w:t>
      </w:r>
      <w:r>
        <w:rPr>
          <w:rFonts w:hint="eastAsia" w:cs="Times New Roman"/>
          <w:szCs w:val="24"/>
          <w:highlight w:val="none"/>
        </w:rPr>
        <w:t>，</w:t>
      </w:r>
      <w:r>
        <w:rPr>
          <w:rFonts w:hint="eastAsia" w:ascii="Times New Roman" w:hAnsi="Times New Roman" w:cs="Times New Roman"/>
          <w:szCs w:val="24"/>
          <w:highlight w:val="none"/>
        </w:rPr>
        <w:t>邮箱，bjsmjz@126.com</w:t>
      </w:r>
      <w:r>
        <w:rPr>
          <w:rFonts w:hint="eastAsia" w:cs="Times New Roman"/>
          <w:szCs w:val="24"/>
          <w:highlight w:val="none"/>
        </w:rPr>
        <w:t>，电话：</w:t>
      </w:r>
      <w:r>
        <w:rPr>
          <w:rFonts w:hint="eastAsia" w:ascii="Times New Roman" w:hAnsi="Times New Roman" w:cs="Times New Roman"/>
          <w:szCs w:val="24"/>
          <w:highlight w:val="none"/>
        </w:rPr>
        <w:t>010-62912726</w:t>
      </w:r>
      <w:r>
        <w:rPr>
          <w:rFonts w:hint="eastAsia" w:cs="Times New Roman"/>
          <w:szCs w:val="24"/>
          <w:highlight w:val="none"/>
        </w:rPr>
        <w:t>）。</w:t>
      </w:r>
    </w:p>
    <w:p w14:paraId="7BB15DA4">
      <w:pPr>
        <w:pStyle w:val="5"/>
        <w:spacing w:line="276" w:lineRule="auto"/>
        <w:ind w:left="341" w:leftChars="142"/>
        <w:rPr>
          <w:rFonts w:hint="eastAsia" w:cs="Times New Roman"/>
          <w:highlight w:val="none"/>
        </w:rPr>
      </w:pPr>
      <w:r>
        <w:rPr>
          <w:rFonts w:hint="eastAsia" w:ascii="黑体" w:hAnsi="黑体" w:eastAsia="黑体" w:cs="黑体"/>
          <w:highlight w:val="none"/>
        </w:rPr>
        <w:t>主 编 单 位：</w:t>
      </w:r>
      <w:bookmarkStart w:id="2" w:name="_Hlk182832355"/>
      <w:r>
        <w:rPr>
          <w:rFonts w:hint="eastAsia" w:cs="Times New Roman"/>
          <w:highlight w:val="none"/>
        </w:rPr>
        <w:t>北京三茂建筑工程检测鉴定有限公司</w:t>
      </w:r>
      <w:bookmarkEnd w:id="2"/>
    </w:p>
    <w:p w14:paraId="55F4985B">
      <w:pPr>
        <w:keepNext w:val="0"/>
        <w:keepLines w:val="0"/>
        <w:pageBreakBefore w:val="0"/>
        <w:widowControl w:val="0"/>
        <w:kinsoku/>
        <w:wordWrap/>
        <w:overflowPunct/>
        <w:topLinePunct w:val="0"/>
        <w:autoSpaceDE w:val="0"/>
        <w:autoSpaceDN/>
        <w:bidi w:val="0"/>
        <w:adjustRightInd/>
        <w:snapToGrid/>
        <w:ind w:firstLine="1920" w:firstLineChars="800"/>
        <w:jc w:val="both"/>
        <w:textAlignment w:val="auto"/>
        <w:rPr>
          <w:rFonts w:hint="eastAsia" w:cs="Times New Roman"/>
          <w:szCs w:val="24"/>
          <w:highlight w:val="none"/>
        </w:rPr>
      </w:pPr>
      <w:r>
        <w:rPr>
          <w:rFonts w:hint="eastAsia" w:cs="Times New Roman"/>
          <w:szCs w:val="24"/>
          <w:highlight w:val="none"/>
        </w:rPr>
        <w:t>国润（北京）消防工程评估有限公司</w:t>
      </w:r>
    </w:p>
    <w:p w14:paraId="35F4A6D3">
      <w:pPr>
        <w:pStyle w:val="5"/>
        <w:spacing w:line="276" w:lineRule="auto"/>
        <w:ind w:left="341" w:leftChars="142"/>
        <w:jc w:val="both"/>
        <w:rPr>
          <w:rFonts w:hint="eastAsia" w:cs="Times New Roman"/>
          <w:highlight w:val="none"/>
        </w:rPr>
      </w:pPr>
      <w:r>
        <w:rPr>
          <w:rFonts w:hint="eastAsia" w:ascii="黑体" w:hAnsi="黑体" w:eastAsia="黑体" w:cs="黑体"/>
          <w:highlight w:val="none"/>
        </w:rPr>
        <w:t>参 编 单 位：</w:t>
      </w:r>
    </w:p>
    <w:p w14:paraId="430CD3D7">
      <w:pPr>
        <w:pStyle w:val="5"/>
        <w:spacing w:line="276" w:lineRule="auto"/>
        <w:ind w:left="341" w:leftChars="142"/>
        <w:jc w:val="both"/>
        <w:rPr>
          <w:rFonts w:hint="eastAsia"/>
          <w:color w:val="FF0000"/>
          <w:highlight w:val="none"/>
        </w:rPr>
      </w:pPr>
      <w:r>
        <w:rPr>
          <w:rFonts w:hint="eastAsia" w:ascii="黑体" w:hAnsi="黑体" w:eastAsia="黑体" w:cs="黑体"/>
          <w:highlight w:val="none"/>
        </w:rPr>
        <w:t>主要起草人：</w:t>
      </w:r>
      <w:r>
        <w:rPr>
          <w:rFonts w:hint="eastAsia"/>
          <w:highlight w:val="none"/>
        </w:rPr>
        <w:t xml:space="preserve">            </w:t>
      </w:r>
    </w:p>
    <w:p w14:paraId="50F97D2A">
      <w:pPr>
        <w:pStyle w:val="5"/>
        <w:spacing w:line="276" w:lineRule="auto"/>
        <w:ind w:left="1781" w:leftChars="142" w:hanging="1440" w:hangingChars="600"/>
        <w:jc w:val="both"/>
        <w:rPr>
          <w:rFonts w:hint="eastAsia"/>
          <w:highlight w:val="none"/>
        </w:rPr>
      </w:pPr>
      <w:r>
        <w:rPr>
          <w:rFonts w:hint="eastAsia" w:ascii="黑体" w:hAnsi="黑体" w:eastAsia="黑体" w:cs="黑体"/>
          <w:highlight w:val="none"/>
        </w:rPr>
        <w:t>主要审查人：</w:t>
      </w:r>
      <w:r>
        <w:rPr>
          <w:rFonts w:hint="eastAsia"/>
          <w:highlight w:val="none"/>
        </w:rPr>
        <w:t xml:space="preserve"> </w:t>
      </w:r>
    </w:p>
    <w:p w14:paraId="4319FE2B">
      <w:pPr>
        <w:pStyle w:val="5"/>
        <w:spacing w:line="276" w:lineRule="auto"/>
        <w:ind w:left="341" w:leftChars="142"/>
        <w:jc w:val="both"/>
        <w:rPr>
          <w:rFonts w:hint="eastAsia" w:ascii="黑体" w:hAnsi="黑体" w:eastAsia="黑体" w:cs="黑体"/>
          <w:highlight w:val="none"/>
        </w:rPr>
      </w:pPr>
    </w:p>
    <w:p w14:paraId="0BAFC7A2">
      <w:pPr>
        <w:pStyle w:val="5"/>
        <w:spacing w:line="276" w:lineRule="auto"/>
        <w:ind w:left="341" w:leftChars="142"/>
        <w:jc w:val="both"/>
        <w:rPr>
          <w:rFonts w:hint="eastAsia" w:cs="Times New Roman"/>
          <w:b/>
          <w:bCs/>
          <w:highlight w:val="none"/>
        </w:rPr>
      </w:pPr>
      <w:r>
        <w:rPr>
          <w:rFonts w:cs="Times New Roman"/>
          <w:b/>
          <w:bCs/>
          <w:highlight w:val="none"/>
        </w:rPr>
        <w:br w:type="page"/>
      </w:r>
    </w:p>
    <w:p w14:paraId="2EAEEFB7">
      <w:pPr>
        <w:jc w:val="center"/>
        <w:rPr>
          <w:rFonts w:hint="eastAsia" w:ascii="仿宋" w:hAnsi="仿宋" w:eastAsia="仿宋" w:cs="仿宋"/>
          <w:b/>
          <w:bCs/>
          <w:sz w:val="30"/>
          <w:szCs w:val="30"/>
          <w:highlight w:val="none"/>
        </w:rPr>
      </w:pPr>
      <w:r>
        <w:rPr>
          <w:rFonts w:hint="eastAsia" w:ascii="仿宋" w:hAnsi="仿宋" w:eastAsia="仿宋" w:cs="仿宋"/>
          <w:b/>
          <w:bCs/>
          <w:sz w:val="30"/>
          <w:szCs w:val="30"/>
          <w:highlight w:val="none"/>
        </w:rPr>
        <w:t>目  次</w:t>
      </w:r>
    </w:p>
    <w:p w14:paraId="436F3E68">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 w:val="0"/>
          <w:bCs w:val="0"/>
          <w:caps/>
          <w:sz w:val="21"/>
          <w:szCs w:val="21"/>
          <w:highlight w:val="none"/>
          <w:lang w:val="zh-CN"/>
        </w:rPr>
        <w:fldChar w:fldCharType="begin"/>
      </w:r>
      <w:r>
        <w:rPr>
          <w:rFonts w:hint="default" w:ascii="Times New Roman" w:hAnsi="Times New Roman" w:eastAsia="宋体" w:cs="Times New Roman"/>
          <w:b w:val="0"/>
          <w:bCs w:val="0"/>
          <w:caps/>
          <w:sz w:val="21"/>
          <w:szCs w:val="21"/>
          <w:highlight w:val="none"/>
        </w:rPr>
        <w:instrText xml:space="preserve"> TOC \o "1-2" \h \z \u </w:instrText>
      </w:r>
      <w:r>
        <w:rPr>
          <w:rFonts w:hint="default" w:ascii="Times New Roman" w:hAnsi="Times New Roman" w:eastAsia="宋体" w:cs="Times New Roman"/>
          <w:b w:val="0"/>
          <w:bCs w:val="0"/>
          <w:caps/>
          <w:sz w:val="21"/>
          <w:szCs w:val="21"/>
          <w:highlight w:val="none"/>
          <w:lang w:val="zh-CN"/>
        </w:rPr>
        <w:fldChar w:fldCharType="separate"/>
      </w: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_Toc17153 </w:instrText>
      </w:r>
      <w:r>
        <w:rPr>
          <w:rFonts w:hint="default" w:ascii="Times New Roman" w:hAnsi="Times New Roman" w:eastAsia="宋体" w:cs="Times New Roman"/>
          <w:bCs w:val="0"/>
          <w:caps/>
          <w:kern w:val="2"/>
          <w:szCs w:val="21"/>
          <w:highlight w:val="none"/>
          <w:lang w:val="zh-CN"/>
        </w:rPr>
        <w:fldChar w:fldCharType="separate"/>
      </w:r>
      <w:r>
        <w:rPr>
          <w:rFonts w:ascii="Times New Roman" w:hAnsi="Times New Roman" w:eastAsia="宋体" w:cs="Times New Roman"/>
          <w:highlight w:val="none"/>
        </w:rPr>
        <w:t>1</w:t>
      </w:r>
      <w:r>
        <w:rPr>
          <w:rFonts w:ascii="宋体" w:hAnsi="宋体" w:eastAsia="宋体"/>
          <w:szCs w:val="32"/>
          <w:highlight w:val="none"/>
        </w:rPr>
        <w:t xml:space="preserve">  </w:t>
      </w:r>
      <w:r>
        <w:rPr>
          <w:rFonts w:ascii="宋体" w:hAnsi="宋体" w:eastAsia="宋体"/>
          <w:highlight w:val="none"/>
        </w:rPr>
        <w:t xml:space="preserve">总   </w:t>
      </w:r>
      <w:r>
        <w:rPr>
          <w:rFonts w:hint="eastAsia" w:ascii="宋体" w:hAnsi="宋体" w:eastAsia="宋体"/>
          <w:highlight w:val="none"/>
        </w:rPr>
        <w:t>则</w:t>
      </w:r>
      <w:r>
        <w:rPr>
          <w:highlight w:val="none"/>
        </w:rPr>
        <w:tab/>
      </w:r>
      <w:r>
        <w:rPr>
          <w:rFonts w:hint="eastAsia"/>
          <w:highlight w:val="none"/>
          <w:lang w:val="en-US" w:eastAsia="zh-CN"/>
        </w:rPr>
        <w:t>(</w:t>
      </w:r>
      <w:r>
        <w:rPr>
          <w:highlight w:val="none"/>
        </w:rPr>
        <w:fldChar w:fldCharType="begin"/>
      </w:r>
      <w:r>
        <w:rPr>
          <w:highlight w:val="none"/>
        </w:rPr>
        <w:instrText xml:space="preserve"> PAGEREF _Toc17153 \h </w:instrText>
      </w:r>
      <w:r>
        <w:rPr>
          <w:highlight w:val="none"/>
        </w:rPr>
        <w:fldChar w:fldCharType="separate"/>
      </w:r>
      <w:r>
        <w:rPr>
          <w:highlight w:val="none"/>
        </w:rPr>
        <w:t>1</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71394576">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_Toc25756 </w:instrText>
      </w:r>
      <w:r>
        <w:rPr>
          <w:rFonts w:hint="default" w:ascii="Times New Roman" w:hAnsi="Times New Roman" w:eastAsia="宋体" w:cs="Times New Roman"/>
          <w:bCs w:val="0"/>
          <w:caps/>
          <w:kern w:val="2"/>
          <w:szCs w:val="21"/>
          <w:highlight w:val="none"/>
          <w:lang w:val="zh-CN"/>
        </w:rPr>
        <w:fldChar w:fldCharType="separate"/>
      </w:r>
      <w:r>
        <w:rPr>
          <w:rFonts w:hint="default" w:ascii="Times New Roman" w:hAnsi="Times New Roman" w:eastAsia="宋体" w:cs="Times New Roman"/>
          <w:highlight w:val="none"/>
        </w:rPr>
        <w:t>2</w:t>
      </w:r>
      <w:r>
        <w:rPr>
          <w:rFonts w:ascii="宋体" w:hAnsi="宋体" w:eastAsia="宋体"/>
          <w:szCs w:val="32"/>
          <w:highlight w:val="none"/>
        </w:rPr>
        <w:t xml:space="preserve">  </w:t>
      </w:r>
      <w:r>
        <w:rPr>
          <w:rFonts w:hint="eastAsia" w:ascii="宋体" w:hAnsi="宋体" w:eastAsia="宋体"/>
          <w:highlight w:val="none"/>
        </w:rPr>
        <w:t>术</w:t>
      </w:r>
      <w:r>
        <w:rPr>
          <w:rFonts w:ascii="宋体" w:hAnsi="宋体" w:eastAsia="宋体"/>
          <w:highlight w:val="none"/>
        </w:rPr>
        <w:t xml:space="preserve">   </w:t>
      </w:r>
      <w:r>
        <w:rPr>
          <w:rFonts w:hint="eastAsia" w:ascii="宋体" w:hAnsi="宋体" w:eastAsia="宋体"/>
          <w:highlight w:val="none"/>
        </w:rPr>
        <w:t>语</w:t>
      </w:r>
      <w:r>
        <w:rPr>
          <w:highlight w:val="none"/>
        </w:rPr>
        <w:tab/>
      </w:r>
      <w:r>
        <w:rPr>
          <w:rFonts w:hint="eastAsia"/>
          <w:highlight w:val="none"/>
          <w:lang w:val="en-US" w:eastAsia="zh-CN"/>
        </w:rPr>
        <w:t>(</w:t>
      </w:r>
      <w:r>
        <w:rPr>
          <w:highlight w:val="none"/>
        </w:rPr>
        <w:fldChar w:fldCharType="begin"/>
      </w:r>
      <w:r>
        <w:rPr>
          <w:highlight w:val="none"/>
        </w:rPr>
        <w:instrText xml:space="preserve"> PAGEREF _Toc25756 \h </w:instrText>
      </w:r>
      <w:r>
        <w:rPr>
          <w:highlight w:val="none"/>
        </w:rPr>
        <w:fldChar w:fldCharType="separate"/>
      </w:r>
      <w:r>
        <w:rPr>
          <w:highlight w:val="none"/>
        </w:rPr>
        <w:t>2</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5C745EA5">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_Toc23912 </w:instrText>
      </w:r>
      <w:r>
        <w:rPr>
          <w:rFonts w:hint="default" w:ascii="Times New Roman" w:hAnsi="Times New Roman" w:eastAsia="宋体" w:cs="Times New Roman"/>
          <w:bCs w:val="0"/>
          <w:caps/>
          <w:kern w:val="2"/>
          <w:szCs w:val="21"/>
          <w:highlight w:val="none"/>
          <w:lang w:val="zh-CN"/>
        </w:rPr>
        <w:fldChar w:fldCharType="separate"/>
      </w:r>
      <w:r>
        <w:rPr>
          <w:rFonts w:hint="default" w:ascii="Times New Roman" w:hAnsi="Times New Roman" w:eastAsia="宋体" w:cs="Times New Roman"/>
          <w:highlight w:val="none"/>
        </w:rPr>
        <w:t>3</w:t>
      </w:r>
      <w:r>
        <w:rPr>
          <w:rFonts w:ascii="宋体" w:hAnsi="宋体" w:eastAsia="宋体"/>
          <w:szCs w:val="32"/>
          <w:highlight w:val="none"/>
        </w:rPr>
        <w:t xml:space="preserve">  </w:t>
      </w:r>
      <w:r>
        <w:rPr>
          <w:rFonts w:hint="eastAsia" w:ascii="宋体" w:hAnsi="宋体" w:eastAsia="宋体"/>
          <w:highlight w:val="none"/>
        </w:rPr>
        <w:t>基本规定</w:t>
      </w:r>
      <w:r>
        <w:rPr>
          <w:highlight w:val="none"/>
        </w:rPr>
        <w:tab/>
      </w:r>
      <w:r>
        <w:rPr>
          <w:rFonts w:hint="eastAsia"/>
          <w:highlight w:val="none"/>
          <w:lang w:val="en-US" w:eastAsia="zh-CN"/>
        </w:rPr>
        <w:t>(</w:t>
      </w:r>
      <w:r>
        <w:rPr>
          <w:highlight w:val="none"/>
        </w:rPr>
        <w:fldChar w:fldCharType="begin"/>
      </w:r>
      <w:r>
        <w:rPr>
          <w:highlight w:val="none"/>
        </w:rPr>
        <w:instrText xml:space="preserve"> PAGEREF _Toc23912 \h </w:instrText>
      </w:r>
      <w:r>
        <w:rPr>
          <w:highlight w:val="none"/>
        </w:rPr>
        <w:fldChar w:fldCharType="separate"/>
      </w:r>
      <w:r>
        <w:rPr>
          <w:highlight w:val="none"/>
        </w:rPr>
        <w:t>4</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1EC33F12">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_Toc12318 </w:instrText>
      </w:r>
      <w:r>
        <w:rPr>
          <w:rFonts w:hint="default" w:ascii="Times New Roman" w:hAnsi="Times New Roman" w:eastAsia="宋体" w:cs="Times New Roman"/>
          <w:bCs w:val="0"/>
          <w:caps/>
          <w:kern w:val="2"/>
          <w:szCs w:val="21"/>
          <w:highlight w:val="none"/>
          <w:lang w:val="zh-CN"/>
        </w:rPr>
        <w:fldChar w:fldCharType="separate"/>
      </w:r>
      <w:r>
        <w:rPr>
          <w:rFonts w:hint="default" w:ascii="Times New Roman" w:hAnsi="Times New Roman" w:eastAsia="宋体" w:cs="Times New Roman"/>
          <w:highlight w:val="none"/>
        </w:rPr>
        <w:t>4</w:t>
      </w:r>
      <w:r>
        <w:rPr>
          <w:rFonts w:ascii="宋体" w:hAnsi="宋体" w:eastAsia="宋体"/>
          <w:szCs w:val="32"/>
          <w:highlight w:val="none"/>
        </w:rPr>
        <w:t xml:space="preserve">  </w:t>
      </w:r>
      <w:r>
        <w:rPr>
          <w:rFonts w:hint="eastAsia" w:ascii="宋体" w:hAnsi="宋体" w:eastAsia="宋体"/>
          <w:highlight w:val="none"/>
        </w:rPr>
        <w:t>评估内容</w:t>
      </w:r>
      <w:r>
        <w:rPr>
          <w:rFonts w:hint="eastAsia" w:ascii="宋体" w:hAnsi="宋体" w:eastAsia="宋体"/>
          <w:highlight w:val="none"/>
          <w:lang w:val="en-US" w:eastAsia="zh-CN"/>
        </w:rPr>
        <w:t>与标准</w:t>
      </w:r>
      <w:r>
        <w:rPr>
          <w:highlight w:val="none"/>
        </w:rPr>
        <w:tab/>
      </w:r>
      <w:r>
        <w:rPr>
          <w:rFonts w:hint="eastAsia"/>
          <w:highlight w:val="none"/>
          <w:lang w:val="en-US" w:eastAsia="zh-CN"/>
        </w:rPr>
        <w:t>(</w:t>
      </w:r>
      <w:r>
        <w:rPr>
          <w:highlight w:val="none"/>
        </w:rPr>
        <w:fldChar w:fldCharType="begin"/>
      </w:r>
      <w:r>
        <w:rPr>
          <w:highlight w:val="none"/>
        </w:rPr>
        <w:instrText xml:space="preserve"> PAGEREF _Toc12318 \h </w:instrText>
      </w:r>
      <w:r>
        <w:rPr>
          <w:highlight w:val="none"/>
        </w:rPr>
        <w:fldChar w:fldCharType="separate"/>
      </w:r>
      <w:r>
        <w:rPr>
          <w:highlight w:val="none"/>
        </w:rPr>
        <w:t>10</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440F1A6E">
      <w:pPr>
        <w:pStyle w:val="10"/>
        <w:tabs>
          <w:tab w:val="right" w:leader="dot" w:pos="865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_Toc16095 </w:instrText>
      </w:r>
      <w:r>
        <w:rPr>
          <w:rFonts w:hint="default" w:ascii="Times New Roman" w:hAnsi="Times New Roman" w:eastAsia="宋体" w:cs="Times New Roman"/>
          <w:bCs w:val="0"/>
          <w:caps/>
          <w:kern w:val="2"/>
          <w:szCs w:val="21"/>
          <w:highlight w:val="none"/>
          <w:lang w:val="zh-CN"/>
        </w:rPr>
        <w:fldChar w:fldCharType="separate"/>
      </w:r>
      <w:r>
        <w:rPr>
          <w:rFonts w:hint="eastAsia"/>
          <w:highlight w:val="none"/>
        </w:rPr>
        <w:t>4</w:t>
      </w:r>
      <w:r>
        <w:rPr>
          <w:highlight w:val="none"/>
        </w:rPr>
        <w:t xml:space="preserve">.1  </w:t>
      </w:r>
      <w:r>
        <w:rPr>
          <w:rFonts w:hint="eastAsia" w:ascii="黑体" w:hAnsi="黑体"/>
          <w:highlight w:val="none"/>
        </w:rPr>
        <w:t>一般规定</w:t>
      </w:r>
      <w:r>
        <w:rPr>
          <w:highlight w:val="none"/>
        </w:rPr>
        <w:tab/>
      </w:r>
      <w:r>
        <w:rPr>
          <w:rFonts w:hint="eastAsia"/>
          <w:highlight w:val="none"/>
          <w:lang w:val="en-US" w:eastAsia="zh-CN"/>
        </w:rPr>
        <w:t>(</w:t>
      </w:r>
      <w:r>
        <w:rPr>
          <w:highlight w:val="none"/>
        </w:rPr>
        <w:fldChar w:fldCharType="begin"/>
      </w:r>
      <w:r>
        <w:rPr>
          <w:highlight w:val="none"/>
        </w:rPr>
        <w:instrText xml:space="preserve"> PAGEREF _Toc16095 \h </w:instrText>
      </w:r>
      <w:r>
        <w:rPr>
          <w:highlight w:val="none"/>
        </w:rPr>
        <w:fldChar w:fldCharType="separate"/>
      </w:r>
      <w:r>
        <w:rPr>
          <w:highlight w:val="none"/>
        </w:rPr>
        <w:t>10</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5DFADE1E">
      <w:pPr>
        <w:pStyle w:val="10"/>
        <w:tabs>
          <w:tab w:val="right" w:leader="dot" w:pos="865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_Toc867 </w:instrText>
      </w:r>
      <w:r>
        <w:rPr>
          <w:rFonts w:hint="default" w:ascii="Times New Roman" w:hAnsi="Times New Roman" w:eastAsia="宋体" w:cs="Times New Roman"/>
          <w:bCs w:val="0"/>
          <w:caps/>
          <w:kern w:val="2"/>
          <w:szCs w:val="21"/>
          <w:highlight w:val="none"/>
          <w:lang w:val="zh-CN"/>
        </w:rPr>
        <w:fldChar w:fldCharType="separate"/>
      </w:r>
      <w:r>
        <w:rPr>
          <w:rFonts w:hint="default" w:ascii="Times New Roman" w:hAnsi="Times New Roman" w:cs="Times New Roman"/>
          <w:highlight w:val="none"/>
          <w:lang w:val="en-US" w:eastAsia="zh-CN"/>
        </w:rPr>
        <w:t>4</w:t>
      </w:r>
      <w:r>
        <w:rPr>
          <w:rFonts w:hint="default" w:ascii="Times New Roman" w:hAnsi="Times New Roman" w:cs="Times New Roman"/>
          <w:highlight w:val="none"/>
        </w:rPr>
        <w:t>.</w:t>
      </w:r>
      <w:r>
        <w:rPr>
          <w:rFonts w:hint="default" w:ascii="Times New Roman" w:hAnsi="Times New Roman" w:cs="Times New Roman"/>
          <w:highlight w:val="none"/>
          <w:lang w:val="en-US" w:eastAsia="zh-CN"/>
        </w:rPr>
        <w:t>2</w:t>
      </w:r>
      <w:r>
        <w:rPr>
          <w:rFonts w:hint="eastAsia"/>
          <w:highlight w:val="none"/>
        </w:rPr>
        <w:t xml:space="preserve"> </w:t>
      </w:r>
      <w:r>
        <w:rPr>
          <w:highlight w:val="none"/>
        </w:rPr>
        <w:t xml:space="preserve"> </w:t>
      </w:r>
      <w:r>
        <w:rPr>
          <w:rFonts w:hint="eastAsia" w:ascii="黑体" w:hAnsi="黑体"/>
          <w:highlight w:val="none"/>
        </w:rPr>
        <w:t>消防管理</w:t>
      </w:r>
      <w:r>
        <w:rPr>
          <w:highlight w:val="none"/>
        </w:rPr>
        <w:tab/>
      </w:r>
      <w:r>
        <w:rPr>
          <w:rFonts w:hint="eastAsia"/>
          <w:highlight w:val="none"/>
          <w:lang w:val="en-US" w:eastAsia="zh-CN"/>
        </w:rPr>
        <w:t>(</w:t>
      </w:r>
      <w:r>
        <w:rPr>
          <w:highlight w:val="none"/>
        </w:rPr>
        <w:fldChar w:fldCharType="begin"/>
      </w:r>
      <w:r>
        <w:rPr>
          <w:highlight w:val="none"/>
        </w:rPr>
        <w:instrText xml:space="preserve"> PAGEREF _Toc867 \h </w:instrText>
      </w:r>
      <w:r>
        <w:rPr>
          <w:highlight w:val="none"/>
        </w:rPr>
        <w:fldChar w:fldCharType="separate"/>
      </w:r>
      <w:r>
        <w:rPr>
          <w:highlight w:val="none"/>
        </w:rPr>
        <w:t>13</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3E40F246">
      <w:pPr>
        <w:pStyle w:val="10"/>
        <w:tabs>
          <w:tab w:val="right" w:leader="dot" w:pos="865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_Toc4910 </w:instrText>
      </w:r>
      <w:r>
        <w:rPr>
          <w:rFonts w:hint="default" w:ascii="Times New Roman" w:hAnsi="Times New Roman" w:eastAsia="宋体" w:cs="Times New Roman"/>
          <w:bCs w:val="0"/>
          <w:caps/>
          <w:kern w:val="2"/>
          <w:szCs w:val="21"/>
          <w:highlight w:val="none"/>
          <w:lang w:val="zh-CN"/>
        </w:rPr>
        <w:fldChar w:fldCharType="separate"/>
      </w:r>
      <w:r>
        <w:rPr>
          <w:rFonts w:hint="eastAsia"/>
          <w:highlight w:val="none"/>
          <w:lang w:val="en-US" w:eastAsia="zh-CN"/>
        </w:rPr>
        <w:t>4.3</w:t>
      </w:r>
      <w:r>
        <w:rPr>
          <w:highlight w:val="none"/>
        </w:rPr>
        <w:t xml:space="preserve">  </w:t>
      </w:r>
      <w:r>
        <w:rPr>
          <w:rFonts w:hint="eastAsia"/>
          <w:highlight w:val="none"/>
        </w:rPr>
        <w:t>建筑防火</w:t>
      </w:r>
      <w:r>
        <w:rPr>
          <w:highlight w:val="none"/>
        </w:rPr>
        <w:tab/>
      </w:r>
      <w:r>
        <w:rPr>
          <w:rFonts w:hint="eastAsia"/>
          <w:highlight w:val="none"/>
          <w:lang w:val="en-US" w:eastAsia="zh-CN"/>
        </w:rPr>
        <w:t>(</w:t>
      </w:r>
      <w:r>
        <w:rPr>
          <w:highlight w:val="none"/>
        </w:rPr>
        <w:fldChar w:fldCharType="begin"/>
      </w:r>
      <w:r>
        <w:rPr>
          <w:highlight w:val="none"/>
        </w:rPr>
        <w:instrText xml:space="preserve"> PAGEREF _Toc4910 \h </w:instrText>
      </w:r>
      <w:r>
        <w:rPr>
          <w:highlight w:val="none"/>
        </w:rPr>
        <w:fldChar w:fldCharType="separate"/>
      </w:r>
      <w:r>
        <w:rPr>
          <w:highlight w:val="none"/>
        </w:rPr>
        <w:t>20</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1EA001D4">
      <w:pPr>
        <w:pStyle w:val="10"/>
        <w:tabs>
          <w:tab w:val="right" w:leader="dot" w:pos="865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_Toc31926 </w:instrText>
      </w:r>
      <w:r>
        <w:rPr>
          <w:rFonts w:hint="default" w:ascii="Times New Roman" w:hAnsi="Times New Roman" w:eastAsia="宋体" w:cs="Times New Roman"/>
          <w:bCs w:val="0"/>
          <w:caps/>
          <w:kern w:val="2"/>
          <w:szCs w:val="21"/>
          <w:highlight w:val="none"/>
          <w:lang w:val="zh-CN"/>
        </w:rPr>
        <w:fldChar w:fldCharType="separate"/>
      </w:r>
      <w:r>
        <w:rPr>
          <w:rFonts w:hint="eastAsia"/>
          <w:highlight w:val="none"/>
          <w:lang w:val="en-US" w:eastAsia="zh-CN"/>
        </w:rPr>
        <w:t>4.4</w:t>
      </w:r>
      <w:r>
        <w:rPr>
          <w:highlight w:val="none"/>
        </w:rPr>
        <w:t xml:space="preserve"> </w:t>
      </w:r>
      <w:r>
        <w:rPr>
          <w:rFonts w:hint="eastAsia"/>
          <w:highlight w:val="none"/>
        </w:rPr>
        <w:t xml:space="preserve"> </w:t>
      </w:r>
      <w:r>
        <w:rPr>
          <w:rFonts w:hint="eastAsia"/>
          <w:highlight w:val="none"/>
          <w:lang w:val="en-US" w:eastAsia="zh-CN"/>
        </w:rPr>
        <w:t>消防设施</w:t>
      </w:r>
      <w:r>
        <w:rPr>
          <w:highlight w:val="none"/>
        </w:rPr>
        <w:tab/>
      </w:r>
      <w:r>
        <w:rPr>
          <w:rFonts w:hint="eastAsia"/>
          <w:highlight w:val="none"/>
          <w:lang w:val="en-US" w:eastAsia="zh-CN"/>
        </w:rPr>
        <w:t>(</w:t>
      </w:r>
      <w:r>
        <w:rPr>
          <w:highlight w:val="none"/>
        </w:rPr>
        <w:fldChar w:fldCharType="begin"/>
      </w:r>
      <w:r>
        <w:rPr>
          <w:highlight w:val="none"/>
        </w:rPr>
        <w:instrText xml:space="preserve"> PAGEREF _Toc31926 \h </w:instrText>
      </w:r>
      <w:r>
        <w:rPr>
          <w:highlight w:val="none"/>
        </w:rPr>
        <w:fldChar w:fldCharType="separate"/>
      </w:r>
      <w:r>
        <w:rPr>
          <w:highlight w:val="none"/>
        </w:rPr>
        <w:t>36</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7C9EA886">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_Toc8850 </w:instrText>
      </w:r>
      <w:r>
        <w:rPr>
          <w:rFonts w:hint="default" w:ascii="Times New Roman" w:hAnsi="Times New Roman" w:eastAsia="宋体" w:cs="Times New Roman"/>
          <w:bCs w:val="0"/>
          <w:caps/>
          <w:kern w:val="2"/>
          <w:szCs w:val="21"/>
          <w:highlight w:val="none"/>
          <w:lang w:val="zh-CN"/>
        </w:rPr>
        <w:fldChar w:fldCharType="separate"/>
      </w:r>
      <w:r>
        <w:rPr>
          <w:rFonts w:hint="eastAsia" w:eastAsia="宋体"/>
          <w:highlight w:val="none"/>
          <w:lang w:val="en-US" w:eastAsia="zh-CN"/>
        </w:rPr>
        <w:t>5</w:t>
      </w:r>
      <w:r>
        <w:rPr>
          <w:rFonts w:eastAsia="宋体"/>
          <w:szCs w:val="32"/>
          <w:highlight w:val="none"/>
        </w:rPr>
        <w:t xml:space="preserve">  </w:t>
      </w:r>
      <w:r>
        <w:rPr>
          <w:rFonts w:hint="eastAsia" w:eastAsia="宋体"/>
          <w:highlight w:val="none"/>
        </w:rPr>
        <w:t>综合评估</w:t>
      </w:r>
      <w:r>
        <w:rPr>
          <w:highlight w:val="none"/>
        </w:rPr>
        <w:tab/>
      </w:r>
      <w:r>
        <w:rPr>
          <w:rFonts w:hint="eastAsia"/>
          <w:highlight w:val="none"/>
          <w:lang w:val="en-US" w:eastAsia="zh-CN"/>
        </w:rPr>
        <w:t>(</w:t>
      </w:r>
      <w:r>
        <w:rPr>
          <w:highlight w:val="none"/>
        </w:rPr>
        <w:fldChar w:fldCharType="begin"/>
      </w:r>
      <w:r>
        <w:rPr>
          <w:highlight w:val="none"/>
        </w:rPr>
        <w:instrText xml:space="preserve"> PAGEREF _Toc8850 \h </w:instrText>
      </w:r>
      <w:r>
        <w:rPr>
          <w:highlight w:val="none"/>
        </w:rPr>
        <w:fldChar w:fldCharType="separate"/>
      </w:r>
      <w:r>
        <w:rPr>
          <w:highlight w:val="none"/>
        </w:rPr>
        <w:t>47</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3F974BC8">
      <w:pPr>
        <w:pStyle w:val="10"/>
        <w:tabs>
          <w:tab w:val="right" w:leader="dot" w:pos="865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_Toc16917 </w:instrText>
      </w:r>
      <w:r>
        <w:rPr>
          <w:rFonts w:hint="default" w:ascii="Times New Roman" w:hAnsi="Times New Roman" w:eastAsia="宋体" w:cs="Times New Roman"/>
          <w:bCs w:val="0"/>
          <w:caps/>
          <w:kern w:val="2"/>
          <w:szCs w:val="21"/>
          <w:highlight w:val="none"/>
          <w:lang w:val="zh-CN"/>
        </w:rPr>
        <w:fldChar w:fldCharType="separate"/>
      </w:r>
      <w:r>
        <w:rPr>
          <w:rFonts w:hint="eastAsia"/>
          <w:highlight w:val="none"/>
          <w:lang w:val="en-US" w:eastAsia="zh-CN"/>
        </w:rPr>
        <w:t>5</w:t>
      </w:r>
      <w:r>
        <w:rPr>
          <w:rFonts w:hint="eastAsia"/>
          <w:highlight w:val="none"/>
        </w:rPr>
        <w:t>.1</w:t>
      </w:r>
      <w:r>
        <w:rPr>
          <w:highlight w:val="none"/>
        </w:rPr>
        <w:t xml:space="preserve"> </w:t>
      </w:r>
      <w:r>
        <w:rPr>
          <w:rFonts w:hint="eastAsia"/>
          <w:highlight w:val="none"/>
        </w:rPr>
        <w:t xml:space="preserve"> </w:t>
      </w:r>
      <w:r>
        <w:rPr>
          <w:rFonts w:hint="eastAsia" w:ascii="黑体" w:hAnsi="黑体"/>
          <w:highlight w:val="none"/>
        </w:rPr>
        <w:t>综合评定</w:t>
      </w:r>
      <w:r>
        <w:rPr>
          <w:highlight w:val="none"/>
        </w:rPr>
        <w:tab/>
      </w:r>
      <w:r>
        <w:rPr>
          <w:rFonts w:hint="eastAsia"/>
          <w:highlight w:val="none"/>
          <w:lang w:val="en-US" w:eastAsia="zh-CN"/>
        </w:rPr>
        <w:t>(</w:t>
      </w:r>
      <w:r>
        <w:rPr>
          <w:highlight w:val="none"/>
        </w:rPr>
        <w:fldChar w:fldCharType="begin"/>
      </w:r>
      <w:r>
        <w:rPr>
          <w:highlight w:val="none"/>
        </w:rPr>
        <w:instrText xml:space="preserve"> PAGEREF _Toc16917 \h </w:instrText>
      </w:r>
      <w:r>
        <w:rPr>
          <w:highlight w:val="none"/>
        </w:rPr>
        <w:fldChar w:fldCharType="separate"/>
      </w:r>
      <w:r>
        <w:rPr>
          <w:highlight w:val="none"/>
        </w:rPr>
        <w:t>47</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7F67CB64">
      <w:pPr>
        <w:pStyle w:val="10"/>
        <w:tabs>
          <w:tab w:val="right" w:leader="dot" w:pos="865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_Toc18170 </w:instrText>
      </w:r>
      <w:r>
        <w:rPr>
          <w:rFonts w:hint="default" w:ascii="Times New Roman" w:hAnsi="Times New Roman" w:eastAsia="宋体" w:cs="Times New Roman"/>
          <w:bCs w:val="0"/>
          <w:caps/>
          <w:kern w:val="2"/>
          <w:szCs w:val="21"/>
          <w:highlight w:val="none"/>
          <w:lang w:val="zh-CN"/>
        </w:rPr>
        <w:fldChar w:fldCharType="separate"/>
      </w:r>
      <w:r>
        <w:rPr>
          <w:rFonts w:hint="eastAsia"/>
          <w:highlight w:val="none"/>
          <w:lang w:val="en-US" w:eastAsia="zh-CN"/>
        </w:rPr>
        <w:t>5</w:t>
      </w:r>
      <w:r>
        <w:rPr>
          <w:highlight w:val="none"/>
        </w:rPr>
        <w:t>.</w:t>
      </w:r>
      <w:r>
        <w:rPr>
          <w:rFonts w:hint="eastAsia"/>
          <w:highlight w:val="none"/>
        </w:rPr>
        <w:t>2</w:t>
      </w:r>
      <w:r>
        <w:rPr>
          <w:highlight w:val="none"/>
        </w:rPr>
        <w:t xml:space="preserve">  </w:t>
      </w:r>
      <w:r>
        <w:rPr>
          <w:rFonts w:hint="eastAsia" w:ascii="黑体" w:hAnsi="黑体"/>
          <w:highlight w:val="none"/>
        </w:rPr>
        <w:t>安全等级</w:t>
      </w:r>
      <w:r>
        <w:rPr>
          <w:highlight w:val="none"/>
        </w:rPr>
        <w:tab/>
      </w:r>
      <w:r>
        <w:rPr>
          <w:rFonts w:hint="eastAsia"/>
          <w:highlight w:val="none"/>
          <w:lang w:val="en-US" w:eastAsia="zh-CN"/>
        </w:rPr>
        <w:t>(</w:t>
      </w:r>
      <w:r>
        <w:rPr>
          <w:highlight w:val="none"/>
        </w:rPr>
        <w:fldChar w:fldCharType="begin"/>
      </w:r>
      <w:r>
        <w:rPr>
          <w:highlight w:val="none"/>
        </w:rPr>
        <w:instrText xml:space="preserve"> PAGEREF _Toc18170 \h </w:instrText>
      </w:r>
      <w:r>
        <w:rPr>
          <w:highlight w:val="none"/>
        </w:rPr>
        <w:fldChar w:fldCharType="separate"/>
      </w:r>
      <w:r>
        <w:rPr>
          <w:highlight w:val="none"/>
        </w:rPr>
        <w:t>48</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3B6CC4F8">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_Toc2545 </w:instrText>
      </w:r>
      <w:r>
        <w:rPr>
          <w:rFonts w:hint="default" w:ascii="Times New Roman" w:hAnsi="Times New Roman" w:eastAsia="宋体" w:cs="Times New Roman"/>
          <w:bCs w:val="0"/>
          <w:caps/>
          <w:kern w:val="2"/>
          <w:szCs w:val="21"/>
          <w:highlight w:val="none"/>
          <w:lang w:val="zh-CN"/>
        </w:rPr>
        <w:fldChar w:fldCharType="separate"/>
      </w:r>
      <w:r>
        <w:rPr>
          <w:rFonts w:hint="default" w:ascii="Times New Roman" w:hAnsi="Times New Roman" w:eastAsia="宋体" w:cs="Times New Roman"/>
          <w:highlight w:val="none"/>
          <w:lang w:val="en-US" w:eastAsia="zh-CN"/>
        </w:rPr>
        <w:t>6</w:t>
      </w:r>
      <w:r>
        <w:rPr>
          <w:rFonts w:ascii="宋体" w:hAnsi="宋体" w:eastAsia="宋体"/>
          <w:szCs w:val="32"/>
          <w:highlight w:val="none"/>
        </w:rPr>
        <w:t xml:space="preserve">  </w:t>
      </w:r>
      <w:r>
        <w:rPr>
          <w:rFonts w:hint="eastAsia" w:ascii="宋体" w:hAnsi="宋体" w:eastAsia="宋体"/>
          <w:highlight w:val="none"/>
        </w:rPr>
        <w:t>评估报告</w:t>
      </w:r>
      <w:r>
        <w:rPr>
          <w:highlight w:val="none"/>
        </w:rPr>
        <w:tab/>
      </w:r>
      <w:r>
        <w:rPr>
          <w:rFonts w:hint="eastAsia"/>
          <w:highlight w:val="none"/>
          <w:lang w:val="en-US" w:eastAsia="zh-CN"/>
        </w:rPr>
        <w:t>(</w:t>
      </w:r>
      <w:r>
        <w:rPr>
          <w:highlight w:val="none"/>
        </w:rPr>
        <w:fldChar w:fldCharType="begin"/>
      </w:r>
      <w:r>
        <w:rPr>
          <w:highlight w:val="none"/>
        </w:rPr>
        <w:instrText xml:space="preserve"> PAGEREF _Toc2545 \h </w:instrText>
      </w:r>
      <w:r>
        <w:rPr>
          <w:highlight w:val="none"/>
        </w:rPr>
        <w:fldChar w:fldCharType="separate"/>
      </w:r>
      <w:r>
        <w:rPr>
          <w:highlight w:val="none"/>
        </w:rPr>
        <w:t>50</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33E5FD85">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_Toc6219 </w:instrText>
      </w:r>
      <w:r>
        <w:rPr>
          <w:rFonts w:hint="default" w:ascii="Times New Roman" w:hAnsi="Times New Roman" w:eastAsia="宋体" w:cs="Times New Roman"/>
          <w:bCs w:val="0"/>
          <w:caps/>
          <w:kern w:val="2"/>
          <w:szCs w:val="21"/>
          <w:highlight w:val="none"/>
          <w:lang w:val="zh-CN"/>
        </w:rPr>
        <w:fldChar w:fldCharType="separate"/>
      </w:r>
      <w:r>
        <w:rPr>
          <w:rFonts w:hint="default" w:ascii="Times New Roman" w:hAnsi="Times New Roman" w:eastAsia="宋体" w:cs="Times New Roman"/>
          <w:highlight w:val="none"/>
          <w:lang w:val="en-US" w:eastAsia="zh-CN"/>
        </w:rPr>
        <w:t>7</w:t>
      </w:r>
      <w:r>
        <w:rPr>
          <w:rFonts w:ascii="宋体" w:hAnsi="宋体" w:eastAsia="宋体"/>
          <w:szCs w:val="32"/>
          <w:highlight w:val="none"/>
        </w:rPr>
        <w:t xml:space="preserve">  </w:t>
      </w:r>
      <w:r>
        <w:rPr>
          <w:rFonts w:hint="eastAsia" w:ascii="宋体" w:hAnsi="宋体" w:eastAsia="宋体"/>
          <w:highlight w:val="none"/>
        </w:rPr>
        <w:t>评估档案</w:t>
      </w:r>
      <w:r>
        <w:rPr>
          <w:highlight w:val="none"/>
        </w:rPr>
        <w:tab/>
      </w:r>
      <w:r>
        <w:rPr>
          <w:rFonts w:hint="eastAsia"/>
          <w:highlight w:val="none"/>
          <w:lang w:val="en-US" w:eastAsia="zh-CN"/>
        </w:rPr>
        <w:t>(</w:t>
      </w:r>
      <w:r>
        <w:rPr>
          <w:highlight w:val="none"/>
        </w:rPr>
        <w:fldChar w:fldCharType="begin"/>
      </w:r>
      <w:r>
        <w:rPr>
          <w:highlight w:val="none"/>
        </w:rPr>
        <w:instrText xml:space="preserve"> PAGEREF _Toc6219 \h </w:instrText>
      </w:r>
      <w:r>
        <w:rPr>
          <w:highlight w:val="none"/>
        </w:rPr>
        <w:fldChar w:fldCharType="separate"/>
      </w:r>
      <w:r>
        <w:rPr>
          <w:highlight w:val="none"/>
        </w:rPr>
        <w:t>52</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76066477">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_Toc17132 </w:instrText>
      </w:r>
      <w:r>
        <w:rPr>
          <w:rFonts w:hint="default" w:ascii="Times New Roman" w:hAnsi="Times New Roman" w:eastAsia="宋体" w:cs="Times New Roman"/>
          <w:bCs w:val="0"/>
          <w:caps/>
          <w:kern w:val="2"/>
          <w:szCs w:val="21"/>
          <w:highlight w:val="none"/>
          <w:lang w:val="zh-CN"/>
        </w:rPr>
        <w:fldChar w:fldCharType="separate"/>
      </w:r>
      <w:r>
        <w:rPr>
          <w:rFonts w:eastAsia="宋体"/>
          <w:highlight w:val="none"/>
        </w:rPr>
        <w:t xml:space="preserve">附录A </w:t>
      </w:r>
      <w:r>
        <w:rPr>
          <w:rFonts w:hint="eastAsia" w:eastAsia="宋体"/>
          <w:highlight w:val="none"/>
        </w:rPr>
        <w:t>消防安全评估检查记录表</w:t>
      </w:r>
      <w:r>
        <w:rPr>
          <w:highlight w:val="none"/>
        </w:rPr>
        <w:tab/>
      </w:r>
      <w:r>
        <w:rPr>
          <w:rFonts w:hint="eastAsia"/>
          <w:highlight w:val="none"/>
          <w:lang w:val="en-US" w:eastAsia="zh-CN"/>
        </w:rPr>
        <w:t>(</w:t>
      </w:r>
      <w:r>
        <w:rPr>
          <w:highlight w:val="none"/>
        </w:rPr>
        <w:fldChar w:fldCharType="begin"/>
      </w:r>
      <w:r>
        <w:rPr>
          <w:highlight w:val="none"/>
        </w:rPr>
        <w:instrText xml:space="preserve"> PAGEREF _Toc17132 \h </w:instrText>
      </w:r>
      <w:r>
        <w:rPr>
          <w:highlight w:val="none"/>
        </w:rPr>
        <w:fldChar w:fldCharType="separate"/>
      </w:r>
      <w:r>
        <w:rPr>
          <w:highlight w:val="none"/>
        </w:rPr>
        <w:t>53</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71D3B915">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_Toc28588 </w:instrText>
      </w:r>
      <w:r>
        <w:rPr>
          <w:rFonts w:hint="default" w:ascii="Times New Roman" w:hAnsi="Times New Roman" w:eastAsia="宋体" w:cs="Times New Roman"/>
          <w:bCs w:val="0"/>
          <w:caps/>
          <w:kern w:val="2"/>
          <w:szCs w:val="21"/>
          <w:highlight w:val="none"/>
          <w:lang w:val="zh-CN"/>
        </w:rPr>
        <w:fldChar w:fldCharType="separate"/>
      </w:r>
      <w:r>
        <w:rPr>
          <w:rFonts w:eastAsia="宋体"/>
          <w:highlight w:val="none"/>
        </w:rPr>
        <w:t xml:space="preserve">附录B </w:t>
      </w:r>
      <w:r>
        <w:rPr>
          <w:rFonts w:hint="eastAsia" w:ascii="宋体" w:hAnsi="宋体" w:eastAsia="宋体"/>
          <w:highlight w:val="none"/>
        </w:rPr>
        <w:t>建筑消防安全评估报告</w:t>
      </w:r>
      <w:r>
        <w:rPr>
          <w:highlight w:val="none"/>
        </w:rPr>
        <w:tab/>
      </w:r>
      <w:r>
        <w:rPr>
          <w:rFonts w:hint="eastAsia"/>
          <w:highlight w:val="none"/>
          <w:lang w:val="en-US" w:eastAsia="zh-CN"/>
        </w:rPr>
        <w:t>(</w:t>
      </w:r>
      <w:r>
        <w:rPr>
          <w:highlight w:val="none"/>
        </w:rPr>
        <w:fldChar w:fldCharType="begin"/>
      </w:r>
      <w:r>
        <w:rPr>
          <w:highlight w:val="none"/>
        </w:rPr>
        <w:instrText xml:space="preserve"> PAGEREF _Toc28588 \h </w:instrText>
      </w:r>
      <w:r>
        <w:rPr>
          <w:highlight w:val="none"/>
        </w:rPr>
        <w:fldChar w:fldCharType="separate"/>
      </w:r>
      <w:r>
        <w:rPr>
          <w:highlight w:val="none"/>
        </w:rPr>
        <w:t>93</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62B1D6AE">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_Toc6777 </w:instrText>
      </w:r>
      <w:r>
        <w:rPr>
          <w:rFonts w:hint="default" w:ascii="Times New Roman" w:hAnsi="Times New Roman" w:eastAsia="宋体" w:cs="Times New Roman"/>
          <w:bCs w:val="0"/>
          <w:caps/>
          <w:kern w:val="2"/>
          <w:szCs w:val="21"/>
          <w:highlight w:val="none"/>
          <w:lang w:val="zh-CN"/>
        </w:rPr>
        <w:fldChar w:fldCharType="separate"/>
      </w:r>
      <w:r>
        <w:rPr>
          <w:rFonts w:hint="eastAsia" w:ascii="黑体" w:hAnsi="黑体" w:eastAsia="黑体"/>
          <w:szCs w:val="32"/>
          <w:highlight w:val="none"/>
        </w:rPr>
        <w:t>用词说明</w:t>
      </w:r>
      <w:r>
        <w:rPr>
          <w:highlight w:val="none"/>
        </w:rPr>
        <w:tab/>
      </w:r>
      <w:r>
        <w:rPr>
          <w:rFonts w:hint="eastAsia"/>
          <w:highlight w:val="none"/>
          <w:lang w:val="en-US" w:eastAsia="zh-CN"/>
        </w:rPr>
        <w:t>(</w:t>
      </w:r>
      <w:r>
        <w:rPr>
          <w:highlight w:val="none"/>
        </w:rPr>
        <w:fldChar w:fldCharType="begin"/>
      </w:r>
      <w:r>
        <w:rPr>
          <w:highlight w:val="none"/>
        </w:rPr>
        <w:instrText xml:space="preserve"> PAGEREF _Toc6777 \h </w:instrText>
      </w:r>
      <w:r>
        <w:rPr>
          <w:highlight w:val="none"/>
        </w:rPr>
        <w:fldChar w:fldCharType="separate"/>
      </w:r>
      <w:r>
        <w:rPr>
          <w:highlight w:val="none"/>
        </w:rPr>
        <w:t>102</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3AB8EACC">
      <w:pPr>
        <w:pStyle w:val="9"/>
        <w:tabs>
          <w:tab w:val="right" w:leader="dot" w:pos="8650"/>
          <w:tab w:val="clear" w:pos="8640"/>
        </w:tabs>
        <w:rPr>
          <w:rFonts w:hint="eastAsia" w:eastAsia="宋体"/>
          <w:highlight w:val="none"/>
          <w:lang w:val="en-US" w:eastAsia="zh-CN"/>
        </w:rPr>
      </w:pPr>
      <w:r>
        <w:rPr>
          <w:rFonts w:hint="default" w:ascii="Times New Roman" w:hAnsi="Times New Roman" w:eastAsia="宋体" w:cs="Times New Roman"/>
          <w:bCs w:val="0"/>
          <w:caps/>
          <w:color w:val="auto"/>
          <w:kern w:val="2"/>
          <w:szCs w:val="21"/>
          <w:highlight w:val="none"/>
          <w:lang w:val="zh-CN"/>
        </w:rPr>
        <w:fldChar w:fldCharType="begin"/>
      </w:r>
      <w:r>
        <w:rPr>
          <w:rFonts w:hint="default" w:ascii="Times New Roman" w:hAnsi="Times New Roman" w:eastAsia="宋体" w:cs="Times New Roman"/>
          <w:bCs w:val="0"/>
          <w:caps/>
          <w:kern w:val="2"/>
          <w:szCs w:val="21"/>
          <w:highlight w:val="none"/>
          <w:lang w:val="zh-CN"/>
        </w:rPr>
        <w:instrText xml:space="preserve"> HYPERLINK \l _Toc8730 </w:instrText>
      </w:r>
      <w:r>
        <w:rPr>
          <w:rFonts w:hint="default" w:ascii="Times New Roman" w:hAnsi="Times New Roman" w:eastAsia="宋体" w:cs="Times New Roman"/>
          <w:bCs w:val="0"/>
          <w:caps/>
          <w:kern w:val="2"/>
          <w:szCs w:val="21"/>
          <w:highlight w:val="none"/>
          <w:lang w:val="zh-CN"/>
        </w:rPr>
        <w:fldChar w:fldCharType="separate"/>
      </w:r>
      <w:r>
        <w:rPr>
          <w:rFonts w:hint="eastAsia" w:ascii="黑体" w:hAnsi="黑体" w:eastAsia="黑体"/>
          <w:szCs w:val="32"/>
          <w:highlight w:val="none"/>
        </w:rPr>
        <w:t>引用标准名录</w:t>
      </w:r>
      <w:r>
        <w:rPr>
          <w:highlight w:val="none"/>
        </w:rPr>
        <w:tab/>
      </w:r>
      <w:r>
        <w:rPr>
          <w:rFonts w:hint="eastAsia"/>
          <w:highlight w:val="none"/>
          <w:lang w:val="en-US" w:eastAsia="zh-CN"/>
        </w:rPr>
        <w:t>(</w:t>
      </w:r>
      <w:r>
        <w:rPr>
          <w:highlight w:val="none"/>
        </w:rPr>
        <w:fldChar w:fldCharType="begin"/>
      </w:r>
      <w:r>
        <w:rPr>
          <w:highlight w:val="none"/>
        </w:rPr>
        <w:instrText xml:space="preserve"> PAGEREF _Toc8730 \h </w:instrText>
      </w:r>
      <w:r>
        <w:rPr>
          <w:highlight w:val="none"/>
        </w:rPr>
        <w:fldChar w:fldCharType="separate"/>
      </w:r>
      <w:r>
        <w:rPr>
          <w:highlight w:val="none"/>
        </w:rPr>
        <w:t>103</w:t>
      </w:r>
      <w:r>
        <w:rPr>
          <w:highlight w:val="none"/>
        </w:rPr>
        <w:fldChar w:fldCharType="end"/>
      </w:r>
      <w:r>
        <w:rPr>
          <w:rFonts w:hint="default" w:ascii="Times New Roman" w:hAnsi="Times New Roman" w:eastAsia="宋体" w:cs="Times New Roman"/>
          <w:bCs w:val="0"/>
          <w:caps/>
          <w:color w:val="auto"/>
          <w:kern w:val="2"/>
          <w:szCs w:val="21"/>
          <w:highlight w:val="none"/>
          <w:lang w:val="zh-CN"/>
        </w:rPr>
        <w:fldChar w:fldCharType="end"/>
      </w:r>
      <w:r>
        <w:rPr>
          <w:rFonts w:hint="eastAsia" w:cs="Times New Roman"/>
          <w:bCs w:val="0"/>
          <w:caps/>
          <w:color w:val="auto"/>
          <w:kern w:val="2"/>
          <w:szCs w:val="21"/>
          <w:highlight w:val="none"/>
          <w:lang w:val="en-US" w:eastAsia="zh-CN"/>
        </w:rPr>
        <w:t>)</w:t>
      </w:r>
    </w:p>
    <w:p w14:paraId="3D54C2BC">
      <w:pPr>
        <w:pStyle w:val="17"/>
        <w:spacing w:before="0" w:line="240" w:lineRule="auto"/>
        <w:ind w:hanging="142"/>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 w:val="0"/>
          <w:bCs w:val="0"/>
          <w:caps/>
          <w:color w:val="auto"/>
          <w:kern w:val="2"/>
          <w:szCs w:val="21"/>
          <w:highlight w:val="none"/>
          <w:lang w:val="zh-CN"/>
        </w:rPr>
        <w:fldChar w:fldCharType="end"/>
      </w:r>
    </w:p>
    <w:p w14:paraId="120C2168">
      <w:pPr>
        <w:widowControl/>
        <w:autoSpaceDE/>
        <w:autoSpaceDN/>
        <w:spacing w:line="240" w:lineRule="auto"/>
        <w:rPr>
          <w:rFonts w:ascii="Times New Roman" w:hAnsi="Times New Roman" w:cs="Times New Roman"/>
          <w:bCs/>
          <w:sz w:val="21"/>
          <w:szCs w:val="21"/>
          <w:highlight w:val="none"/>
        </w:rPr>
        <w:sectPr>
          <w:footerReference r:id="rId6" w:type="default"/>
          <w:pgSz w:w="11910" w:h="16840"/>
          <w:pgMar w:top="1520" w:right="1582" w:bottom="1378" w:left="1678" w:header="720" w:footer="720" w:gutter="0"/>
          <w:pgBorders>
            <w:top w:val="none" w:sz="0" w:space="0"/>
            <w:left w:val="none" w:sz="0" w:space="0"/>
            <w:bottom w:val="none" w:sz="0" w:space="0"/>
            <w:right w:val="none" w:sz="0" w:space="0"/>
          </w:pgBorders>
          <w:pgNumType w:start="3"/>
          <w:cols w:space="720" w:num="1"/>
          <w:docGrid w:type="lines" w:linePitch="299" w:charSpace="0"/>
        </w:sectPr>
      </w:pPr>
    </w:p>
    <w:p w14:paraId="241C5D72">
      <w:pPr>
        <w:spacing w:line="276" w:lineRule="auto"/>
        <w:jc w:val="center"/>
        <w:rPr>
          <w:rFonts w:ascii="Times New Roman" w:hAnsi="Times New Roman" w:cs="Times New Roman"/>
          <w:b w:val="0"/>
          <w:bCs w:val="0"/>
          <w:sz w:val="32"/>
          <w:szCs w:val="36"/>
          <w:highlight w:val="none"/>
        </w:rPr>
      </w:pPr>
      <w:r>
        <w:rPr>
          <w:rFonts w:ascii="Times New Roman" w:hAnsi="Times New Roman" w:cs="Times New Roman"/>
          <w:b w:val="0"/>
          <w:bCs w:val="0"/>
          <w:sz w:val="32"/>
          <w:szCs w:val="36"/>
          <w:highlight w:val="none"/>
        </w:rPr>
        <w:t>Contents</w:t>
      </w:r>
    </w:p>
    <w:p w14:paraId="1D76BF76">
      <w:pPr>
        <w:spacing w:line="276" w:lineRule="auto"/>
        <w:jc w:val="center"/>
        <w:rPr>
          <w:rFonts w:ascii="Times New Roman" w:hAnsi="Times New Roman" w:cs="Times New Roman"/>
          <w:b w:val="0"/>
          <w:bCs w:val="0"/>
          <w:sz w:val="32"/>
          <w:szCs w:val="36"/>
          <w:highlight w:val="none"/>
        </w:rPr>
      </w:pPr>
    </w:p>
    <w:p w14:paraId="098157F7">
      <w:pPr>
        <w:pStyle w:val="9"/>
        <w:tabs>
          <w:tab w:val="right" w:leader="dot" w:pos="8650"/>
          <w:tab w:val="clear" w:pos="8640"/>
        </w:tabs>
        <w:rPr>
          <w:rFonts w:hint="eastAsia" w:eastAsia="宋体"/>
          <w:highlight w:val="none"/>
          <w:lang w:val="en-US" w:eastAsia="zh-CN"/>
        </w:rPr>
      </w:pPr>
      <w:r>
        <w:rPr>
          <w:rFonts w:cs="Times New Roman"/>
          <w:b w:val="0"/>
          <w:bCs w:val="0"/>
          <w:highlight w:val="none"/>
        </w:rPr>
        <w:fldChar w:fldCharType="begin"/>
      </w:r>
      <w:r>
        <w:rPr>
          <w:rFonts w:cs="Times New Roman"/>
          <w:b w:val="0"/>
          <w:bCs w:val="0"/>
          <w:highlight w:val="none"/>
        </w:rPr>
        <w:instrText xml:space="preserve"> TOC \f \h \z \u </w:instrText>
      </w:r>
      <w:r>
        <w:rPr>
          <w:rFonts w:cs="Times New Roman"/>
          <w:b w:val="0"/>
          <w:bCs w:val="0"/>
          <w:highlight w:val="none"/>
        </w:rPr>
        <w:fldChar w:fldCharType="separate"/>
      </w: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_Toc977 </w:instrText>
      </w:r>
      <w:r>
        <w:rPr>
          <w:rFonts w:ascii="Times New Roman" w:hAnsi="Times New Roman" w:cs="Times New Roman"/>
          <w:bCs w:val="0"/>
          <w:highlight w:val="none"/>
        </w:rPr>
        <w:fldChar w:fldCharType="separate"/>
      </w:r>
      <w:r>
        <w:rPr>
          <w:highlight w:val="none"/>
        </w:rPr>
        <w:t>1  General provisions</w:t>
      </w:r>
      <w:r>
        <w:rPr>
          <w:highlight w:val="none"/>
        </w:rPr>
        <w:tab/>
      </w:r>
      <w:r>
        <w:rPr>
          <w:rFonts w:hint="eastAsia"/>
          <w:highlight w:val="none"/>
          <w:lang w:val="en-US" w:eastAsia="zh-CN"/>
        </w:rPr>
        <w:t>(</w:t>
      </w:r>
      <w:r>
        <w:rPr>
          <w:highlight w:val="none"/>
        </w:rPr>
        <w:fldChar w:fldCharType="begin"/>
      </w:r>
      <w:r>
        <w:rPr>
          <w:highlight w:val="none"/>
        </w:rPr>
        <w:instrText xml:space="preserve"> PAGEREF _Toc977 \h </w:instrText>
      </w:r>
      <w:r>
        <w:rPr>
          <w:highlight w:val="none"/>
        </w:rPr>
        <w:fldChar w:fldCharType="separate"/>
      </w:r>
      <w:r>
        <w:rPr>
          <w:highlight w:val="none"/>
        </w:rPr>
        <w:t>1</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243661D8">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_Toc14026 </w:instrText>
      </w:r>
      <w:r>
        <w:rPr>
          <w:rFonts w:ascii="Times New Roman" w:hAnsi="Times New Roman" w:cs="Times New Roman"/>
          <w:bCs w:val="0"/>
          <w:highlight w:val="none"/>
        </w:rPr>
        <w:fldChar w:fldCharType="separate"/>
      </w:r>
      <w:r>
        <w:rPr>
          <w:highlight w:val="none"/>
        </w:rPr>
        <w:t>2  Terms</w:t>
      </w:r>
      <w:r>
        <w:rPr>
          <w:highlight w:val="none"/>
        </w:rPr>
        <w:tab/>
      </w:r>
      <w:r>
        <w:rPr>
          <w:rFonts w:hint="eastAsia"/>
          <w:highlight w:val="none"/>
          <w:lang w:val="en-US" w:eastAsia="zh-CN"/>
        </w:rPr>
        <w:t>(</w:t>
      </w:r>
      <w:r>
        <w:rPr>
          <w:highlight w:val="none"/>
        </w:rPr>
        <w:fldChar w:fldCharType="begin"/>
      </w:r>
      <w:r>
        <w:rPr>
          <w:highlight w:val="none"/>
        </w:rPr>
        <w:instrText xml:space="preserve"> PAGEREF _Toc14026 \h </w:instrText>
      </w:r>
      <w:r>
        <w:rPr>
          <w:highlight w:val="none"/>
        </w:rPr>
        <w:fldChar w:fldCharType="separate"/>
      </w:r>
      <w:r>
        <w:rPr>
          <w:highlight w:val="none"/>
        </w:rPr>
        <w:t>2</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7740AE17">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_Toc23158 </w:instrText>
      </w:r>
      <w:r>
        <w:rPr>
          <w:rFonts w:ascii="Times New Roman" w:hAnsi="Times New Roman" w:cs="Times New Roman"/>
          <w:bCs w:val="0"/>
          <w:highlight w:val="none"/>
        </w:rPr>
        <w:fldChar w:fldCharType="separate"/>
      </w:r>
      <w:r>
        <w:rPr>
          <w:highlight w:val="none"/>
        </w:rPr>
        <w:t>3  Basic requirements</w:t>
      </w:r>
      <w:r>
        <w:rPr>
          <w:highlight w:val="none"/>
        </w:rPr>
        <w:tab/>
      </w:r>
      <w:r>
        <w:rPr>
          <w:rFonts w:hint="eastAsia"/>
          <w:highlight w:val="none"/>
          <w:lang w:val="en-US" w:eastAsia="zh-CN"/>
        </w:rPr>
        <w:t>(</w:t>
      </w:r>
      <w:r>
        <w:rPr>
          <w:highlight w:val="none"/>
        </w:rPr>
        <w:fldChar w:fldCharType="begin"/>
      </w:r>
      <w:r>
        <w:rPr>
          <w:highlight w:val="none"/>
        </w:rPr>
        <w:instrText xml:space="preserve"> PAGEREF _Toc23158 \h </w:instrText>
      </w:r>
      <w:r>
        <w:rPr>
          <w:highlight w:val="none"/>
        </w:rPr>
        <w:fldChar w:fldCharType="separate"/>
      </w:r>
      <w:r>
        <w:rPr>
          <w:highlight w:val="none"/>
        </w:rPr>
        <w:t>4</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6DB29F2C">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_Toc2526 </w:instrText>
      </w:r>
      <w:r>
        <w:rPr>
          <w:rFonts w:ascii="Times New Roman" w:hAnsi="Times New Roman" w:cs="Times New Roman"/>
          <w:bCs w:val="0"/>
          <w:highlight w:val="none"/>
        </w:rPr>
        <w:fldChar w:fldCharType="separate"/>
      </w:r>
      <w:r>
        <w:rPr>
          <w:highlight w:val="none"/>
        </w:rPr>
        <w:t>4  Assessment content and criteria</w:t>
      </w:r>
      <w:r>
        <w:rPr>
          <w:highlight w:val="none"/>
        </w:rPr>
        <w:tab/>
      </w:r>
      <w:r>
        <w:rPr>
          <w:rFonts w:hint="eastAsia"/>
          <w:highlight w:val="none"/>
          <w:lang w:val="en-US" w:eastAsia="zh-CN"/>
        </w:rPr>
        <w:t>(</w:t>
      </w:r>
      <w:r>
        <w:rPr>
          <w:highlight w:val="none"/>
        </w:rPr>
        <w:fldChar w:fldCharType="begin"/>
      </w:r>
      <w:r>
        <w:rPr>
          <w:highlight w:val="none"/>
        </w:rPr>
        <w:instrText xml:space="preserve"> PAGEREF _Toc2526 \h </w:instrText>
      </w:r>
      <w:r>
        <w:rPr>
          <w:highlight w:val="none"/>
        </w:rPr>
        <w:fldChar w:fldCharType="separate"/>
      </w:r>
      <w:r>
        <w:rPr>
          <w:highlight w:val="none"/>
        </w:rPr>
        <w:t>10</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1D64D92E">
      <w:pPr>
        <w:pStyle w:val="10"/>
        <w:tabs>
          <w:tab w:val="right" w:leader="dot" w:pos="865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_Toc31693 </w:instrText>
      </w:r>
      <w:r>
        <w:rPr>
          <w:rFonts w:ascii="Times New Roman" w:hAnsi="Times New Roman" w:cs="Times New Roman"/>
          <w:bCs w:val="0"/>
          <w:highlight w:val="none"/>
        </w:rPr>
        <w:fldChar w:fldCharType="separate"/>
      </w:r>
      <w:r>
        <w:rPr>
          <w:highlight w:val="none"/>
        </w:rPr>
        <w:t>4.1 General requirements</w:t>
      </w:r>
      <w:r>
        <w:rPr>
          <w:highlight w:val="none"/>
        </w:rPr>
        <w:tab/>
      </w:r>
      <w:r>
        <w:rPr>
          <w:rFonts w:hint="eastAsia"/>
          <w:highlight w:val="none"/>
          <w:lang w:val="en-US" w:eastAsia="zh-CN"/>
        </w:rPr>
        <w:t>(</w:t>
      </w:r>
      <w:r>
        <w:rPr>
          <w:highlight w:val="none"/>
        </w:rPr>
        <w:fldChar w:fldCharType="begin"/>
      </w:r>
      <w:r>
        <w:rPr>
          <w:highlight w:val="none"/>
        </w:rPr>
        <w:instrText xml:space="preserve"> PAGEREF _Toc31693 \h </w:instrText>
      </w:r>
      <w:r>
        <w:rPr>
          <w:highlight w:val="none"/>
        </w:rPr>
        <w:fldChar w:fldCharType="separate"/>
      </w:r>
      <w:r>
        <w:rPr>
          <w:highlight w:val="none"/>
        </w:rPr>
        <w:t>10</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5DDAC24E">
      <w:pPr>
        <w:pStyle w:val="10"/>
        <w:tabs>
          <w:tab w:val="right" w:leader="dot" w:pos="865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_Toc30519 </w:instrText>
      </w:r>
      <w:r>
        <w:rPr>
          <w:rFonts w:ascii="Times New Roman" w:hAnsi="Times New Roman" w:cs="Times New Roman"/>
          <w:bCs w:val="0"/>
          <w:highlight w:val="none"/>
        </w:rPr>
        <w:fldChar w:fldCharType="separate"/>
      </w:r>
      <w:r>
        <w:rPr>
          <w:highlight w:val="none"/>
        </w:rPr>
        <w:t>4.2 Fire management</w:t>
      </w:r>
      <w:r>
        <w:rPr>
          <w:highlight w:val="none"/>
        </w:rPr>
        <w:tab/>
      </w:r>
      <w:r>
        <w:rPr>
          <w:rFonts w:hint="eastAsia"/>
          <w:highlight w:val="none"/>
          <w:lang w:val="en-US" w:eastAsia="zh-CN"/>
        </w:rPr>
        <w:t>(</w:t>
      </w:r>
      <w:r>
        <w:rPr>
          <w:highlight w:val="none"/>
        </w:rPr>
        <w:fldChar w:fldCharType="begin"/>
      </w:r>
      <w:r>
        <w:rPr>
          <w:highlight w:val="none"/>
        </w:rPr>
        <w:instrText xml:space="preserve"> PAGEREF _Toc30519 \h </w:instrText>
      </w:r>
      <w:r>
        <w:rPr>
          <w:highlight w:val="none"/>
        </w:rPr>
        <w:fldChar w:fldCharType="separate"/>
      </w:r>
      <w:r>
        <w:rPr>
          <w:highlight w:val="none"/>
        </w:rPr>
        <w:t>13</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52317245">
      <w:pPr>
        <w:pStyle w:val="10"/>
        <w:tabs>
          <w:tab w:val="right" w:leader="dot" w:pos="865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_Toc23622 </w:instrText>
      </w:r>
      <w:r>
        <w:rPr>
          <w:rFonts w:ascii="Times New Roman" w:hAnsi="Times New Roman" w:cs="Times New Roman"/>
          <w:bCs w:val="0"/>
          <w:highlight w:val="none"/>
        </w:rPr>
        <w:fldChar w:fldCharType="separate"/>
      </w:r>
      <w:r>
        <w:rPr>
          <w:highlight w:val="none"/>
        </w:rPr>
        <w:t>4.3 Building fire protection</w:t>
      </w:r>
      <w:r>
        <w:rPr>
          <w:highlight w:val="none"/>
        </w:rPr>
        <w:tab/>
      </w:r>
      <w:r>
        <w:rPr>
          <w:rFonts w:hint="eastAsia"/>
          <w:highlight w:val="none"/>
          <w:lang w:val="en-US" w:eastAsia="zh-CN"/>
        </w:rPr>
        <w:t>(</w:t>
      </w:r>
      <w:r>
        <w:rPr>
          <w:highlight w:val="none"/>
        </w:rPr>
        <w:fldChar w:fldCharType="begin"/>
      </w:r>
      <w:r>
        <w:rPr>
          <w:highlight w:val="none"/>
        </w:rPr>
        <w:instrText xml:space="preserve"> PAGEREF _Toc23622 \h </w:instrText>
      </w:r>
      <w:r>
        <w:rPr>
          <w:highlight w:val="none"/>
        </w:rPr>
        <w:fldChar w:fldCharType="separate"/>
      </w:r>
      <w:r>
        <w:rPr>
          <w:highlight w:val="none"/>
        </w:rPr>
        <w:t>20</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1A254268">
      <w:pPr>
        <w:pStyle w:val="10"/>
        <w:tabs>
          <w:tab w:val="right" w:leader="dot" w:pos="865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_Toc1632 </w:instrText>
      </w:r>
      <w:r>
        <w:rPr>
          <w:rFonts w:ascii="Times New Roman" w:hAnsi="Times New Roman" w:cs="Times New Roman"/>
          <w:bCs w:val="0"/>
          <w:highlight w:val="none"/>
        </w:rPr>
        <w:fldChar w:fldCharType="separate"/>
      </w:r>
      <w:r>
        <w:rPr>
          <w:highlight w:val="none"/>
        </w:rPr>
        <w:t>4.4 Fire facilities</w:t>
      </w:r>
      <w:r>
        <w:rPr>
          <w:highlight w:val="none"/>
        </w:rPr>
        <w:tab/>
      </w:r>
      <w:r>
        <w:rPr>
          <w:rFonts w:hint="eastAsia"/>
          <w:highlight w:val="none"/>
          <w:lang w:val="en-US" w:eastAsia="zh-CN"/>
        </w:rPr>
        <w:t>(</w:t>
      </w:r>
      <w:r>
        <w:rPr>
          <w:highlight w:val="none"/>
        </w:rPr>
        <w:fldChar w:fldCharType="begin"/>
      </w:r>
      <w:r>
        <w:rPr>
          <w:highlight w:val="none"/>
        </w:rPr>
        <w:instrText xml:space="preserve"> PAGEREF _Toc1632 \h </w:instrText>
      </w:r>
      <w:r>
        <w:rPr>
          <w:highlight w:val="none"/>
        </w:rPr>
        <w:fldChar w:fldCharType="separate"/>
      </w:r>
      <w:r>
        <w:rPr>
          <w:highlight w:val="none"/>
        </w:rPr>
        <w:t>36</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6DBF0B3B">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_Toc7856 </w:instrText>
      </w:r>
      <w:r>
        <w:rPr>
          <w:rFonts w:ascii="Times New Roman" w:hAnsi="Times New Roman" w:cs="Times New Roman"/>
          <w:bCs w:val="0"/>
          <w:highlight w:val="none"/>
        </w:rPr>
        <w:fldChar w:fldCharType="separate"/>
      </w:r>
      <w:r>
        <w:rPr>
          <w:highlight w:val="none"/>
        </w:rPr>
        <w:t>5  Comprehensive assessment</w:t>
      </w:r>
      <w:r>
        <w:rPr>
          <w:highlight w:val="none"/>
        </w:rPr>
        <w:tab/>
      </w:r>
      <w:r>
        <w:rPr>
          <w:rFonts w:hint="eastAsia"/>
          <w:highlight w:val="none"/>
          <w:lang w:val="en-US" w:eastAsia="zh-CN"/>
        </w:rPr>
        <w:t>(</w:t>
      </w:r>
      <w:r>
        <w:rPr>
          <w:highlight w:val="none"/>
        </w:rPr>
        <w:fldChar w:fldCharType="begin"/>
      </w:r>
      <w:r>
        <w:rPr>
          <w:highlight w:val="none"/>
        </w:rPr>
        <w:instrText xml:space="preserve"> PAGEREF _Toc7856 \h </w:instrText>
      </w:r>
      <w:r>
        <w:rPr>
          <w:highlight w:val="none"/>
        </w:rPr>
        <w:fldChar w:fldCharType="separate"/>
      </w:r>
      <w:r>
        <w:rPr>
          <w:highlight w:val="none"/>
        </w:rPr>
        <w:t>47</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2CDF8834">
      <w:pPr>
        <w:pStyle w:val="10"/>
        <w:tabs>
          <w:tab w:val="right" w:leader="dot" w:pos="865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_Toc27286 </w:instrText>
      </w:r>
      <w:r>
        <w:rPr>
          <w:rFonts w:ascii="Times New Roman" w:hAnsi="Times New Roman" w:cs="Times New Roman"/>
          <w:bCs w:val="0"/>
          <w:highlight w:val="none"/>
        </w:rPr>
        <w:fldChar w:fldCharType="separate"/>
      </w:r>
      <w:r>
        <w:rPr>
          <w:highlight w:val="none"/>
        </w:rPr>
        <w:t>5.1 Comprehensive evaluation</w:t>
      </w:r>
      <w:r>
        <w:rPr>
          <w:highlight w:val="none"/>
        </w:rPr>
        <w:tab/>
      </w:r>
      <w:r>
        <w:rPr>
          <w:rFonts w:hint="eastAsia"/>
          <w:highlight w:val="none"/>
          <w:lang w:val="en-US" w:eastAsia="zh-CN"/>
        </w:rPr>
        <w:t>(</w:t>
      </w:r>
      <w:r>
        <w:rPr>
          <w:highlight w:val="none"/>
        </w:rPr>
        <w:fldChar w:fldCharType="begin"/>
      </w:r>
      <w:r>
        <w:rPr>
          <w:highlight w:val="none"/>
        </w:rPr>
        <w:instrText xml:space="preserve"> PAGEREF _Toc27286 \h </w:instrText>
      </w:r>
      <w:r>
        <w:rPr>
          <w:highlight w:val="none"/>
        </w:rPr>
        <w:fldChar w:fldCharType="separate"/>
      </w:r>
      <w:r>
        <w:rPr>
          <w:highlight w:val="none"/>
        </w:rPr>
        <w:t>47</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5C373C69">
      <w:pPr>
        <w:pStyle w:val="10"/>
        <w:tabs>
          <w:tab w:val="right" w:leader="dot" w:pos="865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_Toc32340 </w:instrText>
      </w:r>
      <w:r>
        <w:rPr>
          <w:rFonts w:ascii="Times New Roman" w:hAnsi="Times New Roman" w:cs="Times New Roman"/>
          <w:bCs w:val="0"/>
          <w:highlight w:val="none"/>
        </w:rPr>
        <w:fldChar w:fldCharType="separate"/>
      </w:r>
      <w:r>
        <w:rPr>
          <w:highlight w:val="none"/>
        </w:rPr>
        <w:t>5.2 Safety grade</w:t>
      </w:r>
      <w:r>
        <w:rPr>
          <w:highlight w:val="none"/>
        </w:rPr>
        <w:tab/>
      </w:r>
      <w:r>
        <w:rPr>
          <w:rFonts w:hint="eastAsia"/>
          <w:highlight w:val="none"/>
          <w:lang w:val="en-US" w:eastAsia="zh-CN"/>
        </w:rPr>
        <w:t>(</w:t>
      </w:r>
      <w:r>
        <w:rPr>
          <w:highlight w:val="none"/>
        </w:rPr>
        <w:fldChar w:fldCharType="begin"/>
      </w:r>
      <w:r>
        <w:rPr>
          <w:highlight w:val="none"/>
        </w:rPr>
        <w:instrText xml:space="preserve"> PAGEREF _Toc32340 \h </w:instrText>
      </w:r>
      <w:r>
        <w:rPr>
          <w:highlight w:val="none"/>
        </w:rPr>
        <w:fldChar w:fldCharType="separate"/>
      </w:r>
      <w:r>
        <w:rPr>
          <w:highlight w:val="none"/>
        </w:rPr>
        <w:t>48</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695E09D9">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_Toc31478 </w:instrText>
      </w:r>
      <w:r>
        <w:rPr>
          <w:rFonts w:ascii="Times New Roman" w:hAnsi="Times New Roman" w:cs="Times New Roman"/>
          <w:bCs w:val="0"/>
          <w:highlight w:val="none"/>
        </w:rPr>
        <w:fldChar w:fldCharType="separate"/>
      </w:r>
      <w:r>
        <w:rPr>
          <w:highlight w:val="none"/>
        </w:rPr>
        <w:t>6  Assessment report</w:t>
      </w:r>
      <w:r>
        <w:rPr>
          <w:highlight w:val="none"/>
        </w:rPr>
        <w:tab/>
      </w:r>
      <w:r>
        <w:rPr>
          <w:rFonts w:hint="eastAsia"/>
          <w:highlight w:val="none"/>
          <w:lang w:val="en-US" w:eastAsia="zh-CN"/>
        </w:rPr>
        <w:t>(</w:t>
      </w:r>
      <w:r>
        <w:rPr>
          <w:highlight w:val="none"/>
        </w:rPr>
        <w:fldChar w:fldCharType="begin"/>
      </w:r>
      <w:r>
        <w:rPr>
          <w:highlight w:val="none"/>
        </w:rPr>
        <w:instrText xml:space="preserve"> PAGEREF _Toc31478 \h </w:instrText>
      </w:r>
      <w:r>
        <w:rPr>
          <w:highlight w:val="none"/>
        </w:rPr>
        <w:fldChar w:fldCharType="separate"/>
      </w:r>
      <w:r>
        <w:rPr>
          <w:highlight w:val="none"/>
        </w:rPr>
        <w:t>50</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5E9197E6">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_Toc17137 </w:instrText>
      </w:r>
      <w:r>
        <w:rPr>
          <w:rFonts w:ascii="Times New Roman" w:hAnsi="Times New Roman" w:cs="Times New Roman"/>
          <w:bCs w:val="0"/>
          <w:highlight w:val="none"/>
        </w:rPr>
        <w:fldChar w:fldCharType="separate"/>
      </w:r>
      <w:r>
        <w:rPr>
          <w:highlight w:val="none"/>
        </w:rPr>
        <w:t>7  Assessment archives</w:t>
      </w:r>
      <w:r>
        <w:rPr>
          <w:highlight w:val="none"/>
        </w:rPr>
        <w:tab/>
      </w:r>
      <w:r>
        <w:rPr>
          <w:rFonts w:hint="eastAsia"/>
          <w:highlight w:val="none"/>
          <w:lang w:val="en-US" w:eastAsia="zh-CN"/>
        </w:rPr>
        <w:t>(</w:t>
      </w:r>
      <w:r>
        <w:rPr>
          <w:highlight w:val="none"/>
        </w:rPr>
        <w:fldChar w:fldCharType="begin"/>
      </w:r>
      <w:r>
        <w:rPr>
          <w:highlight w:val="none"/>
        </w:rPr>
        <w:instrText xml:space="preserve"> PAGEREF _Toc17137 \h </w:instrText>
      </w:r>
      <w:r>
        <w:rPr>
          <w:highlight w:val="none"/>
        </w:rPr>
        <w:fldChar w:fldCharType="separate"/>
      </w:r>
      <w:r>
        <w:rPr>
          <w:highlight w:val="none"/>
        </w:rPr>
        <w:t>52</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100802F5">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_Toc16655 </w:instrText>
      </w:r>
      <w:r>
        <w:rPr>
          <w:rFonts w:ascii="Times New Roman" w:hAnsi="Times New Roman" w:cs="Times New Roman"/>
          <w:bCs w:val="0"/>
          <w:highlight w:val="none"/>
        </w:rPr>
        <w:fldChar w:fldCharType="separate"/>
      </w:r>
      <w:r>
        <w:rPr>
          <w:highlight w:val="none"/>
        </w:rPr>
        <w:t>Appendix A Building Fire Safety Check Table.</w:t>
      </w:r>
      <w:r>
        <w:rPr>
          <w:highlight w:val="none"/>
        </w:rPr>
        <w:tab/>
      </w:r>
      <w:r>
        <w:rPr>
          <w:rFonts w:hint="eastAsia"/>
          <w:highlight w:val="none"/>
          <w:lang w:val="en-US" w:eastAsia="zh-CN"/>
        </w:rPr>
        <w:t>(</w:t>
      </w:r>
      <w:r>
        <w:rPr>
          <w:highlight w:val="none"/>
        </w:rPr>
        <w:fldChar w:fldCharType="begin"/>
      </w:r>
      <w:r>
        <w:rPr>
          <w:highlight w:val="none"/>
        </w:rPr>
        <w:instrText xml:space="preserve"> PAGEREF _Toc16655 \h </w:instrText>
      </w:r>
      <w:r>
        <w:rPr>
          <w:highlight w:val="none"/>
        </w:rPr>
        <w:fldChar w:fldCharType="separate"/>
      </w:r>
      <w:r>
        <w:rPr>
          <w:highlight w:val="none"/>
        </w:rPr>
        <w:t>53</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407D6F41">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_Toc21877 </w:instrText>
      </w:r>
      <w:r>
        <w:rPr>
          <w:rFonts w:ascii="Times New Roman" w:hAnsi="Times New Roman" w:cs="Times New Roman"/>
          <w:bCs w:val="0"/>
          <w:highlight w:val="none"/>
        </w:rPr>
        <w:fldChar w:fldCharType="separate"/>
      </w:r>
      <w:r>
        <w:rPr>
          <w:highlight w:val="none"/>
        </w:rPr>
        <w:t>Appendix B Building fire risk assessment report</w:t>
      </w:r>
      <w:r>
        <w:rPr>
          <w:highlight w:val="none"/>
        </w:rPr>
        <w:tab/>
      </w:r>
      <w:r>
        <w:rPr>
          <w:rFonts w:hint="eastAsia"/>
          <w:highlight w:val="none"/>
          <w:lang w:val="en-US" w:eastAsia="zh-CN"/>
        </w:rPr>
        <w:t>(</w:t>
      </w:r>
      <w:r>
        <w:rPr>
          <w:highlight w:val="none"/>
        </w:rPr>
        <w:fldChar w:fldCharType="begin"/>
      </w:r>
      <w:r>
        <w:rPr>
          <w:highlight w:val="none"/>
        </w:rPr>
        <w:instrText xml:space="preserve"> PAGEREF _Toc21877 \h </w:instrText>
      </w:r>
      <w:r>
        <w:rPr>
          <w:highlight w:val="none"/>
        </w:rPr>
        <w:fldChar w:fldCharType="separate"/>
      </w:r>
      <w:r>
        <w:rPr>
          <w:highlight w:val="none"/>
        </w:rPr>
        <w:t>93</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3E952585">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_Toc31024 </w:instrText>
      </w:r>
      <w:r>
        <w:rPr>
          <w:rFonts w:ascii="Times New Roman" w:hAnsi="Times New Roman" w:cs="Times New Roman"/>
          <w:bCs w:val="0"/>
          <w:highlight w:val="none"/>
        </w:rPr>
        <w:fldChar w:fldCharType="separate"/>
      </w:r>
      <w:r>
        <w:rPr>
          <w:highlight w:val="none"/>
        </w:rPr>
        <w:t>Explation of wording</w:t>
      </w:r>
      <w:r>
        <w:rPr>
          <w:highlight w:val="none"/>
        </w:rPr>
        <w:tab/>
      </w:r>
      <w:r>
        <w:rPr>
          <w:rFonts w:hint="eastAsia"/>
          <w:highlight w:val="none"/>
          <w:lang w:val="en-US" w:eastAsia="zh-CN"/>
        </w:rPr>
        <w:t>(</w:t>
      </w:r>
      <w:r>
        <w:rPr>
          <w:highlight w:val="none"/>
        </w:rPr>
        <w:fldChar w:fldCharType="begin"/>
      </w:r>
      <w:r>
        <w:rPr>
          <w:highlight w:val="none"/>
        </w:rPr>
        <w:instrText xml:space="preserve"> PAGEREF _Toc31024 \h </w:instrText>
      </w:r>
      <w:r>
        <w:rPr>
          <w:highlight w:val="none"/>
        </w:rPr>
        <w:fldChar w:fldCharType="separate"/>
      </w:r>
      <w:r>
        <w:rPr>
          <w:highlight w:val="none"/>
        </w:rPr>
        <w:t>102</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5E67F3DE">
      <w:pPr>
        <w:pStyle w:val="9"/>
        <w:tabs>
          <w:tab w:val="right" w:leader="dot" w:pos="8650"/>
          <w:tab w:val="clear" w:pos="8640"/>
        </w:tabs>
        <w:rPr>
          <w:rFonts w:hint="eastAsia" w:eastAsia="宋体"/>
          <w:highlight w:val="none"/>
          <w:lang w:val="en-US" w:eastAsia="zh-CN"/>
        </w:rPr>
      </w:pPr>
      <w:r>
        <w:rPr>
          <w:rFonts w:ascii="Times New Roman" w:hAnsi="Times New Roman" w:cs="Times New Roman"/>
          <w:bCs w:val="0"/>
          <w:color w:val="auto"/>
          <w:highlight w:val="none"/>
        </w:rPr>
        <w:fldChar w:fldCharType="begin"/>
      </w:r>
      <w:r>
        <w:rPr>
          <w:rFonts w:ascii="Times New Roman" w:hAnsi="Times New Roman" w:cs="Times New Roman"/>
          <w:bCs w:val="0"/>
          <w:highlight w:val="none"/>
        </w:rPr>
        <w:instrText xml:space="preserve"> HYPERLINK \l _Toc939 </w:instrText>
      </w:r>
      <w:r>
        <w:rPr>
          <w:rFonts w:ascii="Times New Roman" w:hAnsi="Times New Roman" w:cs="Times New Roman"/>
          <w:bCs w:val="0"/>
          <w:highlight w:val="none"/>
        </w:rPr>
        <w:fldChar w:fldCharType="separate"/>
      </w:r>
      <w:r>
        <w:rPr>
          <w:highlight w:val="none"/>
        </w:rPr>
        <w:t>List of quoted standards</w:t>
      </w:r>
      <w:r>
        <w:rPr>
          <w:highlight w:val="none"/>
        </w:rPr>
        <w:tab/>
      </w:r>
      <w:r>
        <w:rPr>
          <w:rFonts w:hint="eastAsia"/>
          <w:highlight w:val="none"/>
          <w:lang w:val="en-US" w:eastAsia="zh-CN"/>
        </w:rPr>
        <w:t>(</w:t>
      </w:r>
      <w:r>
        <w:rPr>
          <w:highlight w:val="none"/>
        </w:rPr>
        <w:fldChar w:fldCharType="begin"/>
      </w:r>
      <w:r>
        <w:rPr>
          <w:highlight w:val="none"/>
        </w:rPr>
        <w:instrText xml:space="preserve"> PAGEREF _Toc939 \h </w:instrText>
      </w:r>
      <w:r>
        <w:rPr>
          <w:highlight w:val="none"/>
        </w:rPr>
        <w:fldChar w:fldCharType="separate"/>
      </w:r>
      <w:r>
        <w:rPr>
          <w:highlight w:val="none"/>
        </w:rPr>
        <w:t>103</w:t>
      </w:r>
      <w:r>
        <w:rPr>
          <w:highlight w:val="none"/>
        </w:rPr>
        <w:fldChar w:fldCharType="end"/>
      </w:r>
      <w:r>
        <w:rPr>
          <w:rFonts w:ascii="Times New Roman" w:hAnsi="Times New Roman" w:cs="Times New Roman"/>
          <w:bCs w:val="0"/>
          <w:color w:val="auto"/>
          <w:highlight w:val="none"/>
        </w:rPr>
        <w:fldChar w:fldCharType="end"/>
      </w:r>
      <w:r>
        <w:rPr>
          <w:rFonts w:hint="eastAsia" w:cs="Times New Roman"/>
          <w:bCs w:val="0"/>
          <w:color w:val="auto"/>
          <w:highlight w:val="none"/>
          <w:lang w:val="en-US" w:eastAsia="zh-CN"/>
        </w:rPr>
        <w:t>)</w:t>
      </w:r>
    </w:p>
    <w:p w14:paraId="3115A650">
      <w:pPr>
        <w:pStyle w:val="17"/>
        <w:spacing w:before="0" w:line="276" w:lineRule="auto"/>
        <w:ind w:hanging="142"/>
        <w:jc w:val="center"/>
        <w:rPr>
          <w:rFonts w:ascii="Times New Roman" w:hAnsi="Times New Roman" w:cs="Times New Roman"/>
          <w:color w:val="auto"/>
          <w:highlight w:val="none"/>
        </w:rPr>
      </w:pPr>
      <w:r>
        <w:rPr>
          <w:rFonts w:ascii="Times New Roman" w:hAnsi="Times New Roman" w:cs="Times New Roman"/>
          <w:b w:val="0"/>
          <w:bCs w:val="0"/>
          <w:color w:val="auto"/>
          <w:highlight w:val="none"/>
        </w:rPr>
        <w:fldChar w:fldCharType="end"/>
      </w:r>
    </w:p>
    <w:p w14:paraId="31D7A032">
      <w:pPr>
        <w:rPr>
          <w:rFonts w:ascii="Times New Roman" w:hAnsi="Times New Roman" w:cs="Times New Roman"/>
          <w:highlight w:val="none"/>
        </w:rPr>
        <w:sectPr>
          <w:pgSz w:w="11910" w:h="16840"/>
          <w:pgMar w:top="1520" w:right="1582" w:bottom="1378" w:left="1678" w:header="720" w:footer="720" w:gutter="0"/>
          <w:pgBorders>
            <w:top w:val="none" w:sz="0" w:space="0"/>
            <w:left w:val="none" w:sz="0" w:space="0"/>
            <w:bottom w:val="none" w:sz="0" w:space="0"/>
            <w:right w:val="none" w:sz="0" w:space="0"/>
          </w:pgBorders>
          <w:cols w:space="720" w:num="1"/>
          <w:docGrid w:type="lines" w:linePitch="299" w:charSpace="0"/>
        </w:sectPr>
      </w:pPr>
    </w:p>
    <w:p w14:paraId="5489593C">
      <w:pPr>
        <w:pStyle w:val="18"/>
        <w:spacing w:line="360" w:lineRule="auto"/>
        <w:rPr>
          <w:rFonts w:hint="eastAsia" w:ascii="宋体" w:hAnsi="宋体" w:eastAsia="宋体"/>
          <w:sz w:val="32"/>
          <w:szCs w:val="32"/>
          <w:highlight w:val="none"/>
        </w:rPr>
      </w:pPr>
      <w:bookmarkStart w:id="3" w:name="_Toc150876217"/>
      <w:bookmarkStart w:id="4" w:name="_Toc140390010"/>
      <w:bookmarkStart w:id="5" w:name="_Toc183531731"/>
      <w:bookmarkStart w:id="6" w:name="_Toc151384786"/>
      <w:bookmarkStart w:id="7" w:name="_Toc8027"/>
      <w:bookmarkStart w:id="8" w:name="_Toc7766"/>
      <w:bookmarkStart w:id="9" w:name="_Toc18595"/>
      <w:bookmarkStart w:id="10" w:name="_Toc2354"/>
      <w:bookmarkStart w:id="11" w:name="_Toc29775"/>
      <w:bookmarkStart w:id="12" w:name="_Toc5418"/>
      <w:bookmarkStart w:id="13" w:name="_Toc12210"/>
      <w:bookmarkStart w:id="14" w:name="_Toc12301"/>
      <w:bookmarkStart w:id="15" w:name="_Toc23436"/>
      <w:bookmarkStart w:id="16" w:name="_Toc17153"/>
      <w:r>
        <w:rPr>
          <w:rFonts w:ascii="Times New Roman" w:hAnsi="Times New Roman" w:eastAsia="宋体"/>
          <w:highlight w:val="none"/>
        </w:rPr>
        <w:t>1</w:t>
      </w:r>
      <w:r>
        <w:rPr>
          <w:rFonts w:ascii="宋体" w:hAnsi="宋体" w:eastAsia="宋体"/>
          <w:sz w:val="32"/>
          <w:szCs w:val="32"/>
          <w:highlight w:val="none"/>
        </w:rPr>
        <w:t xml:space="preserve">  </w:t>
      </w:r>
      <w:r>
        <w:rPr>
          <w:rFonts w:ascii="宋体" w:hAnsi="宋体" w:eastAsia="宋体"/>
          <w:highlight w:val="none"/>
        </w:rPr>
        <w:t xml:space="preserve">总   </w:t>
      </w:r>
      <w:r>
        <w:rPr>
          <w:rFonts w:hint="eastAsia" w:ascii="宋体" w:hAnsi="宋体" w:eastAsia="宋体"/>
          <w:highlight w:val="none"/>
        </w:rPr>
        <w:t>则</w:t>
      </w:r>
      <w:bookmarkEnd w:id="3"/>
      <w:bookmarkEnd w:id="4"/>
      <w:bookmarkEnd w:id="5"/>
      <w:bookmarkEnd w:id="6"/>
      <w:bookmarkStart w:id="17" w:name="_Toc12383"/>
      <w:bookmarkStart w:id="18" w:name="_Toc2799"/>
      <w:bookmarkStart w:id="19" w:name="_Toc24269"/>
      <w:bookmarkStart w:id="20" w:name="_Toc4782"/>
      <w:bookmarkStart w:id="21" w:name="_Toc11639"/>
      <w:bookmarkStart w:id="22" w:name="_Toc24081"/>
      <w:bookmarkStart w:id="23" w:name="_Toc3220"/>
      <w:bookmarkStart w:id="24" w:name="_Toc977"/>
      <w:bookmarkStart w:id="25" w:name="_Toc24420"/>
      <w:bookmarkStart w:id="26" w:name="_Toc25642"/>
      <w:bookmarkStart w:id="27" w:name="_Toc24236"/>
      <w:r>
        <w:rPr>
          <w:highlight w:val="none"/>
        </w:rPr>
        <w:fldChar w:fldCharType="begin"/>
      </w:r>
      <w:r>
        <w:rPr>
          <w:rFonts w:ascii="Times New Roman" w:hAnsi="Times New Roman" w:eastAsia="宋体"/>
          <w:highlight w:val="none"/>
        </w:rPr>
        <w:instrText xml:space="preserve"> </w:instrText>
      </w:r>
      <w:r>
        <w:rPr>
          <w:rFonts w:hint="default" w:ascii="Times New Roman" w:hAnsi="Times New Roman" w:eastAsia="宋体"/>
          <w:highlight w:val="none"/>
        </w:rPr>
        <w:instrText xml:space="preserve">TC  "</w:instrText>
      </w:r>
      <w:bookmarkStart w:id="28" w:name="_Toc143762750"/>
      <w:bookmarkStart w:id="29" w:name="_Toc143762810"/>
      <w:bookmarkStart w:id="30" w:name="_Toc183531848"/>
      <w:bookmarkStart w:id="31" w:name="_Toc143720325"/>
      <w:r>
        <w:rPr>
          <w:rFonts w:hint="default" w:ascii="Times New Roman" w:hAnsi="Times New Roman" w:eastAsia="宋体"/>
          <w:highlight w:val="none"/>
        </w:rPr>
        <w:instrText xml:space="preserve">1  General provisions</w:instrText>
      </w:r>
      <w:bookmarkEnd w:id="28"/>
      <w:bookmarkEnd w:id="29"/>
      <w:bookmarkEnd w:id="30"/>
      <w:bookmarkEnd w:id="31"/>
      <w:r>
        <w:rPr>
          <w:rFonts w:hint="default" w:ascii="Times New Roman" w:hAnsi="Times New Roman" w:eastAsia="宋体"/>
          <w:highlight w:val="none"/>
        </w:rPr>
        <w:instrText xml:space="preserve">" \l 1</w:instrText>
      </w:r>
      <w:r>
        <w:rPr>
          <w:rFonts w:ascii="Times New Roman" w:hAnsi="Times New Roman" w:eastAsia="宋体"/>
          <w:highlight w:val="none"/>
        </w:rPr>
        <w:instrText xml:space="preserve"> </w:instrText>
      </w:r>
      <w:r>
        <w:rPr>
          <w:rFonts w:ascii="Times New Roman" w:hAnsi="Times New Roman" w:eastAsia="宋体"/>
          <w:highlight w:val="none"/>
        </w:rPr>
        <w:fldChar w:fldCharType="end"/>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p w14:paraId="6910BDE2">
      <w:pPr>
        <w:pStyle w:val="19"/>
        <w:spacing w:line="360" w:lineRule="auto"/>
        <w:rPr>
          <w:rFonts w:hint="eastAsia" w:eastAsia="宋体"/>
          <w:highlight w:val="none"/>
          <w:lang w:eastAsia="zh"/>
        </w:rPr>
      </w:pPr>
      <w:r>
        <w:rPr>
          <w:b/>
          <w:highlight w:val="none"/>
        </w:rPr>
        <w:t>1.0.1</w:t>
      </w:r>
      <w:r>
        <w:rPr>
          <w:highlight w:val="none"/>
        </w:rPr>
        <w:t xml:space="preserve"> </w:t>
      </w:r>
      <w:r>
        <w:rPr>
          <w:sz w:val="28"/>
          <w:szCs w:val="28"/>
          <w:highlight w:val="none"/>
        </w:rPr>
        <w:t xml:space="preserve"> </w:t>
      </w:r>
      <w:r>
        <w:rPr>
          <w:rFonts w:hint="eastAsia"/>
          <w:highlight w:val="none"/>
        </w:rPr>
        <w:t>为保障</w:t>
      </w:r>
      <w:r>
        <w:rPr>
          <w:rFonts w:hint="eastAsia"/>
          <w:highlight w:val="none"/>
          <w:lang w:eastAsia="zh"/>
        </w:rPr>
        <w:t>人员密集场所</w:t>
      </w:r>
      <w:r>
        <w:rPr>
          <w:rFonts w:hint="eastAsia"/>
          <w:highlight w:val="none"/>
        </w:rPr>
        <w:t>消防安全，提高消防安全评估质量，做到技术先进、安全适用、评价正确，制定本</w:t>
      </w:r>
      <w:r>
        <w:rPr>
          <w:rFonts w:hint="eastAsia"/>
          <w:highlight w:val="none"/>
          <w:lang w:eastAsia="zh-CN"/>
        </w:rPr>
        <w:t>标准</w:t>
      </w:r>
      <w:r>
        <w:rPr>
          <w:rFonts w:hint="eastAsia"/>
          <w:highlight w:val="none"/>
          <w:lang w:eastAsia="zh"/>
        </w:rPr>
        <w:t>。</w:t>
      </w:r>
    </w:p>
    <w:p w14:paraId="5F8667BA">
      <w:pPr>
        <w:pStyle w:val="19"/>
        <w:spacing w:line="360" w:lineRule="auto"/>
        <w:rPr>
          <w:highlight w:val="none"/>
        </w:rPr>
      </w:pPr>
      <w:r>
        <w:rPr>
          <w:b/>
          <w:highlight w:val="none"/>
        </w:rPr>
        <w:t>1.0.2</w:t>
      </w:r>
      <w:r>
        <w:rPr>
          <w:highlight w:val="none"/>
        </w:rPr>
        <w:t xml:space="preserve">  </w:t>
      </w:r>
      <w:r>
        <w:rPr>
          <w:rFonts w:hint="eastAsia"/>
          <w:highlight w:val="none"/>
        </w:rPr>
        <w:t>本</w:t>
      </w:r>
      <w:r>
        <w:rPr>
          <w:rFonts w:hint="eastAsia"/>
          <w:highlight w:val="none"/>
          <w:lang w:eastAsia="zh-CN"/>
        </w:rPr>
        <w:t>标准</w:t>
      </w:r>
      <w:r>
        <w:rPr>
          <w:rFonts w:hint="eastAsia"/>
          <w:highlight w:val="none"/>
        </w:rPr>
        <w:t>适用于消防技术服务机构对人员密集场所的消防安全评估。</w:t>
      </w:r>
    </w:p>
    <w:p w14:paraId="1647550F">
      <w:pPr>
        <w:pStyle w:val="19"/>
        <w:spacing w:line="360" w:lineRule="auto"/>
        <w:rPr>
          <w:b/>
          <w:highlight w:val="none"/>
        </w:rPr>
      </w:pPr>
      <w:r>
        <w:rPr>
          <w:b/>
          <w:highlight w:val="none"/>
        </w:rPr>
        <w:t>1.0.3</w:t>
      </w:r>
      <w:r>
        <w:rPr>
          <w:rFonts w:hint="eastAsia"/>
          <w:b/>
          <w:highlight w:val="none"/>
          <w:lang w:val="en-US" w:eastAsia="zh-CN"/>
        </w:rPr>
        <w:t xml:space="preserve">  </w:t>
      </w:r>
      <w:r>
        <w:rPr>
          <w:rFonts w:hint="eastAsia"/>
          <w:b w:val="0"/>
          <w:bCs w:val="0"/>
          <w:highlight w:val="none"/>
          <w:lang w:eastAsia="zh"/>
        </w:rPr>
        <w:t>人员密集场所</w:t>
      </w:r>
      <w:r>
        <w:rPr>
          <w:rFonts w:hint="eastAsia"/>
          <w:highlight w:val="none"/>
        </w:rPr>
        <w:t>消防安全评估，除应符合本</w:t>
      </w:r>
      <w:r>
        <w:rPr>
          <w:rFonts w:hint="eastAsia"/>
          <w:highlight w:val="none"/>
          <w:lang w:eastAsia="zh-CN"/>
        </w:rPr>
        <w:t>标准</w:t>
      </w:r>
      <w:r>
        <w:rPr>
          <w:rFonts w:hint="eastAsia"/>
          <w:highlight w:val="none"/>
        </w:rPr>
        <w:t>外，尚应符合国家现行有关标准和中国工程建设标准化协会现行</w:t>
      </w:r>
      <w:r>
        <w:rPr>
          <w:rFonts w:hint="eastAsia"/>
          <w:highlight w:val="none"/>
          <w:lang w:eastAsia="zh-CN"/>
        </w:rPr>
        <w:t>规范的要求</w:t>
      </w:r>
      <w:r>
        <w:rPr>
          <w:rFonts w:hint="eastAsia"/>
          <w:highlight w:val="none"/>
        </w:rPr>
        <w:t>。</w:t>
      </w:r>
    </w:p>
    <w:p w14:paraId="38A32975">
      <w:pPr>
        <w:rPr>
          <w:rFonts w:ascii="Times New Roman" w:hAnsi="Times New Roman" w:eastAsia="黑体" w:cs="Times New Roman"/>
          <w:sz w:val="30"/>
          <w:szCs w:val="30"/>
          <w:highlight w:val="none"/>
        </w:rPr>
      </w:pPr>
      <w:r>
        <w:rPr>
          <w:rFonts w:hint="eastAsia" w:ascii="Times New Roman" w:hAnsi="Times New Roman" w:eastAsia="黑体" w:cs="Times New Roman"/>
          <w:sz w:val="30"/>
          <w:szCs w:val="30"/>
          <w:highlight w:val="none"/>
        </w:rPr>
        <w:br w:type="page"/>
      </w:r>
    </w:p>
    <w:p w14:paraId="4D3A647C">
      <w:pPr>
        <w:pStyle w:val="18"/>
        <w:spacing w:line="360" w:lineRule="auto"/>
        <w:rPr>
          <w:rFonts w:hint="eastAsia" w:ascii="宋体" w:hAnsi="宋体" w:eastAsia="宋体"/>
          <w:sz w:val="32"/>
          <w:szCs w:val="32"/>
          <w:highlight w:val="none"/>
        </w:rPr>
      </w:pPr>
      <w:bookmarkStart w:id="32" w:name="_Toc150876218"/>
      <w:bookmarkStart w:id="33" w:name="_Toc183531732"/>
      <w:bookmarkStart w:id="34" w:name="_Toc140390011"/>
      <w:bookmarkStart w:id="35" w:name="_Toc141300470"/>
      <w:bookmarkStart w:id="36" w:name="_Toc151384787"/>
      <w:bookmarkStart w:id="37" w:name="_Toc4525"/>
      <w:bookmarkStart w:id="38" w:name="_Toc6284"/>
      <w:bookmarkStart w:id="39" w:name="_Toc32390"/>
      <w:bookmarkStart w:id="40" w:name="_Toc30363"/>
      <w:bookmarkStart w:id="41" w:name="_Toc9320"/>
      <w:bookmarkStart w:id="42" w:name="_Toc6134"/>
      <w:bookmarkStart w:id="43" w:name="_Toc25756"/>
      <w:bookmarkStart w:id="44" w:name="_Toc11225"/>
      <w:bookmarkStart w:id="45" w:name="_Toc10920"/>
      <w:bookmarkStart w:id="46" w:name="_Toc1240"/>
      <w:r>
        <w:rPr>
          <w:rFonts w:hint="default" w:ascii="Times New Roman" w:hAnsi="Times New Roman" w:eastAsia="宋体"/>
          <w:highlight w:val="none"/>
        </w:rPr>
        <w:t>2</w:t>
      </w:r>
      <w:r>
        <w:rPr>
          <w:rFonts w:ascii="宋体" w:hAnsi="宋体" w:eastAsia="宋体"/>
          <w:sz w:val="32"/>
          <w:szCs w:val="32"/>
          <w:highlight w:val="none"/>
        </w:rPr>
        <w:t xml:space="preserve">  </w:t>
      </w:r>
      <w:r>
        <w:rPr>
          <w:rFonts w:hint="eastAsia" w:ascii="宋体" w:hAnsi="宋体" w:eastAsia="宋体"/>
          <w:highlight w:val="none"/>
        </w:rPr>
        <w:t>术</w:t>
      </w:r>
      <w:r>
        <w:rPr>
          <w:rFonts w:ascii="宋体" w:hAnsi="宋体" w:eastAsia="宋体"/>
          <w:highlight w:val="none"/>
        </w:rPr>
        <w:t xml:space="preserve">   </w:t>
      </w:r>
      <w:r>
        <w:rPr>
          <w:rFonts w:hint="eastAsia" w:ascii="宋体" w:hAnsi="宋体" w:eastAsia="宋体"/>
          <w:highlight w:val="none"/>
        </w:rPr>
        <w:t>语</w:t>
      </w:r>
      <w:bookmarkEnd w:id="32"/>
      <w:bookmarkEnd w:id="33"/>
      <w:bookmarkEnd w:id="34"/>
      <w:bookmarkEnd w:id="35"/>
      <w:bookmarkEnd w:id="36"/>
      <w:bookmarkStart w:id="47" w:name="_Toc10376"/>
      <w:bookmarkStart w:id="48" w:name="_Toc5811"/>
      <w:bookmarkStart w:id="49" w:name="_Toc27619"/>
      <w:bookmarkStart w:id="50" w:name="_Toc24672"/>
      <w:bookmarkStart w:id="51" w:name="_Toc15890"/>
      <w:bookmarkStart w:id="52" w:name="_Toc9403"/>
      <w:bookmarkStart w:id="53" w:name="_Toc1226"/>
      <w:bookmarkStart w:id="54" w:name="_Toc21615"/>
      <w:bookmarkStart w:id="55" w:name="_Toc15889"/>
      <w:bookmarkStart w:id="56" w:name="_Toc18350"/>
      <w:bookmarkStart w:id="57" w:name="_Toc14026"/>
      <w:r>
        <w:rPr>
          <w:highlight w:val="none"/>
        </w:rPr>
        <w:fldChar w:fldCharType="begin"/>
      </w:r>
      <w:r>
        <w:rPr>
          <w:rFonts w:ascii="Times New Roman" w:hAnsi="Times New Roman" w:eastAsia="宋体"/>
          <w:highlight w:val="none"/>
        </w:rPr>
        <w:instrText xml:space="preserve"> </w:instrText>
      </w:r>
      <w:r>
        <w:rPr>
          <w:rFonts w:hint="default" w:ascii="Times New Roman" w:hAnsi="Times New Roman" w:eastAsia="宋体"/>
          <w:highlight w:val="none"/>
        </w:rPr>
        <w:instrText xml:space="preserve">TC  "</w:instrText>
      </w:r>
      <w:bookmarkStart w:id="58" w:name="_Toc143720326"/>
      <w:bookmarkStart w:id="59" w:name="_Toc143762811"/>
      <w:bookmarkStart w:id="60" w:name="_Toc183531849"/>
      <w:bookmarkStart w:id="61" w:name="_Toc143762751"/>
      <w:r>
        <w:rPr>
          <w:rFonts w:hint="default" w:ascii="Times New Roman" w:hAnsi="Times New Roman" w:eastAsia="宋体"/>
          <w:highlight w:val="none"/>
        </w:rPr>
        <w:instrText xml:space="preserve">2  Terms</w:instrText>
      </w:r>
      <w:bookmarkEnd w:id="58"/>
      <w:bookmarkEnd w:id="59"/>
      <w:bookmarkEnd w:id="60"/>
      <w:bookmarkEnd w:id="61"/>
      <w:r>
        <w:rPr>
          <w:rFonts w:hint="default" w:ascii="Times New Roman" w:hAnsi="Times New Roman" w:eastAsia="宋体"/>
          <w:highlight w:val="none"/>
        </w:rPr>
        <w:instrText xml:space="preserve">" \l 1</w:instrText>
      </w:r>
      <w:r>
        <w:rPr>
          <w:rFonts w:ascii="Times New Roman" w:hAnsi="Times New Roman" w:eastAsia="宋体"/>
          <w:highlight w:val="none"/>
        </w:rPr>
        <w:instrText xml:space="preserve"> </w:instrText>
      </w:r>
      <w:r>
        <w:rPr>
          <w:rFonts w:ascii="Times New Roman" w:hAnsi="Times New Roman" w:eastAsia="宋体"/>
          <w:highlight w:val="none"/>
        </w:rPr>
        <w:fldChar w:fldCharType="end"/>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36B911F2">
      <w:pPr>
        <w:pStyle w:val="19"/>
        <w:spacing w:line="360" w:lineRule="auto"/>
        <w:rPr>
          <w:color w:val="auto"/>
          <w:highlight w:val="none"/>
        </w:rPr>
      </w:pPr>
      <w:bookmarkStart w:id="62" w:name="_Toc136894968"/>
      <w:r>
        <w:rPr>
          <w:b/>
          <w:color w:val="auto"/>
          <w:highlight w:val="none"/>
        </w:rPr>
        <w:t>2.0.1</w:t>
      </w:r>
      <w:bookmarkEnd w:id="62"/>
      <w:r>
        <w:rPr>
          <w:rFonts w:eastAsia="等线"/>
          <w:b/>
          <w:color w:val="auto"/>
          <w:kern w:val="0"/>
          <w:highlight w:val="none"/>
        </w:rPr>
        <w:t xml:space="preserve">  </w:t>
      </w:r>
      <w:bookmarkStart w:id="63" w:name="OLE_LINK51"/>
      <w:r>
        <w:rPr>
          <w:rFonts w:hint="eastAsia"/>
          <w:color w:val="auto"/>
          <w:highlight w:val="none"/>
          <w:lang w:val="en-US" w:eastAsia="zh-CN"/>
        </w:rPr>
        <w:t>人员密集场所</w:t>
      </w:r>
      <w:r>
        <w:rPr>
          <w:rFonts w:hint="eastAsia"/>
          <w:color w:val="auto"/>
          <w:highlight w:val="none"/>
        </w:rPr>
        <w:t>消防安全评估</w:t>
      </w:r>
      <w:bookmarkEnd w:id="63"/>
      <w:r>
        <w:rPr>
          <w:color w:val="auto"/>
          <w:highlight w:val="none"/>
        </w:rPr>
        <w:t xml:space="preserve">  </w:t>
      </w:r>
      <w:r>
        <w:rPr>
          <w:rFonts w:hint="eastAsia"/>
          <w:color w:val="auto"/>
          <w:highlight w:val="none"/>
        </w:rPr>
        <w:t>fire risk assessment of assembly occupancy</w:t>
      </w:r>
    </w:p>
    <w:p w14:paraId="0F207BC8">
      <w:pPr>
        <w:keepNext w:val="0"/>
        <w:keepLines w:val="0"/>
        <w:widowControl/>
        <w:suppressLineNumbers w:val="0"/>
        <w:ind w:firstLine="480" w:firstLineChars="200"/>
        <w:jc w:val="lef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运用适当的检测评估方法，依据</w:t>
      </w:r>
      <w:r>
        <w:rPr>
          <w:rFonts w:hint="eastAsia" w:ascii="Times New Roman" w:hAnsi="Times New Roman" w:cs="Times New Roman"/>
          <w:color w:val="auto"/>
          <w:highlight w:val="none"/>
        </w:rPr>
        <w:t>有关</w:t>
      </w:r>
      <w:r>
        <w:rPr>
          <w:rFonts w:hint="eastAsia" w:ascii="Times New Roman" w:hAnsi="Times New Roman" w:cs="Times New Roman"/>
          <w:color w:val="auto"/>
          <w:highlight w:val="none"/>
          <w:lang w:val="en-US" w:eastAsia="zh-CN"/>
        </w:rPr>
        <w:t>消防法规</w:t>
      </w:r>
      <w:r>
        <w:rPr>
          <w:rFonts w:hint="eastAsia" w:ascii="Times New Roman" w:hAnsi="Times New Roman" w:cs="Times New Roman"/>
          <w:color w:val="auto"/>
          <w:highlight w:val="none"/>
        </w:rPr>
        <w:t>和相关消防技术标准</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对人员密集场所</w:t>
      </w:r>
      <w:r>
        <w:rPr>
          <w:rFonts w:hint="default" w:ascii="Times New Roman" w:hAnsi="Times New Roman" w:cs="Times New Roman"/>
          <w:color w:val="auto"/>
          <w:highlight w:val="none"/>
        </w:rPr>
        <w:t>的消防</w:t>
      </w:r>
      <w:r>
        <w:rPr>
          <w:rFonts w:hint="eastAsia" w:ascii="Times New Roman" w:hAnsi="Times New Roman" w:cs="Times New Roman"/>
          <w:color w:val="auto"/>
          <w:highlight w:val="none"/>
          <w:lang w:val="en-US" w:eastAsia="zh-CN"/>
        </w:rPr>
        <w:t>安全状况进行</w:t>
      </w:r>
      <w:r>
        <w:rPr>
          <w:rFonts w:hint="default" w:ascii="Times New Roman" w:hAnsi="Times New Roman" w:cs="Times New Roman"/>
          <w:color w:val="auto"/>
          <w:highlight w:val="none"/>
        </w:rPr>
        <w:t>评估</w:t>
      </w:r>
      <w:r>
        <w:rPr>
          <w:rFonts w:hint="eastAsia" w:ascii="Times New Roman" w:hAnsi="Times New Roman" w:cs="Times New Roman"/>
          <w:color w:val="auto"/>
          <w:highlight w:val="none"/>
          <w:lang w:val="en-US" w:eastAsia="zh-CN"/>
        </w:rPr>
        <w:t>。</w:t>
      </w:r>
    </w:p>
    <w:p w14:paraId="29A27892">
      <w:pPr>
        <w:pStyle w:val="19"/>
        <w:spacing w:line="360" w:lineRule="auto"/>
        <w:rPr>
          <w:color w:val="auto"/>
          <w:highlight w:val="none"/>
          <w:woUserID w:val="1"/>
        </w:rPr>
      </w:pPr>
      <w:r>
        <w:rPr>
          <w:rFonts w:eastAsia="等线"/>
          <w:b/>
          <w:color w:val="auto"/>
          <w:kern w:val="0"/>
          <w:highlight w:val="none"/>
          <w:woUserID w:val="1"/>
        </w:rPr>
        <w:t>2.0.</w:t>
      </w:r>
      <w:r>
        <w:rPr>
          <w:rFonts w:hint="eastAsia" w:eastAsia="等线"/>
          <w:b/>
          <w:color w:val="auto"/>
          <w:kern w:val="0"/>
          <w:highlight w:val="none"/>
          <w:lang w:eastAsia="zh"/>
          <w:woUserID w:val="1"/>
        </w:rPr>
        <w:t>2</w:t>
      </w:r>
      <w:r>
        <w:rPr>
          <w:rFonts w:eastAsia="等线"/>
          <w:b/>
          <w:color w:val="auto"/>
          <w:kern w:val="0"/>
          <w:highlight w:val="none"/>
          <w:woUserID w:val="1"/>
        </w:rPr>
        <w:t xml:space="preserve">  </w:t>
      </w:r>
      <w:r>
        <w:rPr>
          <w:rFonts w:hint="eastAsia"/>
          <w:color w:val="auto"/>
          <w:kern w:val="0"/>
          <w:highlight w:val="none"/>
          <w:woUserID w:val="1"/>
        </w:rPr>
        <w:t>人员密集场所</w:t>
      </w:r>
      <w:r>
        <w:rPr>
          <w:color w:val="auto"/>
          <w:highlight w:val="none"/>
          <w:woUserID w:val="1"/>
        </w:rPr>
        <w:t xml:space="preserve">  </w:t>
      </w:r>
      <w:bookmarkStart w:id="64" w:name="OLE_LINK52"/>
      <w:r>
        <w:rPr>
          <w:rFonts w:hint="eastAsia"/>
          <w:color w:val="auto"/>
          <w:highlight w:val="none"/>
          <w:woUserID w:val="1"/>
        </w:rPr>
        <w:t>assembly occupancy</w:t>
      </w:r>
      <w:bookmarkEnd w:id="64"/>
    </w:p>
    <w:p w14:paraId="56805B82">
      <w:pPr>
        <w:autoSpaceDN/>
        <w:ind w:firstLine="480" w:firstLineChars="200"/>
        <w:jc w:val="both"/>
        <w:rPr>
          <w:rFonts w:hint="eastAsia" w:ascii="Times New Roman" w:hAnsi="Times New Roman" w:cs="Times New Roman"/>
          <w:color w:val="auto"/>
          <w:highlight w:val="none"/>
          <w:woUserID w:val="1"/>
        </w:rPr>
      </w:pPr>
      <w:r>
        <w:rPr>
          <w:rFonts w:hint="eastAsia" w:ascii="Times New Roman" w:hAnsi="Times New Roman" w:cs="Times New Roman"/>
          <w:color w:val="auto"/>
          <w:highlight w:val="none"/>
          <w:woUserID w:val="1"/>
        </w:rPr>
        <w:t>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14:paraId="7EC7D047">
      <w:pPr>
        <w:tabs>
          <w:tab w:val="left" w:pos="540"/>
        </w:tabs>
        <w:autoSpaceDN/>
        <w:ind w:firstLine="0" w:firstLineChars="0"/>
        <w:jc w:val="left"/>
        <w:rPr>
          <w:rFonts w:hint="eastAsia" w:ascii="宋体" w:hAnsi="宋体" w:cs="仿宋"/>
          <w:color w:val="0000FF"/>
          <w:highlight w:val="none"/>
          <w:woUserID w:val="0"/>
        </w:rPr>
      </w:pPr>
      <w:r>
        <w:rPr>
          <w:rFonts w:hint="eastAsia" w:cs="仿宋"/>
          <w:color w:val="0000FF"/>
          <w:sz w:val="24"/>
          <w:highlight w:val="none"/>
          <w:lang w:val="en-US" w:eastAsia="zh-CN"/>
        </w:rPr>
        <w:t>【条文说明】</w:t>
      </w:r>
    </w:p>
    <w:p w14:paraId="38EDAF0B">
      <w:pPr>
        <w:tabs>
          <w:tab w:val="left" w:pos="540"/>
        </w:tabs>
        <w:autoSpaceDN/>
        <w:ind w:firstLine="480" w:firstLineChars="200"/>
        <w:jc w:val="left"/>
        <w:rPr>
          <w:rFonts w:hint="eastAsia" w:ascii="宋体" w:hAnsi="宋体" w:cs="仿宋"/>
          <w:color w:val="0000FF"/>
          <w:highlight w:val="none"/>
          <w:woUserID w:val="0"/>
        </w:rPr>
      </w:pPr>
      <w:r>
        <w:rPr>
          <w:rFonts w:hint="eastAsia" w:ascii="宋体" w:hAnsi="宋体" w:cs="仿宋"/>
          <w:color w:val="0000FF"/>
          <w:highlight w:val="none"/>
          <w:woUserID w:val="0"/>
        </w:rPr>
        <w:t>劳动密集型的生产加工车间：主要指单一建筑任一生产加工车间或防火分区，同一时间的生产人数超过200人，或同一时间生产人数超过30人且人均建筑面积小于20平米，从事制鞋、制衣、玩具、肉食蔬菜水果等食品加工、家具木材加工、物流仓储等劳动密集型企业的生产加工车间。</w:t>
      </w:r>
    </w:p>
    <w:p w14:paraId="55E5FC39">
      <w:pPr>
        <w:pStyle w:val="19"/>
        <w:spacing w:line="360" w:lineRule="auto"/>
        <w:rPr>
          <w:color w:val="auto"/>
          <w:highlight w:val="none"/>
        </w:rPr>
      </w:pPr>
      <w:r>
        <w:rPr>
          <w:rFonts w:eastAsia="等线"/>
          <w:b/>
          <w:color w:val="auto"/>
          <w:kern w:val="0"/>
          <w:highlight w:val="none"/>
        </w:rPr>
        <w:t>2.0.</w:t>
      </w:r>
      <w:r>
        <w:rPr>
          <w:rFonts w:hint="eastAsia" w:eastAsia="等线"/>
          <w:b/>
          <w:color w:val="auto"/>
          <w:kern w:val="0"/>
          <w:highlight w:val="none"/>
          <w:lang w:eastAsia="zh"/>
          <w:woUserID w:val="1"/>
        </w:rPr>
        <w:t>3</w:t>
      </w:r>
      <w:r>
        <w:rPr>
          <w:rFonts w:eastAsia="等线"/>
          <w:b/>
          <w:color w:val="auto"/>
          <w:kern w:val="0"/>
          <w:highlight w:val="none"/>
        </w:rPr>
        <w:t xml:space="preserve">  </w:t>
      </w:r>
      <w:r>
        <w:rPr>
          <w:rFonts w:hint="eastAsia"/>
          <w:strike w:val="0"/>
          <w:color w:val="auto"/>
          <w:highlight w:val="none"/>
        </w:rPr>
        <w:t>公共娱乐场所</w:t>
      </w:r>
      <w:r>
        <w:rPr>
          <w:color w:val="auto"/>
          <w:highlight w:val="none"/>
        </w:rPr>
        <w:t xml:space="preserve">  </w:t>
      </w:r>
      <w:r>
        <w:rPr>
          <w:rFonts w:hint="eastAsia"/>
          <w:color w:val="auto"/>
          <w:highlight w:val="none"/>
        </w:rPr>
        <w:t>publicentertainment occupancy</w:t>
      </w:r>
    </w:p>
    <w:p w14:paraId="718EDAB3">
      <w:pPr>
        <w:autoSpaceDN/>
        <w:ind w:firstLine="480" w:firstLineChars="200"/>
        <w:jc w:val="both"/>
        <w:rPr>
          <w:rFonts w:hint="eastAsia" w:ascii="Times New Roman" w:hAnsi="Times New Roman" w:cs="Times New Roman"/>
          <w:color w:val="auto"/>
          <w:highlight w:val="none"/>
        </w:rPr>
      </w:pPr>
      <w:r>
        <w:rPr>
          <w:rFonts w:hint="eastAsia" w:ascii="Times New Roman" w:hAnsi="Times New Roman" w:cs="Times New Roman"/>
          <w:color w:val="auto"/>
          <w:highlight w:val="none"/>
        </w:rPr>
        <w:t>具有文化娱乐、健身休闲功能并向公众开放的室内场所。包括影剧院、录像厅、礼堂等演出、放映场所</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舞厅、卡拉OK厅等歌舞娱乐场所</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具有娱乐功能的夜总会、音乐茶座、酒吧和餐饮场所</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游艺、游乐场所</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保龄球馆、</w:t>
      </w:r>
      <w:r>
        <w:rPr>
          <w:rFonts w:hint="eastAsia" w:ascii="Times New Roman" w:hAnsi="Times New Roman" w:cs="Times New Roman"/>
          <w:color w:val="auto"/>
          <w:highlight w:val="none"/>
          <w:lang w:eastAsia="zh-CN"/>
        </w:rPr>
        <w:t>旱冰场</w:t>
      </w:r>
      <w:r>
        <w:rPr>
          <w:rFonts w:hint="eastAsia" w:ascii="Times New Roman" w:hAnsi="Times New Roman" w:cs="Times New Roman"/>
          <w:color w:val="auto"/>
          <w:highlight w:val="none"/>
        </w:rPr>
        <w:t>、桑拿等娱乐、健身、休闲场所和互联网上网服务营业场所以及其他与所列场所功能相同或相似的营业性场所。</w:t>
      </w:r>
    </w:p>
    <w:p w14:paraId="6B51F2AC">
      <w:pPr>
        <w:tabs>
          <w:tab w:val="left" w:pos="540"/>
        </w:tabs>
        <w:spacing w:line="360" w:lineRule="auto"/>
        <w:rPr>
          <w:rFonts w:hint="eastAsia" w:cs="仿宋"/>
          <w:color w:val="0000FF"/>
          <w:sz w:val="24"/>
          <w:highlight w:val="none"/>
          <w:lang w:val="en-US" w:eastAsia="zh-CN"/>
        </w:rPr>
      </w:pPr>
      <w:r>
        <w:rPr>
          <w:rFonts w:hint="eastAsia" w:cs="仿宋"/>
          <w:color w:val="0000FF"/>
          <w:sz w:val="24"/>
          <w:highlight w:val="none"/>
          <w:lang w:val="en-US" w:eastAsia="zh-CN"/>
        </w:rPr>
        <w:t>【条文说明】</w:t>
      </w:r>
    </w:p>
    <w:p w14:paraId="5120AF09">
      <w:pPr>
        <w:tabs>
          <w:tab w:val="left" w:pos="540"/>
        </w:tabs>
        <w:spacing w:line="360" w:lineRule="auto"/>
        <w:ind w:firstLine="480" w:firstLineChars="200"/>
        <w:rPr>
          <w:rFonts w:hint="eastAsia" w:cs="仿宋"/>
          <w:color w:val="0000FF"/>
          <w:sz w:val="24"/>
          <w:highlight w:val="none"/>
          <w:lang w:val="en-US" w:eastAsia="zh-CN"/>
        </w:rPr>
      </w:pPr>
      <w:r>
        <w:rPr>
          <w:rFonts w:hint="eastAsia" w:cs="仿宋"/>
          <w:color w:val="0000FF"/>
          <w:sz w:val="24"/>
          <w:highlight w:val="none"/>
          <w:lang w:val="en-US" w:eastAsia="zh-CN"/>
        </w:rPr>
        <w:t>密室逃脱类场所应按不低于歌舞娱乐放映游艺场所的标准处置。</w:t>
      </w:r>
    </w:p>
    <w:p w14:paraId="78A53318">
      <w:pPr>
        <w:pStyle w:val="19"/>
        <w:spacing w:line="360" w:lineRule="auto"/>
        <w:rPr>
          <w:highlight w:val="none"/>
        </w:rPr>
      </w:pPr>
      <w:r>
        <w:rPr>
          <w:rFonts w:eastAsia="等线"/>
          <w:b/>
          <w:kern w:val="0"/>
          <w:highlight w:val="none"/>
        </w:rPr>
        <w:t>2.0.</w:t>
      </w:r>
      <w:r>
        <w:rPr>
          <w:rFonts w:hint="eastAsia" w:eastAsia="等线"/>
          <w:b/>
          <w:kern w:val="0"/>
          <w:highlight w:val="none"/>
          <w:lang w:eastAsia="zh"/>
          <w:woUserID w:val="1"/>
        </w:rPr>
        <w:t>4</w:t>
      </w:r>
      <w:r>
        <w:rPr>
          <w:rFonts w:eastAsia="等线"/>
          <w:b/>
          <w:kern w:val="0"/>
          <w:highlight w:val="none"/>
        </w:rPr>
        <w:t xml:space="preserve">  </w:t>
      </w:r>
      <w:r>
        <w:rPr>
          <w:rFonts w:hint="eastAsia" w:ascii="Times New Roman" w:hAnsi="Times New Roman" w:cs="Times New Roman"/>
          <w:highlight w:val="none"/>
        </w:rPr>
        <w:t>公众聚集场所</w:t>
      </w:r>
      <w:r>
        <w:rPr>
          <w:highlight w:val="none"/>
        </w:rPr>
        <w:t xml:space="preserve">  </w:t>
      </w:r>
      <w:r>
        <w:rPr>
          <w:rFonts w:hint="eastAsia"/>
          <w:highlight w:val="none"/>
        </w:rPr>
        <w:t>publicgathering occupancy</w:t>
      </w:r>
    </w:p>
    <w:p w14:paraId="68421B75">
      <w:pPr>
        <w:autoSpaceDN/>
        <w:ind w:firstLine="480" w:firstLineChars="200"/>
        <w:jc w:val="both"/>
        <w:rPr>
          <w:rFonts w:hint="eastAsia" w:ascii="Times New Roman" w:hAnsi="Times New Roman" w:eastAsia="宋体" w:cs="Times New Roman"/>
          <w:highlight w:val="none"/>
        </w:rPr>
      </w:pPr>
      <w:r>
        <w:rPr>
          <w:rFonts w:hint="eastAsia" w:ascii="Times New Roman" w:hAnsi="Times New Roman" w:eastAsia="宋体" w:cs="Times New Roman"/>
          <w:highlight w:val="none"/>
        </w:rPr>
        <w:t>宾馆、饭店、商场、集贸市场、客运车站候车室、客运码头候船厅、民用机场航站楼、体育场馆、会堂以及公共娱乐场所，以及其他与所列场所功能相同或相似的场所。</w:t>
      </w:r>
    </w:p>
    <w:p w14:paraId="52B404DE">
      <w:pPr>
        <w:pStyle w:val="19"/>
        <w:spacing w:line="360" w:lineRule="auto"/>
        <w:rPr>
          <w:highlight w:val="none"/>
        </w:rPr>
      </w:pPr>
      <w:bookmarkStart w:id="65" w:name="_Toc136894966"/>
      <w:r>
        <w:rPr>
          <w:b/>
          <w:highlight w:val="none"/>
        </w:rPr>
        <w:t>2.0.</w:t>
      </w:r>
      <w:r>
        <w:rPr>
          <w:rFonts w:hint="eastAsia"/>
          <w:b/>
          <w:highlight w:val="none"/>
          <w:lang w:val="en-US" w:eastAsia="zh-CN"/>
        </w:rPr>
        <w:t>5</w:t>
      </w:r>
      <w:r>
        <w:rPr>
          <w:highlight w:val="none"/>
        </w:rPr>
        <w:t xml:space="preserve">  </w:t>
      </w:r>
      <w:bookmarkEnd w:id="65"/>
      <w:r>
        <w:rPr>
          <w:rFonts w:hint="eastAsia"/>
          <w:highlight w:val="none"/>
        </w:rPr>
        <w:t>子项</w:t>
      </w:r>
      <w:r>
        <w:rPr>
          <w:highlight w:val="none"/>
        </w:rPr>
        <w:t xml:space="preserve"> </w:t>
      </w:r>
      <w:bookmarkStart w:id="66" w:name="_Hlk140329752"/>
      <w:r>
        <w:rPr>
          <w:highlight w:val="none"/>
        </w:rPr>
        <w:t xml:space="preserve"> </w:t>
      </w:r>
      <w:bookmarkEnd w:id="66"/>
      <w:r>
        <w:rPr>
          <w:rFonts w:hint="eastAsia"/>
          <w:highlight w:val="none"/>
        </w:rPr>
        <w:t>subassembly of fire risk assessment</w:t>
      </w:r>
    </w:p>
    <w:p w14:paraId="1AFA432B">
      <w:pPr>
        <w:autoSpaceDN/>
        <w:ind w:firstLine="480" w:firstLineChars="200"/>
        <w:jc w:val="both"/>
        <w:rPr>
          <w:rFonts w:ascii="Times New Roman" w:hAnsi="Times New Roman" w:cs="Times New Roman"/>
          <w:highlight w:val="none"/>
        </w:rPr>
      </w:pPr>
      <w:r>
        <w:rPr>
          <w:rFonts w:hint="eastAsia" w:ascii="Times New Roman" w:hAnsi="Times New Roman" w:cs="Times New Roman"/>
          <w:highlight w:val="none"/>
        </w:rPr>
        <w:t>性质、功能单一的涉及消防安全的项目，可以包含若干个检查内容。</w:t>
      </w:r>
    </w:p>
    <w:p w14:paraId="7C31417C">
      <w:pPr>
        <w:pStyle w:val="19"/>
        <w:spacing w:line="360" w:lineRule="auto"/>
        <w:rPr>
          <w:highlight w:val="none"/>
        </w:rPr>
      </w:pPr>
      <w:r>
        <w:rPr>
          <w:b/>
          <w:highlight w:val="none"/>
        </w:rPr>
        <w:t>2.0.</w:t>
      </w:r>
      <w:r>
        <w:rPr>
          <w:rFonts w:hint="eastAsia"/>
          <w:b/>
          <w:highlight w:val="none"/>
          <w:lang w:val="en-US" w:eastAsia="zh-CN"/>
        </w:rPr>
        <w:t>6</w:t>
      </w:r>
      <w:r>
        <w:rPr>
          <w:highlight w:val="none"/>
        </w:rPr>
        <w:t xml:space="preserve">  </w:t>
      </w:r>
      <w:r>
        <w:rPr>
          <w:rFonts w:hint="eastAsia"/>
          <w:highlight w:val="none"/>
        </w:rPr>
        <w:t>单项</w:t>
      </w:r>
      <w:r>
        <w:rPr>
          <w:highlight w:val="none"/>
        </w:rPr>
        <w:t xml:space="preserve">  </w:t>
      </w:r>
      <w:r>
        <w:rPr>
          <w:rFonts w:hint="eastAsia"/>
          <w:highlight w:val="none"/>
        </w:rPr>
        <w:t>individual system of fire risk assessment</w:t>
      </w:r>
    </w:p>
    <w:p w14:paraId="09967AD5">
      <w:pPr>
        <w:autoSpaceDN/>
        <w:ind w:firstLine="480" w:firstLineChars="200"/>
        <w:jc w:val="both"/>
        <w:rPr>
          <w:rFonts w:ascii="Times New Roman" w:hAnsi="Times New Roman" w:cs="Times New Roman"/>
          <w:strike/>
          <w:dstrike w:val="0"/>
          <w:color w:val="FF0000"/>
          <w:highlight w:val="none"/>
        </w:rPr>
      </w:pPr>
      <w:r>
        <w:rPr>
          <w:rFonts w:hint="eastAsia" w:ascii="Times New Roman" w:hAnsi="Times New Roman" w:cs="Times New Roman"/>
          <w:highlight w:val="none"/>
        </w:rPr>
        <w:t>由若干个性质或功能相近的子项组成的涉及消防安全的项目。</w:t>
      </w:r>
    </w:p>
    <w:p w14:paraId="3E7D9ED3">
      <w:pPr>
        <w:pStyle w:val="19"/>
        <w:spacing w:line="360" w:lineRule="auto"/>
        <w:rPr>
          <w:highlight w:val="none"/>
        </w:rPr>
      </w:pPr>
      <w:bookmarkStart w:id="67" w:name="_Toc136894967"/>
      <w:r>
        <w:rPr>
          <w:b/>
          <w:highlight w:val="none"/>
        </w:rPr>
        <w:t>2.0.</w:t>
      </w:r>
      <w:r>
        <w:rPr>
          <w:rFonts w:hint="eastAsia"/>
          <w:b/>
          <w:highlight w:val="none"/>
          <w:lang w:val="en-US" w:eastAsia="zh-CN"/>
        </w:rPr>
        <w:t>7</w:t>
      </w:r>
      <w:r>
        <w:rPr>
          <w:b/>
          <w:highlight w:val="none"/>
        </w:rPr>
        <w:t xml:space="preserve">  </w:t>
      </w:r>
      <w:bookmarkEnd w:id="67"/>
      <w:r>
        <w:rPr>
          <w:rFonts w:hint="eastAsia"/>
          <w:highlight w:val="none"/>
        </w:rPr>
        <w:t>分项</w:t>
      </w:r>
      <w:r>
        <w:rPr>
          <w:highlight w:val="none"/>
        </w:rPr>
        <w:t xml:space="preserve">  </w:t>
      </w:r>
      <w:r>
        <w:rPr>
          <w:rFonts w:hint="eastAsia"/>
          <w:highlight w:val="none"/>
        </w:rPr>
        <w:t>subentry of fire risk assessment</w:t>
      </w:r>
    </w:p>
    <w:p w14:paraId="694637B5">
      <w:pPr>
        <w:autoSpaceDN/>
        <w:ind w:firstLine="480" w:firstLineChars="200"/>
        <w:jc w:val="both"/>
        <w:rPr>
          <w:rFonts w:ascii="Times New Roman" w:hAnsi="Times New Roman" w:cs="Times New Roman"/>
          <w:strike/>
          <w:dstrike w:val="0"/>
          <w:color w:val="FF0000"/>
          <w:highlight w:val="none"/>
        </w:rPr>
      </w:pPr>
      <w:r>
        <w:rPr>
          <w:rFonts w:hint="eastAsia" w:ascii="Times New Roman" w:hAnsi="Times New Roman" w:cs="Times New Roman"/>
          <w:highlight w:val="none"/>
        </w:rPr>
        <w:t>由若干个属性相同的单项组成的涉及消防安全的项目。</w:t>
      </w:r>
    </w:p>
    <w:p w14:paraId="07A0606C">
      <w:pPr>
        <w:pStyle w:val="19"/>
        <w:spacing w:line="360" w:lineRule="auto"/>
        <w:rPr>
          <w:highlight w:val="none"/>
        </w:rPr>
      </w:pPr>
      <w:bookmarkStart w:id="68" w:name="_Toc136894969"/>
      <w:r>
        <w:rPr>
          <w:rFonts w:eastAsia="等线"/>
          <w:b/>
          <w:kern w:val="0"/>
          <w:highlight w:val="none"/>
        </w:rPr>
        <w:t>2.0.</w:t>
      </w:r>
      <w:r>
        <w:rPr>
          <w:rFonts w:hint="eastAsia" w:eastAsia="等线"/>
          <w:b/>
          <w:kern w:val="0"/>
          <w:highlight w:val="none"/>
          <w:lang w:val="en-US" w:eastAsia="zh-CN"/>
        </w:rPr>
        <w:t>8</w:t>
      </w:r>
      <w:r>
        <w:rPr>
          <w:rFonts w:eastAsia="等线"/>
          <w:b/>
          <w:kern w:val="0"/>
          <w:highlight w:val="none"/>
        </w:rPr>
        <w:t xml:space="preserve">  </w:t>
      </w:r>
      <w:bookmarkEnd w:id="68"/>
      <w:r>
        <w:rPr>
          <w:rFonts w:hint="eastAsia"/>
          <w:highlight w:val="none"/>
        </w:rPr>
        <w:t>要素</w:t>
      </w:r>
      <w:r>
        <w:rPr>
          <w:highlight w:val="none"/>
        </w:rPr>
        <w:t xml:space="preserve">  </w:t>
      </w:r>
      <w:r>
        <w:rPr>
          <w:rFonts w:hint="eastAsia"/>
          <w:highlight w:val="none"/>
        </w:rPr>
        <w:t>basic elements</w:t>
      </w:r>
    </w:p>
    <w:p w14:paraId="71FDB211">
      <w:pPr>
        <w:autoSpaceDN/>
        <w:ind w:firstLine="480" w:firstLineChars="200"/>
        <w:jc w:val="both"/>
        <w:rPr>
          <w:rFonts w:ascii="Times New Roman" w:hAnsi="Times New Roman" w:cs="Times New Roman"/>
          <w:highlight w:val="none"/>
        </w:rPr>
      </w:pPr>
      <w:r>
        <w:rPr>
          <w:rFonts w:hint="eastAsia" w:ascii="Times New Roman" w:hAnsi="Times New Roman" w:cs="Times New Roman"/>
          <w:highlight w:val="none"/>
        </w:rPr>
        <w:t>组成子项的具体评估内容和要求。</w:t>
      </w:r>
    </w:p>
    <w:p w14:paraId="497FDD28">
      <w:pPr>
        <w:pStyle w:val="19"/>
        <w:spacing w:line="360" w:lineRule="auto"/>
        <w:rPr>
          <w:highlight w:val="none"/>
        </w:rPr>
      </w:pPr>
      <w:bookmarkStart w:id="69" w:name="_Toc136894970"/>
      <w:r>
        <w:rPr>
          <w:rFonts w:eastAsia="等线"/>
          <w:b/>
          <w:kern w:val="0"/>
          <w:highlight w:val="none"/>
        </w:rPr>
        <w:t>2.0.</w:t>
      </w:r>
      <w:r>
        <w:rPr>
          <w:rFonts w:hint="eastAsia" w:eastAsia="等线"/>
          <w:b/>
          <w:kern w:val="0"/>
          <w:highlight w:val="none"/>
          <w:lang w:val="en-US" w:eastAsia="zh-CN"/>
        </w:rPr>
        <w:t>9</w:t>
      </w:r>
      <w:r>
        <w:rPr>
          <w:rFonts w:eastAsia="等线"/>
          <w:b/>
          <w:kern w:val="0"/>
          <w:highlight w:val="none"/>
        </w:rPr>
        <w:t xml:space="preserve">  </w:t>
      </w:r>
      <w:bookmarkEnd w:id="69"/>
      <w:r>
        <w:rPr>
          <w:rFonts w:hint="eastAsia"/>
          <w:highlight w:val="none"/>
        </w:rPr>
        <w:t>符合</w:t>
      </w:r>
      <w:r>
        <w:rPr>
          <w:highlight w:val="none"/>
        </w:rPr>
        <w:t xml:space="preserve">  </w:t>
      </w:r>
      <w:r>
        <w:rPr>
          <w:rFonts w:hint="eastAsia"/>
          <w:highlight w:val="none"/>
        </w:rPr>
        <w:t>confirmity</w:t>
      </w:r>
    </w:p>
    <w:p w14:paraId="31D3F00E">
      <w:pPr>
        <w:autoSpaceDN/>
        <w:ind w:firstLine="480" w:firstLineChars="200"/>
        <w:jc w:val="both"/>
        <w:rPr>
          <w:rFonts w:ascii="Times New Roman" w:hAnsi="Times New Roman" w:cs="Times New Roman"/>
          <w:highlight w:val="none"/>
        </w:rPr>
      </w:pPr>
      <w:r>
        <w:rPr>
          <w:rFonts w:hint="eastAsia" w:ascii="Times New Roman" w:hAnsi="Times New Roman" w:cs="Times New Roman"/>
          <w:highlight w:val="none"/>
        </w:rPr>
        <w:t>满足法律法规、规章和技术标准、规范的要求，能达到预期消防安全目标。</w:t>
      </w:r>
    </w:p>
    <w:p w14:paraId="0A2A2806">
      <w:pPr>
        <w:rPr>
          <w:rFonts w:ascii="Times New Roman" w:hAnsi="Times New Roman" w:cs="Times New Roman"/>
          <w:highlight w:val="none"/>
        </w:rPr>
      </w:pPr>
      <w:bookmarkStart w:id="70" w:name="_Toc136894971"/>
      <w:r>
        <w:rPr>
          <w:rFonts w:ascii="Times New Roman" w:hAnsi="Times New Roman" w:eastAsia="等线" w:cs="Times New Roman"/>
          <w:b/>
          <w:kern w:val="0"/>
          <w:highlight w:val="none"/>
        </w:rPr>
        <w:t>2.0.</w:t>
      </w:r>
      <w:bookmarkEnd w:id="70"/>
      <w:r>
        <w:rPr>
          <w:rFonts w:hint="eastAsia" w:ascii="Times New Roman" w:hAnsi="Times New Roman" w:eastAsia="等线" w:cs="Times New Roman"/>
          <w:b/>
          <w:kern w:val="0"/>
          <w:highlight w:val="none"/>
        </w:rPr>
        <w:t>1</w:t>
      </w:r>
      <w:r>
        <w:rPr>
          <w:rFonts w:hint="eastAsia" w:ascii="Times New Roman" w:hAnsi="Times New Roman" w:eastAsia="等线" w:cs="Times New Roman"/>
          <w:b/>
          <w:kern w:val="0"/>
          <w:highlight w:val="none"/>
          <w:lang w:val="en-US" w:eastAsia="zh-CN"/>
        </w:rPr>
        <w:t>0</w:t>
      </w:r>
      <w:r>
        <w:rPr>
          <w:rFonts w:eastAsia="等线"/>
          <w:b/>
          <w:kern w:val="0"/>
          <w:highlight w:val="none"/>
        </w:rPr>
        <w:t xml:space="preserve">  </w:t>
      </w:r>
      <w:r>
        <w:rPr>
          <w:rFonts w:hint="eastAsia" w:ascii="Times New Roman" w:hAnsi="Times New Roman" w:cs="Times New Roman"/>
          <w:highlight w:val="none"/>
        </w:rPr>
        <w:t xml:space="preserve">不符合 </w:t>
      </w:r>
      <w:r>
        <w:rPr>
          <w:rFonts w:ascii="Times New Roman" w:hAnsi="Times New Roman" w:cs="Times New Roman"/>
          <w:highlight w:val="none"/>
        </w:rPr>
        <w:t xml:space="preserve"> </w:t>
      </w:r>
      <w:r>
        <w:rPr>
          <w:rFonts w:hint="eastAsia" w:ascii="Times New Roman" w:hAnsi="Times New Roman" w:cs="Times New Roman"/>
          <w:highlight w:val="none"/>
        </w:rPr>
        <w:t>nonconfirmity</w:t>
      </w:r>
    </w:p>
    <w:p w14:paraId="7F3FD7E8">
      <w:pPr>
        <w:autoSpaceDN/>
        <w:ind w:firstLine="480" w:firstLineChars="200"/>
        <w:jc w:val="both"/>
        <w:rPr>
          <w:rFonts w:ascii="Times New Roman" w:hAnsi="Times New Roman" w:cs="Times New Roman"/>
          <w:highlight w:val="none"/>
        </w:rPr>
      </w:pPr>
      <w:r>
        <w:rPr>
          <w:rFonts w:hint="eastAsia" w:ascii="Times New Roman" w:hAnsi="Times New Roman" w:cs="Times New Roman"/>
          <w:highlight w:val="none"/>
        </w:rPr>
        <w:t>根本性或系统性地不满足法律法规、规章或技术标准、规范的要求，完全不能达到预期消防安全目标。</w:t>
      </w:r>
    </w:p>
    <w:p w14:paraId="5AE1A8CE">
      <w:pPr>
        <w:autoSpaceDN/>
        <w:jc w:val="both"/>
        <w:rPr>
          <w:rFonts w:ascii="Times New Roman" w:hAnsi="Times New Roman" w:cs="Times New Roman"/>
          <w:highlight w:val="none"/>
        </w:rPr>
      </w:pPr>
    </w:p>
    <w:p w14:paraId="6C85F9C3">
      <w:pPr>
        <w:autoSpaceDN/>
        <w:jc w:val="both"/>
        <w:rPr>
          <w:rFonts w:ascii="Times New Roman" w:hAnsi="Times New Roman" w:cs="Times New Roman"/>
          <w:highlight w:val="none"/>
        </w:rPr>
      </w:pPr>
      <w:r>
        <w:rPr>
          <w:rFonts w:ascii="Times New Roman" w:hAnsi="Times New Roman" w:cs="Times New Roman"/>
          <w:highlight w:val="none"/>
        </w:rPr>
        <w:tab/>
      </w:r>
      <w:r>
        <w:rPr>
          <w:rFonts w:ascii="Times New Roman" w:hAnsi="Times New Roman" w:cs="Times New Roman"/>
          <w:highlight w:val="none"/>
        </w:rPr>
        <w:br w:type="page"/>
      </w:r>
    </w:p>
    <w:p w14:paraId="467EF84E">
      <w:pPr>
        <w:pStyle w:val="18"/>
        <w:spacing w:line="360" w:lineRule="auto"/>
        <w:rPr>
          <w:rFonts w:hint="eastAsia" w:ascii="宋体" w:hAnsi="宋体" w:eastAsia="宋体"/>
          <w:highlight w:val="none"/>
        </w:rPr>
      </w:pPr>
      <w:bookmarkStart w:id="71" w:name="_Toc183531733"/>
      <w:bookmarkStart w:id="72" w:name="_Toc151384788"/>
      <w:bookmarkStart w:id="73" w:name="_Toc140390012"/>
      <w:bookmarkStart w:id="74" w:name="_Toc150876219"/>
      <w:bookmarkStart w:id="75" w:name="_Toc21038"/>
      <w:bookmarkStart w:id="76" w:name="_Toc28616"/>
      <w:bookmarkStart w:id="77" w:name="_Toc6049"/>
      <w:bookmarkStart w:id="78" w:name="_Toc23912"/>
      <w:bookmarkStart w:id="79" w:name="_Toc32456"/>
      <w:bookmarkStart w:id="80" w:name="_Toc23965"/>
      <w:bookmarkStart w:id="81" w:name="_Toc0"/>
      <w:bookmarkStart w:id="82" w:name="_Toc4810"/>
      <w:bookmarkStart w:id="83" w:name="_Toc8489"/>
      <w:bookmarkStart w:id="84" w:name="_Toc22934"/>
      <w:r>
        <w:rPr>
          <w:rFonts w:hint="default" w:ascii="Times New Roman" w:hAnsi="Times New Roman" w:eastAsia="宋体"/>
          <w:highlight w:val="none"/>
        </w:rPr>
        <w:t>3</w:t>
      </w:r>
      <w:r>
        <w:rPr>
          <w:rFonts w:ascii="宋体" w:hAnsi="宋体" w:eastAsia="宋体"/>
          <w:sz w:val="32"/>
          <w:szCs w:val="32"/>
          <w:highlight w:val="none"/>
        </w:rPr>
        <w:t xml:space="preserve">  </w:t>
      </w:r>
      <w:r>
        <w:rPr>
          <w:rFonts w:hint="eastAsia" w:ascii="宋体" w:hAnsi="宋体" w:eastAsia="宋体"/>
          <w:highlight w:val="none"/>
        </w:rPr>
        <w:t>基本规定</w:t>
      </w:r>
      <w:bookmarkEnd w:id="71"/>
      <w:bookmarkEnd w:id="72"/>
      <w:bookmarkEnd w:id="73"/>
      <w:bookmarkEnd w:id="74"/>
      <w:bookmarkStart w:id="85" w:name="_Toc28123"/>
      <w:bookmarkStart w:id="86" w:name="_Toc9164"/>
      <w:bookmarkStart w:id="87" w:name="_Toc12876"/>
      <w:bookmarkStart w:id="88" w:name="_Toc24249"/>
      <w:bookmarkStart w:id="89" w:name="_Toc4943"/>
      <w:bookmarkStart w:id="90" w:name="_Toc4647"/>
      <w:bookmarkStart w:id="91" w:name="_Toc9200"/>
      <w:bookmarkStart w:id="92" w:name="_Toc23158"/>
      <w:bookmarkStart w:id="93" w:name="_Toc29208"/>
      <w:bookmarkStart w:id="94" w:name="_Toc21579"/>
      <w:bookmarkStart w:id="95" w:name="_Toc18921"/>
      <w:r>
        <w:rPr>
          <w:highlight w:val="none"/>
        </w:rPr>
        <w:fldChar w:fldCharType="begin"/>
      </w:r>
      <w:r>
        <w:rPr>
          <w:rFonts w:ascii="Times New Roman" w:hAnsi="Times New Roman" w:eastAsia="宋体"/>
          <w:highlight w:val="none"/>
        </w:rPr>
        <w:instrText xml:space="preserve"> </w:instrText>
      </w:r>
      <w:r>
        <w:rPr>
          <w:rFonts w:hint="default" w:ascii="Times New Roman" w:hAnsi="Times New Roman" w:eastAsia="宋体"/>
          <w:highlight w:val="none"/>
        </w:rPr>
        <w:instrText xml:space="preserve">TC  "</w:instrText>
      </w:r>
      <w:bookmarkStart w:id="96" w:name="_Toc143762752"/>
      <w:bookmarkStart w:id="97" w:name="_Toc143762812"/>
      <w:bookmarkStart w:id="98" w:name="_Toc143720327"/>
      <w:bookmarkStart w:id="99" w:name="_Toc183531850"/>
      <w:r>
        <w:rPr>
          <w:rFonts w:hint="default" w:ascii="Times New Roman" w:hAnsi="Times New Roman" w:eastAsia="宋体"/>
          <w:highlight w:val="none"/>
        </w:rPr>
        <w:instrText xml:space="preserve">3  Basic requirements</w:instrText>
      </w:r>
      <w:bookmarkEnd w:id="96"/>
      <w:bookmarkEnd w:id="97"/>
      <w:bookmarkEnd w:id="98"/>
      <w:bookmarkEnd w:id="99"/>
      <w:r>
        <w:rPr>
          <w:rFonts w:hint="default" w:ascii="Times New Roman" w:hAnsi="Times New Roman" w:eastAsia="宋体"/>
          <w:highlight w:val="none"/>
        </w:rPr>
        <w:instrText xml:space="preserve">" \l 1</w:instrText>
      </w:r>
      <w:r>
        <w:rPr>
          <w:rFonts w:ascii="Times New Roman" w:hAnsi="Times New Roman" w:eastAsia="宋体"/>
          <w:highlight w:val="none"/>
        </w:rPr>
        <w:instrText xml:space="preserve"> </w:instrText>
      </w:r>
      <w:r>
        <w:rPr>
          <w:rFonts w:ascii="Times New Roman" w:hAnsi="Times New Roman" w:eastAsia="宋体"/>
          <w:highlight w:val="none"/>
        </w:rPr>
        <w:fldChar w:fldCharType="end"/>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1739A059">
      <w:pPr>
        <w:keepNext w:val="0"/>
        <w:keepLines w:val="0"/>
        <w:widowControl/>
        <w:suppressLineNumbers w:val="0"/>
        <w:jc w:val="left"/>
        <w:rPr>
          <w:rFonts w:hint="eastAsia" w:ascii="Times New Roman" w:hAnsi="Times New Roman" w:cs="Times New Roman"/>
          <w:highlight w:val="none"/>
          <w:lang w:val="en-US" w:eastAsia="zh-CN"/>
        </w:rPr>
      </w:pPr>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w:t>
      </w:r>
      <w:r>
        <w:rPr>
          <w:rFonts w:hint="eastAsia" w:ascii="Times New Roman" w:hAnsi="Times New Roman" w:cs="Times New Roman"/>
          <w:b/>
          <w:bCs/>
          <w:highlight w:val="none"/>
          <w:lang w:eastAsia="zh"/>
        </w:rPr>
        <w:t>1</w:t>
      </w:r>
      <w:r>
        <w:rPr>
          <w:rFonts w:ascii="Times New Roman" w:hAnsi="Times New Roman" w:cs="Times New Roman"/>
          <w:highlight w:val="none"/>
        </w:rPr>
        <w:t xml:space="preserve">  </w:t>
      </w:r>
      <w:r>
        <w:rPr>
          <w:rFonts w:hint="eastAsia" w:ascii="Times New Roman" w:hAnsi="Times New Roman" w:cs="Times New Roman"/>
          <w:highlight w:val="none"/>
          <w:lang w:val="en-US" w:eastAsia="zh-CN"/>
        </w:rPr>
        <w:t>人员密集场所消防安全评估应根据消防法律法规、标准规范和有关规定组织开展，遵循合法、全面、准确、高效的原则。</w:t>
      </w:r>
    </w:p>
    <w:p w14:paraId="24B2C9FE">
      <w:pPr>
        <w:tabs>
          <w:tab w:val="left" w:pos="540"/>
        </w:tabs>
        <w:spacing w:line="360" w:lineRule="auto"/>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highlight w:val="none"/>
        </w:rPr>
        <w:t>1</w:t>
      </w:r>
      <w:r>
        <w:rPr>
          <w:rFonts w:ascii="Times New Roman" w:hAnsi="Times New Roman" w:cs="Times New Roman"/>
          <w:bCs/>
          <w:highlight w:val="none"/>
        </w:rPr>
        <w:t xml:space="preserve">  </w:t>
      </w:r>
      <w:r>
        <w:rPr>
          <w:rFonts w:hint="eastAsia" w:ascii="Times New Roman" w:hAnsi="Times New Roman" w:cs="Times New Roman"/>
          <w:highlight w:val="none"/>
          <w:lang w:val="en-US" w:eastAsia="zh-CN"/>
        </w:rPr>
        <w:t>人员密集场所没有进行过使用功能变更时，消防安全评估按原设计文件及相关法律法规、标准规范和有关规定组织开展；</w:t>
      </w:r>
    </w:p>
    <w:p w14:paraId="7B4B5BAF">
      <w:pPr>
        <w:tabs>
          <w:tab w:val="left" w:pos="540"/>
        </w:tabs>
        <w:spacing w:line="360" w:lineRule="auto"/>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 xml:space="preserve">2 </w:t>
      </w:r>
      <w:r>
        <w:rPr>
          <w:rFonts w:hint="eastAsia" w:ascii="Times New Roman" w:hAnsi="Times New Roman" w:cs="Times New Roman"/>
          <w:highlight w:val="none"/>
          <w:lang w:val="en-US" w:eastAsia="zh-CN"/>
        </w:rPr>
        <w:t xml:space="preserve"> 人员密集场所进行过使用功能变更时，消防安全评估按变更时的设计文件及相关法律法规、标准规范和有关规定组织开展。</w:t>
      </w:r>
    </w:p>
    <w:p w14:paraId="74BFCEEF">
      <w:pPr>
        <w:autoSpaceDN/>
        <w:jc w:val="both"/>
        <w:rPr>
          <w:rFonts w:ascii="Times New Roman" w:hAnsi="Times New Roman" w:cs="Times New Roman"/>
          <w:highlight w:val="none"/>
        </w:rPr>
      </w:pPr>
      <w:r>
        <w:rPr>
          <w:rFonts w:hint="eastAsia" w:ascii="Times New Roman" w:hAnsi="Times New Roman" w:cs="Times New Roman"/>
          <w:b/>
          <w:bCs/>
          <w:highlight w:val="none"/>
          <w:lang w:val="en-US" w:eastAsia="zh-CN"/>
        </w:rPr>
        <w:t>3.0.2</w:t>
      </w:r>
      <w:r>
        <w:rPr>
          <w:rFonts w:hint="eastAsia" w:ascii="Times New Roman" w:hAnsi="Times New Roman" w:cs="Times New Roman"/>
          <w:highlight w:val="none"/>
        </w:rPr>
        <w:t xml:space="preserve">  单位应及时对公安机关消</w:t>
      </w:r>
      <w:r>
        <w:rPr>
          <w:rFonts w:hint="eastAsia" w:ascii="Times New Roman" w:hAnsi="Times New Roman" w:cs="Times New Roman"/>
          <w:color w:val="auto"/>
          <w:highlight w:val="none"/>
        </w:rPr>
        <w:t>防机构</w:t>
      </w:r>
      <w:r>
        <w:rPr>
          <w:rFonts w:hint="eastAsia" w:ascii="Times New Roman" w:hAnsi="Times New Roman" w:cs="Times New Roman"/>
          <w:color w:val="auto"/>
          <w:highlight w:val="none"/>
          <w:lang w:eastAsia="zh"/>
          <w:woUserID w:val="1"/>
        </w:rPr>
        <w:t>和公安派出所</w:t>
      </w:r>
      <w:r>
        <w:rPr>
          <w:rFonts w:hint="eastAsia" w:ascii="Times New Roman" w:hAnsi="Times New Roman" w:cs="Times New Roman"/>
          <w:color w:val="auto"/>
          <w:highlight w:val="none"/>
        </w:rPr>
        <w:t>责令改正的消防违法行为进行改正，并防止同一违法行为反复出现。</w:t>
      </w:r>
    </w:p>
    <w:p w14:paraId="4F3E4153">
      <w:pPr>
        <w:tabs>
          <w:tab w:val="left" w:pos="540"/>
        </w:tabs>
        <w:spacing w:line="360" w:lineRule="auto"/>
        <w:rPr>
          <w:rFonts w:hint="eastAsia" w:cs="仿宋"/>
          <w:color w:val="0000FF"/>
          <w:sz w:val="24"/>
          <w:highlight w:val="none"/>
          <w:lang w:val="en-US" w:eastAsia="zh-CN"/>
        </w:rPr>
      </w:pPr>
      <w:bookmarkStart w:id="100" w:name="OLE_LINK88"/>
      <w:r>
        <w:rPr>
          <w:rFonts w:hint="eastAsia" w:cs="仿宋"/>
          <w:color w:val="0000FF"/>
          <w:sz w:val="24"/>
          <w:highlight w:val="none"/>
          <w:lang w:val="en-US" w:eastAsia="zh-CN"/>
        </w:rPr>
        <w:t>【条文说明】</w:t>
      </w:r>
    </w:p>
    <w:p w14:paraId="1A72E786">
      <w:pPr>
        <w:tabs>
          <w:tab w:val="left" w:pos="540"/>
        </w:tabs>
        <w:spacing w:line="360" w:lineRule="auto"/>
        <w:ind w:firstLine="480" w:firstLineChars="200"/>
        <w:rPr>
          <w:rFonts w:hint="eastAsia" w:cs="仿宋"/>
          <w:color w:val="0000FF"/>
          <w:sz w:val="24"/>
          <w:highlight w:val="none"/>
          <w:lang w:val="en-US" w:eastAsia="zh-CN"/>
        </w:rPr>
      </w:pPr>
      <w:r>
        <w:rPr>
          <w:rFonts w:hint="eastAsia" w:cs="仿宋"/>
          <w:color w:val="0000FF"/>
          <w:sz w:val="24"/>
          <w:highlight w:val="none"/>
          <w:lang w:val="en-US" w:eastAsia="zh-CN"/>
        </w:rPr>
        <w:t>消</w:t>
      </w:r>
      <w:bookmarkEnd w:id="100"/>
      <w:r>
        <w:rPr>
          <w:rFonts w:hint="eastAsia" w:cs="仿宋"/>
          <w:color w:val="0000FF"/>
          <w:sz w:val="24"/>
          <w:highlight w:val="none"/>
          <w:lang w:val="en-US" w:eastAsia="zh-CN"/>
        </w:rPr>
        <w:t>防违法行为以公安消防机构下发的《行政处罚决定书》为准。“反复出现”指1年内出现2次或2次以上。</w:t>
      </w:r>
    </w:p>
    <w:p w14:paraId="44DF2D6C">
      <w:pPr>
        <w:autoSpaceDN/>
        <w:jc w:val="both"/>
        <w:rPr>
          <w:rFonts w:hint="eastAsia" w:ascii="Times New Roman" w:hAnsi="Times New Roman" w:eastAsia="宋体" w:cs="Times New Roman"/>
          <w:strike/>
          <w:dstrike w:val="0"/>
          <w:color w:val="FF0000"/>
          <w:highlight w:val="none"/>
          <w:lang w:eastAsia="zh"/>
        </w:rPr>
      </w:pPr>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w:t>
      </w:r>
      <w:r>
        <w:rPr>
          <w:rFonts w:hint="eastAsia" w:ascii="Times New Roman" w:hAnsi="Times New Roman" w:cs="Times New Roman"/>
          <w:b/>
          <w:bCs/>
          <w:highlight w:val="none"/>
          <w:lang w:val="en-US" w:eastAsia="zh-CN"/>
        </w:rPr>
        <w:t>3</w:t>
      </w:r>
      <w:r>
        <w:rPr>
          <w:highlight w:val="none"/>
        </w:rPr>
        <w:t xml:space="preserve">  </w:t>
      </w:r>
      <w:r>
        <w:rPr>
          <w:rFonts w:hint="eastAsia"/>
          <w:highlight w:val="none"/>
          <w:lang w:eastAsia="zh"/>
        </w:rPr>
        <w:t>人员密集场所</w:t>
      </w:r>
      <w:r>
        <w:rPr>
          <w:rFonts w:hint="eastAsia"/>
          <w:highlight w:val="none"/>
        </w:rPr>
        <w:t>在下列情况下应进行消防安全评估：</w:t>
      </w:r>
    </w:p>
    <w:p w14:paraId="76D27481">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1</w:t>
      </w:r>
      <w:r>
        <w:rPr>
          <w:rFonts w:ascii="Times New Roman" w:hAnsi="Times New Roman" w:cs="Times New Roman"/>
          <w:bCs/>
          <w:highlight w:val="none"/>
        </w:rPr>
        <w:t xml:space="preserve">  </w:t>
      </w:r>
      <w:r>
        <w:rPr>
          <w:rFonts w:hint="eastAsia" w:ascii="Times New Roman" w:hAnsi="Times New Roman" w:cs="Times New Roman"/>
          <w:bCs/>
          <w:highlight w:val="none"/>
        </w:rPr>
        <w:t>达到设计工作年限需要继续使用</w:t>
      </w:r>
      <w:r>
        <w:rPr>
          <w:rFonts w:hint="eastAsia" w:ascii="Times New Roman" w:hAnsi="Times New Roman" w:cs="Times New Roman"/>
          <w:bCs/>
          <w:highlight w:val="none"/>
          <w:lang w:val="en-US" w:eastAsia="zh-CN"/>
        </w:rPr>
        <w:t>前</w:t>
      </w:r>
      <w:r>
        <w:rPr>
          <w:rFonts w:hint="eastAsia" w:ascii="Times New Roman" w:hAnsi="Times New Roman" w:cs="Times New Roman"/>
          <w:bCs/>
          <w:highlight w:val="none"/>
        </w:rPr>
        <w:t>；</w:t>
      </w:r>
    </w:p>
    <w:p w14:paraId="5AC85FF1">
      <w:pPr>
        <w:autoSpaceDN/>
        <w:ind w:firstLine="482" w:firstLineChars="200"/>
        <w:jc w:val="both"/>
        <w:rPr>
          <w:rFonts w:hint="eastAsia" w:ascii="Times New Roman" w:hAnsi="Times New Roman" w:cs="Times New Roman"/>
          <w:bCs/>
          <w:highlight w:val="none"/>
          <w:lang w:eastAsia="zh-CN"/>
        </w:rPr>
      </w:pPr>
      <w:r>
        <w:rPr>
          <w:rFonts w:hint="eastAsia" w:ascii="Times New Roman" w:hAnsi="Times New Roman" w:cs="Times New Roman"/>
          <w:b/>
          <w:highlight w:val="none"/>
        </w:rPr>
        <w:t>2</w:t>
      </w:r>
      <w:r>
        <w:rPr>
          <w:rFonts w:hint="eastAsia" w:ascii="Times New Roman" w:hAnsi="Times New Roman" w:cs="Times New Roman"/>
          <w:bCs/>
          <w:highlight w:val="none"/>
        </w:rPr>
        <w:t xml:space="preserve">  改建、扩建以及建筑用途或使用环境改变前</w:t>
      </w:r>
      <w:r>
        <w:rPr>
          <w:rFonts w:hint="eastAsia" w:ascii="Times New Roman" w:hAnsi="Times New Roman" w:cs="Times New Roman"/>
          <w:bCs/>
          <w:highlight w:val="none"/>
          <w:lang w:eastAsia="zh-CN"/>
        </w:rPr>
        <w:t>；</w:t>
      </w:r>
    </w:p>
    <w:p w14:paraId="63C7DC60">
      <w:pPr>
        <w:autoSpaceDN/>
        <w:ind w:firstLine="482" w:firstLineChars="200"/>
        <w:jc w:val="both"/>
        <w:rPr>
          <w:rFonts w:hint="eastAsia" w:ascii="Times New Roman" w:hAnsi="Times New Roman" w:cs="Times New Roman"/>
          <w:bCs/>
          <w:highlight w:val="none"/>
          <w:lang w:eastAsia="zh"/>
        </w:rPr>
      </w:pPr>
      <w:r>
        <w:rPr>
          <w:rFonts w:hint="eastAsia" w:ascii="Times New Roman" w:hAnsi="Times New Roman" w:cs="Times New Roman"/>
          <w:b/>
          <w:highlight w:val="none"/>
        </w:rPr>
        <w:t>3</w:t>
      </w:r>
      <w:r>
        <w:rPr>
          <w:rFonts w:hint="eastAsia" w:ascii="Times New Roman" w:hAnsi="Times New Roman" w:cs="Times New Roman"/>
          <w:bCs/>
          <w:highlight w:val="none"/>
        </w:rPr>
        <w:t xml:space="preserve">  </w:t>
      </w:r>
      <w:r>
        <w:rPr>
          <w:rFonts w:hint="eastAsia" w:ascii="Times New Roman" w:hAnsi="Times New Roman" w:cs="Times New Roman"/>
          <w:bCs/>
          <w:highlight w:val="none"/>
          <w:lang w:eastAsia="zh"/>
        </w:rPr>
        <w:t>举行大型活动前；</w:t>
      </w:r>
    </w:p>
    <w:p w14:paraId="7363805A">
      <w:pPr>
        <w:autoSpaceDN/>
        <w:ind w:firstLine="482" w:firstLineChars="200"/>
        <w:jc w:val="both"/>
        <w:rPr>
          <w:rFonts w:hint="eastAsia" w:ascii="Times New Roman" w:hAnsi="Times New Roman" w:cs="Times New Roman"/>
          <w:bCs/>
          <w:highlight w:val="none"/>
          <w:lang w:eastAsia="zh"/>
        </w:rPr>
      </w:pPr>
      <w:r>
        <w:rPr>
          <w:rFonts w:hint="eastAsia" w:ascii="Times New Roman" w:hAnsi="Times New Roman" w:cs="Times New Roman"/>
          <w:b/>
          <w:highlight w:val="none"/>
          <w:lang w:eastAsia="zh"/>
        </w:rPr>
        <w:t>4</w:t>
      </w:r>
      <w:r>
        <w:rPr>
          <w:rFonts w:hint="eastAsia" w:ascii="Times New Roman" w:hAnsi="Times New Roman" w:cs="Times New Roman"/>
          <w:bCs/>
          <w:highlight w:val="none"/>
        </w:rPr>
        <w:t xml:space="preserve">  </w:t>
      </w:r>
      <w:r>
        <w:rPr>
          <w:rFonts w:ascii="Times New Roman" w:hAnsi="Times New Roman" w:cs="Times New Roman"/>
          <w:bCs/>
          <w:highlight w:val="none"/>
        </w:rPr>
        <w:t>建筑物发生火灾事故</w:t>
      </w:r>
      <w:r>
        <w:rPr>
          <w:rFonts w:hint="eastAsia" w:ascii="Times New Roman" w:hAnsi="Times New Roman" w:cs="Times New Roman"/>
          <w:bCs/>
          <w:highlight w:val="none"/>
          <w:lang w:eastAsia="zh"/>
        </w:rPr>
        <w:t>后；</w:t>
      </w:r>
    </w:p>
    <w:p w14:paraId="5154155F">
      <w:pPr>
        <w:autoSpaceDN/>
        <w:ind w:firstLine="482" w:firstLineChars="200"/>
        <w:jc w:val="both"/>
        <w:rPr>
          <w:rFonts w:ascii="Times New Roman" w:hAnsi="Times New Roman" w:cs="Times New Roman"/>
          <w:bCs/>
          <w:highlight w:val="none"/>
        </w:rPr>
      </w:pPr>
      <w:r>
        <w:rPr>
          <w:rFonts w:hint="eastAsia" w:ascii="Times New Roman" w:hAnsi="Times New Roman" w:cs="Times New Roman"/>
          <w:b/>
          <w:bCs/>
          <w:highlight w:val="none"/>
          <w:lang w:eastAsia="zh"/>
        </w:rPr>
        <w:t>5</w:t>
      </w:r>
      <w:r>
        <w:rPr>
          <w:rFonts w:hint="eastAsia" w:ascii="Times New Roman" w:hAnsi="Times New Roman" w:cs="Times New Roman"/>
          <w:bCs/>
          <w:highlight w:val="none"/>
        </w:rPr>
        <w:t xml:space="preserve">  其他应进行</w:t>
      </w:r>
      <w:r>
        <w:rPr>
          <w:rFonts w:hint="eastAsia" w:ascii="Times New Roman" w:hAnsi="Times New Roman" w:cs="Times New Roman"/>
          <w:bCs/>
          <w:highlight w:val="none"/>
          <w:lang w:eastAsia="zh"/>
        </w:rPr>
        <w:t>评估</w:t>
      </w:r>
      <w:r>
        <w:rPr>
          <w:rFonts w:hint="eastAsia" w:ascii="Times New Roman" w:hAnsi="Times New Roman" w:cs="Times New Roman"/>
          <w:bCs/>
          <w:highlight w:val="none"/>
        </w:rPr>
        <w:t>的</w:t>
      </w:r>
      <w:r>
        <w:rPr>
          <w:rFonts w:ascii="Times New Roman" w:hAnsi="Times New Roman" w:cs="Times New Roman"/>
          <w:bCs/>
          <w:highlight w:val="none"/>
        </w:rPr>
        <w:t>。</w:t>
      </w:r>
    </w:p>
    <w:p w14:paraId="13DA1AD0">
      <w:pPr>
        <w:tabs>
          <w:tab w:val="left" w:pos="540"/>
        </w:tabs>
        <w:spacing w:line="360" w:lineRule="auto"/>
        <w:rPr>
          <w:rFonts w:hint="eastAsia" w:cs="仿宋"/>
          <w:color w:val="0000FF"/>
          <w:sz w:val="24"/>
          <w:highlight w:val="none"/>
          <w:lang w:val="en-US" w:eastAsia="zh-CN"/>
        </w:rPr>
      </w:pPr>
      <w:r>
        <w:rPr>
          <w:rFonts w:hint="eastAsia" w:cs="仿宋"/>
          <w:color w:val="0000FF"/>
          <w:sz w:val="24"/>
          <w:highlight w:val="none"/>
          <w:lang w:val="en-US" w:eastAsia="zh-CN"/>
        </w:rPr>
        <w:t>【条文说明】</w:t>
      </w:r>
    </w:p>
    <w:p w14:paraId="5BD6C50C">
      <w:pPr>
        <w:tabs>
          <w:tab w:val="left" w:pos="540"/>
        </w:tabs>
        <w:spacing w:line="360" w:lineRule="auto"/>
        <w:ind w:firstLine="480" w:firstLineChars="200"/>
        <w:rPr>
          <w:rFonts w:hint="eastAsia" w:cs="仿宋"/>
          <w:color w:val="0000FF"/>
          <w:sz w:val="24"/>
          <w:highlight w:val="none"/>
          <w:lang w:val="en-US" w:eastAsia="zh-CN"/>
        </w:rPr>
      </w:pPr>
      <w:r>
        <w:rPr>
          <w:rFonts w:hint="eastAsia" w:cs="仿宋"/>
          <w:color w:val="0000FF"/>
          <w:sz w:val="24"/>
          <w:highlight w:val="none"/>
          <w:lang w:val="en-US" w:eastAsia="zh-CN"/>
        </w:rPr>
        <w:t>既有建筑改造前后应对其消防安全情况进行评估，对于合理确定改造可行性和改造设计方案很有必要。承担改造设计任务的项目负责人和设计人员最为熟悉项目情况，责任尤为重要，应在充分调研现状条件的前提下，结合建筑改造要求，发挥其熟悉了解既有建筑历史变化及现状的专业优势，以满足建筑物的消防安全为目标，主动、客观地分析风险，提出科学的解决方案。</w:t>
      </w:r>
    </w:p>
    <w:p w14:paraId="7044A418">
      <w:pPr>
        <w:tabs>
          <w:tab w:val="left" w:pos="540"/>
        </w:tabs>
        <w:spacing w:line="360" w:lineRule="auto"/>
        <w:ind w:firstLine="480" w:firstLineChars="200"/>
        <w:rPr>
          <w:rFonts w:hint="eastAsia" w:cs="仿宋"/>
          <w:color w:val="0000FF"/>
          <w:sz w:val="24"/>
          <w:highlight w:val="none"/>
          <w:lang w:val="en-US" w:eastAsia="zh"/>
        </w:rPr>
      </w:pPr>
      <w:r>
        <w:rPr>
          <w:rFonts w:hint="eastAsia" w:cs="仿宋"/>
          <w:color w:val="0000FF"/>
          <w:sz w:val="24"/>
          <w:highlight w:val="none"/>
          <w:lang w:val="en-US" w:eastAsia="zh-CN"/>
        </w:rPr>
        <w:t>根据</w:t>
      </w:r>
      <w:r>
        <w:rPr>
          <w:rFonts w:hint="eastAsia" w:cs="仿宋"/>
          <w:color w:val="0000FF"/>
          <w:sz w:val="24"/>
          <w:highlight w:val="none"/>
          <w:lang w:val="en-US" w:eastAsia="zh"/>
        </w:rPr>
        <w:t>《</w:t>
      </w:r>
      <w:r>
        <w:rPr>
          <w:rFonts w:hint="eastAsia" w:cs="仿宋"/>
          <w:color w:val="0000FF"/>
          <w:sz w:val="24"/>
          <w:highlight w:val="none"/>
          <w:lang w:val="en-US" w:eastAsia="zh"/>
        </w:rPr>
        <w:fldChar w:fldCharType="begin"/>
      </w:r>
      <w:r>
        <w:rPr>
          <w:rFonts w:hint="eastAsia" w:cs="仿宋"/>
          <w:color w:val="0000FF"/>
          <w:sz w:val="24"/>
          <w:highlight w:val="none"/>
          <w:lang w:val="en-US" w:eastAsia="zh"/>
        </w:rPr>
        <w:instrText xml:space="preserve"> HYPERLINK "https://www.gongbiaoku.com/book/5hp230990vq?query=%E5%A4%A7%E5%9E%8B%E7%BE%A4%E4%BC%97%E6%80%A7%E6%B4%BB%E5%8A%A8%E6%B6%88%E9%98%B2%E5%AE%89%E5%85%A8%E8%AF%84%E4%BC%B0" \t "https://www.gongbiaoku.com/_blank" </w:instrText>
      </w:r>
      <w:r>
        <w:rPr>
          <w:rFonts w:hint="eastAsia" w:cs="仿宋"/>
          <w:color w:val="0000FF"/>
          <w:sz w:val="24"/>
          <w:highlight w:val="none"/>
          <w:lang w:val="en-US" w:eastAsia="zh"/>
        </w:rPr>
        <w:fldChar w:fldCharType="separate"/>
      </w:r>
      <w:r>
        <w:rPr>
          <w:rFonts w:hint="eastAsia" w:cs="仿宋"/>
          <w:color w:val="0000FF"/>
          <w:sz w:val="24"/>
          <w:highlight w:val="none"/>
          <w:lang w:val="en-US" w:eastAsia="zh"/>
        </w:rPr>
        <w:t>大型群众性活动消防安全规范》DB11/T 1905-2021</w:t>
      </w:r>
      <w:r>
        <w:rPr>
          <w:rFonts w:hint="eastAsia" w:cs="仿宋"/>
          <w:color w:val="0000FF"/>
          <w:sz w:val="24"/>
          <w:highlight w:val="none"/>
          <w:lang w:val="en-US" w:eastAsia="zh"/>
        </w:rPr>
        <w:fldChar w:fldCharType="end"/>
      </w:r>
      <w:r>
        <w:rPr>
          <w:rFonts w:hint="eastAsia" w:cs="仿宋"/>
          <w:color w:val="0000FF"/>
          <w:sz w:val="24"/>
          <w:highlight w:val="none"/>
          <w:lang w:val="en-US" w:eastAsia="zh-CN"/>
        </w:rPr>
        <w:t>规定，</w:t>
      </w:r>
      <w:r>
        <w:rPr>
          <w:rFonts w:hint="eastAsia" w:cs="仿宋"/>
          <w:color w:val="0000FF"/>
          <w:sz w:val="24"/>
          <w:highlight w:val="none"/>
          <w:lang w:val="en-US" w:eastAsia="zh"/>
        </w:rPr>
        <w:t>大型活动场所管理者应提供符合消防安全要求的场所(建筑物)。场所管理者应对大型活动开展消防安全检查，督促承办者落实消防安全职责和消防安全要求。</w:t>
      </w:r>
    </w:p>
    <w:p w14:paraId="0486DCB9">
      <w:pPr>
        <w:autoSpaceDN/>
        <w:jc w:val="both"/>
        <w:rPr>
          <w:rFonts w:hint="eastAsia" w:ascii="Times New Roman" w:hAnsi="Times New Roman" w:cs="Times New Roman"/>
          <w:b/>
          <w:bCs/>
          <w:highlight w:val="none"/>
        </w:rPr>
      </w:pPr>
    </w:p>
    <w:p w14:paraId="4D99173B">
      <w:pPr>
        <w:autoSpaceDN/>
        <w:jc w:val="both"/>
        <w:rPr>
          <w:rFonts w:ascii="Times New Roman" w:hAnsi="Times New Roman" w:cs="Times New Roman"/>
          <w:highlight w:val="none"/>
        </w:rPr>
      </w:pPr>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w:t>
      </w:r>
      <w:r>
        <w:rPr>
          <w:rFonts w:hint="eastAsia" w:ascii="Times New Roman" w:hAnsi="Times New Roman" w:cs="Times New Roman"/>
          <w:b/>
          <w:bCs/>
          <w:highlight w:val="none"/>
          <w:lang w:val="en-US" w:eastAsia="zh-CN"/>
        </w:rPr>
        <w:t>4</w:t>
      </w:r>
      <w:r>
        <w:rPr>
          <w:rFonts w:ascii="Times New Roman" w:hAnsi="Times New Roman" w:cs="Times New Roman"/>
          <w:highlight w:val="none"/>
        </w:rPr>
        <w:t xml:space="preserve">  </w:t>
      </w:r>
      <w:r>
        <w:rPr>
          <w:rFonts w:hint="eastAsia"/>
          <w:highlight w:val="none"/>
          <w:lang w:eastAsia="zh"/>
        </w:rPr>
        <w:t>人员密集场所</w:t>
      </w:r>
      <w:r>
        <w:rPr>
          <w:rFonts w:hint="eastAsia"/>
          <w:highlight w:val="none"/>
          <w:lang w:val="en-US" w:eastAsia="zh-CN"/>
        </w:rPr>
        <w:t>存在变配电设备设施、电动自行车、电动汽车停放场所等</w:t>
      </w:r>
      <w:bookmarkStart w:id="101" w:name="OLE_LINK54"/>
      <w:r>
        <w:rPr>
          <w:rFonts w:hint="eastAsia"/>
          <w:highlight w:val="none"/>
          <w:lang w:val="en-US" w:eastAsia="zh-CN"/>
        </w:rPr>
        <w:t>特殊场所</w:t>
      </w:r>
      <w:bookmarkEnd w:id="101"/>
      <w:r>
        <w:rPr>
          <w:rFonts w:hint="eastAsia"/>
          <w:highlight w:val="none"/>
          <w:lang w:val="en-US" w:eastAsia="zh-CN"/>
        </w:rPr>
        <w:t>设备设施时，应按照相关现行规范进行消防安全评估。</w:t>
      </w:r>
    </w:p>
    <w:p w14:paraId="44552AD0">
      <w:pPr>
        <w:autoSpaceDN/>
        <w:jc w:val="both"/>
        <w:rPr>
          <w:rFonts w:hint="eastAsia" w:ascii="Times New Roman" w:hAnsi="Times New Roman" w:eastAsia="宋体" w:cs="Times New Roman"/>
          <w:b/>
          <w:highlight w:val="none"/>
          <w:lang w:eastAsia="zh"/>
          <w:woUserID w:val="1"/>
        </w:rPr>
      </w:pPr>
      <w:bookmarkStart w:id="102" w:name="OLE_LINK45"/>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w:t>
      </w:r>
      <w:r>
        <w:rPr>
          <w:rFonts w:hint="eastAsia" w:ascii="Times New Roman" w:hAnsi="Times New Roman" w:cs="Times New Roman"/>
          <w:b/>
          <w:bCs/>
          <w:highlight w:val="none"/>
          <w:lang w:val="en-US" w:eastAsia="zh-CN"/>
        </w:rPr>
        <w:t>5</w:t>
      </w:r>
      <w:r>
        <w:rPr>
          <w:rFonts w:ascii="Times New Roman" w:hAnsi="Times New Roman" w:cs="Times New Roman"/>
          <w:highlight w:val="none"/>
        </w:rPr>
        <w:t xml:space="preserve">  </w:t>
      </w:r>
      <w:r>
        <w:rPr>
          <w:rFonts w:hint="eastAsia"/>
          <w:highlight w:val="none"/>
          <w:lang w:eastAsia="zh"/>
        </w:rPr>
        <w:t>人员密集场所</w:t>
      </w:r>
      <w:r>
        <w:rPr>
          <w:rFonts w:hint="eastAsia" w:cs="Times New Roman"/>
          <w:highlight w:val="none"/>
        </w:rPr>
        <w:t>消防安全评估</w:t>
      </w:r>
      <w:r>
        <w:rPr>
          <w:rFonts w:hint="eastAsia" w:cs="Times New Roman"/>
          <w:highlight w:val="none"/>
          <w:lang w:eastAsia="zh"/>
        </w:rPr>
        <w:t>周期</w:t>
      </w:r>
      <w:r>
        <w:rPr>
          <w:rFonts w:hint="eastAsia" w:cs="Times New Roman"/>
          <w:highlight w:val="none"/>
        </w:rPr>
        <w:t>应符合下列规定：</w:t>
      </w:r>
      <w:bookmarkEnd w:id="102"/>
    </w:p>
    <w:p w14:paraId="3E5E7DD4">
      <w:pPr>
        <w:keepNext w:val="0"/>
        <w:keepLines w:val="0"/>
        <w:widowControl/>
        <w:suppressLineNumbers w:val="0"/>
        <w:autoSpaceDN/>
        <w:spacing w:before="0" w:beforeAutospacing="0" w:after="0" w:afterAutospacing="0"/>
        <w:ind w:left="0" w:right="0" w:firstLine="482" w:firstLineChars="200"/>
        <w:jc w:val="both"/>
        <w:rPr>
          <w:rFonts w:hint="default" w:ascii="Times New Roman" w:hAnsi="Times New Roman" w:eastAsia="宋体" w:cs="Times New Roman"/>
          <w:bCs/>
          <w:highlight w:val="none"/>
          <w:lang w:eastAsia="zh-CN"/>
        </w:rPr>
      </w:pPr>
      <w:r>
        <w:rPr>
          <w:rFonts w:hint="default" w:ascii="Times New Roman" w:hAnsi="Times New Roman" w:cs="Times New Roman"/>
          <w:b/>
          <w:highlight w:val="none"/>
        </w:rPr>
        <w:t xml:space="preserve">1  </w:t>
      </w:r>
      <w:r>
        <w:rPr>
          <w:rFonts w:hint="default" w:ascii="Times New Roman" w:hAnsi="Times New Roman" w:eastAsia="宋体" w:cs="Times New Roman"/>
          <w:bCs/>
          <w:highlight w:val="none"/>
          <w:lang w:val="en-US" w:eastAsia="zh-CN"/>
        </w:rPr>
        <w:t>以下情况</w:t>
      </w:r>
      <w:r>
        <w:rPr>
          <w:rFonts w:hint="default" w:ascii="Times New Roman" w:hAnsi="Times New Roman" w:eastAsia="宋体" w:cs="Times New Roman"/>
          <w:bCs/>
          <w:highlight w:val="none"/>
        </w:rPr>
        <w:t>应每年进行一次消防安全评估</w:t>
      </w:r>
      <w:r>
        <w:rPr>
          <w:rFonts w:hint="default" w:ascii="Times New Roman" w:hAnsi="Times New Roman" w:eastAsia="宋体" w:cs="Times New Roman"/>
          <w:bCs/>
          <w:highlight w:val="none"/>
          <w:lang w:eastAsia="zh-CN"/>
        </w:rPr>
        <w:t>：</w:t>
      </w:r>
    </w:p>
    <w:p w14:paraId="1568B619">
      <w:pPr>
        <w:keepNext w:val="0"/>
        <w:keepLines w:val="0"/>
        <w:widowControl/>
        <w:numPr>
          <w:ilvl w:val="0"/>
          <w:numId w:val="0"/>
        </w:numPr>
        <w:suppressLineNumbers w:val="0"/>
        <w:autoSpaceDN/>
        <w:spacing w:before="0" w:beforeAutospacing="0" w:after="0" w:afterAutospacing="0"/>
        <w:ind w:right="0" w:rightChars="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1）</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单体建筑面积超过30000平方米的商场和占地面积超过20000平方米的综合性市场；</w:t>
      </w:r>
    </w:p>
    <w:p w14:paraId="5411BB7E">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2）</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营业面积超过2000平方米的餐饮场所；</w:t>
      </w:r>
    </w:p>
    <w:p w14:paraId="6557ADB6">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3）</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建筑面积超过5000平方米的礼堂和其他建筑面积超过2000平方米的公共娱乐场所；</w:t>
      </w:r>
    </w:p>
    <w:p w14:paraId="15E037CE">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4）</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单馆建筑面积超过10000平方米或总建筑面积超过30000平方米的展览馆；</w:t>
      </w:r>
    </w:p>
    <w:p w14:paraId="1FB186DE">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5）</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寄宿总床位数超过50张的养老院、托儿所、幼儿园；</w:t>
      </w:r>
    </w:p>
    <w:p w14:paraId="473CE396">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cs="Times New Roman"/>
          <w:b w:val="0"/>
          <w:bCs w:val="0"/>
          <w:color w:val="auto"/>
          <w:kern w:val="2"/>
          <w:sz w:val="24"/>
          <w:szCs w:val="28"/>
          <w:highlight w:val="none"/>
          <w:lang w:val="en-US" w:eastAsia="zh-CN" w:bidi="ar-SA"/>
        </w:rPr>
      </w:pPr>
      <w:bookmarkStart w:id="103" w:name="OLE_LINK62"/>
      <w:r>
        <w:rPr>
          <w:rFonts w:hint="default" w:ascii="Times New Roman" w:hAnsi="Times New Roman" w:cs="Times New Roman"/>
          <w:b/>
          <w:bCs/>
          <w:color w:val="auto"/>
          <w:kern w:val="2"/>
          <w:sz w:val="24"/>
          <w:szCs w:val="28"/>
          <w:highlight w:val="none"/>
          <w:lang w:val="en-US" w:eastAsia="zh-CN" w:bidi="ar-SA"/>
        </w:rPr>
        <w:t xml:space="preserve">6）  </w:t>
      </w:r>
      <w:bookmarkEnd w:id="103"/>
      <w:r>
        <w:rPr>
          <w:rFonts w:hint="default" w:ascii="Times New Roman" w:hAnsi="Times New Roman" w:cs="Times New Roman"/>
          <w:b w:val="0"/>
          <w:bCs w:val="0"/>
          <w:color w:val="auto"/>
          <w:kern w:val="2"/>
          <w:sz w:val="24"/>
          <w:szCs w:val="28"/>
          <w:highlight w:val="none"/>
          <w:lang w:val="en-US" w:eastAsia="zh-CN" w:bidi="ar-SA"/>
        </w:rPr>
        <w:t>建筑面积超过10000平方米的交通枢纽、客运车站；</w:t>
      </w:r>
    </w:p>
    <w:p w14:paraId="36C7D5E0">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 xml:space="preserve">7）  </w:t>
      </w:r>
      <w:r>
        <w:rPr>
          <w:rFonts w:hint="default" w:ascii="Times New Roman" w:hAnsi="Times New Roman" w:eastAsia="宋体" w:cs="Times New Roman"/>
          <w:color w:val="auto"/>
          <w:kern w:val="2"/>
          <w:sz w:val="24"/>
          <w:szCs w:val="28"/>
          <w:highlight w:val="none"/>
          <w:lang w:val="en-US" w:eastAsia="zh-CN" w:bidi="ar-SA"/>
        </w:rPr>
        <w:t>固定座位数超过30000个的体育场或固定座位数超过5000个的体育馆；</w:t>
      </w:r>
    </w:p>
    <w:p w14:paraId="5054519F">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8）</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客房数超过200间的宾馆、饭店；</w:t>
      </w:r>
    </w:p>
    <w:p w14:paraId="65043D94">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bookmarkStart w:id="104" w:name="OLE_LINK66"/>
      <w:r>
        <w:rPr>
          <w:rFonts w:hint="default" w:ascii="Times New Roman" w:hAnsi="Times New Roman" w:cs="Times New Roman"/>
          <w:b/>
          <w:bCs/>
          <w:color w:val="auto"/>
          <w:kern w:val="2"/>
          <w:sz w:val="24"/>
          <w:szCs w:val="28"/>
          <w:highlight w:val="none"/>
          <w:lang w:val="en-US" w:eastAsia="zh-CN" w:bidi="ar-SA"/>
        </w:rPr>
        <w:t>9）</w:t>
      </w:r>
      <w:r>
        <w:rPr>
          <w:rFonts w:hint="default" w:ascii="Times New Roman" w:hAnsi="Times New Roman" w:cs="Times New Roman"/>
          <w:color w:val="auto"/>
          <w:kern w:val="2"/>
          <w:sz w:val="24"/>
          <w:szCs w:val="28"/>
          <w:highlight w:val="none"/>
          <w:lang w:val="en-US" w:eastAsia="zh-CN" w:bidi="ar-SA"/>
        </w:rPr>
        <w:t xml:space="preserve">  </w:t>
      </w:r>
      <w:bookmarkEnd w:id="104"/>
      <w:r>
        <w:rPr>
          <w:rFonts w:hint="default" w:ascii="Times New Roman" w:hAnsi="Times New Roman" w:cs="Times New Roman"/>
          <w:color w:val="auto"/>
          <w:kern w:val="2"/>
          <w:sz w:val="24"/>
          <w:szCs w:val="28"/>
          <w:highlight w:val="none"/>
          <w:lang w:val="en-US" w:eastAsia="zh-CN" w:bidi="ar-SA"/>
        </w:rPr>
        <w:t>三级甲等医院、</w:t>
      </w:r>
      <w:r>
        <w:rPr>
          <w:rFonts w:hint="default" w:ascii="Times New Roman" w:hAnsi="Times New Roman" w:eastAsia="宋体" w:cs="Times New Roman"/>
          <w:color w:val="auto"/>
          <w:kern w:val="2"/>
          <w:sz w:val="24"/>
          <w:szCs w:val="28"/>
          <w:highlight w:val="none"/>
          <w:lang w:val="en-US" w:eastAsia="zh-CN" w:bidi="ar-SA"/>
        </w:rPr>
        <w:t>日接待门诊2000人次或住院床位300张以上的医院；</w:t>
      </w:r>
    </w:p>
    <w:p w14:paraId="7B6D0CBC">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bookmarkStart w:id="105" w:name="OLE_LINK65"/>
      <w:r>
        <w:rPr>
          <w:rFonts w:hint="default" w:ascii="Times New Roman" w:hAnsi="Times New Roman" w:cs="Times New Roman"/>
          <w:b/>
          <w:bCs/>
          <w:color w:val="auto"/>
          <w:kern w:val="2"/>
          <w:sz w:val="24"/>
          <w:szCs w:val="28"/>
          <w:highlight w:val="none"/>
          <w:lang w:val="en-US" w:eastAsia="zh-CN" w:bidi="ar-SA"/>
        </w:rPr>
        <w:t>10）</w:t>
      </w:r>
      <w:r>
        <w:rPr>
          <w:rFonts w:hint="default" w:ascii="Times New Roman" w:hAnsi="Times New Roman" w:cs="Times New Roman"/>
          <w:color w:val="auto"/>
          <w:kern w:val="2"/>
          <w:sz w:val="24"/>
          <w:szCs w:val="28"/>
          <w:highlight w:val="none"/>
          <w:lang w:val="en-US" w:eastAsia="zh-CN" w:bidi="ar-SA"/>
        </w:rPr>
        <w:t xml:space="preserve">  </w:t>
      </w:r>
      <w:bookmarkEnd w:id="105"/>
      <w:r>
        <w:rPr>
          <w:rFonts w:hint="default" w:ascii="Times New Roman" w:hAnsi="Times New Roman" w:eastAsia="宋体" w:cs="Times New Roman"/>
          <w:color w:val="auto"/>
          <w:kern w:val="2"/>
          <w:sz w:val="24"/>
          <w:szCs w:val="28"/>
          <w:highlight w:val="none"/>
          <w:lang w:val="en-US" w:eastAsia="zh-CN" w:bidi="ar-SA"/>
        </w:rPr>
        <w:t>单个厂房或者车间建筑面积超过2500平方米且同一工时用工人数超过100人的从事纺织、鞋帽、服装、玩具、食品、药品、电子、家具等产品生产、加工的劳动密集型企业</w:t>
      </w:r>
      <w:r>
        <w:rPr>
          <w:rFonts w:hint="default" w:ascii="Times New Roman" w:hAnsi="Times New Roman" w:cs="Times New Roman"/>
          <w:color w:val="auto"/>
          <w:kern w:val="2"/>
          <w:sz w:val="24"/>
          <w:szCs w:val="28"/>
          <w:highlight w:val="none"/>
          <w:lang w:val="en-US" w:eastAsia="zh-CN" w:bidi="ar-SA"/>
        </w:rPr>
        <w:t>；</w:t>
      </w:r>
    </w:p>
    <w:p w14:paraId="037BC537">
      <w:pPr>
        <w:keepNext w:val="0"/>
        <w:keepLines w:val="0"/>
        <w:widowControl/>
        <w:suppressLineNumbers w:val="0"/>
        <w:autoSpaceDN/>
        <w:spacing w:before="0" w:beforeAutospacing="0" w:after="0" w:afterAutospacing="0"/>
        <w:ind w:left="0" w:right="0" w:firstLine="723" w:firstLineChars="300"/>
        <w:jc w:val="both"/>
        <w:rPr>
          <w:rFonts w:hint="default" w:ascii="Times New Roman" w:hAnsi="Times New Roman" w:eastAsia="宋体" w:cs="Times New Roman"/>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11）</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总建筑面积超过3000平方米的甲类厂房或总建筑面积超过10000平方米的乙类厂房；</w:t>
      </w:r>
    </w:p>
    <w:p w14:paraId="0299DF92">
      <w:pPr>
        <w:keepNext w:val="0"/>
        <w:keepLines w:val="0"/>
        <w:widowControl/>
        <w:suppressLineNumbers w:val="0"/>
        <w:autoSpaceDN/>
        <w:spacing w:before="0" w:beforeAutospacing="0" w:after="0" w:afterAutospacing="0"/>
        <w:ind w:left="0" w:right="0" w:firstLine="723" w:firstLineChars="300"/>
        <w:jc w:val="both"/>
        <w:rPr>
          <w:rFonts w:hint="eastAsia" w:ascii="宋体" w:hAnsi="宋体" w:eastAsia="宋体" w:cs="仿宋"/>
          <w:color w:val="auto"/>
          <w:kern w:val="2"/>
          <w:sz w:val="24"/>
          <w:szCs w:val="28"/>
          <w:highlight w:val="none"/>
          <w:lang w:val="en-US" w:eastAsia="zh-CN" w:bidi="ar-SA"/>
        </w:rPr>
      </w:pPr>
      <w:r>
        <w:rPr>
          <w:rFonts w:hint="default" w:ascii="Times New Roman" w:hAnsi="Times New Roman" w:cs="Times New Roman"/>
          <w:b/>
          <w:bCs/>
          <w:color w:val="auto"/>
          <w:kern w:val="2"/>
          <w:sz w:val="24"/>
          <w:szCs w:val="28"/>
          <w:highlight w:val="none"/>
          <w:lang w:val="en-US" w:eastAsia="zh-CN" w:bidi="ar-SA"/>
        </w:rPr>
        <w:t>12）</w:t>
      </w:r>
      <w:r>
        <w:rPr>
          <w:rFonts w:hint="default" w:ascii="Times New Roman" w:hAnsi="Times New Roman" w:cs="Times New Roman"/>
          <w:color w:val="auto"/>
          <w:kern w:val="2"/>
          <w:sz w:val="24"/>
          <w:szCs w:val="28"/>
          <w:highlight w:val="none"/>
          <w:lang w:val="en-US" w:eastAsia="zh-CN" w:bidi="ar-SA"/>
        </w:rPr>
        <w:t xml:space="preserve">  </w:t>
      </w:r>
      <w:r>
        <w:rPr>
          <w:rFonts w:hint="default" w:ascii="Times New Roman" w:hAnsi="Times New Roman" w:eastAsia="宋体" w:cs="Times New Roman"/>
          <w:color w:val="auto"/>
          <w:kern w:val="2"/>
          <w:sz w:val="24"/>
          <w:szCs w:val="28"/>
          <w:highlight w:val="none"/>
          <w:lang w:val="en-US" w:eastAsia="zh-CN" w:bidi="ar-SA"/>
        </w:rPr>
        <w:t>属于人员密集场所消防安全重点单位的地下空间</w:t>
      </w:r>
      <w:r>
        <w:rPr>
          <w:rFonts w:hint="default" w:ascii="Times New Roman" w:hAnsi="Times New Roman" w:cs="Times New Roman"/>
          <w:color w:val="auto"/>
          <w:kern w:val="2"/>
          <w:sz w:val="24"/>
          <w:szCs w:val="28"/>
          <w:highlight w:val="none"/>
          <w:lang w:val="en-US" w:eastAsia="zh-CN" w:bidi="ar-SA"/>
        </w:rPr>
        <w:t>。</w:t>
      </w:r>
    </w:p>
    <w:p w14:paraId="0E92F228">
      <w:pPr>
        <w:tabs>
          <w:tab w:val="left" w:pos="540"/>
        </w:tabs>
        <w:spacing w:line="360" w:lineRule="auto"/>
        <w:rPr>
          <w:rFonts w:hint="eastAsia" w:cs="仿宋"/>
          <w:color w:val="0000FF"/>
          <w:sz w:val="24"/>
          <w:highlight w:val="none"/>
          <w:lang w:val="en-US" w:eastAsia="zh"/>
        </w:rPr>
      </w:pPr>
      <w:r>
        <w:rPr>
          <w:rFonts w:hint="eastAsia" w:cs="仿宋"/>
          <w:color w:val="0000FF"/>
          <w:sz w:val="24"/>
          <w:highlight w:val="none"/>
          <w:lang w:val="en-US" w:eastAsia="zh-CN"/>
        </w:rPr>
        <w:t>【条文说明】</w:t>
      </w:r>
    </w:p>
    <w:p w14:paraId="7E5D7337">
      <w:pPr>
        <w:tabs>
          <w:tab w:val="left" w:pos="540"/>
        </w:tabs>
        <w:spacing w:line="360" w:lineRule="auto"/>
        <w:ind w:firstLine="480" w:firstLineChars="200"/>
        <w:rPr>
          <w:rFonts w:hint="eastAsia" w:cs="仿宋"/>
          <w:color w:val="0000FF"/>
          <w:sz w:val="24"/>
          <w:highlight w:val="none"/>
          <w:lang w:val="en-US" w:eastAsia="zh-CN"/>
        </w:rPr>
      </w:pPr>
      <w:r>
        <w:rPr>
          <w:rFonts w:hint="eastAsia" w:cs="仿宋"/>
          <w:color w:val="0000FF"/>
          <w:sz w:val="24"/>
          <w:highlight w:val="none"/>
          <w:lang w:val="en-US" w:eastAsia="zh-CN"/>
        </w:rPr>
        <w:t>根据《中华人民共和国消防法》第十六条，机关、团体、企业、事业等单位应当对建筑消防设施每年至少进行一次全面检测，确保完好有效，检测记录应当完整准确，存档备查。</w:t>
      </w:r>
    </w:p>
    <w:p w14:paraId="08AB3C88">
      <w:pPr>
        <w:tabs>
          <w:tab w:val="left" w:pos="540"/>
        </w:tabs>
        <w:spacing w:line="360" w:lineRule="auto"/>
        <w:ind w:firstLine="480" w:firstLineChars="200"/>
        <w:rPr>
          <w:rFonts w:hint="eastAsia" w:cs="仿宋"/>
          <w:color w:val="0000FF"/>
          <w:sz w:val="24"/>
          <w:highlight w:val="none"/>
          <w:lang w:val="en-US" w:eastAsia="zh-CN"/>
        </w:rPr>
      </w:pPr>
      <w:r>
        <w:rPr>
          <w:rFonts w:hint="eastAsia" w:cs="仿宋"/>
          <w:color w:val="0000FF"/>
          <w:sz w:val="24"/>
          <w:highlight w:val="none"/>
          <w:lang w:val="en-US" w:eastAsia="zh-CN"/>
        </w:rPr>
        <w:t>根据由公安部消防救援局研究制定的</w:t>
      </w:r>
      <w:bookmarkStart w:id="106" w:name="OLE_LINK56"/>
      <w:r>
        <w:rPr>
          <w:rFonts w:hint="eastAsia" w:cs="仿宋"/>
          <w:color w:val="0000FF"/>
          <w:sz w:val="24"/>
          <w:highlight w:val="none"/>
          <w:lang w:val="en-US" w:eastAsia="zh-CN"/>
        </w:rPr>
        <w:t>《火灾高危单位消防安全评估导则(试行)》</w:t>
      </w:r>
      <w:bookmarkEnd w:id="106"/>
      <w:r>
        <w:rPr>
          <w:rFonts w:hint="eastAsia" w:cs="仿宋"/>
          <w:color w:val="0000FF"/>
          <w:sz w:val="24"/>
          <w:highlight w:val="none"/>
          <w:lang w:val="en-US" w:eastAsia="zh-CN"/>
        </w:rPr>
        <w:t>规定，明确火灾高危单位是指一旦发生火灾容易造成群死群伤的单位，包含‌在本地区具有较大规模的人员密集场所‌，如大型商场、体育场馆等《火灾高危单位消防安全评估导则(试行)》第三条规定，火灾高危单位应每年按要求对本单位消防安全情况进行一次评估，并在每年12月10日前将评估报告报当地公安机关消防机构备案。</w:t>
      </w:r>
    </w:p>
    <w:p w14:paraId="605DF728">
      <w:pPr>
        <w:tabs>
          <w:tab w:val="left" w:pos="540"/>
        </w:tabs>
        <w:spacing w:line="360" w:lineRule="auto"/>
        <w:ind w:firstLine="480" w:firstLineChars="200"/>
        <w:rPr>
          <w:rFonts w:hint="eastAsia" w:cs="仿宋"/>
          <w:color w:val="0000FF"/>
          <w:sz w:val="24"/>
          <w:highlight w:val="none"/>
          <w:lang w:val="en-US" w:eastAsia="zh-CN"/>
        </w:rPr>
      </w:pPr>
      <w:r>
        <w:rPr>
          <w:rFonts w:hint="eastAsia" w:ascii="宋体" w:hAnsi="宋体" w:eastAsia="宋体" w:cs="仿宋"/>
          <w:color w:val="0000FF"/>
          <w:kern w:val="2"/>
          <w:sz w:val="24"/>
          <w:szCs w:val="28"/>
          <w:highlight w:val="none"/>
          <w:lang w:val="en-US" w:eastAsia="zh-CN" w:bidi="ar-SA"/>
        </w:rPr>
        <w:t>北京市公安局2014年第1号文件《北京市公安局关于北京市火灾高危单位界定标准和火灾风险评估导则的通告》，凡符合以下条件的机关、团体、企业、事业单位，属于北京市火灾高危单位：一、人员密集场所：单体建筑面积超过30000平方米的商场和占地面积超过20000平方米的综合性市场；营业面积超过2000平方米的餐饮场所；建筑面积超过5000平方米的礼堂和其他建筑面积超过2000平方米的公共娱乐场所；单馆建筑面积超过10000平方米或总建筑面积超过30000平方米的展览馆；寄宿总床位数超过50张的养老院、托儿所、幼儿园；建筑面积超过10000平方米的交通枢纽、客运车站；固定座位数超过30000个的体育场或固定座位数超过5000个的体育馆；客房数超过200间的宾馆、饭店；日接待门诊2000人次或住院床位300张以上的医院；单个厂房或者车间建筑面积超过2500平方米且同一工时用工人数超过100人的从事纺织、鞋帽、服装、玩具、食品、药品、电子、家具等产品生产、加工的劳动密集型企业。二、易燃易爆单位：单座容积超过20000立方米或者总容积超过100000立方米的甲乙类储罐；液化烃和液化石油气单座容积超过1000立方米或者总容积超过5000立方米的储罐；</w:t>
      </w:r>
      <w:bookmarkStart w:id="107" w:name="OLE_LINK63"/>
      <w:r>
        <w:rPr>
          <w:rFonts w:hint="eastAsia" w:ascii="宋体" w:hAnsi="宋体" w:eastAsia="宋体" w:cs="仿宋"/>
          <w:color w:val="0000FF"/>
          <w:kern w:val="2"/>
          <w:sz w:val="24"/>
          <w:szCs w:val="28"/>
          <w:highlight w:val="none"/>
          <w:lang w:val="en-US" w:eastAsia="zh-CN" w:bidi="ar-SA"/>
        </w:rPr>
        <w:t>总建筑面积超过3000平方米的甲类厂房或总建筑面积超过10000平方米的乙类厂房；</w:t>
      </w:r>
      <w:bookmarkEnd w:id="107"/>
      <w:r>
        <w:rPr>
          <w:rFonts w:hint="eastAsia" w:ascii="宋体" w:hAnsi="宋体" w:eastAsia="宋体" w:cs="仿宋"/>
          <w:color w:val="0000FF"/>
          <w:kern w:val="2"/>
          <w:sz w:val="24"/>
          <w:szCs w:val="28"/>
          <w:highlight w:val="none"/>
          <w:lang w:val="en-US" w:eastAsia="zh-CN" w:bidi="ar-SA"/>
        </w:rPr>
        <w:t>工艺装置占地面积超过10000平方米的石化单位；总建筑面积超过1500平方米的甲类仓库和总建筑面积超过5000平方米的乙类仓库；生产工艺需要使用甲乙类化学危险品且存量在10吨以上工业企业。三、高层公共建筑、地下空间：100米以上的超高层建筑；</w:t>
      </w:r>
      <w:bookmarkStart w:id="108" w:name="OLE_LINK64"/>
      <w:r>
        <w:rPr>
          <w:rFonts w:hint="eastAsia" w:ascii="宋体" w:hAnsi="宋体" w:eastAsia="宋体" w:cs="仿宋"/>
          <w:color w:val="0000FF"/>
          <w:kern w:val="2"/>
          <w:sz w:val="24"/>
          <w:szCs w:val="28"/>
          <w:highlight w:val="none"/>
          <w:lang w:val="en-US" w:eastAsia="zh-CN" w:bidi="ar-SA"/>
        </w:rPr>
        <w:t>属于人员密集场所消防安全重点单位的地下空间</w:t>
      </w:r>
      <w:bookmarkEnd w:id="108"/>
      <w:r>
        <w:rPr>
          <w:rFonts w:hint="eastAsia" w:ascii="宋体" w:hAnsi="宋体" w:eastAsia="宋体" w:cs="仿宋"/>
          <w:color w:val="0000FF"/>
          <w:kern w:val="2"/>
          <w:sz w:val="24"/>
          <w:szCs w:val="28"/>
          <w:highlight w:val="none"/>
          <w:lang w:val="en-US" w:eastAsia="zh-CN" w:bidi="ar-SA"/>
        </w:rPr>
        <w:t>。四、木结构或砖木结构的全国重点文物保护单位。五、国家级、省级广播电台、电视台和邮政、通信枢纽。六、轨道交通运营管理单位。七、其他容易发生火灾且一旦发生火灾可能造成重大人身伤亡或者财产损失的地区标志性建筑等单位。八、铁路、交通、民航系统各单位，由各系统主管部门根据有关规定制定界定标准。</w:t>
      </w:r>
    </w:p>
    <w:p w14:paraId="4891C237">
      <w:pPr>
        <w:autoSpaceDN/>
        <w:ind w:firstLine="482" w:firstLineChars="200"/>
        <w:jc w:val="both"/>
        <w:rPr>
          <w:rFonts w:hint="eastAsia" w:ascii="Times New Roman" w:hAnsi="Times New Roman" w:cs="Times New Roman"/>
          <w:bCs/>
          <w:color w:val="auto"/>
          <w:highlight w:val="none"/>
          <w:lang w:eastAsia="zh"/>
        </w:rPr>
      </w:pPr>
      <w:r>
        <w:rPr>
          <w:rFonts w:hint="eastAsia" w:ascii="Times New Roman" w:hAnsi="Times New Roman" w:cs="Times New Roman"/>
          <w:b/>
          <w:highlight w:val="none"/>
        </w:rPr>
        <w:t xml:space="preserve">2  </w:t>
      </w:r>
      <w:r>
        <w:rPr>
          <w:rFonts w:hint="eastAsia" w:ascii="Times New Roman" w:hAnsi="Times New Roman" w:cs="Times New Roman"/>
          <w:bCs/>
          <w:strike w:val="0"/>
          <w:dstrike w:val="0"/>
          <w:color w:val="auto"/>
          <w:highlight w:val="none"/>
          <w:lang w:val="en-US" w:eastAsia="zh-CN"/>
        </w:rPr>
        <w:t>其他人员密集场所</w:t>
      </w:r>
      <w:r>
        <w:rPr>
          <w:rFonts w:hint="eastAsia" w:ascii="Times New Roman" w:hAnsi="Times New Roman" w:cs="Times New Roman"/>
          <w:bCs/>
          <w:color w:val="auto"/>
          <w:highlight w:val="none"/>
          <w:lang w:val="en-US" w:eastAsia="zh-CN"/>
        </w:rPr>
        <w:t>宜</w:t>
      </w:r>
      <w:r>
        <w:rPr>
          <w:rFonts w:hint="eastAsia" w:ascii="Times New Roman" w:hAnsi="Times New Roman" w:cs="Times New Roman"/>
          <w:bCs/>
          <w:color w:val="auto"/>
          <w:highlight w:val="none"/>
        </w:rPr>
        <w:t>每年进行一次消防安全评估</w:t>
      </w:r>
      <w:r>
        <w:rPr>
          <w:rFonts w:hint="eastAsia" w:ascii="Times New Roman" w:hAnsi="Times New Roman" w:cs="Times New Roman"/>
          <w:bCs/>
          <w:color w:val="auto"/>
          <w:highlight w:val="none"/>
          <w:lang w:eastAsia="zh"/>
        </w:rPr>
        <w:t>。</w:t>
      </w:r>
    </w:p>
    <w:p w14:paraId="163A26B7">
      <w:pPr>
        <w:pStyle w:val="19"/>
        <w:spacing w:line="360" w:lineRule="auto"/>
        <w:rPr>
          <w:rFonts w:hint="default"/>
          <w:b w:val="0"/>
          <w:bCs w:val="0"/>
          <w:highlight w:val="none"/>
          <w:lang w:val="en-US" w:eastAsia="zh-CN"/>
        </w:rPr>
      </w:pPr>
      <w:r>
        <w:rPr>
          <w:rFonts w:hint="default"/>
          <w:b/>
          <w:highlight w:val="none"/>
          <w:lang w:eastAsia="zh"/>
        </w:rPr>
        <w:t>3.0.</w:t>
      </w:r>
      <w:r>
        <w:rPr>
          <w:rFonts w:hint="eastAsia"/>
          <w:b/>
          <w:highlight w:val="none"/>
          <w:lang w:val="en-US" w:eastAsia="zh-CN"/>
        </w:rPr>
        <w:t>6</w:t>
      </w:r>
      <w:r>
        <w:rPr>
          <w:rFonts w:hint="eastAsia"/>
          <w:b/>
          <w:highlight w:val="none"/>
          <w:lang w:eastAsia="zh"/>
        </w:rPr>
        <w:t xml:space="preserve"> </w:t>
      </w:r>
      <w:r>
        <w:rPr>
          <w:rFonts w:hint="eastAsia"/>
          <w:b w:val="0"/>
          <w:bCs w:val="0"/>
          <w:highlight w:val="none"/>
          <w:lang w:eastAsia="zh"/>
        </w:rPr>
        <w:t xml:space="preserve"> </w:t>
      </w:r>
      <w:r>
        <w:rPr>
          <w:rFonts w:hint="eastAsia"/>
          <w:b w:val="0"/>
          <w:bCs w:val="0"/>
          <w:highlight w:val="none"/>
          <w:lang w:val="en-US" w:eastAsia="zh-CN"/>
        </w:rPr>
        <w:t>消防安全</w:t>
      </w:r>
      <w:r>
        <w:rPr>
          <w:rFonts w:hint="eastAsia"/>
          <w:b w:val="0"/>
          <w:bCs w:val="0"/>
          <w:highlight w:val="none"/>
          <w:lang w:eastAsia="zh"/>
        </w:rPr>
        <w:t>评估的对象</w:t>
      </w:r>
      <w:r>
        <w:rPr>
          <w:rFonts w:hint="eastAsia"/>
          <w:b w:val="0"/>
          <w:bCs w:val="0"/>
          <w:highlight w:val="none"/>
          <w:lang w:val="en-US" w:eastAsia="zh-CN"/>
        </w:rPr>
        <w:t>为人员密集场所范围内的</w:t>
      </w:r>
      <w:r>
        <w:rPr>
          <w:rFonts w:hint="eastAsia" w:ascii="Times New Roman" w:hAnsi="Times New Roman" w:cs="Times New Roman"/>
          <w:highlight w:val="none"/>
        </w:rPr>
        <w:t>建筑</w:t>
      </w:r>
      <w:r>
        <w:rPr>
          <w:rFonts w:hint="eastAsia" w:cs="Times New Roman"/>
          <w:highlight w:val="none"/>
          <w:lang w:val="en-US" w:eastAsia="zh-CN"/>
        </w:rPr>
        <w:t>或场所</w:t>
      </w:r>
      <w:r>
        <w:rPr>
          <w:rFonts w:hint="eastAsia"/>
          <w:b w:val="0"/>
          <w:bCs w:val="0"/>
          <w:highlight w:val="none"/>
          <w:lang w:val="en-US" w:eastAsia="zh-CN"/>
        </w:rPr>
        <w:t>。</w:t>
      </w:r>
    </w:p>
    <w:p w14:paraId="69563587">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22EE55D7">
      <w:pPr>
        <w:pStyle w:val="19"/>
        <w:spacing w:line="360" w:lineRule="auto"/>
        <w:ind w:firstLine="480" w:firstLineChars="200"/>
        <w:rPr>
          <w:rFonts w:hint="default"/>
          <w:b w:val="0"/>
          <w:bCs w:val="0"/>
          <w:color w:val="0000FF"/>
          <w:highlight w:val="none"/>
          <w:lang w:eastAsia="zh-CN"/>
        </w:rPr>
      </w:pPr>
      <w:r>
        <w:rPr>
          <w:rFonts w:hint="eastAsia"/>
          <w:b w:val="0"/>
          <w:bCs w:val="0"/>
          <w:color w:val="0000FF"/>
          <w:highlight w:val="none"/>
          <w:lang w:val="en-US" w:eastAsia="zh-CN"/>
        </w:rPr>
        <w:t>根据本标准关于人员密集场所的定义，消防安全评估对象主要针对在一定时段内人员密度比较大的建筑或场所，比如，医院的门诊楼、住院楼长期人员密度大，评估对象通常为整体建筑；对于某些使用功能综合的建筑，如上部是住宅、底层是幼儿园，评估对象可仅为幼儿园所占用的部分。</w:t>
      </w:r>
    </w:p>
    <w:p w14:paraId="02EF3983">
      <w:pPr>
        <w:pStyle w:val="19"/>
        <w:autoSpaceDN/>
        <w:jc w:val="both"/>
        <w:rPr>
          <w:rFonts w:hint="eastAsia"/>
          <w:b w:val="0"/>
          <w:bCs w:val="0"/>
          <w:highlight w:val="none"/>
          <w:lang w:eastAsia="zh-CN"/>
        </w:rPr>
      </w:pPr>
      <w:r>
        <w:rPr>
          <w:rFonts w:hint="default"/>
          <w:b/>
          <w:highlight w:val="none"/>
          <w:lang w:eastAsia="zh"/>
        </w:rPr>
        <w:t>3.0.</w:t>
      </w:r>
      <w:r>
        <w:rPr>
          <w:rFonts w:hint="eastAsia"/>
          <w:b/>
          <w:highlight w:val="none"/>
          <w:lang w:val="en-US" w:eastAsia="zh-CN"/>
        </w:rPr>
        <w:t>7</w:t>
      </w:r>
      <w:r>
        <w:rPr>
          <w:rFonts w:hint="eastAsia"/>
          <w:b/>
          <w:highlight w:val="none"/>
          <w:lang w:eastAsia="zh"/>
        </w:rPr>
        <w:t xml:space="preserve"> </w:t>
      </w:r>
      <w:r>
        <w:rPr>
          <w:rFonts w:hint="eastAsia"/>
          <w:b w:val="0"/>
          <w:bCs w:val="0"/>
          <w:highlight w:val="none"/>
          <w:lang w:eastAsia="zh"/>
        </w:rPr>
        <w:t xml:space="preserve"> </w:t>
      </w:r>
      <w:r>
        <w:rPr>
          <w:rFonts w:hint="eastAsia"/>
          <w:b w:val="0"/>
          <w:bCs w:val="0"/>
          <w:strike w:val="0"/>
          <w:dstrike w:val="0"/>
          <w:color w:val="auto"/>
          <w:highlight w:val="none"/>
          <w:lang w:val="en-US" w:eastAsia="zh-CN"/>
        </w:rPr>
        <w:t>使用功能没有改变的人员密集场所，</w:t>
      </w:r>
      <w:r>
        <w:rPr>
          <w:rFonts w:hint="eastAsia"/>
          <w:b w:val="0"/>
          <w:bCs w:val="0"/>
          <w:highlight w:val="none"/>
          <w:lang w:eastAsia="zh"/>
        </w:rPr>
        <w:t>消防安全评估</w:t>
      </w:r>
      <w:r>
        <w:rPr>
          <w:rFonts w:hint="eastAsia"/>
          <w:b w:val="0"/>
          <w:bCs w:val="0"/>
          <w:highlight w:val="none"/>
          <w:lang w:val="en-US" w:eastAsia="zh-CN"/>
        </w:rPr>
        <w:t>标准应符合原</w:t>
      </w:r>
      <w:r>
        <w:rPr>
          <w:rFonts w:hint="eastAsia"/>
          <w:b w:val="0"/>
          <w:bCs w:val="0"/>
          <w:highlight w:val="none"/>
          <w:lang w:eastAsia="zh"/>
        </w:rPr>
        <w:t>设计建造时期标准要求</w:t>
      </w:r>
      <w:r>
        <w:rPr>
          <w:rFonts w:hint="eastAsia"/>
          <w:b w:val="0"/>
          <w:bCs w:val="0"/>
          <w:highlight w:val="none"/>
          <w:lang w:eastAsia="zh-CN"/>
        </w:rPr>
        <w:t>；</w:t>
      </w:r>
      <w:r>
        <w:rPr>
          <w:rFonts w:hint="eastAsia"/>
          <w:b w:val="0"/>
          <w:bCs w:val="0"/>
          <w:highlight w:val="none"/>
          <w:lang w:val="en-US" w:eastAsia="zh-CN"/>
        </w:rPr>
        <w:t>使用功能有改变的人员密集场所，应符合改变使用功能</w:t>
      </w:r>
      <w:r>
        <w:rPr>
          <w:rFonts w:hint="eastAsia"/>
          <w:b w:val="0"/>
          <w:bCs w:val="0"/>
          <w:highlight w:val="none"/>
          <w:lang w:eastAsia="zh"/>
        </w:rPr>
        <w:t>时期标准要求</w:t>
      </w:r>
      <w:r>
        <w:rPr>
          <w:rFonts w:hint="eastAsia"/>
          <w:b w:val="0"/>
          <w:bCs w:val="0"/>
          <w:highlight w:val="none"/>
          <w:lang w:eastAsia="zh-CN"/>
        </w:rPr>
        <w:t>。</w:t>
      </w:r>
    </w:p>
    <w:p w14:paraId="4693CCEF">
      <w:pPr>
        <w:pStyle w:val="19"/>
        <w:spacing w:line="360" w:lineRule="auto"/>
        <w:rPr>
          <w:rFonts w:hint="eastAsia" w:ascii="Times New Roman" w:hAnsi="Times New Roman" w:eastAsia="宋体" w:cs="Times New Roman"/>
          <w:b w:val="0"/>
          <w:bCs w:val="0"/>
          <w:color w:val="0000FF"/>
          <w:highlight w:val="none"/>
          <w:lang w:val="en-US" w:eastAsia="zh-CN"/>
        </w:rPr>
      </w:pPr>
      <w:r>
        <w:rPr>
          <w:rFonts w:hint="eastAsia" w:ascii="Times New Roman" w:hAnsi="Times New Roman" w:eastAsia="宋体" w:cs="Times New Roman"/>
          <w:b w:val="0"/>
          <w:bCs w:val="0"/>
          <w:color w:val="0000FF"/>
          <w:highlight w:val="none"/>
          <w:lang w:val="en-US" w:eastAsia="zh-CN"/>
        </w:rPr>
        <w:t>【条文说明】</w:t>
      </w:r>
    </w:p>
    <w:p w14:paraId="533D9A03">
      <w:pPr>
        <w:pStyle w:val="19"/>
        <w:spacing w:line="360" w:lineRule="auto"/>
        <w:ind w:firstLine="480" w:firstLineChars="200"/>
        <w:rPr>
          <w:rFonts w:hint="default"/>
          <w:b w:val="0"/>
          <w:bCs w:val="0"/>
          <w:highlight w:val="none"/>
          <w:lang w:val="en-US" w:eastAsia="zh"/>
        </w:rPr>
      </w:pPr>
      <w:r>
        <w:rPr>
          <w:rFonts w:hint="eastAsia" w:ascii="Times New Roman" w:hAnsi="Times New Roman" w:eastAsia="宋体" w:cs="Times New Roman"/>
          <w:b w:val="0"/>
          <w:bCs w:val="0"/>
          <w:color w:val="0000FF"/>
          <w:highlight w:val="none"/>
          <w:lang w:val="en-US" w:eastAsia="zh-CN"/>
        </w:rPr>
        <w:t>人员密集场所使用功能改变后，应按</w:t>
      </w:r>
      <w:r>
        <w:rPr>
          <w:rFonts w:hint="eastAsia" w:cs="Times New Roman"/>
          <w:b w:val="0"/>
          <w:bCs w:val="0"/>
          <w:color w:val="0000FF"/>
          <w:highlight w:val="none"/>
          <w:lang w:val="en-US" w:eastAsia="zh-CN"/>
        </w:rPr>
        <w:t>改变</w:t>
      </w:r>
      <w:r>
        <w:rPr>
          <w:rFonts w:hint="eastAsia" w:ascii="Times New Roman" w:hAnsi="Times New Roman" w:eastAsia="宋体" w:cs="Times New Roman"/>
          <w:b w:val="0"/>
          <w:bCs w:val="0"/>
          <w:color w:val="0000FF"/>
          <w:highlight w:val="none"/>
          <w:lang w:val="en-US" w:eastAsia="zh-CN"/>
        </w:rPr>
        <w:t>使用功能时的技术标准要求执行；如使用功能未改变但技术标准有更新时，应按原技术标准执行；使用功能改变后未进行第二次改变，但技术标准有更新时，应按使用功能改</w:t>
      </w:r>
      <w:r>
        <w:rPr>
          <w:rFonts w:hint="eastAsia" w:cs="Times New Roman"/>
          <w:b w:val="0"/>
          <w:bCs w:val="0"/>
          <w:color w:val="0000FF"/>
          <w:highlight w:val="none"/>
          <w:lang w:val="en-US" w:eastAsia="zh-CN"/>
        </w:rPr>
        <w:t>变</w:t>
      </w:r>
      <w:r>
        <w:rPr>
          <w:rFonts w:hint="eastAsia" w:ascii="Times New Roman" w:hAnsi="Times New Roman" w:eastAsia="宋体" w:cs="Times New Roman"/>
          <w:b w:val="0"/>
          <w:bCs w:val="0"/>
          <w:color w:val="0000FF"/>
          <w:highlight w:val="none"/>
          <w:lang w:val="en-US" w:eastAsia="zh-CN"/>
        </w:rPr>
        <w:t>时</w:t>
      </w:r>
      <w:r>
        <w:rPr>
          <w:rFonts w:hint="eastAsia" w:cs="Times New Roman"/>
          <w:b w:val="0"/>
          <w:bCs w:val="0"/>
          <w:color w:val="0000FF"/>
          <w:highlight w:val="none"/>
          <w:lang w:val="en-US" w:eastAsia="zh-CN"/>
        </w:rPr>
        <w:t>的</w:t>
      </w:r>
      <w:r>
        <w:rPr>
          <w:rFonts w:hint="eastAsia" w:ascii="Times New Roman" w:hAnsi="Times New Roman" w:eastAsia="宋体" w:cs="Times New Roman"/>
          <w:b w:val="0"/>
          <w:bCs w:val="0"/>
          <w:color w:val="0000FF"/>
          <w:highlight w:val="none"/>
          <w:lang w:val="en-US" w:eastAsia="zh-CN"/>
        </w:rPr>
        <w:t>技术标准执行。</w:t>
      </w:r>
    </w:p>
    <w:p w14:paraId="2A1FBF76">
      <w:pPr>
        <w:autoSpaceDN/>
        <w:jc w:val="both"/>
        <w:rPr>
          <w:rFonts w:ascii="Times New Roman" w:hAnsi="Times New Roman" w:cs="Times New Roman"/>
          <w:b/>
          <w:bCs/>
          <w:highlight w:val="none"/>
        </w:rPr>
      </w:pPr>
      <w:r>
        <w:rPr>
          <w:rFonts w:ascii="Times New Roman" w:hAnsi="Times New Roman" w:cs="Times New Roman"/>
          <w:b/>
          <w:bCs/>
          <w:highlight w:val="none"/>
        </w:rPr>
        <w:t>3.</w:t>
      </w:r>
      <w:r>
        <w:rPr>
          <w:rFonts w:hint="eastAsia" w:ascii="Times New Roman" w:hAnsi="Times New Roman" w:cs="Times New Roman"/>
          <w:b/>
          <w:bCs/>
          <w:highlight w:val="none"/>
          <w:lang w:eastAsia="zh"/>
        </w:rPr>
        <w:t>0</w:t>
      </w:r>
      <w:r>
        <w:rPr>
          <w:rFonts w:ascii="Times New Roman" w:hAnsi="Times New Roman" w:cs="Times New Roman"/>
          <w:b/>
          <w:bCs/>
          <w:highlight w:val="none"/>
        </w:rPr>
        <w:t>.</w:t>
      </w:r>
      <w:r>
        <w:rPr>
          <w:rFonts w:hint="default" w:ascii="Times New Roman" w:hAnsi="Times New Roman" w:cs="Times New Roman"/>
          <w:b/>
          <w:bCs/>
          <w:highlight w:val="none"/>
          <w:lang w:val="en-US" w:eastAsia="zh-CN"/>
        </w:rPr>
        <w:t>8</w:t>
      </w:r>
      <w:r>
        <w:rPr>
          <w:rFonts w:hint="eastAsia" w:ascii="Times New Roman" w:hAnsi="Times New Roman" w:cs="Times New Roman"/>
          <w:b/>
          <w:bCs/>
          <w:highlight w:val="none"/>
        </w:rPr>
        <w:t xml:space="preserve">  </w:t>
      </w:r>
      <w:r>
        <w:rPr>
          <w:rFonts w:hint="eastAsia" w:cs="Times New Roman"/>
          <w:highlight w:val="none"/>
        </w:rPr>
        <w:t>消防安全评估</w:t>
      </w:r>
      <w:r>
        <w:rPr>
          <w:rFonts w:hint="eastAsia" w:cs="Times New Roman"/>
          <w:highlight w:val="none"/>
          <w:lang w:val="en-US" w:eastAsia="zh-CN"/>
        </w:rPr>
        <w:t>机构</w:t>
      </w:r>
      <w:r>
        <w:rPr>
          <w:rFonts w:hint="eastAsia" w:cs="Times New Roman"/>
          <w:highlight w:val="none"/>
        </w:rPr>
        <w:t>应取得国家消防救援局社会消防技术服务信息系统备案。</w:t>
      </w:r>
    </w:p>
    <w:p w14:paraId="48B1BECC">
      <w:pPr>
        <w:autoSpaceDN/>
        <w:jc w:val="both"/>
        <w:rPr>
          <w:rFonts w:hint="eastAsia" w:cs="Times New Roman"/>
          <w:color w:val="auto"/>
          <w:highlight w:val="none"/>
        </w:rPr>
      </w:pPr>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w:t>
      </w:r>
      <w:r>
        <w:rPr>
          <w:rFonts w:hint="default" w:ascii="Times New Roman" w:hAnsi="Times New Roman" w:cs="Times New Roman"/>
          <w:b/>
          <w:bCs/>
          <w:highlight w:val="none"/>
          <w:lang w:val="en-US" w:eastAsia="zh-CN"/>
        </w:rPr>
        <w:t>9</w:t>
      </w:r>
      <w:r>
        <w:rPr>
          <w:rFonts w:ascii="Times New Roman" w:hAnsi="Times New Roman" w:cs="Times New Roman"/>
          <w:highlight w:val="none"/>
        </w:rPr>
        <w:t xml:space="preserve">  </w:t>
      </w:r>
      <w:r>
        <w:rPr>
          <w:rFonts w:hint="eastAsia" w:cs="Times New Roman"/>
          <w:highlight w:val="none"/>
        </w:rPr>
        <w:t>消防安全评</w:t>
      </w:r>
      <w:r>
        <w:rPr>
          <w:rFonts w:hint="eastAsia" w:cs="Times New Roman"/>
          <w:color w:val="auto"/>
          <w:highlight w:val="none"/>
        </w:rPr>
        <w:t>估人员应具备相关的从业条件和资格，执业范围应与其从业条件、资格和服务内容相符合。</w:t>
      </w:r>
    </w:p>
    <w:p w14:paraId="7F71D6B8">
      <w:pPr>
        <w:autoSpaceDN/>
        <w:jc w:val="both"/>
        <w:rPr>
          <w:rFonts w:ascii="Times New Roman" w:hAnsi="Times New Roman" w:cs="Times New Roman"/>
          <w:color w:val="auto"/>
          <w:highlight w:val="none"/>
        </w:rPr>
      </w:pPr>
      <w:r>
        <w:rPr>
          <w:rFonts w:hint="eastAsia" w:ascii="Times New Roman" w:hAnsi="Times New Roman" w:cs="Times New Roman"/>
          <w:b/>
          <w:bCs/>
          <w:color w:val="auto"/>
          <w:highlight w:val="none"/>
        </w:rPr>
        <w:t>3.</w:t>
      </w:r>
      <w:r>
        <w:rPr>
          <w:rFonts w:hint="eastAsia" w:ascii="Times New Roman" w:hAnsi="Times New Roman" w:cs="Times New Roman"/>
          <w:b/>
          <w:bCs/>
          <w:color w:val="auto"/>
          <w:highlight w:val="none"/>
          <w:lang w:eastAsia="zh"/>
        </w:rPr>
        <w:t>0</w:t>
      </w:r>
      <w:r>
        <w:rPr>
          <w:rFonts w:hint="eastAsia" w:ascii="Times New Roman" w:hAnsi="Times New Roman" w:cs="Times New Roman"/>
          <w:b/>
          <w:bCs/>
          <w:color w:val="auto"/>
          <w:highlight w:val="none"/>
        </w:rPr>
        <w:t>.</w:t>
      </w:r>
      <w:r>
        <w:rPr>
          <w:rFonts w:hint="default" w:ascii="Times New Roman" w:hAnsi="Times New Roman" w:cs="Times New Roman"/>
          <w:b/>
          <w:bCs/>
          <w:color w:val="auto"/>
          <w:highlight w:val="none"/>
          <w:lang w:val="en-US" w:eastAsia="zh-CN"/>
        </w:rPr>
        <w:t>10</w:t>
      </w:r>
      <w:r>
        <w:rPr>
          <w:rFonts w:ascii="Times New Roman" w:hAnsi="Times New Roman" w:cs="Times New Roman"/>
          <w:color w:val="auto"/>
          <w:highlight w:val="none"/>
        </w:rPr>
        <w:t xml:space="preserve">  </w:t>
      </w:r>
      <w:r>
        <w:rPr>
          <w:rFonts w:hint="eastAsia" w:cs="Times New Roman"/>
          <w:color w:val="auto"/>
          <w:highlight w:val="none"/>
          <w:lang w:eastAsia="zh"/>
        </w:rPr>
        <w:t>人员密集场所</w:t>
      </w:r>
      <w:r>
        <w:rPr>
          <w:rFonts w:hint="eastAsia" w:cs="Times New Roman"/>
          <w:color w:val="auto"/>
          <w:highlight w:val="none"/>
        </w:rPr>
        <w:t>的消防安全评估应按照本</w:t>
      </w:r>
      <w:r>
        <w:rPr>
          <w:rFonts w:hint="eastAsia" w:cs="Times New Roman"/>
          <w:color w:val="auto"/>
          <w:highlight w:val="none"/>
          <w:lang w:eastAsia="zh-CN"/>
        </w:rPr>
        <w:t>标准</w:t>
      </w:r>
      <w:r>
        <w:rPr>
          <w:rFonts w:hint="eastAsia" w:cs="Times New Roman"/>
          <w:color w:val="auto"/>
          <w:highlight w:val="none"/>
        </w:rPr>
        <w:t>规定的评估内容进行全数评估。</w:t>
      </w:r>
    </w:p>
    <w:p w14:paraId="23F80D66">
      <w:pPr>
        <w:rPr>
          <w:rFonts w:ascii="Times New Roman" w:hAnsi="Times New Roman" w:cs="Times New Roman"/>
          <w:color w:val="auto"/>
          <w:highlight w:val="none"/>
        </w:rPr>
      </w:pPr>
      <w:r>
        <w:rPr>
          <w:rFonts w:hint="eastAsia" w:ascii="Times New Roman" w:hAnsi="Times New Roman" w:cs="Times New Roman"/>
          <w:b/>
          <w:bCs/>
          <w:color w:val="auto"/>
          <w:highlight w:val="none"/>
        </w:rPr>
        <w:t>3.</w:t>
      </w:r>
      <w:r>
        <w:rPr>
          <w:rFonts w:hint="eastAsia" w:ascii="Times New Roman" w:hAnsi="Times New Roman" w:cs="Times New Roman"/>
          <w:b/>
          <w:bCs/>
          <w:color w:val="auto"/>
          <w:highlight w:val="none"/>
          <w:lang w:eastAsia="zh"/>
        </w:rPr>
        <w:t>0</w:t>
      </w:r>
      <w:r>
        <w:rPr>
          <w:rFonts w:hint="eastAsia" w:ascii="Times New Roman" w:hAnsi="Times New Roman" w:cs="Times New Roman"/>
          <w:b/>
          <w:bCs/>
          <w:color w:val="auto"/>
          <w:highlight w:val="none"/>
        </w:rPr>
        <w:t>.</w:t>
      </w:r>
      <w:r>
        <w:rPr>
          <w:rFonts w:hint="eastAsia" w:ascii="Times New Roman" w:hAnsi="Times New Roman" w:cs="Times New Roman"/>
          <w:b/>
          <w:bCs/>
          <w:color w:val="auto"/>
          <w:highlight w:val="none"/>
          <w:lang w:val="en-US" w:eastAsia="zh-CN"/>
        </w:rPr>
        <w:t>1</w:t>
      </w:r>
      <w:r>
        <w:rPr>
          <w:rFonts w:hint="default" w:ascii="Times New Roman" w:hAnsi="Times New Roman" w:cs="Times New Roman"/>
          <w:b/>
          <w:bCs/>
          <w:color w:val="auto"/>
          <w:highlight w:val="none"/>
          <w:lang w:val="en-US" w:eastAsia="zh-CN"/>
        </w:rPr>
        <w:t>1</w:t>
      </w:r>
      <w:r>
        <w:rPr>
          <w:rFonts w:ascii="Times New Roman" w:hAnsi="Times New Roman" w:cs="Times New Roman"/>
          <w:b/>
          <w:bCs/>
          <w:color w:val="auto"/>
          <w:highlight w:val="none"/>
        </w:rPr>
        <w:t xml:space="preserve">  </w:t>
      </w:r>
      <w:r>
        <w:rPr>
          <w:rFonts w:hint="eastAsia" w:cs="Times New Roman"/>
          <w:color w:val="auto"/>
          <w:highlight w:val="none"/>
          <w:lang w:val="en-US" w:eastAsia="zh-CN"/>
        </w:rPr>
        <w:t>人员密集场所</w:t>
      </w:r>
      <w:r>
        <w:rPr>
          <w:rFonts w:hint="eastAsia" w:cs="Times New Roman"/>
          <w:color w:val="auto"/>
          <w:highlight w:val="none"/>
        </w:rPr>
        <w:t>的消防安全评估现场检查抽样应符合下列要求：</w:t>
      </w:r>
    </w:p>
    <w:p w14:paraId="592E1273">
      <w:pPr>
        <w:autoSpaceDN/>
        <w:ind w:firstLine="482" w:firstLineChars="200"/>
        <w:jc w:val="both"/>
        <w:rPr>
          <w:rFonts w:ascii="Times New Roman" w:hAnsi="Times New Roman" w:cs="Times New Roman"/>
          <w:color w:val="auto"/>
          <w:highlight w:val="none"/>
        </w:rPr>
      </w:pPr>
      <w:r>
        <w:rPr>
          <w:rFonts w:hint="eastAsia" w:ascii="Times New Roman" w:hAnsi="Times New Roman" w:cs="Times New Roman"/>
          <w:b/>
          <w:highlight w:val="none"/>
        </w:rPr>
        <w:t>1</w:t>
      </w:r>
      <w:r>
        <w:rPr>
          <w:rFonts w:ascii="Times New Roman" w:hAnsi="Times New Roman" w:cs="Times New Roman"/>
          <w:b/>
          <w:highlight w:val="none"/>
        </w:rPr>
        <w:t xml:space="preserve">  </w:t>
      </w:r>
      <w:r>
        <w:rPr>
          <w:rFonts w:hint="eastAsia" w:ascii="Times New Roman" w:hAnsi="Times New Roman" w:cs="Times New Roman"/>
          <w:color w:val="auto"/>
          <w:highlight w:val="none"/>
        </w:rPr>
        <w:t>对防火间距、消防车道的设置及疏散楼梯的形式和数量应全部检查；</w:t>
      </w:r>
    </w:p>
    <w:p w14:paraId="1DA6E0DD">
      <w:pPr>
        <w:autoSpaceDN/>
        <w:ind w:firstLine="482" w:firstLineChars="200"/>
        <w:jc w:val="both"/>
        <w:rPr>
          <w:rFonts w:ascii="Times New Roman" w:hAnsi="Times New Roman" w:cs="Times New Roman"/>
          <w:highlight w:val="none"/>
        </w:rPr>
      </w:pPr>
      <w:r>
        <w:rPr>
          <w:rFonts w:hint="eastAsia" w:ascii="Times New Roman" w:hAnsi="Times New Roman" w:cs="Times New Roman"/>
          <w:b/>
          <w:color w:val="auto"/>
          <w:highlight w:val="none"/>
        </w:rPr>
        <w:t>2</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对防火分区进行抽查时，抽样位置应至</w:t>
      </w:r>
      <w:r>
        <w:rPr>
          <w:rFonts w:hint="eastAsia" w:ascii="Times New Roman" w:hAnsi="Times New Roman" w:cs="Times New Roman"/>
          <w:highlight w:val="none"/>
        </w:rPr>
        <w:t>少包括建筑的首层、顶层、</w:t>
      </w:r>
      <w:r>
        <w:rPr>
          <w:rFonts w:hint="eastAsia" w:ascii="Times New Roman" w:hAnsi="Times New Roman" w:cs="Times New Roman"/>
          <w:highlight w:val="none"/>
          <w:lang w:val="en-US" w:eastAsia="zh-CN"/>
        </w:rPr>
        <w:t>标准</w:t>
      </w:r>
      <w:r>
        <w:rPr>
          <w:rFonts w:hint="eastAsia" w:ascii="Times New Roman" w:hAnsi="Times New Roman" w:cs="Times New Roman"/>
          <w:highlight w:val="none"/>
        </w:rPr>
        <w:t>层与地下层；</w:t>
      </w:r>
    </w:p>
    <w:p w14:paraId="05546A5B">
      <w:pPr>
        <w:autoSpaceDN/>
        <w:ind w:firstLine="482" w:firstLineChars="200"/>
        <w:jc w:val="both"/>
        <w:rPr>
          <w:rFonts w:ascii="Times New Roman" w:hAnsi="Times New Roman" w:cs="Times New Roman"/>
          <w:highlight w:val="none"/>
        </w:rPr>
      </w:pPr>
      <w:r>
        <w:rPr>
          <w:rFonts w:hint="eastAsia" w:ascii="Times New Roman" w:hAnsi="Times New Roman" w:cs="Times New Roman"/>
          <w:b/>
          <w:highlight w:val="none"/>
        </w:rPr>
        <w:t>3</w:t>
      </w:r>
      <w:r>
        <w:rPr>
          <w:rFonts w:ascii="Times New Roman" w:hAnsi="Times New Roman" w:cs="Times New Roman"/>
          <w:b/>
          <w:highlight w:val="none"/>
        </w:rPr>
        <w:t xml:space="preserve">  </w:t>
      </w:r>
      <w:r>
        <w:rPr>
          <w:rFonts w:hint="eastAsia" w:ascii="Times New Roman" w:hAnsi="Times New Roman" w:cs="Times New Roman"/>
          <w:highlight w:val="none"/>
        </w:rPr>
        <w:t>对安全疏散设施及消防设施进行抽查时，各设施、设备的抽样数量不少于2处，当总数不大于2处时，全部检查。当抽查到的设施设备有不合格</w:t>
      </w:r>
      <w:r>
        <w:rPr>
          <w:rFonts w:hint="eastAsia" w:ascii="Times New Roman" w:hAnsi="Times New Roman" w:cs="Times New Roman"/>
          <w:highlight w:val="none"/>
          <w:lang w:eastAsia="zh-CN"/>
        </w:rPr>
        <w:t>检查</w:t>
      </w:r>
      <w:r>
        <w:rPr>
          <w:rFonts w:hint="eastAsia" w:ascii="Times New Roman" w:hAnsi="Times New Roman" w:cs="Times New Roman"/>
          <w:highlight w:val="none"/>
        </w:rPr>
        <w:t>项时，对该设施设备再抽样检查4处，不足4处时，全部检查。</w:t>
      </w:r>
    </w:p>
    <w:p w14:paraId="7F29E6DF">
      <w:pPr>
        <w:autoSpaceDN/>
        <w:ind w:firstLine="482" w:firstLineChars="200"/>
        <w:jc w:val="both"/>
        <w:rPr>
          <w:rFonts w:ascii="Times New Roman" w:hAnsi="Times New Roman" w:cs="Times New Roman"/>
          <w:highlight w:val="none"/>
        </w:rPr>
      </w:pPr>
      <w:r>
        <w:rPr>
          <w:rFonts w:hint="eastAsia" w:ascii="Times New Roman" w:hAnsi="Times New Roman" w:cs="Times New Roman"/>
          <w:b/>
          <w:highlight w:val="none"/>
        </w:rPr>
        <w:t>4</w:t>
      </w:r>
      <w:r>
        <w:rPr>
          <w:rFonts w:hint="eastAsia" w:ascii="Times New Roman" w:hAnsi="Times New Roman" w:cs="Times New Roman"/>
          <w:highlight w:val="none"/>
        </w:rPr>
        <w:t xml:space="preserve"> </w:t>
      </w:r>
      <w:r>
        <w:rPr>
          <w:rFonts w:ascii="Times New Roman" w:hAnsi="Times New Roman" w:cs="Times New Roman"/>
          <w:highlight w:val="none"/>
        </w:rPr>
        <w:t xml:space="preserve"> </w:t>
      </w:r>
      <w:r>
        <w:rPr>
          <w:rFonts w:hint="eastAsia" w:ascii="Times New Roman" w:hAnsi="Times New Roman" w:cs="Times New Roman"/>
          <w:highlight w:val="none"/>
        </w:rPr>
        <w:t>外观检查及功能测试的抽样位置和抽样数量，应根据不同的</w:t>
      </w:r>
      <w:r>
        <w:rPr>
          <w:rFonts w:hint="eastAsia" w:ascii="Times New Roman" w:hAnsi="Times New Roman" w:cs="Times New Roman"/>
          <w:highlight w:val="none"/>
          <w:lang w:eastAsia="zh-CN"/>
        </w:rPr>
        <w:t>检查</w:t>
      </w:r>
      <w:r>
        <w:rPr>
          <w:rFonts w:hint="eastAsia" w:ascii="Times New Roman" w:hAnsi="Times New Roman" w:cs="Times New Roman"/>
          <w:highlight w:val="none"/>
        </w:rPr>
        <w:t>项内容分别确定，现场</w:t>
      </w:r>
      <w:r>
        <w:rPr>
          <w:rFonts w:hint="eastAsia" w:ascii="Times New Roman" w:hAnsi="Times New Roman" w:cs="Times New Roman"/>
          <w:highlight w:val="none"/>
          <w:lang w:eastAsia="zh-CN"/>
        </w:rPr>
        <w:t>检查</w:t>
      </w:r>
      <w:r>
        <w:rPr>
          <w:rFonts w:hint="eastAsia" w:ascii="Times New Roman" w:hAnsi="Times New Roman" w:cs="Times New Roman"/>
          <w:highlight w:val="none"/>
        </w:rPr>
        <w:t>结果应能说明被抽查检查项的外观情况及功能现状。当现场检查采用抽查形式时，应在</w:t>
      </w:r>
      <w:r>
        <w:rPr>
          <w:rFonts w:hint="eastAsia" w:ascii="Times New Roman" w:hAnsi="Times New Roman" w:cs="Times New Roman"/>
          <w:highlight w:val="none"/>
          <w:lang w:eastAsia="zh-CN"/>
        </w:rPr>
        <w:t>报告</w:t>
      </w:r>
      <w:r>
        <w:rPr>
          <w:rFonts w:hint="eastAsia" w:ascii="Times New Roman" w:hAnsi="Times New Roman" w:cs="Times New Roman"/>
          <w:highlight w:val="none"/>
        </w:rPr>
        <w:t>中说明抽查的对象、具体部位和抽查样本量。</w:t>
      </w:r>
    </w:p>
    <w:p w14:paraId="355D2E58">
      <w:pPr>
        <w:autoSpaceDN/>
        <w:jc w:val="both"/>
        <w:rPr>
          <w:rFonts w:ascii="Times New Roman" w:hAnsi="Times New Roman" w:cs="Times New Roman"/>
          <w:highlight w:val="none"/>
        </w:rPr>
      </w:pPr>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w:t>
      </w:r>
      <w:r>
        <w:rPr>
          <w:rFonts w:hint="eastAsia" w:ascii="Times New Roman" w:hAnsi="Times New Roman" w:cs="Times New Roman"/>
          <w:b/>
          <w:bCs/>
          <w:highlight w:val="none"/>
          <w:lang w:val="en-US" w:eastAsia="zh-CN"/>
        </w:rPr>
        <w:t>1</w:t>
      </w:r>
      <w:r>
        <w:rPr>
          <w:rFonts w:hint="default" w:ascii="Times New Roman" w:hAnsi="Times New Roman" w:cs="Times New Roman"/>
          <w:b/>
          <w:bCs/>
          <w:highlight w:val="none"/>
          <w:lang w:val="en-US" w:eastAsia="zh-CN"/>
        </w:rPr>
        <w:t>2</w:t>
      </w:r>
      <w:r>
        <w:rPr>
          <w:rFonts w:ascii="Times New Roman" w:hAnsi="Times New Roman" w:cs="Times New Roman"/>
          <w:b/>
          <w:bCs/>
          <w:highlight w:val="none"/>
        </w:rPr>
        <w:t xml:space="preserve">  </w:t>
      </w:r>
      <w:r>
        <w:rPr>
          <w:rFonts w:hint="eastAsia" w:cs="Times New Roman"/>
          <w:highlight w:val="none"/>
        </w:rPr>
        <w:t>评估机构在评估过程中对建筑及其设施设备所做的检查、测试，在操作结束后应当恢复其状态或功能。</w:t>
      </w:r>
    </w:p>
    <w:p w14:paraId="64280D15">
      <w:pPr>
        <w:rPr>
          <w:rFonts w:ascii="Times New Roman" w:hAnsi="Times New Roman" w:cs="Times New Roman"/>
          <w:highlight w:val="none"/>
        </w:rPr>
      </w:pPr>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w:t>
      </w:r>
      <w:r>
        <w:rPr>
          <w:rFonts w:hint="eastAsia" w:ascii="Times New Roman" w:hAnsi="Times New Roman" w:cs="Times New Roman"/>
          <w:b/>
          <w:bCs/>
          <w:highlight w:val="none"/>
          <w:lang w:val="en-US" w:eastAsia="zh-CN"/>
        </w:rPr>
        <w:t>1</w:t>
      </w:r>
      <w:r>
        <w:rPr>
          <w:rFonts w:hint="default" w:ascii="Times New Roman" w:hAnsi="Times New Roman" w:cs="Times New Roman"/>
          <w:b/>
          <w:bCs/>
          <w:highlight w:val="none"/>
          <w:lang w:val="en-US" w:eastAsia="zh-CN"/>
        </w:rPr>
        <w:t>3</w:t>
      </w:r>
      <w:r>
        <w:rPr>
          <w:rFonts w:hint="eastAsia" w:ascii="Times New Roman" w:hAnsi="Times New Roman" w:cs="Times New Roman"/>
          <w:b/>
          <w:bCs/>
          <w:highlight w:val="none"/>
        </w:rPr>
        <w:t xml:space="preserve">  </w:t>
      </w:r>
      <w:r>
        <w:rPr>
          <w:rFonts w:hint="eastAsia" w:cs="Times New Roman"/>
          <w:highlight w:val="none"/>
        </w:rPr>
        <w:t>如确有需要，可选用烟气模拟分析、安全疏散分析等方法进行定量评估。</w:t>
      </w:r>
    </w:p>
    <w:p w14:paraId="1DB22CAB">
      <w:pPr>
        <w:rPr>
          <w:rFonts w:ascii="Times New Roman" w:hAnsi="Times New Roman" w:cs="Times New Roman"/>
          <w:highlight w:val="none"/>
        </w:rPr>
      </w:pPr>
      <w:r>
        <w:rPr>
          <w:rFonts w:ascii="Times New Roman" w:hAnsi="Times New Roman" w:cs="Times New Roman"/>
          <w:b/>
          <w:bCs/>
          <w:highlight w:val="none"/>
        </w:rPr>
        <w:t>3.</w:t>
      </w:r>
      <w:r>
        <w:rPr>
          <w:rFonts w:hint="eastAsia" w:ascii="Times New Roman" w:hAnsi="Times New Roman" w:cs="Times New Roman"/>
          <w:b/>
          <w:bCs/>
          <w:highlight w:val="none"/>
          <w:lang w:eastAsia="zh"/>
        </w:rPr>
        <w:t>0</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1</w:t>
      </w:r>
      <w:r>
        <w:rPr>
          <w:rFonts w:hint="default" w:ascii="Times New Roman" w:hAnsi="Times New Roman" w:cs="Times New Roman"/>
          <w:b/>
          <w:bCs/>
          <w:highlight w:val="none"/>
          <w:lang w:val="en-US" w:eastAsia="zh-CN"/>
        </w:rPr>
        <w:t>4</w:t>
      </w:r>
      <w:r>
        <w:rPr>
          <w:rFonts w:ascii="Times New Roman" w:hAnsi="Times New Roman" w:cs="Times New Roman"/>
          <w:highlight w:val="none"/>
        </w:rPr>
        <w:t xml:space="preserve">  </w:t>
      </w:r>
      <w:r>
        <w:rPr>
          <w:rFonts w:hint="eastAsia" w:cs="Times New Roman"/>
          <w:highlight w:val="none"/>
        </w:rPr>
        <w:t>依据</w:t>
      </w:r>
      <w:r>
        <w:rPr>
          <w:rFonts w:hint="eastAsia" w:cs="Times New Roman"/>
          <w:highlight w:val="none"/>
          <w:lang w:eastAsia="zh-CN"/>
        </w:rPr>
        <w:t>本标准</w:t>
      </w:r>
      <w:r>
        <w:rPr>
          <w:rFonts w:hint="eastAsia" w:cs="Times New Roman"/>
          <w:highlight w:val="none"/>
        </w:rPr>
        <w:t>各项要求进行消防安全评估报告不能作为建筑消防合法性判定依据。</w:t>
      </w:r>
    </w:p>
    <w:p w14:paraId="2E84DC0D">
      <w:pPr>
        <w:pStyle w:val="19"/>
        <w:spacing w:line="360" w:lineRule="auto"/>
        <w:rPr>
          <w:rFonts w:hint="eastAsia"/>
          <w:highlight w:val="none"/>
        </w:rPr>
      </w:pPr>
      <w:r>
        <w:rPr>
          <w:b/>
          <w:highlight w:val="none"/>
        </w:rPr>
        <w:t>3.</w:t>
      </w:r>
      <w:r>
        <w:rPr>
          <w:rFonts w:hint="eastAsia"/>
          <w:b/>
          <w:highlight w:val="none"/>
          <w:lang w:eastAsia="zh"/>
        </w:rPr>
        <w:t>0</w:t>
      </w:r>
      <w:r>
        <w:rPr>
          <w:b/>
          <w:highlight w:val="none"/>
        </w:rPr>
        <w:t>.1</w:t>
      </w:r>
      <w:r>
        <w:rPr>
          <w:rFonts w:hint="default"/>
          <w:b/>
          <w:highlight w:val="none"/>
          <w:lang w:val="en-US" w:eastAsia="zh-CN"/>
        </w:rPr>
        <w:t>5</w:t>
      </w:r>
      <w:r>
        <w:rPr>
          <w:rFonts w:hint="eastAsia"/>
          <w:highlight w:val="none"/>
        </w:rPr>
        <w:t xml:space="preserve">  依照消防技术标准不需要设置自动消防设施，而单位或场所自行设置的应进行检查，对存在的问题提出整改意见，并在评估报告中注明，但不列入判定范围。</w:t>
      </w:r>
    </w:p>
    <w:p w14:paraId="06D71E23">
      <w:pPr>
        <w:pStyle w:val="19"/>
        <w:spacing w:line="360" w:lineRule="auto"/>
        <w:rPr>
          <w:bCs w:val="0"/>
          <w:highlight w:val="none"/>
        </w:rPr>
      </w:pPr>
      <w:r>
        <w:rPr>
          <w:b/>
          <w:highlight w:val="none"/>
        </w:rPr>
        <w:t>3.</w:t>
      </w:r>
      <w:r>
        <w:rPr>
          <w:rFonts w:hint="eastAsia"/>
          <w:b/>
          <w:highlight w:val="none"/>
          <w:lang w:eastAsia="zh"/>
        </w:rPr>
        <w:t>0</w:t>
      </w:r>
      <w:r>
        <w:rPr>
          <w:b/>
          <w:highlight w:val="none"/>
        </w:rPr>
        <w:t>.1</w:t>
      </w:r>
      <w:r>
        <w:rPr>
          <w:rFonts w:hint="default"/>
          <w:b/>
          <w:highlight w:val="none"/>
          <w:lang w:val="en-US" w:eastAsia="zh-CN"/>
        </w:rPr>
        <w:t>6</w:t>
      </w:r>
      <w:r>
        <w:rPr>
          <w:rFonts w:hint="eastAsia"/>
          <w:highlight w:val="none"/>
        </w:rPr>
        <w:t xml:space="preserve">  对于医院、化工企业等不允许中断电力的单位，可不进行相应实际测试，但应采用信号模拟等其他替代手段，并在报告中注明。</w:t>
      </w:r>
    </w:p>
    <w:p w14:paraId="78AA0DD9">
      <w:pPr>
        <w:pStyle w:val="19"/>
        <w:rPr>
          <w:highlight w:val="none"/>
        </w:rPr>
      </w:pPr>
      <w:r>
        <w:rPr>
          <w:b/>
          <w:highlight w:val="none"/>
        </w:rPr>
        <w:t>3.</w:t>
      </w:r>
      <w:r>
        <w:rPr>
          <w:rFonts w:hint="eastAsia"/>
          <w:b/>
          <w:highlight w:val="none"/>
          <w:lang w:eastAsia="zh"/>
        </w:rPr>
        <w:t>0</w:t>
      </w:r>
      <w:r>
        <w:rPr>
          <w:b/>
          <w:highlight w:val="none"/>
        </w:rPr>
        <w:t>.1</w:t>
      </w:r>
      <w:r>
        <w:rPr>
          <w:rFonts w:hint="default"/>
          <w:b/>
          <w:highlight w:val="none"/>
          <w:lang w:val="en-US" w:eastAsia="zh-CN"/>
        </w:rPr>
        <w:t>7</w:t>
      </w:r>
      <w:r>
        <w:rPr>
          <w:rFonts w:hint="eastAsia"/>
          <w:highlight w:val="none"/>
        </w:rPr>
        <w:t xml:space="preserve">  根据评估内容的特点采取资料核查和现场检查测试两者相结合的方法。现场检查测试</w:t>
      </w:r>
      <w:r>
        <w:rPr>
          <w:rFonts w:hint="eastAsia"/>
          <w:highlight w:val="none"/>
          <w:lang w:val="en-US" w:eastAsia="zh-CN"/>
        </w:rPr>
        <w:t>应</w:t>
      </w:r>
      <w:r>
        <w:rPr>
          <w:rFonts w:hint="eastAsia"/>
          <w:highlight w:val="none"/>
        </w:rPr>
        <w:t>包含以下三种形式：</w:t>
      </w:r>
    </w:p>
    <w:p w14:paraId="49102EE1">
      <w:pPr>
        <w:autoSpaceDN/>
        <w:ind w:firstLine="482" w:firstLineChars="200"/>
        <w:jc w:val="both"/>
        <w:rPr>
          <w:rFonts w:ascii="Times New Roman" w:hAnsi="Times New Roman" w:cs="Times New Roman"/>
          <w:b/>
          <w:highlight w:val="none"/>
        </w:rPr>
      </w:pPr>
      <w:r>
        <w:rPr>
          <w:rFonts w:hint="eastAsia" w:ascii="Times New Roman" w:hAnsi="Times New Roman" w:cs="Times New Roman"/>
          <w:b/>
          <w:highlight w:val="none"/>
        </w:rPr>
        <w:t xml:space="preserve">1  </w:t>
      </w:r>
      <w:r>
        <w:rPr>
          <w:rFonts w:hint="eastAsia" w:ascii="Times New Roman" w:hAnsi="Times New Roman" w:cs="Times New Roman"/>
          <w:bCs/>
          <w:highlight w:val="none"/>
        </w:rPr>
        <w:t>人员询问、考核；</w:t>
      </w:r>
    </w:p>
    <w:p w14:paraId="5F8325C7">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2  </w:t>
      </w:r>
      <w:r>
        <w:rPr>
          <w:rFonts w:hint="eastAsia" w:ascii="Times New Roman" w:hAnsi="Times New Roman" w:cs="Times New Roman"/>
          <w:bCs/>
          <w:highlight w:val="none"/>
        </w:rPr>
        <w:t>建筑实地核查；</w:t>
      </w:r>
    </w:p>
    <w:p w14:paraId="6FF28CB1">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3  </w:t>
      </w:r>
      <w:r>
        <w:rPr>
          <w:rFonts w:hint="eastAsia" w:ascii="Times New Roman" w:hAnsi="Times New Roman" w:cs="Times New Roman"/>
          <w:bCs/>
          <w:highlight w:val="none"/>
        </w:rPr>
        <w:t>设施、设备功能检测。</w:t>
      </w:r>
    </w:p>
    <w:p w14:paraId="7827B179">
      <w:pPr>
        <w:autoSpaceDN/>
        <w:jc w:val="both"/>
        <w:rPr>
          <w:rFonts w:ascii="Times New Roman" w:hAnsi="Times New Roman" w:cs="Times New Roman"/>
          <w:b/>
          <w:bCs/>
          <w:highlight w:val="none"/>
        </w:rPr>
      </w:pPr>
      <w:r>
        <w:rPr>
          <w:rFonts w:ascii="Times New Roman" w:hAnsi="Times New Roman" w:cs="Times New Roman"/>
          <w:b/>
          <w:bCs/>
          <w:highlight w:val="none"/>
        </w:rPr>
        <w:t>3.</w:t>
      </w:r>
      <w:r>
        <w:rPr>
          <w:rFonts w:hint="eastAsia" w:ascii="Times New Roman" w:hAnsi="Times New Roman" w:cs="Times New Roman"/>
          <w:b/>
          <w:bCs/>
          <w:highlight w:val="none"/>
          <w:lang w:eastAsia="zh"/>
        </w:rPr>
        <w:t>0</w:t>
      </w:r>
      <w:r>
        <w:rPr>
          <w:rFonts w:ascii="Times New Roman" w:hAnsi="Times New Roman" w:cs="Times New Roman"/>
          <w:b/>
          <w:bCs/>
          <w:highlight w:val="none"/>
        </w:rPr>
        <w:t>.1</w:t>
      </w:r>
      <w:r>
        <w:rPr>
          <w:rFonts w:hint="default" w:ascii="Times New Roman" w:hAnsi="Times New Roman" w:cs="Times New Roman"/>
          <w:b/>
          <w:bCs/>
          <w:highlight w:val="none"/>
          <w:lang w:val="en-US" w:eastAsia="zh-CN"/>
        </w:rPr>
        <w:t>8</w:t>
      </w:r>
      <w:r>
        <w:rPr>
          <w:rFonts w:ascii="Times New Roman" w:hAnsi="Times New Roman" w:cs="Times New Roman"/>
          <w:b/>
          <w:bCs/>
          <w:highlight w:val="none"/>
        </w:rPr>
        <w:t xml:space="preserve">  </w:t>
      </w:r>
      <w:r>
        <w:rPr>
          <w:rFonts w:ascii="Times New Roman" w:hAnsi="Times New Roman" w:cs="Times New Roman"/>
          <w:b w:val="0"/>
          <w:bCs w:val="0"/>
          <w:highlight w:val="none"/>
        </w:rPr>
        <w:t>评估</w:t>
      </w:r>
      <w:r>
        <w:rPr>
          <w:rFonts w:hint="eastAsia" w:ascii="Times New Roman" w:hAnsi="Times New Roman" w:cs="Times New Roman"/>
          <w:b w:val="0"/>
          <w:bCs w:val="0"/>
          <w:highlight w:val="none"/>
          <w:lang w:val="en-US" w:eastAsia="zh-CN"/>
        </w:rPr>
        <w:t>应</w:t>
      </w:r>
      <w:r>
        <w:rPr>
          <w:rFonts w:ascii="Times New Roman" w:hAnsi="Times New Roman" w:cs="Times New Roman"/>
          <w:b w:val="0"/>
          <w:bCs w:val="0"/>
          <w:highlight w:val="none"/>
        </w:rPr>
        <w:t>按“要素→子项→单项→</w:t>
      </w:r>
      <w:r>
        <w:rPr>
          <w:rFonts w:hint="eastAsia" w:ascii="Times New Roman" w:hAnsi="Times New Roman" w:cs="Times New Roman"/>
          <w:b w:val="0"/>
          <w:bCs w:val="0"/>
          <w:highlight w:val="none"/>
          <w:lang w:val="en-US" w:eastAsia="zh-CN"/>
        </w:rPr>
        <w:t>分项</w:t>
      </w:r>
      <w:r>
        <w:rPr>
          <w:rFonts w:ascii="Times New Roman" w:hAnsi="Times New Roman" w:cs="Times New Roman"/>
          <w:b w:val="0"/>
          <w:bCs w:val="0"/>
          <w:highlight w:val="none"/>
        </w:rPr>
        <w:t>→直接/综合评定”的程序进行，具体如下：</w:t>
      </w:r>
    </w:p>
    <w:p w14:paraId="2A0633B6">
      <w:pPr>
        <w:autoSpaceDN/>
        <w:ind w:firstLine="482" w:firstLineChars="200"/>
        <w:jc w:val="both"/>
        <w:rPr>
          <w:rFonts w:ascii="Times New Roman" w:hAnsi="Times New Roman" w:cs="Times New Roman"/>
          <w:bCs/>
          <w:color w:val="auto"/>
          <w:highlight w:val="none"/>
        </w:rPr>
      </w:pPr>
      <w:r>
        <w:rPr>
          <w:rFonts w:ascii="Times New Roman" w:hAnsi="Times New Roman" w:cs="Times New Roman"/>
          <w:b/>
          <w:color w:val="auto"/>
          <w:highlight w:val="none"/>
        </w:rPr>
        <w:t xml:space="preserve">1 </w:t>
      </w:r>
      <w:r>
        <w:rPr>
          <w:rFonts w:hint="eastAsia" w:ascii="Times New Roman" w:hAnsi="Times New Roman" w:cs="Times New Roman"/>
          <w:b/>
          <w:color w:val="auto"/>
          <w:highlight w:val="none"/>
        </w:rPr>
        <w:t xml:space="preserve"> </w:t>
      </w:r>
      <w:r>
        <w:rPr>
          <w:rFonts w:hint="eastAsia" w:ascii="Times New Roman" w:hAnsi="Times New Roman" w:cs="Times New Roman"/>
          <w:bCs/>
          <w:color w:val="auto"/>
          <w:highlight w:val="none"/>
        </w:rPr>
        <w:t>确定评估对象；</w:t>
      </w:r>
    </w:p>
    <w:p w14:paraId="77B2750F">
      <w:pPr>
        <w:autoSpaceDN/>
        <w:ind w:firstLine="482" w:firstLineChars="200"/>
        <w:jc w:val="both"/>
        <w:rPr>
          <w:rFonts w:ascii="Times New Roman" w:hAnsi="Times New Roman" w:cs="Times New Roman"/>
          <w:bCs/>
          <w:color w:val="auto"/>
          <w:highlight w:val="none"/>
        </w:rPr>
      </w:pPr>
      <w:r>
        <w:rPr>
          <w:rFonts w:hint="eastAsia" w:ascii="Times New Roman" w:hAnsi="Times New Roman" w:cs="Times New Roman"/>
          <w:b/>
          <w:bCs/>
          <w:color w:val="auto"/>
          <w:highlight w:val="none"/>
        </w:rPr>
        <w:t>2</w:t>
      </w:r>
      <w:r>
        <w:rPr>
          <w:rFonts w:hint="eastAsia" w:ascii="Times New Roman" w:hAnsi="Times New Roman" w:cs="Times New Roman"/>
          <w:bCs/>
          <w:color w:val="auto"/>
          <w:highlight w:val="none"/>
        </w:rPr>
        <w:t xml:space="preserve">  依据评估对象的类别确定适用的消防安全评估指标以及具体评估内容；</w:t>
      </w:r>
    </w:p>
    <w:p w14:paraId="33E8B282">
      <w:pPr>
        <w:autoSpaceDN/>
        <w:ind w:firstLine="482" w:firstLineChars="200"/>
        <w:jc w:val="both"/>
        <w:rPr>
          <w:rFonts w:ascii="Times New Roman" w:hAnsi="Times New Roman" w:cs="Times New Roman"/>
          <w:bCs/>
          <w:color w:val="auto"/>
          <w:highlight w:val="none"/>
        </w:rPr>
      </w:pPr>
      <w:r>
        <w:rPr>
          <w:rFonts w:hint="eastAsia" w:ascii="Times New Roman" w:hAnsi="Times New Roman" w:cs="Times New Roman"/>
          <w:b/>
          <w:bCs/>
          <w:color w:val="auto"/>
          <w:highlight w:val="none"/>
        </w:rPr>
        <w:t>3</w:t>
      </w:r>
      <w:r>
        <w:rPr>
          <w:rFonts w:hint="eastAsia" w:ascii="Times New Roman" w:hAnsi="Times New Roman" w:cs="Times New Roman"/>
          <w:bCs/>
          <w:color w:val="auto"/>
          <w:highlight w:val="none"/>
        </w:rPr>
        <w:t xml:space="preserve">  依据第4章评估内容</w:t>
      </w:r>
      <w:r>
        <w:rPr>
          <w:rFonts w:hint="eastAsia" w:ascii="Times New Roman" w:hAnsi="Times New Roman" w:cs="Times New Roman"/>
          <w:bCs/>
          <w:color w:val="auto"/>
          <w:highlight w:val="none"/>
          <w:lang w:eastAsia="zh-CN"/>
        </w:rPr>
        <w:t>与</w:t>
      </w:r>
      <w:r>
        <w:rPr>
          <w:rFonts w:hint="eastAsia" w:ascii="Times New Roman" w:hAnsi="Times New Roman" w:cs="Times New Roman"/>
          <w:bCs/>
          <w:color w:val="auto"/>
          <w:highlight w:val="none"/>
        </w:rPr>
        <w:t>标准的要求，按照附录A《</w:t>
      </w:r>
      <w:r>
        <w:rPr>
          <w:rFonts w:hint="eastAsia" w:ascii="Times New Roman" w:hAnsi="Times New Roman" w:cs="Times New Roman"/>
          <w:bCs/>
          <w:color w:val="auto"/>
          <w:sz w:val="24"/>
          <w:szCs w:val="28"/>
          <w:highlight w:val="none"/>
        </w:rPr>
        <w:t>消防安全评估检查记录</w:t>
      </w:r>
      <w:r>
        <w:rPr>
          <w:rFonts w:hint="eastAsia" w:ascii="Times New Roman" w:hAnsi="Times New Roman" w:cs="Times New Roman"/>
          <w:bCs/>
          <w:color w:val="auto"/>
          <w:sz w:val="24"/>
          <w:szCs w:val="28"/>
          <w:highlight w:val="none"/>
          <w:lang w:val="en-US" w:eastAsia="zh-CN"/>
        </w:rPr>
        <w:t>表</w:t>
      </w:r>
      <w:r>
        <w:rPr>
          <w:rFonts w:hint="eastAsia" w:ascii="Times New Roman" w:hAnsi="Times New Roman" w:cs="Times New Roman"/>
          <w:bCs/>
          <w:color w:val="auto"/>
          <w:highlight w:val="none"/>
        </w:rPr>
        <w:t>》的具体评估或检查细则，结合评估对象的实际情况，通过资料审查、调查问询、抽样检测等方式进行评估；</w:t>
      </w:r>
    </w:p>
    <w:p w14:paraId="03F7906C">
      <w:pPr>
        <w:autoSpaceDN/>
        <w:ind w:firstLine="482" w:firstLineChars="200"/>
        <w:jc w:val="both"/>
        <w:rPr>
          <w:rFonts w:ascii="Times New Roman" w:hAnsi="Times New Roman" w:cs="Times New Roman"/>
          <w:bCs/>
          <w:color w:val="auto"/>
          <w:highlight w:val="none"/>
        </w:rPr>
      </w:pPr>
      <w:r>
        <w:rPr>
          <w:rFonts w:hint="eastAsia" w:ascii="Times New Roman" w:hAnsi="Times New Roman" w:cs="Times New Roman"/>
          <w:b/>
          <w:bCs/>
          <w:color w:val="auto"/>
          <w:highlight w:val="none"/>
        </w:rPr>
        <w:t>4</w:t>
      </w:r>
      <w:r>
        <w:rPr>
          <w:rFonts w:hint="eastAsia" w:ascii="Times New Roman" w:hAnsi="Times New Roman" w:cs="Times New Roman"/>
          <w:bCs/>
          <w:color w:val="auto"/>
          <w:highlight w:val="none"/>
        </w:rPr>
        <w:t xml:space="preserve">  汇总检查结果、测试数据、问询记录和相关证明文件；</w:t>
      </w:r>
    </w:p>
    <w:p w14:paraId="110627DE">
      <w:pPr>
        <w:autoSpaceDN/>
        <w:ind w:firstLine="482" w:firstLineChars="200"/>
        <w:jc w:val="both"/>
        <w:rPr>
          <w:rFonts w:ascii="Times New Roman" w:hAnsi="Times New Roman" w:cs="Times New Roman"/>
          <w:b/>
          <w:highlight w:val="none"/>
        </w:rPr>
      </w:pPr>
      <w:r>
        <w:rPr>
          <w:rFonts w:hint="eastAsia" w:ascii="Times New Roman" w:hAnsi="Times New Roman" w:cs="Times New Roman"/>
          <w:b/>
          <w:bCs/>
          <w:color w:val="auto"/>
          <w:highlight w:val="none"/>
        </w:rPr>
        <w:t>5</w:t>
      </w:r>
      <w:r>
        <w:rPr>
          <w:rFonts w:hint="eastAsia" w:ascii="Times New Roman" w:hAnsi="Times New Roman" w:cs="Times New Roman"/>
          <w:bCs/>
          <w:color w:val="auto"/>
          <w:highlight w:val="none"/>
        </w:rPr>
        <w:t xml:space="preserve">  进行评分，给出消防安全等级和评估结论。</w:t>
      </w:r>
    </w:p>
    <w:p w14:paraId="3CA2933A">
      <w:pPr>
        <w:autoSpaceDN/>
        <w:jc w:val="center"/>
        <w:rPr>
          <w:rFonts w:ascii="Times New Roman" w:hAnsi="Times New Roman" w:cs="Times New Roman"/>
          <w:b/>
          <w:bCs/>
          <w:highlight w:val="none"/>
        </w:rPr>
      </w:pPr>
      <w:r>
        <w:rPr>
          <w:rFonts w:hint="eastAsia" w:ascii="Times New Roman" w:hAnsi="Times New Roman" w:cs="Times New Roman"/>
          <w:b/>
          <w:highlight w:val="none"/>
        </w:rPr>
        <w:drawing>
          <wp:inline distT="0" distB="0" distL="114300" distR="114300">
            <wp:extent cx="5276850" cy="49047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5276850" cy="4904740"/>
                    </a:xfrm>
                    <a:prstGeom prst="rect">
                      <a:avLst/>
                    </a:prstGeom>
                    <a:noFill/>
                    <a:ln>
                      <a:noFill/>
                    </a:ln>
                  </pic:spPr>
                </pic:pic>
              </a:graphicData>
            </a:graphic>
          </wp:inline>
        </w:drawing>
      </w:r>
      <w:r>
        <w:rPr>
          <w:rFonts w:ascii="Times New Roman" w:hAnsi="Times New Roman" w:cs="Times New Roman"/>
          <w:b/>
          <w:bCs/>
          <w:sz w:val="21"/>
          <w:szCs w:val="21"/>
          <w:highlight w:val="none"/>
        </w:rPr>
        <w:t>图3.</w:t>
      </w:r>
      <w:r>
        <w:rPr>
          <w:rFonts w:hint="eastAsia" w:ascii="Times New Roman" w:hAnsi="Times New Roman" w:cs="Times New Roman"/>
          <w:b/>
          <w:bCs/>
          <w:sz w:val="21"/>
          <w:szCs w:val="21"/>
          <w:highlight w:val="none"/>
        </w:rPr>
        <w:t>1</w:t>
      </w:r>
      <w:r>
        <w:rPr>
          <w:rFonts w:ascii="Times New Roman" w:hAnsi="Times New Roman" w:cs="Times New Roman"/>
          <w:b/>
          <w:bCs/>
          <w:sz w:val="21"/>
          <w:szCs w:val="21"/>
          <w:highlight w:val="none"/>
        </w:rPr>
        <w:t>.</w:t>
      </w:r>
      <w:r>
        <w:rPr>
          <w:rFonts w:hint="eastAsia" w:ascii="Times New Roman" w:hAnsi="Times New Roman" w:cs="Times New Roman"/>
          <w:b/>
          <w:bCs/>
          <w:sz w:val="21"/>
          <w:szCs w:val="21"/>
          <w:highlight w:val="none"/>
        </w:rPr>
        <w:t>1</w:t>
      </w:r>
      <w:r>
        <w:rPr>
          <w:rFonts w:ascii="Times New Roman" w:hAnsi="Times New Roman" w:cs="Times New Roman"/>
          <w:b/>
          <w:bCs/>
          <w:sz w:val="21"/>
          <w:szCs w:val="21"/>
          <w:highlight w:val="none"/>
        </w:rPr>
        <w:t xml:space="preserve"> 消防安全评估流程示意图</w:t>
      </w:r>
    </w:p>
    <w:p w14:paraId="053648DC">
      <w:pPr>
        <w:pStyle w:val="5"/>
        <w:rPr>
          <w:rFonts w:hint="eastAsia"/>
          <w:bCs/>
          <w:highlight w:val="none"/>
        </w:rPr>
      </w:pPr>
    </w:p>
    <w:p w14:paraId="69A1839F">
      <w:pPr>
        <w:autoSpaceDN/>
        <w:jc w:val="both"/>
        <w:rPr>
          <w:rFonts w:hint="eastAsia"/>
          <w:bCs/>
          <w:highlight w:val="none"/>
        </w:rPr>
      </w:pPr>
      <w:r>
        <w:rPr>
          <w:rFonts w:hint="eastAsia" w:ascii="Times New Roman" w:hAnsi="Times New Roman" w:cs="Times New Roman"/>
          <w:b/>
          <w:bCs/>
          <w:highlight w:val="none"/>
        </w:rPr>
        <w:t>3.</w:t>
      </w:r>
      <w:r>
        <w:rPr>
          <w:rFonts w:hint="eastAsia" w:ascii="Times New Roman" w:hAnsi="Times New Roman" w:cs="Times New Roman"/>
          <w:b/>
          <w:bCs/>
          <w:highlight w:val="none"/>
          <w:lang w:eastAsia="zh"/>
        </w:rPr>
        <w:t>0</w:t>
      </w:r>
      <w:r>
        <w:rPr>
          <w:rFonts w:hint="eastAsia" w:ascii="Times New Roman" w:hAnsi="Times New Roman" w:cs="Times New Roman"/>
          <w:b/>
          <w:bCs/>
          <w:highlight w:val="none"/>
        </w:rPr>
        <w:t>.1</w:t>
      </w:r>
      <w:r>
        <w:rPr>
          <w:rFonts w:hint="default" w:ascii="Times New Roman" w:hAnsi="Times New Roman" w:cs="Times New Roman"/>
          <w:b/>
          <w:bCs/>
          <w:highlight w:val="none"/>
          <w:lang w:val="en-US" w:eastAsia="zh-CN"/>
        </w:rPr>
        <w:t>9</w:t>
      </w:r>
      <w:r>
        <w:rPr>
          <w:rFonts w:ascii="Times New Roman" w:hAnsi="Times New Roman" w:cs="Times New Roman"/>
          <w:highlight w:val="none"/>
        </w:rPr>
        <w:t xml:space="preserve">  </w:t>
      </w:r>
      <w:r>
        <w:rPr>
          <w:rFonts w:hint="eastAsia" w:cs="Times New Roman"/>
          <w:highlight w:val="none"/>
        </w:rPr>
        <w:t>消防安全评估宜建立数字化管理系统</w:t>
      </w:r>
      <w:r>
        <w:rPr>
          <w:rFonts w:hint="eastAsia" w:cs="Times New Roman"/>
          <w:highlight w:val="none"/>
          <w:lang w:eastAsia="zh-CN"/>
        </w:rPr>
        <w:t>，</w:t>
      </w:r>
      <w:r>
        <w:rPr>
          <w:rFonts w:hint="eastAsia" w:cs="Times New Roman"/>
          <w:highlight w:val="none"/>
          <w:lang w:val="en-US" w:eastAsia="zh-CN"/>
        </w:rPr>
        <w:t>记录历次消防安全评估以及相应整改的情况</w:t>
      </w:r>
      <w:r>
        <w:rPr>
          <w:rFonts w:hint="eastAsia" w:cs="Times New Roman"/>
          <w:highlight w:val="none"/>
        </w:rPr>
        <w:t>。</w:t>
      </w:r>
      <w:r>
        <w:rPr>
          <w:rFonts w:cs="Times New Roman"/>
          <w:highlight w:val="none"/>
        </w:rPr>
        <w:tab/>
      </w:r>
    </w:p>
    <w:p w14:paraId="64300655">
      <w:pPr>
        <w:pStyle w:val="20"/>
        <w:rPr>
          <w:rFonts w:hint="eastAsia"/>
          <w:highlight w:val="none"/>
        </w:rPr>
        <w:sectPr>
          <w:footerReference r:id="rId7" w:type="default"/>
          <w:pgSz w:w="11910" w:h="16840"/>
          <w:pgMar w:top="1440" w:right="1800" w:bottom="1440" w:left="1800" w:header="720" w:footer="720" w:gutter="0"/>
          <w:pgBorders>
            <w:top w:val="none" w:sz="0" w:space="0"/>
            <w:left w:val="none" w:sz="0" w:space="0"/>
            <w:bottom w:val="none" w:sz="0" w:space="0"/>
            <w:right w:val="none" w:sz="0" w:space="0"/>
          </w:pgBorders>
          <w:pgNumType w:start="1"/>
          <w:cols w:space="720" w:num="1"/>
          <w:docGrid w:type="lines" w:linePitch="326" w:charSpace="0"/>
        </w:sectPr>
      </w:pPr>
      <w:bookmarkStart w:id="109" w:name="_Toc150876222"/>
      <w:bookmarkStart w:id="110" w:name="_Toc183531735"/>
      <w:bookmarkStart w:id="111" w:name="_Toc140390016"/>
      <w:bookmarkStart w:id="112" w:name="_Toc151384791"/>
    </w:p>
    <w:bookmarkEnd w:id="109"/>
    <w:bookmarkEnd w:id="110"/>
    <w:bookmarkEnd w:id="111"/>
    <w:bookmarkEnd w:id="112"/>
    <w:p w14:paraId="0735C843">
      <w:pPr>
        <w:pStyle w:val="18"/>
        <w:rPr>
          <w:rFonts w:hint="eastAsia" w:ascii="宋体" w:hAnsi="宋体" w:eastAsia="宋体"/>
          <w:highlight w:val="none"/>
        </w:rPr>
      </w:pPr>
      <w:bookmarkStart w:id="113" w:name="_Toc140390017"/>
      <w:bookmarkStart w:id="114" w:name="_Toc150876223"/>
      <w:bookmarkStart w:id="115" w:name="_Toc151384792"/>
      <w:bookmarkStart w:id="116" w:name="_Toc183531736"/>
      <w:bookmarkStart w:id="117" w:name="_Toc12318"/>
      <w:bookmarkStart w:id="118" w:name="_Toc21247"/>
      <w:bookmarkStart w:id="119" w:name="_Toc29019"/>
      <w:bookmarkStart w:id="120" w:name="_Toc11055"/>
      <w:bookmarkStart w:id="121" w:name="_Toc23488"/>
      <w:bookmarkStart w:id="122" w:name="_Toc4522"/>
      <w:bookmarkStart w:id="123" w:name="_Toc9174"/>
      <w:bookmarkStart w:id="124" w:name="_Toc13570"/>
      <w:bookmarkStart w:id="125" w:name="_Toc7811"/>
      <w:bookmarkStart w:id="126" w:name="_Toc30246"/>
      <w:r>
        <w:rPr>
          <w:rFonts w:hint="default" w:ascii="Times New Roman" w:hAnsi="Times New Roman" w:eastAsia="宋体"/>
          <w:highlight w:val="none"/>
        </w:rPr>
        <w:t>4</w:t>
      </w:r>
      <w:r>
        <w:rPr>
          <w:rFonts w:ascii="宋体" w:hAnsi="宋体" w:eastAsia="宋体"/>
          <w:sz w:val="32"/>
          <w:szCs w:val="32"/>
          <w:highlight w:val="none"/>
        </w:rPr>
        <w:t xml:space="preserve">  </w:t>
      </w:r>
      <w:bookmarkEnd w:id="113"/>
      <w:bookmarkEnd w:id="114"/>
      <w:bookmarkEnd w:id="115"/>
      <w:r>
        <w:rPr>
          <w:rFonts w:hint="eastAsia" w:ascii="宋体" w:hAnsi="宋体" w:eastAsia="宋体"/>
          <w:highlight w:val="none"/>
        </w:rPr>
        <w:t>评估内容</w:t>
      </w:r>
      <w:bookmarkEnd w:id="116"/>
      <w:bookmarkStart w:id="127" w:name="_Toc29448"/>
      <w:r>
        <w:rPr>
          <w:rFonts w:hint="eastAsia" w:ascii="宋体" w:hAnsi="宋体" w:eastAsia="宋体"/>
          <w:highlight w:val="none"/>
          <w:lang w:val="en-US" w:eastAsia="zh-CN"/>
        </w:rPr>
        <w:t>与标准</w:t>
      </w:r>
      <w:bookmarkStart w:id="128" w:name="_Toc22852"/>
      <w:bookmarkStart w:id="129" w:name="_Toc5763"/>
      <w:bookmarkStart w:id="130" w:name="_Toc2526"/>
      <w:bookmarkStart w:id="131" w:name="_Toc16948"/>
      <w:bookmarkStart w:id="132" w:name="_Toc24543"/>
      <w:bookmarkStart w:id="133" w:name="_Toc12890"/>
      <w:bookmarkStart w:id="134" w:name="_Toc22898"/>
      <w:bookmarkStart w:id="135" w:name="_Toc18022"/>
      <w:bookmarkStart w:id="136" w:name="_Toc19389"/>
      <w:bookmarkStart w:id="137" w:name="_Toc30343"/>
      <w:r>
        <w:rPr>
          <w:highlight w:val="none"/>
        </w:rPr>
        <w:fldChar w:fldCharType="begin"/>
      </w:r>
      <w:r>
        <w:rPr>
          <w:rFonts w:ascii="Times New Roman" w:hAnsi="Times New Roman" w:eastAsia="宋体"/>
          <w:highlight w:val="none"/>
        </w:rPr>
        <w:instrText xml:space="preserve"> </w:instrText>
      </w:r>
      <w:r>
        <w:rPr>
          <w:rFonts w:hint="default" w:ascii="Times New Roman" w:hAnsi="Times New Roman" w:eastAsia="宋体"/>
          <w:highlight w:val="none"/>
        </w:rPr>
        <w:instrText xml:space="preserve">TC  "</w:instrText>
      </w:r>
      <w:bookmarkStart w:id="138" w:name="_Toc143720328"/>
      <w:bookmarkStart w:id="139" w:name="_Toc143762817"/>
      <w:bookmarkStart w:id="140" w:name="_Toc143762757"/>
      <w:bookmarkStart w:id="141" w:name="_Toc183531853"/>
      <w:r>
        <w:rPr>
          <w:rFonts w:hint="default" w:ascii="Times New Roman" w:hAnsi="Times New Roman" w:eastAsia="宋体"/>
          <w:highlight w:val="none"/>
        </w:rPr>
        <w:instrText xml:space="preserve">4  </w:instrText>
      </w:r>
      <w:bookmarkEnd w:id="138"/>
      <w:bookmarkEnd w:id="139"/>
      <w:bookmarkEnd w:id="140"/>
      <w:bookmarkStart w:id="142" w:name="OLE_LINK17"/>
      <w:r>
        <w:rPr>
          <w:rFonts w:hint="default" w:ascii="Times New Roman" w:hAnsi="Times New Roman" w:eastAsia="宋体"/>
          <w:highlight w:val="none"/>
        </w:rPr>
        <w:instrText xml:space="preserve">Assessment content</w:instrText>
      </w:r>
      <w:bookmarkEnd w:id="141"/>
      <w:bookmarkEnd w:id="142"/>
      <w:r>
        <w:rPr>
          <w:rFonts w:hint="default" w:ascii="Times New Roman" w:hAnsi="Times New Roman" w:eastAsia="宋体"/>
          <w:highlight w:val="none"/>
        </w:rPr>
        <w:instrText xml:space="preserve"> </w:instrText>
      </w:r>
      <w:r>
        <w:rPr>
          <w:rFonts w:hint="default" w:eastAsia="宋体"/>
          <w:highlight w:val="none"/>
        </w:rPr>
        <w:instrText xml:space="preserve">and criteria</w:instrText>
      </w:r>
      <w:r>
        <w:rPr>
          <w:rFonts w:hint="default" w:ascii="Times New Roman" w:hAnsi="Times New Roman" w:eastAsia="宋体"/>
          <w:highlight w:val="none"/>
        </w:rPr>
        <w:instrText xml:space="preserve">" \l 1</w:instrText>
      </w:r>
      <w:r>
        <w:rPr>
          <w:rFonts w:ascii="Times New Roman" w:hAnsi="Times New Roman" w:eastAsia="宋体"/>
          <w:highlight w:val="none"/>
        </w:rPr>
        <w:instrText xml:space="preserve"> </w:instrText>
      </w:r>
      <w:r>
        <w:rPr>
          <w:rFonts w:ascii="Times New Roman" w:hAnsi="Times New Roman" w:eastAsia="宋体"/>
          <w:highlight w:val="none"/>
        </w:rPr>
        <w:fldChar w:fldCharType="end"/>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7F8C11C2">
      <w:pPr>
        <w:pStyle w:val="20"/>
        <w:rPr>
          <w:rFonts w:hint="eastAsia" w:ascii="黑体" w:hAnsi="黑体"/>
          <w:highlight w:val="none"/>
        </w:rPr>
      </w:pPr>
      <w:bookmarkStart w:id="143" w:name="_Toc140390018"/>
      <w:bookmarkStart w:id="144" w:name="_Toc151384793"/>
      <w:bookmarkStart w:id="145" w:name="_Toc150876224"/>
      <w:bookmarkStart w:id="146" w:name="_Toc183531737"/>
      <w:bookmarkStart w:id="147" w:name="_Toc28721"/>
      <w:bookmarkStart w:id="148" w:name="_Toc16095"/>
      <w:bookmarkStart w:id="149" w:name="_Toc2478"/>
      <w:bookmarkStart w:id="150" w:name="_Toc18678"/>
      <w:bookmarkStart w:id="151" w:name="_Toc8688"/>
      <w:bookmarkStart w:id="152" w:name="_Toc26628"/>
      <w:bookmarkStart w:id="153" w:name="_Toc20873"/>
      <w:bookmarkStart w:id="154" w:name="_Toc21200"/>
      <w:bookmarkStart w:id="155" w:name="_Toc9847"/>
      <w:bookmarkStart w:id="156" w:name="_Toc30047"/>
      <w:r>
        <w:rPr>
          <w:rFonts w:hint="eastAsia"/>
          <w:highlight w:val="none"/>
        </w:rPr>
        <w:t>4</w:t>
      </w:r>
      <w:r>
        <w:rPr>
          <w:highlight w:val="none"/>
        </w:rPr>
        <w:t xml:space="preserve">.1 </w:t>
      </w:r>
      <w:bookmarkEnd w:id="143"/>
      <w:r>
        <w:rPr>
          <w:highlight w:val="none"/>
        </w:rPr>
        <w:t xml:space="preserve"> </w:t>
      </w:r>
      <w:bookmarkEnd w:id="144"/>
      <w:bookmarkEnd w:id="145"/>
      <w:r>
        <w:rPr>
          <w:rFonts w:hint="eastAsia" w:ascii="黑体" w:hAnsi="黑体"/>
          <w:highlight w:val="none"/>
        </w:rPr>
        <w:t>一般规定</w:t>
      </w:r>
      <w:bookmarkEnd w:id="146"/>
      <w:bookmarkStart w:id="157" w:name="_Toc28045"/>
      <w:bookmarkStart w:id="158" w:name="_Toc11973"/>
      <w:bookmarkStart w:id="159" w:name="_Toc13582"/>
      <w:bookmarkStart w:id="160" w:name="_Toc30879"/>
      <w:bookmarkStart w:id="161" w:name="_Toc13783"/>
      <w:bookmarkStart w:id="162" w:name="_Toc28936"/>
      <w:bookmarkStart w:id="163" w:name="_Toc7436"/>
      <w:bookmarkStart w:id="164" w:name="_Toc31693"/>
      <w:bookmarkStart w:id="165" w:name="_Toc19322"/>
      <w:bookmarkStart w:id="166" w:name="_Toc31927"/>
      <w:bookmarkStart w:id="167" w:name="_Toc199"/>
      <w:r>
        <w:rPr>
          <w:highlight w:val="none"/>
        </w:rPr>
        <w:fldChar w:fldCharType="begin"/>
      </w:r>
      <w:r>
        <w:rPr>
          <w:rFonts w:ascii="黑体" w:hAnsi="黑体"/>
          <w:highlight w:val="none"/>
        </w:rPr>
        <w:instrText xml:space="preserve"> </w:instrText>
      </w:r>
      <w:r>
        <w:rPr>
          <w:rFonts w:hint="eastAsia" w:ascii="黑体" w:hAnsi="黑体"/>
          <w:highlight w:val="none"/>
        </w:rPr>
        <w:instrText xml:space="preserve">TC  "</w:instrText>
      </w:r>
      <w:bookmarkStart w:id="168" w:name="_Toc183531854"/>
      <w:bookmarkStart w:id="169" w:name="_Toc143762818"/>
      <w:bookmarkStart w:id="170" w:name="_Toc143762758"/>
      <w:r>
        <w:rPr>
          <w:rFonts w:hint="eastAsia" w:ascii="黑体" w:hAnsi="黑体"/>
          <w:highlight w:val="none"/>
        </w:rPr>
        <w:instrText xml:space="preserve">4.1 </w:instrText>
      </w:r>
      <w:bookmarkStart w:id="171" w:name="OLE_LINK21"/>
      <w:r>
        <w:rPr>
          <w:rFonts w:hint="eastAsia" w:ascii="黑体" w:hAnsi="黑体"/>
          <w:highlight w:val="none"/>
        </w:rPr>
        <w:instrText xml:space="preserve">General requirements</w:instrText>
      </w:r>
      <w:bookmarkEnd w:id="168"/>
      <w:bookmarkEnd w:id="169"/>
      <w:bookmarkEnd w:id="170"/>
      <w:bookmarkEnd w:id="171"/>
      <w:r>
        <w:rPr>
          <w:rFonts w:hint="eastAsia" w:ascii="黑体" w:hAnsi="黑体"/>
          <w:highlight w:val="none"/>
        </w:rPr>
        <w:instrText xml:space="preserve">" \l 2</w:instrText>
      </w:r>
      <w:r>
        <w:rPr>
          <w:rFonts w:ascii="黑体" w:hAnsi="黑体"/>
          <w:highlight w:val="none"/>
        </w:rPr>
        <w:instrText xml:space="preserve"> </w:instrText>
      </w:r>
      <w:r>
        <w:rPr>
          <w:rFonts w:ascii="黑体" w:hAnsi="黑体"/>
          <w:highlight w:val="none"/>
        </w:rPr>
        <w:fldChar w:fldCharType="end"/>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p w14:paraId="35761CB2">
      <w:pPr>
        <w:autoSpaceDN/>
        <w:jc w:val="both"/>
        <w:rPr>
          <w:rFonts w:hint="eastAsia" w:cs="Times New Roman"/>
          <w:highlight w:val="none"/>
        </w:rPr>
      </w:pPr>
      <w:bookmarkStart w:id="172" w:name="OLE_LINK53"/>
      <w:r>
        <w:rPr>
          <w:rFonts w:ascii="Times New Roman" w:hAnsi="Times New Roman" w:cs="Times New Roman"/>
          <w:b/>
          <w:bCs/>
          <w:highlight w:val="none"/>
        </w:rPr>
        <w:t>4</w:t>
      </w:r>
      <w:r>
        <w:rPr>
          <w:rFonts w:hint="eastAsia" w:ascii="Times New Roman" w:hAnsi="Times New Roman" w:cs="Times New Roman"/>
          <w:b/>
          <w:bCs/>
          <w:highlight w:val="none"/>
        </w:rPr>
        <w:t>.</w:t>
      </w:r>
      <w:r>
        <w:rPr>
          <w:rFonts w:ascii="Times New Roman" w:hAnsi="Times New Roman" w:cs="Times New Roman"/>
          <w:b/>
          <w:bCs/>
          <w:highlight w:val="none"/>
        </w:rPr>
        <w:t>1</w:t>
      </w:r>
      <w:r>
        <w:rPr>
          <w:rFonts w:hint="eastAsia" w:ascii="Times New Roman" w:hAnsi="Times New Roman" w:cs="Times New Roman"/>
          <w:b/>
          <w:bCs/>
          <w:highlight w:val="none"/>
        </w:rPr>
        <w:t>.</w:t>
      </w:r>
      <w:r>
        <w:rPr>
          <w:rFonts w:ascii="Times New Roman" w:hAnsi="Times New Roman" w:cs="Times New Roman"/>
          <w:b/>
          <w:bCs/>
          <w:highlight w:val="none"/>
        </w:rPr>
        <w:t>1</w:t>
      </w:r>
      <w:r>
        <w:rPr>
          <w:rFonts w:ascii="Times New Roman" w:hAnsi="Times New Roman" w:cs="Times New Roman"/>
          <w:highlight w:val="none"/>
        </w:rPr>
        <w:t xml:space="preserve">  </w:t>
      </w:r>
      <w:bookmarkEnd w:id="172"/>
      <w:r>
        <w:rPr>
          <w:rFonts w:hint="eastAsia" w:cs="Times New Roman"/>
          <w:highlight w:val="none"/>
        </w:rPr>
        <w:t>在1998年9月1日以后投入使用的人员密集场所建筑，应经公安机关消防机构消防安全检查合格。</w:t>
      </w:r>
    </w:p>
    <w:p w14:paraId="24F7006E">
      <w:pPr>
        <w:autoSpaceDN/>
        <w:jc w:val="both"/>
        <w:rPr>
          <w:rFonts w:hint="eastAsia" w:cs="Times New Roman"/>
          <w:highlight w:val="none"/>
        </w:rPr>
      </w:pPr>
      <w:r>
        <w:rPr>
          <w:rFonts w:ascii="Times New Roman" w:hAnsi="Times New Roman" w:cs="Times New Roman"/>
          <w:b/>
          <w:bCs/>
          <w:highlight w:val="none"/>
        </w:rPr>
        <w:t>4</w:t>
      </w:r>
      <w:r>
        <w:rPr>
          <w:rFonts w:hint="eastAsia" w:ascii="Times New Roman" w:hAnsi="Times New Roman" w:cs="Times New Roman"/>
          <w:b/>
          <w:bCs/>
          <w:highlight w:val="none"/>
        </w:rPr>
        <w:t>.</w:t>
      </w:r>
      <w:r>
        <w:rPr>
          <w:rFonts w:ascii="Times New Roman" w:hAnsi="Times New Roman" w:cs="Times New Roman"/>
          <w:b/>
          <w:bCs/>
          <w:highlight w:val="none"/>
        </w:rPr>
        <w:t>1</w:t>
      </w:r>
      <w:r>
        <w:rPr>
          <w:rFonts w:hint="eastAsia" w:ascii="Times New Roman" w:hAnsi="Times New Roman" w:cs="Times New Roman"/>
          <w:b/>
          <w:bCs/>
          <w:highlight w:val="none"/>
        </w:rPr>
        <w:t>.</w:t>
      </w:r>
      <w:r>
        <w:rPr>
          <w:rFonts w:hint="eastAsia" w:ascii="Times New Roman" w:hAnsi="Times New Roman" w:cs="Times New Roman"/>
          <w:b/>
          <w:bCs/>
          <w:highlight w:val="none"/>
          <w:lang w:val="en-US" w:eastAsia="zh-CN"/>
        </w:rPr>
        <w:t>2</w:t>
      </w:r>
      <w:r>
        <w:rPr>
          <w:rFonts w:ascii="Times New Roman" w:hAnsi="Times New Roman" w:cs="Times New Roman"/>
          <w:highlight w:val="none"/>
        </w:rPr>
        <w:t xml:space="preserve">  </w:t>
      </w:r>
      <w:r>
        <w:rPr>
          <w:rFonts w:hint="eastAsia" w:cs="Times New Roman"/>
          <w:highlight w:val="none"/>
          <w:lang w:eastAsia="zh-CN"/>
        </w:rPr>
        <w:t>本标准</w:t>
      </w:r>
      <w:r>
        <w:rPr>
          <w:rFonts w:hint="eastAsia" w:cs="Times New Roman"/>
          <w:highlight w:val="none"/>
          <w:lang w:eastAsia="zh"/>
        </w:rPr>
        <w:t>从</w:t>
      </w:r>
      <w:r>
        <w:rPr>
          <w:rFonts w:hint="eastAsia" w:cs="Times New Roman"/>
          <w:highlight w:val="none"/>
          <w:lang w:val="en-US" w:eastAsia="zh-CN"/>
        </w:rPr>
        <w:t>消防安全管理、建筑防火、消防设施三</w:t>
      </w:r>
      <w:r>
        <w:rPr>
          <w:rFonts w:hint="eastAsia" w:cs="Times New Roman"/>
          <w:highlight w:val="none"/>
          <w:lang w:eastAsia="zh"/>
        </w:rPr>
        <w:t>个</w:t>
      </w:r>
      <w:r>
        <w:rPr>
          <w:rFonts w:hint="eastAsia" w:cs="Times New Roman"/>
          <w:highlight w:val="none"/>
          <w:lang w:val="en-US" w:eastAsia="zh-CN"/>
        </w:rPr>
        <w:t>分项指标</w:t>
      </w:r>
      <w:r>
        <w:rPr>
          <w:rFonts w:hint="eastAsia" w:cs="Times New Roman"/>
          <w:highlight w:val="none"/>
          <w:lang w:eastAsia="zh"/>
        </w:rPr>
        <w:t>对</w:t>
      </w:r>
      <w:r>
        <w:rPr>
          <w:rFonts w:hint="eastAsia" w:cs="Times New Roman"/>
          <w:highlight w:val="none"/>
          <w:lang w:val="en-US" w:eastAsia="zh-CN"/>
        </w:rPr>
        <w:t>人员密集场所</w:t>
      </w:r>
      <w:r>
        <w:rPr>
          <w:rFonts w:hint="eastAsia" w:cs="Times New Roman"/>
          <w:highlight w:val="none"/>
          <w:lang w:eastAsia="zh"/>
        </w:rPr>
        <w:t>消防安全</w:t>
      </w:r>
      <w:r>
        <w:rPr>
          <w:rFonts w:hint="eastAsia" w:cs="Times New Roman"/>
          <w:highlight w:val="none"/>
          <w:lang w:val="en-US" w:eastAsia="zh-CN"/>
        </w:rPr>
        <w:t>状况</w:t>
      </w:r>
      <w:r>
        <w:rPr>
          <w:rFonts w:hint="eastAsia" w:cs="Times New Roman"/>
          <w:highlight w:val="none"/>
          <w:lang w:eastAsia="zh"/>
        </w:rPr>
        <w:t>进行综合评估。</w:t>
      </w:r>
    </w:p>
    <w:p w14:paraId="0E0C4662">
      <w:pPr>
        <w:pStyle w:val="19"/>
        <w:spacing w:line="360" w:lineRule="auto"/>
        <w:rPr>
          <w:rFonts w:hint="eastAsia"/>
          <w:highlight w:val="none"/>
        </w:rPr>
      </w:pPr>
      <w:r>
        <w:rPr>
          <w:rFonts w:hint="eastAsia"/>
          <w:b/>
          <w:highlight w:val="none"/>
        </w:rPr>
        <w:t>4</w:t>
      </w:r>
      <w:r>
        <w:rPr>
          <w:b/>
          <w:highlight w:val="none"/>
        </w:rPr>
        <w:t>.1.</w:t>
      </w:r>
      <w:r>
        <w:rPr>
          <w:rFonts w:hint="eastAsia"/>
          <w:b/>
          <w:highlight w:val="none"/>
          <w:lang w:val="en-US" w:eastAsia="zh-CN"/>
        </w:rPr>
        <w:t>3</w:t>
      </w:r>
      <w:r>
        <w:rPr>
          <w:rFonts w:hint="eastAsia"/>
          <w:highlight w:val="none"/>
        </w:rPr>
        <w:t xml:space="preserve">  </w:t>
      </w:r>
      <w:r>
        <w:rPr>
          <w:rFonts w:hint="eastAsia"/>
          <w:highlight w:val="none"/>
          <w:lang w:val="en-US" w:eastAsia="zh-CN"/>
        </w:rPr>
        <w:t>人员密集</w:t>
      </w:r>
      <w:r>
        <w:rPr>
          <w:rFonts w:hint="eastAsia"/>
          <w:highlight w:val="none"/>
        </w:rPr>
        <w:t>场所的实际使用情况应符合消防技术规范要求，与消防验收、竣工验收备案、消防安全检查时确定的使用性质相符。</w:t>
      </w:r>
    </w:p>
    <w:p w14:paraId="29FA1EC6">
      <w:pPr>
        <w:pStyle w:val="26"/>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kern w:val="2"/>
          <w:highlight w:val="none"/>
          <w:lang w:val="en-US" w:eastAsia="zh-CN"/>
        </w:rPr>
        <w:t>4.1.4</w:t>
      </w:r>
      <w:r>
        <w:rPr>
          <w:rFonts w:hint="eastAsia"/>
          <w:highlight w:val="none"/>
          <w:lang w:val="en-US" w:eastAsia="zh-CN"/>
        </w:rPr>
        <w:t xml:space="preserve">  人员密集场所各项消防安全状况应符合国家的有关方针政策，</w:t>
      </w:r>
      <w:r>
        <w:rPr>
          <w:rFonts w:hint="default" w:ascii="Times New Roman" w:hAnsi="Times New Roman" w:cs="Times New Roman"/>
          <w:highlight w:val="none"/>
        </w:rPr>
        <w:t>应符合</w:t>
      </w:r>
      <w:r>
        <w:rPr>
          <w:rFonts w:hint="eastAsia" w:ascii="Times New Roman" w:hAnsi="Times New Roman" w:cs="Times New Roman"/>
          <w:highlight w:val="none"/>
          <w:lang w:val="en-US" w:eastAsia="zh-CN"/>
        </w:rPr>
        <w:t>现行国家规范</w:t>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"https://gf.cabr-fire.com/m/list-1538.htm" </w:instrText>
      </w:r>
      <w:r>
        <w:rPr>
          <w:rFonts w:hint="default" w:ascii="Times New Roman" w:hAnsi="Times New Roman" w:cs="Times New Roman"/>
          <w:highlight w:val="none"/>
        </w:rPr>
        <w:fldChar w:fldCharType="separate"/>
      </w:r>
      <w:r>
        <w:rPr>
          <w:rStyle w:val="15"/>
          <w:rFonts w:hint="default" w:ascii="Times New Roman" w:hAnsi="Times New Roman" w:cs="Times New Roman"/>
          <w:color w:val="auto"/>
          <w:highlight w:val="none"/>
          <w:u w:val="none"/>
        </w:rPr>
        <w:t>《建筑防火通用规范》</w:t>
      </w:r>
      <w:r>
        <w:rPr>
          <w:rStyle w:val="15"/>
          <w:rFonts w:hint="default" w:ascii="Times New Roman" w:hAnsi="Times New Roman" w:cs="Times New Roman"/>
          <w:color w:val="auto"/>
          <w:highlight w:val="none"/>
          <w:u w:val="none"/>
        </w:rPr>
        <w:fldChar w:fldCharType="end"/>
      </w:r>
      <w:r>
        <w:rPr>
          <w:rStyle w:val="15"/>
          <w:rFonts w:hint="default" w:ascii="Times New Roman" w:hAnsi="Times New Roman" w:cs="Times New Roman"/>
          <w:color w:val="auto"/>
          <w:highlight w:val="none"/>
          <w:u w:val="none"/>
        </w:rPr>
        <w:t>GB</w:t>
      </w:r>
      <w:r>
        <w:rPr>
          <w:rStyle w:val="15"/>
          <w:rFonts w:hint="default" w:ascii="Times New Roman" w:hAnsi="Times New Roman" w:cs="Times New Roman"/>
          <w:color w:val="auto"/>
          <w:highlight w:val="none"/>
          <w:u w:val="none"/>
          <w:lang w:val="en-US" w:eastAsia="zh-CN"/>
        </w:rPr>
        <w:t xml:space="preserve"> </w:t>
      </w:r>
      <w:r>
        <w:rPr>
          <w:rStyle w:val="15"/>
          <w:rFonts w:hint="eastAsia" w:ascii="Times New Roman" w:hAnsi="Times New Roman" w:cs="Times New Roman"/>
          <w:color w:val="auto"/>
          <w:highlight w:val="none"/>
          <w:u w:val="none"/>
          <w:lang w:eastAsia="zh-CN"/>
        </w:rPr>
        <w:t>55037</w:t>
      </w:r>
      <w:r>
        <w:rPr>
          <w:rStyle w:val="15"/>
          <w:rFonts w:hint="eastAsia" w:cs="Times New Roman"/>
          <w:color w:val="auto"/>
          <w:highlight w:val="none"/>
          <w:u w:val="none"/>
          <w:lang w:eastAsia="zh-CN"/>
        </w:rPr>
        <w:t>、</w:t>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"https://gf.cabr-fire.com/m/list-1538.htm" </w:instrText>
      </w:r>
      <w:r>
        <w:rPr>
          <w:rFonts w:hint="default" w:ascii="Times New Roman" w:hAnsi="Times New Roman" w:cs="Times New Roman"/>
          <w:highlight w:val="none"/>
        </w:rPr>
        <w:fldChar w:fldCharType="separate"/>
      </w:r>
      <w:r>
        <w:rPr>
          <w:rStyle w:val="15"/>
          <w:rFonts w:hint="default" w:ascii="Times New Roman" w:hAnsi="Times New Roman" w:cs="Times New Roman"/>
          <w:color w:val="auto"/>
          <w:highlight w:val="none"/>
          <w:u w:val="none"/>
        </w:rPr>
        <w:t>《</w:t>
      </w:r>
      <w:r>
        <w:rPr>
          <w:rStyle w:val="15"/>
          <w:rFonts w:hint="eastAsia" w:cs="Times New Roman"/>
          <w:color w:val="auto"/>
          <w:highlight w:val="none"/>
          <w:u w:val="none"/>
          <w:lang w:val="en-US" w:eastAsia="zh-CN"/>
        </w:rPr>
        <w:t>消防设施</w:t>
      </w:r>
      <w:r>
        <w:rPr>
          <w:rStyle w:val="15"/>
          <w:rFonts w:hint="default" w:ascii="Times New Roman" w:hAnsi="Times New Roman" w:cs="Times New Roman"/>
          <w:color w:val="auto"/>
          <w:highlight w:val="none"/>
          <w:u w:val="none"/>
        </w:rPr>
        <w:t>通用规范》</w:t>
      </w:r>
      <w:r>
        <w:rPr>
          <w:rStyle w:val="15"/>
          <w:rFonts w:hint="default" w:ascii="Times New Roman" w:hAnsi="Times New Roman" w:cs="Times New Roman"/>
          <w:color w:val="auto"/>
          <w:highlight w:val="none"/>
          <w:u w:val="none"/>
        </w:rPr>
        <w:fldChar w:fldCharType="end"/>
      </w:r>
      <w:r>
        <w:rPr>
          <w:rStyle w:val="15"/>
          <w:rFonts w:hint="default" w:ascii="Times New Roman" w:hAnsi="Times New Roman" w:cs="Times New Roman"/>
          <w:color w:val="auto"/>
          <w:highlight w:val="none"/>
          <w:u w:val="none"/>
        </w:rPr>
        <w:t>GB</w:t>
      </w:r>
      <w:r>
        <w:rPr>
          <w:rStyle w:val="15"/>
          <w:rFonts w:hint="default" w:ascii="Times New Roman" w:hAnsi="Times New Roman" w:cs="Times New Roman"/>
          <w:color w:val="auto"/>
          <w:highlight w:val="none"/>
          <w:u w:val="none"/>
          <w:lang w:val="en-US" w:eastAsia="zh-CN"/>
        </w:rPr>
        <w:t xml:space="preserve"> </w:t>
      </w:r>
      <w:r>
        <w:rPr>
          <w:rStyle w:val="15"/>
          <w:rFonts w:hint="eastAsia" w:ascii="Times New Roman" w:hAnsi="Times New Roman" w:cs="Times New Roman"/>
          <w:color w:val="auto"/>
          <w:highlight w:val="none"/>
          <w:u w:val="none"/>
          <w:lang w:eastAsia="zh-CN"/>
        </w:rPr>
        <w:t>5503</w:t>
      </w:r>
      <w:r>
        <w:rPr>
          <w:rStyle w:val="15"/>
          <w:rFonts w:hint="eastAsia" w:cs="Times New Roman"/>
          <w:color w:val="auto"/>
          <w:highlight w:val="none"/>
          <w:u w:val="none"/>
          <w:lang w:val="en-US" w:eastAsia="zh-CN"/>
        </w:rPr>
        <w:t>6</w:t>
      </w:r>
      <w:r>
        <w:rPr>
          <w:rStyle w:val="15"/>
          <w:rFonts w:hint="eastAsia" w:cs="Times New Roman"/>
          <w:color w:val="auto"/>
          <w:highlight w:val="none"/>
          <w:u w:val="none"/>
          <w:lang w:eastAsia="zh-CN"/>
        </w:rPr>
        <w:t>、</w:t>
      </w:r>
      <w:r>
        <w:rPr>
          <w:rFonts w:hint="default" w:ascii="Times New Roman" w:hAnsi="Times New Roman" w:cs="Times New Roman"/>
          <w:highlight w:val="none"/>
        </w:rPr>
        <w:t>《建筑设计防火规范》GB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lang w:eastAsia="zh-CN"/>
        </w:rPr>
        <w:t>50016</w:t>
      </w:r>
      <w:r>
        <w:rPr>
          <w:rFonts w:hint="default" w:ascii="Times New Roman" w:hAnsi="Times New Roman" w:cs="Times New Roman"/>
          <w:highlight w:val="none"/>
        </w:rPr>
        <w:t>等标准的规定</w:t>
      </w:r>
      <w:r>
        <w:rPr>
          <w:rFonts w:hint="default" w:ascii="Times New Roman" w:hAnsi="Times New Roman" w:cs="Times New Roman"/>
          <w:highlight w:val="none"/>
          <w:lang w:eastAsia="zh-CN"/>
        </w:rPr>
        <w:t>。</w:t>
      </w:r>
      <w:r>
        <w:rPr>
          <w:rFonts w:hint="eastAsia"/>
          <w:highlight w:val="none"/>
          <w:lang w:val="en-US" w:eastAsia="zh-CN"/>
        </w:rPr>
        <w:t>既有建筑改造的防火技术要求</w:t>
      </w:r>
      <w:r>
        <w:rPr>
          <w:rFonts w:hint="eastAsia" w:ascii="Times New Roman" w:hAnsi="Times New Roman" w:cs="Times New Roman"/>
          <w:color w:val="auto"/>
          <w:highlight w:val="none"/>
          <w:lang w:val="en-US" w:eastAsia="zh-CN"/>
        </w:rPr>
        <w:t>，当</w:t>
      </w:r>
      <w:r>
        <w:rPr>
          <w:rFonts w:hint="default" w:ascii="Times New Roman" w:hAnsi="Times New Roman" w:cs="Times New Roman"/>
          <w:color w:val="auto"/>
          <w:highlight w:val="none"/>
          <w:lang w:val="en-US" w:eastAsia="zh-CN"/>
        </w:rPr>
        <w:t>条件不具备</w:t>
      </w:r>
      <w:r>
        <w:rPr>
          <w:rFonts w:hint="eastAsia" w:ascii="Times New Roman" w:hAnsi="Times New Roman" w:cs="Times New Roman"/>
          <w:color w:val="auto"/>
          <w:highlight w:val="none"/>
          <w:lang w:val="en-US" w:eastAsia="zh-CN"/>
        </w:rPr>
        <w:t>或执行现行国家规范《消防设施通用规范》GB 55036、《建筑防火通用规范》GB 55037确有困难时</w:t>
      </w:r>
      <w:r>
        <w:rPr>
          <w:rFonts w:hint="default" w:ascii="Times New Roman" w:hAnsi="Times New Roman" w:cs="Times New Roman"/>
          <w:color w:val="auto"/>
          <w:highlight w:val="none"/>
          <w:lang w:val="en-US" w:eastAsia="zh-CN"/>
        </w:rPr>
        <w:t>，应按照</w:t>
      </w:r>
      <w:r>
        <w:rPr>
          <w:rFonts w:hint="eastAsia" w:ascii="Times New Roman" w:hAnsi="Times New Roman" w:cs="Times New Roman"/>
          <w:color w:val="auto"/>
          <w:highlight w:val="none"/>
          <w:lang w:val="en-US" w:eastAsia="zh-CN"/>
        </w:rPr>
        <w:t>规范规定的功能目标和</w:t>
      </w:r>
      <w:r>
        <w:rPr>
          <w:rFonts w:hint="default" w:ascii="Times New Roman" w:hAnsi="Times New Roman" w:cs="Times New Roman"/>
          <w:color w:val="auto"/>
          <w:highlight w:val="none"/>
          <w:lang w:val="en-US" w:eastAsia="zh-CN"/>
        </w:rPr>
        <w:t>建筑防火</w:t>
      </w:r>
      <w:r>
        <w:rPr>
          <w:rFonts w:hint="eastAsia" w:ascii="Times New Roman" w:hAnsi="Times New Roman" w:cs="Times New Roman"/>
          <w:color w:val="auto"/>
          <w:highlight w:val="none"/>
          <w:lang w:val="en-US" w:eastAsia="zh-CN"/>
        </w:rPr>
        <w:t>措施或消防设施的</w:t>
      </w:r>
      <w:r>
        <w:rPr>
          <w:rFonts w:hint="default" w:ascii="Times New Roman" w:hAnsi="Times New Roman" w:cs="Times New Roman"/>
          <w:color w:val="auto"/>
          <w:highlight w:val="none"/>
          <w:lang w:val="en-US" w:eastAsia="zh-CN"/>
        </w:rPr>
        <w:t>性能不低于原建造时标准的原则</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采取等效的技术措施或性能补偿措施。</w:t>
      </w:r>
    </w:p>
    <w:p w14:paraId="093E8921">
      <w:pPr>
        <w:pStyle w:val="26"/>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kern w:val="2"/>
          <w:highlight w:val="none"/>
          <w:lang w:val="en-US" w:eastAsia="zh-CN"/>
        </w:rPr>
        <w:t>4.1.5</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改造为下列功能的场所应执行现行</w:t>
      </w:r>
      <w:r>
        <w:rPr>
          <w:rFonts w:hint="eastAsia" w:ascii="Times New Roman" w:hAnsi="Times New Roman" w:cs="Times New Roman"/>
          <w:color w:val="auto"/>
          <w:highlight w:val="none"/>
          <w:lang w:val="en-US" w:eastAsia="zh-CN"/>
        </w:rPr>
        <w:t>消防规范的要求</w:t>
      </w:r>
      <w:r>
        <w:rPr>
          <w:rFonts w:hint="default" w:ascii="Times New Roman" w:hAnsi="Times New Roman" w:cs="Times New Roman"/>
          <w:color w:val="auto"/>
          <w:highlight w:val="none"/>
          <w:lang w:val="en-US" w:eastAsia="zh-CN"/>
        </w:rPr>
        <w:t>，并符合下列规定</w:t>
      </w:r>
      <w:r>
        <w:rPr>
          <w:rFonts w:hint="eastAsia" w:ascii="Times New Roman" w:hAnsi="Times New Roman" w:cs="Times New Roman"/>
          <w:color w:val="auto"/>
          <w:highlight w:val="none"/>
          <w:lang w:val="en-US" w:eastAsia="zh-CN"/>
        </w:rPr>
        <w:t>：</w:t>
      </w:r>
    </w:p>
    <w:p w14:paraId="78D829B9">
      <w:pPr>
        <w:autoSpaceDN/>
        <w:ind w:firstLine="482" w:firstLineChars="200"/>
        <w:rPr>
          <w:rFonts w:hint="eastAsia" w:ascii="Times New Roman" w:hAnsi="Times New Roman" w:cs="Times New Roman"/>
          <w:color w:val="auto"/>
          <w:highlight w:val="none"/>
          <w:u w:val="none"/>
          <w:lang w:val="en-US" w:eastAsia="zh-CN"/>
        </w:rPr>
      </w:pPr>
      <w:r>
        <w:rPr>
          <w:rFonts w:hint="eastAsia" w:ascii="Times New Roman" w:hAnsi="Times New Roman" w:cs="Times New Roman"/>
          <w:b/>
          <w:bCs/>
          <w:color w:val="auto"/>
          <w:highlight w:val="none"/>
          <w:u w:val="none"/>
          <w:lang w:val="en-US" w:eastAsia="zh-CN"/>
        </w:rPr>
        <w:t>1</w:t>
      </w:r>
      <w:r>
        <w:rPr>
          <w:rFonts w:hint="eastAsia" w:ascii="Times New Roman" w:hAnsi="Times New Roman" w:cs="Times New Roman"/>
          <w:color w:val="auto"/>
          <w:highlight w:val="none"/>
          <w:u w:val="none"/>
          <w:lang w:val="en-US" w:eastAsia="zh-CN"/>
        </w:rPr>
        <w:t xml:space="preserve">  网吧、酒吧、棋牌室、剧本杀、密室逃脱、足浴店、洗浴中心、蒸拿房、水疗美容、电竞酒店客房等公共娱乐场所，沉浸式观演场所、室内拍摄等公共文化活动场所，应按歌舞娱乐放映游艺场所的规定执行。其中，密室逃脱、剧本杀、电竞酒店客房等场所，应根据应用场景设置火灾探测器、应急广播、消防应急照明和疏散指示系统，并应设置电气火灾监控系统；</w:t>
      </w:r>
    </w:p>
    <w:p w14:paraId="41A47B79">
      <w:pPr>
        <w:autoSpaceDN/>
        <w:ind w:firstLine="482" w:firstLineChars="200"/>
        <w:rPr>
          <w:rFonts w:hint="eastAsia" w:ascii="Times New Roman" w:hAnsi="Times New Roman" w:cs="Times New Roman"/>
          <w:color w:val="auto"/>
          <w:highlight w:val="none"/>
          <w:u w:val="none"/>
          <w:lang w:val="en-US" w:eastAsia="zh-CN"/>
        </w:rPr>
      </w:pPr>
      <w:r>
        <w:rPr>
          <w:rFonts w:hint="eastAsia" w:ascii="Times New Roman" w:hAnsi="Times New Roman" w:cs="Times New Roman"/>
          <w:b/>
          <w:bCs/>
          <w:color w:val="auto"/>
          <w:highlight w:val="none"/>
          <w:u w:val="none"/>
          <w:lang w:val="en-US" w:eastAsia="zh-CN"/>
        </w:rPr>
        <w:t>2</w:t>
      </w:r>
      <w:r>
        <w:rPr>
          <w:rFonts w:hint="eastAsia" w:ascii="Times New Roman" w:hAnsi="Times New Roman" w:cs="Times New Roman"/>
          <w:color w:val="auto"/>
          <w:highlight w:val="none"/>
          <w:u w:val="none"/>
          <w:lang w:val="en-US" w:eastAsia="zh-CN"/>
        </w:rPr>
        <w:t xml:space="preserve">  12岁以下儿童培训场所应按照儿童活动场所的规定执行。</w:t>
      </w:r>
    </w:p>
    <w:p w14:paraId="5CA9CBFB">
      <w:pPr>
        <w:pStyle w:val="19"/>
        <w:spacing w:line="360" w:lineRule="auto"/>
        <w:rPr>
          <w:rFonts w:hint="eastAsia" w:ascii="Times New Roman" w:hAnsi="Times New Roman" w:cs="Times New Roman"/>
          <w:bCs w:val="0"/>
          <w:color w:val="0000FF"/>
          <w:highlight w:val="none"/>
          <w:u w:val="none"/>
          <w:lang w:val="en-US" w:eastAsia="zh-CN"/>
        </w:rPr>
      </w:pPr>
      <w:r>
        <w:rPr>
          <w:rFonts w:hint="eastAsia" w:ascii="Times New Roman" w:hAnsi="Times New Roman" w:cs="Times New Roman"/>
          <w:bCs w:val="0"/>
          <w:color w:val="0000FF"/>
          <w:highlight w:val="none"/>
          <w:u w:val="none"/>
          <w:lang w:val="en-US" w:eastAsia="zh-CN"/>
        </w:rPr>
        <w:t>【</w:t>
      </w:r>
      <w:r>
        <w:rPr>
          <w:rFonts w:hint="eastAsia" w:cs="Times New Roman"/>
          <w:bCs w:val="0"/>
          <w:color w:val="0000FF"/>
          <w:highlight w:val="none"/>
          <w:u w:val="none"/>
          <w:lang w:val="en-US" w:eastAsia="zh-CN"/>
        </w:rPr>
        <w:t>条文</w:t>
      </w:r>
      <w:r>
        <w:rPr>
          <w:rFonts w:hint="eastAsia" w:ascii="Times New Roman" w:hAnsi="Times New Roman" w:cs="Times New Roman"/>
          <w:bCs w:val="0"/>
          <w:color w:val="0000FF"/>
          <w:highlight w:val="none"/>
          <w:u w:val="none"/>
          <w:lang w:val="en-US" w:eastAsia="zh-CN"/>
        </w:rPr>
        <w:t xml:space="preserve">说明】 </w:t>
      </w:r>
    </w:p>
    <w:p w14:paraId="07DA03A8">
      <w:pPr>
        <w:pStyle w:val="19"/>
        <w:spacing w:line="360" w:lineRule="auto"/>
        <w:ind w:firstLine="480" w:firstLineChars="200"/>
        <w:rPr>
          <w:rFonts w:hint="eastAsia" w:ascii="Times New Roman" w:hAnsi="Times New Roman" w:cs="Times New Roman"/>
          <w:bCs w:val="0"/>
          <w:color w:val="0000FF"/>
          <w:highlight w:val="none"/>
          <w:u w:val="none"/>
          <w:lang w:val="en-US" w:eastAsia="zh-CN"/>
        </w:rPr>
      </w:pPr>
      <w:r>
        <w:rPr>
          <w:rFonts w:hint="eastAsia" w:ascii="Times New Roman" w:hAnsi="Times New Roman" w:cs="Times New Roman"/>
          <w:bCs w:val="0"/>
          <w:color w:val="0000FF"/>
          <w:highlight w:val="none"/>
          <w:u w:val="none"/>
          <w:lang w:val="en-US" w:eastAsia="zh-CN"/>
        </w:rPr>
        <w:t>当前出现一些新功能业态名称的经营场所，在同一时间内聚集人数较多，符合《消防法》定义的人员密集场所，且多无天然采光和自然通风条件，火灾危险性较大，应执行现行消防</w:t>
      </w:r>
      <w:r>
        <w:rPr>
          <w:rFonts w:hint="eastAsia" w:cs="Times New Roman"/>
          <w:bCs w:val="0"/>
          <w:color w:val="0000FF"/>
          <w:highlight w:val="none"/>
          <w:u w:val="none"/>
          <w:lang w:val="en-US" w:eastAsia="zh-CN"/>
        </w:rPr>
        <w:t>规范</w:t>
      </w:r>
      <w:r>
        <w:rPr>
          <w:rFonts w:hint="eastAsia" w:ascii="Times New Roman" w:hAnsi="Times New Roman" w:cs="Times New Roman"/>
          <w:bCs w:val="0"/>
          <w:color w:val="0000FF"/>
          <w:highlight w:val="none"/>
          <w:u w:val="none"/>
          <w:lang w:val="en-US" w:eastAsia="zh-CN"/>
        </w:rPr>
        <w:t>中相关场所的平面布置规定。</w:t>
      </w:r>
    </w:p>
    <w:p w14:paraId="321992CA">
      <w:pPr>
        <w:pStyle w:val="19"/>
        <w:spacing w:line="360" w:lineRule="auto"/>
        <w:ind w:firstLine="480" w:firstLineChars="200"/>
        <w:rPr>
          <w:rFonts w:hint="eastAsia" w:ascii="Times New Roman" w:hAnsi="Times New Roman" w:cs="Times New Roman"/>
          <w:color w:val="auto"/>
          <w:highlight w:val="none"/>
          <w:u w:val="none"/>
          <w:lang w:val="en-US" w:eastAsia="zh-CN"/>
        </w:rPr>
      </w:pPr>
      <w:r>
        <w:rPr>
          <w:rFonts w:hint="eastAsia" w:ascii="Times New Roman" w:hAnsi="Times New Roman" w:cs="Times New Roman"/>
          <w:bCs w:val="0"/>
          <w:color w:val="0000FF"/>
          <w:highlight w:val="none"/>
          <w:u w:val="none"/>
          <w:lang w:val="en-US" w:eastAsia="zh-CN"/>
        </w:rPr>
        <w:t>其他传统业态的公共娱乐场所仍按现行消防技术标准规定进行功能定性。</w:t>
      </w:r>
    </w:p>
    <w:p w14:paraId="12B132A7">
      <w:pPr>
        <w:autoSpaceDN/>
        <w:ind w:firstLine="0" w:firstLineChars="0"/>
        <w:jc w:val="left"/>
        <w:rPr>
          <w:rFonts w:hint="default" w:ascii="宋体" w:hAnsi="宋体" w:eastAsia="宋体" w:cs="宋体"/>
          <w:sz w:val="24"/>
          <w:szCs w:val="28"/>
          <w:highlight w:val="none"/>
          <w:lang w:val="en-US" w:eastAsia="zh-CN"/>
        </w:rPr>
      </w:pPr>
      <w:r>
        <w:rPr>
          <w:rFonts w:hint="eastAsia" w:ascii="Times New Roman" w:hAnsi="Times New Roman" w:cs="Times New Roman"/>
          <w:b/>
          <w:sz w:val="24"/>
          <w:szCs w:val="24"/>
          <w:highlight w:val="none"/>
          <w:lang w:val="en-US" w:eastAsia="zh-CN"/>
        </w:rPr>
        <w:t>4.1.6</w:t>
      </w:r>
      <w:r>
        <w:rPr>
          <w:rFonts w:hint="eastAsia" w:ascii="Times New Roman" w:hAnsi="Times New Roman" w:eastAsia="宋体" w:cs="Times New Roman"/>
          <w:b/>
          <w:sz w:val="24"/>
          <w:szCs w:val="24"/>
          <w:highlight w:val="none"/>
          <w:lang w:val="en-US" w:eastAsia="zh-CN"/>
        </w:rPr>
        <w:t xml:space="preserve"> </w:t>
      </w:r>
      <w:r>
        <w:rPr>
          <w:rFonts w:hint="eastAsia" w:ascii="Times New Roman" w:hAnsi="Times New Roman" w:cs="Times New Roman"/>
          <w:b/>
          <w:sz w:val="24"/>
          <w:szCs w:val="24"/>
          <w:highlight w:val="none"/>
          <w:lang w:val="en-US" w:eastAsia="zh-CN"/>
        </w:rPr>
        <w:t xml:space="preserve"> </w:t>
      </w:r>
      <w:r>
        <w:rPr>
          <w:rFonts w:hint="eastAsia"/>
          <w:highlight w:val="none"/>
          <w:lang w:val="en-US" w:eastAsia="zh-CN"/>
        </w:rPr>
        <w:t>既有建筑</w:t>
      </w:r>
      <w:r>
        <w:rPr>
          <w:rFonts w:hint="default" w:ascii="宋体" w:hAnsi="宋体" w:eastAsia="宋体" w:cs="宋体"/>
          <w:sz w:val="24"/>
          <w:szCs w:val="28"/>
          <w:highlight w:val="none"/>
          <w:lang w:val="en-US" w:eastAsia="zh-CN"/>
        </w:rPr>
        <w:t>改造后，单、多层和高层工业与公共建筑的分类、建筑的耐火等级分级及相应建筑构件的耐火性能要求、工业建筑及其中防火分区或楼层的火灾危险性分类，应符合现行</w:t>
      </w:r>
      <w:r>
        <w:rPr>
          <w:rFonts w:hint="eastAsia" w:cs="宋体"/>
          <w:sz w:val="24"/>
          <w:szCs w:val="28"/>
          <w:highlight w:val="none"/>
          <w:lang w:val="en-US" w:eastAsia="zh-CN"/>
        </w:rPr>
        <w:t>规范</w:t>
      </w:r>
      <w:r>
        <w:rPr>
          <w:rFonts w:hint="default" w:ascii="宋体" w:hAnsi="宋体" w:eastAsia="宋体" w:cs="宋体"/>
          <w:sz w:val="24"/>
          <w:szCs w:val="28"/>
          <w:highlight w:val="none"/>
          <w:lang w:val="en-US" w:eastAsia="zh-CN"/>
        </w:rPr>
        <w:t>《建筑设计防火规范》</w:t>
      </w:r>
      <w:r>
        <w:rPr>
          <w:rFonts w:hint="default" w:ascii="Times New Roman" w:hAnsi="Times New Roman" w:eastAsia="宋体" w:cs="Times New Roman"/>
          <w:sz w:val="24"/>
          <w:szCs w:val="28"/>
          <w:highlight w:val="none"/>
          <w:lang w:val="en-US" w:eastAsia="zh-CN"/>
        </w:rPr>
        <w:t>GB50016</w:t>
      </w:r>
      <w:r>
        <w:rPr>
          <w:rFonts w:hint="default" w:ascii="宋体" w:hAnsi="宋体" w:eastAsia="宋体" w:cs="宋体"/>
          <w:sz w:val="24"/>
          <w:szCs w:val="28"/>
          <w:highlight w:val="none"/>
          <w:lang w:val="en-US" w:eastAsia="zh-CN"/>
        </w:rPr>
        <w:t>等的</w:t>
      </w:r>
      <w:r>
        <w:rPr>
          <w:rFonts w:hint="eastAsia" w:cs="宋体"/>
          <w:sz w:val="24"/>
          <w:szCs w:val="28"/>
          <w:highlight w:val="none"/>
          <w:lang w:val="en-US" w:eastAsia="zh-CN"/>
        </w:rPr>
        <w:t>要求</w:t>
      </w:r>
      <w:r>
        <w:rPr>
          <w:rFonts w:hint="default" w:ascii="宋体" w:hAnsi="宋体" w:eastAsia="宋体" w:cs="宋体"/>
          <w:sz w:val="24"/>
          <w:szCs w:val="28"/>
          <w:highlight w:val="none"/>
          <w:lang w:val="en-US" w:eastAsia="zh-CN"/>
        </w:rPr>
        <w:t>。除本标准第</w:t>
      </w:r>
      <w:r>
        <w:rPr>
          <w:rFonts w:hint="default" w:ascii="Times New Roman" w:hAnsi="Times New Roman" w:cs="Times New Roman"/>
          <w:sz w:val="24"/>
          <w:szCs w:val="28"/>
          <w:highlight w:val="none"/>
          <w:lang w:val="en-US" w:eastAsia="zh-CN"/>
        </w:rPr>
        <w:t>4.1.7</w:t>
      </w:r>
      <w:r>
        <w:rPr>
          <w:rFonts w:hint="default" w:ascii="宋体" w:hAnsi="宋体" w:eastAsia="宋体" w:cs="宋体"/>
          <w:sz w:val="24"/>
          <w:szCs w:val="28"/>
          <w:highlight w:val="none"/>
          <w:lang w:val="en-US" w:eastAsia="zh-CN"/>
        </w:rPr>
        <w:t>条规定的情形外，单、多层和高层住宅建筑的分类、一、二类高层民用建筑的分类应符合下列规定：</w:t>
      </w:r>
    </w:p>
    <w:p w14:paraId="2439E564">
      <w:pPr>
        <w:autoSpaceDN/>
        <w:ind w:firstLine="482" w:firstLineChars="200"/>
        <w:jc w:val="left"/>
        <w:rPr>
          <w:rFonts w:hint="default" w:ascii="宋体" w:hAnsi="宋体" w:eastAsia="宋体" w:cs="宋体"/>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 xml:space="preserve">1 </w:t>
      </w:r>
      <w:r>
        <w:rPr>
          <w:rFonts w:hint="eastAsia" w:ascii="Times New Roman" w:hAnsi="Times New Roman" w:cs="Times New Roman"/>
          <w:b/>
          <w:bCs/>
          <w:sz w:val="24"/>
          <w:szCs w:val="28"/>
          <w:highlight w:val="none"/>
          <w:lang w:val="en-US" w:eastAsia="zh-CN"/>
        </w:rPr>
        <w:t xml:space="preserve"> </w:t>
      </w:r>
      <w:r>
        <w:rPr>
          <w:rFonts w:hint="eastAsia" w:ascii="Times New Roman" w:hAnsi="Times New Roman" w:eastAsia="宋体" w:cs="Times New Roman"/>
          <w:b w:val="0"/>
          <w:bCs w:val="0"/>
          <w:sz w:val="24"/>
          <w:szCs w:val="28"/>
          <w:highlight w:val="none"/>
          <w:lang w:val="en-US" w:eastAsia="zh-CN"/>
        </w:rPr>
        <w:t>当不改变使用功能时，其分类应符合原建造时标准的规定；</w:t>
      </w:r>
    </w:p>
    <w:p w14:paraId="2B0C11B3">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2</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当改变使用功能时，其分类应符合国家现行</w:t>
      </w:r>
      <w:r>
        <w:rPr>
          <w:rFonts w:hint="eastAsia" w:ascii="Times New Roman" w:hAnsi="Times New Roman" w:cs="Times New Roman"/>
          <w:sz w:val="24"/>
          <w:szCs w:val="28"/>
          <w:highlight w:val="none"/>
          <w:lang w:val="en-US" w:eastAsia="zh-CN"/>
        </w:rPr>
        <w:t>规范的要求。</w:t>
      </w:r>
    </w:p>
    <w:p w14:paraId="2BC2EAEB">
      <w:pPr>
        <w:autoSpaceDN/>
        <w:ind w:firstLine="0" w:firstLineChars="0"/>
        <w:jc w:val="left"/>
        <w:rPr>
          <w:rFonts w:hint="default" w:ascii="宋体" w:hAnsi="宋体" w:eastAsia="宋体" w:cs="宋体"/>
          <w:sz w:val="24"/>
          <w:szCs w:val="28"/>
          <w:highlight w:val="none"/>
          <w:lang w:val="en-US" w:eastAsia="zh-CN"/>
        </w:rPr>
      </w:pPr>
      <w:r>
        <w:rPr>
          <w:rFonts w:hint="eastAsia" w:ascii="Times New Roman" w:hAnsi="Times New Roman" w:cs="Times New Roman"/>
          <w:b/>
          <w:sz w:val="24"/>
          <w:szCs w:val="24"/>
          <w:highlight w:val="none"/>
          <w:lang w:val="en-US" w:eastAsia="zh-CN"/>
        </w:rPr>
        <w:t>4.1.7</w:t>
      </w:r>
      <w:r>
        <w:rPr>
          <w:rFonts w:hint="default" w:ascii="宋体" w:hAnsi="宋体" w:eastAsia="宋体" w:cs="宋体"/>
          <w:sz w:val="24"/>
          <w:szCs w:val="28"/>
          <w:highlight w:val="none"/>
          <w:lang w:val="en-US" w:eastAsia="zh-CN"/>
        </w:rPr>
        <w:t xml:space="preserve"> </w:t>
      </w:r>
      <w:r>
        <w:rPr>
          <w:rFonts w:hint="eastAsia" w:cs="宋体"/>
          <w:sz w:val="24"/>
          <w:szCs w:val="28"/>
          <w:highlight w:val="none"/>
          <w:lang w:val="en-US" w:eastAsia="zh-CN"/>
        </w:rPr>
        <w:t xml:space="preserve"> </w:t>
      </w:r>
      <w:r>
        <w:rPr>
          <w:rFonts w:hint="default" w:ascii="宋体" w:hAnsi="宋体" w:eastAsia="宋体" w:cs="宋体"/>
          <w:sz w:val="24"/>
          <w:szCs w:val="28"/>
          <w:highlight w:val="none"/>
          <w:lang w:val="en-US" w:eastAsia="zh-CN"/>
        </w:rPr>
        <w:t>既有民用建筑改造为工业建筑、既有工业建筑改造为民用建筑，应进行整体改造，且建筑的防火间距、消防车登高操作场地宜符合国家现行</w:t>
      </w:r>
      <w:r>
        <w:rPr>
          <w:rFonts w:hint="eastAsia" w:cs="宋体"/>
          <w:sz w:val="24"/>
          <w:szCs w:val="28"/>
          <w:highlight w:val="none"/>
          <w:lang w:val="en-US" w:eastAsia="zh-CN"/>
        </w:rPr>
        <w:t>规范的要求</w:t>
      </w:r>
      <w:r>
        <w:rPr>
          <w:rFonts w:hint="default" w:ascii="宋体" w:hAnsi="宋体" w:eastAsia="宋体" w:cs="宋体"/>
          <w:sz w:val="24"/>
          <w:szCs w:val="28"/>
          <w:highlight w:val="none"/>
          <w:lang w:val="en-US" w:eastAsia="zh-CN"/>
        </w:rPr>
        <w:t>，建筑的其他防火技术要求应符合国家现行</w:t>
      </w:r>
      <w:r>
        <w:rPr>
          <w:rFonts w:hint="eastAsia" w:cs="宋体"/>
          <w:sz w:val="24"/>
          <w:szCs w:val="28"/>
          <w:highlight w:val="none"/>
          <w:lang w:val="en-US" w:eastAsia="zh-CN"/>
        </w:rPr>
        <w:t>规范的要求。</w:t>
      </w:r>
    </w:p>
    <w:p w14:paraId="3F927E8A">
      <w:pPr>
        <w:autoSpaceDN/>
        <w:ind w:firstLine="0" w:firstLineChars="0"/>
        <w:jc w:val="left"/>
        <w:rPr>
          <w:rFonts w:hint="default" w:ascii="宋体" w:hAnsi="宋体" w:eastAsia="宋体" w:cs="宋体"/>
          <w:sz w:val="24"/>
          <w:szCs w:val="28"/>
          <w:highlight w:val="none"/>
          <w:lang w:val="en-US" w:eastAsia="zh-CN"/>
        </w:rPr>
      </w:pPr>
      <w:r>
        <w:rPr>
          <w:rFonts w:hint="eastAsia" w:ascii="Times New Roman" w:hAnsi="Times New Roman" w:cs="Times New Roman"/>
          <w:b/>
          <w:sz w:val="24"/>
          <w:szCs w:val="24"/>
          <w:highlight w:val="none"/>
          <w:lang w:val="en-US" w:eastAsia="zh-CN"/>
        </w:rPr>
        <w:t>4.1.8</w:t>
      </w:r>
      <w:r>
        <w:rPr>
          <w:rFonts w:hint="eastAsia" w:cs="宋体"/>
          <w:sz w:val="24"/>
          <w:szCs w:val="28"/>
          <w:highlight w:val="none"/>
          <w:lang w:val="en-US" w:eastAsia="zh-CN"/>
        </w:rPr>
        <w:t xml:space="preserve"> </w:t>
      </w:r>
      <w:r>
        <w:rPr>
          <w:rFonts w:hint="default" w:ascii="宋体" w:hAnsi="宋体" w:eastAsia="宋体" w:cs="宋体"/>
          <w:sz w:val="24"/>
          <w:szCs w:val="28"/>
          <w:highlight w:val="none"/>
          <w:lang w:val="en-US" w:eastAsia="zh-CN"/>
        </w:rPr>
        <w:t xml:space="preserve"> 除下列情形外，</w:t>
      </w:r>
      <w:r>
        <w:rPr>
          <w:rFonts w:hint="eastAsia"/>
          <w:highlight w:val="none"/>
          <w:lang w:val="en-US" w:eastAsia="zh-CN"/>
        </w:rPr>
        <w:t>既有建筑</w:t>
      </w:r>
      <w:r>
        <w:rPr>
          <w:rFonts w:hint="default" w:ascii="宋体" w:hAnsi="宋体" w:eastAsia="宋体" w:cs="宋体"/>
          <w:sz w:val="24"/>
          <w:szCs w:val="28"/>
          <w:highlight w:val="none"/>
          <w:lang w:val="en-US" w:eastAsia="zh-CN"/>
        </w:rPr>
        <w:t>在改造时增加建筑高度、建筑面积，建筑的防火间距、消防车道、消防车登高操作场地宜符合国家现行</w:t>
      </w:r>
      <w:r>
        <w:rPr>
          <w:rFonts w:hint="eastAsia" w:cs="宋体"/>
          <w:sz w:val="24"/>
          <w:szCs w:val="28"/>
          <w:highlight w:val="none"/>
          <w:lang w:val="en-US" w:eastAsia="zh-CN"/>
        </w:rPr>
        <w:t>规范的要求</w:t>
      </w:r>
      <w:r>
        <w:rPr>
          <w:rFonts w:hint="default" w:ascii="宋体" w:hAnsi="宋体" w:eastAsia="宋体" w:cs="宋体"/>
          <w:sz w:val="24"/>
          <w:szCs w:val="28"/>
          <w:highlight w:val="none"/>
          <w:lang w:val="en-US" w:eastAsia="zh-CN"/>
        </w:rPr>
        <w:t>，建筑的其他防火技术要求应符合国家现行</w:t>
      </w:r>
      <w:r>
        <w:rPr>
          <w:rFonts w:hint="eastAsia" w:cs="宋体"/>
          <w:sz w:val="24"/>
          <w:szCs w:val="28"/>
          <w:highlight w:val="none"/>
          <w:lang w:val="en-US" w:eastAsia="zh-CN"/>
        </w:rPr>
        <w:t>规范的要求</w:t>
      </w:r>
      <w:r>
        <w:rPr>
          <w:rFonts w:hint="default" w:ascii="宋体" w:hAnsi="宋体" w:eastAsia="宋体" w:cs="宋体"/>
          <w:sz w:val="24"/>
          <w:szCs w:val="28"/>
          <w:highlight w:val="none"/>
          <w:lang w:val="en-US" w:eastAsia="zh-CN"/>
        </w:rPr>
        <w:t>：</w:t>
      </w:r>
    </w:p>
    <w:p w14:paraId="1E7AB0A4">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1</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既有建筑增加的建筑高度为设备机房、屋顶水箱、光伏板以及其他无实际使用功能的设施；</w:t>
      </w:r>
    </w:p>
    <w:p w14:paraId="34CDC370">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2</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既有建筑增加的建筑面积为设备机房、屋顶水箱、外廊道、阳台、天台、连廊等以及其他无实际使用功能的设施，或增加具有实际使用功能场所的建筑面积不大于建筑总建筑面积的5%且不大于500m</w:t>
      </w:r>
      <w:r>
        <w:rPr>
          <w:rFonts w:hint="eastAsia" w:ascii="Times New Roman" w:hAnsi="Times New Roman" w:eastAsia="宋体" w:cs="Times New Roman"/>
          <w:sz w:val="24"/>
          <w:szCs w:val="28"/>
          <w:highlight w:val="none"/>
          <w:vertAlign w:val="superscript"/>
          <w:lang w:val="en-US" w:eastAsia="zh-CN"/>
        </w:rPr>
        <w:t>2</w:t>
      </w:r>
      <w:r>
        <w:rPr>
          <w:rFonts w:hint="eastAsia" w:ascii="Times New Roman" w:hAnsi="Times New Roman" w:eastAsia="宋体" w:cs="Times New Roman"/>
          <w:sz w:val="24"/>
          <w:szCs w:val="28"/>
          <w:highlight w:val="none"/>
          <w:lang w:val="en-US" w:eastAsia="zh-CN"/>
        </w:rPr>
        <w:t>的其他情形。</w:t>
      </w:r>
    </w:p>
    <w:p w14:paraId="3000BB82">
      <w:pPr>
        <w:autoSpaceDN/>
        <w:ind w:firstLine="0" w:firstLineChars="0"/>
        <w:jc w:val="left"/>
        <w:rPr>
          <w:rFonts w:hint="eastAsia" w:ascii="Times New Roman" w:hAnsi="Times New Roman" w:eastAsia="宋体" w:cs="Times New Roman"/>
          <w:sz w:val="24"/>
          <w:szCs w:val="28"/>
          <w:highlight w:val="none"/>
          <w:lang w:val="en-US" w:eastAsia="zh-CN"/>
        </w:rPr>
      </w:pPr>
      <w:r>
        <w:rPr>
          <w:rFonts w:hint="eastAsia" w:ascii="Times New Roman" w:hAnsi="Times New Roman" w:cs="Times New Roman"/>
          <w:b/>
          <w:sz w:val="24"/>
          <w:szCs w:val="24"/>
          <w:highlight w:val="none"/>
          <w:lang w:val="en-US" w:eastAsia="zh-CN"/>
        </w:rPr>
        <w:t>4.1.9</w:t>
      </w:r>
      <w:r>
        <w:rPr>
          <w:rFonts w:hint="eastAsia" w:ascii="宋体" w:hAnsi="宋体" w:eastAsia="宋体" w:cs="宋体"/>
          <w:sz w:val="24"/>
          <w:szCs w:val="28"/>
          <w:highlight w:val="none"/>
          <w:lang w:val="en-US" w:eastAsia="zh"/>
        </w:rPr>
        <w:t xml:space="preserve"> </w:t>
      </w:r>
      <w:r>
        <w:rPr>
          <w:rFonts w:hint="eastAsia" w:cs="宋体"/>
          <w:sz w:val="24"/>
          <w:szCs w:val="28"/>
          <w:highlight w:val="none"/>
          <w:lang w:val="en-US" w:eastAsia="zh-CN"/>
        </w:rPr>
        <w:t xml:space="preserve"> </w:t>
      </w:r>
      <w:r>
        <w:rPr>
          <w:rFonts w:hint="default" w:ascii="Times New Roman" w:hAnsi="Times New Roman" w:cs="Times New Roman"/>
          <w:color w:val="auto"/>
          <w:highlight w:val="none"/>
          <w:u w:val="none"/>
          <w:lang w:val="en-US" w:eastAsia="zh-CN"/>
        </w:rPr>
        <w:t>除本标准另有规定外，</w:t>
      </w:r>
      <w:r>
        <w:rPr>
          <w:rFonts w:hint="eastAsia" w:ascii="宋体" w:hAnsi="宋体" w:eastAsia="宋体" w:cs="宋体"/>
          <w:sz w:val="24"/>
          <w:szCs w:val="28"/>
          <w:highlight w:val="none"/>
          <w:lang w:val="en-US" w:eastAsia="zh"/>
        </w:rPr>
        <w:t>建筑装修、修缮专项改造中有关改造内容，既有建筑整体改造和局部改造中的建筑装修、建筑外立面或节能改造涉及区域的外墙、立面和屋面，应符合下列规定：</w:t>
      </w:r>
    </w:p>
    <w:p w14:paraId="78042E91">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1</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不应影响建筑内疏散设施、消防设施、消防救援设施的性能和正常使用；</w:t>
      </w:r>
    </w:p>
    <w:p w14:paraId="0EF7E694">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2</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建筑本体与改造内容相关的建筑防火措施和消防设施应同步改造；</w:t>
      </w:r>
    </w:p>
    <w:p w14:paraId="2E55386D">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3</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建筑高度大于50m的建筑，外墙外装饰层的燃烧性能应为A级；建筑高度不大于50m的建筑，外墙外装饰层的燃烧性能不应低于B1级；</w:t>
      </w:r>
    </w:p>
    <w:p w14:paraId="14423D97">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4</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改造所用材料和制品的燃烧性能、防火构造、电气线路选型与敷设等，应符合国家现行</w:t>
      </w:r>
      <w:r>
        <w:rPr>
          <w:rFonts w:hint="eastAsia" w:ascii="Times New Roman" w:hAnsi="Times New Roman" w:cs="Times New Roman"/>
          <w:sz w:val="24"/>
          <w:szCs w:val="28"/>
          <w:highlight w:val="none"/>
          <w:lang w:val="en-US" w:eastAsia="zh-CN"/>
        </w:rPr>
        <w:t>规范的要求</w:t>
      </w:r>
      <w:r>
        <w:rPr>
          <w:rFonts w:hint="eastAsia" w:ascii="Times New Roman" w:hAnsi="Times New Roman" w:eastAsia="宋体" w:cs="Times New Roman"/>
          <w:sz w:val="24"/>
          <w:szCs w:val="28"/>
          <w:highlight w:val="none"/>
          <w:lang w:val="en-US" w:eastAsia="zh-CN"/>
        </w:rPr>
        <w:t>。</w:t>
      </w:r>
    </w:p>
    <w:p w14:paraId="4BE90368">
      <w:pPr>
        <w:pStyle w:val="19"/>
        <w:spacing w:line="360" w:lineRule="auto"/>
        <w:rPr>
          <w:rFonts w:hint="eastAsia" w:ascii="Times New Roman" w:hAnsi="Times New Roman" w:cs="Times New Roman"/>
          <w:bCs w:val="0"/>
          <w:color w:val="0000FF"/>
          <w:highlight w:val="none"/>
          <w:u w:val="none"/>
          <w:lang w:val="en-US" w:eastAsia="zh-CN"/>
        </w:rPr>
      </w:pPr>
      <w:r>
        <w:rPr>
          <w:rFonts w:hint="eastAsia" w:ascii="Times New Roman" w:hAnsi="Times New Roman" w:cs="Times New Roman"/>
          <w:bCs w:val="0"/>
          <w:color w:val="0000FF"/>
          <w:highlight w:val="none"/>
          <w:u w:val="none"/>
          <w:lang w:val="en-US" w:eastAsia="zh-CN"/>
        </w:rPr>
        <w:t>【</w:t>
      </w:r>
      <w:r>
        <w:rPr>
          <w:rFonts w:hint="eastAsia" w:cs="Times New Roman"/>
          <w:bCs w:val="0"/>
          <w:color w:val="0000FF"/>
          <w:highlight w:val="none"/>
          <w:u w:val="none"/>
          <w:lang w:val="en-US" w:eastAsia="zh-CN"/>
        </w:rPr>
        <w:t>条文</w:t>
      </w:r>
      <w:r>
        <w:rPr>
          <w:rFonts w:hint="eastAsia" w:ascii="Times New Roman" w:hAnsi="Times New Roman" w:cs="Times New Roman"/>
          <w:bCs w:val="0"/>
          <w:color w:val="0000FF"/>
          <w:highlight w:val="none"/>
          <w:u w:val="none"/>
          <w:lang w:val="en-US" w:eastAsia="zh-CN"/>
        </w:rPr>
        <w:t xml:space="preserve">说明】 </w:t>
      </w:r>
    </w:p>
    <w:p w14:paraId="508D66D3">
      <w:pPr>
        <w:autoSpaceDN/>
        <w:ind w:firstLine="480" w:firstLineChars="200"/>
        <w:jc w:val="left"/>
        <w:rPr>
          <w:rFonts w:hint="eastAsia" w:ascii="Times New Roman" w:hAnsi="Times New Roman" w:eastAsia="宋体" w:cs="Times New Roman"/>
          <w:color w:val="0000FF"/>
          <w:sz w:val="24"/>
          <w:szCs w:val="28"/>
          <w:highlight w:val="none"/>
          <w:lang w:val="en-US" w:eastAsia="zh-CN"/>
        </w:rPr>
      </w:pPr>
      <w:r>
        <w:rPr>
          <w:rFonts w:hint="default" w:ascii="Times New Roman" w:hAnsi="Times New Roman" w:cs="Times New Roman"/>
          <w:color w:val="0000FF"/>
          <w:highlight w:val="none"/>
          <w:u w:val="none"/>
          <w:lang w:val="en-US" w:eastAsia="zh-CN"/>
        </w:rPr>
        <w:t>当建筑改造部分的建筑面积</w:t>
      </w:r>
      <w:r>
        <w:rPr>
          <w:rFonts w:hint="eastAsia" w:ascii="Times New Roman" w:hAnsi="Times New Roman" w:cs="Times New Roman"/>
          <w:color w:val="0000FF"/>
          <w:highlight w:val="none"/>
          <w:u w:val="none"/>
          <w:lang w:val="en-US" w:eastAsia="zh-CN"/>
        </w:rPr>
        <w:t>不小于</w:t>
      </w:r>
      <w:r>
        <w:rPr>
          <w:rFonts w:hint="default" w:ascii="Times New Roman" w:hAnsi="Times New Roman" w:cs="Times New Roman"/>
          <w:color w:val="0000FF"/>
          <w:highlight w:val="none"/>
          <w:u w:val="none"/>
          <w:lang w:val="en-US" w:eastAsia="zh-CN"/>
        </w:rPr>
        <w:t>其总建筑面积50%时，应划分为整体改造</w:t>
      </w:r>
      <w:r>
        <w:rPr>
          <w:rFonts w:hint="eastAsia" w:ascii="Times New Roman" w:hAnsi="Times New Roman" w:cs="Times New Roman"/>
          <w:color w:val="0000FF"/>
          <w:highlight w:val="none"/>
          <w:u w:val="none"/>
          <w:lang w:val="en-US" w:eastAsia="zh-CN"/>
        </w:rPr>
        <w:t>；</w:t>
      </w:r>
      <w:r>
        <w:rPr>
          <w:rFonts w:hint="default" w:ascii="Times New Roman" w:hAnsi="Times New Roman" w:cs="Times New Roman"/>
          <w:color w:val="0000FF"/>
          <w:highlight w:val="none"/>
          <w:u w:val="none"/>
          <w:lang w:val="en-US" w:eastAsia="zh-CN"/>
        </w:rPr>
        <w:t>当建筑改造部分的建筑面积</w:t>
      </w:r>
      <w:r>
        <w:rPr>
          <w:rFonts w:hint="eastAsia" w:ascii="Times New Roman" w:hAnsi="Times New Roman" w:cs="Times New Roman"/>
          <w:color w:val="0000FF"/>
          <w:highlight w:val="none"/>
          <w:u w:val="none"/>
          <w:lang w:val="en-US" w:eastAsia="zh-CN"/>
        </w:rPr>
        <w:t>小</w:t>
      </w:r>
      <w:r>
        <w:rPr>
          <w:rFonts w:hint="default" w:ascii="Times New Roman" w:hAnsi="Times New Roman" w:cs="Times New Roman"/>
          <w:color w:val="0000FF"/>
          <w:highlight w:val="none"/>
          <w:u w:val="none"/>
          <w:lang w:val="en-US" w:eastAsia="zh-CN"/>
        </w:rPr>
        <w:t>于其总建筑面积的50%时，可划分为局部改造</w:t>
      </w:r>
      <w:r>
        <w:rPr>
          <w:rFonts w:hint="eastAsia" w:ascii="Times New Roman" w:hAnsi="Times New Roman" w:cs="Times New Roman"/>
          <w:color w:val="0000FF"/>
          <w:highlight w:val="none"/>
          <w:u w:val="none"/>
          <w:lang w:val="en-US" w:eastAsia="zh-CN"/>
        </w:rPr>
        <w:t>。</w:t>
      </w:r>
    </w:p>
    <w:p w14:paraId="73A21E0C">
      <w:pPr>
        <w:autoSpaceDN/>
        <w:ind w:firstLine="0" w:firstLineChars="0"/>
        <w:jc w:val="left"/>
        <w:rPr>
          <w:rFonts w:hint="eastAsia" w:ascii="Times New Roman" w:hAnsi="Times New Roman" w:eastAsia="宋体" w:cs="Times New Roman"/>
          <w:sz w:val="24"/>
          <w:szCs w:val="28"/>
          <w:highlight w:val="none"/>
          <w:lang w:val="en-US" w:eastAsia="zh-CN"/>
        </w:rPr>
      </w:pPr>
      <w:r>
        <w:rPr>
          <w:rFonts w:hint="eastAsia" w:ascii="Times New Roman" w:hAnsi="Times New Roman" w:cs="Times New Roman"/>
          <w:b/>
          <w:sz w:val="24"/>
          <w:szCs w:val="24"/>
          <w:highlight w:val="none"/>
          <w:lang w:val="en-US" w:eastAsia="zh-CN"/>
        </w:rPr>
        <w:t>4.1.10</w:t>
      </w:r>
      <w:r>
        <w:rPr>
          <w:rFonts w:hint="eastAsia" w:ascii="宋体" w:hAnsi="宋体" w:eastAsia="宋体" w:cs="宋体"/>
          <w:sz w:val="24"/>
          <w:szCs w:val="28"/>
          <w:highlight w:val="none"/>
          <w:lang w:val="en-US" w:eastAsia="zh"/>
        </w:rPr>
        <w:t xml:space="preserve"> </w:t>
      </w:r>
      <w:r>
        <w:rPr>
          <w:rFonts w:hint="eastAsia" w:cs="宋体"/>
          <w:sz w:val="24"/>
          <w:szCs w:val="28"/>
          <w:highlight w:val="none"/>
          <w:lang w:val="en-US" w:eastAsia="zh-CN"/>
        </w:rPr>
        <w:t xml:space="preserve"> </w:t>
      </w:r>
      <w:r>
        <w:rPr>
          <w:rFonts w:hint="eastAsia" w:ascii="宋体" w:hAnsi="宋体" w:eastAsia="宋体" w:cs="宋体"/>
          <w:sz w:val="24"/>
          <w:szCs w:val="28"/>
          <w:highlight w:val="none"/>
          <w:lang w:val="en-US" w:eastAsia="zh"/>
        </w:rPr>
        <w:t>既有建筑加装屋顶（含增设光伏板）、改造屋檐或女儿墙、其他外立面改造等专项改造，应符合下列规定：</w:t>
      </w:r>
    </w:p>
    <w:p w14:paraId="038A7DB0">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1</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不应改变屋顶直升机救援设施，不应影响屋顶直升机救援设施的安全使用，不应影响建筑内疏散设施、消防设施、其他消防救援设施的性能和正常使用；</w:t>
      </w:r>
    </w:p>
    <w:p w14:paraId="28E511A7">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2</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当加装屋顶时，不应影响建筑屋顶上排烟口和排烟排热设施的正常功能；</w:t>
      </w:r>
    </w:p>
    <w:p w14:paraId="17B7FE88">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3</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当加装的屋顶、屋檐、女儿墙采用可燃或难燃性材料或制品时，应校核建筑的防火间距。当防火间距不能满足防止火灾蔓延的要求时，相邻侧的改造部分应采用不燃性材料、制品或其他防火措施；</w:t>
      </w:r>
    </w:p>
    <w:p w14:paraId="3F977936">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4</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当建筑进行外立面改造、增设广告牌时，不应影响建筑外墙上排烟口、消防救援口和排烟排热设施的正常功能，电气线路的选型和敷设应符合防火要求。对于建筑高度大于50m建筑，广告牌、景观灯饰制作材料等的燃烧性能不应低于B1级；</w:t>
      </w:r>
    </w:p>
    <w:p w14:paraId="30D883EF">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5</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在建筑外墙和屋顶上设置的广告牌，不应改变或破坏建筑立面的防火构造；户外电致发光广告牌不应直接设置在有可燃、难燃材料的墙体上。</w:t>
      </w:r>
    </w:p>
    <w:p w14:paraId="1C14B014">
      <w:pPr>
        <w:autoSpaceDN/>
        <w:ind w:firstLine="0" w:firstLineChars="0"/>
        <w:jc w:val="left"/>
        <w:rPr>
          <w:rFonts w:hint="eastAsia" w:ascii="Times New Roman" w:hAnsi="Times New Roman" w:eastAsia="宋体" w:cs="Times New Roman"/>
          <w:sz w:val="24"/>
          <w:szCs w:val="28"/>
          <w:highlight w:val="none"/>
          <w:lang w:val="en-US" w:eastAsia="zh-CN"/>
        </w:rPr>
      </w:pPr>
      <w:r>
        <w:rPr>
          <w:rFonts w:hint="eastAsia" w:ascii="Times New Roman" w:hAnsi="Times New Roman" w:cs="Times New Roman"/>
          <w:b/>
          <w:bCs/>
          <w:sz w:val="24"/>
          <w:szCs w:val="28"/>
          <w:highlight w:val="none"/>
          <w:lang w:val="en-US" w:eastAsia="zh-CN"/>
        </w:rPr>
        <w:t xml:space="preserve">4.1.11 </w:t>
      </w:r>
      <w:r>
        <w:rPr>
          <w:rFonts w:hint="eastAsia" w:ascii="Times New Roman" w:hAnsi="Times New Roman" w:eastAsia="宋体" w:cs="Times New Roman"/>
          <w:sz w:val="24"/>
          <w:szCs w:val="28"/>
          <w:highlight w:val="none"/>
          <w:lang w:val="en-US" w:eastAsia="zh-CN"/>
        </w:rPr>
        <w:t xml:space="preserve"> 除本标准另有规定外，既有建筑的水、电、暖通等建筑管线和设备改造或更新等专项改造</w:t>
      </w:r>
      <w:r>
        <w:rPr>
          <w:rFonts w:hint="eastAsia" w:ascii="Times New Roman" w:hAnsi="Times New Roman" w:cs="Times New Roman"/>
          <w:sz w:val="24"/>
          <w:szCs w:val="28"/>
          <w:highlight w:val="none"/>
          <w:lang w:val="en-US" w:eastAsia="zh-CN"/>
        </w:rPr>
        <w:t>的</w:t>
      </w:r>
      <w:r>
        <w:rPr>
          <w:rFonts w:hint="eastAsia" w:ascii="Times New Roman" w:hAnsi="Times New Roman" w:eastAsia="宋体" w:cs="Times New Roman"/>
          <w:sz w:val="24"/>
          <w:szCs w:val="28"/>
          <w:highlight w:val="none"/>
          <w:lang w:val="en-US" w:eastAsia="zh-CN"/>
        </w:rPr>
        <w:t>，不应影响建筑灭火系统、防烟与排烟系统和火灾自动报警系统、应急照明和灯光疏散指示系统等消防设施，以及消防供配电系统的正常使用，其他防火技术要求应符合国家现行</w:t>
      </w:r>
      <w:r>
        <w:rPr>
          <w:rFonts w:hint="eastAsia" w:ascii="Times New Roman" w:hAnsi="Times New Roman" w:cs="Times New Roman"/>
          <w:sz w:val="24"/>
          <w:szCs w:val="28"/>
          <w:highlight w:val="none"/>
          <w:lang w:val="en-US" w:eastAsia="zh-CN"/>
        </w:rPr>
        <w:t>规范的要求</w:t>
      </w:r>
      <w:r>
        <w:rPr>
          <w:rFonts w:hint="eastAsia" w:ascii="Times New Roman" w:hAnsi="Times New Roman" w:eastAsia="宋体" w:cs="Times New Roman"/>
          <w:sz w:val="24"/>
          <w:szCs w:val="28"/>
          <w:highlight w:val="none"/>
          <w:lang w:val="en-US" w:eastAsia="zh-CN"/>
        </w:rPr>
        <w:t>。</w:t>
      </w:r>
    </w:p>
    <w:p w14:paraId="731F77A8">
      <w:pPr>
        <w:autoSpaceDN/>
        <w:ind w:firstLine="0" w:firstLineChars="0"/>
        <w:jc w:val="left"/>
        <w:rPr>
          <w:rFonts w:hint="eastAsia" w:ascii="Times New Roman" w:hAnsi="Times New Roman" w:eastAsia="宋体" w:cs="Times New Roman"/>
          <w:sz w:val="24"/>
          <w:szCs w:val="28"/>
          <w:highlight w:val="none"/>
          <w:lang w:val="en-US" w:eastAsia="zh-CN"/>
        </w:rPr>
      </w:pPr>
      <w:r>
        <w:rPr>
          <w:rFonts w:hint="eastAsia" w:ascii="Times New Roman" w:hAnsi="Times New Roman" w:cs="Times New Roman"/>
          <w:b/>
          <w:bCs/>
          <w:sz w:val="24"/>
          <w:szCs w:val="28"/>
          <w:highlight w:val="none"/>
          <w:lang w:val="en-US" w:eastAsia="zh-CN"/>
        </w:rPr>
        <w:t xml:space="preserve">4.1.12 </w:t>
      </w:r>
      <w:r>
        <w:rPr>
          <w:rFonts w:hint="eastAsia" w:ascii="Times New Roman" w:hAnsi="Times New Roman" w:eastAsia="宋体" w:cs="Times New Roman"/>
          <w:sz w:val="24"/>
          <w:szCs w:val="28"/>
          <w:highlight w:val="none"/>
          <w:lang w:val="en-US" w:eastAsia="zh-CN"/>
        </w:rPr>
        <w:t xml:space="preserve"> 建筑既有地下室的整体改造和局部改造</w:t>
      </w:r>
      <w:r>
        <w:rPr>
          <w:rFonts w:hint="eastAsia" w:ascii="Times New Roman" w:hAnsi="Times New Roman" w:cs="Times New Roman"/>
          <w:sz w:val="24"/>
          <w:szCs w:val="28"/>
          <w:highlight w:val="none"/>
          <w:lang w:val="en-US" w:eastAsia="zh-CN"/>
        </w:rPr>
        <w:t>的</w:t>
      </w:r>
      <w:r>
        <w:rPr>
          <w:rFonts w:hint="eastAsia" w:ascii="Times New Roman" w:hAnsi="Times New Roman" w:eastAsia="宋体" w:cs="Times New Roman"/>
          <w:sz w:val="24"/>
          <w:szCs w:val="28"/>
          <w:highlight w:val="none"/>
          <w:lang w:val="en-US" w:eastAsia="zh-CN"/>
        </w:rPr>
        <w:t>，除建筑地上楼层的相关防火措施可不同步改造外，其防火技术要求应符合下列规定：</w:t>
      </w:r>
    </w:p>
    <w:p w14:paraId="40B23395">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1</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地下室改造分类中的总建筑面积，可不计算建筑地上楼层的建筑面积；</w:t>
      </w:r>
    </w:p>
    <w:p w14:paraId="2BCAFE3F">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2</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不应降低服务于建筑地上楼层的消防设施的功能和性能；</w:t>
      </w:r>
    </w:p>
    <w:p w14:paraId="2819CDF5">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3</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应采用耐火极限不低于1.50h的楼板等防火分隔措施与建筑的地上楼层分隔；</w:t>
      </w:r>
    </w:p>
    <w:p w14:paraId="63DBBEB7">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4</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地下室改造区域内的疏散楼梯间应与地上楼层的疏散楼梯间分隔；</w:t>
      </w:r>
    </w:p>
    <w:p w14:paraId="5D0706CB">
      <w:pPr>
        <w:autoSpaceDN/>
        <w:ind w:firstLine="482" w:firstLineChars="200"/>
        <w:jc w:val="left"/>
        <w:rPr>
          <w:rFonts w:hint="eastAsia" w:ascii="Times New Roman" w:hAnsi="Times New Roman" w:eastAsia="宋体" w:cs="Times New Roman"/>
          <w:sz w:val="24"/>
          <w:szCs w:val="28"/>
          <w:highlight w:val="none"/>
          <w:lang w:val="en-US" w:eastAsia="zh-CN"/>
        </w:rPr>
      </w:pPr>
      <w:r>
        <w:rPr>
          <w:rFonts w:hint="eastAsia" w:ascii="Times New Roman" w:hAnsi="Times New Roman" w:eastAsia="宋体" w:cs="Times New Roman"/>
          <w:b/>
          <w:bCs/>
          <w:sz w:val="24"/>
          <w:szCs w:val="28"/>
          <w:highlight w:val="none"/>
          <w:lang w:val="en-US" w:eastAsia="zh-CN"/>
        </w:rPr>
        <w:t>5</w:t>
      </w:r>
      <w:r>
        <w:rPr>
          <w:rFonts w:hint="eastAsia" w:ascii="Times New Roman" w:hAnsi="Times New Roman" w:eastAsia="宋体" w:cs="Times New Roman"/>
          <w:sz w:val="24"/>
          <w:szCs w:val="28"/>
          <w:highlight w:val="none"/>
          <w:lang w:val="en-US" w:eastAsia="zh-CN"/>
        </w:rPr>
        <w:t xml:space="preserve"> </w:t>
      </w:r>
      <w:r>
        <w:rPr>
          <w:rFonts w:hint="eastAsia" w:ascii="Times New Roman" w:hAnsi="Times New Roman" w:cs="Times New Roman"/>
          <w:sz w:val="24"/>
          <w:szCs w:val="28"/>
          <w:highlight w:val="none"/>
          <w:lang w:val="en-US" w:eastAsia="zh-CN"/>
        </w:rPr>
        <w:t xml:space="preserve"> </w:t>
      </w:r>
      <w:r>
        <w:rPr>
          <w:rFonts w:hint="eastAsia" w:ascii="Times New Roman" w:hAnsi="Times New Roman" w:eastAsia="宋体" w:cs="Times New Roman"/>
          <w:sz w:val="24"/>
          <w:szCs w:val="28"/>
          <w:highlight w:val="none"/>
          <w:lang w:val="en-US" w:eastAsia="zh-CN"/>
        </w:rPr>
        <w:t>地下室改造区域内的其他防火技术要求，应符合国家现行</w:t>
      </w:r>
      <w:r>
        <w:rPr>
          <w:rFonts w:hint="eastAsia" w:ascii="Times New Roman" w:hAnsi="Times New Roman" w:cs="Times New Roman"/>
          <w:sz w:val="24"/>
          <w:szCs w:val="28"/>
          <w:highlight w:val="none"/>
          <w:lang w:val="en-US" w:eastAsia="zh-CN"/>
        </w:rPr>
        <w:t>规范的要求</w:t>
      </w:r>
      <w:r>
        <w:rPr>
          <w:rFonts w:hint="eastAsia" w:ascii="Times New Roman" w:hAnsi="Times New Roman" w:eastAsia="宋体" w:cs="Times New Roman"/>
          <w:sz w:val="24"/>
          <w:szCs w:val="28"/>
          <w:highlight w:val="none"/>
          <w:lang w:val="en-US" w:eastAsia="zh-CN"/>
        </w:rPr>
        <w:t>。</w:t>
      </w:r>
    </w:p>
    <w:p w14:paraId="1A10692A">
      <w:pPr>
        <w:autoSpaceDN/>
        <w:ind w:firstLine="0" w:firstLineChars="0"/>
        <w:jc w:val="left"/>
        <w:rPr>
          <w:rFonts w:hint="eastAsia" w:ascii="Times New Roman" w:hAnsi="Times New Roman" w:cs="Times New Roman"/>
          <w:color w:val="auto"/>
          <w:highlight w:val="none"/>
          <w:u w:val="none"/>
          <w:lang w:val="en-US" w:eastAsia="zh-CN"/>
        </w:rPr>
      </w:pPr>
      <w:r>
        <w:rPr>
          <w:rFonts w:hint="eastAsia" w:ascii="Times New Roman" w:hAnsi="Times New Roman" w:cs="Times New Roman"/>
          <w:b/>
          <w:bCs/>
          <w:sz w:val="24"/>
          <w:szCs w:val="28"/>
          <w:highlight w:val="none"/>
          <w:lang w:val="en-US" w:eastAsia="zh-CN"/>
        </w:rPr>
        <w:t>4.1.13</w:t>
      </w:r>
      <w:r>
        <w:rPr>
          <w:rFonts w:hint="eastAsia" w:ascii="Times New Roman" w:hAnsi="Times New Roman" w:cs="Times New Roman"/>
          <w:sz w:val="24"/>
          <w:szCs w:val="28"/>
          <w:highlight w:val="none"/>
          <w:lang w:val="en-US" w:eastAsia="zh-CN"/>
        </w:rPr>
        <w:t xml:space="preserve">  </w:t>
      </w:r>
      <w:r>
        <w:rPr>
          <w:rFonts w:hint="eastAsia" w:ascii="Times New Roman" w:hAnsi="Times New Roman" w:cs="Times New Roman"/>
          <w:color w:val="auto"/>
          <w:highlight w:val="none"/>
          <w:u w:val="none"/>
          <w:lang w:val="en-US" w:eastAsia="zh-CN"/>
        </w:rPr>
        <w:t>既有建筑整体或局部改造为医疗建筑或场所、老年人照料设施、儿童活动场所、歌舞娱乐放映游艺场所，或者既有医疗建筑或场所、老年人照料设施、儿童活动场所、歌舞娱乐放映游艺场所不改变使用功能或用途的改造，其防火技术要求应符合国家现行规范的要求。</w:t>
      </w:r>
    </w:p>
    <w:p w14:paraId="13857C2B">
      <w:pPr>
        <w:autoSpaceDN/>
        <w:ind w:firstLine="0" w:firstLineChars="0"/>
        <w:jc w:val="left"/>
        <w:rPr>
          <w:rFonts w:hint="default" w:ascii="Times New Roman" w:hAnsi="Times New Roman" w:cs="Times New Roman"/>
          <w:color w:val="auto"/>
          <w:highlight w:val="none"/>
          <w:u w:val="none"/>
          <w:lang w:val="en-US" w:eastAsia="zh-CN"/>
        </w:rPr>
      </w:pPr>
      <w:r>
        <w:rPr>
          <w:rFonts w:hint="eastAsia" w:ascii="Times New Roman" w:hAnsi="Times New Roman" w:cs="Times New Roman"/>
          <w:b/>
          <w:bCs/>
          <w:color w:val="auto"/>
          <w:highlight w:val="none"/>
          <w:u w:val="none"/>
          <w:lang w:val="en-US" w:eastAsia="zh-CN"/>
        </w:rPr>
        <w:t>4.1.14</w:t>
      </w:r>
      <w:r>
        <w:rPr>
          <w:rFonts w:hint="eastAsia" w:ascii="Times New Roman" w:hAnsi="Times New Roman" w:cs="Times New Roman"/>
          <w:color w:val="auto"/>
          <w:highlight w:val="none"/>
          <w:u w:val="none"/>
          <w:lang w:val="en-US" w:eastAsia="zh-CN"/>
        </w:rPr>
        <w:t xml:space="preserve">  除本标准另有规定外，既有居住建筑整体改造为公共建筑，其防火技术要求应符合国家现行有关标准的规定。</w:t>
      </w:r>
    </w:p>
    <w:p w14:paraId="5DE2F841">
      <w:pPr>
        <w:bidi w:val="0"/>
        <w:ind w:left="0" w:leftChars="0" w:firstLine="0" w:firstLineChars="0"/>
        <w:rPr>
          <w:rFonts w:hint="default" w:ascii="Times New Roman" w:hAnsi="Times New Roman" w:cs="Times New Roman"/>
          <w:color w:val="auto"/>
          <w:highlight w:val="none"/>
          <w:lang w:val="en-US" w:eastAsia="zh-CN"/>
        </w:rPr>
      </w:pPr>
      <w:r>
        <w:rPr>
          <w:rFonts w:hint="eastAsia" w:ascii="Times New Roman" w:hAnsi="Times New Roman" w:cs="Times New Roman"/>
          <w:b/>
          <w:bCs/>
          <w:sz w:val="24"/>
          <w:szCs w:val="28"/>
          <w:highlight w:val="none"/>
          <w:lang w:val="en-US" w:eastAsia="zh-CN"/>
        </w:rPr>
        <w:t>4.1.15</w:t>
      </w:r>
      <w:r>
        <w:rPr>
          <w:rFonts w:hint="eastAsia" w:ascii="Times New Roman" w:hAnsi="Times New Roman" w:cs="Times New Roman"/>
          <w:sz w:val="24"/>
          <w:szCs w:val="28"/>
          <w:highlight w:val="none"/>
          <w:lang w:val="en-US" w:eastAsia="zh-CN"/>
        </w:rPr>
        <w:t xml:space="preserve">  </w:t>
      </w:r>
      <w:r>
        <w:rPr>
          <w:rFonts w:hint="default" w:ascii="Times New Roman" w:hAnsi="Times New Roman" w:eastAsia="宋体" w:cs="Times New Roman"/>
          <w:color w:val="auto"/>
          <w:highlight w:val="none"/>
          <w:lang w:val="en-US" w:eastAsia="zh-CN"/>
        </w:rPr>
        <w:t>既有建筑改造中新增的消防设施应</w:t>
      </w:r>
      <w:r>
        <w:rPr>
          <w:rFonts w:hint="eastAsia" w:ascii="Times New Roman" w:hAnsi="Times New Roman" w:cs="Times New Roman"/>
          <w:color w:val="auto"/>
          <w:highlight w:val="none"/>
          <w:lang w:val="en-US" w:eastAsia="zh-CN"/>
        </w:rPr>
        <w:t>符合国家现行规范的要求，并应</w:t>
      </w:r>
      <w:r>
        <w:rPr>
          <w:rFonts w:hint="default" w:ascii="Times New Roman" w:hAnsi="Times New Roman" w:eastAsia="宋体" w:cs="Times New Roman"/>
          <w:color w:val="auto"/>
          <w:highlight w:val="none"/>
          <w:lang w:val="en-US" w:eastAsia="zh-CN"/>
        </w:rPr>
        <w:t>具有与建筑内</w:t>
      </w:r>
      <w:r>
        <w:rPr>
          <w:rFonts w:hint="eastAsia" w:ascii="Times New Roman" w:hAnsi="Times New Roman" w:cs="Times New Roman"/>
          <w:color w:val="auto"/>
          <w:highlight w:val="none"/>
          <w:lang w:val="en-US" w:eastAsia="zh-CN"/>
        </w:rPr>
        <w:t>保留使用的消防设施</w:t>
      </w:r>
      <w:r>
        <w:rPr>
          <w:rFonts w:hint="default" w:ascii="Times New Roman" w:hAnsi="Times New Roman" w:eastAsia="宋体" w:cs="Times New Roman"/>
          <w:color w:val="auto"/>
          <w:highlight w:val="none"/>
          <w:lang w:val="en-US" w:eastAsia="zh-CN"/>
        </w:rPr>
        <w:t>协同工作的功能和性能</w:t>
      </w:r>
      <w:r>
        <w:rPr>
          <w:rFonts w:hint="eastAsia" w:ascii="Times New Roman" w:hAnsi="Times New Roman" w:cs="Times New Roman"/>
          <w:color w:val="auto"/>
          <w:highlight w:val="none"/>
          <w:lang w:val="en-US" w:eastAsia="zh-CN"/>
        </w:rPr>
        <w:t>；保留使用的消防设施，其功能和性能应符合国家现行相关标准有关改造后使用功能建筑对消防设施的要求。</w:t>
      </w:r>
    </w:p>
    <w:p w14:paraId="167A78F3">
      <w:pPr>
        <w:pStyle w:val="20"/>
        <w:spacing w:line="360" w:lineRule="auto"/>
        <w:rPr>
          <w:bCs/>
          <w:highlight w:val="none"/>
        </w:rPr>
      </w:pPr>
      <w:bookmarkStart w:id="173" w:name="_Toc140390025"/>
      <w:bookmarkStart w:id="174" w:name="_Toc150876231"/>
      <w:bookmarkStart w:id="175" w:name="_Toc151384800"/>
      <w:bookmarkStart w:id="176" w:name="_Toc183531744"/>
      <w:bookmarkStart w:id="177" w:name="_Toc9699"/>
      <w:bookmarkStart w:id="178" w:name="_Toc2623"/>
      <w:bookmarkStart w:id="179" w:name="_Toc9969"/>
      <w:bookmarkStart w:id="180" w:name="_Toc14058"/>
      <w:bookmarkStart w:id="181" w:name="_Toc11106"/>
      <w:bookmarkStart w:id="182" w:name="_Toc20929"/>
      <w:bookmarkStart w:id="183" w:name="_Toc867"/>
      <w:bookmarkStart w:id="184" w:name="_Toc29430"/>
      <w:bookmarkStart w:id="185" w:name="_Toc10312"/>
      <w:bookmarkStart w:id="186" w:name="_Toc3395"/>
      <w:r>
        <w:rPr>
          <w:rFonts w:hint="default"/>
          <w:highlight w:val="none"/>
          <w:lang w:val="en-US" w:eastAsia="zh-CN"/>
        </w:rPr>
        <w:t>4</w:t>
      </w:r>
      <w:r>
        <w:rPr>
          <w:rFonts w:hint="default"/>
          <w:highlight w:val="none"/>
        </w:rPr>
        <w:t>.</w:t>
      </w:r>
      <w:r>
        <w:rPr>
          <w:rFonts w:hint="default"/>
          <w:highlight w:val="none"/>
          <w:lang w:val="en-US" w:eastAsia="zh-CN"/>
        </w:rPr>
        <w:t>2</w:t>
      </w:r>
      <w:r>
        <w:rPr>
          <w:rFonts w:hint="eastAsia"/>
          <w:highlight w:val="none"/>
        </w:rPr>
        <w:t xml:space="preserve"> </w:t>
      </w:r>
      <w:bookmarkEnd w:id="173"/>
      <w:r>
        <w:rPr>
          <w:highlight w:val="none"/>
        </w:rPr>
        <w:t xml:space="preserve"> </w:t>
      </w:r>
      <w:bookmarkEnd w:id="174"/>
      <w:bookmarkEnd w:id="175"/>
      <w:r>
        <w:rPr>
          <w:rFonts w:hint="eastAsia" w:ascii="黑体" w:hAnsi="黑体"/>
          <w:highlight w:val="none"/>
        </w:rPr>
        <w:t>消防管理</w:t>
      </w:r>
      <w:bookmarkEnd w:id="176"/>
      <w:bookmarkStart w:id="187" w:name="_Toc26592"/>
      <w:bookmarkStart w:id="188" w:name="_Toc26040"/>
      <w:bookmarkStart w:id="189" w:name="_Toc19504"/>
      <w:bookmarkStart w:id="190" w:name="_Toc30519"/>
      <w:bookmarkStart w:id="191" w:name="_Toc10956"/>
      <w:bookmarkStart w:id="192" w:name="_Toc13300"/>
      <w:bookmarkStart w:id="193" w:name="_Toc24363"/>
      <w:bookmarkStart w:id="194" w:name="_Toc31212"/>
      <w:bookmarkStart w:id="195" w:name="_Toc13166"/>
      <w:bookmarkStart w:id="196" w:name="_Toc11558"/>
      <w:bookmarkStart w:id="197" w:name="_Toc1547"/>
      <w:r>
        <w:rPr>
          <w:highlight w:val="none"/>
        </w:rPr>
        <w:fldChar w:fldCharType="begin"/>
      </w:r>
      <w:r>
        <w:rPr>
          <w:rFonts w:ascii="黑体" w:hAnsi="黑体"/>
          <w:highlight w:val="none"/>
        </w:rPr>
        <w:instrText xml:space="preserve"> </w:instrText>
      </w:r>
      <w:r>
        <w:rPr>
          <w:rFonts w:hint="eastAsia" w:ascii="黑体" w:hAnsi="黑体"/>
          <w:highlight w:val="none"/>
        </w:rPr>
        <w:instrText xml:space="preserve">TC  "</w:instrText>
      </w:r>
      <w:bookmarkStart w:id="198" w:name="_Toc183531861"/>
      <w:r>
        <w:rPr>
          <w:rFonts w:hint="eastAsia" w:ascii="黑体" w:hAnsi="黑体"/>
          <w:highlight w:val="none"/>
          <w:lang w:val="en-US" w:eastAsia="zh-CN"/>
        </w:rPr>
        <w:instrText xml:space="preserve">4.2</w:instrText>
      </w:r>
      <w:r>
        <w:rPr>
          <w:rFonts w:hint="eastAsia" w:ascii="黑体" w:hAnsi="黑体"/>
          <w:highlight w:val="none"/>
        </w:rPr>
        <w:instrText xml:space="preserve"> </w:instrText>
      </w:r>
      <w:bookmarkEnd w:id="198"/>
      <w:r>
        <w:rPr>
          <w:rFonts w:hint="eastAsia" w:ascii="黑体" w:hAnsi="黑体"/>
          <w:highlight w:val="none"/>
        </w:rPr>
        <w:instrText xml:space="preserve">Fire management " \l 2</w:instrText>
      </w:r>
      <w:r>
        <w:rPr>
          <w:rFonts w:ascii="黑体" w:hAnsi="黑体"/>
          <w:highlight w:val="none"/>
        </w:rPr>
        <w:instrText xml:space="preserve"> </w:instrText>
      </w:r>
      <w:r>
        <w:rPr>
          <w:rFonts w:ascii="黑体" w:hAnsi="黑体"/>
          <w:highlight w:val="none"/>
        </w:rPr>
        <w:fldChar w:fldCharType="end"/>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p w14:paraId="274E8B9E">
      <w:pPr>
        <w:pStyle w:val="19"/>
        <w:spacing w:line="360" w:lineRule="auto"/>
        <w:jc w:val="center"/>
        <w:rPr>
          <w:rFonts w:hint="eastAsia" w:eastAsia="宋体"/>
          <w:b/>
          <w:highlight w:val="none"/>
          <w:lang w:eastAsia="zh-CN"/>
        </w:rPr>
      </w:pPr>
      <w:r>
        <w:rPr>
          <w:rFonts w:hint="default" w:ascii="Times New Roman" w:hAnsi="Times New Roman" w:cs="Times New Roman"/>
          <w:b/>
          <w:highlight w:val="none"/>
        </w:rPr>
        <w:t>Ⅰ</w:t>
      </w:r>
      <w:r>
        <w:rPr>
          <w:rFonts w:hint="eastAsia"/>
          <w:b/>
          <w:highlight w:val="none"/>
        </w:rPr>
        <w:t xml:space="preserve">  </w:t>
      </w:r>
      <w:r>
        <w:rPr>
          <w:rFonts w:hint="eastAsia"/>
          <w:b/>
          <w:highlight w:val="none"/>
          <w:lang w:val="en-US" w:eastAsia="zh-CN"/>
        </w:rPr>
        <w:t>合法性</w:t>
      </w:r>
    </w:p>
    <w:p w14:paraId="4EFE3685">
      <w:pPr>
        <w:rPr>
          <w:rFonts w:ascii="Times New Roman" w:hAnsi="Times New Roman" w:cs="Times New Roman"/>
          <w:b/>
          <w:bCs/>
          <w:highlight w:val="none"/>
        </w:rPr>
      </w:pPr>
      <w:r>
        <w:rPr>
          <w:rFonts w:hint="eastAsia" w:ascii="Times New Roman" w:hAnsi="Times New Roman" w:cs="Times New Roman"/>
          <w:b/>
          <w:bCs/>
          <w:highlight w:val="none"/>
          <w:lang w:val="en-US" w:eastAsia="zh-CN"/>
        </w:rPr>
        <w:t>4.2.1</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消防管理合法性</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包含合法性评估和一致性评估。</w:t>
      </w:r>
    </w:p>
    <w:p w14:paraId="00E65005">
      <w:pPr>
        <w:rPr>
          <w:rFonts w:ascii="Times New Roman" w:hAnsi="Times New Roman" w:cs="Times New Roman"/>
          <w:highlight w:val="none"/>
        </w:rPr>
      </w:pPr>
      <w:r>
        <w:rPr>
          <w:rFonts w:hint="eastAsia" w:ascii="Times New Roman" w:hAnsi="Times New Roman" w:cs="Times New Roman"/>
          <w:b/>
          <w:bCs/>
          <w:highlight w:val="none"/>
          <w:lang w:val="en-US" w:eastAsia="zh-CN"/>
        </w:rPr>
        <w:t>4.2.2</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合法性</w:t>
      </w:r>
      <w:r>
        <w:rPr>
          <w:rFonts w:hint="eastAsia" w:ascii="Times New Roman" w:hAnsi="Times New Roman" w:cs="Times New Roman"/>
          <w:highlight w:val="none"/>
        </w:rPr>
        <w:t>评估具体包含以下内容：</w:t>
      </w:r>
    </w:p>
    <w:p w14:paraId="7CBA977D">
      <w:pPr>
        <w:ind w:firstLine="482" w:firstLineChars="200"/>
        <w:rPr>
          <w:rFonts w:hint="eastAsia" w:ascii="Times New Roman" w:hAnsi="Times New Roman" w:cs="Times New Roman"/>
          <w:highlight w:val="none"/>
        </w:rPr>
      </w:pPr>
      <w:r>
        <w:rPr>
          <w:rFonts w:hint="eastAsia" w:ascii="Times New Roman" w:hAnsi="Times New Roman" w:cs="Times New Roman"/>
          <w:b/>
          <w:bCs/>
          <w:highlight w:val="none"/>
        </w:rPr>
        <w:t xml:space="preserve">1  </w:t>
      </w:r>
      <w:r>
        <w:rPr>
          <w:rFonts w:hint="eastAsia" w:ascii="Times New Roman" w:hAnsi="Times New Roman" w:cs="Times New Roman"/>
          <w:highlight w:val="none"/>
        </w:rPr>
        <w:t>依法进行消防验收的建筑物或场所经消防验收合格的文件；</w:t>
      </w:r>
    </w:p>
    <w:p w14:paraId="5DA2DEFD">
      <w:pPr>
        <w:ind w:firstLine="482" w:firstLineChars="200"/>
        <w:rPr>
          <w:rFonts w:hint="eastAsia" w:ascii="Times New Roman" w:hAnsi="Times New Roman" w:cs="Times New Roman"/>
          <w:highlight w:val="none"/>
        </w:rPr>
      </w:pPr>
      <w:r>
        <w:rPr>
          <w:rFonts w:hint="eastAsia" w:ascii="Times New Roman" w:hAnsi="Times New Roman" w:cs="Times New Roman"/>
          <w:b/>
          <w:bCs/>
          <w:highlight w:val="none"/>
        </w:rPr>
        <w:t xml:space="preserve">2  </w:t>
      </w:r>
      <w:r>
        <w:rPr>
          <w:rFonts w:hint="eastAsia" w:ascii="Times New Roman" w:hAnsi="Times New Roman" w:cs="Times New Roman"/>
          <w:highlight w:val="none"/>
        </w:rPr>
        <w:t>依法进行消防验收备案与抽查的建筑物或场所，</w:t>
      </w:r>
      <w:r>
        <w:rPr>
          <w:rFonts w:hint="eastAsia" w:ascii="Times New Roman" w:hAnsi="Times New Roman" w:cs="Times New Roman"/>
          <w:highlight w:val="none"/>
          <w:lang w:eastAsia="zh-CN"/>
        </w:rPr>
        <w:t>竣工</w:t>
      </w:r>
      <w:r>
        <w:rPr>
          <w:rFonts w:hint="eastAsia" w:ascii="Times New Roman" w:hAnsi="Times New Roman" w:cs="Times New Roman"/>
          <w:highlight w:val="none"/>
        </w:rPr>
        <w:t>验收消防备案手续或经抽查合格的文件；</w:t>
      </w:r>
    </w:p>
    <w:p w14:paraId="749BF8C2">
      <w:pPr>
        <w:ind w:firstLine="482" w:firstLineChars="200"/>
        <w:rPr>
          <w:rFonts w:hint="eastAsia" w:ascii="Times New Roman" w:hAnsi="Times New Roman" w:cs="Times New Roman"/>
          <w:highlight w:val="none"/>
        </w:rPr>
      </w:pPr>
      <w:r>
        <w:rPr>
          <w:rFonts w:hint="eastAsia" w:ascii="Times New Roman" w:hAnsi="Times New Roman" w:cs="Times New Roman"/>
          <w:b/>
          <w:bCs/>
          <w:highlight w:val="none"/>
        </w:rPr>
        <w:t>3</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rPr>
        <w:t>公众聚集场所投入使用、营业前消防安全检查法律文件，公众聚集场所消防安全检查告知承诺手续或经抽查合格的文件。</w:t>
      </w:r>
    </w:p>
    <w:p w14:paraId="3682576B">
      <w:pPr>
        <w:rPr>
          <w:rFonts w:ascii="Times New Roman" w:hAnsi="Times New Roman" w:cs="Times New Roman"/>
          <w:highlight w:val="none"/>
        </w:rPr>
      </w:pPr>
      <w:r>
        <w:rPr>
          <w:rFonts w:hint="eastAsia" w:ascii="Times New Roman" w:hAnsi="Times New Roman" w:cs="Times New Roman"/>
          <w:b/>
          <w:bCs/>
          <w:highlight w:val="none"/>
          <w:lang w:val="en-US" w:eastAsia="zh-CN"/>
        </w:rPr>
        <w:t>4.2.3</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一致性</w:t>
      </w:r>
      <w:r>
        <w:rPr>
          <w:rFonts w:hint="eastAsia" w:ascii="Times New Roman" w:hAnsi="Times New Roman" w:cs="Times New Roman"/>
          <w:highlight w:val="none"/>
        </w:rPr>
        <w:t>评估具体包含以下内容：</w:t>
      </w:r>
    </w:p>
    <w:p w14:paraId="48BD9D92">
      <w:pPr>
        <w:ind w:firstLine="482" w:firstLineChars="200"/>
        <w:rPr>
          <w:rFonts w:ascii="Times New Roman" w:hAnsi="Times New Roman" w:cs="Times New Roman"/>
          <w:highlight w:val="none"/>
        </w:rPr>
      </w:pPr>
      <w:r>
        <w:rPr>
          <w:rFonts w:hint="eastAsia" w:ascii="Times New Roman" w:hAnsi="Times New Roman" w:cs="Times New Roman"/>
          <w:b/>
          <w:bCs/>
          <w:highlight w:val="none"/>
        </w:rPr>
        <w:t xml:space="preserve">1  </w:t>
      </w:r>
      <w:r>
        <w:rPr>
          <w:rFonts w:hint="default" w:ascii="Times New Roman" w:hAnsi="Times New Roman" w:cs="Times New Roman"/>
          <w:b w:val="0"/>
          <w:bCs w:val="0"/>
          <w:highlight w:val="none"/>
          <w:lang w:val="en-US" w:eastAsia="zh-CN"/>
        </w:rPr>
        <w:t>建筑物或者场所的使用情况</w:t>
      </w:r>
      <w:r>
        <w:rPr>
          <w:rFonts w:hint="eastAsia" w:ascii="Times New Roman" w:hAnsi="Times New Roman" w:cs="Times New Roman"/>
          <w:b w:val="0"/>
          <w:bCs w:val="0"/>
          <w:highlight w:val="none"/>
          <w:lang w:val="en-US" w:eastAsia="zh-CN"/>
        </w:rPr>
        <w:t>应</w:t>
      </w:r>
      <w:r>
        <w:rPr>
          <w:rFonts w:hint="default" w:ascii="Times New Roman" w:hAnsi="Times New Roman" w:cs="Times New Roman"/>
          <w:b w:val="0"/>
          <w:bCs w:val="0"/>
          <w:highlight w:val="none"/>
          <w:lang w:val="en-US" w:eastAsia="zh-CN"/>
        </w:rPr>
        <w:t>与消防验收或者进行竣工验收消防备案、消防安全检查时确定的使用性质相符</w:t>
      </w:r>
      <w:r>
        <w:rPr>
          <w:rFonts w:hint="eastAsia" w:ascii="Times New Roman" w:hAnsi="Times New Roman" w:cs="Times New Roman"/>
          <w:highlight w:val="none"/>
        </w:rPr>
        <w:t>；</w:t>
      </w:r>
    </w:p>
    <w:p w14:paraId="5150B726">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rPr>
        <w:t xml:space="preserve">2  </w:t>
      </w:r>
      <w:r>
        <w:rPr>
          <w:rFonts w:hint="default" w:ascii="Times New Roman" w:hAnsi="Times New Roman" w:cs="Times New Roman"/>
          <w:b w:val="0"/>
          <w:bCs w:val="0"/>
          <w:highlight w:val="none"/>
          <w:lang w:val="en-US" w:eastAsia="zh-CN"/>
        </w:rPr>
        <w:t>建筑物或场所改建、扩建、变更用途和装修，</w:t>
      </w:r>
      <w:r>
        <w:rPr>
          <w:rFonts w:hint="eastAsia" w:ascii="Times New Roman" w:hAnsi="Times New Roman" w:cs="Times New Roman"/>
          <w:b w:val="0"/>
          <w:bCs w:val="0"/>
          <w:highlight w:val="none"/>
          <w:lang w:val="en-US" w:eastAsia="zh-CN"/>
        </w:rPr>
        <w:t>应</w:t>
      </w:r>
      <w:r>
        <w:rPr>
          <w:rFonts w:hint="default" w:ascii="Times New Roman" w:hAnsi="Times New Roman" w:cs="Times New Roman"/>
          <w:b w:val="0"/>
          <w:bCs w:val="0"/>
          <w:highlight w:val="none"/>
          <w:lang w:val="en-US" w:eastAsia="zh-CN"/>
        </w:rPr>
        <w:t>依法履行相关消防手续</w:t>
      </w:r>
      <w:r>
        <w:rPr>
          <w:rFonts w:hint="eastAsia" w:ascii="Times New Roman" w:hAnsi="Times New Roman" w:cs="Times New Roman"/>
          <w:b w:val="0"/>
          <w:bCs w:val="0"/>
          <w:highlight w:val="none"/>
          <w:lang w:val="en-US" w:eastAsia="zh-CN"/>
        </w:rPr>
        <w:t>。</w:t>
      </w:r>
    </w:p>
    <w:p w14:paraId="2A5E50FD">
      <w:pPr>
        <w:ind w:firstLine="480"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val="0"/>
          <w:bCs w:val="0"/>
          <w:highlight w:val="none"/>
          <w:lang w:val="en-US" w:eastAsia="zh-CN"/>
        </w:rPr>
        <w:t>3  对建筑物或场所使用情况进行现场核查时，对以下情形进行重点检查：</w:t>
      </w:r>
    </w:p>
    <w:p w14:paraId="7050BCAD">
      <w:pPr>
        <w:ind w:firstLine="480"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val="0"/>
          <w:bCs w:val="0"/>
          <w:highlight w:val="none"/>
          <w:lang w:val="en-US" w:eastAsia="zh-CN"/>
        </w:rPr>
        <w:t>1）  采用金属夹芯板材的建筑；</w:t>
      </w:r>
    </w:p>
    <w:p w14:paraId="46D84EF4">
      <w:pPr>
        <w:ind w:firstLine="480"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val="0"/>
          <w:bCs w:val="0"/>
          <w:highlight w:val="none"/>
          <w:lang w:val="en-US" w:eastAsia="zh-CN"/>
        </w:rPr>
        <w:t xml:space="preserve">2）  </w:t>
      </w:r>
      <w:r>
        <w:rPr>
          <w:rFonts w:hint="default" w:ascii="Times New Roman" w:hAnsi="Times New Roman" w:cs="Times New Roman"/>
          <w:b w:val="0"/>
          <w:bCs w:val="0"/>
          <w:highlight w:val="none"/>
          <w:lang w:val="en-US" w:eastAsia="zh-CN"/>
        </w:rPr>
        <w:t>住宅改为群租房或小型旅馆</w:t>
      </w:r>
      <w:r>
        <w:rPr>
          <w:rFonts w:hint="eastAsia" w:ascii="Times New Roman" w:hAnsi="Times New Roman" w:cs="Times New Roman"/>
          <w:b w:val="0"/>
          <w:bCs w:val="0"/>
          <w:highlight w:val="none"/>
          <w:lang w:val="en-US" w:eastAsia="zh-CN"/>
        </w:rPr>
        <w:t>；</w:t>
      </w:r>
    </w:p>
    <w:p w14:paraId="29A5A1CA">
      <w:pPr>
        <w:ind w:firstLine="480"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val="0"/>
          <w:bCs w:val="0"/>
          <w:highlight w:val="none"/>
          <w:lang w:val="en-US" w:eastAsia="zh-CN"/>
        </w:rPr>
        <w:t xml:space="preserve">3）  </w:t>
      </w:r>
      <w:r>
        <w:rPr>
          <w:rFonts w:hint="default" w:ascii="Times New Roman" w:hAnsi="Times New Roman" w:cs="Times New Roman"/>
          <w:b w:val="0"/>
          <w:bCs w:val="0"/>
          <w:highlight w:val="none"/>
          <w:lang w:val="en-US" w:eastAsia="zh-CN"/>
        </w:rPr>
        <w:t>原设计为标准厂房</w:t>
      </w:r>
      <w:r>
        <w:rPr>
          <w:rFonts w:hint="eastAsia" w:ascii="Times New Roman" w:hAnsi="Times New Roman" w:cs="Times New Roman"/>
          <w:b w:val="0"/>
          <w:bCs w:val="0"/>
          <w:highlight w:val="none"/>
          <w:lang w:val="en-US" w:eastAsia="zh-CN"/>
        </w:rPr>
        <w:t>，</w:t>
      </w:r>
      <w:r>
        <w:rPr>
          <w:rFonts w:hint="default" w:ascii="Times New Roman" w:hAnsi="Times New Roman" w:cs="Times New Roman"/>
          <w:b w:val="0"/>
          <w:bCs w:val="0"/>
          <w:highlight w:val="none"/>
          <w:lang w:val="en-US" w:eastAsia="zh-CN"/>
        </w:rPr>
        <w:t>现使用功能已更改</w:t>
      </w:r>
      <w:r>
        <w:rPr>
          <w:rFonts w:hint="eastAsia" w:ascii="Times New Roman" w:hAnsi="Times New Roman" w:cs="Times New Roman"/>
          <w:b w:val="0"/>
          <w:bCs w:val="0"/>
          <w:highlight w:val="none"/>
          <w:lang w:val="en-US" w:eastAsia="zh-CN"/>
        </w:rPr>
        <w:t>；</w:t>
      </w:r>
    </w:p>
    <w:p w14:paraId="59AAFBF5">
      <w:pPr>
        <w:ind w:firstLine="480"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val="0"/>
          <w:bCs w:val="0"/>
          <w:highlight w:val="none"/>
          <w:lang w:val="en-US" w:eastAsia="zh-CN"/>
        </w:rPr>
        <w:t xml:space="preserve">4）  </w:t>
      </w:r>
      <w:r>
        <w:rPr>
          <w:rFonts w:hint="default" w:ascii="Times New Roman" w:hAnsi="Times New Roman" w:cs="Times New Roman"/>
          <w:b w:val="0"/>
          <w:bCs w:val="0"/>
          <w:highlight w:val="none"/>
          <w:lang w:val="en-US" w:eastAsia="zh-CN"/>
        </w:rPr>
        <w:t>生产、储存、经营易燃易爆危险品的建筑内设置居住场所</w:t>
      </w:r>
      <w:r>
        <w:rPr>
          <w:rFonts w:hint="eastAsia" w:ascii="Times New Roman" w:hAnsi="Times New Roman" w:cs="Times New Roman"/>
          <w:b w:val="0"/>
          <w:bCs w:val="0"/>
          <w:highlight w:val="none"/>
          <w:lang w:val="en-US" w:eastAsia="zh-CN"/>
        </w:rPr>
        <w:t>；</w:t>
      </w:r>
    </w:p>
    <w:p w14:paraId="04F3F9BA">
      <w:pPr>
        <w:ind w:firstLine="480"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val="0"/>
          <w:bCs w:val="0"/>
          <w:highlight w:val="none"/>
          <w:lang w:val="en-US" w:eastAsia="zh-CN"/>
        </w:rPr>
        <w:t xml:space="preserve">5）  </w:t>
      </w:r>
      <w:r>
        <w:rPr>
          <w:rFonts w:hint="default" w:ascii="Times New Roman" w:hAnsi="Times New Roman" w:cs="Times New Roman"/>
          <w:b w:val="0"/>
          <w:bCs w:val="0"/>
          <w:highlight w:val="none"/>
          <w:lang w:val="en-US" w:eastAsia="zh-CN"/>
        </w:rPr>
        <w:t>厂房、仓库建筑内设置员工宿舍。</w:t>
      </w:r>
    </w:p>
    <w:p w14:paraId="7EDE108C">
      <w:pPr>
        <w:pStyle w:val="19"/>
        <w:spacing w:line="360" w:lineRule="auto"/>
        <w:jc w:val="center"/>
        <w:rPr>
          <w:rFonts w:hint="eastAsia" w:eastAsia="宋体"/>
          <w:b/>
          <w:highlight w:val="none"/>
          <w:lang w:eastAsia="zh-CN"/>
        </w:rPr>
      </w:pPr>
      <w:r>
        <w:rPr>
          <w:rFonts w:hint="default" w:ascii="Times New Roman" w:hAnsi="Times New Roman" w:cs="Times New Roman"/>
          <w:b/>
          <w:highlight w:val="none"/>
        </w:rPr>
        <w:t>Ⅱ</w:t>
      </w:r>
      <w:r>
        <w:rPr>
          <w:rFonts w:hint="eastAsia"/>
          <w:b/>
          <w:highlight w:val="none"/>
        </w:rPr>
        <w:t xml:space="preserve">  管理</w:t>
      </w:r>
      <w:r>
        <w:rPr>
          <w:rFonts w:hint="eastAsia"/>
          <w:b/>
          <w:highlight w:val="none"/>
          <w:lang w:val="en-US" w:eastAsia="zh-CN"/>
        </w:rPr>
        <w:t>制度</w:t>
      </w:r>
    </w:p>
    <w:p w14:paraId="1D2B8B42">
      <w:pPr>
        <w:pStyle w:val="19"/>
        <w:spacing w:line="360" w:lineRule="auto"/>
        <w:rPr>
          <w:highlight w:val="none"/>
        </w:rPr>
      </w:pPr>
      <w:r>
        <w:rPr>
          <w:rFonts w:hint="eastAsia"/>
          <w:b/>
          <w:highlight w:val="none"/>
          <w:lang w:val="en-US" w:eastAsia="zh-CN"/>
        </w:rPr>
        <w:t>4.2.4</w:t>
      </w:r>
      <w:r>
        <w:rPr>
          <w:highlight w:val="none"/>
        </w:rPr>
        <w:t xml:space="preserve">  </w:t>
      </w:r>
      <w:r>
        <w:rPr>
          <w:rFonts w:hint="eastAsia"/>
          <w:highlight w:val="none"/>
        </w:rPr>
        <w:t>管理</w:t>
      </w:r>
      <w:r>
        <w:rPr>
          <w:rFonts w:hint="eastAsia"/>
          <w:highlight w:val="none"/>
          <w:lang w:val="en-US" w:eastAsia="zh-CN"/>
        </w:rPr>
        <w:t>制度</w:t>
      </w:r>
      <w:r>
        <w:rPr>
          <w:rFonts w:hint="eastAsia" w:ascii="Times New Roman" w:hAnsi="Times New Roman" w:cs="Times New Roman"/>
          <w:highlight w:val="none"/>
        </w:rPr>
        <w:t>安全评估具体包含以下内容：</w:t>
      </w:r>
    </w:p>
    <w:p w14:paraId="4D7F8F2B">
      <w:pPr>
        <w:pStyle w:val="21"/>
        <w:spacing w:line="360" w:lineRule="auto"/>
        <w:ind w:firstLine="480"/>
        <w:rPr>
          <w:rFonts w:hint="eastAsia"/>
          <w:highlight w:val="none"/>
        </w:rPr>
      </w:pPr>
      <w:r>
        <w:rPr>
          <w:rFonts w:hint="eastAsia"/>
          <w:b/>
          <w:highlight w:val="none"/>
        </w:rPr>
        <w:t>1</w:t>
      </w:r>
      <w:r>
        <w:rPr>
          <w:b/>
          <w:highlight w:val="none"/>
        </w:rPr>
        <w:t xml:space="preserve">  </w:t>
      </w:r>
      <w:r>
        <w:rPr>
          <w:rFonts w:hint="eastAsia"/>
          <w:highlight w:val="none"/>
        </w:rPr>
        <w:t>消防安全教育、培训制度应当符合</w:t>
      </w:r>
      <w:r>
        <w:rPr>
          <w:rFonts w:hint="eastAsia"/>
          <w:highlight w:val="none"/>
          <w:lang w:eastAsia="zh-CN"/>
        </w:rPr>
        <w:t>建筑或场所</w:t>
      </w:r>
      <w:r>
        <w:rPr>
          <w:rFonts w:hint="eastAsia"/>
          <w:highlight w:val="none"/>
        </w:rPr>
        <w:t>消防安全实际情况，相关培训的内容、频次应当符合要求；</w:t>
      </w:r>
    </w:p>
    <w:p w14:paraId="2A94B8B6">
      <w:pPr>
        <w:pStyle w:val="21"/>
        <w:spacing w:line="360" w:lineRule="auto"/>
        <w:ind w:firstLine="480"/>
        <w:rPr>
          <w:rFonts w:hint="eastAsia"/>
          <w:highlight w:val="none"/>
        </w:rPr>
      </w:pPr>
      <w:r>
        <w:rPr>
          <w:rFonts w:hint="eastAsia"/>
          <w:b/>
          <w:highlight w:val="none"/>
          <w:lang w:val="en-US" w:eastAsia="zh-CN"/>
        </w:rPr>
        <w:t>2</w:t>
      </w:r>
      <w:r>
        <w:rPr>
          <w:b/>
          <w:highlight w:val="none"/>
        </w:rPr>
        <w:t xml:space="preserve">  </w:t>
      </w:r>
      <w:r>
        <w:rPr>
          <w:rFonts w:hint="eastAsia"/>
          <w:highlight w:val="none"/>
        </w:rPr>
        <w:t>防火巡查、检查制度内的检查巡查内容、频次及发现问题的处置程序应当符合规定；</w:t>
      </w:r>
    </w:p>
    <w:p w14:paraId="4311A4C7">
      <w:pPr>
        <w:pStyle w:val="21"/>
        <w:spacing w:line="360" w:lineRule="auto"/>
        <w:ind w:firstLine="480"/>
        <w:rPr>
          <w:rFonts w:hint="eastAsia"/>
          <w:highlight w:val="none"/>
        </w:rPr>
      </w:pPr>
      <w:r>
        <w:rPr>
          <w:rFonts w:hint="eastAsia"/>
          <w:b/>
          <w:highlight w:val="none"/>
          <w:lang w:val="en-US" w:eastAsia="zh-CN"/>
        </w:rPr>
        <w:t>3</w:t>
      </w:r>
      <w:r>
        <w:rPr>
          <w:b/>
          <w:highlight w:val="none"/>
        </w:rPr>
        <w:t xml:space="preserve">  </w:t>
      </w:r>
      <w:r>
        <w:rPr>
          <w:rFonts w:hint="eastAsia"/>
          <w:highlight w:val="none"/>
        </w:rPr>
        <w:t>安全疏散设施管理制度结合</w:t>
      </w:r>
      <w:r>
        <w:rPr>
          <w:rFonts w:hint="eastAsia"/>
          <w:highlight w:val="none"/>
          <w:lang w:eastAsia="zh-CN"/>
        </w:rPr>
        <w:t>建筑或场所</w:t>
      </w:r>
      <w:r>
        <w:rPr>
          <w:rFonts w:hint="eastAsia"/>
          <w:highlight w:val="none"/>
        </w:rPr>
        <w:t>实际制定；</w:t>
      </w:r>
    </w:p>
    <w:p w14:paraId="2EDD950B">
      <w:pPr>
        <w:pStyle w:val="21"/>
        <w:spacing w:line="360" w:lineRule="auto"/>
        <w:ind w:firstLine="480"/>
        <w:rPr>
          <w:rFonts w:hint="eastAsia"/>
          <w:highlight w:val="none"/>
        </w:rPr>
      </w:pPr>
      <w:r>
        <w:rPr>
          <w:rFonts w:hint="eastAsia"/>
          <w:b/>
          <w:highlight w:val="none"/>
          <w:lang w:val="en-US" w:eastAsia="zh-CN"/>
        </w:rPr>
        <w:t>4</w:t>
      </w:r>
      <w:r>
        <w:rPr>
          <w:b/>
          <w:highlight w:val="none"/>
        </w:rPr>
        <w:t xml:space="preserve">  </w:t>
      </w:r>
      <w:r>
        <w:rPr>
          <w:rFonts w:hint="eastAsia"/>
          <w:highlight w:val="none"/>
        </w:rPr>
        <w:t>消防控制室值班制度的内容应</w:t>
      </w:r>
      <w:r>
        <w:rPr>
          <w:rFonts w:hint="eastAsia"/>
          <w:highlight w:val="none"/>
          <w:lang w:val="en-US" w:eastAsia="zh-CN"/>
        </w:rPr>
        <w:t>符合</w:t>
      </w:r>
      <w:r>
        <w:rPr>
          <w:rFonts w:hint="eastAsia"/>
          <w:highlight w:val="none"/>
        </w:rPr>
        <w:t>国家相关标准要求；</w:t>
      </w:r>
    </w:p>
    <w:p w14:paraId="4EC5443E">
      <w:pPr>
        <w:pStyle w:val="21"/>
        <w:spacing w:line="360" w:lineRule="auto"/>
        <w:ind w:firstLine="480"/>
        <w:rPr>
          <w:rFonts w:hint="eastAsia"/>
          <w:highlight w:val="none"/>
        </w:rPr>
      </w:pPr>
      <w:r>
        <w:rPr>
          <w:rFonts w:hint="eastAsia"/>
          <w:b/>
          <w:highlight w:val="none"/>
          <w:lang w:val="en-US" w:eastAsia="zh-CN"/>
        </w:rPr>
        <w:t>5</w:t>
      </w:r>
      <w:r>
        <w:rPr>
          <w:b/>
          <w:highlight w:val="none"/>
        </w:rPr>
        <w:t xml:space="preserve">  </w:t>
      </w:r>
      <w:r>
        <w:rPr>
          <w:rFonts w:hint="eastAsia"/>
          <w:highlight w:val="none"/>
        </w:rPr>
        <w:t>消防设施、器材维护管理制度应结合</w:t>
      </w:r>
      <w:r>
        <w:rPr>
          <w:rFonts w:hint="eastAsia"/>
          <w:highlight w:val="none"/>
          <w:lang w:eastAsia="zh-CN"/>
        </w:rPr>
        <w:t>建筑或场所</w:t>
      </w:r>
      <w:r>
        <w:rPr>
          <w:rFonts w:hint="eastAsia"/>
          <w:highlight w:val="none"/>
        </w:rPr>
        <w:t>实际制定；</w:t>
      </w:r>
    </w:p>
    <w:p w14:paraId="4583F1F7">
      <w:pPr>
        <w:pStyle w:val="21"/>
        <w:spacing w:line="360" w:lineRule="auto"/>
        <w:ind w:firstLine="480"/>
        <w:rPr>
          <w:rFonts w:hint="eastAsia"/>
          <w:highlight w:val="none"/>
        </w:rPr>
      </w:pPr>
      <w:r>
        <w:rPr>
          <w:rFonts w:hint="eastAsia"/>
          <w:b/>
          <w:highlight w:val="none"/>
          <w:lang w:val="en-US" w:eastAsia="zh-CN"/>
        </w:rPr>
        <w:t>6</w:t>
      </w:r>
      <w:r>
        <w:rPr>
          <w:b/>
          <w:highlight w:val="none"/>
        </w:rPr>
        <w:t xml:space="preserve">  </w:t>
      </w:r>
      <w:r>
        <w:rPr>
          <w:rFonts w:hint="eastAsia"/>
          <w:highlight w:val="none"/>
        </w:rPr>
        <w:t>火灾隐患整改制度应结合</w:t>
      </w:r>
      <w:r>
        <w:rPr>
          <w:rFonts w:hint="eastAsia"/>
          <w:highlight w:val="none"/>
          <w:lang w:eastAsia="zh-CN"/>
        </w:rPr>
        <w:t>建筑或场所</w:t>
      </w:r>
      <w:r>
        <w:rPr>
          <w:rFonts w:hint="eastAsia"/>
          <w:highlight w:val="none"/>
        </w:rPr>
        <w:t>实际制定；</w:t>
      </w:r>
    </w:p>
    <w:p w14:paraId="022A2345">
      <w:pPr>
        <w:pStyle w:val="21"/>
        <w:spacing w:line="360" w:lineRule="auto"/>
        <w:ind w:firstLine="480"/>
        <w:rPr>
          <w:rFonts w:hint="eastAsia"/>
          <w:highlight w:val="none"/>
        </w:rPr>
      </w:pPr>
      <w:r>
        <w:rPr>
          <w:rFonts w:hint="eastAsia"/>
          <w:b/>
          <w:highlight w:val="none"/>
          <w:lang w:val="en-US" w:eastAsia="zh-CN"/>
        </w:rPr>
        <w:t>7</w:t>
      </w:r>
      <w:r>
        <w:rPr>
          <w:b/>
          <w:highlight w:val="none"/>
        </w:rPr>
        <w:t xml:space="preserve">  </w:t>
      </w:r>
      <w:r>
        <w:rPr>
          <w:rFonts w:hint="eastAsia"/>
          <w:highlight w:val="none"/>
        </w:rPr>
        <w:t>用火、用电安全管理制度应明确</w:t>
      </w:r>
      <w:r>
        <w:rPr>
          <w:rFonts w:hint="eastAsia"/>
          <w:highlight w:val="none"/>
          <w:lang w:eastAsia="zh-CN"/>
        </w:rPr>
        <w:t>建筑或场所</w:t>
      </w:r>
      <w:r>
        <w:rPr>
          <w:rFonts w:hint="eastAsia"/>
          <w:highlight w:val="none"/>
        </w:rPr>
        <w:t>用火用电审批程序；</w:t>
      </w:r>
    </w:p>
    <w:p w14:paraId="5629CF87">
      <w:pPr>
        <w:pStyle w:val="21"/>
        <w:spacing w:line="360" w:lineRule="auto"/>
        <w:ind w:firstLine="480"/>
        <w:rPr>
          <w:rFonts w:hint="eastAsia"/>
          <w:highlight w:val="none"/>
        </w:rPr>
      </w:pPr>
      <w:r>
        <w:rPr>
          <w:rFonts w:hint="eastAsia"/>
          <w:b/>
          <w:highlight w:val="none"/>
          <w:lang w:val="en-US" w:eastAsia="zh-CN"/>
        </w:rPr>
        <w:t>8</w:t>
      </w:r>
      <w:r>
        <w:rPr>
          <w:b/>
          <w:highlight w:val="none"/>
        </w:rPr>
        <w:t xml:space="preserve">  </w:t>
      </w:r>
      <w:r>
        <w:rPr>
          <w:rFonts w:hint="eastAsia"/>
          <w:highlight w:val="none"/>
        </w:rPr>
        <w:t>易燃易爆危险物品和场所防火防爆制度应结合</w:t>
      </w:r>
      <w:r>
        <w:rPr>
          <w:rFonts w:hint="eastAsia"/>
          <w:highlight w:val="none"/>
          <w:lang w:eastAsia="zh-CN"/>
        </w:rPr>
        <w:t>建筑或场所</w:t>
      </w:r>
      <w:r>
        <w:rPr>
          <w:rFonts w:hint="eastAsia"/>
          <w:highlight w:val="none"/>
        </w:rPr>
        <w:t>实际制定；</w:t>
      </w:r>
    </w:p>
    <w:p w14:paraId="2F89A8DD">
      <w:pPr>
        <w:pStyle w:val="21"/>
        <w:spacing w:line="360" w:lineRule="auto"/>
        <w:ind w:firstLine="480"/>
        <w:rPr>
          <w:rFonts w:hint="eastAsia"/>
          <w:highlight w:val="none"/>
        </w:rPr>
      </w:pPr>
      <w:r>
        <w:rPr>
          <w:rFonts w:hint="eastAsia"/>
          <w:b/>
          <w:highlight w:val="none"/>
          <w:lang w:val="en-US" w:eastAsia="zh-CN"/>
        </w:rPr>
        <w:t>9</w:t>
      </w:r>
      <w:r>
        <w:rPr>
          <w:b/>
          <w:highlight w:val="none"/>
        </w:rPr>
        <w:t xml:space="preserve">  </w:t>
      </w:r>
      <w:r>
        <w:rPr>
          <w:rFonts w:hint="eastAsia"/>
          <w:highlight w:val="none"/>
        </w:rPr>
        <w:t>专职和志愿消防队组织管理制度应结合</w:t>
      </w:r>
      <w:r>
        <w:rPr>
          <w:rFonts w:hint="eastAsia"/>
          <w:highlight w:val="none"/>
          <w:lang w:eastAsia="zh-CN"/>
        </w:rPr>
        <w:t>建筑或场所</w:t>
      </w:r>
      <w:r>
        <w:rPr>
          <w:rFonts w:hint="eastAsia"/>
          <w:highlight w:val="none"/>
        </w:rPr>
        <w:t>实际制定；</w:t>
      </w:r>
    </w:p>
    <w:p w14:paraId="5EBC1488">
      <w:pPr>
        <w:pStyle w:val="21"/>
        <w:spacing w:line="360" w:lineRule="auto"/>
        <w:ind w:firstLine="480"/>
        <w:rPr>
          <w:rFonts w:hint="eastAsia"/>
          <w:highlight w:val="none"/>
        </w:rPr>
      </w:pPr>
      <w:r>
        <w:rPr>
          <w:rFonts w:hint="eastAsia"/>
          <w:b/>
          <w:highlight w:val="none"/>
        </w:rPr>
        <w:t>1</w:t>
      </w:r>
      <w:r>
        <w:rPr>
          <w:rFonts w:hint="eastAsia"/>
          <w:b/>
          <w:highlight w:val="none"/>
          <w:lang w:val="en-US" w:eastAsia="zh-CN"/>
        </w:rPr>
        <w:t>0</w:t>
      </w:r>
      <w:r>
        <w:rPr>
          <w:b/>
          <w:highlight w:val="none"/>
        </w:rPr>
        <w:t xml:space="preserve">  </w:t>
      </w:r>
      <w:r>
        <w:rPr>
          <w:rFonts w:hint="eastAsia"/>
          <w:highlight w:val="none"/>
        </w:rPr>
        <w:t>灭火和应急疏散预案演练制度应结合</w:t>
      </w:r>
      <w:r>
        <w:rPr>
          <w:rFonts w:hint="eastAsia"/>
          <w:highlight w:val="none"/>
          <w:lang w:eastAsia="zh-CN"/>
        </w:rPr>
        <w:t>建筑或场所</w:t>
      </w:r>
      <w:r>
        <w:rPr>
          <w:rFonts w:hint="eastAsia"/>
          <w:highlight w:val="none"/>
        </w:rPr>
        <w:t>实际制定；</w:t>
      </w:r>
    </w:p>
    <w:p w14:paraId="21808376">
      <w:pPr>
        <w:pStyle w:val="21"/>
        <w:spacing w:line="360" w:lineRule="auto"/>
        <w:ind w:firstLine="480"/>
        <w:rPr>
          <w:rFonts w:hint="eastAsia"/>
          <w:highlight w:val="none"/>
        </w:rPr>
      </w:pPr>
      <w:r>
        <w:rPr>
          <w:rFonts w:hint="eastAsia"/>
          <w:b/>
          <w:highlight w:val="none"/>
        </w:rPr>
        <w:t>1</w:t>
      </w:r>
      <w:r>
        <w:rPr>
          <w:rFonts w:hint="eastAsia"/>
          <w:b/>
          <w:highlight w:val="none"/>
          <w:lang w:val="en-US" w:eastAsia="zh-CN"/>
        </w:rPr>
        <w:t>1</w:t>
      </w:r>
      <w:r>
        <w:rPr>
          <w:b/>
          <w:highlight w:val="none"/>
        </w:rPr>
        <w:t xml:space="preserve">  </w:t>
      </w:r>
      <w:r>
        <w:rPr>
          <w:rFonts w:hint="eastAsia"/>
          <w:highlight w:val="none"/>
        </w:rPr>
        <w:t>燃气和电气设备的检查和管理制度(包括防雷、防静电)应明确责任部门并确定检查频次；</w:t>
      </w:r>
    </w:p>
    <w:p w14:paraId="43C2CF9F">
      <w:pPr>
        <w:pStyle w:val="21"/>
        <w:spacing w:line="360" w:lineRule="auto"/>
        <w:ind w:firstLine="480"/>
        <w:rPr>
          <w:rFonts w:hint="eastAsia"/>
          <w:highlight w:val="none"/>
        </w:rPr>
      </w:pPr>
      <w:r>
        <w:rPr>
          <w:rFonts w:hint="eastAsia"/>
          <w:b/>
          <w:highlight w:val="none"/>
        </w:rPr>
        <w:t>1</w:t>
      </w:r>
      <w:r>
        <w:rPr>
          <w:rFonts w:hint="eastAsia"/>
          <w:b/>
          <w:highlight w:val="none"/>
          <w:lang w:val="en-US" w:eastAsia="zh-CN"/>
        </w:rPr>
        <w:t>2</w:t>
      </w:r>
      <w:r>
        <w:rPr>
          <w:b/>
          <w:highlight w:val="none"/>
        </w:rPr>
        <w:t xml:space="preserve">  </w:t>
      </w:r>
      <w:r>
        <w:rPr>
          <w:rFonts w:hint="eastAsia"/>
          <w:highlight w:val="none"/>
        </w:rPr>
        <w:t>消防安全工作考评和奖惩制度应结合</w:t>
      </w:r>
      <w:r>
        <w:rPr>
          <w:rFonts w:hint="eastAsia"/>
          <w:highlight w:val="none"/>
          <w:lang w:eastAsia="zh-CN"/>
        </w:rPr>
        <w:t>建筑或场所</w:t>
      </w:r>
      <w:r>
        <w:rPr>
          <w:rFonts w:hint="eastAsia"/>
          <w:highlight w:val="none"/>
        </w:rPr>
        <w:t>实际制定；</w:t>
      </w:r>
    </w:p>
    <w:p w14:paraId="593F204E">
      <w:pPr>
        <w:pStyle w:val="21"/>
        <w:spacing w:line="360" w:lineRule="auto"/>
        <w:ind w:firstLine="480"/>
        <w:rPr>
          <w:rFonts w:hint="eastAsia"/>
          <w:highlight w:val="none"/>
        </w:rPr>
      </w:pPr>
      <w:r>
        <w:rPr>
          <w:rFonts w:hint="eastAsia"/>
          <w:b/>
          <w:highlight w:val="none"/>
        </w:rPr>
        <w:t>1</w:t>
      </w:r>
      <w:r>
        <w:rPr>
          <w:rFonts w:hint="eastAsia"/>
          <w:b/>
          <w:highlight w:val="none"/>
          <w:lang w:val="en-US" w:eastAsia="zh-CN"/>
        </w:rPr>
        <w:t>3</w:t>
      </w:r>
      <w:r>
        <w:rPr>
          <w:b/>
          <w:highlight w:val="none"/>
        </w:rPr>
        <w:t xml:space="preserve">  </w:t>
      </w:r>
      <w:r>
        <w:rPr>
          <w:rFonts w:hint="eastAsia"/>
          <w:highlight w:val="none"/>
        </w:rPr>
        <w:t>其他必要消防安全制度。</w:t>
      </w:r>
    </w:p>
    <w:p w14:paraId="7999002E">
      <w:pPr>
        <w:pStyle w:val="19"/>
        <w:spacing w:line="360" w:lineRule="auto"/>
        <w:jc w:val="center"/>
        <w:rPr>
          <w:b/>
          <w:bCs w:val="0"/>
          <w:highlight w:val="none"/>
        </w:rPr>
      </w:pPr>
      <w:r>
        <w:rPr>
          <w:rFonts w:hint="default" w:ascii="Times New Roman" w:hAnsi="Times New Roman" w:cs="Times New Roman"/>
          <w:b/>
          <w:highlight w:val="none"/>
        </w:rPr>
        <w:t>Ⅲ</w:t>
      </w:r>
      <w:r>
        <w:rPr>
          <w:rFonts w:hint="eastAsia"/>
          <w:b/>
          <w:highlight w:val="none"/>
        </w:rPr>
        <w:t xml:space="preserve">  </w:t>
      </w:r>
      <w:r>
        <w:rPr>
          <w:rFonts w:hint="eastAsia"/>
          <w:b/>
          <w:highlight w:val="none"/>
          <w:lang w:val="en-US" w:eastAsia="zh-CN"/>
        </w:rPr>
        <w:t>设施</w:t>
      </w:r>
      <w:r>
        <w:rPr>
          <w:rFonts w:hint="eastAsia"/>
          <w:b/>
          <w:highlight w:val="none"/>
        </w:rPr>
        <w:t>管理</w:t>
      </w:r>
    </w:p>
    <w:p w14:paraId="01A4E1F1">
      <w:pPr>
        <w:rPr>
          <w:highlight w:val="none"/>
        </w:rPr>
      </w:pPr>
      <w:r>
        <w:rPr>
          <w:rFonts w:hint="eastAsia" w:ascii="Times New Roman" w:hAnsi="Times New Roman" w:cs="Times New Roman"/>
          <w:b/>
          <w:bCs/>
          <w:highlight w:val="none"/>
          <w:lang w:val="en-US" w:eastAsia="zh-CN"/>
        </w:rPr>
        <w:t>4.2.5</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设施管理</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w:t>
      </w:r>
      <w:r>
        <w:rPr>
          <w:rFonts w:hint="eastAsia" w:ascii="Times New Roman" w:hAnsi="Times New Roman" w:cs="Times New Roman"/>
          <w:color w:val="auto"/>
          <w:highlight w:val="none"/>
          <w:lang w:val="en-US" w:eastAsia="zh"/>
        </w:rPr>
        <w:t>安全疏散设施管理</w:t>
      </w:r>
      <w:r>
        <w:rPr>
          <w:rFonts w:hint="eastAsia" w:ascii="Times New Roman" w:hAnsi="Times New Roman" w:cs="Times New Roman"/>
          <w:highlight w:val="none"/>
        </w:rPr>
        <w:t>安全评估</w:t>
      </w:r>
      <w:r>
        <w:rPr>
          <w:rFonts w:hint="eastAsia" w:ascii="Times New Roman" w:hAnsi="Times New Roman" w:cs="Times New Roman"/>
          <w:color w:val="auto"/>
          <w:highlight w:val="none"/>
          <w:lang w:val="en-US" w:eastAsia="zh-CN"/>
        </w:rPr>
        <w:t>，</w:t>
      </w:r>
      <w:r>
        <w:rPr>
          <w:rFonts w:hint="eastAsia" w:ascii="宋体" w:hAnsi="宋体" w:eastAsia="宋体" w:cs="宋体"/>
          <w:b w:val="0"/>
          <w:bCs w:val="0"/>
          <w:snapToGrid/>
          <w:color w:val="auto"/>
          <w:spacing w:val="-2"/>
          <w:kern w:val="0"/>
          <w:sz w:val="24"/>
          <w:szCs w:val="24"/>
          <w:highlight w:val="none"/>
          <w:lang w:val="en-US" w:eastAsia="zh" w:bidi="ar"/>
        </w:rPr>
        <w:t>消防设施、器材维护管理</w:t>
      </w:r>
      <w:r>
        <w:rPr>
          <w:rFonts w:hint="eastAsia" w:ascii="Times New Roman" w:hAnsi="Times New Roman" w:cs="Times New Roman"/>
          <w:highlight w:val="none"/>
        </w:rPr>
        <w:t>安全评估</w:t>
      </w:r>
      <w:r>
        <w:rPr>
          <w:rFonts w:hint="eastAsia" w:cs="宋体"/>
          <w:b w:val="0"/>
          <w:bCs w:val="0"/>
          <w:snapToGrid/>
          <w:color w:val="auto"/>
          <w:spacing w:val="-2"/>
          <w:kern w:val="0"/>
          <w:sz w:val="24"/>
          <w:szCs w:val="24"/>
          <w:highlight w:val="none"/>
          <w:lang w:val="en-US" w:eastAsia="zh-CN" w:bidi="ar"/>
        </w:rPr>
        <w:t>，</w:t>
      </w:r>
      <w:r>
        <w:rPr>
          <w:rFonts w:hint="eastAsia" w:ascii="宋体" w:hAnsi="宋体" w:eastAsia="宋体" w:cs="宋体"/>
          <w:b w:val="0"/>
          <w:bCs w:val="0"/>
          <w:snapToGrid/>
          <w:color w:val="auto"/>
          <w:spacing w:val="-2"/>
          <w:kern w:val="0"/>
          <w:sz w:val="24"/>
          <w:szCs w:val="24"/>
          <w:highlight w:val="none"/>
          <w:lang w:val="en-US" w:eastAsia="zh" w:bidi="ar"/>
        </w:rPr>
        <w:t>消防控制室管理</w:t>
      </w:r>
      <w:r>
        <w:rPr>
          <w:rFonts w:hint="eastAsia" w:ascii="Times New Roman" w:hAnsi="Times New Roman" w:cs="Times New Roman"/>
          <w:highlight w:val="none"/>
        </w:rPr>
        <w:t>安全评估</w:t>
      </w:r>
      <w:r>
        <w:rPr>
          <w:rFonts w:hint="eastAsia" w:cs="宋体"/>
          <w:b w:val="0"/>
          <w:bCs w:val="0"/>
          <w:snapToGrid/>
          <w:color w:val="auto"/>
          <w:spacing w:val="-2"/>
          <w:kern w:val="0"/>
          <w:sz w:val="24"/>
          <w:szCs w:val="24"/>
          <w:highlight w:val="none"/>
          <w:lang w:val="en-US" w:eastAsia="zh-CN" w:bidi="ar"/>
        </w:rPr>
        <w:t>，</w:t>
      </w:r>
      <w:r>
        <w:rPr>
          <w:rFonts w:hint="eastAsia" w:ascii="宋体" w:hAnsi="宋体" w:eastAsia="宋体" w:cs="宋体"/>
          <w:b w:val="0"/>
          <w:bCs w:val="0"/>
          <w:snapToGrid/>
          <w:color w:val="auto"/>
          <w:spacing w:val="-2"/>
          <w:kern w:val="0"/>
          <w:sz w:val="24"/>
          <w:szCs w:val="24"/>
          <w:highlight w:val="none"/>
          <w:lang w:val="en-US" w:eastAsia="zh" w:bidi="ar"/>
        </w:rPr>
        <w:t>用火（动火）、用电、用油、用气管理</w:t>
      </w:r>
      <w:r>
        <w:rPr>
          <w:rFonts w:hint="eastAsia" w:ascii="Times New Roman" w:hAnsi="Times New Roman" w:cs="Times New Roman"/>
          <w:highlight w:val="none"/>
        </w:rPr>
        <w:t>安全评估</w:t>
      </w:r>
      <w:r>
        <w:rPr>
          <w:rFonts w:hint="eastAsia" w:cs="宋体"/>
          <w:b w:val="0"/>
          <w:bCs w:val="0"/>
          <w:snapToGrid/>
          <w:color w:val="auto"/>
          <w:spacing w:val="-2"/>
          <w:kern w:val="0"/>
          <w:sz w:val="24"/>
          <w:szCs w:val="24"/>
          <w:highlight w:val="none"/>
          <w:lang w:val="en-US" w:eastAsia="zh-CN" w:bidi="ar"/>
        </w:rPr>
        <w:t>，</w:t>
      </w:r>
      <w:r>
        <w:rPr>
          <w:rFonts w:hint="eastAsia" w:ascii="宋体" w:hAnsi="宋体" w:eastAsia="宋体" w:cs="宋体"/>
          <w:b w:val="0"/>
          <w:bCs w:val="0"/>
          <w:snapToGrid/>
          <w:color w:val="auto"/>
          <w:spacing w:val="-2"/>
          <w:kern w:val="0"/>
          <w:sz w:val="24"/>
          <w:szCs w:val="24"/>
          <w:highlight w:val="none"/>
          <w:lang w:val="en-US" w:eastAsia="zh" w:bidi="ar"/>
        </w:rPr>
        <w:t>消防安全重点部位管理</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w:t>
      </w:r>
    </w:p>
    <w:p w14:paraId="31C0AA1E">
      <w:pPr>
        <w:pStyle w:val="19"/>
        <w:spacing w:line="360" w:lineRule="auto"/>
        <w:rPr>
          <w:highlight w:val="none"/>
        </w:rPr>
      </w:pPr>
      <w:r>
        <w:rPr>
          <w:rFonts w:hint="eastAsia"/>
          <w:b/>
          <w:bCs w:val="0"/>
          <w:highlight w:val="none"/>
          <w:lang w:val="en-US" w:eastAsia="zh-CN"/>
        </w:rPr>
        <w:t>4.2.6</w:t>
      </w:r>
      <w:r>
        <w:rPr>
          <w:rFonts w:hint="eastAsia"/>
          <w:highlight w:val="none"/>
        </w:rPr>
        <w:t xml:space="preserve">  </w:t>
      </w:r>
      <w:r>
        <w:rPr>
          <w:rFonts w:hint="eastAsia" w:ascii="Times New Roman" w:hAnsi="Times New Roman" w:cs="Times New Roman"/>
          <w:color w:val="auto"/>
          <w:highlight w:val="none"/>
          <w:lang w:val="en-US" w:eastAsia="zh"/>
        </w:rPr>
        <w:t>安全疏散设施管理</w:t>
      </w:r>
      <w:r>
        <w:rPr>
          <w:rFonts w:hint="eastAsia" w:ascii="Times New Roman" w:hAnsi="Times New Roman" w:cs="Times New Roman"/>
          <w:highlight w:val="none"/>
        </w:rPr>
        <w:t>安全评估具体包含以下内容：</w:t>
      </w:r>
    </w:p>
    <w:p w14:paraId="6EAFF832">
      <w:pPr>
        <w:pStyle w:val="21"/>
        <w:spacing w:line="360" w:lineRule="auto"/>
        <w:ind w:firstLine="482"/>
        <w:rPr>
          <w:rFonts w:hint="eastAsia"/>
          <w:highlight w:val="none"/>
        </w:rPr>
      </w:pPr>
      <w:r>
        <w:rPr>
          <w:rFonts w:hint="eastAsia"/>
          <w:b/>
          <w:highlight w:val="none"/>
        </w:rPr>
        <w:t>1</w:t>
      </w:r>
      <w:r>
        <w:rPr>
          <w:b/>
          <w:highlight w:val="none"/>
        </w:rPr>
        <w:t xml:space="preserve">  </w:t>
      </w:r>
      <w:r>
        <w:rPr>
          <w:rFonts w:hint="eastAsia"/>
          <w:highlight w:val="none"/>
        </w:rPr>
        <w:t>疏散通道、疏散楼梯</w:t>
      </w:r>
      <w:r>
        <w:rPr>
          <w:rFonts w:hint="eastAsia"/>
          <w:highlight w:val="none"/>
          <w:lang w:val="en-US" w:eastAsia="zh-CN"/>
        </w:rPr>
        <w:t>应</w:t>
      </w:r>
      <w:r>
        <w:rPr>
          <w:rFonts w:hint="eastAsia"/>
          <w:highlight w:val="none"/>
        </w:rPr>
        <w:t>保持畅通，</w:t>
      </w:r>
      <w:r>
        <w:rPr>
          <w:rFonts w:hint="eastAsia"/>
          <w:highlight w:val="none"/>
          <w:lang w:val="en-US" w:eastAsia="zh-CN"/>
        </w:rPr>
        <w:t>不应有</w:t>
      </w:r>
      <w:r>
        <w:rPr>
          <w:rFonts w:hint="eastAsia"/>
          <w:highlight w:val="none"/>
        </w:rPr>
        <w:t>堆放杂物、占用疏散通道、疏散楼梯现象；</w:t>
      </w:r>
    </w:p>
    <w:p w14:paraId="31832551">
      <w:pPr>
        <w:pStyle w:val="21"/>
        <w:spacing w:line="360" w:lineRule="auto"/>
        <w:ind w:firstLine="482"/>
        <w:rPr>
          <w:rFonts w:hint="eastAsia"/>
          <w:highlight w:val="none"/>
        </w:rPr>
      </w:pPr>
      <w:r>
        <w:rPr>
          <w:rFonts w:hint="eastAsia"/>
          <w:b/>
          <w:highlight w:val="none"/>
          <w:lang w:val="en-US" w:eastAsia="zh-CN"/>
        </w:rPr>
        <w:t>2</w:t>
      </w:r>
      <w:r>
        <w:rPr>
          <w:b/>
          <w:highlight w:val="none"/>
        </w:rPr>
        <w:t xml:space="preserve">  </w:t>
      </w:r>
      <w:r>
        <w:rPr>
          <w:rFonts w:hint="eastAsia"/>
          <w:highlight w:val="none"/>
        </w:rPr>
        <w:t>安全出口</w:t>
      </w:r>
      <w:r>
        <w:rPr>
          <w:rFonts w:hint="eastAsia"/>
          <w:highlight w:val="none"/>
          <w:lang w:val="en-US" w:eastAsia="zh-CN"/>
        </w:rPr>
        <w:t>应</w:t>
      </w:r>
      <w:r>
        <w:rPr>
          <w:rFonts w:hint="eastAsia"/>
          <w:highlight w:val="none"/>
        </w:rPr>
        <w:t>保持畅通，</w:t>
      </w:r>
      <w:r>
        <w:rPr>
          <w:rFonts w:hint="eastAsia"/>
          <w:highlight w:val="none"/>
          <w:lang w:val="en-US" w:eastAsia="zh-CN"/>
        </w:rPr>
        <w:t>不应有</w:t>
      </w:r>
      <w:r>
        <w:rPr>
          <w:rFonts w:hint="eastAsia"/>
          <w:highlight w:val="none"/>
        </w:rPr>
        <w:t>锁闭、封堵等现象；</w:t>
      </w:r>
    </w:p>
    <w:p w14:paraId="7A250D66">
      <w:pPr>
        <w:pStyle w:val="21"/>
        <w:spacing w:line="360" w:lineRule="auto"/>
        <w:ind w:firstLine="482"/>
        <w:rPr>
          <w:rFonts w:hint="eastAsia"/>
          <w:highlight w:val="none"/>
        </w:rPr>
      </w:pPr>
      <w:r>
        <w:rPr>
          <w:rFonts w:hint="eastAsia"/>
          <w:b/>
          <w:highlight w:val="none"/>
          <w:lang w:val="en-US" w:eastAsia="zh-CN"/>
        </w:rPr>
        <w:t>3</w:t>
      </w:r>
      <w:r>
        <w:rPr>
          <w:b/>
          <w:highlight w:val="none"/>
        </w:rPr>
        <w:t xml:space="preserve">  </w:t>
      </w:r>
      <w:r>
        <w:rPr>
          <w:rFonts w:hint="eastAsia"/>
          <w:highlight w:val="none"/>
        </w:rPr>
        <w:t>常闭式防火门</w:t>
      </w:r>
      <w:r>
        <w:rPr>
          <w:rFonts w:hint="eastAsia"/>
          <w:highlight w:val="none"/>
          <w:lang w:val="en-US" w:eastAsia="zh-CN"/>
        </w:rPr>
        <w:t>不应</w:t>
      </w:r>
      <w:r>
        <w:rPr>
          <w:rFonts w:hint="eastAsia"/>
          <w:highlight w:val="none"/>
        </w:rPr>
        <w:t>处于关闭状态；</w:t>
      </w:r>
    </w:p>
    <w:p w14:paraId="139BA8A4">
      <w:pPr>
        <w:pStyle w:val="21"/>
        <w:spacing w:line="360" w:lineRule="auto"/>
        <w:ind w:firstLine="482"/>
        <w:rPr>
          <w:rFonts w:hint="eastAsia"/>
          <w:highlight w:val="none"/>
        </w:rPr>
      </w:pPr>
      <w:r>
        <w:rPr>
          <w:rFonts w:hint="eastAsia"/>
          <w:b/>
          <w:highlight w:val="none"/>
          <w:lang w:val="en-US" w:eastAsia="zh-CN"/>
        </w:rPr>
        <w:t>4</w:t>
      </w:r>
      <w:r>
        <w:rPr>
          <w:b/>
          <w:highlight w:val="none"/>
        </w:rPr>
        <w:t xml:space="preserve">  </w:t>
      </w:r>
      <w:r>
        <w:rPr>
          <w:rFonts w:hint="eastAsia"/>
          <w:highlight w:val="none"/>
        </w:rPr>
        <w:t>建筑外窗、疏散通道</w:t>
      </w:r>
      <w:r>
        <w:rPr>
          <w:rFonts w:hint="eastAsia"/>
          <w:highlight w:val="none"/>
          <w:lang w:val="en-US" w:eastAsia="zh-CN"/>
        </w:rPr>
        <w:t>不应</w:t>
      </w:r>
      <w:r>
        <w:rPr>
          <w:rFonts w:hint="eastAsia"/>
          <w:highlight w:val="none"/>
        </w:rPr>
        <w:t>设置影响疏散逃生的广告牌、铁栅栏等障碍物。</w:t>
      </w:r>
    </w:p>
    <w:p w14:paraId="0D0154A1">
      <w:pPr>
        <w:pStyle w:val="19"/>
        <w:spacing w:line="360" w:lineRule="auto"/>
        <w:rPr>
          <w:rFonts w:hint="eastAsia"/>
          <w:highlight w:val="none"/>
        </w:rPr>
      </w:pPr>
      <w:r>
        <w:rPr>
          <w:rFonts w:hint="eastAsia"/>
          <w:b/>
          <w:bCs w:val="0"/>
          <w:highlight w:val="none"/>
          <w:lang w:val="en-US" w:eastAsia="zh-CN"/>
        </w:rPr>
        <w:t>4.2.7</w:t>
      </w:r>
      <w:r>
        <w:rPr>
          <w:rFonts w:hint="eastAsia"/>
          <w:highlight w:val="none"/>
        </w:rPr>
        <w:t xml:space="preserve">  </w:t>
      </w:r>
      <w:r>
        <w:rPr>
          <w:rFonts w:hint="eastAsia" w:ascii="宋体" w:hAnsi="宋体" w:eastAsia="宋体" w:cs="宋体"/>
          <w:b w:val="0"/>
          <w:bCs w:val="0"/>
          <w:snapToGrid/>
          <w:color w:val="auto"/>
          <w:spacing w:val="-2"/>
          <w:kern w:val="0"/>
          <w:sz w:val="24"/>
          <w:szCs w:val="24"/>
          <w:highlight w:val="none"/>
          <w:lang w:val="en-US" w:eastAsia="zh" w:bidi="ar"/>
        </w:rPr>
        <w:t>消防设施、器材维护管理</w:t>
      </w:r>
      <w:r>
        <w:rPr>
          <w:rFonts w:hint="eastAsia" w:ascii="Times New Roman" w:hAnsi="Times New Roman" w:cs="Times New Roman"/>
          <w:highlight w:val="none"/>
        </w:rPr>
        <w:t>安全评估具体包含以下内容：</w:t>
      </w:r>
    </w:p>
    <w:p w14:paraId="406A0BF4">
      <w:pPr>
        <w:pStyle w:val="21"/>
        <w:spacing w:line="360" w:lineRule="auto"/>
        <w:ind w:firstLine="482"/>
        <w:rPr>
          <w:rFonts w:hint="eastAsia"/>
          <w:highlight w:val="none"/>
        </w:rPr>
      </w:pPr>
      <w:r>
        <w:rPr>
          <w:rFonts w:hint="eastAsia"/>
          <w:b/>
          <w:highlight w:val="none"/>
        </w:rPr>
        <w:t>1</w:t>
      </w:r>
      <w:r>
        <w:rPr>
          <w:b/>
          <w:highlight w:val="none"/>
        </w:rPr>
        <w:t xml:space="preserve">  </w:t>
      </w:r>
      <w:r>
        <w:rPr>
          <w:rFonts w:hint="eastAsia"/>
          <w:highlight w:val="none"/>
        </w:rPr>
        <w:t>建筑消防设施</w:t>
      </w:r>
      <w:r>
        <w:rPr>
          <w:rFonts w:hint="eastAsia"/>
          <w:highlight w:val="none"/>
          <w:lang w:val="en-US" w:eastAsia="zh-CN"/>
        </w:rPr>
        <w:t>应</w:t>
      </w:r>
      <w:r>
        <w:rPr>
          <w:rFonts w:hint="eastAsia"/>
          <w:highlight w:val="none"/>
        </w:rPr>
        <w:t>定期进行维护保养、检测；</w:t>
      </w:r>
    </w:p>
    <w:p w14:paraId="59FAF2E9">
      <w:pPr>
        <w:pStyle w:val="21"/>
        <w:spacing w:line="360" w:lineRule="auto"/>
        <w:ind w:firstLine="482"/>
        <w:rPr>
          <w:rFonts w:hint="eastAsia"/>
          <w:highlight w:val="none"/>
        </w:rPr>
      </w:pPr>
      <w:r>
        <w:rPr>
          <w:rFonts w:hint="eastAsia"/>
          <w:b/>
          <w:highlight w:val="none"/>
          <w:lang w:val="en-US" w:eastAsia="zh-CN"/>
        </w:rPr>
        <w:t>2</w:t>
      </w:r>
      <w:r>
        <w:rPr>
          <w:b/>
          <w:highlight w:val="none"/>
        </w:rPr>
        <w:t xml:space="preserve">  </w:t>
      </w:r>
      <w:r>
        <w:rPr>
          <w:rFonts w:hint="eastAsia"/>
          <w:highlight w:val="none"/>
        </w:rPr>
        <w:t>消防设施、器材的登记、保管、维护保养和检测</w:t>
      </w:r>
      <w:r>
        <w:rPr>
          <w:rFonts w:hint="eastAsia"/>
          <w:highlight w:val="none"/>
          <w:lang w:val="en-US" w:eastAsia="zh-CN"/>
        </w:rPr>
        <w:t>应</w:t>
      </w:r>
      <w:r>
        <w:rPr>
          <w:rFonts w:hint="eastAsia"/>
          <w:highlight w:val="none"/>
        </w:rPr>
        <w:t>建立记录并存档备</w:t>
      </w:r>
      <w:r>
        <w:rPr>
          <w:rFonts w:hint="eastAsia"/>
          <w:highlight w:val="none"/>
          <w:lang w:eastAsia="zh-CN"/>
        </w:rPr>
        <w:t>查</w:t>
      </w:r>
      <w:r>
        <w:rPr>
          <w:rFonts w:hint="eastAsia"/>
          <w:highlight w:val="none"/>
        </w:rPr>
        <w:t>。</w:t>
      </w:r>
    </w:p>
    <w:p w14:paraId="1C75C5F8">
      <w:pPr>
        <w:pStyle w:val="19"/>
        <w:spacing w:line="360" w:lineRule="auto"/>
        <w:rPr>
          <w:rFonts w:hint="eastAsia"/>
          <w:highlight w:val="none"/>
        </w:rPr>
      </w:pPr>
      <w:r>
        <w:rPr>
          <w:rFonts w:hint="eastAsia"/>
          <w:b/>
          <w:bCs w:val="0"/>
          <w:highlight w:val="none"/>
          <w:lang w:val="en-US" w:eastAsia="zh-CN"/>
        </w:rPr>
        <w:t>4.2.8</w:t>
      </w:r>
      <w:r>
        <w:rPr>
          <w:rFonts w:hint="eastAsia"/>
          <w:highlight w:val="none"/>
        </w:rPr>
        <w:t xml:space="preserve">  </w:t>
      </w:r>
      <w:r>
        <w:rPr>
          <w:rFonts w:hint="eastAsia" w:ascii="宋体" w:hAnsi="宋体" w:eastAsia="宋体" w:cs="宋体"/>
          <w:b w:val="0"/>
          <w:bCs w:val="0"/>
          <w:snapToGrid/>
          <w:color w:val="auto"/>
          <w:spacing w:val="-2"/>
          <w:kern w:val="0"/>
          <w:sz w:val="24"/>
          <w:szCs w:val="24"/>
          <w:highlight w:val="none"/>
          <w:lang w:val="en-US" w:eastAsia="zh" w:bidi="ar"/>
        </w:rPr>
        <w:t>消防控制室管理</w:t>
      </w:r>
      <w:r>
        <w:rPr>
          <w:rFonts w:hint="eastAsia" w:ascii="Times New Roman" w:hAnsi="Times New Roman" w:cs="Times New Roman"/>
          <w:highlight w:val="none"/>
        </w:rPr>
        <w:t>安全评估具体包含以下内容：</w:t>
      </w:r>
    </w:p>
    <w:p w14:paraId="2A3B5EA3">
      <w:pPr>
        <w:pStyle w:val="21"/>
        <w:spacing w:line="360" w:lineRule="auto"/>
        <w:ind w:firstLine="482"/>
        <w:rPr>
          <w:rFonts w:hint="default" w:eastAsia="宋体"/>
          <w:b/>
          <w:highlight w:val="none"/>
          <w:lang w:val="en-US" w:eastAsia="zh-CN"/>
        </w:rPr>
      </w:pPr>
      <w:r>
        <w:rPr>
          <w:rFonts w:hint="eastAsia"/>
          <w:b/>
          <w:highlight w:val="none"/>
        </w:rPr>
        <w:t>1</w:t>
      </w:r>
      <w:r>
        <w:rPr>
          <w:b w:val="0"/>
          <w:bCs/>
          <w:highlight w:val="none"/>
        </w:rPr>
        <w:t xml:space="preserve">  </w:t>
      </w:r>
      <w:r>
        <w:rPr>
          <w:rFonts w:hint="eastAsia"/>
          <w:b w:val="0"/>
          <w:bCs/>
          <w:highlight w:val="none"/>
          <w:lang w:val="en-US" w:eastAsia="zh-CN"/>
        </w:rPr>
        <w:t>消防控制室管理、火灾事故应急处置、消防控制设备故障处置等制度规程应符合有关规定；</w:t>
      </w:r>
    </w:p>
    <w:p w14:paraId="28CC0ED8">
      <w:pPr>
        <w:pStyle w:val="21"/>
        <w:spacing w:line="360" w:lineRule="auto"/>
        <w:ind w:firstLine="482"/>
        <w:rPr>
          <w:rFonts w:hint="eastAsia"/>
          <w:b w:val="0"/>
          <w:bCs/>
          <w:highlight w:val="none"/>
          <w:lang w:val="en-US" w:eastAsia="zh-CN"/>
        </w:rPr>
      </w:pPr>
      <w:r>
        <w:rPr>
          <w:rFonts w:hint="eastAsia"/>
          <w:b/>
          <w:highlight w:val="none"/>
          <w:lang w:val="en-US" w:eastAsia="zh-CN"/>
        </w:rPr>
        <w:t>2</w:t>
      </w:r>
      <w:r>
        <w:rPr>
          <w:b w:val="0"/>
          <w:bCs/>
          <w:highlight w:val="none"/>
        </w:rPr>
        <w:t xml:space="preserve">  </w:t>
      </w:r>
      <w:r>
        <w:rPr>
          <w:rFonts w:hint="eastAsia"/>
          <w:b w:val="0"/>
          <w:bCs/>
          <w:highlight w:val="none"/>
          <w:lang w:val="en-US" w:eastAsia="zh-CN"/>
        </w:rPr>
        <w:t>消防控制室应实施值班值守；</w:t>
      </w:r>
    </w:p>
    <w:p w14:paraId="38743FED">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1EC0DB8C">
      <w:pPr>
        <w:pStyle w:val="21"/>
        <w:spacing w:line="360" w:lineRule="auto"/>
        <w:ind w:firstLine="482"/>
        <w:rPr>
          <w:rFonts w:hint="eastAsia" w:ascii="Times New Roman" w:hAnsi="Times New Roman" w:eastAsia="宋体" w:cs="Times New Roman"/>
          <w:bCs/>
          <w:color w:val="0000FF"/>
          <w:kern w:val="2"/>
          <w:sz w:val="24"/>
          <w:szCs w:val="28"/>
          <w:highlight w:val="none"/>
          <w:lang w:val="en-US" w:eastAsia="zh-CN" w:bidi="ar-SA"/>
        </w:rPr>
      </w:pPr>
      <w:r>
        <w:rPr>
          <w:rFonts w:hint="eastAsia" w:ascii="Times New Roman" w:hAnsi="Times New Roman" w:eastAsia="宋体" w:cs="Times New Roman"/>
          <w:bCs/>
          <w:color w:val="0000FF"/>
          <w:kern w:val="2"/>
          <w:sz w:val="24"/>
          <w:szCs w:val="28"/>
          <w:highlight w:val="none"/>
          <w:lang w:val="en-US" w:eastAsia="zh-CN" w:bidi="ar-SA"/>
        </w:rPr>
        <w:t>消防控制室应有人员排班表和值班记录，能体现落实24小时双人值班要求的情况，明确主班、副班值班人员，消防控制室所有值班操作人员应通过消防行业特有工种职业技能鉴定。</w:t>
      </w:r>
    </w:p>
    <w:p w14:paraId="43150585">
      <w:pPr>
        <w:pStyle w:val="21"/>
        <w:spacing w:line="360" w:lineRule="auto"/>
        <w:ind w:firstLine="482"/>
        <w:rPr>
          <w:rFonts w:hint="default" w:eastAsia="宋体"/>
          <w:b/>
          <w:highlight w:val="none"/>
          <w:lang w:val="en-US" w:eastAsia="zh-CN"/>
        </w:rPr>
      </w:pPr>
      <w:r>
        <w:rPr>
          <w:rFonts w:hint="eastAsia"/>
          <w:b/>
          <w:highlight w:val="none"/>
          <w:lang w:val="en-US" w:eastAsia="zh-CN"/>
        </w:rPr>
        <w:t>3</w:t>
      </w:r>
      <w:r>
        <w:rPr>
          <w:b w:val="0"/>
          <w:bCs/>
          <w:highlight w:val="none"/>
        </w:rPr>
        <w:t xml:space="preserve">  </w:t>
      </w:r>
      <w:r>
        <w:rPr>
          <w:rFonts w:hint="eastAsia"/>
          <w:b w:val="0"/>
          <w:bCs/>
          <w:highlight w:val="none"/>
          <w:lang w:val="en-US" w:eastAsia="zh-CN"/>
        </w:rPr>
        <w:t>应确保火灾自动报警系统、灭火系统和其他联动控制设备处于正常工作状态，不得将应处于自动状态的设在手动状态；</w:t>
      </w:r>
    </w:p>
    <w:p w14:paraId="2D39F065">
      <w:pPr>
        <w:pStyle w:val="21"/>
        <w:spacing w:line="360" w:lineRule="auto"/>
        <w:ind w:firstLine="482"/>
        <w:rPr>
          <w:rFonts w:hint="eastAsia"/>
          <w:b w:val="0"/>
          <w:bCs/>
          <w:highlight w:val="none"/>
          <w:lang w:val="en-US" w:eastAsia="zh-CN"/>
        </w:rPr>
      </w:pPr>
      <w:r>
        <w:rPr>
          <w:rFonts w:hint="eastAsia"/>
          <w:b/>
          <w:highlight w:val="none"/>
          <w:lang w:val="en-US" w:eastAsia="zh-CN"/>
        </w:rPr>
        <w:t>4</w:t>
      </w:r>
      <w:r>
        <w:rPr>
          <w:b w:val="0"/>
          <w:bCs/>
          <w:highlight w:val="none"/>
        </w:rPr>
        <w:t xml:space="preserve">  </w:t>
      </w:r>
      <w:r>
        <w:rPr>
          <w:rFonts w:hint="eastAsia"/>
          <w:b w:val="0"/>
          <w:bCs/>
          <w:highlight w:val="none"/>
          <w:lang w:val="en-US" w:eastAsia="zh-CN"/>
        </w:rPr>
        <w:t>火警应急处置应符合有关规定；</w:t>
      </w:r>
    </w:p>
    <w:p w14:paraId="7A5EB8FF">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6637052B">
      <w:pPr>
        <w:pStyle w:val="21"/>
        <w:spacing w:line="360" w:lineRule="auto"/>
        <w:ind w:firstLine="482"/>
        <w:rPr>
          <w:rFonts w:hint="default" w:ascii="Times New Roman" w:hAnsi="Times New Roman" w:eastAsia="宋体" w:cs="Times New Roman"/>
          <w:bCs/>
          <w:color w:val="0000FF"/>
          <w:kern w:val="2"/>
          <w:sz w:val="24"/>
          <w:szCs w:val="28"/>
          <w:highlight w:val="none"/>
          <w:lang w:val="en-US" w:eastAsia="zh-CN" w:bidi="ar-SA"/>
        </w:rPr>
      </w:pPr>
      <w:r>
        <w:rPr>
          <w:rFonts w:hint="eastAsia" w:ascii="Times New Roman" w:hAnsi="Times New Roman" w:eastAsia="宋体" w:cs="Times New Roman"/>
          <w:bCs/>
          <w:color w:val="0000FF"/>
          <w:kern w:val="2"/>
          <w:sz w:val="24"/>
          <w:szCs w:val="28"/>
          <w:highlight w:val="none"/>
          <w:lang w:val="en-US" w:eastAsia="zh-CN" w:bidi="ar-SA"/>
        </w:rPr>
        <w:t>消防控制室</w:t>
      </w:r>
      <w:r>
        <w:rPr>
          <w:rFonts w:hint="eastAsia" w:ascii="Times New Roman" w:hAnsi="Times New Roman" w:cs="Times New Roman"/>
          <w:bCs/>
          <w:color w:val="0000FF"/>
          <w:kern w:val="2"/>
          <w:sz w:val="24"/>
          <w:szCs w:val="28"/>
          <w:highlight w:val="none"/>
          <w:lang w:val="en-US" w:eastAsia="zh-CN" w:bidi="ar-SA"/>
        </w:rPr>
        <w:t>火警应急处置包含：在</w:t>
      </w:r>
      <w:r>
        <w:rPr>
          <w:rFonts w:hint="eastAsia" w:ascii="Times New Roman" w:hAnsi="Times New Roman" w:eastAsia="宋体" w:cs="Times New Roman"/>
          <w:bCs/>
          <w:color w:val="0000FF"/>
          <w:kern w:val="2"/>
          <w:sz w:val="24"/>
          <w:szCs w:val="28"/>
          <w:highlight w:val="none"/>
          <w:lang w:val="en-US" w:eastAsia="zh-CN" w:bidi="ar-SA"/>
        </w:rPr>
        <w:t>接到火灾模拟报警信号后，迅速（1分钟之内)核实现场火情；确定属于误报火警后，将报警信号消音、复位，并将情况如实记录。</w:t>
      </w:r>
      <w:r>
        <w:rPr>
          <w:rFonts w:hint="eastAsia" w:ascii="Times New Roman" w:hAnsi="Times New Roman" w:cs="Times New Roman"/>
          <w:bCs/>
          <w:color w:val="0000FF"/>
          <w:kern w:val="2"/>
          <w:sz w:val="24"/>
          <w:szCs w:val="28"/>
          <w:highlight w:val="none"/>
          <w:lang w:val="en-US" w:eastAsia="zh-CN" w:bidi="ar-SA"/>
        </w:rPr>
        <w:t>火警应急处置情况安全评估应在</w:t>
      </w:r>
      <w:r>
        <w:rPr>
          <w:rFonts w:hint="eastAsia" w:ascii="Times New Roman" w:hAnsi="Times New Roman" w:eastAsia="宋体" w:cs="Times New Roman"/>
          <w:bCs/>
          <w:color w:val="0000FF"/>
          <w:kern w:val="2"/>
          <w:sz w:val="24"/>
          <w:szCs w:val="28"/>
          <w:highlight w:val="none"/>
          <w:lang w:val="en-US" w:eastAsia="zh-CN" w:bidi="ar-SA"/>
        </w:rPr>
        <w:t>现场随机抽查至少2名员工，检查是否掌握消防设施操作和应急处置规程情况。</w:t>
      </w:r>
    </w:p>
    <w:p w14:paraId="385C1442">
      <w:pPr>
        <w:pStyle w:val="21"/>
        <w:spacing w:line="360" w:lineRule="auto"/>
        <w:ind w:firstLine="482"/>
        <w:rPr>
          <w:rFonts w:hint="eastAsia" w:eastAsia="宋体"/>
          <w:b w:val="0"/>
          <w:bCs w:val="0"/>
          <w:color w:val="auto"/>
          <w:spacing w:val="-2"/>
          <w:highlight w:val="none"/>
          <w:lang w:eastAsia="zh-CN"/>
        </w:rPr>
      </w:pPr>
      <w:r>
        <w:rPr>
          <w:rFonts w:hint="eastAsia"/>
          <w:b/>
          <w:highlight w:val="none"/>
          <w:lang w:val="en-US" w:eastAsia="zh-CN"/>
        </w:rPr>
        <w:t>5</w:t>
      </w:r>
      <w:r>
        <w:rPr>
          <w:b w:val="0"/>
          <w:bCs/>
          <w:highlight w:val="none"/>
        </w:rPr>
        <w:t xml:space="preserve">  </w:t>
      </w:r>
      <w:r>
        <w:rPr>
          <w:b w:val="0"/>
          <w:bCs w:val="0"/>
          <w:color w:val="auto"/>
          <w:spacing w:val="-3"/>
          <w:highlight w:val="none"/>
        </w:rPr>
        <w:t>消防控制室</w:t>
      </w:r>
      <w:r>
        <w:rPr>
          <w:rFonts w:hint="eastAsia"/>
          <w:b w:val="0"/>
          <w:bCs w:val="0"/>
          <w:color w:val="auto"/>
          <w:spacing w:val="-3"/>
          <w:highlight w:val="none"/>
          <w:lang w:val="en-US" w:eastAsia="zh-CN"/>
        </w:rPr>
        <w:t>应做好资料管理，包含记录值班情况，消防设施的运行情况检查和故障登记、维修等情况</w:t>
      </w:r>
      <w:r>
        <w:rPr>
          <w:rFonts w:hint="eastAsia"/>
          <w:b w:val="0"/>
          <w:bCs w:val="0"/>
          <w:color w:val="auto"/>
          <w:spacing w:val="-2"/>
          <w:highlight w:val="none"/>
          <w:lang w:eastAsia="zh-CN"/>
        </w:rPr>
        <w:t>。</w:t>
      </w:r>
    </w:p>
    <w:p w14:paraId="541C7966">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4322797F">
      <w:pPr>
        <w:pStyle w:val="21"/>
        <w:spacing w:line="360" w:lineRule="auto"/>
        <w:ind w:firstLine="482"/>
        <w:rPr>
          <w:rFonts w:hint="eastAsia" w:ascii="Times New Roman" w:hAnsi="Times New Roman" w:cs="Times New Roman"/>
          <w:bCs/>
          <w:color w:val="0000FF"/>
          <w:kern w:val="2"/>
          <w:sz w:val="24"/>
          <w:szCs w:val="28"/>
          <w:highlight w:val="none"/>
          <w:lang w:val="en-US" w:eastAsia="zh-CN" w:bidi="ar-SA"/>
        </w:rPr>
      </w:pPr>
      <w:r>
        <w:rPr>
          <w:rFonts w:hint="eastAsia" w:ascii="Times New Roman" w:hAnsi="Times New Roman" w:cs="Times New Roman"/>
          <w:bCs/>
          <w:color w:val="0000FF"/>
          <w:kern w:val="2"/>
          <w:sz w:val="24"/>
          <w:szCs w:val="28"/>
          <w:highlight w:val="none"/>
          <w:lang w:val="en-US" w:eastAsia="zh-CN" w:bidi="ar-SA"/>
        </w:rPr>
        <w:t>消防控制室值班记录表、建筑消防设施故障维修记录表等工作记录应当及时填写、更新、归档，消防控制室资料情况；并比对设备火警、故障信息与相应运行记录，检查火警信息和设备故障是否及时登记，是否按照规定进行了处置。</w:t>
      </w:r>
    </w:p>
    <w:p w14:paraId="3ED1AF58">
      <w:pPr>
        <w:pStyle w:val="19"/>
        <w:spacing w:line="360" w:lineRule="auto"/>
        <w:rPr>
          <w:rFonts w:hint="eastAsia"/>
          <w:highlight w:val="none"/>
        </w:rPr>
      </w:pPr>
      <w:r>
        <w:rPr>
          <w:rFonts w:hint="eastAsia"/>
          <w:b/>
          <w:bCs w:val="0"/>
          <w:highlight w:val="none"/>
          <w:lang w:val="en-US" w:eastAsia="zh-CN"/>
        </w:rPr>
        <w:t xml:space="preserve">4.2.9 </w:t>
      </w:r>
      <w:r>
        <w:rPr>
          <w:rFonts w:hint="eastAsia"/>
          <w:highlight w:val="none"/>
        </w:rPr>
        <w:t xml:space="preserve"> </w:t>
      </w:r>
      <w:r>
        <w:rPr>
          <w:rFonts w:hint="eastAsia" w:ascii="宋体" w:hAnsi="宋体" w:eastAsia="宋体" w:cs="宋体"/>
          <w:b w:val="0"/>
          <w:bCs w:val="0"/>
          <w:snapToGrid/>
          <w:color w:val="auto"/>
          <w:spacing w:val="-2"/>
          <w:kern w:val="0"/>
          <w:sz w:val="24"/>
          <w:szCs w:val="24"/>
          <w:highlight w:val="none"/>
          <w:lang w:val="en-US" w:eastAsia="zh" w:bidi="ar"/>
        </w:rPr>
        <w:t>用火（动火）、用电、用油、用气管理</w:t>
      </w:r>
      <w:r>
        <w:rPr>
          <w:rFonts w:hint="eastAsia" w:ascii="Times New Roman" w:hAnsi="Times New Roman" w:cs="Times New Roman"/>
          <w:highlight w:val="none"/>
        </w:rPr>
        <w:t>安全评估具体包含以下内容：</w:t>
      </w:r>
    </w:p>
    <w:p w14:paraId="00E717DE">
      <w:pPr>
        <w:pStyle w:val="21"/>
        <w:spacing w:line="360" w:lineRule="auto"/>
        <w:ind w:firstLine="482"/>
        <w:rPr>
          <w:rFonts w:hint="default" w:eastAsia="宋体"/>
          <w:b/>
          <w:highlight w:val="none"/>
          <w:lang w:val="en-US" w:eastAsia="zh-CN"/>
        </w:rPr>
      </w:pPr>
      <w:r>
        <w:rPr>
          <w:rFonts w:hint="eastAsia"/>
          <w:b/>
          <w:highlight w:val="none"/>
        </w:rPr>
        <w:t>1</w:t>
      </w:r>
      <w:r>
        <w:rPr>
          <w:b w:val="0"/>
          <w:bCs/>
          <w:highlight w:val="none"/>
        </w:rPr>
        <w:t xml:space="preserve">  </w:t>
      </w:r>
      <w:r>
        <w:rPr>
          <w:rFonts w:hint="eastAsia"/>
          <w:b w:val="0"/>
          <w:bCs/>
          <w:highlight w:val="none"/>
          <w:lang w:val="en-US" w:eastAsia="zh-CN"/>
        </w:rPr>
        <w:t>应当制定用火（动火)、用电、用油、用气（包括防雷、防静电)安全操作规程；</w:t>
      </w:r>
    </w:p>
    <w:p w14:paraId="35D91F99">
      <w:pPr>
        <w:pStyle w:val="21"/>
        <w:spacing w:line="360" w:lineRule="auto"/>
        <w:ind w:firstLine="482"/>
        <w:rPr>
          <w:rFonts w:hint="eastAsia"/>
          <w:b w:val="0"/>
          <w:bCs/>
          <w:highlight w:val="none"/>
          <w:lang w:val="en-US" w:eastAsia="zh-CN"/>
        </w:rPr>
      </w:pPr>
      <w:r>
        <w:rPr>
          <w:rFonts w:hint="eastAsia"/>
          <w:b/>
          <w:highlight w:val="none"/>
          <w:lang w:val="en-US" w:eastAsia="zh-CN"/>
        </w:rPr>
        <w:t>2</w:t>
      </w:r>
      <w:r>
        <w:rPr>
          <w:b w:val="0"/>
          <w:bCs/>
          <w:highlight w:val="none"/>
        </w:rPr>
        <w:t xml:space="preserve">  </w:t>
      </w:r>
      <w:r>
        <w:rPr>
          <w:rFonts w:hint="eastAsia"/>
          <w:b w:val="0"/>
          <w:bCs/>
          <w:highlight w:val="none"/>
          <w:lang w:val="en-US" w:eastAsia="zh-CN"/>
        </w:rPr>
        <w:t>电工、焊工、易燃易爆危险化学品操作人员应持证上岗；</w:t>
      </w:r>
    </w:p>
    <w:p w14:paraId="1ADFCF64">
      <w:pPr>
        <w:pStyle w:val="21"/>
        <w:spacing w:line="360" w:lineRule="auto"/>
        <w:ind w:firstLine="482"/>
        <w:rPr>
          <w:rFonts w:hint="eastAsia"/>
          <w:b w:val="0"/>
          <w:bCs w:val="0"/>
          <w:color w:val="auto"/>
          <w:spacing w:val="-2"/>
          <w:highlight w:val="none"/>
          <w:lang w:eastAsia="zh-CN"/>
        </w:rPr>
      </w:pPr>
      <w:r>
        <w:rPr>
          <w:rFonts w:hint="eastAsia"/>
          <w:b/>
          <w:highlight w:val="none"/>
          <w:lang w:val="en-US" w:eastAsia="zh-CN"/>
        </w:rPr>
        <w:t>3</w:t>
      </w:r>
      <w:r>
        <w:rPr>
          <w:b w:val="0"/>
          <w:bCs/>
          <w:highlight w:val="none"/>
        </w:rPr>
        <w:t xml:space="preserve">  </w:t>
      </w:r>
      <w:r>
        <w:rPr>
          <w:rFonts w:hint="eastAsia"/>
          <w:b w:val="0"/>
          <w:bCs/>
          <w:highlight w:val="none"/>
          <w:lang w:val="en-US" w:eastAsia="zh-CN"/>
        </w:rPr>
        <w:t>应按照相关规定安全</w:t>
      </w:r>
      <w:r>
        <w:rPr>
          <w:b w:val="0"/>
          <w:bCs w:val="0"/>
          <w:color w:val="auto"/>
          <w:spacing w:val="-2"/>
          <w:highlight w:val="none"/>
        </w:rPr>
        <w:t>用电、用气</w:t>
      </w:r>
      <w:r>
        <w:rPr>
          <w:rFonts w:hint="eastAsia"/>
          <w:b w:val="0"/>
          <w:bCs w:val="0"/>
          <w:color w:val="auto"/>
          <w:spacing w:val="-2"/>
          <w:highlight w:val="none"/>
          <w:lang w:eastAsia="zh-CN"/>
        </w:rPr>
        <w:t>；</w:t>
      </w:r>
    </w:p>
    <w:p w14:paraId="572CD8B2">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73979823">
      <w:pPr>
        <w:pStyle w:val="21"/>
        <w:spacing w:line="360" w:lineRule="auto"/>
        <w:ind w:firstLine="482"/>
        <w:rPr>
          <w:rFonts w:hint="eastAsia" w:ascii="Times New Roman" w:hAnsi="Times New Roman" w:eastAsia="宋体" w:cs="Times New Roman"/>
          <w:bCs/>
          <w:color w:val="0000FF"/>
          <w:kern w:val="2"/>
          <w:sz w:val="24"/>
          <w:szCs w:val="28"/>
          <w:highlight w:val="none"/>
          <w:lang w:val="en-US" w:eastAsia="zh-CN" w:bidi="ar-SA"/>
        </w:rPr>
      </w:pPr>
      <w:r>
        <w:rPr>
          <w:rFonts w:hint="eastAsia" w:ascii="Times New Roman" w:hAnsi="Times New Roman" w:eastAsia="宋体" w:cs="Times New Roman"/>
          <w:bCs/>
          <w:color w:val="0000FF"/>
          <w:kern w:val="2"/>
          <w:sz w:val="24"/>
          <w:szCs w:val="28"/>
          <w:highlight w:val="none"/>
          <w:lang w:val="en-US" w:eastAsia="zh-CN" w:bidi="ar-SA"/>
        </w:rPr>
        <w:t>消防安全用电用气，不应存在违规使用大功率电器或超负荷用电现象，用电、用气设备（包括防雷、防静电)定期维护保养、检测；配电箱、开关、插座、照明、电热设备安装应当符合相关规定；电气线路敷设应当采取防火保护措施，无私拉乱接电线现象，燃气用户应遵守消防技术标准和单位管理规定；电器产品、燃气用具应选用符合消防安全的合格产品。</w:t>
      </w:r>
    </w:p>
    <w:p w14:paraId="0B7185C0">
      <w:pPr>
        <w:pStyle w:val="21"/>
        <w:spacing w:line="360" w:lineRule="auto"/>
        <w:ind w:firstLine="482"/>
        <w:rPr>
          <w:rFonts w:hint="default"/>
          <w:b w:val="0"/>
          <w:bCs/>
          <w:highlight w:val="none"/>
          <w:lang w:val="en-US" w:eastAsia="zh-CN"/>
        </w:rPr>
      </w:pPr>
      <w:r>
        <w:rPr>
          <w:rFonts w:hint="eastAsia"/>
          <w:b/>
          <w:highlight w:val="none"/>
          <w:lang w:val="en-US" w:eastAsia="zh-CN"/>
        </w:rPr>
        <w:t>4</w:t>
      </w:r>
      <w:r>
        <w:rPr>
          <w:b w:val="0"/>
          <w:bCs/>
          <w:highlight w:val="none"/>
        </w:rPr>
        <w:t xml:space="preserve">  </w:t>
      </w:r>
      <w:r>
        <w:rPr>
          <w:rFonts w:hint="eastAsia"/>
          <w:b w:val="0"/>
          <w:bCs/>
          <w:highlight w:val="none"/>
          <w:lang w:val="en-US" w:eastAsia="zh-CN"/>
        </w:rPr>
        <w:t>应按照相关规定安全用火。</w:t>
      </w:r>
    </w:p>
    <w:p w14:paraId="5D465E4C">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2E67BEDF">
      <w:pPr>
        <w:pStyle w:val="21"/>
        <w:spacing w:line="360" w:lineRule="auto"/>
        <w:ind w:firstLine="482"/>
        <w:rPr>
          <w:rFonts w:hint="eastAsia" w:ascii="Times New Roman" w:hAnsi="Times New Roman" w:cs="Times New Roman"/>
          <w:bCs/>
          <w:color w:val="0000FF"/>
          <w:kern w:val="2"/>
          <w:sz w:val="24"/>
          <w:szCs w:val="28"/>
          <w:highlight w:val="none"/>
          <w:lang w:val="en-US" w:eastAsia="zh-CN" w:bidi="ar-SA"/>
        </w:rPr>
      </w:pPr>
      <w:r>
        <w:rPr>
          <w:rFonts w:hint="eastAsia" w:ascii="Times New Roman" w:hAnsi="Times New Roman" w:cs="Times New Roman"/>
          <w:bCs/>
          <w:color w:val="0000FF"/>
          <w:kern w:val="2"/>
          <w:sz w:val="24"/>
          <w:szCs w:val="28"/>
          <w:highlight w:val="none"/>
          <w:lang w:val="en-US" w:eastAsia="zh-CN" w:bidi="ar-SA"/>
        </w:rPr>
        <w:t>消防安全用火应当建立并落实用火（动火)审批制度，动火现场要安排专人值守，配置灭火器材设施，不应存在违规用火现象；施工现场要落实施工管理制度，施工审批手续，现场防范措施，配置消防器材，指定专人监护，采取防火分隔措施，不得在营业期间动火施工；禁止在具有火灾、爆炸危险的场所吸烟；公共建筑厨房烟道应定期进行清理并保存清洗记录，应设置厨房专用灭火系统的应配备灭火毯、干粉灭火器等。</w:t>
      </w:r>
    </w:p>
    <w:p w14:paraId="1513AC5C">
      <w:pPr>
        <w:pStyle w:val="21"/>
        <w:spacing w:line="360" w:lineRule="auto"/>
        <w:ind w:left="0" w:leftChars="0" w:firstLine="0" w:firstLineChars="0"/>
        <w:rPr>
          <w:rFonts w:hint="eastAsia"/>
          <w:highlight w:val="none"/>
        </w:rPr>
      </w:pPr>
      <w:r>
        <w:rPr>
          <w:rFonts w:hint="eastAsia"/>
          <w:b/>
          <w:bCs w:val="0"/>
          <w:highlight w:val="none"/>
          <w:lang w:val="en-US" w:eastAsia="zh-CN"/>
        </w:rPr>
        <w:t>4.2.10</w:t>
      </w:r>
      <w:r>
        <w:rPr>
          <w:rFonts w:hint="eastAsia"/>
          <w:highlight w:val="none"/>
        </w:rPr>
        <w:t xml:space="preserve"> </w:t>
      </w:r>
      <w:r>
        <w:rPr>
          <w:rFonts w:hint="eastAsia"/>
          <w:highlight w:val="none"/>
          <w:lang w:val="en-US" w:eastAsia="zh-CN"/>
        </w:rPr>
        <w:t xml:space="preserve"> </w:t>
      </w:r>
      <w:r>
        <w:rPr>
          <w:rFonts w:hint="eastAsia" w:ascii="宋体" w:hAnsi="宋体" w:eastAsia="宋体" w:cs="宋体"/>
          <w:b w:val="0"/>
          <w:bCs w:val="0"/>
          <w:snapToGrid/>
          <w:color w:val="auto"/>
          <w:spacing w:val="-2"/>
          <w:kern w:val="0"/>
          <w:sz w:val="24"/>
          <w:szCs w:val="24"/>
          <w:highlight w:val="none"/>
          <w:lang w:val="en-US" w:eastAsia="zh" w:bidi="ar"/>
        </w:rPr>
        <w:t>消防安全重点部位管理</w:t>
      </w:r>
      <w:r>
        <w:rPr>
          <w:rFonts w:hint="eastAsia" w:ascii="Times New Roman" w:hAnsi="Times New Roman" w:cs="Times New Roman"/>
          <w:highlight w:val="none"/>
        </w:rPr>
        <w:t>安全评估具体包含以下内容：</w:t>
      </w:r>
    </w:p>
    <w:p w14:paraId="5A6F1CC4">
      <w:pPr>
        <w:pStyle w:val="21"/>
        <w:spacing w:line="360" w:lineRule="auto"/>
        <w:ind w:left="0" w:leftChars="0" w:firstLine="482" w:firstLineChars="200"/>
        <w:rPr>
          <w:rFonts w:hint="eastAsia" w:eastAsia="宋体"/>
          <w:highlight w:val="none"/>
          <w:lang w:eastAsia="zh-CN"/>
        </w:rPr>
      </w:pPr>
      <w:r>
        <w:rPr>
          <w:rFonts w:hint="eastAsia"/>
          <w:b/>
          <w:highlight w:val="none"/>
          <w:lang w:val="en-US" w:eastAsia="zh-CN"/>
        </w:rPr>
        <w:t>1</w:t>
      </w:r>
      <w:r>
        <w:rPr>
          <w:b w:val="0"/>
          <w:bCs/>
          <w:highlight w:val="none"/>
        </w:rPr>
        <w:t xml:space="preserve">  </w:t>
      </w:r>
      <w:r>
        <w:rPr>
          <w:rFonts w:hint="eastAsia"/>
          <w:b w:val="0"/>
          <w:bCs/>
          <w:highlight w:val="none"/>
        </w:rPr>
        <w:t>应当制定并落实消防安全重点部位管理要求、安全操作规程、事故应急处置操作程序和应急预案</w:t>
      </w:r>
      <w:r>
        <w:rPr>
          <w:rFonts w:hint="eastAsia"/>
          <w:b w:val="0"/>
          <w:bCs/>
          <w:highlight w:val="none"/>
          <w:lang w:eastAsia="zh-CN"/>
        </w:rPr>
        <w:t>；</w:t>
      </w:r>
    </w:p>
    <w:p w14:paraId="34D3683B">
      <w:pPr>
        <w:pStyle w:val="21"/>
        <w:spacing w:line="360" w:lineRule="auto"/>
        <w:ind w:firstLine="482"/>
        <w:rPr>
          <w:rFonts w:hint="eastAsia"/>
          <w:b w:val="0"/>
          <w:bCs/>
          <w:highlight w:val="none"/>
        </w:rPr>
      </w:pPr>
      <w:r>
        <w:rPr>
          <w:rFonts w:hint="eastAsia"/>
          <w:b/>
          <w:highlight w:val="none"/>
          <w:lang w:val="en-US" w:eastAsia="zh-CN"/>
        </w:rPr>
        <w:t>2</w:t>
      </w:r>
      <w:r>
        <w:rPr>
          <w:b w:val="0"/>
          <w:bCs/>
          <w:highlight w:val="none"/>
        </w:rPr>
        <w:t xml:space="preserve">  </w:t>
      </w:r>
      <w:r>
        <w:rPr>
          <w:rFonts w:hint="eastAsia"/>
          <w:b w:val="0"/>
          <w:bCs/>
          <w:highlight w:val="none"/>
        </w:rPr>
        <w:t>应</w:t>
      </w:r>
      <w:r>
        <w:rPr>
          <w:rFonts w:hint="eastAsia"/>
          <w:b w:val="0"/>
          <w:bCs/>
          <w:highlight w:val="none"/>
          <w:lang w:val="en-US" w:eastAsia="zh-CN"/>
        </w:rPr>
        <w:t>确定</w:t>
      </w:r>
      <w:r>
        <w:rPr>
          <w:rFonts w:hint="eastAsia"/>
          <w:b w:val="0"/>
          <w:bCs/>
          <w:highlight w:val="none"/>
        </w:rPr>
        <w:t>重点部位，</w:t>
      </w:r>
      <w:r>
        <w:rPr>
          <w:rFonts w:hint="eastAsia"/>
          <w:b w:val="0"/>
          <w:bCs/>
          <w:highlight w:val="none"/>
          <w:lang w:val="en-US" w:eastAsia="zh-CN"/>
        </w:rPr>
        <w:t>确保</w:t>
      </w:r>
      <w:r>
        <w:rPr>
          <w:rFonts w:hint="eastAsia"/>
          <w:b w:val="0"/>
          <w:bCs/>
          <w:highlight w:val="none"/>
        </w:rPr>
        <w:t>不应有遗漏</w:t>
      </w:r>
      <w:r>
        <w:rPr>
          <w:rFonts w:hint="eastAsia"/>
          <w:b w:val="0"/>
          <w:bCs/>
          <w:highlight w:val="none"/>
          <w:lang w:eastAsia="zh-CN"/>
        </w:rPr>
        <w:t>；</w:t>
      </w:r>
    </w:p>
    <w:p w14:paraId="226C1C86">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6A9865ED">
      <w:pPr>
        <w:pStyle w:val="21"/>
        <w:spacing w:line="360" w:lineRule="auto"/>
        <w:ind w:firstLine="482"/>
        <w:rPr>
          <w:rFonts w:hint="eastAsia" w:ascii="Times New Roman" w:hAnsi="Times New Roman" w:eastAsia="宋体" w:cs="Times New Roman"/>
          <w:bCs/>
          <w:color w:val="0000FF"/>
          <w:kern w:val="2"/>
          <w:sz w:val="24"/>
          <w:szCs w:val="28"/>
          <w:highlight w:val="none"/>
          <w:lang w:val="en-US" w:eastAsia="zh-CN" w:bidi="ar-SA"/>
        </w:rPr>
      </w:pPr>
      <w:r>
        <w:rPr>
          <w:rFonts w:hint="eastAsia" w:ascii="Times New Roman" w:hAnsi="Times New Roman" w:eastAsia="宋体" w:cs="Times New Roman"/>
          <w:bCs/>
          <w:color w:val="0000FF"/>
          <w:kern w:val="2"/>
          <w:sz w:val="24"/>
          <w:szCs w:val="28"/>
          <w:highlight w:val="none"/>
          <w:lang w:val="en-US" w:eastAsia="zh-CN" w:bidi="ar-SA"/>
        </w:rPr>
        <w:t>重点部位包含内部容易发生火灾、发生火灾可能严重危及人身和财产安全以及对消防安全有重大影响的以及爆炸危险源等位置</w:t>
      </w:r>
      <w:r>
        <w:rPr>
          <w:rFonts w:hint="eastAsia" w:ascii="Times New Roman" w:hAnsi="Times New Roman" w:cs="Times New Roman"/>
          <w:bCs/>
          <w:color w:val="0000FF"/>
          <w:kern w:val="2"/>
          <w:sz w:val="24"/>
          <w:szCs w:val="28"/>
          <w:highlight w:val="none"/>
          <w:lang w:val="en-US" w:eastAsia="zh-CN" w:bidi="ar-SA"/>
        </w:rPr>
        <w:t>。</w:t>
      </w:r>
    </w:p>
    <w:p w14:paraId="64354F2E">
      <w:pPr>
        <w:pStyle w:val="21"/>
        <w:spacing w:line="360" w:lineRule="auto"/>
        <w:ind w:firstLine="482"/>
        <w:rPr>
          <w:rFonts w:hint="eastAsia" w:eastAsia="宋体"/>
          <w:highlight w:val="none"/>
          <w:lang w:eastAsia="zh-CN"/>
        </w:rPr>
      </w:pPr>
      <w:r>
        <w:rPr>
          <w:rFonts w:hint="eastAsia"/>
          <w:b/>
          <w:highlight w:val="none"/>
          <w:lang w:val="en-US" w:eastAsia="zh-CN"/>
        </w:rPr>
        <w:t>3</w:t>
      </w:r>
      <w:r>
        <w:rPr>
          <w:b w:val="0"/>
          <w:bCs/>
          <w:highlight w:val="none"/>
        </w:rPr>
        <w:t xml:space="preserve">  </w:t>
      </w:r>
      <w:r>
        <w:rPr>
          <w:rFonts w:hint="eastAsia"/>
          <w:b w:val="0"/>
          <w:bCs/>
          <w:highlight w:val="none"/>
        </w:rPr>
        <w:t>重点部位</w:t>
      </w:r>
      <w:r>
        <w:rPr>
          <w:rFonts w:hint="eastAsia"/>
          <w:b w:val="0"/>
          <w:bCs/>
          <w:highlight w:val="none"/>
          <w:lang w:val="en-US" w:eastAsia="zh-CN"/>
        </w:rPr>
        <w:t>应</w:t>
      </w:r>
      <w:r>
        <w:rPr>
          <w:rFonts w:hint="eastAsia"/>
          <w:b w:val="0"/>
          <w:bCs/>
          <w:highlight w:val="none"/>
        </w:rPr>
        <w:t>设置明显的防火标志</w:t>
      </w:r>
      <w:r>
        <w:rPr>
          <w:rFonts w:hint="eastAsia"/>
          <w:b w:val="0"/>
          <w:bCs/>
          <w:highlight w:val="none"/>
          <w:lang w:eastAsia="zh-CN"/>
        </w:rPr>
        <w:t>；</w:t>
      </w:r>
    </w:p>
    <w:p w14:paraId="73B5F56F">
      <w:pPr>
        <w:pStyle w:val="21"/>
        <w:spacing w:line="360" w:lineRule="auto"/>
        <w:ind w:firstLine="482"/>
        <w:rPr>
          <w:rFonts w:hint="default" w:eastAsia="宋体"/>
          <w:highlight w:val="none"/>
          <w:lang w:val="en-US" w:eastAsia="zh-CN"/>
        </w:rPr>
      </w:pPr>
      <w:r>
        <w:rPr>
          <w:rFonts w:hint="eastAsia"/>
          <w:b/>
          <w:highlight w:val="none"/>
          <w:lang w:val="en-US" w:eastAsia="zh-CN"/>
        </w:rPr>
        <w:t>4</w:t>
      </w:r>
      <w:r>
        <w:rPr>
          <w:b w:val="0"/>
          <w:bCs/>
          <w:highlight w:val="none"/>
        </w:rPr>
        <w:t xml:space="preserve">  </w:t>
      </w:r>
      <w:r>
        <w:rPr>
          <w:rFonts w:hint="eastAsia"/>
          <w:b w:val="0"/>
          <w:bCs/>
          <w:highlight w:val="none"/>
          <w:lang w:val="en-US" w:eastAsia="zh-CN"/>
        </w:rPr>
        <w:t>应建立重点部位专门管理措施；</w:t>
      </w:r>
    </w:p>
    <w:p w14:paraId="0B825E81">
      <w:pPr>
        <w:pStyle w:val="21"/>
        <w:spacing w:line="360" w:lineRule="auto"/>
        <w:ind w:firstLine="482"/>
        <w:rPr>
          <w:rFonts w:hint="eastAsia"/>
          <w:b w:val="0"/>
          <w:bCs/>
          <w:highlight w:val="none"/>
          <w:lang w:eastAsia="zh-CN"/>
        </w:rPr>
      </w:pPr>
      <w:r>
        <w:rPr>
          <w:rFonts w:hint="eastAsia"/>
          <w:b/>
          <w:highlight w:val="none"/>
          <w:lang w:val="en-US" w:eastAsia="zh-CN"/>
        </w:rPr>
        <w:t>5</w:t>
      </w:r>
      <w:r>
        <w:rPr>
          <w:b w:val="0"/>
          <w:bCs/>
          <w:highlight w:val="none"/>
        </w:rPr>
        <w:t xml:space="preserve">  </w:t>
      </w:r>
      <w:r>
        <w:rPr>
          <w:rFonts w:hint="eastAsia"/>
          <w:b w:val="0"/>
          <w:bCs/>
          <w:highlight w:val="none"/>
          <w:lang w:val="en-US" w:eastAsia="zh-CN"/>
        </w:rPr>
        <w:t>应对</w:t>
      </w:r>
      <w:r>
        <w:rPr>
          <w:rFonts w:hint="eastAsia"/>
          <w:b w:val="0"/>
          <w:bCs/>
          <w:highlight w:val="none"/>
        </w:rPr>
        <w:t>易燃易爆危险品</w:t>
      </w:r>
      <w:r>
        <w:rPr>
          <w:rFonts w:hint="eastAsia"/>
          <w:b w:val="0"/>
          <w:bCs/>
          <w:highlight w:val="none"/>
          <w:lang w:val="en-US" w:eastAsia="zh-CN"/>
        </w:rPr>
        <w:t>进行专门</w:t>
      </w:r>
      <w:r>
        <w:rPr>
          <w:rFonts w:hint="eastAsia"/>
          <w:b w:val="0"/>
          <w:bCs/>
          <w:highlight w:val="none"/>
        </w:rPr>
        <w:t>管理</w:t>
      </w:r>
      <w:r>
        <w:rPr>
          <w:rFonts w:hint="eastAsia"/>
          <w:b w:val="0"/>
          <w:bCs/>
          <w:highlight w:val="none"/>
          <w:lang w:eastAsia="zh-CN"/>
        </w:rPr>
        <w:t>。</w:t>
      </w:r>
    </w:p>
    <w:p w14:paraId="1512B854">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val="en-US" w:eastAsia="zh"/>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4CB443E8">
      <w:pPr>
        <w:pStyle w:val="21"/>
        <w:spacing w:line="360" w:lineRule="auto"/>
        <w:ind w:firstLine="482"/>
        <w:rPr>
          <w:rFonts w:hint="eastAsia" w:ascii="Times New Roman" w:hAnsi="Times New Roman" w:eastAsia="宋体" w:cs="Times New Roman"/>
          <w:bCs/>
          <w:color w:val="0000FF"/>
          <w:kern w:val="2"/>
          <w:sz w:val="24"/>
          <w:szCs w:val="28"/>
          <w:highlight w:val="none"/>
          <w:lang w:val="en-US" w:eastAsia="zh-CN" w:bidi="ar-SA"/>
        </w:rPr>
      </w:pPr>
      <w:r>
        <w:rPr>
          <w:rFonts w:hint="eastAsia" w:ascii="Times New Roman" w:hAnsi="Times New Roman" w:eastAsia="宋体" w:cs="Times New Roman"/>
          <w:bCs/>
          <w:color w:val="0000FF"/>
          <w:kern w:val="2"/>
          <w:sz w:val="24"/>
          <w:szCs w:val="28"/>
          <w:highlight w:val="none"/>
          <w:lang w:val="en-US" w:eastAsia="zh-CN" w:bidi="ar-SA"/>
        </w:rPr>
        <w:t>应当根据单位实际制定安全管理制度，明确易燃易爆危险品安全管理责任；危险品储存量不应超过规定要求；不同性质危险品不得混存混放；易燃易爆危险物品出入库应严格落实登记制度；人员密集场所严禁违章经营、储存、使用液化石油气、汽油等物品。</w:t>
      </w:r>
    </w:p>
    <w:p w14:paraId="30D0E3E1">
      <w:pPr>
        <w:pStyle w:val="19"/>
        <w:spacing w:line="360" w:lineRule="auto"/>
        <w:jc w:val="center"/>
        <w:rPr>
          <w:b/>
          <w:bCs w:val="0"/>
          <w:highlight w:val="none"/>
        </w:rPr>
      </w:pPr>
      <w:r>
        <w:rPr>
          <w:rFonts w:hint="default" w:ascii="Times New Roman" w:hAnsi="Times New Roman" w:cs="Times New Roman"/>
          <w:b/>
          <w:highlight w:val="none"/>
        </w:rPr>
        <w:t>Ⅳ</w:t>
      </w:r>
      <w:r>
        <w:rPr>
          <w:rFonts w:hint="eastAsia"/>
          <w:b/>
          <w:highlight w:val="none"/>
        </w:rPr>
        <w:t xml:space="preserve">  </w:t>
      </w:r>
      <w:r>
        <w:rPr>
          <w:rFonts w:hint="eastAsia"/>
          <w:b/>
          <w:highlight w:val="none"/>
          <w:lang w:val="en-US" w:eastAsia="zh-CN"/>
        </w:rPr>
        <w:t>人员</w:t>
      </w:r>
      <w:r>
        <w:rPr>
          <w:rFonts w:hint="eastAsia"/>
          <w:b/>
          <w:highlight w:val="none"/>
        </w:rPr>
        <w:t>管理</w:t>
      </w:r>
    </w:p>
    <w:p w14:paraId="6DB6160C">
      <w:pPr>
        <w:rPr>
          <w:highlight w:val="none"/>
        </w:rPr>
      </w:pPr>
      <w:r>
        <w:rPr>
          <w:rFonts w:hint="eastAsia" w:ascii="Times New Roman" w:hAnsi="Times New Roman" w:cs="Times New Roman"/>
          <w:b/>
          <w:bCs/>
          <w:highlight w:val="none"/>
          <w:lang w:val="en-US" w:eastAsia="zh-CN"/>
        </w:rPr>
        <w:t>4.2.11</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人员管理</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w:t>
      </w:r>
      <w:r>
        <w:rPr>
          <w:rFonts w:hint="eastAsia" w:ascii="Times New Roman" w:hAnsi="Times New Roman" w:cs="Times New Roman"/>
          <w:color w:val="auto"/>
          <w:highlight w:val="none"/>
          <w:lang w:val="en-US" w:eastAsia="zh-CN"/>
        </w:rPr>
        <w:t>消防工作组织</w:t>
      </w:r>
      <w:r>
        <w:rPr>
          <w:rFonts w:hint="eastAsia" w:ascii="Times New Roman" w:hAnsi="Times New Roman" w:cs="Times New Roman"/>
          <w:highlight w:val="none"/>
        </w:rPr>
        <w:t>安全评估</w:t>
      </w:r>
      <w:r>
        <w:rPr>
          <w:rFonts w:hint="eastAsia" w:ascii="Times New Roman" w:hAnsi="Times New Roman" w:cs="Times New Roman"/>
          <w:color w:val="auto"/>
          <w:highlight w:val="none"/>
          <w:lang w:val="en-US" w:eastAsia="zh-CN"/>
        </w:rPr>
        <w:t>、</w:t>
      </w:r>
      <w:r>
        <w:rPr>
          <w:rFonts w:hint="eastAsia" w:cs="宋体"/>
          <w:b w:val="0"/>
          <w:bCs w:val="0"/>
          <w:snapToGrid/>
          <w:color w:val="auto"/>
          <w:spacing w:val="-2"/>
          <w:kern w:val="0"/>
          <w:sz w:val="24"/>
          <w:szCs w:val="24"/>
          <w:highlight w:val="none"/>
          <w:lang w:val="en-US" w:eastAsia="zh-CN" w:bidi="ar"/>
        </w:rPr>
        <w:t>消防安全宣传教育和培训</w:t>
      </w:r>
      <w:r>
        <w:rPr>
          <w:rFonts w:hint="eastAsia" w:ascii="Times New Roman" w:hAnsi="Times New Roman" w:cs="Times New Roman"/>
          <w:highlight w:val="none"/>
        </w:rPr>
        <w:t>安全评估</w:t>
      </w:r>
      <w:r>
        <w:rPr>
          <w:rFonts w:hint="eastAsia" w:cs="宋体"/>
          <w:b w:val="0"/>
          <w:bCs w:val="0"/>
          <w:snapToGrid/>
          <w:color w:val="auto"/>
          <w:spacing w:val="-2"/>
          <w:kern w:val="0"/>
          <w:sz w:val="24"/>
          <w:szCs w:val="24"/>
          <w:highlight w:val="none"/>
          <w:lang w:val="en-US" w:eastAsia="zh-CN" w:bidi="ar"/>
        </w:rPr>
        <w:t>、专职消防队</w:t>
      </w:r>
      <w:r>
        <w:rPr>
          <w:rFonts w:hint="eastAsia" w:ascii="Times New Roman" w:hAnsi="Times New Roman" w:cs="Times New Roman"/>
          <w:highlight w:val="none"/>
        </w:rPr>
        <w:t>安全评估</w:t>
      </w:r>
      <w:r>
        <w:rPr>
          <w:rFonts w:hint="eastAsia" w:cs="宋体"/>
          <w:b w:val="0"/>
          <w:bCs w:val="0"/>
          <w:snapToGrid/>
          <w:color w:val="auto"/>
          <w:spacing w:val="-2"/>
          <w:kern w:val="0"/>
          <w:sz w:val="24"/>
          <w:szCs w:val="24"/>
          <w:highlight w:val="none"/>
          <w:lang w:val="en-US" w:eastAsia="zh-CN" w:bidi="ar"/>
        </w:rPr>
        <w:t>、志愿消防力量</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r>
        <w:rPr>
          <w:rFonts w:hint="eastAsia" w:ascii="宋体" w:hAnsi="宋体" w:eastAsia="宋体" w:cs="宋体"/>
          <w:b w:val="0"/>
          <w:bCs w:val="0"/>
          <w:snapToGrid/>
          <w:color w:val="auto"/>
          <w:spacing w:val="-4"/>
          <w:kern w:val="0"/>
          <w:sz w:val="24"/>
          <w:szCs w:val="24"/>
          <w:highlight w:val="none"/>
          <w:lang w:val="en-US" w:eastAsia="zh-CN" w:bidi="ar"/>
        </w:rPr>
        <w:t>防火检查巡查</w:t>
      </w:r>
      <w:r>
        <w:rPr>
          <w:rFonts w:hint="eastAsia" w:ascii="宋体" w:hAnsi="宋体" w:eastAsia="宋体" w:cs="宋体"/>
          <w:b w:val="0"/>
          <w:bCs w:val="0"/>
          <w:snapToGrid/>
          <w:color w:val="auto"/>
          <w:spacing w:val="-2"/>
          <w:kern w:val="0"/>
          <w:sz w:val="24"/>
          <w:szCs w:val="24"/>
          <w:highlight w:val="none"/>
          <w:lang w:val="en-US" w:eastAsia="zh-CN" w:bidi="ar"/>
        </w:rPr>
        <w:t>及隐患整改</w:t>
      </w:r>
      <w:r>
        <w:rPr>
          <w:rFonts w:hint="eastAsia" w:cs="宋体"/>
          <w:b w:val="0"/>
          <w:bCs w:val="0"/>
          <w:snapToGrid/>
          <w:color w:val="auto"/>
          <w:spacing w:val="-2"/>
          <w:kern w:val="0"/>
          <w:sz w:val="24"/>
          <w:szCs w:val="24"/>
          <w:highlight w:val="none"/>
          <w:lang w:val="en-US" w:eastAsia="zh-CN" w:bidi="ar"/>
        </w:rPr>
        <w:t>安全评估、灭火和应急疏散预案演练管理</w:t>
      </w:r>
      <w:r>
        <w:rPr>
          <w:rFonts w:hint="eastAsia" w:ascii="Times New Roman" w:hAnsi="Times New Roman" w:cs="Times New Roman"/>
          <w:color w:val="auto"/>
          <w:highlight w:val="none"/>
        </w:rPr>
        <w:t>安全评估</w:t>
      </w:r>
      <w:r>
        <w:rPr>
          <w:rFonts w:hint="eastAsia" w:ascii="Times New Roman" w:hAnsi="Times New Roman" w:cs="Times New Roman"/>
          <w:highlight w:val="none"/>
          <w:lang w:val="en-US" w:eastAsia="zh-CN"/>
        </w:rPr>
        <w:t>。</w:t>
      </w:r>
    </w:p>
    <w:p w14:paraId="56C17B26">
      <w:pPr>
        <w:pStyle w:val="19"/>
        <w:spacing w:line="360" w:lineRule="auto"/>
        <w:rPr>
          <w:highlight w:val="none"/>
        </w:rPr>
      </w:pPr>
      <w:r>
        <w:rPr>
          <w:rFonts w:hint="eastAsia"/>
          <w:b/>
          <w:bCs w:val="0"/>
          <w:highlight w:val="none"/>
          <w:lang w:val="en-US" w:eastAsia="zh-CN"/>
        </w:rPr>
        <w:t>4.2.12</w:t>
      </w:r>
      <w:r>
        <w:rPr>
          <w:rFonts w:hint="eastAsia"/>
          <w:highlight w:val="none"/>
        </w:rPr>
        <w:t xml:space="preserve">  </w:t>
      </w:r>
      <w:r>
        <w:rPr>
          <w:rFonts w:hint="eastAsia" w:ascii="Times New Roman" w:hAnsi="Times New Roman" w:cs="Times New Roman"/>
          <w:color w:val="auto"/>
          <w:highlight w:val="none"/>
          <w:lang w:val="en-US" w:eastAsia="zh"/>
        </w:rPr>
        <w:t>消防工作组织</w:t>
      </w:r>
      <w:r>
        <w:rPr>
          <w:rFonts w:hint="eastAsia" w:ascii="Times New Roman" w:hAnsi="Times New Roman" w:cs="Times New Roman"/>
          <w:color w:val="auto"/>
          <w:highlight w:val="none"/>
        </w:rPr>
        <w:t>安全评估</w:t>
      </w:r>
      <w:r>
        <w:rPr>
          <w:rFonts w:hint="eastAsia" w:ascii="Times New Roman" w:hAnsi="Times New Roman" w:cs="Times New Roman"/>
          <w:highlight w:val="none"/>
        </w:rPr>
        <w:t>具体包含以下内容：</w:t>
      </w:r>
    </w:p>
    <w:p w14:paraId="09258E64">
      <w:pPr>
        <w:pStyle w:val="21"/>
        <w:spacing w:line="360" w:lineRule="auto"/>
        <w:ind w:firstLine="482"/>
        <w:rPr>
          <w:rFonts w:hint="eastAsia"/>
          <w:b w:val="0"/>
          <w:bCs/>
          <w:highlight w:val="none"/>
          <w:lang w:eastAsia="zh-CN"/>
        </w:rPr>
      </w:pPr>
      <w:r>
        <w:rPr>
          <w:rFonts w:hint="eastAsia"/>
          <w:b/>
          <w:highlight w:val="none"/>
        </w:rPr>
        <w:t>1</w:t>
      </w:r>
      <w:r>
        <w:rPr>
          <w:b w:val="0"/>
          <w:bCs/>
          <w:highlight w:val="none"/>
        </w:rPr>
        <w:t xml:space="preserve">  </w:t>
      </w:r>
      <w:r>
        <w:rPr>
          <w:rFonts w:hint="eastAsia"/>
          <w:b w:val="0"/>
          <w:bCs/>
          <w:highlight w:val="none"/>
          <w:lang w:val="en-US" w:eastAsia="zh-CN"/>
        </w:rPr>
        <w:t>应以正式文件形式明确</w:t>
      </w:r>
      <w:r>
        <w:rPr>
          <w:rFonts w:hint="eastAsia"/>
          <w:b w:val="0"/>
          <w:bCs/>
          <w:highlight w:val="none"/>
        </w:rPr>
        <w:t>消防工作组织机构、人员及其职责</w:t>
      </w:r>
      <w:r>
        <w:rPr>
          <w:rFonts w:hint="eastAsia"/>
          <w:b w:val="0"/>
          <w:bCs/>
          <w:highlight w:val="none"/>
          <w:lang w:eastAsia="zh-CN"/>
        </w:rPr>
        <w:t>；</w:t>
      </w:r>
    </w:p>
    <w:p w14:paraId="3BE5B239">
      <w:pPr>
        <w:pStyle w:val="21"/>
        <w:spacing w:line="360" w:lineRule="auto"/>
        <w:ind w:firstLine="482"/>
        <w:rPr>
          <w:rFonts w:hint="eastAsia" w:eastAsia="宋体"/>
          <w:b w:val="0"/>
          <w:bCs/>
          <w:highlight w:val="none"/>
          <w:lang w:eastAsia="zh-CN"/>
        </w:rPr>
      </w:pPr>
      <w:r>
        <w:rPr>
          <w:rFonts w:hint="eastAsia"/>
          <w:b/>
          <w:highlight w:val="none"/>
          <w:lang w:val="en-US" w:eastAsia="zh-CN"/>
        </w:rPr>
        <w:t>2</w:t>
      </w:r>
      <w:r>
        <w:rPr>
          <w:b w:val="0"/>
          <w:bCs/>
          <w:highlight w:val="none"/>
        </w:rPr>
        <w:t xml:space="preserve">  </w:t>
      </w:r>
      <w:r>
        <w:rPr>
          <w:rFonts w:hint="eastAsia"/>
          <w:b w:val="0"/>
          <w:bCs/>
          <w:highlight w:val="none"/>
        </w:rPr>
        <w:t>消防安全责任人</w:t>
      </w:r>
      <w:r>
        <w:rPr>
          <w:rFonts w:hint="eastAsia"/>
          <w:b w:val="0"/>
          <w:bCs/>
          <w:highlight w:val="none"/>
          <w:lang w:val="en-US" w:eastAsia="zh-CN"/>
        </w:rPr>
        <w:t>应严格</w:t>
      </w:r>
      <w:r>
        <w:rPr>
          <w:rFonts w:hint="eastAsia"/>
          <w:b w:val="0"/>
          <w:bCs/>
          <w:highlight w:val="none"/>
        </w:rPr>
        <w:t>履职</w:t>
      </w:r>
      <w:r>
        <w:rPr>
          <w:rFonts w:hint="eastAsia"/>
          <w:b w:val="0"/>
          <w:bCs/>
          <w:highlight w:val="none"/>
          <w:lang w:eastAsia="zh-CN"/>
        </w:rPr>
        <w:t>；</w:t>
      </w:r>
    </w:p>
    <w:p w14:paraId="5A28D9B1">
      <w:pPr>
        <w:pStyle w:val="21"/>
        <w:spacing w:line="360" w:lineRule="auto"/>
        <w:ind w:firstLine="482"/>
        <w:rPr>
          <w:rFonts w:hint="eastAsia"/>
          <w:b w:val="0"/>
          <w:bCs/>
          <w:highlight w:val="none"/>
          <w:lang w:eastAsia="zh-CN"/>
        </w:rPr>
      </w:pPr>
      <w:r>
        <w:rPr>
          <w:rFonts w:hint="eastAsia"/>
          <w:b/>
          <w:highlight w:val="none"/>
          <w:lang w:val="en-US" w:eastAsia="zh-CN"/>
        </w:rPr>
        <w:t>3</w:t>
      </w:r>
      <w:r>
        <w:rPr>
          <w:b/>
          <w:bCs w:val="0"/>
          <w:highlight w:val="none"/>
        </w:rPr>
        <w:t xml:space="preserve">  </w:t>
      </w:r>
      <w:r>
        <w:rPr>
          <w:rFonts w:hint="eastAsia"/>
          <w:b w:val="0"/>
          <w:bCs/>
          <w:highlight w:val="none"/>
        </w:rPr>
        <w:t>消防安全</w:t>
      </w:r>
      <w:r>
        <w:rPr>
          <w:rFonts w:hint="eastAsia"/>
          <w:b w:val="0"/>
          <w:bCs/>
          <w:highlight w:val="none"/>
          <w:lang w:val="en-US" w:eastAsia="zh-CN"/>
        </w:rPr>
        <w:t>管理人员应严格</w:t>
      </w:r>
      <w:r>
        <w:rPr>
          <w:rFonts w:hint="eastAsia"/>
          <w:b w:val="0"/>
          <w:bCs/>
          <w:highlight w:val="none"/>
        </w:rPr>
        <w:t>履职</w:t>
      </w:r>
      <w:r>
        <w:rPr>
          <w:rFonts w:hint="eastAsia"/>
          <w:b w:val="0"/>
          <w:bCs/>
          <w:highlight w:val="none"/>
          <w:lang w:eastAsia="zh-CN"/>
        </w:rPr>
        <w:t>；</w:t>
      </w:r>
    </w:p>
    <w:p w14:paraId="44251EEE">
      <w:pPr>
        <w:pStyle w:val="21"/>
        <w:spacing w:line="360" w:lineRule="auto"/>
        <w:ind w:firstLine="482"/>
        <w:rPr>
          <w:rFonts w:hint="eastAsia"/>
          <w:b w:val="0"/>
          <w:bCs/>
          <w:highlight w:val="none"/>
          <w:lang w:val="en-US" w:eastAsia="zh-CN"/>
        </w:rPr>
      </w:pPr>
      <w:r>
        <w:rPr>
          <w:rFonts w:hint="eastAsia"/>
          <w:b/>
          <w:highlight w:val="none"/>
          <w:lang w:val="en-US" w:eastAsia="zh-CN"/>
        </w:rPr>
        <w:t>4</w:t>
      </w:r>
      <w:r>
        <w:rPr>
          <w:b w:val="0"/>
          <w:bCs/>
          <w:highlight w:val="none"/>
        </w:rPr>
        <w:t xml:space="preserve">  </w:t>
      </w:r>
      <w:r>
        <w:rPr>
          <w:rFonts w:hint="eastAsia"/>
          <w:b w:val="0"/>
          <w:bCs/>
          <w:highlight w:val="none"/>
        </w:rPr>
        <w:t>消防工作归口管理部门</w:t>
      </w:r>
      <w:r>
        <w:rPr>
          <w:rFonts w:hint="eastAsia"/>
          <w:b w:val="0"/>
          <w:bCs/>
          <w:highlight w:val="none"/>
          <w:lang w:val="en-US" w:eastAsia="zh-CN"/>
        </w:rPr>
        <w:t>应明确消防安全管理人，并严格履职。</w:t>
      </w:r>
    </w:p>
    <w:p w14:paraId="3BFB6E97">
      <w:pPr>
        <w:pStyle w:val="19"/>
        <w:spacing w:line="360" w:lineRule="auto"/>
        <w:rPr>
          <w:highlight w:val="none"/>
        </w:rPr>
      </w:pPr>
      <w:r>
        <w:rPr>
          <w:rFonts w:hint="eastAsia"/>
          <w:b/>
          <w:bCs w:val="0"/>
          <w:highlight w:val="none"/>
          <w:lang w:val="en-US" w:eastAsia="zh-CN"/>
        </w:rPr>
        <w:t>4.2.13</w:t>
      </w:r>
      <w:r>
        <w:rPr>
          <w:rFonts w:hint="eastAsia"/>
          <w:highlight w:val="none"/>
        </w:rPr>
        <w:t xml:space="preserve">  </w:t>
      </w:r>
      <w:r>
        <w:rPr>
          <w:rFonts w:hint="eastAsia" w:cs="宋体"/>
          <w:b w:val="0"/>
          <w:bCs w:val="0"/>
          <w:snapToGrid/>
          <w:color w:val="auto"/>
          <w:spacing w:val="-2"/>
          <w:kern w:val="0"/>
          <w:sz w:val="24"/>
          <w:szCs w:val="24"/>
          <w:highlight w:val="none"/>
          <w:lang w:val="en-US" w:eastAsia="zh-CN" w:bidi="ar"/>
        </w:rPr>
        <w:t>消防安全宣传教育和培训</w:t>
      </w:r>
      <w:r>
        <w:rPr>
          <w:rFonts w:hint="eastAsia" w:ascii="Times New Roman" w:hAnsi="Times New Roman" w:cs="Times New Roman"/>
          <w:highlight w:val="none"/>
        </w:rPr>
        <w:t>安全评估具体</w:t>
      </w:r>
      <w:r>
        <w:rPr>
          <w:rFonts w:hint="eastAsia" w:cs="Times New Roman"/>
          <w:highlight w:val="none"/>
          <w:lang w:val="en-US" w:eastAsia="zh-CN"/>
        </w:rPr>
        <w:t>应</w:t>
      </w:r>
      <w:r>
        <w:rPr>
          <w:rFonts w:hint="eastAsia" w:ascii="Times New Roman" w:hAnsi="Times New Roman" w:cs="Times New Roman"/>
          <w:highlight w:val="none"/>
        </w:rPr>
        <w:t>包含以下内容：</w:t>
      </w:r>
    </w:p>
    <w:p w14:paraId="08B9F938">
      <w:pPr>
        <w:pStyle w:val="21"/>
        <w:spacing w:line="360" w:lineRule="auto"/>
        <w:ind w:firstLine="482"/>
        <w:rPr>
          <w:rFonts w:hint="eastAsia" w:eastAsia="宋体"/>
          <w:b/>
          <w:highlight w:val="none"/>
          <w:lang w:eastAsia="zh-CN"/>
        </w:rPr>
      </w:pPr>
      <w:r>
        <w:rPr>
          <w:rFonts w:hint="eastAsia"/>
          <w:b/>
          <w:highlight w:val="none"/>
        </w:rPr>
        <w:t>1</w:t>
      </w:r>
      <w:r>
        <w:rPr>
          <w:b w:val="0"/>
          <w:bCs/>
          <w:highlight w:val="none"/>
        </w:rPr>
        <w:t xml:space="preserve">  </w:t>
      </w:r>
      <w:r>
        <w:rPr>
          <w:b w:val="0"/>
          <w:bCs w:val="0"/>
          <w:color w:val="auto"/>
          <w:spacing w:val="-1"/>
          <w:highlight w:val="none"/>
        </w:rPr>
        <w:t>开展经常性消防安全宣传教育</w:t>
      </w:r>
      <w:r>
        <w:rPr>
          <w:rFonts w:hint="eastAsia"/>
          <w:b w:val="0"/>
          <w:bCs w:val="0"/>
          <w:color w:val="auto"/>
          <w:spacing w:val="-1"/>
          <w:highlight w:val="none"/>
          <w:lang w:eastAsia="zh-CN"/>
        </w:rPr>
        <w:t>；</w:t>
      </w:r>
    </w:p>
    <w:p w14:paraId="69AE41A4">
      <w:pPr>
        <w:pStyle w:val="21"/>
        <w:spacing w:line="360" w:lineRule="auto"/>
        <w:ind w:firstLine="482"/>
        <w:rPr>
          <w:rFonts w:hint="eastAsia" w:eastAsia="宋体"/>
          <w:b w:val="0"/>
          <w:bCs/>
          <w:highlight w:val="none"/>
          <w:lang w:eastAsia="zh-CN"/>
        </w:rPr>
      </w:pPr>
      <w:r>
        <w:rPr>
          <w:rFonts w:hint="eastAsia"/>
          <w:b/>
          <w:highlight w:val="none"/>
          <w:lang w:val="en-US" w:eastAsia="zh-CN"/>
        </w:rPr>
        <w:t>2</w:t>
      </w:r>
      <w:r>
        <w:rPr>
          <w:b w:val="0"/>
          <w:bCs/>
          <w:highlight w:val="none"/>
        </w:rPr>
        <w:t xml:space="preserve">  </w:t>
      </w:r>
      <w:r>
        <w:rPr>
          <w:b w:val="0"/>
          <w:bCs w:val="0"/>
          <w:color w:val="auto"/>
          <w:spacing w:val="-1"/>
          <w:highlight w:val="none"/>
        </w:rPr>
        <w:t>开展</w:t>
      </w:r>
      <w:r>
        <w:rPr>
          <w:rFonts w:hint="eastAsia"/>
          <w:b w:val="0"/>
          <w:bCs/>
          <w:highlight w:val="none"/>
        </w:rPr>
        <w:t>全员消防安全教育培训</w:t>
      </w:r>
      <w:r>
        <w:rPr>
          <w:rFonts w:hint="eastAsia"/>
          <w:b w:val="0"/>
          <w:bCs/>
          <w:highlight w:val="none"/>
          <w:lang w:eastAsia="zh-CN"/>
        </w:rPr>
        <w:t>；</w:t>
      </w:r>
    </w:p>
    <w:p w14:paraId="0532D976">
      <w:pPr>
        <w:pStyle w:val="21"/>
        <w:spacing w:line="360" w:lineRule="auto"/>
        <w:ind w:firstLine="482"/>
        <w:rPr>
          <w:rFonts w:hint="eastAsia" w:eastAsia="宋体"/>
          <w:b w:val="0"/>
          <w:bCs/>
          <w:highlight w:val="none"/>
          <w:lang w:eastAsia="zh-CN"/>
        </w:rPr>
      </w:pPr>
      <w:r>
        <w:rPr>
          <w:rFonts w:hint="eastAsia"/>
          <w:b/>
          <w:highlight w:val="none"/>
          <w:lang w:val="en-US" w:eastAsia="zh-CN"/>
        </w:rPr>
        <w:t>3</w:t>
      </w:r>
      <w:r>
        <w:rPr>
          <w:b w:val="0"/>
          <w:bCs/>
          <w:highlight w:val="none"/>
        </w:rPr>
        <w:t xml:space="preserve">  </w:t>
      </w:r>
      <w:r>
        <w:rPr>
          <w:b w:val="0"/>
          <w:bCs w:val="0"/>
          <w:color w:val="auto"/>
          <w:spacing w:val="-2"/>
          <w:highlight w:val="none"/>
        </w:rPr>
        <w:t>组织</w:t>
      </w:r>
      <w:r>
        <w:rPr>
          <w:rFonts w:hint="eastAsia"/>
          <w:b w:val="0"/>
          <w:bCs w:val="0"/>
          <w:color w:val="auto"/>
          <w:spacing w:val="-2"/>
          <w:highlight w:val="none"/>
          <w:lang w:val="en-US" w:eastAsia="zh-CN"/>
        </w:rPr>
        <w:t>相关人员</w:t>
      </w:r>
      <w:r>
        <w:rPr>
          <w:b w:val="0"/>
          <w:bCs w:val="0"/>
          <w:color w:val="auto"/>
          <w:spacing w:val="-2"/>
          <w:highlight w:val="none"/>
        </w:rPr>
        <w:t>上岗、转岗前消防安全培训</w:t>
      </w:r>
      <w:r>
        <w:rPr>
          <w:rFonts w:hint="eastAsia"/>
          <w:b w:val="0"/>
          <w:bCs w:val="0"/>
          <w:color w:val="auto"/>
          <w:spacing w:val="-2"/>
          <w:highlight w:val="none"/>
          <w:lang w:eastAsia="zh-CN"/>
        </w:rPr>
        <w:t>；</w:t>
      </w:r>
    </w:p>
    <w:p w14:paraId="23098F96">
      <w:pPr>
        <w:pStyle w:val="21"/>
        <w:spacing w:line="360" w:lineRule="auto"/>
        <w:ind w:firstLine="482"/>
        <w:rPr>
          <w:rFonts w:hint="eastAsia"/>
          <w:b w:val="0"/>
          <w:bCs/>
          <w:highlight w:val="none"/>
          <w:lang w:eastAsia="zh-CN"/>
        </w:rPr>
      </w:pPr>
      <w:r>
        <w:rPr>
          <w:rFonts w:hint="eastAsia"/>
          <w:b/>
          <w:highlight w:val="none"/>
          <w:lang w:val="en-US" w:eastAsia="zh-CN"/>
        </w:rPr>
        <w:t>4</w:t>
      </w:r>
      <w:r>
        <w:rPr>
          <w:b w:val="0"/>
          <w:bCs/>
          <w:highlight w:val="none"/>
        </w:rPr>
        <w:t xml:space="preserve">  </w:t>
      </w:r>
      <w:r>
        <w:rPr>
          <w:rFonts w:hint="eastAsia"/>
          <w:b w:val="0"/>
          <w:bCs/>
          <w:highlight w:val="none"/>
          <w:lang w:val="en-US" w:eastAsia="zh-CN"/>
        </w:rPr>
        <w:t>对</w:t>
      </w:r>
      <w:r>
        <w:rPr>
          <w:rFonts w:hint="eastAsia"/>
          <w:b w:val="0"/>
          <w:bCs/>
          <w:highlight w:val="none"/>
        </w:rPr>
        <w:t>消防安全责任人、消防安全管理</w:t>
      </w:r>
      <w:r>
        <w:rPr>
          <w:rFonts w:hint="eastAsia"/>
          <w:b w:val="0"/>
          <w:bCs/>
          <w:highlight w:val="none"/>
          <w:lang w:eastAsia="zh-CN"/>
        </w:rPr>
        <w:t>人员</w:t>
      </w:r>
      <w:r>
        <w:rPr>
          <w:rFonts w:hint="eastAsia"/>
          <w:b w:val="0"/>
          <w:bCs/>
          <w:highlight w:val="none"/>
        </w:rPr>
        <w:t>、专（兼)职消防管理人员、消防控制室值班操作人员等</w:t>
      </w:r>
      <w:r>
        <w:rPr>
          <w:rFonts w:hint="eastAsia"/>
          <w:b w:val="0"/>
          <w:bCs/>
          <w:highlight w:val="none"/>
          <w:lang w:val="en-US" w:eastAsia="zh-CN"/>
        </w:rPr>
        <w:t>开展</w:t>
      </w:r>
      <w:r>
        <w:rPr>
          <w:rFonts w:hint="eastAsia"/>
          <w:b w:val="0"/>
          <w:bCs/>
          <w:highlight w:val="none"/>
        </w:rPr>
        <w:t>消防安全专门培训</w:t>
      </w:r>
      <w:r>
        <w:rPr>
          <w:rFonts w:hint="eastAsia"/>
          <w:b w:val="0"/>
          <w:bCs/>
          <w:highlight w:val="none"/>
          <w:lang w:eastAsia="zh-CN"/>
        </w:rPr>
        <w:t>。</w:t>
      </w:r>
    </w:p>
    <w:p w14:paraId="6D95CB8A">
      <w:pPr>
        <w:pStyle w:val="19"/>
        <w:spacing w:line="360" w:lineRule="auto"/>
        <w:rPr>
          <w:color w:val="FF0000"/>
          <w:highlight w:val="none"/>
        </w:rPr>
      </w:pPr>
      <w:r>
        <w:rPr>
          <w:rFonts w:hint="eastAsia"/>
          <w:b/>
          <w:bCs w:val="0"/>
          <w:color w:val="auto"/>
          <w:highlight w:val="none"/>
          <w:lang w:val="en-US" w:eastAsia="zh-CN"/>
        </w:rPr>
        <w:t>4.2.14</w:t>
      </w:r>
      <w:r>
        <w:rPr>
          <w:rFonts w:hint="eastAsia"/>
          <w:color w:val="auto"/>
          <w:highlight w:val="none"/>
        </w:rPr>
        <w:t xml:space="preserve">  </w:t>
      </w:r>
      <w:r>
        <w:rPr>
          <w:rFonts w:hint="eastAsia" w:cs="宋体"/>
          <w:b w:val="0"/>
          <w:bCs w:val="0"/>
          <w:snapToGrid/>
          <w:color w:val="auto"/>
          <w:spacing w:val="-2"/>
          <w:kern w:val="0"/>
          <w:sz w:val="24"/>
          <w:szCs w:val="24"/>
          <w:highlight w:val="none"/>
          <w:lang w:val="en-US" w:eastAsia="zh-CN" w:bidi="ar"/>
        </w:rPr>
        <w:t>专职消防队</w:t>
      </w:r>
      <w:r>
        <w:rPr>
          <w:rFonts w:hint="eastAsia" w:ascii="Times New Roman" w:hAnsi="Times New Roman" w:cs="Times New Roman"/>
          <w:color w:val="auto"/>
          <w:highlight w:val="none"/>
        </w:rPr>
        <w:t>安全评估具体包含以下内容：</w:t>
      </w:r>
    </w:p>
    <w:p w14:paraId="3801DFC5">
      <w:pPr>
        <w:pStyle w:val="21"/>
        <w:spacing w:line="360" w:lineRule="auto"/>
        <w:ind w:firstLine="482"/>
        <w:rPr>
          <w:rFonts w:hint="eastAsia" w:eastAsia="宋体"/>
          <w:b/>
          <w:highlight w:val="none"/>
          <w:lang w:eastAsia="zh-CN"/>
        </w:rPr>
      </w:pPr>
      <w:r>
        <w:rPr>
          <w:rFonts w:hint="eastAsia"/>
          <w:b/>
          <w:highlight w:val="none"/>
        </w:rPr>
        <w:t>1</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rPr>
        <w:t>按照相关</w:t>
      </w:r>
      <w:r>
        <w:rPr>
          <w:rFonts w:hint="eastAsia"/>
          <w:b w:val="0"/>
          <w:bCs w:val="0"/>
          <w:color w:val="auto"/>
          <w:spacing w:val="-1"/>
          <w:highlight w:val="none"/>
          <w:lang w:val="en-US" w:eastAsia="zh-CN"/>
        </w:rPr>
        <w:t>规定</w:t>
      </w:r>
      <w:r>
        <w:rPr>
          <w:rFonts w:hint="eastAsia"/>
          <w:b w:val="0"/>
          <w:bCs w:val="0"/>
          <w:color w:val="auto"/>
          <w:spacing w:val="-1"/>
          <w:highlight w:val="none"/>
        </w:rPr>
        <w:t>建立专职消防队</w:t>
      </w:r>
      <w:r>
        <w:rPr>
          <w:rFonts w:hint="eastAsia"/>
          <w:b w:val="0"/>
          <w:bCs w:val="0"/>
          <w:color w:val="auto"/>
          <w:spacing w:val="-1"/>
          <w:highlight w:val="none"/>
          <w:lang w:eastAsia="zh-CN"/>
        </w:rPr>
        <w:t>，</w:t>
      </w:r>
      <w:r>
        <w:rPr>
          <w:rFonts w:hint="eastAsia"/>
          <w:b w:val="0"/>
          <w:bCs w:val="0"/>
          <w:color w:val="auto"/>
          <w:spacing w:val="-1"/>
          <w:highlight w:val="none"/>
          <w:lang w:val="en-US" w:eastAsia="zh-CN"/>
        </w:rPr>
        <w:t>并</w:t>
      </w:r>
      <w:r>
        <w:rPr>
          <w:b w:val="0"/>
          <w:bCs w:val="0"/>
          <w:color w:val="auto"/>
          <w:spacing w:val="2"/>
          <w:highlight w:val="none"/>
        </w:rPr>
        <w:t>明确专职消防队职责任务</w:t>
      </w:r>
      <w:r>
        <w:rPr>
          <w:rFonts w:hint="eastAsia"/>
          <w:b w:val="0"/>
          <w:bCs w:val="0"/>
          <w:color w:val="auto"/>
          <w:spacing w:val="-1"/>
          <w:highlight w:val="none"/>
          <w:lang w:eastAsia="zh-CN"/>
        </w:rPr>
        <w:t>；</w:t>
      </w:r>
    </w:p>
    <w:p w14:paraId="4BF01B4D">
      <w:pPr>
        <w:pStyle w:val="21"/>
        <w:spacing w:line="360" w:lineRule="auto"/>
        <w:ind w:firstLine="482"/>
        <w:rPr>
          <w:rFonts w:hint="eastAsia" w:eastAsia="宋体"/>
          <w:b w:val="0"/>
          <w:bCs/>
          <w:highlight w:val="none"/>
          <w:lang w:eastAsia="zh-CN"/>
        </w:rPr>
      </w:pPr>
      <w:r>
        <w:rPr>
          <w:rFonts w:hint="eastAsia"/>
          <w:b/>
          <w:highlight w:val="none"/>
          <w:lang w:val="en-US" w:eastAsia="zh-CN"/>
        </w:rPr>
        <w:t>2</w:t>
      </w:r>
      <w:r>
        <w:rPr>
          <w:b w:val="0"/>
          <w:bCs/>
          <w:highlight w:val="none"/>
        </w:rPr>
        <w:t xml:space="preserve">  </w:t>
      </w:r>
      <w:r>
        <w:rPr>
          <w:rFonts w:hint="eastAsia"/>
          <w:b w:val="0"/>
          <w:bCs/>
          <w:highlight w:val="none"/>
          <w:lang w:val="en-US" w:eastAsia="zh-CN"/>
        </w:rPr>
        <w:t>人员数量应符合国家相关规定要求</w:t>
      </w:r>
      <w:r>
        <w:rPr>
          <w:rFonts w:hint="eastAsia"/>
          <w:b w:val="0"/>
          <w:bCs/>
          <w:highlight w:val="none"/>
          <w:lang w:eastAsia="zh-CN"/>
        </w:rPr>
        <w:t>；</w:t>
      </w:r>
    </w:p>
    <w:p w14:paraId="7F998F6A">
      <w:pPr>
        <w:pStyle w:val="21"/>
        <w:spacing w:line="360" w:lineRule="auto"/>
        <w:ind w:firstLine="482"/>
        <w:rPr>
          <w:rFonts w:hint="eastAsia" w:eastAsia="宋体"/>
          <w:b w:val="0"/>
          <w:bCs/>
          <w:highlight w:val="none"/>
          <w:lang w:eastAsia="zh-CN"/>
        </w:rPr>
      </w:pPr>
      <w:r>
        <w:rPr>
          <w:rFonts w:hint="eastAsia"/>
          <w:b/>
          <w:highlight w:val="none"/>
          <w:lang w:val="en-US" w:eastAsia="zh-CN"/>
        </w:rPr>
        <w:t>3</w:t>
      </w:r>
      <w:r>
        <w:rPr>
          <w:b w:val="0"/>
          <w:bCs/>
          <w:highlight w:val="none"/>
        </w:rPr>
        <w:t xml:space="preserve">  </w:t>
      </w:r>
      <w:r>
        <w:rPr>
          <w:rFonts w:hint="eastAsia"/>
          <w:b w:val="0"/>
          <w:bCs/>
          <w:highlight w:val="none"/>
          <w:lang w:val="en-US" w:eastAsia="zh-CN"/>
        </w:rPr>
        <w:t>消防队应配备相应的消防装备、器材及灭火药剂储备</w:t>
      </w:r>
      <w:r>
        <w:rPr>
          <w:rFonts w:hint="eastAsia"/>
          <w:b w:val="0"/>
          <w:bCs w:val="0"/>
          <w:color w:val="auto"/>
          <w:spacing w:val="-2"/>
          <w:highlight w:val="none"/>
          <w:lang w:eastAsia="zh-CN"/>
        </w:rPr>
        <w:t>；</w:t>
      </w:r>
    </w:p>
    <w:p w14:paraId="1DCB6769">
      <w:pPr>
        <w:pStyle w:val="21"/>
        <w:spacing w:line="360" w:lineRule="auto"/>
        <w:ind w:firstLine="482"/>
        <w:rPr>
          <w:rFonts w:hint="eastAsia" w:eastAsia="宋体"/>
          <w:b w:val="0"/>
          <w:bCs/>
          <w:highlight w:val="none"/>
          <w:lang w:eastAsia="zh-CN"/>
        </w:rPr>
      </w:pPr>
      <w:r>
        <w:rPr>
          <w:rFonts w:hint="eastAsia"/>
          <w:b/>
          <w:highlight w:val="none"/>
          <w:lang w:val="en-US" w:eastAsia="zh-CN"/>
        </w:rPr>
        <w:t>4</w:t>
      </w:r>
      <w:r>
        <w:rPr>
          <w:b w:val="0"/>
          <w:bCs/>
          <w:highlight w:val="none"/>
        </w:rPr>
        <w:t xml:space="preserve">  </w:t>
      </w:r>
      <w:r>
        <w:rPr>
          <w:rFonts w:hint="eastAsia"/>
          <w:b w:val="0"/>
          <w:bCs/>
          <w:highlight w:val="none"/>
        </w:rPr>
        <w:t>应建立并落实消防队定期例会、业务培训、训练演练、考核奖惩等工作制度</w:t>
      </w:r>
      <w:r>
        <w:rPr>
          <w:rFonts w:hint="eastAsia"/>
          <w:b w:val="0"/>
          <w:bCs/>
          <w:highlight w:val="none"/>
          <w:lang w:eastAsia="zh-CN"/>
        </w:rPr>
        <w:t>。</w:t>
      </w:r>
    </w:p>
    <w:p w14:paraId="32E535A3">
      <w:pPr>
        <w:pStyle w:val="19"/>
        <w:spacing w:line="360" w:lineRule="auto"/>
        <w:rPr>
          <w:highlight w:val="none"/>
        </w:rPr>
      </w:pPr>
      <w:r>
        <w:rPr>
          <w:rFonts w:hint="eastAsia"/>
          <w:b/>
          <w:bCs w:val="0"/>
          <w:highlight w:val="none"/>
          <w:lang w:val="en-US" w:eastAsia="zh-CN"/>
        </w:rPr>
        <w:t>4.2.15</w:t>
      </w:r>
      <w:r>
        <w:rPr>
          <w:rFonts w:hint="eastAsia"/>
          <w:highlight w:val="none"/>
        </w:rPr>
        <w:t xml:space="preserve">  </w:t>
      </w:r>
      <w:r>
        <w:rPr>
          <w:rFonts w:hint="eastAsia" w:cs="宋体"/>
          <w:b w:val="0"/>
          <w:bCs w:val="0"/>
          <w:snapToGrid/>
          <w:color w:val="auto"/>
          <w:spacing w:val="-2"/>
          <w:kern w:val="0"/>
          <w:sz w:val="24"/>
          <w:szCs w:val="24"/>
          <w:highlight w:val="none"/>
          <w:lang w:val="en-US" w:eastAsia="zh-CN" w:bidi="ar"/>
        </w:rPr>
        <w:t>志愿消防力量</w:t>
      </w:r>
      <w:r>
        <w:rPr>
          <w:rFonts w:hint="eastAsia" w:ascii="Times New Roman" w:hAnsi="Times New Roman" w:cs="Times New Roman"/>
          <w:highlight w:val="none"/>
        </w:rPr>
        <w:t>安全评估具体包含以下内容：</w:t>
      </w:r>
    </w:p>
    <w:p w14:paraId="59B2CBBC">
      <w:pPr>
        <w:pStyle w:val="21"/>
        <w:spacing w:line="360" w:lineRule="auto"/>
        <w:ind w:firstLine="482"/>
        <w:rPr>
          <w:rFonts w:hint="eastAsia" w:eastAsia="宋体"/>
          <w:b/>
          <w:highlight w:val="none"/>
          <w:lang w:eastAsia="zh-CN"/>
        </w:rPr>
      </w:pPr>
      <w:r>
        <w:rPr>
          <w:rFonts w:hint="eastAsia"/>
          <w:b/>
          <w:highlight w:val="none"/>
        </w:rPr>
        <w:t>1</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rPr>
        <w:t>按照相关</w:t>
      </w:r>
      <w:r>
        <w:rPr>
          <w:rFonts w:hint="eastAsia"/>
          <w:b w:val="0"/>
          <w:bCs w:val="0"/>
          <w:color w:val="auto"/>
          <w:spacing w:val="-1"/>
          <w:highlight w:val="none"/>
          <w:lang w:val="en-US" w:eastAsia="zh-CN"/>
        </w:rPr>
        <w:t>规定</w:t>
      </w:r>
      <w:r>
        <w:rPr>
          <w:rFonts w:hint="eastAsia"/>
          <w:b w:val="0"/>
          <w:bCs w:val="0"/>
          <w:color w:val="auto"/>
          <w:spacing w:val="-1"/>
          <w:highlight w:val="none"/>
        </w:rPr>
        <w:t>建立</w:t>
      </w:r>
      <w:r>
        <w:rPr>
          <w:b w:val="0"/>
          <w:bCs w:val="0"/>
          <w:color w:val="auto"/>
          <w:spacing w:val="-8"/>
          <w:highlight w:val="none"/>
        </w:rPr>
        <w:t>志愿消防队</w:t>
      </w:r>
      <w:r>
        <w:rPr>
          <w:rFonts w:hint="eastAsia"/>
          <w:b w:val="0"/>
          <w:bCs w:val="0"/>
          <w:color w:val="auto"/>
          <w:spacing w:val="-1"/>
          <w:highlight w:val="none"/>
          <w:lang w:eastAsia="zh-CN"/>
        </w:rPr>
        <w:t>；</w:t>
      </w:r>
    </w:p>
    <w:p w14:paraId="7E383764">
      <w:pPr>
        <w:pStyle w:val="21"/>
        <w:spacing w:line="360" w:lineRule="auto"/>
        <w:ind w:firstLine="482"/>
        <w:rPr>
          <w:rFonts w:hint="eastAsia" w:eastAsia="宋体"/>
          <w:b w:val="0"/>
          <w:bCs/>
          <w:highlight w:val="none"/>
          <w:lang w:eastAsia="zh-CN"/>
        </w:rPr>
      </w:pPr>
      <w:r>
        <w:rPr>
          <w:rFonts w:hint="eastAsia"/>
          <w:b/>
          <w:highlight w:val="none"/>
          <w:lang w:val="en-US" w:eastAsia="zh-CN"/>
        </w:rPr>
        <w:t>2</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rPr>
        <w:t>按照相关</w:t>
      </w:r>
      <w:r>
        <w:rPr>
          <w:rFonts w:hint="eastAsia"/>
          <w:b w:val="0"/>
          <w:bCs w:val="0"/>
          <w:color w:val="auto"/>
          <w:spacing w:val="-1"/>
          <w:highlight w:val="none"/>
          <w:lang w:val="en-US" w:eastAsia="zh-CN"/>
        </w:rPr>
        <w:t>规定</w:t>
      </w:r>
      <w:r>
        <w:rPr>
          <w:rFonts w:hint="eastAsia"/>
          <w:b w:val="0"/>
          <w:bCs w:val="0"/>
          <w:color w:val="auto"/>
          <w:spacing w:val="-1"/>
          <w:highlight w:val="none"/>
        </w:rPr>
        <w:t>建立</w:t>
      </w:r>
      <w:r>
        <w:rPr>
          <w:b w:val="0"/>
          <w:bCs w:val="0"/>
          <w:color w:val="auto"/>
          <w:spacing w:val="-8"/>
          <w:highlight w:val="none"/>
        </w:rPr>
        <w:t>微型消防站</w:t>
      </w:r>
      <w:r>
        <w:rPr>
          <w:rFonts w:hint="eastAsia"/>
          <w:b w:val="0"/>
          <w:bCs/>
          <w:highlight w:val="none"/>
          <w:lang w:eastAsia="zh-CN"/>
        </w:rPr>
        <w:t>；</w:t>
      </w:r>
    </w:p>
    <w:p w14:paraId="549188BE">
      <w:pPr>
        <w:pStyle w:val="21"/>
        <w:spacing w:line="360" w:lineRule="auto"/>
        <w:ind w:firstLine="482"/>
        <w:rPr>
          <w:rFonts w:hint="eastAsia" w:eastAsia="宋体"/>
          <w:b w:val="0"/>
          <w:bCs/>
          <w:highlight w:val="none"/>
          <w:lang w:eastAsia="zh-CN"/>
        </w:rPr>
      </w:pPr>
      <w:r>
        <w:rPr>
          <w:rFonts w:hint="eastAsia"/>
          <w:b/>
          <w:highlight w:val="none"/>
          <w:lang w:val="en-US" w:eastAsia="zh-CN"/>
        </w:rPr>
        <w:t>3</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rPr>
        <w:t>按照相关</w:t>
      </w:r>
      <w:r>
        <w:rPr>
          <w:rFonts w:hint="eastAsia"/>
          <w:b w:val="0"/>
          <w:bCs w:val="0"/>
          <w:color w:val="auto"/>
          <w:spacing w:val="-1"/>
          <w:highlight w:val="none"/>
          <w:lang w:val="en-US" w:eastAsia="zh-CN"/>
        </w:rPr>
        <w:t>规定</w:t>
      </w:r>
      <w:r>
        <w:rPr>
          <w:rFonts w:hint="eastAsia"/>
          <w:b w:val="0"/>
          <w:bCs w:val="0"/>
          <w:color w:val="auto"/>
          <w:spacing w:val="-1"/>
          <w:highlight w:val="none"/>
        </w:rPr>
        <w:t>建立</w:t>
      </w:r>
      <w:r>
        <w:rPr>
          <w:rFonts w:hint="eastAsia"/>
          <w:b w:val="0"/>
          <w:bCs w:val="0"/>
          <w:color w:val="auto"/>
          <w:spacing w:val="-8"/>
          <w:highlight w:val="none"/>
          <w:lang w:val="en-US" w:eastAsia="zh-CN"/>
        </w:rPr>
        <w:t>技术处置队伍</w:t>
      </w:r>
      <w:r>
        <w:rPr>
          <w:rFonts w:hint="eastAsia"/>
          <w:b w:val="0"/>
          <w:bCs/>
          <w:highlight w:val="none"/>
          <w:lang w:eastAsia="zh-CN"/>
        </w:rPr>
        <w:t>。</w:t>
      </w:r>
    </w:p>
    <w:p w14:paraId="1BBCC75C">
      <w:pPr>
        <w:pStyle w:val="21"/>
        <w:spacing w:line="360" w:lineRule="auto"/>
        <w:ind w:left="0" w:leftChars="0" w:firstLine="0" w:firstLineChars="0"/>
        <w:rPr>
          <w:highlight w:val="none"/>
        </w:rPr>
      </w:pPr>
      <w:r>
        <w:rPr>
          <w:rFonts w:hint="eastAsia"/>
          <w:b/>
          <w:bCs w:val="0"/>
          <w:highlight w:val="none"/>
          <w:lang w:val="en-US" w:eastAsia="zh-CN"/>
        </w:rPr>
        <w:t>4.2.16</w:t>
      </w:r>
      <w:r>
        <w:rPr>
          <w:rFonts w:hint="eastAsia"/>
          <w:highlight w:val="none"/>
        </w:rPr>
        <w:t xml:space="preserve">  </w:t>
      </w:r>
      <w:r>
        <w:rPr>
          <w:rFonts w:hint="eastAsia" w:ascii="宋体" w:hAnsi="宋体" w:eastAsia="宋体" w:cs="宋体"/>
          <w:b w:val="0"/>
          <w:bCs w:val="0"/>
          <w:snapToGrid/>
          <w:color w:val="auto"/>
          <w:spacing w:val="-4"/>
          <w:kern w:val="0"/>
          <w:sz w:val="24"/>
          <w:szCs w:val="24"/>
          <w:highlight w:val="none"/>
          <w:lang w:val="en-US" w:eastAsia="zh-CN" w:bidi="ar"/>
        </w:rPr>
        <w:t>防火检查巡查</w:t>
      </w:r>
      <w:r>
        <w:rPr>
          <w:rFonts w:hint="eastAsia" w:ascii="宋体" w:hAnsi="宋体" w:eastAsia="宋体" w:cs="宋体"/>
          <w:b w:val="0"/>
          <w:bCs w:val="0"/>
          <w:snapToGrid/>
          <w:color w:val="auto"/>
          <w:spacing w:val="-2"/>
          <w:kern w:val="0"/>
          <w:sz w:val="24"/>
          <w:szCs w:val="24"/>
          <w:highlight w:val="none"/>
          <w:lang w:val="en-US" w:eastAsia="zh-CN" w:bidi="ar"/>
        </w:rPr>
        <w:t>及隐患整改</w:t>
      </w:r>
      <w:r>
        <w:rPr>
          <w:rFonts w:hint="eastAsia" w:cs="宋体"/>
          <w:b w:val="0"/>
          <w:bCs w:val="0"/>
          <w:snapToGrid/>
          <w:color w:val="auto"/>
          <w:spacing w:val="-2"/>
          <w:kern w:val="0"/>
          <w:sz w:val="24"/>
          <w:szCs w:val="24"/>
          <w:highlight w:val="none"/>
          <w:lang w:val="en-US" w:eastAsia="zh-CN" w:bidi="ar"/>
        </w:rPr>
        <w:t>安全评估</w:t>
      </w:r>
      <w:r>
        <w:rPr>
          <w:rFonts w:hint="eastAsia" w:ascii="Times New Roman" w:hAnsi="Times New Roman" w:cs="Times New Roman"/>
          <w:highlight w:val="none"/>
        </w:rPr>
        <w:t>具体包含以下内容：</w:t>
      </w:r>
    </w:p>
    <w:p w14:paraId="21FE0ADD">
      <w:pPr>
        <w:pStyle w:val="21"/>
        <w:spacing w:line="360" w:lineRule="auto"/>
        <w:ind w:firstLine="482"/>
        <w:rPr>
          <w:rFonts w:hint="eastAsia" w:eastAsia="宋体"/>
          <w:b/>
          <w:highlight w:val="none"/>
          <w:lang w:eastAsia="zh-CN"/>
        </w:rPr>
      </w:pPr>
      <w:r>
        <w:rPr>
          <w:rFonts w:hint="eastAsia"/>
          <w:b/>
          <w:highlight w:val="none"/>
        </w:rPr>
        <w:t>1</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rPr>
        <w:t>按照相关</w:t>
      </w:r>
      <w:r>
        <w:rPr>
          <w:rFonts w:hint="eastAsia"/>
          <w:b w:val="0"/>
          <w:bCs w:val="0"/>
          <w:color w:val="auto"/>
          <w:spacing w:val="-1"/>
          <w:highlight w:val="none"/>
          <w:lang w:val="en-US" w:eastAsia="zh-CN"/>
        </w:rPr>
        <w:t>规定开展防火检查</w:t>
      </w:r>
      <w:r>
        <w:rPr>
          <w:rFonts w:hint="eastAsia"/>
          <w:b w:val="0"/>
          <w:bCs w:val="0"/>
          <w:color w:val="auto"/>
          <w:spacing w:val="-1"/>
          <w:highlight w:val="none"/>
          <w:lang w:eastAsia="zh-CN"/>
        </w:rPr>
        <w:t>；</w:t>
      </w:r>
    </w:p>
    <w:p w14:paraId="2F98606A">
      <w:pPr>
        <w:pStyle w:val="21"/>
        <w:spacing w:line="360" w:lineRule="auto"/>
        <w:ind w:firstLine="482"/>
        <w:rPr>
          <w:rFonts w:hint="eastAsia" w:eastAsia="宋体"/>
          <w:b w:val="0"/>
          <w:bCs/>
          <w:highlight w:val="none"/>
          <w:lang w:eastAsia="zh-CN"/>
        </w:rPr>
      </w:pPr>
      <w:r>
        <w:rPr>
          <w:rFonts w:hint="eastAsia"/>
          <w:b/>
          <w:highlight w:val="none"/>
          <w:lang w:val="en-US" w:eastAsia="zh-CN"/>
        </w:rPr>
        <w:t>2</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rPr>
        <w:t>按照相关</w:t>
      </w:r>
      <w:r>
        <w:rPr>
          <w:rFonts w:hint="eastAsia"/>
          <w:b w:val="0"/>
          <w:bCs w:val="0"/>
          <w:color w:val="auto"/>
          <w:spacing w:val="-1"/>
          <w:highlight w:val="none"/>
          <w:lang w:val="en-US" w:eastAsia="zh-CN"/>
        </w:rPr>
        <w:t>规定开展防火巡查</w:t>
      </w:r>
      <w:r>
        <w:rPr>
          <w:rFonts w:hint="eastAsia"/>
          <w:b w:val="0"/>
          <w:bCs/>
          <w:highlight w:val="none"/>
          <w:lang w:eastAsia="zh-CN"/>
        </w:rPr>
        <w:t>；</w:t>
      </w:r>
    </w:p>
    <w:p w14:paraId="0B3C7C76">
      <w:pPr>
        <w:pStyle w:val="21"/>
        <w:spacing w:line="360" w:lineRule="auto"/>
        <w:ind w:firstLine="482"/>
        <w:rPr>
          <w:rFonts w:hint="eastAsia" w:eastAsia="宋体"/>
          <w:b w:val="0"/>
          <w:bCs/>
          <w:highlight w:val="none"/>
          <w:lang w:eastAsia="zh-CN"/>
        </w:rPr>
      </w:pPr>
      <w:r>
        <w:rPr>
          <w:rFonts w:hint="eastAsia"/>
          <w:b/>
          <w:highlight w:val="none"/>
          <w:lang w:val="en-US" w:eastAsia="zh-CN"/>
        </w:rPr>
        <w:t>3</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lang w:val="en-US" w:eastAsia="zh-CN"/>
        </w:rPr>
        <w:t>对发现的</w:t>
      </w:r>
      <w:r>
        <w:rPr>
          <w:b w:val="0"/>
          <w:bCs w:val="0"/>
          <w:color w:val="auto"/>
          <w:spacing w:val="-2"/>
          <w:highlight w:val="none"/>
        </w:rPr>
        <w:t>火灾隐患</w:t>
      </w:r>
      <w:r>
        <w:rPr>
          <w:rFonts w:hint="eastAsia"/>
          <w:b w:val="0"/>
          <w:bCs w:val="0"/>
          <w:color w:val="auto"/>
          <w:spacing w:val="-2"/>
          <w:highlight w:val="none"/>
          <w:lang w:val="en-US" w:eastAsia="zh-CN"/>
        </w:rPr>
        <w:t>及时整改</w:t>
      </w:r>
      <w:r>
        <w:rPr>
          <w:rFonts w:hint="eastAsia"/>
          <w:b w:val="0"/>
          <w:bCs w:val="0"/>
          <w:color w:val="auto"/>
          <w:spacing w:val="-2"/>
          <w:highlight w:val="none"/>
          <w:lang w:eastAsia="zh-CN"/>
        </w:rPr>
        <w:t>，</w:t>
      </w:r>
      <w:r>
        <w:rPr>
          <w:rFonts w:hint="eastAsia"/>
          <w:b w:val="0"/>
          <w:bCs w:val="0"/>
          <w:color w:val="auto"/>
          <w:spacing w:val="-2"/>
          <w:highlight w:val="none"/>
          <w:lang w:val="en-US" w:eastAsia="zh-CN"/>
        </w:rPr>
        <w:t>制定</w:t>
      </w:r>
      <w:r>
        <w:rPr>
          <w:b w:val="0"/>
          <w:bCs w:val="0"/>
          <w:color w:val="auto"/>
          <w:spacing w:val="-2"/>
          <w:highlight w:val="none"/>
        </w:rPr>
        <w:t>火灾隐患整改处置程序</w:t>
      </w:r>
      <w:r>
        <w:rPr>
          <w:rFonts w:hint="eastAsia"/>
          <w:b w:val="0"/>
          <w:bCs w:val="0"/>
          <w:color w:val="auto"/>
          <w:spacing w:val="-2"/>
          <w:highlight w:val="none"/>
          <w:lang w:eastAsia="zh-CN"/>
        </w:rPr>
        <w:t>，</w:t>
      </w:r>
      <w:r>
        <w:rPr>
          <w:rFonts w:hint="eastAsia"/>
          <w:b w:val="0"/>
          <w:bCs w:val="0"/>
          <w:color w:val="auto"/>
          <w:spacing w:val="-2"/>
          <w:highlight w:val="none"/>
          <w:lang w:val="en-US" w:eastAsia="zh-CN"/>
        </w:rPr>
        <w:t>对于未消除的火灾隐患应采取防范措施</w:t>
      </w:r>
      <w:r>
        <w:rPr>
          <w:rFonts w:hint="eastAsia"/>
          <w:b w:val="0"/>
          <w:bCs/>
          <w:highlight w:val="none"/>
          <w:lang w:eastAsia="zh-CN"/>
        </w:rPr>
        <w:t>。</w:t>
      </w:r>
    </w:p>
    <w:p w14:paraId="6552D246">
      <w:pPr>
        <w:pStyle w:val="21"/>
        <w:spacing w:line="360" w:lineRule="auto"/>
        <w:ind w:left="0" w:leftChars="0" w:firstLine="0" w:firstLineChars="0"/>
        <w:rPr>
          <w:highlight w:val="none"/>
        </w:rPr>
      </w:pPr>
      <w:r>
        <w:rPr>
          <w:rFonts w:hint="eastAsia"/>
          <w:b/>
          <w:bCs w:val="0"/>
          <w:highlight w:val="none"/>
          <w:lang w:val="en-US" w:eastAsia="zh-CN"/>
        </w:rPr>
        <w:t>4.2.17</w:t>
      </w:r>
      <w:r>
        <w:rPr>
          <w:rFonts w:hint="eastAsia"/>
          <w:highlight w:val="none"/>
        </w:rPr>
        <w:t xml:space="preserve">  </w:t>
      </w:r>
      <w:r>
        <w:rPr>
          <w:rFonts w:hint="eastAsia" w:ascii="宋体" w:hAnsi="宋体" w:eastAsia="宋体" w:cs="宋体"/>
          <w:b w:val="0"/>
          <w:bCs w:val="0"/>
          <w:snapToGrid/>
          <w:color w:val="auto"/>
          <w:spacing w:val="-4"/>
          <w:kern w:val="0"/>
          <w:sz w:val="24"/>
          <w:szCs w:val="24"/>
          <w:highlight w:val="none"/>
          <w:lang w:val="en-US" w:eastAsia="zh-CN" w:bidi="ar"/>
        </w:rPr>
        <w:t>灭火和应急疏散预案演练管理</w:t>
      </w:r>
      <w:r>
        <w:rPr>
          <w:rFonts w:hint="eastAsia" w:cs="宋体"/>
          <w:b w:val="0"/>
          <w:bCs w:val="0"/>
          <w:snapToGrid/>
          <w:color w:val="auto"/>
          <w:spacing w:val="-2"/>
          <w:kern w:val="0"/>
          <w:sz w:val="24"/>
          <w:szCs w:val="24"/>
          <w:highlight w:val="none"/>
          <w:lang w:val="en-US" w:eastAsia="zh-CN" w:bidi="ar"/>
        </w:rPr>
        <w:t>安全评估</w:t>
      </w:r>
      <w:r>
        <w:rPr>
          <w:rFonts w:hint="eastAsia" w:ascii="Times New Roman" w:hAnsi="Times New Roman" w:cs="Times New Roman"/>
          <w:highlight w:val="none"/>
        </w:rPr>
        <w:t>具体包含以下内容：</w:t>
      </w:r>
    </w:p>
    <w:p w14:paraId="7D6A68B9">
      <w:pPr>
        <w:pStyle w:val="21"/>
        <w:spacing w:line="360" w:lineRule="auto"/>
        <w:ind w:firstLine="482"/>
        <w:rPr>
          <w:rFonts w:hint="eastAsia" w:eastAsia="宋体"/>
          <w:b/>
          <w:highlight w:val="none"/>
          <w:lang w:eastAsia="zh-CN"/>
        </w:rPr>
      </w:pPr>
      <w:r>
        <w:rPr>
          <w:rFonts w:hint="eastAsia"/>
          <w:b/>
          <w:highlight w:val="none"/>
        </w:rPr>
        <w:t>1</w:t>
      </w:r>
      <w:r>
        <w:rPr>
          <w:b w:val="0"/>
          <w:bCs/>
          <w:highlight w:val="none"/>
        </w:rPr>
        <w:t xml:space="preserve">  </w:t>
      </w:r>
      <w:r>
        <w:rPr>
          <w:rFonts w:hint="eastAsia"/>
          <w:b w:val="0"/>
          <w:bCs/>
          <w:highlight w:val="none"/>
          <w:lang w:val="en-US" w:eastAsia="zh-CN"/>
        </w:rPr>
        <w:t>应</w:t>
      </w:r>
      <w:r>
        <w:rPr>
          <w:rFonts w:hint="eastAsia"/>
          <w:b w:val="0"/>
          <w:bCs w:val="0"/>
          <w:color w:val="auto"/>
          <w:spacing w:val="-1"/>
          <w:highlight w:val="none"/>
          <w:lang w:val="en-US" w:eastAsia="zh-CN"/>
        </w:rPr>
        <w:t>根据单位实际情况</w:t>
      </w:r>
      <w:r>
        <w:rPr>
          <w:rFonts w:hint="eastAsia"/>
          <w:b w:val="0"/>
          <w:bCs w:val="0"/>
          <w:color w:val="auto"/>
          <w:spacing w:val="-1"/>
          <w:highlight w:val="none"/>
        </w:rPr>
        <w:t>按照相关</w:t>
      </w:r>
      <w:r>
        <w:rPr>
          <w:rFonts w:hint="eastAsia"/>
          <w:b w:val="0"/>
          <w:bCs w:val="0"/>
          <w:color w:val="auto"/>
          <w:spacing w:val="-1"/>
          <w:highlight w:val="none"/>
          <w:lang w:val="en-US" w:eastAsia="zh-CN"/>
        </w:rPr>
        <w:t>规定制定有针对性的灭火和应急疏散预案，并及时修订</w:t>
      </w:r>
      <w:r>
        <w:rPr>
          <w:rFonts w:hint="eastAsia"/>
          <w:b w:val="0"/>
          <w:bCs w:val="0"/>
          <w:color w:val="auto"/>
          <w:spacing w:val="-1"/>
          <w:highlight w:val="none"/>
          <w:lang w:eastAsia="zh-CN"/>
        </w:rPr>
        <w:t>；</w:t>
      </w:r>
    </w:p>
    <w:p w14:paraId="13B7F1DA">
      <w:pPr>
        <w:pStyle w:val="21"/>
        <w:spacing w:line="360" w:lineRule="auto"/>
        <w:ind w:firstLine="482"/>
        <w:rPr>
          <w:rFonts w:hint="eastAsia"/>
          <w:b w:val="0"/>
          <w:bCs/>
          <w:highlight w:val="none"/>
          <w:lang w:eastAsia="zh-CN"/>
        </w:rPr>
      </w:pPr>
      <w:r>
        <w:rPr>
          <w:rFonts w:hint="eastAsia"/>
          <w:b/>
          <w:highlight w:val="none"/>
          <w:lang w:val="en-US" w:eastAsia="zh-CN"/>
        </w:rPr>
        <w:t>2</w:t>
      </w:r>
      <w:r>
        <w:rPr>
          <w:b w:val="0"/>
          <w:bCs/>
          <w:highlight w:val="none"/>
        </w:rPr>
        <w:t xml:space="preserve">  </w:t>
      </w:r>
      <w:r>
        <w:rPr>
          <w:rFonts w:hint="eastAsia"/>
          <w:b w:val="0"/>
          <w:bCs/>
          <w:highlight w:val="none"/>
        </w:rPr>
        <w:t>单位应当明确组织灭火和应急疏散预案演练的</w:t>
      </w:r>
      <w:r>
        <w:rPr>
          <w:rFonts w:hint="eastAsia"/>
          <w:b w:val="0"/>
          <w:bCs/>
          <w:highlight w:val="none"/>
          <w:lang w:eastAsia="zh-CN"/>
        </w:rPr>
        <w:t>责任</w:t>
      </w:r>
      <w:r>
        <w:rPr>
          <w:rFonts w:hint="eastAsia"/>
          <w:b w:val="0"/>
          <w:bCs/>
          <w:highlight w:val="none"/>
        </w:rPr>
        <w:t>部门、责任人和职责</w:t>
      </w:r>
      <w:r>
        <w:rPr>
          <w:rFonts w:hint="eastAsia"/>
          <w:b w:val="0"/>
          <w:bCs/>
          <w:highlight w:val="none"/>
          <w:lang w:eastAsia="zh-CN"/>
        </w:rPr>
        <w:t>，</w:t>
      </w:r>
      <w:r>
        <w:rPr>
          <w:rFonts w:hint="eastAsia"/>
          <w:b w:val="0"/>
          <w:bCs/>
          <w:highlight w:val="none"/>
          <w:lang w:val="en-US" w:eastAsia="zh-CN"/>
        </w:rPr>
        <w:t>并</w:t>
      </w:r>
      <w:r>
        <w:rPr>
          <w:rFonts w:hint="eastAsia"/>
          <w:b w:val="0"/>
          <w:bCs w:val="0"/>
          <w:color w:val="auto"/>
          <w:spacing w:val="-1"/>
          <w:highlight w:val="none"/>
        </w:rPr>
        <w:t>按照相关</w:t>
      </w:r>
      <w:r>
        <w:rPr>
          <w:rFonts w:hint="eastAsia"/>
          <w:b w:val="0"/>
          <w:bCs w:val="0"/>
          <w:color w:val="auto"/>
          <w:spacing w:val="-1"/>
          <w:highlight w:val="none"/>
          <w:lang w:val="en-US" w:eastAsia="zh-CN"/>
        </w:rPr>
        <w:t>规定</w:t>
      </w:r>
      <w:r>
        <w:rPr>
          <w:rFonts w:hint="eastAsia"/>
          <w:b w:val="0"/>
          <w:bCs/>
          <w:highlight w:val="none"/>
          <w:lang w:val="en-US" w:eastAsia="zh-CN"/>
        </w:rPr>
        <w:t>开展演练</w:t>
      </w:r>
      <w:r>
        <w:rPr>
          <w:rFonts w:hint="eastAsia"/>
          <w:b w:val="0"/>
          <w:bCs/>
          <w:highlight w:val="none"/>
          <w:lang w:eastAsia="zh-CN"/>
        </w:rPr>
        <w:t>。</w:t>
      </w:r>
    </w:p>
    <w:p w14:paraId="63505B7A">
      <w:pPr>
        <w:pStyle w:val="21"/>
        <w:spacing w:line="360" w:lineRule="auto"/>
        <w:ind w:firstLine="482"/>
        <w:rPr>
          <w:rFonts w:hint="default"/>
          <w:b w:val="0"/>
          <w:bCs/>
          <w:color w:val="auto"/>
          <w:highlight w:val="none"/>
          <w:lang w:val="en-US" w:eastAsia="zh-CN"/>
        </w:rPr>
      </w:pPr>
      <w:r>
        <w:rPr>
          <w:rFonts w:hint="eastAsia"/>
          <w:b/>
          <w:bCs w:val="0"/>
          <w:color w:val="auto"/>
          <w:highlight w:val="none"/>
          <w:lang w:val="en-US" w:eastAsia="zh-CN"/>
        </w:rPr>
        <w:t>3</w:t>
      </w:r>
      <w:r>
        <w:rPr>
          <w:rFonts w:hint="eastAsia"/>
          <w:b w:val="0"/>
          <w:bCs/>
          <w:color w:val="auto"/>
          <w:highlight w:val="none"/>
          <w:lang w:val="en-US" w:eastAsia="zh-CN"/>
        </w:rPr>
        <w:t xml:space="preserve">  演练结束后，指挥机构应组织相关部门或人员总结讲评会议，全面总结消防演练情况，提出改进意见，形成书面报告。</w:t>
      </w:r>
    </w:p>
    <w:p w14:paraId="3298780E">
      <w:pPr>
        <w:pStyle w:val="20"/>
        <w:rPr>
          <w:highlight w:val="none"/>
        </w:rPr>
      </w:pPr>
      <w:bookmarkStart w:id="199" w:name="_Toc151384801"/>
      <w:bookmarkStart w:id="200" w:name="_Toc150876232"/>
      <w:bookmarkStart w:id="201" w:name="_Toc140390026"/>
      <w:bookmarkStart w:id="202" w:name="_Toc183531745"/>
      <w:bookmarkStart w:id="203" w:name="_Toc4910"/>
      <w:bookmarkStart w:id="204" w:name="_Toc21969"/>
      <w:bookmarkStart w:id="205" w:name="_Toc23642"/>
      <w:bookmarkStart w:id="206" w:name="_Toc626"/>
      <w:bookmarkStart w:id="207" w:name="_Toc21989"/>
      <w:bookmarkStart w:id="208" w:name="_Toc7453"/>
      <w:bookmarkStart w:id="209" w:name="_Toc31090"/>
      <w:bookmarkStart w:id="210" w:name="_Toc8049"/>
      <w:bookmarkStart w:id="211" w:name="_Toc9619"/>
      <w:bookmarkStart w:id="212" w:name="_Toc12762"/>
      <w:r>
        <w:rPr>
          <w:rFonts w:hint="eastAsia"/>
          <w:highlight w:val="none"/>
          <w:lang w:val="en-US" w:eastAsia="zh-CN"/>
        </w:rPr>
        <w:t>4.3</w:t>
      </w:r>
      <w:r>
        <w:rPr>
          <w:highlight w:val="none"/>
        </w:rPr>
        <w:t xml:space="preserve">  </w:t>
      </w:r>
      <w:bookmarkEnd w:id="199"/>
      <w:bookmarkEnd w:id="200"/>
      <w:bookmarkEnd w:id="201"/>
      <w:r>
        <w:rPr>
          <w:rFonts w:hint="eastAsia"/>
          <w:highlight w:val="none"/>
        </w:rPr>
        <w:t>建筑防火</w:t>
      </w:r>
      <w:bookmarkEnd w:id="202"/>
      <w:bookmarkStart w:id="213" w:name="_Toc18515"/>
      <w:bookmarkStart w:id="214" w:name="_Toc7621"/>
      <w:bookmarkStart w:id="215" w:name="_Toc20433"/>
      <w:bookmarkStart w:id="216" w:name="_Toc26660"/>
      <w:bookmarkStart w:id="217" w:name="_Toc24054"/>
      <w:bookmarkStart w:id="218" w:name="_Toc29047"/>
      <w:bookmarkStart w:id="219" w:name="_Toc6545"/>
      <w:bookmarkStart w:id="220" w:name="_Toc564"/>
      <w:bookmarkStart w:id="221" w:name="_Toc14370"/>
      <w:bookmarkStart w:id="222" w:name="_Toc30469"/>
      <w:bookmarkStart w:id="223" w:name="_Toc23622"/>
      <w:r>
        <w:rPr>
          <w:highlight w:val="none"/>
        </w:rPr>
        <w:fldChar w:fldCharType="begin"/>
      </w:r>
      <w:r>
        <w:rPr>
          <w:highlight w:val="none"/>
        </w:rPr>
        <w:instrText xml:space="preserve"> </w:instrText>
      </w:r>
      <w:r>
        <w:rPr>
          <w:rFonts w:hint="eastAsia"/>
          <w:highlight w:val="none"/>
        </w:rPr>
        <w:instrText xml:space="preserve">TC  "</w:instrText>
      </w:r>
      <w:bookmarkStart w:id="224" w:name="_Toc183531862"/>
      <w:r>
        <w:rPr>
          <w:rFonts w:hint="eastAsia" w:ascii="黑体" w:hAnsi="黑体"/>
          <w:highlight w:val="none"/>
          <w:lang w:val="en-US" w:eastAsia="zh-CN"/>
        </w:rPr>
        <w:instrText xml:space="preserve">4.3</w:instrText>
      </w:r>
      <w:r>
        <w:rPr>
          <w:rFonts w:hint="eastAsia" w:ascii="黑体" w:hAnsi="黑体"/>
          <w:highlight w:val="none"/>
        </w:rPr>
        <w:instrText xml:space="preserve"> Building fire protection</w:instrText>
      </w:r>
      <w:bookmarkEnd w:id="224"/>
      <w:r>
        <w:rPr>
          <w:rFonts w:hint="eastAsia" w:ascii="黑体" w:hAnsi="黑体"/>
          <w:highlight w:val="none"/>
        </w:rPr>
        <w:instrText xml:space="preserve"> </w:instrText>
      </w:r>
      <w:r>
        <w:rPr>
          <w:rFonts w:hint="eastAsia"/>
          <w:highlight w:val="none"/>
        </w:rPr>
        <w:instrText xml:space="preserve">" \l 2</w:instrText>
      </w:r>
      <w:r>
        <w:rPr>
          <w:highlight w:val="none"/>
        </w:rPr>
        <w:instrText xml:space="preserve"> </w:instrText>
      </w:r>
      <w:r>
        <w:rPr>
          <w:highlight w:val="none"/>
        </w:rPr>
        <w:fldChar w:fldCharType="end"/>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14:paraId="0CCFD61F">
      <w:pPr>
        <w:pStyle w:val="19"/>
        <w:spacing w:line="360" w:lineRule="auto"/>
        <w:jc w:val="center"/>
        <w:rPr>
          <w:rFonts w:hint="eastAsia" w:eastAsia="宋体"/>
          <w:b/>
          <w:highlight w:val="none"/>
          <w:lang w:val="en-US" w:eastAsia="zh-CN"/>
        </w:rPr>
      </w:pPr>
      <w:r>
        <w:rPr>
          <w:rFonts w:hint="default" w:ascii="Times New Roman" w:hAnsi="Times New Roman" w:cs="Times New Roman"/>
          <w:b/>
          <w:highlight w:val="none"/>
        </w:rPr>
        <w:t>Ⅰ</w:t>
      </w:r>
      <w:r>
        <w:rPr>
          <w:rFonts w:hint="eastAsia"/>
          <w:b/>
          <w:highlight w:val="none"/>
        </w:rPr>
        <w:t xml:space="preserve">  </w:t>
      </w:r>
      <w:r>
        <w:rPr>
          <w:rFonts w:hint="eastAsia"/>
          <w:b/>
          <w:highlight w:val="none"/>
          <w:lang w:eastAsia="zh"/>
        </w:rPr>
        <w:t>消防救援</w:t>
      </w:r>
      <w:r>
        <w:rPr>
          <w:rFonts w:hint="eastAsia"/>
          <w:b/>
          <w:highlight w:val="none"/>
          <w:lang w:val="en-US" w:eastAsia="zh-CN"/>
        </w:rPr>
        <w:t>设施</w:t>
      </w:r>
    </w:p>
    <w:p w14:paraId="044A301F">
      <w:pPr>
        <w:rPr>
          <w:rFonts w:hint="eastAsia" w:ascii="Times New Roman" w:hAnsi="Times New Roman" w:cs="Times New Roman"/>
          <w:highlight w:val="none"/>
        </w:rPr>
      </w:pPr>
      <w:bookmarkStart w:id="225" w:name="OLE_LINK82"/>
      <w:r>
        <w:rPr>
          <w:rFonts w:hint="eastAsia" w:ascii="Times New Roman" w:hAnsi="Times New Roman" w:cs="Times New Roman"/>
          <w:b/>
          <w:bCs/>
          <w:highlight w:val="none"/>
          <w:lang w:val="en-US" w:eastAsia="zh-CN"/>
        </w:rPr>
        <w:t>4.3.1</w:t>
      </w:r>
      <w:r>
        <w:rPr>
          <w:rFonts w:hint="eastAsia" w:ascii="Times New Roman" w:hAnsi="Times New Roman" w:cs="Times New Roman"/>
          <w:highlight w:val="none"/>
        </w:rPr>
        <w:t xml:space="preserve">  </w:t>
      </w:r>
      <w:bookmarkEnd w:id="225"/>
      <w:bookmarkStart w:id="226" w:name="OLE_LINK83"/>
      <w:r>
        <w:rPr>
          <w:rFonts w:hint="eastAsia" w:ascii="Times New Roman" w:hAnsi="Times New Roman" w:cs="Times New Roman"/>
          <w:highlight w:val="none"/>
          <w:lang w:val="en-US" w:eastAsia="zh-CN"/>
        </w:rPr>
        <w:t>消防救援设施</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包含消防救援</w:t>
      </w:r>
      <w:r>
        <w:rPr>
          <w:rFonts w:hint="eastAsia" w:ascii="Times New Roman" w:hAnsi="Times New Roman" w:cs="Times New Roman"/>
          <w:highlight w:val="none"/>
        </w:rPr>
        <w:t>口安全评估</w:t>
      </w:r>
      <w:r>
        <w:rPr>
          <w:rFonts w:hint="eastAsia" w:ascii="Times New Roman" w:hAnsi="Times New Roman" w:cs="Times New Roman"/>
          <w:highlight w:val="none"/>
          <w:lang w:eastAsia="zh-CN"/>
        </w:rPr>
        <w:t>、</w:t>
      </w:r>
      <w:r>
        <w:rPr>
          <w:rFonts w:hint="eastAsia" w:ascii="Times New Roman" w:hAnsi="Times New Roman" w:cs="Times New Roman"/>
          <w:highlight w:val="none"/>
        </w:rPr>
        <w:t>消防电梯安全评估</w:t>
      </w:r>
      <w:r>
        <w:rPr>
          <w:rFonts w:hint="eastAsia" w:ascii="Times New Roman" w:hAnsi="Times New Roman" w:cs="Times New Roman"/>
          <w:highlight w:val="none"/>
          <w:lang w:eastAsia="zh-CN"/>
        </w:rPr>
        <w:t>、</w:t>
      </w:r>
      <w:r>
        <w:rPr>
          <w:rFonts w:hint="eastAsia" w:ascii="Times New Roman" w:hAnsi="Times New Roman" w:cs="Times New Roman"/>
          <w:highlight w:val="none"/>
        </w:rPr>
        <w:t>应急排烟设施安全评估</w:t>
      </w:r>
      <w:r>
        <w:rPr>
          <w:rFonts w:hint="eastAsia" w:ascii="Times New Roman" w:hAnsi="Times New Roman" w:cs="Times New Roman"/>
          <w:highlight w:val="none"/>
          <w:lang w:eastAsia="zh-CN"/>
        </w:rPr>
        <w:t>、</w:t>
      </w:r>
      <w:r>
        <w:rPr>
          <w:rFonts w:hint="eastAsia" w:ascii="Times New Roman" w:hAnsi="Times New Roman" w:cs="Times New Roman"/>
          <w:highlight w:val="none"/>
        </w:rPr>
        <w:t>直升机停机坪</w:t>
      </w:r>
      <w:r>
        <w:rPr>
          <w:rFonts w:hint="eastAsia" w:ascii="Times New Roman" w:hAnsi="Times New Roman" w:cs="Times New Roman"/>
          <w:color w:val="auto"/>
          <w:highlight w:val="none"/>
        </w:rPr>
        <w:t>安全评估</w:t>
      </w:r>
      <w:r>
        <w:rPr>
          <w:rFonts w:hint="eastAsia" w:ascii="Times New Roman" w:hAnsi="Times New Roman" w:cs="Times New Roman"/>
          <w:highlight w:val="none"/>
          <w:lang w:val="en-US" w:eastAsia="zh-CN"/>
        </w:rPr>
        <w:t>。</w:t>
      </w:r>
    </w:p>
    <w:p w14:paraId="4654E55A">
      <w:pPr>
        <w:rPr>
          <w:rFonts w:ascii="Times New Roman" w:hAnsi="Times New Roman" w:cs="Times New Roman"/>
          <w:highlight w:val="none"/>
        </w:rPr>
      </w:pPr>
      <w:r>
        <w:rPr>
          <w:rFonts w:hint="eastAsia" w:ascii="Times New Roman" w:hAnsi="Times New Roman" w:cs="Times New Roman"/>
          <w:b/>
          <w:bCs/>
          <w:highlight w:val="none"/>
          <w:lang w:val="en-US" w:eastAsia="zh-CN"/>
        </w:rPr>
        <w:t>4.3.2</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消防救援</w:t>
      </w:r>
      <w:r>
        <w:rPr>
          <w:rFonts w:hint="eastAsia" w:ascii="Times New Roman" w:hAnsi="Times New Roman" w:cs="Times New Roman"/>
          <w:highlight w:val="none"/>
        </w:rPr>
        <w:t>口</w:t>
      </w:r>
      <w:bookmarkEnd w:id="226"/>
      <w:r>
        <w:rPr>
          <w:rFonts w:hint="eastAsia" w:ascii="Times New Roman" w:hAnsi="Times New Roman" w:cs="Times New Roman"/>
          <w:highlight w:val="none"/>
        </w:rPr>
        <w:t>安全评估</w:t>
      </w:r>
      <w:bookmarkStart w:id="227" w:name="OLE_LINK68"/>
      <w:r>
        <w:rPr>
          <w:rFonts w:hint="eastAsia" w:ascii="Times New Roman" w:hAnsi="Times New Roman" w:cs="Times New Roman"/>
          <w:highlight w:val="none"/>
        </w:rPr>
        <w:t>具体包含以下内容</w:t>
      </w:r>
      <w:bookmarkEnd w:id="227"/>
      <w:r>
        <w:rPr>
          <w:rFonts w:hint="eastAsia" w:ascii="Times New Roman" w:hAnsi="Times New Roman" w:cs="Times New Roman"/>
          <w:highlight w:val="none"/>
        </w:rPr>
        <w:t>：</w:t>
      </w:r>
    </w:p>
    <w:p w14:paraId="3438EA07">
      <w:pPr>
        <w:ind w:firstLine="482" w:firstLineChars="200"/>
        <w:rPr>
          <w:rFonts w:ascii="Times New Roman" w:hAnsi="Times New Roman" w:cs="Times New Roman"/>
          <w:highlight w:val="none"/>
        </w:rPr>
      </w:pPr>
      <w:r>
        <w:rPr>
          <w:rFonts w:hint="eastAsia" w:ascii="Times New Roman" w:hAnsi="Times New Roman" w:cs="Times New Roman"/>
          <w:b/>
          <w:bCs/>
          <w:highlight w:val="none"/>
        </w:rPr>
        <w:t xml:space="preserve">1  </w:t>
      </w:r>
      <w:r>
        <w:rPr>
          <w:rFonts w:hint="eastAsia" w:ascii="Times New Roman" w:hAnsi="Times New Roman" w:cs="Times New Roman"/>
          <w:highlight w:val="none"/>
          <w:lang w:val="en-US" w:eastAsia="zh-CN"/>
        </w:rPr>
        <w:t>规范要求设消防救援口的建筑</w:t>
      </w:r>
      <w:r>
        <w:rPr>
          <w:rFonts w:hint="eastAsia" w:ascii="Times New Roman" w:hAnsi="Times New Roman" w:cs="Times New Roman"/>
          <w:highlight w:val="none"/>
        </w:rPr>
        <w:t>应</w:t>
      </w:r>
      <w:r>
        <w:rPr>
          <w:rFonts w:hint="eastAsia" w:ascii="Times New Roman" w:hAnsi="Times New Roman" w:cs="Times New Roman"/>
          <w:highlight w:val="none"/>
          <w:lang w:val="en-US" w:eastAsia="zh-CN"/>
        </w:rPr>
        <w:t>按规范要求</w:t>
      </w:r>
      <w:r>
        <w:rPr>
          <w:rFonts w:hint="eastAsia" w:ascii="Times New Roman" w:hAnsi="Times New Roman" w:cs="Times New Roman"/>
          <w:highlight w:val="none"/>
        </w:rPr>
        <w:t>设置</w:t>
      </w:r>
      <w:bookmarkStart w:id="228" w:name="OLE_LINK50"/>
      <w:r>
        <w:rPr>
          <w:rFonts w:hint="eastAsia" w:ascii="Times New Roman" w:hAnsi="Times New Roman" w:cs="Times New Roman"/>
          <w:highlight w:val="none"/>
          <w:lang w:val="en-US" w:eastAsia="zh-CN"/>
        </w:rPr>
        <w:t>消防救援口</w:t>
      </w:r>
      <w:bookmarkEnd w:id="228"/>
      <w:r>
        <w:rPr>
          <w:rFonts w:hint="eastAsia" w:ascii="Times New Roman" w:hAnsi="Times New Roman" w:cs="Times New Roman"/>
          <w:highlight w:val="none"/>
        </w:rPr>
        <w:t>；</w:t>
      </w:r>
    </w:p>
    <w:p w14:paraId="0DC87712">
      <w:pPr>
        <w:ind w:firstLine="482" w:firstLineChars="200"/>
        <w:rPr>
          <w:rFonts w:hint="eastAsia" w:ascii="Times New Roman" w:hAnsi="Times New Roman" w:cs="Times New Roman"/>
          <w:highlight w:val="none"/>
        </w:rPr>
      </w:pPr>
      <w:r>
        <w:rPr>
          <w:rFonts w:hint="eastAsia" w:ascii="Times New Roman" w:hAnsi="Times New Roman" w:cs="Times New Roman"/>
          <w:b/>
          <w:bCs/>
          <w:highlight w:val="none"/>
        </w:rPr>
        <w:t xml:space="preserve">2  </w:t>
      </w:r>
      <w:r>
        <w:rPr>
          <w:rFonts w:hint="eastAsia" w:ascii="Times New Roman" w:hAnsi="Times New Roman" w:cs="Times New Roman"/>
          <w:b w:val="0"/>
          <w:bCs w:val="0"/>
          <w:highlight w:val="none"/>
          <w:lang w:val="en-US" w:eastAsia="zh-CN"/>
        </w:rPr>
        <w:t>消防救援口的位置、数量、尺寸、间距、材料等</w:t>
      </w:r>
      <w:r>
        <w:rPr>
          <w:rFonts w:hint="eastAsia" w:ascii="Times New Roman" w:hAnsi="Times New Roman" w:cs="Times New Roman"/>
          <w:highlight w:val="none"/>
        </w:rPr>
        <w:t>应符合规范要求</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当利用门时，净宽度不应小于0.8m</w:t>
      </w:r>
      <w:r>
        <w:rPr>
          <w:rFonts w:hint="eastAsia" w:ascii="Times New Roman" w:hAnsi="Times New Roman" w:cs="Times New Roman"/>
          <w:highlight w:val="none"/>
        </w:rPr>
        <w:t>；</w:t>
      </w:r>
    </w:p>
    <w:p w14:paraId="70931962">
      <w:pPr>
        <w:ind w:firstLine="482" w:firstLineChars="200"/>
        <w:rPr>
          <w:rFonts w:hint="default" w:ascii="Times New Roman" w:hAnsi="Times New Roman" w:cs="Times New Roman"/>
          <w:b w:val="0"/>
          <w:bCs w:val="0"/>
          <w:highlight w:val="none"/>
          <w:lang w:val="en-US" w:eastAsia="zh-CN"/>
        </w:rPr>
      </w:pPr>
      <w:bookmarkStart w:id="229" w:name="OLE_LINK67"/>
      <w:r>
        <w:rPr>
          <w:rFonts w:hint="eastAsia" w:ascii="Times New Roman" w:hAnsi="Times New Roman" w:cs="Times New Roman"/>
          <w:b/>
          <w:bCs/>
          <w:highlight w:val="none"/>
        </w:rPr>
        <w:t>3</w:t>
      </w:r>
      <w:r>
        <w:rPr>
          <w:rFonts w:hint="eastAsia" w:ascii="Times New Roman" w:hAnsi="Times New Roman" w:cs="Times New Roman"/>
          <w:b w:val="0"/>
          <w:bCs w:val="0"/>
          <w:highlight w:val="none"/>
        </w:rPr>
        <w:t xml:space="preserve">  </w:t>
      </w:r>
      <w:bookmarkEnd w:id="229"/>
      <w:r>
        <w:rPr>
          <w:rFonts w:hint="eastAsia" w:ascii="Times New Roman" w:hAnsi="Times New Roman" w:cs="Times New Roman"/>
          <w:b w:val="0"/>
          <w:bCs w:val="0"/>
          <w:highlight w:val="none"/>
          <w:lang w:val="en-US" w:eastAsia="zh-CN"/>
        </w:rPr>
        <w:t>消防救援口室内和室外两侧设置明显标志。</w:t>
      </w:r>
    </w:p>
    <w:p w14:paraId="38DA7C58">
      <w:pPr>
        <w:rPr>
          <w:rFonts w:ascii="Times New Roman" w:hAnsi="Times New Roman" w:cs="Times New Roman"/>
          <w:highlight w:val="none"/>
        </w:rPr>
      </w:pPr>
      <w:r>
        <w:rPr>
          <w:rFonts w:hint="eastAsia" w:ascii="Times New Roman" w:hAnsi="Times New Roman" w:cs="Times New Roman"/>
          <w:b/>
          <w:bCs/>
          <w:highlight w:val="none"/>
          <w:lang w:val="en-US" w:eastAsia="zh-CN"/>
        </w:rPr>
        <w:t>4.3.3</w:t>
      </w:r>
      <w:r>
        <w:rPr>
          <w:rFonts w:hint="eastAsia" w:ascii="Times New Roman" w:hAnsi="Times New Roman" w:cs="Times New Roman"/>
          <w:highlight w:val="none"/>
        </w:rPr>
        <w:t xml:space="preserve">  消防电梯安全评估</w:t>
      </w:r>
      <w:bookmarkStart w:id="230" w:name="OLE_LINK74"/>
      <w:r>
        <w:rPr>
          <w:rFonts w:hint="eastAsia" w:ascii="Times New Roman" w:hAnsi="Times New Roman" w:cs="Times New Roman"/>
          <w:highlight w:val="none"/>
        </w:rPr>
        <w:t>具体包含以下内容</w:t>
      </w:r>
      <w:bookmarkEnd w:id="230"/>
      <w:r>
        <w:rPr>
          <w:rFonts w:hint="eastAsia" w:ascii="Times New Roman" w:hAnsi="Times New Roman" w:cs="Times New Roman"/>
          <w:highlight w:val="none"/>
        </w:rPr>
        <w:t>：</w:t>
      </w:r>
    </w:p>
    <w:p w14:paraId="5AECCA65">
      <w:pPr>
        <w:ind w:firstLine="482" w:firstLineChars="200"/>
        <w:rPr>
          <w:rFonts w:hint="default" w:ascii="Times New Roman" w:hAnsi="Times New Roman" w:eastAsia="宋体" w:cs="Times New Roman"/>
          <w:b/>
          <w:bCs/>
          <w:highlight w:val="none"/>
          <w:lang w:val="en-US"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规范要求设置消防电梯的建筑应按规范要求设置消防电梯；</w:t>
      </w:r>
    </w:p>
    <w:p w14:paraId="64A2D1C6">
      <w:pPr>
        <w:ind w:firstLine="482" w:firstLineChars="200"/>
        <w:rPr>
          <w:rFonts w:hint="eastAsia" w:ascii="Times New Roman" w:hAnsi="Times New Roman" w:cs="Times New Roman"/>
          <w:b/>
          <w:bCs/>
          <w:highlight w:val="none"/>
        </w:rPr>
      </w:pPr>
      <w:bookmarkStart w:id="231" w:name="OLE_LINK69"/>
      <w:r>
        <w:rPr>
          <w:rFonts w:hint="eastAsia" w:ascii="Times New Roman" w:hAnsi="Times New Roman" w:cs="Times New Roman"/>
          <w:b/>
          <w:bCs/>
          <w:highlight w:val="none"/>
        </w:rPr>
        <w:t>2</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rPr>
        <w:t>根据建筑的性质、高度和楼层的建筑面积或防火分区情况，建筑消防电梯的设置</w:t>
      </w:r>
      <w:bookmarkStart w:id="232" w:name="OLE_LINK71"/>
      <w:r>
        <w:rPr>
          <w:rFonts w:hint="eastAsia" w:ascii="Times New Roman" w:hAnsi="Times New Roman" w:cs="Times New Roman"/>
          <w:highlight w:val="none"/>
          <w:lang w:val="en-US" w:eastAsia="zh-CN"/>
        </w:rPr>
        <w:t>位置和数量</w:t>
      </w:r>
      <w:r>
        <w:rPr>
          <w:rFonts w:hint="eastAsia" w:ascii="Times New Roman" w:hAnsi="Times New Roman" w:cs="Times New Roman"/>
          <w:highlight w:val="none"/>
          <w:lang w:eastAsia="zh-CN"/>
        </w:rPr>
        <w:t>应符合规范要求</w:t>
      </w:r>
      <w:r>
        <w:rPr>
          <w:rFonts w:hint="eastAsia" w:ascii="Times New Roman" w:hAnsi="Times New Roman" w:cs="Times New Roman"/>
          <w:highlight w:val="none"/>
        </w:rPr>
        <w:t>；</w:t>
      </w:r>
      <w:bookmarkEnd w:id="232"/>
    </w:p>
    <w:bookmarkEnd w:id="231"/>
    <w:p w14:paraId="24139386">
      <w:pPr>
        <w:ind w:firstLine="482" w:firstLineChars="200"/>
        <w:rPr>
          <w:rFonts w:hint="eastAsia" w:ascii="Times New Roman" w:hAnsi="Times New Roman" w:cs="Times New Roman"/>
          <w:highlight w:val="none"/>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bookmarkStart w:id="233" w:name="OLE_LINK70"/>
      <w:r>
        <w:rPr>
          <w:rFonts w:hint="eastAsia" w:ascii="Times New Roman" w:hAnsi="Times New Roman" w:cs="Times New Roman"/>
          <w:highlight w:val="none"/>
        </w:rPr>
        <w:t>消防电梯前室</w:t>
      </w:r>
      <w:r>
        <w:rPr>
          <w:rFonts w:hint="eastAsia" w:ascii="Times New Roman" w:hAnsi="Times New Roman" w:cs="Times New Roman"/>
          <w:highlight w:val="none"/>
          <w:lang w:val="en-US" w:eastAsia="zh-CN"/>
        </w:rPr>
        <w:t>或</w:t>
      </w:r>
      <w:r>
        <w:rPr>
          <w:rFonts w:hint="eastAsia" w:ascii="Times New Roman" w:hAnsi="Times New Roman" w:cs="Times New Roman"/>
          <w:highlight w:val="none"/>
        </w:rPr>
        <w:t>合用前室</w:t>
      </w:r>
      <w:bookmarkEnd w:id="233"/>
      <w:r>
        <w:rPr>
          <w:rFonts w:hint="eastAsia" w:ascii="Times New Roman" w:hAnsi="Times New Roman" w:cs="Times New Roman"/>
          <w:highlight w:val="none"/>
        </w:rPr>
        <w:t>的</w:t>
      </w:r>
      <w:r>
        <w:rPr>
          <w:rFonts w:hint="eastAsia" w:ascii="Times New Roman" w:hAnsi="Times New Roman" w:cs="Times New Roman"/>
          <w:highlight w:val="none"/>
          <w:lang w:val="en-US" w:eastAsia="zh-CN"/>
        </w:rPr>
        <w:t>使用</w:t>
      </w:r>
      <w:r>
        <w:rPr>
          <w:rFonts w:hint="eastAsia" w:ascii="Times New Roman" w:hAnsi="Times New Roman" w:cs="Times New Roman"/>
          <w:highlight w:val="none"/>
        </w:rPr>
        <w:t>面积</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尺寸</w:t>
      </w:r>
      <w:r>
        <w:rPr>
          <w:rFonts w:hint="eastAsia" w:ascii="Times New Roman" w:hAnsi="Times New Roman" w:cs="Times New Roman"/>
          <w:highlight w:val="none"/>
          <w:lang w:eastAsia="zh-CN"/>
        </w:rPr>
        <w:t>应符合规范要求</w:t>
      </w:r>
      <w:r>
        <w:rPr>
          <w:rFonts w:hint="eastAsia" w:ascii="Times New Roman" w:hAnsi="Times New Roman" w:cs="Times New Roman"/>
          <w:highlight w:val="none"/>
        </w:rPr>
        <w:t>；</w:t>
      </w:r>
    </w:p>
    <w:p w14:paraId="5CB02D58">
      <w:pPr>
        <w:ind w:firstLine="48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highlight w:val="none"/>
          <w:lang w:val="en-US" w:eastAsia="zh-CN"/>
        </w:rPr>
        <w:t xml:space="preserve">  消防电梯前室在首层应直通室外或经专用通道通向室外，该通道与相邻区域之间应采取防火分隔措施；</w:t>
      </w:r>
    </w:p>
    <w:p w14:paraId="71E71646">
      <w:pPr>
        <w:ind w:firstLine="482" w:firstLineChars="200"/>
        <w:rPr>
          <w:rFonts w:hint="eastAsia" w:ascii="Times New Roman" w:hAnsi="Times New Roman" w:cs="Times New Roman"/>
          <w:highlight w:val="none"/>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消防电梯前室或合用前室的门、与其他部位的防火分隔、消防电梯井和机房与相邻井道、机房及其他房间的防火分隔</w:t>
      </w:r>
      <w:r>
        <w:rPr>
          <w:rFonts w:hint="eastAsia" w:ascii="Times New Roman" w:hAnsi="Times New Roman" w:cs="Times New Roman"/>
          <w:highlight w:val="none"/>
          <w:lang w:eastAsia="zh-CN"/>
        </w:rPr>
        <w:t>应符合规范要求</w:t>
      </w:r>
      <w:r>
        <w:rPr>
          <w:rFonts w:hint="eastAsia" w:ascii="Times New Roman" w:hAnsi="Times New Roman" w:cs="Times New Roman"/>
          <w:highlight w:val="none"/>
        </w:rPr>
        <w:t>；</w:t>
      </w:r>
    </w:p>
    <w:p w14:paraId="0813920F">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消防电梯应能在所服务区域每层停靠，载重量、从首层至顶层的运行时间、消防电梯标识、供消防救援人员专用的操作按钮及操作说明应符合规范要求；</w:t>
      </w:r>
    </w:p>
    <w:p w14:paraId="49496B5D">
      <w:pPr>
        <w:ind w:firstLine="482" w:firstLineChars="200"/>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7</w:t>
      </w:r>
      <w:r>
        <w:rPr>
          <w:rFonts w:hint="eastAsia" w:ascii="Times New Roman" w:hAnsi="Times New Roman" w:cs="Times New Roman"/>
          <w:b/>
          <w:bCs/>
          <w:highlight w:val="none"/>
        </w:rPr>
        <w:t xml:space="preserve">  </w:t>
      </w:r>
      <w:r>
        <w:rPr>
          <w:rFonts w:hint="eastAsia" w:ascii="Times New Roman" w:hAnsi="Times New Roman" w:cs="Times New Roman"/>
          <w:highlight w:val="none"/>
        </w:rPr>
        <w:t>消防电梯运行的技术要求，如防水、排水、电源、通讯设备、轿厢内装修材料等应符合规范要求</w:t>
      </w:r>
      <w:r>
        <w:rPr>
          <w:rFonts w:hint="eastAsia" w:ascii="Times New Roman" w:hAnsi="Times New Roman" w:cs="Times New Roman"/>
          <w:highlight w:val="none"/>
          <w:lang w:eastAsia="zh-CN"/>
        </w:rPr>
        <w:t>。</w:t>
      </w:r>
    </w:p>
    <w:p w14:paraId="040F39F8">
      <w:pPr>
        <w:bidi w:val="0"/>
        <w:ind w:left="0" w:leftChars="0" w:firstLine="0" w:firstLineChars="0"/>
        <w:rPr>
          <w:rFonts w:hint="eastAsia" w:ascii="Times New Roman" w:hAnsi="Times New Roman" w:cs="Times New Roman"/>
          <w:color w:val="auto"/>
          <w:highlight w:val="none"/>
          <w:lang w:val="en-US" w:eastAsia="zh-CN"/>
        </w:rPr>
      </w:pPr>
      <w:r>
        <w:rPr>
          <w:rFonts w:hint="eastAsia" w:ascii="Times New Roman" w:hAnsi="Times New Roman" w:cs="Times New Roman"/>
          <w:b/>
          <w:bCs/>
          <w:highlight w:val="none"/>
          <w:lang w:val="en-US" w:eastAsia="zh-CN"/>
        </w:rPr>
        <w:t>4.3.4</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color w:val="auto"/>
          <w:highlight w:val="none"/>
          <w:lang w:val="en-US" w:eastAsia="zh-CN"/>
        </w:rPr>
        <w:t>既有建筑</w:t>
      </w:r>
      <w:r>
        <w:rPr>
          <w:rFonts w:hint="eastAsia" w:ascii="Times New Roman" w:hAnsi="Times New Roman" w:eastAsia="宋体" w:cs="Times New Roman"/>
          <w:color w:val="auto"/>
          <w:highlight w:val="none"/>
          <w:lang w:val="en-US" w:eastAsia="zh-CN"/>
        </w:rPr>
        <w:t>改造</w:t>
      </w:r>
      <w:r>
        <w:rPr>
          <w:rFonts w:hint="eastAsia" w:ascii="Times New Roman" w:hAnsi="Times New Roman" w:cs="Times New Roman"/>
          <w:color w:val="auto"/>
          <w:highlight w:val="none"/>
          <w:lang w:val="en-US" w:eastAsia="zh-CN"/>
        </w:rPr>
        <w:t>中保留和</w:t>
      </w:r>
      <w:r>
        <w:rPr>
          <w:rFonts w:hint="default" w:ascii="Times New Roman" w:hAnsi="Times New Roman" w:eastAsia="宋体" w:cs="Times New Roman"/>
          <w:color w:val="auto"/>
          <w:highlight w:val="none"/>
          <w:lang w:val="en-US" w:eastAsia="zh-CN"/>
        </w:rPr>
        <w:t>新增</w:t>
      </w:r>
      <w:r>
        <w:rPr>
          <w:rFonts w:hint="eastAsia" w:ascii="Times New Roman" w:hAnsi="Times New Roman" w:cs="Times New Roman"/>
          <w:color w:val="auto"/>
          <w:highlight w:val="none"/>
          <w:lang w:val="en-US" w:eastAsia="zh-CN"/>
        </w:rPr>
        <w:t>的</w:t>
      </w:r>
      <w:r>
        <w:rPr>
          <w:rFonts w:hint="default" w:ascii="Times New Roman" w:hAnsi="Times New Roman" w:eastAsia="宋体" w:cs="Times New Roman"/>
          <w:color w:val="auto"/>
          <w:highlight w:val="none"/>
          <w:lang w:val="en-US" w:eastAsia="zh-CN"/>
        </w:rPr>
        <w:t>消防电梯</w:t>
      </w:r>
      <w:r>
        <w:rPr>
          <w:rFonts w:hint="eastAsia" w:ascii="Times New Roman" w:hAnsi="Times New Roman" w:cs="Times New Roman"/>
          <w:color w:val="auto"/>
          <w:highlight w:val="none"/>
          <w:lang w:val="en-US" w:eastAsia="zh-CN"/>
        </w:rPr>
        <w:t>，其</w:t>
      </w:r>
      <w:r>
        <w:rPr>
          <w:rFonts w:hint="default" w:ascii="Times New Roman" w:hAnsi="Times New Roman" w:eastAsia="宋体" w:cs="Times New Roman"/>
          <w:color w:val="auto"/>
          <w:highlight w:val="none"/>
          <w:lang w:val="en-US" w:eastAsia="zh-CN"/>
        </w:rPr>
        <w:t>性能和设置要求应符合</w:t>
      </w:r>
      <w:r>
        <w:rPr>
          <w:rFonts w:hint="eastAsia" w:ascii="Times New Roman" w:hAnsi="Times New Roman" w:cs="Times New Roman"/>
          <w:color w:val="auto"/>
          <w:highlight w:val="none"/>
          <w:lang w:val="en-US" w:eastAsia="zh-CN"/>
        </w:rPr>
        <w:t>下列规定：</w:t>
      </w:r>
    </w:p>
    <w:p w14:paraId="1D5DC65E">
      <w:pPr>
        <w:bidi w:val="0"/>
        <w:ind w:left="0" w:leftChars="0"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u w:val="none"/>
          <w:lang w:val="en-US" w:eastAsia="zh-CN"/>
        </w:rPr>
        <w:t>1</w:t>
      </w:r>
      <w:r>
        <w:rPr>
          <w:rFonts w:hint="eastAsia" w:ascii="Times New Roman" w:hAnsi="Times New Roman" w:cs="Times New Roman"/>
          <w:color w:val="auto"/>
          <w:highlight w:val="none"/>
          <w:lang w:val="en-US" w:eastAsia="zh-CN"/>
        </w:rPr>
        <w:t xml:space="preserve">  在地下室新增的消防电梯，应根据地上楼层的使用功能、防火分区情况、建筑高度、消防救援需要和防止火灾蔓延的目标，确定是否延伸至地上各层；</w:t>
      </w:r>
    </w:p>
    <w:p w14:paraId="52CE4986">
      <w:pPr>
        <w:bidi w:val="0"/>
        <w:ind w:left="0" w:leftChars="0"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u w:val="none"/>
          <w:lang w:val="en-US" w:eastAsia="zh-CN"/>
        </w:rPr>
        <w:t>2</w:t>
      </w:r>
      <w:r>
        <w:rPr>
          <w:rFonts w:hint="eastAsia" w:ascii="Times New Roman" w:hAnsi="Times New Roman" w:cs="Times New Roman"/>
          <w:color w:val="auto"/>
          <w:highlight w:val="none"/>
          <w:lang w:val="en-US" w:eastAsia="zh-CN"/>
        </w:rPr>
        <w:t xml:space="preserve">  在地上楼层新增的消防电梯，应根据地下楼层的消防救援需要、埋深、地下室的构造等因素，确定是否延伸至地下各层；</w:t>
      </w:r>
    </w:p>
    <w:p w14:paraId="353AA3EA">
      <w:pPr>
        <w:bidi w:val="0"/>
        <w:ind w:left="0" w:leftChars="0" w:firstLine="482" w:firstLineChars="200"/>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3</w:t>
      </w:r>
      <w:r>
        <w:rPr>
          <w:rFonts w:hint="eastAsia" w:ascii="Times New Roman" w:hAnsi="Times New Roman" w:cs="Times New Roman"/>
          <w:color w:val="auto"/>
          <w:highlight w:val="none"/>
          <w:lang w:val="en-US" w:eastAsia="zh-CN"/>
        </w:rPr>
        <w:t xml:space="preserve">  除埋深超过10m且建筑面积大于</w:t>
      </w:r>
      <w:r>
        <w:rPr>
          <w:rFonts w:hint="default" w:ascii="Times New Roman" w:hAnsi="Times New Roman" w:cs="Times New Roman"/>
          <w:color w:val="auto"/>
          <w:highlight w:val="none"/>
          <w:lang w:val="en-US" w:eastAsia="zh-CN"/>
        </w:rPr>
        <w:t>3000m²</w:t>
      </w:r>
      <w:r>
        <w:rPr>
          <w:rFonts w:hint="eastAsia" w:ascii="Times New Roman" w:hAnsi="Times New Roman" w:cs="Times New Roman"/>
          <w:color w:val="auto"/>
          <w:highlight w:val="none"/>
          <w:lang w:val="en-US" w:eastAsia="zh-CN"/>
        </w:rPr>
        <w:t>的地下商业以外，改造工程确有困难时，地下部分可不设置消防电梯；地下部分新增设的消防电梯，宜通至地上各层；</w:t>
      </w:r>
    </w:p>
    <w:p w14:paraId="011A067E">
      <w:pPr>
        <w:bidi w:val="0"/>
        <w:ind w:left="0" w:leftChars="0"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u w:val="none"/>
          <w:lang w:val="en-US" w:eastAsia="zh-CN"/>
        </w:rPr>
        <w:t>4</w:t>
      </w:r>
      <w:r>
        <w:rPr>
          <w:rFonts w:hint="eastAsia" w:ascii="Times New Roman" w:hAnsi="Times New Roman" w:cs="Times New Roman"/>
          <w:color w:val="auto"/>
          <w:highlight w:val="none"/>
          <w:lang w:val="en-US" w:eastAsia="zh-CN"/>
        </w:rPr>
        <w:t xml:space="preserve">  在住宅与非住宅功能合建的建筑中，分别服务于住宅区域和非住宅功能区域的消防电梯，宜分别独立设置；</w:t>
      </w:r>
    </w:p>
    <w:p w14:paraId="0E5FB3A9">
      <w:pPr>
        <w:bidi w:val="0"/>
        <w:ind w:left="0" w:leftChars="0" w:firstLine="482" w:firstLineChars="200"/>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5</w:t>
      </w:r>
      <w:r>
        <w:rPr>
          <w:rFonts w:hint="eastAsia" w:ascii="Times New Roman" w:hAnsi="Times New Roman" w:cs="Times New Roman"/>
          <w:color w:val="auto"/>
          <w:highlight w:val="none"/>
          <w:lang w:val="en-US" w:eastAsia="zh-CN"/>
        </w:rPr>
        <w:t xml:space="preserve">  相邻两个防火分区可共用1台消防电梯，但应分别设置前室，前室的使用面积不应小于6.0m²，短边不应小于2.4m；</w:t>
      </w:r>
    </w:p>
    <w:p w14:paraId="19912990">
      <w:pPr>
        <w:bidi w:val="0"/>
        <w:ind w:left="0" w:leftChars="0" w:firstLine="482" w:firstLineChars="200"/>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6</w:t>
      </w:r>
      <w:r>
        <w:rPr>
          <w:rFonts w:hint="eastAsia" w:ascii="Times New Roman" w:hAnsi="Times New Roman" w:cs="Times New Roman"/>
          <w:color w:val="auto"/>
          <w:highlight w:val="none"/>
          <w:lang w:val="en-US" w:eastAsia="zh-CN"/>
        </w:rPr>
        <w:t xml:space="preserve">  住宅建筑中消防电梯前室的使用面积和尺寸，应符合原建造时标准的规定；其他建筑中消防电梯前室或合用前室的短边尺寸不宜小于2.4m；当受结构条件限制难以满足此要求时，应符合原建造时标准的规定。</w:t>
      </w:r>
    </w:p>
    <w:p w14:paraId="52398A46">
      <w:pPr>
        <w:bidi w:val="0"/>
        <w:ind w:left="0" w:leftChars="0" w:firstLine="482" w:firstLineChars="200"/>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7</w:t>
      </w:r>
      <w:r>
        <w:rPr>
          <w:rFonts w:hint="eastAsia" w:ascii="Times New Roman" w:hAnsi="Times New Roman" w:cs="Times New Roman"/>
          <w:color w:val="auto"/>
          <w:highlight w:val="none"/>
          <w:lang w:val="en-US" w:eastAsia="zh-CN"/>
        </w:rPr>
        <w:t xml:space="preserve">  消防电梯排水井的有效容量不宜小于2m</w:t>
      </w:r>
      <w:r>
        <w:rPr>
          <w:rFonts w:hint="eastAsia" w:ascii="Times New Roman" w:hAnsi="Times New Roman" w:cs="Times New Roman"/>
          <w:color w:val="auto"/>
          <w:highlight w:val="none"/>
          <w:vertAlign w:val="superscript"/>
          <w:lang w:val="en-US" w:eastAsia="zh-CN"/>
        </w:rPr>
        <w:t>3</w:t>
      </w:r>
      <w:r>
        <w:rPr>
          <w:rFonts w:hint="eastAsia" w:ascii="Times New Roman" w:hAnsi="Times New Roman" w:cs="Times New Roman"/>
          <w:color w:val="auto"/>
          <w:highlight w:val="none"/>
          <w:lang w:val="en-US" w:eastAsia="zh-CN"/>
        </w:rPr>
        <w:t>；当排水井的容量不满足要求时，应采取增大排水泵的流量等保障消防电梯在建筑灭火时正常运行的技术措施；</w:t>
      </w:r>
    </w:p>
    <w:p w14:paraId="59AB73F9">
      <w:pPr>
        <w:ind w:firstLine="482" w:firstLineChars="200"/>
        <w:rPr>
          <w:rFonts w:hint="default" w:ascii="Times New Roman" w:hAnsi="Times New Roman" w:cs="Times New Roman"/>
          <w:highlight w:val="none"/>
          <w:lang w:val="en-US" w:eastAsia="zh-CN"/>
        </w:rPr>
      </w:pPr>
      <w:r>
        <w:rPr>
          <w:rFonts w:hint="eastAsia" w:ascii="Times New Roman" w:hAnsi="Times New Roman" w:cs="Times New Roman"/>
          <w:b/>
          <w:bCs/>
          <w:color w:val="auto"/>
          <w:highlight w:val="none"/>
          <w:lang w:val="en-US" w:eastAsia="zh-CN"/>
        </w:rPr>
        <w:t>8</w:t>
      </w:r>
      <w:r>
        <w:rPr>
          <w:rFonts w:hint="eastAsia" w:ascii="Times New Roman" w:hAnsi="Times New Roman" w:cs="Times New Roman"/>
          <w:color w:val="auto"/>
          <w:highlight w:val="none"/>
          <w:lang w:val="en-US" w:eastAsia="zh-CN"/>
        </w:rPr>
        <w:t xml:space="preserve">  消防电梯的其他性能和设置要求应符合现行</w:t>
      </w:r>
      <w:r>
        <w:rPr>
          <w:rFonts w:hint="eastAsia" w:ascii="Times New Roman" w:hAnsi="Times New Roman" w:eastAsia="宋体" w:cs="Times New Roman"/>
          <w:color w:val="auto"/>
          <w:highlight w:val="none"/>
          <w:lang w:val="en-US" w:eastAsia="zh-CN"/>
        </w:rPr>
        <w:t>规范要求</w:t>
      </w:r>
      <w:r>
        <w:rPr>
          <w:rFonts w:hint="eastAsia" w:ascii="Times New Roman" w:hAnsi="Times New Roman" w:cs="Times New Roman"/>
          <w:color w:val="auto"/>
          <w:highlight w:val="none"/>
          <w:lang w:val="en-US" w:eastAsia="zh-CN"/>
        </w:rPr>
        <w:t>。</w:t>
      </w:r>
    </w:p>
    <w:p w14:paraId="5CC8AC95">
      <w:pPr>
        <w:rPr>
          <w:rFonts w:ascii="Times New Roman" w:hAnsi="Times New Roman" w:cs="Times New Roman"/>
          <w:highlight w:val="none"/>
        </w:rPr>
      </w:pPr>
      <w:r>
        <w:rPr>
          <w:rFonts w:hint="eastAsia" w:ascii="Times New Roman" w:hAnsi="Times New Roman" w:cs="Times New Roman"/>
          <w:b/>
          <w:bCs/>
          <w:highlight w:val="none"/>
          <w:lang w:val="en-US" w:eastAsia="zh-CN"/>
        </w:rPr>
        <w:t>4.3.5</w:t>
      </w:r>
      <w:r>
        <w:rPr>
          <w:rFonts w:hint="eastAsia" w:ascii="Times New Roman" w:hAnsi="Times New Roman" w:cs="Times New Roman"/>
          <w:highlight w:val="none"/>
        </w:rPr>
        <w:t xml:space="preserve">  应急排烟设施安全评估具体包含以下内容：</w:t>
      </w:r>
    </w:p>
    <w:p w14:paraId="49160A51">
      <w:pPr>
        <w:ind w:firstLine="482" w:firstLineChars="200"/>
        <w:rPr>
          <w:rFonts w:hint="eastAsia" w:ascii="Times New Roman" w:hAnsi="Times New Roman" w:eastAsia="宋体" w:cs="Times New Roman"/>
          <w:color w:val="auto"/>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设置机械加压送风系统并靠外墙或可直通屋面的</w:t>
      </w:r>
      <w:r>
        <w:rPr>
          <w:rFonts w:hint="eastAsia" w:ascii="Times New Roman" w:hAnsi="Times New Roman" w:cs="Times New Roman"/>
          <w:b w:val="0"/>
          <w:bCs w:val="0"/>
          <w:color w:val="auto"/>
          <w:highlight w:val="none"/>
          <w:lang w:val="en-US" w:eastAsia="zh-CN"/>
        </w:rPr>
        <w:t>封闭楼梯间、防烟楼梯间</w:t>
      </w:r>
      <w:bookmarkStart w:id="234" w:name="OLE_LINK84"/>
      <w:r>
        <w:rPr>
          <w:rFonts w:hint="eastAsia" w:ascii="Times New Roman" w:hAnsi="Times New Roman" w:cs="Times New Roman"/>
          <w:b w:val="0"/>
          <w:bCs w:val="0"/>
          <w:color w:val="auto"/>
          <w:highlight w:val="none"/>
          <w:lang w:val="en-US" w:eastAsia="zh-CN"/>
        </w:rPr>
        <w:t>应按规范要求设置消防应急排烟窗</w:t>
      </w:r>
      <w:bookmarkEnd w:id="234"/>
      <w:r>
        <w:rPr>
          <w:rFonts w:hint="eastAsia" w:ascii="Times New Roman" w:hAnsi="Times New Roman" w:cs="Times New Roman"/>
          <w:color w:val="auto"/>
          <w:highlight w:val="none"/>
          <w:lang w:eastAsia="zh-CN"/>
        </w:rPr>
        <w:t>；</w:t>
      </w:r>
    </w:p>
    <w:p w14:paraId="54405D1D">
      <w:pPr>
        <w:keepNext w:val="0"/>
        <w:keepLines w:val="0"/>
        <w:widowControl/>
        <w:suppressLineNumbers w:val="0"/>
        <w:ind w:firstLine="482" w:firstLineChars="200"/>
        <w:jc w:val="left"/>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color w:val="auto"/>
          <w:highlight w:val="none"/>
        </w:rPr>
        <w:t xml:space="preserve">  </w:t>
      </w:r>
      <w:r>
        <w:rPr>
          <w:rFonts w:hint="eastAsia" w:ascii="Times New Roman" w:hAnsi="Times New Roman" w:cs="Times New Roman"/>
          <w:b w:val="0"/>
          <w:bCs w:val="0"/>
          <w:color w:val="auto"/>
          <w:highlight w:val="none"/>
          <w:lang w:val="en-US" w:eastAsia="zh-CN"/>
        </w:rPr>
        <w:t>规范要求设置消防应急排烟排热设施的</w:t>
      </w:r>
      <w:r>
        <w:rPr>
          <w:rFonts w:hint="eastAsia" w:ascii="Times New Roman" w:hAnsi="Times New Roman" w:cs="Times New Roman"/>
          <w:b w:val="0"/>
          <w:bCs w:val="0"/>
          <w:color w:val="auto"/>
          <w:highlight w:val="none"/>
        </w:rPr>
        <w:t>建筑或部位</w:t>
      </w:r>
      <w:r>
        <w:rPr>
          <w:rFonts w:hint="eastAsia" w:ascii="Times New Roman" w:hAnsi="Times New Roman" w:cs="Times New Roman"/>
          <w:color w:val="auto"/>
          <w:highlight w:val="none"/>
          <w:lang w:eastAsia="zh-CN"/>
        </w:rPr>
        <w:t>应按规范要求设置消防应急排烟</w:t>
      </w:r>
      <w:r>
        <w:rPr>
          <w:rFonts w:hint="eastAsia" w:ascii="Times New Roman" w:hAnsi="Times New Roman" w:cs="Times New Roman"/>
          <w:color w:val="auto"/>
          <w:highlight w:val="none"/>
          <w:lang w:val="en-US" w:eastAsia="zh-CN"/>
        </w:rPr>
        <w:t>排热设施</w:t>
      </w:r>
      <w:r>
        <w:rPr>
          <w:rFonts w:hint="eastAsia" w:ascii="Times New Roman" w:hAnsi="Times New Roman" w:cs="Times New Roman"/>
          <w:color w:val="auto"/>
          <w:highlight w:val="none"/>
          <w:lang w:eastAsia="zh-CN"/>
        </w:rPr>
        <w:t>。</w:t>
      </w:r>
    </w:p>
    <w:p w14:paraId="10721F6C">
      <w:pPr>
        <w:rPr>
          <w:rFonts w:ascii="Times New Roman" w:hAnsi="Times New Roman" w:cs="Times New Roman"/>
          <w:highlight w:val="none"/>
        </w:rPr>
      </w:pPr>
      <w:bookmarkStart w:id="235" w:name="OLE_LINK75"/>
      <w:r>
        <w:rPr>
          <w:rFonts w:hint="eastAsia" w:ascii="Times New Roman" w:hAnsi="Times New Roman" w:cs="Times New Roman"/>
          <w:b/>
          <w:bCs/>
          <w:highlight w:val="none"/>
          <w:lang w:val="en-US" w:eastAsia="zh-CN"/>
        </w:rPr>
        <w:t>4.3.6</w:t>
      </w:r>
      <w:r>
        <w:rPr>
          <w:rFonts w:hint="eastAsia" w:ascii="Times New Roman" w:hAnsi="Times New Roman" w:cs="Times New Roman"/>
          <w:highlight w:val="none"/>
        </w:rPr>
        <w:t xml:space="preserve">  直升机停机坪安全评估具体包含以下内容：</w:t>
      </w:r>
    </w:p>
    <w:p w14:paraId="4B1594A4">
      <w:pPr>
        <w:ind w:firstLine="482" w:firstLineChars="200"/>
        <w:rPr>
          <w:rFonts w:hint="eastAsia" w:ascii="Times New Roman" w:hAnsi="Times New Roman" w:eastAsia="宋体" w:cs="Times New Roman"/>
          <w:highlight w:val="none"/>
          <w:lang w:eastAsia="zh-CN"/>
        </w:rPr>
      </w:pPr>
      <w:bookmarkStart w:id="236" w:name="OLE_LINK72"/>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bookmarkEnd w:id="236"/>
      <w:r>
        <w:rPr>
          <w:rFonts w:hint="eastAsia" w:ascii="Times New Roman" w:hAnsi="Times New Roman" w:cs="Times New Roman"/>
          <w:b w:val="0"/>
          <w:bCs w:val="0"/>
          <w:highlight w:val="none"/>
          <w:lang w:val="en-US" w:eastAsia="zh-CN"/>
        </w:rPr>
        <w:t>规范要求设置直升机停机坪的建筑应按规范要求在</w:t>
      </w:r>
      <w:r>
        <w:rPr>
          <w:rFonts w:hint="eastAsia" w:ascii="Times New Roman" w:hAnsi="Times New Roman" w:cs="Times New Roman"/>
          <w:highlight w:val="none"/>
        </w:rPr>
        <w:t>屋顶</w:t>
      </w:r>
      <w:r>
        <w:rPr>
          <w:rFonts w:hint="eastAsia" w:ascii="Times New Roman" w:hAnsi="Times New Roman" w:cs="Times New Roman"/>
          <w:highlight w:val="none"/>
          <w:lang w:val="en-US" w:eastAsia="zh-CN"/>
        </w:rPr>
        <w:t>设置</w:t>
      </w:r>
      <w:r>
        <w:rPr>
          <w:rFonts w:hint="eastAsia" w:ascii="Times New Roman" w:hAnsi="Times New Roman" w:cs="Times New Roman"/>
          <w:highlight w:val="none"/>
        </w:rPr>
        <w:t>直升机停机坪</w:t>
      </w:r>
      <w:r>
        <w:rPr>
          <w:rFonts w:hint="eastAsia" w:ascii="Times New Roman" w:hAnsi="Times New Roman" w:cs="Times New Roman"/>
          <w:highlight w:val="none"/>
          <w:lang w:eastAsia="zh-CN"/>
        </w:rPr>
        <w:t>；</w:t>
      </w:r>
    </w:p>
    <w:p w14:paraId="28D87C73">
      <w:pPr>
        <w:pStyle w:val="19"/>
        <w:spacing w:line="360" w:lineRule="auto"/>
        <w:ind w:firstLine="482" w:firstLineChars="200"/>
        <w:jc w:val="left"/>
        <w:rPr>
          <w:rFonts w:hint="eastAsia" w:ascii="Times New Roman" w:hAnsi="Times New Roman" w:eastAsia="宋体" w:cs="Times New Roman"/>
          <w:highlight w:val="none"/>
          <w:lang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bookmarkEnd w:id="235"/>
      <w:r>
        <w:rPr>
          <w:rFonts w:hint="eastAsia" w:ascii="Times New Roman" w:hAnsi="Times New Roman" w:cs="Times New Roman"/>
          <w:highlight w:val="none"/>
        </w:rPr>
        <w:t>直升机停机坪与</w:t>
      </w:r>
      <w:r>
        <w:rPr>
          <w:rFonts w:hint="eastAsia" w:cs="Times New Roman"/>
          <w:highlight w:val="none"/>
          <w:lang w:val="en-US" w:eastAsia="zh-CN"/>
        </w:rPr>
        <w:t>屋面上</w:t>
      </w:r>
      <w:r>
        <w:rPr>
          <w:rFonts w:hint="eastAsia" w:ascii="Times New Roman" w:hAnsi="Times New Roman" w:cs="Times New Roman"/>
          <w:highlight w:val="none"/>
        </w:rPr>
        <w:t>突出物的距离、</w:t>
      </w:r>
      <w:r>
        <w:rPr>
          <w:rFonts w:hint="eastAsia" w:ascii="Times New Roman" w:hAnsi="Times New Roman" w:cs="Times New Roman"/>
          <w:highlight w:val="none"/>
          <w:lang w:val="en-US" w:eastAsia="zh-CN"/>
        </w:rPr>
        <w:t>通向停机坪的</w:t>
      </w:r>
      <w:r>
        <w:rPr>
          <w:rFonts w:hint="eastAsia" w:ascii="Times New Roman" w:hAnsi="Times New Roman" w:cs="Times New Roman"/>
          <w:highlight w:val="none"/>
        </w:rPr>
        <w:t>出口数量和宽度、四周航空障碍灯、应急照明</w:t>
      </w:r>
      <w:r>
        <w:rPr>
          <w:rFonts w:hint="eastAsia" w:cs="Times New Roman"/>
          <w:highlight w:val="none"/>
          <w:lang w:val="en-US" w:eastAsia="zh-CN"/>
        </w:rPr>
        <w:t>装置、</w:t>
      </w:r>
      <w:r>
        <w:rPr>
          <w:rFonts w:hint="eastAsia" w:ascii="Times New Roman" w:hAnsi="Times New Roman" w:cs="Times New Roman"/>
          <w:highlight w:val="none"/>
        </w:rPr>
        <w:t>消火栓</w:t>
      </w:r>
      <w:r>
        <w:rPr>
          <w:rFonts w:hint="eastAsia" w:cs="Times New Roman"/>
          <w:highlight w:val="none"/>
          <w:lang w:val="en-US" w:eastAsia="zh-CN"/>
        </w:rPr>
        <w:t>设置</w:t>
      </w:r>
      <w:r>
        <w:rPr>
          <w:rFonts w:hint="eastAsia" w:ascii="Times New Roman" w:hAnsi="Times New Roman" w:cs="Times New Roman"/>
          <w:highlight w:val="none"/>
        </w:rPr>
        <w:t>等</w:t>
      </w:r>
      <w:r>
        <w:rPr>
          <w:rFonts w:hint="eastAsia" w:ascii="Times New Roman" w:hAnsi="Times New Roman" w:cs="Times New Roman"/>
          <w:highlight w:val="none"/>
          <w:lang w:eastAsia="zh-CN"/>
        </w:rPr>
        <w:t>应符合规范要求</w:t>
      </w:r>
      <w:r>
        <w:rPr>
          <w:rFonts w:hint="eastAsia" w:cs="Times New Roman"/>
          <w:highlight w:val="none"/>
          <w:lang w:eastAsia="zh-CN"/>
        </w:rPr>
        <w:t>；</w:t>
      </w:r>
    </w:p>
    <w:p w14:paraId="11318B7F">
      <w:pPr>
        <w:pStyle w:val="19"/>
        <w:spacing w:line="360" w:lineRule="auto"/>
        <w:ind w:firstLine="482" w:firstLineChars="200"/>
        <w:jc w:val="left"/>
        <w:rPr>
          <w:rFonts w:hint="eastAsia" w:cs="Times New Roman"/>
          <w:highlight w:val="none"/>
          <w:lang w:val="en-US" w:eastAsia="zh-CN"/>
        </w:rPr>
      </w:pPr>
      <w:r>
        <w:rPr>
          <w:rFonts w:hint="eastAsia" w:cs="Times New Roman"/>
          <w:b/>
          <w:bCs w:val="0"/>
          <w:highlight w:val="none"/>
          <w:lang w:val="en-US" w:eastAsia="zh-CN"/>
        </w:rPr>
        <w:t>3</w:t>
      </w:r>
      <w:r>
        <w:rPr>
          <w:rFonts w:hint="eastAsia" w:cs="Times New Roman"/>
          <w:highlight w:val="none"/>
          <w:lang w:val="en-US" w:eastAsia="zh-CN"/>
        </w:rPr>
        <w:t xml:space="preserve">  供直升机救助使用的设施应避免火灾或高温烟气的直接作用，其结构承载力、设备与结构的连接应满足设计允许的人数停留和该地区最大风速作用的要求；</w:t>
      </w:r>
    </w:p>
    <w:p w14:paraId="3B1E7DB6">
      <w:pPr>
        <w:pStyle w:val="19"/>
        <w:spacing w:line="360" w:lineRule="auto"/>
        <w:ind w:firstLine="482" w:firstLineChars="200"/>
        <w:jc w:val="left"/>
        <w:rPr>
          <w:rFonts w:hint="default" w:cs="Times New Roman"/>
          <w:highlight w:val="none"/>
          <w:lang w:val="en-US" w:eastAsia="zh-CN"/>
        </w:rPr>
      </w:pPr>
      <w:r>
        <w:rPr>
          <w:rFonts w:hint="eastAsia" w:cs="Times New Roman"/>
          <w:b/>
          <w:bCs w:val="0"/>
          <w:highlight w:val="none"/>
          <w:lang w:val="en-US" w:eastAsia="zh-CN"/>
        </w:rPr>
        <w:t>4</w:t>
      </w:r>
      <w:r>
        <w:rPr>
          <w:rFonts w:hint="eastAsia" w:cs="Times New Roman"/>
          <w:highlight w:val="none"/>
          <w:lang w:val="en-US" w:eastAsia="zh-CN"/>
        </w:rPr>
        <w:t xml:space="preserve">  既有建筑改造中</w:t>
      </w:r>
      <w:r>
        <w:rPr>
          <w:rFonts w:hint="eastAsia" w:ascii="Times New Roman" w:hAnsi="Times New Roman" w:cs="Times New Roman"/>
          <w:color w:val="auto"/>
          <w:highlight w:val="none"/>
          <w:u w:val="none"/>
          <w:lang w:val="en-US" w:eastAsia="zh-CN"/>
        </w:rPr>
        <w:t>按照国家现行</w:t>
      </w:r>
      <w:r>
        <w:rPr>
          <w:rFonts w:hint="eastAsia" w:cs="Times New Roman"/>
          <w:color w:val="auto"/>
          <w:highlight w:val="none"/>
          <w:u w:val="none"/>
          <w:lang w:val="en-US" w:eastAsia="zh-CN"/>
        </w:rPr>
        <w:t>规范的要求</w:t>
      </w:r>
      <w:r>
        <w:rPr>
          <w:rFonts w:hint="eastAsia" w:ascii="Times New Roman" w:hAnsi="Times New Roman" w:cs="Times New Roman"/>
          <w:color w:val="auto"/>
          <w:highlight w:val="none"/>
          <w:u w:val="none"/>
          <w:lang w:val="en-US" w:eastAsia="zh-CN"/>
        </w:rPr>
        <w:t>应设置屋顶直升机停机坪的建筑，当因结构和屋面平面布置等原因无法增设时，应设置直升机救助设施</w:t>
      </w:r>
      <w:r>
        <w:rPr>
          <w:rFonts w:hint="eastAsia" w:cs="Times New Roman"/>
          <w:color w:val="auto"/>
          <w:highlight w:val="none"/>
          <w:u w:val="none"/>
          <w:lang w:val="en-US" w:eastAsia="zh-CN"/>
        </w:rPr>
        <w:t>。</w:t>
      </w:r>
    </w:p>
    <w:p w14:paraId="4529E4E0">
      <w:pPr>
        <w:pStyle w:val="19"/>
        <w:spacing w:line="360" w:lineRule="auto"/>
        <w:jc w:val="center"/>
        <w:rPr>
          <w:rFonts w:hint="eastAsia"/>
          <w:b/>
          <w:color w:val="FF0000"/>
          <w:highlight w:val="none"/>
          <w:lang w:eastAsia="zh"/>
        </w:rPr>
      </w:pPr>
      <w:r>
        <w:rPr>
          <w:rFonts w:hint="default" w:ascii="Times New Roman" w:hAnsi="Times New Roman" w:cs="Times New Roman"/>
          <w:b/>
          <w:highlight w:val="none"/>
          <w:lang w:eastAsia="zh"/>
        </w:rPr>
        <w:t>Ⅱ</w:t>
      </w:r>
      <w:r>
        <w:rPr>
          <w:rFonts w:hint="eastAsia"/>
          <w:b/>
          <w:highlight w:val="none"/>
          <w:lang w:eastAsia="zh"/>
        </w:rPr>
        <w:t xml:space="preserve">  总平面</w:t>
      </w:r>
      <w:r>
        <w:rPr>
          <w:rFonts w:hint="eastAsia"/>
          <w:b/>
          <w:color w:val="auto"/>
          <w:highlight w:val="none"/>
          <w:lang w:val="en-US" w:eastAsia="zh-CN"/>
        </w:rPr>
        <w:t>布局</w:t>
      </w:r>
    </w:p>
    <w:p w14:paraId="52B28F45">
      <w:pPr>
        <w:rPr>
          <w:rFonts w:hint="eastAsia" w:ascii="Times New Roman" w:hAnsi="Times New Roman" w:eastAsia="宋体" w:cs="Times New Roman"/>
          <w:b/>
          <w:bCs/>
          <w:color w:val="auto"/>
          <w:kern w:val="2"/>
          <w:sz w:val="24"/>
          <w:szCs w:val="28"/>
          <w:highlight w:val="none"/>
          <w:lang w:val="en-US" w:eastAsia="zh-CN" w:bidi="ar"/>
        </w:rPr>
      </w:pPr>
      <w:bookmarkStart w:id="237" w:name="OLE_LINK78"/>
      <w:r>
        <w:rPr>
          <w:rFonts w:hint="eastAsia" w:ascii="Times New Roman" w:hAnsi="Times New Roman" w:cs="Times New Roman"/>
          <w:b/>
          <w:bCs/>
          <w:highlight w:val="none"/>
          <w:lang w:val="en-US" w:eastAsia="zh-CN"/>
        </w:rPr>
        <w:t>4.3.7</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总平面布局</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包含防火间距</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消防车道</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消防车登高操作场地</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p>
    <w:p w14:paraId="2B10E0AE">
      <w:pPr>
        <w:rPr>
          <w:rFonts w:ascii="Times New Roman" w:hAnsi="Times New Roman" w:cs="Times New Roman"/>
          <w:highlight w:val="none"/>
        </w:rPr>
      </w:pPr>
      <w:r>
        <w:rPr>
          <w:rFonts w:hint="eastAsia" w:ascii="Times New Roman" w:hAnsi="Times New Roman" w:cs="Times New Roman"/>
          <w:b/>
          <w:bCs/>
          <w:color w:val="auto"/>
          <w:kern w:val="2"/>
          <w:sz w:val="24"/>
          <w:szCs w:val="28"/>
          <w:highlight w:val="none"/>
          <w:lang w:val="en-US" w:eastAsia="zh-CN" w:bidi="ar"/>
        </w:rPr>
        <w:t>4.3.8</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防火间距</w:t>
      </w:r>
      <w:r>
        <w:rPr>
          <w:rFonts w:hint="eastAsia" w:ascii="Times New Roman" w:hAnsi="Times New Roman" w:cs="Times New Roman"/>
          <w:highlight w:val="none"/>
        </w:rPr>
        <w:t>安全评估具体包含以下内容：</w:t>
      </w:r>
    </w:p>
    <w:p w14:paraId="29814A8E">
      <w:pPr>
        <w:ind w:firstLine="482" w:firstLineChars="200"/>
        <w:rPr>
          <w:rFonts w:hint="eastAsia" w:ascii="Times New Roman" w:hAnsi="Times New Roman" w:eastAsia="宋体"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与相邻建筑物的间距</w:t>
      </w:r>
      <w:bookmarkStart w:id="238" w:name="OLE_LINK76"/>
      <w:r>
        <w:rPr>
          <w:rFonts w:hint="eastAsia" w:ascii="Times New Roman" w:hAnsi="Times New Roman" w:cs="Times New Roman"/>
          <w:highlight w:val="none"/>
          <w:lang w:eastAsia="zh-CN"/>
        </w:rPr>
        <w:t>应符合规范要求；</w:t>
      </w:r>
      <w:bookmarkEnd w:id="238"/>
    </w:p>
    <w:p w14:paraId="178D6740">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与甲、乙类物品运输车的汽车库、修车库和停车场的间距</w:t>
      </w:r>
      <w:bookmarkStart w:id="239" w:name="OLE_LINK77"/>
      <w:r>
        <w:rPr>
          <w:rFonts w:hint="eastAsia" w:ascii="Times New Roman" w:hAnsi="Times New Roman" w:cs="Times New Roman"/>
          <w:highlight w:val="none"/>
          <w:lang w:eastAsia="zh-CN"/>
        </w:rPr>
        <w:t>应符合规范要求；</w:t>
      </w:r>
      <w:bookmarkEnd w:id="239"/>
    </w:p>
    <w:p w14:paraId="716B5934">
      <w:pPr>
        <w:keepNext w:val="0"/>
        <w:keepLines w:val="0"/>
        <w:widowControl/>
        <w:suppressLineNumbers w:val="0"/>
        <w:ind w:firstLine="482" w:firstLineChars="200"/>
        <w:jc w:val="left"/>
        <w:rPr>
          <w:rFonts w:hint="eastAsia" w:ascii="Times New Roman" w:hAnsi="Times New Roman" w:eastAsia="宋体" w:cs="Times New Roman"/>
          <w:b w:val="0"/>
          <w:bCs w:val="0"/>
          <w:highlight w:val="none"/>
          <w:lang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eastAsia="zh-CN"/>
        </w:rPr>
        <w:t>与甲类厂房、甲类仓库、乙类仓库的间距应符合规范要求；</w:t>
      </w:r>
    </w:p>
    <w:p w14:paraId="40B7955D">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U型或山型等建筑两翼之间的</w:t>
      </w:r>
      <w:r>
        <w:rPr>
          <w:rFonts w:hint="eastAsia" w:ascii="Times New Roman" w:hAnsi="Times New Roman" w:cs="Times New Roman"/>
          <w:b w:val="0"/>
          <w:bCs w:val="0"/>
          <w:highlight w:val="none"/>
          <w:lang w:val="en-US" w:eastAsia="zh-CN"/>
        </w:rPr>
        <w:t>间距</w:t>
      </w:r>
      <w:r>
        <w:rPr>
          <w:rFonts w:hint="eastAsia" w:ascii="Times New Roman" w:hAnsi="Times New Roman" w:cs="Times New Roman"/>
          <w:highlight w:val="none"/>
          <w:lang w:eastAsia="zh-CN"/>
        </w:rPr>
        <w:t>应符合规范要求；</w:t>
      </w:r>
    </w:p>
    <w:p w14:paraId="07921AD7">
      <w:pPr>
        <w:keepNext w:val="0"/>
        <w:keepLines w:val="0"/>
        <w:widowControl/>
        <w:suppressLineNumbers w:val="0"/>
        <w:ind w:firstLine="482" w:firstLineChars="200"/>
        <w:jc w:val="left"/>
        <w:rPr>
          <w:rFonts w:hint="eastAsia" w:ascii="Times New Roman" w:hAnsi="Times New Roman" w:cs="Times New Roman"/>
          <w:b w:val="0"/>
          <w:bCs w:val="0"/>
          <w:highlight w:val="none"/>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lang w:val="en-US" w:eastAsia="zh-CN"/>
        </w:rPr>
        <w:t xml:space="preserve">  </w:t>
      </w:r>
      <w:r>
        <w:rPr>
          <w:rFonts w:hint="eastAsia" w:ascii="Times New Roman" w:hAnsi="Times New Roman" w:cs="Times New Roman"/>
          <w:b w:val="0"/>
          <w:bCs w:val="0"/>
          <w:highlight w:val="none"/>
        </w:rPr>
        <w:t>相邻两座通过连廊、天桥或下部建筑物等连接的建筑</w:t>
      </w:r>
      <w:r>
        <w:rPr>
          <w:rFonts w:hint="eastAsia" w:ascii="Times New Roman" w:hAnsi="Times New Roman" w:cs="Times New Roman"/>
          <w:b w:val="0"/>
          <w:bCs w:val="0"/>
          <w:highlight w:val="none"/>
          <w:lang w:eastAsia="zh-CN"/>
        </w:rPr>
        <w:t>，</w:t>
      </w:r>
      <w:r>
        <w:rPr>
          <w:rFonts w:hint="eastAsia" w:ascii="Times New Roman" w:hAnsi="Times New Roman" w:cs="Times New Roman"/>
          <w:b w:val="0"/>
          <w:bCs w:val="0"/>
          <w:highlight w:val="none"/>
        </w:rPr>
        <w:t>防火间距</w:t>
      </w:r>
      <w:r>
        <w:rPr>
          <w:rFonts w:hint="eastAsia" w:ascii="Times New Roman" w:hAnsi="Times New Roman" w:cs="Times New Roman"/>
          <w:highlight w:val="none"/>
          <w:lang w:eastAsia="zh-CN"/>
        </w:rPr>
        <w:t>应按照两座独立建筑确定；</w:t>
      </w:r>
    </w:p>
    <w:p w14:paraId="5131CA9F">
      <w:pPr>
        <w:keepNext w:val="0"/>
        <w:keepLines w:val="0"/>
        <w:widowControl/>
        <w:suppressLineNumbers w:val="0"/>
        <w:ind w:firstLine="482" w:firstLineChars="200"/>
        <w:jc w:val="left"/>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6</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u w:val="none"/>
          <w:lang w:val="en-US" w:eastAsia="zh-CN"/>
        </w:rPr>
        <w:t>整体改造的既有建筑与相邻既有建筑的防火间距宜</w:t>
      </w:r>
      <w:r>
        <w:rPr>
          <w:rFonts w:hint="eastAsia" w:ascii="Times New Roman" w:hAnsi="Times New Roman" w:cs="Times New Roman"/>
          <w:color w:val="auto"/>
          <w:highlight w:val="none"/>
          <w:u w:val="none"/>
          <w:lang w:val="en-US" w:eastAsia="zh-CN"/>
        </w:rPr>
        <w:t>符合</w:t>
      </w:r>
      <w:r>
        <w:rPr>
          <w:rFonts w:hint="default" w:ascii="Times New Roman" w:hAnsi="Times New Roman" w:cs="Times New Roman"/>
          <w:color w:val="auto"/>
          <w:highlight w:val="none"/>
          <w:u w:val="none"/>
          <w:lang w:val="en-US" w:eastAsia="zh-CN"/>
        </w:rPr>
        <w:t>国家现行</w:t>
      </w:r>
      <w:r>
        <w:rPr>
          <w:rFonts w:hint="eastAsia" w:ascii="Times New Roman" w:hAnsi="Times New Roman" w:cs="Times New Roman"/>
          <w:color w:val="auto"/>
          <w:highlight w:val="none"/>
          <w:u w:val="none"/>
          <w:lang w:val="en-US" w:eastAsia="zh-CN"/>
        </w:rPr>
        <w:t>规范的要求。</w:t>
      </w:r>
      <w:r>
        <w:rPr>
          <w:rFonts w:hint="eastAsia" w:ascii="Times New Roman" w:hAnsi="Times New Roman" w:cs="Times New Roman"/>
          <w:color w:val="auto"/>
          <w:highlight w:val="none"/>
          <w:lang w:val="en-US" w:eastAsia="zh-CN"/>
        </w:rPr>
        <w:t>当防火间距不符合要求时，宜采取增加防火墙、提高建筑外墙的耐火极限和燃烧性能、改变建筑外墙上正对开口的位置、提高建筑外墙上开口门、窗的防火性能等防火技术措施。</w:t>
      </w:r>
    </w:p>
    <w:bookmarkEnd w:id="237"/>
    <w:p w14:paraId="65A25BA2">
      <w:pPr>
        <w:rPr>
          <w:rFonts w:ascii="Times New Roman" w:hAnsi="Times New Roman" w:cs="Times New Roman"/>
          <w:highlight w:val="none"/>
        </w:rPr>
      </w:pPr>
      <w:bookmarkStart w:id="240" w:name="OLE_LINK79"/>
      <w:r>
        <w:rPr>
          <w:rFonts w:hint="eastAsia" w:ascii="Times New Roman" w:hAnsi="Times New Roman" w:cs="Times New Roman"/>
          <w:b/>
          <w:bCs/>
          <w:color w:val="auto"/>
          <w:kern w:val="2"/>
          <w:sz w:val="24"/>
          <w:szCs w:val="28"/>
          <w:highlight w:val="none"/>
          <w:lang w:val="en-US" w:eastAsia="zh-CN" w:bidi="ar"/>
        </w:rPr>
        <w:t>4.3.9</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消防车道</w:t>
      </w:r>
      <w:r>
        <w:rPr>
          <w:rFonts w:hint="eastAsia" w:ascii="Times New Roman" w:hAnsi="Times New Roman" w:cs="Times New Roman"/>
          <w:highlight w:val="none"/>
        </w:rPr>
        <w:t>安全评估应具体包含以下内容：</w:t>
      </w:r>
    </w:p>
    <w:p w14:paraId="64A78B05">
      <w:pPr>
        <w:ind w:firstLine="482" w:firstLineChars="200"/>
        <w:rPr>
          <w:rFonts w:hint="eastAsia" w:ascii="Times New Roman" w:hAnsi="Times New Roman" w:eastAsia="宋体"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bookmarkStart w:id="241" w:name="OLE_LINK80"/>
      <w:r>
        <w:rPr>
          <w:rFonts w:hint="eastAsia" w:ascii="Times New Roman" w:hAnsi="Times New Roman" w:cs="Times New Roman"/>
          <w:b w:val="0"/>
          <w:bCs w:val="0"/>
          <w:highlight w:val="none"/>
          <w:lang w:val="en-US" w:eastAsia="zh-CN"/>
        </w:rPr>
        <w:t>应按规范要求设置消防车道</w:t>
      </w:r>
      <w:bookmarkEnd w:id="241"/>
      <w:r>
        <w:rPr>
          <w:rFonts w:hint="eastAsia" w:ascii="Times New Roman" w:hAnsi="Times New Roman" w:cs="Times New Roman"/>
          <w:b w:val="0"/>
          <w:bCs w:val="0"/>
          <w:highlight w:val="none"/>
          <w:lang w:val="en-US" w:eastAsia="zh-CN"/>
        </w:rPr>
        <w:t>，并</w:t>
      </w:r>
      <w:r>
        <w:rPr>
          <w:rFonts w:hint="eastAsia" w:ascii="Times New Roman" w:hAnsi="Times New Roman" w:cs="Times New Roman"/>
          <w:b w:val="0"/>
          <w:bCs w:val="0"/>
          <w:highlight w:val="none"/>
        </w:rPr>
        <w:t>与外部公路或街道连通</w:t>
      </w:r>
      <w:r>
        <w:rPr>
          <w:rFonts w:hint="eastAsia" w:ascii="Times New Roman" w:hAnsi="Times New Roman" w:cs="Times New Roman"/>
          <w:highlight w:val="none"/>
          <w:lang w:eastAsia="zh-CN"/>
        </w:rPr>
        <w:t>；</w:t>
      </w:r>
    </w:p>
    <w:p w14:paraId="041E6548">
      <w:pPr>
        <w:keepNext w:val="0"/>
        <w:keepLines w:val="0"/>
        <w:widowControl/>
        <w:suppressLineNumbers w:val="0"/>
        <w:ind w:firstLine="482" w:firstLineChars="200"/>
        <w:jc w:val="left"/>
        <w:rPr>
          <w:rFonts w:hint="eastAsia" w:ascii="Times New Roman" w:hAnsi="Times New Roman" w:cs="Times New Roman"/>
          <w:b w:val="0"/>
          <w:bCs w:val="0"/>
          <w:highlight w:val="none"/>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eastAsia="zh-CN"/>
        </w:rPr>
        <w:t>当建筑仅设置</w:t>
      </w:r>
      <w:r>
        <w:rPr>
          <w:rFonts w:hint="eastAsia" w:ascii="Times New Roman" w:hAnsi="Times New Roman" w:cs="Times New Roman"/>
          <w:b w:val="0"/>
          <w:bCs w:val="0"/>
          <w:highlight w:val="none"/>
          <w:lang w:val="en-US" w:eastAsia="zh-CN"/>
        </w:rPr>
        <w:t>1条消防车道时，该消防车道应位于建筑的消防车登高操作场地一侧</w:t>
      </w:r>
      <w:r>
        <w:rPr>
          <w:rFonts w:hint="eastAsia" w:ascii="Times New Roman" w:hAnsi="Times New Roman" w:cs="Times New Roman"/>
          <w:b w:val="0"/>
          <w:bCs w:val="0"/>
          <w:highlight w:val="none"/>
        </w:rPr>
        <w:t>；</w:t>
      </w:r>
    </w:p>
    <w:p w14:paraId="7B67D370">
      <w:pPr>
        <w:keepNext w:val="0"/>
        <w:keepLines w:val="0"/>
        <w:widowControl/>
        <w:suppressLineNumbers w:val="0"/>
        <w:ind w:firstLine="482" w:firstLineChars="200"/>
        <w:jc w:val="left"/>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 xml:space="preserve">3  </w:t>
      </w:r>
      <w:r>
        <w:rPr>
          <w:rFonts w:hint="eastAsia" w:ascii="Times New Roman" w:hAnsi="Times New Roman" w:cs="Times New Roman"/>
          <w:b w:val="0"/>
          <w:bCs w:val="0"/>
          <w:highlight w:val="none"/>
          <w:lang w:val="en-US" w:eastAsia="zh-CN"/>
        </w:rPr>
        <w:t>供消防车取水的天然水源和消防水池应设置消防车道并满足消防车可靠取水的要求；</w:t>
      </w:r>
    </w:p>
    <w:p w14:paraId="7A749963">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消防车道</w:t>
      </w:r>
      <w:r>
        <w:rPr>
          <w:rFonts w:hint="eastAsia" w:ascii="Times New Roman" w:hAnsi="Times New Roman" w:cs="Times New Roman"/>
          <w:b w:val="0"/>
          <w:bCs w:val="0"/>
          <w:highlight w:val="none"/>
          <w:lang w:eastAsia="zh-CN"/>
        </w:rPr>
        <w:t>的</w:t>
      </w:r>
      <w:r>
        <w:rPr>
          <w:rFonts w:hint="eastAsia" w:ascii="Times New Roman" w:hAnsi="Times New Roman" w:cs="Times New Roman"/>
          <w:b w:val="0"/>
          <w:bCs w:val="0"/>
          <w:highlight w:val="none"/>
        </w:rPr>
        <w:t>坡度及承重</w:t>
      </w:r>
      <w:r>
        <w:rPr>
          <w:rFonts w:hint="eastAsia" w:ascii="Times New Roman" w:hAnsi="Times New Roman" w:cs="Times New Roman"/>
          <w:b w:val="0"/>
          <w:bCs w:val="0"/>
          <w:highlight w:val="none"/>
          <w:lang w:eastAsia="zh-CN"/>
        </w:rPr>
        <w:t>，</w:t>
      </w:r>
      <w:r>
        <w:rPr>
          <w:rFonts w:hint="eastAsia" w:ascii="Times New Roman" w:hAnsi="Times New Roman" w:cs="Times New Roman"/>
          <w:b w:val="0"/>
          <w:bCs w:val="0"/>
          <w:highlight w:val="none"/>
        </w:rPr>
        <w:t>净宽度、净空高度和转弯半径，</w:t>
      </w:r>
      <w:r>
        <w:rPr>
          <w:rFonts w:hint="eastAsia" w:ascii="Times New Roman" w:hAnsi="Times New Roman" w:cs="Times New Roman"/>
          <w:b w:val="0"/>
          <w:bCs w:val="0"/>
          <w:highlight w:val="none"/>
          <w:lang w:eastAsia="zh-CN"/>
        </w:rPr>
        <w:t>长度大于</w:t>
      </w:r>
      <w:r>
        <w:rPr>
          <w:rFonts w:hint="eastAsia" w:ascii="Times New Roman" w:hAnsi="Times New Roman" w:cs="Times New Roman"/>
          <w:b w:val="0"/>
          <w:bCs w:val="0"/>
          <w:highlight w:val="none"/>
          <w:lang w:val="en-US" w:eastAsia="zh-CN"/>
        </w:rPr>
        <w:t>40m的</w:t>
      </w:r>
      <w:r>
        <w:rPr>
          <w:rFonts w:hint="eastAsia" w:ascii="Times New Roman" w:hAnsi="Times New Roman" w:cs="Times New Roman"/>
          <w:b w:val="0"/>
          <w:bCs w:val="0"/>
          <w:highlight w:val="none"/>
        </w:rPr>
        <w:t>尽头式消防车道</w:t>
      </w:r>
      <w:r>
        <w:rPr>
          <w:rFonts w:hint="eastAsia" w:ascii="Times New Roman" w:hAnsi="Times New Roman" w:cs="Times New Roman"/>
          <w:b w:val="0"/>
          <w:bCs w:val="0"/>
          <w:highlight w:val="none"/>
          <w:lang w:eastAsia="zh-CN"/>
        </w:rPr>
        <w:t>应设置满足消防车回转要求的场地或道路</w:t>
      </w:r>
      <w:r>
        <w:rPr>
          <w:rFonts w:hint="eastAsia" w:ascii="Times New Roman" w:hAnsi="Times New Roman" w:cs="Times New Roman"/>
          <w:highlight w:val="none"/>
          <w:lang w:eastAsia="zh-CN"/>
        </w:rPr>
        <w:t>；</w:t>
      </w:r>
    </w:p>
    <w:p w14:paraId="17E849F7">
      <w:pPr>
        <w:keepNext w:val="0"/>
        <w:keepLines w:val="0"/>
        <w:widowControl/>
        <w:suppressLineNumbers w:val="0"/>
        <w:ind w:firstLine="482" w:firstLineChars="200"/>
        <w:jc w:val="left"/>
        <w:rPr>
          <w:rFonts w:hint="eastAsia" w:ascii="Times New Roman" w:hAnsi="Times New Roman" w:eastAsia="宋体" w:cs="Times New Roman"/>
          <w:b w:val="0"/>
          <w:bCs w:val="0"/>
          <w:highlight w:val="none"/>
          <w:lang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消防车道与建筑</w:t>
      </w:r>
      <w:r>
        <w:rPr>
          <w:rFonts w:hint="eastAsia" w:ascii="Times New Roman" w:hAnsi="Times New Roman" w:cs="Times New Roman"/>
          <w:b w:val="0"/>
          <w:bCs w:val="0"/>
          <w:highlight w:val="none"/>
          <w:lang w:eastAsia="zh-CN"/>
        </w:rPr>
        <w:t>外墙的水平距离</w:t>
      </w:r>
      <w:r>
        <w:rPr>
          <w:rFonts w:hint="eastAsia" w:ascii="Times New Roman" w:hAnsi="Times New Roman" w:cs="Times New Roman"/>
          <w:b w:val="0"/>
          <w:bCs w:val="0"/>
          <w:highlight w:val="none"/>
        </w:rPr>
        <w:t>应符合规范的要求，</w:t>
      </w:r>
      <w:r>
        <w:rPr>
          <w:rFonts w:hint="eastAsia" w:ascii="Times New Roman" w:hAnsi="Times New Roman" w:cs="Times New Roman"/>
          <w:b w:val="0"/>
          <w:bCs w:val="0"/>
          <w:highlight w:val="none"/>
          <w:lang w:val="en-US" w:eastAsia="zh-CN"/>
        </w:rPr>
        <w:t>且</w:t>
      </w:r>
      <w:r>
        <w:rPr>
          <w:rFonts w:hint="eastAsia" w:ascii="Times New Roman" w:hAnsi="Times New Roman" w:cs="Times New Roman"/>
          <w:b w:val="0"/>
          <w:bCs w:val="0"/>
          <w:highlight w:val="none"/>
        </w:rPr>
        <w:t>不应有妨碍消防车</w:t>
      </w:r>
      <w:r>
        <w:rPr>
          <w:rFonts w:hint="eastAsia" w:ascii="Times New Roman" w:hAnsi="Times New Roman" w:cs="Times New Roman"/>
          <w:b w:val="0"/>
          <w:bCs w:val="0"/>
          <w:highlight w:val="none"/>
          <w:lang w:eastAsia="zh-CN"/>
        </w:rPr>
        <w:t>操作</w:t>
      </w:r>
      <w:r>
        <w:rPr>
          <w:rFonts w:hint="eastAsia" w:ascii="Times New Roman" w:hAnsi="Times New Roman" w:cs="Times New Roman"/>
          <w:b w:val="0"/>
          <w:bCs w:val="0"/>
          <w:highlight w:val="none"/>
        </w:rPr>
        <w:t>的障碍物</w:t>
      </w:r>
      <w:r>
        <w:rPr>
          <w:rFonts w:hint="eastAsia" w:ascii="Times New Roman" w:hAnsi="Times New Roman" w:cs="Times New Roman"/>
          <w:b w:val="0"/>
          <w:bCs w:val="0"/>
          <w:highlight w:val="none"/>
          <w:lang w:eastAsia="zh-CN"/>
        </w:rPr>
        <w:t>；</w:t>
      </w:r>
    </w:p>
    <w:p w14:paraId="3C8DF065">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lang w:eastAsia="zh-CN"/>
        </w:rPr>
        <w:t>消防车道应设置标识，不应被占用、堵塞；</w:t>
      </w:r>
    </w:p>
    <w:p w14:paraId="4E5F3407">
      <w:pPr>
        <w:keepNext w:val="0"/>
        <w:keepLines w:val="0"/>
        <w:widowControl/>
        <w:suppressLineNumbers w:val="0"/>
        <w:ind w:firstLine="482" w:firstLineChars="200"/>
        <w:jc w:val="left"/>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7</w:t>
      </w:r>
      <w:r>
        <w:rPr>
          <w:rFonts w:hint="eastAsia" w:ascii="Times New Roman" w:hAnsi="Times New Roman" w:cs="Times New Roman"/>
          <w:highlight w:val="none"/>
          <w:lang w:val="en-US" w:eastAsia="zh-CN"/>
        </w:rPr>
        <w:t xml:space="preserve">  当改造工程由于现状场地条件不足，难以符合现行消防技术标准规定的场地内消防车道相关设计要求时，可维持既有建筑场地内消防车道现状，本条包括了建筑平面外轮廓少量增大但未影响场地既有消防车道的情形。</w:t>
      </w:r>
    </w:p>
    <w:bookmarkEnd w:id="240"/>
    <w:p w14:paraId="56BC4A57">
      <w:pPr>
        <w:rPr>
          <w:rFonts w:ascii="Times New Roman" w:hAnsi="Times New Roman" w:cs="Times New Roman"/>
          <w:highlight w:val="none"/>
        </w:rPr>
      </w:pPr>
      <w:r>
        <w:rPr>
          <w:rFonts w:hint="eastAsia" w:ascii="Times New Roman" w:hAnsi="Times New Roman" w:cs="Times New Roman"/>
          <w:b/>
          <w:bCs/>
          <w:color w:val="auto"/>
          <w:kern w:val="2"/>
          <w:sz w:val="24"/>
          <w:szCs w:val="28"/>
          <w:highlight w:val="none"/>
          <w:lang w:val="en-US" w:eastAsia="zh-CN" w:bidi="ar"/>
        </w:rPr>
        <w:t>4.3.10</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消防车登高操作场地</w:t>
      </w:r>
      <w:r>
        <w:rPr>
          <w:rFonts w:hint="eastAsia" w:ascii="Times New Roman" w:hAnsi="Times New Roman" w:cs="Times New Roman"/>
          <w:highlight w:val="none"/>
        </w:rPr>
        <w:t>安全评估具体包含以下内容：</w:t>
      </w:r>
    </w:p>
    <w:p w14:paraId="15D20A98">
      <w:pPr>
        <w:ind w:firstLine="482" w:firstLineChars="200"/>
        <w:rPr>
          <w:rFonts w:hint="eastAsia" w:ascii="Times New Roman" w:hAnsi="Times New Roman"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lang w:val="en-US" w:eastAsia="zh-CN"/>
        </w:rPr>
        <w:t>高层建筑</w:t>
      </w:r>
      <w:r>
        <w:rPr>
          <w:rFonts w:hint="eastAsia" w:ascii="Times New Roman" w:hAnsi="Times New Roman" w:cs="Times New Roman"/>
          <w:b w:val="0"/>
          <w:bCs w:val="0"/>
          <w:highlight w:val="none"/>
          <w:lang w:val="en-US" w:eastAsia="zh-CN"/>
        </w:rPr>
        <w:t>应按规范设置消防车登高操作</w:t>
      </w:r>
      <w:r>
        <w:rPr>
          <w:rFonts w:hint="eastAsia" w:ascii="Times New Roman" w:hAnsi="Times New Roman" w:cs="Times New Roman"/>
          <w:highlight w:val="none"/>
          <w:lang w:val="en-US" w:eastAsia="zh-CN"/>
        </w:rPr>
        <w:t>场</w:t>
      </w:r>
      <w:r>
        <w:rPr>
          <w:rFonts w:hint="eastAsia" w:ascii="Times New Roman" w:hAnsi="Times New Roman" w:cs="Times New Roman"/>
          <w:b w:val="0"/>
          <w:bCs w:val="0"/>
          <w:highlight w:val="none"/>
          <w:lang w:val="en-US" w:eastAsia="zh-CN"/>
        </w:rPr>
        <w:t>地</w:t>
      </w:r>
      <w:r>
        <w:rPr>
          <w:rFonts w:hint="eastAsia" w:ascii="Times New Roman" w:hAnsi="Times New Roman" w:cs="Times New Roman"/>
          <w:highlight w:val="none"/>
          <w:lang w:eastAsia="zh-CN"/>
        </w:rPr>
        <w:t>；</w:t>
      </w:r>
    </w:p>
    <w:p w14:paraId="14EE1D30">
      <w:pPr>
        <w:ind w:firstLine="482" w:firstLineChars="200"/>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highlight w:val="none"/>
          <w:lang w:val="en-US" w:eastAsia="zh-CN"/>
        </w:rPr>
        <w:t xml:space="preserve">  未连续布置的消防车登高操作场地，应保证消防车的救援作业范围能覆盖该建筑的全部消防扑救面；</w:t>
      </w:r>
    </w:p>
    <w:p w14:paraId="6C2C117C">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消防车登高操作场地的布置形式、位置</w:t>
      </w:r>
      <w:r>
        <w:rPr>
          <w:rFonts w:hint="eastAsia" w:ascii="Times New Roman" w:hAnsi="Times New Roman" w:cs="Times New Roman"/>
          <w:b w:val="0"/>
          <w:bCs w:val="0"/>
          <w:highlight w:val="none"/>
          <w:lang w:eastAsia="zh-CN"/>
        </w:rPr>
        <w:t>、</w:t>
      </w:r>
      <w:r>
        <w:rPr>
          <w:rFonts w:hint="eastAsia" w:ascii="Times New Roman" w:hAnsi="Times New Roman" w:cs="Times New Roman"/>
          <w:b w:val="0"/>
          <w:bCs w:val="0"/>
          <w:highlight w:val="none"/>
          <w:lang w:val="en-US" w:eastAsia="zh-CN"/>
        </w:rPr>
        <w:t>尺寸、</w:t>
      </w:r>
      <w:r>
        <w:rPr>
          <w:rFonts w:hint="eastAsia" w:ascii="Times New Roman" w:hAnsi="Times New Roman" w:cs="Times New Roman"/>
          <w:b w:val="0"/>
          <w:bCs w:val="0"/>
          <w:highlight w:val="none"/>
        </w:rPr>
        <w:t>与建筑</w:t>
      </w:r>
      <w:r>
        <w:rPr>
          <w:rFonts w:hint="eastAsia" w:ascii="Times New Roman" w:hAnsi="Times New Roman" w:cs="Times New Roman"/>
          <w:b w:val="0"/>
          <w:bCs w:val="0"/>
          <w:highlight w:val="none"/>
          <w:lang w:eastAsia="zh-CN"/>
        </w:rPr>
        <w:t>外墙</w:t>
      </w:r>
      <w:r>
        <w:rPr>
          <w:rFonts w:hint="eastAsia" w:ascii="Times New Roman" w:hAnsi="Times New Roman" w:cs="Times New Roman"/>
          <w:b w:val="0"/>
          <w:bCs w:val="0"/>
          <w:highlight w:val="none"/>
        </w:rPr>
        <w:t>的距离</w:t>
      </w:r>
      <w:r>
        <w:rPr>
          <w:rFonts w:hint="eastAsia" w:ascii="Times New Roman" w:hAnsi="Times New Roman" w:cs="Times New Roman"/>
          <w:b w:val="0"/>
          <w:bCs w:val="0"/>
          <w:highlight w:val="none"/>
          <w:lang w:eastAsia="zh-CN"/>
        </w:rPr>
        <w:t>、</w:t>
      </w:r>
      <w:r>
        <w:rPr>
          <w:rFonts w:hint="eastAsia" w:ascii="Times New Roman" w:hAnsi="Times New Roman" w:cs="Times New Roman"/>
          <w:b w:val="0"/>
          <w:bCs w:val="0"/>
          <w:highlight w:val="none"/>
          <w:lang w:val="en-US" w:eastAsia="zh-CN"/>
        </w:rPr>
        <w:t>坡度、承重</w:t>
      </w:r>
      <w:bookmarkStart w:id="242" w:name="OLE_LINK81"/>
      <w:r>
        <w:rPr>
          <w:rFonts w:hint="eastAsia" w:ascii="Times New Roman" w:hAnsi="Times New Roman" w:cs="Times New Roman"/>
          <w:b w:val="0"/>
          <w:bCs w:val="0"/>
          <w:highlight w:val="none"/>
        </w:rPr>
        <w:t>应符合规范要求</w:t>
      </w:r>
      <w:bookmarkEnd w:id="242"/>
      <w:r>
        <w:rPr>
          <w:rFonts w:hint="eastAsia" w:ascii="Times New Roman" w:hAnsi="Times New Roman" w:cs="Times New Roman"/>
          <w:b w:val="0"/>
          <w:bCs w:val="0"/>
          <w:highlight w:val="none"/>
        </w:rPr>
        <w:t>，操作场地不应有进深大于4m的裙房及其他妨碍消防车操作的障碍物或影响消防车作业的架空高压电线；</w:t>
      </w:r>
    </w:p>
    <w:p w14:paraId="62CD9279">
      <w:pPr>
        <w:keepNext w:val="0"/>
        <w:keepLines w:val="0"/>
        <w:widowControl/>
        <w:suppressLineNumbers w:val="0"/>
        <w:ind w:firstLine="482" w:firstLineChars="200"/>
        <w:jc w:val="left"/>
        <w:rPr>
          <w:rFonts w:hint="eastAsia" w:ascii="Times New Roman" w:hAnsi="Times New Roman" w:cs="Times New Roman"/>
          <w:b w:val="0"/>
          <w:bCs w:val="0"/>
          <w:highlight w:val="none"/>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eastAsia="zh-CN"/>
        </w:rPr>
        <w:t>在</w:t>
      </w:r>
      <w:r>
        <w:rPr>
          <w:rFonts w:hint="eastAsia" w:ascii="Times New Roman" w:hAnsi="Times New Roman" w:cs="Times New Roman"/>
          <w:b w:val="0"/>
          <w:bCs w:val="0"/>
          <w:highlight w:val="none"/>
        </w:rPr>
        <w:t>建筑与消防车登高操作场地相对应的范围内，应设置直通室外的楼梯或直通楼梯间的入口；</w:t>
      </w:r>
    </w:p>
    <w:p w14:paraId="4CFD7924">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消防车登高操作场地应设置标识，不应被占用</w:t>
      </w:r>
      <w:r>
        <w:rPr>
          <w:rFonts w:hint="eastAsia" w:ascii="Times New Roman" w:hAnsi="Times New Roman" w:cs="Times New Roman"/>
          <w:highlight w:val="none"/>
          <w:lang w:eastAsia="zh-CN"/>
        </w:rPr>
        <w:t>；</w:t>
      </w:r>
    </w:p>
    <w:p w14:paraId="071410FF">
      <w:pPr>
        <w:keepNext w:val="0"/>
        <w:keepLines w:val="0"/>
        <w:widowControl/>
        <w:suppressLineNumbers w:val="0"/>
        <w:ind w:firstLine="482" w:firstLineChars="200"/>
        <w:jc w:val="left"/>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highlight w:val="none"/>
          <w:lang w:val="en-US" w:eastAsia="zh-CN"/>
        </w:rPr>
        <w:t xml:space="preserve">  当高层建筑由于现状场地条件不足，难以符合现行消防技术标准规定的消防车登高操作场地相关设计要求时，可维持既有建筑场地现状，利用城市道路等进行扑救。</w:t>
      </w:r>
    </w:p>
    <w:p w14:paraId="27877D94">
      <w:pPr>
        <w:pStyle w:val="19"/>
        <w:spacing w:line="360" w:lineRule="auto"/>
        <w:jc w:val="center"/>
        <w:rPr>
          <w:rFonts w:hint="default" w:eastAsia="宋体"/>
          <w:b/>
          <w:highlight w:val="none"/>
          <w:lang w:val="en-US" w:eastAsia="zh-CN"/>
        </w:rPr>
      </w:pPr>
      <w:r>
        <w:rPr>
          <w:rFonts w:hint="eastAsia" w:ascii="宋体" w:hAnsi="宋体" w:eastAsia="宋体" w:cs="宋体"/>
          <w:b/>
          <w:highlight w:val="none"/>
          <w:lang w:eastAsia="zh"/>
        </w:rPr>
        <w:t>Ⅲ</w:t>
      </w:r>
      <w:r>
        <w:rPr>
          <w:rFonts w:hint="eastAsia"/>
          <w:b/>
          <w:highlight w:val="none"/>
          <w:lang w:eastAsia="zh"/>
        </w:rPr>
        <w:t xml:space="preserve">  </w:t>
      </w:r>
      <w:r>
        <w:rPr>
          <w:rFonts w:hint="eastAsia"/>
          <w:b/>
          <w:highlight w:val="none"/>
        </w:rPr>
        <w:t>平面</w:t>
      </w:r>
      <w:r>
        <w:rPr>
          <w:rFonts w:hint="eastAsia"/>
          <w:b/>
          <w:highlight w:val="none"/>
          <w:lang w:val="en-US" w:eastAsia="zh-CN"/>
        </w:rPr>
        <w:t>布置与防火</w:t>
      </w:r>
      <w:r>
        <w:rPr>
          <w:rFonts w:hint="eastAsia"/>
          <w:b/>
          <w:highlight w:val="none"/>
          <w:lang w:val="en-US" w:eastAsia="zh"/>
        </w:rPr>
        <w:t>分隔</w:t>
      </w:r>
    </w:p>
    <w:p w14:paraId="5D87F0DB">
      <w:pPr>
        <w:rPr>
          <w:rFonts w:hint="eastAsia" w:ascii="Times New Roman" w:hAnsi="Times New Roman" w:eastAsia="宋体" w:cs="Times New Roman"/>
          <w:b/>
          <w:bCs/>
          <w:color w:val="auto"/>
          <w:kern w:val="2"/>
          <w:sz w:val="24"/>
          <w:szCs w:val="28"/>
          <w:highlight w:val="none"/>
          <w:lang w:val="en-US" w:eastAsia="zh-CN" w:bidi="ar"/>
        </w:rPr>
      </w:pPr>
      <w:bookmarkStart w:id="243" w:name="OLE_LINK86"/>
      <w:r>
        <w:rPr>
          <w:rFonts w:hint="eastAsia" w:ascii="Times New Roman" w:hAnsi="Times New Roman" w:cs="Times New Roman"/>
          <w:b/>
          <w:bCs/>
          <w:highlight w:val="none"/>
          <w:lang w:val="en-US" w:eastAsia="zh-CN"/>
        </w:rPr>
        <w:t>4.3.11</w:t>
      </w:r>
      <w:r>
        <w:rPr>
          <w:rFonts w:hint="eastAsia" w:ascii="Times New Roman" w:hAnsi="Times New Roman" w:cs="Times New Roman"/>
          <w:highlight w:val="none"/>
        </w:rPr>
        <w:t xml:space="preserve">  平面布置与防火分隔安全评估</w:t>
      </w:r>
      <w:r>
        <w:rPr>
          <w:rFonts w:hint="eastAsia" w:ascii="Times New Roman" w:hAnsi="Times New Roman" w:cs="Times New Roman"/>
          <w:highlight w:val="none"/>
          <w:lang w:val="en-US" w:eastAsia="zh-CN"/>
        </w:rPr>
        <w:t>包含防火防烟分区</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功能场所的平面布置</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p>
    <w:p w14:paraId="38B64508">
      <w:pPr>
        <w:rPr>
          <w:rFonts w:hint="default" w:ascii="Times New Roman" w:hAnsi="Times New Roman" w:eastAsia="宋体" w:cs="Times New Roman"/>
          <w:highlight w:val="none"/>
          <w:lang w:val="en-US" w:eastAsia="zh-CN"/>
        </w:rPr>
      </w:pPr>
      <w:r>
        <w:rPr>
          <w:rFonts w:hint="eastAsia" w:ascii="Times New Roman" w:hAnsi="Times New Roman" w:cs="Times New Roman"/>
          <w:b/>
          <w:bCs/>
          <w:color w:val="auto"/>
          <w:kern w:val="2"/>
          <w:sz w:val="24"/>
          <w:szCs w:val="28"/>
          <w:highlight w:val="none"/>
          <w:lang w:val="en-US" w:eastAsia="zh-CN" w:bidi="ar"/>
        </w:rPr>
        <w:t>4.3.12</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防火防烟分区</w:t>
      </w:r>
      <w:r>
        <w:rPr>
          <w:rFonts w:hint="eastAsia" w:ascii="Times New Roman" w:hAnsi="Times New Roman" w:cs="Times New Roman"/>
          <w:highlight w:val="none"/>
        </w:rPr>
        <w:t>安全评估具体包含以下内容：</w:t>
      </w:r>
    </w:p>
    <w:p w14:paraId="5FB93FAE">
      <w:pPr>
        <w:ind w:firstLine="482" w:firstLineChars="200"/>
        <w:rPr>
          <w:rFonts w:hint="eastAsia" w:ascii="Times New Roman" w:hAnsi="Times New Roman" w:cs="Times New Roman"/>
          <w:b w:val="0"/>
          <w:bCs w:val="0"/>
          <w:highlight w:val="none"/>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防火分区、防烟分区</w:t>
      </w:r>
      <w:r>
        <w:rPr>
          <w:rFonts w:hint="eastAsia" w:ascii="Times New Roman" w:hAnsi="Times New Roman" w:cs="Times New Roman"/>
          <w:b w:val="0"/>
          <w:bCs w:val="0"/>
          <w:highlight w:val="none"/>
          <w:lang w:eastAsia="zh-CN"/>
        </w:rPr>
        <w:t>的设置原则及</w:t>
      </w:r>
      <w:r>
        <w:rPr>
          <w:rFonts w:hint="eastAsia" w:ascii="Times New Roman" w:hAnsi="Times New Roman" w:cs="Times New Roman"/>
          <w:b w:val="0"/>
          <w:bCs w:val="0"/>
          <w:highlight w:val="none"/>
        </w:rPr>
        <w:t>面积</w:t>
      </w:r>
      <w:r>
        <w:rPr>
          <w:rFonts w:hint="eastAsia" w:ascii="Times New Roman" w:hAnsi="Times New Roman" w:cs="Times New Roman"/>
          <w:b w:val="0"/>
          <w:bCs w:val="0"/>
          <w:highlight w:val="none"/>
          <w:lang w:eastAsia="zh-CN"/>
        </w:rPr>
        <w:t>应符合规范要求；当确因现状条件困难时，改造工程保留的防火分区面积不应大于现行消防技术标准规定的防火分区允许最大面积值的 5%</w:t>
      </w:r>
      <w:r>
        <w:rPr>
          <w:rFonts w:hint="eastAsia" w:ascii="Times New Roman" w:hAnsi="Times New Roman" w:cs="Times New Roman"/>
          <w:b w:val="0"/>
          <w:bCs w:val="0"/>
          <w:highlight w:val="none"/>
        </w:rPr>
        <w:t>；</w:t>
      </w:r>
    </w:p>
    <w:p w14:paraId="6B42461D">
      <w:pPr>
        <w:ind w:firstLine="482" w:firstLineChars="200"/>
        <w:rPr>
          <w:rFonts w:hint="default" w:ascii="Times New Roman" w:hAnsi="Times New Roman" w:eastAsia="宋体"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lang w:val="en-US" w:eastAsia="zh-CN"/>
        </w:rPr>
        <w:t xml:space="preserve">  建筑内竖向按自然楼层划分防火分区时，除允许设置敞开楼梯间的建筑外，防火分区的建筑面积应按上、下楼层中在火灾时未封闭的开口所连通区域的建筑面积之和计算；</w:t>
      </w:r>
    </w:p>
    <w:p w14:paraId="532B2026">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 xml:space="preserve">3  </w:t>
      </w:r>
      <w:r>
        <w:rPr>
          <w:rFonts w:hint="eastAsia" w:ascii="Times New Roman" w:hAnsi="Times New Roman" w:cs="Times New Roman"/>
          <w:b w:val="0"/>
          <w:bCs w:val="0"/>
          <w:highlight w:val="none"/>
          <w:lang w:val="en-US" w:eastAsia="zh-CN"/>
        </w:rPr>
        <w:t>建筑内设置中庭时防火分隔措施应符合规范要求，中庭内应设置排烟设施，不应布置可燃物；高层建筑内的中庭回廊应设置自动喷水灭火系统和火灾自动报警系统。</w:t>
      </w:r>
    </w:p>
    <w:p w14:paraId="48071EEE">
      <w:pPr>
        <w:ind w:firstLine="482" w:firstLineChars="200"/>
        <w:rPr>
          <w:rFonts w:hint="eastAsia" w:ascii="Times New Roman" w:hAnsi="Times New Roman" w:eastAsia="宋体" w:cs="Times New Roman"/>
          <w:highlight w:val="none"/>
          <w:lang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lang w:val="en-US" w:eastAsia="zh-CN"/>
        </w:rPr>
        <w:t xml:space="preserve">  一、二级耐火等级建筑内的商店营业厅、展览厅，当设置自动灭火系统和火灾自动报警系统并采用不燃或难燃装修材料时，每个防火分区最大允许建筑面积规范有所放宽，应符合相应规范要求；</w:t>
      </w:r>
    </w:p>
    <w:p w14:paraId="3949CCA2">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餐饮、商店等商业设施通过有顶棚的步行街连接</w:t>
      </w:r>
      <w:r>
        <w:rPr>
          <w:rFonts w:hint="eastAsia" w:ascii="Times New Roman" w:hAnsi="Times New Roman" w:cs="Times New Roman"/>
          <w:b w:val="0"/>
          <w:bCs w:val="0"/>
          <w:highlight w:val="none"/>
          <w:lang w:eastAsia="zh-CN"/>
        </w:rPr>
        <w:t>，</w:t>
      </w:r>
      <w:r>
        <w:rPr>
          <w:rFonts w:hint="eastAsia" w:ascii="Times New Roman" w:hAnsi="Times New Roman" w:cs="Times New Roman"/>
          <w:b w:val="0"/>
          <w:bCs w:val="0"/>
          <w:highlight w:val="none"/>
        </w:rPr>
        <w:t>且步行街两侧的建筑需利用步行街进行安全疏散时</w:t>
      </w:r>
      <w:r>
        <w:rPr>
          <w:rFonts w:hint="eastAsia" w:ascii="Times New Roman" w:hAnsi="Times New Roman" w:cs="Times New Roman"/>
          <w:b w:val="0"/>
          <w:bCs w:val="0"/>
          <w:highlight w:val="none"/>
          <w:lang w:eastAsia="zh-CN"/>
        </w:rPr>
        <w:t>，建筑耐火等级、防火间距、</w:t>
      </w:r>
      <w:r>
        <w:rPr>
          <w:rFonts w:hint="eastAsia" w:ascii="Times New Roman" w:hAnsi="Times New Roman" w:cs="Times New Roman"/>
          <w:b w:val="0"/>
          <w:bCs w:val="0"/>
          <w:highlight w:val="none"/>
          <w:lang w:val="en-US" w:eastAsia="zh-CN"/>
        </w:rPr>
        <w:t>防火分隔和可燃物的布置情况应符合规范要求</w:t>
      </w:r>
      <w:r>
        <w:rPr>
          <w:rFonts w:hint="eastAsia" w:ascii="Times New Roman" w:hAnsi="Times New Roman" w:cs="Times New Roman"/>
          <w:highlight w:val="none"/>
          <w:lang w:eastAsia="zh-CN"/>
        </w:rPr>
        <w:t>；</w:t>
      </w:r>
    </w:p>
    <w:p w14:paraId="7B7EC666">
      <w:pPr>
        <w:ind w:firstLine="482" w:firstLineChars="200"/>
        <w:rPr>
          <w:rFonts w:hint="eastAsia" w:ascii="Times New Roman" w:hAnsi="Times New Roman" w:eastAsia="宋体" w:cs="Times New Roman"/>
          <w:b w:val="0"/>
          <w:bCs w:val="0"/>
          <w:color w:val="auto"/>
          <w:highlight w:val="none"/>
          <w:lang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color w:val="auto"/>
          <w:highlight w:val="none"/>
        </w:rPr>
        <w:t xml:space="preserve">  总建筑面积大于 20000m²的地下或半地下商店防火分隔</w:t>
      </w:r>
      <w:r>
        <w:rPr>
          <w:rFonts w:hint="eastAsia" w:ascii="Times New Roman" w:hAnsi="Times New Roman" w:cs="Times New Roman"/>
          <w:b w:val="0"/>
          <w:bCs w:val="0"/>
          <w:color w:val="auto"/>
          <w:highlight w:val="none"/>
          <w:lang w:eastAsia="zh-CN"/>
        </w:rPr>
        <w:t>措施应符合规范要求；</w:t>
      </w:r>
    </w:p>
    <w:p w14:paraId="44CDBF24">
      <w:pPr>
        <w:ind w:firstLine="482" w:firstLineChars="200"/>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7</w:t>
      </w:r>
      <w:r>
        <w:rPr>
          <w:rFonts w:hint="eastAsia" w:ascii="Times New Roman" w:hAnsi="Times New Roman" w:cs="Times New Roman"/>
          <w:b w:val="0"/>
          <w:bCs w:val="0"/>
          <w:highlight w:val="none"/>
          <w:lang w:val="en-US" w:eastAsia="zh-CN"/>
        </w:rPr>
        <w:t xml:space="preserve">  防火门、防火卷帘、防火分隔水幕及挡烟垂壁等分隔设施应符合规范要求，且应完整、有效</w:t>
      </w:r>
      <w:r>
        <w:rPr>
          <w:rFonts w:hint="eastAsia" w:ascii="Times New Roman" w:hAnsi="Times New Roman" w:cs="Times New Roman"/>
          <w:highlight w:val="none"/>
          <w:lang w:eastAsia="zh-CN"/>
        </w:rPr>
        <w:t>。</w:t>
      </w:r>
    </w:p>
    <w:bookmarkEnd w:id="243"/>
    <w:p w14:paraId="0B2E73A7">
      <w:pPr>
        <w:rPr>
          <w:rFonts w:ascii="Times New Roman" w:hAnsi="Times New Roman" w:cs="Times New Roman"/>
          <w:highlight w:val="none"/>
        </w:rPr>
      </w:pPr>
      <w:bookmarkStart w:id="244" w:name="OLE_LINK2"/>
      <w:r>
        <w:rPr>
          <w:rFonts w:hint="eastAsia" w:ascii="Times New Roman" w:hAnsi="Times New Roman" w:cs="Times New Roman"/>
          <w:b/>
          <w:bCs/>
          <w:color w:val="auto"/>
          <w:kern w:val="2"/>
          <w:sz w:val="24"/>
          <w:szCs w:val="28"/>
          <w:highlight w:val="none"/>
          <w:lang w:val="en-US" w:eastAsia="zh-CN" w:bidi="ar"/>
        </w:rPr>
        <w:t>4.3.13</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功能场所的平面布置</w:t>
      </w:r>
      <w:r>
        <w:rPr>
          <w:rFonts w:hint="eastAsia" w:ascii="Times New Roman" w:hAnsi="Times New Roman" w:cs="Times New Roman"/>
          <w:highlight w:val="none"/>
        </w:rPr>
        <w:t>安全评估具体包含以下内容：</w:t>
      </w:r>
    </w:p>
    <w:p w14:paraId="07C75B49">
      <w:pPr>
        <w:ind w:firstLine="482" w:firstLineChars="200"/>
        <w:rPr>
          <w:rFonts w:hint="eastAsia" w:ascii="Times New Roman" w:hAnsi="Times New Roman" w:eastAsia="宋体"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控制室、消防水泵房、柴油发电机房、民用建筑内的燃油或燃气锅炉房、以及带有油浸变压器、充有可燃油的高压电容器和多油开关等的电气用房、商场内有明火的食品加工厨房等场所的布置位置、防火分隔、安全出口</w:t>
      </w:r>
      <w:bookmarkStart w:id="245" w:name="OLE_LINK89"/>
      <w:r>
        <w:rPr>
          <w:rFonts w:hint="eastAsia" w:ascii="Times New Roman" w:hAnsi="Times New Roman" w:cs="Times New Roman"/>
          <w:b w:val="0"/>
          <w:bCs w:val="0"/>
          <w:highlight w:val="none"/>
          <w:lang w:val="en-US" w:eastAsia="zh-CN"/>
        </w:rPr>
        <w:t>应符合规范要求</w:t>
      </w:r>
      <w:bookmarkEnd w:id="245"/>
      <w:r>
        <w:rPr>
          <w:rFonts w:hint="eastAsia" w:ascii="Times New Roman" w:hAnsi="Times New Roman" w:cs="Times New Roman"/>
          <w:highlight w:val="none"/>
          <w:lang w:eastAsia="zh-CN"/>
        </w:rPr>
        <w:t>；当此类用房的设置位置不符合现行规范要求而改造确有困难时，可维持现状位置，但其他防火措施应</w:t>
      </w:r>
      <w:r>
        <w:rPr>
          <w:rFonts w:hint="eastAsia" w:ascii="Times New Roman" w:hAnsi="Times New Roman" w:cs="Times New Roman"/>
          <w:highlight w:val="none"/>
          <w:lang w:val="en-US" w:eastAsia="zh-CN"/>
        </w:rPr>
        <w:t>符合</w:t>
      </w:r>
      <w:r>
        <w:rPr>
          <w:rFonts w:hint="eastAsia" w:ascii="Times New Roman" w:hAnsi="Times New Roman" w:cs="Times New Roman"/>
          <w:highlight w:val="none"/>
          <w:lang w:eastAsia="zh-CN"/>
        </w:rPr>
        <w:t>现行消防规范要求；</w:t>
      </w:r>
    </w:p>
    <w:p w14:paraId="2CEEC27E">
      <w:pPr>
        <w:keepNext w:val="0"/>
        <w:keepLines w:val="0"/>
        <w:widowControl/>
        <w:suppressLineNumbers w:val="0"/>
        <w:ind w:firstLine="482" w:firstLineChars="200"/>
        <w:jc w:val="left"/>
        <w:rPr>
          <w:rFonts w:hint="eastAsia" w:ascii="Times New Roman" w:hAnsi="Times New Roman" w:eastAsia="宋体" w:cs="Times New Roman"/>
          <w:color w:val="auto"/>
          <w:highlight w:val="none"/>
          <w:lang w:val="en-US" w:eastAsia="zh-CN"/>
        </w:rPr>
      </w:pPr>
      <w:r>
        <w:rPr>
          <w:rFonts w:hint="eastAsia" w:ascii="Times New Roman" w:hAnsi="Times New Roman" w:cs="Times New Roman"/>
          <w:b/>
          <w:bCs/>
          <w:highlight w:val="none"/>
          <w:lang w:val="en-US" w:eastAsia="zh-CN"/>
        </w:rPr>
        <w:t xml:space="preserve">2  </w:t>
      </w:r>
      <w:r>
        <w:rPr>
          <w:rFonts w:hint="default" w:ascii="Times New Roman" w:hAnsi="Times New Roman" w:eastAsia="宋体" w:cs="Times New Roman"/>
          <w:color w:val="auto"/>
          <w:highlight w:val="none"/>
          <w:lang w:val="en-US" w:eastAsia="zh-CN"/>
        </w:rPr>
        <w:t>既有建筑</w:t>
      </w:r>
      <w:r>
        <w:rPr>
          <w:rFonts w:hint="eastAsia" w:ascii="Times New Roman" w:hAnsi="Times New Roman" w:eastAsia="宋体" w:cs="Times New Roman"/>
          <w:color w:val="auto"/>
          <w:highlight w:val="none"/>
          <w:lang w:val="en-US" w:eastAsia="zh-CN"/>
        </w:rPr>
        <w:t>改造</w:t>
      </w:r>
      <w:r>
        <w:rPr>
          <w:rFonts w:hint="default" w:ascii="Times New Roman" w:hAnsi="Times New Roman" w:eastAsia="宋体" w:cs="Times New Roman"/>
          <w:color w:val="auto"/>
          <w:highlight w:val="none"/>
          <w:lang w:val="en-US" w:eastAsia="zh-CN"/>
        </w:rPr>
        <w:t>中消防水泵房</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消防控制室</w:t>
      </w:r>
      <w:r>
        <w:rPr>
          <w:rFonts w:hint="eastAsia" w:ascii="Times New Roman" w:hAnsi="Times New Roman" w:cs="Times New Roman"/>
          <w:color w:val="auto"/>
          <w:highlight w:val="none"/>
          <w:lang w:val="en-US" w:eastAsia="zh-CN"/>
        </w:rPr>
        <w:t>的</w:t>
      </w:r>
      <w:r>
        <w:rPr>
          <w:rFonts w:hint="default" w:ascii="Times New Roman" w:hAnsi="Times New Roman" w:eastAsia="宋体" w:cs="Times New Roman"/>
          <w:color w:val="auto"/>
          <w:highlight w:val="none"/>
          <w:lang w:val="en-US" w:eastAsia="zh-CN"/>
        </w:rPr>
        <w:t>位置</w:t>
      </w:r>
      <w:r>
        <w:rPr>
          <w:rFonts w:hint="eastAsia"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宜</w:t>
      </w:r>
      <w:r>
        <w:rPr>
          <w:rFonts w:hint="eastAsia" w:ascii="Times New Roman" w:hAnsi="Times New Roman" w:cs="Times New Roman"/>
          <w:color w:val="auto"/>
          <w:highlight w:val="none"/>
          <w:lang w:val="en-US" w:eastAsia="zh-CN"/>
        </w:rPr>
        <w:t>符合</w:t>
      </w:r>
      <w:r>
        <w:rPr>
          <w:rFonts w:hint="default" w:ascii="Times New Roman" w:hAnsi="Times New Roman" w:eastAsia="宋体" w:cs="Times New Roman"/>
          <w:color w:val="auto"/>
          <w:highlight w:val="none"/>
          <w:lang w:val="en-US" w:eastAsia="zh-CN"/>
        </w:rPr>
        <w:t>国家现行</w:t>
      </w:r>
      <w:r>
        <w:rPr>
          <w:rFonts w:hint="eastAsia" w:ascii="Times New Roman" w:hAnsi="Times New Roman" w:cs="Times New Roman"/>
          <w:color w:val="auto"/>
          <w:highlight w:val="none"/>
          <w:lang w:val="en-US" w:eastAsia="zh-CN"/>
        </w:rPr>
        <w:t>规范的要求，</w:t>
      </w:r>
      <w:r>
        <w:rPr>
          <w:rFonts w:hint="default" w:ascii="Times New Roman" w:hAnsi="Times New Roman" w:eastAsia="宋体" w:cs="Times New Roman"/>
          <w:color w:val="auto"/>
          <w:highlight w:val="none"/>
          <w:lang w:val="en-US" w:eastAsia="zh-CN"/>
        </w:rPr>
        <w:t>当</w:t>
      </w:r>
      <w:r>
        <w:rPr>
          <w:rFonts w:hint="eastAsia" w:ascii="Times New Roman" w:hAnsi="Times New Roman" w:cs="Times New Roman"/>
          <w:color w:val="auto"/>
          <w:highlight w:val="none"/>
          <w:lang w:val="en-US" w:eastAsia="zh-CN"/>
        </w:rPr>
        <w:t>因受平面布置或结构限制等原因位置</w:t>
      </w:r>
      <w:r>
        <w:rPr>
          <w:rFonts w:hint="default" w:ascii="Times New Roman" w:hAnsi="Times New Roman" w:eastAsia="宋体" w:cs="Times New Roman"/>
          <w:color w:val="auto"/>
          <w:highlight w:val="none"/>
          <w:lang w:val="en-US" w:eastAsia="zh-CN"/>
        </w:rPr>
        <w:t>难以</w:t>
      </w:r>
      <w:r>
        <w:rPr>
          <w:rFonts w:hint="eastAsia" w:ascii="Times New Roman" w:hAnsi="Times New Roman" w:cs="Times New Roman"/>
          <w:color w:val="auto"/>
          <w:highlight w:val="none"/>
          <w:lang w:val="en-US" w:eastAsia="zh-CN"/>
        </w:rPr>
        <w:t>改造</w:t>
      </w:r>
      <w:r>
        <w:rPr>
          <w:rFonts w:hint="default" w:ascii="Times New Roman" w:hAnsi="Times New Roman" w:eastAsia="宋体" w:cs="Times New Roman"/>
          <w:color w:val="auto"/>
          <w:highlight w:val="none"/>
          <w:lang w:val="en-US" w:eastAsia="zh-CN"/>
        </w:rPr>
        <w:t>时</w:t>
      </w:r>
      <w:r>
        <w:rPr>
          <w:rFonts w:hint="eastAsia" w:ascii="Times New Roman" w:hAnsi="Times New Roman" w:eastAsia="宋体" w:cs="Times New Roman"/>
          <w:color w:val="auto"/>
          <w:highlight w:val="none"/>
          <w:lang w:val="en-US" w:eastAsia="zh-CN"/>
        </w:rPr>
        <w:t>，可维持现楼层设计位置，但</w:t>
      </w:r>
      <w:r>
        <w:rPr>
          <w:rFonts w:hint="default" w:ascii="Times New Roman" w:hAnsi="Times New Roman" w:eastAsia="宋体" w:cs="Times New Roman"/>
          <w:color w:val="auto"/>
          <w:highlight w:val="none"/>
          <w:lang w:val="en-US" w:eastAsia="zh-CN"/>
        </w:rPr>
        <w:t>其疏散</w:t>
      </w:r>
      <w:r>
        <w:rPr>
          <w:rFonts w:hint="eastAsia" w:ascii="Times New Roman" w:hAnsi="Times New Roman" w:cs="Times New Roman"/>
          <w:color w:val="auto"/>
          <w:highlight w:val="none"/>
          <w:lang w:val="en-US" w:eastAsia="zh-CN"/>
        </w:rPr>
        <w:t>门应</w:t>
      </w:r>
      <w:r>
        <w:rPr>
          <w:rFonts w:hint="default" w:ascii="Times New Roman" w:hAnsi="Times New Roman" w:eastAsia="宋体" w:cs="Times New Roman"/>
          <w:color w:val="auto"/>
          <w:highlight w:val="none"/>
          <w:lang w:val="en-US" w:eastAsia="zh-CN"/>
        </w:rPr>
        <w:t>直通室外或</w:t>
      </w:r>
      <w:r>
        <w:rPr>
          <w:rFonts w:hint="eastAsia" w:ascii="Times New Roman" w:hAnsi="Times New Roman" w:cs="Times New Roman"/>
          <w:color w:val="auto"/>
          <w:highlight w:val="none"/>
          <w:lang w:val="en-US" w:eastAsia="zh-CN"/>
        </w:rPr>
        <w:t>安全出口，</w:t>
      </w:r>
      <w:r>
        <w:rPr>
          <w:rFonts w:hint="default" w:ascii="Times New Roman" w:hAnsi="Times New Roman" w:eastAsia="宋体" w:cs="Times New Roman"/>
          <w:color w:val="auto"/>
          <w:highlight w:val="none"/>
          <w:lang w:val="en-US" w:eastAsia="zh-CN"/>
        </w:rPr>
        <w:t>当存在可能被水淹的情形时应采取防水淹</w:t>
      </w:r>
      <w:r>
        <w:rPr>
          <w:rFonts w:hint="eastAsia" w:ascii="Times New Roman" w:hAnsi="Times New Roman" w:cs="Times New Roman"/>
          <w:color w:val="auto"/>
          <w:highlight w:val="none"/>
          <w:lang w:val="en-US" w:eastAsia="zh-CN"/>
        </w:rPr>
        <w:t>的技术</w:t>
      </w:r>
      <w:r>
        <w:rPr>
          <w:rFonts w:hint="default" w:ascii="Times New Roman" w:hAnsi="Times New Roman" w:eastAsia="宋体" w:cs="Times New Roman"/>
          <w:color w:val="auto"/>
          <w:highlight w:val="none"/>
          <w:lang w:val="en-US" w:eastAsia="zh-CN"/>
        </w:rPr>
        <w:t>措施</w:t>
      </w:r>
      <w:r>
        <w:rPr>
          <w:rFonts w:hint="eastAsia" w:ascii="Times New Roman" w:hAnsi="Times New Roman" w:eastAsia="宋体" w:cs="Times New Roman"/>
          <w:color w:val="auto"/>
          <w:highlight w:val="none"/>
          <w:lang w:val="en-US" w:eastAsia="zh-CN"/>
        </w:rPr>
        <w:t>，</w:t>
      </w:r>
      <w:r>
        <w:rPr>
          <w:rFonts w:hint="eastAsia" w:ascii="Times New Roman" w:hAnsi="Times New Roman" w:cs="Times New Roman"/>
          <w:color w:val="auto"/>
          <w:highlight w:val="none"/>
          <w:lang w:val="en-US" w:eastAsia="zh-CN"/>
        </w:rPr>
        <w:t>防火分隔、疏散标识指示应符合现行规范要求</w:t>
      </w:r>
      <w:r>
        <w:rPr>
          <w:rFonts w:hint="eastAsia" w:ascii="Times New Roman" w:hAnsi="Times New Roman" w:eastAsia="宋体" w:cs="Times New Roman"/>
          <w:color w:val="auto"/>
          <w:highlight w:val="none"/>
          <w:lang w:val="en-US" w:eastAsia="zh-CN"/>
        </w:rPr>
        <w:t>；</w:t>
      </w:r>
    </w:p>
    <w:p w14:paraId="0A2A306D">
      <w:pPr>
        <w:keepNext w:val="0"/>
        <w:keepLines w:val="0"/>
        <w:widowControl/>
        <w:suppressLineNumbers w:val="0"/>
        <w:ind w:firstLine="482" w:firstLineChars="200"/>
        <w:jc w:val="left"/>
        <w:rPr>
          <w:rFonts w:hint="default" w:ascii="Times New Roman" w:hAnsi="Times New Roman" w:eastAsia="宋体" w:cs="Times New Roman"/>
          <w:color w:val="auto"/>
          <w:highlight w:val="none"/>
          <w:lang w:val="en-US" w:eastAsia="zh-CN"/>
        </w:rPr>
      </w:pPr>
      <w:r>
        <w:rPr>
          <w:rFonts w:hint="eastAsia" w:ascii="Times New Roman" w:hAnsi="Times New Roman" w:cs="Times New Roman"/>
          <w:b/>
          <w:bCs/>
          <w:highlight w:val="none"/>
          <w:lang w:val="en-US" w:eastAsia="zh-CN"/>
        </w:rPr>
        <w:t xml:space="preserve">3  </w:t>
      </w:r>
      <w:r>
        <w:rPr>
          <w:rFonts w:hint="default" w:ascii="Times New Roman" w:hAnsi="Times New Roman" w:eastAsia="宋体" w:cs="Times New Roman"/>
          <w:color w:val="auto"/>
          <w:highlight w:val="none"/>
          <w:lang w:val="en-US" w:eastAsia="zh-CN"/>
        </w:rPr>
        <w:t>既有建筑</w:t>
      </w:r>
      <w:r>
        <w:rPr>
          <w:rFonts w:hint="eastAsia" w:ascii="Times New Roman" w:hAnsi="Times New Roman" w:eastAsia="宋体" w:cs="Times New Roman"/>
          <w:color w:val="auto"/>
          <w:highlight w:val="none"/>
          <w:lang w:val="en-US" w:eastAsia="zh-CN"/>
        </w:rPr>
        <w:t>改造</w:t>
      </w:r>
      <w:r>
        <w:rPr>
          <w:rFonts w:hint="default" w:ascii="Times New Roman" w:hAnsi="Times New Roman" w:eastAsia="宋体" w:cs="Times New Roman"/>
          <w:color w:val="auto"/>
          <w:highlight w:val="none"/>
          <w:lang w:val="en-US" w:eastAsia="zh-CN"/>
        </w:rPr>
        <w:t>中</w:t>
      </w:r>
      <w:r>
        <w:rPr>
          <w:rFonts w:hint="default" w:ascii="Times New Roman" w:hAnsi="Times New Roman" w:cs="Times New Roman"/>
          <w:color w:val="auto"/>
          <w:highlight w:val="none"/>
          <w:u w:val="none"/>
          <w:lang w:val="en-US" w:eastAsia="zh-CN"/>
        </w:rPr>
        <w:t>柴油发电机房</w:t>
      </w:r>
      <w:r>
        <w:rPr>
          <w:rFonts w:hint="eastAsia" w:ascii="Times New Roman" w:hAnsi="Times New Roman" w:cs="Times New Roman"/>
          <w:color w:val="auto"/>
          <w:highlight w:val="none"/>
          <w:u w:val="none"/>
          <w:lang w:val="en-US" w:eastAsia="zh-CN"/>
        </w:rPr>
        <w:t>、燃气或燃油锅炉房、油浸变压器室、多油开关室、高压电容器室，当改造后位于</w:t>
      </w:r>
      <w:r>
        <w:rPr>
          <w:rFonts w:hint="default" w:ascii="Times New Roman" w:hAnsi="Times New Roman" w:cs="Times New Roman"/>
          <w:color w:val="auto"/>
          <w:highlight w:val="none"/>
          <w:u w:val="none"/>
          <w:lang w:val="en-US" w:eastAsia="zh-CN"/>
        </w:rPr>
        <w:t>地下</w:t>
      </w:r>
      <w:r>
        <w:rPr>
          <w:rFonts w:hint="eastAsia" w:ascii="Times New Roman" w:hAnsi="Times New Roman" w:cs="Times New Roman"/>
          <w:color w:val="auto"/>
          <w:highlight w:val="none"/>
          <w:u w:val="none"/>
          <w:lang w:val="en-US" w:eastAsia="zh-CN"/>
        </w:rPr>
        <w:t>、人员密集的场所的下部、与人员密集的场所贴邻时</w:t>
      </w:r>
      <w:r>
        <w:rPr>
          <w:rFonts w:hint="default" w:ascii="Times New Roman" w:hAnsi="Times New Roman" w:cs="Times New Roman"/>
          <w:color w:val="auto"/>
          <w:highlight w:val="none"/>
          <w:u w:val="none"/>
          <w:lang w:val="en-US" w:eastAsia="zh-CN"/>
        </w:rPr>
        <w:t>，</w:t>
      </w:r>
      <w:r>
        <w:rPr>
          <w:rFonts w:hint="eastAsia" w:ascii="Times New Roman" w:hAnsi="Times New Roman" w:cs="Times New Roman"/>
          <w:color w:val="auto"/>
          <w:highlight w:val="none"/>
          <w:u w:val="none"/>
          <w:lang w:val="en-US" w:eastAsia="zh-CN"/>
        </w:rPr>
        <w:t>宜按照国家现行有关标准的规定调整其设置位置或相邻场所的使用用途；</w:t>
      </w:r>
      <w:r>
        <w:rPr>
          <w:rFonts w:hint="default" w:ascii="Times New Roman" w:hAnsi="Times New Roman" w:cs="Times New Roman"/>
          <w:color w:val="auto"/>
          <w:highlight w:val="none"/>
          <w:u w:val="none"/>
          <w:lang w:val="en-US" w:eastAsia="zh-CN"/>
        </w:rPr>
        <w:t>当</w:t>
      </w:r>
      <w:r>
        <w:rPr>
          <w:rFonts w:hint="eastAsia" w:ascii="Times New Roman" w:hAnsi="Times New Roman" w:cs="Times New Roman"/>
          <w:color w:val="auto"/>
          <w:highlight w:val="none"/>
          <w:u w:val="none"/>
          <w:lang w:val="en-US" w:eastAsia="zh-CN"/>
        </w:rPr>
        <w:t>受条件限制难以调整</w:t>
      </w:r>
      <w:r>
        <w:rPr>
          <w:rFonts w:hint="default" w:ascii="Times New Roman" w:hAnsi="Times New Roman" w:cs="Times New Roman"/>
          <w:color w:val="auto"/>
          <w:highlight w:val="none"/>
          <w:u w:val="none"/>
          <w:lang w:val="en-US" w:eastAsia="zh-CN"/>
        </w:rPr>
        <w:t>时，</w:t>
      </w:r>
      <w:r>
        <w:rPr>
          <w:rFonts w:hint="eastAsia" w:ascii="Times New Roman" w:hAnsi="Times New Roman" w:cs="Times New Roman"/>
          <w:color w:val="auto"/>
          <w:highlight w:val="none"/>
          <w:u w:val="none"/>
          <w:lang w:val="en-US" w:eastAsia="zh-CN"/>
        </w:rPr>
        <w:t>应采取提高房间内相应防火分隔楼板、承重墙体、承重的梁柱等结构的抗爆性能，设置减压或泄压设施等技术措施；</w:t>
      </w:r>
    </w:p>
    <w:p w14:paraId="26D02F0E">
      <w:pPr>
        <w:keepNext w:val="0"/>
        <w:keepLines w:val="0"/>
        <w:widowControl/>
        <w:suppressLineNumbers w:val="0"/>
        <w:ind w:firstLine="482" w:firstLineChars="200"/>
        <w:jc w:val="left"/>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 xml:space="preserve">4  </w:t>
      </w:r>
      <w:r>
        <w:rPr>
          <w:rFonts w:hint="eastAsia" w:ascii="Times New Roman" w:hAnsi="Times New Roman" w:cs="Times New Roman"/>
          <w:b w:val="0"/>
          <w:bCs w:val="0"/>
          <w:highlight w:val="none"/>
          <w:lang w:val="en-US" w:eastAsia="zh-CN"/>
        </w:rPr>
        <w:t>建筑内使用天然气的部位应便于通风和防爆泄压；</w:t>
      </w:r>
    </w:p>
    <w:p w14:paraId="0A37B1E8">
      <w:pPr>
        <w:keepNext w:val="0"/>
        <w:keepLines w:val="0"/>
        <w:widowControl/>
        <w:suppressLineNumbers w:val="0"/>
        <w:ind w:firstLine="482" w:firstLineChars="200"/>
        <w:jc w:val="left"/>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商店营业厅、公共展览厅、儿童活动场所、老年人照料设施、医疗建筑中住院病房、歌舞娱乐放映游艺等场所的</w:t>
      </w:r>
      <w:r>
        <w:rPr>
          <w:rFonts w:hint="eastAsia" w:ascii="Times New Roman" w:hAnsi="Times New Roman" w:cs="Times New Roman"/>
          <w:b w:val="0"/>
          <w:bCs w:val="0"/>
          <w:highlight w:val="none"/>
          <w:lang w:eastAsia="zh-CN"/>
        </w:rPr>
        <w:t>布置</w:t>
      </w:r>
      <w:r>
        <w:rPr>
          <w:rFonts w:hint="eastAsia" w:ascii="Times New Roman" w:hAnsi="Times New Roman" w:cs="Times New Roman"/>
          <w:b w:val="0"/>
          <w:bCs w:val="0"/>
          <w:highlight w:val="none"/>
        </w:rPr>
        <w:t>位置、</w:t>
      </w:r>
      <w:r>
        <w:rPr>
          <w:rFonts w:hint="eastAsia" w:ascii="Times New Roman" w:hAnsi="Times New Roman" w:cs="Times New Roman"/>
          <w:b w:val="0"/>
          <w:bCs w:val="0"/>
          <w:highlight w:val="none"/>
          <w:lang w:eastAsia="zh-CN"/>
        </w:rPr>
        <w:t>房间</w:t>
      </w:r>
      <w:r>
        <w:rPr>
          <w:rFonts w:hint="eastAsia" w:ascii="Times New Roman" w:hAnsi="Times New Roman" w:cs="Times New Roman"/>
          <w:b w:val="0"/>
          <w:bCs w:val="0"/>
          <w:highlight w:val="none"/>
        </w:rPr>
        <w:t>建筑面积、</w:t>
      </w:r>
      <w:r>
        <w:rPr>
          <w:rFonts w:hint="eastAsia" w:ascii="Times New Roman" w:hAnsi="Times New Roman" w:cs="Times New Roman"/>
          <w:b w:val="0"/>
          <w:bCs w:val="0"/>
          <w:highlight w:val="none"/>
          <w:lang w:eastAsia="zh-CN"/>
        </w:rPr>
        <w:t>使用人数、</w:t>
      </w:r>
      <w:r>
        <w:rPr>
          <w:rFonts w:hint="eastAsia" w:ascii="Times New Roman" w:hAnsi="Times New Roman" w:cs="Times New Roman"/>
          <w:b w:val="0"/>
          <w:bCs w:val="0"/>
          <w:highlight w:val="none"/>
        </w:rPr>
        <w:t>防火分隔、安全出口</w:t>
      </w:r>
      <w:r>
        <w:rPr>
          <w:rFonts w:hint="eastAsia" w:ascii="Times New Roman" w:hAnsi="Times New Roman" w:cs="Times New Roman"/>
          <w:b w:val="0"/>
          <w:bCs w:val="0"/>
          <w:highlight w:val="none"/>
          <w:lang w:val="en-US" w:eastAsia="zh-CN"/>
        </w:rPr>
        <w:t>应符合规范要求</w:t>
      </w:r>
      <w:bookmarkEnd w:id="244"/>
      <w:r>
        <w:rPr>
          <w:rFonts w:hint="eastAsia" w:ascii="Times New Roman" w:hAnsi="Times New Roman" w:cs="Times New Roman"/>
          <w:highlight w:val="none"/>
          <w:lang w:eastAsia="zh-CN"/>
        </w:rPr>
        <w:t>；</w:t>
      </w:r>
    </w:p>
    <w:p w14:paraId="57617AED">
      <w:pPr>
        <w:keepNext w:val="0"/>
        <w:keepLines w:val="0"/>
        <w:widowControl/>
        <w:suppressLineNumbers w:val="0"/>
        <w:ind w:firstLine="482" w:firstLineChars="200"/>
        <w:jc w:val="left"/>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highlight w:val="none"/>
          <w:lang w:val="en-US" w:eastAsia="zh-CN"/>
        </w:rPr>
        <w:t xml:space="preserve">  平面布置宜将人员密集场所设置于下部楼层；</w:t>
      </w:r>
    </w:p>
    <w:p w14:paraId="7EF6BB75">
      <w:pPr>
        <w:keepNext w:val="0"/>
        <w:keepLines w:val="0"/>
        <w:widowControl/>
        <w:suppressLineNumbers w:val="0"/>
        <w:ind w:firstLine="0" w:firstLineChars="0"/>
        <w:jc w:val="left"/>
        <w:rPr>
          <w:rFonts w:hint="default" w:ascii="Times New Roman" w:hAnsi="Times New Roman" w:cs="Times New Roman"/>
          <w:color w:val="0000FF"/>
          <w:highlight w:val="none"/>
          <w:lang w:val="en-US" w:eastAsia="zh-CN"/>
        </w:rPr>
      </w:pPr>
      <w:r>
        <w:rPr>
          <w:rFonts w:hint="default" w:ascii="Times New Roman" w:hAnsi="Times New Roman" w:cs="Times New Roman"/>
          <w:color w:val="0000FF"/>
          <w:highlight w:val="none"/>
          <w:lang w:val="en-US" w:eastAsia="zh-CN"/>
        </w:rPr>
        <w:t>【</w:t>
      </w:r>
      <w:r>
        <w:rPr>
          <w:rFonts w:hint="eastAsia" w:ascii="Times New Roman" w:hAnsi="Times New Roman" w:cs="Times New Roman"/>
          <w:color w:val="0000FF"/>
          <w:highlight w:val="none"/>
          <w:lang w:val="en-US" w:eastAsia="zh-CN"/>
        </w:rPr>
        <w:t>条文</w:t>
      </w:r>
      <w:r>
        <w:rPr>
          <w:rFonts w:hint="default" w:ascii="Times New Roman" w:hAnsi="Times New Roman" w:cs="Times New Roman"/>
          <w:color w:val="0000FF"/>
          <w:highlight w:val="none"/>
          <w:lang w:val="en-US" w:eastAsia="zh-CN"/>
        </w:rPr>
        <w:t>说明】</w:t>
      </w:r>
    </w:p>
    <w:p w14:paraId="4E0C0600">
      <w:pPr>
        <w:keepNext w:val="0"/>
        <w:keepLines w:val="0"/>
        <w:widowControl/>
        <w:suppressLineNumbers w:val="0"/>
        <w:ind w:firstLine="480" w:firstLineChars="200"/>
        <w:jc w:val="left"/>
        <w:rPr>
          <w:rFonts w:hint="default" w:ascii="Times New Roman" w:hAnsi="Times New Roman" w:cs="Times New Roman"/>
          <w:color w:val="0000FF"/>
          <w:highlight w:val="none"/>
          <w:lang w:val="en-US" w:eastAsia="zh-CN"/>
        </w:rPr>
      </w:pPr>
      <w:r>
        <w:rPr>
          <w:rFonts w:hint="default" w:ascii="Times New Roman" w:hAnsi="Times New Roman" w:cs="Times New Roman"/>
          <w:color w:val="0000FF"/>
          <w:highlight w:val="none"/>
          <w:lang w:val="en-US" w:eastAsia="zh-CN"/>
        </w:rPr>
        <w:t>此条规定指地上部分的楼层(地下则相反)。建筑改造进行使用功能调整时，应尽量将</w:t>
      </w:r>
      <w:r>
        <w:rPr>
          <w:rFonts w:hint="eastAsia" w:ascii="Times New Roman" w:hAnsi="Times New Roman" w:cs="Times New Roman"/>
          <w:color w:val="0000FF"/>
          <w:highlight w:val="none"/>
          <w:lang w:val="en-US" w:eastAsia="zh-CN"/>
        </w:rPr>
        <w:t>人员密集场所</w:t>
      </w:r>
      <w:r>
        <w:rPr>
          <w:rFonts w:hint="default" w:ascii="Times New Roman" w:hAnsi="Times New Roman" w:cs="Times New Roman"/>
          <w:color w:val="0000FF"/>
          <w:highlight w:val="none"/>
          <w:lang w:val="en-US" w:eastAsia="zh-CN"/>
        </w:rPr>
        <w:t>设置在便于疏散的楼层。</w:t>
      </w:r>
    </w:p>
    <w:p w14:paraId="492B14AC">
      <w:pPr>
        <w:keepNext w:val="0"/>
        <w:keepLines w:val="0"/>
        <w:widowControl/>
        <w:suppressLineNumbers w:val="0"/>
        <w:ind w:firstLine="482" w:firstLineChars="200"/>
        <w:jc w:val="left"/>
        <w:rPr>
          <w:rFonts w:hint="eastAsia" w:ascii="Times New Roman" w:hAnsi="Times New Roman" w:cs="Times New Roman"/>
          <w:highlight w:val="none"/>
          <w:lang w:val="en-US" w:eastAsia="zh-CN"/>
        </w:rPr>
      </w:pPr>
      <w:r>
        <w:rPr>
          <w:rFonts w:hint="eastAsia" w:ascii="Times New Roman" w:hAnsi="Times New Roman" w:cs="Times New Roman"/>
          <w:b/>
          <w:bCs/>
          <w:color w:val="auto"/>
          <w:highlight w:val="none"/>
          <w:lang w:val="en-US" w:eastAsia="zh-CN"/>
        </w:rPr>
        <w:t>7</w:t>
      </w:r>
      <w:r>
        <w:rPr>
          <w:rFonts w:hint="eastAsia" w:ascii="Times New Roman" w:hAnsi="Times New Roman" w:cs="Times New Roman"/>
          <w:color w:val="0000FF"/>
          <w:highlight w:val="none"/>
          <w:lang w:val="en-US" w:eastAsia="zh-CN"/>
        </w:rPr>
        <w:t xml:space="preserve">  </w:t>
      </w:r>
      <w:r>
        <w:rPr>
          <w:rFonts w:hint="eastAsia" w:ascii="Times New Roman" w:hAnsi="Times New Roman" w:cs="Times New Roman"/>
          <w:color w:val="auto"/>
          <w:highlight w:val="none"/>
          <w:u w:val="none"/>
          <w:lang w:val="en-US" w:eastAsia="zh-CN"/>
        </w:rPr>
        <w:t>地下建筑改造为公共建筑，改造区域内的防火技术要求应符合国家现行规范的要求</w:t>
      </w:r>
      <w:r>
        <w:rPr>
          <w:rFonts w:hint="eastAsia" w:ascii="Times New Roman" w:hAnsi="Times New Roman" w:cs="Times New Roman"/>
          <w:highlight w:val="none"/>
          <w:lang w:val="en-US" w:eastAsia="zh-CN"/>
        </w:rPr>
        <w:t>；</w:t>
      </w:r>
    </w:p>
    <w:p w14:paraId="1D703243">
      <w:pPr>
        <w:keepNext w:val="0"/>
        <w:keepLines w:val="0"/>
        <w:widowControl/>
        <w:suppressLineNumbers w:val="0"/>
        <w:ind w:firstLine="482" w:firstLineChars="200"/>
        <w:jc w:val="left"/>
        <w:rPr>
          <w:rFonts w:hint="default" w:ascii="Times New Roman" w:hAnsi="Times New Roman" w:cs="Times New Roman"/>
          <w:sz w:val="21"/>
          <w:szCs w:val="21"/>
          <w:highlight w:val="none"/>
          <w:lang w:val="en-US" w:eastAsia="zh-CN"/>
        </w:rPr>
      </w:pPr>
      <w:r>
        <w:rPr>
          <w:rFonts w:hint="eastAsia" w:ascii="Times New Roman" w:hAnsi="Times New Roman" w:cs="Times New Roman"/>
          <w:b/>
          <w:bCs/>
          <w:highlight w:val="none"/>
          <w:lang w:val="en-US" w:eastAsia="zh-CN"/>
        </w:rPr>
        <w:t>8</w:t>
      </w:r>
      <w:r>
        <w:rPr>
          <w:rFonts w:hint="eastAsia" w:ascii="Times New Roman" w:hAnsi="Times New Roman" w:cs="Times New Roman"/>
          <w:highlight w:val="none"/>
          <w:lang w:val="en-US" w:eastAsia="zh-CN"/>
        </w:rPr>
        <w:t xml:space="preserve">  交通车站、码头和机场的候车(船、机)建筑乘客公共区、交通换乘区和通道的布置原则应符合规范要求。</w:t>
      </w:r>
    </w:p>
    <w:p w14:paraId="2FBE719C">
      <w:pPr>
        <w:pStyle w:val="19"/>
        <w:spacing w:line="360" w:lineRule="auto"/>
        <w:jc w:val="center"/>
        <w:rPr>
          <w:rFonts w:hint="default" w:eastAsia="宋体"/>
          <w:b/>
          <w:highlight w:val="none"/>
          <w:lang w:val="en-US" w:eastAsia="zh-CN"/>
        </w:rPr>
      </w:pPr>
      <w:r>
        <w:rPr>
          <w:rFonts w:hint="default" w:ascii="Times New Roman" w:hAnsi="Times New Roman" w:cs="Times New Roman"/>
          <w:b/>
          <w:highlight w:val="none"/>
        </w:rPr>
        <w:t>Ⅳ</w:t>
      </w:r>
      <w:r>
        <w:rPr>
          <w:rFonts w:hint="eastAsia"/>
          <w:b/>
          <w:highlight w:val="none"/>
        </w:rPr>
        <w:t xml:space="preserve">  安全疏散</w:t>
      </w:r>
      <w:r>
        <w:rPr>
          <w:rFonts w:hint="eastAsia"/>
          <w:b/>
          <w:highlight w:val="none"/>
          <w:lang w:val="en-US" w:eastAsia="zh-CN"/>
        </w:rPr>
        <w:t>与避难设施</w:t>
      </w:r>
    </w:p>
    <w:p w14:paraId="21987CEA">
      <w:pPr>
        <w:rPr>
          <w:rFonts w:hint="eastAsia" w:ascii="Times New Roman" w:hAnsi="Times New Roman" w:eastAsia="宋体" w:cs="Times New Roman"/>
          <w:b/>
          <w:bCs/>
          <w:color w:val="auto"/>
          <w:kern w:val="2"/>
          <w:sz w:val="24"/>
          <w:szCs w:val="28"/>
          <w:highlight w:val="none"/>
          <w:lang w:val="en-US" w:eastAsia="zh-CN" w:bidi="ar"/>
        </w:rPr>
      </w:pPr>
      <w:r>
        <w:rPr>
          <w:rFonts w:hint="eastAsia" w:ascii="Times New Roman" w:hAnsi="Times New Roman" w:cs="Times New Roman"/>
          <w:b/>
          <w:bCs/>
          <w:highlight w:val="none"/>
          <w:lang w:val="en-US" w:eastAsia="zh-CN"/>
        </w:rPr>
        <w:t>4.3.14</w:t>
      </w:r>
      <w:r>
        <w:rPr>
          <w:rFonts w:hint="eastAsia" w:ascii="Times New Roman" w:hAnsi="Times New Roman" w:cs="Times New Roman"/>
          <w:highlight w:val="none"/>
        </w:rPr>
        <w:t xml:space="preserve">  安全疏散与避难设施安全评估</w:t>
      </w:r>
      <w:r>
        <w:rPr>
          <w:rFonts w:hint="eastAsia" w:ascii="Times New Roman" w:hAnsi="Times New Roman" w:cs="Times New Roman"/>
          <w:highlight w:val="none"/>
          <w:lang w:val="en-US" w:eastAsia="zh-CN"/>
        </w:rPr>
        <w:t>包含安全出口及疏散门</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疏散楼梯</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疏散走道和疏散距离、疏散宽度</w:t>
      </w:r>
      <w:r>
        <w:rPr>
          <w:rFonts w:hint="eastAsia" w:ascii="Times New Roman" w:hAnsi="Times New Roman" w:cs="Times New Roman"/>
          <w:highlight w:val="none"/>
        </w:rPr>
        <w:t>安全评估</w:t>
      </w:r>
      <w:r>
        <w:rPr>
          <w:rFonts w:hint="eastAsia" w:ascii="Times New Roman" w:hAnsi="Times New Roman" w:cs="Times New Roman"/>
          <w:highlight w:val="none"/>
          <w:lang w:eastAsia="zh-CN"/>
        </w:rPr>
        <w:t>，</w:t>
      </w:r>
      <w:r>
        <w:rPr>
          <w:rFonts w:hint="eastAsia" w:cs="宋体"/>
          <w:color w:val="000000"/>
          <w:kern w:val="0"/>
          <w:sz w:val="24"/>
          <w:szCs w:val="24"/>
          <w:highlight w:val="none"/>
          <w:lang w:val="en-US" w:eastAsia="zh-CN" w:bidi="ar"/>
        </w:rPr>
        <w:t>避难层（间）、下沉式广场</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w:t>
      </w:r>
    </w:p>
    <w:p w14:paraId="6116398F">
      <w:pPr>
        <w:rPr>
          <w:rFonts w:ascii="Times New Roman" w:hAnsi="Times New Roman" w:cs="Times New Roman"/>
          <w:highlight w:val="none"/>
        </w:rPr>
      </w:pPr>
      <w:r>
        <w:rPr>
          <w:rFonts w:hint="eastAsia" w:ascii="Times New Roman" w:hAnsi="Times New Roman" w:cs="Times New Roman"/>
          <w:b/>
          <w:bCs/>
          <w:color w:val="auto"/>
          <w:kern w:val="2"/>
          <w:sz w:val="24"/>
          <w:szCs w:val="28"/>
          <w:highlight w:val="none"/>
          <w:lang w:val="en-US" w:eastAsia="zh-CN" w:bidi="ar"/>
        </w:rPr>
        <w:t>4.3.15</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安全出口及疏散门</w:t>
      </w:r>
      <w:r>
        <w:rPr>
          <w:rFonts w:hint="eastAsia" w:ascii="Times New Roman" w:hAnsi="Times New Roman" w:cs="Times New Roman"/>
          <w:highlight w:val="none"/>
        </w:rPr>
        <w:t>安全评估具体包含以下内容：</w:t>
      </w:r>
    </w:p>
    <w:p w14:paraId="5A9A1245">
      <w:pPr>
        <w:ind w:firstLine="482" w:firstLineChars="200"/>
        <w:rPr>
          <w:rFonts w:hint="eastAsia" w:ascii="Times New Roman" w:hAnsi="Times New Roman" w:eastAsia="宋体"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安全出口及疏散门的位置、数量、疏散宽度、出口之间的距离应符合规范要求，安全出口及疏散门宽度与疏散走道、疏散楼梯宽度应互相匹配</w:t>
      </w:r>
      <w:r>
        <w:rPr>
          <w:rFonts w:hint="eastAsia" w:ascii="Times New Roman" w:hAnsi="Times New Roman" w:cs="Times New Roman"/>
          <w:highlight w:val="none"/>
          <w:lang w:eastAsia="zh-CN"/>
        </w:rPr>
        <w:t>；</w:t>
      </w:r>
    </w:p>
    <w:p w14:paraId="46FFF2B2">
      <w:pPr>
        <w:ind w:firstLine="482" w:firstLineChars="200"/>
        <w:rPr>
          <w:rFonts w:hint="eastAsia" w:ascii="Times New Roman" w:hAnsi="Times New Roman" w:cs="Times New Roman"/>
          <w:b w:val="0"/>
          <w:bCs w:val="0"/>
          <w:highlight w:val="none"/>
          <w:lang w:val="en-US" w:eastAsia="zh-CN"/>
        </w:rPr>
      </w:pPr>
      <w:bookmarkStart w:id="246" w:name="OLE_LINK3"/>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疏</w:t>
      </w:r>
      <w:bookmarkEnd w:id="246"/>
      <w:r>
        <w:rPr>
          <w:rFonts w:hint="eastAsia" w:ascii="Times New Roman" w:hAnsi="Times New Roman" w:cs="Times New Roman"/>
          <w:b w:val="0"/>
          <w:bCs w:val="0"/>
          <w:highlight w:val="none"/>
          <w:lang w:val="en-US" w:eastAsia="zh-CN"/>
        </w:rPr>
        <w:t>散出口的门的设置形式、开启方向、开启方式、逃生门锁位置应符合规范要求；</w:t>
      </w:r>
    </w:p>
    <w:p w14:paraId="47E343CA">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楼梯间首层疏散门的设置应符合规范要求；</w:t>
      </w:r>
    </w:p>
    <w:p w14:paraId="06C74D07">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lang w:val="en-US" w:eastAsia="zh-CN"/>
        </w:rPr>
        <w:t xml:space="preserve">  剧场、电影院、礼堂、体育馆等场所的疏散门宽度和数量，应根据疏散人数每100人的最小疏散净宽度不小于规范的规定计算确定；</w:t>
      </w:r>
    </w:p>
    <w:p w14:paraId="791F2247">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lang w:val="en-US" w:eastAsia="zh-CN"/>
        </w:rPr>
        <w:t xml:space="preserve">  学校、医院、超市、娱乐场所等人员密集场所需要控制人员随意出入的安全出口、疏散门，或设有门禁系统的，应保证火灾时不需使用钥匙等任何工具即能易于从内部打开，并应在显著位置设置“紧急出口”标识和使用提示。</w:t>
      </w:r>
    </w:p>
    <w:p w14:paraId="0080744D">
      <w:pPr>
        <w:rPr>
          <w:rFonts w:ascii="Times New Roman" w:hAnsi="Times New Roman" w:cs="Times New Roman"/>
          <w:highlight w:val="none"/>
        </w:rPr>
      </w:pPr>
      <w:r>
        <w:rPr>
          <w:rFonts w:hint="eastAsia" w:ascii="Times New Roman" w:hAnsi="Times New Roman" w:cs="Times New Roman"/>
          <w:b/>
          <w:bCs/>
          <w:color w:val="auto"/>
          <w:kern w:val="2"/>
          <w:sz w:val="24"/>
          <w:szCs w:val="28"/>
          <w:highlight w:val="none"/>
          <w:lang w:val="en-US" w:eastAsia="zh-CN" w:bidi="ar"/>
        </w:rPr>
        <w:t>4.3.16</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疏散楼梯</w:t>
      </w:r>
      <w:r>
        <w:rPr>
          <w:rFonts w:hint="eastAsia" w:ascii="Times New Roman" w:hAnsi="Times New Roman" w:cs="Times New Roman"/>
          <w:highlight w:val="none"/>
        </w:rPr>
        <w:t>安全评估具体包含以下内容：</w:t>
      </w:r>
    </w:p>
    <w:p w14:paraId="40A73B60">
      <w:pPr>
        <w:ind w:firstLine="482" w:firstLineChars="200"/>
        <w:rPr>
          <w:rFonts w:hint="eastAsia" w:ascii="Times New Roman" w:hAnsi="Times New Roman"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疏散楼梯的设置形式、位置、数量、净宽度应符合规范要求</w:t>
      </w:r>
      <w:r>
        <w:rPr>
          <w:rFonts w:hint="eastAsia" w:ascii="Times New Roman" w:hAnsi="Times New Roman" w:cs="Times New Roman"/>
          <w:highlight w:val="none"/>
          <w:lang w:eastAsia="zh-CN"/>
        </w:rPr>
        <w:t>；</w:t>
      </w:r>
    </w:p>
    <w:p w14:paraId="0270851F">
      <w:pPr>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highlight w:val="none"/>
          <w:lang w:val="en-US" w:eastAsia="zh-CN"/>
        </w:rPr>
        <w:t xml:space="preserve">  封闭楼梯间或防烟楼梯间的设置应与其</w:t>
      </w:r>
      <w:r>
        <w:rPr>
          <w:rFonts w:hint="eastAsia" w:ascii="Times New Roman" w:hAnsi="Times New Roman" w:cs="Times New Roman"/>
          <w:strike w:val="0"/>
          <w:highlight w:val="none"/>
        </w:rPr>
        <w:t>建筑类型和使用部位相适应并符合规范要求</w:t>
      </w:r>
      <w:r>
        <w:rPr>
          <w:rFonts w:hint="eastAsia" w:ascii="Times New Roman" w:hAnsi="Times New Roman" w:cs="Times New Roman"/>
          <w:highlight w:val="none"/>
          <w:lang w:val="en-US" w:eastAsia="zh-CN"/>
        </w:rPr>
        <w:t>；</w:t>
      </w:r>
    </w:p>
    <w:p w14:paraId="22603702">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疏散楼梯及前室的防火分隔、面积应符合规范要求；</w:t>
      </w:r>
    </w:p>
    <w:p w14:paraId="6E8896B9">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疏散楼梯的环境及装修材料应符合规范要求，室内疏散楼梯间内不应设置烧水间、可燃材料储藏室、垃圾道及其他影响人员疏散的凸出物或障碍物，疏散楼梯间内不应设置或穿过甲、乙、丙类液体管道；</w:t>
      </w:r>
    </w:p>
    <w:p w14:paraId="0470C688">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lang w:val="en-US" w:eastAsia="zh-CN"/>
        </w:rPr>
        <w:t xml:space="preserve">  通向避难层的疏散楼梯应符合规范要求；</w:t>
      </w:r>
    </w:p>
    <w:p w14:paraId="7D20F781">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lang w:val="en-US" w:eastAsia="zh-CN"/>
        </w:rPr>
        <w:t xml:space="preserve">  室外疏散楼梯应符合规范要求。</w:t>
      </w:r>
    </w:p>
    <w:p w14:paraId="07C341B1">
      <w:pPr>
        <w:rPr>
          <w:rFonts w:ascii="Times New Roman" w:hAnsi="Times New Roman" w:cs="Times New Roman"/>
          <w:highlight w:val="none"/>
        </w:rPr>
      </w:pPr>
      <w:r>
        <w:rPr>
          <w:rFonts w:hint="eastAsia" w:ascii="Times New Roman" w:hAnsi="Times New Roman" w:cs="Times New Roman"/>
          <w:b/>
          <w:bCs/>
          <w:color w:val="auto"/>
          <w:kern w:val="2"/>
          <w:sz w:val="24"/>
          <w:szCs w:val="28"/>
          <w:highlight w:val="none"/>
          <w:lang w:val="en-US" w:eastAsia="zh-CN" w:bidi="ar"/>
        </w:rPr>
        <w:t>4.3.17</w:t>
      </w:r>
      <w:r>
        <w:rPr>
          <w:rFonts w:hint="eastAsia" w:cs="宋体"/>
          <w:color w:val="000000"/>
          <w:kern w:val="0"/>
          <w:sz w:val="24"/>
          <w:szCs w:val="24"/>
          <w:highlight w:val="none"/>
          <w:lang w:val="en-US" w:eastAsia="zh" w:bidi="ar"/>
        </w:rPr>
        <w:t xml:space="preserve">  </w:t>
      </w:r>
      <w:r>
        <w:rPr>
          <w:rFonts w:hint="eastAsia" w:ascii="Times New Roman" w:hAnsi="Times New Roman" w:cs="Times New Roman"/>
          <w:highlight w:val="none"/>
          <w:lang w:val="en-US" w:eastAsia="zh-CN"/>
        </w:rPr>
        <w:t>疏散走道和疏散距离、疏散宽度</w:t>
      </w:r>
      <w:r>
        <w:rPr>
          <w:rFonts w:hint="eastAsia" w:ascii="Times New Roman" w:hAnsi="Times New Roman" w:cs="Times New Roman"/>
          <w:highlight w:val="none"/>
        </w:rPr>
        <w:t>安全评估具体包含以下内容：</w:t>
      </w:r>
    </w:p>
    <w:p w14:paraId="51610C4C">
      <w:pPr>
        <w:ind w:firstLine="482" w:firstLineChars="200"/>
        <w:rPr>
          <w:rFonts w:hint="eastAsia" w:ascii="Times New Roman" w:hAnsi="Times New Roman" w:eastAsia="宋体"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疏散走道的防火分隔、宽度、高度应符合规范要求，疏散净宽度应根据其使用功能或用途和国家现行规范的疏散人数和百人疏散宽度指标计算确定</w:t>
      </w:r>
      <w:r>
        <w:rPr>
          <w:rFonts w:hint="eastAsia" w:ascii="Times New Roman" w:hAnsi="Times New Roman" w:cs="Times New Roman"/>
          <w:highlight w:val="none"/>
          <w:lang w:eastAsia="zh-CN"/>
        </w:rPr>
        <w:t>；</w:t>
      </w:r>
    </w:p>
    <w:p w14:paraId="73BC50BB">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房间内任一点至房间疏散门的疏散距离、建筑中位于袋形走道两侧或尽端房间的疏散门至最近安全出口的疏散距离应符合规范要求；</w:t>
      </w:r>
    </w:p>
    <w:p w14:paraId="16E9EAC1">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剧场、电影院、礼堂、体育馆等场所</w:t>
      </w:r>
      <w:r>
        <w:rPr>
          <w:rFonts w:hint="eastAsia" w:ascii="Times New Roman" w:hAnsi="Times New Roman" w:cs="Times New Roman"/>
          <w:b w:val="0"/>
          <w:bCs w:val="0"/>
          <w:highlight w:val="none"/>
          <w:lang w:eastAsia="zh-CN"/>
        </w:rPr>
        <w:t>的</w:t>
      </w:r>
      <w:r>
        <w:rPr>
          <w:rFonts w:hint="eastAsia" w:ascii="Times New Roman" w:hAnsi="Times New Roman" w:cs="Times New Roman"/>
          <w:b w:val="0"/>
          <w:bCs w:val="0"/>
          <w:highlight w:val="none"/>
          <w:lang w:val="en-US" w:eastAsia="zh-CN"/>
        </w:rPr>
        <w:t>疏散距离应符合规范要求；</w:t>
      </w:r>
    </w:p>
    <w:p w14:paraId="185E7A25">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lang w:val="en-US" w:eastAsia="zh-CN"/>
        </w:rPr>
        <w:t xml:space="preserve">  疏散出口门、疏散走道、疏散楼梯等的净宽度应符合规范要求；</w:t>
      </w:r>
    </w:p>
    <w:p w14:paraId="0850F4B1">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lang w:val="en-US" w:eastAsia="zh-CN"/>
        </w:rPr>
        <w:t xml:space="preserve">  楼梯间在首层直通室外确有困难时，可在首层采用疏散距离不大于30m的扩大的封闭楼梯间或防烟楼梯间前室进行疏散；除火灾荷载较小的使用功能区域及卫生间、登记室、行李间、商务室等附设房间外，门厅内不应设置其他使用功能及房间；</w:t>
      </w:r>
    </w:p>
    <w:p w14:paraId="58F466A1">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lang w:val="en-US" w:eastAsia="zh-CN"/>
        </w:rPr>
        <w:t xml:space="preserve">  疏散通道、疏散走道、疏散出口应在明显位置设置明显的指示标志。</w:t>
      </w:r>
    </w:p>
    <w:p w14:paraId="4D903130">
      <w:pPr>
        <w:jc w:val="both"/>
        <w:rPr>
          <w:rFonts w:ascii="Times New Roman" w:hAnsi="Times New Roman" w:cs="Times New Roman"/>
          <w:highlight w:val="none"/>
        </w:rPr>
      </w:pPr>
      <w:r>
        <w:rPr>
          <w:rFonts w:hint="eastAsia" w:ascii="Times New Roman" w:hAnsi="Times New Roman" w:cs="Times New Roman"/>
          <w:b/>
          <w:bCs/>
          <w:color w:val="auto"/>
          <w:kern w:val="2"/>
          <w:sz w:val="24"/>
          <w:szCs w:val="28"/>
          <w:highlight w:val="none"/>
          <w:lang w:val="en-US" w:eastAsia="zh-CN" w:bidi="ar"/>
        </w:rPr>
        <w:t>4.3.18</w:t>
      </w:r>
      <w:r>
        <w:rPr>
          <w:rFonts w:hint="eastAsia" w:cs="宋体"/>
          <w:color w:val="000000"/>
          <w:kern w:val="0"/>
          <w:sz w:val="24"/>
          <w:szCs w:val="24"/>
          <w:highlight w:val="none"/>
          <w:lang w:val="en-US" w:eastAsia="zh" w:bidi="ar"/>
        </w:rPr>
        <w:t xml:space="preserve">  </w:t>
      </w:r>
      <w:r>
        <w:rPr>
          <w:rFonts w:hint="eastAsia" w:cs="宋体"/>
          <w:color w:val="000000"/>
          <w:kern w:val="0"/>
          <w:sz w:val="24"/>
          <w:szCs w:val="24"/>
          <w:highlight w:val="none"/>
          <w:lang w:val="en-US" w:eastAsia="zh-CN" w:bidi="ar"/>
        </w:rPr>
        <w:t>避难层（间）、下沉式广场</w:t>
      </w:r>
      <w:r>
        <w:rPr>
          <w:rFonts w:hint="eastAsia" w:ascii="Times New Roman" w:hAnsi="Times New Roman" w:cs="Times New Roman"/>
          <w:highlight w:val="none"/>
        </w:rPr>
        <w:t>安全评估具体包含以下内容：</w:t>
      </w:r>
    </w:p>
    <w:p w14:paraId="110F8557">
      <w:pPr>
        <w:ind w:firstLine="482" w:firstLineChars="200"/>
        <w:rPr>
          <w:rFonts w:hint="eastAsia" w:ascii="Times New Roman" w:hAnsi="Times New Roman" w:eastAsia="宋体" w:cs="Times New Roman"/>
          <w:highlight w:val="none"/>
          <w:lang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避难层（间）的楼层高度、间距、数量、设置位置、净面积、防火分隔和消防设施应符合规范要求，避难层除布置设备用房外不应用于其他用途，且设备管道区、管道井、设备间等应按规范要求做好防火分隔；</w:t>
      </w:r>
    </w:p>
    <w:p w14:paraId="2F034B40">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避难层（间）应采取防止火灾烟气进入或积聚的措施，并应设置可开启外窗；</w:t>
      </w:r>
    </w:p>
    <w:p w14:paraId="1C44390B">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lang w:val="en-US" w:eastAsia="zh-CN"/>
        </w:rPr>
        <w:t xml:space="preserve">  在避难层（间）的入口处和出口处，均应在明显位置设置标示避难层（间）的灯光指示标识；</w:t>
      </w:r>
    </w:p>
    <w:p w14:paraId="128F26D6">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lang w:val="en-US" w:eastAsia="zh-CN"/>
        </w:rPr>
        <w:t xml:space="preserve">  应设置避难层的既有建筑改造，</w:t>
      </w:r>
      <w:r>
        <w:rPr>
          <w:rFonts w:hint="eastAsia" w:ascii="Times New Roman" w:hAnsi="Times New Roman" w:cs="Times New Roman"/>
          <w:color w:val="auto"/>
          <w:highlight w:val="none"/>
          <w:u w:val="none"/>
          <w:lang w:val="en-US" w:eastAsia="zh-CN"/>
        </w:rPr>
        <w:t>避难层的设置宜符合国家现行规范的要求，当避难层受建筑结构和设施设备的影响难以调整其设置位置时，第一个避难层距离设计地面的高度和相邻两个避难层之间的竖向高度可不同步调整，但应符合建造时规范的要求；当两个避难层之间的高度大于60m时，宜在其中每个楼层利用楼梯间的前室设置避难间或设置专用的避难间，避难间的使用面积不宜小于所在楼层或防火分区中总疏散人数10%的人员避难需要，且不应小于0.2m</w:t>
      </w:r>
      <w:r>
        <w:rPr>
          <w:rFonts w:hint="eastAsia" w:ascii="Times New Roman" w:hAnsi="Times New Roman" w:cs="Times New Roman"/>
          <w:color w:val="auto"/>
          <w:highlight w:val="none"/>
          <w:u w:val="none"/>
          <w:vertAlign w:val="superscript"/>
          <w:lang w:val="en-US" w:eastAsia="zh-CN"/>
        </w:rPr>
        <w:t>2</w:t>
      </w:r>
      <w:r>
        <w:rPr>
          <w:rFonts w:hint="eastAsia" w:ascii="Times New Roman" w:hAnsi="Times New Roman" w:cs="Times New Roman"/>
          <w:color w:val="auto"/>
          <w:highlight w:val="none"/>
          <w:u w:val="none"/>
          <w:vertAlign w:val="baseline"/>
          <w:lang w:val="en-US" w:eastAsia="zh-CN"/>
        </w:rPr>
        <w:t>/人</w:t>
      </w:r>
      <w:r>
        <w:rPr>
          <w:rFonts w:hint="eastAsia" w:ascii="Times New Roman" w:hAnsi="Times New Roman" w:cs="Times New Roman"/>
          <w:color w:val="auto"/>
          <w:highlight w:val="none"/>
          <w:u w:val="none"/>
          <w:lang w:val="en-US" w:eastAsia="zh-CN"/>
        </w:rPr>
        <w:t>；</w:t>
      </w:r>
    </w:p>
    <w:p w14:paraId="74DB7FF2">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下沉式广场的敞开空间净面积，开口间水平距离，直通地面的疏散楼梯宽度、数量，防风雨棚等应符合规范要求；</w:t>
      </w:r>
    </w:p>
    <w:p w14:paraId="6FA6193B">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eastAsia="zh-CN"/>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6F2F6270">
      <w:pPr>
        <w:keepNext w:val="0"/>
        <w:keepLines w:val="0"/>
        <w:widowControl/>
        <w:suppressLineNumbers w:val="0"/>
        <w:autoSpaceDN/>
        <w:spacing w:before="0" w:beforeAutospacing="0" w:after="0" w:afterAutospacing="0"/>
        <w:ind w:left="0" w:right="0" w:firstLine="480" w:firstLineChars="200"/>
        <w:jc w:val="both"/>
        <w:rPr>
          <w:rFonts w:hint="eastAsia" w:ascii="Times New Roman" w:hAnsi="Times New Roman" w:cs="Times New Roman"/>
          <w:bCs/>
          <w:color w:val="0000FF"/>
          <w:highlight w:val="none"/>
          <w:lang w:val="en-US" w:eastAsia="zh-CN"/>
        </w:rPr>
      </w:pPr>
      <w:r>
        <w:rPr>
          <w:rFonts w:hint="eastAsia" w:ascii="Times New Roman" w:hAnsi="Times New Roman" w:cs="Times New Roman"/>
          <w:bCs/>
          <w:color w:val="0000FF"/>
          <w:highlight w:val="none"/>
          <w:lang w:val="en-US" w:eastAsia="zh-CN"/>
        </w:rPr>
        <w:t>此处下沉式广场指用于防火分隔的下沉式广场。</w:t>
      </w:r>
    </w:p>
    <w:p w14:paraId="2C6BC380">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auto"/>
          <w:highlight w:val="none"/>
          <w:lang w:val="en-US" w:eastAsia="zh-CN"/>
        </w:rPr>
      </w:pPr>
      <w:r>
        <w:rPr>
          <w:rFonts w:hint="eastAsia" w:ascii="Times New Roman" w:hAnsi="Times New Roman" w:cs="Times New Roman"/>
          <w:b/>
          <w:bCs/>
          <w:highlight w:val="none"/>
          <w:lang w:val="en-US" w:eastAsia="zh-CN"/>
        </w:rPr>
        <w:t>4.3.19</w:t>
      </w:r>
      <w:r>
        <w:rPr>
          <w:rFonts w:hint="eastAsia" w:ascii="Times New Roman" w:hAnsi="Times New Roman" w:cs="Times New Roman"/>
          <w:bCs/>
          <w:color w:val="0000FF"/>
          <w:highlight w:val="none"/>
          <w:lang w:val="en-US" w:eastAsia="zh-CN"/>
        </w:rPr>
        <w:t xml:space="preserve">  </w:t>
      </w:r>
      <w:r>
        <w:rPr>
          <w:rFonts w:hint="eastAsia" w:ascii="Times New Roman" w:hAnsi="Times New Roman" w:cs="Times New Roman"/>
          <w:bCs/>
          <w:color w:val="auto"/>
          <w:highlight w:val="none"/>
          <w:lang w:val="en-US" w:eastAsia="zh-CN"/>
        </w:rPr>
        <w:t>既有建筑改造安全疏散和避难安全评估应考虑以下内容：</w:t>
      </w:r>
    </w:p>
    <w:p w14:paraId="1E5212FA">
      <w:pPr>
        <w:keepNext w:val="0"/>
        <w:keepLines w:val="0"/>
        <w:widowControl/>
        <w:suppressLineNumbers w:val="0"/>
        <w:autoSpaceDN/>
        <w:spacing w:before="0" w:beforeAutospacing="0" w:after="0" w:afterAutospacing="0"/>
        <w:ind w:left="0" w:right="0" w:firstLine="482" w:firstLineChars="200"/>
        <w:jc w:val="left"/>
        <w:rPr>
          <w:rFonts w:hint="eastAsia" w:ascii="宋体" w:hAnsi="宋体" w:eastAsia="宋体" w:cs="宋体"/>
          <w:color w:val="000000"/>
          <w:kern w:val="0"/>
          <w:sz w:val="24"/>
          <w:szCs w:val="24"/>
          <w:highlight w:val="none"/>
          <w:lang w:val="en-US" w:eastAsia="zh-CN" w:bidi="ar"/>
        </w:rPr>
      </w:pPr>
      <w:r>
        <w:rPr>
          <w:rFonts w:hint="eastAsia" w:ascii="Times New Roman" w:hAnsi="Times New Roman" w:cs="Times New Roman"/>
          <w:b/>
          <w:bCs/>
          <w:color w:val="auto"/>
          <w:highlight w:val="none"/>
          <w:lang w:val="en-US" w:eastAsia="zh-CN"/>
        </w:rPr>
        <w:t>1</w:t>
      </w:r>
      <w:r>
        <w:rPr>
          <w:rFonts w:hint="eastAsia" w:ascii="Times New Roman" w:hAnsi="Times New Roman" w:cs="Times New Roman"/>
          <w:bCs/>
          <w:color w:val="auto"/>
          <w:highlight w:val="none"/>
          <w:lang w:val="en-US" w:eastAsia="zh-CN"/>
        </w:rPr>
        <w:t xml:space="preserve">  </w:t>
      </w:r>
      <w:r>
        <w:rPr>
          <w:rFonts w:hint="default" w:ascii="Times New Roman" w:hAnsi="Times New Roman" w:cs="Times New Roman" w:eastAsiaTheme="minorEastAsia"/>
          <w:bCs/>
          <w:color w:val="auto"/>
          <w:highlight w:val="none"/>
          <w:lang w:val="en-US" w:eastAsia="zh-CN"/>
        </w:rPr>
        <w:t>除设置医疗建筑、老年人照料设施、12周岁及以下儿童的活动场所、歌舞娱乐放映游艺场所外，其他改造工程若按照旧有规范</w:t>
      </w:r>
      <w:r>
        <w:rPr>
          <w:rFonts w:hint="default" w:ascii="Times New Roman" w:hAnsi="Times New Roman" w:cs="Times New Roman" w:eastAsiaTheme="minorEastAsia"/>
          <w:color w:val="000000"/>
          <w:kern w:val="0"/>
          <w:sz w:val="24"/>
          <w:szCs w:val="24"/>
          <w:highlight w:val="none"/>
          <w:lang w:val="en-US" w:eastAsia="zh-CN" w:bidi="ar"/>
        </w:rPr>
        <w:t>《建筑设计防火规范》GB50016- 2006要求设置，每层仅有一个安全出口或疏散楼梯且难以改造时，可维持既有建筑安全出口和疏散楼梯数量，但应满足直通疏散走道的房间疏散门至最近安全出口的直线距离或房间直通安全出口的直线距离不大于22m，疏散楼梯应采用封闭楼梯间或室外疏散楼梯，走道等公共区域或每个有人员活动的房间应设置不小于0.</w:t>
      </w:r>
      <w:r>
        <w:rPr>
          <w:rFonts w:hint="eastAsia" w:ascii="Times New Roman" w:hAnsi="Times New Roman" w:cs="Times New Roman" w:eastAsiaTheme="minorEastAsia"/>
          <w:color w:val="000000"/>
          <w:kern w:val="0"/>
          <w:sz w:val="24"/>
          <w:szCs w:val="24"/>
          <w:highlight w:val="none"/>
          <w:lang w:val="en-US" w:eastAsia="zh-CN" w:bidi="ar"/>
        </w:rPr>
        <w:t>8</w:t>
      </w:r>
      <w:r>
        <w:rPr>
          <w:rFonts w:hint="default" w:ascii="Times New Roman" w:hAnsi="Times New Roman" w:cs="Times New Roman" w:eastAsiaTheme="minorEastAsia"/>
          <w:color w:val="000000"/>
          <w:kern w:val="0"/>
          <w:sz w:val="24"/>
          <w:szCs w:val="24"/>
          <w:highlight w:val="none"/>
          <w:lang w:val="en-US" w:eastAsia="zh-CN" w:bidi="ar"/>
        </w:rPr>
        <w:t>m×0.8</w:t>
      </w:r>
      <w:r>
        <w:rPr>
          <w:rFonts w:hint="eastAsia" w:ascii="Times New Roman" w:hAnsi="Times New Roman" w:cs="Times New Roman" w:eastAsiaTheme="minorEastAsia"/>
          <w:color w:val="000000"/>
          <w:kern w:val="0"/>
          <w:sz w:val="24"/>
          <w:szCs w:val="24"/>
          <w:highlight w:val="none"/>
          <w:lang w:val="en-US" w:eastAsia="zh-CN" w:bidi="ar"/>
        </w:rPr>
        <w:t xml:space="preserve"> </w:t>
      </w:r>
      <w:r>
        <w:rPr>
          <w:rFonts w:hint="default" w:ascii="Times New Roman" w:hAnsi="Times New Roman" w:cs="Times New Roman" w:eastAsiaTheme="minorEastAsia"/>
          <w:color w:val="000000"/>
          <w:kern w:val="0"/>
          <w:sz w:val="24"/>
          <w:szCs w:val="24"/>
          <w:highlight w:val="none"/>
          <w:lang w:val="en-US" w:eastAsia="zh-CN" w:bidi="ar"/>
        </w:rPr>
        <w:t>m的可开启外窗或设置室外阳台；</w:t>
      </w:r>
    </w:p>
    <w:p w14:paraId="46CC6772">
      <w:pPr>
        <w:keepNext w:val="0"/>
        <w:keepLines w:val="0"/>
        <w:widowControl/>
        <w:suppressLineNumbers w:val="0"/>
        <w:autoSpaceDN/>
        <w:spacing w:before="0" w:beforeAutospacing="0" w:after="0" w:afterAutospacing="0"/>
        <w:ind w:left="0" w:right="0" w:firstLine="482" w:firstLineChars="200"/>
        <w:jc w:val="left"/>
        <w:rPr>
          <w:rFonts w:hint="eastAsia" w:cs="宋体"/>
          <w:b w:val="0"/>
          <w:bCs w:val="0"/>
          <w:color w:val="000000"/>
          <w:kern w:val="0"/>
          <w:sz w:val="24"/>
          <w:szCs w:val="24"/>
          <w:highlight w:val="none"/>
          <w:lang w:val="en-US" w:eastAsia="zh-CN" w:bidi="ar"/>
        </w:rPr>
      </w:pPr>
      <w:r>
        <w:rPr>
          <w:rFonts w:hint="eastAsia" w:ascii="Times New Roman" w:hAnsi="Times New Roman" w:eastAsia="宋体" w:cs="Times New Roman"/>
          <w:b/>
          <w:bCs/>
          <w:kern w:val="2"/>
          <w:sz w:val="24"/>
          <w:szCs w:val="28"/>
          <w:highlight w:val="none"/>
          <w:lang w:val="en-US" w:eastAsia="zh-CN" w:bidi="ar"/>
        </w:rPr>
        <w:t>2</w:t>
      </w:r>
      <w:r>
        <w:rPr>
          <w:rFonts w:hint="eastAsia" w:ascii="宋体" w:hAnsi="宋体" w:eastAsia="宋体" w:cs="宋体"/>
          <w:color w:val="000000"/>
          <w:kern w:val="0"/>
          <w:sz w:val="24"/>
          <w:szCs w:val="24"/>
          <w:highlight w:val="none"/>
          <w:lang w:val="en-US" w:eastAsia="zh-CN" w:bidi="ar"/>
        </w:rPr>
        <w:t xml:space="preserve">  </w:t>
      </w:r>
      <w:r>
        <w:rPr>
          <w:rFonts w:hint="default" w:ascii="Times New Roman" w:hAnsi="Times New Roman" w:cs="Times New Roman" w:eastAsiaTheme="minorEastAsia"/>
          <w:b w:val="0"/>
          <w:bCs w:val="0"/>
          <w:color w:val="000000"/>
          <w:kern w:val="0"/>
          <w:sz w:val="24"/>
          <w:szCs w:val="24"/>
          <w:highlight w:val="none"/>
          <w:lang w:val="en-US" w:eastAsia="zh-CN" w:bidi="ar"/>
        </w:rPr>
        <w:t>多层建筑改造的老年人照料设施，当设置辅助人员疏散的消防电梯确有困难时，应在防火分区内划分2个及2个以上的防火分隔单元；</w:t>
      </w:r>
    </w:p>
    <w:p w14:paraId="75400316">
      <w:pPr>
        <w:widowControl/>
        <w:autoSpaceDN/>
        <w:ind w:firstLine="482" w:firstLineChars="200"/>
        <w:jc w:val="left"/>
        <w:rPr>
          <w:rFonts w:hint="eastAsia" w:ascii="Times New Roman" w:hAnsi="Times New Roman" w:cs="Times New Roman" w:eastAsiaTheme="minorEastAsia"/>
          <w:b w:val="0"/>
          <w:bCs w:val="0"/>
          <w:color w:val="000000"/>
          <w:kern w:val="0"/>
          <w:sz w:val="24"/>
          <w:szCs w:val="24"/>
          <w:highlight w:val="none"/>
          <w:lang w:val="en-US" w:eastAsia="zh-CN" w:bidi="ar"/>
        </w:rPr>
      </w:pPr>
      <w:r>
        <w:rPr>
          <w:rFonts w:hint="eastAsia" w:ascii="Times New Roman" w:hAnsi="Times New Roman" w:cs="Times New Roman"/>
          <w:b/>
          <w:bCs/>
          <w:kern w:val="2"/>
          <w:sz w:val="24"/>
          <w:szCs w:val="28"/>
          <w:highlight w:val="none"/>
          <w:lang w:val="en-US" w:eastAsia="zh-CN" w:bidi="ar"/>
        </w:rPr>
        <w:t>3</w:t>
      </w:r>
      <w:r>
        <w:rPr>
          <w:rFonts w:hint="eastAsia" w:cs="宋体"/>
          <w:b w:val="0"/>
          <w:bCs w:val="0"/>
          <w:color w:val="000000"/>
          <w:kern w:val="0"/>
          <w:sz w:val="24"/>
          <w:szCs w:val="24"/>
          <w:highlight w:val="none"/>
          <w:lang w:val="en-US" w:eastAsia="zh-CN" w:bidi="ar"/>
        </w:rPr>
        <w:t xml:space="preserve">  </w:t>
      </w:r>
      <w:r>
        <w:rPr>
          <w:rFonts w:hint="default" w:ascii="Times New Roman" w:hAnsi="Times New Roman" w:cs="Times New Roman" w:eastAsiaTheme="minorEastAsia"/>
          <w:b w:val="0"/>
          <w:bCs w:val="0"/>
          <w:color w:val="000000"/>
          <w:kern w:val="0"/>
          <w:sz w:val="24"/>
          <w:szCs w:val="24"/>
          <w:highlight w:val="none"/>
          <w:lang w:val="en-US" w:eastAsia="zh-CN" w:bidi="ar"/>
        </w:rPr>
        <w:t>多功能组合建筑改造工程依据现行规范要求不同功能应分别设置疏散楼梯，除设置老年人照料设施、12周岁及以下儿童的活动场所、歌舞娱乐放映游艺场所外，当分别设置疏散楼梯确有困难时，不同部分可在竖向共用疏散楼梯，共用的疏散楼梯应通过</w:t>
      </w:r>
      <w:r>
        <w:rPr>
          <w:rFonts w:hint="eastAsia" w:ascii="Times New Roman" w:hAnsi="Times New Roman" w:cs="Times New Roman" w:eastAsiaTheme="minorEastAsia"/>
          <w:b w:val="0"/>
          <w:bCs w:val="0"/>
          <w:color w:val="000000"/>
          <w:kern w:val="0"/>
          <w:sz w:val="24"/>
          <w:szCs w:val="24"/>
          <w:highlight w:val="none"/>
          <w:lang w:val="en-US" w:eastAsia="zh-CN" w:bidi="ar"/>
        </w:rPr>
        <w:t>不同</w:t>
      </w:r>
      <w:r>
        <w:rPr>
          <w:rFonts w:hint="default" w:ascii="Times New Roman" w:hAnsi="Times New Roman" w:cs="Times New Roman" w:eastAsiaTheme="minorEastAsia"/>
          <w:b w:val="0"/>
          <w:bCs w:val="0"/>
          <w:color w:val="000000"/>
          <w:kern w:val="0"/>
          <w:sz w:val="24"/>
          <w:szCs w:val="24"/>
          <w:highlight w:val="none"/>
          <w:lang w:val="en-US" w:eastAsia="zh-CN" w:bidi="ar"/>
        </w:rPr>
        <w:t>前室或防火隔间进入，</w:t>
      </w:r>
      <w:r>
        <w:rPr>
          <w:rFonts w:hint="eastAsia" w:ascii="Times New Roman" w:hAnsi="Times New Roman" w:cs="Times New Roman" w:eastAsiaTheme="minorEastAsia"/>
          <w:b w:val="0"/>
          <w:bCs w:val="0"/>
          <w:color w:val="000000"/>
          <w:kern w:val="0"/>
          <w:sz w:val="24"/>
          <w:szCs w:val="24"/>
          <w:highlight w:val="none"/>
          <w:lang w:val="en-US" w:eastAsia="zh-CN" w:bidi="ar"/>
        </w:rPr>
        <w:t>其</w:t>
      </w:r>
      <w:r>
        <w:rPr>
          <w:rFonts w:hint="default" w:ascii="Times New Roman" w:hAnsi="Times New Roman" w:cs="Times New Roman" w:eastAsiaTheme="minorEastAsia"/>
          <w:b w:val="0"/>
          <w:bCs w:val="0"/>
          <w:color w:val="000000"/>
          <w:kern w:val="0"/>
          <w:sz w:val="24"/>
          <w:szCs w:val="24"/>
          <w:highlight w:val="none"/>
          <w:lang w:val="en-US" w:eastAsia="zh-CN" w:bidi="ar"/>
        </w:rPr>
        <w:t>使用面积应根据</w:t>
      </w:r>
      <w:r>
        <w:rPr>
          <w:rFonts w:hint="eastAsia" w:ascii="Times New Roman" w:hAnsi="Times New Roman" w:cs="Times New Roman" w:eastAsiaTheme="minorEastAsia"/>
          <w:b w:val="0"/>
          <w:bCs w:val="0"/>
          <w:color w:val="000000"/>
          <w:kern w:val="0"/>
          <w:sz w:val="24"/>
          <w:szCs w:val="24"/>
          <w:highlight w:val="none"/>
          <w:lang w:val="en-US" w:eastAsia="zh-CN" w:bidi="ar"/>
        </w:rPr>
        <w:t>对应</w:t>
      </w:r>
      <w:r>
        <w:rPr>
          <w:rFonts w:hint="default" w:ascii="Times New Roman" w:hAnsi="Times New Roman" w:cs="Times New Roman" w:eastAsiaTheme="minorEastAsia"/>
          <w:b w:val="0"/>
          <w:bCs w:val="0"/>
          <w:color w:val="000000"/>
          <w:kern w:val="0"/>
          <w:sz w:val="24"/>
          <w:szCs w:val="24"/>
          <w:highlight w:val="none"/>
          <w:lang w:val="en-US" w:eastAsia="zh-CN" w:bidi="ar"/>
        </w:rPr>
        <w:t>楼梯疏散人数的1/4，按照人均不小于0.2m²的标准计算确定，且公共建筑部分不应小于6.0m²，住宅部分不应小于4.5m²</w:t>
      </w:r>
      <w:r>
        <w:rPr>
          <w:rFonts w:hint="eastAsia" w:ascii="Times New Roman" w:hAnsi="Times New Roman" w:cs="Times New Roman" w:eastAsiaTheme="minorEastAsia"/>
          <w:b w:val="0"/>
          <w:bCs w:val="0"/>
          <w:color w:val="000000"/>
          <w:kern w:val="0"/>
          <w:sz w:val="24"/>
          <w:szCs w:val="24"/>
          <w:highlight w:val="none"/>
          <w:lang w:val="en-US" w:eastAsia="zh-CN" w:bidi="ar"/>
        </w:rPr>
        <w:t>；</w:t>
      </w:r>
    </w:p>
    <w:p w14:paraId="2D0EB4BC">
      <w:pPr>
        <w:widowControl/>
        <w:autoSpaceDN/>
        <w:ind w:firstLine="482" w:firstLineChars="200"/>
        <w:jc w:val="left"/>
        <w:rPr>
          <w:rFonts w:hint="eastAsia" w:ascii="Times New Roman" w:hAnsi="Times New Roman" w:cs="Times New Roman" w:eastAsiaTheme="minorEastAsia"/>
          <w:b w:val="0"/>
          <w:bCs w:val="0"/>
          <w:color w:val="000000"/>
          <w:kern w:val="0"/>
          <w:sz w:val="24"/>
          <w:szCs w:val="24"/>
          <w:highlight w:val="none"/>
          <w:lang w:val="en-US" w:eastAsia="zh-CN" w:bidi="ar"/>
        </w:rPr>
      </w:pPr>
      <w:r>
        <w:rPr>
          <w:rFonts w:hint="eastAsia" w:ascii="Times New Roman" w:hAnsi="Times New Roman" w:cs="Times New Roman" w:eastAsiaTheme="minorEastAsia"/>
          <w:b/>
          <w:bCs/>
          <w:color w:val="000000"/>
          <w:kern w:val="0"/>
          <w:sz w:val="24"/>
          <w:szCs w:val="24"/>
          <w:highlight w:val="none"/>
          <w:lang w:val="en-US" w:eastAsia="zh-CN" w:bidi="ar"/>
        </w:rPr>
        <w:t>4</w:t>
      </w:r>
      <w:r>
        <w:rPr>
          <w:rFonts w:hint="eastAsia" w:ascii="Times New Roman" w:hAnsi="Times New Roman" w:cs="Times New Roman" w:eastAsiaTheme="minorEastAsia"/>
          <w:b w:val="0"/>
          <w:bCs w:val="0"/>
          <w:color w:val="000000"/>
          <w:kern w:val="0"/>
          <w:sz w:val="24"/>
          <w:szCs w:val="24"/>
          <w:highlight w:val="none"/>
          <w:lang w:val="en-US" w:eastAsia="zh-CN" w:bidi="ar"/>
        </w:rPr>
        <w:t xml:space="preserve">  除老年人照料设施、儿童活动场所及电影院外，当既有建筑改造确受现状条件限制时，公共建筑两个防火分区可以共用一个疏散楼梯，同时两防火分区通往共用疏散楼梯应分别设置前室，前室的使用面积不应小于6.0m²，且楼梯疏散净宽度满足2个分区同时疏散的要求，共用楼梯所疏散的宽度不应大于本防火分区所需疏散总净宽度的30%；</w:t>
      </w:r>
    </w:p>
    <w:p w14:paraId="136B6C40">
      <w:pPr>
        <w:widowControl/>
        <w:autoSpaceDN/>
        <w:ind w:firstLine="482" w:firstLineChars="200"/>
        <w:jc w:val="left"/>
        <w:rPr>
          <w:rFonts w:hint="eastAsia" w:ascii="Times New Roman" w:hAnsi="Times New Roman" w:cs="Times New Roman" w:eastAsiaTheme="minorEastAsia"/>
          <w:b w:val="0"/>
          <w:bCs w:val="0"/>
          <w:color w:val="000000"/>
          <w:kern w:val="0"/>
          <w:sz w:val="24"/>
          <w:szCs w:val="24"/>
          <w:highlight w:val="none"/>
          <w:lang w:val="en-US" w:eastAsia="zh-CN" w:bidi="ar"/>
        </w:rPr>
      </w:pPr>
      <w:r>
        <w:rPr>
          <w:rFonts w:hint="eastAsia" w:ascii="Times New Roman" w:hAnsi="Times New Roman" w:cs="Times New Roman" w:eastAsiaTheme="minorEastAsia"/>
          <w:b/>
          <w:bCs/>
          <w:color w:val="000000"/>
          <w:kern w:val="0"/>
          <w:sz w:val="24"/>
          <w:szCs w:val="24"/>
          <w:highlight w:val="none"/>
          <w:lang w:val="en-US" w:eastAsia="zh-CN" w:bidi="ar"/>
        </w:rPr>
        <w:t>5</w:t>
      </w:r>
      <w:r>
        <w:rPr>
          <w:rFonts w:hint="eastAsia" w:ascii="Times New Roman" w:hAnsi="Times New Roman" w:cs="Times New Roman" w:eastAsiaTheme="minorEastAsia"/>
          <w:b w:val="0"/>
          <w:bCs w:val="0"/>
          <w:color w:val="000000"/>
          <w:kern w:val="0"/>
          <w:sz w:val="24"/>
          <w:szCs w:val="24"/>
          <w:highlight w:val="none"/>
          <w:lang w:val="en-US" w:eastAsia="zh-CN" w:bidi="ar"/>
        </w:rPr>
        <w:t xml:space="preserve">  </w:t>
      </w:r>
      <w:r>
        <w:rPr>
          <w:rFonts w:hint="default" w:ascii="Times New Roman" w:hAnsi="Times New Roman" w:cs="Times New Roman" w:eastAsiaTheme="minorEastAsia"/>
          <w:b w:val="0"/>
          <w:bCs w:val="0"/>
          <w:color w:val="000000"/>
          <w:kern w:val="0"/>
          <w:sz w:val="24"/>
          <w:szCs w:val="24"/>
          <w:highlight w:val="none"/>
          <w:lang w:val="en-US" w:eastAsia="zh-CN" w:bidi="ar"/>
        </w:rPr>
        <w:t>图书馆、展览建筑、会议中心及类似使用功能的改造工程，地上既有</w:t>
      </w:r>
      <w:r>
        <w:rPr>
          <w:rFonts w:hint="eastAsia" w:ascii="Times New Roman" w:hAnsi="Times New Roman" w:cs="Times New Roman" w:eastAsiaTheme="minorEastAsia"/>
          <w:b w:val="0"/>
          <w:bCs w:val="0"/>
          <w:color w:val="000000"/>
          <w:kern w:val="0"/>
          <w:sz w:val="24"/>
          <w:szCs w:val="24"/>
          <w:highlight w:val="none"/>
          <w:lang w:val="en-US" w:eastAsia="zh-CN" w:bidi="ar"/>
        </w:rPr>
        <w:t>开敞</w:t>
      </w:r>
      <w:r>
        <w:rPr>
          <w:rFonts w:hint="default" w:ascii="Times New Roman" w:hAnsi="Times New Roman" w:cs="Times New Roman" w:eastAsiaTheme="minorEastAsia"/>
          <w:b w:val="0"/>
          <w:bCs w:val="0"/>
          <w:color w:val="000000"/>
          <w:kern w:val="0"/>
          <w:sz w:val="24"/>
          <w:szCs w:val="24"/>
          <w:highlight w:val="none"/>
          <w:lang w:val="en-US" w:eastAsia="zh-CN" w:bidi="ar"/>
        </w:rPr>
        <w:t>楼梯间难以改造为封闭楼梯间，当建筑层数不大于3层时，可维持地上既有疏散楼梯的</w:t>
      </w:r>
      <w:r>
        <w:rPr>
          <w:rFonts w:hint="eastAsia" w:ascii="Times New Roman" w:hAnsi="Times New Roman" w:cs="Times New Roman" w:eastAsiaTheme="minorEastAsia"/>
          <w:b w:val="0"/>
          <w:bCs w:val="0"/>
          <w:color w:val="000000"/>
          <w:kern w:val="0"/>
          <w:sz w:val="24"/>
          <w:szCs w:val="24"/>
          <w:highlight w:val="none"/>
          <w:lang w:val="en-US" w:eastAsia="zh-CN" w:bidi="ar"/>
        </w:rPr>
        <w:t>开敞</w:t>
      </w:r>
      <w:r>
        <w:rPr>
          <w:rFonts w:hint="default" w:ascii="Times New Roman" w:hAnsi="Times New Roman" w:cs="Times New Roman" w:eastAsiaTheme="minorEastAsia"/>
          <w:b w:val="0"/>
          <w:bCs w:val="0"/>
          <w:color w:val="000000"/>
          <w:kern w:val="0"/>
          <w:sz w:val="24"/>
          <w:szCs w:val="24"/>
          <w:highlight w:val="none"/>
          <w:lang w:val="en-US" w:eastAsia="zh-CN" w:bidi="ar"/>
        </w:rPr>
        <w:t>形式</w:t>
      </w:r>
      <w:r>
        <w:rPr>
          <w:rFonts w:hint="eastAsia" w:ascii="Times New Roman" w:hAnsi="Times New Roman" w:cs="Times New Roman" w:eastAsiaTheme="minorEastAsia"/>
          <w:b w:val="0"/>
          <w:bCs w:val="0"/>
          <w:color w:val="000000"/>
          <w:kern w:val="0"/>
          <w:sz w:val="24"/>
          <w:szCs w:val="24"/>
          <w:highlight w:val="none"/>
          <w:lang w:val="en-US" w:eastAsia="zh-CN" w:bidi="ar"/>
        </w:rPr>
        <w:t>，并应在楼梯开口部位设置挡烟垂壁；</w:t>
      </w:r>
    </w:p>
    <w:p w14:paraId="4E9F6A3F">
      <w:pPr>
        <w:widowControl/>
        <w:autoSpaceDN/>
        <w:ind w:firstLine="482" w:firstLineChars="200"/>
        <w:jc w:val="left"/>
        <w:rPr>
          <w:rFonts w:hint="eastAsia" w:ascii="Times New Roman" w:hAnsi="Times New Roman" w:cs="Times New Roman" w:eastAsiaTheme="minorEastAsia"/>
          <w:b w:val="0"/>
          <w:bCs w:val="0"/>
          <w:color w:val="000000"/>
          <w:kern w:val="0"/>
          <w:sz w:val="24"/>
          <w:szCs w:val="24"/>
          <w:highlight w:val="none"/>
          <w:lang w:val="en-US" w:eastAsia="zh-CN" w:bidi="ar"/>
        </w:rPr>
      </w:pPr>
      <w:r>
        <w:rPr>
          <w:rFonts w:hint="eastAsia" w:ascii="Times New Roman" w:hAnsi="Times New Roman" w:cs="Times New Roman" w:eastAsiaTheme="minorEastAsia"/>
          <w:b/>
          <w:bCs/>
          <w:color w:val="000000"/>
          <w:kern w:val="0"/>
          <w:sz w:val="24"/>
          <w:szCs w:val="24"/>
          <w:highlight w:val="none"/>
          <w:lang w:val="en-US" w:eastAsia="zh-CN" w:bidi="ar"/>
        </w:rPr>
        <w:t>6</w:t>
      </w:r>
      <w:r>
        <w:rPr>
          <w:rFonts w:hint="eastAsia" w:ascii="Times New Roman" w:hAnsi="Times New Roman" w:cs="Times New Roman" w:eastAsiaTheme="minorEastAsia"/>
          <w:b w:val="0"/>
          <w:bCs w:val="0"/>
          <w:color w:val="000000"/>
          <w:kern w:val="0"/>
          <w:sz w:val="24"/>
          <w:szCs w:val="24"/>
          <w:highlight w:val="none"/>
          <w:lang w:val="en-US" w:eastAsia="zh-CN" w:bidi="ar"/>
        </w:rPr>
        <w:t xml:space="preserve">  </w:t>
      </w:r>
      <w:r>
        <w:rPr>
          <w:rFonts w:hint="default" w:ascii="Times New Roman" w:hAnsi="Times New Roman" w:cs="Times New Roman" w:eastAsiaTheme="minorEastAsia"/>
          <w:b w:val="0"/>
          <w:bCs w:val="0"/>
          <w:color w:val="000000"/>
          <w:kern w:val="0"/>
          <w:sz w:val="24"/>
          <w:szCs w:val="24"/>
          <w:highlight w:val="none"/>
          <w:lang w:val="en-US" w:eastAsia="zh-CN" w:bidi="ar"/>
        </w:rPr>
        <w:t>既有多层建筑改造工程，当敞开楼梯间改造为封闭楼梯间难以设置可开启外窗时，可采用顶部直灌式风机的加压送风方式</w:t>
      </w:r>
      <w:r>
        <w:rPr>
          <w:rFonts w:hint="eastAsia" w:ascii="Times New Roman" w:hAnsi="Times New Roman" w:cs="Times New Roman" w:eastAsiaTheme="minorEastAsia"/>
          <w:b w:val="0"/>
          <w:bCs w:val="0"/>
          <w:color w:val="000000"/>
          <w:kern w:val="0"/>
          <w:sz w:val="24"/>
          <w:szCs w:val="24"/>
          <w:highlight w:val="none"/>
          <w:lang w:val="en-US" w:eastAsia="zh-CN" w:bidi="ar"/>
        </w:rPr>
        <w:t>；</w:t>
      </w:r>
      <w:r>
        <w:rPr>
          <w:rFonts w:hint="default" w:ascii="Times New Roman" w:hAnsi="Times New Roman" w:cs="Times New Roman" w:eastAsiaTheme="minorEastAsia"/>
          <w:b w:val="0"/>
          <w:bCs w:val="0"/>
          <w:color w:val="000000"/>
          <w:kern w:val="0"/>
          <w:sz w:val="24"/>
          <w:szCs w:val="24"/>
          <w:highlight w:val="none"/>
          <w:lang w:val="en-US" w:eastAsia="zh-CN" w:bidi="ar"/>
        </w:rPr>
        <w:t>围绕电梯设置的敞开楼梯间改造为封闭楼梯间时，电梯门可开向楼梯间内，电梯轿厢的内部装修应采用不燃材料，电梯门的耐火极限应</w:t>
      </w:r>
      <w:r>
        <w:rPr>
          <w:rFonts w:hint="eastAsia" w:ascii="Times New Roman" w:hAnsi="Times New Roman" w:cs="Times New Roman" w:eastAsiaTheme="minorEastAsia"/>
          <w:b w:val="0"/>
          <w:bCs w:val="0"/>
          <w:color w:val="000000"/>
          <w:kern w:val="0"/>
          <w:sz w:val="24"/>
          <w:szCs w:val="24"/>
          <w:highlight w:val="none"/>
          <w:lang w:val="en-US" w:eastAsia="zh-CN" w:bidi="ar"/>
        </w:rPr>
        <w:t>符合</w:t>
      </w:r>
      <w:r>
        <w:rPr>
          <w:rFonts w:hint="default" w:ascii="Times New Roman" w:hAnsi="Times New Roman" w:cs="Times New Roman" w:eastAsiaTheme="minorEastAsia"/>
          <w:b w:val="0"/>
          <w:bCs w:val="0"/>
          <w:color w:val="000000"/>
          <w:kern w:val="0"/>
          <w:sz w:val="24"/>
          <w:szCs w:val="24"/>
          <w:highlight w:val="none"/>
          <w:lang w:val="en-US" w:eastAsia="zh-CN" w:bidi="ar"/>
        </w:rPr>
        <w:t>现行消防</w:t>
      </w:r>
      <w:r>
        <w:rPr>
          <w:rFonts w:hint="eastAsia" w:ascii="Times New Roman" w:hAnsi="Times New Roman" w:cs="Times New Roman" w:eastAsiaTheme="minorEastAsia"/>
          <w:b w:val="0"/>
          <w:bCs w:val="0"/>
          <w:color w:val="000000"/>
          <w:kern w:val="0"/>
          <w:sz w:val="24"/>
          <w:szCs w:val="24"/>
          <w:highlight w:val="none"/>
          <w:lang w:val="en-US" w:eastAsia="zh-CN" w:bidi="ar"/>
        </w:rPr>
        <w:t>规范</w:t>
      </w:r>
      <w:r>
        <w:rPr>
          <w:rFonts w:hint="default" w:ascii="Times New Roman" w:hAnsi="Times New Roman" w:cs="Times New Roman" w:eastAsiaTheme="minorEastAsia"/>
          <w:b w:val="0"/>
          <w:bCs w:val="0"/>
          <w:color w:val="000000"/>
          <w:kern w:val="0"/>
          <w:sz w:val="24"/>
          <w:szCs w:val="24"/>
          <w:highlight w:val="none"/>
          <w:lang w:val="en-US" w:eastAsia="zh-CN" w:bidi="ar"/>
        </w:rPr>
        <w:t>要求</w:t>
      </w:r>
      <w:r>
        <w:rPr>
          <w:rFonts w:hint="eastAsia" w:ascii="Times New Roman" w:hAnsi="Times New Roman" w:cs="Times New Roman" w:eastAsiaTheme="minorEastAsia"/>
          <w:b w:val="0"/>
          <w:bCs w:val="0"/>
          <w:color w:val="000000"/>
          <w:kern w:val="0"/>
          <w:sz w:val="24"/>
          <w:szCs w:val="24"/>
          <w:highlight w:val="none"/>
          <w:lang w:val="en-US" w:eastAsia="zh-CN" w:bidi="ar"/>
        </w:rPr>
        <w:t>；</w:t>
      </w:r>
    </w:p>
    <w:p w14:paraId="556D2275">
      <w:pPr>
        <w:widowControl/>
        <w:autoSpaceDN/>
        <w:ind w:firstLine="482" w:firstLineChars="200"/>
        <w:jc w:val="left"/>
        <w:rPr>
          <w:rFonts w:hint="default" w:ascii="Times New Roman" w:hAnsi="Times New Roman" w:cs="Times New Roman" w:eastAsiaTheme="minorEastAsia"/>
          <w:b w:val="0"/>
          <w:bCs w:val="0"/>
          <w:color w:val="000000"/>
          <w:kern w:val="0"/>
          <w:sz w:val="24"/>
          <w:szCs w:val="24"/>
          <w:highlight w:val="none"/>
          <w:lang w:val="en-US" w:eastAsia="zh-CN" w:bidi="ar"/>
        </w:rPr>
      </w:pPr>
      <w:r>
        <w:rPr>
          <w:rFonts w:hint="eastAsia" w:ascii="Times New Roman" w:hAnsi="Times New Roman" w:cs="Times New Roman" w:eastAsiaTheme="minorEastAsia"/>
          <w:b/>
          <w:bCs/>
          <w:color w:val="000000"/>
          <w:kern w:val="0"/>
          <w:sz w:val="24"/>
          <w:szCs w:val="24"/>
          <w:highlight w:val="none"/>
          <w:lang w:val="en-US" w:eastAsia="zh-CN" w:bidi="ar"/>
        </w:rPr>
        <w:t>7</w:t>
      </w:r>
      <w:r>
        <w:rPr>
          <w:rFonts w:hint="eastAsia" w:ascii="Times New Roman" w:hAnsi="Times New Roman" w:cs="Times New Roman" w:eastAsiaTheme="minorEastAsia"/>
          <w:b w:val="0"/>
          <w:bCs w:val="0"/>
          <w:color w:val="000000"/>
          <w:kern w:val="0"/>
          <w:sz w:val="24"/>
          <w:szCs w:val="24"/>
          <w:highlight w:val="none"/>
          <w:lang w:val="en-US" w:eastAsia="zh-CN" w:bidi="ar"/>
        </w:rPr>
        <w:t xml:space="preserve">  改造工程保留的疏散楼梯、疏散门和安全出口，当其净宽度难以符合现行消防规范规定的该使用功能疏散楼梯、疏散门和安全出口最小净宽度要求时，如实际净宽度不小于规定最小净宽度的90%，可维持不变，不满足上述宽度要求的既有楼梯可计入安全出口数量，但不计入疏散总宽度，疏散门最小宽度仍不得小于0.8m，净高度不宜小于2.0m。</w:t>
      </w:r>
    </w:p>
    <w:p w14:paraId="4957F32E">
      <w:pPr>
        <w:pStyle w:val="19"/>
        <w:spacing w:line="360" w:lineRule="auto"/>
        <w:jc w:val="center"/>
        <w:rPr>
          <w:rFonts w:hint="eastAsia"/>
          <w:b/>
          <w:highlight w:val="none"/>
          <w:lang w:eastAsia="zh-CN"/>
        </w:rPr>
      </w:pPr>
      <w:r>
        <w:rPr>
          <w:rFonts w:hint="default" w:ascii="Times New Roman" w:hAnsi="Times New Roman" w:cs="Times New Roman"/>
          <w:b/>
          <w:highlight w:val="none"/>
        </w:rPr>
        <w:t>Ⅴ</w:t>
      </w:r>
      <w:r>
        <w:rPr>
          <w:rFonts w:hint="eastAsia"/>
          <w:b/>
          <w:highlight w:val="none"/>
        </w:rPr>
        <w:t xml:space="preserve">  </w:t>
      </w:r>
      <w:r>
        <w:rPr>
          <w:rFonts w:hint="eastAsia"/>
          <w:b/>
          <w:highlight w:val="none"/>
          <w:lang w:val="en-US" w:eastAsia="zh-CN"/>
        </w:rPr>
        <w:t>建筑</w:t>
      </w:r>
      <w:r>
        <w:rPr>
          <w:rFonts w:hint="eastAsia"/>
          <w:b/>
          <w:highlight w:val="none"/>
          <w:lang w:eastAsia="zh-CN"/>
        </w:rPr>
        <w:t>结构耐火</w:t>
      </w:r>
    </w:p>
    <w:p w14:paraId="14746F1D">
      <w:pPr>
        <w:autoSpaceDN/>
        <w:jc w:val="both"/>
        <w:rPr>
          <w:rFonts w:hint="eastAsia" w:ascii="Times New Roman" w:hAnsi="Times New Roman" w:cs="Times New Roman"/>
          <w:b w:val="0"/>
          <w:highlight w:val="none"/>
          <w:lang w:val="en-US" w:eastAsia="zh-CN"/>
        </w:rPr>
      </w:pPr>
      <w:r>
        <w:rPr>
          <w:rFonts w:hint="eastAsia" w:ascii="Times New Roman" w:hAnsi="Times New Roman" w:cs="Times New Roman"/>
          <w:b/>
          <w:bCs/>
          <w:highlight w:val="none"/>
          <w:lang w:val="en-US" w:eastAsia="zh-CN"/>
        </w:rPr>
        <w:t>4.3.20</w:t>
      </w:r>
      <w:r>
        <w:rPr>
          <w:rFonts w:hint="eastAsia" w:ascii="Times New Roman" w:hAnsi="Times New Roman" w:cs="Times New Roman"/>
          <w:b w:val="0"/>
          <w:highlight w:val="none"/>
          <w:lang w:val="en-US" w:eastAsia="zh-CN"/>
        </w:rPr>
        <w:t xml:space="preserve">  建筑结构安全评估具体包含以下内容：</w:t>
      </w:r>
    </w:p>
    <w:p w14:paraId="1CE25910">
      <w:pPr>
        <w:autoSpaceDN/>
        <w:ind w:firstLine="482" w:firstLineChars="200"/>
        <w:jc w:val="both"/>
        <w:rPr>
          <w:rFonts w:hint="eastAsia" w:ascii="Times New Roman" w:hAnsi="Times New Roman" w:cs="Times New Roman"/>
          <w:b w:val="0"/>
          <w:highlight w:val="none"/>
          <w:lang w:val="en-US" w:eastAsia="zh-CN"/>
        </w:rPr>
      </w:pPr>
      <w:r>
        <w:rPr>
          <w:rFonts w:hint="eastAsia" w:ascii="Times New Roman" w:hAnsi="Times New Roman" w:cs="Times New Roman"/>
          <w:b/>
          <w:bCs/>
          <w:highlight w:val="none"/>
          <w:lang w:val="en-US" w:eastAsia="zh-CN"/>
        </w:rPr>
        <w:t>1</w:t>
      </w:r>
      <w:r>
        <w:rPr>
          <w:rFonts w:hint="eastAsia" w:ascii="Times New Roman" w:hAnsi="Times New Roman" w:cs="Times New Roman"/>
          <w:b w:val="0"/>
          <w:highlight w:val="none"/>
          <w:lang w:val="en-US" w:eastAsia="zh-CN"/>
        </w:rPr>
        <w:t xml:space="preserve">  建筑结构的耐火性能应与其火灾危险性、建筑高度、使用功能和重要性、火灾扑救难度等相适应；</w:t>
      </w:r>
    </w:p>
    <w:p w14:paraId="4854991D">
      <w:pPr>
        <w:autoSpaceDN/>
        <w:ind w:firstLine="482" w:firstLineChars="200"/>
        <w:jc w:val="both"/>
        <w:rPr>
          <w:rFonts w:hint="eastAsia" w:ascii="Times New Roman" w:hAnsi="Times New Roman" w:cs="Times New Roman"/>
          <w:b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highlight w:val="none"/>
          <w:lang w:val="en-US" w:eastAsia="zh-CN"/>
        </w:rPr>
        <w:t xml:space="preserve">  建筑中承重的金属结构或构件、木结构或构件、组合结构或构件、钢筋混凝土结构或构件应根据设计耐火极限和受力情况等进行耐火性能验算和防火保护设计；</w:t>
      </w:r>
    </w:p>
    <w:p w14:paraId="01384439">
      <w:pPr>
        <w:autoSpaceDN/>
        <w:ind w:firstLine="482" w:firstLineChars="200"/>
        <w:jc w:val="both"/>
        <w:rPr>
          <w:rFonts w:hint="eastAsia" w:ascii="Times New Roman" w:hAnsi="Times New Roman" w:cs="Times New Roman"/>
          <w:b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highlight w:val="none"/>
          <w:lang w:val="en-US" w:eastAsia="zh-CN"/>
        </w:rPr>
        <w:t xml:space="preserve">  不改变既有建筑结构类型的建筑结构加固、构件更换或维护，建筑构件的耐火极限和燃烧性能，宜符合国家现行规范的规定，且不应低于原建造时规范的规定；既有建筑改变建筑结构类型后的建筑构件、新增建筑构件，其耐火极限应符合国家现行规范对相应耐火等级建筑的规定；改造范围内保留的建筑构件，当其耐火极限不符合要求时，应采取防火保护措施；</w:t>
      </w:r>
    </w:p>
    <w:p w14:paraId="79A689C8">
      <w:pPr>
        <w:autoSpaceDN/>
        <w:ind w:firstLine="482" w:firstLineChars="200"/>
        <w:jc w:val="both"/>
        <w:rPr>
          <w:rFonts w:hint="default" w:ascii="Times New Roman" w:hAnsi="Times New Roman" w:cs="Times New Roman"/>
          <w:b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Cs w:val="0"/>
          <w:highlight w:val="none"/>
          <w:lang w:val="en-US" w:eastAsia="zh-CN"/>
        </w:rPr>
        <w:t xml:space="preserve">  既有建筑中存在木屋架、木楼板等可燃性或难燃性结构构件，且不满足相应耐火等级对结构构件耐火极限要求时，消防改造过程中应将可燃性或难燃性结构构件替换为不燃性结构构件，当替换确有困难时，应进行专项论证，并采取相应措施提高防火性能。</w:t>
      </w:r>
    </w:p>
    <w:p w14:paraId="7C93A979">
      <w:pPr>
        <w:pStyle w:val="19"/>
        <w:spacing w:line="360" w:lineRule="auto"/>
        <w:jc w:val="center"/>
        <w:rPr>
          <w:b/>
          <w:highlight w:val="none"/>
        </w:rPr>
      </w:pPr>
      <w:r>
        <w:rPr>
          <w:rFonts w:hint="default" w:ascii="Times New Roman" w:hAnsi="Times New Roman" w:cs="Times New Roman"/>
          <w:b/>
          <w:highlight w:val="none"/>
        </w:rPr>
        <w:t>Ⅵ</w:t>
      </w:r>
      <w:r>
        <w:rPr>
          <w:rFonts w:hint="eastAsia"/>
          <w:b/>
          <w:highlight w:val="none"/>
        </w:rPr>
        <w:t xml:space="preserve">  </w:t>
      </w:r>
      <w:r>
        <w:rPr>
          <w:rFonts w:hint="eastAsia"/>
          <w:b/>
          <w:highlight w:val="none"/>
          <w:lang w:val="en-US" w:eastAsia="zh-CN"/>
        </w:rPr>
        <w:t>建筑</w:t>
      </w:r>
      <w:r>
        <w:rPr>
          <w:rFonts w:hint="eastAsia"/>
          <w:b/>
          <w:highlight w:val="none"/>
        </w:rPr>
        <w:t>构造</w:t>
      </w:r>
    </w:p>
    <w:p w14:paraId="1103298E">
      <w:pPr>
        <w:autoSpaceDN/>
        <w:jc w:val="both"/>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4.3.21</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建筑构造</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包含防火墙、防火隔墙与幕墙安全评估，建筑竖井和防火封堵安全评估，防火门窗、防火卷帘和防火玻璃墙安全评估，</w:t>
      </w:r>
      <w:r>
        <w:rPr>
          <w:rFonts w:hint="eastAsia" w:ascii="Times New Roman" w:hAnsi="Times New Roman" w:cs="Times New Roman"/>
          <w:highlight w:val="none"/>
        </w:rPr>
        <w:t>天桥、</w:t>
      </w:r>
      <w:r>
        <w:rPr>
          <w:rFonts w:hint="eastAsia" w:ascii="Times New Roman" w:hAnsi="Times New Roman" w:cs="Times New Roman"/>
          <w:highlight w:val="none"/>
          <w:lang w:val="en-US" w:eastAsia="zh-CN"/>
        </w:rPr>
        <w:t>连廊和管沟安全评估，</w:t>
      </w:r>
      <w:r>
        <w:rPr>
          <w:rFonts w:hint="eastAsia" w:ascii="Times New Roman" w:hAnsi="Times New Roman" w:cs="Times New Roman"/>
          <w:strike w:val="0"/>
          <w:color w:val="auto"/>
          <w:highlight w:val="none"/>
        </w:rPr>
        <w:t>建筑</w:t>
      </w:r>
      <w:r>
        <w:rPr>
          <w:rFonts w:hint="eastAsia" w:ascii="Times New Roman" w:hAnsi="Times New Roman" w:cs="Times New Roman"/>
          <w:strike w:val="0"/>
          <w:color w:val="auto"/>
          <w:highlight w:val="none"/>
          <w:lang w:val="en-US" w:eastAsia="zh-CN"/>
        </w:rPr>
        <w:t>外</w:t>
      </w:r>
      <w:r>
        <w:rPr>
          <w:rFonts w:hint="eastAsia" w:ascii="Times New Roman" w:hAnsi="Times New Roman" w:cs="Times New Roman"/>
          <w:strike w:val="0"/>
          <w:color w:val="auto"/>
          <w:highlight w:val="none"/>
        </w:rPr>
        <w:t>保温</w:t>
      </w:r>
      <w:r>
        <w:rPr>
          <w:rFonts w:hint="eastAsia" w:ascii="Times New Roman" w:hAnsi="Times New Roman" w:cs="Times New Roman"/>
          <w:strike w:val="0"/>
          <w:color w:val="auto"/>
          <w:highlight w:val="none"/>
          <w:lang w:val="en-US" w:eastAsia="zh-CN"/>
        </w:rPr>
        <w:t>系统</w:t>
      </w:r>
      <w:r>
        <w:rPr>
          <w:rFonts w:hint="eastAsia" w:ascii="Times New Roman" w:hAnsi="Times New Roman" w:cs="Times New Roman"/>
          <w:color w:val="auto"/>
          <w:highlight w:val="none"/>
          <w:lang w:val="en-US" w:eastAsia="zh-CN"/>
        </w:rPr>
        <w:t>安全评估。</w:t>
      </w:r>
    </w:p>
    <w:p w14:paraId="57F35F08">
      <w:pPr>
        <w:autoSpaceDN/>
        <w:jc w:val="both"/>
        <w:rPr>
          <w:rFonts w:hint="eastAsia" w:cs="Times New Roman"/>
          <w:highlight w:val="none"/>
        </w:rPr>
      </w:pPr>
      <w:r>
        <w:rPr>
          <w:rFonts w:hint="eastAsia" w:ascii="Times New Roman" w:hAnsi="Times New Roman" w:cs="Times New Roman"/>
          <w:b/>
          <w:bCs/>
          <w:highlight w:val="none"/>
          <w:lang w:val="en-US" w:eastAsia="zh-CN"/>
        </w:rPr>
        <w:t>4.3.22</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防火墙、防火隔墙</w:t>
      </w:r>
      <w:bookmarkStart w:id="247" w:name="_Hlk183011657"/>
      <w:r>
        <w:rPr>
          <w:rFonts w:hint="eastAsia" w:ascii="Times New Roman" w:hAnsi="Times New Roman" w:cs="Times New Roman"/>
          <w:highlight w:val="none"/>
          <w:lang w:val="en-US" w:eastAsia="zh-CN"/>
        </w:rPr>
        <w:t>与幕墙安全评估</w:t>
      </w:r>
      <w:r>
        <w:rPr>
          <w:rFonts w:hint="eastAsia" w:ascii="Times New Roman" w:hAnsi="Times New Roman" w:cs="Times New Roman"/>
          <w:highlight w:val="none"/>
        </w:rPr>
        <w:t>具体包含以下内容</w:t>
      </w:r>
      <w:r>
        <w:rPr>
          <w:rFonts w:hint="eastAsia" w:cs="Times New Roman"/>
          <w:highlight w:val="none"/>
        </w:rPr>
        <w:t>：</w:t>
      </w:r>
      <w:bookmarkEnd w:id="247"/>
    </w:p>
    <w:p w14:paraId="4CC3E019">
      <w:pPr>
        <w:autoSpaceDN/>
        <w:ind w:firstLine="482" w:firstLineChars="200"/>
        <w:jc w:val="both"/>
        <w:rPr>
          <w:rFonts w:hint="default" w:ascii="Times New Roman" w:hAnsi="Times New Roman" w:cs="Times New Roman"/>
          <w:b/>
          <w:bCs/>
          <w:highlight w:val="none"/>
          <w:lang w:val="en-US"/>
        </w:rPr>
      </w:pPr>
      <w:r>
        <w:rPr>
          <w:rFonts w:hint="default" w:ascii="Times New Roman" w:hAnsi="Times New Roman" w:cs="Times New Roman"/>
          <w:b/>
          <w:bCs/>
          <w:highlight w:val="none"/>
        </w:rPr>
        <w:t xml:space="preserve">1  </w:t>
      </w:r>
      <w:r>
        <w:rPr>
          <w:rFonts w:hint="default" w:ascii="Times New Roman" w:hAnsi="Times New Roman" w:cs="Times New Roman"/>
          <w:highlight w:val="none"/>
          <w:lang w:val="en-US" w:eastAsia="zh-CN"/>
        </w:rPr>
        <w:t>防火墙和防火隔墙的耐火等级应符合规范要求；</w:t>
      </w:r>
    </w:p>
    <w:p w14:paraId="48D9C9F2">
      <w:pPr>
        <w:autoSpaceDN/>
        <w:ind w:firstLine="482" w:firstLineChars="200"/>
        <w:jc w:val="both"/>
        <w:rPr>
          <w:rFonts w:hint="default" w:ascii="Times New Roman" w:hAnsi="Times New Roman" w:cs="Times New Roman"/>
          <w:highlight w:val="none"/>
          <w:lang w:eastAsia="zh-CN"/>
        </w:rPr>
      </w:pPr>
      <w:r>
        <w:rPr>
          <w:rFonts w:hint="default" w:ascii="Times New Roman" w:hAnsi="Times New Roman" w:cs="Times New Roman"/>
          <w:b/>
          <w:bCs/>
          <w:highlight w:val="none"/>
        </w:rPr>
        <w:t xml:space="preserve">2  </w:t>
      </w:r>
      <w:r>
        <w:rPr>
          <w:rFonts w:hint="default" w:ascii="Times New Roman" w:hAnsi="Times New Roman" w:cs="Times New Roman"/>
          <w:highlight w:val="none"/>
        </w:rPr>
        <w:t>防火墙、防火隔墙开有门、窗时</w:t>
      </w:r>
      <w:r>
        <w:rPr>
          <w:rFonts w:hint="eastAsia" w:ascii="Times New Roman" w:hAnsi="Times New Roman" w:cs="Times New Roman"/>
          <w:highlight w:val="none"/>
          <w:lang w:val="en-US" w:eastAsia="zh-CN"/>
        </w:rPr>
        <w:t>应采取防止火灾蔓延至防火墙、防火隔墙另一侧的措施</w:t>
      </w:r>
      <w:r>
        <w:rPr>
          <w:rFonts w:hint="default" w:ascii="Times New Roman" w:hAnsi="Times New Roman" w:cs="Times New Roman"/>
          <w:highlight w:val="none"/>
          <w:lang w:eastAsia="zh-CN"/>
        </w:rPr>
        <w:t>；</w:t>
      </w:r>
    </w:p>
    <w:p w14:paraId="61DBF50B">
      <w:pPr>
        <w:keepNext w:val="0"/>
        <w:keepLines w:val="0"/>
        <w:widowControl/>
        <w:suppressLineNumbers w:val="0"/>
        <w:autoSpaceDN/>
        <w:ind w:firstLine="482" w:firstLineChars="200"/>
        <w:jc w:val="both"/>
        <w:rPr>
          <w:rFonts w:ascii="Times New Roman" w:hAnsi="Times New Roman" w:cs="Times New Roman"/>
          <w:highlight w:val="none"/>
        </w:rPr>
      </w:pPr>
      <w:r>
        <w:rPr>
          <w:rFonts w:hint="eastAsia" w:ascii="Times New Roman" w:hAnsi="Times New Roman" w:cs="Times New Roman"/>
          <w:b/>
          <w:bCs/>
          <w:highlight w:val="none"/>
          <w:lang w:val="en-US" w:eastAsia="zh-CN"/>
        </w:rPr>
        <w:t xml:space="preserve">3  </w:t>
      </w:r>
      <w:r>
        <w:rPr>
          <w:rFonts w:hint="default" w:ascii="Times New Roman" w:hAnsi="Times New Roman" w:eastAsia="宋体" w:cs="Times New Roman"/>
          <w:color w:val="auto"/>
          <w:kern w:val="2"/>
          <w:sz w:val="24"/>
          <w:szCs w:val="28"/>
          <w:highlight w:val="none"/>
          <w:lang w:val="en-US" w:eastAsia="zh-CN" w:bidi="ar"/>
        </w:rPr>
        <w:t>建筑外墙上、下层开口之间应采取防止火灾沿外墙开口蔓延至建筑其他楼 层内的措施。在建筑外墙上水平或竖向相邻开口之间用于防止火灾蔓延的墙体、隔板或防火挑檐等实体分隔结构，其耐火性能均不应低于该建筑外墙的耐火性能要求</w:t>
      </w:r>
      <w:r>
        <w:rPr>
          <w:rFonts w:hint="eastAsia" w:ascii="Times New Roman" w:hAnsi="Times New Roman" w:cs="Times New Roman"/>
          <w:kern w:val="2"/>
          <w:sz w:val="24"/>
          <w:szCs w:val="28"/>
          <w:highlight w:val="none"/>
          <w:lang w:val="en-US" w:eastAsia="zh-CN" w:bidi="ar"/>
        </w:rPr>
        <w:t>；</w:t>
      </w:r>
    </w:p>
    <w:p w14:paraId="03FC289C">
      <w:pPr>
        <w:keepNext w:val="0"/>
        <w:keepLines w:val="0"/>
        <w:widowControl/>
        <w:suppressLineNumbers w:val="0"/>
        <w:autoSpaceDN/>
        <w:spacing w:before="0" w:beforeAutospacing="0" w:after="0" w:afterAutospacing="0"/>
        <w:ind w:left="0" w:right="0" w:firstLine="482" w:firstLineChars="200"/>
        <w:jc w:val="both"/>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4</w:t>
      </w:r>
      <w:r>
        <w:rPr>
          <w:rFonts w:hint="default" w:ascii="Times New Roman" w:hAnsi="Times New Roman" w:cs="Times New Roman"/>
          <w:b/>
          <w:bCs/>
          <w:highlight w:val="none"/>
        </w:rPr>
        <w:t xml:space="preserve">  </w:t>
      </w:r>
      <w:r>
        <w:rPr>
          <w:rFonts w:hint="default" w:ascii="Times New Roman" w:hAnsi="Times New Roman" w:cs="Times New Roman"/>
          <w:highlight w:val="none"/>
          <w:lang w:val="en-US" w:eastAsia="zh-CN"/>
        </w:rPr>
        <w:t>防火墙和防火隔墙的</w:t>
      </w:r>
      <w:r>
        <w:rPr>
          <w:rFonts w:hint="eastAsia" w:ascii="Times New Roman" w:hAnsi="Times New Roman" w:cs="Times New Roman"/>
          <w:highlight w:val="none"/>
          <w:lang w:val="en-US" w:eastAsia="zh-CN"/>
        </w:rPr>
        <w:t>穿越</w:t>
      </w:r>
      <w:r>
        <w:rPr>
          <w:rFonts w:hint="default" w:ascii="Times New Roman" w:hAnsi="Times New Roman" w:cs="Times New Roman"/>
          <w:highlight w:val="none"/>
          <w:lang w:val="en-US" w:eastAsia="zh-CN"/>
        </w:rPr>
        <w:t>管线</w:t>
      </w:r>
      <w:r>
        <w:rPr>
          <w:rFonts w:hint="eastAsia" w:ascii="Times New Roman" w:hAnsi="Times New Roman" w:cs="Times New Roman"/>
          <w:highlight w:val="none"/>
          <w:lang w:val="en-US" w:eastAsia="zh-CN"/>
        </w:rPr>
        <w:t>的</w:t>
      </w:r>
      <w:r>
        <w:rPr>
          <w:rFonts w:hint="default" w:ascii="Times New Roman" w:hAnsi="Times New Roman" w:cs="Times New Roman"/>
          <w:highlight w:val="none"/>
          <w:lang w:val="en-US" w:eastAsia="zh-CN"/>
        </w:rPr>
        <w:t>设置</w:t>
      </w:r>
      <w:r>
        <w:rPr>
          <w:rFonts w:hint="eastAsia" w:ascii="Times New Roman" w:hAnsi="Times New Roman" w:cs="Times New Roman"/>
          <w:highlight w:val="none"/>
          <w:lang w:val="en-US" w:eastAsia="zh-CN"/>
        </w:rPr>
        <w:t>及封堵措施</w:t>
      </w:r>
      <w:r>
        <w:rPr>
          <w:rFonts w:hint="default" w:ascii="Times New Roman" w:hAnsi="Times New Roman" w:cs="Times New Roman"/>
          <w:highlight w:val="none"/>
          <w:lang w:val="en-US" w:eastAsia="zh-CN"/>
        </w:rPr>
        <w:t>应符合规范要求</w:t>
      </w:r>
      <w:r>
        <w:rPr>
          <w:rFonts w:hint="eastAsia" w:ascii="Times New Roman" w:hAnsi="Times New Roman" w:cs="Times New Roman"/>
          <w:highlight w:val="none"/>
          <w:lang w:val="en-US" w:eastAsia="zh-CN"/>
        </w:rPr>
        <w:t>；</w:t>
      </w:r>
    </w:p>
    <w:p w14:paraId="6C22819E">
      <w:pPr>
        <w:keepNext w:val="0"/>
        <w:keepLines w:val="0"/>
        <w:widowControl/>
        <w:suppressLineNumbers w:val="0"/>
        <w:autoSpaceDN/>
        <w:spacing w:before="0" w:beforeAutospacing="0" w:after="0" w:afterAutospacing="0"/>
        <w:ind w:left="0" w:right="0" w:firstLine="482" w:firstLineChars="200"/>
        <w:jc w:val="both"/>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highlight w:val="none"/>
          <w:lang w:val="en-US" w:eastAsia="zh-CN"/>
        </w:rPr>
        <w:t xml:space="preserve">  建筑幕墙应在每层楼板外沿处采取防止火灾通过幕墙空腔等构造竖向蔓延的措施；</w:t>
      </w:r>
    </w:p>
    <w:p w14:paraId="11CFE9BC">
      <w:pPr>
        <w:keepNext w:val="0"/>
        <w:keepLines w:val="0"/>
        <w:widowControl/>
        <w:suppressLineNumbers w:val="0"/>
        <w:autoSpaceDN/>
        <w:spacing w:before="0" w:beforeAutospacing="0" w:after="0" w:afterAutospacing="0"/>
        <w:ind w:left="0" w:right="0" w:firstLine="482" w:firstLineChars="200"/>
        <w:jc w:val="both"/>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highlight w:val="none"/>
          <w:lang w:val="en-US" w:eastAsia="zh-CN"/>
        </w:rPr>
        <w:t xml:space="preserve">  </w:t>
      </w:r>
      <w:r>
        <w:rPr>
          <w:rFonts w:hint="eastAsia" w:ascii="Times New Roman" w:hAnsi="Times New Roman" w:cs="Times New Roman"/>
          <w:color w:val="auto"/>
          <w:highlight w:val="none"/>
          <w:lang w:val="en-US" w:eastAsia="zh-CN"/>
        </w:rPr>
        <w:t>既有建筑</w:t>
      </w:r>
      <w:r>
        <w:rPr>
          <w:rFonts w:hint="default" w:ascii="Times New Roman" w:hAnsi="Times New Roman" w:eastAsia="宋体" w:cs="Times New Roman"/>
          <w:color w:val="auto"/>
          <w:highlight w:val="none"/>
          <w:lang w:val="en-US" w:eastAsia="zh-CN"/>
        </w:rPr>
        <w:t>改造中新增的防火墙</w:t>
      </w:r>
      <w:r>
        <w:rPr>
          <w:rFonts w:hint="eastAsia" w:ascii="Times New Roman" w:hAnsi="Times New Roman" w:cs="Times New Roman"/>
          <w:color w:val="auto"/>
          <w:highlight w:val="none"/>
          <w:lang w:val="en-US" w:eastAsia="zh-CN"/>
        </w:rPr>
        <w:t>，其构造</w:t>
      </w:r>
      <w:r>
        <w:rPr>
          <w:rFonts w:hint="default" w:ascii="Times New Roman" w:hAnsi="Times New Roman" w:eastAsia="宋体" w:cs="Times New Roman"/>
          <w:color w:val="auto"/>
          <w:highlight w:val="none"/>
          <w:lang w:val="en-US" w:eastAsia="zh-CN"/>
        </w:rPr>
        <w:t>应</w:t>
      </w:r>
      <w:r>
        <w:rPr>
          <w:rFonts w:hint="eastAsia" w:ascii="Times New Roman" w:hAnsi="Times New Roman" w:cs="Times New Roman"/>
          <w:color w:val="auto"/>
          <w:highlight w:val="none"/>
          <w:lang w:val="en-US" w:eastAsia="zh-CN"/>
        </w:rPr>
        <w:t>符合国家现行规范的要求；未改造的防火墙，其构造应符合原建造时标准的规定。</w:t>
      </w:r>
    </w:p>
    <w:p w14:paraId="40148390">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eastAsia="zh-CN"/>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7FBED0FD">
      <w:pPr>
        <w:keepNext w:val="0"/>
        <w:keepLines w:val="0"/>
        <w:widowControl/>
        <w:suppressLineNumbers w:val="0"/>
        <w:autoSpaceDN/>
        <w:spacing w:before="0" w:beforeAutospacing="0" w:after="0" w:afterAutospacing="0"/>
        <w:ind w:left="0" w:right="0" w:firstLine="480" w:firstLineChars="200"/>
        <w:jc w:val="both"/>
        <w:rPr>
          <w:rFonts w:hint="default" w:ascii="Times New Roman" w:hAnsi="Times New Roman" w:cs="Times New Roman"/>
          <w:bCs/>
          <w:color w:val="0000FF"/>
          <w:highlight w:val="none"/>
          <w:lang w:val="en-US" w:eastAsia="zh-CN"/>
        </w:rPr>
      </w:pPr>
      <w:r>
        <w:rPr>
          <w:rFonts w:hint="eastAsia" w:ascii="Times New Roman" w:hAnsi="Times New Roman" w:cs="Times New Roman"/>
          <w:bCs/>
          <w:color w:val="0000FF"/>
          <w:highlight w:val="none"/>
          <w:lang w:val="en-US" w:eastAsia="zh-CN"/>
        </w:rPr>
        <w:t>可燃气体和甲、乙、丙类液体的管道严禁穿过防火墙；防火墙内不应设置排气道，因此，需在防火墙和防火隔墙设置管线时，应注意相应规范的特殊要求。</w:t>
      </w:r>
    </w:p>
    <w:p w14:paraId="42C222F4">
      <w:pPr>
        <w:autoSpaceDN/>
        <w:jc w:val="both"/>
        <w:rPr>
          <w:rFonts w:hint="eastAsia" w:cs="Times New Roman"/>
          <w:highlight w:val="none"/>
        </w:rPr>
      </w:pPr>
      <w:r>
        <w:rPr>
          <w:rFonts w:hint="eastAsia" w:ascii="Times New Roman" w:hAnsi="Times New Roman" w:cs="Times New Roman"/>
          <w:b/>
          <w:bCs/>
          <w:highlight w:val="none"/>
          <w:lang w:val="en-US" w:eastAsia="zh-CN"/>
        </w:rPr>
        <w:t>4.3.23</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建筑竖井和防火封堵安全评估</w:t>
      </w:r>
      <w:r>
        <w:rPr>
          <w:rFonts w:hint="eastAsia" w:ascii="Times New Roman" w:hAnsi="Times New Roman" w:cs="Times New Roman"/>
          <w:highlight w:val="none"/>
        </w:rPr>
        <w:t>具体包含以下内容</w:t>
      </w:r>
      <w:r>
        <w:rPr>
          <w:rFonts w:hint="eastAsia" w:cs="Times New Roman"/>
          <w:highlight w:val="none"/>
        </w:rPr>
        <w:t>：</w:t>
      </w:r>
    </w:p>
    <w:p w14:paraId="470FF32F">
      <w:pPr>
        <w:autoSpaceDN/>
        <w:ind w:firstLine="482" w:firstLineChars="200"/>
        <w:jc w:val="both"/>
        <w:rPr>
          <w:rFonts w:hint="default" w:ascii="Times New Roman" w:hAnsi="Times New Roman" w:cs="Times New Roman"/>
          <w:b/>
          <w:bCs/>
          <w:highlight w:val="none"/>
          <w:lang w:val="en-US"/>
        </w:rPr>
      </w:pPr>
      <w:r>
        <w:rPr>
          <w:rFonts w:hint="default" w:ascii="Times New Roman" w:hAnsi="Times New Roman" w:cs="Times New Roman"/>
          <w:b/>
          <w:bCs/>
          <w:highlight w:val="none"/>
        </w:rPr>
        <w:t xml:space="preserve">1  </w:t>
      </w:r>
      <w:r>
        <w:rPr>
          <w:rFonts w:hint="default" w:ascii="Times New Roman" w:hAnsi="Times New Roman" w:cs="Times New Roman"/>
          <w:b w:val="0"/>
          <w:bCs w:val="0"/>
          <w:highlight w:val="none"/>
          <w:lang w:val="en-US" w:eastAsia="zh-CN"/>
        </w:rPr>
        <w:t>电梯井、</w:t>
      </w:r>
      <w:r>
        <w:rPr>
          <w:rFonts w:hint="eastAsia" w:ascii="Times New Roman" w:hAnsi="Times New Roman" w:cs="Times New Roman"/>
          <w:b w:val="0"/>
          <w:bCs w:val="0"/>
          <w:highlight w:val="none"/>
          <w:lang w:val="en-US" w:eastAsia="zh-CN"/>
        </w:rPr>
        <w:t>电气竖</w:t>
      </w:r>
      <w:r>
        <w:rPr>
          <w:rFonts w:hint="default" w:ascii="Times New Roman" w:hAnsi="Times New Roman" w:cs="Times New Roman"/>
          <w:b w:val="0"/>
          <w:bCs w:val="0"/>
          <w:highlight w:val="none"/>
          <w:lang w:val="en-US" w:eastAsia="zh-CN"/>
        </w:rPr>
        <w:t>井、管道井、排烟</w:t>
      </w:r>
      <w:r>
        <w:rPr>
          <w:rFonts w:hint="eastAsia" w:ascii="Times New Roman" w:hAnsi="Times New Roman" w:cs="Times New Roman"/>
          <w:b w:val="0"/>
          <w:bCs w:val="0"/>
          <w:highlight w:val="none"/>
          <w:lang w:val="en-US" w:eastAsia="zh-CN"/>
        </w:rPr>
        <w:t>或通风</w:t>
      </w:r>
      <w:r>
        <w:rPr>
          <w:rFonts w:hint="default" w:ascii="Times New Roman" w:hAnsi="Times New Roman" w:cs="Times New Roman"/>
          <w:b w:val="0"/>
          <w:bCs w:val="0"/>
          <w:highlight w:val="none"/>
          <w:lang w:val="en-US" w:eastAsia="zh-CN"/>
        </w:rPr>
        <w:t>道</w:t>
      </w:r>
      <w:r>
        <w:rPr>
          <w:rFonts w:hint="eastAsia" w:ascii="Times New Roman" w:hAnsi="Times New Roman" w:cs="Times New Roman"/>
          <w:b w:val="0"/>
          <w:bCs w:val="0"/>
          <w:highlight w:val="none"/>
          <w:lang w:val="en-US" w:eastAsia="zh-CN"/>
        </w:rPr>
        <w:t>、垃圾井</w:t>
      </w:r>
      <w:r>
        <w:rPr>
          <w:rFonts w:hint="default" w:ascii="Times New Roman" w:hAnsi="Times New Roman" w:cs="Times New Roman"/>
          <w:b w:val="0"/>
          <w:bCs w:val="0"/>
          <w:highlight w:val="none"/>
          <w:lang w:val="en-US" w:eastAsia="zh-CN"/>
        </w:rPr>
        <w:t>等竖向井道应按照规范要求分别独立设置</w:t>
      </w:r>
      <w:r>
        <w:rPr>
          <w:rFonts w:hint="default" w:ascii="Times New Roman" w:hAnsi="Times New Roman" w:cs="Times New Roman"/>
          <w:highlight w:val="none"/>
          <w:lang w:val="en-US" w:eastAsia="zh-CN"/>
        </w:rPr>
        <w:t>；</w:t>
      </w:r>
    </w:p>
    <w:p w14:paraId="0E5524CE">
      <w:pPr>
        <w:autoSpaceDN/>
        <w:ind w:firstLine="482" w:firstLineChars="200"/>
        <w:jc w:val="both"/>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rPr>
        <w:t xml:space="preserve">2  </w:t>
      </w:r>
      <w:r>
        <w:rPr>
          <w:rFonts w:hint="default" w:ascii="Times New Roman" w:hAnsi="Times New Roman" w:cs="Times New Roman"/>
          <w:b w:val="0"/>
          <w:bCs w:val="0"/>
          <w:highlight w:val="none"/>
          <w:lang w:val="en-US" w:eastAsia="zh-CN"/>
        </w:rPr>
        <w:t>电梯井、</w:t>
      </w:r>
      <w:r>
        <w:rPr>
          <w:rFonts w:hint="eastAsia" w:ascii="Times New Roman" w:hAnsi="Times New Roman" w:cs="Times New Roman"/>
          <w:b w:val="0"/>
          <w:bCs w:val="0"/>
          <w:highlight w:val="none"/>
          <w:lang w:val="en-US" w:eastAsia="zh-CN"/>
        </w:rPr>
        <w:t>电气竖</w:t>
      </w:r>
      <w:r>
        <w:rPr>
          <w:rFonts w:hint="default" w:ascii="Times New Roman" w:hAnsi="Times New Roman" w:cs="Times New Roman"/>
          <w:b w:val="0"/>
          <w:bCs w:val="0"/>
          <w:highlight w:val="none"/>
          <w:lang w:val="en-US" w:eastAsia="zh-CN"/>
        </w:rPr>
        <w:t>井、管道井、排烟</w:t>
      </w:r>
      <w:r>
        <w:rPr>
          <w:rFonts w:hint="eastAsia" w:ascii="Times New Roman" w:hAnsi="Times New Roman" w:cs="Times New Roman"/>
          <w:b w:val="0"/>
          <w:bCs w:val="0"/>
          <w:highlight w:val="none"/>
          <w:lang w:val="en-US" w:eastAsia="zh-CN"/>
        </w:rPr>
        <w:t>或通风</w:t>
      </w:r>
      <w:r>
        <w:rPr>
          <w:rFonts w:hint="default" w:ascii="Times New Roman" w:hAnsi="Times New Roman" w:cs="Times New Roman"/>
          <w:b w:val="0"/>
          <w:bCs w:val="0"/>
          <w:highlight w:val="none"/>
          <w:lang w:val="en-US" w:eastAsia="zh-CN"/>
        </w:rPr>
        <w:t>道</w:t>
      </w:r>
      <w:r>
        <w:rPr>
          <w:rFonts w:hint="eastAsia" w:ascii="Times New Roman" w:hAnsi="Times New Roman" w:cs="Times New Roman"/>
          <w:b w:val="0"/>
          <w:bCs w:val="0"/>
          <w:highlight w:val="none"/>
          <w:lang w:val="en-US" w:eastAsia="zh-CN"/>
        </w:rPr>
        <w:t>、垃圾井</w:t>
      </w:r>
      <w:r>
        <w:rPr>
          <w:rFonts w:hint="default" w:ascii="Times New Roman" w:hAnsi="Times New Roman" w:cs="Times New Roman"/>
          <w:b w:val="0"/>
          <w:bCs w:val="0"/>
          <w:highlight w:val="none"/>
          <w:lang w:val="en-US" w:eastAsia="zh-CN"/>
        </w:rPr>
        <w:t>等竖向井道的井壁、门的耐火极限</w:t>
      </w:r>
      <w:r>
        <w:rPr>
          <w:rFonts w:hint="default" w:ascii="Times New Roman" w:hAnsi="Times New Roman" w:cs="Times New Roman"/>
          <w:highlight w:val="none"/>
          <w:lang w:val="en-US" w:eastAsia="zh-CN"/>
        </w:rPr>
        <w:t>应符合规范要求</w:t>
      </w:r>
      <w:r>
        <w:rPr>
          <w:rFonts w:hint="default" w:ascii="Times New Roman" w:hAnsi="Times New Roman" w:cs="Times New Roman"/>
          <w:highlight w:val="none"/>
          <w:lang w:eastAsia="zh-CN"/>
        </w:rPr>
        <w:t>；</w:t>
      </w:r>
    </w:p>
    <w:p w14:paraId="31A94FCA">
      <w:pPr>
        <w:autoSpaceDN/>
        <w:ind w:firstLine="482" w:firstLineChars="200"/>
        <w:jc w:val="both"/>
        <w:rPr>
          <w:rFonts w:hint="eastAsia" w:ascii="Times New Roman" w:hAnsi="Times New Roman" w:cs="Times New Roman"/>
          <w:b w:val="0"/>
          <w:bCs w:val="0"/>
          <w:highlight w:val="none"/>
          <w:lang w:eastAsia="zh-CN"/>
        </w:rPr>
      </w:pPr>
      <w:r>
        <w:rPr>
          <w:rFonts w:hint="default" w:ascii="Times New Roman" w:hAnsi="Times New Roman" w:cs="Times New Roman"/>
          <w:b/>
          <w:bCs/>
          <w:highlight w:val="none"/>
          <w:lang w:val="en-US" w:eastAsia="zh-CN"/>
        </w:rPr>
        <w:t>3</w:t>
      </w:r>
      <w:r>
        <w:rPr>
          <w:rFonts w:hint="default" w:ascii="Times New Roman" w:hAnsi="Times New Roman" w:cs="Times New Roman"/>
          <w:b/>
          <w:bCs/>
          <w:highlight w:val="none"/>
        </w:rPr>
        <w:t xml:space="preserve">  </w:t>
      </w:r>
      <w:r>
        <w:rPr>
          <w:rFonts w:hint="default" w:ascii="Times New Roman" w:hAnsi="Times New Roman" w:cs="Times New Roman"/>
          <w:b w:val="0"/>
          <w:bCs w:val="0"/>
          <w:highlight w:val="none"/>
        </w:rPr>
        <w:t>除通风管道井、送风管道井、排烟管道井、必须通风的燃气管道竖井及其他有特殊要求的竖井可不在层间的楼板处分隔外，其他竖井应在每层楼板处采取防火分隔措施</w:t>
      </w:r>
      <w:r>
        <w:rPr>
          <w:rFonts w:hint="eastAsia" w:ascii="Times New Roman" w:hAnsi="Times New Roman" w:cs="Times New Roman"/>
          <w:b w:val="0"/>
          <w:bCs w:val="0"/>
          <w:highlight w:val="none"/>
          <w:lang w:eastAsia="zh-CN"/>
        </w:rPr>
        <w:t>；</w:t>
      </w:r>
    </w:p>
    <w:p w14:paraId="26BB8A0D">
      <w:pPr>
        <w:autoSpaceDN/>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lang w:val="en-US" w:eastAsia="zh-CN"/>
        </w:rPr>
        <w:t xml:space="preserve">  电气线路和各类管道穿过防火墙、防火隔墙、竖井井壁、建筑变形缝处和楼板处的孔隙应采取防火封堵措施</w:t>
      </w:r>
    </w:p>
    <w:p w14:paraId="5C5638B2">
      <w:pPr>
        <w:autoSpaceDN/>
        <w:ind w:firstLine="482" w:firstLineChars="200"/>
        <w:jc w:val="both"/>
        <w:rPr>
          <w:rFonts w:hint="default" w:ascii="Times New Roman" w:hAnsi="Times New Roman" w:cs="Times New Roman"/>
          <w:highlight w:val="none"/>
          <w:lang w:val="en-US"/>
        </w:rPr>
      </w:pPr>
      <w:r>
        <w:rPr>
          <w:rFonts w:hint="eastAsia" w:ascii="Times New Roman" w:hAnsi="Times New Roman" w:cs="Times New Roman"/>
          <w:b/>
          <w:bCs/>
          <w:highlight w:val="none"/>
          <w:lang w:val="en-US" w:eastAsia="zh-CN"/>
        </w:rPr>
        <w:t>5</w:t>
      </w:r>
      <w:r>
        <w:rPr>
          <w:rFonts w:hint="eastAsia" w:ascii="Times New Roman" w:hAnsi="Times New Roman" w:cs="Times New Roman"/>
          <w:highlight w:val="none"/>
          <w:lang w:val="en-US" w:eastAsia="zh-CN"/>
        </w:rPr>
        <w:t xml:space="preserve">  通风和空气调节系统的管道、防烟与排烟系统的管道穿过防火墙、防火隔墙、楼板、建筑变形缝处，建筑内未按防火分区独立设置的通风和空气调节系统中的竖向风管与每层水平风管交接的水平管段处，均应采取防止火灾通过管道蔓延至其他防火分隔区域的措施。</w:t>
      </w:r>
    </w:p>
    <w:p w14:paraId="72EC5DC1">
      <w:pPr>
        <w:autoSpaceDN/>
        <w:jc w:val="both"/>
        <w:rPr>
          <w:rFonts w:hint="eastAsia" w:cs="Times New Roman"/>
          <w:highlight w:val="none"/>
        </w:rPr>
      </w:pPr>
      <w:r>
        <w:rPr>
          <w:rFonts w:hint="eastAsia" w:ascii="Times New Roman" w:hAnsi="Times New Roman" w:cs="Times New Roman"/>
          <w:b/>
          <w:bCs/>
          <w:highlight w:val="none"/>
          <w:lang w:val="en-US" w:eastAsia="zh-CN"/>
        </w:rPr>
        <w:t>4.3.24</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防火门窗、防火卷帘和防火玻璃墙安全评估</w:t>
      </w:r>
      <w:r>
        <w:rPr>
          <w:rFonts w:hint="eastAsia" w:ascii="Times New Roman" w:hAnsi="Times New Roman" w:cs="Times New Roman"/>
          <w:highlight w:val="none"/>
        </w:rPr>
        <w:t>具体包含以下内容</w:t>
      </w:r>
      <w:r>
        <w:rPr>
          <w:rFonts w:hint="eastAsia" w:cs="Times New Roman"/>
          <w:highlight w:val="none"/>
        </w:rPr>
        <w:t>：</w:t>
      </w:r>
    </w:p>
    <w:p w14:paraId="7960E1C0">
      <w:pPr>
        <w:autoSpaceDN/>
        <w:ind w:firstLine="482" w:firstLineChars="200"/>
        <w:jc w:val="both"/>
        <w:rPr>
          <w:rFonts w:hint="default" w:ascii="Times New Roman" w:hAnsi="Times New Roman" w:cs="Times New Roman"/>
          <w:highlight w:val="none"/>
          <w:lang w:val="en-US" w:eastAsia="zh-CN"/>
        </w:rPr>
      </w:pPr>
      <w:r>
        <w:rPr>
          <w:rFonts w:hint="default" w:ascii="Times New Roman" w:hAnsi="Times New Roman" w:cs="Times New Roman"/>
          <w:b/>
          <w:bCs/>
          <w:highlight w:val="none"/>
        </w:rPr>
        <w:t xml:space="preserve">1  </w:t>
      </w:r>
      <w:r>
        <w:rPr>
          <w:rFonts w:hint="default" w:ascii="Times New Roman" w:hAnsi="Times New Roman" w:cs="Times New Roman"/>
          <w:highlight w:val="none"/>
          <w:lang w:val="en-US" w:eastAsia="zh-CN"/>
        </w:rPr>
        <w:t>防火门窗和防火卷帘的设置位置、耐火性能和形式应符合规范要求</w:t>
      </w:r>
      <w:r>
        <w:rPr>
          <w:rFonts w:hint="eastAsia" w:ascii="Times New Roman" w:hAnsi="Times New Roman" w:cs="Times New Roman"/>
          <w:highlight w:val="none"/>
          <w:lang w:val="en-US" w:eastAsia="zh-CN"/>
        </w:rPr>
        <w:t>，防火门窗的耐火等级应与其建筑使用部位相适应</w:t>
      </w:r>
      <w:r>
        <w:rPr>
          <w:rFonts w:hint="default" w:ascii="Times New Roman" w:hAnsi="Times New Roman" w:cs="Times New Roman"/>
          <w:highlight w:val="none"/>
          <w:lang w:val="en-US" w:eastAsia="zh-CN"/>
        </w:rPr>
        <w:t>；</w:t>
      </w:r>
    </w:p>
    <w:p w14:paraId="0992F1E6">
      <w:pPr>
        <w:autoSpaceDN/>
        <w:ind w:firstLine="482" w:firstLineChars="200"/>
        <w:jc w:val="both"/>
        <w:rPr>
          <w:rFonts w:hint="eastAsia" w:ascii="Times New Roman" w:hAnsi="Times New Roman" w:cs="Times New Roman"/>
          <w:b w:val="0"/>
          <w:bCs w:val="0"/>
          <w:highlight w:val="none"/>
          <w:lang w:val="en-US" w:eastAsia="zh-CN"/>
        </w:rPr>
      </w:pPr>
      <w:r>
        <w:rPr>
          <w:rFonts w:hint="default" w:ascii="Times New Roman" w:hAnsi="Times New Roman" w:cs="Times New Roman"/>
          <w:b/>
          <w:bCs/>
          <w:highlight w:val="none"/>
          <w:lang w:val="en-US"/>
        </w:rPr>
        <w:t>2</w:t>
      </w:r>
      <w:r>
        <w:rPr>
          <w:rFonts w:hint="default" w:ascii="Times New Roman" w:hAnsi="Times New Roman" w:cs="Times New Roman"/>
          <w:b/>
          <w:bCs/>
          <w:highlight w:val="none"/>
        </w:rPr>
        <w:t xml:space="preserve">  </w:t>
      </w:r>
      <w:r>
        <w:rPr>
          <w:rFonts w:hint="default" w:ascii="Times New Roman" w:hAnsi="Times New Roman" w:cs="Times New Roman"/>
          <w:highlight w:val="none"/>
          <w:lang w:val="en-US" w:eastAsia="zh-CN"/>
        </w:rPr>
        <w:t>常闭防火门应在其明显位置按照规范要求设置提示标识</w:t>
      </w:r>
      <w:r>
        <w:rPr>
          <w:rFonts w:hint="eastAsia" w:ascii="Times New Roman" w:hAnsi="Times New Roman" w:cs="Times New Roman"/>
          <w:b w:val="0"/>
          <w:bCs w:val="0"/>
          <w:highlight w:val="none"/>
          <w:lang w:val="en-US" w:eastAsia="zh-CN"/>
        </w:rPr>
        <w:t>；</w:t>
      </w:r>
    </w:p>
    <w:p w14:paraId="35950C2C">
      <w:pPr>
        <w:autoSpaceDN/>
        <w:ind w:firstLine="482" w:firstLineChars="200"/>
        <w:jc w:val="both"/>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lang w:val="en-US" w:eastAsia="zh-CN"/>
        </w:rPr>
        <w:t xml:space="preserve">  用于防火分隔的防火玻璃墙，耐火性能不应低于所在防火分隔部位的耐火性能要求。</w:t>
      </w:r>
    </w:p>
    <w:p w14:paraId="0D4147C0">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eastAsia="zh-CN"/>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4BBBC484">
      <w:pPr>
        <w:autoSpaceDN/>
        <w:ind w:firstLine="480" w:firstLineChars="200"/>
        <w:jc w:val="both"/>
        <w:rPr>
          <w:rFonts w:hint="eastAsia" w:cs="Times New Roman"/>
          <w:highlight w:val="none"/>
        </w:rPr>
      </w:pPr>
      <w:r>
        <w:rPr>
          <w:rFonts w:hint="eastAsia" w:ascii="Times New Roman" w:hAnsi="Times New Roman" w:cs="Times New Roman"/>
          <w:bCs/>
          <w:color w:val="0000FF"/>
          <w:highlight w:val="none"/>
          <w:lang w:val="en-US" w:eastAsia="zh-CN"/>
        </w:rPr>
        <w:t>对于常闭防火门，应设置明显的提示标识，提醒使用单位在使用过程中确保防火门的关闭状态，提示标识用语如“保持防火门关闭”等。</w:t>
      </w:r>
    </w:p>
    <w:p w14:paraId="4BF93996">
      <w:pPr>
        <w:autoSpaceDN/>
        <w:jc w:val="both"/>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4.3.25</w:t>
      </w:r>
      <w:r>
        <w:rPr>
          <w:rFonts w:hint="eastAsia" w:ascii="Times New Roman" w:hAnsi="Times New Roman" w:cs="Times New Roman"/>
          <w:highlight w:val="none"/>
        </w:rPr>
        <w:t xml:space="preserve">  天桥、</w:t>
      </w:r>
      <w:r>
        <w:rPr>
          <w:rFonts w:hint="eastAsia" w:ascii="Times New Roman" w:hAnsi="Times New Roman" w:cs="Times New Roman"/>
          <w:highlight w:val="none"/>
          <w:lang w:val="en-US" w:eastAsia="zh-CN"/>
        </w:rPr>
        <w:t>连廊和管沟安全评估</w:t>
      </w:r>
      <w:r>
        <w:rPr>
          <w:rFonts w:hint="eastAsia" w:ascii="Times New Roman" w:hAnsi="Times New Roman" w:cs="Times New Roman"/>
          <w:highlight w:val="none"/>
        </w:rPr>
        <w:t>具体包含以下内容</w:t>
      </w:r>
      <w:r>
        <w:rPr>
          <w:rFonts w:hint="eastAsia" w:cs="Times New Roman"/>
          <w:highlight w:val="none"/>
        </w:rPr>
        <w:t>：</w:t>
      </w:r>
    </w:p>
    <w:p w14:paraId="09C9C254">
      <w:pPr>
        <w:autoSpaceDN/>
        <w:ind w:firstLine="482" w:firstLineChars="200"/>
        <w:jc w:val="both"/>
        <w:rPr>
          <w:rFonts w:hint="default" w:cs="Times New Roman"/>
          <w:highlight w:val="none"/>
          <w:lang w:val="en-US"/>
        </w:rPr>
      </w:pPr>
      <w:r>
        <w:rPr>
          <w:rFonts w:hint="eastAsia" w:ascii="Times New Roman" w:hAnsi="Times New Roman" w:cs="Times New Roman"/>
          <w:b/>
          <w:bCs/>
          <w:strike w:val="0"/>
          <w:highlight w:val="none"/>
        </w:rPr>
        <w:t>1</w:t>
      </w:r>
      <w:r>
        <w:rPr>
          <w:rFonts w:hint="eastAsia" w:ascii="Times New Roman" w:hAnsi="Times New Roman" w:cs="Times New Roman"/>
          <w:b w:val="0"/>
          <w:bCs w:val="0"/>
          <w:strike w:val="0"/>
          <w:highlight w:val="none"/>
        </w:rPr>
        <w:t xml:space="preserve">  </w:t>
      </w:r>
      <w:r>
        <w:rPr>
          <w:rFonts w:hint="eastAsia" w:ascii="Times New Roman" w:hAnsi="Times New Roman" w:cs="Times New Roman"/>
          <w:highlight w:val="none"/>
        </w:rPr>
        <w:t>天桥、</w:t>
      </w:r>
      <w:r>
        <w:rPr>
          <w:rFonts w:hint="eastAsia" w:ascii="Times New Roman" w:hAnsi="Times New Roman" w:cs="Times New Roman"/>
          <w:highlight w:val="none"/>
          <w:lang w:val="en-US" w:eastAsia="zh-CN"/>
        </w:rPr>
        <w:t>跨越房屋的栈桥、连廊以及供输送可燃材料、可燃气体和甲、乙、丙类液体的栈桥，均应采用不燃材料；</w:t>
      </w:r>
    </w:p>
    <w:p w14:paraId="0CEE1A80">
      <w:pPr>
        <w:autoSpaceDN/>
        <w:ind w:firstLine="482" w:firstLineChars="200"/>
        <w:jc w:val="both"/>
        <w:rPr>
          <w:rFonts w:hint="default" w:cs="Times New Roman"/>
          <w:highlight w:val="none"/>
          <w:lang w:val="en-US"/>
        </w:rPr>
      </w:pPr>
      <w:r>
        <w:rPr>
          <w:rFonts w:hint="eastAsia" w:ascii="Times New Roman" w:hAnsi="Times New Roman" w:cs="Times New Roman"/>
          <w:b/>
          <w:bCs/>
          <w:strike w:val="0"/>
          <w:highlight w:val="none"/>
          <w:lang w:val="en-US" w:eastAsia="zh-CN"/>
        </w:rPr>
        <w:t>2</w:t>
      </w:r>
      <w:r>
        <w:rPr>
          <w:rFonts w:hint="eastAsia" w:ascii="Times New Roman" w:hAnsi="Times New Roman" w:cs="Times New Roman"/>
          <w:b w:val="0"/>
          <w:bCs w:val="0"/>
          <w:strike w:val="0"/>
          <w:highlight w:val="none"/>
        </w:rPr>
        <w:t xml:space="preserve">  </w:t>
      </w:r>
      <w:r>
        <w:rPr>
          <w:rFonts w:hint="eastAsia" w:ascii="Times New Roman" w:hAnsi="Times New Roman" w:cs="Times New Roman"/>
          <w:highlight w:val="none"/>
        </w:rPr>
        <w:t>天桥、</w:t>
      </w:r>
      <w:r>
        <w:rPr>
          <w:rFonts w:hint="eastAsia" w:ascii="Times New Roman" w:hAnsi="Times New Roman" w:cs="Times New Roman"/>
          <w:highlight w:val="none"/>
          <w:lang w:val="en-US" w:eastAsia="zh-CN"/>
        </w:rPr>
        <w:t>连廊</w:t>
      </w:r>
      <w:r>
        <w:rPr>
          <w:rFonts w:hint="eastAsia" w:ascii="Times New Roman" w:hAnsi="Times New Roman" w:cs="Times New Roman"/>
          <w:highlight w:val="none"/>
        </w:rPr>
        <w:t>的</w:t>
      </w:r>
      <w:r>
        <w:rPr>
          <w:rFonts w:hint="eastAsia" w:ascii="Times New Roman" w:hAnsi="Times New Roman" w:cs="Times New Roman"/>
          <w:highlight w:val="none"/>
          <w:lang w:val="en-US" w:eastAsia="zh-CN"/>
        </w:rPr>
        <w:t>构造措施应符合规范要求；</w:t>
      </w:r>
    </w:p>
    <w:p w14:paraId="6BA31403">
      <w:pPr>
        <w:autoSpaceDN/>
        <w:ind w:firstLine="482" w:firstLineChars="200"/>
        <w:jc w:val="both"/>
        <w:rPr>
          <w:rFonts w:hint="eastAsia" w:ascii="Times New Roman" w:hAnsi="Times New Roman" w:cs="Times New Roman"/>
          <w:highlight w:val="none"/>
          <w:lang w:val="en-US" w:eastAsia="zh-CN"/>
        </w:rPr>
      </w:pPr>
      <w:r>
        <w:rPr>
          <w:rFonts w:hint="eastAsia" w:ascii="Times New Roman" w:hAnsi="Times New Roman" w:cs="Times New Roman"/>
          <w:b/>
          <w:bCs/>
          <w:strike w:val="0"/>
          <w:highlight w:val="none"/>
          <w:lang w:val="en-US" w:eastAsia="zh-CN"/>
        </w:rPr>
        <w:t>3</w:t>
      </w:r>
      <w:r>
        <w:rPr>
          <w:rFonts w:hint="eastAsia" w:ascii="Times New Roman" w:hAnsi="Times New Roman" w:cs="Times New Roman"/>
          <w:b w:val="0"/>
          <w:bCs w:val="0"/>
          <w:strike w:val="0"/>
          <w:highlight w:val="none"/>
        </w:rPr>
        <w:t xml:space="preserve">  </w:t>
      </w:r>
      <w:r>
        <w:rPr>
          <w:rFonts w:hint="eastAsia" w:ascii="Times New Roman" w:hAnsi="Times New Roman" w:cs="Times New Roman"/>
          <w:highlight w:val="none"/>
        </w:rPr>
        <w:t>天桥、</w:t>
      </w:r>
      <w:r>
        <w:rPr>
          <w:rFonts w:hint="eastAsia" w:ascii="Times New Roman" w:hAnsi="Times New Roman" w:cs="Times New Roman"/>
          <w:highlight w:val="none"/>
          <w:lang w:val="en-US" w:eastAsia="zh-CN"/>
        </w:rPr>
        <w:t>连廊</w:t>
      </w:r>
      <w:r>
        <w:rPr>
          <w:rFonts w:hint="eastAsia" w:ascii="Times New Roman" w:hAnsi="Times New Roman" w:cs="Times New Roman"/>
          <w:highlight w:val="none"/>
        </w:rPr>
        <w:t>的</w:t>
      </w:r>
      <w:r>
        <w:rPr>
          <w:rFonts w:hint="eastAsia" w:ascii="Times New Roman" w:hAnsi="Times New Roman" w:cs="Times New Roman"/>
          <w:highlight w:val="none"/>
          <w:lang w:val="en-US" w:eastAsia="zh-CN"/>
        </w:rPr>
        <w:t>装修材料应符合规范要求。</w:t>
      </w:r>
    </w:p>
    <w:p w14:paraId="523907B1">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bCs/>
          <w:color w:val="0000FF"/>
          <w:highlight w:val="none"/>
          <w:lang w:eastAsia="zh-CN"/>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21DCA5A2">
      <w:pPr>
        <w:autoSpaceDN/>
        <w:ind w:firstLine="480" w:firstLineChars="200"/>
        <w:jc w:val="both"/>
        <w:rPr>
          <w:rFonts w:hint="default" w:ascii="Times New Roman" w:hAnsi="Times New Roman" w:cs="Times New Roman"/>
          <w:bCs/>
          <w:color w:val="0000FF"/>
          <w:highlight w:val="none"/>
          <w:lang w:val="en-US" w:eastAsia="zh-CN"/>
        </w:rPr>
      </w:pPr>
      <w:r>
        <w:rPr>
          <w:rFonts w:hint="eastAsia" w:ascii="Times New Roman" w:hAnsi="Times New Roman" w:cs="Times New Roman"/>
          <w:bCs/>
          <w:color w:val="0000FF"/>
          <w:highlight w:val="none"/>
          <w:lang w:val="en-US" w:eastAsia="zh-CN"/>
        </w:rPr>
        <w:t>天桥、连廊作为消防安全出口时仅用于人员通行，不能兼用于其他功能。</w:t>
      </w:r>
    </w:p>
    <w:p w14:paraId="532004D4">
      <w:pPr>
        <w:autoSpaceDN/>
        <w:ind w:firstLine="480" w:firstLineChars="200"/>
        <w:jc w:val="both"/>
        <w:rPr>
          <w:rFonts w:hint="eastAsia" w:ascii="Times New Roman" w:hAnsi="Times New Roman" w:cs="Times New Roman"/>
          <w:bCs/>
          <w:color w:val="0000FF"/>
          <w:highlight w:val="none"/>
          <w:lang w:val="en-US" w:eastAsia="zh-CN"/>
        </w:rPr>
      </w:pPr>
      <w:r>
        <w:rPr>
          <w:rFonts w:hint="eastAsia" w:ascii="Times New Roman" w:hAnsi="Times New Roman" w:cs="Times New Roman"/>
          <w:bCs/>
          <w:color w:val="0000FF"/>
          <w:highlight w:val="none"/>
          <w:lang w:val="en-US" w:eastAsia="zh-CN"/>
        </w:rPr>
        <w:t>天桥、连廊及敷设甲、乙、丙类液体管道的封闭管沟（廊）应通过按照规范要求设置相应构造措施，防止火灾在其联系的两座建筑直接蔓延。</w:t>
      </w:r>
    </w:p>
    <w:p w14:paraId="51D4DAAE">
      <w:pPr>
        <w:autoSpaceDN/>
        <w:jc w:val="both"/>
        <w:rPr>
          <w:rFonts w:hint="eastAsia" w:ascii="Times New Roman" w:hAnsi="Times New Roman" w:cs="Times New Roman"/>
          <w:strike w:val="0"/>
          <w:color w:val="auto"/>
          <w:highlight w:val="none"/>
        </w:rPr>
      </w:pPr>
      <w:r>
        <w:rPr>
          <w:rFonts w:hint="eastAsia" w:ascii="Times New Roman" w:hAnsi="Times New Roman" w:cs="Times New Roman"/>
          <w:b/>
          <w:bCs/>
          <w:color w:val="auto"/>
          <w:highlight w:val="none"/>
          <w:lang w:val="en-US" w:eastAsia="zh-CN"/>
        </w:rPr>
        <w:t>4.3.26</w:t>
      </w:r>
      <w:r>
        <w:rPr>
          <w:rFonts w:hint="eastAsia" w:ascii="Times New Roman" w:hAnsi="Times New Roman" w:cs="Times New Roman"/>
          <w:color w:val="auto"/>
          <w:highlight w:val="none"/>
          <w:lang w:eastAsia="zh"/>
        </w:rPr>
        <w:t xml:space="preserve">  </w:t>
      </w:r>
      <w:r>
        <w:rPr>
          <w:rFonts w:hint="eastAsia" w:ascii="Times New Roman" w:hAnsi="Times New Roman" w:cs="Times New Roman"/>
          <w:strike w:val="0"/>
          <w:color w:val="auto"/>
          <w:highlight w:val="none"/>
        </w:rPr>
        <w:t>建筑</w:t>
      </w:r>
      <w:r>
        <w:rPr>
          <w:rFonts w:hint="eastAsia" w:ascii="Times New Roman" w:hAnsi="Times New Roman" w:cs="Times New Roman"/>
          <w:strike w:val="0"/>
          <w:color w:val="auto"/>
          <w:highlight w:val="none"/>
          <w:lang w:val="en-US" w:eastAsia="zh-CN"/>
        </w:rPr>
        <w:t>外</w:t>
      </w:r>
      <w:r>
        <w:rPr>
          <w:rFonts w:hint="eastAsia" w:ascii="Times New Roman" w:hAnsi="Times New Roman" w:cs="Times New Roman"/>
          <w:strike w:val="0"/>
          <w:color w:val="auto"/>
          <w:highlight w:val="none"/>
        </w:rPr>
        <w:t>保温</w:t>
      </w:r>
      <w:r>
        <w:rPr>
          <w:rFonts w:hint="eastAsia" w:ascii="Times New Roman" w:hAnsi="Times New Roman" w:cs="Times New Roman"/>
          <w:strike w:val="0"/>
          <w:color w:val="auto"/>
          <w:highlight w:val="none"/>
          <w:lang w:val="en-US" w:eastAsia="zh-CN"/>
        </w:rPr>
        <w:t>系统</w:t>
      </w:r>
      <w:r>
        <w:rPr>
          <w:rFonts w:hint="eastAsia" w:ascii="Times New Roman" w:hAnsi="Times New Roman" w:cs="Times New Roman"/>
          <w:color w:val="auto"/>
          <w:highlight w:val="none"/>
          <w:lang w:val="en-US" w:eastAsia="zh-CN"/>
        </w:rPr>
        <w:t>安全评估</w:t>
      </w:r>
      <w:r>
        <w:rPr>
          <w:rFonts w:hint="eastAsia" w:ascii="Times New Roman" w:hAnsi="Times New Roman" w:cs="Times New Roman"/>
          <w:color w:val="auto"/>
          <w:highlight w:val="none"/>
        </w:rPr>
        <w:t>具体包含以下内容</w:t>
      </w:r>
      <w:r>
        <w:rPr>
          <w:rFonts w:hint="eastAsia" w:ascii="Times New Roman" w:hAnsi="Times New Roman" w:cs="Times New Roman"/>
          <w:strike w:val="0"/>
          <w:color w:val="auto"/>
          <w:highlight w:val="none"/>
        </w:rPr>
        <w:t>：</w:t>
      </w:r>
    </w:p>
    <w:p w14:paraId="42D4FD54">
      <w:pPr>
        <w:autoSpaceDN/>
        <w:ind w:firstLine="482" w:firstLineChars="200"/>
        <w:jc w:val="both"/>
        <w:rPr>
          <w:rFonts w:hint="eastAsia" w:ascii="Times New Roman" w:hAnsi="Times New Roman" w:cs="Times New Roman"/>
          <w:strike w:val="0"/>
          <w:highlight w:val="none"/>
        </w:rPr>
      </w:pPr>
      <w:r>
        <w:rPr>
          <w:rFonts w:hint="eastAsia" w:ascii="Times New Roman" w:hAnsi="Times New Roman" w:cs="Times New Roman"/>
          <w:b/>
          <w:bCs/>
          <w:strike w:val="0"/>
          <w:highlight w:val="none"/>
        </w:rPr>
        <w:t>1</w:t>
      </w:r>
      <w:r>
        <w:rPr>
          <w:rFonts w:hint="eastAsia" w:ascii="Times New Roman" w:hAnsi="Times New Roman" w:cs="Times New Roman"/>
          <w:b w:val="0"/>
          <w:bCs w:val="0"/>
          <w:strike w:val="0"/>
          <w:highlight w:val="none"/>
        </w:rPr>
        <w:t xml:space="preserve">  </w:t>
      </w:r>
      <w:r>
        <w:rPr>
          <w:rFonts w:hint="eastAsia" w:ascii="Times New Roman" w:hAnsi="Times New Roman" w:cs="Times New Roman"/>
          <w:b w:val="0"/>
          <w:bCs w:val="0"/>
          <w:strike w:val="0"/>
          <w:highlight w:val="none"/>
          <w:lang w:eastAsia="zh-CN"/>
        </w:rPr>
        <w:t>除采用</w:t>
      </w:r>
      <w:r>
        <w:rPr>
          <w:rFonts w:hint="eastAsia" w:ascii="Times New Roman" w:hAnsi="Times New Roman" w:cs="Times New Roman"/>
          <w:strike w:val="0"/>
          <w:highlight w:val="none"/>
          <w:lang w:eastAsia="zh-CN"/>
        </w:rPr>
        <w:t>保温结构一体化建筑外墙和屋顶外，人员密集场所或设置人员密集场所的建筑外墙外保温材料的燃烧性能应为</w:t>
      </w:r>
      <w:r>
        <w:rPr>
          <w:rFonts w:hint="eastAsia" w:ascii="Times New Roman" w:hAnsi="Times New Roman" w:cs="Times New Roman"/>
          <w:strike w:val="0"/>
          <w:highlight w:val="none"/>
          <w:lang w:val="en-US" w:eastAsia="zh-CN"/>
        </w:rPr>
        <w:t>A级</w:t>
      </w:r>
      <w:r>
        <w:rPr>
          <w:rFonts w:hint="eastAsia" w:ascii="Times New Roman" w:hAnsi="Times New Roman" w:cs="Times New Roman"/>
          <w:strike w:val="0"/>
          <w:highlight w:val="none"/>
        </w:rPr>
        <w:t>；</w:t>
      </w:r>
    </w:p>
    <w:p w14:paraId="7EB1CCA7">
      <w:pPr>
        <w:autoSpaceDN/>
        <w:ind w:firstLine="482" w:firstLineChars="200"/>
        <w:jc w:val="both"/>
        <w:rPr>
          <w:rFonts w:hint="default" w:ascii="Times New Roman" w:hAnsi="Times New Roman" w:eastAsia="宋体" w:cs="Times New Roman"/>
          <w:strike w:val="0"/>
          <w:highlight w:val="none"/>
          <w:lang w:val="en-US" w:eastAsia="zh-CN"/>
        </w:rPr>
      </w:pPr>
      <w:r>
        <w:rPr>
          <w:rFonts w:hint="eastAsia" w:ascii="Times New Roman" w:hAnsi="Times New Roman" w:cs="Times New Roman"/>
          <w:b/>
          <w:bCs/>
          <w:strike w:val="0"/>
          <w:highlight w:val="none"/>
          <w:lang w:val="en-US" w:eastAsia="zh-CN"/>
        </w:rPr>
        <w:t>2</w:t>
      </w:r>
      <w:r>
        <w:rPr>
          <w:rFonts w:hint="eastAsia" w:ascii="Times New Roman" w:hAnsi="Times New Roman" w:cs="Times New Roman"/>
          <w:strike w:val="0"/>
          <w:highlight w:val="none"/>
          <w:lang w:val="en-US" w:eastAsia="zh-CN"/>
        </w:rPr>
        <w:t xml:space="preserve">  </w:t>
      </w:r>
      <w:r>
        <w:rPr>
          <w:rFonts w:hint="eastAsia" w:ascii="Times New Roman" w:hAnsi="Times New Roman" w:cs="Times New Roman"/>
          <w:strike w:val="0"/>
          <w:highlight w:val="none"/>
          <w:lang w:eastAsia="zh-CN"/>
        </w:rPr>
        <w:t>人员密集场所内保温系统中保温材料或制品的燃烧性能应为</w:t>
      </w:r>
      <w:r>
        <w:rPr>
          <w:rFonts w:hint="eastAsia" w:ascii="Times New Roman" w:hAnsi="Times New Roman" w:cs="Times New Roman"/>
          <w:strike w:val="0"/>
          <w:highlight w:val="none"/>
          <w:lang w:val="en-US" w:eastAsia="zh-CN"/>
        </w:rPr>
        <w:t>A级；</w:t>
      </w:r>
    </w:p>
    <w:p w14:paraId="1E9CF951">
      <w:pPr>
        <w:autoSpaceDN/>
        <w:ind w:firstLine="482" w:firstLineChars="200"/>
        <w:jc w:val="both"/>
        <w:rPr>
          <w:rFonts w:hint="eastAsia" w:ascii="Times New Roman" w:hAnsi="Times New Roman" w:cs="Times New Roman"/>
          <w:strike w:val="0"/>
          <w:highlight w:val="none"/>
        </w:rPr>
      </w:pPr>
      <w:r>
        <w:rPr>
          <w:rFonts w:hint="eastAsia" w:ascii="Times New Roman" w:hAnsi="Times New Roman" w:cs="Times New Roman"/>
          <w:b/>
          <w:bCs/>
          <w:strike w:val="0"/>
          <w:highlight w:val="none"/>
          <w:lang w:val="en-US" w:eastAsia="zh-CN"/>
        </w:rPr>
        <w:t>3</w:t>
      </w:r>
      <w:r>
        <w:rPr>
          <w:rFonts w:hint="eastAsia" w:ascii="Times New Roman" w:hAnsi="Times New Roman" w:cs="Times New Roman"/>
          <w:b w:val="0"/>
          <w:bCs w:val="0"/>
          <w:strike w:val="0"/>
          <w:highlight w:val="none"/>
        </w:rPr>
        <w:t xml:space="preserve">  </w:t>
      </w:r>
      <w:r>
        <w:rPr>
          <w:rFonts w:hint="eastAsia" w:ascii="Times New Roman" w:hAnsi="Times New Roman" w:cs="Times New Roman"/>
          <w:strike w:val="0"/>
          <w:highlight w:val="none"/>
        </w:rPr>
        <w:t>建筑的屋面和</w:t>
      </w:r>
      <w:r>
        <w:rPr>
          <w:rFonts w:hint="eastAsia" w:ascii="Times New Roman" w:hAnsi="Times New Roman" w:cs="Times New Roman"/>
          <w:strike w:val="0"/>
          <w:highlight w:val="none"/>
          <w:lang w:eastAsia="zh-CN"/>
        </w:rPr>
        <w:t>内、</w:t>
      </w:r>
      <w:r>
        <w:rPr>
          <w:rFonts w:hint="eastAsia" w:ascii="Times New Roman" w:hAnsi="Times New Roman" w:cs="Times New Roman"/>
          <w:strike w:val="0"/>
          <w:highlight w:val="none"/>
        </w:rPr>
        <w:t>外保温系统</w:t>
      </w:r>
      <w:r>
        <w:rPr>
          <w:rFonts w:hint="eastAsia" w:ascii="Times New Roman" w:hAnsi="Times New Roman" w:cs="Times New Roman"/>
          <w:strike w:val="0"/>
          <w:highlight w:val="none"/>
          <w:lang w:val="en-US" w:eastAsia="zh-CN"/>
        </w:rPr>
        <w:t>燃烧性能及系统构造应符合规范要求</w:t>
      </w:r>
      <w:r>
        <w:rPr>
          <w:rFonts w:hint="eastAsia" w:ascii="Times New Roman" w:hAnsi="Times New Roman" w:cs="Times New Roman"/>
          <w:strike w:val="0"/>
          <w:highlight w:val="none"/>
        </w:rPr>
        <w:t>。</w:t>
      </w:r>
    </w:p>
    <w:p w14:paraId="36D2639B">
      <w:pPr>
        <w:autoSpaceDN/>
        <w:ind w:firstLine="0" w:firstLineChars="0"/>
        <w:jc w:val="both"/>
        <w:rPr>
          <w:rFonts w:hint="eastAsia" w:ascii="Times New Roman" w:hAnsi="Times New Roman" w:cs="Times New Roman"/>
          <w:bCs/>
          <w:color w:val="auto"/>
          <w:highlight w:val="none"/>
          <w:lang w:val="en-US" w:eastAsia="zh-CN"/>
        </w:rPr>
      </w:pPr>
      <w:r>
        <w:rPr>
          <w:rFonts w:hint="eastAsia" w:ascii="Times New Roman" w:hAnsi="Times New Roman" w:cs="Times New Roman"/>
          <w:b/>
          <w:bCs/>
          <w:strike w:val="0"/>
          <w:highlight w:val="none"/>
          <w:lang w:val="en-US" w:eastAsia="zh-CN"/>
        </w:rPr>
        <w:t xml:space="preserve">4.3.27  </w:t>
      </w:r>
      <w:r>
        <w:rPr>
          <w:rFonts w:hint="eastAsia" w:ascii="Times New Roman" w:hAnsi="Times New Roman" w:cs="Times New Roman"/>
          <w:bCs/>
          <w:color w:val="auto"/>
          <w:highlight w:val="none"/>
          <w:lang w:val="en-US" w:eastAsia="zh-CN"/>
        </w:rPr>
        <w:t>既有建筑改造建筑构件安全评估应考虑以下内容：</w:t>
      </w:r>
    </w:p>
    <w:p w14:paraId="5754BB4F">
      <w:pPr>
        <w:autoSpaceDN/>
        <w:ind w:firstLine="482" w:firstLineChars="200"/>
        <w:jc w:val="both"/>
        <w:rPr>
          <w:rFonts w:hint="eastAsia" w:ascii="Times New Roman" w:hAnsi="Times New Roman" w:cs="Times New Roman"/>
          <w:bCs w:val="0"/>
          <w:highlight w:val="none"/>
          <w:lang w:val="en-US" w:eastAsia="zh-CN"/>
        </w:rPr>
      </w:pPr>
      <w:r>
        <w:rPr>
          <w:rFonts w:hint="eastAsia" w:ascii="Times New Roman" w:hAnsi="Times New Roman" w:cs="Times New Roman"/>
          <w:b/>
          <w:bCs/>
          <w:highlight w:val="none"/>
          <w:lang w:val="en-US" w:eastAsia="zh-CN"/>
        </w:rPr>
        <w:t>1</w:t>
      </w:r>
      <w:r>
        <w:rPr>
          <w:rFonts w:hint="eastAsia" w:ascii="Times New Roman" w:hAnsi="Times New Roman" w:cs="Times New Roman"/>
          <w:bCs w:val="0"/>
          <w:highlight w:val="none"/>
          <w:lang w:val="en-US" w:eastAsia="zh-CN"/>
        </w:rPr>
        <w:t xml:space="preserve">  </w:t>
      </w:r>
      <w:r>
        <w:rPr>
          <w:rFonts w:hint="default" w:ascii="Times New Roman" w:hAnsi="Times New Roman" w:eastAsia="宋体" w:cs="Times New Roman"/>
          <w:color w:val="auto"/>
          <w:highlight w:val="none"/>
          <w:lang w:val="en-US" w:eastAsia="zh-CN"/>
        </w:rPr>
        <w:t>新增的防火墙</w:t>
      </w:r>
      <w:r>
        <w:rPr>
          <w:rFonts w:hint="eastAsia" w:ascii="Times New Roman" w:hAnsi="Times New Roman" w:cs="Times New Roman"/>
          <w:color w:val="auto"/>
          <w:highlight w:val="none"/>
          <w:lang w:val="en-US" w:eastAsia="zh-CN"/>
        </w:rPr>
        <w:t>，其构造</w:t>
      </w:r>
      <w:r>
        <w:rPr>
          <w:rFonts w:hint="default" w:ascii="Times New Roman" w:hAnsi="Times New Roman" w:eastAsia="宋体" w:cs="Times New Roman"/>
          <w:color w:val="auto"/>
          <w:highlight w:val="none"/>
          <w:lang w:val="en-US" w:eastAsia="zh-CN"/>
        </w:rPr>
        <w:t>应</w:t>
      </w:r>
      <w:r>
        <w:rPr>
          <w:rFonts w:hint="eastAsia" w:ascii="Times New Roman" w:hAnsi="Times New Roman" w:cs="Times New Roman"/>
          <w:color w:val="auto"/>
          <w:highlight w:val="none"/>
          <w:lang w:val="en-US" w:eastAsia="zh-CN"/>
        </w:rPr>
        <w:t>符合国家现行规范的要求，未改造的防火墙，其构造应符合原建造时标准的规定；</w:t>
      </w:r>
    </w:p>
    <w:p w14:paraId="37D9810B">
      <w:pPr>
        <w:autoSpaceDN/>
        <w:ind w:firstLine="482" w:firstLineChars="200"/>
        <w:jc w:val="both"/>
        <w:rPr>
          <w:rFonts w:hint="eastAsia" w:ascii="Times New Roman" w:hAnsi="Times New Roman" w:cs="Times New Roman"/>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Cs w:val="0"/>
          <w:highlight w:val="none"/>
          <w:lang w:val="en-US" w:eastAsia="zh-CN"/>
        </w:rPr>
        <w:t xml:space="preserve">  当地上和地下楼层的既有疏散楼梯间在直通室外地面的楼层共用时，如设置防火分隔措施确有难度，可维持共用疏散楼梯间的现状，但采用耐火极限不低于2.00h的防火隔墙进行分隔，防火隔墙上的门应采用乙级防火门；</w:t>
      </w:r>
    </w:p>
    <w:p w14:paraId="09648C68">
      <w:pPr>
        <w:autoSpaceDN/>
        <w:ind w:firstLine="482" w:firstLineChars="200"/>
        <w:jc w:val="both"/>
        <w:rPr>
          <w:rFonts w:hint="eastAsia" w:ascii="Times New Roman" w:hAnsi="Times New Roman" w:cs="Times New Roman"/>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Cs w:val="0"/>
          <w:highlight w:val="none"/>
          <w:lang w:val="en-US" w:eastAsia="zh-CN"/>
        </w:rPr>
        <w:t xml:space="preserve">  防火墙、防火隔墙上新增的的防火卷帘其设置宽度应符合现行规范的要求，保留使用的防火卷帘，其设置宽度满足现行规范要求确有困难时，可维持防火卷帘现状宽度，但其可靠性、耐火极限、防烟性能、信号反馈功能等性能应符合现行规范要求；</w:t>
      </w:r>
    </w:p>
    <w:p w14:paraId="754CF7B2">
      <w:pPr>
        <w:autoSpaceDN/>
        <w:ind w:firstLine="482" w:firstLineChars="200"/>
        <w:jc w:val="both"/>
        <w:rPr>
          <w:rFonts w:hint="eastAsia" w:ascii="Times New Roman" w:hAnsi="Times New Roman" w:cs="Times New Roman"/>
          <w:bCs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Cs w:val="0"/>
          <w:highlight w:val="none"/>
          <w:lang w:val="en-US" w:eastAsia="zh-CN"/>
        </w:rPr>
        <w:t xml:space="preserve">  装修或修缮专项改造、不涉及立面改造的局部改造、不涉及立面改造且未增加火灾危险性的整体改造、仅为更换外门窗或饰面涂刷更新的立面改造其外墙系统的燃烧性能可维持现状，其他改造工程的外墙系统燃烧性能应符合现行规范的要求。</w:t>
      </w:r>
    </w:p>
    <w:p w14:paraId="46C062A9">
      <w:pPr>
        <w:pStyle w:val="19"/>
        <w:spacing w:line="360" w:lineRule="auto"/>
        <w:jc w:val="center"/>
        <w:rPr>
          <w:rFonts w:hint="eastAsia"/>
          <w:b/>
          <w:highlight w:val="none"/>
        </w:rPr>
      </w:pPr>
      <w:r>
        <w:rPr>
          <w:rFonts w:hint="default" w:ascii="Times New Roman" w:hAnsi="Times New Roman" w:cs="Times New Roman"/>
          <w:b/>
          <w:highlight w:val="none"/>
        </w:rPr>
        <w:t>Ⅶ</w:t>
      </w:r>
      <w:r>
        <w:rPr>
          <w:rFonts w:hint="eastAsia"/>
          <w:b/>
          <w:highlight w:val="none"/>
        </w:rPr>
        <w:t xml:space="preserve">  供暖、通风、空调系统</w:t>
      </w:r>
    </w:p>
    <w:p w14:paraId="76D9B981">
      <w:pPr>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 xml:space="preserve">4.3.28  </w:t>
      </w:r>
      <w:r>
        <w:rPr>
          <w:rFonts w:hint="eastAsia" w:ascii="Times New Roman" w:hAnsi="Times New Roman" w:cs="Times New Roman"/>
          <w:b w:val="0"/>
          <w:bCs w:val="0"/>
          <w:highlight w:val="none"/>
          <w:lang w:val="en-US" w:eastAsia="zh-CN"/>
        </w:rPr>
        <w:t>供暖系统安全评估具体包含以下内容：</w:t>
      </w:r>
    </w:p>
    <w:p w14:paraId="7CCC9B75">
      <w:pPr>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1</w:t>
      </w:r>
      <w:r>
        <w:rPr>
          <w:rFonts w:hint="eastAsia" w:ascii="Times New Roman" w:hAnsi="Times New Roman" w:cs="Times New Roman"/>
          <w:b w:val="0"/>
          <w:bCs w:val="0"/>
          <w:highlight w:val="none"/>
          <w:lang w:val="en-US" w:eastAsia="zh-CN"/>
        </w:rPr>
        <w:t xml:space="preserve">  采用电热散热器供暖的场所应符合规范要求；</w:t>
      </w:r>
    </w:p>
    <w:p w14:paraId="6F295EE7">
      <w:pPr>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lang w:val="en-US" w:eastAsia="zh-CN"/>
        </w:rPr>
        <w:t xml:space="preserve">  应采用不循环使用的热风供暖的场所应符合规范要求；</w:t>
      </w:r>
    </w:p>
    <w:p w14:paraId="19E0273E">
      <w:pPr>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lang w:val="en-US" w:eastAsia="zh-CN"/>
        </w:rPr>
        <w:t xml:space="preserve">  采用燃气红外线辐射供暖的场所应按规范要求采取防火和通风换气等安全措施；</w:t>
      </w:r>
    </w:p>
    <w:p w14:paraId="45772977">
      <w:pPr>
        <w:ind w:firstLine="482" w:firstLineChars="200"/>
        <w:jc w:val="both"/>
        <w:rPr>
          <w:rFonts w:hint="eastAsia" w:ascii="Times New Roman" w:hAnsi="Times New Roman" w:cs="Times New Roman"/>
          <w:b w:val="0"/>
          <w:bCs w:val="0"/>
          <w:strike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lang w:val="en-US" w:eastAsia="zh-CN"/>
        </w:rPr>
        <w:t xml:space="preserve">  供暖管道</w:t>
      </w:r>
      <w:r>
        <w:rPr>
          <w:rFonts w:hint="eastAsia" w:ascii="Times New Roman" w:hAnsi="Times New Roman" w:cs="Times New Roman"/>
          <w:b w:val="0"/>
          <w:bCs w:val="0"/>
          <w:strike w:val="0"/>
          <w:highlight w:val="none"/>
          <w:lang w:val="en-US" w:eastAsia="zh-CN"/>
        </w:rPr>
        <w:t>与可燃物的间距应符合规范要求；</w:t>
      </w:r>
    </w:p>
    <w:p w14:paraId="66500941">
      <w:pPr>
        <w:ind w:firstLine="482" w:firstLineChars="200"/>
        <w:jc w:val="both"/>
        <w:rPr>
          <w:rFonts w:hint="eastAsia" w:ascii="Times New Roman" w:hAnsi="Times New Roman" w:cs="Times New Roman"/>
          <w:b w:val="0"/>
          <w:bCs w:val="0"/>
          <w:strike w:val="0"/>
          <w:highlight w:val="none"/>
          <w:lang w:val="en-US" w:eastAsia="zh-CN"/>
        </w:rPr>
      </w:pPr>
      <w:r>
        <w:rPr>
          <w:rFonts w:hint="eastAsia" w:ascii="Times New Roman" w:hAnsi="Times New Roman" w:cs="Times New Roman"/>
          <w:b/>
          <w:bCs/>
          <w:strike w:val="0"/>
          <w:highlight w:val="none"/>
          <w:lang w:val="en-US" w:eastAsia="zh-CN"/>
        </w:rPr>
        <w:t>5</w:t>
      </w:r>
      <w:r>
        <w:rPr>
          <w:rFonts w:hint="eastAsia" w:ascii="Times New Roman" w:hAnsi="Times New Roman" w:cs="Times New Roman"/>
          <w:b w:val="0"/>
          <w:bCs w:val="0"/>
          <w:strike w:val="0"/>
          <w:highlight w:val="none"/>
          <w:lang w:val="en-US" w:eastAsia="zh-CN"/>
        </w:rPr>
        <w:t xml:space="preserve">  供暖管道和设备的绝热材料应符合规范要求。</w:t>
      </w:r>
    </w:p>
    <w:p w14:paraId="00EBA39B">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highlight w:val="none"/>
          <w:lang w:val="en-US" w:eastAsia="zh-CN"/>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56712AD3">
      <w:pPr>
        <w:ind w:firstLine="480" w:firstLineChars="200"/>
        <w:jc w:val="left"/>
        <w:rPr>
          <w:rFonts w:hint="default" w:ascii="Times New Roman" w:hAnsi="Times New Roman" w:cs="Times New Roman"/>
          <w:b w:val="0"/>
          <w:bCs w:val="0"/>
          <w:strike w:val="0"/>
          <w:highlight w:val="none"/>
          <w:lang w:val="en-US" w:eastAsia="zh-CN"/>
        </w:rPr>
      </w:pPr>
      <w:r>
        <w:rPr>
          <w:rFonts w:hint="eastAsia" w:ascii="Times New Roman" w:hAnsi="Times New Roman" w:cs="Times New Roman"/>
          <w:bCs/>
          <w:color w:val="0000FF"/>
          <w:highlight w:val="none"/>
          <w:lang w:val="en-US" w:eastAsia="zh-CN"/>
        </w:rPr>
        <w:t>根据《建筑防火通用规范》GB55037，厂房采用循环热风供暖时，需要考虑生产过程中是否散发可燃气体、蒸气、粉尘等，并且这些物质与供暖管道、散热器表面接触后是否能引起燃烧。因此，消防危险源的控制要明确不能采用循环使用的热风供暖的厂房类型，比如，生产过程中散发的可燃气体、蒸气、粉尘或纤维与供暖管道、散热器表面接触能引起燃烧的厂房；生产过程中散发的粉尘受到水、水蒸气的作用能引起自燃、爆炸或产生爆炸性气体的场所。</w:t>
      </w:r>
    </w:p>
    <w:p w14:paraId="0D45A374">
      <w:pPr>
        <w:ind w:firstLine="0" w:firstLineChars="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4.3.29</w:t>
      </w:r>
      <w:r>
        <w:rPr>
          <w:rFonts w:hint="eastAsia" w:ascii="Times New Roman" w:hAnsi="Times New Roman" w:cs="Times New Roman"/>
          <w:b w:val="0"/>
          <w:bCs w:val="0"/>
          <w:highlight w:val="none"/>
          <w:lang w:val="en-US" w:eastAsia="zh-CN"/>
        </w:rPr>
        <w:t xml:space="preserve">  通风和空气调节系统安全评估具体包含以下内容：</w:t>
      </w:r>
    </w:p>
    <w:p w14:paraId="378FA13E">
      <w:pPr>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1</w:t>
      </w:r>
      <w:r>
        <w:rPr>
          <w:rFonts w:hint="eastAsia" w:ascii="Times New Roman" w:hAnsi="Times New Roman" w:cs="Times New Roman"/>
          <w:b w:val="0"/>
          <w:bCs w:val="0"/>
          <w:highlight w:val="none"/>
          <w:lang w:val="en-US" w:eastAsia="zh-CN"/>
        </w:rPr>
        <w:t xml:space="preserve">  应设置通风换气设施的场所应按规范设置；</w:t>
      </w:r>
    </w:p>
    <w:p w14:paraId="2EA8B355">
      <w:pPr>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lang w:val="en-US" w:eastAsia="zh-CN"/>
        </w:rPr>
        <w:t xml:space="preserve">  应单独设置通风系统的场所应按规范设置；</w:t>
      </w:r>
    </w:p>
    <w:p w14:paraId="75F00EAB">
      <w:pPr>
        <w:autoSpaceDN/>
        <w:ind w:firstLine="482" w:firstLineChars="200"/>
        <w:jc w:val="both"/>
        <w:rPr>
          <w:rFonts w:hint="default" w:ascii="Times New Roman" w:hAnsi="Times New Roman" w:cs="Times New Roman"/>
          <w:b w:val="0"/>
          <w:bCs w:val="0"/>
          <w:strike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lang w:val="en-US" w:eastAsia="zh-CN"/>
        </w:rPr>
        <w:t xml:space="preserve">  排除有燃烧或爆炸危险性气体、蒸气或粉尘的排风系统应采取静电导除等静电防护措施，排风设备不应设置在地下或半地下，</w:t>
      </w:r>
      <w:r>
        <w:rPr>
          <w:rFonts w:hint="eastAsia" w:ascii="Times New Roman" w:hAnsi="Times New Roman" w:cs="Times New Roman"/>
          <w:b w:val="0"/>
          <w:bCs w:val="0"/>
          <w:strike w:val="0"/>
          <w:highlight w:val="none"/>
          <w:lang w:val="en-US" w:eastAsia="zh-CN"/>
        </w:rPr>
        <w:t>排风系统排风管道的材料及出口位置应符合规范要求；</w:t>
      </w:r>
    </w:p>
    <w:p w14:paraId="3200B34A">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highlight w:val="none"/>
          <w:lang w:val="en-US" w:eastAsia="zh-CN"/>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62E7D525">
      <w:pPr>
        <w:autoSpaceDN/>
        <w:ind w:firstLine="480" w:firstLineChars="200"/>
        <w:jc w:val="both"/>
        <w:rPr>
          <w:rFonts w:hint="eastAsia" w:ascii="Times New Roman" w:hAnsi="Times New Roman" w:cs="Times New Roman"/>
          <w:bCs/>
          <w:color w:val="0000FF"/>
          <w:highlight w:val="none"/>
          <w:lang w:val="en-US" w:eastAsia="zh-CN"/>
        </w:rPr>
      </w:pPr>
      <w:r>
        <w:rPr>
          <w:rFonts w:hint="eastAsia" w:ascii="Times New Roman" w:hAnsi="Times New Roman" w:cs="Times New Roman"/>
          <w:bCs/>
          <w:color w:val="0000FF"/>
          <w:highlight w:val="none"/>
          <w:lang w:val="en-US" w:eastAsia="zh-CN"/>
        </w:rPr>
        <w:t>用于排除有燃烧或爆炸危险性气体、蒸气或粉尘的排风系统，在工作中存在因静电导致发生爆炸的风险，应通过设置导除静电的接地装置，避免爆炸风险发生。</w:t>
      </w:r>
    </w:p>
    <w:p w14:paraId="459DFD4E">
      <w:pPr>
        <w:autoSpaceDN/>
        <w:ind w:firstLine="480" w:firstLineChars="200"/>
        <w:jc w:val="both"/>
        <w:rPr>
          <w:rFonts w:hint="eastAsia" w:ascii="Times New Roman" w:hAnsi="Times New Roman" w:cs="Times New Roman"/>
          <w:b w:val="0"/>
          <w:bCs w:val="0"/>
          <w:strike w:val="0"/>
          <w:highlight w:val="none"/>
          <w:lang w:val="en-US" w:eastAsia="zh-CN"/>
        </w:rPr>
      </w:pPr>
      <w:r>
        <w:rPr>
          <w:rFonts w:hint="eastAsia" w:ascii="Times New Roman" w:hAnsi="Times New Roman" w:cs="Times New Roman"/>
          <w:bCs/>
          <w:color w:val="0000FF"/>
          <w:highlight w:val="none"/>
          <w:lang w:val="en-US" w:eastAsia="zh-CN"/>
        </w:rPr>
        <w:t>有燃烧或爆炸危险性气体、蒸气或粉尘存在易燃易爆的安全隐患，当排风系统设置在地下或半地下建筑（室）内时，因空间狭小容易对爆炸产生放大效应，因此，用于排除有燃烧或爆炸危险性气体、蒸气或粉尘的排风系统不应布置在地下或半地下建筑（室）内。</w:t>
      </w:r>
    </w:p>
    <w:p w14:paraId="50457692">
      <w:pPr>
        <w:autoSpaceDN/>
        <w:ind w:firstLine="480" w:firstLineChars="200"/>
        <w:jc w:val="both"/>
        <w:rPr>
          <w:rFonts w:hint="eastAsia" w:ascii="Times New Roman" w:hAnsi="Times New Roman" w:cs="Times New Roman"/>
          <w:bCs/>
          <w:color w:val="0000FF"/>
          <w:highlight w:val="none"/>
          <w:lang w:val="en-US" w:eastAsia="zh-CN"/>
        </w:rPr>
      </w:pPr>
      <w:r>
        <w:rPr>
          <w:rFonts w:hint="eastAsia" w:ascii="Times New Roman" w:hAnsi="Times New Roman" w:cs="Times New Roman"/>
          <w:bCs/>
          <w:color w:val="0000FF"/>
          <w:highlight w:val="none"/>
          <w:lang w:val="en-US" w:eastAsia="zh-CN"/>
        </w:rPr>
        <w:t>用于排除有燃烧或爆炸危险性气体、蒸气或粉尘的排风管道，在工作中存在因静电导致发生爆炸的风险，因此，管道应采用不易积聚静电的材料，且排放出口应通向室外安全地点，避免有燃烧或爆炸危险性气体、蒸气或粉尘排出室外后爆炸产生的危险情况。</w:t>
      </w:r>
    </w:p>
    <w:p w14:paraId="1805520E">
      <w:pPr>
        <w:autoSpaceDN/>
        <w:ind w:firstLine="482" w:firstLineChars="200"/>
        <w:jc w:val="both"/>
        <w:rPr>
          <w:rFonts w:hint="default" w:ascii="Times New Roman" w:hAnsi="Times New Roman" w:cs="Times New Roman"/>
          <w:b w:val="0"/>
          <w:bCs/>
          <w:color w:val="auto"/>
          <w:highlight w:val="none"/>
          <w:lang w:val="en-US" w:eastAsia="zh-CN"/>
        </w:rPr>
      </w:pPr>
      <w:r>
        <w:rPr>
          <w:rFonts w:hint="eastAsia" w:ascii="Times New Roman" w:hAnsi="Times New Roman" w:cs="Times New Roman"/>
          <w:b/>
          <w:bCs w:val="0"/>
          <w:color w:val="auto"/>
          <w:highlight w:val="none"/>
          <w:lang w:val="en-US" w:eastAsia="zh-CN"/>
        </w:rPr>
        <w:t xml:space="preserve">4  </w:t>
      </w:r>
      <w:r>
        <w:rPr>
          <w:rFonts w:hint="eastAsia" w:ascii="Times New Roman" w:hAnsi="Times New Roman" w:cs="Times New Roman"/>
          <w:b w:val="0"/>
          <w:bCs/>
          <w:color w:val="auto"/>
          <w:highlight w:val="none"/>
          <w:lang w:val="en-US" w:eastAsia="zh-CN"/>
        </w:rPr>
        <w:t>通风管材质、绝热材料及敷设情况应符合规范要求；</w:t>
      </w:r>
    </w:p>
    <w:p w14:paraId="653F7CC3">
      <w:pPr>
        <w:autoSpaceDN/>
        <w:ind w:firstLine="482" w:firstLineChars="200"/>
        <w:jc w:val="both"/>
        <w:rPr>
          <w:rFonts w:hint="eastAsia" w:ascii="Times New Roman" w:hAnsi="Times New Roman" w:cs="Times New Roman"/>
          <w:b w:val="0"/>
          <w:bCs w:val="0"/>
          <w:strike w:val="0"/>
          <w:highlight w:val="none"/>
        </w:rPr>
      </w:pPr>
      <w:r>
        <w:rPr>
          <w:rFonts w:hint="eastAsia" w:ascii="Times New Roman" w:hAnsi="Times New Roman" w:cs="Times New Roman"/>
          <w:b/>
          <w:bCs w:val="0"/>
          <w:color w:val="auto"/>
          <w:highlight w:val="none"/>
          <w:lang w:val="en-US" w:eastAsia="zh-CN"/>
        </w:rPr>
        <w:t>5</w:t>
      </w:r>
      <w:r>
        <w:rPr>
          <w:rFonts w:hint="eastAsia" w:ascii="Times New Roman" w:hAnsi="Times New Roman" w:cs="Times New Roman"/>
          <w:bCs/>
          <w:color w:val="auto"/>
          <w:highlight w:val="none"/>
          <w:lang w:val="en-US" w:eastAsia="zh-CN"/>
        </w:rPr>
        <w:t xml:space="preserve">  </w:t>
      </w:r>
      <w:r>
        <w:rPr>
          <w:rFonts w:hint="eastAsia" w:ascii="Times New Roman" w:hAnsi="Times New Roman" w:cs="Times New Roman"/>
          <w:b w:val="0"/>
          <w:bCs w:val="0"/>
          <w:strike w:val="0"/>
          <w:highlight w:val="none"/>
        </w:rPr>
        <w:t>通风、空调系统的防火阀设置</w:t>
      </w:r>
      <w:r>
        <w:rPr>
          <w:rFonts w:hint="eastAsia" w:ascii="Times New Roman" w:hAnsi="Times New Roman" w:cs="Times New Roman"/>
          <w:b w:val="0"/>
          <w:bCs w:val="0"/>
          <w:strike w:val="0"/>
          <w:highlight w:val="none"/>
          <w:lang w:val="en-US" w:eastAsia="zh-CN"/>
        </w:rPr>
        <w:t>应符合规范要求；</w:t>
      </w:r>
    </w:p>
    <w:p w14:paraId="6A696AFA">
      <w:pPr>
        <w:ind w:firstLine="482" w:firstLineChars="200"/>
        <w:rPr>
          <w:rFonts w:hint="eastAsia" w:ascii="Times New Roman" w:hAnsi="Times New Roman" w:cs="Times New Roman"/>
          <w:b w:val="0"/>
          <w:bCs w:val="0"/>
          <w:strike w:val="0"/>
          <w:highlight w:val="none"/>
        </w:rPr>
      </w:pPr>
      <w:r>
        <w:rPr>
          <w:rFonts w:hint="eastAsia" w:ascii="Times New Roman" w:hAnsi="Times New Roman" w:cs="Times New Roman"/>
          <w:b/>
          <w:bCs/>
          <w:strike w:val="0"/>
          <w:highlight w:val="none"/>
          <w:lang w:val="en-US" w:eastAsia="zh-CN"/>
        </w:rPr>
        <w:t>6</w:t>
      </w:r>
      <w:r>
        <w:rPr>
          <w:rFonts w:hint="eastAsia" w:ascii="Times New Roman" w:hAnsi="Times New Roman" w:cs="Times New Roman"/>
          <w:b w:val="0"/>
          <w:bCs w:val="0"/>
          <w:strike w:val="0"/>
          <w:highlight w:val="none"/>
        </w:rPr>
        <w:t xml:space="preserve">  通风机房的防火分隔、防火门设置</w:t>
      </w:r>
      <w:r>
        <w:rPr>
          <w:rFonts w:hint="eastAsia" w:ascii="Times New Roman" w:hAnsi="Times New Roman" w:cs="Times New Roman"/>
          <w:b w:val="0"/>
          <w:bCs w:val="0"/>
          <w:strike w:val="0"/>
          <w:highlight w:val="none"/>
          <w:lang w:val="en-US" w:eastAsia="zh-CN"/>
        </w:rPr>
        <w:t>应符合规范要求。</w:t>
      </w:r>
    </w:p>
    <w:p w14:paraId="3DEF598B">
      <w:pPr>
        <w:pStyle w:val="19"/>
        <w:spacing w:line="360" w:lineRule="auto"/>
        <w:jc w:val="center"/>
        <w:rPr>
          <w:b/>
          <w:highlight w:val="none"/>
        </w:rPr>
      </w:pPr>
      <w:r>
        <w:rPr>
          <w:rFonts w:hint="default" w:ascii="Times New Roman" w:hAnsi="Times New Roman" w:cs="Times New Roman"/>
          <w:b/>
          <w:highlight w:val="none"/>
          <w:lang w:val="en-US" w:eastAsia="zh"/>
        </w:rPr>
        <w:t>Ⅷ</w:t>
      </w:r>
      <w:r>
        <w:rPr>
          <w:rFonts w:hint="eastAsia"/>
          <w:b/>
          <w:highlight w:val="none"/>
        </w:rPr>
        <w:t xml:space="preserve">  建筑</w:t>
      </w:r>
      <w:r>
        <w:rPr>
          <w:rFonts w:hint="eastAsia"/>
          <w:b/>
          <w:highlight w:val="none"/>
          <w:lang w:eastAsia="zh"/>
        </w:rPr>
        <w:t>内部</w:t>
      </w:r>
      <w:r>
        <w:rPr>
          <w:rFonts w:hint="eastAsia"/>
          <w:b/>
          <w:highlight w:val="none"/>
        </w:rPr>
        <w:t>装修</w:t>
      </w:r>
    </w:p>
    <w:p w14:paraId="7A45DCAC">
      <w:pPr>
        <w:autoSpaceDN/>
        <w:jc w:val="both"/>
        <w:rPr>
          <w:rFonts w:hint="default" w:ascii="Times New Roman" w:hAnsi="Times New Roman" w:cs="Times New Roman"/>
          <w:highlight w:val="none"/>
        </w:rPr>
      </w:pPr>
      <w:r>
        <w:rPr>
          <w:rFonts w:hint="eastAsia" w:ascii="Times New Roman" w:hAnsi="Times New Roman" w:cs="Times New Roman"/>
          <w:b/>
          <w:bCs/>
          <w:highlight w:val="none"/>
          <w:lang w:val="en-US" w:eastAsia="zh-CN"/>
        </w:rPr>
        <w:t>4.3.30</w:t>
      </w:r>
      <w:r>
        <w:rPr>
          <w:rFonts w:hint="default" w:ascii="Times New Roman" w:hAnsi="Times New Roman" w:cs="Times New Roman"/>
          <w:highlight w:val="none"/>
        </w:rPr>
        <w:t xml:space="preserve">  建筑</w:t>
      </w:r>
      <w:r>
        <w:rPr>
          <w:rFonts w:hint="default" w:ascii="Times New Roman" w:hAnsi="Times New Roman" w:cs="Times New Roman"/>
          <w:highlight w:val="none"/>
          <w:lang w:val="en-US" w:eastAsia="zh-CN"/>
        </w:rPr>
        <w:t>内部</w:t>
      </w:r>
      <w:r>
        <w:rPr>
          <w:rFonts w:hint="default" w:ascii="Times New Roman" w:hAnsi="Times New Roman" w:cs="Times New Roman"/>
          <w:highlight w:val="none"/>
        </w:rPr>
        <w:t>装修</w:t>
      </w:r>
      <w:r>
        <w:rPr>
          <w:rFonts w:hint="default" w:ascii="Times New Roman" w:hAnsi="Times New Roman" w:cs="Times New Roman"/>
          <w:highlight w:val="none"/>
          <w:lang w:val="en-US" w:eastAsia="zh-CN"/>
        </w:rPr>
        <w:t>安全评估</w:t>
      </w:r>
      <w:r>
        <w:rPr>
          <w:rFonts w:hint="default" w:ascii="Times New Roman" w:hAnsi="Times New Roman" w:cs="Times New Roman"/>
          <w:highlight w:val="none"/>
        </w:rPr>
        <w:t>具体包含以下内容：</w:t>
      </w:r>
    </w:p>
    <w:p w14:paraId="0627F9A3">
      <w:pPr>
        <w:keepNext w:val="0"/>
        <w:keepLines w:val="0"/>
        <w:widowControl/>
        <w:suppressLineNumbers w:val="0"/>
        <w:ind w:firstLine="482" w:firstLineChars="200"/>
        <w:jc w:val="left"/>
        <w:rPr>
          <w:highlight w:val="none"/>
        </w:rPr>
      </w:pPr>
      <w:r>
        <w:rPr>
          <w:rFonts w:hint="default" w:ascii="Times New Roman" w:hAnsi="Times New Roman" w:cs="Times New Roman"/>
          <w:b/>
          <w:bCs/>
          <w:highlight w:val="none"/>
        </w:rPr>
        <w:t xml:space="preserve">1  </w:t>
      </w:r>
      <w:r>
        <w:rPr>
          <w:rFonts w:hint="eastAsia" w:ascii="宋体" w:hAnsi="宋体" w:eastAsia="宋体" w:cs="宋体"/>
          <w:color w:val="000000"/>
          <w:kern w:val="0"/>
          <w:sz w:val="24"/>
          <w:szCs w:val="24"/>
          <w:highlight w:val="none"/>
          <w:lang w:val="en-US" w:eastAsia="zh-CN" w:bidi="ar"/>
        </w:rPr>
        <w:t xml:space="preserve">建筑内部装修不应擅自减少、改动、拆除、遮挡消防设施或器材及其标识、 </w:t>
      </w:r>
    </w:p>
    <w:p w14:paraId="2B3C63D4">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 xml:space="preserve">疏散指示标志、疏散出口、疏散走道或疏散横通道，不应擅自改变防火分区或防 </w:t>
      </w:r>
    </w:p>
    <w:p w14:paraId="53300162">
      <w:pPr>
        <w:keepNext w:val="0"/>
        <w:keepLines w:val="0"/>
        <w:widowControl/>
        <w:suppressLineNumbers w:val="0"/>
        <w:jc w:val="left"/>
        <w:rPr>
          <w:highlight w:val="none"/>
        </w:rPr>
      </w:pPr>
      <w:r>
        <w:rPr>
          <w:rFonts w:hint="eastAsia" w:ascii="宋体" w:hAnsi="宋体" w:eastAsia="宋体" w:cs="宋体"/>
          <w:color w:val="000000"/>
          <w:kern w:val="0"/>
          <w:sz w:val="24"/>
          <w:szCs w:val="24"/>
          <w:highlight w:val="none"/>
          <w:lang w:val="en-US" w:eastAsia="zh-CN" w:bidi="ar"/>
        </w:rPr>
        <w:t>火分隔、防烟分区及其分隔，不应影响消防设施或器材的使用功能和正常操作。</w:t>
      </w:r>
    </w:p>
    <w:p w14:paraId="40601B53">
      <w:pPr>
        <w:autoSpaceDN/>
        <w:ind w:firstLine="482" w:firstLineChars="200"/>
        <w:jc w:val="both"/>
        <w:rPr>
          <w:rFonts w:hint="default" w:ascii="Times New Roman" w:hAnsi="Times New Roman" w:eastAsia="宋体" w:cs="Times New Roman"/>
          <w:b/>
          <w:bCs/>
          <w:highlight w:val="none"/>
          <w:lang w:val="en-US" w:eastAsia="zh-CN"/>
        </w:rPr>
      </w:pPr>
      <w:r>
        <w:rPr>
          <w:rFonts w:hint="eastAsia" w:ascii="Times New Roman" w:hAnsi="Times New Roman" w:cs="Times New Roman"/>
          <w:b/>
          <w:bCs/>
          <w:highlight w:val="none"/>
          <w:lang w:val="en-US" w:eastAsia="zh-CN"/>
        </w:rPr>
        <w:t xml:space="preserve">2  </w:t>
      </w:r>
      <w:r>
        <w:rPr>
          <w:rFonts w:hint="eastAsia" w:ascii="Times New Roman" w:hAnsi="Times New Roman" w:cs="Times New Roman"/>
          <w:b w:val="0"/>
          <w:bCs w:val="0"/>
          <w:highlight w:val="none"/>
          <w:lang w:val="en-US" w:eastAsia="zh-CN"/>
        </w:rPr>
        <w:t>不应使用影响人员安全疏散和消防救援的镜面反光材料的部位应符合规范要求；</w:t>
      </w:r>
    </w:p>
    <w:p w14:paraId="45BA38E8">
      <w:pPr>
        <w:widowControl/>
        <w:autoSpaceDN/>
        <w:ind w:firstLine="482" w:firstLineChars="200"/>
        <w:jc w:val="left"/>
        <w:rPr>
          <w:rFonts w:ascii="Times New Roman" w:hAnsi="Times New Roman" w:cs="Times New Roman"/>
          <w:b/>
          <w:bCs/>
          <w:highlight w:val="none"/>
        </w:rPr>
      </w:pPr>
      <w:r>
        <w:rPr>
          <w:rFonts w:hint="eastAsia" w:ascii="Times New Roman" w:hAnsi="Times New Roman" w:cs="Times New Roman"/>
          <w:b/>
          <w:bCs/>
          <w:highlight w:val="none"/>
          <w:lang w:val="en-US" w:eastAsia="zh-CN"/>
        </w:rPr>
        <w:t>3</w:t>
      </w:r>
      <w:r>
        <w:rPr>
          <w:rFonts w:hint="eastAsia" w:ascii="Times New Roman" w:hAnsi="Times New Roman" w:cs="Times New Roman"/>
          <w:highlight w:val="none"/>
          <w:lang w:val="en-US" w:eastAsia="zh-CN"/>
        </w:rPr>
        <w:t xml:space="preserve">  不同部位</w:t>
      </w:r>
      <w:r>
        <w:rPr>
          <w:rFonts w:hint="default" w:ascii="Times New Roman" w:hAnsi="Times New Roman" w:cs="Times New Roman"/>
          <w:highlight w:val="none"/>
        </w:rPr>
        <w:t>装修材料的燃烧性能等级</w:t>
      </w:r>
      <w:bookmarkStart w:id="248" w:name="OLE_LINK6"/>
      <w:r>
        <w:rPr>
          <w:rFonts w:hint="default" w:ascii="Times New Roman" w:hAnsi="Times New Roman" w:cs="Times New Roman"/>
          <w:highlight w:val="none"/>
          <w:lang w:val="en-US" w:eastAsia="zh-CN"/>
        </w:rPr>
        <w:t>应</w:t>
      </w:r>
      <w:r>
        <w:rPr>
          <w:rFonts w:hint="default" w:ascii="Times New Roman" w:hAnsi="Times New Roman" w:cs="Times New Roman"/>
          <w:highlight w:val="none"/>
        </w:rPr>
        <w:t>符合规范要求</w:t>
      </w:r>
      <w:bookmarkEnd w:id="248"/>
      <w:r>
        <w:rPr>
          <w:rFonts w:hint="default" w:ascii="Times New Roman" w:hAnsi="Times New Roman" w:cs="Times New Roman"/>
          <w:highlight w:val="none"/>
          <w:lang w:eastAsia="zh-CN"/>
        </w:rPr>
        <w:t>；</w:t>
      </w:r>
      <w:r>
        <w:rPr>
          <w:rFonts w:hint="eastAsia" w:ascii="Times New Roman" w:hAnsi="Times New Roman" w:cs="Times New Roman"/>
          <w:highlight w:val="none"/>
          <w:lang w:eastAsia="zh-CN"/>
        </w:rPr>
        <w:t>避难走道、避难层、避难间、疏散楼梯间及其前室、消防电梯前室或合用前室装修材料的燃烧性能等级应符合规范要求；各类设备机房装修材料的燃烧性能等级应符合规范要求；歌舞娱乐放映游艺场所装修材料的燃烧性能等级应符合规范要求；设在地下或半地下的汽车客运站、港口客运站、铁路车站</w:t>
      </w:r>
      <w:r>
        <w:rPr>
          <w:rFonts w:hint="eastAsia" w:ascii="宋体" w:hAnsi="宋体" w:eastAsia="宋体" w:cs="宋体"/>
          <w:color w:val="000000"/>
          <w:kern w:val="0"/>
          <w:sz w:val="24"/>
          <w:szCs w:val="24"/>
          <w:highlight w:val="none"/>
          <w:lang w:val="en-US" w:eastAsia="zh-CN" w:bidi="ar"/>
        </w:rPr>
        <w:t>的进出站通道、进出站厅、候乘厅，地铁车站、民用机场航站楼、城市民航值机厅的公共区，交通换乘厅、换乘通道</w:t>
      </w:r>
      <w:r>
        <w:rPr>
          <w:rFonts w:hint="eastAsia" w:ascii="Times New Roman" w:hAnsi="Times New Roman" w:cs="Times New Roman"/>
          <w:highlight w:val="none"/>
          <w:lang w:eastAsia="zh-CN"/>
        </w:rPr>
        <w:t>装修材料的燃烧性能等级应符合规范要求。</w:t>
      </w:r>
    </w:p>
    <w:p w14:paraId="51743998">
      <w:pPr>
        <w:pStyle w:val="19"/>
        <w:spacing w:line="360" w:lineRule="auto"/>
        <w:jc w:val="center"/>
        <w:rPr>
          <w:rFonts w:hint="eastAsia"/>
          <w:b/>
          <w:highlight w:val="none"/>
          <w:lang w:val="en-US" w:eastAsia="zh-CN"/>
        </w:rPr>
      </w:pPr>
      <w:r>
        <w:rPr>
          <w:rFonts w:hint="default" w:ascii="Times New Roman" w:hAnsi="Times New Roman" w:cs="Times New Roman"/>
          <w:b/>
          <w:highlight w:val="none"/>
          <w:lang w:val="en-US" w:eastAsia="zh"/>
        </w:rPr>
        <w:t>Ⅸ</w:t>
      </w:r>
      <w:r>
        <w:rPr>
          <w:rFonts w:hint="eastAsia"/>
          <w:b/>
          <w:highlight w:val="none"/>
          <w:lang w:val="en-US" w:eastAsia="zh"/>
        </w:rPr>
        <w:t xml:space="preserve">  非消防电气线路与设备</w:t>
      </w:r>
    </w:p>
    <w:p w14:paraId="560DE478">
      <w:pPr>
        <w:rPr>
          <w:rFonts w:hint="eastAsia" w:cs="Times New Roman"/>
          <w:b/>
          <w:bCs/>
          <w:highlight w:val="none"/>
        </w:rPr>
      </w:pPr>
      <w:r>
        <w:rPr>
          <w:rFonts w:hint="eastAsia" w:ascii="Times New Roman" w:hAnsi="Times New Roman" w:cs="Times New Roman"/>
          <w:b/>
          <w:bCs/>
          <w:highlight w:val="none"/>
          <w:lang w:val="en-US" w:eastAsia="zh-CN"/>
        </w:rPr>
        <w:t>4.3.31</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非消防电气线路敷设安全评估</w:t>
      </w:r>
      <w:r>
        <w:rPr>
          <w:rFonts w:hint="eastAsia" w:ascii="Times New Roman" w:hAnsi="Times New Roman" w:cs="Times New Roman"/>
          <w:highlight w:val="none"/>
        </w:rPr>
        <w:t>具体包含以下内容</w:t>
      </w:r>
      <w:r>
        <w:rPr>
          <w:rFonts w:hint="eastAsia" w:ascii="Times New Roman" w:hAnsi="Times New Roman" w:cs="Times New Roman"/>
          <w:strike w:val="0"/>
          <w:highlight w:val="none"/>
        </w:rPr>
        <w:t>：</w:t>
      </w:r>
    </w:p>
    <w:p w14:paraId="72CD4117">
      <w:pPr>
        <w:keepNext w:val="0"/>
        <w:keepLines w:val="0"/>
        <w:widowControl/>
        <w:suppressLineNumbers w:val="0"/>
        <w:ind w:firstLine="482" w:firstLineChars="200"/>
        <w:jc w:val="left"/>
        <w:rPr>
          <w:highlight w:val="none"/>
        </w:rPr>
      </w:pPr>
      <w:r>
        <w:rPr>
          <w:rFonts w:hint="default" w:ascii="Times New Roman" w:hAnsi="Times New Roman" w:cs="Times New Roman"/>
          <w:b/>
          <w:bCs/>
          <w:highlight w:val="none"/>
        </w:rPr>
        <w:t>1</w:t>
      </w:r>
      <w:r>
        <w:rPr>
          <w:rFonts w:hint="default" w:ascii="Times New Roman" w:hAnsi="Times New Roman" w:cs="Times New Roman"/>
          <w:b w:val="0"/>
          <w:bCs w:val="0"/>
          <w:highlight w:val="none"/>
        </w:rPr>
        <w:t xml:space="preserve">  </w:t>
      </w:r>
      <w:r>
        <w:rPr>
          <w:rFonts w:hint="eastAsia" w:ascii="Times New Roman" w:hAnsi="Times New Roman" w:cs="Times New Roman"/>
          <w:b w:val="0"/>
          <w:bCs w:val="0"/>
          <w:highlight w:val="none"/>
          <w:lang w:eastAsia="zh-CN"/>
        </w:rPr>
        <w:t>电气线路</w:t>
      </w:r>
      <w:r>
        <w:rPr>
          <w:rFonts w:hint="eastAsia" w:ascii="宋体" w:hAnsi="宋体" w:eastAsia="宋体" w:cs="宋体"/>
          <w:color w:val="000000"/>
          <w:kern w:val="0"/>
          <w:sz w:val="24"/>
          <w:szCs w:val="24"/>
          <w:highlight w:val="none"/>
          <w:lang w:val="en-US" w:eastAsia="zh-CN" w:bidi="ar"/>
        </w:rPr>
        <w:t>敷设应避开炉灶、烟囱等高温部位及其他可能受高温作业影响的</w:t>
      </w:r>
    </w:p>
    <w:p w14:paraId="00ED53A3">
      <w:pPr>
        <w:widowControl/>
        <w:autoSpaceDN/>
        <w:ind w:firstLine="0" w:firstLineChars="0"/>
        <w:jc w:val="left"/>
        <w:rPr>
          <w:rFonts w:hint="default" w:ascii="Times New Roman" w:hAnsi="Times New Roman" w:cs="Times New Roman"/>
          <w:highlight w:val="none"/>
          <w:lang w:eastAsia="zh-CN"/>
        </w:rPr>
      </w:pPr>
      <w:r>
        <w:rPr>
          <w:rFonts w:hint="eastAsia" w:ascii="宋体" w:hAnsi="宋体" w:eastAsia="宋体" w:cs="宋体"/>
          <w:color w:val="000000"/>
          <w:kern w:val="0"/>
          <w:sz w:val="24"/>
          <w:szCs w:val="24"/>
          <w:highlight w:val="none"/>
          <w:lang w:val="en-US" w:eastAsia="zh-CN" w:bidi="ar"/>
        </w:rPr>
        <w:t>部位，不应直接敷设在可燃物上；</w:t>
      </w:r>
    </w:p>
    <w:p w14:paraId="046ED251">
      <w:pPr>
        <w:autoSpaceDN/>
        <w:ind w:firstLine="482" w:firstLineChars="200"/>
        <w:jc w:val="both"/>
        <w:rPr>
          <w:rFonts w:hint="default" w:ascii="Times New Roman" w:hAnsi="Times New Roman" w:eastAsia="宋体" w:cs="Times New Roman"/>
          <w:highlight w:val="none"/>
          <w:lang w:eastAsia="zh-CN"/>
        </w:rPr>
      </w:pPr>
      <w:r>
        <w:rPr>
          <w:rFonts w:hint="default" w:ascii="Times New Roman" w:hAnsi="Times New Roman" w:cs="Times New Roman"/>
          <w:b/>
          <w:bCs/>
          <w:highlight w:val="none"/>
          <w:lang w:val="en-US" w:eastAsia="zh-CN"/>
        </w:rPr>
        <w:t>2</w:t>
      </w:r>
      <w:r>
        <w:rPr>
          <w:rFonts w:hint="default" w:ascii="Times New Roman" w:hAnsi="Times New Roman" w:cs="Times New Roman"/>
          <w:b w:val="0"/>
          <w:bCs w:val="0"/>
          <w:highlight w:val="none"/>
        </w:rPr>
        <w:t xml:space="preserve">  </w:t>
      </w:r>
      <w:r>
        <w:rPr>
          <w:rFonts w:hint="eastAsia" w:ascii="Times New Roman" w:hAnsi="Times New Roman" w:cs="Times New Roman"/>
          <w:highlight w:val="none"/>
          <w:lang w:eastAsia="zh-CN"/>
        </w:rPr>
        <w:t>室内明敷的电气</w:t>
      </w:r>
      <w:r>
        <w:rPr>
          <w:rFonts w:hint="default" w:ascii="Times New Roman" w:hAnsi="Times New Roman" w:cs="Times New Roman"/>
          <w:highlight w:val="none"/>
          <w:lang w:eastAsia="zh-CN"/>
        </w:rPr>
        <w:t>线路在有可燃物的吊顶</w:t>
      </w:r>
      <w:r>
        <w:rPr>
          <w:rFonts w:hint="eastAsia" w:ascii="Times New Roman" w:hAnsi="Times New Roman" w:cs="Times New Roman"/>
          <w:highlight w:val="none"/>
          <w:lang w:eastAsia="zh-CN"/>
        </w:rPr>
        <w:t>或难燃性、可燃性墙体</w:t>
      </w:r>
      <w:r>
        <w:rPr>
          <w:rFonts w:hint="default" w:ascii="Times New Roman" w:hAnsi="Times New Roman" w:cs="Times New Roman"/>
          <w:highlight w:val="none"/>
          <w:lang w:eastAsia="zh-CN"/>
        </w:rPr>
        <w:t>内敷设时的</w:t>
      </w:r>
      <w:r>
        <w:rPr>
          <w:rFonts w:hint="eastAsia" w:ascii="Times New Roman" w:hAnsi="Times New Roman" w:cs="Times New Roman"/>
          <w:highlight w:val="none"/>
          <w:lang w:eastAsia="zh-CN"/>
        </w:rPr>
        <w:t>防火性能或</w:t>
      </w:r>
      <w:r>
        <w:rPr>
          <w:rFonts w:hint="default" w:ascii="Times New Roman" w:hAnsi="Times New Roman" w:cs="Times New Roman"/>
          <w:highlight w:val="none"/>
          <w:lang w:eastAsia="zh-CN"/>
        </w:rPr>
        <w:t>防火保护措施</w:t>
      </w:r>
      <w:r>
        <w:rPr>
          <w:rFonts w:hint="default" w:ascii="Times New Roman" w:hAnsi="Times New Roman" w:cs="Times New Roman"/>
          <w:highlight w:val="none"/>
          <w:lang w:val="en-US" w:eastAsia="zh-CN"/>
        </w:rPr>
        <w:t>应</w:t>
      </w:r>
      <w:r>
        <w:rPr>
          <w:rFonts w:hint="default" w:ascii="Times New Roman" w:hAnsi="Times New Roman" w:cs="Times New Roman"/>
          <w:highlight w:val="none"/>
        </w:rPr>
        <w:t>符合规范要求</w:t>
      </w:r>
      <w:r>
        <w:rPr>
          <w:rFonts w:hint="eastAsia" w:ascii="Times New Roman" w:hAnsi="Times New Roman" w:cs="Times New Roman"/>
          <w:highlight w:val="none"/>
          <w:lang w:eastAsia="zh-CN"/>
        </w:rPr>
        <w:t>；</w:t>
      </w:r>
    </w:p>
    <w:p w14:paraId="3D31CD7B">
      <w:pPr>
        <w:autoSpaceDN/>
        <w:ind w:firstLine="482" w:firstLineChars="200"/>
        <w:jc w:val="both"/>
        <w:rPr>
          <w:rFonts w:hint="eastAsia" w:ascii="Times New Roman" w:hAnsi="Times New Roman" w:cs="Times New Roman"/>
          <w:highlight w:val="none"/>
          <w:lang w:eastAsia="zh-CN"/>
        </w:rPr>
      </w:pPr>
      <w:r>
        <w:rPr>
          <w:rFonts w:hint="default" w:ascii="Times New Roman" w:hAnsi="Times New Roman" w:cs="Times New Roman"/>
          <w:b/>
          <w:bCs/>
          <w:highlight w:val="none"/>
          <w:lang w:val="en-US" w:eastAsia="zh-CN"/>
        </w:rPr>
        <w:t>3</w:t>
      </w:r>
      <w:r>
        <w:rPr>
          <w:rFonts w:hint="default" w:ascii="Times New Roman" w:hAnsi="Times New Roman" w:cs="Times New Roman"/>
          <w:b w:val="0"/>
          <w:bCs w:val="0"/>
          <w:highlight w:val="none"/>
        </w:rPr>
        <w:t xml:space="preserve">  室外电缆沟或电缆隧道在进入建筑、工程或变电站处</w:t>
      </w:r>
      <w:r>
        <w:rPr>
          <w:rFonts w:hint="eastAsia" w:ascii="Times New Roman" w:hAnsi="Times New Roman" w:cs="Times New Roman"/>
          <w:b w:val="0"/>
          <w:bCs w:val="0"/>
          <w:highlight w:val="none"/>
          <w:lang w:eastAsia="zh-CN"/>
        </w:rPr>
        <w:t>所采取</w:t>
      </w:r>
      <w:r>
        <w:rPr>
          <w:rFonts w:hint="default" w:ascii="Times New Roman" w:hAnsi="Times New Roman" w:cs="Times New Roman"/>
          <w:b w:val="0"/>
          <w:bCs w:val="0"/>
          <w:highlight w:val="none"/>
        </w:rPr>
        <w:t>的防火分隔</w:t>
      </w:r>
      <w:r>
        <w:rPr>
          <w:rFonts w:hint="eastAsia" w:ascii="Times New Roman" w:hAnsi="Times New Roman" w:cs="Times New Roman"/>
          <w:b w:val="0"/>
          <w:bCs w:val="0"/>
          <w:highlight w:val="none"/>
          <w:lang w:eastAsia="zh-CN"/>
        </w:rPr>
        <w:t>措施</w:t>
      </w:r>
      <w:r>
        <w:rPr>
          <w:rFonts w:hint="default" w:ascii="Times New Roman" w:hAnsi="Times New Roman" w:cs="Times New Roman"/>
          <w:highlight w:val="none"/>
          <w:lang w:val="en-US" w:eastAsia="zh-CN"/>
        </w:rPr>
        <w:t>应</w:t>
      </w:r>
      <w:r>
        <w:rPr>
          <w:rFonts w:hint="default" w:ascii="Times New Roman" w:hAnsi="Times New Roman" w:cs="Times New Roman"/>
          <w:highlight w:val="none"/>
        </w:rPr>
        <w:t>符合规范要求</w:t>
      </w:r>
      <w:r>
        <w:rPr>
          <w:rFonts w:hint="default" w:ascii="Times New Roman" w:hAnsi="Times New Roman" w:cs="Times New Roman"/>
          <w:highlight w:val="none"/>
          <w:lang w:eastAsia="zh-CN"/>
        </w:rPr>
        <w:t>；</w:t>
      </w:r>
    </w:p>
    <w:p w14:paraId="6AAEA587">
      <w:pPr>
        <w:autoSpaceDN/>
        <w:ind w:firstLine="482" w:firstLineChars="200"/>
        <w:jc w:val="both"/>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lang w:val="en-US" w:eastAsia="zh-CN"/>
        </w:rPr>
        <w:t>架空线路</w:t>
      </w:r>
      <w:r>
        <w:rPr>
          <w:rFonts w:hint="eastAsia" w:ascii="Times New Roman" w:hAnsi="Times New Roman" w:cs="Times New Roman"/>
          <w:highlight w:val="none"/>
          <w:lang w:val="en-US" w:eastAsia="zh-CN"/>
        </w:rPr>
        <w:t>不应跨越</w:t>
      </w:r>
      <w:r>
        <w:rPr>
          <w:rFonts w:hint="default" w:ascii="Times New Roman" w:hAnsi="Times New Roman" w:cs="Times New Roman"/>
          <w:highlight w:val="none"/>
          <w:lang w:val="en-US" w:eastAsia="zh-CN"/>
        </w:rPr>
        <w:t>容易发生消防安全事故的危险场所</w:t>
      </w:r>
      <w:r>
        <w:rPr>
          <w:rFonts w:hint="eastAsia" w:ascii="Times New Roman" w:hAnsi="Times New Roman" w:cs="Times New Roman"/>
          <w:highlight w:val="none"/>
          <w:lang w:val="en-US" w:eastAsia="zh-CN"/>
        </w:rPr>
        <w:t>且相互间</w:t>
      </w:r>
      <w:r>
        <w:rPr>
          <w:rFonts w:hint="default" w:ascii="Times New Roman" w:hAnsi="Times New Roman" w:cs="Times New Roman"/>
          <w:highlight w:val="none"/>
          <w:lang w:val="en-US" w:eastAsia="zh-CN"/>
        </w:rPr>
        <w:t>的最小水平距离应</w:t>
      </w:r>
      <w:r>
        <w:rPr>
          <w:rFonts w:hint="default" w:ascii="Times New Roman" w:hAnsi="Times New Roman" w:cs="Times New Roman"/>
          <w:highlight w:val="none"/>
        </w:rPr>
        <w:t>符合规范要求</w:t>
      </w:r>
      <w:r>
        <w:rPr>
          <w:rFonts w:hint="eastAsia" w:ascii="Times New Roman" w:hAnsi="Times New Roman" w:cs="Times New Roman"/>
          <w:highlight w:val="none"/>
          <w:lang w:eastAsia="zh-CN"/>
        </w:rPr>
        <w:t>；</w:t>
      </w:r>
    </w:p>
    <w:p w14:paraId="1DC8F75B">
      <w:pPr>
        <w:autoSpaceDN/>
        <w:ind w:firstLine="482" w:firstLineChars="200"/>
        <w:jc w:val="both"/>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highlight w:val="none"/>
          <w:lang w:val="en-US" w:eastAsia="zh-CN"/>
        </w:rPr>
        <w:t xml:space="preserve">  配电线路不得穿越通风管道内腔或直接敷设在通风管道外壁上，穿金属导管保护的配电线路可紧贴通风管道外壁敷设。</w:t>
      </w:r>
    </w:p>
    <w:p w14:paraId="12D9F97E">
      <w:pPr>
        <w:keepNext w:val="0"/>
        <w:keepLines w:val="0"/>
        <w:widowControl/>
        <w:suppressLineNumbers w:val="0"/>
        <w:autoSpaceDN/>
        <w:spacing w:before="0" w:beforeAutospacing="0" w:after="0" w:afterAutospacing="0"/>
        <w:ind w:left="0" w:right="0" w:firstLine="0" w:firstLineChars="0"/>
        <w:jc w:val="both"/>
        <w:rPr>
          <w:rFonts w:hint="default" w:ascii="Times New Roman" w:hAnsi="Times New Roman" w:cs="Times New Roman"/>
          <w:highlight w:val="none"/>
          <w:lang w:val="en-US" w:eastAsia="zh-CN"/>
        </w:rPr>
      </w:pPr>
      <w:r>
        <w:rPr>
          <w:rFonts w:hint="default" w:ascii="Times New Roman" w:hAnsi="Times New Roman" w:cs="Times New Roman"/>
          <w:bCs/>
          <w:color w:val="0000FF"/>
          <w:highlight w:val="none"/>
          <w:lang w:eastAsia="zh-CN"/>
        </w:rPr>
        <w:t>【</w:t>
      </w:r>
      <w:r>
        <w:rPr>
          <w:rFonts w:hint="default" w:ascii="Times New Roman" w:hAnsi="Times New Roman" w:cs="Times New Roman"/>
          <w:bCs/>
          <w:color w:val="0000FF"/>
          <w:highlight w:val="none"/>
          <w:lang w:val="en-US" w:eastAsia="zh-CN"/>
        </w:rPr>
        <w:t>条文说明</w:t>
      </w:r>
      <w:r>
        <w:rPr>
          <w:rFonts w:hint="default" w:ascii="Times New Roman" w:hAnsi="Times New Roman" w:cs="Times New Roman"/>
          <w:bCs/>
          <w:color w:val="0000FF"/>
          <w:highlight w:val="none"/>
          <w:lang w:eastAsia="zh-CN"/>
        </w:rPr>
        <w:t>】</w:t>
      </w:r>
    </w:p>
    <w:p w14:paraId="2934052B">
      <w:pPr>
        <w:autoSpaceDN/>
        <w:ind w:firstLine="480" w:firstLineChars="200"/>
        <w:jc w:val="both"/>
        <w:rPr>
          <w:rFonts w:hint="default" w:ascii="Times New Roman" w:hAnsi="Times New Roman" w:cs="Times New Roman"/>
          <w:bCs/>
          <w:color w:val="0000FF"/>
          <w:highlight w:val="none"/>
          <w:lang w:val="en-US" w:eastAsia="zh-CN"/>
        </w:rPr>
      </w:pPr>
      <w:r>
        <w:rPr>
          <w:rFonts w:hint="default" w:ascii="Times New Roman" w:hAnsi="Times New Roman" w:cs="Times New Roman"/>
          <w:bCs/>
          <w:color w:val="0000FF"/>
          <w:highlight w:val="none"/>
          <w:lang w:val="en-US" w:eastAsia="zh-CN"/>
        </w:rPr>
        <w:t>容易发生消防安全事故的危险场所包括甲、乙类厂房（仓库），可燃材料堆垛，甲、乙、丙类液体储罐，液化石油气储罐，可燃、助燃气体储罐等。</w:t>
      </w:r>
    </w:p>
    <w:p w14:paraId="13E38A9F">
      <w:pPr>
        <w:rPr>
          <w:rFonts w:hint="default" w:ascii="Times New Roman" w:hAnsi="Times New Roman" w:cs="Times New Roman"/>
          <w:b/>
          <w:bCs/>
          <w:highlight w:val="none"/>
        </w:rPr>
      </w:pPr>
      <w:r>
        <w:rPr>
          <w:rFonts w:hint="eastAsia" w:ascii="Times New Roman" w:hAnsi="Times New Roman" w:cs="Times New Roman"/>
          <w:b/>
          <w:bCs/>
          <w:highlight w:val="none"/>
          <w:lang w:val="en-US" w:eastAsia="zh-CN"/>
        </w:rPr>
        <w:t>4.3.32</w:t>
      </w:r>
      <w:r>
        <w:rPr>
          <w:rFonts w:hint="default" w:ascii="Times New Roman" w:hAnsi="Times New Roman" w:cs="Times New Roman"/>
          <w:highlight w:val="none"/>
        </w:rPr>
        <w:t xml:space="preserve">  </w:t>
      </w:r>
      <w:r>
        <w:rPr>
          <w:rFonts w:hint="eastAsia" w:ascii="Times New Roman" w:hAnsi="Times New Roman" w:cs="Times New Roman"/>
          <w:highlight w:val="none"/>
          <w:lang w:eastAsia="zh-CN"/>
        </w:rPr>
        <w:t>非消防电气</w:t>
      </w:r>
      <w:r>
        <w:rPr>
          <w:rFonts w:hint="default" w:ascii="Times New Roman" w:hAnsi="Times New Roman" w:cs="Times New Roman"/>
          <w:highlight w:val="none"/>
          <w:lang w:val="en-US" w:eastAsia="zh-CN"/>
        </w:rPr>
        <w:t>设备安全评估</w:t>
      </w:r>
      <w:r>
        <w:rPr>
          <w:rFonts w:hint="default" w:ascii="Times New Roman" w:hAnsi="Times New Roman" w:cs="Times New Roman"/>
          <w:highlight w:val="none"/>
        </w:rPr>
        <w:t>具体包含以下内容</w:t>
      </w:r>
      <w:r>
        <w:rPr>
          <w:rFonts w:hint="default" w:ascii="Times New Roman" w:hAnsi="Times New Roman" w:cs="Times New Roman"/>
          <w:strike w:val="0"/>
          <w:highlight w:val="none"/>
        </w:rPr>
        <w:t>：</w:t>
      </w:r>
    </w:p>
    <w:p w14:paraId="3409F16D">
      <w:pPr>
        <w:autoSpaceDN/>
        <w:ind w:firstLine="482" w:firstLineChars="200"/>
        <w:jc w:val="both"/>
        <w:rPr>
          <w:rFonts w:hint="eastAsia" w:ascii="Times New Roman" w:hAnsi="Times New Roman" w:eastAsia="宋体" w:cs="Times New Roman"/>
          <w:b w:val="0"/>
          <w:bCs w:val="0"/>
          <w:highlight w:val="none"/>
          <w:lang w:eastAsia="zh-CN"/>
        </w:rPr>
      </w:pPr>
      <w:r>
        <w:rPr>
          <w:rFonts w:hint="default" w:ascii="Times New Roman" w:hAnsi="Times New Roman" w:cs="Times New Roman"/>
          <w:b/>
          <w:bCs/>
          <w:highlight w:val="none"/>
        </w:rPr>
        <w:t>1</w:t>
      </w:r>
      <w:r>
        <w:rPr>
          <w:rFonts w:hint="default" w:ascii="Times New Roman" w:hAnsi="Times New Roman" w:cs="Times New Roman"/>
          <w:b w:val="0"/>
          <w:bCs w:val="0"/>
          <w:highlight w:val="none"/>
        </w:rPr>
        <w:t xml:space="preserve">  </w:t>
      </w:r>
      <w:r>
        <w:rPr>
          <w:rFonts w:hint="eastAsia" w:ascii="Times New Roman" w:hAnsi="Times New Roman" w:cs="Times New Roman"/>
          <w:b w:val="0"/>
          <w:bCs w:val="0"/>
          <w:highlight w:val="none"/>
          <w:lang w:eastAsia="zh-CN"/>
        </w:rPr>
        <w:t>空气调节系统的电加热器应与送风机连锁，并应具有无风断电、超温断电保护装置；</w:t>
      </w:r>
    </w:p>
    <w:p w14:paraId="1EB7CAD7">
      <w:pPr>
        <w:autoSpaceDN/>
        <w:ind w:firstLine="482" w:firstLineChars="200"/>
        <w:jc w:val="both"/>
        <w:rPr>
          <w:rFonts w:hint="default" w:ascii="Times New Roman" w:hAnsi="Times New Roman" w:cs="Times New Roman"/>
          <w:highlight w:val="none"/>
          <w:lang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lang w:val="en-US" w:eastAsia="zh-CN"/>
        </w:rPr>
        <w:t xml:space="preserve">  </w:t>
      </w:r>
      <w:r>
        <w:rPr>
          <w:rFonts w:hint="default" w:ascii="Times New Roman" w:hAnsi="Times New Roman" w:cs="Times New Roman"/>
          <w:b w:val="0"/>
          <w:bCs w:val="0"/>
          <w:highlight w:val="none"/>
        </w:rPr>
        <w:t>插座、开关</w:t>
      </w:r>
      <w:r>
        <w:rPr>
          <w:rFonts w:hint="eastAsia" w:ascii="Times New Roman" w:hAnsi="Times New Roman" w:cs="Times New Roman"/>
          <w:b w:val="0"/>
          <w:bCs w:val="0"/>
          <w:highlight w:val="none"/>
          <w:lang w:eastAsia="zh-CN"/>
        </w:rPr>
        <w:t>和照明灯具靠近可燃物时，</w:t>
      </w:r>
      <w:r>
        <w:rPr>
          <w:rFonts w:hint="default" w:ascii="Times New Roman" w:hAnsi="Times New Roman" w:cs="Times New Roman"/>
          <w:b w:val="0"/>
          <w:bCs w:val="0"/>
          <w:highlight w:val="none"/>
          <w:lang w:val="en-US" w:eastAsia="zh-CN"/>
        </w:rPr>
        <w:t>应按照规范要求</w:t>
      </w:r>
      <w:r>
        <w:rPr>
          <w:rFonts w:hint="eastAsia" w:ascii="Times New Roman" w:hAnsi="Times New Roman" w:cs="Times New Roman"/>
          <w:b w:val="0"/>
          <w:bCs w:val="0"/>
          <w:highlight w:val="none"/>
          <w:lang w:val="en-US" w:eastAsia="zh-CN"/>
        </w:rPr>
        <w:t>采取隔热、散热等防火措施</w:t>
      </w:r>
      <w:r>
        <w:rPr>
          <w:rFonts w:hint="default" w:ascii="Times New Roman" w:hAnsi="Times New Roman" w:cs="Times New Roman"/>
          <w:highlight w:val="none"/>
          <w:lang w:eastAsia="zh-CN"/>
        </w:rPr>
        <w:t>；</w:t>
      </w:r>
    </w:p>
    <w:p w14:paraId="3C4FCA47">
      <w:pPr>
        <w:autoSpaceDN/>
        <w:ind w:firstLine="482" w:firstLineChars="200"/>
        <w:jc w:val="both"/>
        <w:rPr>
          <w:rFonts w:hint="default" w:ascii="Times New Roman" w:hAnsi="Times New Roman" w:eastAsia="宋体" w:cs="Times New Roman"/>
          <w:highlight w:val="none"/>
          <w:lang w:eastAsia="zh-CN"/>
        </w:rPr>
      </w:pPr>
      <w:r>
        <w:rPr>
          <w:rFonts w:hint="eastAsia" w:ascii="Times New Roman" w:hAnsi="Times New Roman" w:cs="Times New Roman"/>
          <w:b/>
          <w:bCs/>
          <w:highlight w:val="none"/>
          <w:lang w:val="en-US" w:eastAsia="zh-CN"/>
        </w:rPr>
        <w:t>3</w:t>
      </w:r>
      <w:r>
        <w:rPr>
          <w:rFonts w:hint="default" w:ascii="Times New Roman" w:hAnsi="Times New Roman" w:cs="Times New Roman"/>
          <w:b w:val="0"/>
          <w:bCs w:val="0"/>
          <w:highlight w:val="none"/>
        </w:rPr>
        <w:t xml:space="preserve">  卤钨灯和额定功率不小于 100W 的白炽灯泡</w:t>
      </w:r>
      <w:r>
        <w:rPr>
          <w:rFonts w:hint="eastAsia" w:ascii="Times New Roman" w:hAnsi="Times New Roman" w:cs="Times New Roman"/>
          <w:b w:val="0"/>
          <w:bCs w:val="0"/>
          <w:highlight w:val="none"/>
          <w:lang w:eastAsia="zh-CN"/>
        </w:rPr>
        <w:t>的吸顶灯、槽灯、嵌入式灯，其引下线</w:t>
      </w:r>
      <w:r>
        <w:rPr>
          <w:rFonts w:hint="default" w:ascii="Times New Roman" w:hAnsi="Times New Roman" w:cs="Times New Roman"/>
          <w:b w:val="0"/>
          <w:bCs w:val="0"/>
          <w:highlight w:val="none"/>
          <w:lang w:val="en-US" w:eastAsia="zh-CN"/>
        </w:rPr>
        <w:t>应按照规范要求进行隔热保护；</w:t>
      </w:r>
    </w:p>
    <w:p w14:paraId="175B9357">
      <w:pPr>
        <w:ind w:firstLine="482" w:firstLineChars="200"/>
        <w:jc w:val="both"/>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4</w:t>
      </w:r>
      <w:r>
        <w:rPr>
          <w:rFonts w:hint="default" w:ascii="Times New Roman" w:hAnsi="Times New Roman" w:cs="Times New Roman"/>
          <w:b w:val="0"/>
          <w:bCs w:val="0"/>
          <w:highlight w:val="none"/>
        </w:rPr>
        <w:t xml:space="preserve">  额定功率不小于60W</w:t>
      </w:r>
      <w:r>
        <w:rPr>
          <w:rFonts w:hint="default" w:ascii="Times New Roman" w:hAnsi="Times New Roman" w:cs="Times New Roman"/>
          <w:b w:val="0"/>
          <w:bCs w:val="0"/>
          <w:highlight w:val="none"/>
          <w:lang w:eastAsia="zh-CN"/>
        </w:rPr>
        <w:t>的</w:t>
      </w:r>
      <w:r>
        <w:rPr>
          <w:rFonts w:hint="eastAsia" w:ascii="Times New Roman" w:hAnsi="Times New Roman" w:cs="Times New Roman"/>
          <w:b w:val="0"/>
          <w:bCs w:val="0"/>
          <w:highlight w:val="none"/>
          <w:lang w:val="en-US" w:eastAsia="zh-CN"/>
        </w:rPr>
        <w:t>白炽灯、卤钨灯、高压钠灯、金属卤化物灯、荧光高压汞灯（包括电感镇流器）等</w:t>
      </w:r>
      <w:r>
        <w:rPr>
          <w:rFonts w:hint="default" w:ascii="Times New Roman" w:hAnsi="Times New Roman" w:cs="Times New Roman"/>
          <w:b w:val="0"/>
          <w:bCs w:val="0"/>
          <w:highlight w:val="none"/>
          <w:lang w:val="en-US" w:eastAsia="zh-CN"/>
        </w:rPr>
        <w:t>应按规范要求设置或采取防火措施</w:t>
      </w:r>
      <w:r>
        <w:rPr>
          <w:rFonts w:hint="eastAsia" w:ascii="Times New Roman" w:hAnsi="Times New Roman" w:cs="Times New Roman"/>
          <w:highlight w:val="none"/>
          <w:lang w:eastAsia="zh-CN"/>
        </w:rPr>
        <w:t>。</w:t>
      </w:r>
    </w:p>
    <w:p w14:paraId="0E0C262B">
      <w:pPr>
        <w:autoSpaceDN/>
        <w:jc w:val="both"/>
        <w:rPr>
          <w:rFonts w:ascii="Times New Roman" w:hAnsi="Times New Roman" w:cs="Times New Roman"/>
          <w:b/>
          <w:bCs/>
          <w:highlight w:val="none"/>
        </w:rPr>
      </w:pPr>
    </w:p>
    <w:p w14:paraId="5B5C46F5">
      <w:pPr>
        <w:pStyle w:val="20"/>
        <w:rPr>
          <w:highlight w:val="none"/>
        </w:rPr>
      </w:pPr>
      <w:bookmarkStart w:id="249" w:name="_Toc183531746"/>
      <w:bookmarkStart w:id="250" w:name="_Toc150876233"/>
      <w:bookmarkStart w:id="251" w:name="_Toc140390028"/>
      <w:bookmarkStart w:id="252" w:name="_Toc151384802"/>
      <w:bookmarkStart w:id="253" w:name="_Toc20339"/>
      <w:bookmarkStart w:id="254" w:name="_Toc26755"/>
      <w:bookmarkStart w:id="255" w:name="_Toc4602"/>
      <w:bookmarkStart w:id="256" w:name="_Toc5794"/>
      <w:bookmarkStart w:id="257" w:name="_Toc6108"/>
      <w:bookmarkStart w:id="258" w:name="_Toc19604"/>
      <w:bookmarkStart w:id="259" w:name="_Toc25709"/>
      <w:bookmarkStart w:id="260" w:name="_Toc21428"/>
      <w:bookmarkStart w:id="261" w:name="_Toc31926"/>
      <w:bookmarkStart w:id="262" w:name="_Toc4932"/>
      <w:r>
        <w:rPr>
          <w:rFonts w:hint="eastAsia"/>
          <w:highlight w:val="none"/>
          <w:lang w:val="en-US" w:eastAsia="zh-CN"/>
        </w:rPr>
        <w:t>4.4</w:t>
      </w:r>
      <w:r>
        <w:rPr>
          <w:highlight w:val="none"/>
        </w:rPr>
        <w:t xml:space="preserve"> </w:t>
      </w:r>
      <w:r>
        <w:rPr>
          <w:rFonts w:hint="eastAsia"/>
          <w:highlight w:val="none"/>
        </w:rPr>
        <w:t xml:space="preserve"> </w:t>
      </w:r>
      <w:bookmarkEnd w:id="249"/>
      <w:bookmarkEnd w:id="250"/>
      <w:bookmarkEnd w:id="251"/>
      <w:bookmarkEnd w:id="252"/>
      <w:r>
        <w:rPr>
          <w:rFonts w:hint="eastAsia"/>
          <w:highlight w:val="none"/>
          <w:lang w:val="en-US" w:eastAsia="zh-CN"/>
        </w:rPr>
        <w:t>消防设施</w:t>
      </w:r>
      <w:bookmarkStart w:id="263" w:name="_Toc4317"/>
      <w:bookmarkStart w:id="264" w:name="_Toc12320"/>
      <w:bookmarkStart w:id="265" w:name="_Toc7354"/>
      <w:bookmarkStart w:id="266" w:name="_Toc18285"/>
      <w:bookmarkStart w:id="267" w:name="_Toc25364"/>
      <w:bookmarkStart w:id="268" w:name="_Toc23372"/>
      <w:bookmarkStart w:id="269" w:name="_Toc1632"/>
      <w:bookmarkStart w:id="270" w:name="_Toc2308"/>
      <w:bookmarkStart w:id="271" w:name="_Toc17746"/>
      <w:bookmarkStart w:id="272" w:name="_Toc15854"/>
      <w:bookmarkStart w:id="273" w:name="_Toc26951"/>
      <w:r>
        <w:rPr>
          <w:highlight w:val="none"/>
        </w:rPr>
        <w:fldChar w:fldCharType="begin"/>
      </w:r>
      <w:r>
        <w:rPr>
          <w:highlight w:val="none"/>
        </w:rPr>
        <w:instrText xml:space="preserve"> </w:instrText>
      </w:r>
      <w:r>
        <w:rPr>
          <w:rFonts w:hint="eastAsia"/>
          <w:highlight w:val="none"/>
        </w:rPr>
        <w:instrText xml:space="preserve">TC  "</w:instrText>
      </w:r>
      <w:bookmarkStart w:id="274" w:name="_Toc183531863"/>
      <w:r>
        <w:rPr>
          <w:rFonts w:hint="eastAsia"/>
          <w:highlight w:val="none"/>
          <w:lang w:val="en-US" w:eastAsia="zh-CN"/>
        </w:rPr>
        <w:instrText xml:space="preserve">4.4</w:instrText>
      </w:r>
      <w:r>
        <w:rPr>
          <w:rFonts w:hint="eastAsia"/>
          <w:highlight w:val="none"/>
        </w:rPr>
        <w:instrText xml:space="preserve"> </w:instrText>
      </w:r>
      <w:bookmarkEnd w:id="274"/>
      <w:r>
        <w:rPr>
          <w:rFonts w:hint="eastAsia"/>
          <w:highlight w:val="none"/>
          <w:lang w:val="en-US" w:eastAsia="zh-CN"/>
        </w:rPr>
        <w:instrText xml:space="preserve">F</w:instrText>
      </w:r>
      <w:r>
        <w:rPr>
          <w:rFonts w:hint="eastAsia"/>
          <w:highlight w:val="none"/>
        </w:rPr>
        <w:instrText xml:space="preserve">ire facilities" \l 2</w:instrText>
      </w:r>
      <w:r>
        <w:rPr>
          <w:highlight w:val="none"/>
        </w:rPr>
        <w:instrText xml:space="preserve"> </w:instrText>
      </w:r>
      <w:r>
        <w:rPr>
          <w:highlight w:val="none"/>
        </w:rPr>
        <w:fldChar w:fldCharType="end"/>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 w14:paraId="77231E03">
      <w:pPr>
        <w:pStyle w:val="19"/>
        <w:spacing w:line="360" w:lineRule="auto"/>
        <w:jc w:val="center"/>
        <w:rPr>
          <w:rFonts w:hint="eastAsia" w:eastAsia="宋体"/>
          <w:b/>
          <w:highlight w:val="none"/>
          <w:lang w:eastAsia="zh-CN"/>
        </w:rPr>
      </w:pPr>
      <w:r>
        <w:rPr>
          <w:rFonts w:hint="default" w:ascii="Times New Roman" w:hAnsi="Times New Roman" w:cs="Times New Roman"/>
          <w:b/>
          <w:highlight w:val="none"/>
        </w:rPr>
        <w:t>Ⅰ</w:t>
      </w:r>
      <w:r>
        <w:rPr>
          <w:rFonts w:hint="eastAsia"/>
          <w:b/>
          <w:highlight w:val="none"/>
        </w:rPr>
        <w:t xml:space="preserve">  消防给水</w:t>
      </w:r>
      <w:r>
        <w:rPr>
          <w:rFonts w:hint="eastAsia"/>
          <w:b/>
          <w:highlight w:val="none"/>
          <w:lang w:val="en-US" w:eastAsia="zh-CN"/>
        </w:rPr>
        <w:t>设施</w:t>
      </w:r>
    </w:p>
    <w:p w14:paraId="2ACD7001">
      <w:pPr>
        <w:rPr>
          <w:rFonts w:hint="eastAsia"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4.4.1</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消防给水设施</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w:t>
      </w:r>
      <w:r>
        <w:rPr>
          <w:rFonts w:hint="eastAsia" w:ascii="Times New Roman" w:hAnsi="Times New Roman" w:cs="Times New Roman"/>
          <w:highlight w:val="none"/>
        </w:rPr>
        <w:t>消防水源</w:t>
      </w:r>
      <w:r>
        <w:rPr>
          <w:rFonts w:hint="eastAsia" w:ascii="Times New Roman" w:hAnsi="Times New Roman" w:cs="Times New Roman"/>
          <w:highlight w:val="none"/>
          <w:lang w:val="en-US" w:eastAsia="zh-CN"/>
        </w:rPr>
        <w:t>安全评估、消防水池和消防水箱安全评估、</w:t>
      </w:r>
      <w:r>
        <w:rPr>
          <w:rFonts w:hint="eastAsia" w:ascii="Times New Roman" w:hAnsi="Times New Roman" w:cs="Times New Roman"/>
          <w:highlight w:val="none"/>
          <w:lang w:eastAsia="zh-CN"/>
        </w:rPr>
        <w:t>消防</w:t>
      </w:r>
      <w:r>
        <w:rPr>
          <w:rFonts w:hint="eastAsia" w:ascii="Times New Roman" w:hAnsi="Times New Roman" w:cs="Times New Roman"/>
          <w:highlight w:val="none"/>
          <w:lang w:val="en-US" w:eastAsia="zh-CN"/>
        </w:rPr>
        <w:t>水泵房及相关装置安全评估</w:t>
      </w:r>
    </w:p>
    <w:p w14:paraId="5EBF2126">
      <w:pPr>
        <w:rPr>
          <w:rFonts w:hint="eastAsia" w:ascii="Times New Roman" w:hAnsi="Times New Roman" w:cs="Times New Roman"/>
          <w:strike w:val="0"/>
          <w:highlight w:val="none"/>
        </w:rPr>
      </w:pPr>
      <w:r>
        <w:rPr>
          <w:rFonts w:hint="eastAsia" w:ascii="Times New Roman" w:hAnsi="Times New Roman" w:cs="Times New Roman"/>
          <w:b/>
          <w:bCs/>
          <w:highlight w:val="none"/>
          <w:lang w:val="en-US" w:eastAsia="zh-CN"/>
        </w:rPr>
        <w:t>4.4.2</w:t>
      </w:r>
      <w:r>
        <w:rPr>
          <w:rFonts w:hint="eastAsia" w:ascii="Times New Roman" w:hAnsi="Times New Roman" w:cs="Times New Roman"/>
          <w:highlight w:val="none"/>
        </w:rPr>
        <w:t xml:space="preserve">  消防水源</w:t>
      </w:r>
      <w:r>
        <w:rPr>
          <w:rFonts w:hint="eastAsia" w:ascii="Times New Roman" w:hAnsi="Times New Roman" w:cs="Times New Roman"/>
          <w:highlight w:val="none"/>
          <w:lang w:val="en-US" w:eastAsia="zh-CN"/>
        </w:rPr>
        <w:t>安全评估</w:t>
      </w:r>
      <w:r>
        <w:rPr>
          <w:rFonts w:hint="eastAsia" w:ascii="Times New Roman" w:hAnsi="Times New Roman" w:cs="Times New Roman"/>
          <w:highlight w:val="none"/>
        </w:rPr>
        <w:t>具体包含以下内容</w:t>
      </w:r>
      <w:r>
        <w:rPr>
          <w:rFonts w:hint="eastAsia" w:ascii="Times New Roman" w:hAnsi="Times New Roman" w:cs="Times New Roman"/>
          <w:strike w:val="0"/>
          <w:highlight w:val="none"/>
        </w:rPr>
        <w:t>：</w:t>
      </w:r>
    </w:p>
    <w:p w14:paraId="25B9FD64">
      <w:pPr>
        <w:ind w:firstLine="482" w:firstLineChars="200"/>
        <w:rPr>
          <w:rFonts w:hint="eastAsia" w:cs="Times New Roman"/>
          <w:highlight w:val="none"/>
          <w:lang w:val="en-US" w:eastAsia="zh-CN"/>
        </w:rPr>
      </w:pPr>
      <w:r>
        <w:rPr>
          <w:rFonts w:hint="eastAsia" w:ascii="Times New Roman" w:hAnsi="Times New Roman" w:cs="Times New Roman"/>
          <w:b/>
          <w:bCs/>
          <w:strike w:val="0"/>
          <w:highlight w:val="none"/>
          <w:lang w:val="en-US" w:eastAsia="zh-CN"/>
        </w:rPr>
        <w:t>1</w:t>
      </w:r>
      <w:r>
        <w:rPr>
          <w:rFonts w:hint="eastAsia" w:ascii="Times New Roman" w:hAnsi="Times New Roman" w:cs="Times New Roman"/>
          <w:strike w:val="0"/>
          <w:highlight w:val="none"/>
          <w:lang w:val="en-US" w:eastAsia="zh-CN"/>
        </w:rPr>
        <w:t xml:space="preserve">  消防水源的水质和水量</w:t>
      </w:r>
      <w:r>
        <w:rPr>
          <w:rFonts w:hint="eastAsia" w:cs="Times New Roman"/>
          <w:highlight w:val="none"/>
          <w:lang w:val="en-US" w:eastAsia="zh-CN"/>
        </w:rPr>
        <w:t>应符合规范要求；</w:t>
      </w:r>
    </w:p>
    <w:p w14:paraId="50D0E96D">
      <w:pPr>
        <w:ind w:firstLine="482" w:firstLineChars="200"/>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lang w:val="en-US" w:eastAsia="zh-CN"/>
        </w:rPr>
        <w:t>2</w:t>
      </w:r>
      <w:r>
        <w:rPr>
          <w:rFonts w:hint="eastAsia" w:cs="Times New Roman"/>
          <w:highlight w:val="none"/>
          <w:lang w:val="en-US" w:eastAsia="zh-CN"/>
        </w:rPr>
        <w:t xml:space="preserve">  供消防车取水的消防水池和用作消防水源的天然水体、水井或人工水塔等，应采取保障消防车安全取水与通行、可靠吸水的技术措施。</w:t>
      </w:r>
    </w:p>
    <w:p w14:paraId="2CAEEECA">
      <w:pPr>
        <w:rPr>
          <w:rFonts w:hint="eastAsia" w:cs="Times New Roman"/>
          <w:b/>
          <w:bCs/>
          <w:highlight w:val="none"/>
        </w:rPr>
      </w:pPr>
      <w:r>
        <w:rPr>
          <w:rFonts w:hint="eastAsia" w:ascii="Times New Roman" w:hAnsi="Times New Roman" w:cs="Times New Roman"/>
          <w:b/>
          <w:bCs/>
          <w:highlight w:val="none"/>
          <w:lang w:val="en-US" w:eastAsia="zh-CN"/>
        </w:rPr>
        <w:t>4.4.3</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消防水池和消防水箱安全评估</w:t>
      </w:r>
      <w:r>
        <w:rPr>
          <w:rFonts w:hint="eastAsia" w:ascii="Times New Roman" w:hAnsi="Times New Roman" w:cs="Times New Roman"/>
          <w:highlight w:val="none"/>
        </w:rPr>
        <w:t>具体包含以下内容</w:t>
      </w:r>
      <w:r>
        <w:rPr>
          <w:rFonts w:hint="eastAsia" w:ascii="Times New Roman" w:hAnsi="Times New Roman" w:cs="Times New Roman"/>
          <w:strike w:val="0"/>
          <w:highlight w:val="none"/>
        </w:rPr>
        <w:t>：</w:t>
      </w:r>
    </w:p>
    <w:p w14:paraId="20945DB2">
      <w:pPr>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bCs/>
          <w:highlight w:val="none"/>
        </w:rPr>
        <w:t xml:space="preserve">1  </w:t>
      </w:r>
      <w:r>
        <w:rPr>
          <w:rFonts w:hint="eastAsia" w:ascii="Times New Roman" w:hAnsi="Times New Roman" w:cs="Times New Roman"/>
          <w:highlight w:val="none"/>
          <w:lang w:val="en-US" w:eastAsia="zh-CN"/>
        </w:rPr>
        <w:t>消防水池和消防水箱有效容积</w:t>
      </w:r>
      <w:r>
        <w:rPr>
          <w:rFonts w:hint="eastAsia" w:cs="Times New Roman"/>
          <w:highlight w:val="none"/>
          <w:lang w:val="en-US" w:eastAsia="zh-CN"/>
        </w:rPr>
        <w:t>应符合规范要求</w:t>
      </w:r>
      <w:r>
        <w:rPr>
          <w:rFonts w:hint="eastAsia" w:ascii="Times New Roman" w:hAnsi="Times New Roman" w:cs="Times New Roman"/>
          <w:highlight w:val="none"/>
          <w:lang w:val="en-US" w:eastAsia="zh-CN"/>
        </w:rPr>
        <w:t>；</w:t>
      </w:r>
    </w:p>
    <w:p w14:paraId="20CBEC5F">
      <w:pPr>
        <w:ind w:firstLine="482" w:firstLineChars="200"/>
        <w:rPr>
          <w:rFonts w:hint="eastAsia" w:ascii="Times New Roman" w:hAnsi="Times New Roman" w:eastAsia="宋体" w:cs="Times New Roman"/>
          <w:b/>
          <w:bCs/>
          <w:highlight w:val="none"/>
          <w:lang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bCs/>
          <w:highlight w:val="none"/>
        </w:rPr>
        <w:t xml:space="preserve">  </w:t>
      </w:r>
      <w:r>
        <w:rPr>
          <w:rFonts w:hint="eastAsia" w:ascii="Times New Roman" w:hAnsi="Times New Roman" w:cs="Times New Roman"/>
          <w:b w:val="0"/>
          <w:bCs w:val="0"/>
          <w:highlight w:val="none"/>
          <w:lang w:eastAsia="zh-CN"/>
        </w:rPr>
        <w:t>消防用水与其他用水共用的水池，应采取保证水池中的消防用水量不作他用的技术措施；</w:t>
      </w:r>
    </w:p>
    <w:p w14:paraId="5B208A05">
      <w:pPr>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bCs/>
          <w:highlight w:val="none"/>
        </w:rPr>
        <w:t xml:space="preserve">  </w:t>
      </w:r>
      <w:r>
        <w:rPr>
          <w:rFonts w:hint="eastAsia" w:ascii="Times New Roman" w:hAnsi="Times New Roman" w:cs="Times New Roman"/>
          <w:highlight w:val="none"/>
          <w:lang w:val="en-US" w:eastAsia="zh-CN"/>
        </w:rPr>
        <w:t>消防水池的出水管、水池的最低有效水位或消防水泵吸水口的淹没深度</w:t>
      </w:r>
      <w:r>
        <w:rPr>
          <w:rFonts w:hint="eastAsia" w:cs="Times New Roman"/>
          <w:highlight w:val="none"/>
          <w:lang w:val="en-US" w:eastAsia="zh-CN"/>
        </w:rPr>
        <w:t>应符合规范要求</w:t>
      </w:r>
      <w:r>
        <w:rPr>
          <w:rFonts w:hint="eastAsia" w:ascii="Times New Roman" w:hAnsi="Times New Roman" w:cs="Times New Roman"/>
          <w:highlight w:val="none"/>
          <w:lang w:val="en-US" w:eastAsia="zh-CN"/>
        </w:rPr>
        <w:t>；</w:t>
      </w:r>
    </w:p>
    <w:p w14:paraId="41E96A66">
      <w:pPr>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 xml:space="preserve">4  </w:t>
      </w:r>
      <w:r>
        <w:rPr>
          <w:rFonts w:hint="eastAsia" w:ascii="Times New Roman" w:hAnsi="Times New Roman" w:cs="Times New Roman"/>
          <w:highlight w:val="none"/>
          <w:lang w:val="en-US" w:eastAsia="zh-CN"/>
        </w:rPr>
        <w:t>消防水池和消防水箱就地水位显示、消防控制室显示，高低水位报警装置</w:t>
      </w:r>
      <w:r>
        <w:rPr>
          <w:rFonts w:hint="eastAsia" w:cs="Times New Roman"/>
          <w:highlight w:val="none"/>
          <w:lang w:val="en-US" w:eastAsia="zh-CN"/>
        </w:rPr>
        <w:t>应符合规范要求</w:t>
      </w:r>
      <w:r>
        <w:rPr>
          <w:rFonts w:hint="eastAsia" w:ascii="Times New Roman" w:hAnsi="Times New Roman" w:cs="Times New Roman"/>
          <w:highlight w:val="none"/>
          <w:lang w:val="en-US" w:eastAsia="zh-CN"/>
        </w:rPr>
        <w:t>；</w:t>
      </w:r>
    </w:p>
    <w:p w14:paraId="0E5A0E46">
      <w:pPr>
        <w:ind w:firstLine="482" w:firstLineChars="200"/>
        <w:rPr>
          <w:rFonts w:hint="eastAsia"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 xml:space="preserve">5  </w:t>
      </w:r>
      <w:r>
        <w:rPr>
          <w:rFonts w:hint="eastAsia" w:ascii="Times New Roman" w:hAnsi="Times New Roman" w:cs="Times New Roman"/>
          <w:b w:val="0"/>
          <w:bCs w:val="0"/>
          <w:highlight w:val="none"/>
          <w:lang w:val="en-US" w:eastAsia="zh-CN"/>
        </w:rPr>
        <w:t>消防水池的溢流水管和排水设施应符合规范要求；</w:t>
      </w:r>
    </w:p>
    <w:p w14:paraId="44204EFB">
      <w:pPr>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bCs/>
          <w:highlight w:val="none"/>
        </w:rPr>
        <w:t xml:space="preserve">  </w:t>
      </w:r>
      <w:r>
        <w:rPr>
          <w:rFonts w:hint="eastAsia" w:ascii="Times New Roman" w:hAnsi="Times New Roman" w:cs="Times New Roman"/>
          <w:highlight w:val="none"/>
          <w:lang w:val="en-US" w:eastAsia="zh-CN"/>
        </w:rPr>
        <w:t>消防水池和消防水箱的补水设施</w:t>
      </w:r>
      <w:r>
        <w:rPr>
          <w:rFonts w:hint="eastAsia" w:cs="Times New Roman"/>
          <w:highlight w:val="none"/>
          <w:lang w:val="en-US" w:eastAsia="zh-CN"/>
        </w:rPr>
        <w:t>应符合规范要求</w:t>
      </w:r>
      <w:r>
        <w:rPr>
          <w:rFonts w:hint="eastAsia" w:ascii="Times New Roman" w:hAnsi="Times New Roman" w:cs="Times New Roman"/>
          <w:highlight w:val="none"/>
          <w:lang w:val="en-US" w:eastAsia="zh-CN"/>
        </w:rPr>
        <w:t>；</w:t>
      </w:r>
    </w:p>
    <w:p w14:paraId="1787D415">
      <w:pPr>
        <w:ind w:firstLine="482" w:firstLineChars="200"/>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7</w:t>
      </w:r>
      <w:r>
        <w:rPr>
          <w:rFonts w:hint="eastAsia" w:ascii="Times New Roman" w:hAnsi="Times New Roman" w:cs="Times New Roman"/>
          <w:b/>
          <w:bCs/>
          <w:highlight w:val="none"/>
        </w:rPr>
        <w:t xml:space="preserve">  </w:t>
      </w:r>
      <w:r>
        <w:rPr>
          <w:rFonts w:hint="eastAsia" w:ascii="Times New Roman" w:hAnsi="Times New Roman" w:cs="Times New Roman"/>
          <w:highlight w:val="none"/>
        </w:rPr>
        <w:t>屋顶露天高位消防水箱的人孔和进出水管的阀门</w:t>
      </w:r>
      <w:r>
        <w:rPr>
          <w:rFonts w:hint="eastAsia" w:ascii="Times New Roman" w:hAnsi="Times New Roman" w:cs="Times New Roman"/>
          <w:highlight w:val="none"/>
          <w:lang w:val="en-US" w:eastAsia="zh-CN"/>
        </w:rPr>
        <w:t>应按规范要求采取</w:t>
      </w:r>
      <w:r>
        <w:rPr>
          <w:rFonts w:hint="eastAsia" w:ascii="Times New Roman" w:hAnsi="Times New Roman" w:cs="Times New Roman"/>
          <w:highlight w:val="none"/>
        </w:rPr>
        <w:t>保护措施</w:t>
      </w:r>
      <w:r>
        <w:rPr>
          <w:rFonts w:hint="eastAsia" w:ascii="Times New Roman" w:hAnsi="Times New Roman" w:cs="Times New Roman"/>
          <w:highlight w:val="none"/>
          <w:lang w:eastAsia="zh-CN"/>
        </w:rPr>
        <w:t>；</w:t>
      </w:r>
    </w:p>
    <w:p w14:paraId="3D6D9E53">
      <w:pPr>
        <w:ind w:firstLine="482" w:firstLineChars="200"/>
        <w:rPr>
          <w:rFonts w:hint="eastAsia" w:ascii="Times New Roman" w:hAnsi="Times New Roman" w:cs="Times New Roman"/>
          <w:highlight w:val="none"/>
        </w:rPr>
      </w:pPr>
      <w:r>
        <w:rPr>
          <w:rFonts w:hint="eastAsia" w:ascii="Times New Roman" w:hAnsi="Times New Roman" w:cs="Times New Roman"/>
          <w:b/>
          <w:bCs/>
          <w:highlight w:val="none"/>
          <w:lang w:val="en-US" w:eastAsia="zh-CN"/>
        </w:rPr>
        <w:t>8</w:t>
      </w:r>
      <w:r>
        <w:rPr>
          <w:rFonts w:hint="eastAsia" w:ascii="Times New Roman" w:hAnsi="Times New Roman" w:cs="Times New Roman"/>
          <w:b/>
          <w:bCs/>
          <w:highlight w:val="none"/>
        </w:rPr>
        <w:t xml:space="preserve">  </w:t>
      </w:r>
      <w:r>
        <w:rPr>
          <w:rFonts w:hint="eastAsia" w:ascii="Times New Roman" w:hAnsi="Times New Roman" w:cs="Times New Roman"/>
          <w:highlight w:val="none"/>
        </w:rPr>
        <w:t>高位水箱间内的环境温度或水温</w:t>
      </w:r>
      <w:r>
        <w:rPr>
          <w:rFonts w:hint="eastAsia" w:cs="Times New Roman"/>
          <w:highlight w:val="none"/>
          <w:lang w:val="en-US" w:eastAsia="zh-CN"/>
        </w:rPr>
        <w:t>应符合规范要求</w:t>
      </w:r>
      <w:r>
        <w:rPr>
          <w:rFonts w:hint="eastAsia" w:ascii="Times New Roman" w:hAnsi="Times New Roman" w:cs="Times New Roman"/>
          <w:highlight w:val="none"/>
        </w:rPr>
        <w:t>；</w:t>
      </w:r>
    </w:p>
    <w:p w14:paraId="1428F9BD">
      <w:pPr>
        <w:ind w:firstLine="482" w:firstLineChars="200"/>
        <w:rPr>
          <w:rFonts w:hint="eastAsia"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9</w:t>
      </w:r>
      <w:r>
        <w:rPr>
          <w:rFonts w:hint="eastAsia" w:ascii="Times New Roman" w:hAnsi="Times New Roman" w:cs="Times New Roman"/>
          <w:highlight w:val="none"/>
          <w:lang w:val="en-US" w:eastAsia="zh-CN"/>
        </w:rPr>
        <w:t xml:space="preserve">  高位消防水箱的最低有效水位应能防止出水管进气；</w:t>
      </w:r>
    </w:p>
    <w:p w14:paraId="5CA2DCE8">
      <w:pPr>
        <w:ind w:firstLine="482" w:firstLineChars="200"/>
        <w:rPr>
          <w:rFonts w:hint="default" w:ascii="Times New Roman" w:hAnsi="Times New Roman" w:cs="Times New Roman"/>
          <w:highlight w:val="none"/>
          <w:lang w:val="en-US" w:eastAsia="zh-CN"/>
        </w:rPr>
      </w:pPr>
      <w:r>
        <w:rPr>
          <w:rFonts w:hint="eastAsia" w:ascii="Times New Roman" w:hAnsi="Times New Roman" w:cs="Times New Roman"/>
          <w:b/>
          <w:bCs/>
          <w:highlight w:val="none"/>
          <w:lang w:val="en-US" w:eastAsia="zh-CN"/>
        </w:rPr>
        <w:t>10</w:t>
      </w:r>
      <w:r>
        <w:rPr>
          <w:rFonts w:hint="eastAsia" w:ascii="Times New Roman" w:hAnsi="Times New Roman" w:cs="Times New Roman"/>
          <w:highlight w:val="none"/>
          <w:lang w:val="en-US" w:eastAsia="zh-CN"/>
        </w:rPr>
        <w:t xml:space="preserve">  稳压泵的公称流量和公称压力应符合规范要求。</w:t>
      </w:r>
    </w:p>
    <w:p w14:paraId="4E0475DF">
      <w:pPr>
        <w:rPr>
          <w:rFonts w:hint="eastAsia" w:cs="Times New Roman"/>
          <w:b/>
          <w:bCs/>
          <w:highlight w:val="none"/>
        </w:rPr>
      </w:pPr>
      <w:r>
        <w:rPr>
          <w:rFonts w:hint="eastAsia" w:ascii="Times New Roman" w:hAnsi="Times New Roman" w:cs="Times New Roman"/>
          <w:b/>
          <w:bCs/>
          <w:highlight w:val="none"/>
          <w:lang w:val="en-US" w:eastAsia="zh-CN"/>
        </w:rPr>
        <w:t>4.4.4</w:t>
      </w:r>
      <w:r>
        <w:rPr>
          <w:rFonts w:hint="eastAsia" w:ascii="Times New Roman" w:hAnsi="Times New Roman" w:cs="Times New Roman"/>
          <w:highlight w:val="none"/>
        </w:rPr>
        <w:t xml:space="preserve">  </w:t>
      </w:r>
      <w:r>
        <w:rPr>
          <w:rFonts w:hint="eastAsia" w:ascii="Times New Roman" w:hAnsi="Times New Roman" w:cs="Times New Roman"/>
          <w:highlight w:val="none"/>
          <w:lang w:eastAsia="zh-CN"/>
        </w:rPr>
        <w:t>消防</w:t>
      </w:r>
      <w:r>
        <w:rPr>
          <w:rFonts w:hint="eastAsia" w:ascii="Times New Roman" w:hAnsi="Times New Roman" w:cs="Times New Roman"/>
          <w:highlight w:val="none"/>
          <w:lang w:val="en-US" w:eastAsia="zh-CN"/>
        </w:rPr>
        <w:t>水泵房及相关装置安全评估</w:t>
      </w:r>
      <w:r>
        <w:rPr>
          <w:rFonts w:hint="eastAsia" w:ascii="Times New Roman" w:hAnsi="Times New Roman" w:cs="Times New Roman"/>
          <w:highlight w:val="none"/>
        </w:rPr>
        <w:t>具体包含以下内容</w:t>
      </w:r>
      <w:r>
        <w:rPr>
          <w:rFonts w:hint="eastAsia" w:ascii="Times New Roman" w:hAnsi="Times New Roman" w:cs="Times New Roman"/>
          <w:strike w:val="0"/>
          <w:highlight w:val="none"/>
        </w:rPr>
        <w:t>：</w:t>
      </w:r>
    </w:p>
    <w:p w14:paraId="111B49F9">
      <w:pPr>
        <w:ind w:firstLine="482" w:firstLineChars="200"/>
        <w:rPr>
          <w:rFonts w:hint="default" w:ascii="Times New Roman" w:hAnsi="Times New Roman" w:eastAsia="宋体" w:cs="Times New Roman"/>
          <w:b/>
          <w:bCs/>
          <w:highlight w:val="none"/>
          <w:lang w:val="en-US"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消防水泵房的设置位置、耐火等级、疏散门设置、室内环境及温度应</w:t>
      </w:r>
      <w:r>
        <w:rPr>
          <w:rFonts w:hint="eastAsia" w:cs="Times New Roman"/>
          <w:highlight w:val="none"/>
          <w:lang w:val="en-US" w:eastAsia="zh-CN"/>
        </w:rPr>
        <w:t>符合规范要求</w:t>
      </w:r>
      <w:r>
        <w:rPr>
          <w:rFonts w:hint="eastAsia" w:ascii="Times New Roman" w:hAnsi="Times New Roman" w:cs="Times New Roman"/>
          <w:highlight w:val="none"/>
          <w:lang w:val="en-US" w:eastAsia="zh-CN"/>
        </w:rPr>
        <w:t>；</w:t>
      </w:r>
    </w:p>
    <w:p w14:paraId="29B5DAD5">
      <w:pPr>
        <w:ind w:firstLine="48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消防水泵、进出口阀门及进出水管道的设置应</w:t>
      </w:r>
      <w:r>
        <w:rPr>
          <w:rFonts w:hint="eastAsia" w:cs="Times New Roman"/>
          <w:highlight w:val="none"/>
          <w:lang w:val="en-US" w:eastAsia="zh-CN"/>
        </w:rPr>
        <w:t>符合规范要求，并应按照规范要求设置标识</w:t>
      </w:r>
      <w:r>
        <w:rPr>
          <w:rFonts w:hint="eastAsia" w:ascii="Times New Roman" w:hAnsi="Times New Roman" w:cs="Times New Roman"/>
          <w:highlight w:val="none"/>
          <w:lang w:val="en-US" w:eastAsia="zh-CN"/>
        </w:rPr>
        <w:t>；</w:t>
      </w:r>
    </w:p>
    <w:p w14:paraId="09750111">
      <w:pPr>
        <w:ind w:firstLine="48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消防水泵的性能、电源、启停控制、所配驱动器的功率、吸水方式应</w:t>
      </w:r>
      <w:r>
        <w:rPr>
          <w:rFonts w:hint="eastAsia" w:cs="Times New Roman"/>
          <w:highlight w:val="none"/>
          <w:lang w:val="en-US" w:eastAsia="zh-CN"/>
        </w:rPr>
        <w:t>符合规范要求</w:t>
      </w:r>
      <w:r>
        <w:rPr>
          <w:rFonts w:hint="eastAsia" w:ascii="Times New Roman" w:hAnsi="Times New Roman" w:cs="Times New Roman"/>
          <w:highlight w:val="none"/>
          <w:lang w:val="en-US" w:eastAsia="zh-CN"/>
        </w:rPr>
        <w:t>；</w:t>
      </w:r>
    </w:p>
    <w:p w14:paraId="275F9D66">
      <w:pPr>
        <w:ind w:firstLine="482" w:firstLineChars="200"/>
        <w:rPr>
          <w:rFonts w:hint="eastAsia" w:cs="Times New Roman"/>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消防水泵控制柜的设置应</w:t>
      </w:r>
      <w:r>
        <w:rPr>
          <w:rFonts w:hint="eastAsia" w:cs="Times New Roman"/>
          <w:highlight w:val="none"/>
          <w:lang w:val="en-US" w:eastAsia="zh-CN"/>
        </w:rPr>
        <w:t>符合规范要求，并应按照规范要求设置标识；</w:t>
      </w:r>
    </w:p>
    <w:p w14:paraId="32A3638E">
      <w:pPr>
        <w:ind w:firstLine="482" w:firstLineChars="200"/>
        <w:rPr>
          <w:rFonts w:hint="default" w:cs="Times New Roman"/>
          <w:highlight w:val="none"/>
          <w:lang w:val="en-US" w:eastAsia="zh-CN"/>
        </w:rPr>
      </w:pPr>
      <w:r>
        <w:rPr>
          <w:rFonts w:hint="eastAsia" w:ascii="Times New Roman" w:hAnsi="Times New Roman" w:cs="Times New Roman"/>
          <w:b/>
          <w:bCs/>
          <w:highlight w:val="none"/>
          <w:lang w:val="en-US" w:eastAsia="zh-CN"/>
        </w:rPr>
        <w:t>5</w:t>
      </w:r>
      <w:r>
        <w:rPr>
          <w:rFonts w:hint="eastAsia" w:cs="Times New Roman"/>
          <w:highlight w:val="none"/>
          <w:lang w:val="en-US" w:eastAsia="zh-CN"/>
        </w:rPr>
        <w:t xml:space="preserve">  消防水泵控制柜在平时应使消防水泵处于自动启泵状态，其防护等级及机械应急启泵功能的设置应符合规范要求；</w:t>
      </w:r>
    </w:p>
    <w:p w14:paraId="25D89BE9">
      <w:pPr>
        <w:ind w:firstLine="482" w:firstLineChars="200"/>
        <w:rPr>
          <w:rFonts w:hint="eastAsia" w:cs="Times New Roman"/>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rPr>
        <w:t>水泵接合器的</w:t>
      </w:r>
      <w:r>
        <w:rPr>
          <w:rFonts w:hint="eastAsia" w:ascii="Times New Roman" w:hAnsi="Times New Roman" w:cs="Times New Roman"/>
          <w:highlight w:val="none"/>
          <w:lang w:eastAsia="zh-CN"/>
        </w:rPr>
        <w:t>规格、</w:t>
      </w:r>
      <w:r>
        <w:rPr>
          <w:rFonts w:hint="eastAsia" w:ascii="Times New Roman" w:hAnsi="Times New Roman" w:cs="Times New Roman"/>
          <w:highlight w:val="none"/>
        </w:rPr>
        <w:t>数量</w:t>
      </w:r>
      <w:r>
        <w:rPr>
          <w:rFonts w:hint="eastAsia" w:ascii="Times New Roman" w:hAnsi="Times New Roman" w:cs="Times New Roman"/>
          <w:highlight w:val="none"/>
          <w:lang w:eastAsia="zh-CN"/>
        </w:rPr>
        <w:t>、安装</w:t>
      </w:r>
      <w:r>
        <w:rPr>
          <w:rFonts w:hint="eastAsia" w:ascii="Times New Roman" w:hAnsi="Times New Roman" w:cs="Times New Roman"/>
          <w:highlight w:val="none"/>
        </w:rPr>
        <w:t>位置</w:t>
      </w:r>
      <w:r>
        <w:rPr>
          <w:rFonts w:hint="eastAsia" w:ascii="Times New Roman" w:hAnsi="Times New Roman" w:cs="Times New Roman"/>
          <w:highlight w:val="none"/>
          <w:lang w:eastAsia="zh-CN"/>
        </w:rPr>
        <w:t>、标志牌和控制阀的设置</w:t>
      </w:r>
      <w:r>
        <w:rPr>
          <w:rFonts w:hint="eastAsia" w:ascii="Times New Roman" w:hAnsi="Times New Roman" w:cs="Times New Roman"/>
          <w:highlight w:val="none"/>
        </w:rPr>
        <w:t>应符合规范要求</w:t>
      </w:r>
      <w:r>
        <w:rPr>
          <w:rFonts w:hint="eastAsia" w:cs="Times New Roman"/>
          <w:highlight w:val="none"/>
          <w:lang w:val="en-US" w:eastAsia="zh-CN"/>
        </w:rPr>
        <w:t>。</w:t>
      </w:r>
    </w:p>
    <w:p w14:paraId="443B63B3">
      <w:pPr>
        <w:ind w:firstLine="0" w:firstLineChars="0"/>
        <w:rPr>
          <w:rFonts w:hint="eastAsia" w:ascii="Times New Roman" w:hAnsi="Times New Roman" w:cs="Times New Roman"/>
          <w:bCs/>
          <w:color w:val="auto"/>
          <w:highlight w:val="none"/>
          <w:lang w:val="en-US" w:eastAsia="zh-CN"/>
        </w:rPr>
      </w:pPr>
      <w:r>
        <w:rPr>
          <w:rFonts w:hint="eastAsia" w:ascii="Times New Roman" w:hAnsi="Times New Roman" w:cs="Times New Roman"/>
          <w:b/>
          <w:bCs/>
          <w:highlight w:val="none"/>
          <w:lang w:val="en-US" w:eastAsia="zh-CN"/>
        </w:rPr>
        <w:t>4.4.5</w:t>
      </w:r>
      <w:r>
        <w:rPr>
          <w:rFonts w:hint="eastAsia" w:cs="Times New Roman"/>
          <w:highlight w:val="none"/>
          <w:lang w:val="en-US" w:eastAsia="zh-CN"/>
        </w:rPr>
        <w:t xml:space="preserve">  </w:t>
      </w:r>
      <w:r>
        <w:rPr>
          <w:rFonts w:hint="eastAsia" w:ascii="Times New Roman" w:hAnsi="Times New Roman" w:cs="Times New Roman"/>
          <w:bCs/>
          <w:color w:val="auto"/>
          <w:highlight w:val="none"/>
          <w:lang w:val="en-US" w:eastAsia="zh-CN"/>
        </w:rPr>
        <w:t>既有建筑改造消防给水设施安全评估应考虑以下内容：</w:t>
      </w:r>
    </w:p>
    <w:p w14:paraId="4369EBA3">
      <w:pPr>
        <w:ind w:firstLine="482" w:firstLineChars="200"/>
        <w:rPr>
          <w:rFonts w:hint="eastAsia"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 xml:space="preserve">1  </w:t>
      </w:r>
      <w:r>
        <w:rPr>
          <w:rFonts w:hint="eastAsia" w:ascii="Times New Roman" w:hAnsi="Times New Roman" w:cs="Times New Roman"/>
          <w:color w:val="auto"/>
          <w:highlight w:val="none"/>
          <w:u w:val="none"/>
          <w:lang w:val="en-US" w:eastAsia="zh-CN"/>
        </w:rPr>
        <w:t>建筑的消防给水系统宜符合国家现行规范的要求，应符合原建造时规范的要求。当消防给水系统难以按照国家现行规范的要求改造且不符合要求时，应具有可供消防车取水的消防水池或市政消防供水系统和保证建筑室内消防用水的技术措施；</w:t>
      </w:r>
    </w:p>
    <w:p w14:paraId="5990F63F">
      <w:pPr>
        <w:ind w:firstLine="482" w:firstLineChars="200"/>
        <w:rPr>
          <w:rFonts w:hint="default" w:ascii="Times New Roman" w:hAnsi="Times New Roman" w:eastAsia="宋体" w:cs="Times New Roman"/>
          <w:color w:val="auto"/>
          <w:highlight w:val="none"/>
          <w:lang w:val="en-US" w:eastAsia="zh-CN"/>
        </w:rPr>
      </w:pPr>
      <w:r>
        <w:rPr>
          <w:rFonts w:hint="eastAsia" w:ascii="Times New Roman" w:hAnsi="Times New Roman" w:cs="Times New Roman"/>
          <w:b/>
          <w:bCs/>
          <w:highlight w:val="none"/>
          <w:lang w:val="en-US" w:eastAsia="zh-CN"/>
        </w:rPr>
        <w:t xml:space="preserve">2  </w:t>
      </w:r>
      <w:r>
        <w:rPr>
          <w:rFonts w:hint="eastAsia" w:ascii="Times New Roman" w:hAnsi="Times New Roman" w:cs="Times New Roman"/>
          <w:color w:val="auto"/>
          <w:highlight w:val="none"/>
          <w:lang w:val="en-US" w:eastAsia="zh-CN"/>
        </w:rPr>
        <w:t>保留</w:t>
      </w:r>
      <w:r>
        <w:rPr>
          <w:rFonts w:hint="default" w:ascii="Times New Roman" w:hAnsi="Times New Roman" w:eastAsia="宋体" w:cs="Times New Roman"/>
          <w:color w:val="auto"/>
          <w:highlight w:val="none"/>
          <w:lang w:val="en-US" w:eastAsia="zh-CN"/>
        </w:rPr>
        <w:t>使用的消防水池，当</w:t>
      </w:r>
      <w:r>
        <w:rPr>
          <w:rFonts w:hint="eastAsia" w:ascii="Times New Roman" w:hAnsi="Times New Roman" w:cs="Times New Roman"/>
          <w:color w:val="auto"/>
          <w:highlight w:val="none"/>
          <w:lang w:val="en-US" w:eastAsia="zh-CN"/>
        </w:rPr>
        <w:t>其有效容积不足且</w:t>
      </w:r>
      <w:r>
        <w:rPr>
          <w:rFonts w:hint="default" w:ascii="Times New Roman" w:hAnsi="Times New Roman" w:eastAsia="宋体" w:cs="Times New Roman"/>
          <w:color w:val="auto"/>
          <w:highlight w:val="none"/>
          <w:lang w:val="en-US" w:eastAsia="zh-CN"/>
        </w:rPr>
        <w:t>难以按照建筑</w:t>
      </w:r>
      <w:r>
        <w:rPr>
          <w:rFonts w:hint="eastAsia" w:ascii="Times New Roman" w:hAnsi="Times New Roman" w:cs="Times New Roman"/>
          <w:color w:val="auto"/>
          <w:highlight w:val="none"/>
          <w:lang w:val="en-US" w:eastAsia="zh-CN"/>
        </w:rPr>
        <w:t>设计</w:t>
      </w:r>
      <w:r>
        <w:rPr>
          <w:rFonts w:hint="default" w:ascii="Times New Roman" w:hAnsi="Times New Roman" w:eastAsia="宋体" w:cs="Times New Roman"/>
          <w:color w:val="auto"/>
          <w:highlight w:val="none"/>
          <w:lang w:val="en-US" w:eastAsia="zh-CN"/>
        </w:rPr>
        <w:t>消防用水量增大</w:t>
      </w:r>
      <w:r>
        <w:rPr>
          <w:rFonts w:hint="eastAsia" w:ascii="Times New Roman" w:hAnsi="Times New Roman" w:cs="Times New Roman"/>
          <w:color w:val="auto"/>
          <w:highlight w:val="none"/>
          <w:lang w:val="en-US" w:eastAsia="zh-CN"/>
        </w:rPr>
        <w:t>时</w:t>
      </w:r>
      <w:r>
        <w:rPr>
          <w:rFonts w:hint="default" w:ascii="Times New Roman" w:hAnsi="Times New Roman" w:eastAsia="宋体" w:cs="Times New Roman"/>
          <w:color w:val="auto"/>
          <w:highlight w:val="none"/>
          <w:lang w:val="en-US" w:eastAsia="zh-CN"/>
        </w:rPr>
        <w:t>，应</w:t>
      </w:r>
      <w:r>
        <w:rPr>
          <w:rFonts w:hint="eastAsia" w:ascii="Times New Roman" w:hAnsi="Times New Roman" w:cs="Times New Roman"/>
          <w:color w:val="auto"/>
          <w:highlight w:val="none"/>
          <w:lang w:val="en-US" w:eastAsia="zh-CN"/>
        </w:rPr>
        <w:t>增设消防水池，或应具有</w:t>
      </w:r>
      <w:r>
        <w:rPr>
          <w:rFonts w:hint="default" w:ascii="Times New Roman" w:hAnsi="Times New Roman" w:eastAsia="宋体" w:cs="Times New Roman"/>
          <w:color w:val="auto"/>
          <w:highlight w:val="none"/>
          <w:lang w:val="en-US" w:eastAsia="zh-CN"/>
        </w:rPr>
        <w:t>至少2条进水管与室外消防给水系统连接，且每根进水管</w:t>
      </w:r>
      <w:r>
        <w:rPr>
          <w:rFonts w:hint="eastAsia" w:ascii="Times New Roman" w:hAnsi="Times New Roman" w:cs="Times New Roman"/>
          <w:color w:val="auto"/>
          <w:highlight w:val="none"/>
          <w:lang w:val="en-US" w:eastAsia="zh-CN"/>
        </w:rPr>
        <w:t>在火灾时的补水量不应小于消防水池有效容积与</w:t>
      </w:r>
      <w:r>
        <w:rPr>
          <w:rFonts w:hint="default" w:ascii="Times New Roman" w:hAnsi="Times New Roman" w:eastAsia="宋体" w:cs="Times New Roman"/>
          <w:color w:val="auto"/>
          <w:highlight w:val="none"/>
          <w:lang w:val="en-US" w:eastAsia="zh-CN"/>
        </w:rPr>
        <w:t>建筑</w:t>
      </w:r>
      <w:r>
        <w:rPr>
          <w:rFonts w:hint="eastAsia" w:ascii="Times New Roman" w:hAnsi="Times New Roman" w:cs="Times New Roman"/>
          <w:color w:val="auto"/>
          <w:highlight w:val="none"/>
          <w:lang w:val="en-US" w:eastAsia="zh-CN"/>
        </w:rPr>
        <w:t>设计</w:t>
      </w:r>
      <w:r>
        <w:rPr>
          <w:rFonts w:hint="default" w:ascii="Times New Roman" w:hAnsi="Times New Roman" w:eastAsia="宋体" w:cs="Times New Roman"/>
          <w:color w:val="auto"/>
          <w:highlight w:val="none"/>
          <w:lang w:val="en-US" w:eastAsia="zh-CN"/>
        </w:rPr>
        <w:t>消防用水量</w:t>
      </w:r>
      <w:r>
        <w:rPr>
          <w:rFonts w:hint="eastAsia" w:ascii="Times New Roman" w:hAnsi="Times New Roman" w:cs="Times New Roman"/>
          <w:color w:val="auto"/>
          <w:highlight w:val="none"/>
          <w:lang w:val="en-US" w:eastAsia="zh-CN"/>
        </w:rPr>
        <w:t>的差额</w:t>
      </w:r>
      <w:r>
        <w:rPr>
          <w:rFonts w:hint="default" w:ascii="Times New Roman" w:hAnsi="Times New Roman" w:eastAsia="宋体" w:cs="Times New Roman"/>
          <w:color w:val="auto"/>
          <w:highlight w:val="none"/>
          <w:lang w:val="en-US" w:eastAsia="zh-CN"/>
        </w:rPr>
        <w:t>；</w:t>
      </w:r>
    </w:p>
    <w:p w14:paraId="6280EFE8">
      <w:pPr>
        <w:ind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lang w:val="en-US" w:eastAsia="zh-CN"/>
        </w:rPr>
        <w:t xml:space="preserve"> </w:t>
      </w:r>
      <w:r>
        <w:rPr>
          <w:rFonts w:hint="eastAsia" w:ascii="Times New Roman" w:hAnsi="Times New Roman" w:cs="Times New Roman"/>
          <w:color w:val="auto"/>
          <w:highlight w:val="none"/>
          <w:lang w:val="en-US" w:eastAsia="zh-CN"/>
        </w:rPr>
        <w:t xml:space="preserve"> </w:t>
      </w:r>
      <w:r>
        <w:rPr>
          <w:rFonts w:hint="eastAsia" w:ascii="Times New Roman" w:hAnsi="Times New Roman" w:eastAsia="宋体" w:cs="Times New Roman"/>
          <w:color w:val="auto"/>
          <w:highlight w:val="none"/>
          <w:lang w:val="en-US" w:eastAsia="zh-CN"/>
        </w:rPr>
        <w:t>保留使用的消防水池，其有效储水容积计算方式可维持不变</w:t>
      </w:r>
      <w:r>
        <w:rPr>
          <w:rFonts w:hint="eastAsia" w:ascii="Times New Roman" w:hAnsi="Times New Roman" w:cs="Times New Roman"/>
          <w:color w:val="auto"/>
          <w:highlight w:val="none"/>
          <w:lang w:val="en-US" w:eastAsia="zh-CN"/>
        </w:rPr>
        <w:t>；</w:t>
      </w:r>
    </w:p>
    <w:p w14:paraId="5BD284C8">
      <w:pPr>
        <w:ind w:firstLine="482" w:firstLineChars="200"/>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4</w:t>
      </w:r>
      <w:r>
        <w:rPr>
          <w:rFonts w:hint="eastAsia" w:ascii="Times New Roman" w:hAnsi="Times New Roman" w:cs="Times New Roman"/>
          <w:color w:val="auto"/>
          <w:highlight w:val="none"/>
          <w:lang w:val="en-US" w:eastAsia="zh-CN"/>
        </w:rPr>
        <w:t xml:space="preserve">  使用功能类型不变的建筑局部改造工程，高位消防水箱有效容积可维持现状；</w:t>
      </w:r>
    </w:p>
    <w:p w14:paraId="28593678">
      <w:pPr>
        <w:ind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lang w:val="en-US" w:eastAsia="zh-CN"/>
        </w:rPr>
        <w:t xml:space="preserve">  </w:t>
      </w:r>
      <w:r>
        <w:rPr>
          <w:rFonts w:hint="default" w:ascii="Times New Roman" w:hAnsi="Times New Roman" w:eastAsia="宋体" w:cs="Times New Roman"/>
          <w:color w:val="auto"/>
          <w:highlight w:val="none"/>
          <w:lang w:val="en-US" w:eastAsia="zh-CN"/>
        </w:rPr>
        <w:t>新增或</w:t>
      </w:r>
      <w:r>
        <w:rPr>
          <w:rFonts w:hint="eastAsia" w:ascii="Times New Roman" w:hAnsi="Times New Roman" w:cs="Times New Roman"/>
          <w:color w:val="auto"/>
          <w:highlight w:val="none"/>
          <w:lang w:val="en-US" w:eastAsia="zh-CN"/>
        </w:rPr>
        <w:t>保留使用</w:t>
      </w:r>
      <w:r>
        <w:rPr>
          <w:rFonts w:hint="default" w:ascii="Times New Roman" w:hAnsi="Times New Roman" w:eastAsia="宋体" w:cs="Times New Roman"/>
          <w:color w:val="auto"/>
          <w:highlight w:val="none"/>
          <w:lang w:val="en-US" w:eastAsia="zh-CN"/>
        </w:rPr>
        <w:t>的高位消防水箱，当其</w:t>
      </w:r>
      <w:r>
        <w:rPr>
          <w:rFonts w:hint="eastAsia" w:ascii="Times New Roman" w:hAnsi="Times New Roman" w:cs="Times New Roman"/>
          <w:color w:val="auto"/>
          <w:highlight w:val="none"/>
          <w:lang w:val="en-US" w:eastAsia="zh-CN"/>
        </w:rPr>
        <w:t>设置高度</w:t>
      </w:r>
      <w:r>
        <w:rPr>
          <w:rFonts w:hint="default" w:ascii="Times New Roman" w:hAnsi="Times New Roman" w:eastAsia="宋体" w:cs="Times New Roman"/>
          <w:color w:val="auto"/>
          <w:highlight w:val="none"/>
          <w:lang w:val="en-US" w:eastAsia="zh-CN"/>
        </w:rPr>
        <w:t>受土建条件限制无法</w:t>
      </w:r>
      <w:r>
        <w:rPr>
          <w:rFonts w:hint="eastAsia" w:ascii="Times New Roman" w:hAnsi="Times New Roman" w:cs="Times New Roman"/>
          <w:color w:val="auto"/>
          <w:highlight w:val="none"/>
          <w:lang w:val="en-US" w:eastAsia="zh-CN"/>
        </w:rPr>
        <w:t>满足室内消防用水系统的用水要求</w:t>
      </w:r>
      <w:r>
        <w:rPr>
          <w:rFonts w:hint="default" w:ascii="Times New Roman" w:hAnsi="Times New Roman" w:eastAsia="宋体" w:cs="Times New Roman"/>
          <w:color w:val="auto"/>
          <w:highlight w:val="none"/>
          <w:lang w:val="en-US" w:eastAsia="zh-CN"/>
        </w:rPr>
        <w:t>时，</w:t>
      </w:r>
      <w:r>
        <w:rPr>
          <w:rFonts w:hint="eastAsia" w:ascii="Times New Roman" w:hAnsi="Times New Roman" w:cs="Times New Roman"/>
          <w:color w:val="auto"/>
          <w:highlight w:val="none"/>
          <w:lang w:val="en-US" w:eastAsia="zh-CN"/>
        </w:rPr>
        <w:t>宜</w:t>
      </w:r>
      <w:r>
        <w:rPr>
          <w:rFonts w:hint="default" w:ascii="Times New Roman" w:hAnsi="Times New Roman" w:eastAsia="宋体" w:cs="Times New Roman"/>
          <w:color w:val="auto"/>
          <w:highlight w:val="none"/>
          <w:lang w:val="en-US" w:eastAsia="zh-CN"/>
        </w:rPr>
        <w:t>设置气压水罐及稳压泵等设施</w:t>
      </w:r>
      <w:r>
        <w:rPr>
          <w:rFonts w:hint="eastAsia" w:ascii="Times New Roman" w:hAnsi="Times New Roman" w:cs="Times New Roman"/>
          <w:color w:val="auto"/>
          <w:highlight w:val="none"/>
          <w:lang w:val="en-US" w:eastAsia="zh-CN"/>
        </w:rPr>
        <w:t>。增设的</w:t>
      </w:r>
      <w:r>
        <w:rPr>
          <w:rFonts w:hint="default" w:ascii="Times New Roman" w:hAnsi="Times New Roman" w:eastAsia="宋体" w:cs="Times New Roman"/>
          <w:color w:val="auto"/>
          <w:highlight w:val="none"/>
          <w:lang w:val="en-US" w:eastAsia="zh-CN"/>
        </w:rPr>
        <w:t>气压水罐及稳压泵等设施</w:t>
      </w:r>
      <w:r>
        <w:rPr>
          <w:rFonts w:hint="eastAsia" w:ascii="Times New Roman" w:hAnsi="Times New Roman" w:cs="Times New Roman"/>
          <w:color w:val="auto"/>
          <w:highlight w:val="none"/>
          <w:lang w:val="en-US" w:eastAsia="zh-CN"/>
        </w:rPr>
        <w:t>，应保证在室内消防用水系统</w:t>
      </w:r>
      <w:r>
        <w:rPr>
          <w:rFonts w:hint="default" w:ascii="Times New Roman" w:hAnsi="Times New Roman" w:eastAsia="宋体" w:cs="Times New Roman"/>
          <w:color w:val="auto"/>
          <w:highlight w:val="none"/>
          <w:lang w:val="en-US" w:eastAsia="zh-CN"/>
        </w:rPr>
        <w:t>最不利点处</w:t>
      </w:r>
      <w:r>
        <w:rPr>
          <w:rFonts w:hint="eastAsia" w:ascii="Times New Roman" w:hAnsi="Times New Roman" w:cs="Times New Roman"/>
          <w:color w:val="auto"/>
          <w:highlight w:val="none"/>
          <w:lang w:val="en-US" w:eastAsia="zh-CN"/>
        </w:rPr>
        <w:t>的</w:t>
      </w:r>
      <w:r>
        <w:rPr>
          <w:rFonts w:hint="default" w:ascii="Times New Roman" w:hAnsi="Times New Roman" w:eastAsia="宋体" w:cs="Times New Roman"/>
          <w:color w:val="auto"/>
          <w:highlight w:val="none"/>
          <w:lang w:val="en-US" w:eastAsia="zh-CN"/>
        </w:rPr>
        <w:t>静水压力</w:t>
      </w:r>
      <w:r>
        <w:rPr>
          <w:rFonts w:hint="eastAsia" w:ascii="Times New Roman" w:hAnsi="Times New Roman" w:cs="Times New Roman"/>
          <w:color w:val="auto"/>
          <w:highlight w:val="none"/>
          <w:lang w:val="en-US" w:eastAsia="zh-CN"/>
        </w:rPr>
        <w:t>符合现行国家标准《消防给水及消火栓系统技术规范》GB 50974的规定。</w:t>
      </w:r>
      <w:r>
        <w:rPr>
          <w:rFonts w:hint="default" w:ascii="Times New Roman" w:hAnsi="Times New Roman" w:eastAsia="宋体" w:cs="Times New Roman"/>
          <w:color w:val="auto"/>
          <w:highlight w:val="none"/>
          <w:lang w:val="en-US" w:eastAsia="zh-CN"/>
        </w:rPr>
        <w:t>高位消防水箱</w:t>
      </w:r>
      <w:r>
        <w:rPr>
          <w:rFonts w:hint="eastAsia" w:ascii="Times New Roman" w:hAnsi="Times New Roman" w:cs="Times New Roman"/>
          <w:color w:val="auto"/>
          <w:highlight w:val="none"/>
          <w:lang w:val="en-US" w:eastAsia="zh-CN"/>
        </w:rPr>
        <w:t>的</w:t>
      </w:r>
      <w:r>
        <w:rPr>
          <w:rFonts w:hint="default" w:ascii="Times New Roman" w:hAnsi="Times New Roman" w:eastAsia="宋体" w:cs="Times New Roman"/>
          <w:color w:val="auto"/>
          <w:highlight w:val="none"/>
          <w:lang w:val="en-US" w:eastAsia="zh-CN"/>
        </w:rPr>
        <w:t>有效容积</w:t>
      </w:r>
      <w:r>
        <w:rPr>
          <w:rFonts w:hint="eastAsia"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当受土建条件限制</w:t>
      </w:r>
      <w:r>
        <w:rPr>
          <w:rFonts w:hint="eastAsia" w:ascii="Times New Roman" w:hAnsi="Times New Roman" w:cs="Times New Roman"/>
          <w:color w:val="auto"/>
          <w:highlight w:val="none"/>
          <w:lang w:val="en-US" w:eastAsia="zh-CN"/>
        </w:rPr>
        <w:t>不能</w:t>
      </w:r>
      <w:r>
        <w:rPr>
          <w:rFonts w:hint="default" w:ascii="Times New Roman" w:hAnsi="Times New Roman" w:eastAsia="宋体" w:cs="Times New Roman"/>
          <w:color w:val="auto"/>
          <w:highlight w:val="none"/>
          <w:lang w:val="en-US" w:eastAsia="zh-CN"/>
        </w:rPr>
        <w:t>增加时，</w:t>
      </w:r>
      <w:r>
        <w:rPr>
          <w:rFonts w:hint="eastAsia" w:ascii="Times New Roman" w:hAnsi="Times New Roman" w:cs="Times New Roman"/>
          <w:color w:val="auto"/>
          <w:highlight w:val="none"/>
          <w:lang w:val="en-US" w:eastAsia="zh-CN"/>
        </w:rPr>
        <w:t>应满足</w:t>
      </w:r>
      <w:r>
        <w:rPr>
          <w:rFonts w:hint="default" w:ascii="Times New Roman" w:hAnsi="Times New Roman" w:eastAsia="宋体" w:cs="Times New Roman"/>
          <w:color w:val="auto"/>
          <w:highlight w:val="none"/>
          <w:lang w:val="en-US" w:eastAsia="zh-CN"/>
        </w:rPr>
        <w:t>室内消防用水系统在启动后前10min的室内消防用水量要求</w:t>
      </w:r>
      <w:r>
        <w:rPr>
          <w:rFonts w:hint="eastAsia" w:ascii="Times New Roman" w:hAnsi="Times New Roman" w:cs="Times New Roman"/>
          <w:color w:val="auto"/>
          <w:highlight w:val="none"/>
          <w:lang w:val="en-US" w:eastAsia="zh-CN"/>
        </w:rPr>
        <w:t>；</w:t>
      </w:r>
    </w:p>
    <w:p w14:paraId="0423FE2E">
      <w:pPr>
        <w:ind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6</w:t>
      </w:r>
      <w:r>
        <w:rPr>
          <w:rFonts w:hint="eastAsia" w:ascii="Times New Roman" w:hAnsi="Times New Roman" w:cs="Times New Roman"/>
          <w:color w:val="auto"/>
          <w:highlight w:val="none"/>
          <w:lang w:val="en-US" w:eastAsia="zh-CN"/>
        </w:rPr>
        <w:t xml:space="preserve">  消防给水系统改造中，当消防用水量、水压均不增加时，原消防水泵可保留使用，当消防用水量、水压增加时应对原消防水泵流量、扬程进行校核，不满足要求的消防水泵应予以更换；</w:t>
      </w:r>
    </w:p>
    <w:p w14:paraId="7AF53E66">
      <w:pPr>
        <w:ind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7</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消防水泵房不在改造区域内的消火栓系统改造，校核消防水泵扬程时，消火栓水枪充实水柱应执行现行消防</w:t>
      </w:r>
      <w:r>
        <w:rPr>
          <w:rFonts w:hint="eastAsia" w:ascii="Times New Roman" w:hAnsi="Times New Roman" w:cs="Times New Roman"/>
          <w:color w:val="auto"/>
          <w:highlight w:val="none"/>
          <w:lang w:val="en-US" w:eastAsia="zh-CN"/>
        </w:rPr>
        <w:t>规范</w:t>
      </w:r>
      <w:r>
        <w:rPr>
          <w:rFonts w:hint="default" w:ascii="Times New Roman" w:hAnsi="Times New Roman" w:cs="Times New Roman"/>
          <w:color w:val="auto"/>
          <w:highlight w:val="none"/>
          <w:lang w:val="en-US" w:eastAsia="zh-CN"/>
        </w:rPr>
        <w:t>，消火栓栓口动压可不执行现行</w:t>
      </w:r>
      <w:r>
        <w:rPr>
          <w:rFonts w:hint="eastAsia" w:ascii="Times New Roman" w:hAnsi="Times New Roman" w:cs="Times New Roman"/>
          <w:color w:val="auto"/>
          <w:highlight w:val="none"/>
          <w:lang w:val="en-US" w:eastAsia="zh-CN"/>
        </w:rPr>
        <w:t>规范</w:t>
      </w:r>
      <w:r>
        <w:rPr>
          <w:rFonts w:hint="default" w:ascii="Times New Roman" w:hAnsi="Times New Roman" w:cs="Times New Roman"/>
          <w:color w:val="auto"/>
          <w:highlight w:val="none"/>
          <w:lang w:val="en-US" w:eastAsia="zh-CN"/>
        </w:rPr>
        <w:t>，但应满足水枪充实水柱要求</w:t>
      </w:r>
      <w:r>
        <w:rPr>
          <w:rFonts w:hint="eastAsia" w:ascii="Times New Roman" w:hAnsi="Times New Roman" w:cs="Times New Roman"/>
          <w:color w:val="auto"/>
          <w:highlight w:val="none"/>
          <w:lang w:val="en-US" w:eastAsia="zh-CN"/>
        </w:rPr>
        <w:t>；</w:t>
      </w:r>
    </w:p>
    <w:p w14:paraId="2BE2ADFC">
      <w:pPr>
        <w:ind w:firstLine="482" w:firstLineChars="200"/>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8</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消防给水系统宜按现行消防技术标准设置压力开关、流量开关等消防水泵启泵控制装置，未设置上述启泵控制装置的系统，原消火栓箱内的消防水泵启泵按钮应保留</w:t>
      </w:r>
      <w:r>
        <w:rPr>
          <w:rFonts w:hint="eastAsia" w:ascii="Times New Roman" w:hAnsi="Times New Roman" w:cs="Times New Roman"/>
          <w:color w:val="auto"/>
          <w:highlight w:val="none"/>
          <w:lang w:val="en-US" w:eastAsia="zh-CN"/>
        </w:rPr>
        <w:t>。</w:t>
      </w:r>
    </w:p>
    <w:p w14:paraId="0FB40C19">
      <w:pPr>
        <w:pStyle w:val="19"/>
        <w:spacing w:line="360" w:lineRule="auto"/>
        <w:jc w:val="center"/>
        <w:rPr>
          <w:rFonts w:hint="eastAsia" w:eastAsia="宋体"/>
          <w:b/>
          <w:highlight w:val="none"/>
          <w:lang w:eastAsia="zh-CN"/>
        </w:rPr>
      </w:pPr>
      <w:r>
        <w:rPr>
          <w:rFonts w:hint="default" w:ascii="Times New Roman" w:hAnsi="Times New Roman" w:cs="Times New Roman"/>
          <w:b/>
          <w:highlight w:val="none"/>
        </w:rPr>
        <w:t>Ⅱ</w:t>
      </w:r>
      <w:r>
        <w:rPr>
          <w:rFonts w:hint="eastAsia"/>
          <w:b/>
          <w:highlight w:val="none"/>
        </w:rPr>
        <w:t xml:space="preserve">  消</w:t>
      </w:r>
      <w:r>
        <w:rPr>
          <w:rFonts w:hint="eastAsia"/>
          <w:b/>
          <w:highlight w:val="none"/>
          <w:lang w:val="en-US" w:eastAsia="zh-CN"/>
        </w:rPr>
        <w:t>火栓系统</w:t>
      </w:r>
    </w:p>
    <w:p w14:paraId="253AB95C">
      <w:pPr>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4.4.6</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消火栓系统</w:t>
      </w:r>
      <w:r>
        <w:rPr>
          <w:rFonts w:hint="eastAsia" w:ascii="Times New Roman" w:hAnsi="Times New Roman" w:cs="Times New Roman"/>
          <w:highlight w:val="none"/>
        </w:rPr>
        <w:t>安全评估</w:t>
      </w:r>
      <w:r>
        <w:rPr>
          <w:rFonts w:hint="eastAsia" w:ascii="Times New Roman" w:hAnsi="Times New Roman" w:cs="Times New Roman"/>
          <w:highlight w:val="none"/>
          <w:lang w:val="en-US" w:eastAsia="zh-CN"/>
        </w:rPr>
        <w:t>包含室外消火栓安全评估、室内消火栓安全评估。</w:t>
      </w:r>
    </w:p>
    <w:p w14:paraId="57616D1A">
      <w:pPr>
        <w:rPr>
          <w:rFonts w:hint="eastAsia" w:cs="Times New Roman"/>
          <w:b/>
          <w:bCs/>
          <w:highlight w:val="none"/>
        </w:rPr>
      </w:pPr>
      <w:r>
        <w:rPr>
          <w:rFonts w:hint="eastAsia" w:ascii="Times New Roman" w:hAnsi="Times New Roman" w:cs="Times New Roman"/>
          <w:b/>
          <w:bCs/>
          <w:highlight w:val="none"/>
          <w:lang w:val="en-US" w:eastAsia="zh-CN"/>
        </w:rPr>
        <w:t>4.4.7</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室外消火栓安全评估</w:t>
      </w:r>
      <w:r>
        <w:rPr>
          <w:rFonts w:hint="eastAsia" w:ascii="Times New Roman" w:hAnsi="Times New Roman" w:cs="Times New Roman"/>
          <w:highlight w:val="none"/>
        </w:rPr>
        <w:t>具体包含以下内容</w:t>
      </w:r>
      <w:r>
        <w:rPr>
          <w:rFonts w:hint="eastAsia" w:ascii="Times New Roman" w:hAnsi="Times New Roman" w:cs="Times New Roman"/>
          <w:strike w:val="0"/>
          <w:highlight w:val="none"/>
        </w:rPr>
        <w:t>：</w:t>
      </w:r>
    </w:p>
    <w:p w14:paraId="4A302C1C">
      <w:pPr>
        <w:ind w:firstLine="482" w:firstLineChars="200"/>
        <w:rPr>
          <w:rFonts w:hint="default" w:ascii="Times New Roman" w:hAnsi="Times New Roman" w:eastAsia="宋体" w:cs="Times New Roman"/>
          <w:b/>
          <w:bCs/>
          <w:highlight w:val="none"/>
          <w:lang w:val="en-US"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应设置室外消火栓系统的建筑或场所应按照规范规定设置</w:t>
      </w:r>
      <w:r>
        <w:rPr>
          <w:rFonts w:hint="eastAsia" w:ascii="Times New Roman" w:hAnsi="Times New Roman" w:cs="Times New Roman"/>
          <w:highlight w:val="none"/>
          <w:lang w:val="en-US" w:eastAsia="zh-CN"/>
        </w:rPr>
        <w:t>；</w:t>
      </w:r>
    </w:p>
    <w:p w14:paraId="4391B873">
      <w:pPr>
        <w:ind w:firstLine="48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rPr>
        <w:t>室外消火栓的</w:t>
      </w:r>
      <w:r>
        <w:rPr>
          <w:rFonts w:hint="eastAsia" w:ascii="Times New Roman" w:hAnsi="Times New Roman" w:cs="Times New Roman"/>
          <w:highlight w:val="none"/>
          <w:lang w:eastAsia="zh-CN"/>
        </w:rPr>
        <w:t>设置间距、与建（构）筑物外墙、外边缘和道路路沿的距离</w:t>
      </w:r>
      <w:r>
        <w:rPr>
          <w:rFonts w:hint="eastAsia" w:ascii="Times New Roman" w:hAnsi="Times New Roman" w:cs="Times New Roman"/>
          <w:highlight w:val="none"/>
        </w:rPr>
        <w:t>、</w:t>
      </w:r>
      <w:r>
        <w:rPr>
          <w:rFonts w:hint="eastAsia" w:ascii="Times New Roman" w:hAnsi="Times New Roman" w:cs="Times New Roman"/>
          <w:highlight w:val="none"/>
          <w:lang w:eastAsia="zh-CN"/>
        </w:rPr>
        <w:t>数量</w:t>
      </w:r>
      <w:r>
        <w:rPr>
          <w:rFonts w:hint="eastAsia" w:ascii="Times New Roman" w:hAnsi="Times New Roman" w:cs="Times New Roman"/>
          <w:highlight w:val="none"/>
        </w:rPr>
        <w:t>、</w:t>
      </w:r>
      <w:r>
        <w:rPr>
          <w:rFonts w:hint="eastAsia" w:ascii="Times New Roman" w:hAnsi="Times New Roman" w:cs="Times New Roman"/>
          <w:highlight w:val="none"/>
          <w:lang w:eastAsia="zh-CN"/>
        </w:rPr>
        <w:t>流量</w:t>
      </w:r>
      <w:r>
        <w:rPr>
          <w:rFonts w:hint="eastAsia" w:ascii="Times New Roman" w:hAnsi="Times New Roman" w:cs="Times New Roman"/>
          <w:highlight w:val="none"/>
        </w:rPr>
        <w:t>、</w:t>
      </w:r>
      <w:r>
        <w:rPr>
          <w:rFonts w:hint="eastAsia" w:ascii="Times New Roman" w:hAnsi="Times New Roman" w:cs="Times New Roman"/>
          <w:highlight w:val="none"/>
          <w:lang w:val="en-US" w:eastAsia="zh-CN"/>
        </w:rPr>
        <w:t>压力设置</w:t>
      </w:r>
      <w:r>
        <w:rPr>
          <w:rFonts w:hint="eastAsia" w:ascii="Times New Roman" w:hAnsi="Times New Roman" w:cs="Times New Roman"/>
          <w:b w:val="0"/>
          <w:bCs w:val="0"/>
          <w:highlight w:val="none"/>
          <w:lang w:val="en-US" w:eastAsia="zh-CN"/>
        </w:rPr>
        <w:t>应</w:t>
      </w:r>
      <w:r>
        <w:rPr>
          <w:rFonts w:hint="eastAsia" w:cs="Times New Roman"/>
          <w:highlight w:val="none"/>
          <w:lang w:val="en-US" w:eastAsia="zh-CN"/>
        </w:rPr>
        <w:t>符合规范要求，地下室</w:t>
      </w:r>
      <w:r>
        <w:rPr>
          <w:rFonts w:hint="eastAsia" w:ascii="Times New Roman" w:hAnsi="Times New Roman" w:cs="Times New Roman"/>
          <w:highlight w:val="none"/>
        </w:rPr>
        <w:t>消火栓应设置明显标志</w:t>
      </w:r>
      <w:r>
        <w:rPr>
          <w:rFonts w:hint="eastAsia" w:ascii="Times New Roman" w:hAnsi="Times New Roman" w:cs="Times New Roman"/>
          <w:highlight w:val="none"/>
          <w:lang w:val="en-US" w:eastAsia="zh-CN"/>
        </w:rPr>
        <w:t>。</w:t>
      </w:r>
    </w:p>
    <w:p w14:paraId="1E119145">
      <w:pPr>
        <w:rPr>
          <w:rFonts w:hint="eastAsia" w:cs="Times New Roman"/>
          <w:b/>
          <w:bCs/>
          <w:highlight w:val="none"/>
        </w:rPr>
      </w:pPr>
      <w:r>
        <w:rPr>
          <w:rFonts w:hint="eastAsia" w:ascii="Times New Roman" w:hAnsi="Times New Roman" w:cs="Times New Roman"/>
          <w:b/>
          <w:bCs/>
          <w:highlight w:val="none"/>
          <w:lang w:val="en-US" w:eastAsia="zh-CN"/>
        </w:rPr>
        <w:t>4.4.8</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室内消火栓安全评估</w:t>
      </w:r>
      <w:r>
        <w:rPr>
          <w:rFonts w:hint="eastAsia" w:ascii="Times New Roman" w:hAnsi="Times New Roman" w:cs="Times New Roman"/>
          <w:highlight w:val="none"/>
        </w:rPr>
        <w:t>具体包含以下内容</w:t>
      </w:r>
      <w:r>
        <w:rPr>
          <w:rFonts w:hint="eastAsia" w:ascii="Times New Roman" w:hAnsi="Times New Roman" w:cs="Times New Roman"/>
          <w:strike w:val="0"/>
          <w:highlight w:val="none"/>
        </w:rPr>
        <w:t>：</w:t>
      </w:r>
    </w:p>
    <w:p w14:paraId="0A188177">
      <w:pPr>
        <w:ind w:firstLine="482" w:firstLineChars="200"/>
        <w:rPr>
          <w:rFonts w:hint="default" w:ascii="Times New Roman" w:hAnsi="Times New Roman" w:eastAsia="宋体" w:cs="Times New Roman"/>
          <w:b/>
          <w:bCs/>
          <w:highlight w:val="none"/>
          <w:lang w:val="en-US" w:eastAsia="zh-CN"/>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应设置室内消火栓系统的建筑或场所应按照规范规定设置</w:t>
      </w:r>
      <w:r>
        <w:rPr>
          <w:rFonts w:hint="eastAsia" w:ascii="Times New Roman" w:hAnsi="Times New Roman" w:cs="Times New Roman"/>
          <w:highlight w:val="none"/>
          <w:lang w:val="en-US" w:eastAsia="zh-CN"/>
        </w:rPr>
        <w:t>；</w:t>
      </w:r>
    </w:p>
    <w:p w14:paraId="62F4ABA1">
      <w:pPr>
        <w:ind w:firstLine="482" w:firstLineChars="200"/>
        <w:rPr>
          <w:rFonts w:hint="default" w:ascii="Times New Roman" w:hAnsi="Times New Roman" w:eastAsia="宋体"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eastAsia="zh-CN"/>
        </w:rPr>
        <w:t>人员密集的公共建筑、建筑高度大于</w:t>
      </w:r>
      <w:r>
        <w:rPr>
          <w:rFonts w:hint="eastAsia" w:ascii="Times New Roman" w:hAnsi="Times New Roman" w:cs="Times New Roman"/>
          <w:b w:val="0"/>
          <w:bCs w:val="0"/>
          <w:highlight w:val="none"/>
          <w:lang w:val="en-US" w:eastAsia="zh-CN"/>
        </w:rPr>
        <w:t>100m的建筑和建筑面积大于200㎡的商业服务网点内应设置消防软管卷盘或轻便消防水龙；</w:t>
      </w:r>
    </w:p>
    <w:p w14:paraId="11290866">
      <w:pPr>
        <w:ind w:firstLine="48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lang w:val="en-US" w:eastAsia="zh-CN"/>
        </w:rPr>
        <w:t xml:space="preserve">  </w:t>
      </w:r>
      <w:r>
        <w:rPr>
          <w:rFonts w:hint="eastAsia" w:ascii="Times New Roman" w:hAnsi="Times New Roman" w:cs="Times New Roman"/>
          <w:highlight w:val="none"/>
        </w:rPr>
        <w:t>室</w:t>
      </w:r>
      <w:r>
        <w:rPr>
          <w:rFonts w:hint="eastAsia" w:ascii="Times New Roman" w:hAnsi="Times New Roman" w:cs="Times New Roman"/>
          <w:highlight w:val="none"/>
          <w:lang w:val="en-US" w:eastAsia="zh-CN"/>
        </w:rPr>
        <w:t>内</w:t>
      </w:r>
      <w:r>
        <w:rPr>
          <w:rFonts w:hint="eastAsia" w:ascii="Times New Roman" w:hAnsi="Times New Roman" w:cs="Times New Roman"/>
          <w:highlight w:val="none"/>
        </w:rPr>
        <w:t>消火栓的布置、</w:t>
      </w:r>
      <w:r>
        <w:rPr>
          <w:rFonts w:hint="eastAsia" w:ascii="Times New Roman" w:hAnsi="Times New Roman" w:cs="Times New Roman"/>
          <w:highlight w:val="none"/>
          <w:lang w:eastAsia="zh-CN"/>
        </w:rPr>
        <w:t>流量</w:t>
      </w:r>
      <w:r>
        <w:rPr>
          <w:rFonts w:hint="eastAsia" w:ascii="Times New Roman" w:hAnsi="Times New Roman" w:cs="Times New Roman"/>
          <w:highlight w:val="none"/>
        </w:rPr>
        <w:t>、</w:t>
      </w:r>
      <w:r>
        <w:rPr>
          <w:rFonts w:hint="eastAsia" w:ascii="Times New Roman" w:hAnsi="Times New Roman" w:cs="Times New Roman"/>
          <w:highlight w:val="none"/>
          <w:lang w:val="en-US" w:eastAsia="zh-CN"/>
        </w:rPr>
        <w:t>压力</w:t>
      </w:r>
      <w:r>
        <w:rPr>
          <w:rFonts w:hint="eastAsia" w:ascii="Times New Roman" w:hAnsi="Times New Roman" w:cs="Times New Roman"/>
          <w:highlight w:val="none"/>
          <w:lang w:eastAsia="zh-CN"/>
        </w:rPr>
        <w:t>设置</w:t>
      </w:r>
      <w:r>
        <w:rPr>
          <w:rFonts w:hint="eastAsia" w:ascii="Times New Roman" w:hAnsi="Times New Roman" w:cs="Times New Roman"/>
          <w:b w:val="0"/>
          <w:bCs w:val="0"/>
          <w:highlight w:val="none"/>
          <w:lang w:val="en-US" w:eastAsia="zh-CN"/>
        </w:rPr>
        <w:t>应</w:t>
      </w:r>
      <w:r>
        <w:rPr>
          <w:rFonts w:hint="eastAsia" w:cs="Times New Roman"/>
          <w:highlight w:val="none"/>
          <w:lang w:val="en-US" w:eastAsia="zh-CN"/>
        </w:rPr>
        <w:t>符合规范要求</w:t>
      </w:r>
      <w:r>
        <w:rPr>
          <w:rFonts w:hint="eastAsia" w:ascii="Times New Roman" w:hAnsi="Times New Roman" w:cs="Times New Roman"/>
          <w:highlight w:val="none"/>
          <w:lang w:val="en-US" w:eastAsia="zh-CN"/>
        </w:rPr>
        <w:t>；</w:t>
      </w:r>
    </w:p>
    <w:p w14:paraId="7F6383BD">
      <w:pPr>
        <w:ind w:firstLine="482" w:firstLineChars="200"/>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rPr>
        <w:t>消火栓箱的组件、箱门，箱体外</w:t>
      </w:r>
      <w:r>
        <w:rPr>
          <w:rFonts w:hint="eastAsia" w:ascii="Times New Roman" w:hAnsi="Times New Roman" w:cs="Times New Roman"/>
          <w:highlight w:val="none"/>
          <w:lang w:val="en-US" w:eastAsia="zh-CN"/>
        </w:rPr>
        <w:t>应按照规范要求设置</w:t>
      </w:r>
      <w:r>
        <w:rPr>
          <w:rFonts w:hint="eastAsia" w:ascii="Times New Roman" w:hAnsi="Times New Roman" w:cs="Times New Roman"/>
          <w:highlight w:val="none"/>
        </w:rPr>
        <w:t>明显标志或区别色</w:t>
      </w:r>
      <w:r>
        <w:rPr>
          <w:rFonts w:hint="eastAsia" w:ascii="Times New Roman" w:hAnsi="Times New Roman" w:cs="Times New Roman"/>
          <w:highlight w:val="none"/>
          <w:lang w:eastAsia="zh-CN"/>
        </w:rPr>
        <w:t>。</w:t>
      </w:r>
    </w:p>
    <w:p w14:paraId="3D766752">
      <w:pPr>
        <w:ind w:firstLine="0" w:firstLineChars="0"/>
        <w:rPr>
          <w:rFonts w:hint="eastAsia" w:ascii="Times New Roman" w:hAnsi="Times New Roman" w:cs="Times New Roman"/>
          <w:bCs/>
          <w:color w:val="auto"/>
          <w:highlight w:val="none"/>
          <w:lang w:val="en-US" w:eastAsia="zh-CN"/>
        </w:rPr>
      </w:pPr>
      <w:r>
        <w:rPr>
          <w:rFonts w:hint="eastAsia" w:ascii="Times New Roman" w:hAnsi="Times New Roman" w:cs="Times New Roman"/>
          <w:b/>
          <w:bCs/>
          <w:highlight w:val="none"/>
          <w:lang w:val="en-US" w:eastAsia="zh-CN"/>
        </w:rPr>
        <w:t>4.4.9</w:t>
      </w:r>
      <w:r>
        <w:rPr>
          <w:rFonts w:hint="eastAsia" w:cs="Times New Roman"/>
          <w:highlight w:val="none"/>
          <w:lang w:val="en-US" w:eastAsia="zh-CN"/>
        </w:rPr>
        <w:t xml:space="preserve">  </w:t>
      </w:r>
      <w:r>
        <w:rPr>
          <w:rFonts w:hint="eastAsia" w:ascii="Times New Roman" w:hAnsi="Times New Roman" w:cs="Times New Roman"/>
          <w:bCs/>
          <w:color w:val="auto"/>
          <w:highlight w:val="none"/>
          <w:lang w:val="en-US" w:eastAsia="zh-CN"/>
        </w:rPr>
        <w:t>既有建筑改造消火栓系统安全评估应考虑以下内容：</w:t>
      </w:r>
    </w:p>
    <w:p w14:paraId="02D4EDCA">
      <w:pPr>
        <w:ind w:firstLine="482" w:firstLineChars="200"/>
        <w:rPr>
          <w:rFonts w:hint="eastAsia" w:ascii="Times New Roman" w:hAnsi="Times New Roman" w:cs="Times New Roman"/>
          <w:b w:val="0"/>
          <w:bCs/>
          <w:color w:val="auto"/>
          <w:highlight w:val="none"/>
          <w:lang w:val="en-US" w:eastAsia="zh-CN"/>
        </w:rPr>
      </w:pPr>
      <w:r>
        <w:rPr>
          <w:rFonts w:hint="eastAsia" w:ascii="Times New Roman" w:hAnsi="Times New Roman" w:cs="Times New Roman"/>
          <w:b/>
          <w:bCs w:val="0"/>
          <w:color w:val="auto"/>
          <w:highlight w:val="none"/>
          <w:lang w:val="en-US" w:eastAsia="zh-CN"/>
        </w:rPr>
        <w:t>1</w:t>
      </w:r>
      <w:r>
        <w:rPr>
          <w:rFonts w:hint="eastAsia" w:ascii="Times New Roman" w:hAnsi="Times New Roman" w:cs="Times New Roman"/>
          <w:b w:val="0"/>
          <w:bCs/>
          <w:color w:val="auto"/>
          <w:highlight w:val="none"/>
          <w:lang w:val="en-US" w:eastAsia="zh-CN"/>
        </w:rPr>
        <w:t xml:space="preserve">  体积大于5000m³、不超过10000m³且未设置室内消火栓系统的办公建筑、教学建筑和其他单、多层民用建筑，当局部改为展览、商店、旅馆、医疗建筑、老年人照料设施和图书馆时，应增设室内消火栓系统。当非改造区域因继续使用等原因暂时无法增设时，允许仅在改造区域内增设，但应为其他区域后续增设室内消火栓系统预留条件；</w:t>
      </w:r>
    </w:p>
    <w:p w14:paraId="333D2768">
      <w:pPr>
        <w:ind w:firstLine="482" w:firstLineChars="200"/>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lang w:val="en-US" w:eastAsia="zh-CN"/>
        </w:rPr>
        <w:t xml:space="preserve">  </w:t>
      </w:r>
      <w:r>
        <w:rPr>
          <w:rFonts w:hint="eastAsia" w:ascii="Times New Roman" w:hAnsi="Times New Roman" w:cs="Times New Roman"/>
          <w:color w:val="auto"/>
          <w:highlight w:val="none"/>
          <w:lang w:val="en-US" w:eastAsia="zh-CN"/>
        </w:rPr>
        <w:t>新增的室内消防给水系统应与保留使用的</w:t>
      </w:r>
      <w:r>
        <w:rPr>
          <w:rFonts w:hint="default" w:ascii="Times New Roman" w:hAnsi="Times New Roman" w:eastAsia="宋体" w:cs="Times New Roman"/>
          <w:color w:val="auto"/>
          <w:highlight w:val="none"/>
          <w:lang w:val="en-US" w:eastAsia="zh-CN"/>
        </w:rPr>
        <w:t>室内消防给水系统</w:t>
      </w:r>
      <w:r>
        <w:rPr>
          <w:rFonts w:hint="eastAsia" w:ascii="Times New Roman" w:hAnsi="Times New Roman" w:cs="Times New Roman"/>
          <w:color w:val="auto"/>
          <w:highlight w:val="none"/>
          <w:lang w:val="en-US" w:eastAsia="zh-CN"/>
        </w:rPr>
        <w:t>连通</w:t>
      </w:r>
      <w:r>
        <w:rPr>
          <w:rFonts w:hint="default" w:ascii="Times New Roman" w:hAnsi="Times New Roman" w:eastAsia="宋体" w:cs="Times New Roman"/>
          <w:color w:val="auto"/>
          <w:highlight w:val="none"/>
          <w:lang w:val="en-US" w:eastAsia="zh-CN"/>
        </w:rPr>
        <w:t>，</w:t>
      </w:r>
      <w:r>
        <w:rPr>
          <w:rFonts w:hint="eastAsia" w:ascii="Times New Roman" w:hAnsi="Times New Roman" w:cs="Times New Roman"/>
          <w:color w:val="auto"/>
          <w:highlight w:val="none"/>
          <w:lang w:val="en-US" w:eastAsia="zh-CN"/>
        </w:rPr>
        <w:t>新增和保留使用的消防给水系统的</w:t>
      </w:r>
      <w:r>
        <w:rPr>
          <w:rFonts w:hint="default" w:ascii="Times New Roman" w:hAnsi="Times New Roman" w:eastAsia="宋体" w:cs="Times New Roman"/>
          <w:color w:val="auto"/>
          <w:highlight w:val="none"/>
          <w:lang w:val="en-US" w:eastAsia="zh-CN"/>
        </w:rPr>
        <w:t>供水能力</w:t>
      </w:r>
      <w:r>
        <w:rPr>
          <w:rFonts w:hint="eastAsia"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消防水泵的性能应满足建筑室内消防供水的要求</w:t>
      </w:r>
      <w:r>
        <w:rPr>
          <w:rFonts w:hint="eastAsia" w:ascii="Times New Roman" w:hAnsi="Times New Roman" w:cs="Times New Roman"/>
          <w:color w:val="auto"/>
          <w:highlight w:val="none"/>
          <w:lang w:val="en-US" w:eastAsia="zh-CN"/>
        </w:rPr>
        <w:t>。</w:t>
      </w:r>
    </w:p>
    <w:p w14:paraId="548339E1">
      <w:pPr>
        <w:pStyle w:val="19"/>
        <w:jc w:val="center"/>
        <w:rPr>
          <w:rFonts w:ascii="Times New Roman" w:hAnsi="Times New Roman" w:cs="Times New Roman"/>
          <w:b/>
          <w:bCs/>
          <w:highlight w:val="none"/>
        </w:rPr>
      </w:pPr>
      <w:r>
        <w:rPr>
          <w:rFonts w:hint="default" w:ascii="Times New Roman" w:hAnsi="Times New Roman" w:eastAsia="宋体" w:cs="Times New Roman"/>
          <w:b/>
          <w:highlight w:val="none"/>
        </w:rPr>
        <w:t>Ⅲ</w:t>
      </w:r>
      <w:r>
        <w:rPr>
          <w:rFonts w:hint="eastAsia"/>
          <w:b/>
          <w:highlight w:val="none"/>
        </w:rPr>
        <w:t xml:space="preserve">  </w:t>
      </w:r>
      <w:r>
        <w:rPr>
          <w:rFonts w:hint="eastAsia"/>
          <w:b/>
          <w:highlight w:val="none"/>
          <w:lang w:val="en-US" w:eastAsia="zh-CN"/>
        </w:rPr>
        <w:t>消防灭火设施</w:t>
      </w:r>
    </w:p>
    <w:p w14:paraId="1EDD176D">
      <w:pPr>
        <w:rPr>
          <w:rFonts w:hint="default" w:ascii="Times New Roman" w:hAnsi="Times New Roman" w:cs="Times New Roman"/>
          <w:highlight w:val="none"/>
          <w:lang w:val="en-US"/>
        </w:rPr>
      </w:pPr>
      <w:r>
        <w:rPr>
          <w:rFonts w:hint="eastAsia" w:ascii="Times New Roman" w:hAnsi="Times New Roman" w:cs="Times New Roman"/>
          <w:b/>
          <w:bCs/>
          <w:highlight w:val="none"/>
          <w:lang w:val="en-US" w:eastAsia="zh-CN"/>
        </w:rPr>
        <w:t>4.4.10</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涉及人员密集场所的消防灭火设施包含自动喷水灭火系统、水喷雾灭火系统、细水雾灭火系统、消防炮灭火系统、泡沫灭火系统、气体灭火系统、干粉灭火系统、灭火器和厨房设备灭火装置。</w:t>
      </w:r>
    </w:p>
    <w:p w14:paraId="724F94C1">
      <w:pPr>
        <w:rPr>
          <w:rFonts w:ascii="Times New Roman" w:hAnsi="Times New Roman" w:cs="Times New Roman"/>
          <w:highlight w:val="none"/>
        </w:rPr>
      </w:pPr>
      <w:r>
        <w:rPr>
          <w:rFonts w:hint="eastAsia" w:ascii="Times New Roman" w:hAnsi="Times New Roman" w:cs="Times New Roman"/>
          <w:b/>
          <w:bCs/>
          <w:highlight w:val="none"/>
          <w:lang w:val="en-US" w:eastAsia="zh-CN"/>
        </w:rPr>
        <w:t>4.4.11</w:t>
      </w:r>
      <w:r>
        <w:rPr>
          <w:rFonts w:hint="eastAsia" w:ascii="Times New Roman" w:hAnsi="Times New Roman" w:cs="Times New Roman"/>
          <w:highlight w:val="none"/>
        </w:rPr>
        <w:t xml:space="preserve">  自动喷水</w:t>
      </w:r>
      <w:r>
        <w:rPr>
          <w:rFonts w:hint="eastAsia" w:ascii="Times New Roman" w:hAnsi="Times New Roman" w:cs="Times New Roman"/>
          <w:highlight w:val="none"/>
          <w:lang w:val="en-US" w:eastAsia="zh-CN"/>
        </w:rPr>
        <w:t>灭火</w:t>
      </w:r>
      <w:r>
        <w:rPr>
          <w:rFonts w:hint="eastAsia" w:ascii="Times New Roman" w:hAnsi="Times New Roman" w:cs="Times New Roman"/>
          <w:highlight w:val="none"/>
        </w:rPr>
        <w:t>系统安全评估应符合</w:t>
      </w:r>
      <w:r>
        <w:rPr>
          <w:rFonts w:hint="eastAsia" w:ascii="Times New Roman" w:hAnsi="Times New Roman" w:cs="Times New Roman"/>
          <w:highlight w:val="none"/>
          <w:lang w:val="en-US" w:eastAsia="zh-CN"/>
        </w:rPr>
        <w:t>现行国家标准</w:t>
      </w:r>
      <w:r>
        <w:rPr>
          <w:rFonts w:hint="eastAsia" w:ascii="Times New Roman" w:hAnsi="Times New Roman" w:cs="Times New Roman"/>
          <w:highlight w:val="none"/>
        </w:rPr>
        <w:t>《自动喷水灭火系统设计规范》GB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50084等标准的规定</w:t>
      </w:r>
      <w:r>
        <w:rPr>
          <w:rFonts w:hint="eastAsia" w:cs="Times New Roman"/>
          <w:highlight w:val="none"/>
        </w:rPr>
        <w:t>，具体包含以下内容：</w:t>
      </w:r>
    </w:p>
    <w:p w14:paraId="6AD13633">
      <w:pPr>
        <w:ind w:firstLine="482" w:firstLineChars="200"/>
        <w:rPr>
          <w:rFonts w:hint="eastAsia" w:ascii="Times New Roman" w:hAnsi="Times New Roman" w:cs="Times New Roman"/>
          <w:b w:val="0"/>
          <w:bCs w:val="0"/>
          <w:highlight w:val="none"/>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应</w:t>
      </w:r>
      <w:r>
        <w:rPr>
          <w:rFonts w:hint="eastAsia" w:ascii="Times New Roman" w:hAnsi="Times New Roman" w:cs="Times New Roman"/>
          <w:b w:val="0"/>
          <w:bCs w:val="0"/>
          <w:highlight w:val="none"/>
          <w:lang w:val="en-US" w:eastAsia="zh-CN"/>
        </w:rPr>
        <w:t>设置自动喷水灭火</w:t>
      </w:r>
      <w:r>
        <w:rPr>
          <w:rFonts w:hint="eastAsia" w:ascii="Times New Roman" w:hAnsi="Times New Roman" w:cs="Times New Roman"/>
          <w:b w:val="0"/>
          <w:bCs w:val="0"/>
          <w:highlight w:val="none"/>
        </w:rPr>
        <w:t>系统</w:t>
      </w:r>
      <w:r>
        <w:rPr>
          <w:rFonts w:hint="eastAsia" w:ascii="Times New Roman" w:hAnsi="Times New Roman" w:cs="Times New Roman"/>
          <w:b w:val="0"/>
          <w:bCs w:val="0"/>
          <w:highlight w:val="none"/>
          <w:lang w:val="en-US" w:eastAsia="zh-CN"/>
        </w:rPr>
        <w:t>的建筑或场所应</w:t>
      </w:r>
      <w:r>
        <w:rPr>
          <w:rFonts w:hint="eastAsia" w:ascii="Times New Roman" w:hAnsi="Times New Roman" w:cs="Times New Roman"/>
          <w:b w:val="0"/>
          <w:bCs w:val="0"/>
          <w:highlight w:val="none"/>
        </w:rPr>
        <w:t>按照规范规定设置；</w:t>
      </w:r>
    </w:p>
    <w:p w14:paraId="1B1374A2">
      <w:pPr>
        <w:ind w:firstLine="482" w:firstLineChars="200"/>
        <w:rPr>
          <w:rFonts w:hint="default" w:ascii="Times New Roman" w:hAnsi="Times New Roman" w:eastAsia="宋体" w:cs="Times New Roman"/>
          <w:b w:val="0"/>
          <w:bCs w:val="0"/>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lang w:val="en-US" w:eastAsia="zh-CN"/>
        </w:rPr>
        <w:t xml:space="preserve">  自动喷水灭火系统包括湿式系统、干式系统、预作用系统、雨淋系统、水幕系统等，应按规范选择合适的系统选型；</w:t>
      </w:r>
    </w:p>
    <w:p w14:paraId="25A06CB8">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自动喷水灭火系统的管网应符合规范要求，包含管道材质、连接方式、控制喷头的数量、标识、末端电动阀和自动排气阀等；</w:t>
      </w:r>
    </w:p>
    <w:p w14:paraId="5B6D140E">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 xml:space="preserve">4 </w:t>
      </w:r>
      <w:r>
        <w:rPr>
          <w:rFonts w:hint="eastAsia" w:ascii="Times New Roman" w:hAnsi="Times New Roman" w:cs="Times New Roman"/>
          <w:b w:val="0"/>
          <w:bCs w:val="0"/>
          <w:highlight w:val="none"/>
          <w:lang w:val="en-US" w:eastAsia="zh-CN"/>
        </w:rPr>
        <w:t xml:space="preserve"> 自动喷水灭火系统的喷水强度、作用面积、持续喷水时间应符合规范要求并满足灭火、控火、防护冷却或防火分隔的要求；</w:t>
      </w:r>
    </w:p>
    <w:p w14:paraId="5D1679A0">
      <w:pPr>
        <w:ind w:firstLine="482" w:firstLineChars="200"/>
        <w:rPr>
          <w:rFonts w:hint="eastAsia" w:ascii="Times New Roman" w:hAnsi="Times New Roman" w:cs="Times New Roman"/>
          <w:b w:val="0"/>
          <w:bCs w:val="0"/>
          <w:highlight w:val="none"/>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自动喷水灭火系统的洒水喷头应符合规范要求，包含规格型号、喷头间距、防堵措施、最不利点处喷头工作压力等；</w:t>
      </w:r>
    </w:p>
    <w:p w14:paraId="3C3666DB">
      <w:pPr>
        <w:ind w:firstLine="482" w:firstLineChars="200"/>
        <w:rPr>
          <w:rFonts w:hint="eastAsia" w:ascii="Times New Roman" w:hAnsi="Times New Roman" w:cs="Times New Roman"/>
          <w:b/>
          <w:bCs/>
          <w:highlight w:val="none"/>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自动喷水灭火系统的报警阀组应符合规范要求，包含位置、排水设施、报警阀安装高度、连接报警阀进出口的控制阀、水力警铃相关设置等；</w:t>
      </w:r>
    </w:p>
    <w:p w14:paraId="3374ED3A">
      <w:pPr>
        <w:ind w:firstLine="482" w:firstLineChars="200"/>
        <w:rPr>
          <w:rFonts w:hint="default" w:ascii="Times New Roman" w:hAnsi="Times New Roman" w:cs="Times New Roman"/>
          <w:b w:val="0"/>
          <w:bCs w:val="0"/>
          <w:highlight w:val="none"/>
          <w:lang w:val="en-US"/>
        </w:rPr>
      </w:pPr>
      <w:r>
        <w:rPr>
          <w:rFonts w:hint="eastAsia" w:ascii="Times New Roman" w:hAnsi="Times New Roman" w:cs="Times New Roman"/>
          <w:b/>
          <w:bCs/>
          <w:highlight w:val="none"/>
          <w:lang w:val="en-US" w:eastAsia="zh-CN"/>
        </w:rPr>
        <w:t>7</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 xml:space="preserve"> 自动喷水灭火系统的末端试水装置应符合规范要求，包含组件、压力显示、排水设施等，每个报警阀组控制的供水管网水力计算最不利点处应设置末端试水装置，其他防火分区、楼层均应设置试水阀。</w:t>
      </w:r>
    </w:p>
    <w:p w14:paraId="0FAE7C1E">
      <w:pPr>
        <w:ind w:firstLine="482" w:firstLineChars="200"/>
        <w:rPr>
          <w:rFonts w:hint="eastAsia" w:ascii="Times New Roman" w:hAnsi="Times New Roman" w:cs="Times New Roman"/>
          <w:b w:val="0"/>
          <w:bCs w:val="0"/>
          <w:highlight w:val="none"/>
          <w:shd w:val="clear" w:color="auto" w:fill="auto"/>
        </w:rPr>
      </w:pPr>
      <w:r>
        <w:rPr>
          <w:rFonts w:hint="eastAsia" w:ascii="Times New Roman" w:hAnsi="Times New Roman" w:cs="Times New Roman"/>
          <w:b/>
          <w:bCs/>
          <w:highlight w:val="none"/>
          <w:shd w:val="clear" w:color="auto" w:fill="auto"/>
          <w:lang w:val="en-US" w:eastAsia="zh-CN"/>
        </w:rPr>
        <w:t>8</w:t>
      </w:r>
      <w:r>
        <w:rPr>
          <w:rFonts w:hint="eastAsia" w:ascii="Times New Roman" w:hAnsi="Times New Roman" w:cs="Times New Roman"/>
          <w:b w:val="0"/>
          <w:bCs w:val="0"/>
          <w:highlight w:val="none"/>
          <w:shd w:val="clear" w:color="auto" w:fill="auto"/>
        </w:rPr>
        <w:t xml:space="preserve">  </w:t>
      </w:r>
      <w:r>
        <w:rPr>
          <w:rFonts w:hint="eastAsia" w:ascii="Times New Roman" w:hAnsi="Times New Roman" w:cs="Times New Roman"/>
          <w:b w:val="0"/>
          <w:bCs w:val="0"/>
          <w:highlight w:val="none"/>
          <w:shd w:val="clear" w:color="auto" w:fill="auto"/>
          <w:lang w:val="en-US" w:eastAsia="zh-CN"/>
        </w:rPr>
        <w:t>自动喷水灭火系统的操作与控制功能应符合规范要求。</w:t>
      </w:r>
    </w:p>
    <w:p w14:paraId="5FD9424B">
      <w:pPr>
        <w:rPr>
          <w:rFonts w:ascii="Times New Roman" w:hAnsi="Times New Roman" w:cs="Times New Roman"/>
          <w:color w:val="auto"/>
          <w:highlight w:val="none"/>
          <w:shd w:val="clear" w:color="auto" w:fill="auto"/>
        </w:rPr>
      </w:pPr>
      <w:r>
        <w:rPr>
          <w:rFonts w:hint="eastAsia" w:ascii="Times New Roman" w:hAnsi="Times New Roman" w:cs="Times New Roman"/>
          <w:b/>
          <w:bCs/>
          <w:color w:val="auto"/>
          <w:highlight w:val="none"/>
          <w:shd w:val="clear" w:color="auto" w:fill="auto"/>
          <w:lang w:eastAsia="zh-CN"/>
        </w:rPr>
        <w:t>4</w:t>
      </w:r>
      <w:r>
        <w:rPr>
          <w:rFonts w:hint="eastAsia" w:ascii="Times New Roman" w:hAnsi="Times New Roman" w:cs="Times New Roman"/>
          <w:b/>
          <w:bCs/>
          <w:color w:val="auto"/>
          <w:highlight w:val="none"/>
          <w:shd w:val="clear" w:color="auto" w:fill="auto"/>
          <w:lang w:val="en-US" w:eastAsia="zh-CN"/>
        </w:rPr>
        <w:t>.4.12</w:t>
      </w:r>
      <w:r>
        <w:rPr>
          <w:rFonts w:hint="eastAsia" w:ascii="Times New Roman" w:hAnsi="Times New Roman" w:cs="Times New Roman"/>
          <w:color w:val="auto"/>
          <w:highlight w:val="none"/>
          <w:shd w:val="clear" w:color="auto" w:fill="auto"/>
        </w:rPr>
        <w:t xml:space="preserve">  气体灭火系统安全评估应符合</w:t>
      </w:r>
      <w:r>
        <w:rPr>
          <w:rFonts w:hint="eastAsia" w:ascii="Times New Roman" w:hAnsi="Times New Roman" w:cs="Times New Roman"/>
          <w:color w:val="auto"/>
          <w:highlight w:val="none"/>
          <w:shd w:val="clear" w:color="auto" w:fill="auto"/>
          <w:lang w:val="en-US" w:eastAsia="zh-CN"/>
        </w:rPr>
        <w:t>现行国家标准</w:t>
      </w:r>
      <w:r>
        <w:rPr>
          <w:rFonts w:hint="eastAsia" w:ascii="Times New Roman" w:hAnsi="Times New Roman" w:cs="Times New Roman"/>
          <w:color w:val="auto"/>
          <w:highlight w:val="none"/>
          <w:shd w:val="clear" w:color="auto" w:fill="auto"/>
        </w:rPr>
        <w:t>《气体灭火系统设计规范》GB</w:t>
      </w:r>
      <w:r>
        <w:rPr>
          <w:rFonts w:hint="eastAsia" w:ascii="Times New Roman" w:hAnsi="Times New Roman" w:cs="Times New Roman"/>
          <w:color w:val="auto"/>
          <w:highlight w:val="none"/>
          <w:shd w:val="clear" w:color="auto" w:fill="auto"/>
          <w:lang w:val="en-US" w:eastAsia="zh-CN"/>
        </w:rPr>
        <w:t xml:space="preserve"> </w:t>
      </w:r>
      <w:r>
        <w:rPr>
          <w:rFonts w:hint="eastAsia" w:ascii="Times New Roman" w:hAnsi="Times New Roman" w:cs="Times New Roman"/>
          <w:color w:val="auto"/>
          <w:highlight w:val="none"/>
          <w:shd w:val="clear" w:color="auto" w:fill="auto"/>
        </w:rPr>
        <w:t>50370等标准的规定</w:t>
      </w:r>
      <w:r>
        <w:rPr>
          <w:rFonts w:hint="eastAsia" w:cs="Times New Roman"/>
          <w:color w:val="auto"/>
          <w:highlight w:val="none"/>
          <w:shd w:val="clear" w:color="auto" w:fill="auto"/>
        </w:rPr>
        <w:t>，具体包含以下内容：</w:t>
      </w:r>
    </w:p>
    <w:p w14:paraId="16863240">
      <w:pPr>
        <w:ind w:firstLine="482" w:firstLineChars="200"/>
        <w:rPr>
          <w:rFonts w:hint="eastAsia" w:ascii="Times New Roman" w:hAnsi="Times New Roman" w:cs="Times New Roman"/>
          <w:b/>
          <w:bCs/>
          <w:color w:val="auto"/>
          <w:highlight w:val="none"/>
          <w:shd w:val="clear" w:color="auto" w:fill="auto"/>
        </w:rPr>
      </w:pPr>
      <w:r>
        <w:rPr>
          <w:rFonts w:hint="eastAsia" w:ascii="Times New Roman" w:hAnsi="Times New Roman" w:cs="Times New Roman"/>
          <w:b/>
          <w:bCs/>
          <w:color w:val="auto"/>
          <w:highlight w:val="none"/>
          <w:shd w:val="clear" w:color="auto" w:fill="auto"/>
        </w:rPr>
        <w:t>1</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b w:val="0"/>
          <w:bCs w:val="0"/>
          <w:color w:val="auto"/>
          <w:highlight w:val="none"/>
          <w:shd w:val="clear" w:color="auto" w:fill="auto"/>
          <w:lang w:eastAsia="zh-CN"/>
        </w:rPr>
        <w:t>防护区的设置应符合规范要求，包括围护结构的耐超压性能、密闭性能、疏散门、疏散通道、泄压口等</w:t>
      </w:r>
    </w:p>
    <w:p w14:paraId="7440E898">
      <w:pPr>
        <w:keepNext w:val="0"/>
        <w:keepLines w:val="0"/>
        <w:widowControl/>
        <w:suppressLineNumbers w:val="0"/>
        <w:ind w:firstLine="482" w:firstLineChars="200"/>
        <w:jc w:val="left"/>
        <w:rPr>
          <w:rFonts w:hint="default" w:ascii="Times New Roman" w:hAnsi="Times New Roman" w:eastAsia="宋体" w:cs="Times New Roman"/>
          <w:b/>
          <w:bCs/>
          <w:color w:val="auto"/>
          <w:highlight w:val="none"/>
          <w:shd w:val="clear" w:color="auto" w:fill="auto"/>
          <w:lang w:val="en-US" w:eastAsia="zh-CN"/>
        </w:rPr>
      </w:pPr>
      <w:r>
        <w:rPr>
          <w:rFonts w:hint="eastAsia" w:ascii="Times New Roman" w:hAnsi="Times New Roman" w:cs="Times New Roman"/>
          <w:b/>
          <w:bCs/>
          <w:color w:val="auto"/>
          <w:highlight w:val="none"/>
          <w:shd w:val="clear" w:color="auto" w:fill="auto"/>
          <w:lang w:val="en-US" w:eastAsia="zh-CN"/>
        </w:rPr>
        <w:t>2</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color w:val="auto"/>
          <w:highlight w:val="none"/>
          <w:shd w:val="clear" w:color="auto" w:fill="auto"/>
          <w:lang w:val="en-US" w:eastAsia="zh-CN"/>
        </w:rPr>
        <w:t>灭火剂的储存装置应符合规范要求，包括公称压力、安全泄压和压力显示的功能</w:t>
      </w:r>
      <w:r>
        <w:rPr>
          <w:rFonts w:hint="eastAsia" w:ascii="Times New Roman" w:hAnsi="Times New Roman" w:cs="Times New Roman"/>
          <w:b w:val="0"/>
          <w:bCs w:val="0"/>
          <w:color w:val="auto"/>
          <w:highlight w:val="none"/>
          <w:shd w:val="clear" w:color="auto" w:fill="auto"/>
          <w:lang w:val="en-US" w:eastAsia="zh-CN"/>
        </w:rPr>
        <w:t>；</w:t>
      </w:r>
    </w:p>
    <w:p w14:paraId="1887CAF3">
      <w:pPr>
        <w:ind w:firstLine="482" w:firstLineChars="200"/>
        <w:rPr>
          <w:rFonts w:hint="default" w:ascii="Times New Roman" w:hAnsi="Times New Roman" w:eastAsia="宋体" w:cs="Times New Roman"/>
          <w:b/>
          <w:bCs/>
          <w:color w:val="auto"/>
          <w:highlight w:val="none"/>
          <w:shd w:val="clear" w:color="auto" w:fill="auto"/>
          <w:lang w:val="en-US" w:eastAsia="zh-CN"/>
        </w:rPr>
      </w:pPr>
      <w:r>
        <w:rPr>
          <w:rFonts w:hint="eastAsia" w:ascii="Times New Roman" w:hAnsi="Times New Roman" w:cs="Times New Roman"/>
          <w:b/>
          <w:bCs/>
          <w:color w:val="auto"/>
          <w:highlight w:val="none"/>
          <w:shd w:val="clear" w:color="auto" w:fill="auto"/>
          <w:lang w:val="en-US" w:eastAsia="zh-CN"/>
        </w:rPr>
        <w:t>3</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b w:val="0"/>
          <w:bCs w:val="0"/>
          <w:color w:val="auto"/>
          <w:highlight w:val="none"/>
          <w:shd w:val="clear" w:color="auto" w:fill="auto"/>
          <w:lang w:val="en-US" w:eastAsia="zh-CN"/>
        </w:rPr>
        <w:t>气体灭火系统的喷头布置应符合规范要求；</w:t>
      </w:r>
    </w:p>
    <w:p w14:paraId="4CA90D7D">
      <w:pPr>
        <w:ind w:firstLine="482" w:firstLineChars="200"/>
        <w:rPr>
          <w:rFonts w:hint="eastAsia" w:ascii="Times New Roman" w:hAnsi="Times New Roman" w:cs="Times New Roman"/>
          <w:b w:val="0"/>
          <w:bCs w:val="0"/>
          <w:color w:val="auto"/>
          <w:highlight w:val="none"/>
          <w:shd w:val="clear" w:color="auto" w:fill="auto"/>
        </w:rPr>
      </w:pPr>
      <w:r>
        <w:rPr>
          <w:rFonts w:hint="eastAsia" w:ascii="Times New Roman" w:hAnsi="Times New Roman" w:cs="Times New Roman"/>
          <w:b/>
          <w:bCs/>
          <w:color w:val="auto"/>
          <w:highlight w:val="none"/>
          <w:shd w:val="clear" w:color="auto" w:fill="auto"/>
          <w:lang w:val="en-US" w:eastAsia="zh-CN"/>
        </w:rPr>
        <w:t>4</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b w:val="0"/>
          <w:bCs w:val="0"/>
          <w:color w:val="auto"/>
          <w:highlight w:val="none"/>
          <w:shd w:val="clear" w:color="auto" w:fill="auto"/>
          <w:lang w:val="en-US" w:eastAsia="zh-CN"/>
        </w:rPr>
        <w:t>气体灭火系统的</w:t>
      </w:r>
      <w:r>
        <w:rPr>
          <w:rFonts w:hint="eastAsia" w:ascii="Times New Roman" w:hAnsi="Times New Roman" w:cs="Times New Roman"/>
          <w:b w:val="0"/>
          <w:bCs w:val="0"/>
          <w:highlight w:val="none"/>
          <w:shd w:val="clear" w:color="auto" w:fill="auto"/>
          <w:lang w:val="en-US" w:eastAsia="zh-CN"/>
        </w:rPr>
        <w:t>操作与控制</w:t>
      </w:r>
      <w:r>
        <w:rPr>
          <w:rFonts w:hint="eastAsia" w:ascii="Times New Roman" w:hAnsi="Times New Roman" w:cs="Times New Roman"/>
          <w:b w:val="0"/>
          <w:bCs w:val="0"/>
          <w:color w:val="auto"/>
          <w:highlight w:val="none"/>
          <w:shd w:val="clear" w:color="auto" w:fill="auto"/>
          <w:lang w:val="en-US" w:eastAsia="zh-CN"/>
        </w:rPr>
        <w:t>功能应符合规范要求，应具备自动控制系统和手动控制系统和应急机械控制系统。</w:t>
      </w:r>
    </w:p>
    <w:p w14:paraId="596B2849">
      <w:pPr>
        <w:rPr>
          <w:rFonts w:ascii="Times New Roman" w:hAnsi="Times New Roman" w:cs="Times New Roman"/>
          <w:highlight w:val="none"/>
        </w:rPr>
      </w:pPr>
      <w:r>
        <w:rPr>
          <w:rFonts w:hint="eastAsia" w:ascii="Times New Roman" w:hAnsi="Times New Roman" w:cs="Times New Roman"/>
          <w:b/>
          <w:bCs/>
          <w:highlight w:val="none"/>
          <w:lang w:val="en-US" w:eastAsia="zh-CN"/>
        </w:rPr>
        <w:t>4.4.</w:t>
      </w:r>
      <w:r>
        <w:rPr>
          <w:rFonts w:hint="eastAsia" w:ascii="Times New Roman" w:hAnsi="Times New Roman" w:cs="Times New Roman"/>
          <w:b/>
          <w:bCs/>
          <w:highlight w:val="none"/>
          <w:shd w:val="clear" w:color="auto" w:fill="auto"/>
          <w:lang w:val="en-US" w:eastAsia="zh-CN"/>
        </w:rPr>
        <w:t>13</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水喷雾灭火</w:t>
      </w:r>
      <w:r>
        <w:rPr>
          <w:rFonts w:hint="eastAsia" w:ascii="Times New Roman" w:hAnsi="Times New Roman" w:cs="Times New Roman"/>
          <w:highlight w:val="none"/>
        </w:rPr>
        <w:t>系统</w:t>
      </w:r>
      <w:r>
        <w:rPr>
          <w:rFonts w:hint="eastAsia" w:ascii="Times New Roman" w:hAnsi="Times New Roman" w:cs="Times New Roman"/>
          <w:highlight w:val="none"/>
          <w:shd w:val="clear" w:color="auto" w:fill="auto"/>
          <w:lang w:eastAsia="zh-CN"/>
        </w:rPr>
        <w:t>、</w:t>
      </w:r>
      <w:r>
        <w:rPr>
          <w:rFonts w:hint="eastAsia" w:ascii="Times New Roman" w:hAnsi="Times New Roman" w:cs="Times New Roman"/>
          <w:color w:val="auto"/>
          <w:highlight w:val="none"/>
          <w:shd w:val="clear" w:color="auto" w:fill="auto"/>
          <w:lang w:val="en-US" w:eastAsia="zh-CN"/>
        </w:rPr>
        <w:t>细水雾灭火</w:t>
      </w:r>
      <w:r>
        <w:rPr>
          <w:rFonts w:hint="eastAsia" w:ascii="Times New Roman" w:hAnsi="Times New Roman" w:cs="Times New Roman"/>
          <w:color w:val="auto"/>
          <w:highlight w:val="none"/>
          <w:shd w:val="clear" w:color="auto" w:fill="auto"/>
        </w:rPr>
        <w:t>系统</w:t>
      </w:r>
      <w:r>
        <w:rPr>
          <w:rFonts w:hint="eastAsia" w:ascii="Times New Roman" w:hAnsi="Times New Roman" w:cs="Times New Roman"/>
          <w:color w:val="auto"/>
          <w:highlight w:val="none"/>
          <w:shd w:val="clear" w:color="auto" w:fill="auto"/>
          <w:lang w:eastAsia="zh-CN"/>
        </w:rPr>
        <w:t>、</w:t>
      </w:r>
      <w:r>
        <w:rPr>
          <w:rFonts w:hint="eastAsia" w:ascii="Times New Roman" w:hAnsi="Times New Roman" w:cs="Times New Roman"/>
          <w:color w:val="auto"/>
          <w:highlight w:val="none"/>
          <w:shd w:val="clear" w:color="auto" w:fill="auto"/>
          <w:lang w:val="en-US" w:eastAsia="zh-CN"/>
        </w:rPr>
        <w:t>消防炮灭火</w:t>
      </w:r>
      <w:r>
        <w:rPr>
          <w:rFonts w:hint="eastAsia" w:ascii="Times New Roman" w:hAnsi="Times New Roman" w:cs="Times New Roman"/>
          <w:color w:val="auto"/>
          <w:highlight w:val="none"/>
          <w:shd w:val="clear" w:color="auto" w:fill="auto"/>
        </w:rPr>
        <w:t>系统</w:t>
      </w:r>
      <w:r>
        <w:rPr>
          <w:rFonts w:hint="eastAsia" w:ascii="Times New Roman" w:hAnsi="Times New Roman" w:cs="Times New Roman"/>
          <w:color w:val="auto"/>
          <w:highlight w:val="none"/>
          <w:shd w:val="clear" w:color="auto" w:fill="auto"/>
          <w:lang w:eastAsia="zh-CN"/>
        </w:rPr>
        <w:t>、</w:t>
      </w:r>
      <w:r>
        <w:rPr>
          <w:rFonts w:hint="eastAsia" w:ascii="Times New Roman" w:hAnsi="Times New Roman" w:cs="Times New Roman"/>
          <w:color w:val="auto"/>
          <w:highlight w:val="none"/>
          <w:shd w:val="clear" w:color="auto" w:fill="auto"/>
          <w:lang w:val="en-US" w:eastAsia="zh-CN"/>
        </w:rPr>
        <w:t>泡沫灭火</w:t>
      </w:r>
      <w:r>
        <w:rPr>
          <w:rFonts w:hint="eastAsia" w:ascii="Times New Roman" w:hAnsi="Times New Roman" w:cs="Times New Roman"/>
          <w:color w:val="auto"/>
          <w:highlight w:val="none"/>
          <w:shd w:val="clear" w:color="auto" w:fill="auto"/>
        </w:rPr>
        <w:t>系统</w:t>
      </w:r>
      <w:r>
        <w:rPr>
          <w:rFonts w:hint="eastAsia" w:ascii="Times New Roman" w:hAnsi="Times New Roman" w:cs="Times New Roman"/>
          <w:color w:val="auto"/>
          <w:highlight w:val="none"/>
          <w:shd w:val="clear" w:color="auto" w:fill="auto"/>
          <w:lang w:eastAsia="zh-CN"/>
        </w:rPr>
        <w:t>、</w:t>
      </w:r>
      <w:r>
        <w:rPr>
          <w:rFonts w:hint="eastAsia" w:ascii="Times New Roman" w:hAnsi="Times New Roman" w:cs="Times New Roman"/>
          <w:color w:val="auto"/>
          <w:highlight w:val="none"/>
          <w:shd w:val="clear" w:color="auto" w:fill="auto"/>
          <w:lang w:val="en-US" w:eastAsia="zh-CN"/>
        </w:rPr>
        <w:t>干粉</w:t>
      </w:r>
      <w:r>
        <w:rPr>
          <w:rFonts w:hint="eastAsia" w:ascii="Times New Roman" w:hAnsi="Times New Roman" w:cs="Times New Roman"/>
          <w:color w:val="auto"/>
          <w:highlight w:val="none"/>
          <w:shd w:val="clear" w:color="auto" w:fill="auto"/>
        </w:rPr>
        <w:t>灭火系统</w:t>
      </w:r>
      <w:r>
        <w:rPr>
          <w:rFonts w:hint="eastAsia" w:ascii="Times New Roman" w:hAnsi="Times New Roman" w:cs="Times New Roman"/>
          <w:highlight w:val="none"/>
          <w:shd w:val="clear" w:color="auto" w:fill="auto"/>
        </w:rPr>
        <w:t>安全评估</w:t>
      </w:r>
      <w:r>
        <w:rPr>
          <w:rFonts w:hint="eastAsia" w:ascii="Times New Roman" w:hAnsi="Times New Roman" w:cs="Times New Roman"/>
          <w:highlight w:val="none"/>
          <w:shd w:val="clear" w:color="auto" w:fill="auto"/>
          <w:lang w:eastAsia="zh-CN"/>
        </w:rPr>
        <w:t>分别</w:t>
      </w:r>
      <w:r>
        <w:rPr>
          <w:rFonts w:hint="eastAsia" w:ascii="Times New Roman" w:hAnsi="Times New Roman" w:cs="Times New Roman"/>
          <w:highlight w:val="none"/>
          <w:shd w:val="clear" w:color="auto" w:fill="auto"/>
        </w:rPr>
        <w:t>应符合</w:t>
      </w:r>
      <w:r>
        <w:rPr>
          <w:rFonts w:hint="eastAsia" w:ascii="Times New Roman" w:hAnsi="Times New Roman" w:cs="Times New Roman"/>
          <w:highlight w:val="none"/>
          <w:shd w:val="clear" w:color="auto" w:fill="auto"/>
          <w:lang w:val="en-US" w:eastAsia="zh-CN"/>
        </w:rPr>
        <w:t>现行国家标准</w:t>
      </w:r>
      <w:r>
        <w:rPr>
          <w:rFonts w:hint="eastAsia" w:ascii="Times New Roman" w:hAnsi="Times New Roman" w:cs="Times New Roman"/>
          <w:highlight w:val="none"/>
          <w:shd w:val="clear" w:color="auto" w:fill="auto"/>
        </w:rPr>
        <w:t>《水喷雾灭火系统技术规范》GB 50219</w:t>
      </w:r>
      <w:r>
        <w:rPr>
          <w:rFonts w:hint="eastAsia" w:ascii="Times New Roman" w:hAnsi="Times New Roman" w:cs="Times New Roman"/>
          <w:highlight w:val="none"/>
          <w:shd w:val="clear" w:color="auto" w:fill="auto"/>
          <w:lang w:eastAsia="zh-CN"/>
        </w:rPr>
        <w:t>、</w:t>
      </w:r>
      <w:r>
        <w:rPr>
          <w:rFonts w:hint="eastAsia" w:ascii="Times New Roman" w:hAnsi="Times New Roman" w:cs="Times New Roman"/>
          <w:color w:val="auto"/>
          <w:highlight w:val="none"/>
          <w:shd w:val="clear" w:color="auto" w:fill="auto"/>
        </w:rPr>
        <w:t>《细水雾灭火系统技术规范》GB 50898</w:t>
      </w:r>
      <w:r>
        <w:rPr>
          <w:rFonts w:hint="eastAsia" w:ascii="Times New Roman" w:hAnsi="Times New Roman" w:cs="Times New Roman"/>
          <w:color w:val="auto"/>
          <w:highlight w:val="none"/>
          <w:shd w:val="clear" w:color="auto" w:fill="auto"/>
          <w:lang w:eastAsia="zh-CN"/>
        </w:rPr>
        <w:t>、</w:t>
      </w:r>
      <w:r>
        <w:rPr>
          <w:rFonts w:hint="eastAsia" w:ascii="Times New Roman" w:hAnsi="Times New Roman" w:cs="Times New Roman"/>
          <w:color w:val="auto"/>
          <w:highlight w:val="none"/>
          <w:shd w:val="clear" w:color="auto" w:fill="auto"/>
        </w:rPr>
        <w:t>《</w:t>
      </w:r>
      <w:r>
        <w:rPr>
          <w:rFonts w:hint="eastAsia" w:ascii="Times New Roman" w:hAnsi="Times New Roman" w:cs="Times New Roman"/>
          <w:color w:val="auto"/>
          <w:highlight w:val="none"/>
          <w:shd w:val="clear" w:color="auto" w:fill="auto"/>
          <w:lang w:eastAsia="zh-CN"/>
        </w:rPr>
        <w:t>固定消防炮灭火系统设计规范</w:t>
      </w:r>
      <w:r>
        <w:rPr>
          <w:rFonts w:hint="eastAsia" w:ascii="Times New Roman" w:hAnsi="Times New Roman" w:cs="Times New Roman"/>
          <w:color w:val="auto"/>
          <w:highlight w:val="none"/>
          <w:shd w:val="clear" w:color="auto" w:fill="auto"/>
        </w:rPr>
        <w:t>》</w:t>
      </w:r>
      <w:r>
        <w:rPr>
          <w:rFonts w:hint="eastAsia" w:ascii="Times New Roman" w:hAnsi="Times New Roman" w:cs="Times New Roman"/>
          <w:color w:val="auto"/>
          <w:highlight w:val="none"/>
          <w:shd w:val="clear" w:color="auto" w:fill="auto"/>
          <w:lang w:eastAsia="zh-CN"/>
        </w:rPr>
        <w:t>GB 50338、</w:t>
      </w:r>
      <w:r>
        <w:rPr>
          <w:rFonts w:hint="eastAsia" w:ascii="Times New Roman" w:hAnsi="Times New Roman" w:cs="Times New Roman"/>
          <w:color w:val="auto"/>
          <w:highlight w:val="none"/>
          <w:shd w:val="clear" w:color="auto" w:fill="auto"/>
        </w:rPr>
        <w:t>《</w:t>
      </w:r>
      <w:r>
        <w:rPr>
          <w:rFonts w:hint="eastAsia" w:ascii="Times New Roman" w:hAnsi="Times New Roman" w:cs="Times New Roman"/>
          <w:color w:val="auto"/>
          <w:highlight w:val="none"/>
          <w:shd w:val="clear" w:color="auto" w:fill="auto"/>
          <w:lang w:eastAsia="zh-CN"/>
        </w:rPr>
        <w:t>泡沫灭火系统技术标准</w:t>
      </w:r>
      <w:r>
        <w:rPr>
          <w:rFonts w:hint="eastAsia" w:ascii="Times New Roman" w:hAnsi="Times New Roman" w:cs="Times New Roman"/>
          <w:color w:val="auto"/>
          <w:highlight w:val="none"/>
          <w:shd w:val="clear" w:color="auto" w:fill="auto"/>
        </w:rPr>
        <w:t>》</w:t>
      </w:r>
      <w:r>
        <w:rPr>
          <w:rFonts w:hint="eastAsia" w:ascii="Times New Roman" w:hAnsi="Times New Roman" w:cs="Times New Roman"/>
          <w:color w:val="auto"/>
          <w:highlight w:val="none"/>
          <w:shd w:val="clear" w:color="auto" w:fill="auto"/>
          <w:lang w:eastAsia="zh-CN"/>
        </w:rPr>
        <w:t>GB 50151、《干粉灭火系统设计规范》GB 50347</w:t>
      </w:r>
      <w:r>
        <w:rPr>
          <w:rFonts w:hint="eastAsia" w:ascii="Times New Roman" w:hAnsi="Times New Roman" w:cs="Times New Roman"/>
          <w:highlight w:val="none"/>
        </w:rPr>
        <w:t>等标准的规定</w:t>
      </w:r>
      <w:r>
        <w:rPr>
          <w:rFonts w:hint="eastAsia" w:cs="Times New Roman"/>
          <w:highlight w:val="none"/>
        </w:rPr>
        <w:t>，具体包含以下内容：</w:t>
      </w:r>
    </w:p>
    <w:p w14:paraId="334632BF">
      <w:pPr>
        <w:ind w:firstLine="482" w:firstLineChars="200"/>
        <w:rPr>
          <w:rFonts w:hint="eastAsia" w:ascii="Times New Roman" w:hAnsi="Times New Roman" w:cs="Times New Roman"/>
          <w:b/>
          <w:bCs/>
          <w:highlight w:val="none"/>
          <w:shd w:val="clear" w:color="auto" w:fill="auto"/>
        </w:rPr>
      </w:pPr>
      <w:r>
        <w:rPr>
          <w:rFonts w:hint="eastAsia" w:ascii="Times New Roman" w:hAnsi="Times New Roman" w:cs="Times New Roman"/>
          <w:b/>
          <w:bCs/>
          <w:highlight w:val="none"/>
          <w:shd w:val="clear" w:color="auto" w:fill="auto"/>
        </w:rPr>
        <w:t>1</w:t>
      </w:r>
      <w:r>
        <w:rPr>
          <w:rFonts w:hint="eastAsia" w:ascii="Times New Roman" w:hAnsi="Times New Roman" w:cs="Times New Roman"/>
          <w:b w:val="0"/>
          <w:bCs w:val="0"/>
          <w:highlight w:val="none"/>
          <w:shd w:val="clear" w:color="auto" w:fill="auto"/>
        </w:rPr>
        <w:t xml:space="preserve">  </w:t>
      </w:r>
      <w:r>
        <w:rPr>
          <w:rFonts w:hint="eastAsia" w:ascii="Times New Roman" w:hAnsi="Times New Roman" w:cs="Times New Roman"/>
          <w:b w:val="0"/>
          <w:bCs w:val="0"/>
          <w:highlight w:val="none"/>
          <w:shd w:val="clear" w:color="auto" w:fill="auto"/>
          <w:lang w:val="en-US" w:eastAsia="zh-CN"/>
        </w:rPr>
        <w:t>各灭火系统的选型应符合规范要求</w:t>
      </w:r>
      <w:r>
        <w:rPr>
          <w:rFonts w:hint="eastAsia" w:ascii="Times New Roman" w:hAnsi="Times New Roman" w:cs="Times New Roman"/>
          <w:b w:val="0"/>
          <w:bCs w:val="0"/>
          <w:highlight w:val="none"/>
          <w:shd w:val="clear" w:color="auto" w:fill="auto"/>
        </w:rPr>
        <w:t>；</w:t>
      </w:r>
    </w:p>
    <w:p w14:paraId="7612812B">
      <w:pPr>
        <w:ind w:firstLine="482" w:firstLineChars="200"/>
        <w:rPr>
          <w:rFonts w:hint="default" w:ascii="Times New Roman" w:hAnsi="Times New Roman" w:eastAsia="宋体" w:cs="Times New Roman"/>
          <w:b/>
          <w:bCs/>
          <w:color w:val="auto"/>
          <w:highlight w:val="none"/>
          <w:shd w:val="clear" w:color="auto" w:fill="auto"/>
          <w:lang w:val="en-US" w:eastAsia="zh-CN"/>
        </w:rPr>
      </w:pPr>
      <w:r>
        <w:rPr>
          <w:rFonts w:hint="eastAsia" w:ascii="Times New Roman" w:hAnsi="Times New Roman" w:cs="Times New Roman"/>
          <w:b/>
          <w:bCs/>
          <w:color w:val="auto"/>
          <w:highlight w:val="none"/>
          <w:shd w:val="clear" w:color="auto" w:fill="auto"/>
          <w:lang w:val="en-US" w:eastAsia="zh-CN"/>
        </w:rPr>
        <w:t>2</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b w:val="0"/>
          <w:bCs w:val="0"/>
          <w:highlight w:val="none"/>
          <w:shd w:val="clear" w:color="auto" w:fill="auto"/>
          <w:lang w:val="en-US" w:eastAsia="zh-CN"/>
        </w:rPr>
        <w:t>各灭火系统的</w:t>
      </w:r>
      <w:r>
        <w:rPr>
          <w:rFonts w:hint="eastAsia" w:ascii="Times New Roman" w:hAnsi="Times New Roman" w:cs="Times New Roman"/>
          <w:b w:val="0"/>
          <w:bCs w:val="0"/>
          <w:color w:val="auto"/>
          <w:highlight w:val="none"/>
          <w:shd w:val="clear" w:color="auto" w:fill="auto"/>
          <w:lang w:val="en-US" w:eastAsia="zh-CN"/>
        </w:rPr>
        <w:t>管网应符合规范要求，包含管道材质、支吊架、阀门的选型和设置等；</w:t>
      </w:r>
    </w:p>
    <w:p w14:paraId="310DD724">
      <w:pPr>
        <w:ind w:firstLine="482" w:firstLineChars="200"/>
        <w:rPr>
          <w:rFonts w:hint="eastAsia" w:ascii="Times New Roman" w:hAnsi="Times New Roman" w:cs="Times New Roman"/>
          <w:b w:val="0"/>
          <w:bCs w:val="0"/>
          <w:color w:val="auto"/>
          <w:highlight w:val="none"/>
          <w:shd w:val="clear" w:color="auto" w:fill="auto"/>
        </w:rPr>
      </w:pPr>
      <w:r>
        <w:rPr>
          <w:rFonts w:hint="eastAsia" w:ascii="Times New Roman" w:hAnsi="Times New Roman" w:cs="Times New Roman"/>
          <w:b/>
          <w:bCs/>
          <w:color w:val="auto"/>
          <w:highlight w:val="none"/>
          <w:shd w:val="clear" w:color="auto" w:fill="auto"/>
          <w:lang w:val="en-US" w:eastAsia="zh-CN"/>
        </w:rPr>
        <w:t>3</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b w:val="0"/>
          <w:bCs w:val="0"/>
          <w:highlight w:val="none"/>
          <w:shd w:val="clear" w:color="auto" w:fill="auto"/>
          <w:lang w:val="en-US" w:eastAsia="zh-CN"/>
        </w:rPr>
        <w:t>各灭火系统的</w:t>
      </w:r>
      <w:r>
        <w:rPr>
          <w:rFonts w:hint="eastAsia" w:ascii="Times New Roman" w:hAnsi="Times New Roman" w:cs="Times New Roman"/>
          <w:b w:val="0"/>
          <w:bCs w:val="0"/>
          <w:color w:val="auto"/>
          <w:highlight w:val="none"/>
          <w:shd w:val="clear" w:color="auto" w:fill="auto"/>
          <w:lang w:val="en-US" w:eastAsia="zh-CN"/>
        </w:rPr>
        <w:t>喷头应符合规范要求，包含规格型号、布置、防护措施等；</w:t>
      </w:r>
    </w:p>
    <w:p w14:paraId="2659E07F">
      <w:pPr>
        <w:ind w:firstLine="482" w:firstLineChars="200"/>
        <w:rPr>
          <w:rFonts w:hint="eastAsia" w:ascii="Times New Roman" w:hAnsi="Times New Roman" w:cs="Times New Roman"/>
          <w:b w:val="0"/>
          <w:bCs w:val="0"/>
          <w:color w:val="auto"/>
          <w:highlight w:val="none"/>
          <w:shd w:val="clear" w:color="auto" w:fill="auto"/>
          <w:lang w:eastAsia="zh-CN"/>
        </w:rPr>
      </w:pPr>
      <w:r>
        <w:rPr>
          <w:rFonts w:hint="eastAsia" w:ascii="Times New Roman" w:hAnsi="Times New Roman" w:cs="Times New Roman"/>
          <w:b/>
          <w:bCs/>
          <w:color w:val="auto"/>
          <w:highlight w:val="none"/>
          <w:shd w:val="clear" w:color="auto" w:fill="auto"/>
          <w:lang w:val="en-US" w:eastAsia="zh-CN"/>
        </w:rPr>
        <w:t>4</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b w:val="0"/>
          <w:bCs w:val="0"/>
          <w:color w:val="auto"/>
          <w:highlight w:val="none"/>
          <w:shd w:val="clear" w:color="auto" w:fill="auto"/>
          <w:lang w:eastAsia="zh-CN"/>
        </w:rPr>
        <w:t>泡沫灭火系统、细水雾灭火系统、干粉灭火系统的储存装置的设置和布置应符合规范要求；</w:t>
      </w:r>
    </w:p>
    <w:p w14:paraId="3FAD68DD">
      <w:pPr>
        <w:ind w:firstLine="482" w:firstLineChars="200"/>
        <w:rPr>
          <w:rFonts w:hint="eastAsia" w:ascii="Times New Roman" w:hAnsi="Times New Roman" w:cs="Times New Roman"/>
          <w:b w:val="0"/>
          <w:bCs w:val="0"/>
          <w:color w:val="auto"/>
          <w:highlight w:val="none"/>
          <w:shd w:val="clear" w:color="auto" w:fill="auto"/>
          <w:lang w:val="en-US" w:eastAsia="zh-CN"/>
        </w:rPr>
      </w:pPr>
      <w:r>
        <w:rPr>
          <w:rFonts w:hint="eastAsia" w:ascii="Times New Roman" w:hAnsi="Times New Roman" w:cs="Times New Roman"/>
          <w:b/>
          <w:bCs/>
          <w:color w:val="auto"/>
          <w:highlight w:val="none"/>
          <w:shd w:val="clear" w:color="auto" w:fill="auto"/>
          <w:lang w:val="en-US" w:eastAsia="zh-CN"/>
        </w:rPr>
        <w:t>5</w:t>
      </w:r>
      <w:r>
        <w:rPr>
          <w:rFonts w:hint="eastAsia" w:ascii="Times New Roman" w:hAnsi="Times New Roman" w:cs="Times New Roman"/>
          <w:b w:val="0"/>
          <w:bCs w:val="0"/>
          <w:color w:val="auto"/>
          <w:highlight w:val="none"/>
          <w:shd w:val="clear" w:color="auto" w:fill="auto"/>
        </w:rPr>
        <w:t xml:space="preserve"> </w:t>
      </w:r>
      <w:r>
        <w:rPr>
          <w:rFonts w:hint="eastAsia" w:ascii="Times New Roman" w:hAnsi="Times New Roman" w:cs="Times New Roman"/>
          <w:b w:val="0"/>
          <w:bCs w:val="0"/>
          <w:color w:val="auto"/>
          <w:highlight w:val="none"/>
          <w:shd w:val="clear" w:color="auto" w:fill="auto"/>
          <w:lang w:val="en-US" w:eastAsia="zh-CN"/>
        </w:rPr>
        <w:t xml:space="preserve"> 各灭火系统的</w:t>
      </w:r>
      <w:r>
        <w:rPr>
          <w:rFonts w:hint="eastAsia" w:ascii="Times New Roman" w:hAnsi="Times New Roman" w:cs="Times New Roman"/>
          <w:b w:val="0"/>
          <w:bCs w:val="0"/>
          <w:highlight w:val="none"/>
          <w:shd w:val="clear" w:color="auto" w:fill="auto"/>
          <w:lang w:val="en-US" w:eastAsia="zh-CN"/>
        </w:rPr>
        <w:t>操作与控制</w:t>
      </w:r>
      <w:r>
        <w:rPr>
          <w:rFonts w:hint="eastAsia" w:ascii="Times New Roman" w:hAnsi="Times New Roman" w:cs="Times New Roman"/>
          <w:b w:val="0"/>
          <w:bCs w:val="0"/>
          <w:color w:val="auto"/>
          <w:highlight w:val="none"/>
          <w:shd w:val="clear" w:color="auto" w:fill="auto"/>
          <w:lang w:val="en-US" w:eastAsia="zh-CN"/>
        </w:rPr>
        <w:t>功能应符合规范要求，应具备自动控制系统和手动控制系统和应急机械控制系统。</w:t>
      </w:r>
    </w:p>
    <w:p w14:paraId="63EF23FB">
      <w:pPr>
        <w:ind w:firstLine="0" w:firstLineChars="0"/>
        <w:jc w:val="left"/>
        <w:rPr>
          <w:rFonts w:hint="eastAsia"/>
          <w:b/>
          <w:highlight w:val="none"/>
        </w:rPr>
      </w:pPr>
      <w:r>
        <w:rPr>
          <w:rFonts w:hint="eastAsia" w:ascii="Times New Roman" w:hAnsi="Times New Roman" w:cs="Times New Roman"/>
          <w:b/>
          <w:bCs/>
          <w:color w:val="auto"/>
          <w:highlight w:val="none"/>
          <w:shd w:val="clear" w:color="auto" w:fill="auto"/>
          <w:lang w:eastAsia="zh-CN"/>
        </w:rPr>
        <w:t>4</w:t>
      </w:r>
      <w:r>
        <w:rPr>
          <w:rFonts w:hint="eastAsia" w:ascii="Times New Roman" w:hAnsi="Times New Roman" w:cs="Times New Roman"/>
          <w:b/>
          <w:bCs/>
          <w:color w:val="auto"/>
          <w:highlight w:val="none"/>
          <w:shd w:val="clear" w:color="auto" w:fill="auto"/>
          <w:lang w:val="en-US" w:eastAsia="zh-CN"/>
        </w:rPr>
        <w:t>.4.14</w:t>
      </w:r>
      <w:r>
        <w:rPr>
          <w:rFonts w:hint="eastAsia" w:ascii="Times New Roman" w:hAnsi="Times New Roman" w:cs="Times New Roman"/>
          <w:color w:val="auto"/>
          <w:highlight w:val="none"/>
          <w:shd w:val="clear" w:color="auto" w:fill="auto"/>
        </w:rPr>
        <w:t xml:space="preserve">  其他灭火系统等消防设施、器材的设计应符合规范要求。</w:t>
      </w:r>
    </w:p>
    <w:p w14:paraId="65BE4184">
      <w:pPr>
        <w:pStyle w:val="19"/>
        <w:spacing w:line="360" w:lineRule="auto"/>
        <w:jc w:val="center"/>
        <w:rPr>
          <w:b/>
          <w:highlight w:val="none"/>
        </w:rPr>
      </w:pPr>
      <w:r>
        <w:rPr>
          <w:rFonts w:hint="default" w:cs="Times New Roman"/>
          <w:b/>
          <w:highlight w:val="none"/>
          <w:lang w:val="en-US" w:eastAsia="zh-CN"/>
        </w:rPr>
        <w:t>Ⅳ</w:t>
      </w:r>
      <w:r>
        <w:rPr>
          <w:rFonts w:hint="eastAsia"/>
          <w:b/>
          <w:highlight w:val="none"/>
        </w:rPr>
        <w:t xml:space="preserve">  防烟和排烟系统</w:t>
      </w:r>
    </w:p>
    <w:p w14:paraId="1562E97F">
      <w:pPr>
        <w:rPr>
          <w:rFonts w:ascii="Times New Roman" w:hAnsi="Times New Roman" w:cs="Times New Roman"/>
          <w:highlight w:val="none"/>
        </w:rPr>
      </w:pPr>
      <w:bookmarkStart w:id="275" w:name="OLE_LINK16"/>
      <w:r>
        <w:rPr>
          <w:rFonts w:hint="eastAsia" w:ascii="Times New Roman" w:hAnsi="Times New Roman" w:cs="Times New Roman"/>
          <w:b/>
          <w:bCs/>
          <w:highlight w:val="none"/>
          <w:lang w:val="en-US" w:eastAsia="zh-CN"/>
        </w:rPr>
        <w:t>4.4.15</w:t>
      </w:r>
      <w:r>
        <w:rPr>
          <w:rFonts w:hint="eastAsia" w:ascii="Times New Roman" w:hAnsi="Times New Roman" w:cs="Times New Roman"/>
          <w:highlight w:val="none"/>
        </w:rPr>
        <w:t xml:space="preserve">  防</w:t>
      </w:r>
      <w:r>
        <w:rPr>
          <w:rFonts w:hint="eastAsia" w:ascii="Times New Roman" w:hAnsi="Times New Roman" w:cs="Times New Roman"/>
          <w:highlight w:val="none"/>
          <w:lang w:val="en-US" w:eastAsia="zh-CN"/>
        </w:rPr>
        <w:t>排</w:t>
      </w:r>
      <w:r>
        <w:rPr>
          <w:rFonts w:hint="eastAsia" w:ascii="Times New Roman" w:hAnsi="Times New Roman" w:cs="Times New Roman"/>
          <w:highlight w:val="none"/>
        </w:rPr>
        <w:t>烟系统安全评估</w:t>
      </w:r>
      <w:r>
        <w:rPr>
          <w:rFonts w:hint="eastAsia" w:cs="Times New Roman"/>
          <w:highlight w:val="none"/>
        </w:rPr>
        <w:t>具体包含以下内容：</w:t>
      </w:r>
    </w:p>
    <w:p w14:paraId="548E7324">
      <w:pPr>
        <w:ind w:firstLine="482" w:firstLineChars="200"/>
        <w:rPr>
          <w:rFonts w:ascii="Times New Roman" w:hAnsi="Times New Roman" w:cs="Times New Roman"/>
          <w:highlight w:val="none"/>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应按照规范规定</w:t>
      </w:r>
      <w:r>
        <w:rPr>
          <w:rFonts w:hint="eastAsia" w:ascii="Times New Roman" w:hAnsi="Times New Roman" w:cs="Times New Roman"/>
          <w:b w:val="0"/>
          <w:bCs w:val="0"/>
          <w:highlight w:val="none"/>
          <w:lang w:eastAsia="zh-CN"/>
        </w:rPr>
        <w:t>采取</w:t>
      </w:r>
      <w:r>
        <w:rPr>
          <w:rFonts w:hint="eastAsia" w:ascii="Times New Roman" w:hAnsi="Times New Roman" w:cs="Times New Roman"/>
          <w:highlight w:val="none"/>
          <w:lang w:val="en-US" w:eastAsia="zh-CN"/>
        </w:rPr>
        <w:t>防烟</w:t>
      </w:r>
      <w:r>
        <w:rPr>
          <w:rFonts w:hint="eastAsia" w:ascii="Times New Roman" w:hAnsi="Times New Roman" w:cs="Times New Roman"/>
          <w:b w:val="0"/>
          <w:bCs w:val="0"/>
          <w:highlight w:val="none"/>
          <w:lang w:eastAsia="zh-CN"/>
        </w:rPr>
        <w:t>措施或设置排烟设施</w:t>
      </w:r>
      <w:r>
        <w:rPr>
          <w:rFonts w:hint="eastAsia" w:ascii="Times New Roman" w:hAnsi="Times New Roman" w:cs="Times New Roman"/>
          <w:b w:val="0"/>
          <w:bCs w:val="0"/>
          <w:highlight w:val="none"/>
        </w:rPr>
        <w:t>；</w:t>
      </w:r>
    </w:p>
    <w:p w14:paraId="1AD0ABD4">
      <w:pPr>
        <w:ind w:firstLine="48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风机控制柜的设置、标识、控制切换功能应符合规范要求；</w:t>
      </w:r>
    </w:p>
    <w:p w14:paraId="5399DC3B">
      <w:pPr>
        <w:ind w:firstLine="482" w:firstLineChars="200"/>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正压送风机的送风量、风速、补风量，排烟风机的排烟量、风速应符合规范要求，风机应按照规范要求设置铭牌标识、防护设施，应具有现场手动启动、与火灾自动报警系统联动启动、和在消防控制室手动启动的功能、送风口或排烟口（排烟阀）与相应风机联动启动的功能；</w:t>
      </w:r>
    </w:p>
    <w:p w14:paraId="3565FCCA">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rPr>
        <w:t>系统</w:t>
      </w:r>
      <w:r>
        <w:rPr>
          <w:rFonts w:hint="eastAsia" w:ascii="Times New Roman" w:hAnsi="Times New Roman" w:cs="Times New Roman"/>
          <w:highlight w:val="none"/>
          <w:lang w:eastAsia="zh-CN"/>
        </w:rPr>
        <w:t>中</w:t>
      </w:r>
      <w:r>
        <w:rPr>
          <w:rFonts w:hint="eastAsia" w:ascii="Times New Roman" w:hAnsi="Times New Roman" w:cs="Times New Roman"/>
          <w:b w:val="0"/>
          <w:bCs w:val="0"/>
          <w:highlight w:val="none"/>
          <w:lang w:val="en-US" w:eastAsia="zh-CN"/>
        </w:rPr>
        <w:t>管道的材质、连接装置、密闭性能、支吊架应符合规范要求；</w:t>
      </w:r>
    </w:p>
    <w:p w14:paraId="0DDECD3A">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送风口、排烟口、补风口、电动排烟窗的位置、面积、数量、开启形式及开启装置应符合规范要求；</w:t>
      </w:r>
    </w:p>
    <w:p w14:paraId="3FFAF8DE">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排烟阀、防火阀的位置、标识及开启工作性能等应符合规范要求；</w:t>
      </w:r>
    </w:p>
    <w:p w14:paraId="5118D08F">
      <w:pPr>
        <w:ind w:firstLine="482" w:firstLineChars="200"/>
        <w:rPr>
          <w:rFonts w:hint="default" w:ascii="Times New Roman" w:hAnsi="Times New Roman" w:eastAsia="宋体" w:cs="Times New Roman"/>
          <w:b w:val="0"/>
          <w:bCs w:val="0"/>
          <w:highlight w:val="none"/>
          <w:lang w:val="en-US" w:eastAsia="zh-CN"/>
        </w:rPr>
      </w:pPr>
      <w:r>
        <w:rPr>
          <w:rFonts w:hint="eastAsia" w:ascii="Times New Roman" w:hAnsi="Times New Roman" w:cs="Times New Roman"/>
          <w:b/>
          <w:bCs/>
          <w:highlight w:val="none"/>
          <w:lang w:val="en-US" w:eastAsia="zh-CN"/>
        </w:rPr>
        <w:t>7</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活动挡烟垂壁的组件、外观、开启工作性能等应符合规范要求；</w:t>
      </w:r>
    </w:p>
    <w:p w14:paraId="00939402">
      <w:pPr>
        <w:ind w:firstLine="482"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8</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eastAsia="zh-CN"/>
        </w:rPr>
        <w:t>防烟、</w:t>
      </w:r>
      <w:r>
        <w:rPr>
          <w:rFonts w:hint="eastAsia" w:ascii="Times New Roman" w:hAnsi="Times New Roman" w:cs="Times New Roman"/>
          <w:b w:val="0"/>
          <w:bCs w:val="0"/>
          <w:highlight w:val="none"/>
          <w:lang w:val="en-US" w:eastAsia="zh-CN"/>
        </w:rPr>
        <w:t>排烟系统应按照规范要求具备联动控制功能。</w:t>
      </w:r>
    </w:p>
    <w:p w14:paraId="371EA6A7">
      <w:pPr>
        <w:ind w:firstLine="0" w:firstLineChars="0"/>
        <w:rPr>
          <w:rFonts w:hint="default" w:ascii="Times New Roman" w:hAnsi="Times New Roman" w:eastAsia="宋体" w:cs="Times New Roman"/>
          <w:color w:val="auto"/>
          <w:highlight w:val="none"/>
          <w:lang w:val="en-US" w:eastAsia="zh-CN"/>
        </w:rPr>
      </w:pPr>
      <w:r>
        <w:rPr>
          <w:rFonts w:hint="eastAsia" w:ascii="Times New Roman" w:hAnsi="Times New Roman" w:cs="Times New Roman"/>
          <w:b/>
          <w:bCs/>
          <w:highlight w:val="none"/>
          <w:lang w:val="en-US" w:eastAsia="zh-CN"/>
        </w:rPr>
        <w:t>4.4.16</w:t>
      </w:r>
      <w:r>
        <w:rPr>
          <w:rFonts w:hint="eastAsia" w:ascii="Times New Roman" w:hAnsi="Times New Roman" w:cs="Times New Roman"/>
          <w:b w:val="0"/>
          <w:bCs w:val="0"/>
          <w:highlight w:val="none"/>
          <w:lang w:val="en-US" w:eastAsia="zh-CN"/>
        </w:rPr>
        <w:t xml:space="preserve">  </w:t>
      </w:r>
      <w:r>
        <w:rPr>
          <w:rFonts w:hint="default" w:ascii="Times New Roman" w:hAnsi="Times New Roman" w:eastAsia="宋体" w:cs="Times New Roman"/>
          <w:color w:val="auto"/>
          <w:highlight w:val="none"/>
          <w:lang w:val="en-US" w:eastAsia="zh-CN"/>
        </w:rPr>
        <w:t>既有建筑改造</w:t>
      </w:r>
      <w:r>
        <w:rPr>
          <w:rFonts w:hint="eastAsia" w:ascii="Times New Roman" w:hAnsi="Times New Roman" w:cs="Times New Roman"/>
          <w:color w:val="auto"/>
          <w:highlight w:val="none"/>
          <w:lang w:val="en-US" w:eastAsia="zh-CN"/>
        </w:rPr>
        <w:t>防烟和排烟</w:t>
      </w:r>
      <w:r>
        <w:rPr>
          <w:rFonts w:hint="eastAsia" w:ascii="Times New Roman" w:hAnsi="Times New Roman" w:cs="Times New Roman"/>
          <w:bCs/>
          <w:color w:val="auto"/>
          <w:highlight w:val="none"/>
          <w:lang w:val="en-US" w:eastAsia="zh-CN"/>
        </w:rPr>
        <w:t>系统安全评估应考虑以下内容：</w:t>
      </w:r>
    </w:p>
    <w:p w14:paraId="0E971C3C">
      <w:pPr>
        <w:ind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1</w:t>
      </w:r>
      <w:r>
        <w:rPr>
          <w:rFonts w:hint="eastAsia" w:ascii="Times New Roman" w:hAnsi="Times New Roman" w:cs="Times New Roman"/>
          <w:color w:val="auto"/>
          <w:highlight w:val="none"/>
          <w:lang w:val="en-US" w:eastAsia="zh-CN"/>
        </w:rPr>
        <w:t xml:space="preserve">  设置自然排烟设施的场所，自然排烟口有效面积应符合现行国家标准《建筑防烟排烟系统技术标准》GB51251 的规定，不符合时应增设机械排烟设施。当确有困难时，可维持自然排烟口面积、高度现状，但应满足：中庭、剧场舞台空间的自然排烟口面积不应小于该场所面积的5%；其他场所自然排烟口面积不应小于该场所面积的2%，或根据该场所火灾规模和安全疏散所需最小清晰高度经计算确定；作为自然排烟口的可开启外窗，当采用开窗角大于30°的悬窗或平开窗时，可按开启扇面积计算自然排烟口面积，当采用开窗角度小于或等于30°的悬窗或平开窗以及其他类型外窗时，应按现行国家标准《建筑防烟排烟系统技术标准》GB51251有关规定计算自然排烟口面积；</w:t>
      </w:r>
    </w:p>
    <w:p w14:paraId="1A46B32D">
      <w:pPr>
        <w:ind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2</w:t>
      </w:r>
      <w:r>
        <w:rPr>
          <w:rFonts w:hint="eastAsia" w:ascii="Times New Roman" w:hAnsi="Times New Roman" w:cs="Times New Roman"/>
          <w:color w:val="auto"/>
          <w:highlight w:val="none"/>
          <w:lang w:val="en-US" w:eastAsia="zh-CN"/>
        </w:rPr>
        <w:t xml:space="preserve">  防排烟风机宜按现行消防技术标准设置在专用机房内，新增、调整的防排烟风机布置在室内时应符合现行国家标准《建筑设计防火规范》GB50016的相关规定，确有困难时，可放置于室外，但应设置满足风机防护、通风散热及检修要求的防护罩；</w:t>
      </w:r>
    </w:p>
    <w:p w14:paraId="6B8AFECB">
      <w:pPr>
        <w:ind w:firstLine="482" w:firstLineChars="200"/>
        <w:rPr>
          <w:rFonts w:hint="default"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3</w:t>
      </w:r>
      <w:r>
        <w:rPr>
          <w:rFonts w:hint="eastAsia" w:ascii="Times New Roman" w:hAnsi="Times New Roman" w:cs="Times New Roman"/>
          <w:color w:val="auto"/>
          <w:highlight w:val="none"/>
          <w:lang w:val="en-US" w:eastAsia="zh-CN"/>
        </w:rPr>
        <w:t xml:space="preserve">  机械排烟系统改造，排烟口排烟量可按风口有效面积与风速乘积计算，风口风速不宜大于10m/s；</w:t>
      </w:r>
    </w:p>
    <w:p w14:paraId="5F3E9EDF">
      <w:pPr>
        <w:ind w:firstLine="482" w:firstLineChars="200"/>
        <w:rPr>
          <w:rFonts w:hint="eastAsia" w:ascii="Times New Roman" w:hAnsi="Times New Roman" w:cs="Times New Roman"/>
          <w:color w:val="auto"/>
          <w:highlight w:val="none"/>
          <w:lang w:val="en-US" w:eastAsia="zh-CN"/>
        </w:rPr>
      </w:pPr>
      <w:r>
        <w:rPr>
          <w:rFonts w:hint="eastAsia" w:ascii="Times New Roman" w:hAnsi="Times New Roman" w:cs="Times New Roman"/>
          <w:b/>
          <w:bCs/>
          <w:color w:val="auto"/>
          <w:highlight w:val="none"/>
          <w:lang w:val="en-US" w:eastAsia="zh-CN"/>
        </w:rPr>
        <w:t>4</w:t>
      </w:r>
      <w:r>
        <w:rPr>
          <w:rFonts w:hint="eastAsia" w:ascii="Times New Roman" w:hAnsi="Times New Roman" w:cs="Times New Roman"/>
          <w:color w:val="auto"/>
          <w:highlight w:val="none"/>
          <w:lang w:val="en-US" w:eastAsia="zh-CN"/>
        </w:rPr>
        <w:t xml:space="preserve">  建筑局部改造工程，改造区域内的机械排烟系统应按现行规范设置，其他未改造区域可维持原设计；</w:t>
      </w:r>
    </w:p>
    <w:p w14:paraId="4C45CA3A">
      <w:pPr>
        <w:ind w:firstLine="482" w:firstLineChars="200"/>
        <w:rPr>
          <w:rFonts w:hint="default" w:ascii="Times New Roman" w:hAnsi="Times New Roman" w:cs="Times New Roman"/>
          <w:b w:val="0"/>
          <w:bCs w:val="0"/>
          <w:highlight w:val="none"/>
          <w:lang w:val="en-US" w:eastAsia="zh-CN"/>
        </w:rPr>
      </w:pPr>
      <w:r>
        <w:rPr>
          <w:rFonts w:hint="eastAsia" w:ascii="Times New Roman" w:hAnsi="Times New Roman" w:cs="Times New Roman"/>
          <w:b/>
          <w:bCs/>
          <w:color w:val="auto"/>
          <w:highlight w:val="none"/>
          <w:lang w:val="en-US" w:eastAsia="zh-CN"/>
        </w:rPr>
        <w:t>5</w:t>
      </w:r>
      <w:r>
        <w:rPr>
          <w:rFonts w:hint="eastAsia" w:ascii="Times New Roman" w:hAnsi="Times New Roman" w:cs="Times New Roman"/>
          <w:color w:val="auto"/>
          <w:highlight w:val="none"/>
          <w:lang w:val="en-US" w:eastAsia="zh-CN"/>
        </w:rPr>
        <w:t xml:space="preserve">  保留使用</w:t>
      </w:r>
      <w:r>
        <w:rPr>
          <w:rFonts w:hint="default" w:ascii="Times New Roman" w:hAnsi="Times New Roman" w:eastAsia="宋体" w:cs="Times New Roman"/>
          <w:color w:val="auto"/>
          <w:highlight w:val="none"/>
          <w:lang w:val="en-US" w:eastAsia="zh-CN"/>
        </w:rPr>
        <w:t>的防</w:t>
      </w:r>
      <w:r>
        <w:rPr>
          <w:rFonts w:hint="eastAsia" w:ascii="Times New Roman" w:hAnsi="Times New Roman" w:cs="Times New Roman"/>
          <w:color w:val="auto"/>
          <w:highlight w:val="none"/>
          <w:lang w:val="en-US" w:eastAsia="zh-CN"/>
        </w:rPr>
        <w:t>烟、</w:t>
      </w:r>
      <w:r>
        <w:rPr>
          <w:rFonts w:hint="default" w:ascii="Times New Roman" w:hAnsi="Times New Roman" w:eastAsia="宋体" w:cs="Times New Roman"/>
          <w:color w:val="auto"/>
          <w:highlight w:val="none"/>
          <w:lang w:val="en-US" w:eastAsia="zh-CN"/>
        </w:rPr>
        <w:t>排烟系统</w:t>
      </w:r>
      <w:r>
        <w:rPr>
          <w:rFonts w:hint="eastAsia" w:ascii="Times New Roman" w:hAnsi="Times New Roman" w:cs="Times New Roman"/>
          <w:color w:val="auto"/>
          <w:highlight w:val="none"/>
          <w:lang w:val="en-US" w:eastAsia="zh-CN"/>
        </w:rPr>
        <w:t>，其</w:t>
      </w:r>
      <w:r>
        <w:rPr>
          <w:rFonts w:hint="default" w:ascii="Times New Roman" w:hAnsi="Times New Roman" w:eastAsia="宋体" w:cs="Times New Roman"/>
          <w:color w:val="auto"/>
          <w:highlight w:val="none"/>
          <w:lang w:val="en-US" w:eastAsia="zh-CN"/>
        </w:rPr>
        <w:t>风机</w:t>
      </w:r>
      <w:r>
        <w:rPr>
          <w:rFonts w:hint="eastAsia" w:ascii="Times New Roman" w:hAnsi="Times New Roman" w:cs="Times New Roman"/>
          <w:color w:val="auto"/>
          <w:highlight w:val="none"/>
          <w:lang w:val="en-US" w:eastAsia="zh-CN"/>
        </w:rPr>
        <w:t>、送风管道和</w:t>
      </w:r>
      <w:r>
        <w:rPr>
          <w:rFonts w:hint="default" w:ascii="Times New Roman" w:hAnsi="Times New Roman" w:eastAsia="宋体" w:cs="Times New Roman"/>
          <w:color w:val="auto"/>
          <w:highlight w:val="none"/>
          <w:lang w:val="en-US" w:eastAsia="zh-CN"/>
        </w:rPr>
        <w:t>排烟管道</w:t>
      </w:r>
      <w:r>
        <w:rPr>
          <w:rFonts w:hint="eastAsia" w:ascii="Times New Roman" w:hAnsi="Times New Roman" w:cs="Times New Roman"/>
          <w:color w:val="auto"/>
          <w:highlight w:val="none"/>
          <w:lang w:val="en-US" w:eastAsia="zh-CN"/>
        </w:rPr>
        <w:t>的</w:t>
      </w:r>
      <w:r>
        <w:rPr>
          <w:rFonts w:hint="default" w:ascii="Times New Roman" w:hAnsi="Times New Roman" w:eastAsia="宋体" w:cs="Times New Roman"/>
          <w:color w:val="auto"/>
          <w:highlight w:val="none"/>
          <w:lang w:val="en-US" w:eastAsia="zh-CN"/>
        </w:rPr>
        <w:t>性能</w:t>
      </w:r>
      <w:r>
        <w:rPr>
          <w:rFonts w:hint="eastAsia" w:ascii="Times New Roman" w:hAnsi="Times New Roman" w:cs="Times New Roman"/>
          <w:color w:val="auto"/>
          <w:highlight w:val="none"/>
          <w:lang w:val="en-US" w:eastAsia="zh-CN"/>
        </w:rPr>
        <w:t>、排烟阀和防火阀的功能和性能、系统的功能</w:t>
      </w:r>
      <w:r>
        <w:rPr>
          <w:rFonts w:hint="default" w:ascii="Times New Roman" w:hAnsi="Times New Roman" w:eastAsia="宋体" w:cs="Times New Roman"/>
          <w:color w:val="auto"/>
          <w:highlight w:val="none"/>
          <w:lang w:val="en-US" w:eastAsia="zh-CN"/>
        </w:rPr>
        <w:t>应满足</w:t>
      </w:r>
      <w:r>
        <w:rPr>
          <w:rFonts w:hint="eastAsia" w:ascii="Times New Roman" w:hAnsi="Times New Roman" w:cs="Times New Roman"/>
          <w:color w:val="auto"/>
          <w:highlight w:val="none"/>
          <w:lang w:val="en-US" w:eastAsia="zh-CN"/>
        </w:rPr>
        <w:t>系统</w:t>
      </w:r>
      <w:r>
        <w:rPr>
          <w:rFonts w:hint="default" w:ascii="Times New Roman" w:hAnsi="Times New Roman" w:eastAsia="宋体" w:cs="Times New Roman"/>
          <w:color w:val="auto"/>
          <w:highlight w:val="none"/>
          <w:lang w:val="en-US" w:eastAsia="zh-CN"/>
        </w:rPr>
        <w:t>的</w:t>
      </w:r>
      <w:r>
        <w:rPr>
          <w:rFonts w:hint="eastAsia" w:ascii="Times New Roman" w:hAnsi="Times New Roman" w:cs="Times New Roman"/>
          <w:color w:val="auto"/>
          <w:highlight w:val="none"/>
          <w:lang w:val="en-US" w:eastAsia="zh-CN"/>
        </w:rPr>
        <w:t>原设计</w:t>
      </w:r>
      <w:r>
        <w:rPr>
          <w:rFonts w:hint="default" w:ascii="Times New Roman" w:hAnsi="Times New Roman" w:eastAsia="宋体" w:cs="Times New Roman"/>
          <w:color w:val="auto"/>
          <w:highlight w:val="none"/>
          <w:lang w:val="en-US" w:eastAsia="zh-CN"/>
        </w:rPr>
        <w:t>要求</w:t>
      </w:r>
      <w:r>
        <w:rPr>
          <w:rFonts w:hint="eastAsia" w:ascii="Times New Roman" w:hAnsi="Times New Roman" w:cs="Times New Roman"/>
          <w:color w:val="auto"/>
          <w:highlight w:val="none"/>
          <w:lang w:val="en-US" w:eastAsia="zh-CN"/>
        </w:rPr>
        <w:t>，并宜按照国家现行规范的要求改造。</w:t>
      </w:r>
    </w:p>
    <w:p w14:paraId="58B08147">
      <w:pPr>
        <w:pStyle w:val="19"/>
        <w:spacing w:line="360" w:lineRule="auto"/>
        <w:jc w:val="center"/>
        <w:rPr>
          <w:b/>
          <w:highlight w:val="none"/>
        </w:rPr>
      </w:pPr>
      <w:r>
        <w:rPr>
          <w:rFonts w:hint="default" w:cs="Times New Roman"/>
          <w:b/>
          <w:highlight w:val="none"/>
          <w:lang w:val="en-US" w:eastAsia="zh-CN"/>
        </w:rPr>
        <w:t>Ⅴ</w:t>
      </w:r>
      <w:r>
        <w:rPr>
          <w:rFonts w:hint="eastAsia"/>
          <w:b/>
          <w:highlight w:val="none"/>
        </w:rPr>
        <w:t xml:space="preserve">  </w:t>
      </w:r>
      <w:r>
        <w:rPr>
          <w:rFonts w:hint="eastAsia"/>
          <w:b/>
          <w:highlight w:val="none"/>
          <w:lang w:val="en-US" w:eastAsia="zh-CN"/>
        </w:rPr>
        <w:t>火灾自动报警及其他探测监控系统</w:t>
      </w:r>
    </w:p>
    <w:p w14:paraId="0A78AB69">
      <w:pPr>
        <w:autoSpaceDN/>
        <w:jc w:val="both"/>
        <w:rPr>
          <w:rFonts w:ascii="Times New Roman" w:hAnsi="Times New Roman" w:cs="Times New Roman"/>
          <w:b/>
          <w:bCs/>
          <w:highlight w:val="none"/>
        </w:rPr>
      </w:pPr>
      <w:r>
        <w:rPr>
          <w:rFonts w:hint="eastAsia" w:ascii="Times New Roman" w:hAnsi="Times New Roman" w:cs="Times New Roman"/>
          <w:b/>
          <w:bCs/>
          <w:highlight w:val="none"/>
          <w:lang w:val="en-US" w:eastAsia="zh-CN"/>
        </w:rPr>
        <w:t>4.4.17</w:t>
      </w:r>
      <w:r>
        <w:rPr>
          <w:rFonts w:hint="eastAsia" w:ascii="Times New Roman" w:hAnsi="Times New Roman" w:cs="Times New Roman"/>
          <w:highlight w:val="none"/>
        </w:rPr>
        <w:t xml:space="preserve">  火灾自动报警</w:t>
      </w:r>
      <w:r>
        <w:rPr>
          <w:rFonts w:hint="eastAsia" w:ascii="Times New Roman" w:hAnsi="Times New Roman" w:cs="Times New Roman"/>
          <w:highlight w:val="none"/>
          <w:lang w:val="en-US" w:eastAsia="zh-CN"/>
        </w:rPr>
        <w:t>系统安全评估</w:t>
      </w:r>
      <w:r>
        <w:rPr>
          <w:rFonts w:hint="eastAsia" w:ascii="Times New Roman" w:hAnsi="Times New Roman" w:cs="Times New Roman"/>
          <w:highlight w:val="none"/>
        </w:rPr>
        <w:t>具体包含以下内容：</w:t>
      </w:r>
    </w:p>
    <w:p w14:paraId="18347D83">
      <w:pPr>
        <w:autoSpaceDN/>
        <w:ind w:firstLine="482" w:firstLineChars="200"/>
        <w:jc w:val="both"/>
        <w:rPr>
          <w:rFonts w:hint="eastAsia" w:ascii="Times New Roman" w:hAnsi="Times New Roman" w:cs="Times New Roman"/>
          <w:highlight w:val="none"/>
        </w:rPr>
      </w:pPr>
      <w:r>
        <w:rPr>
          <w:rFonts w:hint="eastAsia" w:ascii="Times New Roman" w:hAnsi="Times New Roman" w:cs="Times New Roman"/>
          <w:b/>
          <w:bCs/>
          <w:highlight w:val="none"/>
        </w:rPr>
        <w:t xml:space="preserve">1  </w:t>
      </w:r>
      <w:r>
        <w:rPr>
          <w:rFonts w:hint="eastAsia" w:ascii="Times New Roman" w:hAnsi="Times New Roman" w:cs="Times New Roman"/>
          <w:highlight w:val="none"/>
          <w:lang w:val="en-US" w:eastAsia="zh-CN"/>
        </w:rPr>
        <w:t>应</w:t>
      </w:r>
      <w:r>
        <w:rPr>
          <w:rFonts w:hint="eastAsia" w:ascii="Times New Roman" w:hAnsi="Times New Roman" w:cs="Times New Roman"/>
          <w:b w:val="0"/>
          <w:bCs w:val="0"/>
          <w:highlight w:val="none"/>
          <w:lang w:val="en-US" w:eastAsia="zh-CN"/>
        </w:rPr>
        <w:t>设置</w:t>
      </w:r>
      <w:r>
        <w:rPr>
          <w:rFonts w:hint="eastAsia" w:ascii="Times New Roman" w:hAnsi="Times New Roman" w:cs="Times New Roman"/>
          <w:highlight w:val="none"/>
          <w:lang w:val="en-US" w:eastAsia="zh-CN"/>
        </w:rPr>
        <w:t>火灾自动报警系统</w:t>
      </w:r>
      <w:r>
        <w:rPr>
          <w:rFonts w:hint="eastAsia" w:ascii="Times New Roman" w:hAnsi="Times New Roman" w:cs="Times New Roman"/>
          <w:b w:val="0"/>
          <w:bCs w:val="0"/>
          <w:highlight w:val="none"/>
          <w:lang w:val="en-US" w:eastAsia="zh-CN"/>
        </w:rPr>
        <w:t>的建筑或场所应</w:t>
      </w:r>
      <w:r>
        <w:rPr>
          <w:rFonts w:hint="eastAsia" w:ascii="Times New Roman" w:hAnsi="Times New Roman" w:cs="Times New Roman"/>
          <w:highlight w:val="none"/>
          <w:lang w:val="en-US" w:eastAsia="zh-CN"/>
        </w:rPr>
        <w:t>按照</w:t>
      </w:r>
      <w:r>
        <w:rPr>
          <w:rFonts w:hint="eastAsia" w:ascii="Times New Roman" w:hAnsi="Times New Roman" w:cs="Times New Roman"/>
          <w:highlight w:val="none"/>
        </w:rPr>
        <w:t>规范</w:t>
      </w:r>
      <w:r>
        <w:rPr>
          <w:rFonts w:hint="eastAsia" w:ascii="Times New Roman" w:hAnsi="Times New Roman" w:cs="Times New Roman"/>
          <w:highlight w:val="none"/>
          <w:lang w:val="en-US" w:eastAsia="zh-CN"/>
        </w:rPr>
        <w:t>要求设置</w:t>
      </w:r>
      <w:r>
        <w:rPr>
          <w:rFonts w:hint="eastAsia" w:ascii="Times New Roman" w:hAnsi="Times New Roman" w:cs="Times New Roman"/>
          <w:highlight w:val="none"/>
        </w:rPr>
        <w:t>；</w:t>
      </w:r>
    </w:p>
    <w:p w14:paraId="57D0E1DE">
      <w:pPr>
        <w:autoSpaceDN/>
        <w:ind w:firstLine="482" w:firstLineChars="200"/>
        <w:jc w:val="both"/>
        <w:rPr>
          <w:rFonts w:hint="eastAsia" w:ascii="Times New Roman" w:hAnsi="Times New Roman" w:eastAsia="宋体" w:cs="Times New Roman"/>
          <w:b/>
          <w:bCs/>
          <w:highlight w:val="none"/>
          <w:lang w:eastAsia="zh-CN"/>
        </w:rPr>
      </w:pPr>
      <w:r>
        <w:rPr>
          <w:rFonts w:hint="eastAsia" w:ascii="Times New Roman" w:hAnsi="Times New Roman" w:cs="Times New Roman"/>
          <w:b/>
          <w:bCs/>
          <w:highlight w:val="none"/>
          <w:lang w:val="en-US" w:eastAsia="zh-CN"/>
        </w:rPr>
        <w:t>2</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 xml:space="preserve"> 消防联动控制器应按照规范要求联动控制消防自动喷水灭火系统、消火栓系统、防烟排烟系统、气体灭火系统、防火门及防火卷帘、电动排烟窗、消防应急广播与火灾警报器、消防应急照明和疏散指示系统、电梯、门禁及闸口等设备</w:t>
      </w:r>
      <w:r>
        <w:rPr>
          <w:rFonts w:hint="eastAsia" w:ascii="Times New Roman" w:hAnsi="Times New Roman" w:cs="Times New Roman"/>
          <w:b w:val="0"/>
          <w:bCs w:val="0"/>
          <w:highlight w:val="none"/>
          <w:lang w:eastAsia="zh-CN"/>
        </w:rPr>
        <w:t>；</w:t>
      </w:r>
    </w:p>
    <w:p w14:paraId="6537ED76">
      <w:pPr>
        <w:autoSpaceDN/>
        <w:ind w:firstLine="482" w:firstLineChars="200"/>
        <w:jc w:val="both"/>
        <w:rPr>
          <w:rFonts w:hint="eastAsia" w:ascii="Times New Roman" w:hAnsi="Times New Roman" w:cs="Times New Roman"/>
          <w:b w:val="0"/>
          <w:bCs w:val="0"/>
          <w:highlight w:val="none"/>
        </w:rPr>
      </w:pPr>
      <w:r>
        <w:rPr>
          <w:rFonts w:hint="eastAsia" w:ascii="Times New Roman" w:hAnsi="Times New Roman" w:cs="Times New Roman"/>
          <w:b/>
          <w:bCs/>
          <w:highlight w:val="none"/>
          <w:lang w:val="en-US" w:eastAsia="zh-CN"/>
        </w:rPr>
        <w:t>3</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火灾自动报警系统总线上应设置总线短路隔离器，并应符合规范相关要求</w:t>
      </w:r>
      <w:r>
        <w:rPr>
          <w:rFonts w:hint="eastAsia" w:ascii="Times New Roman" w:hAnsi="Times New Roman" w:cs="Times New Roman"/>
          <w:b w:val="0"/>
          <w:bCs w:val="0"/>
          <w:highlight w:val="none"/>
        </w:rPr>
        <w:t>；</w:t>
      </w:r>
    </w:p>
    <w:p w14:paraId="62D7426B">
      <w:pPr>
        <w:autoSpaceDN/>
        <w:ind w:firstLine="482" w:firstLineChars="200"/>
        <w:jc w:val="both"/>
        <w:rPr>
          <w:rFonts w:hint="eastAsia" w:ascii="Times New Roman" w:hAnsi="Times New Roman" w:eastAsia="宋体" w:cs="Times New Roman"/>
          <w:b/>
          <w:bCs/>
          <w:highlight w:val="none"/>
          <w:lang w:eastAsia="zh-CN"/>
        </w:rPr>
      </w:pPr>
      <w:r>
        <w:rPr>
          <w:rFonts w:hint="eastAsia" w:ascii="Times New Roman" w:hAnsi="Times New Roman" w:cs="Times New Roman"/>
          <w:b/>
          <w:bCs/>
          <w:highlight w:val="none"/>
          <w:lang w:val="en-US" w:eastAsia="zh-CN"/>
        </w:rPr>
        <w:t>4</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火灾自动报警系统中控制与显示类设备的主电源应直接与消防电源连接，不应使用电源插头</w:t>
      </w:r>
      <w:r>
        <w:rPr>
          <w:rFonts w:hint="eastAsia" w:ascii="Times New Roman" w:hAnsi="Times New Roman" w:cs="Times New Roman"/>
          <w:highlight w:val="none"/>
          <w:lang w:eastAsia="zh-CN"/>
        </w:rPr>
        <w:t>；</w:t>
      </w:r>
    </w:p>
    <w:p w14:paraId="3F6F7AE7">
      <w:pPr>
        <w:autoSpaceDN/>
        <w:ind w:firstLine="482" w:firstLineChars="200"/>
        <w:jc w:val="both"/>
        <w:rPr>
          <w:rFonts w:hint="eastAsia" w:ascii="Times New Roman" w:hAnsi="Times New Roman" w:eastAsia="宋体" w:cs="Times New Roman"/>
          <w:highlight w:val="none"/>
          <w:lang w:eastAsia="zh-CN"/>
        </w:rPr>
      </w:pPr>
      <w:r>
        <w:rPr>
          <w:rFonts w:hint="eastAsia" w:ascii="Times New Roman" w:hAnsi="Times New Roman" w:cs="Times New Roman"/>
          <w:b/>
          <w:bCs/>
          <w:highlight w:val="none"/>
          <w:lang w:val="en-US" w:eastAsia="zh-CN"/>
        </w:rPr>
        <w:t>5</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火灾探测器、手动报警按钮、火灾声、光警报器、独立式烟感探测器的选型、设置位置、数量、功能、标识等应符合规范要求</w:t>
      </w:r>
      <w:r>
        <w:rPr>
          <w:rFonts w:hint="eastAsia" w:ascii="Times New Roman" w:hAnsi="Times New Roman" w:cs="Times New Roman"/>
          <w:highlight w:val="none"/>
          <w:lang w:eastAsia="zh-CN"/>
        </w:rPr>
        <w:t>；</w:t>
      </w:r>
    </w:p>
    <w:p w14:paraId="72C16783">
      <w:pPr>
        <w:autoSpaceDN/>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6</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可燃气体探测报警系统、</w:t>
      </w:r>
      <w:r>
        <w:rPr>
          <w:rFonts w:hint="eastAsia" w:ascii="Times New Roman" w:hAnsi="Times New Roman" w:cs="Times New Roman"/>
          <w:b w:val="0"/>
          <w:bCs w:val="0"/>
          <w:color w:val="000000" w:themeColor="text1"/>
          <w:highlight w:val="none"/>
          <w:lang w:val="en-US" w:eastAsia="zh-CN"/>
          <w14:textFill>
            <w14:solidFill>
              <w14:schemeClr w14:val="tx1"/>
            </w14:solidFill>
          </w14:textFill>
        </w:rPr>
        <w:t>电气火灾监控系统均应独立组成，其设置位置</w:t>
      </w:r>
      <w:r>
        <w:rPr>
          <w:rFonts w:hint="eastAsia" w:ascii="Times New Roman" w:hAnsi="Times New Roman" w:cs="Times New Roman"/>
          <w:b w:val="0"/>
          <w:bCs w:val="0"/>
          <w:highlight w:val="none"/>
          <w:lang w:val="en-US" w:eastAsia="zh-CN"/>
        </w:rPr>
        <w:t>、功能等应符合规范要求；</w:t>
      </w:r>
    </w:p>
    <w:p w14:paraId="299F69F9">
      <w:pPr>
        <w:autoSpaceDN/>
        <w:ind w:firstLine="482" w:firstLineChars="200"/>
        <w:jc w:val="both"/>
        <w:rPr>
          <w:rFonts w:hint="eastAsia" w:cs="Times New Roman"/>
          <w:highlight w:val="none"/>
          <w:lang w:val="en-US" w:eastAsia="zh-CN"/>
        </w:rPr>
      </w:pPr>
      <w:r>
        <w:rPr>
          <w:rFonts w:hint="eastAsia" w:ascii="Times New Roman" w:hAnsi="Times New Roman" w:cs="Times New Roman"/>
          <w:b/>
          <w:bCs/>
          <w:highlight w:val="none"/>
          <w:lang w:val="en-US" w:eastAsia="zh-CN"/>
        </w:rPr>
        <w:t>7</w:t>
      </w:r>
      <w:r>
        <w:rPr>
          <w:rFonts w:hint="eastAsia" w:ascii="Times New Roman" w:hAnsi="Times New Roman" w:cs="Times New Roman"/>
          <w:b w:val="0"/>
          <w:bCs w:val="0"/>
          <w:highlight w:val="none"/>
          <w:lang w:val="en-US" w:eastAsia="zh-CN"/>
        </w:rPr>
        <w:t xml:space="preserve">  集中报警系统和控制中心报警系统应设置消防应急广播系统，具有消防应急广播功能的多用途公共广播系统应具有强制切入消防应急广播的功能，消防应急广播扬声器的</w:t>
      </w:r>
      <w:r>
        <w:rPr>
          <w:rFonts w:hint="eastAsia" w:cs="Times New Roman"/>
          <w:highlight w:val="none"/>
          <w:lang w:val="en-US" w:eastAsia="zh-CN"/>
        </w:rPr>
        <w:t>设置位置、数量、额定功率、扬声器声压级等应符合规范要求；</w:t>
      </w:r>
    </w:p>
    <w:p w14:paraId="23A46F24">
      <w:pPr>
        <w:autoSpaceDN/>
        <w:ind w:firstLine="482" w:firstLineChars="200"/>
        <w:jc w:val="both"/>
        <w:rPr>
          <w:rFonts w:hint="default" w:ascii="Times New Roman" w:hAnsi="Times New Roman" w:eastAsia="宋体" w:cs="Times New Roman"/>
          <w:highlight w:val="none"/>
          <w:lang w:val="en-US" w:eastAsia="zh-CN"/>
        </w:rPr>
      </w:pPr>
      <w:r>
        <w:rPr>
          <w:rFonts w:hint="eastAsia" w:ascii="Times New Roman" w:hAnsi="Times New Roman" w:cs="Times New Roman"/>
          <w:b/>
          <w:bCs/>
          <w:highlight w:val="none"/>
          <w:lang w:val="en-US" w:eastAsia="zh-CN"/>
        </w:rPr>
        <w:t>8</w:t>
      </w:r>
      <w:r>
        <w:rPr>
          <w:rFonts w:hint="eastAsia" w:ascii="Times New Roman" w:hAnsi="Times New Roman" w:cs="Times New Roman"/>
          <w:highlight w:val="none"/>
          <w:lang w:val="en-US" w:eastAsia="zh-CN"/>
        </w:rPr>
        <w:t xml:space="preserve">  消防控制室内应设置消防专用电话总机和可直接报火警的外线电话，消防专用电话网络应为独立的消防通讯系统，多线制消防专用电话系统中的每个电话分机应与总机单独连接，电话分机或电话插孔的设置应符合规范要求；</w:t>
      </w:r>
    </w:p>
    <w:p w14:paraId="07DEC06B">
      <w:pPr>
        <w:autoSpaceDN/>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9</w:t>
      </w:r>
      <w:r>
        <w:rPr>
          <w:rFonts w:hint="eastAsia" w:ascii="Times New Roman" w:hAnsi="Times New Roman" w:cs="Times New Roman"/>
          <w:b w:val="0"/>
          <w:bCs w:val="0"/>
          <w:highlight w:val="none"/>
        </w:rPr>
        <w:t xml:space="preserve">  </w:t>
      </w:r>
      <w:r>
        <w:rPr>
          <w:rFonts w:hint="eastAsia" w:ascii="Times New Roman" w:hAnsi="Times New Roman" w:cs="Times New Roman"/>
          <w:b w:val="0"/>
          <w:bCs w:val="0"/>
          <w:highlight w:val="none"/>
          <w:lang w:val="en-US" w:eastAsia="zh-CN"/>
        </w:rPr>
        <w:t>消防控制室图形显示装置应能显示建筑平面布局图、疏散通道及消防设备所在位置的平面图或系统图；</w:t>
      </w:r>
    </w:p>
    <w:p w14:paraId="4933DD26">
      <w:pPr>
        <w:autoSpaceDN/>
        <w:ind w:firstLine="482" w:firstLineChars="200"/>
        <w:jc w:val="both"/>
        <w:rPr>
          <w:rFonts w:hint="eastAsia"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10</w:t>
      </w:r>
      <w:r>
        <w:rPr>
          <w:rFonts w:hint="eastAsia" w:ascii="Times New Roman" w:hAnsi="Times New Roman" w:cs="Times New Roman"/>
          <w:b w:val="0"/>
          <w:bCs w:val="0"/>
          <w:highlight w:val="none"/>
          <w:lang w:val="en-US" w:eastAsia="zh-CN"/>
        </w:rPr>
        <w:t xml:space="preserve">  火灾自动报警系统应设置自动和手动触发报警装置，系统应具有火灾自动探测报警或人工辅助报警、控制相关系统设备应急启动并接收其动作反馈信号的功能。</w:t>
      </w:r>
    </w:p>
    <w:p w14:paraId="3B2295F1">
      <w:pPr>
        <w:autoSpaceDN/>
        <w:ind w:firstLine="0" w:firstLineChars="0"/>
        <w:jc w:val="both"/>
        <w:rPr>
          <w:rFonts w:hint="default" w:ascii="Times New Roman" w:hAnsi="Times New Roman" w:cs="Times New Roman"/>
          <w:b w:val="0"/>
          <w:bCs w:val="0"/>
          <w:highlight w:val="none"/>
          <w:lang w:val="en-US" w:eastAsia="zh-CN"/>
        </w:rPr>
      </w:pPr>
      <w:r>
        <w:rPr>
          <w:rFonts w:hint="eastAsia" w:ascii="Times New Roman" w:hAnsi="Times New Roman" w:cs="Times New Roman"/>
          <w:b/>
          <w:bCs/>
          <w:highlight w:val="none"/>
          <w:lang w:val="en-US" w:eastAsia="zh-CN"/>
        </w:rPr>
        <w:t>4.4.18</w:t>
      </w:r>
      <w:r>
        <w:rPr>
          <w:rFonts w:hint="eastAsia" w:ascii="Times New Roman" w:hAnsi="Times New Roman" w:cs="Times New Roman"/>
          <w:b w:val="0"/>
          <w:bCs w:val="0"/>
          <w:highlight w:val="none"/>
          <w:lang w:val="en-US" w:eastAsia="zh-CN"/>
        </w:rPr>
        <w:t xml:space="preserve">  </w:t>
      </w:r>
      <w:r>
        <w:rPr>
          <w:rFonts w:hint="default" w:ascii="Times New Roman" w:hAnsi="Times New Roman" w:eastAsia="宋体" w:cs="Times New Roman"/>
          <w:color w:val="auto"/>
          <w:highlight w:val="none"/>
          <w:lang w:val="en-US" w:eastAsia="zh-CN"/>
        </w:rPr>
        <w:t>既有建筑改造中保留</w:t>
      </w:r>
      <w:r>
        <w:rPr>
          <w:rFonts w:hint="eastAsia" w:ascii="Times New Roman" w:hAnsi="Times New Roman" w:cs="Times New Roman"/>
          <w:color w:val="auto"/>
          <w:highlight w:val="none"/>
          <w:lang w:val="en-US" w:eastAsia="zh-CN"/>
        </w:rPr>
        <w:t>使用</w:t>
      </w:r>
      <w:r>
        <w:rPr>
          <w:rFonts w:hint="default" w:ascii="Times New Roman" w:hAnsi="Times New Roman" w:eastAsia="宋体" w:cs="Times New Roman"/>
          <w:color w:val="auto"/>
          <w:highlight w:val="none"/>
          <w:lang w:val="en-US" w:eastAsia="zh-CN"/>
        </w:rPr>
        <w:t>的火灾自动报警系统</w:t>
      </w:r>
      <w:r>
        <w:rPr>
          <w:rFonts w:hint="eastAsia" w:ascii="Times New Roman" w:hAnsi="Times New Roman" w:cs="Times New Roman"/>
          <w:color w:val="auto"/>
          <w:highlight w:val="none"/>
          <w:lang w:val="en-US" w:eastAsia="zh-CN"/>
        </w:rPr>
        <w:t>，当不能独立发挥作用时</w:t>
      </w:r>
      <w:r>
        <w:rPr>
          <w:rFonts w:hint="default" w:ascii="Times New Roman" w:hAnsi="Times New Roman" w:eastAsia="宋体" w:cs="Times New Roman"/>
          <w:color w:val="auto"/>
          <w:highlight w:val="none"/>
          <w:lang w:val="en-US" w:eastAsia="zh-CN"/>
        </w:rPr>
        <w:t>，应与建筑中</w:t>
      </w:r>
      <w:r>
        <w:rPr>
          <w:rFonts w:hint="eastAsia" w:ascii="Times New Roman" w:hAnsi="Times New Roman" w:cs="Times New Roman"/>
          <w:color w:val="auto"/>
          <w:highlight w:val="none"/>
          <w:lang w:val="en-US" w:eastAsia="zh-CN"/>
        </w:rPr>
        <w:t>新增的</w:t>
      </w:r>
      <w:r>
        <w:rPr>
          <w:rFonts w:hint="default" w:ascii="Times New Roman" w:hAnsi="Times New Roman" w:eastAsia="宋体" w:cs="Times New Roman"/>
          <w:color w:val="auto"/>
          <w:highlight w:val="none"/>
          <w:lang w:val="en-US" w:eastAsia="zh-CN"/>
        </w:rPr>
        <w:t>火灾自动报警系统兼容</w:t>
      </w:r>
      <w:r>
        <w:rPr>
          <w:rFonts w:hint="eastAsia"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其功能、性能及相关电气线路的性能应满足系统正常工作的要求</w:t>
      </w:r>
      <w:r>
        <w:rPr>
          <w:rFonts w:hint="eastAsia" w:ascii="Times New Roman" w:hAnsi="Times New Roman" w:cs="Times New Roman"/>
          <w:color w:val="auto"/>
          <w:highlight w:val="none"/>
          <w:lang w:val="en-US" w:eastAsia="zh-CN"/>
        </w:rPr>
        <w:t>。</w:t>
      </w:r>
    </w:p>
    <w:p w14:paraId="4E11ACCF">
      <w:pPr>
        <w:pStyle w:val="19"/>
        <w:spacing w:line="360" w:lineRule="auto"/>
        <w:jc w:val="center"/>
        <w:rPr>
          <w:b/>
          <w:highlight w:val="none"/>
        </w:rPr>
      </w:pPr>
      <w:r>
        <w:rPr>
          <w:rFonts w:hint="default" w:ascii="Times New Roman" w:hAnsi="Times New Roman" w:cs="Times New Roman"/>
          <w:b/>
          <w:highlight w:val="none"/>
          <w:lang w:val="en-US" w:eastAsia="zh-CN"/>
        </w:rPr>
        <w:t>Ⅵ</w:t>
      </w:r>
      <w:r>
        <w:rPr>
          <w:rFonts w:hint="eastAsia"/>
          <w:b/>
          <w:highlight w:val="none"/>
        </w:rPr>
        <w:t xml:space="preserve">  消防供配电设施</w:t>
      </w:r>
    </w:p>
    <w:p w14:paraId="3FDE53ED">
      <w:pPr>
        <w:autoSpaceDN/>
        <w:jc w:val="both"/>
        <w:rPr>
          <w:rFonts w:hint="eastAsia" w:ascii="Times New Roman" w:hAnsi="Times New Roman" w:cs="Times New Roman"/>
          <w:highlight w:val="none"/>
          <w:lang w:eastAsia="zh-CN"/>
        </w:rPr>
      </w:pPr>
      <w:r>
        <w:rPr>
          <w:rFonts w:hint="eastAsia" w:ascii="Times New Roman" w:hAnsi="Times New Roman" w:cs="Times New Roman"/>
          <w:b/>
          <w:bCs/>
          <w:highlight w:val="none"/>
          <w:lang w:val="en-US" w:eastAsia="zh-CN"/>
        </w:rPr>
        <w:t>4.4.19</w:t>
      </w:r>
      <w:r>
        <w:rPr>
          <w:rFonts w:hint="eastAsia" w:ascii="Times New Roman" w:hAnsi="Times New Roman" w:cs="Times New Roman"/>
          <w:highlight w:val="none"/>
        </w:rPr>
        <w:t xml:space="preserve">  </w:t>
      </w:r>
      <w:r>
        <w:rPr>
          <w:rFonts w:hint="eastAsia" w:ascii="Times New Roman" w:hAnsi="Times New Roman" w:cs="Times New Roman"/>
          <w:highlight w:val="none"/>
          <w:lang w:eastAsia="zh-CN"/>
        </w:rPr>
        <w:t>建筑及建筑内保护对象的</w:t>
      </w:r>
      <w:r>
        <w:rPr>
          <w:rFonts w:hint="eastAsia" w:ascii="Times New Roman" w:hAnsi="Times New Roman" w:cs="Times New Roman"/>
          <w:highlight w:val="none"/>
        </w:rPr>
        <w:t>消防用电负荷等级的确定应符合规范要求</w:t>
      </w:r>
      <w:r>
        <w:rPr>
          <w:rFonts w:hint="eastAsia" w:ascii="Times New Roman" w:hAnsi="Times New Roman" w:cs="Times New Roman"/>
          <w:highlight w:val="none"/>
          <w:lang w:eastAsia="zh-CN"/>
        </w:rPr>
        <w:t>。</w:t>
      </w:r>
    </w:p>
    <w:p w14:paraId="685407FC">
      <w:pPr>
        <w:autoSpaceDN/>
        <w:jc w:val="both"/>
        <w:rPr>
          <w:rFonts w:ascii="Times New Roman" w:hAnsi="Times New Roman" w:cs="Times New Roman"/>
          <w:b/>
          <w:bCs/>
          <w:highlight w:val="none"/>
        </w:rPr>
      </w:pPr>
      <w:r>
        <w:rPr>
          <w:rFonts w:hint="eastAsia" w:ascii="Times New Roman" w:hAnsi="Times New Roman" w:cs="Times New Roman"/>
          <w:b/>
          <w:bCs/>
          <w:highlight w:val="none"/>
          <w:lang w:val="en-US" w:eastAsia="zh-CN"/>
        </w:rPr>
        <w:t>4.4.20</w:t>
      </w:r>
      <w:r>
        <w:rPr>
          <w:rFonts w:hint="eastAsia" w:ascii="Times New Roman" w:hAnsi="Times New Roman" w:cs="Times New Roman"/>
          <w:highlight w:val="none"/>
        </w:rPr>
        <w:t xml:space="preserve">  消防电源</w:t>
      </w:r>
      <w:r>
        <w:rPr>
          <w:rFonts w:hint="eastAsia" w:ascii="Times New Roman" w:hAnsi="Times New Roman" w:cs="Times New Roman"/>
          <w:highlight w:val="none"/>
          <w:lang w:val="en-US" w:eastAsia="zh-CN"/>
        </w:rPr>
        <w:t>安全评估</w:t>
      </w:r>
      <w:r>
        <w:rPr>
          <w:rFonts w:hint="eastAsia" w:ascii="Times New Roman" w:hAnsi="Times New Roman" w:cs="Times New Roman"/>
          <w:highlight w:val="none"/>
        </w:rPr>
        <w:t>具体包含以下内容：</w:t>
      </w:r>
    </w:p>
    <w:p w14:paraId="3E4CD8AE">
      <w:pPr>
        <w:autoSpaceDN/>
        <w:ind w:firstLine="482" w:firstLineChars="200"/>
        <w:jc w:val="both"/>
        <w:rPr>
          <w:rFonts w:ascii="Times New Roman" w:hAnsi="Times New Roman" w:cs="Times New Roman"/>
          <w:highlight w:val="none"/>
        </w:rPr>
      </w:pPr>
      <w:r>
        <w:rPr>
          <w:rFonts w:hint="eastAsia" w:ascii="Times New Roman" w:hAnsi="Times New Roman" w:cs="Times New Roman"/>
          <w:b/>
          <w:bCs/>
          <w:highlight w:val="none"/>
        </w:rPr>
        <w:t>1</w:t>
      </w:r>
      <w:r>
        <w:rPr>
          <w:rFonts w:hint="eastAsia" w:ascii="Times New Roman" w:hAnsi="Times New Roman" w:cs="Times New Roman"/>
          <w:b w:val="0"/>
          <w:bCs w:val="0"/>
          <w:highlight w:val="none"/>
        </w:rPr>
        <w:t xml:space="preserve">  </w:t>
      </w:r>
      <w:r>
        <w:rPr>
          <w:rFonts w:hint="eastAsia" w:ascii="Times New Roman" w:hAnsi="Times New Roman" w:cs="Times New Roman"/>
          <w:highlight w:val="none"/>
        </w:rPr>
        <w:t>消防电源</w:t>
      </w:r>
      <w:r>
        <w:rPr>
          <w:rFonts w:hint="eastAsia" w:ascii="Times New Roman" w:hAnsi="Times New Roman" w:cs="Times New Roman"/>
          <w:highlight w:val="none"/>
          <w:lang w:val="en-US" w:eastAsia="zh-CN"/>
        </w:rPr>
        <w:t>设置</w:t>
      </w:r>
      <w:r>
        <w:rPr>
          <w:rFonts w:hint="eastAsia" w:ascii="Times New Roman" w:hAnsi="Times New Roman" w:cs="Times New Roman"/>
          <w:highlight w:val="none"/>
          <w:lang w:eastAsia="zh-CN"/>
        </w:rPr>
        <w:t>应与其</w:t>
      </w:r>
      <w:r>
        <w:rPr>
          <w:rFonts w:hint="eastAsia" w:ascii="Times New Roman" w:hAnsi="Times New Roman" w:cs="Times New Roman"/>
          <w:highlight w:val="none"/>
        </w:rPr>
        <w:t>用电负荷等级</w:t>
      </w:r>
      <w:r>
        <w:rPr>
          <w:rFonts w:hint="eastAsia" w:ascii="Times New Roman" w:hAnsi="Times New Roman" w:cs="Times New Roman"/>
          <w:highlight w:val="none"/>
          <w:lang w:eastAsia="zh-CN"/>
        </w:rPr>
        <w:t>相匹配，一级负荷供电电源应由双重电源供电，当双重电源采用一用一备工作方式时，其转换时间应满足防火规范要求；二级负荷供电电源电压等级为10kV时，其两回路应分别取自同一座区域变电站不同变压器供电的两段母线或取自两座区域变电站；三级负荷供电除消防泵用电有特殊要求外，其他应按国家相关规范执行</w:t>
      </w:r>
      <w:r>
        <w:rPr>
          <w:rFonts w:hint="eastAsia" w:ascii="Times New Roman" w:hAnsi="Times New Roman" w:cs="Times New Roman"/>
          <w:highlight w:val="none"/>
        </w:rPr>
        <w:t>；</w:t>
      </w:r>
    </w:p>
    <w:p w14:paraId="1340B554">
      <w:pPr>
        <w:autoSpaceDN/>
        <w:ind w:firstLine="482" w:firstLineChars="200"/>
        <w:jc w:val="both"/>
        <w:rPr>
          <w:rFonts w:ascii="Times New Roman" w:hAnsi="Times New Roman" w:cs="Times New Roman"/>
          <w:highlight w:val="none"/>
        </w:rPr>
      </w:pPr>
      <w:r>
        <w:rPr>
          <w:rFonts w:hint="eastAsia" w:ascii="Times New Roman" w:hAnsi="Times New Roman" w:cs="Times New Roman"/>
          <w:b/>
          <w:bCs/>
          <w:highlight w:val="none"/>
        </w:rPr>
        <w:t xml:space="preserve">2  </w:t>
      </w:r>
      <w:r>
        <w:rPr>
          <w:rFonts w:hint="eastAsia" w:ascii="Times New Roman" w:hAnsi="Times New Roman" w:cs="Times New Roman"/>
          <w:highlight w:val="none"/>
        </w:rPr>
        <w:t>一、二级负荷消防电源采用自备发电机</w:t>
      </w:r>
      <w:r>
        <w:rPr>
          <w:rFonts w:hint="eastAsia" w:ascii="Times New Roman" w:hAnsi="Times New Roman" w:cs="Times New Roman"/>
          <w:highlight w:val="none"/>
          <w:lang w:eastAsia="zh-CN"/>
        </w:rPr>
        <w:t>用作备用电源</w:t>
      </w:r>
      <w:r>
        <w:rPr>
          <w:rFonts w:hint="eastAsia" w:ascii="Times New Roman" w:hAnsi="Times New Roman" w:cs="Times New Roman"/>
          <w:highlight w:val="none"/>
        </w:rPr>
        <w:t>时，发电机的</w:t>
      </w:r>
      <w:r>
        <w:rPr>
          <w:rFonts w:hint="eastAsia" w:ascii="Times New Roman" w:hAnsi="Times New Roman" w:cs="Times New Roman"/>
          <w:highlight w:val="none"/>
          <w:lang w:eastAsia="zh-CN"/>
        </w:rPr>
        <w:t>运行及输出</w:t>
      </w:r>
      <w:r>
        <w:rPr>
          <w:rFonts w:hint="eastAsia" w:ascii="Times New Roman" w:hAnsi="Times New Roman" w:cs="Times New Roman"/>
          <w:highlight w:val="none"/>
        </w:rPr>
        <w:t>功率、</w:t>
      </w:r>
      <w:r>
        <w:rPr>
          <w:rFonts w:hint="eastAsia" w:ascii="Times New Roman" w:hAnsi="Times New Roman" w:cs="Times New Roman"/>
          <w:highlight w:val="none"/>
          <w:lang w:eastAsia="zh-CN"/>
        </w:rPr>
        <w:t>燃油标号、自动、手动启动方式及</w:t>
      </w:r>
      <w:r>
        <w:rPr>
          <w:rFonts w:hint="eastAsia" w:ascii="Times New Roman" w:hAnsi="Times New Roman" w:cs="Times New Roman"/>
          <w:highlight w:val="none"/>
          <w:lang w:val="en-US" w:eastAsia="zh-CN"/>
        </w:rPr>
        <w:t>30s自启动应</w:t>
      </w:r>
      <w:r>
        <w:rPr>
          <w:rFonts w:hint="eastAsia" w:ascii="Times New Roman" w:hAnsi="Times New Roman" w:cs="Times New Roman"/>
          <w:highlight w:val="none"/>
        </w:rPr>
        <w:t>符合规范要求；</w:t>
      </w:r>
    </w:p>
    <w:p w14:paraId="5A7F1FE6">
      <w:pPr>
        <w:autoSpaceDN/>
        <w:ind w:firstLine="482" w:firstLineChars="200"/>
        <w:jc w:val="both"/>
        <w:rPr>
          <w:rFonts w:ascii="Times New Roman" w:hAnsi="Times New Roman" w:cs="Times New Roman"/>
          <w:highlight w:val="none"/>
        </w:rPr>
      </w:pPr>
      <w:r>
        <w:rPr>
          <w:rFonts w:hint="eastAsia" w:ascii="Times New Roman" w:hAnsi="Times New Roman" w:cs="Times New Roman"/>
          <w:b/>
          <w:bCs/>
          <w:highlight w:val="none"/>
        </w:rPr>
        <w:t xml:space="preserve">3  </w:t>
      </w:r>
      <w:r>
        <w:rPr>
          <w:rFonts w:hint="eastAsia" w:ascii="Times New Roman" w:hAnsi="Times New Roman" w:cs="Times New Roman"/>
          <w:highlight w:val="none"/>
        </w:rPr>
        <w:t>备用消防电源的供电时间和容量，</w:t>
      </w:r>
      <w:r>
        <w:rPr>
          <w:rFonts w:hint="eastAsia" w:ascii="Times New Roman" w:hAnsi="Times New Roman" w:cs="Times New Roman"/>
          <w:highlight w:val="none"/>
          <w:lang w:val="en-US" w:eastAsia="zh-CN"/>
        </w:rPr>
        <w:t>应按照规范要求</w:t>
      </w:r>
      <w:r>
        <w:rPr>
          <w:rFonts w:hint="eastAsia" w:ascii="Times New Roman" w:hAnsi="Times New Roman" w:cs="Times New Roman"/>
          <w:highlight w:val="none"/>
        </w:rPr>
        <w:t>满足该建筑火灾延续时间内各消防用电设备的要求，</w:t>
      </w:r>
      <w:r>
        <w:rPr>
          <w:rFonts w:hint="eastAsia" w:ascii="Times New Roman" w:hAnsi="Times New Roman" w:cs="Times New Roman"/>
          <w:highlight w:val="none"/>
          <w:lang w:eastAsia="zh-CN"/>
        </w:rPr>
        <w:t>建筑内</w:t>
      </w:r>
      <w:r>
        <w:rPr>
          <w:rFonts w:hint="eastAsia" w:ascii="Times New Roman" w:hAnsi="Times New Roman" w:cs="Times New Roman"/>
          <w:highlight w:val="none"/>
        </w:rPr>
        <w:t>应急照明和疏散指示标志备用电源的连续供电时间</w:t>
      </w:r>
      <w:r>
        <w:rPr>
          <w:rFonts w:hint="eastAsia" w:ascii="Times New Roman" w:hAnsi="Times New Roman" w:cs="Times New Roman"/>
          <w:highlight w:val="none"/>
          <w:lang w:val="en-US" w:eastAsia="zh-CN"/>
        </w:rPr>
        <w:t>应</w:t>
      </w:r>
      <w:r>
        <w:rPr>
          <w:rFonts w:hint="eastAsia" w:ascii="Times New Roman" w:hAnsi="Times New Roman" w:cs="Times New Roman"/>
          <w:highlight w:val="none"/>
        </w:rPr>
        <w:t>符合规范要求。</w:t>
      </w:r>
    </w:p>
    <w:p w14:paraId="698A425D">
      <w:pPr>
        <w:autoSpaceDN/>
        <w:jc w:val="both"/>
        <w:rPr>
          <w:rFonts w:hint="eastAsia" w:cs="Times New Roman"/>
          <w:highlight w:val="none"/>
        </w:rPr>
      </w:pPr>
      <w:r>
        <w:rPr>
          <w:rFonts w:hint="eastAsia" w:ascii="Times New Roman" w:hAnsi="Times New Roman" w:cs="Times New Roman"/>
          <w:b/>
          <w:bCs/>
          <w:highlight w:val="none"/>
          <w:lang w:val="en-US" w:eastAsia="zh-CN"/>
        </w:rPr>
        <w:t>4.4.21</w:t>
      </w:r>
      <w:r>
        <w:rPr>
          <w:rFonts w:hint="eastAsia" w:ascii="Times New Roman" w:hAnsi="Times New Roman" w:cs="Times New Roman"/>
          <w:highlight w:val="none"/>
        </w:rPr>
        <w:t xml:space="preserve">  </w:t>
      </w:r>
      <w:r>
        <w:rPr>
          <w:rFonts w:hint="eastAsia" w:cs="Times New Roman"/>
          <w:highlight w:val="none"/>
        </w:rPr>
        <w:t>消防配电</w:t>
      </w:r>
      <w:r>
        <w:rPr>
          <w:rFonts w:hint="eastAsia" w:cs="Times New Roman"/>
          <w:highlight w:val="none"/>
          <w:lang w:val="en-US" w:eastAsia="zh-CN"/>
        </w:rPr>
        <w:t>安全评估</w:t>
      </w:r>
      <w:r>
        <w:rPr>
          <w:rFonts w:hint="eastAsia" w:cs="Times New Roman"/>
          <w:highlight w:val="none"/>
        </w:rPr>
        <w:t>具体包含以下内容：</w:t>
      </w:r>
    </w:p>
    <w:p w14:paraId="00AEA4CC">
      <w:pPr>
        <w:autoSpaceDN/>
        <w:ind w:firstLine="482" w:firstLineChars="200"/>
        <w:jc w:val="both"/>
        <w:rPr>
          <w:rFonts w:hint="eastAsia" w:cs="Times New Roman"/>
          <w:highlight w:val="none"/>
        </w:rPr>
      </w:pPr>
      <w:r>
        <w:rPr>
          <w:rFonts w:hint="default" w:ascii="Times New Roman" w:hAnsi="Times New Roman" w:cs="Times New Roman"/>
          <w:b/>
          <w:bCs/>
          <w:highlight w:val="none"/>
        </w:rPr>
        <w:t>1</w:t>
      </w:r>
      <w:r>
        <w:rPr>
          <w:rFonts w:hint="eastAsia" w:cs="Times New Roman"/>
          <w:b/>
          <w:bCs/>
          <w:highlight w:val="none"/>
        </w:rPr>
        <w:t xml:space="preserve">  </w:t>
      </w:r>
      <w:r>
        <w:rPr>
          <w:rFonts w:hint="eastAsia" w:cs="Times New Roman"/>
          <w:highlight w:val="none"/>
        </w:rPr>
        <w:t>消防用电设备</w:t>
      </w:r>
      <w:r>
        <w:rPr>
          <w:rFonts w:hint="eastAsia" w:cs="Times New Roman"/>
          <w:highlight w:val="none"/>
          <w:lang w:val="en-US" w:eastAsia="zh-CN"/>
        </w:rPr>
        <w:t>应按照规范要求</w:t>
      </w:r>
      <w:r>
        <w:rPr>
          <w:rFonts w:hint="eastAsia" w:cs="Times New Roman"/>
          <w:highlight w:val="none"/>
        </w:rPr>
        <w:t>采用专用供电回路，当建筑内生产、生活用电被切断时，仍能保证消防用电；</w:t>
      </w:r>
    </w:p>
    <w:p w14:paraId="2BE14FA3">
      <w:pPr>
        <w:autoSpaceDN/>
        <w:ind w:firstLine="482" w:firstLineChars="200"/>
        <w:jc w:val="both"/>
        <w:rPr>
          <w:rFonts w:hint="eastAsia" w:eastAsia="宋体" w:cs="Times New Roman"/>
          <w:highlight w:val="none"/>
          <w:lang w:eastAsia="zh-CN"/>
        </w:rPr>
      </w:pPr>
      <w:r>
        <w:rPr>
          <w:rFonts w:hint="default" w:ascii="Times New Roman" w:hAnsi="Times New Roman" w:cs="Times New Roman"/>
          <w:b/>
          <w:bCs/>
          <w:highlight w:val="none"/>
        </w:rPr>
        <w:t>2</w:t>
      </w:r>
      <w:r>
        <w:rPr>
          <w:rFonts w:hint="eastAsia" w:cs="Times New Roman"/>
          <w:b/>
          <w:bCs/>
          <w:highlight w:val="none"/>
        </w:rPr>
        <w:t xml:space="preserve">  </w:t>
      </w:r>
      <w:r>
        <w:rPr>
          <w:rFonts w:hint="eastAsia" w:cs="Times New Roman"/>
          <w:highlight w:val="none"/>
        </w:rPr>
        <w:t>按一、二级负荷供电的消防设备，其配电箱</w:t>
      </w:r>
      <w:r>
        <w:rPr>
          <w:rFonts w:hint="eastAsia" w:cs="Times New Roman"/>
          <w:highlight w:val="none"/>
          <w:lang w:val="en-US" w:eastAsia="zh-CN"/>
        </w:rPr>
        <w:t>应</w:t>
      </w:r>
      <w:r>
        <w:rPr>
          <w:rFonts w:hint="eastAsia" w:cs="Times New Roman"/>
          <w:highlight w:val="none"/>
        </w:rPr>
        <w:t>独立设置</w:t>
      </w:r>
      <w:r>
        <w:rPr>
          <w:rFonts w:hint="eastAsia" w:cs="Times New Roman"/>
          <w:highlight w:val="none"/>
          <w:lang w:eastAsia="zh-CN"/>
        </w:rPr>
        <w:t>；按三级负荷供电的消防设备，其配电箱宜独立设置；</w:t>
      </w:r>
    </w:p>
    <w:p w14:paraId="7B92FB61">
      <w:pPr>
        <w:autoSpaceDN/>
        <w:ind w:firstLine="482" w:firstLineChars="200"/>
        <w:jc w:val="both"/>
        <w:rPr>
          <w:rFonts w:hint="eastAsia" w:cs="Times New Roman"/>
          <w:highlight w:val="none"/>
        </w:rPr>
      </w:pPr>
      <w:r>
        <w:rPr>
          <w:rFonts w:hint="default" w:ascii="Times New Roman" w:hAnsi="Times New Roman" w:cs="Times New Roman"/>
          <w:b/>
          <w:bCs/>
          <w:highlight w:val="none"/>
          <w:lang w:val="en-US" w:eastAsia="zh-CN"/>
        </w:rPr>
        <w:t>3</w:t>
      </w:r>
      <w:r>
        <w:rPr>
          <w:rFonts w:hint="eastAsia" w:cs="Times New Roman"/>
          <w:highlight w:val="none"/>
          <w:lang w:val="en-US" w:eastAsia="zh-CN"/>
        </w:rPr>
        <w:t xml:space="preserve">  </w:t>
      </w:r>
      <w:r>
        <w:rPr>
          <w:rFonts w:hint="eastAsia" w:cs="Times New Roman"/>
          <w:highlight w:val="none"/>
        </w:rPr>
        <w:t>消防控制室、消防</w:t>
      </w:r>
      <w:r>
        <w:rPr>
          <w:rFonts w:hint="eastAsia" w:cs="Times New Roman"/>
          <w:highlight w:val="none"/>
          <w:lang w:eastAsia="zh-CN"/>
        </w:rPr>
        <w:t>水泵房</w:t>
      </w:r>
      <w:r>
        <w:rPr>
          <w:rFonts w:hint="eastAsia" w:cs="Times New Roman"/>
          <w:highlight w:val="none"/>
        </w:rPr>
        <w:t>、防烟和排烟</w:t>
      </w:r>
      <w:r>
        <w:rPr>
          <w:rFonts w:hint="eastAsia" w:cs="Times New Roman"/>
          <w:highlight w:val="none"/>
          <w:lang w:eastAsia="zh-CN"/>
        </w:rPr>
        <w:t>风机房的消防用电设备</w:t>
      </w:r>
      <w:r>
        <w:rPr>
          <w:rFonts w:hint="eastAsia" w:cs="Times New Roman"/>
          <w:highlight w:val="none"/>
        </w:rPr>
        <w:t>、消防电梯等的供电，</w:t>
      </w:r>
      <w:r>
        <w:rPr>
          <w:rFonts w:hint="eastAsia" w:cs="Times New Roman"/>
          <w:highlight w:val="none"/>
          <w:lang w:val="en-US" w:eastAsia="zh-CN"/>
        </w:rPr>
        <w:t>应</w:t>
      </w:r>
      <w:r>
        <w:rPr>
          <w:rFonts w:hint="eastAsia" w:cs="Times New Roman"/>
          <w:highlight w:val="none"/>
        </w:rPr>
        <w:t>在其配电线路的最末一级配电箱处设置自动切换装置；</w:t>
      </w:r>
    </w:p>
    <w:p w14:paraId="6F6DEBC2">
      <w:pPr>
        <w:autoSpaceDN/>
        <w:ind w:firstLine="482" w:firstLineChars="200"/>
        <w:jc w:val="both"/>
        <w:rPr>
          <w:rFonts w:hint="eastAsia" w:cs="Times New Roman"/>
          <w:highlight w:val="none"/>
        </w:rPr>
      </w:pPr>
      <w:r>
        <w:rPr>
          <w:rFonts w:hint="eastAsia" w:ascii="Times New Roman" w:hAnsi="Times New Roman" w:cs="Times New Roman"/>
          <w:b/>
          <w:bCs/>
          <w:highlight w:val="none"/>
          <w:lang w:eastAsia="zh-CN"/>
        </w:rPr>
        <w:t>4</w:t>
      </w:r>
      <w:r>
        <w:rPr>
          <w:rFonts w:hint="eastAsia" w:cs="Times New Roman"/>
          <w:b/>
          <w:bCs/>
          <w:highlight w:val="none"/>
        </w:rPr>
        <w:t xml:space="preserve">  </w:t>
      </w:r>
      <w:r>
        <w:rPr>
          <w:rFonts w:hint="eastAsia" w:cs="Times New Roman"/>
          <w:highlight w:val="none"/>
        </w:rPr>
        <w:t>消防配电线路的</w:t>
      </w:r>
      <w:r>
        <w:rPr>
          <w:rFonts w:hint="eastAsia" w:cs="Times New Roman"/>
          <w:highlight w:val="none"/>
          <w:lang w:eastAsia="zh-CN"/>
        </w:rPr>
        <w:t>设计和</w:t>
      </w:r>
      <w:r>
        <w:rPr>
          <w:rFonts w:hint="eastAsia" w:cs="Times New Roman"/>
          <w:highlight w:val="none"/>
        </w:rPr>
        <w:t>敷设</w:t>
      </w:r>
      <w:r>
        <w:rPr>
          <w:rFonts w:hint="eastAsia" w:cs="Times New Roman"/>
          <w:highlight w:val="none"/>
          <w:lang w:val="en-US" w:eastAsia="zh-CN"/>
        </w:rPr>
        <w:t>应</w:t>
      </w:r>
      <w:r>
        <w:rPr>
          <w:rFonts w:hint="eastAsia" w:cs="Times New Roman"/>
          <w:highlight w:val="none"/>
        </w:rPr>
        <w:t>符合规范要求。</w:t>
      </w:r>
    </w:p>
    <w:p w14:paraId="159CB061">
      <w:pPr>
        <w:autoSpaceDN/>
        <w:ind w:firstLine="0" w:firstLineChars="0"/>
        <w:jc w:val="both"/>
        <w:rPr>
          <w:rFonts w:hint="eastAsia" w:cs="Times New Roman"/>
          <w:highlight w:val="none"/>
        </w:rPr>
      </w:pPr>
      <w:r>
        <w:rPr>
          <w:rFonts w:hint="eastAsia" w:ascii="Times New Roman" w:hAnsi="Times New Roman" w:eastAsia="宋体" w:cs="Times New Roman"/>
          <w:b/>
          <w:bCs/>
          <w:color w:val="auto"/>
          <w:highlight w:val="none"/>
          <w:lang w:val="en-US" w:eastAsia="zh-CN"/>
        </w:rPr>
        <w:t>4.4.</w:t>
      </w:r>
      <w:r>
        <w:rPr>
          <w:rFonts w:hint="eastAsia" w:ascii="Times New Roman" w:hAnsi="Times New Roman" w:cs="Times New Roman"/>
          <w:b/>
          <w:bCs/>
          <w:color w:val="auto"/>
          <w:highlight w:val="none"/>
          <w:lang w:val="en-US" w:eastAsia="zh-CN"/>
        </w:rPr>
        <w:t>22</w:t>
      </w:r>
      <w:r>
        <w:rPr>
          <w:rFonts w:hint="eastAsia"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highlight w:val="none"/>
          <w:lang w:val="en-US" w:eastAsia="zh-CN"/>
        </w:rPr>
        <w:t>既有建筑改造中保留</w:t>
      </w:r>
      <w:r>
        <w:rPr>
          <w:rFonts w:hint="eastAsia" w:ascii="Times New Roman" w:hAnsi="Times New Roman" w:cs="Times New Roman"/>
          <w:color w:val="auto"/>
          <w:highlight w:val="none"/>
          <w:lang w:val="en-US" w:eastAsia="zh-CN"/>
        </w:rPr>
        <w:t>使用</w:t>
      </w:r>
      <w:r>
        <w:rPr>
          <w:rFonts w:hint="default" w:ascii="Times New Roman" w:hAnsi="Times New Roman" w:eastAsia="宋体" w:cs="Times New Roman"/>
          <w:color w:val="auto"/>
          <w:highlight w:val="none"/>
          <w:lang w:val="en-US" w:eastAsia="zh-CN"/>
        </w:rPr>
        <w:t>的消防电源和消防供配电系统，其性能、容量及相关电气线路的性能应满足建筑在火灾延续时间内</w:t>
      </w:r>
      <w:r>
        <w:rPr>
          <w:rFonts w:hint="eastAsia" w:ascii="Times New Roman" w:hAnsi="Times New Roman" w:cs="Times New Roman"/>
          <w:color w:val="auto"/>
          <w:highlight w:val="none"/>
          <w:lang w:val="en-US" w:eastAsia="zh-CN"/>
        </w:rPr>
        <w:t>为</w:t>
      </w:r>
      <w:r>
        <w:rPr>
          <w:rFonts w:hint="default" w:ascii="Times New Roman" w:hAnsi="Times New Roman" w:eastAsia="宋体" w:cs="Times New Roman"/>
          <w:color w:val="auto"/>
          <w:highlight w:val="none"/>
          <w:lang w:val="en-US" w:eastAsia="zh-CN"/>
        </w:rPr>
        <w:t>消防</w:t>
      </w:r>
      <w:r>
        <w:rPr>
          <w:rFonts w:hint="eastAsia" w:ascii="Times New Roman" w:hAnsi="Times New Roman" w:cs="Times New Roman"/>
          <w:color w:val="auto"/>
          <w:highlight w:val="none"/>
          <w:lang w:val="en-US" w:eastAsia="zh-CN"/>
        </w:rPr>
        <w:t>用电设备或设施</w:t>
      </w:r>
      <w:r>
        <w:rPr>
          <w:rFonts w:hint="default" w:ascii="Times New Roman" w:hAnsi="Times New Roman" w:eastAsia="宋体" w:cs="Times New Roman"/>
          <w:color w:val="auto"/>
          <w:highlight w:val="none"/>
          <w:lang w:val="en-US" w:eastAsia="zh-CN"/>
        </w:rPr>
        <w:t>连续供电的要求。</w:t>
      </w:r>
    </w:p>
    <w:bookmarkEnd w:id="275"/>
    <w:p w14:paraId="22240C04">
      <w:pPr>
        <w:pStyle w:val="19"/>
        <w:spacing w:line="360" w:lineRule="auto"/>
        <w:jc w:val="center"/>
        <w:rPr>
          <w:rFonts w:hint="eastAsia" w:eastAsia="宋体"/>
          <w:b/>
          <w:highlight w:val="none"/>
          <w:lang w:eastAsia="zh-CN"/>
        </w:rPr>
      </w:pPr>
      <w:r>
        <w:rPr>
          <w:rFonts w:hint="default" w:ascii="Times New Roman" w:hAnsi="Times New Roman" w:cs="Times New Roman"/>
          <w:b/>
          <w:highlight w:val="none"/>
          <w:lang w:val="en-US" w:eastAsia="zh-CN"/>
        </w:rPr>
        <w:t>Ⅶ</w:t>
      </w:r>
      <w:r>
        <w:rPr>
          <w:rFonts w:hint="eastAsia"/>
          <w:b/>
          <w:highlight w:val="none"/>
        </w:rPr>
        <w:t xml:space="preserve">  消防应急照明和疏散指示</w:t>
      </w:r>
      <w:r>
        <w:rPr>
          <w:rFonts w:hint="eastAsia"/>
          <w:b/>
          <w:highlight w:val="none"/>
          <w:lang w:eastAsia="zh-CN"/>
        </w:rPr>
        <w:t>标志</w:t>
      </w:r>
    </w:p>
    <w:p w14:paraId="4DF2774F">
      <w:pPr>
        <w:ind w:firstLine="0" w:firstLineChars="0"/>
        <w:rPr>
          <w:rFonts w:hint="default" w:ascii="Times New Roman" w:hAnsi="Times New Roman" w:cs="Times New Roman"/>
          <w:color w:val="auto"/>
          <w:highlight w:val="none"/>
          <w:lang w:val="en-US"/>
        </w:rPr>
      </w:pPr>
      <w:r>
        <w:rPr>
          <w:rFonts w:hint="eastAsia" w:ascii="Times New Roman" w:hAnsi="Times New Roman" w:cs="Times New Roman"/>
          <w:b/>
          <w:bCs/>
          <w:color w:val="auto"/>
          <w:highlight w:val="none"/>
          <w:lang w:val="en-US" w:eastAsia="zh-CN"/>
        </w:rPr>
        <w:t>4.4.23</w:t>
      </w:r>
      <w:r>
        <w:rPr>
          <w:rFonts w:hint="eastAsia" w:ascii="Times New Roman" w:hAnsi="Times New Roman" w:cs="Times New Roman"/>
          <w:color w:val="auto"/>
          <w:highlight w:val="none"/>
        </w:rPr>
        <w:t xml:space="preserve">  </w:t>
      </w:r>
      <w:r>
        <w:rPr>
          <w:rFonts w:hint="eastAsia" w:cs="Times New Roman"/>
          <w:color w:val="auto"/>
          <w:highlight w:val="none"/>
          <w:lang w:val="en-US" w:eastAsia="zh-CN"/>
        </w:rPr>
        <w:t>消防应急照明系统安全评估具体包含以下内容：</w:t>
      </w:r>
    </w:p>
    <w:p w14:paraId="75A726B6">
      <w:pPr>
        <w:ind w:firstLine="482" w:firstLineChars="200"/>
        <w:rPr>
          <w:rFonts w:hint="eastAsia" w:cs="Times New Roman"/>
          <w:color w:val="auto"/>
          <w:highlight w:val="none"/>
          <w:lang w:val="en-US" w:eastAsia="zh-CN"/>
        </w:rPr>
      </w:pPr>
      <w:r>
        <w:rPr>
          <w:rFonts w:hint="eastAsia" w:ascii="Times New Roman" w:hAnsi="Times New Roman" w:cs="Times New Roman"/>
          <w:b/>
          <w:bCs/>
          <w:color w:val="auto"/>
          <w:highlight w:val="none"/>
        </w:rPr>
        <w:t>1</w:t>
      </w:r>
      <w:r>
        <w:rPr>
          <w:rFonts w:hint="eastAsia" w:cs="Times New Roman"/>
          <w:color w:val="auto"/>
          <w:highlight w:val="none"/>
          <w:lang w:val="en-US" w:eastAsia="zh-CN"/>
        </w:rPr>
        <w:t xml:space="preserve">  人员密集场所及其疏散口应按照规范要求设置消防应急照明系统；</w:t>
      </w:r>
    </w:p>
    <w:p w14:paraId="18692AAE">
      <w:pPr>
        <w:ind w:firstLine="482" w:firstLineChars="200"/>
        <w:rPr>
          <w:rFonts w:hint="eastAsia" w:cs="Times New Roman"/>
          <w:color w:val="auto"/>
          <w:highlight w:val="none"/>
          <w:lang w:val="en-US" w:eastAsia="zh-CN"/>
        </w:rPr>
      </w:pPr>
      <w:r>
        <w:rPr>
          <w:rFonts w:hint="eastAsia" w:ascii="Times New Roman" w:hAnsi="Times New Roman" w:cs="Times New Roman"/>
          <w:b/>
          <w:bCs/>
          <w:color w:val="auto"/>
          <w:highlight w:val="none"/>
          <w:lang w:val="en-US" w:eastAsia="zh-CN"/>
        </w:rPr>
        <w:t>2</w:t>
      </w:r>
      <w:r>
        <w:rPr>
          <w:rFonts w:hint="eastAsia" w:cs="Times New Roman"/>
          <w:color w:val="auto"/>
          <w:highlight w:val="none"/>
          <w:lang w:val="en-US" w:eastAsia="zh-CN"/>
        </w:rPr>
        <w:t xml:space="preserve">  疏散照明的地面最低水平照度等应符合规范要求，人员密集场所不应低于</w:t>
      </w:r>
      <w:r>
        <w:rPr>
          <w:rFonts w:hint="default" w:ascii="Times New Roman" w:hAnsi="Times New Roman" w:cs="Times New Roman"/>
          <w:color w:val="auto"/>
          <w:highlight w:val="none"/>
          <w:lang w:val="en-US" w:eastAsia="zh-CN"/>
        </w:rPr>
        <w:t>3.0lx</w:t>
      </w:r>
      <w:r>
        <w:rPr>
          <w:rFonts w:hint="eastAsia" w:cs="Times New Roman"/>
          <w:color w:val="auto"/>
          <w:highlight w:val="none"/>
          <w:lang w:val="en-US" w:eastAsia="zh-CN"/>
        </w:rPr>
        <w:t>；</w:t>
      </w:r>
    </w:p>
    <w:p w14:paraId="670856DD">
      <w:pPr>
        <w:ind w:firstLine="482" w:firstLineChars="200"/>
        <w:rPr>
          <w:rFonts w:hint="eastAsia" w:cs="Times New Roman"/>
          <w:color w:val="auto"/>
          <w:highlight w:val="none"/>
          <w:lang w:val="en-US" w:eastAsia="zh-CN"/>
        </w:rPr>
      </w:pPr>
      <w:r>
        <w:rPr>
          <w:rFonts w:hint="default" w:ascii="Times New Roman" w:hAnsi="Times New Roman" w:cs="Times New Roman"/>
          <w:b/>
          <w:bCs/>
          <w:color w:val="auto"/>
          <w:highlight w:val="none"/>
          <w:lang w:val="en-US" w:eastAsia="zh-CN"/>
        </w:rPr>
        <w:t>3</w:t>
      </w:r>
      <w:r>
        <w:rPr>
          <w:rFonts w:hint="eastAsia" w:cs="Times New Roman"/>
          <w:color w:val="auto"/>
          <w:highlight w:val="none"/>
          <w:lang w:val="en-US" w:eastAsia="zh-CN"/>
        </w:rPr>
        <w:t xml:space="preserve">  消防控制室、消防水泵房、自备发电机房、配电室、防排烟机房以及发生火灾时仍需坚持工作的消防设备房应设置备用照明，其作业面的最低照度不应低于正常照明的照度；</w:t>
      </w:r>
    </w:p>
    <w:p w14:paraId="1AFB9F35">
      <w:pPr>
        <w:ind w:firstLine="482" w:firstLineChars="200"/>
        <w:rPr>
          <w:rFonts w:hint="default" w:cs="Times New Roman"/>
          <w:color w:val="auto"/>
          <w:highlight w:val="none"/>
          <w:lang w:val="en-US" w:eastAsia="zh-CN"/>
        </w:rPr>
      </w:pPr>
      <w:r>
        <w:rPr>
          <w:rFonts w:hint="default" w:ascii="Times New Roman" w:hAnsi="Times New Roman" w:cs="Times New Roman"/>
          <w:b/>
          <w:bCs/>
          <w:color w:val="auto"/>
          <w:highlight w:val="none"/>
          <w:lang w:val="en-US" w:eastAsia="zh-CN"/>
        </w:rPr>
        <w:t>4</w:t>
      </w:r>
      <w:r>
        <w:rPr>
          <w:rFonts w:hint="eastAsia" w:cs="Times New Roman"/>
          <w:color w:val="auto"/>
          <w:highlight w:val="none"/>
          <w:lang w:val="en-US" w:eastAsia="zh-CN"/>
        </w:rPr>
        <w:t xml:space="preserve">  疏散照明灯具、备用照明灯具的设置位置、应急转换时间应符合规范要求；</w:t>
      </w:r>
    </w:p>
    <w:p w14:paraId="3229A9D3">
      <w:pPr>
        <w:ind w:firstLine="482" w:firstLineChars="200"/>
        <w:rPr>
          <w:rFonts w:hint="eastAsia" w:cs="Times New Roman"/>
          <w:color w:val="auto"/>
          <w:highlight w:val="none"/>
          <w:lang w:val="en-US" w:eastAsia="zh-CN"/>
        </w:rPr>
      </w:pPr>
      <w:r>
        <w:rPr>
          <w:rFonts w:hint="eastAsia" w:ascii="Times New Roman" w:hAnsi="Times New Roman" w:cs="Times New Roman"/>
          <w:b/>
          <w:bCs/>
          <w:color w:val="auto"/>
          <w:highlight w:val="none"/>
          <w:lang w:val="en-US" w:eastAsia="zh-CN"/>
        </w:rPr>
        <w:t>5</w:t>
      </w:r>
      <w:r>
        <w:rPr>
          <w:rFonts w:hint="eastAsia" w:cs="Times New Roman"/>
          <w:color w:val="auto"/>
          <w:highlight w:val="none"/>
          <w:lang w:val="en-US" w:eastAsia="zh-CN"/>
        </w:rPr>
        <w:t xml:space="preserve">  消防应急照明系统的响应时间、连续供电工作时间应符合规范要求；</w:t>
      </w:r>
    </w:p>
    <w:p w14:paraId="152477FC">
      <w:pPr>
        <w:ind w:firstLine="482" w:firstLineChars="200"/>
        <w:rPr>
          <w:rFonts w:hint="eastAsia" w:cs="Times New Roman"/>
          <w:color w:val="auto"/>
          <w:highlight w:val="none"/>
          <w:lang w:val="en-US" w:eastAsia="zh-CN"/>
        </w:rPr>
      </w:pPr>
      <w:r>
        <w:rPr>
          <w:rFonts w:hint="eastAsia" w:ascii="Times New Roman" w:hAnsi="Times New Roman" w:cs="Times New Roman"/>
          <w:b/>
          <w:bCs/>
          <w:color w:val="auto"/>
          <w:highlight w:val="none"/>
          <w:lang w:val="en-US" w:eastAsia="zh-CN"/>
        </w:rPr>
        <w:t>6</w:t>
      </w:r>
      <w:r>
        <w:rPr>
          <w:rFonts w:hint="eastAsia" w:ascii="Times New Roman" w:hAnsi="Times New Roman" w:cs="Times New Roman"/>
          <w:b/>
          <w:bCs/>
          <w:color w:val="auto"/>
          <w:highlight w:val="none"/>
        </w:rPr>
        <w:t xml:space="preserve">  </w:t>
      </w:r>
      <w:r>
        <w:rPr>
          <w:rFonts w:hint="eastAsia" w:cs="Times New Roman"/>
          <w:color w:val="auto"/>
          <w:highlight w:val="none"/>
          <w:lang w:val="en-US" w:eastAsia="zh-CN"/>
        </w:rPr>
        <w:t>消防应急照明系统联动功能应符合规范要求。</w:t>
      </w:r>
    </w:p>
    <w:p w14:paraId="12FF49B8">
      <w:pPr>
        <w:ind w:firstLine="0" w:firstLineChars="0"/>
        <w:rPr>
          <w:rFonts w:hint="default" w:ascii="Times New Roman" w:hAnsi="Times New Roman" w:cs="Times New Roman"/>
          <w:color w:val="auto"/>
          <w:highlight w:val="none"/>
          <w:lang w:val="en-US"/>
        </w:rPr>
      </w:pPr>
      <w:r>
        <w:rPr>
          <w:rFonts w:hint="eastAsia" w:ascii="Times New Roman" w:hAnsi="Times New Roman" w:cs="Times New Roman"/>
          <w:b/>
          <w:bCs/>
          <w:color w:val="auto"/>
          <w:highlight w:val="none"/>
          <w:lang w:val="en-US" w:eastAsia="zh-CN"/>
        </w:rPr>
        <w:t>4.4.24</w:t>
      </w:r>
      <w:r>
        <w:rPr>
          <w:rFonts w:hint="eastAsia" w:ascii="Times New Roman" w:hAnsi="Times New Roman" w:cs="Times New Roman"/>
          <w:color w:val="auto"/>
          <w:highlight w:val="none"/>
        </w:rPr>
        <w:t xml:space="preserve">  </w:t>
      </w:r>
      <w:r>
        <w:rPr>
          <w:rFonts w:hint="eastAsia" w:cs="Times New Roman"/>
          <w:color w:val="auto"/>
          <w:highlight w:val="none"/>
          <w:lang w:val="en-US" w:eastAsia="zh-CN"/>
        </w:rPr>
        <w:t>消防疏散指示标志系统安全评估具体包含以下内容：</w:t>
      </w:r>
    </w:p>
    <w:p w14:paraId="2CD58F1C">
      <w:pPr>
        <w:ind w:firstLine="482" w:firstLineChars="200"/>
        <w:rPr>
          <w:rFonts w:hint="eastAsia" w:cs="Times New Roman"/>
          <w:color w:val="auto"/>
          <w:highlight w:val="none"/>
          <w:lang w:val="en-US" w:eastAsia="zh-CN"/>
        </w:rPr>
      </w:pPr>
      <w:r>
        <w:rPr>
          <w:rFonts w:hint="eastAsia" w:ascii="Times New Roman" w:hAnsi="Times New Roman" w:cs="Times New Roman"/>
          <w:b/>
          <w:bCs/>
          <w:color w:val="auto"/>
          <w:highlight w:val="none"/>
        </w:rPr>
        <w:t>1</w:t>
      </w:r>
      <w:r>
        <w:rPr>
          <w:rFonts w:hint="eastAsia" w:cs="Times New Roman"/>
          <w:color w:val="auto"/>
          <w:highlight w:val="none"/>
          <w:lang w:val="en-US" w:eastAsia="zh-CN"/>
        </w:rPr>
        <w:t xml:space="preserve">  应</w:t>
      </w:r>
      <w:r>
        <w:rPr>
          <w:rFonts w:hint="eastAsia" w:ascii="Times New Roman" w:hAnsi="Times New Roman" w:cs="Times New Roman"/>
          <w:b w:val="0"/>
          <w:bCs w:val="0"/>
          <w:highlight w:val="none"/>
          <w:lang w:val="en-US" w:eastAsia="zh-CN"/>
        </w:rPr>
        <w:t>设置</w:t>
      </w:r>
      <w:r>
        <w:rPr>
          <w:rFonts w:hint="eastAsia" w:ascii="Times New Roman" w:hAnsi="Times New Roman" w:cs="Times New Roman"/>
          <w:highlight w:val="none"/>
          <w:lang w:val="en-US" w:eastAsia="zh-CN"/>
        </w:rPr>
        <w:t>灯光疏散指示标志</w:t>
      </w:r>
      <w:r>
        <w:rPr>
          <w:rFonts w:hint="eastAsia" w:ascii="Times New Roman" w:hAnsi="Times New Roman" w:cs="Times New Roman"/>
          <w:b w:val="0"/>
          <w:bCs w:val="0"/>
          <w:highlight w:val="none"/>
          <w:lang w:val="en-US" w:eastAsia="zh-CN"/>
        </w:rPr>
        <w:t>的建筑或场所</w:t>
      </w:r>
      <w:r>
        <w:rPr>
          <w:rFonts w:hint="eastAsia" w:cs="Times New Roman"/>
          <w:color w:val="auto"/>
          <w:highlight w:val="none"/>
          <w:lang w:val="en-US" w:eastAsia="zh-CN"/>
        </w:rPr>
        <w:t>按照规范要求设置；</w:t>
      </w:r>
    </w:p>
    <w:p w14:paraId="4536B330">
      <w:pPr>
        <w:ind w:firstLine="482" w:firstLineChars="200"/>
        <w:rPr>
          <w:rFonts w:hint="eastAsia" w:cs="Times New Roman"/>
          <w:color w:val="auto"/>
          <w:highlight w:val="none"/>
          <w:lang w:val="en-US" w:eastAsia="zh-CN"/>
        </w:rPr>
      </w:pPr>
      <w:r>
        <w:rPr>
          <w:rFonts w:hint="eastAsia" w:ascii="Times New Roman" w:hAnsi="Times New Roman" w:cs="Times New Roman"/>
          <w:b/>
          <w:bCs/>
          <w:color w:val="auto"/>
          <w:highlight w:val="none"/>
          <w:lang w:val="en-US" w:eastAsia="zh-CN"/>
        </w:rPr>
        <w:t>2</w:t>
      </w:r>
      <w:r>
        <w:rPr>
          <w:rFonts w:hint="eastAsia" w:cs="Times New Roman"/>
          <w:color w:val="auto"/>
          <w:highlight w:val="none"/>
          <w:lang w:val="en-US" w:eastAsia="zh-CN"/>
        </w:rPr>
        <w:t xml:space="preserve">  人员密集场所应在疏散走道和主要疏散路径的地面上增设能保持视觉连续的灯光疏散指示标志或蓄光疏散指示标志。</w:t>
      </w:r>
    </w:p>
    <w:p w14:paraId="4269A47E">
      <w:pPr>
        <w:autoSpaceDN/>
        <w:ind w:firstLine="0" w:firstLineChars="0"/>
        <w:jc w:val="left"/>
        <w:rPr>
          <w:rFonts w:ascii="Times New Roman" w:hAnsi="Times New Roman" w:cs="Times New Roman"/>
          <w:b/>
          <w:bCs/>
          <w:highlight w:val="none"/>
        </w:rPr>
      </w:pPr>
      <w:r>
        <w:rPr>
          <w:rFonts w:hint="eastAsia" w:cs="Times New Roman"/>
          <w:color w:val="auto"/>
          <w:highlight w:val="none"/>
          <w:lang w:val="en-US" w:eastAsia="zh-CN"/>
        </w:rPr>
        <w:br w:type="page"/>
      </w:r>
    </w:p>
    <w:p w14:paraId="71484F00">
      <w:pPr>
        <w:pStyle w:val="18"/>
        <w:spacing w:line="360" w:lineRule="auto"/>
        <w:rPr>
          <w:rFonts w:eastAsia="宋体"/>
          <w:sz w:val="32"/>
          <w:szCs w:val="32"/>
          <w:highlight w:val="none"/>
        </w:rPr>
      </w:pPr>
      <w:bookmarkStart w:id="276" w:name="_Toc151384803"/>
      <w:bookmarkStart w:id="277" w:name="_Toc150876234"/>
      <w:bookmarkStart w:id="278" w:name="_Toc140390029"/>
      <w:bookmarkStart w:id="279" w:name="_Toc183531749"/>
      <w:bookmarkStart w:id="280" w:name="_Toc4671"/>
      <w:bookmarkStart w:id="281" w:name="_Toc16074"/>
      <w:bookmarkStart w:id="282" w:name="_Toc9855"/>
      <w:bookmarkStart w:id="283" w:name="_Toc11477"/>
      <w:bookmarkStart w:id="284" w:name="_Toc25485"/>
      <w:bookmarkStart w:id="285" w:name="_Toc21254"/>
      <w:bookmarkStart w:id="286" w:name="_Toc3215"/>
      <w:bookmarkStart w:id="287" w:name="_Toc8850"/>
      <w:bookmarkStart w:id="288" w:name="_Toc6743"/>
      <w:bookmarkStart w:id="289" w:name="_Toc2874"/>
      <w:r>
        <w:rPr>
          <w:rFonts w:hint="eastAsia" w:eastAsia="宋体"/>
          <w:highlight w:val="none"/>
          <w:lang w:val="en-US" w:eastAsia="zh-CN"/>
        </w:rPr>
        <w:t>5</w:t>
      </w:r>
      <w:r>
        <w:rPr>
          <w:rFonts w:eastAsia="宋体"/>
          <w:sz w:val="32"/>
          <w:szCs w:val="32"/>
          <w:highlight w:val="none"/>
        </w:rPr>
        <w:t xml:space="preserve">  </w:t>
      </w:r>
      <w:bookmarkEnd w:id="276"/>
      <w:bookmarkEnd w:id="277"/>
      <w:bookmarkEnd w:id="278"/>
      <w:r>
        <w:rPr>
          <w:rFonts w:hint="eastAsia" w:eastAsia="宋体"/>
          <w:highlight w:val="none"/>
        </w:rPr>
        <w:t>综合评估</w:t>
      </w:r>
      <w:bookmarkEnd w:id="279"/>
      <w:bookmarkStart w:id="290" w:name="_Toc13192"/>
      <w:bookmarkStart w:id="291" w:name="_Toc15647"/>
      <w:bookmarkStart w:id="292" w:name="_Toc1337"/>
      <w:bookmarkStart w:id="293" w:name="_Toc26906"/>
      <w:bookmarkStart w:id="294" w:name="_Toc30345"/>
      <w:bookmarkStart w:id="295" w:name="_Toc32650"/>
      <w:bookmarkStart w:id="296" w:name="_Toc7856"/>
      <w:bookmarkStart w:id="297" w:name="_Toc29066"/>
      <w:bookmarkStart w:id="298" w:name="_Toc9693"/>
      <w:bookmarkStart w:id="299" w:name="_Toc19082"/>
      <w:bookmarkStart w:id="300" w:name="_Toc17687"/>
      <w:r>
        <w:rPr>
          <w:highlight w:val="none"/>
        </w:rPr>
        <w:fldChar w:fldCharType="begin"/>
      </w:r>
      <w:r>
        <w:rPr>
          <w:rFonts w:eastAsia="宋体"/>
          <w:highlight w:val="none"/>
        </w:rPr>
        <w:instrText xml:space="preserve"> TC  "</w:instrText>
      </w:r>
      <w:bookmarkStart w:id="301" w:name="_Toc143720330"/>
      <w:bookmarkStart w:id="302" w:name="_Toc143762830"/>
      <w:bookmarkStart w:id="303" w:name="_Toc143762770"/>
      <w:bookmarkStart w:id="304" w:name="_Toc183531866"/>
      <w:r>
        <w:rPr>
          <w:rFonts w:hint="default" w:eastAsia="宋体"/>
          <w:highlight w:val="none"/>
          <w:lang w:val="en-US" w:eastAsia="zh-CN"/>
        </w:rPr>
        <w:instrText xml:space="preserve">5</w:instrText>
      </w:r>
      <w:r>
        <w:rPr>
          <w:rFonts w:eastAsia="宋体"/>
          <w:highlight w:val="none"/>
        </w:rPr>
        <w:instrText xml:space="preserve">  Comprehensive </w:instrText>
      </w:r>
      <w:bookmarkEnd w:id="301"/>
      <w:bookmarkEnd w:id="302"/>
      <w:bookmarkEnd w:id="303"/>
      <w:r>
        <w:rPr>
          <w:rFonts w:hint="default" w:ascii="Times New Roman" w:hAnsi="Times New Roman" w:eastAsia="宋体"/>
          <w:highlight w:val="none"/>
        </w:rPr>
        <w:instrText xml:space="preserve">assessment</w:instrText>
      </w:r>
      <w:bookmarkEnd w:id="304"/>
      <w:r>
        <w:rPr>
          <w:rFonts w:eastAsia="宋体"/>
          <w:highlight w:val="none"/>
        </w:rPr>
        <w:instrText xml:space="preserve"> " \l 1 </w:instrText>
      </w:r>
      <w:r>
        <w:rPr>
          <w:rFonts w:eastAsia="宋体"/>
          <w:highlight w:val="none"/>
        </w:rPr>
        <w:fldChar w:fldCharType="end"/>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7B8D4E62">
      <w:pPr>
        <w:pStyle w:val="20"/>
        <w:spacing w:line="360" w:lineRule="auto"/>
        <w:rPr>
          <w:bCs/>
          <w:highlight w:val="none"/>
        </w:rPr>
      </w:pPr>
      <w:bookmarkStart w:id="305" w:name="_Toc140390030"/>
      <w:bookmarkStart w:id="306" w:name="_Toc150876235"/>
      <w:bookmarkStart w:id="307" w:name="_Toc151384804"/>
      <w:bookmarkStart w:id="308" w:name="_Toc183531750"/>
      <w:bookmarkStart w:id="309" w:name="_Toc16917"/>
      <w:bookmarkStart w:id="310" w:name="_Toc11344"/>
      <w:bookmarkStart w:id="311" w:name="_Toc25888"/>
      <w:bookmarkStart w:id="312" w:name="_Toc12181"/>
      <w:bookmarkStart w:id="313" w:name="_Toc26444"/>
      <w:bookmarkStart w:id="314" w:name="_Toc24689"/>
      <w:bookmarkStart w:id="315" w:name="_Toc29249"/>
      <w:bookmarkStart w:id="316" w:name="_Toc26941"/>
      <w:bookmarkStart w:id="317" w:name="_Toc26603"/>
      <w:bookmarkStart w:id="318" w:name="_Toc22054"/>
      <w:r>
        <w:rPr>
          <w:rFonts w:hint="eastAsia"/>
          <w:highlight w:val="none"/>
          <w:lang w:val="en-US" w:eastAsia="zh-CN"/>
        </w:rPr>
        <w:t>5</w:t>
      </w:r>
      <w:r>
        <w:rPr>
          <w:rFonts w:hint="eastAsia"/>
          <w:highlight w:val="none"/>
        </w:rPr>
        <w:t>.1</w:t>
      </w:r>
      <w:r>
        <w:rPr>
          <w:highlight w:val="none"/>
        </w:rPr>
        <w:t xml:space="preserve"> </w:t>
      </w:r>
      <w:r>
        <w:rPr>
          <w:rFonts w:hint="eastAsia"/>
          <w:highlight w:val="none"/>
        </w:rPr>
        <w:t xml:space="preserve"> </w:t>
      </w:r>
      <w:bookmarkEnd w:id="305"/>
      <w:bookmarkEnd w:id="306"/>
      <w:bookmarkEnd w:id="307"/>
      <w:r>
        <w:rPr>
          <w:rFonts w:hint="eastAsia" w:ascii="黑体" w:hAnsi="黑体"/>
          <w:highlight w:val="none"/>
        </w:rPr>
        <w:t>综合评定</w:t>
      </w:r>
      <w:bookmarkEnd w:id="308"/>
      <w:bookmarkStart w:id="319" w:name="_Toc29783"/>
      <w:bookmarkStart w:id="320" w:name="_Toc16439"/>
      <w:bookmarkStart w:id="321" w:name="_Toc26559"/>
      <w:bookmarkStart w:id="322" w:name="_Toc11074"/>
      <w:bookmarkStart w:id="323" w:name="_Toc19190"/>
      <w:bookmarkStart w:id="324" w:name="_Toc1506"/>
      <w:bookmarkStart w:id="325" w:name="_Toc7521"/>
      <w:bookmarkStart w:id="326" w:name="_Toc10669"/>
      <w:bookmarkStart w:id="327" w:name="_Toc27286"/>
      <w:bookmarkStart w:id="328" w:name="_Toc24402"/>
      <w:bookmarkStart w:id="329" w:name="_Toc3089"/>
      <w:r>
        <w:rPr>
          <w:highlight w:val="none"/>
        </w:rPr>
        <w:fldChar w:fldCharType="begin"/>
      </w:r>
      <w:r>
        <w:rPr>
          <w:rFonts w:ascii="黑体" w:hAnsi="黑体"/>
          <w:highlight w:val="none"/>
        </w:rPr>
        <w:instrText xml:space="preserve"> </w:instrText>
      </w:r>
      <w:r>
        <w:rPr>
          <w:rFonts w:hint="eastAsia" w:ascii="黑体" w:hAnsi="黑体"/>
          <w:highlight w:val="none"/>
        </w:rPr>
        <w:instrText xml:space="preserve">TC  "</w:instrText>
      </w:r>
      <w:bookmarkStart w:id="330" w:name="_Toc143762771"/>
      <w:bookmarkStart w:id="331" w:name="_Toc143762831"/>
      <w:bookmarkStart w:id="332" w:name="_Toc183531867"/>
      <w:r>
        <w:rPr>
          <w:rFonts w:hint="eastAsia" w:ascii="黑体" w:hAnsi="黑体"/>
          <w:highlight w:val="none"/>
          <w:lang w:val="en-US" w:eastAsia="zh-CN"/>
        </w:rPr>
        <w:instrText xml:space="preserve">5</w:instrText>
      </w:r>
      <w:r>
        <w:rPr>
          <w:rFonts w:hint="eastAsia" w:ascii="黑体" w:hAnsi="黑体"/>
          <w:highlight w:val="none"/>
        </w:rPr>
        <w:instrText xml:space="preserve">.1 </w:instrText>
      </w:r>
      <w:bookmarkEnd w:id="330"/>
      <w:bookmarkEnd w:id="331"/>
      <w:r>
        <w:rPr>
          <w:rFonts w:eastAsia="宋体"/>
          <w:highlight w:val="none"/>
        </w:rPr>
        <w:instrText xml:space="preserve">Comprehensive</w:instrText>
      </w:r>
      <w:r>
        <w:rPr>
          <w:rFonts w:hint="eastAsia" w:ascii="黑体" w:hAnsi="黑体"/>
          <w:highlight w:val="none"/>
        </w:rPr>
        <w:instrText xml:space="preserve"> evaluation</w:instrText>
      </w:r>
      <w:bookmarkEnd w:id="332"/>
      <w:r>
        <w:rPr>
          <w:rFonts w:hint="eastAsia" w:ascii="黑体" w:hAnsi="黑体"/>
          <w:highlight w:val="none"/>
        </w:rPr>
        <w:instrText xml:space="preserve"> " \l 2</w:instrText>
      </w:r>
      <w:r>
        <w:rPr>
          <w:rFonts w:ascii="黑体" w:hAnsi="黑体"/>
          <w:highlight w:val="none"/>
        </w:rPr>
        <w:instrText xml:space="preserve"> </w:instrText>
      </w:r>
      <w:r>
        <w:rPr>
          <w:rFonts w:ascii="黑体" w:hAnsi="黑体"/>
          <w:highlight w:val="none"/>
        </w:rPr>
        <w:fldChar w:fldCharType="end"/>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0C9BB933">
      <w:pPr>
        <w:autoSpaceDN/>
        <w:jc w:val="both"/>
        <w:rPr>
          <w:rFonts w:hint="eastAsia" w:cs="Times New Roman"/>
          <w:highlight w:val="none"/>
        </w:rPr>
      </w:pPr>
      <w:r>
        <w:rPr>
          <w:rFonts w:hint="eastAsia" w:ascii="Times New Roman" w:hAnsi="Times New Roman" w:cs="Times New Roman"/>
          <w:b/>
          <w:bCs/>
          <w:highlight w:val="none"/>
          <w:lang w:val="en-US" w:eastAsia="zh-CN"/>
        </w:rPr>
        <w:t>5</w:t>
      </w:r>
      <w:r>
        <w:rPr>
          <w:rFonts w:hint="eastAsia" w:ascii="Times New Roman" w:hAnsi="Times New Roman" w:cs="Times New Roman"/>
          <w:b/>
          <w:bCs/>
          <w:highlight w:val="none"/>
        </w:rPr>
        <w:t>.</w:t>
      </w:r>
      <w:r>
        <w:rPr>
          <w:rFonts w:ascii="Times New Roman" w:hAnsi="Times New Roman" w:cs="Times New Roman"/>
          <w:b/>
          <w:bCs/>
          <w:highlight w:val="none"/>
        </w:rPr>
        <w:t>1</w:t>
      </w:r>
      <w:r>
        <w:rPr>
          <w:rFonts w:hint="eastAsia" w:ascii="Times New Roman" w:hAnsi="Times New Roman" w:cs="Times New Roman"/>
          <w:b/>
          <w:bCs/>
          <w:highlight w:val="none"/>
        </w:rPr>
        <w:t>.</w:t>
      </w:r>
      <w:r>
        <w:rPr>
          <w:rFonts w:ascii="Times New Roman" w:hAnsi="Times New Roman" w:cs="Times New Roman"/>
          <w:b/>
          <w:bCs/>
          <w:highlight w:val="none"/>
        </w:rPr>
        <w:t>1</w:t>
      </w:r>
      <w:r>
        <w:rPr>
          <w:rFonts w:ascii="Times New Roman" w:hAnsi="Times New Roman" w:cs="Times New Roman"/>
          <w:highlight w:val="none"/>
        </w:rPr>
        <w:t xml:space="preserve">  </w:t>
      </w:r>
      <w:r>
        <w:rPr>
          <w:rFonts w:hint="eastAsia" w:cs="Times New Roman"/>
          <w:highlight w:val="none"/>
        </w:rPr>
        <w:t>消防安全评估指标体系由</w:t>
      </w:r>
      <w:r>
        <w:rPr>
          <w:rFonts w:hint="eastAsia" w:cs="Times New Roman"/>
          <w:highlight w:val="none"/>
          <w:lang w:val="en-US" w:eastAsia="zh-CN"/>
        </w:rPr>
        <w:t>四</w:t>
      </w:r>
      <w:r>
        <w:rPr>
          <w:rFonts w:hint="eastAsia" w:cs="Times New Roman"/>
          <w:highlight w:val="none"/>
        </w:rPr>
        <w:t>级指标组成</w:t>
      </w:r>
      <w:r>
        <w:rPr>
          <w:rFonts w:hint="eastAsia" w:cs="Times New Roman"/>
          <w:highlight w:val="none"/>
          <w:lang w:eastAsia="zh-CN"/>
        </w:rPr>
        <w:t>，</w:t>
      </w:r>
      <w:r>
        <w:rPr>
          <w:rFonts w:hint="eastAsia" w:cs="Times New Roman"/>
          <w:highlight w:val="none"/>
          <w:lang w:val="en-US" w:eastAsia="zh-CN"/>
        </w:rPr>
        <w:t>指标层级从上至下分为分项指标、单项指标、子项指标和要素，</w:t>
      </w:r>
      <w:r>
        <w:rPr>
          <w:rFonts w:hint="eastAsia"/>
          <w:bCs/>
          <w:highlight w:val="none"/>
          <w:lang w:val="en-US" w:eastAsia="zh-CN"/>
        </w:rPr>
        <w:t>具体内容见附</w:t>
      </w:r>
      <w:r>
        <w:rPr>
          <w:rFonts w:hint="eastAsia"/>
          <w:bCs/>
          <w:highlight w:val="none"/>
        </w:rPr>
        <w:t>表</w:t>
      </w:r>
      <w:r>
        <w:rPr>
          <w:rFonts w:hint="eastAsia"/>
          <w:bCs/>
          <w:highlight w:val="none"/>
          <w:lang w:val="en-US" w:eastAsia="zh-CN"/>
        </w:rPr>
        <w:t>A.0</w:t>
      </w:r>
      <w:r>
        <w:rPr>
          <w:rFonts w:hint="eastAsia"/>
          <w:bCs/>
          <w:highlight w:val="none"/>
        </w:rPr>
        <w:t>.1</w:t>
      </w:r>
      <w:r>
        <w:rPr>
          <w:rFonts w:hint="eastAsia"/>
          <w:bCs/>
          <w:highlight w:val="none"/>
          <w:lang w:eastAsia="zh-CN"/>
        </w:rPr>
        <w:t>—</w:t>
      </w:r>
      <w:r>
        <w:rPr>
          <w:rFonts w:hint="eastAsia"/>
          <w:bCs/>
          <w:highlight w:val="none"/>
          <w:lang w:val="en-US" w:eastAsia="zh-CN"/>
        </w:rPr>
        <w:t>A.0</w:t>
      </w:r>
      <w:r>
        <w:rPr>
          <w:rFonts w:hint="eastAsia"/>
          <w:bCs/>
          <w:highlight w:val="none"/>
        </w:rPr>
        <w:t>.</w:t>
      </w:r>
      <w:r>
        <w:rPr>
          <w:rFonts w:hint="eastAsia"/>
          <w:bCs/>
          <w:highlight w:val="none"/>
          <w:lang w:val="en-US" w:eastAsia="zh-CN"/>
        </w:rPr>
        <w:t>3。</w:t>
      </w:r>
    </w:p>
    <w:p w14:paraId="7F6C1C84">
      <w:pPr>
        <w:pStyle w:val="21"/>
        <w:spacing w:line="360" w:lineRule="auto"/>
        <w:ind w:firstLine="0" w:firstLineChars="0"/>
        <w:rPr>
          <w:rFonts w:hint="default" w:eastAsia="宋体"/>
          <w:highlight w:val="none"/>
          <w:lang w:val="en-US" w:eastAsia="zh-CN"/>
        </w:rPr>
      </w:pPr>
      <w:r>
        <w:rPr>
          <w:rFonts w:hint="eastAsia"/>
          <w:b/>
          <w:bCs/>
          <w:highlight w:val="none"/>
          <w:lang w:val="en-US" w:eastAsia="zh-CN"/>
        </w:rPr>
        <w:t>5</w:t>
      </w:r>
      <w:r>
        <w:rPr>
          <w:rFonts w:hint="eastAsia"/>
          <w:b/>
          <w:bCs/>
          <w:highlight w:val="none"/>
        </w:rPr>
        <w:t>.</w:t>
      </w:r>
      <w:r>
        <w:rPr>
          <w:b/>
          <w:bCs/>
          <w:highlight w:val="none"/>
        </w:rPr>
        <w:t>1</w:t>
      </w:r>
      <w:r>
        <w:rPr>
          <w:rFonts w:hint="eastAsia"/>
          <w:b/>
          <w:bCs/>
          <w:highlight w:val="none"/>
        </w:rPr>
        <w:t>.</w:t>
      </w:r>
      <w:r>
        <w:rPr>
          <w:rFonts w:hint="eastAsia"/>
          <w:b/>
          <w:bCs/>
          <w:highlight w:val="none"/>
          <w:lang w:val="en-US" w:eastAsia="zh-CN"/>
        </w:rPr>
        <w:t>2</w:t>
      </w:r>
      <w:r>
        <w:rPr>
          <w:highlight w:val="none"/>
        </w:rPr>
        <w:t xml:space="preserve">  </w:t>
      </w:r>
      <w:r>
        <w:rPr>
          <w:rFonts w:hint="eastAsia"/>
          <w:highlight w:val="none"/>
          <w:lang w:val="en-US" w:eastAsia="zh-CN"/>
        </w:rPr>
        <w:t>评分方法应符合以下要求：</w:t>
      </w:r>
    </w:p>
    <w:p w14:paraId="1BDE8E6F">
      <w:pPr>
        <w:pStyle w:val="21"/>
        <w:spacing w:line="360" w:lineRule="auto"/>
        <w:ind w:firstLine="482" w:firstLineChars="200"/>
        <w:rPr>
          <w:rFonts w:hint="default" w:ascii="Times New Roman" w:hAnsi="Times New Roman" w:cs="Times New Roman"/>
          <w:bCs/>
          <w:highlight w:val="none"/>
          <w:lang w:val="en-US" w:eastAsia="zh-CN"/>
        </w:rPr>
      </w:pPr>
      <w:r>
        <w:rPr>
          <w:rFonts w:hint="default" w:ascii="Times New Roman" w:hAnsi="Times New Roman" w:cs="Times New Roman"/>
          <w:b/>
          <w:highlight w:val="none"/>
        </w:rPr>
        <w:t xml:space="preserve">1  </w:t>
      </w:r>
      <w:r>
        <w:rPr>
          <w:rFonts w:hint="default" w:ascii="Times New Roman" w:hAnsi="Times New Roman" w:cs="Times New Roman"/>
          <w:bCs/>
          <w:highlight w:val="none"/>
        </w:rPr>
        <w:t>单项指标</w:t>
      </w:r>
      <w:r>
        <w:rPr>
          <w:rFonts w:hint="default" w:ascii="Times New Roman" w:hAnsi="Times New Roman" w:cs="Times New Roman"/>
          <w:bCs/>
          <w:highlight w:val="none"/>
          <w:lang w:eastAsia="zh-CN"/>
        </w:rPr>
        <w:t>、</w:t>
      </w:r>
      <w:r>
        <w:rPr>
          <w:rFonts w:hint="default" w:ascii="Times New Roman" w:hAnsi="Times New Roman" w:cs="Times New Roman"/>
          <w:bCs/>
          <w:highlight w:val="none"/>
        </w:rPr>
        <w:t>子项指标</w:t>
      </w:r>
      <w:r>
        <w:rPr>
          <w:rFonts w:hint="default" w:ascii="Times New Roman" w:hAnsi="Times New Roman" w:cs="Times New Roman"/>
          <w:bCs/>
          <w:highlight w:val="none"/>
          <w:lang w:val="en-US" w:eastAsia="zh-CN"/>
        </w:rPr>
        <w:t>按照</w:t>
      </w:r>
      <w:r>
        <w:rPr>
          <w:rFonts w:hint="default" w:ascii="Times New Roman" w:hAnsi="Times New Roman" w:cs="Times New Roman"/>
          <w:bCs/>
          <w:highlight w:val="none"/>
        </w:rPr>
        <w:t>要素</w:t>
      </w:r>
      <w:r>
        <w:rPr>
          <w:rFonts w:hint="default" w:ascii="Times New Roman" w:hAnsi="Times New Roman" w:cs="Times New Roman"/>
          <w:bCs/>
          <w:highlight w:val="none"/>
          <w:lang w:val="en-US" w:eastAsia="zh-CN"/>
        </w:rPr>
        <w:t>内容及评分标准，参照附</w:t>
      </w:r>
      <w:r>
        <w:rPr>
          <w:rFonts w:hint="default" w:ascii="Times New Roman" w:hAnsi="Times New Roman" w:cs="Times New Roman"/>
          <w:bCs/>
          <w:highlight w:val="none"/>
        </w:rPr>
        <w:t>表</w:t>
      </w:r>
      <w:r>
        <w:rPr>
          <w:rFonts w:hint="default" w:ascii="Times New Roman" w:hAnsi="Times New Roman" w:cs="Times New Roman"/>
          <w:bCs/>
          <w:highlight w:val="none"/>
          <w:lang w:val="en-US" w:eastAsia="zh-CN"/>
        </w:rPr>
        <w:t>A.0</w:t>
      </w:r>
      <w:r>
        <w:rPr>
          <w:rFonts w:hint="default" w:ascii="Times New Roman" w:hAnsi="Times New Roman" w:cs="Times New Roman"/>
          <w:bCs/>
          <w:highlight w:val="none"/>
        </w:rPr>
        <w:t>.1</w:t>
      </w:r>
      <w:r>
        <w:rPr>
          <w:rFonts w:hint="default" w:ascii="Times New Roman" w:hAnsi="Times New Roman" w:cs="Times New Roman"/>
          <w:bCs/>
          <w:highlight w:val="none"/>
          <w:lang w:eastAsia="zh-CN"/>
        </w:rPr>
        <w:t>—</w:t>
      </w:r>
      <w:r>
        <w:rPr>
          <w:rFonts w:hint="default" w:ascii="Times New Roman" w:hAnsi="Times New Roman" w:cs="Times New Roman"/>
          <w:bCs/>
          <w:highlight w:val="none"/>
          <w:lang w:val="en-US" w:eastAsia="zh-CN"/>
        </w:rPr>
        <w:t>A.0</w:t>
      </w:r>
      <w:r>
        <w:rPr>
          <w:rFonts w:hint="default" w:ascii="Times New Roman" w:hAnsi="Times New Roman" w:cs="Times New Roman"/>
          <w:bCs/>
          <w:highlight w:val="none"/>
        </w:rPr>
        <w:t>.</w:t>
      </w:r>
      <w:r>
        <w:rPr>
          <w:rFonts w:hint="default" w:ascii="Times New Roman" w:hAnsi="Times New Roman" w:cs="Times New Roman"/>
          <w:bCs/>
          <w:highlight w:val="none"/>
          <w:lang w:val="en-US" w:eastAsia="zh-CN"/>
        </w:rPr>
        <w:t>3采取扣分制方式进行评分；</w:t>
      </w:r>
    </w:p>
    <w:p w14:paraId="46E18263">
      <w:pPr>
        <w:keepNext w:val="0"/>
        <w:keepLines w:val="0"/>
        <w:widowControl/>
        <w:suppressLineNumbers w:val="0"/>
        <w:ind w:firstLine="482" w:firstLineChars="200"/>
        <w:jc w:val="left"/>
        <w:rPr>
          <w:rFonts w:hint="default" w:ascii="Times New Roman" w:hAnsi="Times New Roman" w:eastAsia="宋体" w:cs="Times New Roman"/>
          <w:bCs/>
          <w:kern w:val="2"/>
          <w:sz w:val="24"/>
          <w:szCs w:val="28"/>
          <w:highlight w:val="none"/>
          <w:lang w:val="en-US" w:eastAsia="zh-CN" w:bidi="ar-SA"/>
        </w:rPr>
      </w:pPr>
      <w:r>
        <w:rPr>
          <w:rFonts w:hint="default" w:ascii="Times New Roman" w:hAnsi="Times New Roman" w:cs="Times New Roman"/>
          <w:b/>
          <w:highlight w:val="none"/>
          <w:lang w:val="en-US" w:eastAsia="zh-CN"/>
        </w:rPr>
        <w:t>2</w:t>
      </w:r>
      <w:r>
        <w:rPr>
          <w:rFonts w:hint="default" w:ascii="Times New Roman" w:hAnsi="Times New Roman" w:cs="Times New Roman"/>
          <w:b/>
          <w:highlight w:val="none"/>
        </w:rPr>
        <w:t xml:space="preserve">  </w:t>
      </w:r>
      <w:r>
        <w:rPr>
          <w:rFonts w:hint="default" w:ascii="Times New Roman" w:hAnsi="Times New Roman" w:eastAsia="宋体" w:cs="Times New Roman"/>
          <w:bCs/>
          <w:kern w:val="2"/>
          <w:sz w:val="24"/>
          <w:szCs w:val="28"/>
          <w:highlight w:val="none"/>
          <w:lang w:val="en-US" w:eastAsia="zh-CN" w:bidi="ar-SA"/>
        </w:rPr>
        <w:t>对发现的问题按照评分标准进行扣分，当下级扣分项总分大于上级扣分项时，上级扣分项扣完为止；</w:t>
      </w:r>
    </w:p>
    <w:p w14:paraId="2EEDBE62">
      <w:pPr>
        <w:keepNext w:val="0"/>
        <w:keepLines w:val="0"/>
        <w:widowControl/>
        <w:suppressLineNumbers w:val="0"/>
        <w:ind w:firstLine="482" w:firstLineChars="200"/>
        <w:jc w:val="left"/>
        <w:rPr>
          <w:rFonts w:hint="default" w:ascii="Times New Roman" w:hAnsi="Times New Roman" w:cs="Times New Roman"/>
          <w:bCs/>
          <w:kern w:val="2"/>
          <w:sz w:val="24"/>
          <w:szCs w:val="28"/>
          <w:highlight w:val="none"/>
          <w:lang w:val="en-US" w:eastAsia="zh-CN" w:bidi="ar-SA"/>
        </w:rPr>
      </w:pPr>
      <w:r>
        <w:rPr>
          <w:rFonts w:hint="default" w:ascii="Times New Roman" w:hAnsi="Times New Roman" w:cs="Times New Roman"/>
          <w:b/>
          <w:highlight w:val="none"/>
          <w:lang w:val="en-US" w:eastAsia="zh-CN"/>
        </w:rPr>
        <w:t>3</w:t>
      </w:r>
      <w:r>
        <w:rPr>
          <w:rFonts w:hint="default" w:ascii="Times New Roman" w:hAnsi="Times New Roman" w:cs="Times New Roman"/>
          <w:b/>
          <w:highlight w:val="none"/>
        </w:rPr>
        <w:t xml:space="preserve">  </w:t>
      </w:r>
      <w:r>
        <w:rPr>
          <w:rFonts w:hint="default" w:ascii="Times New Roman" w:hAnsi="Times New Roman" w:eastAsia="宋体" w:cs="Times New Roman"/>
          <w:bCs/>
          <w:kern w:val="2"/>
          <w:sz w:val="24"/>
          <w:szCs w:val="28"/>
          <w:highlight w:val="none"/>
          <w:lang w:val="en-US" w:eastAsia="zh-CN" w:bidi="ar-SA"/>
        </w:rPr>
        <w:t>依据消防技术标准不需要设置而自行设置的评估</w:t>
      </w:r>
      <w:r>
        <w:rPr>
          <w:rFonts w:hint="default" w:ascii="Times New Roman" w:hAnsi="Times New Roman" w:cs="Times New Roman"/>
          <w:bCs/>
          <w:kern w:val="2"/>
          <w:sz w:val="24"/>
          <w:szCs w:val="28"/>
          <w:highlight w:val="none"/>
          <w:lang w:val="en-US" w:eastAsia="zh-CN" w:bidi="ar-SA"/>
        </w:rPr>
        <w:t>单</w:t>
      </w:r>
      <w:r>
        <w:rPr>
          <w:rFonts w:hint="default" w:ascii="Times New Roman" w:hAnsi="Times New Roman" w:eastAsia="宋体" w:cs="Times New Roman"/>
          <w:bCs/>
          <w:kern w:val="2"/>
          <w:sz w:val="24"/>
          <w:szCs w:val="28"/>
          <w:highlight w:val="none"/>
          <w:lang w:val="en-US" w:eastAsia="zh-CN" w:bidi="ar-SA"/>
        </w:rPr>
        <w:t>项或评估</w:t>
      </w:r>
      <w:r>
        <w:rPr>
          <w:rFonts w:hint="default" w:ascii="Times New Roman" w:hAnsi="Times New Roman" w:cs="Times New Roman"/>
          <w:bCs/>
          <w:kern w:val="2"/>
          <w:sz w:val="24"/>
          <w:szCs w:val="28"/>
          <w:highlight w:val="none"/>
          <w:lang w:val="en-US" w:eastAsia="zh-CN" w:bidi="ar-SA"/>
        </w:rPr>
        <w:t>子</w:t>
      </w:r>
      <w:r>
        <w:rPr>
          <w:rFonts w:hint="default" w:ascii="Times New Roman" w:hAnsi="Times New Roman" w:eastAsia="宋体" w:cs="Times New Roman"/>
          <w:bCs/>
          <w:kern w:val="2"/>
          <w:sz w:val="24"/>
          <w:szCs w:val="28"/>
          <w:highlight w:val="none"/>
          <w:lang w:val="en-US" w:eastAsia="zh-CN" w:bidi="ar-SA"/>
        </w:rPr>
        <w:t>项不参与评分，但检查发现的问题应在评估报告中列出</w:t>
      </w:r>
      <w:r>
        <w:rPr>
          <w:rFonts w:hint="default" w:ascii="Times New Roman" w:hAnsi="Times New Roman" w:cs="Times New Roman"/>
          <w:bCs/>
          <w:kern w:val="2"/>
          <w:sz w:val="24"/>
          <w:szCs w:val="28"/>
          <w:highlight w:val="none"/>
          <w:lang w:val="en-US" w:eastAsia="zh-CN" w:bidi="ar-SA"/>
        </w:rPr>
        <w:t>。</w:t>
      </w:r>
    </w:p>
    <w:p w14:paraId="2BA11C80">
      <w:pPr>
        <w:pStyle w:val="21"/>
        <w:spacing w:line="360" w:lineRule="auto"/>
        <w:ind w:firstLine="482" w:firstLineChars="200"/>
        <w:rPr>
          <w:highlight w:val="none"/>
        </w:rPr>
      </w:pPr>
      <w:r>
        <w:rPr>
          <w:rFonts w:hint="eastAsia"/>
          <w:b/>
          <w:highlight w:val="none"/>
          <w:lang w:val="en-US" w:eastAsia="zh-CN"/>
        </w:rPr>
        <w:t>4</w:t>
      </w:r>
      <w:r>
        <w:rPr>
          <w:rFonts w:hint="eastAsia"/>
          <w:b/>
          <w:highlight w:val="none"/>
        </w:rPr>
        <w:t xml:space="preserve">  </w:t>
      </w:r>
      <w:r>
        <w:rPr>
          <w:rFonts w:hint="eastAsia"/>
          <w:highlight w:val="none"/>
          <w:lang w:val="en-US" w:eastAsia="zh-CN"/>
        </w:rPr>
        <w:t>分项指标综合得分按式5.1.2—1计算：</w:t>
      </w:r>
    </w:p>
    <w:p w14:paraId="225E3A5D">
      <w:pPr>
        <w:keepNext w:val="0"/>
        <w:keepLines w:val="0"/>
        <w:widowControl/>
        <w:suppressLineNumbers w:val="0"/>
        <w:ind w:firstLine="480" w:firstLineChars="200"/>
        <w:jc w:val="right"/>
        <w:rPr>
          <w:rFonts w:hint="default"/>
          <w:highlight w:val="none"/>
          <w:lang w:val="en-US" w:eastAsia="zh-CN"/>
        </w:rPr>
      </w:pPr>
      <m:oMath>
        <m:sSub>
          <m:sSubPr>
            <m:ctrlPr>
              <w:rPr>
                <w:rFonts w:hint="default" w:ascii="Cambria Math" w:hAnsi="Cambria Math" w:cs="宋体"/>
                <w:i w:val="0"/>
                <w:kern w:val="2"/>
                <w:sz w:val="24"/>
                <w:szCs w:val="28"/>
                <w:highlight w:val="none"/>
                <w:lang w:val="en-US" w:eastAsia="zh-CN" w:bidi="ar-SA"/>
              </w:rPr>
            </m:ctrlPr>
          </m:sSubPr>
          <m:e>
            <m:r>
              <m:rPr>
                <m:sty m:val="p"/>
              </m:rPr>
              <w:rPr>
                <w:rFonts w:hint="eastAsia" w:ascii="Cambria Math" w:hAnsi="Cambria Math" w:cs="宋体"/>
                <w:kern w:val="2"/>
                <w:sz w:val="24"/>
                <w:szCs w:val="28"/>
                <w:highlight w:val="none"/>
                <w:lang w:val="en-US" w:eastAsia="zh-CN" w:bidi="ar-SA"/>
              </w:rPr>
              <m:t>M</m:t>
            </m:r>
            <m:ctrlPr>
              <w:rPr>
                <w:rFonts w:hint="default" w:ascii="Cambria Math" w:hAnsi="Cambria Math" w:cs="宋体"/>
                <w:i w:val="0"/>
                <w:kern w:val="2"/>
                <w:sz w:val="24"/>
                <w:szCs w:val="28"/>
                <w:highlight w:val="none"/>
                <w:lang w:val="en-US" w:eastAsia="zh-CN" w:bidi="ar-SA"/>
              </w:rPr>
            </m:ctrlPr>
          </m:e>
          <m:sub>
            <m:r>
              <m:rPr>
                <m:sty m:val="p"/>
              </m:rPr>
              <w:rPr>
                <w:rFonts w:hint="eastAsia" w:ascii="Cambria Math" w:hAnsi="Cambria Math" w:cs="宋体"/>
                <w:kern w:val="2"/>
                <w:sz w:val="24"/>
                <w:szCs w:val="28"/>
                <w:highlight w:val="none"/>
                <w:lang w:val="en-US" w:eastAsia="zh-CN" w:bidi="ar-SA"/>
              </w:rPr>
              <m:t>i</m:t>
            </m:r>
            <m:ctrlPr>
              <w:rPr>
                <w:rFonts w:hint="default" w:ascii="Cambria Math" w:hAnsi="Cambria Math" w:cs="宋体"/>
                <w:i w:val="0"/>
                <w:kern w:val="2"/>
                <w:sz w:val="24"/>
                <w:szCs w:val="28"/>
                <w:highlight w:val="none"/>
                <w:lang w:val="en-US" w:eastAsia="zh-CN" w:bidi="ar-SA"/>
              </w:rPr>
            </m:ctrlPr>
          </m:sub>
        </m:sSub>
        <m:r>
          <m:rPr>
            <m:sty m:val="p"/>
          </m:rPr>
          <w:rPr>
            <w:rFonts w:hint="default" w:ascii="Cambria Math" w:hAnsi="Cambria Math" w:cs="宋体"/>
            <w:kern w:val="2"/>
            <w:sz w:val="24"/>
            <w:szCs w:val="28"/>
            <w:highlight w:val="none"/>
            <w:lang w:val="en-US" w:eastAsia="zh-CN" w:bidi="ar-SA"/>
          </w:rPr>
          <m:t>=</m:t>
        </m:r>
        <m:f>
          <m:fPr>
            <m:ctrlPr>
              <w:rPr>
                <w:rFonts w:hint="default" w:ascii="Cambria Math" w:hAnsi="Cambria Math" w:cs="宋体"/>
                <w:kern w:val="2"/>
                <w:sz w:val="24"/>
                <w:szCs w:val="28"/>
                <w:highlight w:val="none"/>
                <w:lang w:val="en-US" w:eastAsia="zh-CN" w:bidi="ar-SA"/>
              </w:rPr>
            </m:ctrlPr>
          </m:fPr>
          <m:num>
            <m:sSub>
              <m:sSubPr>
                <m:ctrlPr>
                  <w:rPr>
                    <w:rFonts w:hint="default" w:ascii="Cambria Math" w:hAnsi="Cambria Math" w:cs="宋体"/>
                    <w:kern w:val="2"/>
                    <w:sz w:val="24"/>
                    <w:szCs w:val="28"/>
                    <w:highlight w:val="none"/>
                    <w:lang w:val="en-US" w:eastAsia="zh-CN" w:bidi="ar-SA"/>
                  </w:rPr>
                </m:ctrlPr>
              </m:sSubPr>
              <m:e>
                <m:r>
                  <m:rPr>
                    <m:sty m:val="p"/>
                  </m:rPr>
                  <w:rPr>
                    <w:rFonts w:hint="eastAsia" w:ascii="Cambria Math" w:hAnsi="Cambria Math" w:cs="宋体"/>
                    <w:kern w:val="2"/>
                    <w:sz w:val="24"/>
                    <w:szCs w:val="28"/>
                    <w:highlight w:val="none"/>
                    <w:lang w:val="en-US" w:eastAsia="zh-CN" w:bidi="ar-SA"/>
                  </w:rPr>
                  <m:t>P</m:t>
                </m:r>
                <m:ctrlPr>
                  <w:rPr>
                    <w:rFonts w:hint="default" w:ascii="Cambria Math" w:hAnsi="Cambria Math" w:cs="宋体"/>
                    <w:kern w:val="2"/>
                    <w:sz w:val="24"/>
                    <w:szCs w:val="28"/>
                    <w:highlight w:val="none"/>
                    <w:lang w:val="en-US" w:eastAsia="zh-CN" w:bidi="ar-SA"/>
                  </w:rPr>
                </m:ctrlPr>
              </m:e>
              <m:sub>
                <m:r>
                  <m:rPr>
                    <m:sty m:val="p"/>
                  </m:rPr>
                  <w:rPr>
                    <w:rFonts w:hint="eastAsia" w:ascii="Cambria Math" w:hAnsi="Cambria Math" w:cs="宋体"/>
                    <w:kern w:val="2"/>
                    <w:sz w:val="24"/>
                    <w:szCs w:val="28"/>
                    <w:highlight w:val="none"/>
                    <w:lang w:val="en-US" w:eastAsia="zh-CN" w:bidi="ar-SA"/>
                  </w:rPr>
                  <m:t>y</m:t>
                </m:r>
                <m:ctrlPr>
                  <w:rPr>
                    <w:rFonts w:hint="default" w:ascii="Cambria Math" w:hAnsi="Cambria Math" w:cs="宋体"/>
                    <w:kern w:val="2"/>
                    <w:sz w:val="24"/>
                    <w:szCs w:val="28"/>
                    <w:highlight w:val="none"/>
                    <w:lang w:val="en-US" w:eastAsia="zh-CN" w:bidi="ar-SA"/>
                  </w:rPr>
                </m:ctrlPr>
              </m:sub>
            </m:sSub>
            <m:ctrlPr>
              <w:rPr>
                <w:rFonts w:hint="default" w:ascii="Cambria Math" w:hAnsi="Cambria Math" w:cs="宋体"/>
                <w:kern w:val="2"/>
                <w:sz w:val="24"/>
                <w:szCs w:val="28"/>
                <w:highlight w:val="none"/>
                <w:lang w:val="en-US" w:eastAsia="zh-CN" w:bidi="ar-SA"/>
              </w:rPr>
            </m:ctrlPr>
          </m:num>
          <m:den>
            <m:sSub>
              <m:sSubPr>
                <m:ctrlPr>
                  <w:rPr>
                    <w:rFonts w:hint="default" w:ascii="Cambria Math" w:hAnsi="Cambria Math" w:cs="宋体"/>
                    <w:kern w:val="2"/>
                    <w:sz w:val="24"/>
                    <w:szCs w:val="28"/>
                    <w:highlight w:val="none"/>
                    <w:lang w:val="en-US" w:eastAsia="zh-CN" w:bidi="ar-SA"/>
                  </w:rPr>
                </m:ctrlPr>
              </m:sSubPr>
              <m:e>
                <m:r>
                  <m:rPr>
                    <m:sty m:val="p"/>
                  </m:rPr>
                  <w:rPr>
                    <w:rFonts w:hint="eastAsia" w:ascii="Cambria Math" w:hAnsi="Cambria Math" w:cs="宋体"/>
                    <w:kern w:val="2"/>
                    <w:sz w:val="24"/>
                    <w:szCs w:val="28"/>
                    <w:highlight w:val="none"/>
                    <w:lang w:val="en-US" w:eastAsia="zh-CN" w:bidi="ar-SA"/>
                  </w:rPr>
                  <m:t>P</m:t>
                </m:r>
                <m:ctrlPr>
                  <w:rPr>
                    <w:rFonts w:hint="default" w:ascii="Cambria Math" w:hAnsi="Cambria Math" w:cs="宋体"/>
                    <w:kern w:val="2"/>
                    <w:sz w:val="24"/>
                    <w:szCs w:val="28"/>
                    <w:highlight w:val="none"/>
                    <w:lang w:val="en-US" w:eastAsia="zh-CN" w:bidi="ar-SA"/>
                  </w:rPr>
                </m:ctrlPr>
              </m:e>
              <m:sub>
                <m:r>
                  <m:rPr>
                    <m:sty m:val="p"/>
                  </m:rPr>
                  <w:rPr>
                    <w:rFonts w:hint="eastAsia" w:ascii="Cambria Math" w:hAnsi="Cambria Math" w:cs="宋体"/>
                    <w:kern w:val="2"/>
                    <w:sz w:val="24"/>
                    <w:szCs w:val="28"/>
                    <w:highlight w:val="none"/>
                    <w:lang w:val="en-US" w:eastAsia="zh-CN" w:bidi="ar-SA"/>
                  </w:rPr>
                  <m:t>z</m:t>
                </m:r>
                <m:ctrlPr>
                  <w:rPr>
                    <w:rFonts w:hint="default" w:ascii="Cambria Math" w:hAnsi="Cambria Math" w:cs="宋体"/>
                    <w:kern w:val="2"/>
                    <w:sz w:val="24"/>
                    <w:szCs w:val="28"/>
                    <w:highlight w:val="none"/>
                    <w:lang w:val="en-US" w:eastAsia="zh-CN" w:bidi="ar-SA"/>
                  </w:rPr>
                </m:ctrlPr>
              </m:sub>
            </m:sSub>
            <m:ctrlPr>
              <w:rPr>
                <w:rFonts w:hint="default" w:ascii="Cambria Math" w:hAnsi="Cambria Math" w:cs="宋体"/>
                <w:kern w:val="2"/>
                <w:sz w:val="24"/>
                <w:szCs w:val="28"/>
                <w:highlight w:val="none"/>
                <w:lang w:val="en-US" w:eastAsia="zh-CN" w:bidi="ar-SA"/>
              </w:rPr>
            </m:ctrlPr>
          </m:den>
        </m:f>
        <m:r>
          <m:rPr>
            <m:sty m:val="p"/>
          </m:rPr>
          <w:rPr>
            <w:rFonts w:hint="default" w:ascii="Cambria Math" w:hAnsi="Cambria Math" w:cs="Cambria Math"/>
            <w:kern w:val="2"/>
            <w:sz w:val="24"/>
            <w:szCs w:val="28"/>
            <w:highlight w:val="none"/>
            <w:lang w:val="en-US" w:eastAsia="zh-CN" w:bidi="ar-SA"/>
          </w:rPr>
          <m:t>×100</m:t>
        </m:r>
      </m:oMath>
      <w:r>
        <w:rPr>
          <w:rFonts w:hint="eastAsia" w:hAnsi="Cambria Math" w:cs="Cambria Math"/>
          <w:b w:val="0"/>
          <w:i w:val="0"/>
          <w:kern w:val="2"/>
          <w:sz w:val="24"/>
          <w:szCs w:val="28"/>
          <w:highlight w:val="none"/>
          <w:lang w:val="en-US" w:eastAsia="zh-CN" w:bidi="ar-SA"/>
        </w:rPr>
        <w:t>%                       （</w:t>
      </w:r>
      <w:r>
        <w:rPr>
          <w:rFonts w:hint="eastAsia"/>
          <w:highlight w:val="none"/>
          <w:lang w:val="en-US" w:eastAsia="zh-CN"/>
        </w:rPr>
        <w:t>5.1.2—1</w:t>
      </w:r>
      <w:r>
        <w:rPr>
          <w:rFonts w:hint="eastAsia" w:hAnsi="Cambria Math" w:cs="Cambria Math"/>
          <w:b w:val="0"/>
          <w:i w:val="0"/>
          <w:kern w:val="2"/>
          <w:sz w:val="24"/>
          <w:szCs w:val="28"/>
          <w:highlight w:val="none"/>
          <w:lang w:val="en-US" w:eastAsia="zh-CN" w:bidi="ar-SA"/>
        </w:rPr>
        <w:t>）</w:t>
      </w:r>
    </w:p>
    <w:p w14:paraId="54D0130F">
      <w:pPr>
        <w:keepNext w:val="0"/>
        <w:keepLines w:val="0"/>
        <w:widowControl/>
        <w:suppressLineNumbers w:val="0"/>
        <w:ind w:firstLine="480" w:firstLineChars="200"/>
        <w:jc w:val="left"/>
        <w:rPr>
          <w:rFonts w:hint="eastAsia"/>
          <w:highlight w:val="none"/>
          <w:lang w:val="en-US" w:eastAsia="zh-CN"/>
        </w:rPr>
      </w:pPr>
      <w:r>
        <w:rPr>
          <w:rFonts w:hint="eastAsia"/>
          <w:highlight w:val="none"/>
          <w:lang w:val="en-US" w:eastAsia="zh-CN"/>
        </w:rPr>
        <w:t>式中：</w:t>
      </w:r>
      <m:oMath>
        <m:sSub>
          <m:sSubPr>
            <m:ctrlPr>
              <w:rPr>
                <w:rFonts w:ascii="Cambria Math" w:hAnsi="Cambria Math"/>
                <w:i/>
                <w:highlight w:val="none"/>
                <w:lang w:val="en-US"/>
              </w:rPr>
            </m:ctrlPr>
          </m:sSubPr>
          <m:e>
            <m:r>
              <m:rPr/>
              <w:rPr>
                <w:rFonts w:hint="default" w:ascii="Cambria Math" w:hAnsi="Cambria Math"/>
                <w:highlight w:val="none"/>
                <w:lang w:val="en-US" w:eastAsia="zh-CN"/>
              </w:rPr>
              <m:t>M</m:t>
            </m:r>
            <m:ctrlPr>
              <w:rPr>
                <w:rFonts w:ascii="Cambria Math" w:hAnsi="Cambria Math"/>
                <w:i/>
                <w:highlight w:val="none"/>
                <w:lang w:val="en-US"/>
              </w:rPr>
            </m:ctrlPr>
          </m:e>
          <m:sub>
            <m:r>
              <m:rPr/>
              <w:rPr>
                <w:rFonts w:hint="default" w:ascii="Cambria Math" w:hAnsi="Cambria Math"/>
                <w:highlight w:val="none"/>
                <w:lang w:val="en-US" w:eastAsia="zh-CN"/>
              </w:rPr>
              <m:t>i</m:t>
            </m:r>
            <m:ctrlPr>
              <w:rPr>
                <w:rFonts w:ascii="Cambria Math" w:hAnsi="Cambria Math"/>
                <w:i/>
                <w:highlight w:val="none"/>
                <w:lang w:val="en-US"/>
              </w:rPr>
            </m:ctrlPr>
          </m:sub>
        </m:sSub>
      </m:oMath>
      <w:r>
        <w:rPr>
          <w:rFonts w:hint="eastAsia"/>
          <w:highlight w:val="none"/>
          <w:lang w:val="en-US" w:eastAsia="zh-CN"/>
        </w:rPr>
        <w:t>——</w:t>
      </w:r>
      <w:r>
        <w:rPr>
          <w:rFonts w:hint="eastAsia"/>
          <w:highlight w:val="none"/>
          <w:lang w:val="en-US" w:eastAsia="zh"/>
        </w:rPr>
        <w:t>第i个</w:t>
      </w:r>
      <w:r>
        <w:rPr>
          <w:rFonts w:hint="eastAsia"/>
          <w:highlight w:val="none"/>
          <w:lang w:val="en-US" w:eastAsia="zh-CN"/>
        </w:rPr>
        <w:t>分项指标评估得分；</w:t>
      </w:r>
    </w:p>
    <w:p w14:paraId="42AA5E28">
      <w:pPr>
        <w:keepNext w:val="0"/>
        <w:keepLines w:val="0"/>
        <w:widowControl/>
        <w:suppressLineNumbers w:val="0"/>
        <w:ind w:firstLine="1200" w:firstLineChars="500"/>
        <w:jc w:val="left"/>
        <w:rPr>
          <w:rFonts w:hint="eastAsia"/>
          <w:highlight w:val="none"/>
          <w:lang w:val="en-US" w:eastAsia="zh-CN"/>
        </w:rPr>
      </w:pPr>
      <m:oMath>
        <m:sSub>
          <m:sSubPr>
            <m:ctrlPr>
              <w:rPr>
                <w:rFonts w:ascii="Cambria Math" w:hAnsi="Cambria Math"/>
                <w:i/>
                <w:highlight w:val="none"/>
                <w:lang w:val="en-US"/>
              </w:rPr>
            </m:ctrlPr>
          </m:sSubPr>
          <m:e>
            <m:r>
              <m:rPr/>
              <w:rPr>
                <w:rFonts w:hint="default" w:ascii="Cambria Math" w:hAnsi="Cambria Math"/>
                <w:highlight w:val="none"/>
                <w:lang w:val="en-US" w:eastAsia="zh-CN"/>
              </w:rPr>
              <m:t>P</m:t>
            </m:r>
            <m:ctrlPr>
              <w:rPr>
                <w:rFonts w:ascii="Cambria Math" w:hAnsi="Cambria Math"/>
                <w:i/>
                <w:highlight w:val="none"/>
                <w:lang w:val="en-US"/>
              </w:rPr>
            </m:ctrlPr>
          </m:e>
          <m:sub>
            <m:r>
              <m:rPr/>
              <w:rPr>
                <w:rFonts w:hint="default" w:ascii="Cambria Math" w:hAnsi="Cambria Math"/>
                <w:highlight w:val="none"/>
                <w:lang w:val="en-US" w:eastAsia="zh-CN"/>
              </w:rPr>
              <m:t>y</m:t>
            </m:r>
            <m:ctrlPr>
              <w:rPr>
                <w:rFonts w:ascii="Cambria Math" w:hAnsi="Cambria Math"/>
                <w:i/>
                <w:highlight w:val="none"/>
                <w:lang w:val="en-US"/>
              </w:rPr>
            </m:ctrlPr>
          </m:sub>
        </m:sSub>
      </m:oMath>
      <w:r>
        <w:rPr>
          <w:rFonts w:hint="eastAsia"/>
          <w:highlight w:val="none"/>
          <w:lang w:val="en-US" w:eastAsia="zh-CN"/>
        </w:rPr>
        <w:t>——所有要素检查得分；</w:t>
      </w:r>
    </w:p>
    <w:p w14:paraId="1A37D276">
      <w:pPr>
        <w:keepNext w:val="0"/>
        <w:keepLines w:val="0"/>
        <w:widowControl/>
        <w:suppressLineNumbers w:val="0"/>
        <w:ind w:firstLine="1200" w:firstLineChars="500"/>
        <w:jc w:val="left"/>
        <w:rPr>
          <w:rFonts w:hint="eastAsia" w:eastAsia="宋体"/>
          <w:highlight w:val="none"/>
          <w:vertAlign w:val="subscript"/>
          <w:lang w:val="en-US" w:eastAsia="zh"/>
        </w:rPr>
      </w:pPr>
      <m:oMath>
        <m:sSub>
          <m:sSubPr>
            <m:ctrlPr>
              <w:rPr>
                <w:rFonts w:ascii="Cambria Math" w:hAnsi="Cambria Math"/>
                <w:i/>
                <w:highlight w:val="none"/>
                <w:lang w:val="en-US"/>
              </w:rPr>
            </m:ctrlPr>
          </m:sSubPr>
          <m:e>
            <m:r>
              <m:rPr/>
              <w:rPr>
                <w:rFonts w:hint="default" w:ascii="Cambria Math" w:hAnsi="Cambria Math"/>
                <w:highlight w:val="none"/>
                <w:lang w:val="en-US" w:eastAsia="zh-CN"/>
              </w:rPr>
              <m:t>P</m:t>
            </m:r>
            <m:ctrlPr>
              <w:rPr>
                <w:rFonts w:ascii="Cambria Math" w:hAnsi="Cambria Math"/>
                <w:i/>
                <w:highlight w:val="none"/>
                <w:lang w:val="en-US"/>
              </w:rPr>
            </m:ctrlPr>
          </m:e>
          <m:sub>
            <m:r>
              <m:rPr/>
              <w:rPr>
                <w:rFonts w:hint="default" w:ascii="Cambria Math" w:hAnsi="Cambria Math"/>
                <w:highlight w:val="none"/>
                <w:lang w:val="en-US" w:eastAsia="zh-CN"/>
              </w:rPr>
              <m:t>z</m:t>
            </m:r>
            <m:ctrlPr>
              <w:rPr>
                <w:rFonts w:ascii="Cambria Math" w:hAnsi="Cambria Math"/>
                <w:i/>
                <w:highlight w:val="none"/>
                <w:lang w:val="en-US"/>
              </w:rPr>
            </m:ctrlPr>
          </m:sub>
        </m:sSub>
      </m:oMath>
      <w:r>
        <w:rPr>
          <w:rFonts w:hint="eastAsia"/>
          <w:highlight w:val="none"/>
          <w:lang w:val="en-US" w:eastAsia="zh-CN"/>
        </w:rPr>
        <w:t>——所有评估要素应得</w:t>
      </w:r>
      <w:r>
        <w:rPr>
          <w:rFonts w:hint="eastAsia"/>
          <w:highlight w:val="none"/>
          <w:lang w:val="en-US" w:eastAsia="zh"/>
        </w:rPr>
        <w:t>。</w:t>
      </w:r>
    </w:p>
    <w:p w14:paraId="1EFFE61E">
      <w:pPr>
        <w:keepNext w:val="0"/>
        <w:keepLines w:val="0"/>
        <w:widowControl/>
        <w:suppressLineNumbers w:val="0"/>
        <w:autoSpaceDN/>
        <w:spacing w:before="0" w:beforeAutospacing="0" w:after="0" w:afterAutospacing="0"/>
        <w:ind w:left="0" w:right="0" w:firstLine="0" w:firstLineChars="0"/>
        <w:jc w:val="both"/>
        <w:rPr>
          <w:rFonts w:hint="eastAsia" w:ascii="Times New Roman" w:hAnsi="Times New Roman" w:cs="Times New Roman"/>
          <w:highlight w:val="none"/>
          <w:lang w:val="en-US" w:eastAsia="zh-CN"/>
        </w:rPr>
      </w:pPr>
      <w:r>
        <w:rPr>
          <w:rFonts w:hint="eastAsia" w:ascii="Times New Roman" w:hAnsi="Times New Roman" w:cs="Times New Roman"/>
          <w:bCs/>
          <w:color w:val="0000FF"/>
          <w:highlight w:val="none"/>
          <w:lang w:eastAsia="zh-CN"/>
        </w:rPr>
        <w:t>【</w:t>
      </w:r>
      <w:r>
        <w:rPr>
          <w:rFonts w:hint="eastAsia" w:ascii="Times New Roman" w:hAnsi="Times New Roman" w:cs="Times New Roman"/>
          <w:bCs/>
          <w:color w:val="0000FF"/>
          <w:highlight w:val="none"/>
          <w:lang w:val="en-US" w:eastAsia="zh-CN"/>
        </w:rPr>
        <w:t>条文说明</w:t>
      </w:r>
      <w:r>
        <w:rPr>
          <w:rFonts w:hint="eastAsia" w:ascii="Times New Roman" w:hAnsi="Times New Roman" w:cs="Times New Roman"/>
          <w:bCs/>
          <w:color w:val="0000FF"/>
          <w:highlight w:val="none"/>
          <w:lang w:eastAsia="zh-CN"/>
        </w:rPr>
        <w:t>】</w:t>
      </w:r>
    </w:p>
    <w:p w14:paraId="6311DE6B">
      <w:pPr>
        <w:keepNext w:val="0"/>
        <w:keepLines w:val="0"/>
        <w:widowControl/>
        <w:suppressLineNumbers w:val="0"/>
        <w:ind w:firstLine="480" w:firstLineChars="200"/>
        <w:jc w:val="left"/>
        <w:rPr>
          <w:rFonts w:hint="default" w:ascii="Times New Roman" w:hAnsi="Times New Roman" w:cs="Times New Roman"/>
          <w:bCs/>
          <w:color w:val="0000FF"/>
          <w:highlight w:val="none"/>
          <w:lang w:val="en-US" w:eastAsia="zh-CN"/>
        </w:rPr>
      </w:pPr>
      <w:r>
        <w:rPr>
          <w:rFonts w:hint="default" w:ascii="Times New Roman" w:hAnsi="Times New Roman" w:cs="Times New Roman"/>
          <w:bCs/>
          <w:color w:val="0000FF"/>
          <w:highlight w:val="none"/>
          <w:lang w:val="en-US" w:eastAsia="zh-CN"/>
        </w:rPr>
        <w:t>所有评估</w:t>
      </w:r>
      <w:r>
        <w:rPr>
          <w:rFonts w:hint="eastAsia" w:ascii="Times New Roman" w:hAnsi="Times New Roman" w:cs="Times New Roman"/>
          <w:bCs/>
          <w:color w:val="0000FF"/>
          <w:highlight w:val="none"/>
          <w:lang w:val="en-US" w:eastAsia="zh-CN"/>
        </w:rPr>
        <w:t>要素</w:t>
      </w:r>
      <w:r>
        <w:rPr>
          <w:rFonts w:hint="default" w:ascii="Times New Roman" w:hAnsi="Times New Roman" w:cs="Times New Roman"/>
          <w:bCs/>
          <w:color w:val="0000FF"/>
          <w:highlight w:val="none"/>
          <w:lang w:val="en-US" w:eastAsia="zh-CN"/>
        </w:rPr>
        <w:t>应得总分</w:t>
      </w:r>
      <w:r>
        <w:rPr>
          <w:rFonts w:hint="eastAsia" w:ascii="Times New Roman" w:hAnsi="Times New Roman" w:cs="Times New Roman"/>
          <w:bCs/>
          <w:color w:val="0000FF"/>
          <w:highlight w:val="none"/>
          <w:lang w:val="en-US" w:eastAsia="zh-CN"/>
        </w:rPr>
        <w:t>为评估分项指标中，</w:t>
      </w:r>
      <w:r>
        <w:rPr>
          <w:rFonts w:hint="default" w:ascii="Times New Roman" w:hAnsi="Times New Roman" w:cs="Times New Roman"/>
          <w:bCs/>
          <w:color w:val="0000FF"/>
          <w:highlight w:val="none"/>
          <w:lang w:val="en-US" w:eastAsia="zh-CN"/>
        </w:rPr>
        <w:t>所有评估</w:t>
      </w:r>
      <w:r>
        <w:rPr>
          <w:rFonts w:hint="eastAsia" w:ascii="Times New Roman" w:hAnsi="Times New Roman" w:cs="Times New Roman"/>
          <w:bCs/>
          <w:color w:val="0000FF"/>
          <w:highlight w:val="none"/>
          <w:lang w:val="en-US" w:eastAsia="zh-CN"/>
        </w:rPr>
        <w:t>要素</w:t>
      </w:r>
      <w:r>
        <w:rPr>
          <w:rFonts w:hint="default" w:ascii="Times New Roman" w:hAnsi="Times New Roman" w:cs="Times New Roman"/>
          <w:bCs/>
          <w:color w:val="0000FF"/>
          <w:highlight w:val="none"/>
          <w:lang w:val="en-US" w:eastAsia="zh-CN"/>
        </w:rPr>
        <w:t>总分</w:t>
      </w:r>
      <w:r>
        <w:rPr>
          <w:rFonts w:hint="eastAsia" w:ascii="Times New Roman" w:hAnsi="Times New Roman" w:cs="Times New Roman"/>
          <w:bCs/>
          <w:color w:val="0000FF"/>
          <w:highlight w:val="none"/>
          <w:lang w:val="en-US" w:eastAsia="zh-CN"/>
        </w:rPr>
        <w:t>扣除</w:t>
      </w:r>
      <w:r>
        <w:rPr>
          <w:rFonts w:hint="default" w:ascii="Times New Roman" w:hAnsi="Times New Roman" w:cs="Times New Roman"/>
          <w:bCs/>
          <w:color w:val="0000FF"/>
          <w:highlight w:val="none"/>
          <w:lang w:val="en-US" w:eastAsia="zh-CN"/>
        </w:rPr>
        <w:t>不参与</w:t>
      </w:r>
      <w:r>
        <w:rPr>
          <w:rFonts w:hint="eastAsia" w:ascii="Times New Roman" w:hAnsi="Times New Roman" w:cs="Times New Roman"/>
          <w:bCs/>
          <w:color w:val="0000FF"/>
          <w:highlight w:val="none"/>
          <w:lang w:val="en-US" w:eastAsia="zh-CN"/>
        </w:rPr>
        <w:t>评估要素的</w:t>
      </w:r>
      <w:r>
        <w:rPr>
          <w:rFonts w:hint="default" w:ascii="Times New Roman" w:hAnsi="Times New Roman" w:cs="Times New Roman"/>
          <w:bCs/>
          <w:color w:val="0000FF"/>
          <w:highlight w:val="none"/>
          <w:lang w:val="en-US" w:eastAsia="zh-CN"/>
        </w:rPr>
        <w:t>总分</w:t>
      </w:r>
      <w:r>
        <w:rPr>
          <w:rFonts w:hint="eastAsia" w:ascii="Times New Roman" w:hAnsi="Times New Roman" w:cs="Times New Roman"/>
          <w:bCs/>
          <w:color w:val="0000FF"/>
          <w:highlight w:val="none"/>
          <w:lang w:val="en-US" w:eastAsia="zh-CN"/>
        </w:rPr>
        <w:t>。</w:t>
      </w:r>
    </w:p>
    <w:p w14:paraId="1F1E8084">
      <w:pPr>
        <w:keepNext w:val="0"/>
        <w:keepLines w:val="0"/>
        <w:widowControl/>
        <w:suppressLineNumbers w:val="0"/>
        <w:ind w:firstLine="482" w:firstLineChars="200"/>
        <w:jc w:val="left"/>
        <w:rPr>
          <w:rFonts w:hint="eastAsia" w:ascii="Times New Roman" w:hAnsi="Times New Roman" w:eastAsia="宋体" w:cs="Times New Roman"/>
          <w:bCs/>
          <w:kern w:val="2"/>
          <w:sz w:val="24"/>
          <w:szCs w:val="28"/>
          <w:highlight w:val="none"/>
          <w:lang w:val="en-US" w:eastAsia="zh" w:bidi="ar-SA"/>
        </w:rPr>
      </w:pPr>
      <w:r>
        <w:rPr>
          <w:rFonts w:hint="default" w:ascii="Times New Roman" w:hAnsi="Times New Roman" w:cs="Times New Roman"/>
          <w:b/>
          <w:bCs w:val="0"/>
          <w:highlight w:val="none"/>
          <w:lang w:val="en-US" w:eastAsia="zh-CN"/>
        </w:rPr>
        <w:t>5</w:t>
      </w:r>
      <w:r>
        <w:rPr>
          <w:rFonts w:hint="eastAsia"/>
          <w:b/>
          <w:highlight w:val="none"/>
        </w:rPr>
        <w:t xml:space="preserve">  </w:t>
      </w:r>
      <w:r>
        <w:rPr>
          <w:rFonts w:hint="eastAsia" w:ascii="Times New Roman" w:hAnsi="Times New Roman" w:cs="Times New Roman"/>
          <w:bCs/>
          <w:kern w:val="2"/>
          <w:sz w:val="24"/>
          <w:szCs w:val="28"/>
          <w:highlight w:val="none"/>
          <w:lang w:val="en-US" w:eastAsia="zh-CN" w:bidi="ar-SA"/>
        </w:rPr>
        <w:t>单位安全评估综合得分为各分项指标得分</w:t>
      </w:r>
      <w:r>
        <w:rPr>
          <w:rFonts w:hint="eastAsia"/>
          <w:bCs/>
          <w:highlight w:val="none"/>
        </w:rPr>
        <w:t>的算术平均值</w:t>
      </w:r>
      <w:r>
        <w:rPr>
          <w:rFonts w:hint="eastAsia"/>
          <w:bCs/>
          <w:highlight w:val="none"/>
          <w:lang w:eastAsia="zh"/>
        </w:rPr>
        <w:t>，</w:t>
      </w:r>
      <w:r>
        <w:rPr>
          <w:rFonts w:hint="eastAsia"/>
          <w:highlight w:val="none"/>
          <w:lang w:val="en-US" w:eastAsia="zh-CN"/>
        </w:rPr>
        <w:t>按式5.1.2—2计算</w:t>
      </w:r>
      <w:r>
        <w:rPr>
          <w:rFonts w:hint="eastAsia"/>
          <w:highlight w:val="none"/>
          <w:lang w:val="en-US" w:eastAsia="zh"/>
        </w:rPr>
        <w:t>：</w:t>
      </w:r>
    </w:p>
    <w:p w14:paraId="41320D68">
      <w:pPr>
        <w:keepNext w:val="0"/>
        <w:keepLines w:val="0"/>
        <w:widowControl/>
        <w:suppressLineNumbers w:val="0"/>
        <w:ind w:firstLine="480" w:firstLineChars="200"/>
        <w:jc w:val="right"/>
        <w:rPr>
          <w:rFonts w:hint="default"/>
          <w:highlight w:val="none"/>
          <w:lang w:val="en-US" w:eastAsia="zh-CN"/>
        </w:rPr>
      </w:pPr>
      <m:oMath>
        <m:r>
          <m:rPr>
            <m:sty m:val="p"/>
          </m:rPr>
          <w:rPr>
            <w:rFonts w:hint="eastAsia" w:ascii="Cambria Math" w:hAnsi="Cambria Math" w:cs="宋体"/>
            <w:kern w:val="2"/>
            <w:sz w:val="24"/>
            <w:szCs w:val="28"/>
            <w:highlight w:val="none"/>
            <w:lang w:val="en-US" w:eastAsia="zh-CN" w:bidi="ar-SA"/>
          </w:rPr>
          <m:t>M</m:t>
        </m:r>
        <m:r>
          <m:rPr>
            <m:sty m:val="p"/>
          </m:rPr>
          <w:rPr>
            <w:rFonts w:hint="default" w:ascii="Cambria Math" w:hAnsi="Cambria Math" w:cs="宋体"/>
            <w:kern w:val="2"/>
            <w:sz w:val="24"/>
            <w:szCs w:val="28"/>
            <w:highlight w:val="none"/>
            <w:lang w:val="en-US" w:eastAsia="zh-CN" w:bidi="ar-SA"/>
          </w:rPr>
          <m:t>=</m:t>
        </m:r>
        <m:d>
          <m:dPr>
            <m:ctrlPr>
              <w:rPr>
                <w:rFonts w:hint="default" w:ascii="Cambria Math" w:hAnsi="Cambria Math" w:cs="宋体"/>
                <w:b w:val="0"/>
                <w:i w:val="0"/>
                <w:kern w:val="2"/>
                <w:sz w:val="24"/>
                <w:szCs w:val="28"/>
                <w:highlight w:val="none"/>
                <w:lang w:val="en-US" w:eastAsia="zh-CN" w:bidi="ar-SA"/>
              </w:rPr>
            </m:ctrlPr>
          </m:dPr>
          <m:e>
            <m:nary>
              <m:naryPr>
                <m:chr m:val="∑"/>
                <m:limLoc m:val="undOvr"/>
                <m:ctrlPr>
                  <w:rPr>
                    <w:rFonts w:hint="default" w:ascii="Cambria Math" w:hAnsi="Cambria Math" w:cs="宋体"/>
                    <w:b w:val="0"/>
                    <w:i w:val="0"/>
                    <w:kern w:val="2"/>
                    <w:sz w:val="24"/>
                    <w:szCs w:val="28"/>
                    <w:highlight w:val="none"/>
                    <w:lang w:val="en-US" w:eastAsia="zh-CN" w:bidi="ar-SA"/>
                  </w:rPr>
                </m:ctrlPr>
              </m:naryPr>
              <m:sub>
                <m:r>
                  <m:rPr>
                    <m:sty m:val="p"/>
                  </m:rPr>
                  <w:rPr>
                    <w:rFonts w:hint="default" w:ascii="Cambria Math" w:hAnsi="Cambria Math" w:cs="宋体"/>
                    <w:kern w:val="2"/>
                    <w:sz w:val="24"/>
                    <w:szCs w:val="28"/>
                    <w:highlight w:val="none"/>
                    <w:lang w:val="en-US" w:eastAsia="zh-CN" w:bidi="ar-SA"/>
                  </w:rPr>
                  <m:t>i=1</m:t>
                </m:r>
                <m:ctrlPr>
                  <w:rPr>
                    <w:rFonts w:hint="default" w:ascii="Cambria Math" w:hAnsi="Cambria Math" w:cs="宋体"/>
                    <w:b w:val="0"/>
                    <w:i w:val="0"/>
                    <w:kern w:val="2"/>
                    <w:sz w:val="24"/>
                    <w:szCs w:val="28"/>
                    <w:highlight w:val="none"/>
                    <w:lang w:val="en-US" w:eastAsia="zh-CN" w:bidi="ar-SA"/>
                  </w:rPr>
                </m:ctrlPr>
              </m:sub>
              <m:sup>
                <m:r>
                  <m:rPr>
                    <m:sty m:val="p"/>
                  </m:rPr>
                  <w:rPr>
                    <w:rFonts w:hint="default" w:ascii="Cambria Math" w:hAnsi="Cambria Math" w:cs="宋体"/>
                    <w:kern w:val="2"/>
                    <w:sz w:val="24"/>
                    <w:szCs w:val="28"/>
                    <w:highlight w:val="none"/>
                    <w:lang w:val="en-US" w:eastAsia="zh-CN" w:bidi="ar-SA"/>
                  </w:rPr>
                  <m:t>m</m:t>
                </m:r>
                <m:ctrlPr>
                  <w:rPr>
                    <w:rFonts w:hint="default" w:ascii="Cambria Math" w:hAnsi="Cambria Math" w:cs="宋体"/>
                    <w:b w:val="0"/>
                    <w:i w:val="0"/>
                    <w:kern w:val="2"/>
                    <w:sz w:val="24"/>
                    <w:szCs w:val="28"/>
                    <w:highlight w:val="none"/>
                    <w:lang w:val="en-US" w:eastAsia="zh-CN" w:bidi="ar-SA"/>
                  </w:rPr>
                </m:ctrlPr>
              </m:sup>
              <m:e>
                <m:sSub>
                  <m:sSubPr>
                    <m:ctrlPr>
                      <w:rPr>
                        <w:rFonts w:hint="default" w:ascii="Cambria Math" w:hAnsi="Cambria Math" w:cs="宋体"/>
                        <w:b w:val="0"/>
                        <w:i w:val="0"/>
                        <w:kern w:val="2"/>
                        <w:sz w:val="24"/>
                        <w:szCs w:val="28"/>
                        <w:highlight w:val="none"/>
                        <w:lang w:val="en-US" w:eastAsia="zh-CN" w:bidi="ar-SA"/>
                      </w:rPr>
                    </m:ctrlPr>
                  </m:sSubPr>
                  <m:e>
                    <m:r>
                      <m:rPr>
                        <m:sty m:val="p"/>
                      </m:rPr>
                      <w:rPr>
                        <w:rFonts w:hint="default" w:ascii="Cambria Math" w:hAnsi="Cambria Math" w:cs="宋体"/>
                        <w:kern w:val="2"/>
                        <w:sz w:val="24"/>
                        <w:szCs w:val="28"/>
                        <w:highlight w:val="none"/>
                        <w:lang w:val="en-US" w:eastAsia="zh-CN" w:bidi="ar-SA"/>
                      </w:rPr>
                      <m:t>M</m:t>
                    </m:r>
                    <m:ctrlPr>
                      <w:rPr>
                        <w:rFonts w:hint="default" w:ascii="Cambria Math" w:hAnsi="Cambria Math" w:cs="宋体"/>
                        <w:b w:val="0"/>
                        <w:i w:val="0"/>
                        <w:kern w:val="2"/>
                        <w:sz w:val="24"/>
                        <w:szCs w:val="28"/>
                        <w:highlight w:val="none"/>
                        <w:lang w:val="en-US" w:eastAsia="zh-CN" w:bidi="ar-SA"/>
                      </w:rPr>
                    </m:ctrlPr>
                  </m:e>
                  <m:sub>
                    <m:r>
                      <m:rPr>
                        <m:sty m:val="p"/>
                      </m:rPr>
                      <w:rPr>
                        <w:rFonts w:hint="default" w:ascii="Cambria Math" w:hAnsi="Cambria Math" w:cs="宋体"/>
                        <w:kern w:val="2"/>
                        <w:sz w:val="24"/>
                        <w:szCs w:val="28"/>
                        <w:highlight w:val="none"/>
                        <w:lang w:val="en-US" w:eastAsia="zh-CN" w:bidi="ar-SA"/>
                      </w:rPr>
                      <m:t>i</m:t>
                    </m:r>
                    <m:ctrlPr>
                      <w:rPr>
                        <w:rFonts w:hint="default" w:ascii="Cambria Math" w:hAnsi="Cambria Math" w:cs="宋体"/>
                        <w:b w:val="0"/>
                        <w:i w:val="0"/>
                        <w:kern w:val="2"/>
                        <w:sz w:val="24"/>
                        <w:szCs w:val="28"/>
                        <w:highlight w:val="none"/>
                        <w:lang w:val="en-US" w:eastAsia="zh-CN" w:bidi="ar-SA"/>
                      </w:rPr>
                    </m:ctrlPr>
                  </m:sub>
                </m:sSub>
                <m:ctrlPr>
                  <w:rPr>
                    <w:rFonts w:hint="default" w:ascii="Cambria Math" w:hAnsi="Cambria Math" w:cs="宋体"/>
                    <w:b w:val="0"/>
                    <w:i w:val="0"/>
                    <w:kern w:val="2"/>
                    <w:sz w:val="24"/>
                    <w:szCs w:val="28"/>
                    <w:highlight w:val="none"/>
                    <w:lang w:val="en-US" w:eastAsia="zh-CN" w:bidi="ar-SA"/>
                  </w:rPr>
                </m:ctrlPr>
              </m:e>
            </m:nary>
            <m:ctrlPr>
              <w:rPr>
                <w:rFonts w:hint="default" w:ascii="Cambria Math" w:hAnsi="Cambria Math" w:cs="宋体"/>
                <w:b w:val="0"/>
                <w:i w:val="0"/>
                <w:kern w:val="2"/>
                <w:sz w:val="24"/>
                <w:szCs w:val="28"/>
                <w:highlight w:val="none"/>
                <w:lang w:val="en-US" w:eastAsia="zh-CN" w:bidi="ar-SA"/>
              </w:rPr>
            </m:ctrlPr>
          </m:e>
        </m:d>
      </m:oMath>
      <w:r>
        <w:rPr>
          <w:rFonts w:hint="eastAsia" w:hAnsi="Cambria Math" w:cs="宋体"/>
          <w:b w:val="0"/>
          <w:i w:val="0"/>
          <w:kern w:val="2"/>
          <w:sz w:val="24"/>
          <w:szCs w:val="28"/>
          <w:highlight w:val="none"/>
          <w:lang w:val="en-US" w:eastAsia="zh-CN" w:bidi="ar-SA"/>
        </w:rPr>
        <w:t>/m</w:t>
      </w:r>
      <w:r>
        <w:rPr>
          <w:rFonts w:hint="eastAsia" w:hAnsi="Cambria Math" w:cs="Cambria Math"/>
          <w:b w:val="0"/>
          <w:i w:val="0"/>
          <w:kern w:val="2"/>
          <w:sz w:val="24"/>
          <w:szCs w:val="28"/>
          <w:highlight w:val="none"/>
          <w:lang w:val="en-US" w:eastAsia="zh-CN" w:bidi="ar-SA"/>
        </w:rPr>
        <w:t xml:space="preserve">                       （</w:t>
      </w:r>
      <w:r>
        <w:rPr>
          <w:rFonts w:hint="eastAsia"/>
          <w:highlight w:val="none"/>
          <w:lang w:val="en-US" w:eastAsia="zh-CN"/>
        </w:rPr>
        <w:t>5.1.2—2</w:t>
      </w:r>
      <w:r>
        <w:rPr>
          <w:rFonts w:hint="eastAsia" w:hAnsi="Cambria Math" w:cs="Cambria Math"/>
          <w:b w:val="0"/>
          <w:i w:val="0"/>
          <w:kern w:val="2"/>
          <w:sz w:val="24"/>
          <w:szCs w:val="28"/>
          <w:highlight w:val="none"/>
          <w:lang w:val="en-US" w:eastAsia="zh-CN" w:bidi="ar-SA"/>
        </w:rPr>
        <w:t>）</w:t>
      </w:r>
    </w:p>
    <w:p w14:paraId="412D40AD">
      <w:pPr>
        <w:keepNext w:val="0"/>
        <w:keepLines w:val="0"/>
        <w:widowControl/>
        <w:suppressLineNumbers w:val="0"/>
        <w:ind w:firstLine="480" w:firstLineChars="200"/>
        <w:jc w:val="left"/>
        <w:rPr>
          <w:rFonts w:hint="eastAsia" w:ascii="Times New Roman" w:hAnsi="Times New Roman" w:eastAsia="宋体" w:cs="Times New Roman"/>
          <w:bCs/>
          <w:kern w:val="2"/>
          <w:sz w:val="24"/>
          <w:szCs w:val="28"/>
          <w:highlight w:val="none"/>
          <w:lang w:val="en-US" w:eastAsia="zh" w:bidi="ar-SA"/>
        </w:rPr>
      </w:pPr>
      <w:r>
        <w:rPr>
          <w:rFonts w:hint="eastAsia" w:ascii="Times New Roman" w:hAnsi="Times New Roman" w:cs="Times New Roman"/>
          <w:bCs/>
          <w:kern w:val="2"/>
          <w:sz w:val="24"/>
          <w:szCs w:val="28"/>
          <w:highlight w:val="none"/>
          <w:lang w:val="en-US" w:eastAsia="zh" w:bidi="ar-SA"/>
        </w:rPr>
        <w:t>式中：</w:t>
      </w:r>
      <w:r>
        <w:rPr>
          <w:rFonts w:hint="eastAsia"/>
          <w:highlight w:val="none"/>
          <w:lang w:val="en-US" w:eastAsia="zh-CN"/>
        </w:rPr>
        <w:t>M——</w:t>
      </w:r>
      <w:r>
        <w:rPr>
          <w:rFonts w:hint="eastAsia" w:ascii="Times New Roman" w:hAnsi="Times New Roman" w:cs="Times New Roman"/>
          <w:bCs/>
          <w:kern w:val="2"/>
          <w:sz w:val="24"/>
          <w:szCs w:val="28"/>
          <w:highlight w:val="none"/>
          <w:lang w:val="en-US" w:eastAsia="zh-CN" w:bidi="ar-SA"/>
        </w:rPr>
        <w:t>单位安全评估综合得分</w:t>
      </w:r>
      <w:r>
        <w:rPr>
          <w:rFonts w:hint="eastAsia" w:ascii="Times New Roman" w:hAnsi="Times New Roman" w:cs="Times New Roman"/>
          <w:bCs/>
          <w:kern w:val="2"/>
          <w:sz w:val="24"/>
          <w:szCs w:val="28"/>
          <w:highlight w:val="none"/>
          <w:lang w:val="en-US" w:eastAsia="zh" w:bidi="ar-SA"/>
        </w:rPr>
        <w:t>；</w:t>
      </w:r>
    </w:p>
    <w:p w14:paraId="43EB5685">
      <w:pPr>
        <w:keepNext w:val="0"/>
        <w:keepLines w:val="0"/>
        <w:widowControl/>
        <w:suppressLineNumbers w:val="0"/>
        <w:ind w:firstLine="1200" w:firstLineChars="500"/>
        <w:jc w:val="left"/>
        <w:rPr>
          <w:rFonts w:hint="eastAsia"/>
          <w:highlight w:val="none"/>
          <w:lang w:val="en-US" w:eastAsia="zh"/>
        </w:rPr>
      </w:pPr>
      <m:oMath>
        <m:sSub>
          <m:sSubPr>
            <m:ctrlPr>
              <w:rPr>
                <w:rFonts w:ascii="Cambria Math" w:hAnsi="Cambria Math"/>
                <w:i/>
                <w:highlight w:val="none"/>
                <w:lang w:val="en-US"/>
              </w:rPr>
            </m:ctrlPr>
          </m:sSubPr>
          <m:e>
            <m:r>
              <m:rPr/>
              <w:rPr>
                <w:rFonts w:hint="default" w:ascii="Cambria Math" w:hAnsi="Cambria Math"/>
                <w:highlight w:val="none"/>
                <w:lang w:val="en-US" w:eastAsia="zh-CN"/>
              </w:rPr>
              <m:t>M</m:t>
            </m:r>
            <m:ctrlPr>
              <w:rPr>
                <w:rFonts w:ascii="Cambria Math" w:hAnsi="Cambria Math"/>
                <w:i/>
                <w:highlight w:val="none"/>
                <w:lang w:val="en-US"/>
              </w:rPr>
            </m:ctrlPr>
          </m:e>
          <m:sub>
            <m:r>
              <m:rPr/>
              <w:rPr>
                <w:rFonts w:hint="default" w:ascii="Cambria Math" w:hAnsi="Cambria Math"/>
                <w:highlight w:val="none"/>
                <w:lang w:val="en-US" w:eastAsia="zh-CN"/>
              </w:rPr>
              <m:t>i</m:t>
            </m:r>
            <m:ctrlPr>
              <w:rPr>
                <w:rFonts w:ascii="Cambria Math" w:hAnsi="Cambria Math"/>
                <w:i/>
                <w:highlight w:val="none"/>
                <w:lang w:val="en-US"/>
              </w:rPr>
            </m:ctrlPr>
          </m:sub>
        </m:sSub>
      </m:oMath>
      <w:r>
        <w:rPr>
          <w:rFonts w:hint="eastAsia"/>
          <w:highlight w:val="none"/>
          <w:lang w:val="en-US" w:eastAsia="zh-CN"/>
        </w:rPr>
        <w:t>——</w:t>
      </w:r>
      <w:r>
        <w:rPr>
          <w:rFonts w:hint="eastAsia"/>
          <w:highlight w:val="none"/>
          <w:lang w:val="en-US" w:eastAsia="zh"/>
        </w:rPr>
        <w:t>第i个</w:t>
      </w:r>
      <w:r>
        <w:rPr>
          <w:rFonts w:hint="eastAsia"/>
          <w:highlight w:val="none"/>
          <w:lang w:val="en-US" w:eastAsia="zh-CN"/>
        </w:rPr>
        <w:t>分项指标评估得分</w:t>
      </w:r>
      <w:r>
        <w:rPr>
          <w:rFonts w:hint="eastAsia"/>
          <w:highlight w:val="none"/>
          <w:lang w:val="en-US" w:eastAsia="zh"/>
        </w:rPr>
        <w:t>；</w:t>
      </w:r>
    </w:p>
    <w:p w14:paraId="4027B1EC">
      <w:pPr>
        <w:keepNext w:val="0"/>
        <w:keepLines w:val="0"/>
        <w:widowControl/>
        <w:suppressLineNumbers w:val="0"/>
        <w:ind w:firstLine="1200" w:firstLineChars="500"/>
        <w:jc w:val="left"/>
        <w:rPr>
          <w:rFonts w:hint="eastAsia" w:ascii="Times New Roman" w:hAnsi="Times New Roman" w:eastAsia="宋体" w:cs="Times New Roman"/>
          <w:bCs/>
          <w:kern w:val="2"/>
          <w:sz w:val="24"/>
          <w:szCs w:val="28"/>
          <w:highlight w:val="none"/>
          <w:lang w:val="en-US" w:eastAsia="zh-CN" w:bidi="ar-SA"/>
        </w:rPr>
      </w:pPr>
      <w:r>
        <w:rPr>
          <w:rFonts w:hint="eastAsia"/>
          <w:highlight w:val="none"/>
          <w:lang w:val="en-US" w:eastAsia="zh-CN"/>
        </w:rPr>
        <w:t>m——分项指标个数。</w:t>
      </w:r>
    </w:p>
    <w:p w14:paraId="6A179284">
      <w:pPr>
        <w:keepNext w:val="0"/>
        <w:keepLines w:val="0"/>
        <w:widowControl/>
        <w:suppressLineNumbers w:val="0"/>
        <w:ind w:firstLine="482" w:firstLineChars="200"/>
        <w:jc w:val="left"/>
        <w:rPr>
          <w:rFonts w:hint="eastAsia" w:ascii="Times New Roman" w:hAnsi="Times New Roman" w:eastAsia="宋体" w:cs="Times New Roman"/>
          <w:bCs/>
          <w:kern w:val="2"/>
          <w:sz w:val="24"/>
          <w:szCs w:val="28"/>
          <w:highlight w:val="none"/>
          <w:lang w:val="en-US" w:eastAsia="zh-CN" w:bidi="ar-SA"/>
        </w:rPr>
      </w:pPr>
      <w:r>
        <w:rPr>
          <w:rFonts w:hint="default" w:ascii="Times New Roman" w:hAnsi="Times New Roman" w:cs="Times New Roman"/>
          <w:b/>
          <w:highlight w:val="none"/>
          <w:lang w:val="en-US" w:eastAsia="zh-CN"/>
        </w:rPr>
        <w:t>6</w:t>
      </w:r>
      <w:r>
        <w:rPr>
          <w:rFonts w:hint="default" w:ascii="Times New Roman" w:hAnsi="Times New Roman" w:cs="Times New Roman"/>
          <w:b/>
          <w:highlight w:val="none"/>
        </w:rPr>
        <w:t xml:space="preserve"> </w:t>
      </w:r>
      <w:r>
        <w:rPr>
          <w:rFonts w:hint="eastAsia"/>
          <w:b/>
          <w:highlight w:val="none"/>
        </w:rPr>
        <w:t xml:space="preserve"> </w:t>
      </w:r>
      <w:r>
        <w:rPr>
          <w:rFonts w:hint="eastAsia" w:ascii="Times New Roman" w:hAnsi="Times New Roman" w:cs="Times New Roman"/>
          <w:bCs/>
          <w:kern w:val="2"/>
          <w:sz w:val="24"/>
          <w:szCs w:val="28"/>
          <w:highlight w:val="none"/>
          <w:lang w:val="en-US" w:eastAsia="zh-CN" w:bidi="ar-SA"/>
        </w:rPr>
        <w:t>单位安全评估最终</w:t>
      </w:r>
      <w:r>
        <w:rPr>
          <w:rFonts w:hint="eastAsia"/>
          <w:highlight w:val="none"/>
          <w:lang w:val="en-US" w:eastAsia="zh-CN"/>
        </w:rPr>
        <w:t>得分按式5.1.2—</w:t>
      </w:r>
      <w:r>
        <w:rPr>
          <w:rFonts w:hint="eastAsia"/>
          <w:highlight w:val="none"/>
          <w:lang w:val="en-US" w:eastAsia="zh"/>
        </w:rPr>
        <w:t>3</w:t>
      </w:r>
      <w:r>
        <w:rPr>
          <w:rFonts w:hint="eastAsia"/>
          <w:highlight w:val="none"/>
          <w:lang w:val="en-US" w:eastAsia="zh-CN"/>
        </w:rPr>
        <w:t>计算</w:t>
      </w:r>
      <w:r>
        <w:rPr>
          <w:rFonts w:hint="eastAsia" w:ascii="Times New Roman" w:hAnsi="Times New Roman" w:eastAsia="宋体" w:cs="Times New Roman"/>
          <w:bCs/>
          <w:kern w:val="2"/>
          <w:sz w:val="24"/>
          <w:szCs w:val="28"/>
          <w:highlight w:val="none"/>
          <w:lang w:val="en-US" w:eastAsia="zh-CN" w:bidi="ar-SA"/>
        </w:rPr>
        <w:t>。</w:t>
      </w:r>
    </w:p>
    <w:p w14:paraId="24AC6EE1">
      <w:pPr>
        <w:keepNext w:val="0"/>
        <w:keepLines w:val="0"/>
        <w:widowControl/>
        <w:suppressLineNumbers w:val="0"/>
        <w:ind w:firstLine="480" w:firstLineChars="200"/>
        <w:jc w:val="right"/>
        <w:rPr>
          <w:rFonts w:hint="default"/>
          <w:highlight w:val="none"/>
          <w:lang w:val="en-US" w:eastAsia="zh-CN"/>
        </w:rPr>
      </w:pPr>
      <m:oMath>
        <m:r>
          <m:rPr>
            <m:sty m:val="p"/>
          </m:rPr>
          <w:rPr>
            <w:rFonts w:hint="eastAsia" w:ascii="Cambria Math" w:hAnsi="Cambria Math" w:cs="宋体"/>
            <w:kern w:val="2"/>
            <w:sz w:val="24"/>
            <w:szCs w:val="28"/>
            <w:highlight w:val="none"/>
            <w:lang w:val="en-US" w:eastAsia="zh-CN" w:bidi="ar-SA"/>
          </w:rPr>
          <m:t>N</m:t>
        </m:r>
        <m:r>
          <m:rPr>
            <m:sty m:val="p"/>
          </m:rPr>
          <w:rPr>
            <w:rFonts w:hint="default" w:ascii="Cambria Math" w:hAnsi="Cambria Math" w:cs="宋体"/>
            <w:kern w:val="2"/>
            <w:sz w:val="24"/>
            <w:szCs w:val="28"/>
            <w:highlight w:val="none"/>
            <w:lang w:val="en-US" w:eastAsia="zh-CN" w:bidi="ar-SA"/>
          </w:rPr>
          <m:t>=</m:t>
        </m:r>
        <m:r>
          <m:rPr>
            <m:sty m:val="p"/>
          </m:rPr>
          <w:rPr>
            <w:rFonts w:hint="eastAsia" w:ascii="Cambria Math" w:hAnsi="Cambria Math" w:cs="宋体"/>
            <w:kern w:val="2"/>
            <w:sz w:val="24"/>
            <w:szCs w:val="28"/>
            <w:highlight w:val="none"/>
            <w:lang w:val="en-US" w:eastAsia="zh-CN" w:bidi="ar-SA"/>
          </w:rPr>
          <m:t>M</m:t>
        </m:r>
        <m:r>
          <m:rPr>
            <m:sty m:val="p"/>
          </m:rPr>
          <w:rPr>
            <w:rFonts w:hint="default" w:ascii="Cambria Math" w:hAnsi="Cambria Math" w:cs="宋体"/>
            <w:kern w:val="2"/>
            <w:sz w:val="24"/>
            <w:szCs w:val="28"/>
            <w:highlight w:val="none"/>
            <w:lang w:val="en-US" w:eastAsia="zh-CN" w:bidi="ar-SA"/>
          </w:rPr>
          <m:t>+</m:t>
        </m:r>
        <m:nary>
          <m:naryPr>
            <m:chr m:val="∑"/>
            <m:limLoc m:val="undOvr"/>
            <m:ctrlPr>
              <w:rPr>
                <w:rFonts w:hint="default" w:ascii="Cambria Math" w:hAnsi="Cambria Math" w:cs="宋体"/>
                <w:b w:val="0"/>
                <w:i w:val="0"/>
                <w:kern w:val="2"/>
                <w:sz w:val="24"/>
                <w:szCs w:val="28"/>
                <w:highlight w:val="none"/>
                <w:lang w:val="en-US" w:eastAsia="zh-CN" w:bidi="ar-SA"/>
              </w:rPr>
            </m:ctrlPr>
          </m:naryPr>
          <m:sub>
            <m:r>
              <m:rPr>
                <m:sty m:val="p"/>
              </m:rPr>
              <w:rPr>
                <w:rFonts w:hint="eastAsia" w:ascii="Cambria Math" w:hAnsi="Cambria Math" w:cs="宋体"/>
                <w:kern w:val="2"/>
                <w:sz w:val="24"/>
                <w:szCs w:val="28"/>
                <w:highlight w:val="none"/>
                <w:lang w:val="en-US" w:eastAsia="zh-CN" w:bidi="ar-SA"/>
              </w:rPr>
              <m:t>j</m:t>
            </m:r>
            <m:r>
              <m:rPr>
                <m:sty m:val="p"/>
              </m:rPr>
              <w:rPr>
                <w:rFonts w:hint="default" w:ascii="Cambria Math" w:hAnsi="Cambria Math" w:cs="宋体"/>
                <w:kern w:val="2"/>
                <w:sz w:val="24"/>
                <w:szCs w:val="28"/>
                <w:highlight w:val="none"/>
                <w:lang w:val="en-US" w:eastAsia="zh-CN" w:bidi="ar-SA"/>
              </w:rPr>
              <m:t>=1</m:t>
            </m:r>
            <m:ctrlPr>
              <w:rPr>
                <w:rFonts w:hint="default" w:ascii="Cambria Math" w:hAnsi="Cambria Math" w:cs="宋体"/>
                <w:b w:val="0"/>
                <w:i w:val="0"/>
                <w:kern w:val="2"/>
                <w:sz w:val="24"/>
                <w:szCs w:val="28"/>
                <w:highlight w:val="none"/>
                <w:lang w:val="en-US" w:eastAsia="zh-CN" w:bidi="ar-SA"/>
              </w:rPr>
            </m:ctrlPr>
          </m:sub>
          <m:sup>
            <m:r>
              <m:rPr>
                <m:sty m:val="p"/>
              </m:rPr>
              <w:rPr>
                <w:rFonts w:hint="default" w:ascii="Cambria Math" w:hAnsi="Cambria Math" w:cs="宋体"/>
                <w:kern w:val="2"/>
                <w:sz w:val="24"/>
                <w:szCs w:val="28"/>
                <w:highlight w:val="none"/>
                <w:lang w:val="en-US" w:eastAsia="zh-CN" w:bidi="ar-SA"/>
              </w:rPr>
              <m:t>n</m:t>
            </m:r>
            <m:ctrlPr>
              <w:rPr>
                <w:rFonts w:hint="default" w:ascii="Cambria Math" w:hAnsi="Cambria Math" w:cs="宋体"/>
                <w:b w:val="0"/>
                <w:i w:val="0"/>
                <w:kern w:val="2"/>
                <w:sz w:val="24"/>
                <w:szCs w:val="28"/>
                <w:highlight w:val="none"/>
                <w:lang w:val="en-US" w:eastAsia="zh-CN" w:bidi="ar-SA"/>
              </w:rPr>
            </m:ctrlPr>
          </m:sup>
          <m:e>
            <m:sSub>
              <m:sSubPr>
                <m:ctrlPr>
                  <w:rPr>
                    <w:rFonts w:hint="default" w:ascii="Cambria Math" w:hAnsi="Cambria Math" w:cs="宋体"/>
                    <w:b w:val="0"/>
                    <w:i w:val="0"/>
                    <w:kern w:val="2"/>
                    <w:sz w:val="24"/>
                    <w:szCs w:val="28"/>
                    <w:highlight w:val="none"/>
                    <w:lang w:val="en-US" w:eastAsia="zh-CN" w:bidi="ar-SA"/>
                  </w:rPr>
                </m:ctrlPr>
              </m:sSubPr>
              <m:e>
                <m:r>
                  <m:rPr>
                    <m:sty m:val="p"/>
                  </m:rPr>
                  <w:rPr>
                    <w:rFonts w:hint="default" w:ascii="Cambria Math" w:hAnsi="Cambria Math" w:cs="宋体"/>
                    <w:kern w:val="2"/>
                    <w:sz w:val="24"/>
                    <w:szCs w:val="28"/>
                    <w:highlight w:val="none"/>
                    <w:lang w:val="en-US" w:eastAsia="zh-CN" w:bidi="ar-SA"/>
                  </w:rPr>
                  <m:t>Q</m:t>
                </m:r>
                <m:ctrlPr>
                  <w:rPr>
                    <w:rFonts w:hint="default" w:ascii="Cambria Math" w:hAnsi="Cambria Math" w:cs="宋体"/>
                    <w:b w:val="0"/>
                    <w:i w:val="0"/>
                    <w:kern w:val="2"/>
                    <w:sz w:val="24"/>
                    <w:szCs w:val="28"/>
                    <w:highlight w:val="none"/>
                    <w:lang w:val="en-US" w:eastAsia="zh-CN" w:bidi="ar-SA"/>
                  </w:rPr>
                </m:ctrlPr>
              </m:e>
              <m:sub>
                <m:r>
                  <m:rPr>
                    <m:sty m:val="p"/>
                  </m:rPr>
                  <w:rPr>
                    <w:rFonts w:hint="default" w:ascii="Cambria Math" w:hAnsi="Cambria Math" w:cs="宋体"/>
                    <w:kern w:val="2"/>
                    <w:sz w:val="24"/>
                    <w:szCs w:val="28"/>
                    <w:highlight w:val="none"/>
                    <w:lang w:val="en-US" w:eastAsia="zh-CN" w:bidi="ar-SA"/>
                  </w:rPr>
                  <m:t>j</m:t>
                </m:r>
                <m:ctrlPr>
                  <w:rPr>
                    <w:rFonts w:hint="default" w:ascii="Cambria Math" w:hAnsi="Cambria Math" w:cs="宋体"/>
                    <w:b w:val="0"/>
                    <w:i w:val="0"/>
                    <w:kern w:val="2"/>
                    <w:sz w:val="24"/>
                    <w:szCs w:val="28"/>
                    <w:highlight w:val="none"/>
                    <w:lang w:val="en-US" w:eastAsia="zh-CN" w:bidi="ar-SA"/>
                  </w:rPr>
                </m:ctrlPr>
              </m:sub>
            </m:sSub>
            <m:ctrlPr>
              <w:rPr>
                <w:rFonts w:hint="default" w:ascii="Cambria Math" w:hAnsi="Cambria Math" w:cs="宋体"/>
                <w:b w:val="0"/>
                <w:i w:val="0"/>
                <w:kern w:val="2"/>
                <w:sz w:val="24"/>
                <w:szCs w:val="28"/>
                <w:highlight w:val="none"/>
                <w:lang w:val="en-US" w:eastAsia="zh-CN" w:bidi="ar-SA"/>
              </w:rPr>
            </m:ctrlPr>
          </m:e>
        </m:nary>
      </m:oMath>
      <w:r>
        <w:rPr>
          <w:rFonts w:hint="eastAsia" w:hAnsi="Cambria Math" w:cs="Cambria Math"/>
          <w:b w:val="0"/>
          <w:i w:val="0"/>
          <w:kern w:val="2"/>
          <w:sz w:val="24"/>
          <w:szCs w:val="28"/>
          <w:highlight w:val="none"/>
          <w:lang w:val="en-US" w:eastAsia="zh-CN" w:bidi="ar-SA"/>
        </w:rPr>
        <w:t xml:space="preserve">                       （</w:t>
      </w:r>
      <w:r>
        <w:rPr>
          <w:rFonts w:hint="eastAsia"/>
          <w:highlight w:val="none"/>
          <w:lang w:val="en-US" w:eastAsia="zh-CN"/>
        </w:rPr>
        <w:t>5.1.2—3</w:t>
      </w:r>
      <w:r>
        <w:rPr>
          <w:rFonts w:hint="eastAsia" w:hAnsi="Cambria Math" w:cs="Cambria Math"/>
          <w:b w:val="0"/>
          <w:i w:val="0"/>
          <w:kern w:val="2"/>
          <w:sz w:val="24"/>
          <w:szCs w:val="28"/>
          <w:highlight w:val="none"/>
          <w:lang w:val="en-US" w:eastAsia="zh-CN" w:bidi="ar-SA"/>
        </w:rPr>
        <w:t>）</w:t>
      </w:r>
    </w:p>
    <w:p w14:paraId="439CF73E">
      <w:pPr>
        <w:keepNext w:val="0"/>
        <w:keepLines w:val="0"/>
        <w:widowControl/>
        <w:suppressLineNumbers w:val="0"/>
        <w:ind w:firstLine="480" w:firstLineChars="200"/>
        <w:jc w:val="left"/>
        <w:rPr>
          <w:rFonts w:hint="eastAsia" w:ascii="Times New Roman" w:hAnsi="Times New Roman" w:eastAsia="宋体" w:cs="Times New Roman"/>
          <w:bCs/>
          <w:kern w:val="2"/>
          <w:sz w:val="24"/>
          <w:szCs w:val="28"/>
          <w:highlight w:val="none"/>
          <w:lang w:val="en-US" w:eastAsia="zh" w:bidi="ar-SA"/>
        </w:rPr>
      </w:pPr>
      <w:r>
        <w:rPr>
          <w:rFonts w:hint="eastAsia" w:ascii="Times New Roman" w:hAnsi="Times New Roman" w:cs="Times New Roman"/>
          <w:bCs/>
          <w:kern w:val="2"/>
          <w:sz w:val="24"/>
          <w:szCs w:val="28"/>
          <w:highlight w:val="none"/>
          <w:lang w:val="en-US" w:eastAsia="zh-CN" w:bidi="ar-SA"/>
        </w:rPr>
        <w:t>式中：</w:t>
      </w:r>
      <w:r>
        <w:rPr>
          <w:rFonts w:hint="eastAsia"/>
          <w:highlight w:val="none"/>
          <w:lang w:val="en-US" w:eastAsia="zh-CN"/>
        </w:rPr>
        <w:t>N——</w:t>
      </w:r>
      <w:r>
        <w:rPr>
          <w:rFonts w:hint="eastAsia" w:ascii="Times New Roman" w:hAnsi="Times New Roman" w:cs="Times New Roman"/>
          <w:bCs/>
          <w:kern w:val="2"/>
          <w:sz w:val="24"/>
          <w:szCs w:val="28"/>
          <w:highlight w:val="none"/>
          <w:lang w:val="en-US" w:eastAsia="zh-CN" w:bidi="ar-SA"/>
        </w:rPr>
        <w:t>单位安全评估最终</w:t>
      </w:r>
      <w:r>
        <w:rPr>
          <w:rFonts w:hint="eastAsia"/>
          <w:highlight w:val="none"/>
          <w:lang w:val="en-US" w:eastAsia="zh-CN"/>
        </w:rPr>
        <w:t>得分；</w:t>
      </w:r>
    </w:p>
    <w:p w14:paraId="4073FE6D">
      <w:pPr>
        <w:keepNext w:val="0"/>
        <w:keepLines w:val="0"/>
        <w:widowControl/>
        <w:suppressLineNumbers w:val="0"/>
        <w:ind w:firstLine="1200" w:firstLineChars="500"/>
        <w:jc w:val="left"/>
        <w:rPr>
          <w:rFonts w:hint="eastAsia" w:ascii="Times New Roman" w:hAnsi="Times New Roman" w:eastAsia="宋体" w:cs="Times New Roman"/>
          <w:bCs/>
          <w:kern w:val="2"/>
          <w:sz w:val="24"/>
          <w:szCs w:val="28"/>
          <w:highlight w:val="none"/>
          <w:lang w:val="en-US" w:eastAsia="zh" w:bidi="ar-SA"/>
        </w:rPr>
      </w:pPr>
      <w:r>
        <w:rPr>
          <w:rFonts w:hint="eastAsia"/>
          <w:highlight w:val="none"/>
          <w:lang w:val="en-US" w:eastAsia="zh-CN"/>
        </w:rPr>
        <w:t>M——</w:t>
      </w:r>
      <w:r>
        <w:rPr>
          <w:rFonts w:hint="eastAsia" w:ascii="Times New Roman" w:hAnsi="Times New Roman" w:cs="Times New Roman"/>
          <w:bCs/>
          <w:kern w:val="2"/>
          <w:sz w:val="24"/>
          <w:szCs w:val="28"/>
          <w:highlight w:val="none"/>
          <w:lang w:val="en-US" w:eastAsia="zh-CN" w:bidi="ar-SA"/>
        </w:rPr>
        <w:t>单位安全评估综合得分</w:t>
      </w:r>
      <w:r>
        <w:rPr>
          <w:rFonts w:hint="eastAsia"/>
          <w:highlight w:val="none"/>
          <w:lang w:val="en-US" w:eastAsia="zh"/>
        </w:rPr>
        <w:t>；</w:t>
      </w:r>
    </w:p>
    <w:p w14:paraId="286C6E67">
      <w:pPr>
        <w:keepNext w:val="0"/>
        <w:keepLines w:val="0"/>
        <w:widowControl/>
        <w:suppressLineNumbers w:val="0"/>
        <w:ind w:firstLine="1200" w:firstLineChars="500"/>
        <w:jc w:val="left"/>
        <w:rPr>
          <w:rFonts w:hint="eastAsia"/>
          <w:highlight w:val="none"/>
          <w:lang w:val="en-US" w:eastAsia="zh"/>
        </w:rPr>
      </w:pPr>
      <m:oMath>
        <m:sSub>
          <m:sSubPr>
            <m:ctrlPr>
              <w:rPr>
                <w:rFonts w:ascii="Cambria Math" w:hAnsi="Cambria Math"/>
                <w:i/>
                <w:highlight w:val="none"/>
                <w:lang w:val="en-US"/>
              </w:rPr>
            </m:ctrlPr>
          </m:sSubPr>
          <m:e>
            <m:r>
              <m:rPr/>
              <w:rPr>
                <w:rFonts w:hint="default" w:ascii="Cambria Math" w:hAnsi="Cambria Math"/>
                <w:highlight w:val="none"/>
                <w:lang w:val="en-US" w:eastAsia="zh-CN"/>
              </w:rPr>
              <m:t>Q</m:t>
            </m:r>
            <m:ctrlPr>
              <w:rPr>
                <w:rFonts w:ascii="Cambria Math" w:hAnsi="Cambria Math"/>
                <w:i/>
                <w:highlight w:val="none"/>
                <w:lang w:val="en-US"/>
              </w:rPr>
            </m:ctrlPr>
          </m:e>
          <m:sub>
            <m:r>
              <m:rPr/>
              <w:rPr>
                <w:rFonts w:hint="default" w:ascii="Cambria Math" w:hAnsi="Cambria Math"/>
                <w:highlight w:val="none"/>
                <w:lang w:val="en-US" w:eastAsia="zh-CN"/>
              </w:rPr>
              <m:t>j</m:t>
            </m:r>
            <m:ctrlPr>
              <w:rPr>
                <w:rFonts w:ascii="Cambria Math" w:hAnsi="Cambria Math"/>
                <w:i/>
                <w:highlight w:val="none"/>
                <w:lang w:val="en-US"/>
              </w:rPr>
            </m:ctrlPr>
          </m:sub>
        </m:sSub>
      </m:oMath>
      <w:r>
        <w:rPr>
          <w:rFonts w:hint="eastAsia"/>
          <w:highlight w:val="none"/>
          <w:lang w:val="en-US" w:eastAsia="zh-CN"/>
        </w:rPr>
        <w:t>——第j个加分项得分</w:t>
      </w:r>
      <w:r>
        <w:rPr>
          <w:rFonts w:hint="eastAsia"/>
          <w:highlight w:val="none"/>
          <w:lang w:val="en-US" w:eastAsia="zh"/>
        </w:rPr>
        <w:t>；</w:t>
      </w:r>
    </w:p>
    <w:p w14:paraId="58DDE2E8">
      <w:pPr>
        <w:widowControl/>
        <w:autoSpaceDN/>
        <w:ind w:firstLine="1200" w:firstLineChars="500"/>
        <w:jc w:val="left"/>
        <w:rPr>
          <w:rFonts w:ascii="Times New Roman" w:hAnsi="Times New Roman" w:cs="Times New Roman"/>
          <w:highlight w:val="none"/>
        </w:rPr>
      </w:pPr>
      <w:r>
        <w:rPr>
          <w:rFonts w:hint="eastAsia"/>
          <w:highlight w:val="none"/>
          <w:lang w:val="en-US" w:eastAsia="zh-CN"/>
        </w:rPr>
        <w:t>n——加分项个数。</w:t>
      </w:r>
    </w:p>
    <w:p w14:paraId="17002269">
      <w:pPr>
        <w:pStyle w:val="20"/>
        <w:rPr>
          <w:highlight w:val="none"/>
        </w:rPr>
      </w:pPr>
      <w:bookmarkStart w:id="333" w:name="_Toc140390031"/>
      <w:bookmarkStart w:id="334" w:name="_Toc151384805"/>
      <w:bookmarkStart w:id="335" w:name="_Toc150876236"/>
      <w:bookmarkStart w:id="336" w:name="_Toc183531751"/>
      <w:bookmarkStart w:id="337" w:name="_Toc30391"/>
      <w:bookmarkStart w:id="338" w:name="_Toc19008"/>
      <w:bookmarkStart w:id="339" w:name="_Toc4145"/>
      <w:bookmarkStart w:id="340" w:name="_Toc8842"/>
      <w:bookmarkStart w:id="341" w:name="_Toc8843"/>
      <w:bookmarkStart w:id="342" w:name="_Toc32504"/>
      <w:bookmarkStart w:id="343" w:name="_Toc18170"/>
      <w:bookmarkStart w:id="344" w:name="_Toc5797"/>
      <w:bookmarkStart w:id="345" w:name="_Toc656"/>
      <w:bookmarkStart w:id="346" w:name="_Toc6680"/>
      <w:r>
        <w:rPr>
          <w:rFonts w:hint="eastAsia"/>
          <w:highlight w:val="none"/>
          <w:lang w:val="en-US" w:eastAsia="zh-CN"/>
        </w:rPr>
        <w:t>5</w:t>
      </w:r>
      <w:r>
        <w:rPr>
          <w:highlight w:val="none"/>
        </w:rPr>
        <w:t>.</w:t>
      </w:r>
      <w:r>
        <w:rPr>
          <w:rFonts w:hint="eastAsia"/>
          <w:highlight w:val="none"/>
        </w:rPr>
        <w:t>2</w:t>
      </w:r>
      <w:r>
        <w:rPr>
          <w:highlight w:val="none"/>
        </w:rPr>
        <w:t xml:space="preserve">  </w:t>
      </w:r>
      <w:bookmarkEnd w:id="333"/>
      <w:bookmarkEnd w:id="334"/>
      <w:bookmarkEnd w:id="335"/>
      <w:r>
        <w:rPr>
          <w:rFonts w:hint="eastAsia" w:ascii="黑体" w:hAnsi="黑体"/>
          <w:highlight w:val="none"/>
        </w:rPr>
        <w:t>安全等级</w:t>
      </w:r>
      <w:bookmarkEnd w:id="336"/>
      <w:bookmarkStart w:id="347" w:name="_Toc19621"/>
      <w:bookmarkStart w:id="348" w:name="_Toc27233"/>
      <w:bookmarkStart w:id="349" w:name="_Toc21098"/>
      <w:bookmarkStart w:id="350" w:name="_Toc2513"/>
      <w:bookmarkStart w:id="351" w:name="_Toc328"/>
      <w:bookmarkStart w:id="352" w:name="_Toc11791"/>
      <w:bookmarkStart w:id="353" w:name="_Toc30473"/>
      <w:bookmarkStart w:id="354" w:name="_Toc32340"/>
      <w:bookmarkStart w:id="355" w:name="_Toc26065"/>
      <w:bookmarkStart w:id="356" w:name="_Toc10366"/>
      <w:bookmarkStart w:id="357" w:name="_Toc6790"/>
      <w:r>
        <w:rPr>
          <w:highlight w:val="none"/>
        </w:rPr>
        <w:fldChar w:fldCharType="begin"/>
      </w:r>
      <w:r>
        <w:rPr>
          <w:rFonts w:ascii="黑体" w:hAnsi="黑体"/>
          <w:highlight w:val="none"/>
        </w:rPr>
        <w:instrText xml:space="preserve"> </w:instrText>
      </w:r>
      <w:r>
        <w:rPr>
          <w:rFonts w:hint="eastAsia" w:ascii="黑体" w:hAnsi="黑体"/>
          <w:highlight w:val="none"/>
        </w:rPr>
        <w:instrText xml:space="preserve">TC  "</w:instrText>
      </w:r>
      <w:bookmarkStart w:id="358" w:name="_Toc143762772"/>
      <w:bookmarkStart w:id="359" w:name="_Toc143762832"/>
      <w:bookmarkStart w:id="360" w:name="_Toc183531868"/>
      <w:r>
        <w:rPr>
          <w:rFonts w:hint="eastAsia" w:ascii="黑体" w:hAnsi="黑体"/>
          <w:highlight w:val="none"/>
          <w:lang w:val="en-US" w:eastAsia="zh-CN"/>
        </w:rPr>
        <w:instrText xml:space="preserve">5</w:instrText>
      </w:r>
      <w:r>
        <w:rPr>
          <w:rFonts w:hint="eastAsia" w:ascii="黑体" w:hAnsi="黑体"/>
          <w:highlight w:val="none"/>
        </w:rPr>
        <w:instrText xml:space="preserve">.2 </w:instrText>
      </w:r>
      <w:bookmarkEnd w:id="358"/>
      <w:bookmarkEnd w:id="359"/>
      <w:r>
        <w:rPr>
          <w:rFonts w:hint="eastAsia" w:ascii="黑体" w:hAnsi="黑体"/>
          <w:highlight w:val="none"/>
        </w:rPr>
        <w:instrText xml:space="preserve">Safety grade</w:instrText>
      </w:r>
      <w:bookmarkEnd w:id="360"/>
      <w:r>
        <w:rPr>
          <w:rFonts w:hint="eastAsia" w:ascii="黑体" w:hAnsi="黑体"/>
          <w:highlight w:val="none"/>
        </w:rPr>
        <w:instrText xml:space="preserve">" \l 2</w:instrText>
      </w:r>
      <w:r>
        <w:rPr>
          <w:rFonts w:ascii="黑体" w:hAnsi="黑体"/>
          <w:highlight w:val="none"/>
        </w:rPr>
        <w:instrText xml:space="preserve"> </w:instrText>
      </w:r>
      <w:r>
        <w:rPr>
          <w:rFonts w:ascii="黑体" w:hAnsi="黑体"/>
          <w:highlight w:val="none"/>
        </w:rPr>
        <w:fldChar w:fldCharType="end"/>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055D412A">
      <w:pPr>
        <w:rPr>
          <w:rFonts w:ascii="Times New Roman" w:hAnsi="Times New Roman" w:cs="Times New Roman"/>
          <w:highlight w:val="none"/>
        </w:rPr>
      </w:pPr>
      <w:r>
        <w:rPr>
          <w:rFonts w:hint="eastAsia" w:ascii="Times New Roman" w:hAnsi="Times New Roman" w:cs="Times New Roman"/>
          <w:b/>
          <w:bCs/>
          <w:highlight w:val="none"/>
          <w:lang w:val="en-US" w:eastAsia="zh-CN"/>
        </w:rPr>
        <w:t>5</w:t>
      </w:r>
      <w:r>
        <w:rPr>
          <w:rFonts w:hint="eastAsia" w:ascii="Times New Roman" w:hAnsi="Times New Roman" w:cs="Times New Roman"/>
          <w:b/>
          <w:bCs/>
          <w:highlight w:val="none"/>
        </w:rPr>
        <w:t>.2.</w:t>
      </w:r>
      <w:r>
        <w:rPr>
          <w:rFonts w:ascii="Times New Roman" w:hAnsi="Times New Roman" w:cs="Times New Roman"/>
          <w:b/>
          <w:bCs/>
          <w:highlight w:val="none"/>
        </w:rPr>
        <w:t>1</w:t>
      </w:r>
      <w:r>
        <w:rPr>
          <w:highlight w:val="none"/>
        </w:rPr>
        <w:t xml:space="preserve">  </w:t>
      </w:r>
      <w:r>
        <w:rPr>
          <w:rFonts w:hint="eastAsia" w:ascii="Times New Roman" w:hAnsi="Times New Roman" w:cs="Times New Roman"/>
          <w:bCs/>
          <w:highlight w:val="none"/>
        </w:rPr>
        <w:t>消防安全等级判定</w:t>
      </w:r>
      <w:r>
        <w:rPr>
          <w:rFonts w:hint="eastAsia" w:ascii="Times New Roman" w:hAnsi="Times New Roman" w:cs="Times New Roman"/>
          <w:highlight w:val="none"/>
        </w:rPr>
        <w:t>根据评估对象的消防安全状况及</w:t>
      </w:r>
      <w:r>
        <w:rPr>
          <w:rFonts w:hint="eastAsia" w:ascii="Times New Roman" w:hAnsi="Times New Roman" w:cs="Times New Roman"/>
          <w:highlight w:val="none"/>
          <w:lang w:val="en-US" w:eastAsia="zh-CN"/>
        </w:rPr>
        <w:t>最终评估</w:t>
      </w:r>
      <w:r>
        <w:rPr>
          <w:rFonts w:hint="eastAsia" w:ascii="Times New Roman" w:hAnsi="Times New Roman" w:cs="Times New Roman"/>
          <w:highlight w:val="none"/>
        </w:rPr>
        <w:t>得分，参照表</w:t>
      </w:r>
      <w:r>
        <w:rPr>
          <w:rFonts w:hint="eastAsia" w:ascii="Times New Roman" w:hAnsi="Times New Roman" w:cs="Times New Roman"/>
          <w:highlight w:val="none"/>
          <w:lang w:val="en-US" w:eastAsia="zh-CN"/>
        </w:rPr>
        <w:t>5</w:t>
      </w:r>
      <w:r>
        <w:rPr>
          <w:rFonts w:hint="eastAsia" w:ascii="Times New Roman" w:hAnsi="Times New Roman" w:cs="Times New Roman"/>
          <w:highlight w:val="none"/>
        </w:rPr>
        <w:t>.2.1进行判定。将其消防安全等级划分为“好、</w:t>
      </w:r>
      <w:r>
        <w:rPr>
          <w:rFonts w:hint="eastAsia" w:ascii="Times New Roman" w:hAnsi="Times New Roman" w:cs="Times New Roman"/>
          <w:highlight w:val="none"/>
          <w:lang w:val="en-US" w:eastAsia="zh-CN"/>
        </w:rPr>
        <w:t>较好</w:t>
      </w:r>
      <w:r>
        <w:rPr>
          <w:rFonts w:hint="eastAsia" w:ascii="Times New Roman" w:hAnsi="Times New Roman" w:cs="Times New Roman"/>
          <w:highlight w:val="none"/>
          <w:lang w:eastAsia="zh-CN"/>
        </w:rPr>
        <w:t>、</w:t>
      </w:r>
      <w:r>
        <w:rPr>
          <w:rFonts w:hint="eastAsia" w:ascii="Times New Roman" w:hAnsi="Times New Roman" w:cs="Times New Roman"/>
          <w:highlight w:val="none"/>
        </w:rPr>
        <w:t>一般、</w:t>
      </w:r>
      <w:r>
        <w:rPr>
          <w:rFonts w:hint="eastAsia" w:ascii="Times New Roman" w:hAnsi="Times New Roman" w:cs="Times New Roman"/>
          <w:highlight w:val="none"/>
          <w:lang w:val="en-US" w:eastAsia="zh-CN"/>
        </w:rPr>
        <w:t>差</w:t>
      </w:r>
      <w:r>
        <w:rPr>
          <w:rFonts w:hint="eastAsia" w:ascii="Times New Roman" w:hAnsi="Times New Roman" w:cs="Times New Roman"/>
          <w:highlight w:val="none"/>
        </w:rPr>
        <w:t>”</w:t>
      </w:r>
      <w:r>
        <w:rPr>
          <w:rFonts w:hint="eastAsia" w:ascii="Times New Roman" w:hAnsi="Times New Roman" w:cs="Times New Roman"/>
          <w:highlight w:val="none"/>
          <w:lang w:val="en-US" w:eastAsia="zh-CN"/>
        </w:rPr>
        <w:t>四</w:t>
      </w:r>
      <w:r>
        <w:rPr>
          <w:rFonts w:hint="eastAsia" w:ascii="Times New Roman" w:hAnsi="Times New Roman" w:cs="Times New Roman"/>
          <w:highlight w:val="none"/>
        </w:rPr>
        <w:t>个等级。</w:t>
      </w:r>
    </w:p>
    <w:p w14:paraId="6414D3BA">
      <w:pPr>
        <w:autoSpaceDN/>
        <w:jc w:val="center"/>
        <w:rPr>
          <w:rFonts w:ascii="Times New Roman" w:hAnsi="Times New Roman" w:cs="Times New Roman"/>
          <w:b/>
          <w:bCs/>
          <w:sz w:val="18"/>
          <w:szCs w:val="21"/>
          <w:highlight w:val="none"/>
        </w:rPr>
      </w:pPr>
      <w:r>
        <w:rPr>
          <w:rFonts w:ascii="Times New Roman" w:hAnsi="Times New Roman" w:cs="Times New Roman"/>
          <w:b/>
          <w:sz w:val="21"/>
          <w:highlight w:val="none"/>
        </w:rPr>
        <w:t>表</w:t>
      </w:r>
      <w:r>
        <w:rPr>
          <w:rFonts w:hint="eastAsia" w:ascii="Times New Roman" w:hAnsi="Times New Roman" w:cs="Times New Roman"/>
          <w:b/>
          <w:sz w:val="21"/>
          <w:highlight w:val="none"/>
          <w:lang w:val="en-US" w:eastAsia="zh-CN"/>
        </w:rPr>
        <w:t>5</w:t>
      </w:r>
      <w:r>
        <w:rPr>
          <w:rFonts w:ascii="Times New Roman" w:hAnsi="Times New Roman" w:cs="Times New Roman"/>
          <w:b/>
          <w:sz w:val="21"/>
          <w:highlight w:val="none"/>
        </w:rPr>
        <w:t>.</w:t>
      </w:r>
      <w:r>
        <w:rPr>
          <w:rFonts w:hint="eastAsia" w:ascii="Times New Roman" w:hAnsi="Times New Roman" w:cs="Times New Roman"/>
          <w:b/>
          <w:sz w:val="21"/>
          <w:highlight w:val="none"/>
        </w:rPr>
        <w:t>2</w:t>
      </w:r>
      <w:r>
        <w:rPr>
          <w:rFonts w:ascii="Times New Roman" w:hAnsi="Times New Roman" w:cs="Times New Roman"/>
          <w:b/>
          <w:sz w:val="21"/>
          <w:highlight w:val="none"/>
        </w:rPr>
        <w:t>.</w:t>
      </w:r>
      <w:r>
        <w:rPr>
          <w:rFonts w:hint="eastAsia" w:ascii="Times New Roman" w:hAnsi="Times New Roman" w:cs="Times New Roman"/>
          <w:b/>
          <w:sz w:val="21"/>
          <w:highlight w:val="none"/>
        </w:rPr>
        <w:t>1</w:t>
      </w:r>
      <w:r>
        <w:rPr>
          <w:rFonts w:hint="eastAsia"/>
          <w:b/>
          <w:sz w:val="21"/>
          <w:highlight w:val="none"/>
        </w:rPr>
        <w:t>消防安全评估等级与量化范围</w:t>
      </w:r>
    </w:p>
    <w:tbl>
      <w:tblPr>
        <w:tblStyle w:val="12"/>
        <w:tblW w:w="45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57"/>
        <w:gridCol w:w="5693"/>
      </w:tblGrid>
      <w:tr w14:paraId="69E7DC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57" w:type="dxa"/>
            <w:vAlign w:val="center"/>
          </w:tcPr>
          <w:p w14:paraId="799E8CFD">
            <w:pPr>
              <w:keepNext w:val="0"/>
              <w:keepLines w:val="0"/>
              <w:suppressLineNumbers w:val="0"/>
              <w:autoSpaceDN/>
              <w:spacing w:before="0" w:beforeAutospacing="0" w:after="0" w:afterAutospacing="0"/>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消防安全等级</w:t>
            </w:r>
          </w:p>
        </w:tc>
        <w:tc>
          <w:tcPr>
            <w:tcW w:w="5694" w:type="dxa"/>
            <w:vAlign w:val="center"/>
          </w:tcPr>
          <w:p w14:paraId="6DC949C7">
            <w:pPr>
              <w:keepNext w:val="0"/>
              <w:keepLines w:val="0"/>
              <w:suppressLineNumbers w:val="0"/>
              <w:autoSpaceDN/>
              <w:spacing w:before="0" w:beforeAutospacing="0" w:after="0" w:afterAutospacing="0"/>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单位安全评估最终得分取值范围</w:t>
            </w:r>
          </w:p>
        </w:tc>
      </w:tr>
      <w:tr w14:paraId="5F8511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57" w:type="dxa"/>
            <w:vAlign w:val="center"/>
          </w:tcPr>
          <w:p w14:paraId="1EBC7DA2">
            <w:pPr>
              <w:keepNext w:val="0"/>
              <w:keepLines w:val="0"/>
              <w:suppressLineNumbers w:val="0"/>
              <w:autoSpaceDN/>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好</w:t>
            </w:r>
          </w:p>
        </w:tc>
        <w:tc>
          <w:tcPr>
            <w:tcW w:w="5694" w:type="dxa"/>
            <w:vAlign w:val="center"/>
          </w:tcPr>
          <w:p w14:paraId="34D38962">
            <w:pPr>
              <w:keepNext w:val="0"/>
              <w:keepLines w:val="0"/>
              <w:suppressLineNumbers w:val="0"/>
              <w:autoSpaceDN/>
              <w:spacing w:before="0" w:beforeAutospacing="0" w:after="0" w:afterAutospacing="0"/>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评分</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9</w:t>
            </w:r>
            <w:r>
              <w:rPr>
                <w:rFonts w:hint="eastAsia" w:ascii="Times New Roman" w:hAnsi="Times New Roman" w:cs="Times New Roman"/>
                <w:sz w:val="21"/>
                <w:szCs w:val="21"/>
                <w:highlight w:val="none"/>
              </w:rPr>
              <w:t>0</w:t>
            </w:r>
          </w:p>
        </w:tc>
      </w:tr>
      <w:tr w14:paraId="3EF7C1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57" w:type="dxa"/>
            <w:vAlign w:val="center"/>
          </w:tcPr>
          <w:p w14:paraId="0D7E7989">
            <w:pPr>
              <w:keepNext w:val="0"/>
              <w:keepLines w:val="0"/>
              <w:suppressLineNumbers w:val="0"/>
              <w:autoSpaceDN/>
              <w:spacing w:before="0" w:beforeAutospacing="0" w:after="0" w:afterAutospacing="0"/>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较好</w:t>
            </w:r>
          </w:p>
        </w:tc>
        <w:tc>
          <w:tcPr>
            <w:tcW w:w="5694" w:type="dxa"/>
            <w:vAlign w:val="center"/>
          </w:tcPr>
          <w:p w14:paraId="3F36067C">
            <w:pPr>
              <w:keepNext w:val="0"/>
              <w:keepLines w:val="0"/>
              <w:suppressLineNumbers w:val="0"/>
              <w:autoSpaceDN/>
              <w:spacing w:before="0" w:beforeAutospacing="0" w:after="0" w:afterAutospacing="0"/>
              <w:ind w:left="0" w:right="0"/>
              <w:jc w:val="center"/>
              <w:rPr>
                <w:rFonts w:hint="eastAsia" w:cs="Times New Roman"/>
                <w:sz w:val="21"/>
                <w:szCs w:val="21"/>
                <w:highlight w:val="none"/>
              </w:rPr>
            </w:pPr>
            <w:r>
              <w:rPr>
                <w:rFonts w:hint="eastAsia" w:cs="Times New Roman"/>
                <w:color w:val="000000" w:themeColor="text1"/>
                <w:sz w:val="21"/>
                <w:szCs w:val="21"/>
                <w:highlight w:val="none"/>
                <w14:textFill>
                  <w14:solidFill>
                    <w14:schemeClr w14:val="tx1"/>
                  </w14:solidFill>
                </w14:textFill>
              </w:rPr>
              <w:t>80≤</w:t>
            </w:r>
            <w:r>
              <w:rPr>
                <w:rFonts w:hint="eastAsia" w:ascii="Times New Roman" w:hAnsi="Times New Roman" w:cs="Times New Roman"/>
                <w:color w:val="000000" w:themeColor="text1"/>
                <w:sz w:val="21"/>
                <w:szCs w:val="21"/>
                <w:highlight w:val="none"/>
                <w14:textFill>
                  <w14:solidFill>
                    <w14:schemeClr w14:val="tx1"/>
                  </w14:solidFill>
                </w14:textFill>
              </w:rPr>
              <w:t>评分&lt;</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9</w:t>
            </w:r>
            <w:r>
              <w:rPr>
                <w:rFonts w:hint="eastAsia" w:ascii="Times New Roman" w:hAnsi="Times New Roman" w:cs="Times New Roman"/>
                <w:color w:val="000000" w:themeColor="text1"/>
                <w:sz w:val="21"/>
                <w:szCs w:val="21"/>
                <w:highlight w:val="none"/>
                <w14:textFill>
                  <w14:solidFill>
                    <w14:schemeClr w14:val="tx1"/>
                  </w14:solidFill>
                </w14:textFill>
              </w:rPr>
              <w:t>0</w:t>
            </w:r>
          </w:p>
        </w:tc>
      </w:tr>
      <w:tr w14:paraId="2C1044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57" w:type="dxa"/>
            <w:vAlign w:val="center"/>
          </w:tcPr>
          <w:p w14:paraId="3558CD08">
            <w:pPr>
              <w:keepNext w:val="0"/>
              <w:keepLines w:val="0"/>
              <w:suppressLineNumbers w:val="0"/>
              <w:autoSpaceDN/>
              <w:spacing w:before="0" w:beforeAutospacing="0" w:after="0" w:afterAutospacing="0"/>
              <w:ind w:left="0" w:right="0"/>
              <w:jc w:val="center"/>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一般</w:t>
            </w:r>
          </w:p>
        </w:tc>
        <w:tc>
          <w:tcPr>
            <w:tcW w:w="5694" w:type="dxa"/>
            <w:vAlign w:val="center"/>
          </w:tcPr>
          <w:p w14:paraId="3303F22D">
            <w:pPr>
              <w:keepNext w:val="0"/>
              <w:keepLines w:val="0"/>
              <w:suppressLineNumbers w:val="0"/>
              <w:autoSpaceDN/>
              <w:spacing w:before="0" w:beforeAutospacing="0" w:after="0" w:afterAutospacing="0"/>
              <w:ind w:left="0" w:right="0"/>
              <w:jc w:val="center"/>
              <w:rPr>
                <w:rFonts w:hint="default" w:ascii="Times New Roman" w:hAnsi="Times New Roman" w:cs="Times New Roman"/>
                <w:sz w:val="21"/>
                <w:szCs w:val="21"/>
                <w:highlight w:val="none"/>
              </w:rPr>
            </w:pPr>
            <w:r>
              <w:rPr>
                <w:rFonts w:hint="eastAsia" w:cs="Times New Roman"/>
                <w:sz w:val="21"/>
                <w:szCs w:val="21"/>
                <w:highlight w:val="none"/>
                <w:lang w:val="en-US" w:eastAsia="zh-CN"/>
              </w:rPr>
              <w:t>7</w:t>
            </w:r>
            <w:r>
              <w:rPr>
                <w:rFonts w:hint="eastAsia" w:cs="Times New Roman"/>
                <w:sz w:val="21"/>
                <w:szCs w:val="21"/>
                <w:highlight w:val="none"/>
              </w:rPr>
              <w:t>0≤</w:t>
            </w:r>
            <w:r>
              <w:rPr>
                <w:rFonts w:hint="eastAsia" w:ascii="Times New Roman" w:hAnsi="Times New Roman" w:cs="Times New Roman"/>
                <w:sz w:val="21"/>
                <w:szCs w:val="21"/>
                <w:highlight w:val="none"/>
              </w:rPr>
              <w:t>评分&lt;80</w:t>
            </w:r>
          </w:p>
        </w:tc>
      </w:tr>
      <w:tr w14:paraId="1286DD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57" w:type="dxa"/>
            <w:vAlign w:val="center"/>
          </w:tcPr>
          <w:p w14:paraId="6AB9E8E1">
            <w:pPr>
              <w:keepNext w:val="0"/>
              <w:keepLines w:val="0"/>
              <w:suppressLineNumbers w:val="0"/>
              <w:autoSpaceDN/>
              <w:spacing w:before="0" w:beforeAutospacing="0" w:after="0" w:afterAutospacing="0"/>
              <w:ind w:left="0" w:right="0"/>
              <w:jc w:val="center"/>
              <w:rPr>
                <w:rFonts w:hint="eastAsia" w:ascii="Times New Roman" w:hAnsi="Times New Roman" w:eastAsia="宋体" w:cs="Times New Roman"/>
                <w:sz w:val="21"/>
                <w:szCs w:val="21"/>
                <w:highlight w:val="none"/>
                <w:lang w:eastAsia="zh-CN"/>
              </w:rPr>
            </w:pPr>
            <w:r>
              <w:rPr>
                <w:rFonts w:hint="eastAsia" w:ascii="Times New Roman" w:hAnsi="Times New Roman" w:cs="Times New Roman"/>
                <w:sz w:val="21"/>
                <w:szCs w:val="21"/>
                <w:highlight w:val="none"/>
                <w:lang w:val="en-US" w:eastAsia="zh-CN"/>
              </w:rPr>
              <w:t>差</w:t>
            </w:r>
          </w:p>
        </w:tc>
        <w:tc>
          <w:tcPr>
            <w:tcW w:w="5694" w:type="dxa"/>
            <w:vAlign w:val="center"/>
          </w:tcPr>
          <w:p w14:paraId="6CB0EB83">
            <w:pPr>
              <w:keepNext w:val="0"/>
              <w:keepLines w:val="0"/>
              <w:suppressLineNumbers w:val="0"/>
              <w:autoSpaceDN/>
              <w:spacing w:before="0" w:beforeAutospacing="0" w:after="0" w:afterAutospacing="0"/>
              <w:ind w:left="0" w:right="0"/>
              <w:jc w:val="center"/>
              <w:rPr>
                <w:rFonts w:hint="default" w:ascii="Times New Roman" w:hAnsi="Times New Roman" w:cs="Times New Roman"/>
                <w:sz w:val="21"/>
                <w:szCs w:val="21"/>
                <w:highlight w:val="none"/>
              </w:rPr>
            </w:pPr>
            <w:r>
              <w:rPr>
                <w:rFonts w:hint="eastAsia" w:cs="Times New Roman"/>
                <w:sz w:val="21"/>
                <w:szCs w:val="21"/>
                <w:highlight w:val="none"/>
              </w:rPr>
              <w:t>0≤</w:t>
            </w:r>
            <w:r>
              <w:rPr>
                <w:rFonts w:hint="eastAsia" w:ascii="Times New Roman" w:hAnsi="Times New Roman" w:cs="Times New Roman"/>
                <w:sz w:val="21"/>
                <w:szCs w:val="21"/>
                <w:highlight w:val="none"/>
              </w:rPr>
              <w:t>评分&lt;</w:t>
            </w:r>
            <w:r>
              <w:rPr>
                <w:rFonts w:hint="eastAsia" w:ascii="Times New Roman" w:hAnsi="Times New Roman" w:cs="Times New Roman"/>
                <w:sz w:val="21"/>
                <w:szCs w:val="21"/>
                <w:highlight w:val="none"/>
                <w:lang w:val="en-US" w:eastAsia="zh-CN"/>
              </w:rPr>
              <w:t>7</w:t>
            </w:r>
            <w:r>
              <w:rPr>
                <w:rFonts w:hint="eastAsia" w:ascii="Times New Roman" w:hAnsi="Times New Roman" w:cs="Times New Roman"/>
                <w:sz w:val="21"/>
                <w:szCs w:val="21"/>
                <w:highlight w:val="none"/>
              </w:rPr>
              <w:t>0</w:t>
            </w:r>
          </w:p>
        </w:tc>
      </w:tr>
    </w:tbl>
    <w:p w14:paraId="1823731D">
      <w:pPr>
        <w:autoSpaceDN/>
        <w:jc w:val="both"/>
        <w:rPr>
          <w:rFonts w:hint="eastAsia" w:ascii="Times New Roman" w:hAnsi="Times New Roman" w:eastAsia="宋体" w:cs="Times New Roman"/>
          <w:bCs/>
          <w:color w:val="FF0000"/>
          <w:highlight w:val="none"/>
          <w:lang w:eastAsia="zh-CN"/>
        </w:rPr>
      </w:pPr>
      <w:r>
        <w:rPr>
          <w:rFonts w:hint="eastAsia" w:ascii="Times New Roman" w:hAnsi="Times New Roman" w:cs="Times New Roman"/>
          <w:b/>
          <w:bCs/>
          <w:color w:val="auto"/>
          <w:highlight w:val="none"/>
          <w:lang w:val="en-US" w:eastAsia="zh-CN"/>
        </w:rPr>
        <w:t>5</w:t>
      </w:r>
      <w:r>
        <w:rPr>
          <w:rFonts w:hint="eastAsia" w:ascii="Times New Roman" w:hAnsi="Times New Roman" w:cs="Times New Roman"/>
          <w:b/>
          <w:bCs/>
          <w:color w:val="auto"/>
          <w:highlight w:val="none"/>
        </w:rPr>
        <w:t>.2.2</w:t>
      </w:r>
      <w:r>
        <w:rPr>
          <w:color w:val="auto"/>
          <w:highlight w:val="none"/>
        </w:rPr>
        <w:t xml:space="preserve">  </w:t>
      </w:r>
      <w:r>
        <w:rPr>
          <w:rFonts w:hint="eastAsia" w:ascii="Times New Roman" w:hAnsi="Times New Roman" w:cs="Times New Roman"/>
          <w:bCs/>
          <w:color w:val="auto"/>
          <w:highlight w:val="none"/>
        </w:rPr>
        <w:t>存在下列情形之一，</w:t>
      </w:r>
      <w:r>
        <w:rPr>
          <w:rFonts w:hint="eastAsia" w:ascii="Times New Roman" w:hAnsi="Times New Roman" w:cs="Times New Roman"/>
          <w:bCs/>
          <w:color w:val="auto"/>
          <w:highlight w:val="none"/>
          <w:lang w:val="en-US" w:eastAsia="zh-CN"/>
        </w:rPr>
        <w:t>应</w:t>
      </w:r>
      <w:r>
        <w:rPr>
          <w:rFonts w:hint="eastAsia" w:ascii="Times New Roman" w:hAnsi="Times New Roman" w:cs="Times New Roman"/>
          <w:bCs/>
          <w:color w:val="auto"/>
          <w:highlight w:val="none"/>
        </w:rPr>
        <w:t>直接判定为“</w:t>
      </w:r>
      <w:r>
        <w:rPr>
          <w:rFonts w:hint="eastAsia" w:ascii="Times New Roman" w:hAnsi="Times New Roman" w:cs="Times New Roman"/>
          <w:bCs/>
          <w:color w:val="auto"/>
          <w:highlight w:val="none"/>
          <w:lang w:val="en-US" w:eastAsia="zh-CN"/>
        </w:rPr>
        <w:t>差</w:t>
      </w:r>
      <w:r>
        <w:rPr>
          <w:rFonts w:hint="eastAsia" w:ascii="Times New Roman" w:hAnsi="Times New Roman" w:cs="Times New Roman"/>
          <w:bCs/>
          <w:color w:val="auto"/>
          <w:highlight w:val="none"/>
        </w:rPr>
        <w:t>”</w:t>
      </w:r>
      <w:r>
        <w:rPr>
          <w:rFonts w:hint="eastAsia" w:ascii="Times New Roman" w:hAnsi="Times New Roman" w:cs="Times New Roman"/>
          <w:bCs/>
          <w:color w:val="auto"/>
          <w:highlight w:val="none"/>
          <w:lang w:eastAsia="zh-CN"/>
        </w:rPr>
        <w:t>：</w:t>
      </w:r>
    </w:p>
    <w:p w14:paraId="1031E54A">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1  </w:t>
      </w:r>
      <w:r>
        <w:rPr>
          <w:rFonts w:hint="eastAsia" w:ascii="Times New Roman" w:hAnsi="Times New Roman" w:cs="Times New Roman"/>
          <w:bCs/>
          <w:highlight w:val="none"/>
        </w:rPr>
        <w:t>建筑物和公众聚集场所未依法办理消防行政许可或备案手续的；</w:t>
      </w:r>
    </w:p>
    <w:p w14:paraId="46719F52">
      <w:pPr>
        <w:autoSpaceDN/>
        <w:ind w:firstLine="482" w:firstLineChars="200"/>
        <w:jc w:val="both"/>
        <w:rPr>
          <w:rFonts w:hint="eastAsia" w:ascii="Times New Roman" w:hAnsi="Times New Roman" w:cs="Times New Roman"/>
          <w:bCs/>
          <w:highlight w:val="none"/>
        </w:rPr>
      </w:pPr>
      <w:r>
        <w:rPr>
          <w:rFonts w:hint="eastAsia" w:ascii="Times New Roman" w:hAnsi="Times New Roman" w:cs="Times New Roman"/>
          <w:b/>
          <w:highlight w:val="none"/>
        </w:rPr>
        <w:t xml:space="preserve">2  </w:t>
      </w:r>
      <w:r>
        <w:rPr>
          <w:rFonts w:hint="eastAsia" w:ascii="Times New Roman" w:hAnsi="Times New Roman" w:cs="Times New Roman"/>
          <w:bCs/>
          <w:highlight w:val="none"/>
        </w:rPr>
        <w:t>未依法确定消防安全管理人、自动消防系统操作人员的；</w:t>
      </w:r>
    </w:p>
    <w:p w14:paraId="6087FF46">
      <w:pPr>
        <w:autoSpaceDN/>
        <w:ind w:firstLine="482" w:firstLineChars="200"/>
        <w:jc w:val="both"/>
        <w:rPr>
          <w:rFonts w:hint="eastAsia" w:ascii="Times New Roman" w:hAnsi="Times New Roman" w:cs="Times New Roman"/>
          <w:bCs/>
          <w:highlight w:val="none"/>
        </w:rPr>
      </w:pPr>
      <w:r>
        <w:rPr>
          <w:rFonts w:hint="eastAsia" w:ascii="Times New Roman" w:hAnsi="Times New Roman" w:cs="Times New Roman"/>
          <w:b/>
          <w:highlight w:val="none"/>
        </w:rPr>
        <w:t xml:space="preserve">3  </w:t>
      </w:r>
      <w:r>
        <w:rPr>
          <w:rFonts w:hint="eastAsia" w:ascii="Times New Roman" w:hAnsi="Times New Roman" w:cs="Times New Roman"/>
          <w:bCs/>
          <w:highlight w:val="none"/>
        </w:rPr>
        <w:t>安全出口总净宽度小于国家工程建设消防技术标准规定值的80%；</w:t>
      </w:r>
    </w:p>
    <w:p w14:paraId="13E52F1A">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lang w:val="en-US" w:eastAsia="zh-CN"/>
        </w:rPr>
        <w:t>4</w:t>
      </w:r>
      <w:r>
        <w:rPr>
          <w:rFonts w:hint="eastAsia" w:ascii="Times New Roman" w:hAnsi="Times New Roman" w:cs="Times New Roman"/>
          <w:b/>
          <w:highlight w:val="none"/>
        </w:rPr>
        <w:t xml:space="preserve">  </w:t>
      </w:r>
      <w:r>
        <w:rPr>
          <w:rFonts w:hint="eastAsia" w:ascii="Times New Roman" w:hAnsi="Times New Roman" w:cs="Times New Roman"/>
          <w:bCs/>
          <w:highlight w:val="none"/>
        </w:rPr>
        <w:t>疏散通道、安全出口数量不足或者严重堵塞，已不具备安全疏散条件的；</w:t>
      </w:r>
    </w:p>
    <w:p w14:paraId="3A3AE14E">
      <w:pPr>
        <w:autoSpaceDN/>
        <w:ind w:firstLine="482" w:firstLineChars="200"/>
        <w:jc w:val="both"/>
        <w:rPr>
          <w:rFonts w:ascii="Times New Roman" w:hAnsi="Times New Roman" w:cs="Times New Roman"/>
          <w:bCs/>
          <w:highlight w:val="none"/>
        </w:rPr>
      </w:pPr>
      <w:r>
        <w:rPr>
          <w:rFonts w:hint="eastAsia" w:ascii="Times New Roman" w:hAnsi="Times New Roman" w:cs="Times New Roman"/>
          <w:b/>
          <w:color w:val="auto"/>
          <w:highlight w:val="none"/>
          <w:lang w:val="en-US" w:eastAsia="zh-CN"/>
        </w:rPr>
        <w:t>5</w:t>
      </w:r>
      <w:r>
        <w:rPr>
          <w:rFonts w:hint="eastAsia" w:ascii="Times New Roman" w:hAnsi="Times New Roman" w:cs="Times New Roman"/>
          <w:b/>
          <w:color w:val="auto"/>
          <w:highlight w:val="none"/>
        </w:rPr>
        <w:t xml:space="preserve">  </w:t>
      </w:r>
      <w:r>
        <w:rPr>
          <w:rFonts w:hint="eastAsia" w:ascii="Times New Roman" w:hAnsi="Times New Roman" w:cs="Times New Roman"/>
          <w:bCs/>
          <w:color w:val="auto"/>
          <w:highlight w:val="none"/>
        </w:rPr>
        <w:t>未按规定设置自动消防系统的</w:t>
      </w:r>
      <w:r>
        <w:rPr>
          <w:rFonts w:hint="eastAsia" w:ascii="Times New Roman" w:hAnsi="Times New Roman" w:cs="Times New Roman"/>
          <w:bCs/>
          <w:highlight w:val="none"/>
        </w:rPr>
        <w:t>；</w:t>
      </w:r>
    </w:p>
    <w:p w14:paraId="519CA47E">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lang w:val="en-US" w:eastAsia="zh-CN"/>
        </w:rPr>
        <w:t>6</w:t>
      </w:r>
      <w:r>
        <w:rPr>
          <w:rFonts w:hint="eastAsia" w:ascii="Times New Roman" w:hAnsi="Times New Roman" w:cs="Times New Roman"/>
          <w:b/>
          <w:highlight w:val="none"/>
        </w:rPr>
        <w:t xml:space="preserve">  </w:t>
      </w:r>
      <w:r>
        <w:rPr>
          <w:rFonts w:hint="eastAsia" w:ascii="Times New Roman" w:hAnsi="Times New Roman" w:cs="Times New Roman"/>
          <w:bCs/>
          <w:highlight w:val="none"/>
        </w:rPr>
        <w:t>建筑消防设施严重损坏，不再具备防火灭火功能的；</w:t>
      </w:r>
    </w:p>
    <w:p w14:paraId="630DB5B0">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lang w:val="en-US" w:eastAsia="zh-CN"/>
        </w:rPr>
        <w:t>7</w:t>
      </w:r>
      <w:r>
        <w:rPr>
          <w:rFonts w:hint="eastAsia" w:ascii="Times New Roman" w:hAnsi="Times New Roman" w:cs="Times New Roman"/>
          <w:b/>
          <w:highlight w:val="none"/>
        </w:rPr>
        <w:t xml:space="preserve">  </w:t>
      </w:r>
      <w:r>
        <w:rPr>
          <w:rFonts w:hint="eastAsia" w:ascii="Times New Roman" w:hAnsi="Times New Roman" w:cs="Times New Roman"/>
          <w:bCs/>
          <w:highlight w:val="none"/>
        </w:rPr>
        <w:t>人员密集场所违反消防安全规定，使用、储存易燃易爆危险品的；</w:t>
      </w:r>
    </w:p>
    <w:p w14:paraId="0B4FBFA1">
      <w:pPr>
        <w:autoSpaceDN/>
        <w:ind w:firstLine="482" w:firstLineChars="200"/>
        <w:jc w:val="both"/>
        <w:rPr>
          <w:rFonts w:hint="eastAsia" w:ascii="Times New Roman" w:hAnsi="Times New Roman" w:cs="Times New Roman"/>
          <w:bCs/>
          <w:highlight w:val="none"/>
        </w:rPr>
      </w:pPr>
      <w:r>
        <w:rPr>
          <w:rFonts w:hint="eastAsia" w:ascii="Times New Roman" w:hAnsi="Times New Roman" w:cs="Times New Roman"/>
          <w:b/>
          <w:highlight w:val="none"/>
          <w:lang w:val="en-US" w:eastAsia="zh-CN"/>
        </w:rPr>
        <w:t>8</w:t>
      </w:r>
      <w:r>
        <w:rPr>
          <w:rFonts w:hint="eastAsia" w:ascii="Times New Roman" w:hAnsi="Times New Roman" w:cs="Times New Roman"/>
          <w:b/>
          <w:highlight w:val="none"/>
        </w:rPr>
        <w:t xml:space="preserve">  </w:t>
      </w:r>
      <w:r>
        <w:rPr>
          <w:rFonts w:hint="eastAsia" w:ascii="Times New Roman" w:hAnsi="Times New Roman" w:cs="Times New Roman"/>
          <w:bCs/>
          <w:highlight w:val="none"/>
        </w:rPr>
        <w:t>公众聚集场所违反消防技术标准，采用易燃、可燃材料装修，可能导致重大人员伤亡的；</w:t>
      </w:r>
    </w:p>
    <w:p w14:paraId="00B7948B">
      <w:pPr>
        <w:autoSpaceDN/>
        <w:ind w:firstLine="482" w:firstLineChars="200"/>
        <w:jc w:val="both"/>
        <w:rPr>
          <w:rFonts w:hint="eastAsia" w:ascii="Times New Roman" w:hAnsi="Times New Roman" w:cs="Times New Roman"/>
          <w:bCs/>
          <w:highlight w:val="none"/>
        </w:rPr>
      </w:pPr>
      <w:r>
        <w:rPr>
          <w:rFonts w:hint="eastAsia" w:ascii="Times New Roman" w:hAnsi="Times New Roman" w:cs="Times New Roman"/>
          <w:b/>
          <w:highlight w:val="none"/>
          <w:lang w:val="en-US" w:eastAsia="zh-CN"/>
        </w:rPr>
        <w:t>9</w:t>
      </w:r>
      <w:r>
        <w:rPr>
          <w:rFonts w:hint="eastAsia" w:ascii="Times New Roman" w:hAnsi="Times New Roman" w:cs="Times New Roman"/>
          <w:b/>
          <w:highlight w:val="none"/>
        </w:rPr>
        <w:t xml:space="preserve">  </w:t>
      </w:r>
      <w:r>
        <w:rPr>
          <w:rFonts w:hint="eastAsia" w:ascii="Times New Roman" w:hAnsi="Times New Roman" w:cs="Times New Roman"/>
          <w:bCs/>
          <w:highlight w:val="none"/>
        </w:rPr>
        <w:t>生产、储存和装卸易燃易爆化学物品的工厂、仓库和专用车站、码头、储罐区，未设置在城市的边缘或相对独立的安全地带；</w:t>
      </w:r>
    </w:p>
    <w:p w14:paraId="0A666D32">
      <w:pPr>
        <w:autoSpaceDN/>
        <w:ind w:firstLine="482" w:firstLineChars="200"/>
        <w:jc w:val="both"/>
        <w:rPr>
          <w:rFonts w:hint="eastAsia" w:ascii="Times New Roman" w:hAnsi="Times New Roman" w:cs="Times New Roman"/>
          <w:bCs/>
          <w:highlight w:val="none"/>
        </w:rPr>
      </w:pPr>
      <w:r>
        <w:rPr>
          <w:rFonts w:hint="eastAsia" w:ascii="Times New Roman" w:hAnsi="Times New Roman" w:cs="Times New Roman"/>
          <w:b/>
          <w:highlight w:val="none"/>
          <w:lang w:val="en-US" w:eastAsia="zh-CN"/>
        </w:rPr>
        <w:t>11</w:t>
      </w:r>
      <w:r>
        <w:rPr>
          <w:rFonts w:hint="eastAsia" w:ascii="Times New Roman" w:hAnsi="Times New Roman" w:cs="Times New Roman"/>
          <w:b/>
          <w:highlight w:val="none"/>
        </w:rPr>
        <w:t xml:space="preserve">  </w:t>
      </w:r>
      <w:r>
        <w:rPr>
          <w:rFonts w:hint="eastAsia" w:ascii="Times New Roman" w:hAnsi="Times New Roman" w:cs="Times New Roman"/>
          <w:bCs/>
          <w:highlight w:val="none"/>
        </w:rPr>
        <w:t>人员密集场所</w:t>
      </w:r>
      <w:r>
        <w:rPr>
          <w:rFonts w:hint="eastAsia" w:ascii="Times New Roman" w:hAnsi="Times New Roman" w:cs="Times New Roman"/>
          <w:bCs/>
          <w:highlight w:val="none"/>
          <w:lang w:eastAsia="zh-CN"/>
        </w:rPr>
        <w:t>与</w:t>
      </w:r>
      <w:r>
        <w:rPr>
          <w:rFonts w:hint="eastAsia" w:ascii="Times New Roman" w:hAnsi="Times New Roman" w:cs="Times New Roman"/>
          <w:bCs/>
          <w:highlight w:val="none"/>
        </w:rPr>
        <w:t>生产、储存、经营易燃易爆危险品的场所设置在同一建筑物内，或</w:t>
      </w:r>
      <w:r>
        <w:rPr>
          <w:rFonts w:hint="eastAsia" w:ascii="Times New Roman" w:hAnsi="Times New Roman" w:cs="Times New Roman"/>
          <w:bCs/>
          <w:highlight w:val="none"/>
          <w:lang w:eastAsia="zh-CN"/>
        </w:rPr>
        <w:t>与</w:t>
      </w:r>
      <w:r>
        <w:rPr>
          <w:rFonts w:hint="eastAsia" w:ascii="Times New Roman" w:hAnsi="Times New Roman" w:cs="Times New Roman"/>
          <w:bCs/>
          <w:highlight w:val="none"/>
        </w:rPr>
        <w:t>生产、储存、经营易燃易爆危险品的场所的防火间距小于国家工程建设消防技术标准规定值的75%；</w:t>
      </w:r>
    </w:p>
    <w:p w14:paraId="37739A4D">
      <w:pPr>
        <w:autoSpaceDN/>
        <w:ind w:firstLine="482" w:firstLineChars="200"/>
        <w:jc w:val="both"/>
        <w:rPr>
          <w:rFonts w:hint="eastAsia" w:ascii="Times New Roman" w:hAnsi="Times New Roman" w:cs="Times New Roman"/>
          <w:bCs/>
          <w:highlight w:val="none"/>
        </w:rPr>
      </w:pPr>
      <w:r>
        <w:rPr>
          <w:rFonts w:hint="eastAsia" w:ascii="Times New Roman" w:hAnsi="Times New Roman" w:cs="Times New Roman"/>
          <w:b/>
          <w:highlight w:val="none"/>
          <w:lang w:val="en-US" w:eastAsia="zh-CN"/>
        </w:rPr>
        <w:t>12</w:t>
      </w:r>
      <w:r>
        <w:rPr>
          <w:rFonts w:hint="eastAsia" w:ascii="Times New Roman" w:hAnsi="Times New Roman" w:cs="Times New Roman"/>
          <w:b/>
          <w:highlight w:val="none"/>
        </w:rPr>
        <w:t xml:space="preserve">  </w:t>
      </w:r>
      <w:r>
        <w:rPr>
          <w:rFonts w:hint="eastAsia" w:ascii="Times New Roman" w:hAnsi="Times New Roman" w:cs="Times New Roman"/>
          <w:bCs/>
          <w:highlight w:val="none"/>
        </w:rPr>
        <w:t>托儿所、幼儿园的儿童用房以及老年人活动场所，所在楼层位置不符合国家工程建设消防技术标准的规定；</w:t>
      </w:r>
    </w:p>
    <w:p w14:paraId="39747E5D">
      <w:pPr>
        <w:autoSpaceDN/>
        <w:ind w:firstLine="482" w:firstLineChars="200"/>
        <w:jc w:val="both"/>
        <w:rPr>
          <w:rFonts w:hint="eastAsia" w:ascii="Times New Roman" w:hAnsi="Times New Roman" w:cs="Times New Roman"/>
          <w:bCs/>
          <w:highlight w:val="none"/>
        </w:rPr>
      </w:pPr>
      <w:r>
        <w:rPr>
          <w:rFonts w:hint="eastAsia" w:ascii="Times New Roman" w:hAnsi="Times New Roman" w:cs="Times New Roman"/>
          <w:b/>
          <w:highlight w:val="none"/>
          <w:lang w:val="en-US" w:eastAsia="zh-CN"/>
        </w:rPr>
        <w:t>13</w:t>
      </w:r>
      <w:r>
        <w:rPr>
          <w:rFonts w:hint="eastAsia" w:ascii="Times New Roman" w:hAnsi="Times New Roman" w:cs="Times New Roman"/>
          <w:b/>
          <w:highlight w:val="none"/>
        </w:rPr>
        <w:t xml:space="preserve">  </w:t>
      </w:r>
      <w:r>
        <w:rPr>
          <w:rFonts w:hint="eastAsia" w:ascii="Times New Roman" w:hAnsi="Times New Roman" w:cs="Times New Roman"/>
          <w:bCs/>
          <w:highlight w:val="none"/>
        </w:rPr>
        <w:t>人员密集场所的居住场所采用彩钢夹芯板搭建，且彩钢夹芯板芯材的燃烧性能等级低于</w:t>
      </w:r>
      <w:r>
        <w:rPr>
          <w:rFonts w:hint="eastAsia" w:ascii="Times New Roman" w:hAnsi="Times New Roman" w:cs="Times New Roman"/>
          <w:bCs/>
          <w:highlight w:val="none"/>
          <w:lang w:val="en-US" w:eastAsia="zh-CN"/>
        </w:rPr>
        <w:t>现行国家标准《建筑材料及制品燃烧性能分级》</w:t>
      </w:r>
      <w:r>
        <w:rPr>
          <w:rFonts w:hint="eastAsia" w:ascii="Times New Roman" w:hAnsi="Times New Roman" w:cs="Times New Roman"/>
          <w:bCs/>
          <w:highlight w:val="none"/>
        </w:rPr>
        <w:t xml:space="preserve"> GB 8624 规定的A级。</w:t>
      </w:r>
    </w:p>
    <w:p w14:paraId="7A3156CD">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lang w:val="en-US" w:eastAsia="zh-CN"/>
        </w:rPr>
        <w:t>14</w:t>
      </w:r>
      <w:r>
        <w:rPr>
          <w:rFonts w:hint="eastAsia" w:ascii="Times New Roman" w:hAnsi="Times New Roman" w:cs="Times New Roman"/>
          <w:b/>
          <w:highlight w:val="none"/>
        </w:rPr>
        <w:t xml:space="preserve">  </w:t>
      </w:r>
      <w:r>
        <w:rPr>
          <w:rFonts w:hint="eastAsia" w:ascii="Times New Roman" w:hAnsi="Times New Roman" w:cs="Times New Roman"/>
          <w:bCs/>
          <w:highlight w:val="none"/>
        </w:rPr>
        <w:t>经公安机关消防机构责令改正后，同一违法行为反复出现的；</w:t>
      </w:r>
    </w:p>
    <w:p w14:paraId="21BBB0FF">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lang w:val="en-US" w:eastAsia="zh-CN"/>
        </w:rPr>
        <w:t>15</w:t>
      </w:r>
      <w:r>
        <w:rPr>
          <w:rFonts w:hint="eastAsia" w:ascii="Times New Roman" w:hAnsi="Times New Roman" w:cs="Times New Roman"/>
          <w:b/>
          <w:highlight w:val="none"/>
        </w:rPr>
        <w:t xml:space="preserve">  </w:t>
      </w:r>
      <w:r>
        <w:rPr>
          <w:rFonts w:hint="eastAsia" w:ascii="Times New Roman" w:hAnsi="Times New Roman" w:cs="Times New Roman"/>
          <w:bCs/>
          <w:highlight w:val="none"/>
        </w:rPr>
        <w:t>未依法建立专</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兼</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职消防队的；</w:t>
      </w:r>
    </w:p>
    <w:p w14:paraId="3579780F">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1</w:t>
      </w:r>
      <w:r>
        <w:rPr>
          <w:rFonts w:hint="eastAsia" w:ascii="Times New Roman" w:hAnsi="Times New Roman" w:cs="Times New Roman"/>
          <w:b/>
          <w:highlight w:val="none"/>
          <w:lang w:val="en-US" w:eastAsia="zh-CN"/>
        </w:rPr>
        <w:t>6</w:t>
      </w:r>
      <w:r>
        <w:rPr>
          <w:rFonts w:hint="eastAsia" w:ascii="Times New Roman" w:hAnsi="Times New Roman" w:cs="Times New Roman"/>
          <w:b/>
          <w:highlight w:val="none"/>
        </w:rPr>
        <w:t xml:space="preserve">  </w:t>
      </w:r>
      <w:r>
        <w:rPr>
          <w:rFonts w:hint="eastAsia" w:ascii="Times New Roman" w:hAnsi="Times New Roman" w:cs="Times New Roman"/>
          <w:bCs/>
          <w:highlight w:val="none"/>
        </w:rPr>
        <w:t>一年内发生一次较大以上</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含</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火灾或两次以上</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含</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一般火灾的。</w:t>
      </w:r>
    </w:p>
    <w:p w14:paraId="12FEE74B">
      <w:pPr>
        <w:autoSpaceDN/>
        <w:ind w:firstLine="482" w:firstLineChars="200"/>
        <w:jc w:val="both"/>
        <w:rPr>
          <w:rFonts w:ascii="Times New Roman" w:hAnsi="Times New Roman" w:cs="Times New Roman"/>
          <w:b/>
          <w:highlight w:val="none"/>
        </w:rPr>
      </w:pPr>
    </w:p>
    <w:p w14:paraId="34F26D4E">
      <w:pPr>
        <w:autoSpaceDN/>
        <w:ind w:firstLine="480" w:firstLineChars="200"/>
        <w:jc w:val="both"/>
        <w:rPr>
          <w:rFonts w:ascii="Times New Roman" w:hAnsi="Times New Roman" w:cs="Times New Roman"/>
          <w:highlight w:val="none"/>
        </w:rPr>
        <w:sectPr>
          <w:pgSz w:w="11910" w:h="16840"/>
          <w:pgMar w:top="1520" w:right="1582" w:bottom="1378" w:left="1678" w:header="720" w:footer="720" w:gutter="0"/>
          <w:pgBorders>
            <w:top w:val="none" w:sz="0" w:space="0"/>
            <w:left w:val="none" w:sz="0" w:space="0"/>
            <w:bottom w:val="none" w:sz="0" w:space="0"/>
            <w:right w:val="none" w:sz="0" w:space="0"/>
          </w:pgBorders>
          <w:cols w:space="720" w:num="1"/>
          <w:docGrid w:type="lines" w:linePitch="299" w:charSpace="0"/>
        </w:sectPr>
      </w:pPr>
    </w:p>
    <w:p w14:paraId="66228C29">
      <w:pPr>
        <w:pStyle w:val="18"/>
        <w:rPr>
          <w:rFonts w:hint="eastAsia" w:ascii="宋体" w:hAnsi="宋体" w:eastAsia="宋体"/>
          <w:sz w:val="32"/>
          <w:szCs w:val="32"/>
          <w:highlight w:val="none"/>
        </w:rPr>
      </w:pPr>
      <w:bookmarkStart w:id="361" w:name="_Toc140390036"/>
      <w:bookmarkStart w:id="362" w:name="_Toc151384809"/>
      <w:bookmarkStart w:id="363" w:name="_Toc150876240"/>
      <w:bookmarkStart w:id="364" w:name="_Toc183531752"/>
      <w:bookmarkStart w:id="365" w:name="_Toc25394"/>
      <w:bookmarkStart w:id="366" w:name="_Toc5074"/>
      <w:bookmarkStart w:id="367" w:name="_Toc23740"/>
      <w:bookmarkStart w:id="368" w:name="_Toc2545"/>
      <w:bookmarkStart w:id="369" w:name="_Toc13967"/>
      <w:bookmarkStart w:id="370" w:name="_Toc8909"/>
      <w:bookmarkStart w:id="371" w:name="_Toc18728"/>
      <w:bookmarkStart w:id="372" w:name="_Toc17245"/>
      <w:bookmarkStart w:id="373" w:name="_Toc27576"/>
      <w:bookmarkStart w:id="374" w:name="_Toc10150"/>
      <w:r>
        <w:rPr>
          <w:rFonts w:hint="default" w:ascii="Times New Roman" w:hAnsi="Times New Roman" w:eastAsia="宋体"/>
          <w:highlight w:val="none"/>
          <w:lang w:val="en-US" w:eastAsia="zh-CN"/>
        </w:rPr>
        <w:t>6</w:t>
      </w:r>
      <w:r>
        <w:rPr>
          <w:rFonts w:ascii="宋体" w:hAnsi="宋体" w:eastAsia="宋体"/>
          <w:sz w:val="32"/>
          <w:szCs w:val="32"/>
          <w:highlight w:val="none"/>
        </w:rPr>
        <w:t xml:space="preserve">  </w:t>
      </w:r>
      <w:bookmarkEnd w:id="361"/>
      <w:bookmarkEnd w:id="362"/>
      <w:bookmarkEnd w:id="363"/>
      <w:r>
        <w:rPr>
          <w:rFonts w:hint="eastAsia" w:ascii="宋体" w:hAnsi="宋体" w:eastAsia="宋体"/>
          <w:highlight w:val="none"/>
        </w:rPr>
        <w:t>评估报告</w:t>
      </w:r>
      <w:bookmarkEnd w:id="364"/>
      <w:bookmarkStart w:id="375" w:name="_Toc3996"/>
      <w:bookmarkStart w:id="376" w:name="_Toc18186"/>
      <w:bookmarkStart w:id="377" w:name="_Toc627"/>
      <w:bookmarkStart w:id="378" w:name="_Toc29987"/>
      <w:bookmarkStart w:id="379" w:name="_Toc3698"/>
      <w:bookmarkStart w:id="380" w:name="_Toc22341"/>
      <w:bookmarkStart w:id="381" w:name="_Toc31478"/>
      <w:bookmarkStart w:id="382" w:name="_Toc20279"/>
      <w:bookmarkStart w:id="383" w:name="_Toc31157"/>
      <w:bookmarkStart w:id="384" w:name="_Toc20970"/>
      <w:bookmarkStart w:id="385" w:name="_Toc9712"/>
      <w:r>
        <w:rPr>
          <w:highlight w:val="none"/>
        </w:rPr>
        <w:fldChar w:fldCharType="begin"/>
      </w:r>
      <w:r>
        <w:rPr>
          <w:rFonts w:ascii="Times New Roman" w:hAnsi="Times New Roman" w:eastAsia="宋体"/>
          <w:highlight w:val="none"/>
        </w:rPr>
        <w:instrText xml:space="preserve"> </w:instrText>
      </w:r>
      <w:r>
        <w:rPr>
          <w:rFonts w:hint="default" w:ascii="Times New Roman" w:hAnsi="Times New Roman" w:eastAsia="宋体"/>
          <w:highlight w:val="none"/>
        </w:rPr>
        <w:instrText xml:space="preserve">TC  "</w:instrText>
      </w:r>
      <w:bookmarkStart w:id="386" w:name="_Toc143762837"/>
      <w:bookmarkStart w:id="387" w:name="_Toc143762777"/>
      <w:bookmarkStart w:id="388" w:name="_Toc143720331"/>
      <w:bookmarkStart w:id="389" w:name="_Toc183531869"/>
      <w:r>
        <w:rPr>
          <w:rFonts w:hint="default" w:ascii="Times New Roman" w:hAnsi="Times New Roman" w:eastAsia="宋体"/>
          <w:highlight w:val="none"/>
          <w:lang w:val="en-US" w:eastAsia="zh-CN"/>
        </w:rPr>
        <w:instrText xml:space="preserve">6</w:instrText>
      </w:r>
      <w:r>
        <w:rPr>
          <w:rFonts w:hint="default" w:ascii="Times New Roman" w:hAnsi="Times New Roman" w:eastAsia="宋体"/>
          <w:highlight w:val="none"/>
        </w:rPr>
        <w:instrText xml:space="preserve">  </w:instrText>
      </w:r>
      <w:bookmarkEnd w:id="386"/>
      <w:bookmarkEnd w:id="387"/>
      <w:bookmarkEnd w:id="388"/>
      <w:r>
        <w:rPr>
          <w:rFonts w:hint="default" w:ascii="Times New Roman" w:hAnsi="Times New Roman" w:eastAsia="宋体"/>
          <w:highlight w:val="none"/>
        </w:rPr>
        <w:instrText xml:space="preserve">Assessment report</w:instrText>
      </w:r>
      <w:bookmarkEnd w:id="389"/>
      <w:r>
        <w:rPr>
          <w:rFonts w:hint="default" w:ascii="Times New Roman" w:hAnsi="Times New Roman" w:eastAsia="宋体"/>
          <w:highlight w:val="none"/>
        </w:rPr>
        <w:instrText xml:space="preserve"> " \l 1</w:instrText>
      </w:r>
      <w:r>
        <w:rPr>
          <w:rFonts w:ascii="Times New Roman" w:hAnsi="Times New Roman" w:eastAsia="宋体"/>
          <w:highlight w:val="none"/>
        </w:rPr>
        <w:instrText xml:space="preserve"> </w:instrText>
      </w:r>
      <w:r>
        <w:rPr>
          <w:rFonts w:ascii="Times New Roman" w:hAnsi="Times New Roman" w:eastAsia="宋体"/>
          <w:highlight w:val="none"/>
        </w:rPr>
        <w:fldChar w:fldCharType="end"/>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5AFE6850">
      <w:pPr>
        <w:autoSpaceDN/>
        <w:jc w:val="both"/>
        <w:rPr>
          <w:rFonts w:ascii="Times New Roman" w:hAnsi="Times New Roman" w:cs="Times New Roman"/>
          <w:b/>
          <w:bCs/>
          <w:highlight w:val="none"/>
        </w:rPr>
      </w:pPr>
    </w:p>
    <w:p w14:paraId="594ABEDA">
      <w:pPr>
        <w:autoSpaceDN/>
        <w:jc w:val="both"/>
        <w:rPr>
          <w:rFonts w:ascii="Times New Roman" w:hAnsi="Times New Roman" w:cs="Times New Roman"/>
          <w:highlight w:val="none"/>
        </w:rPr>
      </w:pPr>
      <w:r>
        <w:rPr>
          <w:rFonts w:hint="eastAsia" w:ascii="Times New Roman" w:hAnsi="Times New Roman" w:cs="Times New Roman"/>
          <w:b/>
          <w:bCs/>
          <w:highlight w:val="none"/>
          <w:lang w:val="en-US" w:eastAsia="zh-CN"/>
        </w:rPr>
        <w:t>6</w:t>
      </w:r>
      <w:r>
        <w:rPr>
          <w:rFonts w:hint="eastAsia" w:ascii="Times New Roman" w:hAnsi="Times New Roman" w:cs="Times New Roman"/>
          <w:b/>
          <w:bCs/>
          <w:highlight w:val="none"/>
        </w:rPr>
        <w:t>.</w:t>
      </w:r>
      <w:r>
        <w:rPr>
          <w:rFonts w:ascii="Times New Roman" w:hAnsi="Times New Roman" w:cs="Times New Roman"/>
          <w:b/>
          <w:bCs/>
          <w:highlight w:val="none"/>
        </w:rPr>
        <w:t>1</w:t>
      </w:r>
      <w:r>
        <w:rPr>
          <w:rFonts w:hint="eastAsia" w:ascii="Times New Roman" w:hAnsi="Times New Roman" w:cs="Times New Roman"/>
          <w:b/>
          <w:bCs/>
          <w:highlight w:val="none"/>
        </w:rPr>
        <w:t xml:space="preserve">  </w:t>
      </w:r>
      <w:r>
        <w:rPr>
          <w:rFonts w:hint="eastAsia" w:ascii="Times New Roman" w:hAnsi="Times New Roman" w:cs="Times New Roman"/>
          <w:highlight w:val="none"/>
        </w:rPr>
        <w:t>评估报告应包括但不限于以下内容:</w:t>
      </w:r>
    </w:p>
    <w:p w14:paraId="725CA336">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1  </w:t>
      </w:r>
      <w:r>
        <w:rPr>
          <w:rFonts w:hint="eastAsia" w:ascii="Times New Roman" w:hAnsi="Times New Roman" w:cs="Times New Roman"/>
          <w:bCs/>
          <w:highlight w:val="none"/>
        </w:rPr>
        <w:t>报告封面</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内容包含标题、评估机构的名称和地址、评估报告的唯一性标识、评估项目的名称和地址、评估日期；</w:t>
      </w:r>
    </w:p>
    <w:p w14:paraId="173DA05D">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2  </w:t>
      </w:r>
      <w:r>
        <w:rPr>
          <w:rFonts w:hint="eastAsia" w:ascii="Times New Roman" w:hAnsi="Times New Roman" w:cs="Times New Roman"/>
          <w:b w:val="0"/>
          <w:bCs/>
          <w:highlight w:val="none"/>
          <w:lang w:val="en-US" w:eastAsia="zh-CN"/>
        </w:rPr>
        <w:t>签字页内容包含报告编写人、</w:t>
      </w:r>
      <w:r>
        <w:rPr>
          <w:rFonts w:hint="eastAsia" w:ascii="Times New Roman" w:hAnsi="Times New Roman" w:cs="Times New Roman"/>
          <w:bCs/>
          <w:highlight w:val="none"/>
        </w:rPr>
        <w:t>项目负责人</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报告审核人以及报告批准人的签字或等效的标识和签发日期，并注明各评估组成员的技术职称和职务；</w:t>
      </w:r>
    </w:p>
    <w:p w14:paraId="5D127F08">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3  </w:t>
      </w:r>
      <w:r>
        <w:rPr>
          <w:rFonts w:hint="eastAsia" w:ascii="Times New Roman" w:hAnsi="Times New Roman" w:cs="Times New Roman"/>
          <w:bCs/>
          <w:highlight w:val="none"/>
        </w:rPr>
        <w:t>所使用仪器的检定校准证书编号和有效期；</w:t>
      </w:r>
    </w:p>
    <w:p w14:paraId="01CB9FA6">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4  </w:t>
      </w:r>
      <w:r>
        <w:rPr>
          <w:rFonts w:hint="eastAsia" w:ascii="Times New Roman" w:hAnsi="Times New Roman" w:cs="Times New Roman"/>
          <w:bCs/>
          <w:highlight w:val="none"/>
        </w:rPr>
        <w:t>评估范围和依据；</w:t>
      </w:r>
    </w:p>
    <w:p w14:paraId="304A484B">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5  </w:t>
      </w:r>
      <w:r>
        <w:rPr>
          <w:rFonts w:hint="eastAsia" w:ascii="Times New Roman" w:hAnsi="Times New Roman" w:cs="Times New Roman"/>
          <w:bCs/>
          <w:highlight w:val="none"/>
        </w:rPr>
        <w:t>被评估建筑的基本情况：建筑的主要功能；建筑层数和高度、总建筑面积；建筑类别、耐火等级、火灾危险性分类</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厂房和仓</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、主要危险物质情况；竣工日期、竣工图纸提供情况、依法取得消防行政审批手续情况、消防设施设置情况等；</w:t>
      </w:r>
    </w:p>
    <w:p w14:paraId="3D730FD4">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6  </w:t>
      </w:r>
      <w:r>
        <w:rPr>
          <w:rFonts w:hint="eastAsia" w:ascii="Times New Roman" w:hAnsi="Times New Roman" w:cs="Times New Roman"/>
          <w:bCs/>
          <w:highlight w:val="none"/>
        </w:rPr>
        <w:t>按照标准附录A评分情况，给出消防安全等级，列出存在的消防安全隐患，提出相应的建议性措施；</w:t>
      </w:r>
    </w:p>
    <w:p w14:paraId="50C63F28">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7  </w:t>
      </w:r>
      <w:r>
        <w:rPr>
          <w:rFonts w:hint="eastAsia" w:ascii="Times New Roman" w:hAnsi="Times New Roman" w:cs="Times New Roman"/>
          <w:bCs/>
          <w:highlight w:val="none"/>
        </w:rPr>
        <w:t>作出整体评估结论</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针对消防安全隐患和消防安全问题，提出相应</w:t>
      </w:r>
      <w:r>
        <w:rPr>
          <w:rFonts w:hint="eastAsia" w:ascii="Times New Roman" w:hAnsi="Times New Roman" w:cs="Times New Roman"/>
          <w:bCs/>
          <w:highlight w:val="none"/>
          <w:lang w:eastAsia="zh-CN"/>
        </w:rPr>
        <w:t>的</w:t>
      </w:r>
      <w:r>
        <w:rPr>
          <w:rFonts w:hint="eastAsia" w:ascii="Times New Roman" w:hAnsi="Times New Roman" w:cs="Times New Roman"/>
          <w:bCs/>
          <w:highlight w:val="none"/>
        </w:rPr>
        <w:t>建议性措施；</w:t>
      </w:r>
    </w:p>
    <w:p w14:paraId="01E5C040">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8  </w:t>
      </w:r>
      <w:r>
        <w:rPr>
          <w:rFonts w:hint="eastAsia" w:ascii="Times New Roman" w:hAnsi="Times New Roman" w:cs="Times New Roman"/>
          <w:bCs/>
          <w:highlight w:val="none"/>
        </w:rPr>
        <w:t>评估报告附件一：评估对象的图纸资料和有关消防安全评估得分的相关证明文件，如消防设计文件、消防验收或备案等行政许可文件、消防安全管理制度文件、消防安全教育和培训记录、消防安全宣传情况、消防产品质量合格证明文件、火灾隐患巡查和检查记录、防火材料和消防设施检测报告、消防设施维护保养合同等；</w:t>
      </w:r>
    </w:p>
    <w:p w14:paraId="722DEBF6">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9  </w:t>
      </w:r>
      <w:r>
        <w:rPr>
          <w:rFonts w:hint="eastAsia" w:ascii="Times New Roman" w:hAnsi="Times New Roman" w:cs="Times New Roman"/>
          <w:bCs/>
          <w:highlight w:val="none"/>
        </w:rPr>
        <w:t>评估报告附件二</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w:t>
      </w:r>
      <w:r>
        <w:rPr>
          <w:rFonts w:hint="eastAsia" w:eastAsia="宋体"/>
          <w:highlight w:val="none"/>
        </w:rPr>
        <w:t>消防安全评估检查记录表</w:t>
      </w:r>
      <w:r>
        <w:rPr>
          <w:rFonts w:hint="eastAsia" w:ascii="Times New Roman" w:hAnsi="Times New Roman" w:cs="Times New Roman"/>
          <w:bCs/>
          <w:highlight w:val="none"/>
        </w:rPr>
        <w:t>》评分情况；</w:t>
      </w:r>
    </w:p>
    <w:p w14:paraId="5B86F206">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10  </w:t>
      </w:r>
      <w:r>
        <w:rPr>
          <w:rFonts w:hint="eastAsia" w:ascii="Times New Roman" w:hAnsi="Times New Roman" w:cs="Times New Roman"/>
          <w:bCs/>
          <w:highlight w:val="none"/>
        </w:rPr>
        <w:t>评估报告附件三</w:t>
      </w:r>
      <w:r>
        <w:rPr>
          <w:rFonts w:hint="eastAsia" w:ascii="Times New Roman" w:hAnsi="Times New Roman" w:cs="Times New Roman"/>
          <w:bCs/>
          <w:highlight w:val="none"/>
          <w:lang w:eastAsia="zh-CN"/>
        </w:rPr>
        <w:t>：</w:t>
      </w:r>
      <w:r>
        <w:rPr>
          <w:rFonts w:hint="eastAsia" w:ascii="Times New Roman" w:hAnsi="Times New Roman" w:cs="Times New Roman"/>
          <w:bCs/>
          <w:highlight w:val="none"/>
        </w:rPr>
        <w:t>项目负责人，报告审核人以及报告批准人的注册证书、资格证书影印件；</w:t>
      </w:r>
    </w:p>
    <w:p w14:paraId="5C849774">
      <w:pPr>
        <w:autoSpaceDN/>
        <w:ind w:firstLine="482" w:firstLineChars="200"/>
        <w:jc w:val="both"/>
        <w:rPr>
          <w:rFonts w:ascii="Times New Roman" w:hAnsi="Times New Roman" w:cs="Times New Roman"/>
          <w:bCs/>
          <w:highlight w:val="none"/>
        </w:rPr>
      </w:pPr>
      <w:r>
        <w:rPr>
          <w:rFonts w:hint="eastAsia" w:ascii="Times New Roman" w:hAnsi="Times New Roman" w:cs="Times New Roman"/>
          <w:b/>
          <w:highlight w:val="none"/>
        </w:rPr>
        <w:t xml:space="preserve">11  </w:t>
      </w:r>
      <w:r>
        <w:rPr>
          <w:rFonts w:hint="eastAsia" w:ascii="Times New Roman" w:hAnsi="Times New Roman" w:cs="Times New Roman"/>
          <w:bCs/>
          <w:highlight w:val="none"/>
        </w:rPr>
        <w:t>评估报告封面和骑缝处须加盖消防技术服务机构的公章，评估报告结论处加盖消防技术服务机构的评估专用章。</w:t>
      </w:r>
    </w:p>
    <w:p w14:paraId="4CCB1A33">
      <w:pPr>
        <w:autoSpaceDN/>
        <w:jc w:val="both"/>
        <w:rPr>
          <w:rFonts w:ascii="Times New Roman" w:hAnsi="Times New Roman" w:cs="Times New Roman"/>
          <w:highlight w:val="none"/>
        </w:rPr>
      </w:pPr>
      <w:r>
        <w:rPr>
          <w:rFonts w:hint="eastAsia" w:ascii="Times New Roman" w:hAnsi="Times New Roman" w:cs="Times New Roman"/>
          <w:b/>
          <w:bCs/>
          <w:highlight w:val="none"/>
          <w:lang w:val="en-US" w:eastAsia="zh-CN"/>
        </w:rPr>
        <w:t>6</w:t>
      </w:r>
      <w:r>
        <w:rPr>
          <w:rFonts w:hint="eastAsia" w:ascii="Times New Roman" w:hAnsi="Times New Roman" w:cs="Times New Roman"/>
          <w:b/>
          <w:bCs/>
          <w:highlight w:val="none"/>
        </w:rPr>
        <w:t xml:space="preserve">.2  </w:t>
      </w:r>
      <w:r>
        <w:rPr>
          <w:rFonts w:hint="eastAsia" w:ascii="Times New Roman" w:hAnsi="Times New Roman" w:cs="Times New Roman"/>
          <w:highlight w:val="none"/>
        </w:rPr>
        <w:t>评估报告格式参见附录B。</w:t>
      </w:r>
    </w:p>
    <w:p w14:paraId="40467065">
      <w:pPr>
        <w:autoSpaceDN/>
        <w:jc w:val="both"/>
        <w:rPr>
          <w:rFonts w:ascii="Times New Roman" w:hAnsi="Times New Roman" w:cs="Times New Roman"/>
          <w:highlight w:val="none"/>
        </w:rPr>
      </w:pPr>
      <w:r>
        <w:rPr>
          <w:rFonts w:hint="eastAsia" w:ascii="Times New Roman" w:hAnsi="Times New Roman" w:cs="Times New Roman"/>
          <w:b/>
          <w:bCs/>
          <w:highlight w:val="none"/>
          <w:lang w:val="en-US" w:eastAsia="zh-CN"/>
        </w:rPr>
        <w:t>6</w:t>
      </w:r>
      <w:r>
        <w:rPr>
          <w:rFonts w:hint="eastAsia" w:ascii="Times New Roman" w:hAnsi="Times New Roman" w:cs="Times New Roman"/>
          <w:b/>
          <w:bCs/>
          <w:highlight w:val="none"/>
        </w:rPr>
        <w:t xml:space="preserve">.3  </w:t>
      </w:r>
      <w:r>
        <w:rPr>
          <w:rFonts w:hint="eastAsia" w:ascii="Times New Roman" w:hAnsi="Times New Roman" w:cs="Times New Roman"/>
          <w:highlight w:val="none"/>
        </w:rPr>
        <w:t>评估报告宜及时录入</w:t>
      </w:r>
      <w:r>
        <w:rPr>
          <w:rFonts w:hint="eastAsia" w:cs="Times New Roman"/>
          <w:highlight w:val="none"/>
        </w:rPr>
        <w:t>消防安全评估数字化管理系统。</w:t>
      </w:r>
    </w:p>
    <w:p w14:paraId="70261E3B">
      <w:pPr>
        <w:rPr>
          <w:rFonts w:hint="eastAsia"/>
          <w:highlight w:val="none"/>
        </w:rPr>
      </w:pPr>
    </w:p>
    <w:p w14:paraId="757E5331">
      <w:pPr>
        <w:widowControl/>
        <w:autoSpaceDE/>
        <w:autoSpaceDN/>
        <w:spacing w:line="240" w:lineRule="auto"/>
        <w:rPr>
          <w:rFonts w:hint="eastAsia"/>
          <w:highlight w:val="none"/>
        </w:rPr>
      </w:pPr>
    </w:p>
    <w:p w14:paraId="0B7418E1">
      <w:pPr>
        <w:rPr>
          <w:rFonts w:hint="eastAsia"/>
          <w:highlight w:val="none"/>
        </w:rPr>
        <w:sectPr>
          <w:pgSz w:w="11910" w:h="16840"/>
          <w:pgMar w:top="1520" w:right="1582" w:bottom="1378" w:left="1678" w:header="720" w:footer="720" w:gutter="0"/>
          <w:pgBorders>
            <w:top w:val="none" w:sz="0" w:space="0"/>
            <w:left w:val="none" w:sz="0" w:space="0"/>
            <w:bottom w:val="none" w:sz="0" w:space="0"/>
            <w:right w:val="none" w:sz="0" w:space="0"/>
          </w:pgBorders>
          <w:cols w:space="720" w:num="1"/>
          <w:docGrid w:type="lines" w:linePitch="299" w:charSpace="0"/>
        </w:sectPr>
      </w:pPr>
    </w:p>
    <w:p w14:paraId="5C74946B">
      <w:pPr>
        <w:pStyle w:val="18"/>
        <w:rPr>
          <w:rFonts w:hint="eastAsia" w:ascii="宋体" w:hAnsi="宋体" w:eastAsia="宋体"/>
          <w:sz w:val="32"/>
          <w:szCs w:val="32"/>
          <w:highlight w:val="none"/>
        </w:rPr>
      </w:pPr>
      <w:bookmarkStart w:id="390" w:name="_Toc140390039"/>
      <w:bookmarkStart w:id="391" w:name="_Toc151384812"/>
      <w:bookmarkStart w:id="392" w:name="_Toc150876243"/>
      <w:bookmarkStart w:id="393" w:name="_Toc183531753"/>
      <w:bookmarkStart w:id="394" w:name="_Toc18548"/>
      <w:bookmarkStart w:id="395" w:name="_Toc17284"/>
      <w:bookmarkStart w:id="396" w:name="_Toc14822"/>
      <w:bookmarkStart w:id="397" w:name="_Toc14068"/>
      <w:bookmarkStart w:id="398" w:name="_Toc15378"/>
      <w:bookmarkStart w:id="399" w:name="_Toc25285"/>
      <w:bookmarkStart w:id="400" w:name="_Toc4911"/>
      <w:bookmarkStart w:id="401" w:name="_Toc8840"/>
      <w:bookmarkStart w:id="402" w:name="_Toc6219"/>
      <w:bookmarkStart w:id="403" w:name="_Toc20008"/>
      <w:r>
        <w:rPr>
          <w:rFonts w:hint="default" w:ascii="Times New Roman" w:hAnsi="Times New Roman" w:eastAsia="宋体"/>
          <w:highlight w:val="none"/>
          <w:lang w:val="en-US" w:eastAsia="zh-CN"/>
        </w:rPr>
        <w:t>7</w:t>
      </w:r>
      <w:r>
        <w:rPr>
          <w:rFonts w:ascii="宋体" w:hAnsi="宋体" w:eastAsia="宋体"/>
          <w:sz w:val="32"/>
          <w:szCs w:val="32"/>
          <w:highlight w:val="none"/>
        </w:rPr>
        <w:t xml:space="preserve">  </w:t>
      </w:r>
      <w:bookmarkEnd w:id="390"/>
      <w:bookmarkEnd w:id="391"/>
      <w:bookmarkEnd w:id="392"/>
      <w:r>
        <w:rPr>
          <w:rFonts w:hint="eastAsia" w:ascii="宋体" w:hAnsi="宋体" w:eastAsia="宋体"/>
          <w:highlight w:val="none"/>
        </w:rPr>
        <w:t>评估档案</w:t>
      </w:r>
      <w:bookmarkEnd w:id="393"/>
      <w:bookmarkStart w:id="404" w:name="_Toc27925"/>
      <w:bookmarkStart w:id="405" w:name="_Toc11954"/>
      <w:bookmarkStart w:id="406" w:name="_Toc19432"/>
      <w:bookmarkStart w:id="407" w:name="_Toc17137"/>
      <w:bookmarkStart w:id="408" w:name="_Toc11496"/>
      <w:bookmarkStart w:id="409" w:name="_Toc5971"/>
      <w:bookmarkStart w:id="410" w:name="_Toc15955"/>
      <w:bookmarkStart w:id="411" w:name="_Toc27845"/>
      <w:bookmarkStart w:id="412" w:name="_Toc2058"/>
      <w:bookmarkStart w:id="413" w:name="_Toc9241"/>
      <w:bookmarkStart w:id="414" w:name="_Toc18124"/>
      <w:r>
        <w:rPr>
          <w:highlight w:val="none"/>
        </w:rPr>
        <w:fldChar w:fldCharType="begin"/>
      </w:r>
      <w:r>
        <w:rPr>
          <w:rFonts w:ascii="Times New Roman" w:hAnsi="Times New Roman" w:eastAsia="宋体"/>
          <w:highlight w:val="none"/>
        </w:rPr>
        <w:instrText xml:space="preserve"> </w:instrText>
      </w:r>
      <w:r>
        <w:rPr>
          <w:rFonts w:hint="default" w:ascii="Times New Roman" w:hAnsi="Times New Roman" w:eastAsia="宋体"/>
          <w:highlight w:val="none"/>
        </w:rPr>
        <w:instrText xml:space="preserve">TC  "</w:instrText>
      </w:r>
      <w:bookmarkStart w:id="415" w:name="_Toc183531870"/>
      <w:r>
        <w:rPr>
          <w:rFonts w:hint="default" w:ascii="Times New Roman" w:hAnsi="Times New Roman" w:eastAsia="宋体"/>
          <w:highlight w:val="none"/>
          <w:lang w:val="en-US" w:eastAsia="zh-CN"/>
        </w:rPr>
        <w:instrText xml:space="preserve">7</w:instrText>
      </w:r>
      <w:r>
        <w:rPr>
          <w:rFonts w:hint="default" w:ascii="Times New Roman" w:hAnsi="Times New Roman" w:eastAsia="宋体"/>
          <w:highlight w:val="none"/>
        </w:rPr>
        <w:instrText xml:space="preserve">  Assessment archives</w:instrText>
      </w:r>
      <w:bookmarkEnd w:id="415"/>
      <w:r>
        <w:rPr>
          <w:rFonts w:hint="default" w:ascii="Times New Roman" w:hAnsi="Times New Roman" w:eastAsia="宋体"/>
          <w:highlight w:val="none"/>
        </w:rPr>
        <w:instrText xml:space="preserve"> " \l 1</w:instrText>
      </w:r>
      <w:r>
        <w:rPr>
          <w:rFonts w:ascii="Times New Roman" w:hAnsi="Times New Roman" w:eastAsia="宋体"/>
          <w:highlight w:val="none"/>
        </w:rPr>
        <w:instrText xml:space="preserve"> </w:instrText>
      </w:r>
      <w:r>
        <w:rPr>
          <w:rFonts w:ascii="Times New Roman" w:hAnsi="Times New Roman" w:eastAsia="宋体"/>
          <w:highlight w:val="none"/>
        </w:rPr>
        <w:fldChar w:fldCharType="end"/>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01C98743">
      <w:pPr>
        <w:autoSpaceDN/>
        <w:jc w:val="both"/>
        <w:rPr>
          <w:rFonts w:ascii="Times New Roman" w:hAnsi="Times New Roman" w:cs="Times New Roman"/>
          <w:b/>
          <w:bCs/>
          <w:highlight w:val="none"/>
        </w:rPr>
      </w:pPr>
      <w:r>
        <w:rPr>
          <w:rFonts w:hint="eastAsia" w:ascii="Times New Roman" w:hAnsi="Times New Roman" w:cs="Times New Roman"/>
          <w:b/>
          <w:bCs/>
          <w:highlight w:val="none"/>
          <w:lang w:val="en-US" w:eastAsia="zh-CN"/>
        </w:rPr>
        <w:t>7</w:t>
      </w:r>
      <w:r>
        <w:rPr>
          <w:rFonts w:ascii="Times New Roman" w:hAnsi="Times New Roman" w:cs="Times New Roman"/>
          <w:b/>
          <w:bCs/>
          <w:highlight w:val="none"/>
        </w:rPr>
        <w:t>.1</w:t>
      </w:r>
      <w:r>
        <w:rPr>
          <w:rFonts w:hint="eastAsia"/>
          <w:highlight w:val="none"/>
        </w:rPr>
        <w:t xml:space="preserve">  单位应建立消防安全管理资料档案库，并及时归档管理消防安全管理资料。</w:t>
      </w:r>
    </w:p>
    <w:p w14:paraId="56479DA6">
      <w:pPr>
        <w:autoSpaceDN/>
        <w:jc w:val="both"/>
        <w:rPr>
          <w:rFonts w:hint="eastAsia"/>
          <w:highlight w:val="none"/>
        </w:rPr>
      </w:pPr>
      <w:r>
        <w:rPr>
          <w:rFonts w:hint="eastAsia" w:ascii="Times New Roman" w:hAnsi="Times New Roman" w:cs="Times New Roman"/>
          <w:b/>
          <w:bCs/>
          <w:highlight w:val="none"/>
          <w:lang w:val="en-US" w:eastAsia="zh-CN"/>
        </w:rPr>
        <w:t>7</w:t>
      </w:r>
      <w:r>
        <w:rPr>
          <w:rFonts w:ascii="Times New Roman" w:hAnsi="Times New Roman" w:cs="Times New Roman"/>
          <w:b/>
          <w:bCs/>
          <w:highlight w:val="none"/>
        </w:rPr>
        <w:t>.</w:t>
      </w:r>
      <w:r>
        <w:rPr>
          <w:rFonts w:hint="eastAsia" w:ascii="Times New Roman" w:hAnsi="Times New Roman" w:cs="Times New Roman"/>
          <w:b/>
          <w:bCs/>
          <w:highlight w:val="none"/>
        </w:rPr>
        <w:t>2</w:t>
      </w:r>
      <w:r>
        <w:rPr>
          <w:rFonts w:hint="eastAsia"/>
          <w:highlight w:val="none"/>
        </w:rPr>
        <w:t xml:space="preserve">  单位应配置消防安全管理资料档案管理员，负责消防安全管理资料的日常管理工作。</w:t>
      </w:r>
    </w:p>
    <w:p w14:paraId="7B4D1946">
      <w:pPr>
        <w:autoSpaceDN/>
        <w:jc w:val="both"/>
        <w:rPr>
          <w:rFonts w:ascii="Times New Roman" w:hAnsi="Times New Roman" w:cs="Times New Roman"/>
          <w:b/>
          <w:bCs/>
          <w:highlight w:val="none"/>
        </w:rPr>
      </w:pPr>
      <w:r>
        <w:rPr>
          <w:rFonts w:hint="eastAsia" w:ascii="Times New Roman" w:hAnsi="Times New Roman" w:cs="Times New Roman"/>
          <w:b/>
          <w:bCs/>
          <w:highlight w:val="none"/>
          <w:lang w:val="en-US" w:eastAsia="zh-CN"/>
        </w:rPr>
        <w:t>7</w:t>
      </w:r>
      <w:r>
        <w:rPr>
          <w:rFonts w:ascii="Times New Roman" w:hAnsi="Times New Roman" w:cs="Times New Roman"/>
          <w:b/>
          <w:bCs/>
          <w:highlight w:val="none"/>
        </w:rPr>
        <w:t>.</w:t>
      </w:r>
      <w:r>
        <w:rPr>
          <w:rFonts w:hint="eastAsia" w:ascii="Times New Roman" w:hAnsi="Times New Roman" w:cs="Times New Roman"/>
          <w:b/>
          <w:bCs/>
          <w:highlight w:val="none"/>
        </w:rPr>
        <w:t>3</w:t>
      </w:r>
      <w:r>
        <w:rPr>
          <w:rFonts w:hint="eastAsia"/>
          <w:highlight w:val="none"/>
        </w:rPr>
        <w:t xml:space="preserve">  消防安全管理资料归档保存后应做好记录并录入</w:t>
      </w:r>
      <w:r>
        <w:rPr>
          <w:rFonts w:hint="eastAsia" w:cs="Times New Roman"/>
          <w:highlight w:val="none"/>
        </w:rPr>
        <w:t>建筑消防安全数据库。</w:t>
      </w:r>
    </w:p>
    <w:p w14:paraId="439CE4A9">
      <w:pPr>
        <w:rPr>
          <w:rFonts w:ascii="Times New Roman" w:hAnsi="Times New Roman" w:cs="Times New Roman"/>
          <w:bCs/>
          <w:highlight w:val="none"/>
        </w:rPr>
      </w:pPr>
    </w:p>
    <w:p w14:paraId="0A651D76">
      <w:pPr>
        <w:pStyle w:val="18"/>
        <w:rPr>
          <w:rFonts w:eastAsia="宋体"/>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bookmarkStart w:id="416" w:name="_Toc150876247"/>
      <w:bookmarkStart w:id="417" w:name="_Toc151384814"/>
      <w:bookmarkStart w:id="418" w:name="_Toc183531754"/>
      <w:bookmarkStart w:id="419" w:name="_Toc140390043"/>
    </w:p>
    <w:p w14:paraId="3F5117C0">
      <w:pPr>
        <w:pStyle w:val="18"/>
        <w:rPr>
          <w:rFonts w:eastAsia="宋体"/>
          <w:highlight w:val="none"/>
        </w:rPr>
      </w:pPr>
      <w:bookmarkStart w:id="420" w:name="_Toc8623"/>
      <w:bookmarkStart w:id="421" w:name="_Toc17132"/>
      <w:bookmarkStart w:id="422" w:name="_Toc13435"/>
      <w:bookmarkStart w:id="423" w:name="_Toc29061"/>
      <w:bookmarkStart w:id="424" w:name="_Toc21796"/>
      <w:bookmarkStart w:id="425" w:name="_Toc21819"/>
      <w:bookmarkStart w:id="426" w:name="_Toc3368"/>
      <w:bookmarkStart w:id="427" w:name="_Toc11004"/>
      <w:bookmarkStart w:id="428" w:name="_Toc31205"/>
      <w:bookmarkStart w:id="429" w:name="_Toc21575"/>
      <w:r>
        <w:rPr>
          <w:rFonts w:eastAsia="宋体"/>
          <w:highlight w:val="none"/>
        </w:rPr>
        <w:t xml:space="preserve">附录A </w:t>
      </w:r>
      <w:bookmarkEnd w:id="416"/>
      <w:bookmarkEnd w:id="417"/>
      <w:bookmarkEnd w:id="418"/>
      <w:bookmarkEnd w:id="419"/>
      <w:r>
        <w:rPr>
          <w:rFonts w:hint="eastAsia" w:eastAsia="宋体"/>
          <w:highlight w:val="none"/>
        </w:rPr>
        <w:t>消防安全评估检查记录表</w:t>
      </w:r>
      <w:bookmarkStart w:id="430" w:name="_Toc26414"/>
      <w:bookmarkStart w:id="431" w:name="_Toc31167"/>
      <w:bookmarkStart w:id="432" w:name="_Toc26664"/>
      <w:bookmarkStart w:id="433" w:name="_Toc32339"/>
      <w:bookmarkStart w:id="434" w:name="_Toc27948"/>
      <w:bookmarkStart w:id="435" w:name="_Toc25102"/>
      <w:bookmarkStart w:id="436" w:name="_Toc19539"/>
      <w:bookmarkStart w:id="437" w:name="_Toc16655"/>
      <w:bookmarkStart w:id="438" w:name="_Toc4440"/>
      <w:bookmarkStart w:id="439" w:name="_Toc4919"/>
      <w:bookmarkStart w:id="440" w:name="_Toc19576"/>
      <w:r>
        <w:rPr>
          <w:highlight w:val="none"/>
        </w:rPr>
        <w:fldChar w:fldCharType="begin"/>
      </w:r>
      <w:r>
        <w:rPr>
          <w:rFonts w:eastAsia="宋体"/>
          <w:highlight w:val="none"/>
        </w:rPr>
        <w:instrText xml:space="preserve"> TC  "</w:instrText>
      </w:r>
      <w:bookmarkStart w:id="441" w:name="_Toc183531871"/>
      <w:r>
        <w:rPr>
          <w:rFonts w:hint="eastAsia" w:eastAsia="宋体"/>
          <w:highlight w:val="none"/>
        </w:rPr>
        <w:instrText xml:space="preserve">Appendix A Building Fire Safety Check Table.</w:instrText>
      </w:r>
      <w:bookmarkEnd w:id="441"/>
      <w:r>
        <w:rPr>
          <w:rFonts w:eastAsia="宋体"/>
          <w:highlight w:val="none"/>
        </w:rPr>
        <w:instrText xml:space="preserve">" \l 1 </w:instrText>
      </w:r>
      <w:r>
        <w:rPr>
          <w:rFonts w:eastAsia="宋体"/>
          <w:highlight w:val="none"/>
        </w:rPr>
        <w:fldChar w:fldCharType="end"/>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14:paraId="494FF629">
      <w:pPr>
        <w:outlineLvl w:val="2"/>
        <w:rPr>
          <w:rFonts w:hint="eastAsia" w:cs="Times New Roman"/>
          <w:highlight w:val="none"/>
        </w:rPr>
      </w:pPr>
      <w:r>
        <w:rPr>
          <w:rFonts w:hint="eastAsia" w:ascii="Times New Roman" w:hAnsi="Times New Roman" w:cs="Times New Roman"/>
          <w:b/>
          <w:bCs/>
          <w:highlight w:val="none"/>
        </w:rPr>
        <w:t>A.</w:t>
      </w:r>
      <w:r>
        <w:rPr>
          <w:rFonts w:ascii="Times New Roman" w:hAnsi="Times New Roman" w:cs="Times New Roman"/>
          <w:b/>
          <w:bCs/>
          <w:highlight w:val="none"/>
        </w:rPr>
        <w:t>0.1</w:t>
      </w:r>
      <w:r>
        <w:rPr>
          <w:rFonts w:hint="eastAsia" w:ascii="Times New Roman" w:hAnsi="Times New Roman" w:cs="Times New Roman"/>
          <w:highlight w:val="none"/>
        </w:rPr>
        <w:t xml:space="preserve">  </w:t>
      </w:r>
      <w:r>
        <w:rPr>
          <w:rFonts w:hint="eastAsia" w:cs="Times New Roman"/>
          <w:highlight w:val="none"/>
        </w:rPr>
        <w:t>消防安全管理</w:t>
      </w:r>
      <w:r>
        <w:rPr>
          <w:rFonts w:hint="eastAsia" w:cs="Times New Roman"/>
          <w:highlight w:val="none"/>
          <w:lang w:val="en-US" w:eastAsia="zh-CN"/>
        </w:rPr>
        <w:t>分</w:t>
      </w:r>
      <w:r>
        <w:rPr>
          <w:rFonts w:hint="eastAsia" w:cs="Times New Roman"/>
          <w:highlight w:val="none"/>
        </w:rPr>
        <w:t>评估记录表（总分：3</w:t>
      </w:r>
      <w:r>
        <w:rPr>
          <w:rFonts w:hint="eastAsia" w:cs="Times New Roman"/>
          <w:highlight w:val="none"/>
          <w:lang w:val="en-US" w:eastAsia="zh-CN"/>
        </w:rPr>
        <w:t>5</w:t>
      </w:r>
      <w:r>
        <w:rPr>
          <w:rFonts w:hint="eastAsia" w:cs="Times New Roman"/>
          <w:highlight w:val="none"/>
        </w:rPr>
        <w:t>0分）</w:t>
      </w:r>
    </w:p>
    <w:tbl>
      <w:tblPr>
        <w:tblStyle w:val="24"/>
        <w:tblW w:w="494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9"/>
        <w:gridCol w:w="1340"/>
        <w:gridCol w:w="1123"/>
        <w:gridCol w:w="5185"/>
        <w:gridCol w:w="3559"/>
        <w:gridCol w:w="1135"/>
        <w:gridCol w:w="974"/>
        <w:gridCol w:w="950"/>
      </w:tblGrid>
      <w:tr w14:paraId="129D19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208" w:type="pct"/>
            <w:vAlign w:val="center"/>
          </w:tcPr>
          <w:p w14:paraId="24B1A88F">
            <w:pPr>
              <w:pStyle w:val="23"/>
              <w:keepNext w:val="0"/>
              <w:keepLines w:val="0"/>
              <w:suppressLineNumbers w:val="0"/>
              <w:spacing w:before="70" w:line="222" w:lineRule="auto"/>
              <w:ind w:left="140"/>
              <w:rPr>
                <w:highlight w:val="none"/>
              </w:rPr>
            </w:pPr>
            <w:r>
              <w:rPr>
                <w:b/>
                <w:bCs/>
                <w:spacing w:val="-3"/>
                <w:highlight w:val="none"/>
              </w:rPr>
              <w:t>序号</w:t>
            </w:r>
          </w:p>
        </w:tc>
        <w:tc>
          <w:tcPr>
            <w:tcW w:w="450" w:type="pct"/>
            <w:vAlign w:val="center"/>
          </w:tcPr>
          <w:p w14:paraId="0AB4FAEF">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77" w:type="pct"/>
            <w:vAlign w:val="center"/>
          </w:tcPr>
          <w:p w14:paraId="52677229">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41" w:type="pct"/>
            <w:vAlign w:val="center"/>
          </w:tcPr>
          <w:p w14:paraId="0506D6DF">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95" w:type="pct"/>
            <w:vAlign w:val="center"/>
          </w:tcPr>
          <w:p w14:paraId="40C0EFC7">
            <w:pPr>
              <w:pStyle w:val="23"/>
              <w:keepNext w:val="0"/>
              <w:keepLines w:val="0"/>
              <w:suppressLineNumbers w:val="0"/>
              <w:spacing w:before="70" w:line="221" w:lineRule="auto"/>
              <w:ind w:left="1299"/>
              <w:rPr>
                <w:highlight w:val="none"/>
              </w:rPr>
            </w:pPr>
            <w:r>
              <w:rPr>
                <w:b/>
                <w:bCs/>
                <w:spacing w:val="-3"/>
                <w:highlight w:val="none"/>
              </w:rPr>
              <w:t>评分标准</w:t>
            </w:r>
          </w:p>
        </w:tc>
        <w:tc>
          <w:tcPr>
            <w:tcW w:w="381" w:type="pct"/>
            <w:vAlign w:val="center"/>
          </w:tcPr>
          <w:p w14:paraId="38A84365">
            <w:pPr>
              <w:pStyle w:val="23"/>
              <w:keepNext w:val="0"/>
              <w:keepLines w:val="0"/>
              <w:suppressLineNumbers w:val="0"/>
              <w:spacing w:before="70" w:line="219" w:lineRule="auto"/>
              <w:ind w:left="170"/>
              <w:rPr>
                <w:highlight w:val="none"/>
              </w:rPr>
            </w:pPr>
            <w:r>
              <w:rPr>
                <w:b/>
                <w:bCs/>
                <w:spacing w:val="-3"/>
                <w:highlight w:val="none"/>
              </w:rPr>
              <w:t>评估情况</w:t>
            </w:r>
          </w:p>
        </w:tc>
        <w:tc>
          <w:tcPr>
            <w:tcW w:w="327" w:type="pct"/>
            <w:vAlign w:val="center"/>
          </w:tcPr>
          <w:p w14:paraId="4E7FB5FC">
            <w:pPr>
              <w:pStyle w:val="23"/>
              <w:keepNext w:val="0"/>
              <w:keepLines w:val="0"/>
              <w:suppressLineNumbers w:val="0"/>
              <w:spacing w:before="70" w:line="221" w:lineRule="auto"/>
              <w:ind w:left="316"/>
              <w:rPr>
                <w:highlight w:val="none"/>
              </w:rPr>
            </w:pPr>
            <w:r>
              <w:rPr>
                <w:b/>
                <w:bCs/>
                <w:spacing w:val="-4"/>
                <w:highlight w:val="none"/>
              </w:rPr>
              <w:t>扣分</w:t>
            </w:r>
          </w:p>
        </w:tc>
        <w:tc>
          <w:tcPr>
            <w:tcW w:w="319" w:type="pct"/>
            <w:vAlign w:val="center"/>
          </w:tcPr>
          <w:p w14:paraId="32D1540C">
            <w:pPr>
              <w:pStyle w:val="23"/>
              <w:keepNext w:val="0"/>
              <w:keepLines w:val="0"/>
              <w:suppressLineNumbers w:val="0"/>
              <w:spacing w:before="71" w:line="220" w:lineRule="auto"/>
              <w:ind w:left="295"/>
              <w:rPr>
                <w:highlight w:val="none"/>
              </w:rPr>
            </w:pPr>
            <w:r>
              <w:rPr>
                <w:b/>
                <w:bCs/>
                <w:spacing w:val="-4"/>
                <w:highlight w:val="none"/>
              </w:rPr>
              <w:t>得分</w:t>
            </w:r>
          </w:p>
        </w:tc>
      </w:tr>
      <w:tr w14:paraId="104719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jc w:val="center"/>
        </w:trPr>
        <w:tc>
          <w:tcPr>
            <w:tcW w:w="208" w:type="pct"/>
            <w:vMerge w:val="restart"/>
            <w:tcBorders>
              <w:bottom w:val="nil"/>
            </w:tcBorders>
            <w:vAlign w:val="center"/>
          </w:tcPr>
          <w:p w14:paraId="553F1AF4">
            <w:pPr>
              <w:pStyle w:val="23"/>
              <w:keepNext w:val="0"/>
              <w:keepLines w:val="0"/>
              <w:suppressLineNumbers w:val="0"/>
              <w:spacing w:before="59" w:line="182" w:lineRule="auto"/>
              <w:ind w:left="291"/>
              <w:rPr>
                <w:rFonts w:hint="eastAsia" w:ascii="宋体" w:hAnsi="宋体" w:eastAsia="宋体" w:cs="宋体"/>
                <w:color w:val="auto"/>
                <w:sz w:val="18"/>
                <w:szCs w:val="18"/>
                <w:highlight w:val="none"/>
              </w:rPr>
            </w:pPr>
            <w:r>
              <w:rPr>
                <w:rFonts w:hint="eastAsia" w:ascii="宋体" w:hAnsi="宋体" w:eastAsia="宋体" w:cs="宋体"/>
                <w:b w:val="0"/>
                <w:bCs w:val="0"/>
                <w:color w:val="auto"/>
                <w:spacing w:val="-2"/>
                <w:sz w:val="18"/>
                <w:szCs w:val="18"/>
                <w:highlight w:val="none"/>
              </w:rPr>
              <w:t>1</w:t>
            </w:r>
          </w:p>
        </w:tc>
        <w:tc>
          <w:tcPr>
            <w:tcW w:w="450" w:type="pct"/>
            <w:vMerge w:val="restart"/>
            <w:tcBorders>
              <w:bottom w:val="nil"/>
            </w:tcBorders>
            <w:vAlign w:val="center"/>
          </w:tcPr>
          <w:p w14:paraId="48462A05">
            <w:pPr>
              <w:pStyle w:val="23"/>
              <w:keepNext w:val="0"/>
              <w:keepLines w:val="0"/>
              <w:suppressLineNumbers w:val="0"/>
              <w:spacing w:before="58" w:line="221" w:lineRule="auto"/>
              <w:ind w:left="16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消防安全合法性</w:t>
            </w:r>
          </w:p>
        </w:tc>
        <w:tc>
          <w:tcPr>
            <w:tcW w:w="377" w:type="pct"/>
            <w:vMerge w:val="restart"/>
            <w:tcBorders>
              <w:bottom w:val="nil"/>
            </w:tcBorders>
            <w:vAlign w:val="center"/>
          </w:tcPr>
          <w:p w14:paraId="3EC95C58">
            <w:pPr>
              <w:pStyle w:val="23"/>
              <w:keepNext w:val="0"/>
              <w:keepLines w:val="0"/>
              <w:suppressLineNumbers w:val="0"/>
              <w:spacing w:before="59" w:line="222" w:lineRule="auto"/>
              <w:ind w:left="110"/>
              <w:jc w:val="center"/>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合法性</w:t>
            </w:r>
          </w:p>
        </w:tc>
        <w:tc>
          <w:tcPr>
            <w:tcW w:w="1741" w:type="pct"/>
            <w:vAlign w:val="center"/>
          </w:tcPr>
          <w:p w14:paraId="7EC4916A">
            <w:pPr>
              <w:pStyle w:val="23"/>
              <w:keepNext w:val="0"/>
              <w:keepLines w:val="0"/>
              <w:suppressLineNumbers w:val="0"/>
              <w:spacing w:before="68" w:line="283" w:lineRule="auto"/>
              <w:ind w:left="109" w:right="185" w:firstLine="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a)依法进行消防验收的建筑物或场所经消防验收合格的文</w:t>
            </w:r>
            <w:r>
              <w:rPr>
                <w:rFonts w:hint="eastAsia" w:ascii="宋体" w:hAnsi="宋体" w:eastAsia="宋体" w:cs="宋体"/>
                <w:b w:val="0"/>
                <w:bCs w:val="0"/>
                <w:color w:val="auto"/>
                <w:spacing w:val="-4"/>
                <w:sz w:val="18"/>
                <w:szCs w:val="18"/>
                <w:highlight w:val="none"/>
              </w:rPr>
              <w:t>件；</w:t>
            </w:r>
          </w:p>
        </w:tc>
        <w:tc>
          <w:tcPr>
            <w:tcW w:w="1195" w:type="pct"/>
            <w:vMerge w:val="restart"/>
            <w:tcBorders>
              <w:bottom w:val="nil"/>
            </w:tcBorders>
            <w:vAlign w:val="center"/>
          </w:tcPr>
          <w:p w14:paraId="754B184C">
            <w:pPr>
              <w:pStyle w:val="23"/>
              <w:keepNext w:val="0"/>
              <w:keepLines w:val="0"/>
              <w:suppressLineNumbers w:val="0"/>
              <w:spacing w:before="59" w:line="225" w:lineRule="auto"/>
              <w:ind w:left="161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w:t>
            </w:r>
          </w:p>
        </w:tc>
        <w:tc>
          <w:tcPr>
            <w:tcW w:w="381" w:type="pct"/>
            <w:vAlign w:val="center"/>
          </w:tcPr>
          <w:p w14:paraId="5FDC53B1">
            <w:pPr>
              <w:keepNext w:val="0"/>
              <w:keepLines w:val="0"/>
              <w:suppressLineNumbers w:val="0"/>
              <w:spacing w:before="0" w:beforeAutospacing="0" w:after="0" w:afterAutospacing="0"/>
              <w:ind w:left="0" w:right="0" w:firstLine="504" w:firstLineChars="0"/>
              <w:rPr>
                <w:rFonts w:hint="eastAsia" w:ascii="宋体" w:hAnsi="宋体" w:eastAsia="宋体" w:cs="宋体"/>
                <w:b w:val="0"/>
                <w:bCs w:val="0"/>
                <w:color w:val="auto"/>
                <w:sz w:val="18"/>
                <w:szCs w:val="18"/>
                <w:highlight w:val="none"/>
                <w:lang w:val="en-US" w:eastAsia="zh-CN"/>
              </w:rPr>
            </w:pPr>
          </w:p>
        </w:tc>
        <w:tc>
          <w:tcPr>
            <w:tcW w:w="327" w:type="pct"/>
            <w:vAlign w:val="center"/>
          </w:tcPr>
          <w:p w14:paraId="4A5E51E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restart"/>
            <w:tcBorders>
              <w:bottom w:val="nil"/>
            </w:tcBorders>
            <w:vAlign w:val="center"/>
          </w:tcPr>
          <w:p w14:paraId="788922B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4670B9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8" w:type="pct"/>
            <w:vMerge w:val="continue"/>
            <w:tcBorders>
              <w:top w:val="nil"/>
              <w:bottom w:val="nil"/>
            </w:tcBorders>
            <w:vAlign w:val="center"/>
          </w:tcPr>
          <w:p w14:paraId="6B49B0D7">
            <w:pPr>
              <w:keepNext w:val="0"/>
              <w:keepLines w:val="0"/>
              <w:suppressLineNumbers w:val="0"/>
              <w:spacing w:before="0" w:beforeAutospacing="0" w:after="0" w:afterAutospacing="0"/>
              <w:ind w:left="0" w:right="0"/>
              <w:rPr>
                <w:rFonts w:hint="eastAsia" w:ascii="宋体" w:hAnsi="宋体" w:eastAsia="宋体" w:cs="宋体"/>
                <w:color w:val="auto"/>
                <w:sz w:val="18"/>
                <w:szCs w:val="18"/>
                <w:highlight w:val="none"/>
              </w:rPr>
            </w:pPr>
          </w:p>
        </w:tc>
        <w:tc>
          <w:tcPr>
            <w:tcW w:w="450" w:type="pct"/>
            <w:vMerge w:val="continue"/>
            <w:tcBorders>
              <w:top w:val="nil"/>
              <w:bottom w:val="nil"/>
            </w:tcBorders>
            <w:vAlign w:val="center"/>
          </w:tcPr>
          <w:p w14:paraId="0D8914E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nil"/>
              <w:bottom w:val="nil"/>
            </w:tcBorders>
            <w:vAlign w:val="center"/>
          </w:tcPr>
          <w:p w14:paraId="4A61443E">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1741" w:type="pct"/>
            <w:vAlign w:val="center"/>
          </w:tcPr>
          <w:p w14:paraId="6A4A76D6">
            <w:pPr>
              <w:pStyle w:val="23"/>
              <w:keepNext w:val="0"/>
              <w:keepLines w:val="0"/>
              <w:suppressLineNumbers w:val="0"/>
              <w:spacing w:before="68" w:line="282" w:lineRule="auto"/>
              <w:ind w:left="116" w:right="185" w:hanging="9"/>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b)依法进行消防验收备案与抽查的建筑物或场所，消防验收备案手续或经抽查合格的文件；</w:t>
            </w:r>
          </w:p>
        </w:tc>
        <w:tc>
          <w:tcPr>
            <w:tcW w:w="1195" w:type="pct"/>
            <w:vMerge w:val="continue"/>
            <w:tcBorders>
              <w:top w:val="nil"/>
              <w:bottom w:val="nil"/>
            </w:tcBorders>
            <w:vAlign w:val="center"/>
          </w:tcPr>
          <w:p w14:paraId="3F96F66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vAlign w:val="center"/>
          </w:tcPr>
          <w:p w14:paraId="5D1B2A7C">
            <w:pPr>
              <w:keepNext w:val="0"/>
              <w:keepLines w:val="0"/>
              <w:suppressLineNumbers w:val="0"/>
              <w:spacing w:before="0" w:beforeAutospacing="0" w:after="0" w:afterAutospacing="0"/>
              <w:ind w:left="0" w:right="0" w:firstLine="444" w:firstLineChars="0"/>
              <w:rPr>
                <w:rFonts w:hint="eastAsia" w:ascii="宋体" w:hAnsi="宋体" w:eastAsia="宋体" w:cs="宋体"/>
                <w:b w:val="0"/>
                <w:bCs w:val="0"/>
                <w:color w:val="auto"/>
                <w:sz w:val="18"/>
                <w:szCs w:val="18"/>
                <w:highlight w:val="none"/>
                <w:lang w:val="en-US" w:eastAsia="zh-CN"/>
              </w:rPr>
            </w:pPr>
          </w:p>
        </w:tc>
        <w:tc>
          <w:tcPr>
            <w:tcW w:w="327" w:type="pct"/>
            <w:vAlign w:val="center"/>
          </w:tcPr>
          <w:p w14:paraId="6C3DAB1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nil"/>
              <w:bottom w:val="nil"/>
            </w:tcBorders>
            <w:vAlign w:val="center"/>
          </w:tcPr>
          <w:p w14:paraId="55E8570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0606A4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2" w:hRule="atLeast"/>
          <w:jc w:val="center"/>
        </w:trPr>
        <w:tc>
          <w:tcPr>
            <w:tcW w:w="208" w:type="pct"/>
            <w:vMerge w:val="continue"/>
            <w:tcBorders>
              <w:top w:val="nil"/>
              <w:bottom w:val="nil"/>
            </w:tcBorders>
            <w:vAlign w:val="center"/>
          </w:tcPr>
          <w:p w14:paraId="3F9F7C84">
            <w:pPr>
              <w:keepNext w:val="0"/>
              <w:keepLines w:val="0"/>
              <w:suppressLineNumbers w:val="0"/>
              <w:spacing w:before="0" w:beforeAutospacing="0" w:after="0" w:afterAutospacing="0"/>
              <w:ind w:left="0" w:right="0"/>
              <w:rPr>
                <w:rFonts w:hint="eastAsia" w:ascii="宋体" w:hAnsi="宋体" w:eastAsia="宋体" w:cs="宋体"/>
                <w:color w:val="auto"/>
                <w:sz w:val="18"/>
                <w:szCs w:val="18"/>
                <w:highlight w:val="none"/>
              </w:rPr>
            </w:pPr>
          </w:p>
        </w:tc>
        <w:tc>
          <w:tcPr>
            <w:tcW w:w="450" w:type="pct"/>
            <w:vMerge w:val="continue"/>
            <w:tcBorders>
              <w:top w:val="nil"/>
              <w:bottom w:val="nil"/>
            </w:tcBorders>
            <w:vAlign w:val="center"/>
          </w:tcPr>
          <w:p w14:paraId="09D2A7E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nil"/>
            </w:tcBorders>
            <w:vAlign w:val="center"/>
          </w:tcPr>
          <w:p w14:paraId="5C450AFC">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1741" w:type="pct"/>
            <w:vAlign w:val="center"/>
          </w:tcPr>
          <w:p w14:paraId="30BA78AF">
            <w:pPr>
              <w:pStyle w:val="23"/>
              <w:keepNext w:val="0"/>
              <w:keepLines w:val="0"/>
              <w:suppressLineNumbers w:val="0"/>
              <w:spacing w:before="67" w:line="295" w:lineRule="auto"/>
              <w:ind w:left="111" w:right="55"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c)公众聚集场所投入使用、营业前消防安全检查法律文件，</w:t>
            </w:r>
            <w:r>
              <w:rPr>
                <w:rFonts w:hint="eastAsia" w:ascii="宋体" w:hAnsi="宋体" w:eastAsia="宋体" w:cs="宋体"/>
                <w:b w:val="0"/>
                <w:bCs w:val="0"/>
                <w:color w:val="auto"/>
                <w:spacing w:val="-1"/>
                <w:sz w:val="18"/>
                <w:szCs w:val="18"/>
                <w:highlight w:val="none"/>
              </w:rPr>
              <w:t>公众聚集场所消防安全检查告知承诺手续或经抽查合格的</w:t>
            </w:r>
            <w:r>
              <w:rPr>
                <w:rFonts w:hint="eastAsia" w:ascii="宋体" w:hAnsi="宋体" w:eastAsia="宋体" w:cs="宋体"/>
                <w:b w:val="0"/>
                <w:bCs w:val="0"/>
                <w:color w:val="auto"/>
                <w:spacing w:val="-8"/>
                <w:sz w:val="18"/>
                <w:szCs w:val="18"/>
                <w:highlight w:val="none"/>
              </w:rPr>
              <w:t>文件。</w:t>
            </w:r>
          </w:p>
        </w:tc>
        <w:tc>
          <w:tcPr>
            <w:tcW w:w="1195" w:type="pct"/>
            <w:vMerge w:val="continue"/>
            <w:tcBorders>
              <w:top w:val="nil"/>
              <w:bottom w:val="nil"/>
            </w:tcBorders>
            <w:vAlign w:val="center"/>
          </w:tcPr>
          <w:p w14:paraId="486E5C1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vAlign w:val="center"/>
          </w:tcPr>
          <w:p w14:paraId="32382E9A">
            <w:pPr>
              <w:keepNext w:val="0"/>
              <w:keepLines w:val="0"/>
              <w:suppressLineNumbers w:val="0"/>
              <w:spacing w:before="0" w:beforeAutospacing="0" w:after="0" w:afterAutospacing="0"/>
              <w:ind w:left="0" w:right="0" w:firstLine="459" w:firstLineChars="0"/>
              <w:rPr>
                <w:rFonts w:hint="eastAsia" w:ascii="宋体" w:hAnsi="宋体" w:eastAsia="宋体" w:cs="宋体"/>
                <w:b w:val="0"/>
                <w:bCs w:val="0"/>
                <w:color w:val="auto"/>
                <w:sz w:val="18"/>
                <w:szCs w:val="18"/>
                <w:highlight w:val="none"/>
                <w:lang w:val="en-US" w:eastAsia="zh-CN"/>
              </w:rPr>
            </w:pPr>
          </w:p>
        </w:tc>
        <w:tc>
          <w:tcPr>
            <w:tcW w:w="327" w:type="pct"/>
            <w:vAlign w:val="center"/>
          </w:tcPr>
          <w:p w14:paraId="1F0D28B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nil"/>
            </w:tcBorders>
            <w:vAlign w:val="center"/>
          </w:tcPr>
          <w:p w14:paraId="28AD611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06763F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208" w:type="pct"/>
            <w:vMerge w:val="continue"/>
            <w:tcBorders>
              <w:top w:val="nil"/>
              <w:bottom w:val="nil"/>
            </w:tcBorders>
            <w:vAlign w:val="center"/>
          </w:tcPr>
          <w:p w14:paraId="64FFE463">
            <w:pPr>
              <w:keepNext w:val="0"/>
              <w:keepLines w:val="0"/>
              <w:suppressLineNumbers w:val="0"/>
              <w:spacing w:before="0" w:beforeAutospacing="0" w:after="0" w:afterAutospacing="0"/>
              <w:ind w:left="0" w:right="0"/>
              <w:rPr>
                <w:rFonts w:hint="eastAsia" w:ascii="宋体" w:hAnsi="宋体" w:eastAsia="宋体" w:cs="宋体"/>
                <w:color w:val="auto"/>
                <w:sz w:val="18"/>
                <w:szCs w:val="18"/>
                <w:highlight w:val="none"/>
              </w:rPr>
            </w:pPr>
          </w:p>
        </w:tc>
        <w:tc>
          <w:tcPr>
            <w:tcW w:w="450" w:type="pct"/>
            <w:vMerge w:val="continue"/>
            <w:tcBorders>
              <w:top w:val="nil"/>
              <w:bottom w:val="nil"/>
            </w:tcBorders>
            <w:vAlign w:val="center"/>
          </w:tcPr>
          <w:p w14:paraId="485CD3F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restart"/>
            <w:tcBorders>
              <w:bottom w:val="nil"/>
            </w:tcBorders>
            <w:vAlign w:val="center"/>
          </w:tcPr>
          <w:p w14:paraId="7F1B0C84">
            <w:pPr>
              <w:pStyle w:val="23"/>
              <w:keepNext w:val="0"/>
              <w:keepLines w:val="0"/>
              <w:suppressLineNumbers w:val="0"/>
              <w:spacing w:before="59" w:line="221" w:lineRule="auto"/>
              <w:ind w:left="112"/>
              <w:jc w:val="center"/>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4"/>
                <w:sz w:val="18"/>
                <w:szCs w:val="18"/>
                <w:highlight w:val="none"/>
              </w:rPr>
              <w:t>一致性</w:t>
            </w:r>
          </w:p>
        </w:tc>
        <w:tc>
          <w:tcPr>
            <w:tcW w:w="1741" w:type="pct"/>
            <w:vAlign w:val="center"/>
          </w:tcPr>
          <w:p w14:paraId="257A82D8">
            <w:pPr>
              <w:pStyle w:val="23"/>
              <w:keepNext w:val="0"/>
              <w:keepLines w:val="0"/>
              <w:suppressLineNumbers w:val="0"/>
              <w:spacing w:before="117" w:line="306" w:lineRule="auto"/>
              <w:ind w:left="111" w:right="110" w:hanging="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a)建筑物或者场所的使用情况是否与消防验收或者进行竣</w:t>
            </w:r>
            <w:r>
              <w:rPr>
                <w:rFonts w:hint="eastAsia" w:ascii="宋体" w:hAnsi="宋体" w:eastAsia="宋体" w:cs="宋体"/>
                <w:b w:val="0"/>
                <w:bCs w:val="0"/>
                <w:color w:val="auto"/>
                <w:spacing w:val="-1"/>
                <w:sz w:val="18"/>
                <w:szCs w:val="18"/>
                <w:highlight w:val="none"/>
              </w:rPr>
              <w:t>工验收消防备案、消防安全检查时确定的使用性质相符；</w:t>
            </w:r>
          </w:p>
        </w:tc>
        <w:tc>
          <w:tcPr>
            <w:tcW w:w="1195" w:type="pct"/>
            <w:vMerge w:val="continue"/>
            <w:tcBorders>
              <w:top w:val="nil"/>
              <w:bottom w:val="nil"/>
            </w:tcBorders>
            <w:vAlign w:val="center"/>
          </w:tcPr>
          <w:p w14:paraId="0D68B69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vAlign w:val="center"/>
          </w:tcPr>
          <w:p w14:paraId="7D589868">
            <w:pPr>
              <w:keepNext w:val="0"/>
              <w:keepLines w:val="0"/>
              <w:suppressLineNumbers w:val="0"/>
              <w:spacing w:before="0" w:beforeAutospacing="0" w:after="0" w:afterAutospacing="0"/>
              <w:ind w:left="0" w:right="0" w:firstLine="489" w:firstLineChars="0"/>
              <w:rPr>
                <w:rFonts w:hint="eastAsia" w:ascii="宋体" w:hAnsi="宋体" w:eastAsia="宋体" w:cs="宋体"/>
                <w:b w:val="0"/>
                <w:bCs w:val="0"/>
                <w:color w:val="auto"/>
                <w:sz w:val="18"/>
                <w:szCs w:val="18"/>
                <w:highlight w:val="none"/>
                <w:lang w:val="en-US" w:eastAsia="zh-CN"/>
              </w:rPr>
            </w:pPr>
          </w:p>
        </w:tc>
        <w:tc>
          <w:tcPr>
            <w:tcW w:w="327" w:type="pct"/>
            <w:vAlign w:val="center"/>
          </w:tcPr>
          <w:p w14:paraId="5E6B459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restart"/>
            <w:tcBorders>
              <w:bottom w:val="nil"/>
            </w:tcBorders>
            <w:vAlign w:val="center"/>
          </w:tcPr>
          <w:p w14:paraId="6439DAC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43711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jc w:val="center"/>
        </w:trPr>
        <w:tc>
          <w:tcPr>
            <w:tcW w:w="208" w:type="pct"/>
            <w:vMerge w:val="continue"/>
            <w:tcBorders>
              <w:top w:val="nil"/>
              <w:bottom w:val="single" w:color="auto" w:sz="4" w:space="0"/>
            </w:tcBorders>
            <w:vAlign w:val="center"/>
          </w:tcPr>
          <w:p w14:paraId="225CC4E6">
            <w:pPr>
              <w:keepNext w:val="0"/>
              <w:keepLines w:val="0"/>
              <w:suppressLineNumbers w:val="0"/>
              <w:spacing w:before="0" w:beforeAutospacing="0" w:after="0" w:afterAutospacing="0"/>
              <w:ind w:left="0" w:right="0"/>
              <w:rPr>
                <w:rFonts w:hint="eastAsia" w:ascii="宋体" w:hAnsi="宋体" w:eastAsia="宋体" w:cs="宋体"/>
                <w:color w:val="auto"/>
                <w:sz w:val="18"/>
                <w:szCs w:val="18"/>
                <w:highlight w:val="none"/>
              </w:rPr>
            </w:pPr>
          </w:p>
        </w:tc>
        <w:tc>
          <w:tcPr>
            <w:tcW w:w="450" w:type="pct"/>
            <w:vMerge w:val="continue"/>
            <w:tcBorders>
              <w:top w:val="nil"/>
              <w:bottom w:val="single" w:color="auto" w:sz="4" w:space="0"/>
            </w:tcBorders>
            <w:vAlign w:val="center"/>
          </w:tcPr>
          <w:p w14:paraId="7D27388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nil"/>
              <w:bottom w:val="single" w:color="auto" w:sz="4" w:space="0"/>
            </w:tcBorders>
            <w:vAlign w:val="center"/>
          </w:tcPr>
          <w:p w14:paraId="2C49C27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bottom w:val="single" w:color="auto" w:sz="4" w:space="0"/>
            </w:tcBorders>
            <w:vAlign w:val="center"/>
          </w:tcPr>
          <w:p w14:paraId="2B4502B0">
            <w:pPr>
              <w:pStyle w:val="23"/>
              <w:keepNext w:val="0"/>
              <w:keepLines w:val="0"/>
              <w:suppressLineNumbers w:val="0"/>
              <w:spacing w:before="70" w:line="281" w:lineRule="auto"/>
              <w:ind w:left="112" w:right="185" w:hanging="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b)建筑物或场所改建、扩建、变更用途和装修，是否依法</w:t>
            </w:r>
            <w:r>
              <w:rPr>
                <w:rFonts w:hint="eastAsia" w:ascii="宋体" w:hAnsi="宋体" w:eastAsia="宋体" w:cs="宋体"/>
                <w:b w:val="0"/>
                <w:bCs w:val="0"/>
                <w:color w:val="auto"/>
                <w:spacing w:val="-2"/>
                <w:sz w:val="18"/>
                <w:szCs w:val="18"/>
                <w:highlight w:val="none"/>
              </w:rPr>
              <w:t>履行相关消防手续。</w:t>
            </w:r>
          </w:p>
        </w:tc>
        <w:tc>
          <w:tcPr>
            <w:tcW w:w="1195" w:type="pct"/>
            <w:vMerge w:val="continue"/>
            <w:tcBorders>
              <w:top w:val="nil"/>
              <w:bottom w:val="single" w:color="auto" w:sz="4" w:space="0"/>
            </w:tcBorders>
            <w:vAlign w:val="center"/>
          </w:tcPr>
          <w:p w14:paraId="4EE9AFF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bottom w:val="single" w:color="auto" w:sz="4" w:space="0"/>
            </w:tcBorders>
            <w:vAlign w:val="center"/>
          </w:tcPr>
          <w:p w14:paraId="79C8FDE5">
            <w:pPr>
              <w:keepNext w:val="0"/>
              <w:keepLines w:val="0"/>
              <w:suppressLineNumbers w:val="0"/>
              <w:spacing w:before="0" w:beforeAutospacing="0" w:after="0" w:afterAutospacing="0"/>
              <w:ind w:left="0" w:right="0" w:firstLine="519" w:firstLineChars="0"/>
              <w:rPr>
                <w:rFonts w:hint="eastAsia" w:ascii="宋体" w:hAnsi="宋体" w:eastAsia="宋体" w:cs="宋体"/>
                <w:b w:val="0"/>
                <w:bCs w:val="0"/>
                <w:color w:val="auto"/>
                <w:sz w:val="18"/>
                <w:szCs w:val="18"/>
                <w:highlight w:val="none"/>
                <w:lang w:val="en-US" w:eastAsia="zh-CN"/>
              </w:rPr>
            </w:pPr>
          </w:p>
        </w:tc>
        <w:tc>
          <w:tcPr>
            <w:tcW w:w="327" w:type="pct"/>
            <w:tcBorders>
              <w:bottom w:val="single" w:color="auto" w:sz="4" w:space="0"/>
            </w:tcBorders>
            <w:vAlign w:val="center"/>
          </w:tcPr>
          <w:p w14:paraId="6F448CA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nil"/>
              <w:bottom w:val="single" w:color="auto" w:sz="4" w:space="0"/>
            </w:tcBorders>
            <w:vAlign w:val="center"/>
          </w:tcPr>
          <w:p w14:paraId="303C121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3D0456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jc w:val="center"/>
        </w:trPr>
        <w:tc>
          <w:tcPr>
            <w:tcW w:w="208" w:type="pct"/>
            <w:vMerge w:val="restart"/>
            <w:tcBorders>
              <w:top w:val="single" w:color="auto" w:sz="4" w:space="0"/>
              <w:left w:val="single" w:color="auto" w:sz="4" w:space="0"/>
              <w:bottom w:val="single" w:color="auto" w:sz="4" w:space="0"/>
              <w:right w:val="single" w:color="auto" w:sz="4" w:space="0"/>
            </w:tcBorders>
            <w:vAlign w:val="center"/>
          </w:tcPr>
          <w:p w14:paraId="24CD18CD">
            <w:pPr>
              <w:pStyle w:val="23"/>
              <w:keepNext w:val="0"/>
              <w:keepLines w:val="0"/>
              <w:suppressLineNumbers w:val="0"/>
              <w:spacing w:before="59" w:line="181" w:lineRule="auto"/>
              <w:ind w:left="281"/>
              <w:rPr>
                <w:rFonts w:hint="eastAsia" w:ascii="宋体" w:hAnsi="宋体" w:eastAsia="宋体" w:cs="宋体"/>
                <w:b w:val="0"/>
                <w:bCs w:val="0"/>
                <w:color w:val="auto"/>
                <w:sz w:val="18"/>
                <w:szCs w:val="18"/>
                <w:highlight w:val="none"/>
                <w:lang w:eastAsia="zh-CN"/>
              </w:rPr>
            </w:pPr>
            <w:r>
              <w:rPr>
                <w:rFonts w:hint="eastAsia" w:ascii="宋体" w:hAnsi="宋体" w:eastAsia="宋体" w:cs="宋体"/>
                <w:b w:val="0"/>
                <w:bCs w:val="0"/>
                <w:color w:val="auto"/>
                <w:spacing w:val="-2"/>
                <w:sz w:val="18"/>
                <w:szCs w:val="18"/>
                <w:highlight w:val="none"/>
                <w:lang w:val="en-US" w:eastAsia="zh-CN"/>
              </w:rPr>
              <w:t>2</w:t>
            </w:r>
          </w:p>
        </w:tc>
        <w:tc>
          <w:tcPr>
            <w:tcW w:w="450" w:type="pct"/>
            <w:vMerge w:val="restart"/>
            <w:tcBorders>
              <w:top w:val="single" w:color="auto" w:sz="4" w:space="0"/>
              <w:left w:val="single" w:color="auto" w:sz="4" w:space="0"/>
              <w:bottom w:val="single" w:color="auto" w:sz="4" w:space="0"/>
              <w:right w:val="single" w:color="auto" w:sz="4" w:space="0"/>
            </w:tcBorders>
            <w:vAlign w:val="center"/>
          </w:tcPr>
          <w:p w14:paraId="529EDF08">
            <w:pPr>
              <w:pStyle w:val="23"/>
              <w:keepNext w:val="0"/>
              <w:keepLines w:val="0"/>
              <w:suppressLineNumbers w:val="0"/>
              <w:spacing w:before="58" w:line="221" w:lineRule="auto"/>
              <w:ind w:left="16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消防安全制度</w:t>
            </w:r>
          </w:p>
          <w:p w14:paraId="015A2F5E">
            <w:pPr>
              <w:pStyle w:val="23"/>
              <w:keepNext w:val="0"/>
              <w:keepLines w:val="0"/>
              <w:suppressLineNumbers w:val="0"/>
              <w:spacing w:before="96" w:line="221" w:lineRule="auto"/>
              <w:ind w:left="31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（30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77" w:type="pct"/>
            <w:vMerge w:val="restart"/>
            <w:tcBorders>
              <w:top w:val="single" w:color="auto" w:sz="4" w:space="0"/>
              <w:left w:val="single" w:color="auto" w:sz="4" w:space="0"/>
              <w:bottom w:val="single" w:color="auto" w:sz="4" w:space="0"/>
              <w:right w:val="single" w:color="auto" w:sz="4" w:space="0"/>
            </w:tcBorders>
            <w:vAlign w:val="center"/>
          </w:tcPr>
          <w:p w14:paraId="408328F8">
            <w:pPr>
              <w:pStyle w:val="23"/>
              <w:keepNext w:val="0"/>
              <w:keepLines w:val="0"/>
              <w:suppressLineNumbers w:val="0"/>
              <w:spacing w:before="58" w:line="311" w:lineRule="auto"/>
              <w:ind w:left="111" w:right="225"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消防安全制度（30</w:t>
            </w:r>
            <w:r>
              <w:rPr>
                <w:rFonts w:hint="eastAsia" w:ascii="宋体" w:hAnsi="宋体" w:eastAsia="宋体" w:cs="宋体"/>
                <w:b w:val="0"/>
                <w:bCs w:val="0"/>
                <w:color w:val="auto"/>
                <w:spacing w:val="3"/>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1741" w:type="pct"/>
            <w:tcBorders>
              <w:top w:val="single" w:color="auto" w:sz="4" w:space="0"/>
              <w:left w:val="single" w:color="auto" w:sz="4" w:space="0"/>
              <w:bottom w:val="single" w:color="auto" w:sz="4" w:space="0"/>
              <w:right w:val="single" w:color="auto" w:sz="4" w:space="0"/>
            </w:tcBorders>
            <w:vAlign w:val="center"/>
          </w:tcPr>
          <w:p w14:paraId="4F9CF0A6">
            <w:pPr>
              <w:pStyle w:val="23"/>
              <w:keepNext w:val="0"/>
              <w:keepLines w:val="0"/>
              <w:suppressLineNumbers w:val="0"/>
              <w:spacing w:before="70" w:line="281" w:lineRule="auto"/>
              <w:ind w:left="109" w:right="185" w:firstLine="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a)消防安全教育、培训制度应当符合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消防安全实际情况，相关培训的内容、频次应当符合要求；</w:t>
            </w:r>
          </w:p>
        </w:tc>
        <w:tc>
          <w:tcPr>
            <w:tcW w:w="1195" w:type="pct"/>
            <w:vMerge w:val="restart"/>
            <w:tcBorders>
              <w:top w:val="single" w:color="auto" w:sz="4" w:space="0"/>
              <w:left w:val="single" w:color="auto" w:sz="4" w:space="0"/>
              <w:bottom w:val="single" w:color="auto" w:sz="4" w:space="0"/>
              <w:right w:val="single" w:color="auto" w:sz="4" w:space="0"/>
            </w:tcBorders>
            <w:vAlign w:val="center"/>
          </w:tcPr>
          <w:p w14:paraId="78E9BF27">
            <w:pPr>
              <w:pStyle w:val="23"/>
              <w:keepNext w:val="0"/>
              <w:keepLines w:val="0"/>
              <w:suppressLineNumbers w:val="0"/>
              <w:spacing w:before="58" w:line="311" w:lineRule="auto"/>
              <w:ind w:left="109" w:right="103"/>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每缺少一项制度扣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2"/>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分，每发现一处制</w:t>
            </w:r>
            <w:r>
              <w:rPr>
                <w:rFonts w:hint="eastAsia" w:ascii="宋体" w:hAnsi="宋体" w:eastAsia="宋体" w:cs="宋体"/>
                <w:b w:val="0"/>
                <w:bCs w:val="0"/>
                <w:color w:val="auto"/>
                <w:spacing w:val="-3"/>
                <w:sz w:val="18"/>
                <w:szCs w:val="18"/>
                <w:highlight w:val="none"/>
              </w:rPr>
              <w:t>度内容不符合要求的扣</w:t>
            </w:r>
            <w:r>
              <w:rPr>
                <w:rFonts w:hint="eastAsia" w:ascii="宋体" w:hAnsi="宋体" w:eastAsia="宋体" w:cs="宋体"/>
                <w:b w:val="0"/>
                <w:bCs w:val="0"/>
                <w:color w:val="auto"/>
                <w:spacing w:val="-25"/>
                <w:sz w:val="18"/>
                <w:szCs w:val="18"/>
                <w:highlight w:val="none"/>
              </w:rPr>
              <w:t xml:space="preserve"> </w:t>
            </w:r>
            <w:r>
              <w:rPr>
                <w:rFonts w:hint="eastAsia" w:ascii="宋体" w:hAnsi="宋体" w:eastAsia="宋体" w:cs="宋体"/>
                <w:b w:val="0"/>
                <w:bCs w:val="0"/>
                <w:color w:val="auto"/>
                <w:spacing w:val="-3"/>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分，最高扣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30</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8"/>
                <w:sz w:val="18"/>
                <w:szCs w:val="18"/>
                <w:highlight w:val="none"/>
              </w:rPr>
              <w:t>分。</w:t>
            </w:r>
          </w:p>
        </w:tc>
        <w:tc>
          <w:tcPr>
            <w:tcW w:w="381" w:type="pct"/>
            <w:tcBorders>
              <w:top w:val="single" w:color="auto" w:sz="4" w:space="0"/>
              <w:left w:val="single" w:color="auto" w:sz="4" w:space="0"/>
              <w:bottom w:val="single" w:color="auto" w:sz="4" w:space="0"/>
              <w:right w:val="single" w:color="auto" w:sz="4" w:space="0"/>
            </w:tcBorders>
            <w:vAlign w:val="center"/>
          </w:tcPr>
          <w:p w14:paraId="54CCE293">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27" w:type="pct"/>
            <w:tcBorders>
              <w:top w:val="single" w:color="auto" w:sz="4" w:space="0"/>
              <w:left w:val="single" w:color="auto" w:sz="4" w:space="0"/>
              <w:bottom w:val="single" w:color="auto" w:sz="4" w:space="0"/>
              <w:right w:val="single" w:color="auto" w:sz="4" w:space="0"/>
            </w:tcBorders>
            <w:vAlign w:val="center"/>
          </w:tcPr>
          <w:p w14:paraId="275CFE1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restart"/>
            <w:tcBorders>
              <w:top w:val="single" w:color="auto" w:sz="4" w:space="0"/>
              <w:left w:val="single" w:color="auto" w:sz="4" w:space="0"/>
              <w:bottom w:val="single" w:color="auto" w:sz="4" w:space="0"/>
              <w:right w:val="single" w:color="auto" w:sz="4" w:space="0"/>
            </w:tcBorders>
            <w:vAlign w:val="center"/>
          </w:tcPr>
          <w:p w14:paraId="6168F6E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r w14:paraId="7CD07B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350FD43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14:paraId="7636255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single" w:color="auto" w:sz="4" w:space="0"/>
              <w:left w:val="single" w:color="auto" w:sz="4" w:space="0"/>
              <w:bottom w:val="single" w:color="auto" w:sz="4" w:space="0"/>
              <w:right w:val="single" w:color="auto" w:sz="4" w:space="0"/>
            </w:tcBorders>
            <w:vAlign w:val="center"/>
          </w:tcPr>
          <w:p w14:paraId="42280E7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50433131">
            <w:pPr>
              <w:pStyle w:val="23"/>
              <w:keepNext w:val="0"/>
              <w:keepLines w:val="0"/>
              <w:suppressLineNumbers w:val="0"/>
              <w:spacing w:before="70" w:line="281" w:lineRule="auto"/>
              <w:ind w:left="110" w:right="185" w:hanging="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b)防火巡查、检查制度内的检查巡查内容、频次及发现问题的处置程序应当符合规定；</w:t>
            </w:r>
          </w:p>
        </w:tc>
        <w:tc>
          <w:tcPr>
            <w:tcW w:w="1195" w:type="pct"/>
            <w:vMerge w:val="continue"/>
            <w:tcBorders>
              <w:top w:val="single" w:color="auto" w:sz="4" w:space="0"/>
              <w:left w:val="single" w:color="auto" w:sz="4" w:space="0"/>
              <w:bottom w:val="single" w:color="auto" w:sz="4" w:space="0"/>
              <w:right w:val="single" w:color="auto" w:sz="4" w:space="0"/>
            </w:tcBorders>
            <w:vAlign w:val="center"/>
          </w:tcPr>
          <w:p w14:paraId="653F61A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top w:val="single" w:color="auto" w:sz="4" w:space="0"/>
              <w:left w:val="single" w:color="auto" w:sz="4" w:space="0"/>
              <w:bottom w:val="single" w:color="auto" w:sz="4" w:space="0"/>
              <w:right w:val="single" w:color="auto" w:sz="4" w:space="0"/>
            </w:tcBorders>
            <w:vAlign w:val="center"/>
          </w:tcPr>
          <w:p w14:paraId="1E11CA30">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27" w:type="pct"/>
            <w:tcBorders>
              <w:top w:val="single" w:color="auto" w:sz="4" w:space="0"/>
              <w:left w:val="single" w:color="auto" w:sz="4" w:space="0"/>
              <w:bottom w:val="single" w:color="auto" w:sz="4" w:space="0"/>
              <w:right w:val="single" w:color="auto" w:sz="4" w:space="0"/>
            </w:tcBorders>
            <w:vAlign w:val="center"/>
          </w:tcPr>
          <w:p w14:paraId="64F694D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4B6911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5311C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2032CD0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14:paraId="4C0F4D0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single" w:color="auto" w:sz="4" w:space="0"/>
              <w:left w:val="single" w:color="auto" w:sz="4" w:space="0"/>
              <w:bottom w:val="single" w:color="auto" w:sz="4" w:space="0"/>
              <w:right w:val="single" w:color="auto" w:sz="4" w:space="0"/>
            </w:tcBorders>
            <w:vAlign w:val="center"/>
          </w:tcPr>
          <w:p w14:paraId="7664701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3AFE8ADF">
            <w:pPr>
              <w:pStyle w:val="23"/>
              <w:keepNext w:val="0"/>
              <w:keepLines w:val="0"/>
              <w:suppressLineNumbers w:val="0"/>
              <w:spacing w:before="70" w:line="220" w:lineRule="auto"/>
              <w:ind w:left="11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c)安全疏散设施管理制度结合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实际制定；</w:t>
            </w:r>
          </w:p>
        </w:tc>
        <w:tc>
          <w:tcPr>
            <w:tcW w:w="1195" w:type="pct"/>
            <w:vMerge w:val="continue"/>
            <w:tcBorders>
              <w:top w:val="single" w:color="auto" w:sz="4" w:space="0"/>
              <w:left w:val="single" w:color="auto" w:sz="4" w:space="0"/>
              <w:bottom w:val="single" w:color="auto" w:sz="4" w:space="0"/>
              <w:right w:val="single" w:color="auto" w:sz="4" w:space="0"/>
            </w:tcBorders>
            <w:vAlign w:val="center"/>
          </w:tcPr>
          <w:p w14:paraId="7DA475A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top w:val="single" w:color="auto" w:sz="4" w:space="0"/>
              <w:left w:val="single" w:color="auto" w:sz="4" w:space="0"/>
              <w:bottom w:val="single" w:color="auto" w:sz="4" w:space="0"/>
              <w:right w:val="single" w:color="auto" w:sz="4" w:space="0"/>
            </w:tcBorders>
            <w:vAlign w:val="center"/>
          </w:tcPr>
          <w:p w14:paraId="69767DB8">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27" w:type="pct"/>
            <w:tcBorders>
              <w:top w:val="single" w:color="auto" w:sz="4" w:space="0"/>
              <w:left w:val="single" w:color="auto" w:sz="4" w:space="0"/>
              <w:bottom w:val="single" w:color="auto" w:sz="4" w:space="0"/>
              <w:right w:val="single" w:color="auto" w:sz="4" w:space="0"/>
            </w:tcBorders>
            <w:vAlign w:val="center"/>
          </w:tcPr>
          <w:p w14:paraId="0D989CE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213BC0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7CB7AF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1B4C284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14:paraId="3CBFF3F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single" w:color="auto" w:sz="4" w:space="0"/>
              <w:left w:val="single" w:color="auto" w:sz="4" w:space="0"/>
              <w:bottom w:val="single" w:color="auto" w:sz="4" w:space="0"/>
              <w:right w:val="single" w:color="auto" w:sz="4" w:space="0"/>
            </w:tcBorders>
            <w:vAlign w:val="center"/>
          </w:tcPr>
          <w:p w14:paraId="78A1702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30DA46ED">
            <w:pPr>
              <w:pStyle w:val="23"/>
              <w:keepNext w:val="0"/>
              <w:keepLines w:val="0"/>
              <w:suppressLineNumbers w:val="0"/>
              <w:spacing w:before="73" w:line="220" w:lineRule="auto"/>
              <w:ind w:left="11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d)消防控制室值班制度的内容应</w:t>
            </w:r>
            <w:r>
              <w:rPr>
                <w:rFonts w:hint="eastAsia" w:cs="宋体"/>
                <w:b w:val="0"/>
                <w:bCs w:val="0"/>
                <w:color w:val="auto"/>
                <w:spacing w:val="-1"/>
                <w:sz w:val="18"/>
                <w:szCs w:val="18"/>
                <w:highlight w:val="none"/>
                <w:lang w:val="en-US" w:eastAsia="zh-CN"/>
              </w:rPr>
              <w:t>符合</w:t>
            </w:r>
            <w:r>
              <w:rPr>
                <w:rFonts w:hint="eastAsia" w:ascii="宋体" w:hAnsi="宋体" w:eastAsia="宋体" w:cs="宋体"/>
                <w:b w:val="0"/>
                <w:bCs w:val="0"/>
                <w:color w:val="auto"/>
                <w:spacing w:val="-1"/>
                <w:sz w:val="18"/>
                <w:szCs w:val="18"/>
                <w:highlight w:val="none"/>
              </w:rPr>
              <w:t>国家相关标准要求；</w:t>
            </w:r>
          </w:p>
        </w:tc>
        <w:tc>
          <w:tcPr>
            <w:tcW w:w="1195" w:type="pct"/>
            <w:vMerge w:val="continue"/>
            <w:tcBorders>
              <w:top w:val="single" w:color="auto" w:sz="4" w:space="0"/>
              <w:left w:val="single" w:color="auto" w:sz="4" w:space="0"/>
              <w:bottom w:val="single" w:color="auto" w:sz="4" w:space="0"/>
              <w:right w:val="single" w:color="auto" w:sz="4" w:space="0"/>
            </w:tcBorders>
            <w:vAlign w:val="center"/>
          </w:tcPr>
          <w:p w14:paraId="5207EE5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top w:val="single" w:color="auto" w:sz="4" w:space="0"/>
              <w:left w:val="single" w:color="auto" w:sz="4" w:space="0"/>
              <w:bottom w:val="single" w:color="auto" w:sz="4" w:space="0"/>
              <w:right w:val="single" w:color="auto" w:sz="4" w:space="0"/>
            </w:tcBorders>
            <w:vAlign w:val="center"/>
          </w:tcPr>
          <w:p w14:paraId="4029089A">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7" w:type="pct"/>
            <w:tcBorders>
              <w:top w:val="single" w:color="auto" w:sz="4" w:space="0"/>
              <w:left w:val="single" w:color="auto" w:sz="4" w:space="0"/>
              <w:bottom w:val="single" w:color="auto" w:sz="4" w:space="0"/>
              <w:right w:val="single" w:color="auto" w:sz="4" w:space="0"/>
            </w:tcBorders>
            <w:vAlign w:val="center"/>
          </w:tcPr>
          <w:p w14:paraId="7726833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9E78AB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7D984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159EFF8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14:paraId="0741117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single" w:color="auto" w:sz="4" w:space="0"/>
              <w:left w:val="single" w:color="auto" w:sz="4" w:space="0"/>
              <w:bottom w:val="single" w:color="auto" w:sz="4" w:space="0"/>
              <w:right w:val="single" w:color="auto" w:sz="4" w:space="0"/>
            </w:tcBorders>
            <w:vAlign w:val="center"/>
          </w:tcPr>
          <w:p w14:paraId="7FF3E06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6E80CF0A">
            <w:pPr>
              <w:pStyle w:val="23"/>
              <w:keepNext w:val="0"/>
              <w:keepLines w:val="0"/>
              <w:suppressLineNumbers w:val="0"/>
              <w:spacing w:before="70" w:line="220" w:lineRule="auto"/>
              <w:ind w:left="11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e)消防设施、器材维护管理制度应结合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实际制定；</w:t>
            </w:r>
          </w:p>
        </w:tc>
        <w:tc>
          <w:tcPr>
            <w:tcW w:w="1195" w:type="pct"/>
            <w:vMerge w:val="continue"/>
            <w:tcBorders>
              <w:top w:val="single" w:color="auto" w:sz="4" w:space="0"/>
              <w:left w:val="single" w:color="auto" w:sz="4" w:space="0"/>
              <w:bottom w:val="single" w:color="auto" w:sz="4" w:space="0"/>
              <w:right w:val="single" w:color="auto" w:sz="4" w:space="0"/>
            </w:tcBorders>
            <w:vAlign w:val="center"/>
          </w:tcPr>
          <w:p w14:paraId="5CCDB4D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top w:val="single" w:color="auto" w:sz="4" w:space="0"/>
              <w:left w:val="single" w:color="auto" w:sz="4" w:space="0"/>
              <w:bottom w:val="single" w:color="auto" w:sz="4" w:space="0"/>
              <w:right w:val="single" w:color="auto" w:sz="4" w:space="0"/>
            </w:tcBorders>
            <w:vAlign w:val="center"/>
          </w:tcPr>
          <w:p w14:paraId="4037184F">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7" w:type="pct"/>
            <w:tcBorders>
              <w:top w:val="single" w:color="auto" w:sz="4" w:space="0"/>
              <w:left w:val="single" w:color="auto" w:sz="4" w:space="0"/>
              <w:bottom w:val="single" w:color="auto" w:sz="4" w:space="0"/>
              <w:right w:val="single" w:color="auto" w:sz="4" w:space="0"/>
            </w:tcBorders>
            <w:vAlign w:val="center"/>
          </w:tcPr>
          <w:p w14:paraId="0A47984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0296A1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0EFC4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764987B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14:paraId="7804F77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single" w:color="auto" w:sz="4" w:space="0"/>
              <w:left w:val="single" w:color="auto" w:sz="4" w:space="0"/>
              <w:bottom w:val="single" w:color="auto" w:sz="4" w:space="0"/>
              <w:right w:val="single" w:color="auto" w:sz="4" w:space="0"/>
            </w:tcBorders>
            <w:vAlign w:val="center"/>
          </w:tcPr>
          <w:p w14:paraId="6F20A19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0B9B78AF">
            <w:pPr>
              <w:pStyle w:val="23"/>
              <w:keepNext w:val="0"/>
              <w:keepLines w:val="0"/>
              <w:suppressLineNumbers w:val="0"/>
              <w:spacing w:before="70" w:line="220" w:lineRule="auto"/>
              <w:ind w:left="115"/>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f)火灾隐患整改制度应结合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实际制定；</w:t>
            </w:r>
          </w:p>
        </w:tc>
        <w:tc>
          <w:tcPr>
            <w:tcW w:w="1195" w:type="pct"/>
            <w:vMerge w:val="continue"/>
            <w:tcBorders>
              <w:top w:val="single" w:color="auto" w:sz="4" w:space="0"/>
              <w:left w:val="single" w:color="auto" w:sz="4" w:space="0"/>
              <w:bottom w:val="single" w:color="auto" w:sz="4" w:space="0"/>
              <w:right w:val="single" w:color="auto" w:sz="4" w:space="0"/>
            </w:tcBorders>
            <w:vAlign w:val="center"/>
          </w:tcPr>
          <w:p w14:paraId="56B2562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top w:val="single" w:color="auto" w:sz="4" w:space="0"/>
              <w:left w:val="single" w:color="auto" w:sz="4" w:space="0"/>
              <w:bottom w:val="single" w:color="auto" w:sz="4" w:space="0"/>
              <w:right w:val="single" w:color="auto" w:sz="4" w:space="0"/>
            </w:tcBorders>
            <w:vAlign w:val="center"/>
          </w:tcPr>
          <w:p w14:paraId="593F9C15">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7" w:type="pct"/>
            <w:tcBorders>
              <w:top w:val="single" w:color="auto" w:sz="4" w:space="0"/>
              <w:left w:val="single" w:color="auto" w:sz="4" w:space="0"/>
              <w:bottom w:val="single" w:color="auto" w:sz="4" w:space="0"/>
              <w:right w:val="single" w:color="auto" w:sz="4" w:space="0"/>
            </w:tcBorders>
            <w:vAlign w:val="center"/>
          </w:tcPr>
          <w:p w14:paraId="13507C2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AF646D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180009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259AC25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14:paraId="508B181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single" w:color="auto" w:sz="4" w:space="0"/>
              <w:left w:val="single" w:color="auto" w:sz="4" w:space="0"/>
              <w:bottom w:val="single" w:color="auto" w:sz="4" w:space="0"/>
              <w:right w:val="single" w:color="auto" w:sz="4" w:space="0"/>
            </w:tcBorders>
            <w:vAlign w:val="center"/>
          </w:tcPr>
          <w:p w14:paraId="1ECA6CC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10161420">
            <w:pPr>
              <w:pStyle w:val="23"/>
              <w:keepNext w:val="0"/>
              <w:keepLines w:val="0"/>
              <w:suppressLineNumbers w:val="0"/>
              <w:spacing w:before="66" w:line="283" w:lineRule="auto"/>
              <w:ind w:left="110" w:leftChars="0" w:right="185" w:rightChars="0" w:firstLine="3" w:firstLineChars="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g)用火、用电安全管理制度应明确</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用火用电审批程</w:t>
            </w:r>
            <w:r>
              <w:rPr>
                <w:rFonts w:hint="eastAsia" w:ascii="宋体" w:hAnsi="宋体" w:eastAsia="宋体" w:cs="宋体"/>
                <w:b w:val="0"/>
                <w:bCs w:val="0"/>
                <w:color w:val="auto"/>
                <w:spacing w:val="-4"/>
                <w:sz w:val="18"/>
                <w:szCs w:val="18"/>
                <w:highlight w:val="none"/>
              </w:rPr>
              <w:t>序；</w:t>
            </w:r>
          </w:p>
        </w:tc>
        <w:tc>
          <w:tcPr>
            <w:tcW w:w="1195" w:type="pct"/>
            <w:vMerge w:val="continue"/>
            <w:tcBorders>
              <w:top w:val="single" w:color="auto" w:sz="4" w:space="0"/>
              <w:left w:val="single" w:color="auto" w:sz="4" w:space="0"/>
              <w:bottom w:val="single" w:color="auto" w:sz="4" w:space="0"/>
              <w:right w:val="single" w:color="auto" w:sz="4" w:space="0"/>
            </w:tcBorders>
            <w:vAlign w:val="center"/>
          </w:tcPr>
          <w:p w14:paraId="697DAD5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top w:val="single" w:color="auto" w:sz="4" w:space="0"/>
              <w:left w:val="single" w:color="auto" w:sz="4" w:space="0"/>
              <w:bottom w:val="single" w:color="auto" w:sz="4" w:space="0"/>
              <w:right w:val="single" w:color="auto" w:sz="4" w:space="0"/>
            </w:tcBorders>
            <w:vAlign w:val="center"/>
          </w:tcPr>
          <w:p w14:paraId="2B3A0990">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7" w:type="pct"/>
            <w:tcBorders>
              <w:top w:val="single" w:color="auto" w:sz="4" w:space="0"/>
              <w:left w:val="single" w:color="auto" w:sz="4" w:space="0"/>
              <w:bottom w:val="single" w:color="auto" w:sz="4" w:space="0"/>
              <w:right w:val="single" w:color="auto" w:sz="4" w:space="0"/>
            </w:tcBorders>
            <w:vAlign w:val="center"/>
          </w:tcPr>
          <w:p w14:paraId="1EAB40E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0263B6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70D50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57DF19F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50" w:type="pct"/>
            <w:vMerge w:val="continue"/>
            <w:tcBorders>
              <w:top w:val="single" w:color="auto" w:sz="4" w:space="0"/>
              <w:left w:val="single" w:color="auto" w:sz="4" w:space="0"/>
              <w:bottom w:val="single" w:color="auto" w:sz="4" w:space="0"/>
              <w:right w:val="single" w:color="auto" w:sz="4" w:space="0"/>
            </w:tcBorders>
            <w:vAlign w:val="center"/>
          </w:tcPr>
          <w:p w14:paraId="4D44B6F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77" w:type="pct"/>
            <w:vMerge w:val="continue"/>
            <w:tcBorders>
              <w:top w:val="single" w:color="auto" w:sz="4" w:space="0"/>
              <w:left w:val="single" w:color="auto" w:sz="4" w:space="0"/>
              <w:bottom w:val="single" w:color="auto" w:sz="4" w:space="0"/>
              <w:right w:val="single" w:color="auto" w:sz="4" w:space="0"/>
            </w:tcBorders>
            <w:vAlign w:val="center"/>
          </w:tcPr>
          <w:p w14:paraId="6A9E668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6EA007AA">
            <w:pPr>
              <w:pStyle w:val="23"/>
              <w:keepNext w:val="0"/>
              <w:keepLines w:val="0"/>
              <w:suppressLineNumbers w:val="0"/>
              <w:spacing w:before="66" w:line="283" w:lineRule="auto"/>
              <w:ind w:left="122" w:leftChars="0" w:right="185" w:rightChars="0" w:hanging="14" w:firstLineChars="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h)易燃易爆危险物品和场所防火防爆制度应结合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实</w:t>
            </w:r>
            <w:r>
              <w:rPr>
                <w:rFonts w:hint="eastAsia" w:ascii="宋体" w:hAnsi="宋体" w:eastAsia="宋体" w:cs="宋体"/>
                <w:b w:val="0"/>
                <w:bCs w:val="0"/>
                <w:color w:val="auto"/>
                <w:spacing w:val="-5"/>
                <w:sz w:val="18"/>
                <w:szCs w:val="18"/>
                <w:highlight w:val="none"/>
              </w:rPr>
              <w:t>际制定；</w:t>
            </w:r>
          </w:p>
        </w:tc>
        <w:tc>
          <w:tcPr>
            <w:tcW w:w="1195" w:type="pct"/>
            <w:vMerge w:val="continue"/>
            <w:tcBorders>
              <w:top w:val="single" w:color="auto" w:sz="4" w:space="0"/>
              <w:left w:val="single" w:color="auto" w:sz="4" w:space="0"/>
              <w:bottom w:val="single" w:color="auto" w:sz="4" w:space="0"/>
              <w:right w:val="single" w:color="auto" w:sz="4" w:space="0"/>
            </w:tcBorders>
            <w:vAlign w:val="center"/>
          </w:tcPr>
          <w:p w14:paraId="6247736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81" w:type="pct"/>
            <w:tcBorders>
              <w:top w:val="single" w:color="auto" w:sz="4" w:space="0"/>
              <w:left w:val="single" w:color="auto" w:sz="4" w:space="0"/>
              <w:bottom w:val="single" w:color="auto" w:sz="4" w:space="0"/>
              <w:right w:val="single" w:color="auto" w:sz="4" w:space="0"/>
            </w:tcBorders>
            <w:vAlign w:val="center"/>
          </w:tcPr>
          <w:p w14:paraId="7732E718">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7" w:type="pct"/>
            <w:tcBorders>
              <w:top w:val="single" w:color="auto" w:sz="4" w:space="0"/>
              <w:left w:val="single" w:color="auto" w:sz="4" w:space="0"/>
              <w:bottom w:val="single" w:color="auto" w:sz="4" w:space="0"/>
              <w:right w:val="single" w:color="auto" w:sz="4" w:space="0"/>
            </w:tcBorders>
            <w:vAlign w:val="center"/>
          </w:tcPr>
          <w:p w14:paraId="6D46E14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EE6CB1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bl>
    <w:p w14:paraId="7FB78891">
      <w:pPr>
        <w:rPr>
          <w:highlight w:val="none"/>
        </w:rPr>
      </w:pPr>
      <w:r>
        <w:rPr>
          <w:highlight w:val="none"/>
        </w:rPr>
        <w:br w:type="page"/>
      </w:r>
    </w:p>
    <w:tbl>
      <w:tblPr>
        <w:tblStyle w:val="24"/>
        <w:tblW w:w="497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7"/>
        <w:gridCol w:w="1428"/>
        <w:gridCol w:w="1080"/>
        <w:gridCol w:w="5216"/>
        <w:gridCol w:w="3549"/>
        <w:gridCol w:w="1074"/>
        <w:gridCol w:w="982"/>
        <w:gridCol w:w="1009"/>
      </w:tblGrid>
      <w:tr w14:paraId="0D34C4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jc w:val="center"/>
        </w:trPr>
        <w:tc>
          <w:tcPr>
            <w:tcW w:w="206" w:type="pct"/>
            <w:tcBorders>
              <w:top w:val="single" w:color="auto" w:sz="4" w:space="0"/>
              <w:left w:val="single" w:color="auto" w:sz="4" w:space="0"/>
              <w:bottom w:val="single" w:color="auto" w:sz="4" w:space="0"/>
              <w:right w:val="single" w:color="auto" w:sz="4" w:space="0"/>
            </w:tcBorders>
            <w:vAlign w:val="center"/>
          </w:tcPr>
          <w:p w14:paraId="5BCA6F20">
            <w:pPr>
              <w:pStyle w:val="23"/>
              <w:keepNext w:val="0"/>
              <w:keepLines w:val="0"/>
              <w:suppressLineNumbers w:val="0"/>
              <w:spacing w:before="70" w:line="222" w:lineRule="auto"/>
              <w:ind w:left="140"/>
              <w:rPr>
                <w:highlight w:val="none"/>
              </w:rPr>
            </w:pPr>
            <w:r>
              <w:rPr>
                <w:b/>
                <w:bCs/>
                <w:spacing w:val="-3"/>
                <w:highlight w:val="none"/>
              </w:rPr>
              <w:t>序号</w:t>
            </w:r>
          </w:p>
        </w:tc>
        <w:tc>
          <w:tcPr>
            <w:tcW w:w="477" w:type="pct"/>
            <w:tcBorders>
              <w:top w:val="single" w:color="auto" w:sz="4" w:space="0"/>
              <w:left w:val="single" w:color="auto" w:sz="4" w:space="0"/>
              <w:bottom w:val="single" w:color="auto" w:sz="4" w:space="0"/>
              <w:right w:val="single" w:color="auto" w:sz="4" w:space="0"/>
            </w:tcBorders>
            <w:vAlign w:val="center"/>
          </w:tcPr>
          <w:p w14:paraId="2634978D">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1" w:type="pct"/>
            <w:tcBorders>
              <w:top w:val="single" w:color="auto" w:sz="4" w:space="0"/>
              <w:left w:val="single" w:color="auto" w:sz="4" w:space="0"/>
              <w:bottom w:val="single" w:color="auto" w:sz="4" w:space="0"/>
              <w:right w:val="single" w:color="auto" w:sz="4" w:space="0"/>
            </w:tcBorders>
            <w:vAlign w:val="center"/>
          </w:tcPr>
          <w:p w14:paraId="6952194B">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43" w:type="pct"/>
            <w:tcBorders>
              <w:top w:val="single" w:color="auto" w:sz="4" w:space="0"/>
              <w:left w:val="single" w:color="auto" w:sz="4" w:space="0"/>
              <w:bottom w:val="single" w:color="auto" w:sz="4" w:space="0"/>
              <w:right w:val="single" w:color="auto" w:sz="4" w:space="0"/>
            </w:tcBorders>
            <w:vAlign w:val="center"/>
          </w:tcPr>
          <w:p w14:paraId="344F2A55">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6" w:type="pct"/>
            <w:tcBorders>
              <w:top w:val="single" w:color="auto" w:sz="4" w:space="0"/>
              <w:left w:val="single" w:color="auto" w:sz="4" w:space="0"/>
              <w:bottom w:val="single" w:color="auto" w:sz="4" w:space="0"/>
              <w:right w:val="single" w:color="auto" w:sz="4" w:space="0"/>
            </w:tcBorders>
            <w:vAlign w:val="center"/>
          </w:tcPr>
          <w:p w14:paraId="1EEE8EE3">
            <w:pPr>
              <w:pStyle w:val="23"/>
              <w:keepNext w:val="0"/>
              <w:keepLines w:val="0"/>
              <w:suppressLineNumbers w:val="0"/>
              <w:spacing w:before="70" w:line="221" w:lineRule="auto"/>
              <w:ind w:left="1299"/>
              <w:rPr>
                <w:highlight w:val="none"/>
              </w:rPr>
            </w:pPr>
            <w:r>
              <w:rPr>
                <w:b/>
                <w:bCs/>
                <w:spacing w:val="-3"/>
                <w:highlight w:val="none"/>
              </w:rPr>
              <w:t>评分标准</w:t>
            </w:r>
          </w:p>
        </w:tc>
        <w:tc>
          <w:tcPr>
            <w:tcW w:w="359" w:type="pct"/>
            <w:tcBorders>
              <w:top w:val="single" w:color="auto" w:sz="4" w:space="0"/>
              <w:left w:val="single" w:color="auto" w:sz="4" w:space="0"/>
              <w:bottom w:val="single" w:color="auto" w:sz="4" w:space="0"/>
              <w:right w:val="single" w:color="auto" w:sz="4" w:space="0"/>
            </w:tcBorders>
            <w:vAlign w:val="center"/>
          </w:tcPr>
          <w:p w14:paraId="7D1A4304">
            <w:pPr>
              <w:pStyle w:val="23"/>
              <w:keepNext w:val="0"/>
              <w:keepLines w:val="0"/>
              <w:suppressLineNumbers w:val="0"/>
              <w:spacing w:before="70" w:line="219" w:lineRule="auto"/>
              <w:ind w:left="170"/>
              <w:rPr>
                <w:highlight w:val="none"/>
              </w:rPr>
            </w:pPr>
            <w:r>
              <w:rPr>
                <w:b/>
                <w:bCs/>
                <w:spacing w:val="-3"/>
                <w:highlight w:val="none"/>
              </w:rPr>
              <w:t>评估情况</w:t>
            </w:r>
          </w:p>
        </w:tc>
        <w:tc>
          <w:tcPr>
            <w:tcW w:w="328" w:type="pct"/>
            <w:tcBorders>
              <w:top w:val="single" w:color="auto" w:sz="4" w:space="0"/>
              <w:left w:val="single" w:color="auto" w:sz="4" w:space="0"/>
              <w:bottom w:val="single" w:color="auto" w:sz="4" w:space="0"/>
              <w:right w:val="single" w:color="auto" w:sz="4" w:space="0"/>
            </w:tcBorders>
            <w:vAlign w:val="center"/>
          </w:tcPr>
          <w:p w14:paraId="59F533A1">
            <w:pPr>
              <w:pStyle w:val="23"/>
              <w:keepNext w:val="0"/>
              <w:keepLines w:val="0"/>
              <w:suppressLineNumbers w:val="0"/>
              <w:spacing w:before="70" w:line="221" w:lineRule="auto"/>
              <w:ind w:left="316"/>
              <w:rPr>
                <w:highlight w:val="none"/>
              </w:rPr>
            </w:pPr>
            <w:r>
              <w:rPr>
                <w:b/>
                <w:bCs/>
                <w:spacing w:val="-4"/>
                <w:highlight w:val="none"/>
              </w:rPr>
              <w:t>扣分</w:t>
            </w:r>
          </w:p>
        </w:tc>
        <w:tc>
          <w:tcPr>
            <w:tcW w:w="337" w:type="pct"/>
            <w:tcBorders>
              <w:top w:val="single" w:color="auto" w:sz="4" w:space="0"/>
              <w:left w:val="single" w:color="auto" w:sz="4" w:space="0"/>
              <w:bottom w:val="single" w:color="auto" w:sz="4" w:space="0"/>
              <w:right w:val="single" w:color="auto" w:sz="4" w:space="0"/>
            </w:tcBorders>
            <w:vAlign w:val="center"/>
          </w:tcPr>
          <w:p w14:paraId="1478020A">
            <w:pPr>
              <w:pStyle w:val="23"/>
              <w:keepNext w:val="0"/>
              <w:keepLines w:val="0"/>
              <w:suppressLineNumbers w:val="0"/>
              <w:spacing w:before="71" w:line="220" w:lineRule="auto"/>
              <w:ind w:left="295"/>
              <w:rPr>
                <w:highlight w:val="none"/>
              </w:rPr>
            </w:pPr>
            <w:r>
              <w:rPr>
                <w:b/>
                <w:bCs/>
                <w:spacing w:val="-4"/>
                <w:highlight w:val="none"/>
              </w:rPr>
              <w:t>得分</w:t>
            </w:r>
          </w:p>
        </w:tc>
      </w:tr>
      <w:tr w14:paraId="2F60EA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jc w:val="center"/>
        </w:trPr>
        <w:tc>
          <w:tcPr>
            <w:tcW w:w="206" w:type="pct"/>
            <w:vMerge w:val="restart"/>
            <w:tcBorders>
              <w:top w:val="single" w:color="auto" w:sz="4" w:space="0"/>
              <w:left w:val="single" w:color="auto" w:sz="4" w:space="0"/>
              <w:bottom w:val="single" w:color="auto" w:sz="4" w:space="0"/>
              <w:right w:val="single" w:color="auto" w:sz="4" w:space="0"/>
            </w:tcBorders>
            <w:vAlign w:val="center"/>
          </w:tcPr>
          <w:p w14:paraId="7EBE35B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restart"/>
            <w:tcBorders>
              <w:top w:val="single" w:color="auto" w:sz="4" w:space="0"/>
              <w:left w:val="single" w:color="auto" w:sz="4" w:space="0"/>
              <w:bottom w:val="single" w:color="auto" w:sz="4" w:space="0"/>
              <w:right w:val="single" w:color="auto" w:sz="4" w:space="0"/>
            </w:tcBorders>
            <w:vAlign w:val="center"/>
          </w:tcPr>
          <w:p w14:paraId="5D22636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restart"/>
            <w:tcBorders>
              <w:top w:val="single" w:color="auto" w:sz="4" w:space="0"/>
              <w:left w:val="single" w:color="auto" w:sz="4" w:space="0"/>
              <w:bottom w:val="single" w:color="auto" w:sz="4" w:space="0"/>
              <w:right w:val="single" w:color="auto" w:sz="4" w:space="0"/>
            </w:tcBorders>
            <w:vAlign w:val="center"/>
          </w:tcPr>
          <w:p w14:paraId="2E554011">
            <w:pPr>
              <w:pStyle w:val="23"/>
              <w:keepNext w:val="0"/>
              <w:keepLines w:val="0"/>
              <w:suppressLineNumbers w:val="0"/>
              <w:spacing w:before="68" w:beforeAutospacing="0" w:after="0" w:afterAutospacing="0" w:line="215" w:lineRule="auto"/>
              <w:ind w:left="118" w:right="0"/>
              <w:rPr>
                <w:rFonts w:hint="eastAsia" w:ascii="宋体" w:hAnsi="宋体" w:eastAsia="宋体" w:cs="宋体"/>
                <w:b w:val="0"/>
                <w:bCs w:val="0"/>
                <w:color w:val="auto"/>
                <w:spacing w:val="-1"/>
                <w:sz w:val="18"/>
                <w:szCs w:val="18"/>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4075888A">
            <w:pPr>
              <w:pStyle w:val="23"/>
              <w:keepNext w:val="0"/>
              <w:keepLines w:val="0"/>
              <w:suppressLineNumbers w:val="0"/>
              <w:spacing w:before="68" w:line="215" w:lineRule="auto"/>
              <w:ind w:left="118" w:leftChars="0" w:right="0" w:rightChars="0" w:firstLine="0" w:firstLineChars="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i)专职和志愿消防队组织管理制度应结合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实际制定；</w:t>
            </w:r>
          </w:p>
        </w:tc>
        <w:tc>
          <w:tcPr>
            <w:tcW w:w="1186" w:type="pct"/>
            <w:vMerge w:val="restart"/>
            <w:tcBorders>
              <w:top w:val="single" w:color="auto" w:sz="4" w:space="0"/>
              <w:left w:val="single" w:color="auto" w:sz="4" w:space="0"/>
              <w:bottom w:val="single" w:color="auto" w:sz="4" w:space="0"/>
              <w:right w:val="single" w:color="auto" w:sz="4" w:space="0"/>
            </w:tcBorders>
            <w:vAlign w:val="center"/>
          </w:tcPr>
          <w:p w14:paraId="7C25167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59" w:type="pct"/>
            <w:tcBorders>
              <w:top w:val="single" w:color="auto" w:sz="4" w:space="0"/>
              <w:left w:val="single" w:color="auto" w:sz="4" w:space="0"/>
              <w:bottom w:val="single" w:color="auto" w:sz="4" w:space="0"/>
              <w:right w:val="single" w:color="auto" w:sz="4" w:space="0"/>
            </w:tcBorders>
            <w:vAlign w:val="center"/>
          </w:tcPr>
          <w:p w14:paraId="2404AF1F">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8" w:type="pct"/>
            <w:tcBorders>
              <w:top w:val="single" w:color="auto" w:sz="4" w:space="0"/>
              <w:left w:val="single" w:color="auto" w:sz="4" w:space="0"/>
              <w:bottom w:val="single" w:color="auto" w:sz="4" w:space="0"/>
              <w:right w:val="single" w:color="auto" w:sz="4" w:space="0"/>
            </w:tcBorders>
            <w:vAlign w:val="center"/>
          </w:tcPr>
          <w:p w14:paraId="2B31D92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restart"/>
            <w:tcBorders>
              <w:top w:val="single" w:color="auto" w:sz="4" w:space="0"/>
              <w:left w:val="single" w:color="auto" w:sz="4" w:space="0"/>
              <w:bottom w:val="single" w:color="auto" w:sz="4" w:space="0"/>
              <w:right w:val="single" w:color="auto" w:sz="4" w:space="0"/>
            </w:tcBorders>
            <w:vAlign w:val="center"/>
          </w:tcPr>
          <w:p w14:paraId="24C121F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61E389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jc w:val="center"/>
        </w:trPr>
        <w:tc>
          <w:tcPr>
            <w:tcW w:w="206" w:type="pct"/>
            <w:vMerge w:val="continue"/>
            <w:tcBorders>
              <w:top w:val="single" w:color="auto" w:sz="4" w:space="0"/>
              <w:left w:val="single" w:color="auto" w:sz="4" w:space="0"/>
            </w:tcBorders>
            <w:vAlign w:val="center"/>
          </w:tcPr>
          <w:p w14:paraId="7003443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continue"/>
            <w:tcBorders>
              <w:top w:val="single" w:color="auto" w:sz="4" w:space="0"/>
            </w:tcBorders>
            <w:vAlign w:val="center"/>
          </w:tcPr>
          <w:p w14:paraId="3693741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continue"/>
            <w:tcBorders>
              <w:top w:val="single" w:color="auto" w:sz="4" w:space="0"/>
            </w:tcBorders>
            <w:vAlign w:val="center"/>
          </w:tcPr>
          <w:p w14:paraId="244A6F80">
            <w:pPr>
              <w:pStyle w:val="23"/>
              <w:keepNext w:val="0"/>
              <w:keepLines w:val="0"/>
              <w:suppressLineNumbers w:val="0"/>
              <w:spacing w:before="68" w:beforeAutospacing="0" w:after="0" w:afterAutospacing="0" w:line="215" w:lineRule="auto"/>
              <w:ind w:left="118" w:right="0"/>
              <w:rPr>
                <w:rFonts w:hint="eastAsia" w:ascii="宋体" w:hAnsi="宋体" w:eastAsia="宋体" w:cs="宋体"/>
                <w:b w:val="0"/>
                <w:bCs w:val="0"/>
                <w:color w:val="auto"/>
                <w:spacing w:val="-1"/>
                <w:sz w:val="18"/>
                <w:szCs w:val="18"/>
                <w:highlight w:val="none"/>
              </w:rPr>
            </w:pPr>
          </w:p>
        </w:tc>
        <w:tc>
          <w:tcPr>
            <w:tcW w:w="1743" w:type="pct"/>
            <w:tcBorders>
              <w:top w:val="single" w:color="auto" w:sz="4" w:space="0"/>
            </w:tcBorders>
            <w:vAlign w:val="center"/>
          </w:tcPr>
          <w:p w14:paraId="079F0B74">
            <w:pPr>
              <w:pStyle w:val="23"/>
              <w:keepNext w:val="0"/>
              <w:keepLines w:val="0"/>
              <w:suppressLineNumbers w:val="0"/>
              <w:spacing w:before="68" w:line="215" w:lineRule="auto"/>
              <w:ind w:left="118" w:leftChars="0" w:right="0" w:rightChars="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j)灭火和应急疏散预案演练制度应结合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实际制定；</w:t>
            </w:r>
          </w:p>
        </w:tc>
        <w:tc>
          <w:tcPr>
            <w:tcW w:w="1186" w:type="pct"/>
            <w:vMerge w:val="continue"/>
            <w:tcBorders>
              <w:top w:val="single" w:color="auto" w:sz="4" w:space="0"/>
            </w:tcBorders>
            <w:vAlign w:val="center"/>
          </w:tcPr>
          <w:p w14:paraId="6893DE7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59" w:type="pct"/>
            <w:tcBorders>
              <w:top w:val="single" w:color="auto" w:sz="4" w:space="0"/>
            </w:tcBorders>
            <w:vAlign w:val="center"/>
          </w:tcPr>
          <w:p w14:paraId="74444390">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8" w:type="pct"/>
            <w:tcBorders>
              <w:top w:val="single" w:color="auto" w:sz="4" w:space="0"/>
            </w:tcBorders>
            <w:vAlign w:val="center"/>
          </w:tcPr>
          <w:p w14:paraId="25572B0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continue"/>
            <w:tcBorders>
              <w:top w:val="single" w:color="auto" w:sz="4" w:space="0"/>
              <w:right w:val="single" w:color="auto" w:sz="4" w:space="0"/>
            </w:tcBorders>
            <w:vAlign w:val="center"/>
          </w:tcPr>
          <w:p w14:paraId="4F3A83C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523607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206" w:type="pct"/>
            <w:vMerge w:val="continue"/>
            <w:tcBorders>
              <w:left w:val="single" w:color="auto" w:sz="4" w:space="0"/>
            </w:tcBorders>
            <w:vAlign w:val="center"/>
          </w:tcPr>
          <w:p w14:paraId="734FA5B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continue"/>
            <w:vAlign w:val="center"/>
          </w:tcPr>
          <w:p w14:paraId="41B981A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continue"/>
            <w:vAlign w:val="center"/>
          </w:tcPr>
          <w:p w14:paraId="5F07908F">
            <w:pPr>
              <w:pStyle w:val="23"/>
              <w:keepNext w:val="0"/>
              <w:keepLines w:val="0"/>
              <w:suppressLineNumbers w:val="0"/>
              <w:spacing w:before="68" w:beforeAutospacing="0" w:after="0" w:afterAutospacing="0" w:line="215" w:lineRule="auto"/>
              <w:ind w:left="118" w:right="0"/>
              <w:rPr>
                <w:rFonts w:hint="eastAsia" w:ascii="宋体" w:hAnsi="宋体" w:eastAsia="宋体" w:cs="宋体"/>
                <w:b w:val="0"/>
                <w:bCs w:val="0"/>
                <w:color w:val="auto"/>
                <w:spacing w:val="-1"/>
                <w:sz w:val="18"/>
                <w:szCs w:val="18"/>
                <w:highlight w:val="none"/>
              </w:rPr>
            </w:pPr>
          </w:p>
        </w:tc>
        <w:tc>
          <w:tcPr>
            <w:tcW w:w="1743" w:type="pct"/>
            <w:vAlign w:val="center"/>
          </w:tcPr>
          <w:p w14:paraId="7B599AF5">
            <w:pPr>
              <w:pStyle w:val="23"/>
              <w:keepNext w:val="0"/>
              <w:keepLines w:val="0"/>
              <w:suppressLineNumbers w:val="0"/>
              <w:spacing w:before="68" w:line="215" w:lineRule="auto"/>
              <w:ind w:left="118" w:leftChars="0" w:right="0" w:rightChars="0" w:firstLine="0" w:firstLineChars="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k)燃气和电气设备的检查和管理制度(包括防雷、防静电)应明确责任部门并确定检查频次；</w:t>
            </w:r>
          </w:p>
        </w:tc>
        <w:tc>
          <w:tcPr>
            <w:tcW w:w="1186" w:type="pct"/>
            <w:vMerge w:val="continue"/>
            <w:vAlign w:val="center"/>
          </w:tcPr>
          <w:p w14:paraId="5032A75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59" w:type="pct"/>
            <w:vAlign w:val="center"/>
          </w:tcPr>
          <w:p w14:paraId="100035AC">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8" w:type="pct"/>
            <w:vAlign w:val="center"/>
          </w:tcPr>
          <w:p w14:paraId="389AAC0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continue"/>
            <w:tcBorders>
              <w:right w:val="single" w:color="auto" w:sz="4" w:space="0"/>
            </w:tcBorders>
            <w:vAlign w:val="center"/>
          </w:tcPr>
          <w:p w14:paraId="7CE2C47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0453DF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jc w:val="center"/>
        </w:trPr>
        <w:tc>
          <w:tcPr>
            <w:tcW w:w="206" w:type="pct"/>
            <w:vMerge w:val="continue"/>
            <w:tcBorders>
              <w:left w:val="single" w:color="auto" w:sz="4" w:space="0"/>
            </w:tcBorders>
            <w:vAlign w:val="center"/>
          </w:tcPr>
          <w:p w14:paraId="2764A6B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continue"/>
            <w:vAlign w:val="center"/>
          </w:tcPr>
          <w:p w14:paraId="6279CFA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continue"/>
            <w:vAlign w:val="center"/>
          </w:tcPr>
          <w:p w14:paraId="75687B2C">
            <w:pPr>
              <w:pStyle w:val="23"/>
              <w:keepNext w:val="0"/>
              <w:keepLines w:val="0"/>
              <w:suppressLineNumbers w:val="0"/>
              <w:spacing w:before="68" w:beforeAutospacing="0" w:after="0" w:afterAutospacing="0" w:line="215" w:lineRule="auto"/>
              <w:ind w:left="118" w:right="0"/>
              <w:rPr>
                <w:rFonts w:hint="eastAsia" w:ascii="宋体" w:hAnsi="宋体" w:eastAsia="宋体" w:cs="宋体"/>
                <w:b w:val="0"/>
                <w:bCs w:val="0"/>
                <w:color w:val="auto"/>
                <w:spacing w:val="-1"/>
                <w:sz w:val="18"/>
                <w:szCs w:val="18"/>
                <w:highlight w:val="none"/>
              </w:rPr>
            </w:pPr>
          </w:p>
        </w:tc>
        <w:tc>
          <w:tcPr>
            <w:tcW w:w="1743" w:type="pct"/>
            <w:vAlign w:val="center"/>
          </w:tcPr>
          <w:p w14:paraId="217B4B9C">
            <w:pPr>
              <w:pStyle w:val="23"/>
              <w:keepNext w:val="0"/>
              <w:keepLines w:val="0"/>
              <w:suppressLineNumbers w:val="0"/>
              <w:spacing w:before="68" w:line="215" w:lineRule="auto"/>
              <w:ind w:left="118" w:leftChars="0" w:right="0" w:rightChars="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l)消防安全工作考评和奖惩制度应结合</w:t>
            </w:r>
            <w:r>
              <w:rPr>
                <w:rFonts w:hint="eastAsia" w:cs="宋体"/>
                <w:b w:val="0"/>
                <w:bCs w:val="0"/>
                <w:color w:val="auto"/>
                <w:spacing w:val="-1"/>
                <w:sz w:val="18"/>
                <w:szCs w:val="18"/>
                <w:highlight w:val="none"/>
                <w:lang w:eastAsia="zh-CN"/>
              </w:rPr>
              <w:t>建筑或场所</w:t>
            </w:r>
            <w:r>
              <w:rPr>
                <w:rFonts w:hint="eastAsia" w:ascii="宋体" w:hAnsi="宋体" w:eastAsia="宋体" w:cs="宋体"/>
                <w:b w:val="0"/>
                <w:bCs w:val="0"/>
                <w:color w:val="auto"/>
                <w:spacing w:val="-1"/>
                <w:sz w:val="18"/>
                <w:szCs w:val="18"/>
                <w:highlight w:val="none"/>
              </w:rPr>
              <w:t>实际制定；</w:t>
            </w:r>
          </w:p>
        </w:tc>
        <w:tc>
          <w:tcPr>
            <w:tcW w:w="1186" w:type="pct"/>
            <w:vMerge w:val="continue"/>
            <w:vAlign w:val="center"/>
          </w:tcPr>
          <w:p w14:paraId="44BCEF9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59" w:type="pct"/>
            <w:vAlign w:val="center"/>
          </w:tcPr>
          <w:p w14:paraId="2679D56B">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8" w:type="pct"/>
            <w:vAlign w:val="center"/>
          </w:tcPr>
          <w:p w14:paraId="4DF96B6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continue"/>
            <w:tcBorders>
              <w:right w:val="single" w:color="auto" w:sz="4" w:space="0"/>
            </w:tcBorders>
            <w:vAlign w:val="center"/>
          </w:tcPr>
          <w:p w14:paraId="22DFAEF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56768B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jc w:val="center"/>
        </w:trPr>
        <w:tc>
          <w:tcPr>
            <w:tcW w:w="206" w:type="pct"/>
            <w:vMerge w:val="continue"/>
            <w:tcBorders>
              <w:left w:val="single" w:color="auto" w:sz="4" w:space="0"/>
            </w:tcBorders>
            <w:vAlign w:val="center"/>
          </w:tcPr>
          <w:p w14:paraId="6341BE8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continue"/>
            <w:vAlign w:val="center"/>
          </w:tcPr>
          <w:p w14:paraId="21A3F0C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continue"/>
            <w:vAlign w:val="center"/>
          </w:tcPr>
          <w:p w14:paraId="4237CE92">
            <w:pPr>
              <w:pStyle w:val="23"/>
              <w:keepNext w:val="0"/>
              <w:keepLines w:val="0"/>
              <w:suppressLineNumbers w:val="0"/>
              <w:spacing w:before="68" w:beforeAutospacing="0" w:after="0" w:afterAutospacing="0" w:line="215" w:lineRule="auto"/>
              <w:ind w:left="118" w:right="0"/>
              <w:rPr>
                <w:rFonts w:hint="eastAsia" w:ascii="宋体" w:hAnsi="宋体" w:eastAsia="宋体" w:cs="宋体"/>
                <w:b w:val="0"/>
                <w:bCs w:val="0"/>
                <w:color w:val="auto"/>
                <w:spacing w:val="-1"/>
                <w:sz w:val="18"/>
                <w:szCs w:val="18"/>
                <w:highlight w:val="none"/>
              </w:rPr>
            </w:pPr>
          </w:p>
        </w:tc>
        <w:tc>
          <w:tcPr>
            <w:tcW w:w="1743" w:type="pct"/>
            <w:vAlign w:val="center"/>
          </w:tcPr>
          <w:p w14:paraId="629D9DAD">
            <w:pPr>
              <w:pStyle w:val="23"/>
              <w:keepNext w:val="0"/>
              <w:keepLines w:val="0"/>
              <w:suppressLineNumbers w:val="0"/>
              <w:spacing w:before="68" w:line="215" w:lineRule="auto"/>
              <w:ind w:left="118" w:leftChars="0" w:right="0" w:rightChars="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m)其他必要消防安全制度。</w:t>
            </w:r>
          </w:p>
        </w:tc>
        <w:tc>
          <w:tcPr>
            <w:tcW w:w="1186" w:type="pct"/>
            <w:vMerge w:val="continue"/>
            <w:vAlign w:val="center"/>
          </w:tcPr>
          <w:p w14:paraId="1766841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59" w:type="pct"/>
            <w:vAlign w:val="center"/>
          </w:tcPr>
          <w:p w14:paraId="5363AEB1">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8" w:type="pct"/>
            <w:vAlign w:val="center"/>
          </w:tcPr>
          <w:p w14:paraId="57641A5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continue"/>
            <w:tcBorders>
              <w:right w:val="single" w:color="auto" w:sz="4" w:space="0"/>
            </w:tcBorders>
            <w:vAlign w:val="center"/>
          </w:tcPr>
          <w:p w14:paraId="3846939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770E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206" w:type="pct"/>
            <w:vMerge w:val="restart"/>
            <w:tcBorders>
              <w:bottom w:val="nil"/>
            </w:tcBorders>
            <w:vAlign w:val="center"/>
          </w:tcPr>
          <w:p w14:paraId="3EE0689F">
            <w:pPr>
              <w:pStyle w:val="23"/>
              <w:keepNext w:val="0"/>
              <w:keepLines w:val="0"/>
              <w:suppressLineNumbers w:val="0"/>
              <w:spacing w:before="59" w:line="181" w:lineRule="auto"/>
              <w:ind w:left="279"/>
              <w:rPr>
                <w:rFonts w:hint="eastAsia" w:ascii="宋体" w:hAnsi="宋体" w:eastAsia="宋体" w:cs="宋体"/>
                <w:b w:val="0"/>
                <w:bCs w:val="0"/>
                <w:color w:val="auto"/>
                <w:sz w:val="18"/>
                <w:szCs w:val="18"/>
                <w:highlight w:val="none"/>
                <w:lang w:eastAsia="zh-CN"/>
              </w:rPr>
            </w:pPr>
            <w:r>
              <w:rPr>
                <w:rFonts w:hint="eastAsia" w:ascii="宋体" w:hAnsi="宋体" w:eastAsia="宋体" w:cs="宋体"/>
                <w:b w:val="0"/>
                <w:bCs w:val="0"/>
                <w:color w:val="auto"/>
                <w:spacing w:val="-2"/>
                <w:sz w:val="18"/>
                <w:szCs w:val="18"/>
                <w:highlight w:val="none"/>
                <w:lang w:val="en-US" w:eastAsia="zh-CN"/>
              </w:rPr>
              <w:t>3</w:t>
            </w:r>
          </w:p>
        </w:tc>
        <w:tc>
          <w:tcPr>
            <w:tcW w:w="477" w:type="pct"/>
            <w:vMerge w:val="restart"/>
            <w:tcBorders>
              <w:bottom w:val="nil"/>
            </w:tcBorders>
            <w:vAlign w:val="center"/>
          </w:tcPr>
          <w:p w14:paraId="69FDAB5D">
            <w:pPr>
              <w:pStyle w:val="23"/>
              <w:keepNext w:val="0"/>
              <w:keepLines w:val="0"/>
              <w:suppressLineNumbers w:val="0"/>
              <w:spacing w:before="58" w:line="308" w:lineRule="auto"/>
              <w:ind w:left="159" w:right="159"/>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安全疏散设施</w:t>
            </w:r>
            <w:r>
              <w:rPr>
                <w:rFonts w:hint="eastAsia" w:ascii="宋体" w:hAnsi="宋体" w:eastAsia="宋体" w:cs="宋体"/>
                <w:b w:val="0"/>
                <w:bCs w:val="0"/>
                <w:color w:val="auto"/>
                <w:spacing w:val="-3"/>
                <w:sz w:val="18"/>
                <w:szCs w:val="18"/>
                <w:highlight w:val="none"/>
              </w:rPr>
              <w:t>管理</w:t>
            </w:r>
            <w:r>
              <w:rPr>
                <w:rFonts w:hint="eastAsia" w:ascii="宋体" w:hAnsi="宋体" w:eastAsia="宋体" w:cs="宋体"/>
                <w:b w:val="0"/>
                <w:bCs w:val="0"/>
                <w:color w:val="auto"/>
                <w:spacing w:val="-5"/>
                <w:sz w:val="18"/>
                <w:szCs w:val="18"/>
                <w:highlight w:val="none"/>
              </w:rPr>
              <w:t>（30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1" w:type="pct"/>
            <w:vMerge w:val="restart"/>
            <w:tcBorders>
              <w:bottom w:val="nil"/>
            </w:tcBorders>
            <w:vAlign w:val="center"/>
          </w:tcPr>
          <w:p w14:paraId="41DEED8E">
            <w:pPr>
              <w:pStyle w:val="23"/>
              <w:keepNext w:val="0"/>
              <w:keepLines w:val="0"/>
              <w:suppressLineNumbers w:val="0"/>
              <w:spacing w:before="58" w:line="307" w:lineRule="auto"/>
              <w:ind w:left="113" w:right="12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安全疏散设施</w:t>
            </w:r>
            <w:r>
              <w:rPr>
                <w:rFonts w:hint="eastAsia" w:ascii="宋体" w:hAnsi="宋体" w:eastAsia="宋体" w:cs="宋体"/>
                <w:b w:val="0"/>
                <w:bCs w:val="0"/>
                <w:color w:val="auto"/>
                <w:spacing w:val="-5"/>
                <w:sz w:val="18"/>
                <w:szCs w:val="18"/>
                <w:highlight w:val="none"/>
              </w:rPr>
              <w:t>管理（30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1743" w:type="pct"/>
            <w:vAlign w:val="center"/>
          </w:tcPr>
          <w:p w14:paraId="00FA3E82">
            <w:pPr>
              <w:pStyle w:val="23"/>
              <w:keepNext w:val="0"/>
              <w:keepLines w:val="0"/>
              <w:suppressLineNumbers w:val="0"/>
              <w:spacing w:before="70" w:line="281" w:lineRule="auto"/>
              <w:ind w:left="139" w:right="100" w:hanging="2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a)疏散通道、疏散楼梯是否保持畅通，有无堆放杂物、</w:t>
            </w:r>
            <w:r>
              <w:rPr>
                <w:rFonts w:hint="eastAsia" w:ascii="宋体" w:hAnsi="宋体" w:eastAsia="宋体" w:cs="宋体"/>
                <w:b w:val="0"/>
                <w:bCs w:val="0"/>
                <w:color w:val="auto"/>
                <w:spacing w:val="-3"/>
                <w:sz w:val="18"/>
                <w:szCs w:val="18"/>
                <w:highlight w:val="none"/>
              </w:rPr>
              <w:t>占用疏散通道、疏散楼梯现象；</w:t>
            </w:r>
          </w:p>
        </w:tc>
        <w:tc>
          <w:tcPr>
            <w:tcW w:w="1186" w:type="pct"/>
            <w:vAlign w:val="center"/>
          </w:tcPr>
          <w:p w14:paraId="795F020E">
            <w:pPr>
              <w:pStyle w:val="23"/>
              <w:keepNext w:val="0"/>
              <w:keepLines w:val="0"/>
              <w:suppressLineNumbers w:val="0"/>
              <w:spacing w:before="70" w:line="281" w:lineRule="auto"/>
              <w:ind w:left="111" w:right="5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7"/>
                <w:sz w:val="18"/>
                <w:szCs w:val="18"/>
                <w:highlight w:val="none"/>
              </w:rPr>
              <w:t>现场实地检查，每发现一处问题扣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7"/>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分，最高扣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7"/>
                <w:sz w:val="18"/>
                <w:szCs w:val="18"/>
                <w:highlight w:val="none"/>
              </w:rPr>
              <w:t>8</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w:t>
            </w:r>
          </w:p>
        </w:tc>
        <w:tc>
          <w:tcPr>
            <w:tcW w:w="359" w:type="pct"/>
            <w:vAlign w:val="center"/>
          </w:tcPr>
          <w:p w14:paraId="530673EF">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eastAsia="zh-CN"/>
              </w:rPr>
            </w:pPr>
          </w:p>
        </w:tc>
        <w:tc>
          <w:tcPr>
            <w:tcW w:w="328" w:type="pct"/>
            <w:vAlign w:val="center"/>
          </w:tcPr>
          <w:p w14:paraId="249DC4A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restart"/>
            <w:tcBorders>
              <w:bottom w:val="nil"/>
            </w:tcBorders>
            <w:vAlign w:val="center"/>
          </w:tcPr>
          <w:p w14:paraId="762892EB">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18"/>
                <w:szCs w:val="18"/>
                <w:highlight w:val="none"/>
                <w:lang w:val="en-US" w:eastAsia="zh-CN"/>
              </w:rPr>
            </w:pPr>
          </w:p>
        </w:tc>
      </w:tr>
      <w:tr w14:paraId="724E6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206" w:type="pct"/>
            <w:vMerge w:val="continue"/>
            <w:tcBorders>
              <w:top w:val="nil"/>
              <w:bottom w:val="nil"/>
            </w:tcBorders>
            <w:vAlign w:val="center"/>
          </w:tcPr>
          <w:p w14:paraId="777A77C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continue"/>
            <w:tcBorders>
              <w:top w:val="nil"/>
              <w:bottom w:val="nil"/>
            </w:tcBorders>
            <w:vAlign w:val="center"/>
          </w:tcPr>
          <w:p w14:paraId="2093802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continue"/>
            <w:tcBorders>
              <w:top w:val="nil"/>
              <w:bottom w:val="nil"/>
            </w:tcBorders>
            <w:vAlign w:val="center"/>
          </w:tcPr>
          <w:p w14:paraId="18D9DC1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3" w:type="pct"/>
            <w:vAlign w:val="center"/>
          </w:tcPr>
          <w:p w14:paraId="0A52AA0D">
            <w:pPr>
              <w:pStyle w:val="23"/>
              <w:keepNext w:val="0"/>
              <w:keepLines w:val="0"/>
              <w:suppressLineNumbers w:val="0"/>
              <w:spacing w:before="68" w:line="215" w:lineRule="auto"/>
              <w:ind w:left="118"/>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b)安全出口是否保持畅通，有无锁闭、封堵等现象；</w:t>
            </w:r>
          </w:p>
        </w:tc>
        <w:tc>
          <w:tcPr>
            <w:tcW w:w="1186" w:type="pct"/>
            <w:vAlign w:val="center"/>
          </w:tcPr>
          <w:p w14:paraId="732DA99D">
            <w:pPr>
              <w:pStyle w:val="23"/>
              <w:keepNext w:val="0"/>
              <w:keepLines w:val="0"/>
              <w:suppressLineNumbers w:val="0"/>
              <w:spacing w:before="70" w:line="281" w:lineRule="auto"/>
              <w:ind w:left="111" w:right="5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7"/>
                <w:sz w:val="18"/>
                <w:szCs w:val="18"/>
                <w:highlight w:val="none"/>
              </w:rPr>
              <w:t>现场实地检查，每发现一处问题扣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7"/>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分，最高扣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7"/>
                <w:sz w:val="18"/>
                <w:szCs w:val="18"/>
                <w:highlight w:val="none"/>
              </w:rPr>
              <w:t>8</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w:t>
            </w:r>
          </w:p>
        </w:tc>
        <w:tc>
          <w:tcPr>
            <w:tcW w:w="359" w:type="pct"/>
            <w:vAlign w:val="center"/>
          </w:tcPr>
          <w:p w14:paraId="15E8289E">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28" w:type="pct"/>
            <w:vAlign w:val="center"/>
          </w:tcPr>
          <w:p w14:paraId="7B3815B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continue"/>
            <w:tcBorders>
              <w:top w:val="nil"/>
              <w:bottom w:val="nil"/>
            </w:tcBorders>
            <w:vAlign w:val="center"/>
          </w:tcPr>
          <w:p w14:paraId="050EB9E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4E4C98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206" w:type="pct"/>
            <w:vMerge w:val="continue"/>
            <w:tcBorders>
              <w:top w:val="nil"/>
              <w:bottom w:val="nil"/>
            </w:tcBorders>
            <w:vAlign w:val="center"/>
          </w:tcPr>
          <w:p w14:paraId="64A5E43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continue"/>
            <w:tcBorders>
              <w:top w:val="nil"/>
              <w:bottom w:val="nil"/>
            </w:tcBorders>
            <w:vAlign w:val="center"/>
          </w:tcPr>
          <w:p w14:paraId="18C561D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continue"/>
            <w:tcBorders>
              <w:top w:val="nil"/>
              <w:bottom w:val="nil"/>
            </w:tcBorders>
            <w:vAlign w:val="center"/>
          </w:tcPr>
          <w:p w14:paraId="717F60D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3" w:type="pct"/>
            <w:vAlign w:val="center"/>
          </w:tcPr>
          <w:p w14:paraId="0D4D4A32">
            <w:pPr>
              <w:pStyle w:val="23"/>
              <w:keepNext w:val="0"/>
              <w:keepLines w:val="0"/>
              <w:suppressLineNumbers w:val="0"/>
              <w:spacing w:before="68" w:line="215" w:lineRule="auto"/>
              <w:ind w:left="118"/>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c)常闭式防火门是否处于关闭状态；</w:t>
            </w:r>
          </w:p>
        </w:tc>
        <w:tc>
          <w:tcPr>
            <w:tcW w:w="1186" w:type="pct"/>
            <w:vAlign w:val="center"/>
          </w:tcPr>
          <w:p w14:paraId="3CC7000E">
            <w:pPr>
              <w:pStyle w:val="23"/>
              <w:keepNext w:val="0"/>
              <w:keepLines w:val="0"/>
              <w:suppressLineNumbers w:val="0"/>
              <w:spacing w:before="70" w:line="281" w:lineRule="auto"/>
              <w:ind w:left="111" w:right="5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7"/>
                <w:sz w:val="18"/>
                <w:szCs w:val="18"/>
                <w:highlight w:val="none"/>
              </w:rPr>
              <w:t>现场实地检查，每发现一处问题扣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7"/>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分，最高扣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7"/>
                <w:sz w:val="18"/>
                <w:szCs w:val="18"/>
                <w:highlight w:val="none"/>
              </w:rPr>
              <w:t>6</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w:t>
            </w:r>
          </w:p>
        </w:tc>
        <w:tc>
          <w:tcPr>
            <w:tcW w:w="359" w:type="pct"/>
            <w:vAlign w:val="center"/>
          </w:tcPr>
          <w:p w14:paraId="25FFB7D7">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8" w:type="pct"/>
            <w:vAlign w:val="center"/>
          </w:tcPr>
          <w:p w14:paraId="5D6130E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continue"/>
            <w:tcBorders>
              <w:top w:val="nil"/>
              <w:bottom w:val="nil"/>
            </w:tcBorders>
            <w:vAlign w:val="center"/>
          </w:tcPr>
          <w:p w14:paraId="4524722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4638E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jc w:val="center"/>
        </w:trPr>
        <w:tc>
          <w:tcPr>
            <w:tcW w:w="206" w:type="pct"/>
            <w:vMerge w:val="continue"/>
            <w:tcBorders>
              <w:top w:val="nil"/>
            </w:tcBorders>
            <w:vAlign w:val="center"/>
          </w:tcPr>
          <w:p w14:paraId="552A9DD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77" w:type="pct"/>
            <w:vMerge w:val="continue"/>
            <w:tcBorders>
              <w:top w:val="nil"/>
            </w:tcBorders>
            <w:vAlign w:val="center"/>
          </w:tcPr>
          <w:p w14:paraId="3FAB730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1" w:type="pct"/>
            <w:vMerge w:val="continue"/>
            <w:tcBorders>
              <w:top w:val="nil"/>
            </w:tcBorders>
            <w:vAlign w:val="center"/>
          </w:tcPr>
          <w:p w14:paraId="07BA36B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3" w:type="pct"/>
            <w:vAlign w:val="center"/>
          </w:tcPr>
          <w:p w14:paraId="5F5FDEBA">
            <w:pPr>
              <w:pStyle w:val="23"/>
              <w:keepNext w:val="0"/>
              <w:keepLines w:val="0"/>
              <w:suppressLineNumbers w:val="0"/>
              <w:spacing w:before="68" w:line="215" w:lineRule="auto"/>
              <w:ind w:left="118" w:right="0" w:firstLine="0"/>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d)建筑外窗、疏散通道是否设置影响疏散逃生的广告牌、铁栅栏等障碍物。</w:t>
            </w:r>
          </w:p>
        </w:tc>
        <w:tc>
          <w:tcPr>
            <w:tcW w:w="1186" w:type="pct"/>
            <w:vAlign w:val="center"/>
          </w:tcPr>
          <w:p w14:paraId="5DF76944">
            <w:pPr>
              <w:pStyle w:val="23"/>
              <w:keepNext w:val="0"/>
              <w:keepLines w:val="0"/>
              <w:suppressLineNumbers w:val="0"/>
              <w:spacing w:before="233" w:line="307" w:lineRule="auto"/>
              <w:ind w:left="111" w:right="5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7"/>
                <w:sz w:val="18"/>
                <w:szCs w:val="18"/>
                <w:highlight w:val="none"/>
              </w:rPr>
              <w:t>现场实地检查，每发现一处问题扣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7"/>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分，最高扣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7"/>
                <w:sz w:val="18"/>
                <w:szCs w:val="18"/>
                <w:highlight w:val="none"/>
              </w:rPr>
              <w:t>8</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w:t>
            </w:r>
          </w:p>
        </w:tc>
        <w:tc>
          <w:tcPr>
            <w:tcW w:w="359" w:type="pct"/>
            <w:vAlign w:val="center"/>
          </w:tcPr>
          <w:p w14:paraId="76BAD87C">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28" w:type="pct"/>
            <w:vAlign w:val="center"/>
          </w:tcPr>
          <w:p w14:paraId="4D86CBC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37" w:type="pct"/>
            <w:vMerge w:val="continue"/>
            <w:tcBorders>
              <w:top w:val="nil"/>
            </w:tcBorders>
            <w:vAlign w:val="center"/>
          </w:tcPr>
          <w:p w14:paraId="0DD9FA7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bl>
    <w:p w14:paraId="00A90E05">
      <w:pPr>
        <w:rPr>
          <w:highlight w:val="none"/>
        </w:rPr>
      </w:pPr>
      <w:r>
        <w:rPr>
          <w:highlight w:val="none"/>
        </w:rPr>
        <w:br w:type="page"/>
      </w:r>
    </w:p>
    <w:tbl>
      <w:tblPr>
        <w:tblStyle w:val="24"/>
        <w:tblW w:w="495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2"/>
        <w:gridCol w:w="1466"/>
        <w:gridCol w:w="1094"/>
        <w:gridCol w:w="5170"/>
        <w:gridCol w:w="3588"/>
        <w:gridCol w:w="1022"/>
        <w:gridCol w:w="1007"/>
        <w:gridCol w:w="975"/>
      </w:tblGrid>
      <w:tr w14:paraId="59328A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jc w:val="center"/>
        </w:trPr>
        <w:tc>
          <w:tcPr>
            <w:tcW w:w="192" w:type="pct"/>
            <w:vAlign w:val="center"/>
          </w:tcPr>
          <w:p w14:paraId="2AD54DBB">
            <w:pPr>
              <w:pStyle w:val="23"/>
              <w:keepNext w:val="0"/>
              <w:keepLines w:val="0"/>
              <w:suppressLineNumbers w:val="0"/>
              <w:spacing w:before="70" w:line="222" w:lineRule="auto"/>
              <w:ind w:left="140"/>
              <w:rPr>
                <w:highlight w:val="none"/>
              </w:rPr>
            </w:pPr>
            <w:r>
              <w:rPr>
                <w:b/>
                <w:bCs/>
                <w:spacing w:val="-3"/>
                <w:highlight w:val="none"/>
              </w:rPr>
              <w:t>序号</w:t>
            </w:r>
          </w:p>
        </w:tc>
        <w:tc>
          <w:tcPr>
            <w:tcW w:w="492" w:type="pct"/>
            <w:vAlign w:val="center"/>
          </w:tcPr>
          <w:p w14:paraId="44F249B7">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35F76D81">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5" w:type="pct"/>
            <w:vAlign w:val="center"/>
          </w:tcPr>
          <w:p w14:paraId="078B7A83">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204" w:type="pct"/>
            <w:vAlign w:val="center"/>
          </w:tcPr>
          <w:p w14:paraId="55FA1C92">
            <w:pPr>
              <w:pStyle w:val="23"/>
              <w:keepNext w:val="0"/>
              <w:keepLines w:val="0"/>
              <w:suppressLineNumbers w:val="0"/>
              <w:spacing w:before="70" w:line="221" w:lineRule="auto"/>
              <w:ind w:left="1299"/>
              <w:rPr>
                <w:highlight w:val="none"/>
              </w:rPr>
            </w:pPr>
            <w:r>
              <w:rPr>
                <w:b/>
                <w:bCs/>
                <w:spacing w:val="-3"/>
                <w:highlight w:val="none"/>
              </w:rPr>
              <w:t>评分标准</w:t>
            </w:r>
          </w:p>
        </w:tc>
        <w:tc>
          <w:tcPr>
            <w:tcW w:w="343" w:type="pct"/>
            <w:vAlign w:val="center"/>
          </w:tcPr>
          <w:p w14:paraId="25BFB39D">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428D3ED7">
            <w:pPr>
              <w:pStyle w:val="23"/>
              <w:keepNext w:val="0"/>
              <w:keepLines w:val="0"/>
              <w:suppressLineNumbers w:val="0"/>
              <w:spacing w:before="70" w:line="221" w:lineRule="auto"/>
              <w:ind w:left="316"/>
              <w:rPr>
                <w:highlight w:val="none"/>
              </w:rPr>
            </w:pPr>
            <w:r>
              <w:rPr>
                <w:b/>
                <w:bCs/>
                <w:spacing w:val="-4"/>
                <w:highlight w:val="none"/>
              </w:rPr>
              <w:t>扣分</w:t>
            </w:r>
          </w:p>
        </w:tc>
        <w:tc>
          <w:tcPr>
            <w:tcW w:w="327" w:type="pct"/>
            <w:vAlign w:val="center"/>
          </w:tcPr>
          <w:p w14:paraId="7544C58D">
            <w:pPr>
              <w:pStyle w:val="23"/>
              <w:keepNext w:val="0"/>
              <w:keepLines w:val="0"/>
              <w:suppressLineNumbers w:val="0"/>
              <w:spacing w:before="71" w:line="220" w:lineRule="auto"/>
              <w:ind w:left="295"/>
              <w:rPr>
                <w:highlight w:val="none"/>
              </w:rPr>
            </w:pPr>
            <w:r>
              <w:rPr>
                <w:b/>
                <w:bCs/>
                <w:spacing w:val="-4"/>
                <w:highlight w:val="none"/>
              </w:rPr>
              <w:t>得分</w:t>
            </w:r>
          </w:p>
        </w:tc>
      </w:tr>
      <w:tr w14:paraId="73030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4" w:hRule="atLeast"/>
          <w:jc w:val="center"/>
        </w:trPr>
        <w:tc>
          <w:tcPr>
            <w:tcW w:w="192" w:type="pct"/>
            <w:vMerge w:val="restart"/>
            <w:tcBorders>
              <w:bottom w:val="nil"/>
            </w:tcBorders>
            <w:vAlign w:val="center"/>
          </w:tcPr>
          <w:p w14:paraId="040BE515">
            <w:pPr>
              <w:pStyle w:val="23"/>
              <w:keepNext w:val="0"/>
              <w:keepLines w:val="0"/>
              <w:suppressLineNumbers w:val="0"/>
              <w:spacing w:before="58" w:line="180" w:lineRule="auto"/>
              <w:ind w:left="282"/>
              <w:rPr>
                <w:rFonts w:hint="eastAsia" w:ascii="宋体" w:hAnsi="宋体" w:eastAsia="宋体" w:cs="宋体"/>
                <w:b w:val="0"/>
                <w:bCs w:val="0"/>
                <w:color w:val="auto"/>
                <w:sz w:val="18"/>
                <w:szCs w:val="18"/>
                <w:highlight w:val="none"/>
                <w:lang w:eastAsia="zh-CN"/>
              </w:rPr>
            </w:pPr>
            <w:r>
              <w:rPr>
                <w:rFonts w:hint="eastAsia" w:ascii="宋体" w:hAnsi="宋体" w:eastAsia="宋体" w:cs="宋体"/>
                <w:b w:val="0"/>
                <w:bCs w:val="0"/>
                <w:color w:val="auto"/>
                <w:spacing w:val="-2"/>
                <w:sz w:val="18"/>
                <w:szCs w:val="18"/>
                <w:highlight w:val="none"/>
                <w:lang w:val="en-US" w:eastAsia="zh-CN"/>
              </w:rPr>
              <w:t>4</w:t>
            </w:r>
          </w:p>
        </w:tc>
        <w:tc>
          <w:tcPr>
            <w:tcW w:w="492" w:type="pct"/>
            <w:vMerge w:val="restart"/>
            <w:tcBorders>
              <w:bottom w:val="nil"/>
            </w:tcBorders>
            <w:vAlign w:val="center"/>
          </w:tcPr>
          <w:p w14:paraId="3CDCDE78">
            <w:pPr>
              <w:pStyle w:val="23"/>
              <w:keepNext w:val="0"/>
              <w:keepLines w:val="0"/>
              <w:suppressLineNumbers w:val="0"/>
              <w:spacing w:before="58" w:line="308" w:lineRule="auto"/>
              <w:ind w:left="113" w:right="10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4"/>
                <w:sz w:val="18"/>
                <w:szCs w:val="18"/>
                <w:highlight w:val="none"/>
              </w:rPr>
              <w:t>消防设施、器材</w:t>
            </w:r>
            <w:r>
              <w:rPr>
                <w:rFonts w:hint="eastAsia" w:ascii="宋体" w:hAnsi="宋体" w:eastAsia="宋体" w:cs="宋体"/>
                <w:b w:val="0"/>
                <w:bCs w:val="0"/>
                <w:color w:val="auto"/>
                <w:spacing w:val="-2"/>
                <w:sz w:val="18"/>
                <w:szCs w:val="18"/>
                <w:highlight w:val="none"/>
              </w:rPr>
              <w:t>维护管理</w:t>
            </w:r>
            <w:r>
              <w:rPr>
                <w:rFonts w:hint="eastAsia" w:ascii="宋体" w:hAnsi="宋体" w:eastAsia="宋体" w:cs="宋体"/>
                <w:b w:val="0"/>
                <w:bCs w:val="0"/>
                <w:color w:val="auto"/>
                <w:spacing w:val="-5"/>
                <w:sz w:val="18"/>
                <w:szCs w:val="18"/>
                <w:highlight w:val="none"/>
              </w:rPr>
              <w:t>（20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7" w:type="pct"/>
            <w:vMerge w:val="restart"/>
            <w:tcBorders>
              <w:bottom w:val="nil"/>
            </w:tcBorders>
            <w:vAlign w:val="center"/>
          </w:tcPr>
          <w:p w14:paraId="09C0C93D">
            <w:pPr>
              <w:pStyle w:val="23"/>
              <w:keepNext w:val="0"/>
              <w:keepLines w:val="0"/>
              <w:suppressLineNumbers w:val="0"/>
              <w:spacing w:before="59" w:line="306" w:lineRule="auto"/>
              <w:ind w:left="110" w:right="157" w:firstLine="3"/>
              <w:jc w:val="center"/>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消防设施、器材维护管理</w:t>
            </w:r>
            <w:r>
              <w:rPr>
                <w:rFonts w:hint="eastAsia" w:ascii="宋体" w:hAnsi="宋体" w:eastAsia="宋体" w:cs="宋体"/>
                <w:b w:val="0"/>
                <w:bCs w:val="0"/>
                <w:color w:val="auto"/>
                <w:spacing w:val="-5"/>
                <w:sz w:val="18"/>
                <w:szCs w:val="18"/>
                <w:highlight w:val="none"/>
              </w:rPr>
              <w:t>（20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1735" w:type="pct"/>
            <w:vAlign w:val="center"/>
          </w:tcPr>
          <w:p w14:paraId="5B7A1F0C">
            <w:pPr>
              <w:pStyle w:val="23"/>
              <w:keepNext w:val="0"/>
              <w:keepLines w:val="0"/>
              <w:suppressLineNumbers w:val="0"/>
              <w:spacing w:before="59" w:line="220" w:lineRule="auto"/>
              <w:ind w:left="11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a)建筑消防设施定期进行维护保养、检测情况；</w:t>
            </w:r>
          </w:p>
        </w:tc>
        <w:tc>
          <w:tcPr>
            <w:tcW w:w="1204" w:type="pct"/>
            <w:vAlign w:val="center"/>
          </w:tcPr>
          <w:p w14:paraId="6D82EDB9">
            <w:pPr>
              <w:pStyle w:val="23"/>
              <w:keepNext w:val="0"/>
              <w:keepLines w:val="0"/>
              <w:suppressLineNumbers w:val="0"/>
              <w:spacing w:before="70" w:line="301" w:lineRule="auto"/>
              <w:ind w:left="110" w:right="150"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未提供最近一年的消防设施维护保养记</w:t>
            </w:r>
            <w:r>
              <w:rPr>
                <w:rFonts w:hint="eastAsia" w:ascii="宋体" w:hAnsi="宋体" w:eastAsia="宋体" w:cs="宋体"/>
                <w:b w:val="0"/>
                <w:bCs w:val="0"/>
                <w:color w:val="auto"/>
                <w:spacing w:val="-2"/>
                <w:sz w:val="18"/>
                <w:szCs w:val="18"/>
                <w:highlight w:val="none"/>
              </w:rPr>
              <w:t>录、委托合同及报告的扣</w:t>
            </w:r>
            <w:r>
              <w:rPr>
                <w:rFonts w:hint="eastAsia" w:ascii="宋体" w:hAnsi="宋体" w:eastAsia="宋体" w:cs="宋体"/>
                <w:b w:val="0"/>
                <w:bCs w:val="0"/>
                <w:color w:val="auto"/>
                <w:spacing w:val="-33"/>
                <w:sz w:val="18"/>
                <w:szCs w:val="18"/>
                <w:highlight w:val="none"/>
              </w:rPr>
              <w:t xml:space="preserve"> </w:t>
            </w:r>
            <w:r>
              <w:rPr>
                <w:rFonts w:hint="eastAsia" w:ascii="宋体" w:hAnsi="宋体" w:eastAsia="宋体" w:cs="宋体"/>
                <w:b w:val="0"/>
                <w:bCs w:val="0"/>
                <w:color w:val="auto"/>
                <w:spacing w:val="-2"/>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分。未提供</w:t>
            </w:r>
            <w:r>
              <w:rPr>
                <w:rFonts w:hint="eastAsia" w:ascii="宋体" w:hAnsi="宋体" w:eastAsia="宋体" w:cs="宋体"/>
                <w:b w:val="0"/>
                <w:bCs w:val="0"/>
                <w:color w:val="auto"/>
                <w:spacing w:val="-1"/>
                <w:sz w:val="18"/>
                <w:szCs w:val="18"/>
                <w:highlight w:val="none"/>
              </w:rPr>
              <w:t>最近一年的消防设施检测记录、委托合</w:t>
            </w:r>
            <w:r>
              <w:rPr>
                <w:rFonts w:hint="eastAsia" w:ascii="宋体" w:hAnsi="宋体" w:eastAsia="宋体" w:cs="宋体"/>
                <w:b w:val="0"/>
                <w:bCs w:val="0"/>
                <w:color w:val="auto"/>
                <w:spacing w:val="-5"/>
                <w:sz w:val="18"/>
                <w:szCs w:val="18"/>
                <w:highlight w:val="none"/>
              </w:rPr>
              <w:t>同及报告的扣</w:t>
            </w:r>
            <w:r>
              <w:rPr>
                <w:rFonts w:hint="eastAsia" w:ascii="宋体" w:hAnsi="宋体" w:eastAsia="宋体" w:cs="宋体"/>
                <w:b w:val="0"/>
                <w:bCs w:val="0"/>
                <w:color w:val="auto"/>
                <w:spacing w:val="-28"/>
                <w:sz w:val="18"/>
                <w:szCs w:val="18"/>
                <w:highlight w:val="none"/>
              </w:rPr>
              <w:t xml:space="preserve"> </w:t>
            </w:r>
            <w:r>
              <w:rPr>
                <w:rFonts w:hint="eastAsia" w:ascii="宋体" w:hAnsi="宋体" w:eastAsia="宋体" w:cs="宋体"/>
                <w:b w:val="0"/>
                <w:bCs w:val="0"/>
                <w:color w:val="auto"/>
                <w:spacing w:val="-5"/>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43" w:type="pct"/>
            <w:vAlign w:val="center"/>
          </w:tcPr>
          <w:p w14:paraId="10A8402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eastAsia="zh-CN"/>
              </w:rPr>
            </w:pPr>
          </w:p>
        </w:tc>
        <w:tc>
          <w:tcPr>
            <w:tcW w:w="338" w:type="pct"/>
            <w:vAlign w:val="center"/>
          </w:tcPr>
          <w:p w14:paraId="174E0DDA">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18"/>
                <w:szCs w:val="18"/>
                <w:highlight w:val="none"/>
                <w:lang w:val="en-US" w:eastAsia="zh-CN"/>
              </w:rPr>
            </w:pPr>
          </w:p>
        </w:tc>
        <w:tc>
          <w:tcPr>
            <w:tcW w:w="327" w:type="pct"/>
            <w:vMerge w:val="restart"/>
            <w:tcBorders>
              <w:bottom w:val="nil"/>
            </w:tcBorders>
            <w:vAlign w:val="center"/>
          </w:tcPr>
          <w:p w14:paraId="2C66F90B">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18"/>
                <w:szCs w:val="18"/>
                <w:highlight w:val="none"/>
                <w:lang w:val="en-US" w:eastAsia="zh-CN"/>
              </w:rPr>
            </w:pPr>
          </w:p>
        </w:tc>
      </w:tr>
      <w:tr w14:paraId="3E477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6" w:hRule="atLeast"/>
          <w:jc w:val="center"/>
        </w:trPr>
        <w:tc>
          <w:tcPr>
            <w:tcW w:w="192" w:type="pct"/>
            <w:vMerge w:val="continue"/>
            <w:tcBorders>
              <w:top w:val="nil"/>
            </w:tcBorders>
            <w:vAlign w:val="center"/>
          </w:tcPr>
          <w:p w14:paraId="24395C0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2" w:type="pct"/>
            <w:vMerge w:val="continue"/>
            <w:tcBorders>
              <w:top w:val="nil"/>
            </w:tcBorders>
            <w:vAlign w:val="center"/>
          </w:tcPr>
          <w:p w14:paraId="1E49D68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tcBorders>
              <w:top w:val="nil"/>
            </w:tcBorders>
            <w:vAlign w:val="center"/>
          </w:tcPr>
          <w:p w14:paraId="144BAF7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5" w:type="pct"/>
            <w:vAlign w:val="center"/>
          </w:tcPr>
          <w:p w14:paraId="50C04E92">
            <w:pPr>
              <w:pStyle w:val="23"/>
              <w:keepNext w:val="0"/>
              <w:keepLines w:val="0"/>
              <w:suppressLineNumbers w:val="0"/>
              <w:spacing w:before="222" w:line="307" w:lineRule="auto"/>
              <w:ind w:left="112" w:right="105" w:hanging="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b)消防设施、器材的登记、保管、维护保养和检测是否</w:t>
            </w:r>
            <w:r>
              <w:rPr>
                <w:rFonts w:hint="eastAsia" w:ascii="宋体" w:hAnsi="宋体" w:eastAsia="宋体" w:cs="宋体"/>
                <w:b w:val="0"/>
                <w:bCs w:val="0"/>
                <w:color w:val="auto"/>
                <w:spacing w:val="-1"/>
                <w:sz w:val="18"/>
                <w:szCs w:val="18"/>
                <w:highlight w:val="none"/>
              </w:rPr>
              <w:t>建立了记录并存档备査。</w:t>
            </w:r>
          </w:p>
        </w:tc>
        <w:tc>
          <w:tcPr>
            <w:tcW w:w="1204" w:type="pct"/>
            <w:vAlign w:val="center"/>
          </w:tcPr>
          <w:p w14:paraId="0FF84B94">
            <w:pPr>
              <w:pStyle w:val="23"/>
              <w:keepNext w:val="0"/>
              <w:keepLines w:val="0"/>
              <w:suppressLineNumbers w:val="0"/>
              <w:spacing w:before="67" w:line="295" w:lineRule="auto"/>
              <w:ind w:left="109" w:right="150"/>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检查消防设施、器材的登记、保管、维护保养和检测记录及存档情况，每发现</w:t>
            </w:r>
            <w:r>
              <w:rPr>
                <w:rFonts w:hint="eastAsia" w:ascii="宋体" w:hAnsi="宋体" w:eastAsia="宋体" w:cs="宋体"/>
                <w:b w:val="0"/>
                <w:bCs w:val="0"/>
                <w:color w:val="auto"/>
                <w:spacing w:val="-5"/>
                <w:sz w:val="18"/>
                <w:szCs w:val="18"/>
                <w:highlight w:val="none"/>
              </w:rPr>
              <w:t>一处问题扣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5"/>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分，最高扣</w:t>
            </w:r>
            <w:r>
              <w:rPr>
                <w:rFonts w:hint="eastAsia" w:ascii="宋体" w:hAnsi="宋体" w:eastAsia="宋体" w:cs="宋体"/>
                <w:b w:val="0"/>
                <w:bCs w:val="0"/>
                <w:color w:val="auto"/>
                <w:spacing w:val="-27"/>
                <w:sz w:val="18"/>
                <w:szCs w:val="18"/>
                <w:highlight w:val="none"/>
              </w:rPr>
              <w:t xml:space="preserve"> </w:t>
            </w:r>
            <w:r>
              <w:rPr>
                <w:rFonts w:hint="eastAsia" w:ascii="宋体" w:hAnsi="宋体" w:eastAsia="宋体" w:cs="宋体"/>
                <w:b w:val="0"/>
                <w:bCs w:val="0"/>
                <w:color w:val="auto"/>
                <w:spacing w:val="-5"/>
                <w:sz w:val="18"/>
                <w:szCs w:val="18"/>
                <w:highlight w:val="none"/>
              </w:rPr>
              <w:t>10</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43" w:type="pct"/>
            <w:vAlign w:val="center"/>
          </w:tcPr>
          <w:p w14:paraId="27239F82">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eastAsia="zh-CN"/>
              </w:rPr>
            </w:pPr>
          </w:p>
        </w:tc>
        <w:tc>
          <w:tcPr>
            <w:tcW w:w="338" w:type="pct"/>
            <w:vAlign w:val="center"/>
          </w:tcPr>
          <w:p w14:paraId="2A55AD92">
            <w:pPr>
              <w:keepNext w:val="0"/>
              <w:keepLines w:val="0"/>
              <w:suppressLineNumbers w:val="0"/>
              <w:spacing w:before="0" w:beforeAutospacing="0" w:after="0" w:afterAutospacing="0"/>
              <w:ind w:left="0" w:right="0"/>
              <w:jc w:val="left"/>
              <w:rPr>
                <w:rFonts w:hint="eastAsia" w:ascii="宋体" w:hAnsi="宋体" w:eastAsia="宋体" w:cs="宋体"/>
                <w:b w:val="0"/>
                <w:bCs w:val="0"/>
                <w:color w:val="auto"/>
                <w:sz w:val="18"/>
                <w:szCs w:val="18"/>
                <w:highlight w:val="none"/>
              </w:rPr>
            </w:pPr>
          </w:p>
        </w:tc>
        <w:tc>
          <w:tcPr>
            <w:tcW w:w="327" w:type="pct"/>
            <w:vMerge w:val="continue"/>
            <w:tcBorders>
              <w:top w:val="nil"/>
            </w:tcBorders>
            <w:vAlign w:val="center"/>
          </w:tcPr>
          <w:p w14:paraId="328E694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53D5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5" w:hRule="atLeast"/>
          <w:jc w:val="center"/>
        </w:trPr>
        <w:tc>
          <w:tcPr>
            <w:tcW w:w="192" w:type="pct"/>
            <w:vMerge w:val="restart"/>
            <w:tcBorders>
              <w:bottom w:val="nil"/>
            </w:tcBorders>
            <w:vAlign w:val="center"/>
          </w:tcPr>
          <w:p w14:paraId="16775844">
            <w:pPr>
              <w:pStyle w:val="23"/>
              <w:keepNext w:val="0"/>
              <w:keepLines w:val="0"/>
              <w:suppressLineNumbers w:val="0"/>
              <w:spacing w:before="58" w:line="181" w:lineRule="auto"/>
              <w:ind w:left="278"/>
              <w:rPr>
                <w:rFonts w:hint="eastAsia" w:ascii="宋体" w:hAnsi="宋体" w:eastAsia="宋体" w:cs="宋体"/>
                <w:b w:val="0"/>
                <w:bCs w:val="0"/>
                <w:color w:val="auto"/>
                <w:sz w:val="18"/>
                <w:szCs w:val="18"/>
                <w:highlight w:val="none"/>
                <w:lang w:eastAsia="zh-CN"/>
              </w:rPr>
            </w:pPr>
            <w:r>
              <w:rPr>
                <w:rFonts w:hint="eastAsia" w:ascii="宋体" w:hAnsi="宋体" w:eastAsia="宋体" w:cs="宋体"/>
                <w:b w:val="0"/>
                <w:bCs w:val="0"/>
                <w:color w:val="auto"/>
                <w:spacing w:val="-2"/>
                <w:sz w:val="18"/>
                <w:szCs w:val="18"/>
                <w:highlight w:val="none"/>
                <w:lang w:val="en-US" w:eastAsia="zh-CN"/>
              </w:rPr>
              <w:t>5</w:t>
            </w:r>
          </w:p>
        </w:tc>
        <w:tc>
          <w:tcPr>
            <w:tcW w:w="492" w:type="pct"/>
            <w:vMerge w:val="restart"/>
            <w:tcBorders>
              <w:bottom w:val="nil"/>
            </w:tcBorders>
            <w:vAlign w:val="center"/>
          </w:tcPr>
          <w:p w14:paraId="618456B5">
            <w:pPr>
              <w:pStyle w:val="23"/>
              <w:keepNext w:val="0"/>
              <w:keepLines w:val="0"/>
              <w:suppressLineNumbers w:val="0"/>
              <w:spacing w:before="58" w:line="220" w:lineRule="auto"/>
              <w:ind w:left="16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消防控制室管</w:t>
            </w:r>
            <w:r>
              <w:rPr>
                <w:rFonts w:hint="eastAsia" w:ascii="宋体" w:hAnsi="宋体" w:eastAsia="宋体" w:cs="宋体"/>
                <w:b w:val="0"/>
                <w:bCs w:val="0"/>
                <w:color w:val="auto"/>
                <w:sz w:val="18"/>
                <w:szCs w:val="18"/>
                <w:highlight w:val="none"/>
              </w:rPr>
              <w:t>理</w:t>
            </w:r>
          </w:p>
          <w:p w14:paraId="7EDBF2DF">
            <w:pPr>
              <w:pStyle w:val="23"/>
              <w:keepNext w:val="0"/>
              <w:keepLines w:val="0"/>
              <w:suppressLineNumbers w:val="0"/>
              <w:spacing w:before="87" w:line="221" w:lineRule="auto"/>
              <w:ind w:left="31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（30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7" w:type="pct"/>
            <w:vAlign w:val="center"/>
          </w:tcPr>
          <w:p w14:paraId="3CF3E314">
            <w:pPr>
              <w:pStyle w:val="23"/>
              <w:keepNext w:val="0"/>
              <w:keepLines w:val="0"/>
              <w:suppressLineNumbers w:val="0"/>
              <w:spacing w:before="58" w:line="307" w:lineRule="auto"/>
              <w:ind w:left="112" w:right="248"/>
              <w:jc w:val="center"/>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工作制度（4</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35" w:type="pct"/>
            <w:vAlign w:val="center"/>
          </w:tcPr>
          <w:p w14:paraId="7CFCA5FD">
            <w:pPr>
              <w:pStyle w:val="23"/>
              <w:keepNext w:val="0"/>
              <w:keepLines w:val="0"/>
              <w:suppressLineNumbers w:val="0"/>
              <w:spacing w:before="59" w:line="294" w:lineRule="auto"/>
              <w:ind w:left="119" w:right="108" w:hanging="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消防控制室管理、火灾事故应急处置、消防控制设备故</w:t>
            </w:r>
            <w:r>
              <w:rPr>
                <w:rFonts w:hint="eastAsia" w:ascii="宋体" w:hAnsi="宋体" w:eastAsia="宋体" w:cs="宋体"/>
                <w:b w:val="0"/>
                <w:bCs w:val="0"/>
                <w:color w:val="auto"/>
                <w:spacing w:val="-1"/>
                <w:sz w:val="18"/>
                <w:szCs w:val="18"/>
                <w:highlight w:val="none"/>
              </w:rPr>
              <w:t>障处置等制度规程，应当符合有关规定</w:t>
            </w:r>
            <w:r>
              <w:rPr>
                <w:rFonts w:hint="eastAsia" w:ascii="宋体" w:hAnsi="宋体" w:eastAsia="宋体" w:cs="宋体"/>
                <w:b w:val="0"/>
                <w:bCs w:val="0"/>
                <w:color w:val="auto"/>
                <w:spacing w:val="-1"/>
                <w:position w:val="-1"/>
                <w:sz w:val="18"/>
                <w:szCs w:val="18"/>
                <w:highlight w:val="none"/>
              </w:rPr>
              <w:t>。</w:t>
            </w:r>
          </w:p>
        </w:tc>
        <w:tc>
          <w:tcPr>
            <w:tcW w:w="1204" w:type="pct"/>
            <w:vAlign w:val="center"/>
          </w:tcPr>
          <w:p w14:paraId="79F66111">
            <w:pPr>
              <w:pStyle w:val="23"/>
              <w:keepNext w:val="0"/>
              <w:keepLines w:val="0"/>
              <w:suppressLineNumbers w:val="0"/>
              <w:spacing w:before="66" w:line="315" w:lineRule="auto"/>
              <w:ind w:left="109" w:right="150" w:firstLine="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无消防控制室值班（交接班）、火灾事故应急处置、消防控制设备故障处置等</w:t>
            </w:r>
            <w:r>
              <w:rPr>
                <w:rFonts w:hint="eastAsia" w:ascii="宋体" w:hAnsi="宋体" w:eastAsia="宋体" w:cs="宋体"/>
                <w:b w:val="0"/>
                <w:bCs w:val="0"/>
                <w:color w:val="auto"/>
                <w:spacing w:val="-2"/>
                <w:sz w:val="18"/>
                <w:szCs w:val="18"/>
                <w:highlight w:val="none"/>
              </w:rPr>
              <w:t>制度规程的每缺少一项扣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2"/>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分，每发现</w:t>
            </w:r>
            <w:r>
              <w:rPr>
                <w:rFonts w:hint="eastAsia" w:cs="宋体"/>
                <w:b w:val="0"/>
                <w:bCs w:val="0"/>
                <w:color w:val="auto"/>
                <w:spacing w:val="-2"/>
                <w:sz w:val="18"/>
                <w:szCs w:val="18"/>
                <w:highlight w:val="none"/>
                <w:lang w:eastAsia="zh-CN"/>
              </w:rPr>
              <w:t>一项</w:t>
            </w:r>
            <w:r>
              <w:rPr>
                <w:rFonts w:hint="eastAsia" w:ascii="宋体" w:hAnsi="宋体" w:eastAsia="宋体" w:cs="宋体"/>
                <w:b w:val="0"/>
                <w:bCs w:val="0"/>
                <w:color w:val="auto"/>
                <w:spacing w:val="-3"/>
                <w:sz w:val="18"/>
                <w:szCs w:val="18"/>
                <w:highlight w:val="none"/>
              </w:rPr>
              <w:t>制度内容不合理或漏项的扣</w:t>
            </w:r>
            <w:r>
              <w:rPr>
                <w:rFonts w:hint="eastAsia" w:ascii="宋体" w:hAnsi="宋体" w:eastAsia="宋体" w:cs="宋体"/>
                <w:b w:val="0"/>
                <w:bCs w:val="0"/>
                <w:color w:val="auto"/>
                <w:spacing w:val="-15"/>
                <w:sz w:val="18"/>
                <w:szCs w:val="18"/>
                <w:highlight w:val="none"/>
              </w:rPr>
              <w:t xml:space="preserve"> </w:t>
            </w:r>
            <w:r>
              <w:rPr>
                <w:rFonts w:hint="eastAsia" w:ascii="宋体" w:hAnsi="宋体" w:eastAsia="宋体" w:cs="宋体"/>
                <w:b w:val="0"/>
                <w:bCs w:val="0"/>
                <w:color w:val="auto"/>
                <w:spacing w:val="-3"/>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w:t>
            </w:r>
            <w:r>
              <w:rPr>
                <w:rFonts w:hint="eastAsia" w:ascii="宋体" w:hAnsi="宋体" w:eastAsia="宋体" w:cs="宋体"/>
                <w:b w:val="0"/>
                <w:bCs w:val="0"/>
                <w:color w:val="auto"/>
                <w:spacing w:val="-2"/>
                <w:sz w:val="18"/>
                <w:szCs w:val="18"/>
                <w:highlight w:val="none"/>
              </w:rPr>
              <w:t>每发现一处制度要求未落实的扣</w:t>
            </w:r>
            <w:r>
              <w:rPr>
                <w:rFonts w:hint="eastAsia" w:ascii="宋体" w:hAnsi="宋体" w:eastAsia="宋体" w:cs="宋体"/>
                <w:b w:val="0"/>
                <w:bCs w:val="0"/>
                <w:color w:val="auto"/>
                <w:spacing w:val="-23"/>
                <w:sz w:val="18"/>
                <w:szCs w:val="18"/>
                <w:highlight w:val="none"/>
              </w:rPr>
              <w:t xml:space="preserve"> </w:t>
            </w:r>
            <w:r>
              <w:rPr>
                <w:rFonts w:hint="eastAsia" w:ascii="宋体" w:hAnsi="宋体" w:eastAsia="宋体" w:cs="宋体"/>
                <w:b w:val="0"/>
                <w:bCs w:val="0"/>
                <w:color w:val="auto"/>
                <w:spacing w:val="-2"/>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w:t>
            </w:r>
            <w:r>
              <w:rPr>
                <w:rFonts w:hint="eastAsia" w:ascii="宋体" w:hAnsi="宋体" w:eastAsia="宋体" w:cs="宋体"/>
                <w:b w:val="0"/>
                <w:bCs w:val="0"/>
                <w:color w:val="auto"/>
                <w:spacing w:val="13"/>
                <w:sz w:val="18"/>
                <w:szCs w:val="18"/>
                <w:highlight w:val="none"/>
              </w:rPr>
              <w:t>,最高扣4</w:t>
            </w:r>
            <w:r>
              <w:rPr>
                <w:rFonts w:hint="eastAsia" w:ascii="宋体" w:hAnsi="宋体" w:eastAsia="宋体" w:cs="宋体"/>
                <w:b w:val="0"/>
                <w:bCs w:val="0"/>
                <w:color w:val="auto"/>
                <w:spacing w:val="-30"/>
                <w:sz w:val="18"/>
                <w:szCs w:val="18"/>
                <w:highlight w:val="none"/>
              </w:rPr>
              <w:t xml:space="preserve"> </w:t>
            </w:r>
            <w:r>
              <w:rPr>
                <w:rFonts w:hint="eastAsia" w:ascii="宋体" w:hAnsi="宋体" w:eastAsia="宋体" w:cs="宋体"/>
                <w:b w:val="0"/>
                <w:bCs w:val="0"/>
                <w:color w:val="auto"/>
                <w:spacing w:val="13"/>
                <w:sz w:val="18"/>
                <w:szCs w:val="18"/>
                <w:highlight w:val="none"/>
              </w:rPr>
              <w:t>分。</w:t>
            </w:r>
          </w:p>
        </w:tc>
        <w:tc>
          <w:tcPr>
            <w:tcW w:w="343" w:type="pct"/>
            <w:vAlign w:val="center"/>
          </w:tcPr>
          <w:p w14:paraId="7FF3BE22">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8" w:type="pct"/>
            <w:vAlign w:val="center"/>
          </w:tcPr>
          <w:p w14:paraId="55E91E16">
            <w:pPr>
              <w:keepNext w:val="0"/>
              <w:keepLines w:val="0"/>
              <w:suppressLineNumbers w:val="0"/>
              <w:spacing w:before="0" w:beforeAutospacing="0" w:after="0" w:afterAutospacing="0"/>
              <w:ind w:left="0" w:right="0"/>
              <w:jc w:val="left"/>
              <w:rPr>
                <w:rFonts w:hint="eastAsia" w:ascii="宋体" w:hAnsi="宋体" w:eastAsia="宋体" w:cs="宋体"/>
                <w:b w:val="0"/>
                <w:bCs w:val="0"/>
                <w:color w:val="auto"/>
                <w:sz w:val="18"/>
                <w:szCs w:val="18"/>
                <w:highlight w:val="none"/>
              </w:rPr>
            </w:pPr>
          </w:p>
        </w:tc>
        <w:tc>
          <w:tcPr>
            <w:tcW w:w="327" w:type="pct"/>
            <w:vAlign w:val="center"/>
          </w:tcPr>
          <w:p w14:paraId="6ACFB10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1AE3E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8" w:hRule="atLeast"/>
          <w:jc w:val="center"/>
        </w:trPr>
        <w:tc>
          <w:tcPr>
            <w:tcW w:w="192" w:type="pct"/>
            <w:vMerge w:val="continue"/>
            <w:tcBorders>
              <w:top w:val="nil"/>
              <w:bottom w:val="nil"/>
            </w:tcBorders>
            <w:vAlign w:val="center"/>
          </w:tcPr>
          <w:p w14:paraId="59341C9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2" w:type="pct"/>
            <w:vMerge w:val="continue"/>
            <w:tcBorders>
              <w:top w:val="nil"/>
              <w:bottom w:val="nil"/>
            </w:tcBorders>
            <w:vAlign w:val="center"/>
          </w:tcPr>
          <w:p w14:paraId="577D3FB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Align w:val="center"/>
          </w:tcPr>
          <w:p w14:paraId="07A4D1D7">
            <w:pPr>
              <w:pStyle w:val="23"/>
              <w:keepNext w:val="0"/>
              <w:keepLines w:val="0"/>
              <w:suppressLineNumbers w:val="0"/>
              <w:spacing w:before="58" w:line="307" w:lineRule="auto"/>
              <w:ind w:left="112" w:right="248" w:hanging="2"/>
              <w:jc w:val="center"/>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值班值守（8</w:t>
            </w:r>
            <w:r>
              <w:rPr>
                <w:rFonts w:hint="eastAsia" w:ascii="宋体" w:hAnsi="宋体" w:eastAsia="宋体" w:cs="宋体"/>
                <w:b w:val="0"/>
                <w:bCs w:val="0"/>
                <w:color w:val="auto"/>
                <w:spacing w:val="2"/>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35" w:type="pct"/>
            <w:vAlign w:val="center"/>
          </w:tcPr>
          <w:p w14:paraId="3847A0A2">
            <w:pPr>
              <w:keepNext w:val="0"/>
              <w:keepLines w:val="0"/>
              <w:suppressLineNumbers w:val="0"/>
              <w:spacing w:before="0" w:beforeAutospacing="0" w:after="0" w:afterAutospacing="0" w:line="242" w:lineRule="auto"/>
              <w:ind w:left="0" w:right="0"/>
              <w:rPr>
                <w:rFonts w:hint="eastAsia" w:ascii="宋体" w:hAnsi="宋体" w:eastAsia="宋体" w:cs="宋体"/>
                <w:b w:val="0"/>
                <w:bCs w:val="0"/>
                <w:color w:val="auto"/>
                <w:sz w:val="18"/>
                <w:szCs w:val="18"/>
                <w:highlight w:val="none"/>
              </w:rPr>
            </w:pPr>
          </w:p>
          <w:p w14:paraId="5D1A606A">
            <w:pPr>
              <w:pStyle w:val="23"/>
              <w:keepNext w:val="0"/>
              <w:keepLines w:val="0"/>
              <w:suppressLineNumbers w:val="0"/>
              <w:spacing w:before="59" w:line="315" w:lineRule="auto"/>
              <w:ind w:left="110" w:right="11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检查消防控制室人员排班表和值班记录，核实落实</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1"/>
                <w:sz w:val="18"/>
                <w:szCs w:val="18"/>
                <w:highlight w:val="none"/>
              </w:rPr>
              <w:t>24</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2"/>
                <w:sz w:val="18"/>
                <w:szCs w:val="18"/>
                <w:highlight w:val="none"/>
              </w:rPr>
              <w:t>小时双人值班要求的情况，明确主班、副班值班人员，</w:t>
            </w:r>
            <w:r>
              <w:rPr>
                <w:rFonts w:hint="eastAsia" w:ascii="宋体" w:hAnsi="宋体" w:eastAsia="宋体" w:cs="宋体"/>
                <w:b w:val="0"/>
                <w:bCs w:val="0"/>
                <w:color w:val="auto"/>
                <w:spacing w:val="-1"/>
                <w:sz w:val="18"/>
                <w:szCs w:val="18"/>
                <w:highlight w:val="none"/>
              </w:rPr>
              <w:t>消防控制室所有值班操作人员应通过消防行业特有工种职业技能鉴定（具有消防联动设施的，应持有四级（含)以上职业资格证书；无联动设施的，应持有五级（含)以上职业资格证书)。</w:t>
            </w:r>
          </w:p>
        </w:tc>
        <w:tc>
          <w:tcPr>
            <w:tcW w:w="1204" w:type="pct"/>
            <w:vAlign w:val="center"/>
          </w:tcPr>
          <w:p w14:paraId="28FC447A">
            <w:pPr>
              <w:pStyle w:val="23"/>
              <w:keepNext w:val="0"/>
              <w:keepLines w:val="0"/>
              <w:suppressLineNumbers w:val="0"/>
              <w:spacing w:before="231" w:line="311" w:lineRule="auto"/>
              <w:ind w:left="109" w:right="150" w:firstLine="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无值班记录的扣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分，值班记录缺失或</w:t>
            </w:r>
            <w:r>
              <w:rPr>
                <w:rFonts w:hint="eastAsia" w:ascii="宋体" w:hAnsi="宋体" w:eastAsia="宋体" w:cs="宋体"/>
                <w:b w:val="0"/>
                <w:bCs w:val="0"/>
                <w:color w:val="auto"/>
                <w:spacing w:val="-3"/>
                <w:sz w:val="18"/>
                <w:szCs w:val="18"/>
                <w:highlight w:val="none"/>
              </w:rPr>
              <w:t>未明确主班、副班值班人员的扣</w:t>
            </w:r>
            <w:r>
              <w:rPr>
                <w:rFonts w:hint="eastAsia" w:ascii="宋体" w:hAnsi="宋体" w:eastAsia="宋体" w:cs="宋体"/>
                <w:b w:val="0"/>
                <w:bCs w:val="0"/>
                <w:color w:val="auto"/>
                <w:spacing w:val="-15"/>
                <w:sz w:val="18"/>
                <w:szCs w:val="18"/>
                <w:highlight w:val="none"/>
              </w:rPr>
              <w:t xml:space="preserve"> </w:t>
            </w:r>
            <w:r>
              <w:rPr>
                <w:rFonts w:hint="eastAsia" w:ascii="宋体" w:hAnsi="宋体" w:eastAsia="宋体" w:cs="宋体"/>
                <w:b w:val="0"/>
                <w:bCs w:val="0"/>
                <w:color w:val="auto"/>
                <w:spacing w:val="-3"/>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w:t>
            </w:r>
            <w:r>
              <w:rPr>
                <w:rFonts w:hint="eastAsia" w:ascii="宋体" w:hAnsi="宋体" w:eastAsia="宋体" w:cs="宋体"/>
                <w:b w:val="0"/>
                <w:bCs w:val="0"/>
                <w:color w:val="auto"/>
                <w:spacing w:val="-1"/>
                <w:sz w:val="18"/>
                <w:szCs w:val="18"/>
                <w:highlight w:val="none"/>
              </w:rPr>
              <w:t>值班记录无值</w:t>
            </w:r>
            <w:r>
              <w:rPr>
                <w:rFonts w:hint="eastAsia" w:cs="宋体"/>
                <w:b w:val="0"/>
                <w:bCs w:val="0"/>
                <w:color w:val="auto"/>
                <w:spacing w:val="-1"/>
                <w:sz w:val="18"/>
                <w:szCs w:val="18"/>
                <w:highlight w:val="none"/>
                <w:lang w:eastAsia="zh-CN"/>
              </w:rPr>
              <w:t>班人</w:t>
            </w:r>
            <w:r>
              <w:rPr>
                <w:rFonts w:hint="eastAsia" w:ascii="宋体" w:hAnsi="宋体" w:eastAsia="宋体" w:cs="宋体"/>
                <w:b w:val="0"/>
                <w:bCs w:val="0"/>
                <w:color w:val="auto"/>
                <w:spacing w:val="-1"/>
                <w:sz w:val="18"/>
                <w:szCs w:val="18"/>
                <w:highlight w:val="none"/>
              </w:rPr>
              <w:t>员或领导签字的扣</w:t>
            </w:r>
            <w:r>
              <w:rPr>
                <w:rFonts w:hint="eastAsia" w:ascii="宋体" w:hAnsi="宋体" w:eastAsia="宋体" w:cs="宋体"/>
                <w:b w:val="0"/>
                <w:bCs w:val="0"/>
                <w:color w:val="auto"/>
                <w:spacing w:val="-18"/>
                <w:sz w:val="18"/>
                <w:szCs w:val="18"/>
                <w:highlight w:val="none"/>
              </w:rPr>
              <w:t xml:space="preserve"> </w:t>
            </w:r>
            <w:r>
              <w:rPr>
                <w:rFonts w:hint="eastAsia" w:ascii="宋体" w:hAnsi="宋体" w:eastAsia="宋体" w:cs="宋体"/>
                <w:b w:val="0"/>
                <w:bCs w:val="0"/>
                <w:color w:val="auto"/>
                <w:spacing w:val="-1"/>
                <w:sz w:val="18"/>
                <w:szCs w:val="18"/>
                <w:highlight w:val="none"/>
              </w:rPr>
              <w:t>1</w:t>
            </w:r>
            <w:r>
              <w:rPr>
                <w:rFonts w:hint="eastAsia" w:ascii="宋体" w:hAnsi="宋体" w:eastAsia="宋体" w:cs="宋体"/>
                <w:b w:val="0"/>
                <w:bCs w:val="0"/>
                <w:color w:val="auto"/>
                <w:spacing w:val="-1"/>
                <w:sz w:val="18"/>
                <w:szCs w:val="18"/>
                <w:highlight w:val="none"/>
                <w:lang w:val="en-US" w:eastAsia="zh-CN"/>
              </w:rPr>
              <w:t xml:space="preserve"> </w:t>
            </w:r>
            <w:r>
              <w:rPr>
                <w:rFonts w:hint="eastAsia" w:ascii="宋体" w:hAnsi="宋体" w:eastAsia="宋体" w:cs="宋体"/>
                <w:b w:val="0"/>
                <w:bCs w:val="0"/>
                <w:color w:val="auto"/>
                <w:spacing w:val="-4"/>
                <w:sz w:val="18"/>
                <w:szCs w:val="18"/>
                <w:highlight w:val="none"/>
              </w:rPr>
              <w:t>分，未落实</w:t>
            </w:r>
            <w:r>
              <w:rPr>
                <w:rFonts w:hint="eastAsia" w:ascii="宋体" w:hAnsi="宋体" w:eastAsia="宋体" w:cs="宋体"/>
                <w:b w:val="0"/>
                <w:bCs w:val="0"/>
                <w:color w:val="auto"/>
                <w:spacing w:val="-19"/>
                <w:sz w:val="18"/>
                <w:szCs w:val="18"/>
                <w:highlight w:val="none"/>
              </w:rPr>
              <w:t xml:space="preserve"> </w:t>
            </w:r>
            <w:r>
              <w:rPr>
                <w:rFonts w:hint="eastAsia" w:ascii="宋体" w:hAnsi="宋体" w:eastAsia="宋体" w:cs="宋体"/>
                <w:b w:val="0"/>
                <w:bCs w:val="0"/>
                <w:color w:val="auto"/>
                <w:spacing w:val="-4"/>
                <w:sz w:val="18"/>
                <w:szCs w:val="18"/>
                <w:highlight w:val="none"/>
              </w:rPr>
              <w:t>24</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4"/>
                <w:sz w:val="18"/>
                <w:szCs w:val="18"/>
                <w:highlight w:val="none"/>
              </w:rPr>
              <w:t>小时值班的扣</w:t>
            </w:r>
            <w:r>
              <w:rPr>
                <w:rFonts w:hint="eastAsia" w:ascii="宋体" w:hAnsi="宋体" w:eastAsia="宋体" w:cs="宋体"/>
                <w:b w:val="0"/>
                <w:bCs w:val="0"/>
                <w:color w:val="auto"/>
                <w:spacing w:val="-38"/>
                <w:sz w:val="18"/>
                <w:szCs w:val="18"/>
                <w:highlight w:val="none"/>
              </w:rPr>
              <w:t xml:space="preserve"> </w:t>
            </w:r>
            <w:r>
              <w:rPr>
                <w:rFonts w:hint="eastAsia" w:ascii="宋体" w:hAnsi="宋体" w:eastAsia="宋体" w:cs="宋体"/>
                <w:b w:val="0"/>
                <w:bCs w:val="0"/>
                <w:color w:val="auto"/>
                <w:spacing w:val="-4"/>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4"/>
                <w:sz w:val="18"/>
                <w:szCs w:val="18"/>
                <w:highlight w:val="none"/>
              </w:rPr>
              <w:t>分，值</w:t>
            </w:r>
            <w:r>
              <w:rPr>
                <w:rFonts w:hint="eastAsia" w:ascii="宋体" w:hAnsi="宋体" w:eastAsia="宋体" w:cs="宋体"/>
                <w:b w:val="0"/>
                <w:bCs w:val="0"/>
                <w:color w:val="auto"/>
                <w:spacing w:val="-3"/>
                <w:sz w:val="18"/>
                <w:szCs w:val="18"/>
                <w:highlight w:val="none"/>
              </w:rPr>
              <w:t>班人员每班不足</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2</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3"/>
                <w:sz w:val="18"/>
                <w:szCs w:val="18"/>
                <w:highlight w:val="none"/>
              </w:rPr>
              <w:t>人的扣</w:t>
            </w:r>
            <w:r>
              <w:rPr>
                <w:rFonts w:hint="eastAsia" w:ascii="宋体" w:hAnsi="宋体" w:eastAsia="宋体" w:cs="宋体"/>
                <w:b w:val="0"/>
                <w:bCs w:val="0"/>
                <w:color w:val="auto"/>
                <w:spacing w:val="-38"/>
                <w:sz w:val="18"/>
                <w:szCs w:val="18"/>
                <w:highlight w:val="none"/>
              </w:rPr>
              <w:t xml:space="preserve"> </w:t>
            </w:r>
            <w:r>
              <w:rPr>
                <w:rFonts w:hint="eastAsia" w:ascii="宋体" w:hAnsi="宋体" w:eastAsia="宋体" w:cs="宋体"/>
                <w:b w:val="0"/>
                <w:bCs w:val="0"/>
                <w:color w:val="auto"/>
                <w:spacing w:val="-3"/>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分，未持证</w:t>
            </w:r>
            <w:r>
              <w:rPr>
                <w:rFonts w:hint="eastAsia" w:ascii="宋体" w:hAnsi="宋体" w:eastAsia="宋体" w:cs="宋体"/>
                <w:b w:val="0"/>
                <w:bCs w:val="0"/>
                <w:color w:val="auto"/>
                <w:spacing w:val="-2"/>
                <w:sz w:val="18"/>
                <w:szCs w:val="18"/>
                <w:highlight w:val="none"/>
              </w:rPr>
              <w:t>上岗的每发现一人扣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2"/>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分，职业资格证</w:t>
            </w:r>
            <w:r>
              <w:rPr>
                <w:rFonts w:hint="eastAsia" w:ascii="宋体" w:hAnsi="宋体" w:eastAsia="宋体" w:cs="宋体"/>
                <w:b w:val="0"/>
                <w:bCs w:val="0"/>
                <w:color w:val="auto"/>
                <w:spacing w:val="-1"/>
                <w:sz w:val="18"/>
                <w:szCs w:val="18"/>
                <w:highlight w:val="none"/>
              </w:rPr>
              <w:t>书等级不满足要求的每发现一人扣</w:t>
            </w:r>
            <w:r>
              <w:rPr>
                <w:rFonts w:hint="eastAsia" w:ascii="宋体" w:hAnsi="宋体" w:eastAsia="宋体" w:cs="宋体"/>
                <w:b w:val="0"/>
                <w:bCs w:val="0"/>
                <w:color w:val="auto"/>
                <w:spacing w:val="-18"/>
                <w:sz w:val="18"/>
                <w:szCs w:val="18"/>
                <w:highlight w:val="none"/>
              </w:rPr>
              <w:t xml:space="preserve"> </w:t>
            </w:r>
            <w:r>
              <w:rPr>
                <w:rFonts w:hint="eastAsia" w:ascii="宋体" w:hAnsi="宋体" w:eastAsia="宋体" w:cs="宋体"/>
                <w:b w:val="0"/>
                <w:bCs w:val="0"/>
                <w:color w:val="auto"/>
                <w:spacing w:val="-1"/>
                <w:sz w:val="18"/>
                <w:szCs w:val="18"/>
                <w:highlight w:val="none"/>
              </w:rPr>
              <w:t>1</w:t>
            </w:r>
            <w:r>
              <w:rPr>
                <w:rFonts w:hint="eastAsia" w:ascii="宋体" w:hAnsi="宋体" w:eastAsia="宋体" w:cs="宋体"/>
                <w:b w:val="0"/>
                <w:bCs w:val="0"/>
                <w:color w:val="auto"/>
                <w:spacing w:val="-1"/>
                <w:sz w:val="18"/>
                <w:szCs w:val="18"/>
                <w:highlight w:val="none"/>
                <w:lang w:val="en-US" w:eastAsia="zh-CN"/>
              </w:rPr>
              <w:t xml:space="preserve"> </w:t>
            </w:r>
            <w:r>
              <w:rPr>
                <w:rFonts w:hint="eastAsia" w:ascii="宋体" w:hAnsi="宋体" w:eastAsia="宋体" w:cs="宋体"/>
                <w:b w:val="0"/>
                <w:bCs w:val="0"/>
                <w:color w:val="auto"/>
                <w:spacing w:val="-5"/>
                <w:sz w:val="18"/>
                <w:szCs w:val="18"/>
                <w:highlight w:val="none"/>
              </w:rPr>
              <w:t>分，最高扣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8</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43" w:type="pct"/>
            <w:vAlign w:val="center"/>
          </w:tcPr>
          <w:p w14:paraId="6771DC27">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8" w:type="pct"/>
            <w:vAlign w:val="center"/>
          </w:tcPr>
          <w:p w14:paraId="303A89B9">
            <w:pPr>
              <w:keepNext w:val="0"/>
              <w:keepLines w:val="0"/>
              <w:suppressLineNumbers w:val="0"/>
              <w:spacing w:before="0" w:beforeAutospacing="0" w:after="0" w:afterAutospacing="0"/>
              <w:ind w:left="0" w:right="0"/>
              <w:jc w:val="left"/>
              <w:rPr>
                <w:rFonts w:hint="eastAsia" w:ascii="宋体" w:hAnsi="宋体" w:eastAsia="宋体" w:cs="宋体"/>
                <w:b w:val="0"/>
                <w:bCs w:val="0"/>
                <w:color w:val="auto"/>
                <w:sz w:val="18"/>
                <w:szCs w:val="18"/>
                <w:highlight w:val="none"/>
              </w:rPr>
            </w:pPr>
          </w:p>
        </w:tc>
        <w:tc>
          <w:tcPr>
            <w:tcW w:w="327" w:type="pct"/>
            <w:vAlign w:val="center"/>
          </w:tcPr>
          <w:p w14:paraId="2605142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28DE57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1" w:hRule="atLeast"/>
          <w:jc w:val="center"/>
        </w:trPr>
        <w:tc>
          <w:tcPr>
            <w:tcW w:w="192" w:type="pct"/>
            <w:vMerge w:val="continue"/>
            <w:tcBorders>
              <w:top w:val="nil"/>
            </w:tcBorders>
            <w:vAlign w:val="center"/>
          </w:tcPr>
          <w:p w14:paraId="61DDCB7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2" w:type="pct"/>
            <w:vMerge w:val="continue"/>
            <w:tcBorders>
              <w:top w:val="nil"/>
            </w:tcBorders>
            <w:vAlign w:val="center"/>
          </w:tcPr>
          <w:p w14:paraId="27E37C0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Align w:val="center"/>
          </w:tcPr>
          <w:p w14:paraId="595D15DC">
            <w:pPr>
              <w:pStyle w:val="23"/>
              <w:keepNext w:val="0"/>
              <w:keepLines w:val="0"/>
              <w:suppressLineNumbers w:val="0"/>
              <w:spacing w:before="226" w:line="307" w:lineRule="auto"/>
              <w:ind w:left="112" w:right="248"/>
              <w:jc w:val="center"/>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设备状态（4</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35" w:type="pct"/>
            <w:vAlign w:val="center"/>
          </w:tcPr>
          <w:p w14:paraId="1B63304B">
            <w:pPr>
              <w:pStyle w:val="23"/>
              <w:keepNext w:val="0"/>
              <w:keepLines w:val="0"/>
              <w:suppressLineNumbers w:val="0"/>
              <w:spacing w:before="69" w:line="296" w:lineRule="auto"/>
              <w:ind w:left="110" w:right="105"/>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应确保火灾自动报警系统、灭火系统和其他联动控制设备处于正常工作状态，不得将应处于自动状态的</w:t>
            </w:r>
            <w:r>
              <w:rPr>
                <w:rFonts w:hint="eastAsia" w:cs="宋体"/>
                <w:b w:val="0"/>
                <w:bCs w:val="0"/>
                <w:color w:val="auto"/>
                <w:spacing w:val="-2"/>
                <w:sz w:val="18"/>
                <w:szCs w:val="18"/>
                <w:highlight w:val="none"/>
                <w:lang w:eastAsia="zh-CN"/>
              </w:rPr>
              <w:t>设置</w:t>
            </w:r>
            <w:r>
              <w:rPr>
                <w:rFonts w:hint="eastAsia" w:ascii="宋体" w:hAnsi="宋体" w:eastAsia="宋体" w:cs="宋体"/>
                <w:b w:val="0"/>
                <w:bCs w:val="0"/>
                <w:color w:val="auto"/>
                <w:spacing w:val="-2"/>
                <w:sz w:val="18"/>
                <w:szCs w:val="18"/>
                <w:highlight w:val="none"/>
              </w:rPr>
              <w:t>手动状态。</w:t>
            </w:r>
          </w:p>
        </w:tc>
        <w:tc>
          <w:tcPr>
            <w:tcW w:w="1204" w:type="pct"/>
            <w:vAlign w:val="center"/>
          </w:tcPr>
          <w:p w14:paraId="6E29EB28">
            <w:pPr>
              <w:pStyle w:val="23"/>
              <w:keepNext w:val="0"/>
              <w:keepLines w:val="0"/>
              <w:suppressLineNumbers w:val="0"/>
              <w:spacing w:before="69" w:line="296" w:lineRule="auto"/>
              <w:ind w:left="109" w:right="106" w:firstLine="3"/>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消防设备断电的扣</w:t>
            </w:r>
            <w:r>
              <w:rPr>
                <w:rFonts w:hint="eastAsia" w:ascii="宋体" w:hAnsi="宋体" w:eastAsia="宋体" w:cs="宋体"/>
                <w:b w:val="0"/>
                <w:bCs w:val="0"/>
                <w:color w:val="auto"/>
                <w:spacing w:val="-7"/>
                <w:sz w:val="18"/>
                <w:szCs w:val="18"/>
                <w:highlight w:val="none"/>
              </w:rPr>
              <w:t xml:space="preserve"> </w:t>
            </w:r>
            <w:r>
              <w:rPr>
                <w:rFonts w:hint="eastAsia" w:ascii="宋体" w:hAnsi="宋体" w:eastAsia="宋体" w:cs="宋体"/>
                <w:b w:val="0"/>
                <w:bCs w:val="0"/>
                <w:color w:val="auto"/>
                <w:spacing w:val="-3"/>
                <w:sz w:val="18"/>
                <w:szCs w:val="18"/>
                <w:highlight w:val="none"/>
              </w:rPr>
              <w:t>4 分，每发现一处将</w:t>
            </w:r>
            <w:r>
              <w:rPr>
                <w:rFonts w:hint="eastAsia" w:ascii="宋体" w:hAnsi="宋体" w:eastAsia="宋体" w:cs="宋体"/>
                <w:b w:val="0"/>
                <w:bCs w:val="0"/>
                <w:color w:val="auto"/>
                <w:spacing w:val="2"/>
                <w:sz w:val="18"/>
                <w:szCs w:val="18"/>
                <w:highlight w:val="none"/>
              </w:rPr>
              <w:t>应处于自动状态的消防设备设在手动状</w:t>
            </w:r>
            <w:r>
              <w:rPr>
                <w:rFonts w:hint="eastAsia" w:ascii="宋体" w:hAnsi="宋体" w:eastAsia="宋体" w:cs="宋体"/>
                <w:b w:val="0"/>
                <w:bCs w:val="0"/>
                <w:color w:val="auto"/>
                <w:spacing w:val="-1"/>
                <w:sz w:val="18"/>
                <w:szCs w:val="18"/>
                <w:highlight w:val="none"/>
              </w:rPr>
              <w:t>态的扣</w:t>
            </w:r>
            <w:r>
              <w:rPr>
                <w:rFonts w:hint="eastAsia" w:ascii="宋体" w:hAnsi="宋体" w:eastAsia="宋体" w:cs="宋体"/>
                <w:b w:val="0"/>
                <w:bCs w:val="0"/>
                <w:color w:val="auto"/>
                <w:spacing w:val="-28"/>
                <w:sz w:val="18"/>
                <w:szCs w:val="18"/>
                <w:highlight w:val="none"/>
              </w:rPr>
              <w:t xml:space="preserve"> </w:t>
            </w:r>
            <w:r>
              <w:rPr>
                <w:rFonts w:hint="eastAsia" w:ascii="宋体" w:hAnsi="宋体" w:eastAsia="宋体" w:cs="宋体"/>
                <w:b w:val="0"/>
                <w:bCs w:val="0"/>
                <w:color w:val="auto"/>
                <w:spacing w:val="-1"/>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
                <w:sz w:val="18"/>
                <w:szCs w:val="18"/>
                <w:highlight w:val="none"/>
              </w:rPr>
              <w:t>分，最高扣4</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
                <w:sz w:val="18"/>
                <w:szCs w:val="18"/>
                <w:highlight w:val="none"/>
              </w:rPr>
              <w:t>分。</w:t>
            </w:r>
          </w:p>
        </w:tc>
        <w:tc>
          <w:tcPr>
            <w:tcW w:w="343" w:type="pct"/>
            <w:vAlign w:val="center"/>
          </w:tcPr>
          <w:p w14:paraId="5C0FE25F">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8" w:type="pct"/>
            <w:vAlign w:val="center"/>
          </w:tcPr>
          <w:p w14:paraId="0581479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7" w:type="pct"/>
            <w:vAlign w:val="center"/>
          </w:tcPr>
          <w:p w14:paraId="73DC612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bl>
    <w:p w14:paraId="73C140DB">
      <w:pPr>
        <w:rPr>
          <w:highlight w:val="none"/>
        </w:rPr>
      </w:pPr>
      <w:r>
        <w:rPr>
          <w:highlight w:val="none"/>
        </w:rPr>
        <w:br w:type="page"/>
      </w:r>
    </w:p>
    <w:tbl>
      <w:tblPr>
        <w:tblStyle w:val="24"/>
        <w:tblW w:w="493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5"/>
        <w:gridCol w:w="1459"/>
        <w:gridCol w:w="1090"/>
        <w:gridCol w:w="5137"/>
        <w:gridCol w:w="3506"/>
        <w:gridCol w:w="1090"/>
        <w:gridCol w:w="1001"/>
        <w:gridCol w:w="974"/>
      </w:tblGrid>
      <w:tr w14:paraId="2AA3E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jc w:val="center"/>
        </w:trPr>
        <w:tc>
          <w:tcPr>
            <w:tcW w:w="197" w:type="pct"/>
            <w:vAlign w:val="center"/>
          </w:tcPr>
          <w:p w14:paraId="01FDD6C4">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vAlign w:val="center"/>
          </w:tcPr>
          <w:p w14:paraId="576095F4">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0CD4BB4B">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9" w:type="pct"/>
            <w:vAlign w:val="center"/>
          </w:tcPr>
          <w:p w14:paraId="0F214CE0">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0" w:type="pct"/>
            <w:vAlign w:val="center"/>
          </w:tcPr>
          <w:p w14:paraId="00049ECE">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126C2C62">
            <w:pPr>
              <w:pStyle w:val="23"/>
              <w:keepNext w:val="0"/>
              <w:keepLines w:val="0"/>
              <w:suppressLineNumbers w:val="0"/>
              <w:spacing w:before="70" w:line="219" w:lineRule="auto"/>
              <w:ind w:left="170"/>
              <w:rPr>
                <w:highlight w:val="none"/>
              </w:rPr>
            </w:pPr>
            <w:r>
              <w:rPr>
                <w:b/>
                <w:bCs/>
                <w:spacing w:val="-3"/>
                <w:highlight w:val="none"/>
              </w:rPr>
              <w:t>评估情况</w:t>
            </w:r>
          </w:p>
        </w:tc>
        <w:tc>
          <w:tcPr>
            <w:tcW w:w="337" w:type="pct"/>
            <w:vAlign w:val="center"/>
          </w:tcPr>
          <w:p w14:paraId="3AF5DE09">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4A6C2F92">
            <w:pPr>
              <w:pStyle w:val="23"/>
              <w:keepNext w:val="0"/>
              <w:keepLines w:val="0"/>
              <w:suppressLineNumbers w:val="0"/>
              <w:spacing w:before="71" w:line="220" w:lineRule="auto"/>
              <w:ind w:left="295"/>
              <w:rPr>
                <w:highlight w:val="none"/>
              </w:rPr>
            </w:pPr>
            <w:r>
              <w:rPr>
                <w:b/>
                <w:bCs/>
                <w:spacing w:val="-4"/>
                <w:highlight w:val="none"/>
              </w:rPr>
              <w:t>得分</w:t>
            </w:r>
          </w:p>
        </w:tc>
      </w:tr>
      <w:tr w14:paraId="1B2D52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9" w:hRule="atLeast"/>
          <w:jc w:val="center"/>
        </w:trPr>
        <w:tc>
          <w:tcPr>
            <w:tcW w:w="197" w:type="pct"/>
            <w:vMerge w:val="restart"/>
            <w:tcBorders>
              <w:bottom w:val="nil"/>
            </w:tcBorders>
            <w:vAlign w:val="center"/>
          </w:tcPr>
          <w:p w14:paraId="4A77B3E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restart"/>
            <w:tcBorders>
              <w:bottom w:val="nil"/>
            </w:tcBorders>
            <w:vAlign w:val="center"/>
          </w:tcPr>
          <w:p w14:paraId="2D20CF8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Align w:val="center"/>
          </w:tcPr>
          <w:p w14:paraId="298D3CF0">
            <w:pPr>
              <w:pStyle w:val="23"/>
              <w:keepNext w:val="0"/>
              <w:keepLines w:val="0"/>
              <w:suppressLineNumbers w:val="0"/>
              <w:spacing w:before="58" w:line="307" w:lineRule="auto"/>
              <w:ind w:left="109" w:right="19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火警处置（8</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29" w:type="pct"/>
            <w:vAlign w:val="center"/>
          </w:tcPr>
          <w:p w14:paraId="3DA1052C">
            <w:pPr>
              <w:pStyle w:val="23"/>
              <w:keepNext w:val="0"/>
              <w:keepLines w:val="0"/>
              <w:suppressLineNumbers w:val="0"/>
              <w:spacing w:before="58" w:line="315" w:lineRule="auto"/>
              <w:ind w:left="111" w:right="105"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消防控制室接到火灾模拟报警信号后，迅速（1</w:t>
            </w:r>
            <w:r>
              <w:rPr>
                <w:rFonts w:hint="eastAsia" w:ascii="宋体" w:hAnsi="宋体" w:eastAsia="宋体" w:cs="宋体"/>
                <w:b w:val="0"/>
                <w:bCs w:val="0"/>
                <w:color w:val="auto"/>
                <w:spacing w:val="-33"/>
                <w:sz w:val="18"/>
                <w:szCs w:val="18"/>
                <w:highlight w:val="none"/>
              </w:rPr>
              <w:t xml:space="preserve"> </w:t>
            </w:r>
            <w:r>
              <w:rPr>
                <w:rFonts w:hint="eastAsia" w:ascii="宋体" w:hAnsi="宋体" w:eastAsia="宋体" w:cs="宋体"/>
                <w:b w:val="0"/>
                <w:bCs w:val="0"/>
                <w:color w:val="auto"/>
                <w:spacing w:val="-1"/>
                <w:sz w:val="18"/>
                <w:szCs w:val="18"/>
                <w:highlight w:val="none"/>
              </w:rPr>
              <w:t>分钟之内)核实现场火情；确定属于误报火警后，将报警信号消音、复位，并将情况如实记录。现场随机抽查至少</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1"/>
                <w:sz w:val="18"/>
                <w:szCs w:val="18"/>
                <w:highlight w:val="none"/>
              </w:rPr>
              <w:t>2</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2"/>
                <w:sz w:val="18"/>
                <w:szCs w:val="18"/>
                <w:highlight w:val="none"/>
              </w:rPr>
              <w:t>名员工，检查是否掌握消防设施操作和应急处置规程情</w:t>
            </w:r>
            <w:r>
              <w:rPr>
                <w:rFonts w:hint="eastAsia" w:ascii="宋体" w:hAnsi="宋体" w:eastAsia="宋体" w:cs="宋体"/>
                <w:b w:val="0"/>
                <w:bCs w:val="0"/>
                <w:color w:val="auto"/>
                <w:spacing w:val="-5"/>
                <w:sz w:val="18"/>
                <w:szCs w:val="18"/>
                <w:highlight w:val="none"/>
              </w:rPr>
              <w:t>况。</w:t>
            </w:r>
          </w:p>
        </w:tc>
        <w:tc>
          <w:tcPr>
            <w:tcW w:w="1180" w:type="pct"/>
            <w:vAlign w:val="center"/>
          </w:tcPr>
          <w:p w14:paraId="7DD57EDC">
            <w:pPr>
              <w:pStyle w:val="23"/>
              <w:keepNext w:val="0"/>
              <w:keepLines w:val="0"/>
              <w:suppressLineNumbers w:val="0"/>
              <w:spacing w:before="71" w:line="309" w:lineRule="auto"/>
              <w:ind w:left="113" w:right="101"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消防控制室接到火灾模拟报警信号后 1 分钟</w:t>
            </w:r>
            <w:r>
              <w:rPr>
                <w:rFonts w:hint="eastAsia" w:ascii="宋体" w:hAnsi="宋体" w:eastAsia="宋体" w:cs="宋体"/>
                <w:b w:val="0"/>
                <w:bCs w:val="0"/>
                <w:color w:val="auto"/>
                <w:spacing w:val="-2"/>
                <w:sz w:val="18"/>
                <w:szCs w:val="18"/>
                <w:highlight w:val="none"/>
              </w:rPr>
              <w:t>之内</w:t>
            </w:r>
            <w:r>
              <w:rPr>
                <w:rFonts w:hint="eastAsia" w:ascii="宋体" w:hAnsi="宋体" w:eastAsia="宋体" w:cs="宋体"/>
                <w:b w:val="0"/>
                <w:bCs w:val="0"/>
                <w:color w:val="auto"/>
                <w:spacing w:val="-1"/>
                <w:sz w:val="18"/>
                <w:szCs w:val="18"/>
                <w:highlight w:val="none"/>
              </w:rPr>
              <w:t>现场没有确认火情的扣 4 分，未记录误报火警信息和原因的扣 2 分，发现误报火警未及时将手报按钮和火灾报警控制器复位的扣 1 分；消防控制</w:t>
            </w:r>
            <w:r>
              <w:rPr>
                <w:rFonts w:hint="eastAsia" w:ascii="宋体" w:hAnsi="宋体" w:eastAsia="宋体" w:cs="宋体"/>
                <w:b w:val="0"/>
                <w:bCs w:val="0"/>
                <w:color w:val="auto"/>
                <w:spacing w:val="3"/>
                <w:sz w:val="18"/>
                <w:szCs w:val="18"/>
                <w:highlight w:val="none"/>
              </w:rPr>
              <w:t>室值班员不熟悉消防设施操作和应急处置规程的</w:t>
            </w:r>
            <w:r>
              <w:rPr>
                <w:rFonts w:hint="eastAsia" w:ascii="宋体" w:hAnsi="宋体" w:eastAsia="宋体" w:cs="宋体"/>
                <w:b w:val="0"/>
                <w:bCs w:val="0"/>
                <w:color w:val="auto"/>
                <w:spacing w:val="-1"/>
                <w:sz w:val="18"/>
                <w:szCs w:val="18"/>
                <w:highlight w:val="none"/>
              </w:rPr>
              <w:t>扣 3 分，部分熟悉消防设施操作和应急处置规程</w:t>
            </w:r>
            <w:r>
              <w:rPr>
                <w:rFonts w:hint="eastAsia" w:ascii="宋体" w:hAnsi="宋体" w:eastAsia="宋体" w:cs="宋体"/>
                <w:b w:val="0"/>
                <w:bCs w:val="0"/>
                <w:color w:val="auto"/>
                <w:spacing w:val="-6"/>
                <w:sz w:val="18"/>
                <w:szCs w:val="18"/>
                <w:highlight w:val="none"/>
              </w:rPr>
              <w:t>的扣</w:t>
            </w:r>
            <w:r>
              <w:rPr>
                <w:rFonts w:hint="eastAsia" w:ascii="宋体" w:hAnsi="宋体" w:eastAsia="宋体" w:cs="宋体"/>
                <w:b w:val="0"/>
                <w:bCs w:val="0"/>
                <w:color w:val="auto"/>
                <w:spacing w:val="-26"/>
                <w:sz w:val="18"/>
                <w:szCs w:val="18"/>
                <w:highlight w:val="none"/>
              </w:rPr>
              <w:t xml:space="preserve"> </w:t>
            </w:r>
            <w:r>
              <w:rPr>
                <w:rFonts w:hint="eastAsia" w:ascii="宋体" w:hAnsi="宋体" w:eastAsia="宋体" w:cs="宋体"/>
                <w:b w:val="0"/>
                <w:bCs w:val="0"/>
                <w:color w:val="auto"/>
                <w:spacing w:val="-6"/>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分；最高扣</w:t>
            </w:r>
            <w:r>
              <w:rPr>
                <w:rFonts w:hint="eastAsia" w:ascii="宋体" w:hAnsi="宋体" w:eastAsia="宋体" w:cs="宋体"/>
                <w:b w:val="0"/>
                <w:bCs w:val="0"/>
                <w:color w:val="auto"/>
                <w:spacing w:val="-39"/>
                <w:sz w:val="18"/>
                <w:szCs w:val="18"/>
                <w:highlight w:val="none"/>
              </w:rPr>
              <w:t xml:space="preserve"> </w:t>
            </w:r>
            <w:r>
              <w:rPr>
                <w:rFonts w:hint="eastAsia" w:ascii="宋体" w:hAnsi="宋体" w:eastAsia="宋体" w:cs="宋体"/>
                <w:b w:val="0"/>
                <w:bCs w:val="0"/>
                <w:color w:val="auto"/>
                <w:spacing w:val="-6"/>
                <w:sz w:val="18"/>
                <w:szCs w:val="18"/>
                <w:highlight w:val="none"/>
              </w:rPr>
              <w:t>8</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367" w:type="pct"/>
            <w:vAlign w:val="center"/>
          </w:tcPr>
          <w:p w14:paraId="745E747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3754956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Align w:val="center"/>
          </w:tcPr>
          <w:p w14:paraId="30C97E3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4024F9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3" w:hRule="atLeast"/>
          <w:jc w:val="center"/>
        </w:trPr>
        <w:tc>
          <w:tcPr>
            <w:tcW w:w="197" w:type="pct"/>
            <w:vMerge w:val="continue"/>
            <w:tcBorders>
              <w:top w:val="nil"/>
              <w:bottom w:val="nil"/>
            </w:tcBorders>
            <w:vAlign w:val="center"/>
          </w:tcPr>
          <w:p w14:paraId="158CA59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tcBorders>
              <w:top w:val="nil"/>
              <w:bottom w:val="nil"/>
            </w:tcBorders>
            <w:vAlign w:val="center"/>
          </w:tcPr>
          <w:p w14:paraId="7324DF7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restart"/>
            <w:tcBorders>
              <w:bottom w:val="nil"/>
            </w:tcBorders>
            <w:vAlign w:val="center"/>
          </w:tcPr>
          <w:p w14:paraId="4FACF99C">
            <w:pPr>
              <w:pStyle w:val="23"/>
              <w:keepNext w:val="0"/>
              <w:keepLines w:val="0"/>
              <w:suppressLineNumbers w:val="0"/>
              <w:spacing w:before="59" w:line="311" w:lineRule="auto"/>
              <w:ind w:left="109" w:right="195" w:firstLine="1"/>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消防控制室</w:t>
            </w:r>
            <w:r>
              <w:rPr>
                <w:rFonts w:hint="eastAsia" w:ascii="宋体" w:hAnsi="宋体" w:eastAsia="宋体" w:cs="宋体"/>
                <w:b w:val="0"/>
                <w:bCs w:val="0"/>
                <w:color w:val="auto"/>
                <w:spacing w:val="-2"/>
                <w:sz w:val="18"/>
                <w:szCs w:val="18"/>
                <w:highlight w:val="none"/>
              </w:rPr>
              <w:t>资料管理（6</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29" w:type="pct"/>
            <w:vAlign w:val="center"/>
          </w:tcPr>
          <w:p w14:paraId="3C4BFAEF">
            <w:pPr>
              <w:pStyle w:val="23"/>
              <w:keepNext w:val="0"/>
              <w:keepLines w:val="0"/>
              <w:suppressLineNumbers w:val="0"/>
              <w:spacing w:before="59" w:line="311" w:lineRule="auto"/>
              <w:ind w:left="111" w:right="103" w:firstLine="47"/>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a)消防控制室值班记录表、建筑消防设施故障维修记</w:t>
            </w:r>
            <w:r>
              <w:rPr>
                <w:rFonts w:hint="eastAsia" w:ascii="宋体" w:hAnsi="宋体" w:eastAsia="宋体" w:cs="宋体"/>
                <w:b w:val="0"/>
                <w:bCs w:val="0"/>
                <w:color w:val="auto"/>
                <w:spacing w:val="-2"/>
                <w:sz w:val="18"/>
                <w:szCs w:val="18"/>
                <w:highlight w:val="none"/>
              </w:rPr>
              <w:t>录表等工作记录应当及时填写、更新、归档，消防控制</w:t>
            </w:r>
            <w:r>
              <w:rPr>
                <w:rFonts w:hint="eastAsia" w:ascii="宋体" w:hAnsi="宋体" w:eastAsia="宋体" w:cs="宋体"/>
                <w:b w:val="0"/>
                <w:bCs w:val="0"/>
                <w:color w:val="auto"/>
                <w:spacing w:val="-6"/>
                <w:sz w:val="18"/>
                <w:szCs w:val="18"/>
                <w:highlight w:val="none"/>
              </w:rPr>
              <w:t>室资料情况；</w:t>
            </w:r>
          </w:p>
        </w:tc>
        <w:tc>
          <w:tcPr>
            <w:tcW w:w="1180" w:type="pct"/>
            <w:vAlign w:val="center"/>
          </w:tcPr>
          <w:p w14:paraId="1EA7FD54">
            <w:pPr>
              <w:pStyle w:val="23"/>
              <w:keepNext w:val="0"/>
              <w:keepLines w:val="0"/>
              <w:suppressLineNumbers w:val="0"/>
              <w:spacing w:before="66" w:line="305" w:lineRule="auto"/>
              <w:ind w:left="112" w:right="18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每发现一项值班记录、维修记录缺失的扣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2"/>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分，值班记录、维修记录无当事人或领导签字的扣</w:t>
            </w:r>
            <w:r>
              <w:rPr>
                <w:rFonts w:hint="eastAsia" w:ascii="宋体" w:hAnsi="宋体" w:eastAsia="宋体" w:cs="宋体"/>
                <w:b w:val="0"/>
                <w:bCs w:val="0"/>
                <w:color w:val="auto"/>
                <w:spacing w:val="-13"/>
                <w:sz w:val="18"/>
                <w:szCs w:val="18"/>
                <w:highlight w:val="none"/>
              </w:rPr>
              <w:t xml:space="preserve"> </w:t>
            </w:r>
            <w:r>
              <w:rPr>
                <w:rFonts w:hint="eastAsia" w:ascii="宋体" w:hAnsi="宋体" w:eastAsia="宋体" w:cs="宋体"/>
                <w:b w:val="0"/>
                <w:bCs w:val="0"/>
                <w:color w:val="auto"/>
                <w:spacing w:val="-2"/>
                <w:sz w:val="18"/>
                <w:szCs w:val="18"/>
                <w:highlight w:val="none"/>
              </w:rPr>
              <w:t>1</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1"/>
                <w:sz w:val="18"/>
                <w:szCs w:val="18"/>
                <w:highlight w:val="none"/>
              </w:rPr>
              <w:t>分，未按照有关规定保存有关消防工作纸质或电</w:t>
            </w:r>
            <w:r>
              <w:rPr>
                <w:rFonts w:hint="eastAsia" w:ascii="宋体" w:hAnsi="宋体" w:eastAsia="宋体" w:cs="宋体"/>
                <w:b w:val="0"/>
                <w:bCs w:val="0"/>
                <w:color w:val="auto"/>
                <w:spacing w:val="-2"/>
                <w:sz w:val="18"/>
                <w:szCs w:val="18"/>
                <w:highlight w:val="none"/>
              </w:rPr>
              <w:t>子档案资料的，每缺一项扣</w:t>
            </w:r>
            <w:r>
              <w:rPr>
                <w:rFonts w:hint="eastAsia" w:ascii="宋体" w:hAnsi="宋体" w:eastAsia="宋体" w:cs="宋体"/>
                <w:b w:val="0"/>
                <w:bCs w:val="0"/>
                <w:color w:val="auto"/>
                <w:spacing w:val="-22"/>
                <w:sz w:val="18"/>
                <w:szCs w:val="18"/>
                <w:highlight w:val="none"/>
              </w:rPr>
              <w:t xml:space="preserve"> </w:t>
            </w:r>
            <w:r>
              <w:rPr>
                <w:rFonts w:hint="eastAsia" w:ascii="宋体" w:hAnsi="宋体" w:eastAsia="宋体" w:cs="宋体"/>
                <w:b w:val="0"/>
                <w:bCs w:val="0"/>
                <w:color w:val="auto"/>
                <w:spacing w:val="-2"/>
                <w:sz w:val="18"/>
                <w:szCs w:val="18"/>
                <w:highlight w:val="none"/>
              </w:rPr>
              <w:t>1</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2"/>
                <w:sz w:val="18"/>
                <w:szCs w:val="18"/>
                <w:highlight w:val="none"/>
              </w:rPr>
              <w:t>分，资料不齐全的</w:t>
            </w:r>
            <w:r>
              <w:rPr>
                <w:rFonts w:hint="eastAsia" w:ascii="宋体" w:hAnsi="宋体" w:eastAsia="宋体" w:cs="宋体"/>
                <w:b w:val="0"/>
                <w:bCs w:val="0"/>
                <w:color w:val="auto"/>
                <w:spacing w:val="-5"/>
                <w:sz w:val="18"/>
                <w:szCs w:val="18"/>
                <w:highlight w:val="none"/>
              </w:rPr>
              <w:t>每发现一项扣</w:t>
            </w:r>
            <w:r>
              <w:rPr>
                <w:rFonts w:hint="eastAsia" w:ascii="宋体" w:hAnsi="宋体" w:eastAsia="宋体" w:cs="宋体"/>
                <w:b w:val="0"/>
                <w:bCs w:val="0"/>
                <w:color w:val="auto"/>
                <w:spacing w:val="-19"/>
                <w:sz w:val="18"/>
                <w:szCs w:val="18"/>
                <w:highlight w:val="none"/>
              </w:rPr>
              <w:t xml:space="preserve"> </w:t>
            </w:r>
            <w:r>
              <w:rPr>
                <w:rFonts w:hint="eastAsia" w:ascii="宋体" w:hAnsi="宋体" w:eastAsia="宋体" w:cs="宋体"/>
                <w:b w:val="0"/>
                <w:bCs w:val="0"/>
                <w:color w:val="auto"/>
                <w:spacing w:val="-5"/>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分，最高扣</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5"/>
                <w:sz w:val="18"/>
                <w:szCs w:val="18"/>
                <w:highlight w:val="none"/>
              </w:rPr>
              <w:t>3</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7" w:type="pct"/>
            <w:vAlign w:val="center"/>
          </w:tcPr>
          <w:p w14:paraId="74F71E22">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328B9D7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restart"/>
            <w:tcBorders>
              <w:bottom w:val="nil"/>
            </w:tcBorders>
            <w:vAlign w:val="center"/>
          </w:tcPr>
          <w:p w14:paraId="0694AFE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3BDB99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3" w:hRule="atLeast"/>
          <w:jc w:val="center"/>
        </w:trPr>
        <w:tc>
          <w:tcPr>
            <w:tcW w:w="197" w:type="pct"/>
            <w:vMerge w:val="continue"/>
            <w:tcBorders>
              <w:top w:val="nil"/>
            </w:tcBorders>
            <w:vAlign w:val="center"/>
          </w:tcPr>
          <w:p w14:paraId="790E4FA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tcBorders>
              <w:top w:val="nil"/>
            </w:tcBorders>
            <w:vAlign w:val="center"/>
          </w:tcPr>
          <w:p w14:paraId="0B1BBDC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tcBorders>
              <w:top w:val="nil"/>
            </w:tcBorders>
            <w:vAlign w:val="center"/>
          </w:tcPr>
          <w:p w14:paraId="2B48F21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29" w:type="pct"/>
            <w:vAlign w:val="center"/>
          </w:tcPr>
          <w:p w14:paraId="2776FEDE">
            <w:pPr>
              <w:pStyle w:val="23"/>
              <w:keepNext w:val="0"/>
              <w:keepLines w:val="0"/>
              <w:suppressLineNumbers w:val="0"/>
              <w:spacing w:before="70" w:line="294" w:lineRule="auto"/>
              <w:ind w:left="113" w:right="105" w:firstLine="38"/>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b)比对设备火警、故障信息与相应运行记录，检查火</w:t>
            </w:r>
            <w:r>
              <w:rPr>
                <w:rFonts w:hint="eastAsia" w:ascii="宋体" w:hAnsi="宋体" w:eastAsia="宋体" w:cs="宋体"/>
                <w:b w:val="0"/>
                <w:bCs w:val="0"/>
                <w:color w:val="auto"/>
                <w:spacing w:val="-2"/>
                <w:sz w:val="18"/>
                <w:szCs w:val="18"/>
                <w:highlight w:val="none"/>
              </w:rPr>
              <w:t>警信息和设备故障是否及时登记，是否按照规定进行了</w:t>
            </w:r>
            <w:r>
              <w:rPr>
                <w:rFonts w:hint="eastAsia" w:ascii="宋体" w:hAnsi="宋体" w:eastAsia="宋体" w:cs="宋体"/>
                <w:b w:val="0"/>
                <w:bCs w:val="0"/>
                <w:color w:val="auto"/>
                <w:spacing w:val="-4"/>
                <w:sz w:val="18"/>
                <w:szCs w:val="18"/>
                <w:highlight w:val="none"/>
              </w:rPr>
              <w:t>处置。</w:t>
            </w:r>
          </w:p>
        </w:tc>
        <w:tc>
          <w:tcPr>
            <w:tcW w:w="1180" w:type="pct"/>
            <w:vAlign w:val="center"/>
          </w:tcPr>
          <w:p w14:paraId="314A8E22">
            <w:pPr>
              <w:pStyle w:val="23"/>
              <w:keepNext w:val="0"/>
              <w:keepLines w:val="0"/>
              <w:suppressLineNumbers w:val="0"/>
              <w:spacing w:before="70" w:line="294" w:lineRule="auto"/>
              <w:ind w:left="113" w:right="183"/>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火警信息和设备故障是未登记的扣</w:t>
            </w:r>
            <w:r>
              <w:rPr>
                <w:rFonts w:hint="eastAsia" w:ascii="宋体" w:hAnsi="宋体" w:eastAsia="宋体" w:cs="宋体"/>
                <w:b w:val="0"/>
                <w:bCs w:val="0"/>
                <w:color w:val="auto"/>
                <w:spacing w:val="-23"/>
                <w:sz w:val="18"/>
                <w:szCs w:val="18"/>
                <w:highlight w:val="none"/>
              </w:rPr>
              <w:t xml:space="preserve"> </w:t>
            </w:r>
            <w:r>
              <w:rPr>
                <w:rFonts w:hint="eastAsia" w:ascii="宋体" w:hAnsi="宋体" w:eastAsia="宋体" w:cs="宋体"/>
                <w:b w:val="0"/>
                <w:bCs w:val="0"/>
                <w:color w:val="auto"/>
                <w:spacing w:val="-2"/>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分，每发现一项记录缺失的扣</w:t>
            </w:r>
            <w:r>
              <w:rPr>
                <w:rFonts w:hint="eastAsia" w:ascii="宋体" w:hAnsi="宋体" w:eastAsia="宋体" w:cs="宋体"/>
                <w:b w:val="0"/>
                <w:bCs w:val="0"/>
                <w:color w:val="auto"/>
                <w:spacing w:val="-25"/>
                <w:sz w:val="18"/>
                <w:szCs w:val="18"/>
                <w:highlight w:val="none"/>
              </w:rPr>
              <w:t xml:space="preserve"> </w:t>
            </w:r>
            <w:r>
              <w:rPr>
                <w:rFonts w:hint="eastAsia" w:ascii="宋体" w:hAnsi="宋体" w:eastAsia="宋体" w:cs="宋体"/>
                <w:b w:val="0"/>
                <w:bCs w:val="0"/>
                <w:color w:val="auto"/>
                <w:spacing w:val="-2"/>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分，记录无当事人或领导签</w:t>
            </w:r>
            <w:r>
              <w:rPr>
                <w:rFonts w:hint="eastAsia" w:ascii="宋体" w:hAnsi="宋体" w:eastAsia="宋体" w:cs="宋体"/>
                <w:b w:val="0"/>
                <w:bCs w:val="0"/>
                <w:color w:val="auto"/>
                <w:spacing w:val="-6"/>
                <w:sz w:val="18"/>
                <w:szCs w:val="18"/>
                <w:highlight w:val="none"/>
              </w:rPr>
              <w:t>字的扣</w:t>
            </w:r>
            <w:r>
              <w:rPr>
                <w:rFonts w:hint="eastAsia" w:ascii="宋体" w:hAnsi="宋体" w:eastAsia="宋体" w:cs="宋体"/>
                <w:b w:val="0"/>
                <w:bCs w:val="0"/>
                <w:color w:val="auto"/>
                <w:spacing w:val="-22"/>
                <w:sz w:val="18"/>
                <w:szCs w:val="18"/>
                <w:highlight w:val="none"/>
              </w:rPr>
              <w:t xml:space="preserve"> </w:t>
            </w:r>
            <w:r>
              <w:rPr>
                <w:rFonts w:hint="eastAsia" w:ascii="宋体" w:hAnsi="宋体" w:eastAsia="宋体" w:cs="宋体"/>
                <w:b w:val="0"/>
                <w:bCs w:val="0"/>
                <w:color w:val="auto"/>
                <w:spacing w:val="-6"/>
                <w:sz w:val="18"/>
                <w:szCs w:val="18"/>
                <w:highlight w:val="none"/>
              </w:rPr>
              <w:t>1</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6"/>
                <w:sz w:val="18"/>
                <w:szCs w:val="18"/>
                <w:highlight w:val="none"/>
              </w:rPr>
              <w:t>分，最高扣</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6"/>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367" w:type="pct"/>
            <w:vAlign w:val="center"/>
          </w:tcPr>
          <w:p w14:paraId="0DCB944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3B39D51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tcBorders>
            <w:vAlign w:val="center"/>
          </w:tcPr>
          <w:p w14:paraId="1744BAC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78C2AC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1" w:hRule="atLeast"/>
          <w:jc w:val="center"/>
        </w:trPr>
        <w:tc>
          <w:tcPr>
            <w:tcW w:w="197" w:type="pct"/>
            <w:vMerge w:val="restart"/>
            <w:vAlign w:val="center"/>
          </w:tcPr>
          <w:p w14:paraId="44F3B911">
            <w:pPr>
              <w:pStyle w:val="23"/>
              <w:keepNext w:val="0"/>
              <w:keepLines w:val="0"/>
              <w:suppressLineNumbers w:val="0"/>
              <w:spacing w:before="58" w:line="181" w:lineRule="auto"/>
              <w:ind w:left="269"/>
              <w:rPr>
                <w:rFonts w:hint="eastAsia" w:ascii="宋体" w:hAnsi="宋体" w:eastAsia="宋体" w:cs="宋体"/>
                <w:b w:val="0"/>
                <w:bCs w:val="0"/>
                <w:color w:val="auto"/>
                <w:sz w:val="18"/>
                <w:szCs w:val="18"/>
                <w:highlight w:val="none"/>
                <w:lang w:eastAsia="zh-CN"/>
              </w:rPr>
            </w:pPr>
            <w:r>
              <w:rPr>
                <w:rFonts w:hint="eastAsia" w:ascii="宋体" w:hAnsi="宋体" w:eastAsia="宋体" w:cs="宋体"/>
                <w:b w:val="0"/>
                <w:bCs w:val="0"/>
                <w:color w:val="auto"/>
                <w:spacing w:val="-2"/>
                <w:sz w:val="18"/>
                <w:szCs w:val="18"/>
                <w:highlight w:val="none"/>
                <w:lang w:val="en-US" w:eastAsia="zh-CN"/>
              </w:rPr>
              <w:t>6</w:t>
            </w:r>
          </w:p>
        </w:tc>
        <w:tc>
          <w:tcPr>
            <w:tcW w:w="491" w:type="pct"/>
            <w:vMerge w:val="restart"/>
            <w:vAlign w:val="center"/>
          </w:tcPr>
          <w:p w14:paraId="4300E84F">
            <w:pPr>
              <w:pStyle w:val="23"/>
              <w:keepNext w:val="0"/>
              <w:keepLines w:val="0"/>
              <w:suppressLineNumbers w:val="0"/>
              <w:spacing w:before="59" w:line="220" w:lineRule="auto"/>
              <w:ind w:left="20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用火（动</w:t>
            </w:r>
            <w:r>
              <w:rPr>
                <w:rFonts w:hint="eastAsia" w:ascii="宋体" w:hAnsi="宋体" w:eastAsia="宋体" w:cs="宋体"/>
                <w:b w:val="0"/>
                <w:bCs w:val="0"/>
                <w:color w:val="auto"/>
                <w:spacing w:val="-16"/>
                <w:sz w:val="18"/>
                <w:szCs w:val="18"/>
                <w:highlight w:val="none"/>
              </w:rPr>
              <w:t>火）、用电、</w:t>
            </w:r>
            <w:r>
              <w:rPr>
                <w:rFonts w:hint="eastAsia" w:ascii="宋体" w:hAnsi="宋体" w:eastAsia="宋体" w:cs="宋体"/>
                <w:b w:val="0"/>
                <w:bCs w:val="0"/>
                <w:color w:val="auto"/>
                <w:spacing w:val="-2"/>
                <w:sz w:val="18"/>
                <w:szCs w:val="18"/>
                <w:highlight w:val="none"/>
              </w:rPr>
              <w:t>用油、用气</w:t>
            </w:r>
            <w:r>
              <w:rPr>
                <w:rFonts w:hint="eastAsia" w:ascii="宋体" w:hAnsi="宋体" w:eastAsia="宋体" w:cs="宋体"/>
                <w:b w:val="0"/>
                <w:bCs w:val="0"/>
                <w:color w:val="auto"/>
                <w:spacing w:val="-3"/>
                <w:sz w:val="18"/>
                <w:szCs w:val="18"/>
                <w:highlight w:val="none"/>
              </w:rPr>
              <w:t>管理</w:t>
            </w:r>
            <w:r>
              <w:rPr>
                <w:rFonts w:hint="eastAsia" w:ascii="宋体" w:hAnsi="宋体" w:eastAsia="宋体" w:cs="宋体"/>
                <w:b w:val="0"/>
                <w:bCs w:val="0"/>
                <w:color w:val="auto"/>
                <w:spacing w:val="-5"/>
                <w:sz w:val="18"/>
                <w:szCs w:val="18"/>
                <w:highlight w:val="none"/>
              </w:rPr>
              <w:t>（40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7" w:type="pct"/>
            <w:vAlign w:val="center"/>
          </w:tcPr>
          <w:p w14:paraId="3E63DE35">
            <w:pPr>
              <w:pStyle w:val="23"/>
              <w:keepNext w:val="0"/>
              <w:keepLines w:val="0"/>
              <w:suppressLineNumbers w:val="0"/>
              <w:spacing w:before="59" w:line="311" w:lineRule="auto"/>
              <w:ind w:left="109" w:right="195" w:firstLine="1"/>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安全操作规程（5分）</w:t>
            </w:r>
          </w:p>
        </w:tc>
        <w:tc>
          <w:tcPr>
            <w:tcW w:w="1729" w:type="pct"/>
            <w:vAlign w:val="center"/>
          </w:tcPr>
          <w:p w14:paraId="7CB436AD">
            <w:pPr>
              <w:pStyle w:val="23"/>
              <w:keepNext w:val="0"/>
              <w:keepLines w:val="0"/>
              <w:suppressLineNumbers w:val="0"/>
              <w:spacing w:before="225" w:line="306" w:lineRule="auto"/>
              <w:ind w:left="121" w:right="40" w:hanging="1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应当制定用火（动火)、用电、用油、用气（包括防雷、</w:t>
            </w:r>
            <w:r>
              <w:rPr>
                <w:rFonts w:hint="eastAsia" w:ascii="宋体" w:hAnsi="宋体" w:eastAsia="宋体" w:cs="宋体"/>
                <w:b w:val="0"/>
                <w:bCs w:val="0"/>
                <w:color w:val="auto"/>
                <w:spacing w:val="-4"/>
                <w:sz w:val="18"/>
                <w:szCs w:val="18"/>
                <w:highlight w:val="none"/>
              </w:rPr>
              <w:t>防静电)安全操作规程。</w:t>
            </w:r>
          </w:p>
        </w:tc>
        <w:tc>
          <w:tcPr>
            <w:tcW w:w="1180" w:type="pct"/>
            <w:vAlign w:val="center"/>
          </w:tcPr>
          <w:p w14:paraId="6B23D451">
            <w:pPr>
              <w:pStyle w:val="23"/>
              <w:keepNext w:val="0"/>
              <w:keepLines w:val="0"/>
              <w:suppressLineNumbers w:val="0"/>
              <w:spacing w:before="70" w:line="294" w:lineRule="auto"/>
              <w:ind w:left="112" w:right="106"/>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每缺少一项安全操作规程扣 2 分，</w:t>
            </w:r>
            <w:r>
              <w:rPr>
                <w:rFonts w:hint="eastAsia" w:cs="宋体"/>
                <w:b w:val="0"/>
                <w:bCs w:val="0"/>
                <w:color w:val="auto"/>
                <w:spacing w:val="-1"/>
                <w:sz w:val="18"/>
                <w:szCs w:val="18"/>
                <w:highlight w:val="none"/>
                <w:lang w:eastAsia="zh-CN"/>
              </w:rPr>
              <w:t>安全</w:t>
            </w:r>
            <w:r>
              <w:rPr>
                <w:rFonts w:hint="eastAsia" w:ascii="宋体" w:hAnsi="宋体" w:eastAsia="宋体" w:cs="宋体"/>
                <w:b w:val="0"/>
                <w:bCs w:val="0"/>
                <w:color w:val="auto"/>
                <w:spacing w:val="-1"/>
                <w:sz w:val="18"/>
                <w:szCs w:val="18"/>
                <w:highlight w:val="none"/>
              </w:rPr>
              <w:t>操作规程内容不满足要求的每发现一项扣 1 分，最高</w:t>
            </w:r>
            <w:r>
              <w:rPr>
                <w:rFonts w:hint="eastAsia" w:ascii="宋体" w:hAnsi="宋体" w:eastAsia="宋体" w:cs="宋体"/>
                <w:b w:val="0"/>
                <w:bCs w:val="0"/>
                <w:color w:val="auto"/>
                <w:spacing w:val="-10"/>
                <w:sz w:val="18"/>
                <w:szCs w:val="18"/>
                <w:highlight w:val="none"/>
              </w:rPr>
              <w:t>扣</w:t>
            </w:r>
            <w:r>
              <w:rPr>
                <w:rFonts w:hint="eastAsia" w:ascii="宋体" w:hAnsi="宋体" w:eastAsia="宋体" w:cs="宋体"/>
                <w:b w:val="0"/>
                <w:bCs w:val="0"/>
                <w:color w:val="auto"/>
                <w:spacing w:val="-33"/>
                <w:sz w:val="18"/>
                <w:szCs w:val="18"/>
                <w:highlight w:val="none"/>
              </w:rPr>
              <w:t xml:space="preserve"> </w:t>
            </w:r>
            <w:r>
              <w:rPr>
                <w:rFonts w:hint="eastAsia" w:ascii="宋体" w:hAnsi="宋体" w:eastAsia="宋体" w:cs="宋体"/>
                <w:b w:val="0"/>
                <w:bCs w:val="0"/>
                <w:color w:val="auto"/>
                <w:spacing w:val="-10"/>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0"/>
                <w:sz w:val="18"/>
                <w:szCs w:val="18"/>
                <w:highlight w:val="none"/>
              </w:rPr>
              <w:t>分。</w:t>
            </w:r>
          </w:p>
        </w:tc>
        <w:tc>
          <w:tcPr>
            <w:tcW w:w="367" w:type="pct"/>
            <w:vAlign w:val="center"/>
          </w:tcPr>
          <w:p w14:paraId="2D3133E9">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0C0E511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Align w:val="center"/>
          </w:tcPr>
          <w:p w14:paraId="0F377A1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r w14:paraId="7B5CE5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jc w:val="center"/>
        </w:trPr>
        <w:tc>
          <w:tcPr>
            <w:tcW w:w="197" w:type="pct"/>
            <w:vMerge w:val="continue"/>
            <w:vAlign w:val="center"/>
          </w:tcPr>
          <w:p w14:paraId="3F95357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4471029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Align w:val="center"/>
          </w:tcPr>
          <w:p w14:paraId="0EEB150B">
            <w:pPr>
              <w:pStyle w:val="23"/>
              <w:keepNext w:val="0"/>
              <w:keepLines w:val="0"/>
              <w:suppressLineNumbers w:val="0"/>
              <w:spacing w:before="70" w:line="281" w:lineRule="auto"/>
              <w:ind w:left="109" w:right="19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持证上岗（5</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29" w:type="pct"/>
            <w:vAlign w:val="center"/>
          </w:tcPr>
          <w:p w14:paraId="471B1CF7">
            <w:pPr>
              <w:pStyle w:val="23"/>
              <w:keepNext w:val="0"/>
              <w:keepLines w:val="0"/>
              <w:suppressLineNumbers w:val="0"/>
              <w:spacing w:before="59" w:line="311" w:lineRule="auto"/>
              <w:ind w:left="111" w:right="103" w:firstLine="47"/>
              <w:jc w:val="both"/>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电工、焊工、易燃易爆危险化学品操作人员应持证上岗。</w:t>
            </w:r>
          </w:p>
        </w:tc>
        <w:tc>
          <w:tcPr>
            <w:tcW w:w="1180" w:type="pct"/>
            <w:vAlign w:val="center"/>
          </w:tcPr>
          <w:p w14:paraId="431D7CD3">
            <w:pPr>
              <w:pStyle w:val="23"/>
              <w:keepNext w:val="0"/>
              <w:keepLines w:val="0"/>
              <w:suppressLineNumbers w:val="0"/>
              <w:spacing w:before="59" w:line="311" w:lineRule="auto"/>
              <w:ind w:left="111" w:right="103" w:firstLine="47"/>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未持证上岗的每发现一人扣 2 分，最高扣 5 分。</w:t>
            </w:r>
          </w:p>
        </w:tc>
        <w:tc>
          <w:tcPr>
            <w:tcW w:w="367" w:type="pct"/>
            <w:vAlign w:val="center"/>
          </w:tcPr>
          <w:p w14:paraId="167E7C98">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37E1CD8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Align w:val="center"/>
          </w:tcPr>
          <w:p w14:paraId="2EEB7BEC">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18"/>
                <w:szCs w:val="18"/>
                <w:highlight w:val="none"/>
                <w:lang w:val="en-US" w:eastAsia="zh-CN"/>
              </w:rPr>
            </w:pPr>
          </w:p>
        </w:tc>
      </w:tr>
      <w:tr w14:paraId="571C3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0" w:hRule="atLeast"/>
          <w:jc w:val="center"/>
        </w:trPr>
        <w:tc>
          <w:tcPr>
            <w:tcW w:w="197" w:type="pct"/>
            <w:vMerge w:val="continue"/>
            <w:vAlign w:val="center"/>
          </w:tcPr>
          <w:p w14:paraId="554C333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3C52B18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Align w:val="center"/>
          </w:tcPr>
          <w:p w14:paraId="15F8A298">
            <w:pPr>
              <w:pStyle w:val="23"/>
              <w:keepNext w:val="0"/>
              <w:keepLines w:val="0"/>
              <w:suppressLineNumbers w:val="0"/>
              <w:spacing w:before="58" w:line="307" w:lineRule="auto"/>
              <w:ind w:left="107" w:right="107" w:firstLine="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用电、用气安</w:t>
            </w:r>
            <w:r>
              <w:rPr>
                <w:rFonts w:hint="eastAsia" w:ascii="宋体" w:hAnsi="宋体" w:eastAsia="宋体" w:cs="宋体"/>
                <w:b w:val="0"/>
                <w:bCs w:val="0"/>
                <w:color w:val="auto"/>
                <w:spacing w:val="-4"/>
                <w:sz w:val="18"/>
                <w:szCs w:val="18"/>
                <w:highlight w:val="none"/>
              </w:rPr>
              <w:t>全（15</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4"/>
                <w:sz w:val="18"/>
                <w:szCs w:val="18"/>
                <w:highlight w:val="none"/>
              </w:rPr>
              <w:t>分）</w:t>
            </w:r>
          </w:p>
        </w:tc>
        <w:tc>
          <w:tcPr>
            <w:tcW w:w="1729" w:type="pct"/>
            <w:vAlign w:val="center"/>
          </w:tcPr>
          <w:p w14:paraId="779E0132">
            <w:pPr>
              <w:pStyle w:val="23"/>
              <w:keepNext w:val="0"/>
              <w:keepLines w:val="0"/>
              <w:suppressLineNumbers w:val="0"/>
              <w:spacing w:before="59" w:line="311" w:lineRule="auto"/>
              <w:ind w:left="111" w:right="103" w:firstLine="47"/>
              <w:jc w:val="both"/>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a)不应存在违规使用大功率电器或超负荷用电现象，用电、用气设备（包括防雷、防静电)定期维护保养、检测；</w:t>
            </w:r>
          </w:p>
        </w:tc>
        <w:tc>
          <w:tcPr>
            <w:tcW w:w="1180" w:type="pct"/>
            <w:vAlign w:val="center"/>
          </w:tcPr>
          <w:p w14:paraId="62A7EB2B">
            <w:pPr>
              <w:pStyle w:val="23"/>
              <w:keepNext w:val="0"/>
              <w:keepLines w:val="0"/>
              <w:suppressLineNumbers w:val="0"/>
              <w:spacing w:before="71" w:line="302" w:lineRule="auto"/>
              <w:ind w:left="112" w:right="10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违规使用大功率电器、超负荷用电或大功率电器</w:t>
            </w:r>
            <w:r>
              <w:rPr>
                <w:rFonts w:hint="eastAsia" w:ascii="宋体" w:hAnsi="宋体" w:eastAsia="宋体" w:cs="宋体"/>
                <w:b w:val="0"/>
                <w:bCs w:val="0"/>
                <w:color w:val="auto"/>
                <w:spacing w:val="-1"/>
                <w:sz w:val="18"/>
                <w:szCs w:val="18"/>
                <w:highlight w:val="none"/>
              </w:rPr>
              <w:t>周围堆放可燃物</w:t>
            </w:r>
            <w:r>
              <w:rPr>
                <w:rFonts w:hint="eastAsia" w:cs="宋体"/>
                <w:b w:val="0"/>
                <w:bCs w:val="0"/>
                <w:color w:val="auto"/>
                <w:spacing w:val="-1"/>
                <w:sz w:val="18"/>
                <w:szCs w:val="18"/>
                <w:highlight w:val="none"/>
                <w:lang w:eastAsia="zh-CN"/>
              </w:rPr>
              <w:t>的</w:t>
            </w:r>
            <w:r>
              <w:rPr>
                <w:rFonts w:hint="eastAsia" w:ascii="宋体" w:hAnsi="宋体" w:eastAsia="宋体" w:cs="宋体"/>
                <w:b w:val="0"/>
                <w:bCs w:val="0"/>
                <w:color w:val="auto"/>
                <w:spacing w:val="-1"/>
                <w:sz w:val="18"/>
                <w:szCs w:val="18"/>
                <w:highlight w:val="none"/>
              </w:rPr>
              <w:t>每发现一处扣 1 分，未按规</w:t>
            </w:r>
            <w:r>
              <w:rPr>
                <w:rFonts w:hint="eastAsia" w:ascii="宋体" w:hAnsi="宋体" w:eastAsia="宋体" w:cs="宋体"/>
                <w:b w:val="0"/>
                <w:bCs w:val="0"/>
                <w:color w:val="auto"/>
                <w:spacing w:val="3"/>
                <w:sz w:val="18"/>
                <w:szCs w:val="18"/>
                <w:highlight w:val="none"/>
              </w:rPr>
              <w:t>定定期保养、检测用电、用气设备（包括防雷、</w:t>
            </w:r>
            <w:r>
              <w:rPr>
                <w:rFonts w:hint="eastAsia" w:ascii="宋体" w:hAnsi="宋体" w:eastAsia="宋体" w:cs="宋体"/>
                <w:b w:val="0"/>
                <w:bCs w:val="0"/>
                <w:color w:val="auto"/>
                <w:spacing w:val="-4"/>
                <w:sz w:val="18"/>
                <w:szCs w:val="18"/>
                <w:highlight w:val="none"/>
              </w:rPr>
              <w:t>防静电）每缺一项扣</w:t>
            </w:r>
            <w:r>
              <w:rPr>
                <w:rFonts w:hint="eastAsia" w:ascii="宋体" w:hAnsi="宋体" w:eastAsia="宋体" w:cs="宋体"/>
                <w:b w:val="0"/>
                <w:bCs w:val="0"/>
                <w:color w:val="auto"/>
                <w:spacing w:val="-25"/>
                <w:sz w:val="18"/>
                <w:szCs w:val="18"/>
                <w:highlight w:val="none"/>
              </w:rPr>
              <w:t xml:space="preserve"> </w:t>
            </w:r>
            <w:r>
              <w:rPr>
                <w:rFonts w:hint="eastAsia" w:ascii="宋体" w:hAnsi="宋体" w:eastAsia="宋体" w:cs="宋体"/>
                <w:b w:val="0"/>
                <w:bCs w:val="0"/>
                <w:color w:val="auto"/>
                <w:spacing w:val="-4"/>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4"/>
                <w:sz w:val="18"/>
                <w:szCs w:val="18"/>
                <w:highlight w:val="none"/>
              </w:rPr>
              <w:t>分，最高扣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4"/>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4"/>
                <w:sz w:val="18"/>
                <w:szCs w:val="18"/>
                <w:highlight w:val="none"/>
              </w:rPr>
              <w:t>分。</w:t>
            </w:r>
          </w:p>
        </w:tc>
        <w:tc>
          <w:tcPr>
            <w:tcW w:w="367" w:type="pct"/>
            <w:vAlign w:val="center"/>
          </w:tcPr>
          <w:p w14:paraId="6505952D">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6FF2449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Align w:val="center"/>
          </w:tcPr>
          <w:p w14:paraId="151F179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bl>
    <w:p w14:paraId="4096A090">
      <w:pPr>
        <w:rPr>
          <w:highlight w:val="none"/>
        </w:rPr>
      </w:pPr>
      <w:r>
        <w:rPr>
          <w:highlight w:val="none"/>
        </w:rPr>
        <w:br w:type="page"/>
      </w:r>
    </w:p>
    <w:tbl>
      <w:tblPr>
        <w:tblStyle w:val="24"/>
        <w:tblW w:w="492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3"/>
        <w:gridCol w:w="1456"/>
        <w:gridCol w:w="1086"/>
        <w:gridCol w:w="5131"/>
        <w:gridCol w:w="3506"/>
        <w:gridCol w:w="1086"/>
        <w:gridCol w:w="1000"/>
        <w:gridCol w:w="973"/>
      </w:tblGrid>
      <w:tr w14:paraId="3AA08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jc w:val="center"/>
        </w:trPr>
        <w:tc>
          <w:tcPr>
            <w:tcW w:w="197" w:type="pct"/>
            <w:vAlign w:val="center"/>
          </w:tcPr>
          <w:p w14:paraId="32B0C57E">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vAlign w:val="center"/>
          </w:tcPr>
          <w:p w14:paraId="359F3764">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04B9A392">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0" w:type="pct"/>
            <w:vAlign w:val="center"/>
          </w:tcPr>
          <w:p w14:paraId="3036300D">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2" w:type="pct"/>
            <w:vAlign w:val="center"/>
          </w:tcPr>
          <w:p w14:paraId="6FD9D970">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51B564C7">
            <w:pPr>
              <w:pStyle w:val="23"/>
              <w:keepNext w:val="0"/>
              <w:keepLines w:val="0"/>
              <w:suppressLineNumbers w:val="0"/>
              <w:spacing w:before="70" w:line="219" w:lineRule="auto"/>
              <w:ind w:left="170"/>
              <w:rPr>
                <w:highlight w:val="none"/>
              </w:rPr>
            </w:pPr>
            <w:r>
              <w:rPr>
                <w:b/>
                <w:bCs/>
                <w:spacing w:val="-3"/>
                <w:highlight w:val="none"/>
              </w:rPr>
              <w:t>评估情况</w:t>
            </w:r>
          </w:p>
        </w:tc>
        <w:tc>
          <w:tcPr>
            <w:tcW w:w="337" w:type="pct"/>
            <w:vAlign w:val="center"/>
          </w:tcPr>
          <w:p w14:paraId="13A20F87">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0047AF60">
            <w:pPr>
              <w:pStyle w:val="23"/>
              <w:keepNext w:val="0"/>
              <w:keepLines w:val="0"/>
              <w:suppressLineNumbers w:val="0"/>
              <w:spacing w:before="71" w:line="220" w:lineRule="auto"/>
              <w:ind w:left="295"/>
              <w:rPr>
                <w:highlight w:val="none"/>
              </w:rPr>
            </w:pPr>
            <w:r>
              <w:rPr>
                <w:b/>
                <w:bCs/>
                <w:spacing w:val="-4"/>
                <w:highlight w:val="none"/>
              </w:rPr>
              <w:t>得分</w:t>
            </w:r>
          </w:p>
        </w:tc>
      </w:tr>
      <w:tr w14:paraId="4FA3F2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jc w:val="center"/>
        </w:trPr>
        <w:tc>
          <w:tcPr>
            <w:tcW w:w="197" w:type="pct"/>
            <w:vMerge w:val="restart"/>
            <w:vAlign w:val="center"/>
          </w:tcPr>
          <w:p w14:paraId="0857A29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restart"/>
            <w:vAlign w:val="center"/>
          </w:tcPr>
          <w:p w14:paraId="39DA763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restart"/>
            <w:tcBorders>
              <w:bottom w:val="nil"/>
            </w:tcBorders>
            <w:vAlign w:val="center"/>
          </w:tcPr>
          <w:p w14:paraId="5229E40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0" w:type="pct"/>
            <w:vAlign w:val="center"/>
          </w:tcPr>
          <w:p w14:paraId="3744749F">
            <w:pPr>
              <w:pStyle w:val="23"/>
              <w:keepNext w:val="0"/>
              <w:keepLines w:val="0"/>
              <w:suppressLineNumbers w:val="0"/>
              <w:spacing w:before="68" w:line="307" w:lineRule="auto"/>
              <w:ind w:left="109" w:right="103" w:hanging="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b)配电箱、开关、插座、照明、电热设备</w:t>
            </w:r>
            <w:r>
              <w:rPr>
                <w:rFonts w:hint="eastAsia" w:ascii="宋体" w:hAnsi="宋体" w:eastAsia="宋体" w:cs="宋体"/>
                <w:b w:val="0"/>
                <w:bCs w:val="0"/>
                <w:color w:val="auto"/>
                <w:spacing w:val="-2"/>
                <w:sz w:val="18"/>
                <w:szCs w:val="18"/>
                <w:highlight w:val="none"/>
              </w:rPr>
              <w:t>安装应当符合相关规定；</w:t>
            </w:r>
          </w:p>
        </w:tc>
        <w:tc>
          <w:tcPr>
            <w:tcW w:w="1182" w:type="pct"/>
            <w:vAlign w:val="center"/>
          </w:tcPr>
          <w:p w14:paraId="787A2CCE">
            <w:pPr>
              <w:pStyle w:val="23"/>
              <w:keepNext w:val="0"/>
              <w:keepLines w:val="0"/>
              <w:suppressLineNumbers w:val="0"/>
              <w:spacing w:before="69" w:line="295" w:lineRule="auto"/>
              <w:ind w:left="115" w:right="185" w:hanging="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配电箱、开关、插座安装不符合规定的，照明、电热器的高温部位安装不符合规定的，每发现一</w:t>
            </w:r>
            <w:r>
              <w:rPr>
                <w:rFonts w:hint="eastAsia" w:ascii="宋体" w:hAnsi="宋体" w:eastAsia="宋体" w:cs="宋体"/>
                <w:b w:val="0"/>
                <w:bCs w:val="0"/>
                <w:color w:val="auto"/>
                <w:spacing w:val="-7"/>
                <w:sz w:val="18"/>
                <w:szCs w:val="18"/>
                <w:highlight w:val="none"/>
              </w:rPr>
              <w:t>处扣</w:t>
            </w:r>
            <w:r>
              <w:rPr>
                <w:rFonts w:hint="eastAsia" w:ascii="宋体" w:hAnsi="宋体" w:eastAsia="宋体" w:cs="宋体"/>
                <w:b w:val="0"/>
                <w:bCs w:val="0"/>
                <w:color w:val="auto"/>
                <w:spacing w:val="-20"/>
                <w:sz w:val="18"/>
                <w:szCs w:val="18"/>
                <w:highlight w:val="none"/>
              </w:rPr>
              <w:t xml:space="preserve"> </w:t>
            </w:r>
            <w:r>
              <w:rPr>
                <w:rFonts w:hint="eastAsia" w:ascii="宋体" w:hAnsi="宋体" w:eastAsia="宋体" w:cs="宋体"/>
                <w:b w:val="0"/>
                <w:bCs w:val="0"/>
                <w:color w:val="auto"/>
                <w:spacing w:val="-7"/>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分，最高扣</w:t>
            </w:r>
            <w:r>
              <w:rPr>
                <w:rFonts w:hint="eastAsia" w:ascii="宋体" w:hAnsi="宋体" w:eastAsia="宋体" w:cs="宋体"/>
                <w:b w:val="0"/>
                <w:bCs w:val="0"/>
                <w:color w:val="auto"/>
                <w:spacing w:val="-37"/>
                <w:sz w:val="18"/>
                <w:szCs w:val="18"/>
                <w:highlight w:val="none"/>
              </w:rPr>
              <w:t xml:space="preserve"> </w:t>
            </w:r>
            <w:r>
              <w:rPr>
                <w:rFonts w:hint="eastAsia" w:ascii="宋体" w:hAnsi="宋体" w:eastAsia="宋体" w:cs="宋体"/>
                <w:b w:val="0"/>
                <w:bCs w:val="0"/>
                <w:color w:val="auto"/>
                <w:spacing w:val="-7"/>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w:t>
            </w:r>
          </w:p>
        </w:tc>
        <w:tc>
          <w:tcPr>
            <w:tcW w:w="366" w:type="pct"/>
            <w:vAlign w:val="center"/>
          </w:tcPr>
          <w:p w14:paraId="4FAB3595">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315DE32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c>
          <w:tcPr>
            <w:tcW w:w="328" w:type="pct"/>
            <w:vMerge w:val="restart"/>
            <w:tcBorders>
              <w:bottom w:val="nil"/>
            </w:tcBorders>
            <w:vAlign w:val="center"/>
          </w:tcPr>
          <w:p w14:paraId="3E9B564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27CBA8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1" w:hRule="atLeast"/>
          <w:jc w:val="center"/>
        </w:trPr>
        <w:tc>
          <w:tcPr>
            <w:tcW w:w="197" w:type="pct"/>
            <w:vMerge w:val="continue"/>
            <w:vAlign w:val="center"/>
          </w:tcPr>
          <w:p w14:paraId="15B8B4A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088BB27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tcBorders>
              <w:top w:val="nil"/>
              <w:bottom w:val="nil"/>
            </w:tcBorders>
            <w:vAlign w:val="center"/>
          </w:tcPr>
          <w:p w14:paraId="7529946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0" w:type="pct"/>
            <w:vAlign w:val="center"/>
          </w:tcPr>
          <w:p w14:paraId="0DE9762F">
            <w:pPr>
              <w:pStyle w:val="23"/>
              <w:keepNext w:val="0"/>
              <w:keepLines w:val="0"/>
              <w:suppressLineNumbers w:val="0"/>
              <w:spacing w:before="224" w:line="311" w:lineRule="auto"/>
              <w:ind w:left="114" w:right="105" w:firstLine="45"/>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c)电气线路敷设应当采取防火保护措施，无私拉乱接电线现象，燃气用户应遵守消防技术标准和单位管理规</w:t>
            </w:r>
            <w:r>
              <w:rPr>
                <w:rFonts w:hint="eastAsia" w:ascii="宋体" w:hAnsi="宋体" w:eastAsia="宋体" w:cs="宋体"/>
                <w:b w:val="0"/>
                <w:bCs w:val="0"/>
                <w:color w:val="auto"/>
                <w:spacing w:val="-6"/>
                <w:sz w:val="18"/>
                <w:szCs w:val="18"/>
                <w:highlight w:val="none"/>
              </w:rPr>
              <w:t>定；</w:t>
            </w:r>
          </w:p>
        </w:tc>
        <w:tc>
          <w:tcPr>
            <w:tcW w:w="1182" w:type="pct"/>
            <w:vAlign w:val="center"/>
          </w:tcPr>
          <w:p w14:paraId="426968F0">
            <w:pPr>
              <w:pStyle w:val="23"/>
              <w:keepNext w:val="0"/>
              <w:keepLines w:val="0"/>
              <w:suppressLineNumbers w:val="0"/>
              <w:spacing w:before="67" w:line="301" w:lineRule="auto"/>
              <w:ind w:left="111" w:right="183" w:firstLine="21"/>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电气线路敷设未采取防火保护措施的、有私拉乱接电线现象的每发现一处扣</w:t>
            </w:r>
            <w:r>
              <w:rPr>
                <w:rFonts w:hint="eastAsia" w:ascii="宋体" w:hAnsi="宋体" w:eastAsia="宋体" w:cs="宋体"/>
                <w:b w:val="0"/>
                <w:bCs w:val="0"/>
                <w:color w:val="auto"/>
                <w:spacing w:val="-21"/>
                <w:sz w:val="18"/>
                <w:szCs w:val="18"/>
                <w:highlight w:val="none"/>
              </w:rPr>
              <w:t xml:space="preserve"> </w:t>
            </w:r>
            <w:r>
              <w:rPr>
                <w:rFonts w:hint="eastAsia" w:ascii="宋体" w:hAnsi="宋体" w:eastAsia="宋体" w:cs="宋体"/>
                <w:b w:val="0"/>
                <w:bCs w:val="0"/>
                <w:color w:val="auto"/>
                <w:spacing w:val="-2"/>
                <w:sz w:val="18"/>
                <w:szCs w:val="18"/>
                <w:highlight w:val="none"/>
              </w:rPr>
              <w:t>1</w:t>
            </w:r>
            <w:r>
              <w:rPr>
                <w:rFonts w:hint="eastAsia" w:ascii="宋体" w:hAnsi="宋体" w:eastAsia="宋体" w:cs="宋体"/>
                <w:b w:val="0"/>
                <w:bCs w:val="0"/>
                <w:color w:val="auto"/>
                <w:spacing w:val="-37"/>
                <w:sz w:val="18"/>
                <w:szCs w:val="18"/>
                <w:highlight w:val="none"/>
              </w:rPr>
              <w:t xml:space="preserve"> </w:t>
            </w:r>
            <w:r>
              <w:rPr>
                <w:rFonts w:hint="eastAsia" w:ascii="宋体" w:hAnsi="宋体" w:eastAsia="宋体" w:cs="宋体"/>
                <w:b w:val="0"/>
                <w:bCs w:val="0"/>
                <w:color w:val="auto"/>
                <w:spacing w:val="-2"/>
                <w:sz w:val="18"/>
                <w:szCs w:val="18"/>
                <w:highlight w:val="none"/>
              </w:rPr>
              <w:t>分，燃气用户未遵守消防技术标准和单位管理规定的扣</w:t>
            </w:r>
            <w:r>
              <w:rPr>
                <w:rFonts w:hint="eastAsia" w:ascii="宋体" w:hAnsi="宋体" w:eastAsia="宋体" w:cs="宋体"/>
                <w:b w:val="0"/>
                <w:bCs w:val="0"/>
                <w:color w:val="auto"/>
                <w:spacing w:val="-21"/>
                <w:sz w:val="18"/>
                <w:szCs w:val="18"/>
                <w:highlight w:val="none"/>
              </w:rPr>
              <w:t xml:space="preserve"> </w:t>
            </w:r>
            <w:r>
              <w:rPr>
                <w:rFonts w:hint="eastAsia" w:ascii="宋体" w:hAnsi="宋体" w:eastAsia="宋体" w:cs="宋体"/>
                <w:b w:val="0"/>
                <w:bCs w:val="0"/>
                <w:color w:val="auto"/>
                <w:spacing w:val="-2"/>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分，最高</w:t>
            </w:r>
            <w:r>
              <w:rPr>
                <w:rFonts w:hint="eastAsia" w:ascii="宋体" w:hAnsi="宋体" w:eastAsia="宋体" w:cs="宋体"/>
                <w:b w:val="0"/>
                <w:bCs w:val="0"/>
                <w:color w:val="auto"/>
                <w:spacing w:val="-10"/>
                <w:sz w:val="18"/>
                <w:szCs w:val="18"/>
                <w:highlight w:val="none"/>
              </w:rPr>
              <w:t>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10"/>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0"/>
                <w:sz w:val="18"/>
                <w:szCs w:val="18"/>
                <w:highlight w:val="none"/>
              </w:rPr>
              <w:t>分。</w:t>
            </w:r>
          </w:p>
        </w:tc>
        <w:tc>
          <w:tcPr>
            <w:tcW w:w="366" w:type="pct"/>
            <w:vAlign w:val="center"/>
          </w:tcPr>
          <w:p w14:paraId="36368770">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eastAsia="zh-CN"/>
              </w:rPr>
            </w:pPr>
          </w:p>
        </w:tc>
        <w:tc>
          <w:tcPr>
            <w:tcW w:w="337" w:type="pct"/>
            <w:vAlign w:val="center"/>
          </w:tcPr>
          <w:p w14:paraId="5FE891C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c>
          <w:tcPr>
            <w:tcW w:w="328" w:type="pct"/>
            <w:vMerge w:val="continue"/>
            <w:tcBorders>
              <w:top w:val="nil"/>
              <w:bottom w:val="nil"/>
            </w:tcBorders>
            <w:vAlign w:val="center"/>
          </w:tcPr>
          <w:p w14:paraId="7D42ECD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0B59B7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jc w:val="center"/>
        </w:trPr>
        <w:tc>
          <w:tcPr>
            <w:tcW w:w="197" w:type="pct"/>
            <w:vMerge w:val="continue"/>
            <w:vAlign w:val="center"/>
          </w:tcPr>
          <w:p w14:paraId="1A66536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47E3175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tcBorders>
              <w:top w:val="nil"/>
            </w:tcBorders>
            <w:vAlign w:val="center"/>
          </w:tcPr>
          <w:p w14:paraId="60DAA4F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0" w:type="pct"/>
            <w:vAlign w:val="center"/>
          </w:tcPr>
          <w:p w14:paraId="327DAA45">
            <w:pPr>
              <w:pStyle w:val="23"/>
              <w:keepNext w:val="0"/>
              <w:keepLines w:val="0"/>
              <w:suppressLineNumbers w:val="0"/>
              <w:spacing w:before="68" w:line="282" w:lineRule="auto"/>
              <w:ind w:left="125" w:right="170" w:firstLine="27"/>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d)电器产品、燃气用具应选用符合消防安全的合格产</w:t>
            </w:r>
            <w:r>
              <w:rPr>
                <w:rFonts w:hint="eastAsia" w:ascii="宋体" w:hAnsi="宋体" w:eastAsia="宋体" w:cs="宋体"/>
                <w:b w:val="0"/>
                <w:bCs w:val="0"/>
                <w:color w:val="auto"/>
                <w:spacing w:val="-11"/>
                <w:sz w:val="18"/>
                <w:szCs w:val="18"/>
                <w:highlight w:val="none"/>
              </w:rPr>
              <w:t>品。</w:t>
            </w:r>
          </w:p>
        </w:tc>
        <w:tc>
          <w:tcPr>
            <w:tcW w:w="1182" w:type="pct"/>
            <w:vAlign w:val="center"/>
          </w:tcPr>
          <w:p w14:paraId="765E67E9">
            <w:pPr>
              <w:pStyle w:val="23"/>
              <w:keepNext w:val="0"/>
              <w:keepLines w:val="0"/>
              <w:suppressLineNumbers w:val="0"/>
              <w:spacing w:before="68" w:line="282" w:lineRule="auto"/>
              <w:ind w:left="113" w:right="185" w:firstLine="19"/>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电器产品、燃气用具选用不符合相关规定的每发</w:t>
            </w:r>
            <w:r>
              <w:rPr>
                <w:rFonts w:hint="eastAsia" w:ascii="宋体" w:hAnsi="宋体" w:eastAsia="宋体" w:cs="宋体"/>
                <w:b w:val="0"/>
                <w:bCs w:val="0"/>
                <w:color w:val="auto"/>
                <w:spacing w:val="-1"/>
                <w:sz w:val="18"/>
                <w:szCs w:val="18"/>
                <w:highlight w:val="none"/>
              </w:rPr>
              <w:t>现一处扣</w:t>
            </w:r>
            <w:r>
              <w:rPr>
                <w:rFonts w:hint="eastAsia" w:ascii="宋体" w:hAnsi="宋体" w:eastAsia="宋体" w:cs="宋体"/>
                <w:b w:val="0"/>
                <w:bCs w:val="0"/>
                <w:color w:val="auto"/>
                <w:spacing w:val="-28"/>
                <w:sz w:val="18"/>
                <w:szCs w:val="18"/>
                <w:highlight w:val="none"/>
              </w:rPr>
              <w:t xml:space="preserve"> </w:t>
            </w:r>
            <w:r>
              <w:rPr>
                <w:rFonts w:hint="eastAsia" w:ascii="宋体" w:hAnsi="宋体" w:eastAsia="宋体" w:cs="宋体"/>
                <w:b w:val="0"/>
                <w:bCs w:val="0"/>
                <w:color w:val="auto"/>
                <w:spacing w:val="-1"/>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
                <w:sz w:val="18"/>
                <w:szCs w:val="18"/>
                <w:highlight w:val="none"/>
              </w:rPr>
              <w:t>分，最高扣4</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
                <w:sz w:val="18"/>
                <w:szCs w:val="18"/>
                <w:highlight w:val="none"/>
              </w:rPr>
              <w:t>分。</w:t>
            </w:r>
          </w:p>
        </w:tc>
        <w:tc>
          <w:tcPr>
            <w:tcW w:w="366" w:type="pct"/>
            <w:vAlign w:val="center"/>
          </w:tcPr>
          <w:p w14:paraId="4B57CF37">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2F521CD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tcBorders>
            <w:vAlign w:val="center"/>
          </w:tcPr>
          <w:p w14:paraId="0C5AC57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4757B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5" w:hRule="atLeast"/>
          <w:jc w:val="center"/>
        </w:trPr>
        <w:tc>
          <w:tcPr>
            <w:tcW w:w="197" w:type="pct"/>
            <w:vMerge w:val="continue"/>
            <w:vAlign w:val="center"/>
          </w:tcPr>
          <w:p w14:paraId="567F109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63B1D8B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restart"/>
            <w:vAlign w:val="center"/>
          </w:tcPr>
          <w:p w14:paraId="7409AA6F">
            <w:pPr>
              <w:pStyle w:val="23"/>
              <w:keepNext w:val="0"/>
              <w:keepLines w:val="0"/>
              <w:suppressLineNumbers w:val="0"/>
              <w:spacing w:before="59" w:line="307" w:lineRule="auto"/>
              <w:ind w:left="109" w:right="106"/>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用火安全（15</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30" w:type="pct"/>
            <w:vAlign w:val="center"/>
          </w:tcPr>
          <w:p w14:paraId="4081BC85">
            <w:pPr>
              <w:pStyle w:val="23"/>
              <w:keepNext w:val="0"/>
              <w:keepLines w:val="0"/>
              <w:suppressLineNumbers w:val="0"/>
              <w:spacing w:before="58" w:line="306" w:lineRule="auto"/>
              <w:ind w:left="113" w:right="170" w:hanging="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a)应当建立并落实用火（动火)审批制度，动火现场要安排专人值守，配置灭火器材设施；</w:t>
            </w:r>
          </w:p>
        </w:tc>
        <w:tc>
          <w:tcPr>
            <w:tcW w:w="1182" w:type="pct"/>
            <w:vAlign w:val="center"/>
          </w:tcPr>
          <w:p w14:paraId="1712CE99">
            <w:pPr>
              <w:pStyle w:val="23"/>
              <w:keepNext w:val="0"/>
              <w:keepLines w:val="0"/>
              <w:suppressLineNumbers w:val="0"/>
              <w:spacing w:before="68" w:line="301" w:lineRule="auto"/>
              <w:ind w:left="112" w:right="101"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4"/>
                <w:sz w:val="18"/>
                <w:szCs w:val="18"/>
                <w:highlight w:val="none"/>
              </w:rPr>
              <w:t>未建立制度的扣 3 分，制度不合理的扣</w:t>
            </w:r>
            <w:r>
              <w:rPr>
                <w:rFonts w:hint="eastAsia" w:ascii="宋体" w:hAnsi="宋体" w:eastAsia="宋体" w:cs="宋体"/>
                <w:b w:val="0"/>
                <w:bCs w:val="0"/>
                <w:color w:val="auto"/>
                <w:spacing w:val="-7"/>
                <w:sz w:val="18"/>
                <w:szCs w:val="18"/>
                <w:highlight w:val="none"/>
              </w:rPr>
              <w:t xml:space="preserve"> </w:t>
            </w:r>
            <w:r>
              <w:rPr>
                <w:rFonts w:hint="eastAsia" w:ascii="宋体" w:hAnsi="宋体" w:eastAsia="宋体" w:cs="宋体"/>
                <w:b w:val="0"/>
                <w:bCs w:val="0"/>
                <w:color w:val="auto"/>
                <w:spacing w:val="-4"/>
                <w:sz w:val="18"/>
                <w:szCs w:val="18"/>
                <w:highlight w:val="none"/>
              </w:rPr>
              <w:t>2</w:t>
            </w:r>
            <w:r>
              <w:rPr>
                <w:rFonts w:hint="eastAsia" w:ascii="宋体" w:hAnsi="宋体" w:eastAsia="宋体" w:cs="宋体"/>
                <w:b w:val="0"/>
                <w:bCs w:val="0"/>
                <w:color w:val="auto"/>
                <w:spacing w:val="-15"/>
                <w:sz w:val="18"/>
                <w:szCs w:val="18"/>
                <w:highlight w:val="none"/>
              </w:rPr>
              <w:t xml:space="preserve"> </w:t>
            </w:r>
            <w:r>
              <w:rPr>
                <w:rFonts w:hint="eastAsia" w:ascii="宋体" w:hAnsi="宋体" w:eastAsia="宋体" w:cs="宋体"/>
                <w:b w:val="0"/>
                <w:bCs w:val="0"/>
                <w:color w:val="auto"/>
                <w:spacing w:val="-4"/>
                <w:sz w:val="18"/>
                <w:szCs w:val="18"/>
                <w:highlight w:val="none"/>
              </w:rPr>
              <w:t>分，无</w:t>
            </w:r>
            <w:r>
              <w:rPr>
                <w:rFonts w:hint="eastAsia" w:ascii="宋体" w:hAnsi="宋体" w:eastAsia="宋体" w:cs="宋体"/>
                <w:b w:val="0"/>
                <w:bCs w:val="0"/>
                <w:color w:val="auto"/>
                <w:spacing w:val="3"/>
                <w:sz w:val="18"/>
                <w:szCs w:val="18"/>
                <w:highlight w:val="none"/>
              </w:rPr>
              <w:t>动火审批文件或动火审批文件中无专人值守、未</w:t>
            </w:r>
            <w:r>
              <w:rPr>
                <w:rFonts w:hint="eastAsia" w:ascii="宋体" w:hAnsi="宋体" w:eastAsia="宋体" w:cs="宋体"/>
                <w:b w:val="0"/>
                <w:bCs w:val="0"/>
                <w:color w:val="auto"/>
                <w:spacing w:val="-1"/>
                <w:sz w:val="18"/>
                <w:szCs w:val="18"/>
                <w:highlight w:val="none"/>
              </w:rPr>
              <w:t>配置灭火器材的扣 2 分，动火审批文件签字不全</w:t>
            </w:r>
            <w:r>
              <w:rPr>
                <w:rFonts w:hint="eastAsia" w:ascii="宋体" w:hAnsi="宋体" w:eastAsia="宋体" w:cs="宋体"/>
                <w:b w:val="0"/>
                <w:bCs w:val="0"/>
                <w:color w:val="auto"/>
                <w:spacing w:val="-2"/>
                <w:sz w:val="18"/>
                <w:szCs w:val="18"/>
                <w:highlight w:val="none"/>
              </w:rPr>
              <w:t>的扣</w:t>
            </w:r>
            <w:r>
              <w:rPr>
                <w:rFonts w:hint="eastAsia" w:ascii="宋体" w:hAnsi="宋体" w:eastAsia="宋体" w:cs="宋体"/>
                <w:b w:val="0"/>
                <w:bCs w:val="0"/>
                <w:color w:val="auto"/>
                <w:spacing w:val="-18"/>
                <w:sz w:val="18"/>
                <w:szCs w:val="18"/>
                <w:highlight w:val="none"/>
              </w:rPr>
              <w:t xml:space="preserve"> </w:t>
            </w:r>
            <w:r>
              <w:rPr>
                <w:rFonts w:hint="eastAsia" w:ascii="宋体" w:hAnsi="宋体" w:eastAsia="宋体" w:cs="宋体"/>
                <w:b w:val="0"/>
                <w:bCs w:val="0"/>
                <w:color w:val="auto"/>
                <w:spacing w:val="-2"/>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分，最高扣4</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w:t>
            </w:r>
          </w:p>
        </w:tc>
        <w:tc>
          <w:tcPr>
            <w:tcW w:w="366" w:type="pct"/>
            <w:vAlign w:val="center"/>
          </w:tcPr>
          <w:p w14:paraId="73CA654A">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7C619E8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restart"/>
            <w:tcBorders>
              <w:bottom w:val="nil"/>
            </w:tcBorders>
            <w:vAlign w:val="center"/>
          </w:tcPr>
          <w:p w14:paraId="484CA4AB">
            <w:pPr>
              <w:keepNext w:val="0"/>
              <w:keepLines w:val="0"/>
              <w:suppressLineNumbers w:val="0"/>
              <w:bidi w:val="0"/>
              <w:spacing w:before="0" w:beforeAutospacing="0" w:after="0" w:afterAutospacing="0"/>
              <w:ind w:left="0" w:right="0"/>
              <w:jc w:val="both"/>
              <w:rPr>
                <w:rFonts w:hint="eastAsia" w:ascii="宋体" w:hAnsi="宋体" w:eastAsia="宋体" w:cs="宋体"/>
                <w:snapToGrid w:val="0"/>
                <w:color w:val="auto"/>
                <w:kern w:val="0"/>
                <w:sz w:val="18"/>
                <w:szCs w:val="18"/>
                <w:highlight w:val="none"/>
                <w:lang w:val="en-US" w:eastAsia="zh-CN"/>
              </w:rPr>
            </w:pPr>
          </w:p>
        </w:tc>
      </w:tr>
      <w:tr w14:paraId="291F3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jc w:val="center"/>
        </w:trPr>
        <w:tc>
          <w:tcPr>
            <w:tcW w:w="197" w:type="pct"/>
            <w:vMerge w:val="continue"/>
            <w:vAlign w:val="center"/>
          </w:tcPr>
          <w:p w14:paraId="4E14FB7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2121863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vAlign w:val="center"/>
          </w:tcPr>
          <w:p w14:paraId="6A232DC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0" w:type="pct"/>
            <w:vAlign w:val="center"/>
          </w:tcPr>
          <w:p w14:paraId="61298294">
            <w:pPr>
              <w:pStyle w:val="23"/>
              <w:keepNext w:val="0"/>
              <w:keepLines w:val="0"/>
              <w:suppressLineNumbers w:val="0"/>
              <w:spacing w:before="58" w:line="306" w:lineRule="auto"/>
              <w:ind w:left="113" w:right="170" w:hanging="2"/>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b)不应存在违规用火现象；</w:t>
            </w:r>
          </w:p>
        </w:tc>
        <w:tc>
          <w:tcPr>
            <w:tcW w:w="1182" w:type="pct"/>
            <w:vAlign w:val="center"/>
          </w:tcPr>
          <w:p w14:paraId="07FD9FC6">
            <w:pPr>
              <w:pStyle w:val="23"/>
              <w:keepNext w:val="0"/>
              <w:keepLines w:val="0"/>
              <w:suppressLineNumbers w:val="0"/>
              <w:spacing w:before="58" w:line="306" w:lineRule="auto"/>
              <w:ind w:left="113" w:right="170" w:hanging="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存在违规用火的扣 2 分。</w:t>
            </w:r>
          </w:p>
        </w:tc>
        <w:tc>
          <w:tcPr>
            <w:tcW w:w="366" w:type="pct"/>
            <w:vAlign w:val="center"/>
          </w:tcPr>
          <w:p w14:paraId="6E8F26C4">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48B6946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bottom w:val="nil"/>
            </w:tcBorders>
            <w:vAlign w:val="center"/>
          </w:tcPr>
          <w:p w14:paraId="3ABE962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5CE81B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97" w:type="pct"/>
            <w:vMerge w:val="continue"/>
            <w:vAlign w:val="center"/>
          </w:tcPr>
          <w:p w14:paraId="25F4B97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000BBE5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vAlign w:val="center"/>
          </w:tcPr>
          <w:p w14:paraId="75F6160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0" w:type="pct"/>
            <w:vAlign w:val="center"/>
          </w:tcPr>
          <w:p w14:paraId="4B85AD71">
            <w:pPr>
              <w:pStyle w:val="23"/>
              <w:keepNext w:val="0"/>
              <w:keepLines w:val="0"/>
              <w:suppressLineNumbers w:val="0"/>
              <w:spacing w:before="58" w:line="306" w:lineRule="auto"/>
              <w:ind w:left="113" w:right="170" w:hanging="2"/>
              <w:rPr>
                <w:rFonts w:hint="eastAsia" w:ascii="宋体" w:hAnsi="宋体" w:eastAsia="宋体" w:cs="宋体"/>
                <w:b w:val="0"/>
                <w:bCs w:val="0"/>
                <w:color w:val="auto"/>
                <w:spacing w:val="-1"/>
                <w:sz w:val="18"/>
                <w:szCs w:val="18"/>
                <w:highlight w:val="none"/>
              </w:rPr>
            </w:pPr>
            <w:r>
              <w:rPr>
                <w:rFonts w:hint="eastAsia" w:ascii="宋体" w:hAnsi="宋体" w:eastAsia="宋体" w:cs="宋体"/>
                <w:b w:val="0"/>
                <w:bCs w:val="0"/>
                <w:color w:val="auto"/>
                <w:spacing w:val="-1"/>
                <w:sz w:val="18"/>
                <w:szCs w:val="18"/>
                <w:highlight w:val="none"/>
              </w:rPr>
              <w:t>c)施工现场管理：落实施工管理制度，施工审批手续，现场防范措施，配置消防器材，指定专人监护，采取防火分隔措施（高层公共建筑内的商场、公共娱乐场所不得在营业期间动火施工)；</w:t>
            </w:r>
          </w:p>
        </w:tc>
        <w:tc>
          <w:tcPr>
            <w:tcW w:w="1182" w:type="pct"/>
            <w:vAlign w:val="center"/>
          </w:tcPr>
          <w:p w14:paraId="0B198965">
            <w:pPr>
              <w:pStyle w:val="23"/>
              <w:keepNext w:val="0"/>
              <w:keepLines w:val="0"/>
              <w:suppressLineNumbers w:val="0"/>
              <w:spacing w:before="68" w:line="308" w:lineRule="auto"/>
              <w:ind w:left="111" w:right="101"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人员密集场所未建立施工安全管理制度或现场未</w:t>
            </w:r>
            <w:r>
              <w:rPr>
                <w:rFonts w:hint="eastAsia" w:ascii="宋体" w:hAnsi="宋体" w:eastAsia="宋体" w:cs="宋体"/>
                <w:b w:val="0"/>
                <w:bCs w:val="0"/>
                <w:color w:val="auto"/>
                <w:spacing w:val="-1"/>
                <w:sz w:val="18"/>
                <w:szCs w:val="18"/>
                <w:highlight w:val="none"/>
              </w:rPr>
              <w:t>按管理制度进行审批擅自施工的扣 3 分；施工现</w:t>
            </w:r>
            <w:r>
              <w:rPr>
                <w:rFonts w:hint="eastAsia" w:ascii="宋体" w:hAnsi="宋体" w:eastAsia="宋体" w:cs="宋体"/>
                <w:b w:val="0"/>
                <w:bCs w:val="0"/>
                <w:color w:val="auto"/>
                <w:spacing w:val="3"/>
                <w:sz w:val="18"/>
                <w:szCs w:val="18"/>
                <w:highlight w:val="none"/>
              </w:rPr>
              <w:t>场无消防器材、应防火分隔未采取防火分隔、应专人监护未监护、施工</w:t>
            </w:r>
            <w:r>
              <w:rPr>
                <w:rFonts w:hint="eastAsia" w:cs="宋体"/>
                <w:b w:val="0"/>
                <w:bCs w:val="0"/>
                <w:color w:val="auto"/>
                <w:spacing w:val="3"/>
                <w:sz w:val="18"/>
                <w:szCs w:val="18"/>
                <w:highlight w:val="none"/>
                <w:lang w:eastAsia="zh-CN"/>
              </w:rPr>
              <w:t>影响其他</w:t>
            </w:r>
            <w:r>
              <w:rPr>
                <w:rFonts w:hint="eastAsia" w:ascii="宋体" w:hAnsi="宋体" w:eastAsia="宋体" w:cs="宋体"/>
                <w:b w:val="0"/>
                <w:bCs w:val="0"/>
                <w:color w:val="auto"/>
                <w:spacing w:val="3"/>
                <w:sz w:val="18"/>
                <w:szCs w:val="18"/>
                <w:highlight w:val="none"/>
              </w:rPr>
              <w:t>区域安全疏散和</w:t>
            </w:r>
            <w:r>
              <w:rPr>
                <w:rFonts w:hint="eastAsia" w:ascii="宋体" w:hAnsi="宋体" w:eastAsia="宋体" w:cs="宋体"/>
                <w:b w:val="0"/>
                <w:bCs w:val="0"/>
                <w:color w:val="auto"/>
                <w:spacing w:val="-1"/>
                <w:sz w:val="18"/>
                <w:szCs w:val="18"/>
                <w:highlight w:val="none"/>
              </w:rPr>
              <w:t>消防设施正常</w:t>
            </w:r>
            <w:r>
              <w:rPr>
                <w:rFonts w:hint="eastAsia" w:cs="宋体"/>
                <w:b w:val="0"/>
                <w:bCs w:val="0"/>
                <w:color w:val="auto"/>
                <w:spacing w:val="-1"/>
                <w:sz w:val="18"/>
                <w:szCs w:val="18"/>
                <w:highlight w:val="none"/>
                <w:lang w:eastAsia="zh-CN"/>
              </w:rPr>
              <w:t>使用</w:t>
            </w:r>
            <w:r>
              <w:rPr>
                <w:rFonts w:hint="eastAsia" w:ascii="宋体" w:hAnsi="宋体" w:eastAsia="宋体" w:cs="宋体"/>
                <w:b w:val="0"/>
                <w:bCs w:val="0"/>
                <w:color w:val="auto"/>
                <w:spacing w:val="-1"/>
                <w:sz w:val="18"/>
                <w:szCs w:val="18"/>
                <w:highlight w:val="none"/>
              </w:rPr>
              <w:t>的每发现一处</w:t>
            </w:r>
            <w:r>
              <w:rPr>
                <w:rFonts w:hint="eastAsia" w:cs="宋体"/>
                <w:b w:val="0"/>
                <w:bCs w:val="0"/>
                <w:color w:val="auto"/>
                <w:spacing w:val="-1"/>
                <w:sz w:val="18"/>
                <w:szCs w:val="18"/>
                <w:highlight w:val="none"/>
                <w:lang w:eastAsia="zh-CN"/>
              </w:rPr>
              <w:t>扣</w:t>
            </w:r>
            <w:r>
              <w:rPr>
                <w:rFonts w:hint="eastAsia" w:ascii="宋体" w:hAnsi="宋体" w:eastAsia="宋体" w:cs="宋体"/>
                <w:b w:val="0"/>
                <w:bCs w:val="0"/>
                <w:color w:val="auto"/>
                <w:spacing w:val="-1"/>
                <w:sz w:val="18"/>
                <w:szCs w:val="18"/>
                <w:highlight w:val="none"/>
              </w:rPr>
              <w:t xml:space="preserve"> 2 分；现场物</w:t>
            </w:r>
            <w:r>
              <w:rPr>
                <w:rFonts w:hint="eastAsia" w:ascii="宋体" w:hAnsi="宋体" w:eastAsia="宋体" w:cs="宋体"/>
                <w:b w:val="0"/>
                <w:bCs w:val="0"/>
                <w:color w:val="auto"/>
                <w:spacing w:val="-3"/>
                <w:sz w:val="18"/>
                <w:szCs w:val="18"/>
                <w:highlight w:val="none"/>
              </w:rPr>
              <w:t>品堆放混乱、管理不善的扣</w:t>
            </w:r>
            <w:r>
              <w:rPr>
                <w:rFonts w:hint="eastAsia" w:ascii="宋体" w:hAnsi="宋体" w:eastAsia="宋体" w:cs="宋体"/>
                <w:b w:val="0"/>
                <w:bCs w:val="0"/>
                <w:color w:val="auto"/>
                <w:spacing w:val="-30"/>
                <w:sz w:val="18"/>
                <w:szCs w:val="18"/>
                <w:highlight w:val="none"/>
              </w:rPr>
              <w:t xml:space="preserve"> </w:t>
            </w:r>
            <w:r>
              <w:rPr>
                <w:rFonts w:hint="eastAsia" w:ascii="宋体" w:hAnsi="宋体" w:eastAsia="宋体" w:cs="宋体"/>
                <w:b w:val="0"/>
                <w:bCs w:val="0"/>
                <w:color w:val="auto"/>
                <w:spacing w:val="-3"/>
                <w:sz w:val="18"/>
                <w:szCs w:val="18"/>
                <w:highlight w:val="none"/>
              </w:rPr>
              <w:t>2</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3"/>
                <w:sz w:val="18"/>
                <w:szCs w:val="18"/>
                <w:highlight w:val="none"/>
              </w:rPr>
              <w:t>分；最高扣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w:t>
            </w:r>
          </w:p>
        </w:tc>
        <w:tc>
          <w:tcPr>
            <w:tcW w:w="366" w:type="pct"/>
            <w:vAlign w:val="center"/>
          </w:tcPr>
          <w:p w14:paraId="78603EA8">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01DA4D7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tcBorders>
            <w:vAlign w:val="center"/>
          </w:tcPr>
          <w:p w14:paraId="5364646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2A2B6E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jc w:val="center"/>
        </w:trPr>
        <w:tc>
          <w:tcPr>
            <w:tcW w:w="197" w:type="pct"/>
            <w:vMerge w:val="continue"/>
            <w:vAlign w:val="center"/>
          </w:tcPr>
          <w:p w14:paraId="16F67FF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57913C3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vAlign w:val="center"/>
          </w:tcPr>
          <w:p w14:paraId="1F6E2441">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1730" w:type="pct"/>
            <w:vAlign w:val="center"/>
          </w:tcPr>
          <w:p w14:paraId="20C4E3CF">
            <w:pPr>
              <w:pStyle w:val="23"/>
              <w:keepNext w:val="0"/>
              <w:keepLines w:val="0"/>
              <w:suppressLineNumbers w:val="0"/>
              <w:spacing w:before="68" w:line="283" w:lineRule="auto"/>
              <w:ind w:left="110" w:right="108" w:firstLine="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d)禁止吸烟区域管理，禁止在具有火灾、爆炸危险的场所吸烟；</w:t>
            </w:r>
          </w:p>
        </w:tc>
        <w:tc>
          <w:tcPr>
            <w:tcW w:w="1182" w:type="pct"/>
            <w:vAlign w:val="center"/>
          </w:tcPr>
          <w:p w14:paraId="04FBD381">
            <w:pPr>
              <w:pStyle w:val="23"/>
              <w:keepNext w:val="0"/>
              <w:keepLines w:val="0"/>
              <w:suppressLineNumbers w:val="0"/>
              <w:spacing w:before="68" w:line="283" w:lineRule="auto"/>
              <w:ind w:left="111" w:right="107" w:hanging="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禁止吸烟区域有人吸烟或发现有烟头的</w:t>
            </w:r>
            <w:r>
              <w:rPr>
                <w:rFonts w:hint="eastAsia" w:ascii="宋体" w:hAnsi="宋体" w:eastAsia="宋体" w:cs="宋体"/>
                <w:b w:val="0"/>
                <w:bCs w:val="0"/>
                <w:color w:val="auto"/>
                <w:spacing w:val="-10"/>
                <w:sz w:val="18"/>
                <w:szCs w:val="18"/>
                <w:highlight w:val="none"/>
              </w:rPr>
              <w:t>扣</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10"/>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0"/>
                <w:sz w:val="18"/>
                <w:szCs w:val="18"/>
                <w:highlight w:val="none"/>
              </w:rPr>
              <w:t>分。</w:t>
            </w:r>
          </w:p>
        </w:tc>
        <w:tc>
          <w:tcPr>
            <w:tcW w:w="366" w:type="pct"/>
            <w:vAlign w:val="center"/>
          </w:tcPr>
          <w:p w14:paraId="11534FFF">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2A8A55B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restart"/>
            <w:tcBorders>
              <w:bottom w:val="nil"/>
            </w:tcBorders>
            <w:vAlign w:val="center"/>
          </w:tcPr>
          <w:p w14:paraId="32FA25C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65303D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jc w:val="center"/>
        </w:trPr>
        <w:tc>
          <w:tcPr>
            <w:tcW w:w="197" w:type="pct"/>
            <w:vMerge w:val="continue"/>
            <w:vAlign w:val="center"/>
          </w:tcPr>
          <w:p w14:paraId="120F781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27E27E7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vAlign w:val="center"/>
          </w:tcPr>
          <w:p w14:paraId="4B9ADCC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1730" w:type="pct"/>
            <w:vAlign w:val="center"/>
          </w:tcPr>
          <w:p w14:paraId="35FA7389">
            <w:pPr>
              <w:pStyle w:val="23"/>
              <w:keepNext w:val="0"/>
              <w:keepLines w:val="0"/>
              <w:suppressLineNumbers w:val="0"/>
              <w:spacing w:before="58" w:line="311" w:lineRule="auto"/>
              <w:ind w:left="111" w:right="108" w:firstLine="47"/>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e)公共建筑厨房烟道是否定期进行清理并保存清洗记</w:t>
            </w:r>
            <w:r>
              <w:rPr>
                <w:rFonts w:hint="eastAsia" w:ascii="宋体" w:hAnsi="宋体" w:eastAsia="宋体" w:cs="宋体"/>
                <w:b w:val="0"/>
                <w:bCs w:val="0"/>
                <w:color w:val="auto"/>
                <w:spacing w:val="-2"/>
                <w:sz w:val="18"/>
                <w:szCs w:val="18"/>
                <w:highlight w:val="none"/>
              </w:rPr>
              <w:t>录，是否设置厨房专用灭火系统的应配备灭火毯、干粉灭火器等。</w:t>
            </w:r>
          </w:p>
        </w:tc>
        <w:tc>
          <w:tcPr>
            <w:tcW w:w="1182" w:type="pct"/>
            <w:vAlign w:val="center"/>
          </w:tcPr>
          <w:p w14:paraId="1F944CC3">
            <w:pPr>
              <w:pStyle w:val="23"/>
              <w:keepNext w:val="0"/>
              <w:keepLines w:val="0"/>
              <w:suppressLineNumbers w:val="0"/>
              <w:spacing w:before="67" w:line="305" w:lineRule="auto"/>
              <w:ind w:left="109" w:right="104" w:firstLine="4"/>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厨房烟道从未进行清理（无清理记录的</w:t>
            </w:r>
            <w:r>
              <w:rPr>
                <w:rFonts w:hint="eastAsia" w:ascii="宋体" w:hAnsi="宋体" w:eastAsia="宋体" w:cs="宋体"/>
                <w:b w:val="0"/>
                <w:bCs w:val="0"/>
                <w:color w:val="auto"/>
                <w:spacing w:val="-3"/>
                <w:sz w:val="18"/>
                <w:szCs w:val="18"/>
                <w:highlight w:val="none"/>
              </w:rPr>
              <w:t>按照从未清理扣分）的扣 3 分，厨房烟道清理规定低于规定要求的扣 2 分，厨</w:t>
            </w:r>
            <w:r>
              <w:rPr>
                <w:rFonts w:hint="eastAsia" w:ascii="宋体" w:hAnsi="宋体" w:eastAsia="宋体" w:cs="宋体"/>
                <w:b w:val="0"/>
                <w:bCs w:val="0"/>
                <w:color w:val="auto"/>
                <w:spacing w:val="2"/>
                <w:sz w:val="18"/>
                <w:szCs w:val="18"/>
                <w:highlight w:val="none"/>
              </w:rPr>
              <w:t>房内未按规定配备灭火毯、干粉灭火器</w:t>
            </w:r>
            <w:r>
              <w:rPr>
                <w:rFonts w:hint="eastAsia" w:ascii="宋体" w:hAnsi="宋体" w:eastAsia="宋体" w:cs="宋体"/>
                <w:b w:val="0"/>
                <w:bCs w:val="0"/>
                <w:color w:val="auto"/>
                <w:spacing w:val="-6"/>
                <w:sz w:val="18"/>
                <w:szCs w:val="18"/>
                <w:highlight w:val="none"/>
              </w:rPr>
              <w:t>的扣</w:t>
            </w:r>
            <w:r>
              <w:rPr>
                <w:rFonts w:hint="eastAsia" w:ascii="宋体" w:hAnsi="宋体" w:eastAsia="宋体" w:cs="宋体"/>
                <w:b w:val="0"/>
                <w:bCs w:val="0"/>
                <w:color w:val="auto"/>
                <w:spacing w:val="-27"/>
                <w:sz w:val="18"/>
                <w:szCs w:val="18"/>
                <w:highlight w:val="none"/>
              </w:rPr>
              <w:t xml:space="preserve"> </w:t>
            </w:r>
            <w:r>
              <w:rPr>
                <w:rFonts w:hint="eastAsia" w:ascii="宋体" w:hAnsi="宋体" w:eastAsia="宋体" w:cs="宋体"/>
                <w:b w:val="0"/>
                <w:bCs w:val="0"/>
                <w:color w:val="auto"/>
                <w:spacing w:val="-6"/>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分，最高扣</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6"/>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366" w:type="pct"/>
            <w:vAlign w:val="center"/>
          </w:tcPr>
          <w:p w14:paraId="773803F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7" w:type="pct"/>
            <w:vAlign w:val="center"/>
          </w:tcPr>
          <w:p w14:paraId="73CE20B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c>
          <w:tcPr>
            <w:tcW w:w="328" w:type="pct"/>
            <w:vMerge w:val="continue"/>
            <w:tcBorders>
              <w:top w:val="nil"/>
            </w:tcBorders>
            <w:vAlign w:val="center"/>
          </w:tcPr>
          <w:p w14:paraId="6C715AA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bl>
    <w:p w14:paraId="1466A379">
      <w:pPr>
        <w:rPr>
          <w:highlight w:val="none"/>
        </w:rPr>
      </w:pPr>
      <w:r>
        <w:rPr>
          <w:highlight w:val="none"/>
        </w:rPr>
        <w:br w:type="page"/>
      </w:r>
    </w:p>
    <w:tbl>
      <w:tblPr>
        <w:tblStyle w:val="24"/>
        <w:tblW w:w="493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6"/>
        <w:gridCol w:w="1459"/>
        <w:gridCol w:w="1088"/>
        <w:gridCol w:w="5146"/>
        <w:gridCol w:w="3509"/>
        <w:gridCol w:w="1088"/>
        <w:gridCol w:w="998"/>
        <w:gridCol w:w="978"/>
      </w:tblGrid>
      <w:tr w14:paraId="0AD51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jc w:val="center"/>
        </w:trPr>
        <w:tc>
          <w:tcPr>
            <w:tcW w:w="194" w:type="pct"/>
            <w:tcBorders>
              <w:bottom w:val="single" w:color="auto" w:sz="4" w:space="0"/>
            </w:tcBorders>
            <w:vAlign w:val="center"/>
          </w:tcPr>
          <w:p w14:paraId="0A194BCF">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tcBorders>
              <w:bottom w:val="single" w:color="auto" w:sz="4" w:space="0"/>
            </w:tcBorders>
            <w:vAlign w:val="center"/>
          </w:tcPr>
          <w:p w14:paraId="60379758">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tcBorders>
              <w:bottom w:val="single" w:color="auto" w:sz="4" w:space="0"/>
            </w:tcBorders>
            <w:vAlign w:val="center"/>
          </w:tcPr>
          <w:p w14:paraId="6BFAB477">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2" w:type="pct"/>
            <w:tcBorders>
              <w:bottom w:val="single" w:color="auto" w:sz="4" w:space="0"/>
            </w:tcBorders>
            <w:vAlign w:val="center"/>
          </w:tcPr>
          <w:p w14:paraId="4FF62090">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1" w:type="pct"/>
            <w:tcBorders>
              <w:bottom w:val="single" w:color="auto" w:sz="4" w:space="0"/>
            </w:tcBorders>
            <w:vAlign w:val="center"/>
          </w:tcPr>
          <w:p w14:paraId="23D4500E">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tcBorders>
              <w:bottom w:val="single" w:color="auto" w:sz="4" w:space="0"/>
            </w:tcBorders>
            <w:vAlign w:val="center"/>
          </w:tcPr>
          <w:p w14:paraId="3A4E36FA">
            <w:pPr>
              <w:pStyle w:val="23"/>
              <w:keepNext w:val="0"/>
              <w:keepLines w:val="0"/>
              <w:suppressLineNumbers w:val="0"/>
              <w:spacing w:before="70" w:line="219" w:lineRule="auto"/>
              <w:ind w:left="170"/>
              <w:rPr>
                <w:highlight w:val="none"/>
              </w:rPr>
            </w:pPr>
            <w:r>
              <w:rPr>
                <w:b/>
                <w:bCs/>
                <w:spacing w:val="-3"/>
                <w:highlight w:val="none"/>
              </w:rPr>
              <w:t>评估情况</w:t>
            </w:r>
          </w:p>
        </w:tc>
        <w:tc>
          <w:tcPr>
            <w:tcW w:w="336" w:type="pct"/>
            <w:tcBorders>
              <w:bottom w:val="single" w:color="auto" w:sz="4" w:space="0"/>
            </w:tcBorders>
            <w:vAlign w:val="center"/>
          </w:tcPr>
          <w:p w14:paraId="524196B7">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tcBorders>
              <w:bottom w:val="single" w:color="auto" w:sz="4" w:space="0"/>
            </w:tcBorders>
            <w:vAlign w:val="center"/>
          </w:tcPr>
          <w:p w14:paraId="0E390502">
            <w:pPr>
              <w:pStyle w:val="23"/>
              <w:keepNext w:val="0"/>
              <w:keepLines w:val="0"/>
              <w:suppressLineNumbers w:val="0"/>
              <w:spacing w:before="71" w:line="220" w:lineRule="auto"/>
              <w:ind w:left="295"/>
              <w:rPr>
                <w:highlight w:val="none"/>
              </w:rPr>
            </w:pPr>
            <w:r>
              <w:rPr>
                <w:b/>
                <w:bCs/>
                <w:spacing w:val="-4"/>
                <w:highlight w:val="none"/>
              </w:rPr>
              <w:t>得分</w:t>
            </w:r>
          </w:p>
        </w:tc>
      </w:tr>
      <w:tr w14:paraId="50603E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1" w:hRule="atLeast"/>
          <w:jc w:val="center"/>
        </w:trPr>
        <w:tc>
          <w:tcPr>
            <w:tcW w:w="194" w:type="pct"/>
            <w:vMerge w:val="restart"/>
            <w:tcBorders>
              <w:top w:val="single" w:color="auto" w:sz="4" w:space="0"/>
              <w:left w:val="single" w:color="auto" w:sz="4" w:space="0"/>
              <w:bottom w:val="single" w:color="auto" w:sz="4" w:space="0"/>
              <w:right w:val="single" w:color="auto" w:sz="4" w:space="0"/>
            </w:tcBorders>
            <w:vAlign w:val="center"/>
          </w:tcPr>
          <w:p w14:paraId="11894C6D">
            <w:pPr>
              <w:pStyle w:val="23"/>
              <w:keepNext w:val="0"/>
              <w:keepLines w:val="0"/>
              <w:suppressLineNumbers w:val="0"/>
              <w:spacing w:before="58" w:line="182" w:lineRule="auto"/>
              <w:ind w:left="245"/>
              <w:rPr>
                <w:rFonts w:hint="eastAsia" w:eastAsia="宋体"/>
                <w:b w:val="0"/>
                <w:bCs w:val="0"/>
                <w:color w:val="auto"/>
                <w:highlight w:val="none"/>
                <w:lang w:eastAsia="zh-CN"/>
              </w:rPr>
            </w:pPr>
            <w:r>
              <w:rPr>
                <w:rFonts w:hint="eastAsia"/>
                <w:b w:val="0"/>
                <w:bCs w:val="0"/>
                <w:color w:val="auto"/>
                <w:spacing w:val="-12"/>
                <w:highlight w:val="none"/>
                <w:lang w:val="en-US" w:eastAsia="zh-CN"/>
              </w:rPr>
              <w:t>7</w:t>
            </w:r>
          </w:p>
        </w:tc>
        <w:tc>
          <w:tcPr>
            <w:tcW w:w="491" w:type="pct"/>
            <w:vMerge w:val="restart"/>
            <w:tcBorders>
              <w:top w:val="single" w:color="auto" w:sz="4" w:space="0"/>
              <w:left w:val="single" w:color="auto" w:sz="4" w:space="0"/>
              <w:bottom w:val="single" w:color="auto" w:sz="4" w:space="0"/>
              <w:right w:val="single" w:color="auto" w:sz="4" w:space="0"/>
            </w:tcBorders>
            <w:vAlign w:val="center"/>
          </w:tcPr>
          <w:p w14:paraId="0A24B376">
            <w:pPr>
              <w:pStyle w:val="23"/>
              <w:keepNext w:val="0"/>
              <w:keepLines w:val="0"/>
              <w:suppressLineNumbers w:val="0"/>
              <w:spacing w:before="58" w:line="307" w:lineRule="auto"/>
              <w:ind w:left="339" w:right="156" w:hanging="178"/>
              <w:rPr>
                <w:b w:val="0"/>
                <w:bCs w:val="0"/>
                <w:color w:val="auto"/>
                <w:highlight w:val="none"/>
              </w:rPr>
            </w:pPr>
            <w:r>
              <w:rPr>
                <w:b w:val="0"/>
                <w:bCs w:val="0"/>
                <w:color w:val="auto"/>
                <w:spacing w:val="-2"/>
                <w:highlight w:val="none"/>
              </w:rPr>
              <w:t>消防安全重点</w:t>
            </w:r>
            <w:r>
              <w:rPr>
                <w:b w:val="0"/>
                <w:bCs w:val="0"/>
                <w:color w:val="auto"/>
                <w:highlight w:val="none"/>
              </w:rPr>
              <w:t xml:space="preserve"> </w:t>
            </w:r>
            <w:r>
              <w:rPr>
                <w:b w:val="0"/>
                <w:bCs w:val="0"/>
                <w:color w:val="auto"/>
                <w:spacing w:val="-3"/>
                <w:highlight w:val="none"/>
              </w:rPr>
              <w:t>部位管理</w:t>
            </w:r>
          </w:p>
          <w:p w14:paraId="30E09180">
            <w:pPr>
              <w:pStyle w:val="23"/>
              <w:keepNext w:val="0"/>
              <w:keepLines w:val="0"/>
              <w:suppressLineNumbers w:val="0"/>
              <w:spacing w:before="26" w:line="221" w:lineRule="auto"/>
              <w:ind w:left="318"/>
              <w:rPr>
                <w:b w:val="0"/>
                <w:bCs w:val="0"/>
                <w:color w:val="auto"/>
                <w:highlight w:val="none"/>
              </w:rPr>
            </w:pPr>
            <w:r>
              <w:rPr>
                <w:b w:val="0"/>
                <w:bCs w:val="0"/>
                <w:color w:val="auto"/>
                <w:spacing w:val="-5"/>
                <w:highlight w:val="none"/>
              </w:rPr>
              <w:t>（25</w:t>
            </w:r>
            <w:r>
              <w:rPr>
                <w:b w:val="0"/>
                <w:bCs w:val="0"/>
                <w:color w:val="auto"/>
                <w:spacing w:val="-35"/>
                <w:highlight w:val="none"/>
              </w:rPr>
              <w:t xml:space="preserve"> </w:t>
            </w:r>
            <w:r>
              <w:rPr>
                <w:b w:val="0"/>
                <w:bCs w:val="0"/>
                <w:color w:val="auto"/>
                <w:spacing w:val="-5"/>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2BEC6760">
            <w:pPr>
              <w:pStyle w:val="23"/>
              <w:keepNext w:val="0"/>
              <w:keepLines w:val="0"/>
              <w:suppressLineNumbers w:val="0"/>
              <w:spacing w:before="59" w:line="307" w:lineRule="auto"/>
              <w:ind w:left="112" w:right="248" w:firstLine="1"/>
              <w:jc w:val="center"/>
              <w:rPr>
                <w:b w:val="0"/>
                <w:bCs w:val="0"/>
                <w:color w:val="auto"/>
                <w:spacing w:val="-3"/>
                <w:highlight w:val="none"/>
              </w:rPr>
            </w:pPr>
            <w:r>
              <w:rPr>
                <w:b w:val="0"/>
                <w:bCs w:val="0"/>
                <w:color w:val="auto"/>
                <w:spacing w:val="-3"/>
                <w:highlight w:val="none"/>
              </w:rPr>
              <w:t>管理制度</w:t>
            </w:r>
          </w:p>
          <w:p w14:paraId="65306E23">
            <w:pPr>
              <w:pStyle w:val="23"/>
              <w:keepNext w:val="0"/>
              <w:keepLines w:val="0"/>
              <w:suppressLineNumbers w:val="0"/>
              <w:spacing w:before="59" w:line="307" w:lineRule="auto"/>
              <w:ind w:left="112" w:right="248" w:firstLine="1"/>
              <w:jc w:val="center"/>
              <w:rPr>
                <w:b w:val="0"/>
                <w:bCs w:val="0"/>
                <w:color w:val="auto"/>
                <w:highlight w:val="none"/>
              </w:rPr>
            </w:pPr>
            <w:r>
              <w:rPr>
                <w:b w:val="0"/>
                <w:bCs w:val="0"/>
                <w:color w:val="auto"/>
                <w:spacing w:val="-3"/>
                <w:highlight w:val="none"/>
              </w:rPr>
              <w:t>（3</w:t>
            </w:r>
            <w:r>
              <w:rPr>
                <w:b w:val="0"/>
                <w:bCs w:val="0"/>
                <w:color w:val="auto"/>
                <w:spacing w:val="4"/>
                <w:highlight w:val="none"/>
              </w:rPr>
              <w:t xml:space="preserve"> </w:t>
            </w:r>
            <w:r>
              <w:rPr>
                <w:b w:val="0"/>
                <w:bCs w:val="0"/>
                <w:color w:val="auto"/>
                <w:spacing w:val="-6"/>
                <w:highlight w:val="none"/>
              </w:rPr>
              <w:t>分）</w:t>
            </w:r>
          </w:p>
        </w:tc>
        <w:tc>
          <w:tcPr>
            <w:tcW w:w="1732" w:type="pct"/>
            <w:tcBorders>
              <w:top w:val="single" w:color="auto" w:sz="4" w:space="0"/>
              <w:left w:val="single" w:color="auto" w:sz="4" w:space="0"/>
              <w:bottom w:val="single" w:color="auto" w:sz="4" w:space="0"/>
              <w:right w:val="single" w:color="auto" w:sz="4" w:space="0"/>
            </w:tcBorders>
            <w:vAlign w:val="center"/>
          </w:tcPr>
          <w:p w14:paraId="6E1B875D">
            <w:pPr>
              <w:pStyle w:val="23"/>
              <w:keepNext w:val="0"/>
              <w:keepLines w:val="0"/>
              <w:suppressLineNumbers w:val="0"/>
              <w:spacing w:before="59" w:line="307" w:lineRule="auto"/>
              <w:ind w:left="110" w:right="105"/>
              <w:rPr>
                <w:b w:val="0"/>
                <w:bCs w:val="0"/>
                <w:color w:val="auto"/>
                <w:spacing w:val="-1"/>
                <w:highlight w:val="none"/>
              </w:rPr>
            </w:pPr>
            <w:r>
              <w:rPr>
                <w:b w:val="0"/>
                <w:bCs w:val="0"/>
                <w:color w:val="auto"/>
                <w:spacing w:val="-1"/>
                <w:highlight w:val="none"/>
              </w:rPr>
              <w:t>应当制定并落实消防安全重点部位管理要求、安全操作规程、事故应急处置操作程序和应急预案。</w:t>
            </w:r>
          </w:p>
        </w:tc>
        <w:tc>
          <w:tcPr>
            <w:tcW w:w="1181" w:type="pct"/>
            <w:tcBorders>
              <w:top w:val="single" w:color="auto" w:sz="4" w:space="0"/>
              <w:left w:val="single" w:color="auto" w:sz="4" w:space="0"/>
              <w:bottom w:val="single" w:color="auto" w:sz="4" w:space="0"/>
              <w:right w:val="single" w:color="auto" w:sz="4" w:space="0"/>
            </w:tcBorders>
            <w:vAlign w:val="center"/>
          </w:tcPr>
          <w:p w14:paraId="06CFEE9B">
            <w:pPr>
              <w:pStyle w:val="23"/>
              <w:keepNext w:val="0"/>
              <w:keepLines w:val="0"/>
              <w:suppressLineNumbers w:val="0"/>
              <w:spacing w:before="71" w:line="310" w:lineRule="auto"/>
              <w:ind w:left="109" w:right="107" w:firstLine="1"/>
              <w:rPr>
                <w:b w:val="0"/>
                <w:bCs w:val="0"/>
                <w:color w:val="auto"/>
                <w:highlight w:val="none"/>
              </w:rPr>
            </w:pPr>
            <w:r>
              <w:rPr>
                <w:b w:val="0"/>
                <w:bCs w:val="0"/>
                <w:color w:val="auto"/>
                <w:spacing w:val="2"/>
                <w:highlight w:val="none"/>
              </w:rPr>
              <w:t>无管理要求、安全操作规程、事故应急处置操作程序和应急预案的每缺少一项</w:t>
            </w:r>
            <w:r>
              <w:rPr>
                <w:b w:val="0"/>
                <w:bCs w:val="0"/>
                <w:color w:val="auto"/>
                <w:spacing w:val="-3"/>
                <w:highlight w:val="none"/>
              </w:rPr>
              <w:t>扣 2 分，管理要求、安全操作规程、事</w:t>
            </w:r>
            <w:r>
              <w:rPr>
                <w:b w:val="0"/>
                <w:bCs w:val="0"/>
                <w:color w:val="auto"/>
                <w:spacing w:val="2"/>
                <w:highlight w:val="none"/>
              </w:rPr>
              <w:t>故应急处置操作程序和应急预案不合理</w:t>
            </w:r>
            <w:r>
              <w:rPr>
                <w:b w:val="0"/>
                <w:bCs w:val="0"/>
                <w:color w:val="auto"/>
                <w:spacing w:val="-3"/>
                <w:highlight w:val="none"/>
              </w:rPr>
              <w:t>或未确定责任人的每发现一处扣 1 分，</w:t>
            </w:r>
            <w:r>
              <w:rPr>
                <w:b w:val="0"/>
                <w:bCs w:val="0"/>
                <w:color w:val="auto"/>
                <w:spacing w:val="2"/>
                <w:highlight w:val="none"/>
              </w:rPr>
              <w:t>未落实管理要求、安全操作规程、事故应急处置操作程序和应急预案的每发现</w:t>
            </w:r>
            <w:r>
              <w:rPr>
                <w:b w:val="0"/>
                <w:bCs w:val="0"/>
                <w:color w:val="auto"/>
                <w:spacing w:val="-6"/>
                <w:highlight w:val="none"/>
              </w:rPr>
              <w:t>一处扣</w:t>
            </w:r>
            <w:r>
              <w:rPr>
                <w:b w:val="0"/>
                <w:bCs w:val="0"/>
                <w:color w:val="auto"/>
                <w:spacing w:val="-22"/>
                <w:highlight w:val="none"/>
              </w:rPr>
              <w:t xml:space="preserve"> </w:t>
            </w:r>
            <w:r>
              <w:rPr>
                <w:b w:val="0"/>
                <w:bCs w:val="0"/>
                <w:color w:val="auto"/>
                <w:spacing w:val="-6"/>
                <w:highlight w:val="none"/>
              </w:rPr>
              <w:t>1</w:t>
            </w:r>
            <w:r>
              <w:rPr>
                <w:b w:val="0"/>
                <w:bCs w:val="0"/>
                <w:color w:val="auto"/>
                <w:spacing w:val="-34"/>
                <w:highlight w:val="none"/>
              </w:rPr>
              <w:t xml:space="preserve"> </w:t>
            </w:r>
            <w:r>
              <w:rPr>
                <w:b w:val="0"/>
                <w:bCs w:val="0"/>
                <w:color w:val="auto"/>
                <w:spacing w:val="-6"/>
                <w:highlight w:val="none"/>
              </w:rPr>
              <w:t>分，最高扣</w:t>
            </w:r>
            <w:r>
              <w:rPr>
                <w:b w:val="0"/>
                <w:bCs w:val="0"/>
                <w:color w:val="auto"/>
                <w:spacing w:val="-36"/>
                <w:highlight w:val="none"/>
              </w:rPr>
              <w:t xml:space="preserve"> </w:t>
            </w:r>
            <w:r>
              <w:rPr>
                <w:b w:val="0"/>
                <w:bCs w:val="0"/>
                <w:color w:val="auto"/>
                <w:spacing w:val="-6"/>
                <w:highlight w:val="none"/>
              </w:rPr>
              <w:t>3</w:t>
            </w:r>
            <w:r>
              <w:rPr>
                <w:b w:val="0"/>
                <w:bCs w:val="0"/>
                <w:color w:val="auto"/>
                <w:spacing w:val="-34"/>
                <w:highlight w:val="none"/>
              </w:rPr>
              <w:t xml:space="preserve"> </w:t>
            </w:r>
            <w:r>
              <w:rPr>
                <w:b w:val="0"/>
                <w:bCs w:val="0"/>
                <w:color w:val="auto"/>
                <w:spacing w:val="-6"/>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769C5D62">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3B4B4002">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73B4A85F">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r>
      <w:tr w14:paraId="38B19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0" w:hRule="atLeast"/>
          <w:jc w:val="center"/>
        </w:trPr>
        <w:tc>
          <w:tcPr>
            <w:tcW w:w="194" w:type="pct"/>
            <w:vMerge w:val="continue"/>
            <w:tcBorders>
              <w:top w:val="single" w:color="auto" w:sz="4" w:space="0"/>
              <w:left w:val="single" w:color="auto" w:sz="4" w:space="0"/>
              <w:bottom w:val="single" w:color="auto" w:sz="4" w:space="0"/>
              <w:right w:val="single" w:color="auto" w:sz="4" w:space="0"/>
            </w:tcBorders>
            <w:vAlign w:val="center"/>
          </w:tcPr>
          <w:p w14:paraId="56D566E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4FDC8BF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697C7D4B">
            <w:pPr>
              <w:pStyle w:val="23"/>
              <w:keepNext w:val="0"/>
              <w:keepLines w:val="0"/>
              <w:suppressLineNumbers w:val="0"/>
              <w:spacing w:before="59" w:line="307" w:lineRule="auto"/>
              <w:ind w:left="114" w:right="158" w:hanging="4"/>
              <w:jc w:val="center"/>
              <w:rPr>
                <w:b w:val="0"/>
                <w:bCs w:val="0"/>
                <w:color w:val="auto"/>
                <w:highlight w:val="none"/>
              </w:rPr>
            </w:pPr>
            <w:r>
              <w:rPr>
                <w:b w:val="0"/>
                <w:bCs w:val="0"/>
                <w:color w:val="auto"/>
                <w:spacing w:val="-2"/>
                <w:highlight w:val="none"/>
              </w:rPr>
              <w:t>重点部位确定</w:t>
            </w:r>
            <w:r>
              <w:rPr>
                <w:b w:val="0"/>
                <w:bCs w:val="0"/>
                <w:color w:val="auto"/>
                <w:spacing w:val="3"/>
                <w:highlight w:val="none"/>
              </w:rPr>
              <w:t xml:space="preserve"> </w:t>
            </w:r>
            <w:r>
              <w:rPr>
                <w:b w:val="0"/>
                <w:bCs w:val="0"/>
                <w:color w:val="auto"/>
                <w:spacing w:val="7"/>
                <w:highlight w:val="none"/>
              </w:rPr>
              <w:t>（2分）</w:t>
            </w:r>
          </w:p>
        </w:tc>
        <w:tc>
          <w:tcPr>
            <w:tcW w:w="1732" w:type="pct"/>
            <w:tcBorders>
              <w:top w:val="single" w:color="auto" w:sz="4" w:space="0"/>
              <w:left w:val="single" w:color="auto" w:sz="4" w:space="0"/>
              <w:bottom w:val="single" w:color="auto" w:sz="4" w:space="0"/>
              <w:right w:val="single" w:color="auto" w:sz="4" w:space="0"/>
            </w:tcBorders>
            <w:vAlign w:val="center"/>
          </w:tcPr>
          <w:p w14:paraId="3E42B08E">
            <w:pPr>
              <w:pStyle w:val="23"/>
              <w:keepNext w:val="0"/>
              <w:keepLines w:val="0"/>
              <w:suppressLineNumbers w:val="0"/>
              <w:spacing w:before="59" w:line="307" w:lineRule="auto"/>
              <w:ind w:left="110" w:right="105"/>
              <w:rPr>
                <w:b w:val="0"/>
                <w:bCs w:val="0"/>
                <w:color w:val="auto"/>
                <w:spacing w:val="-1"/>
                <w:highlight w:val="none"/>
              </w:rPr>
            </w:pPr>
            <w:r>
              <w:rPr>
                <w:b w:val="0"/>
                <w:bCs w:val="0"/>
                <w:color w:val="auto"/>
                <w:spacing w:val="-1"/>
                <w:highlight w:val="none"/>
              </w:rPr>
              <w:t>应当将内部容易发生火灾、发生火灾可能严重危及人身和财产安全以及对消防安全有重大影响的以及爆炸危险源等位置确定为重点部位，确定重点部位不应有遗漏。</w:t>
            </w:r>
          </w:p>
        </w:tc>
        <w:tc>
          <w:tcPr>
            <w:tcW w:w="1181" w:type="pct"/>
            <w:tcBorders>
              <w:top w:val="single" w:color="auto" w:sz="4" w:space="0"/>
              <w:left w:val="single" w:color="auto" w:sz="4" w:space="0"/>
              <w:bottom w:val="single" w:color="auto" w:sz="4" w:space="0"/>
              <w:right w:val="single" w:color="auto" w:sz="4" w:space="0"/>
            </w:tcBorders>
            <w:vAlign w:val="center"/>
          </w:tcPr>
          <w:p w14:paraId="773F8D63">
            <w:pPr>
              <w:pStyle w:val="23"/>
              <w:keepNext w:val="0"/>
              <w:keepLines w:val="0"/>
              <w:suppressLineNumbers w:val="0"/>
              <w:spacing w:before="58" w:line="220" w:lineRule="auto"/>
              <w:ind w:left="109"/>
              <w:rPr>
                <w:b w:val="0"/>
                <w:bCs w:val="0"/>
                <w:color w:val="auto"/>
                <w:highlight w:val="none"/>
              </w:rPr>
            </w:pPr>
            <w:r>
              <w:rPr>
                <w:b w:val="0"/>
                <w:bCs w:val="0"/>
                <w:color w:val="auto"/>
                <w:spacing w:val="2"/>
                <w:highlight w:val="none"/>
              </w:rPr>
              <w:t>确定重点部位有遗漏的，每遗漏一处扣</w:t>
            </w:r>
          </w:p>
          <w:p w14:paraId="0037DAAA">
            <w:pPr>
              <w:pStyle w:val="23"/>
              <w:keepNext w:val="0"/>
              <w:keepLines w:val="0"/>
              <w:suppressLineNumbers w:val="0"/>
              <w:spacing w:before="97" w:line="220" w:lineRule="auto"/>
              <w:ind w:left="123"/>
              <w:rPr>
                <w:b w:val="0"/>
                <w:bCs w:val="0"/>
                <w:color w:val="auto"/>
                <w:highlight w:val="none"/>
              </w:rPr>
            </w:pPr>
            <w:r>
              <w:rPr>
                <w:b w:val="0"/>
                <w:bCs w:val="0"/>
                <w:color w:val="auto"/>
                <w:spacing w:val="-7"/>
                <w:highlight w:val="none"/>
              </w:rPr>
              <w:t>1</w:t>
            </w:r>
            <w:r>
              <w:rPr>
                <w:b w:val="0"/>
                <w:bCs w:val="0"/>
                <w:color w:val="auto"/>
                <w:spacing w:val="-32"/>
                <w:highlight w:val="none"/>
              </w:rPr>
              <w:t xml:space="preserve"> </w:t>
            </w:r>
            <w:r>
              <w:rPr>
                <w:b w:val="0"/>
                <w:bCs w:val="0"/>
                <w:color w:val="auto"/>
                <w:spacing w:val="-7"/>
                <w:highlight w:val="none"/>
              </w:rPr>
              <w:t>分，最高扣</w:t>
            </w:r>
            <w:r>
              <w:rPr>
                <w:b w:val="0"/>
                <w:bCs w:val="0"/>
                <w:color w:val="auto"/>
                <w:spacing w:val="-38"/>
                <w:highlight w:val="none"/>
              </w:rPr>
              <w:t xml:space="preserve"> </w:t>
            </w:r>
            <w:r>
              <w:rPr>
                <w:b w:val="0"/>
                <w:bCs w:val="0"/>
                <w:color w:val="auto"/>
                <w:spacing w:val="-7"/>
                <w:highlight w:val="none"/>
              </w:rPr>
              <w:t>2</w:t>
            </w:r>
            <w:r>
              <w:rPr>
                <w:b w:val="0"/>
                <w:bCs w:val="0"/>
                <w:color w:val="auto"/>
                <w:spacing w:val="-34"/>
                <w:highlight w:val="none"/>
              </w:rPr>
              <w:t xml:space="preserve"> </w:t>
            </w:r>
            <w:r>
              <w:rPr>
                <w:b w:val="0"/>
                <w:bCs w:val="0"/>
                <w:color w:val="auto"/>
                <w:spacing w:val="-7"/>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2065E66A">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59776762">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c>
          <w:tcPr>
            <w:tcW w:w="329" w:type="pct"/>
            <w:tcBorders>
              <w:top w:val="single" w:color="auto" w:sz="4" w:space="0"/>
              <w:left w:val="single" w:color="auto" w:sz="4" w:space="0"/>
              <w:bottom w:val="single" w:color="auto" w:sz="4" w:space="0"/>
              <w:right w:val="single" w:color="auto" w:sz="4" w:space="0"/>
            </w:tcBorders>
            <w:vAlign w:val="center"/>
          </w:tcPr>
          <w:p w14:paraId="49B01202">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r>
      <w:tr w14:paraId="66798C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0" w:hRule="atLeast"/>
          <w:jc w:val="center"/>
        </w:trPr>
        <w:tc>
          <w:tcPr>
            <w:tcW w:w="194" w:type="pct"/>
            <w:vMerge w:val="continue"/>
            <w:tcBorders>
              <w:top w:val="single" w:color="auto" w:sz="4" w:space="0"/>
              <w:left w:val="single" w:color="auto" w:sz="4" w:space="0"/>
              <w:bottom w:val="single" w:color="auto" w:sz="4" w:space="0"/>
              <w:right w:val="single" w:color="auto" w:sz="4" w:space="0"/>
            </w:tcBorders>
            <w:vAlign w:val="center"/>
          </w:tcPr>
          <w:p w14:paraId="73E677E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699A894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3DB9C0B9">
            <w:pPr>
              <w:pStyle w:val="23"/>
              <w:keepNext w:val="0"/>
              <w:keepLines w:val="0"/>
              <w:suppressLineNumbers w:val="0"/>
              <w:spacing w:before="161" w:line="307" w:lineRule="auto"/>
              <w:ind w:left="112" w:right="248" w:firstLine="9"/>
              <w:jc w:val="center"/>
              <w:rPr>
                <w:b w:val="0"/>
                <w:bCs w:val="0"/>
                <w:color w:val="auto"/>
                <w:spacing w:val="-4"/>
                <w:highlight w:val="none"/>
              </w:rPr>
            </w:pPr>
            <w:r>
              <w:rPr>
                <w:b w:val="0"/>
                <w:bCs w:val="0"/>
                <w:color w:val="auto"/>
                <w:spacing w:val="-4"/>
                <w:highlight w:val="none"/>
              </w:rPr>
              <w:t>防火标志</w:t>
            </w:r>
          </w:p>
          <w:p w14:paraId="796D7F77">
            <w:pPr>
              <w:pStyle w:val="23"/>
              <w:keepNext w:val="0"/>
              <w:keepLines w:val="0"/>
              <w:suppressLineNumbers w:val="0"/>
              <w:spacing w:before="161" w:line="307" w:lineRule="auto"/>
              <w:ind w:left="112" w:right="248" w:firstLine="9"/>
              <w:jc w:val="center"/>
              <w:rPr>
                <w:b w:val="0"/>
                <w:bCs w:val="0"/>
                <w:color w:val="auto"/>
                <w:highlight w:val="none"/>
              </w:rPr>
            </w:pPr>
            <w:r>
              <w:rPr>
                <w:b w:val="0"/>
                <w:bCs w:val="0"/>
                <w:color w:val="auto"/>
                <w:spacing w:val="-4"/>
                <w:highlight w:val="none"/>
              </w:rPr>
              <w:t>（2</w:t>
            </w:r>
            <w:r>
              <w:rPr>
                <w:b w:val="0"/>
                <w:bCs w:val="0"/>
                <w:color w:val="auto"/>
                <w:spacing w:val="2"/>
                <w:highlight w:val="none"/>
              </w:rPr>
              <w:t xml:space="preserve"> </w:t>
            </w:r>
            <w:r>
              <w:rPr>
                <w:b w:val="0"/>
                <w:bCs w:val="0"/>
                <w:color w:val="auto"/>
                <w:spacing w:val="-6"/>
                <w:highlight w:val="none"/>
              </w:rPr>
              <w:t>分）</w:t>
            </w:r>
          </w:p>
        </w:tc>
        <w:tc>
          <w:tcPr>
            <w:tcW w:w="1732" w:type="pct"/>
            <w:tcBorders>
              <w:top w:val="single" w:color="auto" w:sz="4" w:space="0"/>
              <w:left w:val="single" w:color="auto" w:sz="4" w:space="0"/>
              <w:bottom w:val="single" w:color="auto" w:sz="4" w:space="0"/>
              <w:right w:val="single" w:color="auto" w:sz="4" w:space="0"/>
            </w:tcBorders>
            <w:vAlign w:val="center"/>
          </w:tcPr>
          <w:p w14:paraId="5112C9DE">
            <w:pPr>
              <w:pStyle w:val="23"/>
              <w:keepNext w:val="0"/>
              <w:keepLines w:val="0"/>
              <w:suppressLineNumbers w:val="0"/>
              <w:spacing w:before="59" w:line="220" w:lineRule="auto"/>
              <w:ind w:left="111"/>
              <w:rPr>
                <w:b w:val="0"/>
                <w:bCs w:val="0"/>
                <w:color w:val="auto"/>
                <w:highlight w:val="none"/>
              </w:rPr>
            </w:pPr>
            <w:r>
              <w:rPr>
                <w:b w:val="0"/>
                <w:bCs w:val="0"/>
                <w:color w:val="auto"/>
                <w:spacing w:val="-1"/>
                <w:highlight w:val="none"/>
              </w:rPr>
              <w:t>重点部位是否设置明显的防火标志。</w:t>
            </w:r>
          </w:p>
        </w:tc>
        <w:tc>
          <w:tcPr>
            <w:tcW w:w="1181" w:type="pct"/>
            <w:tcBorders>
              <w:top w:val="single" w:color="auto" w:sz="4" w:space="0"/>
              <w:left w:val="single" w:color="auto" w:sz="4" w:space="0"/>
              <w:bottom w:val="single" w:color="auto" w:sz="4" w:space="0"/>
              <w:right w:val="single" w:color="auto" w:sz="4" w:space="0"/>
            </w:tcBorders>
            <w:vAlign w:val="center"/>
          </w:tcPr>
          <w:p w14:paraId="16E3CD7A">
            <w:pPr>
              <w:pStyle w:val="23"/>
              <w:keepNext w:val="0"/>
              <w:keepLines w:val="0"/>
              <w:suppressLineNumbers w:val="0"/>
              <w:spacing w:before="160" w:line="307" w:lineRule="auto"/>
              <w:ind w:left="112" w:right="107" w:hanging="2"/>
              <w:rPr>
                <w:b w:val="0"/>
                <w:bCs w:val="0"/>
                <w:color w:val="auto"/>
                <w:highlight w:val="none"/>
              </w:rPr>
            </w:pPr>
            <w:r>
              <w:rPr>
                <w:b w:val="0"/>
                <w:bCs w:val="0"/>
                <w:color w:val="auto"/>
                <w:spacing w:val="2"/>
                <w:highlight w:val="none"/>
              </w:rPr>
              <w:t>重点部位未设置明显防火标志的每发现</w:t>
            </w:r>
            <w:r>
              <w:rPr>
                <w:b w:val="0"/>
                <w:bCs w:val="0"/>
                <w:color w:val="auto"/>
                <w:spacing w:val="-5"/>
                <w:highlight w:val="none"/>
              </w:rPr>
              <w:t>一处扣</w:t>
            </w:r>
            <w:r>
              <w:rPr>
                <w:b w:val="0"/>
                <w:bCs w:val="0"/>
                <w:color w:val="auto"/>
                <w:spacing w:val="-29"/>
                <w:highlight w:val="none"/>
              </w:rPr>
              <w:t xml:space="preserve"> </w:t>
            </w:r>
            <w:r>
              <w:rPr>
                <w:b w:val="0"/>
                <w:bCs w:val="0"/>
                <w:color w:val="auto"/>
                <w:spacing w:val="-5"/>
                <w:highlight w:val="none"/>
              </w:rPr>
              <w:t>0.5</w:t>
            </w:r>
            <w:r>
              <w:rPr>
                <w:b w:val="0"/>
                <w:bCs w:val="0"/>
                <w:color w:val="auto"/>
                <w:spacing w:val="-34"/>
                <w:highlight w:val="none"/>
              </w:rPr>
              <w:t xml:space="preserve"> </w:t>
            </w:r>
            <w:r>
              <w:rPr>
                <w:b w:val="0"/>
                <w:bCs w:val="0"/>
                <w:color w:val="auto"/>
                <w:spacing w:val="-5"/>
                <w:highlight w:val="none"/>
              </w:rPr>
              <w:t>分，最高扣</w:t>
            </w:r>
            <w:r>
              <w:rPr>
                <w:b w:val="0"/>
                <w:bCs w:val="0"/>
                <w:color w:val="auto"/>
                <w:spacing w:val="-38"/>
                <w:highlight w:val="none"/>
              </w:rPr>
              <w:t xml:space="preserve"> </w:t>
            </w:r>
            <w:r>
              <w:rPr>
                <w:b w:val="0"/>
                <w:bCs w:val="0"/>
                <w:color w:val="auto"/>
                <w:spacing w:val="-5"/>
                <w:highlight w:val="none"/>
              </w:rPr>
              <w:t>2</w:t>
            </w:r>
            <w:r>
              <w:rPr>
                <w:b w:val="0"/>
                <w:bCs w:val="0"/>
                <w:color w:val="auto"/>
                <w:spacing w:val="-34"/>
                <w:highlight w:val="none"/>
              </w:rPr>
              <w:t xml:space="preserve"> </w:t>
            </w:r>
            <w:r>
              <w:rPr>
                <w:b w:val="0"/>
                <w:bCs w:val="0"/>
                <w:color w:val="auto"/>
                <w:spacing w:val="-5"/>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1FD91F39">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734A60B5">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c>
          <w:tcPr>
            <w:tcW w:w="329" w:type="pct"/>
            <w:tcBorders>
              <w:top w:val="single" w:color="auto" w:sz="4" w:space="0"/>
              <w:left w:val="single" w:color="auto" w:sz="4" w:space="0"/>
              <w:bottom w:val="single" w:color="auto" w:sz="4" w:space="0"/>
              <w:right w:val="single" w:color="auto" w:sz="4" w:space="0"/>
            </w:tcBorders>
            <w:vAlign w:val="center"/>
          </w:tcPr>
          <w:p w14:paraId="35D12866">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21"/>
                <w:highlight w:val="none"/>
                <w:lang w:val="en-US" w:eastAsia="zh-CN"/>
              </w:rPr>
            </w:pPr>
          </w:p>
        </w:tc>
      </w:tr>
      <w:tr w14:paraId="4FEAB3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jc w:val="center"/>
        </w:trPr>
        <w:tc>
          <w:tcPr>
            <w:tcW w:w="194" w:type="pct"/>
            <w:vMerge w:val="continue"/>
            <w:tcBorders>
              <w:top w:val="single" w:color="auto" w:sz="4" w:space="0"/>
              <w:left w:val="single" w:color="auto" w:sz="4" w:space="0"/>
              <w:bottom w:val="single" w:color="auto" w:sz="4" w:space="0"/>
              <w:right w:val="single" w:color="auto" w:sz="4" w:space="0"/>
            </w:tcBorders>
            <w:vAlign w:val="center"/>
          </w:tcPr>
          <w:p w14:paraId="7F1E9D8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1A5C703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restart"/>
            <w:tcBorders>
              <w:top w:val="single" w:color="auto" w:sz="4" w:space="0"/>
              <w:left w:val="single" w:color="auto" w:sz="4" w:space="0"/>
              <w:bottom w:val="single" w:color="auto" w:sz="4" w:space="0"/>
              <w:right w:val="single" w:color="auto" w:sz="4" w:space="0"/>
            </w:tcBorders>
            <w:vAlign w:val="center"/>
          </w:tcPr>
          <w:p w14:paraId="57A0BFC0">
            <w:pPr>
              <w:pStyle w:val="23"/>
              <w:keepNext w:val="0"/>
              <w:keepLines w:val="0"/>
              <w:suppressLineNumbers w:val="0"/>
              <w:spacing w:before="227" w:line="307" w:lineRule="auto"/>
              <w:ind w:left="112" w:right="156" w:firstLine="1"/>
              <w:jc w:val="center"/>
              <w:rPr>
                <w:b w:val="0"/>
                <w:bCs w:val="0"/>
                <w:color w:val="auto"/>
                <w:spacing w:val="-2"/>
                <w:highlight w:val="none"/>
              </w:rPr>
            </w:pPr>
            <w:r>
              <w:rPr>
                <w:b w:val="0"/>
                <w:bCs w:val="0"/>
                <w:color w:val="auto"/>
                <w:spacing w:val="-2"/>
                <w:highlight w:val="none"/>
              </w:rPr>
              <w:t>管理措施</w:t>
            </w:r>
          </w:p>
          <w:p w14:paraId="411A3144">
            <w:pPr>
              <w:pStyle w:val="23"/>
              <w:keepNext w:val="0"/>
              <w:keepLines w:val="0"/>
              <w:suppressLineNumbers w:val="0"/>
              <w:spacing w:before="227" w:line="307" w:lineRule="auto"/>
              <w:ind w:left="112" w:right="156" w:firstLine="1"/>
              <w:jc w:val="center"/>
              <w:rPr>
                <w:b w:val="0"/>
                <w:bCs w:val="0"/>
                <w:color w:val="auto"/>
                <w:highlight w:val="none"/>
              </w:rPr>
            </w:pPr>
            <w:r>
              <w:rPr>
                <w:b w:val="0"/>
                <w:bCs w:val="0"/>
                <w:color w:val="auto"/>
                <w:spacing w:val="-2"/>
                <w:highlight w:val="none"/>
              </w:rPr>
              <w:t>（10</w:t>
            </w:r>
            <w:r>
              <w:rPr>
                <w:b w:val="0"/>
                <w:bCs w:val="0"/>
                <w:color w:val="auto"/>
                <w:highlight w:val="none"/>
              </w:rPr>
              <w:t xml:space="preserve"> </w:t>
            </w:r>
            <w:r>
              <w:rPr>
                <w:b w:val="0"/>
                <w:bCs w:val="0"/>
                <w:color w:val="auto"/>
                <w:spacing w:val="-6"/>
                <w:highlight w:val="none"/>
              </w:rPr>
              <w:t>分）</w:t>
            </w:r>
          </w:p>
        </w:tc>
        <w:tc>
          <w:tcPr>
            <w:tcW w:w="1732" w:type="pct"/>
            <w:tcBorders>
              <w:top w:val="single" w:color="auto" w:sz="4" w:space="0"/>
              <w:left w:val="single" w:color="auto" w:sz="4" w:space="0"/>
              <w:bottom w:val="single" w:color="auto" w:sz="4" w:space="0"/>
              <w:right w:val="single" w:color="auto" w:sz="4" w:space="0"/>
            </w:tcBorders>
            <w:vAlign w:val="center"/>
          </w:tcPr>
          <w:p w14:paraId="6DCE5106">
            <w:pPr>
              <w:pStyle w:val="23"/>
              <w:keepNext w:val="0"/>
              <w:keepLines w:val="0"/>
              <w:suppressLineNumbers w:val="0"/>
              <w:spacing w:before="227" w:line="306" w:lineRule="auto"/>
              <w:ind w:left="109" w:right="53" w:firstLine="48"/>
              <w:rPr>
                <w:b w:val="0"/>
                <w:bCs w:val="0"/>
                <w:color w:val="auto"/>
                <w:highlight w:val="none"/>
              </w:rPr>
            </w:pPr>
            <w:r>
              <w:rPr>
                <w:b w:val="0"/>
                <w:bCs w:val="0"/>
                <w:color w:val="auto"/>
                <w:spacing w:val="-2"/>
                <w:highlight w:val="none"/>
              </w:rPr>
              <w:t>a)应当明确各重点部位具体负责人员，加强值班值守，</w:t>
            </w:r>
            <w:r>
              <w:rPr>
                <w:b w:val="0"/>
                <w:bCs w:val="0"/>
                <w:color w:val="auto"/>
                <w:spacing w:val="-1"/>
                <w:highlight w:val="none"/>
              </w:rPr>
              <w:t>采取严格的火灾防控措施；</w:t>
            </w:r>
          </w:p>
        </w:tc>
        <w:tc>
          <w:tcPr>
            <w:tcW w:w="1181" w:type="pct"/>
            <w:tcBorders>
              <w:top w:val="single" w:color="auto" w:sz="4" w:space="0"/>
              <w:left w:val="single" w:color="auto" w:sz="4" w:space="0"/>
              <w:bottom w:val="single" w:color="auto" w:sz="4" w:space="0"/>
              <w:right w:val="single" w:color="auto" w:sz="4" w:space="0"/>
            </w:tcBorders>
            <w:vAlign w:val="center"/>
          </w:tcPr>
          <w:p w14:paraId="2A9F06DB">
            <w:pPr>
              <w:pStyle w:val="23"/>
              <w:keepNext w:val="0"/>
              <w:keepLines w:val="0"/>
              <w:suppressLineNumbers w:val="0"/>
              <w:spacing w:before="70" w:line="280" w:lineRule="auto"/>
              <w:ind w:left="111" w:right="107"/>
              <w:jc w:val="both"/>
              <w:rPr>
                <w:b w:val="0"/>
                <w:bCs w:val="0"/>
                <w:color w:val="auto"/>
                <w:sz w:val="21"/>
                <w:szCs w:val="21"/>
                <w:highlight w:val="none"/>
              </w:rPr>
            </w:pPr>
            <w:r>
              <w:rPr>
                <w:b w:val="0"/>
                <w:bCs w:val="0"/>
                <w:color w:val="auto"/>
                <w:spacing w:val="1"/>
                <w:highlight w:val="none"/>
              </w:rPr>
              <w:t>未确定重点部位具体负责人、未按照管</w:t>
            </w:r>
            <w:r>
              <w:rPr>
                <w:b w:val="0"/>
                <w:bCs w:val="0"/>
                <w:color w:val="auto"/>
                <w:spacing w:val="2"/>
                <w:highlight w:val="none"/>
              </w:rPr>
              <w:t>理要求采取火灾防控措施的，每发现一</w:t>
            </w:r>
            <w:r>
              <w:rPr>
                <w:b w:val="0"/>
                <w:bCs w:val="0"/>
                <w:color w:val="auto"/>
                <w:spacing w:val="-5"/>
                <w:highlight w:val="none"/>
              </w:rPr>
              <w:t>处扣</w:t>
            </w:r>
            <w:r>
              <w:rPr>
                <w:b w:val="0"/>
                <w:bCs w:val="0"/>
                <w:color w:val="auto"/>
                <w:spacing w:val="-36"/>
                <w:highlight w:val="none"/>
              </w:rPr>
              <w:t xml:space="preserve"> </w:t>
            </w:r>
            <w:r>
              <w:rPr>
                <w:b w:val="0"/>
                <w:bCs w:val="0"/>
                <w:color w:val="auto"/>
                <w:spacing w:val="-5"/>
                <w:highlight w:val="none"/>
              </w:rPr>
              <w:t>0.5</w:t>
            </w:r>
            <w:r>
              <w:rPr>
                <w:b w:val="0"/>
                <w:bCs w:val="0"/>
                <w:color w:val="auto"/>
                <w:spacing w:val="-34"/>
                <w:highlight w:val="none"/>
              </w:rPr>
              <w:t xml:space="preserve"> </w:t>
            </w:r>
            <w:r>
              <w:rPr>
                <w:b w:val="0"/>
                <w:bCs w:val="0"/>
                <w:color w:val="auto"/>
                <w:spacing w:val="-5"/>
                <w:highlight w:val="none"/>
              </w:rPr>
              <w:t>分，最高扣</w:t>
            </w:r>
            <w:r>
              <w:rPr>
                <w:b w:val="0"/>
                <w:bCs w:val="0"/>
                <w:color w:val="auto"/>
                <w:spacing w:val="-27"/>
                <w:highlight w:val="none"/>
              </w:rPr>
              <w:t xml:space="preserve"> </w:t>
            </w:r>
            <w:r>
              <w:rPr>
                <w:b w:val="0"/>
                <w:bCs w:val="0"/>
                <w:color w:val="auto"/>
                <w:spacing w:val="-5"/>
                <w:highlight w:val="none"/>
              </w:rPr>
              <w:t>1</w:t>
            </w:r>
            <w:r>
              <w:rPr>
                <w:b w:val="0"/>
                <w:bCs w:val="0"/>
                <w:color w:val="auto"/>
                <w:spacing w:val="-34"/>
                <w:highlight w:val="none"/>
              </w:rPr>
              <w:t xml:space="preserve"> </w:t>
            </w:r>
            <w:r>
              <w:rPr>
                <w:b w:val="0"/>
                <w:bCs w:val="0"/>
                <w:color w:val="auto"/>
                <w:spacing w:val="-5"/>
                <w:highlight w:val="none"/>
              </w:rPr>
              <w:t>分</w:t>
            </w:r>
            <w:r>
              <w:rPr>
                <w:b w:val="0"/>
                <w:bCs w:val="0"/>
                <w:color w:val="auto"/>
                <w:spacing w:val="-5"/>
                <w:position w:val="-1"/>
                <w:sz w:val="21"/>
                <w:szCs w:val="21"/>
                <w:highlight w:val="none"/>
              </w:rPr>
              <w:t>。</w:t>
            </w:r>
          </w:p>
        </w:tc>
        <w:tc>
          <w:tcPr>
            <w:tcW w:w="366" w:type="pct"/>
            <w:tcBorders>
              <w:top w:val="single" w:color="auto" w:sz="4" w:space="0"/>
              <w:left w:val="single" w:color="auto" w:sz="4" w:space="0"/>
              <w:bottom w:val="single" w:color="auto" w:sz="4" w:space="0"/>
              <w:right w:val="single" w:color="auto" w:sz="4" w:space="0"/>
            </w:tcBorders>
            <w:vAlign w:val="center"/>
          </w:tcPr>
          <w:p w14:paraId="769C0737">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6A09261F">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c>
          <w:tcPr>
            <w:tcW w:w="329" w:type="pct"/>
            <w:tcBorders>
              <w:top w:val="single" w:color="auto" w:sz="4" w:space="0"/>
              <w:left w:val="single" w:color="auto" w:sz="4" w:space="0"/>
              <w:bottom w:val="single" w:color="auto" w:sz="4" w:space="0"/>
              <w:right w:val="single" w:color="auto" w:sz="4" w:space="0"/>
            </w:tcBorders>
            <w:vAlign w:val="center"/>
          </w:tcPr>
          <w:p w14:paraId="30C1DDA6">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r>
      <w:tr w14:paraId="627DA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5" w:hRule="atLeast"/>
          <w:jc w:val="center"/>
        </w:trPr>
        <w:tc>
          <w:tcPr>
            <w:tcW w:w="194" w:type="pct"/>
            <w:vMerge w:val="continue"/>
            <w:tcBorders>
              <w:top w:val="single" w:color="auto" w:sz="4" w:space="0"/>
              <w:left w:val="single" w:color="auto" w:sz="4" w:space="0"/>
              <w:bottom w:val="single" w:color="auto" w:sz="4" w:space="0"/>
              <w:right w:val="single" w:color="auto" w:sz="4" w:space="0"/>
            </w:tcBorders>
            <w:vAlign w:val="center"/>
          </w:tcPr>
          <w:p w14:paraId="7007333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5AE9FDB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08D8DBD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2" w:type="pct"/>
            <w:tcBorders>
              <w:top w:val="single" w:color="auto" w:sz="4" w:space="0"/>
              <w:left w:val="single" w:color="auto" w:sz="4" w:space="0"/>
              <w:bottom w:val="single" w:color="auto" w:sz="4" w:space="0"/>
              <w:right w:val="single" w:color="auto" w:sz="4" w:space="0"/>
            </w:tcBorders>
            <w:vAlign w:val="center"/>
          </w:tcPr>
          <w:p w14:paraId="36D0C8CD">
            <w:pPr>
              <w:pStyle w:val="23"/>
              <w:keepNext w:val="0"/>
              <w:keepLines w:val="0"/>
              <w:suppressLineNumbers w:val="0"/>
              <w:spacing w:before="70" w:line="301" w:lineRule="auto"/>
              <w:ind w:left="111" w:right="105" w:firstLine="40"/>
              <w:jc w:val="both"/>
              <w:rPr>
                <w:b w:val="0"/>
                <w:bCs w:val="0"/>
                <w:color w:val="auto"/>
                <w:highlight w:val="none"/>
              </w:rPr>
            </w:pPr>
            <w:r>
              <w:rPr>
                <w:b w:val="0"/>
                <w:bCs w:val="0"/>
                <w:color w:val="auto"/>
                <w:spacing w:val="1"/>
                <w:highlight w:val="none"/>
              </w:rPr>
              <w:t>b)通过查阅防火巡查和检查记录、事故处置记录及有</w:t>
            </w:r>
            <w:r>
              <w:rPr>
                <w:b w:val="0"/>
                <w:bCs w:val="0"/>
                <w:color w:val="auto"/>
                <w:spacing w:val="-2"/>
                <w:highlight w:val="none"/>
              </w:rPr>
              <w:t>关材料，能够核实重点部位日常防火巡查、检查落实情况，不应存在违规操作现象，应能及时发现和整改火灾</w:t>
            </w:r>
            <w:r>
              <w:rPr>
                <w:b w:val="0"/>
                <w:bCs w:val="0"/>
                <w:color w:val="auto"/>
                <w:spacing w:val="-3"/>
                <w:highlight w:val="none"/>
              </w:rPr>
              <w:t>隐患；</w:t>
            </w:r>
          </w:p>
        </w:tc>
        <w:tc>
          <w:tcPr>
            <w:tcW w:w="1181" w:type="pct"/>
            <w:tcBorders>
              <w:top w:val="single" w:color="auto" w:sz="4" w:space="0"/>
              <w:left w:val="single" w:color="auto" w:sz="4" w:space="0"/>
              <w:bottom w:val="single" w:color="auto" w:sz="4" w:space="0"/>
              <w:right w:val="single" w:color="auto" w:sz="4" w:space="0"/>
            </w:tcBorders>
            <w:vAlign w:val="center"/>
          </w:tcPr>
          <w:p w14:paraId="3E91064E">
            <w:pPr>
              <w:pStyle w:val="23"/>
              <w:keepNext w:val="0"/>
              <w:keepLines w:val="0"/>
              <w:suppressLineNumbers w:val="0"/>
              <w:spacing w:before="70" w:line="301" w:lineRule="auto"/>
              <w:ind w:left="109" w:right="107" w:firstLine="1"/>
              <w:rPr>
                <w:b w:val="0"/>
                <w:bCs w:val="0"/>
                <w:color w:val="auto"/>
                <w:highlight w:val="none"/>
              </w:rPr>
            </w:pPr>
            <w:r>
              <w:rPr>
                <w:b w:val="0"/>
                <w:bCs w:val="0"/>
                <w:color w:val="auto"/>
                <w:spacing w:val="2"/>
                <w:highlight w:val="none"/>
              </w:rPr>
              <w:t>重点部位日常防火巡查、检查情况在相</w:t>
            </w:r>
            <w:r>
              <w:rPr>
                <w:b w:val="0"/>
                <w:bCs w:val="0"/>
                <w:color w:val="auto"/>
                <w:spacing w:val="-3"/>
                <w:highlight w:val="none"/>
              </w:rPr>
              <w:t>关记录中无体现的每发现一处扣 1 分，</w:t>
            </w:r>
            <w:r>
              <w:rPr>
                <w:b w:val="0"/>
                <w:bCs w:val="0"/>
                <w:color w:val="auto"/>
                <w:spacing w:val="2"/>
                <w:highlight w:val="none"/>
              </w:rPr>
              <w:t>记录问题长期没有得到解决的每发现一</w:t>
            </w:r>
            <w:r>
              <w:rPr>
                <w:b w:val="0"/>
                <w:bCs w:val="0"/>
                <w:color w:val="auto"/>
                <w:spacing w:val="-6"/>
                <w:highlight w:val="none"/>
              </w:rPr>
              <w:t>处扣</w:t>
            </w:r>
            <w:r>
              <w:rPr>
                <w:b w:val="0"/>
                <w:bCs w:val="0"/>
                <w:color w:val="auto"/>
                <w:spacing w:val="-27"/>
                <w:highlight w:val="none"/>
              </w:rPr>
              <w:t xml:space="preserve"> </w:t>
            </w:r>
            <w:r>
              <w:rPr>
                <w:b w:val="0"/>
                <w:bCs w:val="0"/>
                <w:color w:val="auto"/>
                <w:spacing w:val="-6"/>
                <w:highlight w:val="none"/>
              </w:rPr>
              <w:t>2</w:t>
            </w:r>
            <w:r>
              <w:rPr>
                <w:b w:val="0"/>
                <w:bCs w:val="0"/>
                <w:color w:val="auto"/>
                <w:spacing w:val="-34"/>
                <w:highlight w:val="none"/>
              </w:rPr>
              <w:t xml:space="preserve"> </w:t>
            </w:r>
            <w:r>
              <w:rPr>
                <w:b w:val="0"/>
                <w:bCs w:val="0"/>
                <w:color w:val="auto"/>
                <w:spacing w:val="-6"/>
                <w:highlight w:val="none"/>
              </w:rPr>
              <w:t>分，最高扣</w:t>
            </w:r>
            <w:r>
              <w:rPr>
                <w:b w:val="0"/>
                <w:bCs w:val="0"/>
                <w:color w:val="auto"/>
                <w:spacing w:val="-36"/>
                <w:highlight w:val="none"/>
              </w:rPr>
              <w:t xml:space="preserve"> </w:t>
            </w:r>
            <w:r>
              <w:rPr>
                <w:b w:val="0"/>
                <w:bCs w:val="0"/>
                <w:color w:val="auto"/>
                <w:spacing w:val="-6"/>
                <w:highlight w:val="none"/>
              </w:rPr>
              <w:t>3</w:t>
            </w:r>
            <w:r>
              <w:rPr>
                <w:b w:val="0"/>
                <w:bCs w:val="0"/>
                <w:color w:val="auto"/>
                <w:spacing w:val="-34"/>
                <w:highlight w:val="none"/>
              </w:rPr>
              <w:t xml:space="preserve"> </w:t>
            </w:r>
            <w:r>
              <w:rPr>
                <w:b w:val="0"/>
                <w:bCs w:val="0"/>
                <w:color w:val="auto"/>
                <w:spacing w:val="-6"/>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7EF844A1">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7A723142">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9" w:type="pct"/>
            <w:vMerge w:val="restart"/>
            <w:tcBorders>
              <w:top w:val="single" w:color="auto" w:sz="4" w:space="0"/>
              <w:left w:val="single" w:color="auto" w:sz="4" w:space="0"/>
              <w:bottom w:val="single" w:color="auto" w:sz="4" w:space="0"/>
              <w:right w:val="single" w:color="auto" w:sz="4" w:space="0"/>
            </w:tcBorders>
            <w:vAlign w:val="center"/>
          </w:tcPr>
          <w:p w14:paraId="03C8FC5A">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63E730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7" w:hRule="atLeast"/>
          <w:jc w:val="center"/>
        </w:trPr>
        <w:tc>
          <w:tcPr>
            <w:tcW w:w="194" w:type="pct"/>
            <w:vMerge w:val="continue"/>
            <w:tcBorders>
              <w:top w:val="single" w:color="auto" w:sz="4" w:space="0"/>
              <w:left w:val="single" w:color="auto" w:sz="4" w:space="0"/>
              <w:bottom w:val="single" w:color="auto" w:sz="4" w:space="0"/>
              <w:right w:val="single" w:color="auto" w:sz="4" w:space="0"/>
            </w:tcBorders>
            <w:vAlign w:val="center"/>
          </w:tcPr>
          <w:p w14:paraId="7717745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6AE4875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69C3DFC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2" w:type="pct"/>
            <w:tcBorders>
              <w:top w:val="single" w:color="auto" w:sz="4" w:space="0"/>
              <w:left w:val="single" w:color="auto" w:sz="4" w:space="0"/>
              <w:bottom w:val="single" w:color="auto" w:sz="4" w:space="0"/>
              <w:right w:val="single" w:color="auto" w:sz="4" w:space="0"/>
            </w:tcBorders>
            <w:vAlign w:val="center"/>
          </w:tcPr>
          <w:p w14:paraId="01281900">
            <w:pPr>
              <w:pStyle w:val="23"/>
              <w:keepNext w:val="0"/>
              <w:keepLines w:val="0"/>
              <w:suppressLineNumbers w:val="0"/>
              <w:spacing w:before="58" w:line="306" w:lineRule="auto"/>
              <w:ind w:left="111" w:right="163" w:firstLine="48"/>
              <w:rPr>
                <w:b w:val="0"/>
                <w:bCs w:val="0"/>
                <w:color w:val="auto"/>
                <w:highlight w:val="none"/>
              </w:rPr>
            </w:pPr>
            <w:r>
              <w:rPr>
                <w:b w:val="0"/>
                <w:bCs w:val="0"/>
                <w:color w:val="auto"/>
                <w:spacing w:val="1"/>
                <w:highlight w:val="none"/>
              </w:rPr>
              <w:t>c)是否根据实际需要配置相应的灭火器材、装备和个</w:t>
            </w:r>
            <w:r>
              <w:rPr>
                <w:b w:val="0"/>
                <w:bCs w:val="0"/>
                <w:color w:val="auto"/>
                <w:spacing w:val="-5"/>
                <w:highlight w:val="none"/>
              </w:rPr>
              <w:t>人防护器材；</w:t>
            </w:r>
          </w:p>
        </w:tc>
        <w:tc>
          <w:tcPr>
            <w:tcW w:w="1181" w:type="pct"/>
            <w:tcBorders>
              <w:top w:val="single" w:color="auto" w:sz="4" w:space="0"/>
              <w:left w:val="single" w:color="auto" w:sz="4" w:space="0"/>
              <w:bottom w:val="single" w:color="auto" w:sz="4" w:space="0"/>
              <w:right w:val="single" w:color="auto" w:sz="4" w:space="0"/>
            </w:tcBorders>
            <w:vAlign w:val="center"/>
          </w:tcPr>
          <w:p w14:paraId="7A44D489">
            <w:pPr>
              <w:pStyle w:val="23"/>
              <w:keepNext w:val="0"/>
              <w:keepLines w:val="0"/>
              <w:suppressLineNumbers w:val="0"/>
              <w:spacing w:before="67" w:line="305" w:lineRule="auto"/>
              <w:ind w:left="109" w:right="105" w:firstLine="1"/>
              <w:jc w:val="both"/>
              <w:rPr>
                <w:b w:val="0"/>
                <w:bCs w:val="0"/>
                <w:color w:val="auto"/>
                <w:highlight w:val="none"/>
              </w:rPr>
            </w:pPr>
            <w:r>
              <w:rPr>
                <w:b w:val="0"/>
                <w:bCs w:val="0"/>
                <w:color w:val="auto"/>
                <w:spacing w:val="2"/>
                <w:highlight w:val="none"/>
              </w:rPr>
              <w:t>现场未按规定配置相应器材、装备的每</w:t>
            </w:r>
            <w:r>
              <w:rPr>
                <w:b w:val="0"/>
                <w:bCs w:val="0"/>
                <w:color w:val="auto"/>
                <w:spacing w:val="-3"/>
                <w:highlight w:val="none"/>
              </w:rPr>
              <w:t>发现一处扣 2 分，配置相应器材、装备不全的每发现一处扣 1 分，配置的相应</w:t>
            </w:r>
            <w:r>
              <w:rPr>
                <w:b w:val="0"/>
                <w:bCs w:val="0"/>
                <w:color w:val="auto"/>
                <w:highlight w:val="none"/>
              </w:rPr>
              <w:t>器材、装备无法使用的每发现一处扣</w:t>
            </w:r>
            <w:r>
              <w:rPr>
                <w:b w:val="0"/>
                <w:bCs w:val="0"/>
                <w:color w:val="auto"/>
                <w:spacing w:val="34"/>
                <w:highlight w:val="none"/>
              </w:rPr>
              <w:t xml:space="preserve"> </w:t>
            </w:r>
            <w:r>
              <w:rPr>
                <w:b w:val="0"/>
                <w:bCs w:val="0"/>
                <w:color w:val="auto"/>
                <w:highlight w:val="none"/>
              </w:rPr>
              <w:t xml:space="preserve">1 </w:t>
            </w:r>
            <w:r>
              <w:rPr>
                <w:b w:val="0"/>
                <w:bCs w:val="0"/>
                <w:color w:val="auto"/>
                <w:spacing w:val="2"/>
                <w:highlight w:val="none"/>
              </w:rPr>
              <w:t>分，最高扣4</w:t>
            </w:r>
            <w:r>
              <w:rPr>
                <w:b w:val="0"/>
                <w:bCs w:val="0"/>
                <w:color w:val="auto"/>
                <w:spacing w:val="-32"/>
                <w:highlight w:val="none"/>
              </w:rPr>
              <w:t xml:space="preserve"> </w:t>
            </w:r>
            <w:r>
              <w:rPr>
                <w:b w:val="0"/>
                <w:bCs w:val="0"/>
                <w:color w:val="auto"/>
                <w:spacing w:val="2"/>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70B0E9AF">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0AB4089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9" w:type="pct"/>
            <w:vMerge w:val="continue"/>
            <w:tcBorders>
              <w:top w:val="single" w:color="auto" w:sz="4" w:space="0"/>
              <w:left w:val="single" w:color="auto" w:sz="4" w:space="0"/>
              <w:bottom w:val="single" w:color="auto" w:sz="4" w:space="0"/>
              <w:right w:val="single" w:color="auto" w:sz="4" w:space="0"/>
            </w:tcBorders>
            <w:vAlign w:val="center"/>
          </w:tcPr>
          <w:p w14:paraId="34708879">
            <w:pPr>
              <w:keepNext w:val="0"/>
              <w:keepLines w:val="0"/>
              <w:suppressLineNumbers w:val="0"/>
              <w:spacing w:before="0" w:beforeAutospacing="0" w:after="0" w:afterAutospacing="0"/>
              <w:ind w:left="0" w:right="0"/>
              <w:rPr>
                <w:rFonts w:hint="default" w:ascii="Arial"/>
                <w:b w:val="0"/>
                <w:bCs w:val="0"/>
                <w:color w:val="auto"/>
                <w:sz w:val="21"/>
                <w:highlight w:val="none"/>
              </w:rPr>
            </w:pPr>
          </w:p>
        </w:tc>
      </w:tr>
    </w:tbl>
    <w:p w14:paraId="51E2E382">
      <w:pPr>
        <w:rPr>
          <w:highlight w:val="none"/>
        </w:rPr>
      </w:pPr>
      <w:r>
        <w:rPr>
          <w:highlight w:val="none"/>
        </w:rPr>
        <w:br w:type="page"/>
      </w:r>
    </w:p>
    <w:tbl>
      <w:tblPr>
        <w:tblStyle w:val="24"/>
        <w:tblW w:w="496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62"/>
        <w:gridCol w:w="1469"/>
        <w:gridCol w:w="1095"/>
        <w:gridCol w:w="5208"/>
        <w:gridCol w:w="3539"/>
        <w:gridCol w:w="1095"/>
        <w:gridCol w:w="999"/>
        <w:gridCol w:w="979"/>
      </w:tblGrid>
      <w:tr w14:paraId="36B9F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jc w:val="center"/>
        </w:trPr>
        <w:tc>
          <w:tcPr>
            <w:tcW w:w="188" w:type="pct"/>
            <w:tcBorders>
              <w:top w:val="single" w:color="auto" w:sz="4" w:space="0"/>
              <w:left w:val="single" w:color="auto" w:sz="4" w:space="0"/>
              <w:bottom w:val="single" w:color="auto" w:sz="4" w:space="0"/>
              <w:right w:val="single" w:color="auto" w:sz="4" w:space="0"/>
            </w:tcBorders>
            <w:vAlign w:val="center"/>
          </w:tcPr>
          <w:p w14:paraId="5DB06D0F">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tcBorders>
              <w:top w:val="single" w:color="auto" w:sz="4" w:space="0"/>
              <w:left w:val="single" w:color="auto" w:sz="4" w:space="0"/>
              <w:bottom w:val="single" w:color="auto" w:sz="4" w:space="0"/>
              <w:right w:val="single" w:color="auto" w:sz="4" w:space="0"/>
            </w:tcBorders>
            <w:vAlign w:val="center"/>
          </w:tcPr>
          <w:p w14:paraId="0A94A8A6">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tcBorders>
              <w:top w:val="single" w:color="auto" w:sz="4" w:space="0"/>
              <w:left w:val="single" w:color="auto" w:sz="4" w:space="0"/>
              <w:bottom w:val="single" w:color="auto" w:sz="4" w:space="0"/>
              <w:right w:val="single" w:color="auto" w:sz="4" w:space="0"/>
            </w:tcBorders>
            <w:vAlign w:val="center"/>
          </w:tcPr>
          <w:p w14:paraId="7BFF9F77">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41" w:type="pct"/>
            <w:tcBorders>
              <w:top w:val="single" w:color="auto" w:sz="4" w:space="0"/>
              <w:left w:val="single" w:color="auto" w:sz="4" w:space="0"/>
              <w:bottom w:val="single" w:color="auto" w:sz="4" w:space="0"/>
              <w:right w:val="single" w:color="auto" w:sz="4" w:space="0"/>
            </w:tcBorders>
            <w:vAlign w:val="center"/>
          </w:tcPr>
          <w:p w14:paraId="7E21F129">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3" w:type="pct"/>
            <w:tcBorders>
              <w:top w:val="single" w:color="auto" w:sz="4" w:space="0"/>
              <w:left w:val="single" w:color="auto" w:sz="4" w:space="0"/>
              <w:bottom w:val="single" w:color="auto" w:sz="4" w:space="0"/>
              <w:right w:val="single" w:color="auto" w:sz="4" w:space="0"/>
            </w:tcBorders>
            <w:vAlign w:val="center"/>
          </w:tcPr>
          <w:p w14:paraId="2EC0DD56">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tcBorders>
              <w:top w:val="single" w:color="auto" w:sz="4" w:space="0"/>
              <w:left w:val="single" w:color="auto" w:sz="4" w:space="0"/>
              <w:bottom w:val="single" w:color="auto" w:sz="4" w:space="0"/>
              <w:right w:val="single" w:color="auto" w:sz="4" w:space="0"/>
            </w:tcBorders>
            <w:vAlign w:val="center"/>
          </w:tcPr>
          <w:p w14:paraId="08838A9C">
            <w:pPr>
              <w:pStyle w:val="23"/>
              <w:keepNext w:val="0"/>
              <w:keepLines w:val="0"/>
              <w:suppressLineNumbers w:val="0"/>
              <w:spacing w:before="70" w:line="219" w:lineRule="auto"/>
              <w:ind w:left="170"/>
              <w:rPr>
                <w:highlight w:val="none"/>
              </w:rPr>
            </w:pPr>
            <w:r>
              <w:rPr>
                <w:b/>
                <w:bCs/>
                <w:spacing w:val="-3"/>
                <w:highlight w:val="none"/>
              </w:rPr>
              <w:t>评估情况</w:t>
            </w:r>
          </w:p>
        </w:tc>
        <w:tc>
          <w:tcPr>
            <w:tcW w:w="334" w:type="pct"/>
            <w:tcBorders>
              <w:top w:val="single" w:color="auto" w:sz="4" w:space="0"/>
              <w:left w:val="single" w:color="auto" w:sz="4" w:space="0"/>
              <w:bottom w:val="single" w:color="auto" w:sz="4" w:space="0"/>
              <w:right w:val="single" w:color="auto" w:sz="4" w:space="0"/>
            </w:tcBorders>
            <w:vAlign w:val="center"/>
          </w:tcPr>
          <w:p w14:paraId="1A2D57ED">
            <w:pPr>
              <w:pStyle w:val="23"/>
              <w:keepNext w:val="0"/>
              <w:keepLines w:val="0"/>
              <w:suppressLineNumbers w:val="0"/>
              <w:spacing w:before="70" w:line="221" w:lineRule="auto"/>
              <w:ind w:left="316"/>
              <w:rPr>
                <w:highlight w:val="none"/>
              </w:rPr>
            </w:pPr>
            <w:r>
              <w:rPr>
                <w:b/>
                <w:bCs/>
                <w:spacing w:val="-4"/>
                <w:highlight w:val="none"/>
              </w:rPr>
              <w:t>扣分</w:t>
            </w:r>
          </w:p>
        </w:tc>
        <w:tc>
          <w:tcPr>
            <w:tcW w:w="327" w:type="pct"/>
            <w:tcBorders>
              <w:top w:val="single" w:color="auto" w:sz="4" w:space="0"/>
              <w:left w:val="single" w:color="auto" w:sz="4" w:space="0"/>
              <w:bottom w:val="single" w:color="auto" w:sz="4" w:space="0"/>
              <w:right w:val="single" w:color="auto" w:sz="4" w:space="0"/>
            </w:tcBorders>
            <w:vAlign w:val="center"/>
          </w:tcPr>
          <w:p w14:paraId="3FECEA08">
            <w:pPr>
              <w:pStyle w:val="23"/>
              <w:keepNext w:val="0"/>
              <w:keepLines w:val="0"/>
              <w:suppressLineNumbers w:val="0"/>
              <w:spacing w:before="71" w:line="220" w:lineRule="auto"/>
              <w:ind w:left="295"/>
              <w:rPr>
                <w:highlight w:val="none"/>
              </w:rPr>
            </w:pPr>
            <w:r>
              <w:rPr>
                <w:b/>
                <w:bCs/>
                <w:spacing w:val="-4"/>
                <w:highlight w:val="none"/>
              </w:rPr>
              <w:t>得分</w:t>
            </w:r>
          </w:p>
        </w:tc>
      </w:tr>
      <w:tr w14:paraId="201578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9" w:hRule="atLeast"/>
          <w:jc w:val="center"/>
        </w:trPr>
        <w:tc>
          <w:tcPr>
            <w:tcW w:w="188" w:type="pct"/>
            <w:vMerge w:val="restart"/>
            <w:tcBorders>
              <w:top w:val="single" w:color="auto" w:sz="4" w:space="0"/>
              <w:left w:val="single" w:color="auto" w:sz="4" w:space="0"/>
              <w:bottom w:val="single" w:color="auto" w:sz="4" w:space="0"/>
              <w:right w:val="single" w:color="auto" w:sz="4" w:space="0"/>
            </w:tcBorders>
            <w:vAlign w:val="center"/>
          </w:tcPr>
          <w:p w14:paraId="4E2C48D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restart"/>
            <w:tcBorders>
              <w:top w:val="single" w:color="auto" w:sz="4" w:space="0"/>
              <w:left w:val="single" w:color="auto" w:sz="4" w:space="0"/>
              <w:bottom w:val="single" w:color="auto" w:sz="4" w:space="0"/>
              <w:right w:val="single" w:color="auto" w:sz="4" w:space="0"/>
            </w:tcBorders>
            <w:vAlign w:val="center"/>
          </w:tcPr>
          <w:p w14:paraId="7D31D82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7AABE98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586E0CF1">
            <w:pPr>
              <w:pStyle w:val="23"/>
              <w:keepNext w:val="0"/>
              <w:keepLines w:val="0"/>
              <w:suppressLineNumbers w:val="0"/>
              <w:spacing w:before="59" w:line="307" w:lineRule="auto"/>
              <w:ind w:left="109" w:right="163" w:firstLine="42"/>
              <w:rPr>
                <w:b w:val="0"/>
                <w:bCs w:val="0"/>
                <w:color w:val="auto"/>
                <w:highlight w:val="none"/>
              </w:rPr>
            </w:pPr>
            <w:r>
              <w:rPr>
                <w:b w:val="0"/>
                <w:bCs w:val="0"/>
                <w:color w:val="auto"/>
                <w:highlight w:val="none"/>
              </w:rPr>
              <w:t>d)现场抽查各重点部位至少</w:t>
            </w:r>
            <w:r>
              <w:rPr>
                <w:b w:val="0"/>
                <w:bCs w:val="0"/>
                <w:color w:val="auto"/>
                <w:spacing w:val="-17"/>
                <w:highlight w:val="none"/>
              </w:rPr>
              <w:t xml:space="preserve"> </w:t>
            </w:r>
            <w:r>
              <w:rPr>
                <w:b w:val="0"/>
                <w:bCs w:val="0"/>
                <w:color w:val="auto"/>
                <w:highlight w:val="none"/>
              </w:rPr>
              <w:t>2</w:t>
            </w:r>
            <w:r>
              <w:rPr>
                <w:b w:val="0"/>
                <w:bCs w:val="0"/>
                <w:color w:val="auto"/>
                <w:spacing w:val="-36"/>
                <w:highlight w:val="none"/>
              </w:rPr>
              <w:t xml:space="preserve"> </w:t>
            </w:r>
            <w:r>
              <w:rPr>
                <w:b w:val="0"/>
                <w:bCs w:val="0"/>
                <w:color w:val="auto"/>
                <w:highlight w:val="none"/>
              </w:rPr>
              <w:t>名员工，应能掌握安全</w:t>
            </w:r>
            <w:r>
              <w:rPr>
                <w:b w:val="0"/>
                <w:bCs w:val="0"/>
                <w:color w:val="auto"/>
                <w:spacing w:val="-2"/>
                <w:highlight w:val="none"/>
              </w:rPr>
              <w:t>操作规程和事故应急处置程序。</w:t>
            </w:r>
          </w:p>
        </w:tc>
        <w:tc>
          <w:tcPr>
            <w:tcW w:w="1183" w:type="pct"/>
            <w:tcBorders>
              <w:top w:val="single" w:color="auto" w:sz="4" w:space="0"/>
              <w:left w:val="single" w:color="auto" w:sz="4" w:space="0"/>
              <w:bottom w:val="single" w:color="auto" w:sz="4" w:space="0"/>
              <w:right w:val="single" w:color="auto" w:sz="4" w:space="0"/>
            </w:tcBorders>
            <w:vAlign w:val="center"/>
          </w:tcPr>
          <w:p w14:paraId="002D2741">
            <w:pPr>
              <w:pStyle w:val="23"/>
              <w:keepNext w:val="0"/>
              <w:keepLines w:val="0"/>
              <w:suppressLineNumbers w:val="0"/>
              <w:spacing w:before="68" w:line="301" w:lineRule="auto"/>
              <w:ind w:left="108" w:right="107" w:firstLine="8"/>
              <w:jc w:val="both"/>
              <w:rPr>
                <w:b w:val="0"/>
                <w:bCs w:val="0"/>
                <w:color w:val="auto"/>
                <w:highlight w:val="none"/>
              </w:rPr>
            </w:pPr>
            <w:r>
              <w:rPr>
                <w:b w:val="0"/>
                <w:bCs w:val="0"/>
                <w:color w:val="auto"/>
                <w:spacing w:val="1"/>
                <w:highlight w:val="none"/>
              </w:rPr>
              <w:t>员工完全不懂安全操作规程和事故应急</w:t>
            </w:r>
            <w:r>
              <w:rPr>
                <w:b w:val="0"/>
                <w:bCs w:val="0"/>
                <w:color w:val="auto"/>
                <w:spacing w:val="-3"/>
                <w:highlight w:val="none"/>
              </w:rPr>
              <w:t>处置程序的每发现一人扣 2 分，部分不</w:t>
            </w:r>
            <w:r>
              <w:rPr>
                <w:b w:val="0"/>
                <w:bCs w:val="0"/>
                <w:color w:val="auto"/>
                <w:spacing w:val="2"/>
                <w:highlight w:val="none"/>
              </w:rPr>
              <w:t>懂安全操作规程和事故应急处置程序的</w:t>
            </w:r>
            <w:r>
              <w:rPr>
                <w:b w:val="0"/>
                <w:bCs w:val="0"/>
                <w:color w:val="auto"/>
                <w:spacing w:val="-5"/>
                <w:highlight w:val="none"/>
              </w:rPr>
              <w:t>每发现一人扣</w:t>
            </w:r>
            <w:r>
              <w:rPr>
                <w:b w:val="0"/>
                <w:bCs w:val="0"/>
                <w:color w:val="auto"/>
                <w:spacing w:val="-16"/>
                <w:highlight w:val="none"/>
              </w:rPr>
              <w:t xml:space="preserve"> </w:t>
            </w:r>
            <w:r>
              <w:rPr>
                <w:b w:val="0"/>
                <w:bCs w:val="0"/>
                <w:color w:val="auto"/>
                <w:spacing w:val="-5"/>
                <w:highlight w:val="none"/>
              </w:rPr>
              <w:t>1</w:t>
            </w:r>
            <w:r>
              <w:rPr>
                <w:b w:val="0"/>
                <w:bCs w:val="0"/>
                <w:color w:val="auto"/>
                <w:spacing w:val="-34"/>
                <w:highlight w:val="none"/>
              </w:rPr>
              <w:t xml:space="preserve"> </w:t>
            </w:r>
            <w:r>
              <w:rPr>
                <w:b w:val="0"/>
                <w:bCs w:val="0"/>
                <w:color w:val="auto"/>
                <w:spacing w:val="-5"/>
                <w:highlight w:val="none"/>
              </w:rPr>
              <w:t>分，最高扣</w:t>
            </w:r>
            <w:r>
              <w:rPr>
                <w:b w:val="0"/>
                <w:bCs w:val="0"/>
                <w:color w:val="auto"/>
                <w:spacing w:val="-38"/>
                <w:highlight w:val="none"/>
              </w:rPr>
              <w:t xml:space="preserve"> </w:t>
            </w:r>
            <w:r>
              <w:rPr>
                <w:b w:val="0"/>
                <w:bCs w:val="0"/>
                <w:color w:val="auto"/>
                <w:spacing w:val="-5"/>
                <w:highlight w:val="none"/>
              </w:rPr>
              <w:t>2</w:t>
            </w:r>
            <w:r>
              <w:rPr>
                <w:b w:val="0"/>
                <w:bCs w:val="0"/>
                <w:color w:val="auto"/>
                <w:spacing w:val="-36"/>
                <w:highlight w:val="none"/>
              </w:rPr>
              <w:t xml:space="preserve"> </w:t>
            </w:r>
            <w:r>
              <w:rPr>
                <w:b w:val="0"/>
                <w:bCs w:val="0"/>
                <w:color w:val="auto"/>
                <w:spacing w:val="-5"/>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39BFFE1A">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4" w:type="pct"/>
            <w:tcBorders>
              <w:top w:val="single" w:color="auto" w:sz="4" w:space="0"/>
              <w:left w:val="single" w:color="auto" w:sz="4" w:space="0"/>
              <w:bottom w:val="single" w:color="auto" w:sz="4" w:space="0"/>
              <w:right w:val="single" w:color="auto" w:sz="4" w:space="0"/>
            </w:tcBorders>
            <w:vAlign w:val="center"/>
          </w:tcPr>
          <w:p w14:paraId="3F4FE64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tcBorders>
              <w:top w:val="single" w:color="auto" w:sz="4" w:space="0"/>
              <w:left w:val="single" w:color="auto" w:sz="4" w:space="0"/>
              <w:bottom w:val="single" w:color="auto" w:sz="4" w:space="0"/>
              <w:right w:val="single" w:color="auto" w:sz="4" w:space="0"/>
            </w:tcBorders>
            <w:vAlign w:val="center"/>
          </w:tcPr>
          <w:p w14:paraId="07EA0290">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32575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jc w:val="center"/>
        </w:trPr>
        <w:tc>
          <w:tcPr>
            <w:tcW w:w="188" w:type="pct"/>
            <w:vMerge w:val="continue"/>
            <w:tcBorders>
              <w:top w:val="single" w:color="auto" w:sz="4" w:space="0"/>
              <w:left w:val="single" w:color="auto" w:sz="4" w:space="0"/>
            </w:tcBorders>
            <w:vAlign w:val="center"/>
          </w:tcPr>
          <w:p w14:paraId="3360317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tcBorders>
            <w:vAlign w:val="center"/>
          </w:tcPr>
          <w:p w14:paraId="33DBA4A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restart"/>
            <w:tcBorders>
              <w:top w:val="single" w:color="auto" w:sz="4" w:space="0"/>
              <w:bottom w:val="nil"/>
            </w:tcBorders>
            <w:vAlign w:val="center"/>
          </w:tcPr>
          <w:p w14:paraId="4AA4970C">
            <w:pPr>
              <w:pStyle w:val="23"/>
              <w:keepNext w:val="0"/>
              <w:keepLines w:val="0"/>
              <w:suppressLineNumbers w:val="0"/>
              <w:spacing w:before="59" w:line="307" w:lineRule="auto"/>
              <w:ind w:left="123" w:right="33" w:hanging="2"/>
              <w:rPr>
                <w:b w:val="0"/>
                <w:bCs w:val="0"/>
                <w:color w:val="auto"/>
                <w:highlight w:val="none"/>
              </w:rPr>
            </w:pPr>
            <w:r>
              <w:rPr>
                <w:b w:val="0"/>
                <w:bCs w:val="0"/>
                <w:color w:val="auto"/>
                <w:spacing w:val="-4"/>
                <w:highlight w:val="none"/>
              </w:rPr>
              <w:t>易燃易爆危险</w:t>
            </w:r>
            <w:r>
              <w:rPr>
                <w:b w:val="0"/>
                <w:bCs w:val="0"/>
                <w:color w:val="auto"/>
                <w:spacing w:val="2"/>
                <w:highlight w:val="none"/>
              </w:rPr>
              <w:t xml:space="preserve">  </w:t>
            </w:r>
            <w:r>
              <w:rPr>
                <w:b w:val="0"/>
                <w:bCs w:val="0"/>
                <w:color w:val="auto"/>
                <w:spacing w:val="-7"/>
                <w:highlight w:val="none"/>
              </w:rPr>
              <w:t>品管理（8</w:t>
            </w:r>
            <w:r>
              <w:rPr>
                <w:b w:val="0"/>
                <w:bCs w:val="0"/>
                <w:color w:val="auto"/>
                <w:spacing w:val="-31"/>
                <w:highlight w:val="none"/>
              </w:rPr>
              <w:t xml:space="preserve"> </w:t>
            </w:r>
            <w:r>
              <w:rPr>
                <w:b w:val="0"/>
                <w:bCs w:val="0"/>
                <w:color w:val="auto"/>
                <w:spacing w:val="-7"/>
                <w:highlight w:val="none"/>
              </w:rPr>
              <w:t>分）</w:t>
            </w:r>
          </w:p>
        </w:tc>
        <w:tc>
          <w:tcPr>
            <w:tcW w:w="1741" w:type="pct"/>
            <w:tcBorders>
              <w:top w:val="single" w:color="auto" w:sz="4" w:space="0"/>
            </w:tcBorders>
            <w:vAlign w:val="center"/>
          </w:tcPr>
          <w:p w14:paraId="4925D34F">
            <w:pPr>
              <w:pStyle w:val="23"/>
              <w:keepNext w:val="0"/>
              <w:keepLines w:val="0"/>
              <w:suppressLineNumbers w:val="0"/>
              <w:spacing w:before="223" w:line="307" w:lineRule="auto"/>
              <w:ind w:left="112" w:right="105" w:hanging="1"/>
              <w:rPr>
                <w:b w:val="0"/>
                <w:bCs w:val="0"/>
                <w:color w:val="auto"/>
                <w:highlight w:val="none"/>
              </w:rPr>
            </w:pPr>
            <w:r>
              <w:rPr>
                <w:b w:val="0"/>
                <w:bCs w:val="0"/>
                <w:color w:val="auto"/>
                <w:spacing w:val="-2"/>
                <w:highlight w:val="none"/>
              </w:rPr>
              <w:t>a)应当根据单位实际制定安全管理制度，明确易燃易爆</w:t>
            </w:r>
            <w:r>
              <w:rPr>
                <w:b w:val="0"/>
                <w:bCs w:val="0"/>
                <w:color w:val="auto"/>
                <w:spacing w:val="-1"/>
                <w:highlight w:val="none"/>
              </w:rPr>
              <w:t>危险品安全管理责任；</w:t>
            </w:r>
          </w:p>
        </w:tc>
        <w:tc>
          <w:tcPr>
            <w:tcW w:w="1183" w:type="pct"/>
            <w:tcBorders>
              <w:top w:val="single" w:color="auto" w:sz="4" w:space="0"/>
            </w:tcBorders>
            <w:vAlign w:val="center"/>
          </w:tcPr>
          <w:p w14:paraId="16459BE2">
            <w:pPr>
              <w:pStyle w:val="23"/>
              <w:keepNext w:val="0"/>
              <w:keepLines w:val="0"/>
              <w:suppressLineNumbers w:val="0"/>
              <w:spacing w:before="67" w:line="295" w:lineRule="auto"/>
              <w:ind w:left="111" w:right="105" w:firstLine="1"/>
              <w:jc w:val="both"/>
              <w:rPr>
                <w:b w:val="0"/>
                <w:bCs w:val="0"/>
                <w:color w:val="auto"/>
                <w:highlight w:val="none"/>
              </w:rPr>
            </w:pPr>
            <w:r>
              <w:rPr>
                <w:b w:val="0"/>
                <w:bCs w:val="0"/>
                <w:color w:val="auto"/>
                <w:spacing w:val="1"/>
                <w:highlight w:val="none"/>
              </w:rPr>
              <w:t>未制定易燃易爆危险品管理制度的扣 2</w:t>
            </w:r>
            <w:r>
              <w:rPr>
                <w:b w:val="0"/>
                <w:bCs w:val="0"/>
                <w:color w:val="auto"/>
                <w:spacing w:val="13"/>
                <w:highlight w:val="none"/>
              </w:rPr>
              <w:t xml:space="preserve"> </w:t>
            </w:r>
            <w:r>
              <w:rPr>
                <w:b w:val="0"/>
                <w:bCs w:val="0"/>
                <w:color w:val="auto"/>
                <w:spacing w:val="2"/>
                <w:highlight w:val="none"/>
              </w:rPr>
              <w:t>分，制度不合理或未确定责任人的每发</w:t>
            </w:r>
            <w:r>
              <w:rPr>
                <w:b w:val="0"/>
                <w:bCs w:val="0"/>
                <w:color w:val="auto"/>
                <w:spacing w:val="-5"/>
                <w:highlight w:val="none"/>
              </w:rPr>
              <w:t>现一处问题扣</w:t>
            </w:r>
            <w:r>
              <w:rPr>
                <w:b w:val="0"/>
                <w:bCs w:val="0"/>
                <w:color w:val="auto"/>
                <w:spacing w:val="-19"/>
                <w:highlight w:val="none"/>
              </w:rPr>
              <w:t xml:space="preserve"> </w:t>
            </w:r>
            <w:r>
              <w:rPr>
                <w:b w:val="0"/>
                <w:bCs w:val="0"/>
                <w:color w:val="auto"/>
                <w:spacing w:val="-5"/>
                <w:highlight w:val="none"/>
              </w:rPr>
              <w:t>1</w:t>
            </w:r>
            <w:r>
              <w:rPr>
                <w:b w:val="0"/>
                <w:bCs w:val="0"/>
                <w:color w:val="auto"/>
                <w:spacing w:val="-34"/>
                <w:highlight w:val="none"/>
              </w:rPr>
              <w:t xml:space="preserve"> </w:t>
            </w:r>
            <w:r>
              <w:rPr>
                <w:b w:val="0"/>
                <w:bCs w:val="0"/>
                <w:color w:val="auto"/>
                <w:spacing w:val="-5"/>
                <w:highlight w:val="none"/>
              </w:rPr>
              <w:t>分，最高扣</w:t>
            </w:r>
            <w:r>
              <w:rPr>
                <w:b w:val="0"/>
                <w:bCs w:val="0"/>
                <w:color w:val="auto"/>
                <w:spacing w:val="-37"/>
                <w:highlight w:val="none"/>
              </w:rPr>
              <w:t xml:space="preserve"> </w:t>
            </w:r>
            <w:r>
              <w:rPr>
                <w:b w:val="0"/>
                <w:bCs w:val="0"/>
                <w:color w:val="auto"/>
                <w:spacing w:val="-5"/>
                <w:highlight w:val="none"/>
              </w:rPr>
              <w:t>2</w:t>
            </w:r>
            <w:r>
              <w:rPr>
                <w:b w:val="0"/>
                <w:bCs w:val="0"/>
                <w:color w:val="auto"/>
                <w:spacing w:val="-37"/>
                <w:highlight w:val="none"/>
              </w:rPr>
              <w:t xml:space="preserve"> </w:t>
            </w:r>
            <w:r>
              <w:rPr>
                <w:b w:val="0"/>
                <w:bCs w:val="0"/>
                <w:color w:val="auto"/>
                <w:spacing w:val="-5"/>
                <w:highlight w:val="none"/>
              </w:rPr>
              <w:t>分。</w:t>
            </w:r>
          </w:p>
        </w:tc>
        <w:tc>
          <w:tcPr>
            <w:tcW w:w="366" w:type="pct"/>
            <w:tcBorders>
              <w:top w:val="single" w:color="auto" w:sz="4" w:space="0"/>
            </w:tcBorders>
            <w:vAlign w:val="center"/>
          </w:tcPr>
          <w:p w14:paraId="1A6B3DC4">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4" w:type="pct"/>
            <w:tcBorders>
              <w:top w:val="single" w:color="auto" w:sz="4" w:space="0"/>
            </w:tcBorders>
            <w:vAlign w:val="center"/>
          </w:tcPr>
          <w:p w14:paraId="0954B75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restart"/>
            <w:tcBorders>
              <w:top w:val="single" w:color="auto" w:sz="4" w:space="0"/>
              <w:bottom w:val="nil"/>
            </w:tcBorders>
            <w:vAlign w:val="center"/>
          </w:tcPr>
          <w:p w14:paraId="31380CCB">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631FAA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jc w:val="center"/>
        </w:trPr>
        <w:tc>
          <w:tcPr>
            <w:tcW w:w="188" w:type="pct"/>
            <w:vMerge w:val="continue"/>
            <w:tcBorders>
              <w:left w:val="single" w:color="auto" w:sz="4" w:space="0"/>
            </w:tcBorders>
            <w:vAlign w:val="center"/>
          </w:tcPr>
          <w:p w14:paraId="3A3ABF2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2E06D00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1939AA7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vAlign w:val="center"/>
          </w:tcPr>
          <w:p w14:paraId="69073CB2">
            <w:pPr>
              <w:pStyle w:val="23"/>
              <w:keepNext w:val="0"/>
              <w:keepLines w:val="0"/>
              <w:suppressLineNumbers w:val="0"/>
              <w:spacing w:before="69" w:line="220" w:lineRule="auto"/>
              <w:ind w:left="151"/>
              <w:rPr>
                <w:b w:val="0"/>
                <w:bCs w:val="0"/>
                <w:color w:val="auto"/>
                <w:highlight w:val="none"/>
              </w:rPr>
            </w:pPr>
            <w:r>
              <w:rPr>
                <w:b w:val="0"/>
                <w:bCs w:val="0"/>
                <w:color w:val="auto"/>
                <w:spacing w:val="2"/>
                <w:highlight w:val="none"/>
              </w:rPr>
              <w:t>b)危险品储存量不应超过规定要求；</w:t>
            </w:r>
          </w:p>
        </w:tc>
        <w:tc>
          <w:tcPr>
            <w:tcW w:w="1183" w:type="pct"/>
            <w:vAlign w:val="center"/>
          </w:tcPr>
          <w:p w14:paraId="2FC2D8F3">
            <w:pPr>
              <w:pStyle w:val="23"/>
              <w:keepNext w:val="0"/>
              <w:keepLines w:val="0"/>
              <w:suppressLineNumbers w:val="0"/>
              <w:spacing w:before="69" w:line="220" w:lineRule="auto"/>
              <w:ind w:left="111"/>
              <w:rPr>
                <w:b w:val="0"/>
                <w:bCs w:val="0"/>
                <w:color w:val="auto"/>
                <w:highlight w:val="none"/>
              </w:rPr>
            </w:pPr>
            <w:r>
              <w:rPr>
                <w:b w:val="0"/>
                <w:bCs w:val="0"/>
                <w:color w:val="auto"/>
                <w:spacing w:val="-3"/>
                <w:highlight w:val="none"/>
              </w:rPr>
              <w:t>危险品储存量超过规定要求的扣</w:t>
            </w:r>
            <w:r>
              <w:rPr>
                <w:b w:val="0"/>
                <w:bCs w:val="0"/>
                <w:color w:val="auto"/>
                <w:spacing w:val="-23"/>
                <w:highlight w:val="none"/>
              </w:rPr>
              <w:t xml:space="preserve"> </w:t>
            </w:r>
            <w:r>
              <w:rPr>
                <w:b w:val="0"/>
                <w:bCs w:val="0"/>
                <w:color w:val="auto"/>
                <w:spacing w:val="-3"/>
                <w:highlight w:val="none"/>
              </w:rPr>
              <w:t>2</w:t>
            </w:r>
            <w:r>
              <w:rPr>
                <w:b w:val="0"/>
                <w:bCs w:val="0"/>
                <w:color w:val="auto"/>
                <w:spacing w:val="-34"/>
                <w:highlight w:val="none"/>
              </w:rPr>
              <w:t xml:space="preserve"> </w:t>
            </w:r>
            <w:r>
              <w:rPr>
                <w:b w:val="0"/>
                <w:bCs w:val="0"/>
                <w:color w:val="auto"/>
                <w:spacing w:val="-3"/>
                <w:highlight w:val="none"/>
              </w:rPr>
              <w:t>分。</w:t>
            </w:r>
          </w:p>
        </w:tc>
        <w:tc>
          <w:tcPr>
            <w:tcW w:w="366" w:type="pct"/>
            <w:vAlign w:val="center"/>
          </w:tcPr>
          <w:p w14:paraId="059E1880">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4" w:type="pct"/>
            <w:vAlign w:val="center"/>
          </w:tcPr>
          <w:p w14:paraId="4613007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nil"/>
              <w:bottom w:val="nil"/>
            </w:tcBorders>
            <w:vAlign w:val="center"/>
          </w:tcPr>
          <w:p w14:paraId="3DAAE449">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4C099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jc w:val="center"/>
        </w:trPr>
        <w:tc>
          <w:tcPr>
            <w:tcW w:w="188" w:type="pct"/>
            <w:vMerge w:val="continue"/>
            <w:tcBorders>
              <w:left w:val="single" w:color="auto" w:sz="4" w:space="0"/>
            </w:tcBorders>
            <w:vAlign w:val="center"/>
          </w:tcPr>
          <w:p w14:paraId="36C02DC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583ECFD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54E214F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vAlign w:val="center"/>
          </w:tcPr>
          <w:p w14:paraId="0E30669D">
            <w:pPr>
              <w:pStyle w:val="23"/>
              <w:keepNext w:val="0"/>
              <w:keepLines w:val="0"/>
              <w:suppressLineNumbers w:val="0"/>
              <w:spacing w:before="70" w:line="220" w:lineRule="auto"/>
              <w:ind w:left="160"/>
              <w:rPr>
                <w:b w:val="0"/>
                <w:bCs w:val="0"/>
                <w:color w:val="auto"/>
                <w:highlight w:val="none"/>
              </w:rPr>
            </w:pPr>
            <w:r>
              <w:rPr>
                <w:b w:val="0"/>
                <w:bCs w:val="0"/>
                <w:color w:val="auto"/>
                <w:spacing w:val="2"/>
                <w:highlight w:val="none"/>
              </w:rPr>
              <w:t>c)不同性质危险品不得混存混放；</w:t>
            </w:r>
          </w:p>
        </w:tc>
        <w:tc>
          <w:tcPr>
            <w:tcW w:w="1183" w:type="pct"/>
            <w:vAlign w:val="center"/>
          </w:tcPr>
          <w:p w14:paraId="30E66C7A">
            <w:pPr>
              <w:pStyle w:val="23"/>
              <w:keepNext w:val="0"/>
              <w:keepLines w:val="0"/>
              <w:suppressLineNumbers w:val="0"/>
              <w:spacing w:before="70" w:line="220" w:lineRule="auto"/>
              <w:ind w:left="112"/>
              <w:rPr>
                <w:b w:val="0"/>
                <w:bCs w:val="0"/>
                <w:color w:val="auto"/>
                <w:highlight w:val="none"/>
              </w:rPr>
            </w:pPr>
            <w:r>
              <w:rPr>
                <w:b w:val="0"/>
                <w:bCs w:val="0"/>
                <w:color w:val="auto"/>
                <w:spacing w:val="-3"/>
                <w:highlight w:val="none"/>
              </w:rPr>
              <w:t>不同性质危险品混存混放的扣</w:t>
            </w:r>
            <w:r>
              <w:rPr>
                <w:b w:val="0"/>
                <w:bCs w:val="0"/>
                <w:color w:val="auto"/>
                <w:spacing w:val="-27"/>
                <w:highlight w:val="none"/>
              </w:rPr>
              <w:t xml:space="preserve"> </w:t>
            </w:r>
            <w:r>
              <w:rPr>
                <w:b w:val="0"/>
                <w:bCs w:val="0"/>
                <w:color w:val="auto"/>
                <w:spacing w:val="-3"/>
                <w:highlight w:val="none"/>
              </w:rPr>
              <w:t>2</w:t>
            </w:r>
            <w:r>
              <w:rPr>
                <w:b w:val="0"/>
                <w:bCs w:val="0"/>
                <w:color w:val="auto"/>
                <w:spacing w:val="-34"/>
                <w:highlight w:val="none"/>
              </w:rPr>
              <w:t xml:space="preserve"> </w:t>
            </w:r>
            <w:r>
              <w:rPr>
                <w:b w:val="0"/>
                <w:bCs w:val="0"/>
                <w:color w:val="auto"/>
                <w:spacing w:val="-3"/>
                <w:highlight w:val="none"/>
              </w:rPr>
              <w:t>分。</w:t>
            </w:r>
          </w:p>
        </w:tc>
        <w:tc>
          <w:tcPr>
            <w:tcW w:w="366" w:type="pct"/>
            <w:vAlign w:val="center"/>
          </w:tcPr>
          <w:p w14:paraId="0625B299">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4" w:type="pct"/>
            <w:vAlign w:val="center"/>
          </w:tcPr>
          <w:p w14:paraId="5879967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nil"/>
              <w:bottom w:val="nil"/>
            </w:tcBorders>
            <w:vAlign w:val="center"/>
          </w:tcPr>
          <w:p w14:paraId="4C1E8675">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0DF024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jc w:val="center"/>
        </w:trPr>
        <w:tc>
          <w:tcPr>
            <w:tcW w:w="188" w:type="pct"/>
            <w:vMerge w:val="continue"/>
            <w:tcBorders>
              <w:left w:val="single" w:color="auto" w:sz="4" w:space="0"/>
            </w:tcBorders>
            <w:vAlign w:val="center"/>
          </w:tcPr>
          <w:p w14:paraId="54B0531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7136185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253F9D3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vAlign w:val="center"/>
          </w:tcPr>
          <w:p w14:paraId="759D6107">
            <w:pPr>
              <w:pStyle w:val="23"/>
              <w:keepNext w:val="0"/>
              <w:keepLines w:val="0"/>
              <w:suppressLineNumbers w:val="0"/>
              <w:spacing w:before="70" w:line="220" w:lineRule="auto"/>
              <w:ind w:left="160"/>
              <w:rPr>
                <w:b w:val="0"/>
                <w:bCs w:val="0"/>
                <w:color w:val="auto"/>
                <w:highlight w:val="none"/>
              </w:rPr>
            </w:pPr>
            <w:r>
              <w:rPr>
                <w:b w:val="0"/>
                <w:bCs w:val="0"/>
                <w:color w:val="auto"/>
                <w:spacing w:val="2"/>
                <w:highlight w:val="none"/>
              </w:rPr>
              <w:t>d)易燃易爆危险物品出入库应严格落实登记制度；</w:t>
            </w:r>
          </w:p>
        </w:tc>
        <w:tc>
          <w:tcPr>
            <w:tcW w:w="1183" w:type="pct"/>
            <w:vAlign w:val="center"/>
          </w:tcPr>
          <w:p w14:paraId="55C71B59">
            <w:pPr>
              <w:pStyle w:val="23"/>
              <w:keepNext w:val="0"/>
              <w:keepLines w:val="0"/>
              <w:suppressLineNumbers w:val="0"/>
              <w:spacing w:before="73" w:line="281" w:lineRule="auto"/>
              <w:ind w:left="113" w:right="113" w:hanging="1"/>
              <w:rPr>
                <w:b w:val="0"/>
                <w:bCs w:val="0"/>
                <w:color w:val="auto"/>
                <w:highlight w:val="none"/>
              </w:rPr>
            </w:pPr>
            <w:r>
              <w:rPr>
                <w:b w:val="0"/>
                <w:bCs w:val="0"/>
                <w:color w:val="auto"/>
                <w:spacing w:val="-4"/>
                <w:highlight w:val="none"/>
              </w:rPr>
              <w:t>未落实登记制度每发现一项扣 2 分，最</w:t>
            </w:r>
            <w:r>
              <w:rPr>
                <w:b w:val="0"/>
                <w:bCs w:val="0"/>
                <w:color w:val="auto"/>
                <w:spacing w:val="-9"/>
                <w:highlight w:val="none"/>
              </w:rPr>
              <w:t>高扣</w:t>
            </w:r>
            <w:r>
              <w:rPr>
                <w:b w:val="0"/>
                <w:bCs w:val="0"/>
                <w:color w:val="auto"/>
                <w:spacing w:val="-32"/>
                <w:highlight w:val="none"/>
              </w:rPr>
              <w:t xml:space="preserve"> </w:t>
            </w:r>
            <w:r>
              <w:rPr>
                <w:b w:val="0"/>
                <w:bCs w:val="0"/>
                <w:color w:val="auto"/>
                <w:spacing w:val="-9"/>
                <w:highlight w:val="none"/>
              </w:rPr>
              <w:t>3</w:t>
            </w:r>
            <w:r>
              <w:rPr>
                <w:b w:val="0"/>
                <w:bCs w:val="0"/>
                <w:color w:val="auto"/>
                <w:spacing w:val="-34"/>
                <w:highlight w:val="none"/>
              </w:rPr>
              <w:t xml:space="preserve"> </w:t>
            </w:r>
            <w:r>
              <w:rPr>
                <w:b w:val="0"/>
                <w:bCs w:val="0"/>
                <w:color w:val="auto"/>
                <w:spacing w:val="-9"/>
                <w:highlight w:val="none"/>
              </w:rPr>
              <w:t>分。</w:t>
            </w:r>
          </w:p>
        </w:tc>
        <w:tc>
          <w:tcPr>
            <w:tcW w:w="366" w:type="pct"/>
            <w:vAlign w:val="center"/>
          </w:tcPr>
          <w:p w14:paraId="725DF20D">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4" w:type="pct"/>
            <w:vAlign w:val="center"/>
          </w:tcPr>
          <w:p w14:paraId="4F1229F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nil"/>
              <w:bottom w:val="nil"/>
            </w:tcBorders>
            <w:vAlign w:val="center"/>
          </w:tcPr>
          <w:p w14:paraId="4134FD23">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0DB42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188" w:type="pct"/>
            <w:vMerge w:val="continue"/>
            <w:tcBorders>
              <w:left w:val="single" w:color="auto" w:sz="4" w:space="0"/>
              <w:bottom w:val="single" w:color="auto" w:sz="4" w:space="0"/>
            </w:tcBorders>
            <w:vAlign w:val="center"/>
          </w:tcPr>
          <w:p w14:paraId="7EB0536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bottom w:val="single" w:color="auto" w:sz="4" w:space="0"/>
            </w:tcBorders>
            <w:vAlign w:val="center"/>
          </w:tcPr>
          <w:p w14:paraId="0A38DBB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single" w:color="auto" w:sz="4" w:space="0"/>
            </w:tcBorders>
            <w:vAlign w:val="center"/>
          </w:tcPr>
          <w:p w14:paraId="3E2980F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tcBorders>
              <w:bottom w:val="single" w:color="auto" w:sz="4" w:space="0"/>
            </w:tcBorders>
            <w:vAlign w:val="center"/>
          </w:tcPr>
          <w:p w14:paraId="6175FCBE">
            <w:pPr>
              <w:pStyle w:val="23"/>
              <w:keepNext w:val="0"/>
              <w:keepLines w:val="0"/>
              <w:suppressLineNumbers w:val="0"/>
              <w:spacing w:before="70" w:line="281" w:lineRule="auto"/>
              <w:ind w:left="111" w:right="163" w:firstLine="47"/>
              <w:rPr>
                <w:b w:val="0"/>
                <w:bCs w:val="0"/>
                <w:color w:val="auto"/>
                <w:highlight w:val="none"/>
              </w:rPr>
            </w:pPr>
            <w:r>
              <w:rPr>
                <w:b w:val="0"/>
                <w:bCs w:val="0"/>
                <w:color w:val="auto"/>
                <w:spacing w:val="1"/>
                <w:highlight w:val="none"/>
              </w:rPr>
              <w:t>e)人员密集场所严禁违章经营、储存、使用液化</w:t>
            </w:r>
            <w:r>
              <w:rPr>
                <w:rFonts w:hint="eastAsia"/>
                <w:b w:val="0"/>
                <w:bCs w:val="0"/>
                <w:color w:val="auto"/>
                <w:spacing w:val="1"/>
                <w:highlight w:val="none"/>
                <w:lang w:eastAsia="zh-CN"/>
              </w:rPr>
              <w:t>石油气</w:t>
            </w:r>
            <w:r>
              <w:rPr>
                <w:b w:val="0"/>
                <w:bCs w:val="0"/>
                <w:color w:val="auto"/>
                <w:spacing w:val="-1"/>
                <w:highlight w:val="none"/>
              </w:rPr>
              <w:t>、汽油等物品。</w:t>
            </w:r>
          </w:p>
        </w:tc>
        <w:tc>
          <w:tcPr>
            <w:tcW w:w="1183" w:type="pct"/>
            <w:tcBorders>
              <w:bottom w:val="single" w:color="auto" w:sz="4" w:space="0"/>
            </w:tcBorders>
            <w:vAlign w:val="center"/>
          </w:tcPr>
          <w:p w14:paraId="4B09BD2F">
            <w:pPr>
              <w:pStyle w:val="23"/>
              <w:keepNext w:val="0"/>
              <w:keepLines w:val="0"/>
              <w:suppressLineNumbers w:val="0"/>
              <w:spacing w:before="70" w:line="281" w:lineRule="auto"/>
              <w:ind w:left="111" w:right="107"/>
              <w:rPr>
                <w:b w:val="0"/>
                <w:bCs w:val="0"/>
                <w:color w:val="auto"/>
                <w:highlight w:val="none"/>
              </w:rPr>
            </w:pPr>
            <w:r>
              <w:rPr>
                <w:b w:val="0"/>
                <w:bCs w:val="0"/>
                <w:color w:val="auto"/>
                <w:spacing w:val="2"/>
                <w:highlight w:val="none"/>
              </w:rPr>
              <w:t>人员密集场所有违章经营、储存、使用</w:t>
            </w:r>
            <w:r>
              <w:rPr>
                <w:b w:val="0"/>
                <w:bCs w:val="0"/>
                <w:color w:val="auto"/>
                <w:spacing w:val="-3"/>
                <w:highlight w:val="none"/>
              </w:rPr>
              <w:t>液化石油气、汽油等物品的扣</w:t>
            </w:r>
            <w:r>
              <w:rPr>
                <w:b w:val="0"/>
                <w:bCs w:val="0"/>
                <w:color w:val="auto"/>
                <w:spacing w:val="-26"/>
                <w:highlight w:val="none"/>
              </w:rPr>
              <w:t xml:space="preserve"> </w:t>
            </w:r>
            <w:r>
              <w:rPr>
                <w:b w:val="0"/>
                <w:bCs w:val="0"/>
                <w:color w:val="auto"/>
                <w:spacing w:val="-3"/>
                <w:highlight w:val="none"/>
              </w:rPr>
              <w:t>5</w:t>
            </w:r>
            <w:r>
              <w:rPr>
                <w:b w:val="0"/>
                <w:bCs w:val="0"/>
                <w:color w:val="auto"/>
                <w:spacing w:val="-34"/>
                <w:highlight w:val="none"/>
              </w:rPr>
              <w:t xml:space="preserve"> </w:t>
            </w:r>
            <w:r>
              <w:rPr>
                <w:b w:val="0"/>
                <w:bCs w:val="0"/>
                <w:color w:val="auto"/>
                <w:spacing w:val="-3"/>
                <w:highlight w:val="none"/>
              </w:rPr>
              <w:t>分。</w:t>
            </w:r>
          </w:p>
        </w:tc>
        <w:tc>
          <w:tcPr>
            <w:tcW w:w="366" w:type="pct"/>
            <w:tcBorders>
              <w:bottom w:val="single" w:color="auto" w:sz="4" w:space="0"/>
            </w:tcBorders>
            <w:vAlign w:val="center"/>
          </w:tcPr>
          <w:p w14:paraId="3244D8FC">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4" w:type="pct"/>
            <w:tcBorders>
              <w:bottom w:val="single" w:color="auto" w:sz="4" w:space="0"/>
            </w:tcBorders>
            <w:vAlign w:val="center"/>
          </w:tcPr>
          <w:p w14:paraId="3143777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nil"/>
              <w:bottom w:val="single" w:color="auto" w:sz="4" w:space="0"/>
            </w:tcBorders>
            <w:vAlign w:val="center"/>
          </w:tcPr>
          <w:p w14:paraId="5E6CBD2E">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CC8D1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jc w:val="center"/>
        </w:trPr>
        <w:tc>
          <w:tcPr>
            <w:tcW w:w="188" w:type="pct"/>
            <w:vMerge w:val="restart"/>
            <w:tcBorders>
              <w:top w:val="single" w:color="auto" w:sz="4" w:space="0"/>
              <w:left w:val="single" w:color="auto" w:sz="4" w:space="0"/>
              <w:right w:val="single" w:color="auto" w:sz="4" w:space="0"/>
            </w:tcBorders>
            <w:vAlign w:val="center"/>
          </w:tcPr>
          <w:p w14:paraId="0641B491">
            <w:pPr>
              <w:pStyle w:val="23"/>
              <w:keepNext w:val="0"/>
              <w:keepLines w:val="0"/>
              <w:suppressLineNumbers w:val="0"/>
              <w:spacing w:before="58" w:line="181" w:lineRule="auto"/>
              <w:ind w:left="280"/>
              <w:rPr>
                <w:rFonts w:hint="eastAsia" w:eastAsia="宋体"/>
                <w:b/>
                <w:bCs/>
                <w:color w:val="auto"/>
                <w:highlight w:val="none"/>
                <w:lang w:eastAsia="zh-CN"/>
              </w:rPr>
            </w:pPr>
            <w:r>
              <w:rPr>
                <w:rFonts w:hint="eastAsia"/>
                <w:b w:val="0"/>
                <w:bCs w:val="0"/>
                <w:color w:val="auto"/>
                <w:spacing w:val="-2"/>
                <w:highlight w:val="none"/>
                <w:lang w:val="en-US" w:eastAsia="zh-CN"/>
              </w:rPr>
              <w:t>8</w:t>
            </w:r>
          </w:p>
        </w:tc>
        <w:tc>
          <w:tcPr>
            <w:tcW w:w="491" w:type="pct"/>
            <w:vMerge w:val="restart"/>
            <w:tcBorders>
              <w:top w:val="single" w:color="auto" w:sz="4" w:space="0"/>
              <w:left w:val="single" w:color="auto" w:sz="4" w:space="0"/>
              <w:right w:val="single" w:color="auto" w:sz="4" w:space="0"/>
            </w:tcBorders>
            <w:vAlign w:val="center"/>
          </w:tcPr>
          <w:p w14:paraId="2396708C">
            <w:pPr>
              <w:pStyle w:val="23"/>
              <w:keepNext w:val="0"/>
              <w:keepLines w:val="0"/>
              <w:suppressLineNumbers w:val="0"/>
              <w:spacing w:before="59" w:line="221" w:lineRule="auto"/>
              <w:ind w:left="161"/>
              <w:rPr>
                <w:b w:val="0"/>
                <w:bCs w:val="0"/>
                <w:color w:val="auto"/>
                <w:highlight w:val="none"/>
              </w:rPr>
            </w:pPr>
            <w:r>
              <w:rPr>
                <w:b w:val="0"/>
                <w:bCs w:val="0"/>
                <w:color w:val="auto"/>
                <w:spacing w:val="-2"/>
                <w:highlight w:val="none"/>
              </w:rPr>
              <w:t>消防工作组织</w:t>
            </w:r>
          </w:p>
          <w:p w14:paraId="0DB75641">
            <w:pPr>
              <w:pStyle w:val="23"/>
              <w:keepNext w:val="0"/>
              <w:keepLines w:val="0"/>
              <w:suppressLineNumbers w:val="0"/>
              <w:spacing w:before="96" w:line="221" w:lineRule="auto"/>
              <w:ind w:left="318"/>
              <w:rPr>
                <w:b w:val="0"/>
                <w:bCs w:val="0"/>
                <w:color w:val="auto"/>
                <w:highlight w:val="none"/>
              </w:rPr>
            </w:pPr>
            <w:r>
              <w:rPr>
                <w:b w:val="0"/>
                <w:bCs w:val="0"/>
                <w:color w:val="auto"/>
                <w:spacing w:val="-5"/>
                <w:highlight w:val="none"/>
              </w:rPr>
              <w:t>（40</w:t>
            </w:r>
            <w:r>
              <w:rPr>
                <w:b w:val="0"/>
                <w:bCs w:val="0"/>
                <w:color w:val="auto"/>
                <w:spacing w:val="-35"/>
                <w:highlight w:val="none"/>
              </w:rPr>
              <w:t xml:space="preserve"> </w:t>
            </w:r>
            <w:r>
              <w:rPr>
                <w:b w:val="0"/>
                <w:bCs w:val="0"/>
                <w:color w:val="auto"/>
                <w:spacing w:val="-5"/>
                <w:highlight w:val="none"/>
              </w:rPr>
              <w:t>分）</w:t>
            </w:r>
          </w:p>
        </w:tc>
        <w:tc>
          <w:tcPr>
            <w:tcW w:w="366" w:type="pct"/>
            <w:vMerge w:val="restart"/>
            <w:tcBorders>
              <w:top w:val="single" w:color="auto" w:sz="4" w:space="0"/>
              <w:left w:val="single" w:color="auto" w:sz="4" w:space="0"/>
              <w:right w:val="single" w:color="auto" w:sz="4" w:space="0"/>
            </w:tcBorders>
            <w:vAlign w:val="center"/>
          </w:tcPr>
          <w:p w14:paraId="3B76DD84">
            <w:pPr>
              <w:pStyle w:val="23"/>
              <w:keepNext w:val="0"/>
              <w:keepLines w:val="0"/>
              <w:suppressLineNumbers w:val="0"/>
              <w:spacing w:before="59" w:line="315" w:lineRule="auto"/>
              <w:ind w:left="110" w:right="74" w:firstLine="2"/>
              <w:jc w:val="both"/>
              <w:rPr>
                <w:b w:val="0"/>
                <w:bCs w:val="0"/>
                <w:color w:val="auto"/>
                <w:highlight w:val="none"/>
              </w:rPr>
            </w:pPr>
            <w:r>
              <w:rPr>
                <w:b w:val="0"/>
                <w:bCs w:val="0"/>
                <w:color w:val="auto"/>
                <w:spacing w:val="-3"/>
                <w:highlight w:val="none"/>
              </w:rPr>
              <w:t>消防工作</w:t>
            </w:r>
            <w:r>
              <w:rPr>
                <w:b w:val="0"/>
                <w:bCs w:val="0"/>
                <w:color w:val="auto"/>
                <w:highlight w:val="none"/>
              </w:rPr>
              <w:t xml:space="preserve">  </w:t>
            </w:r>
            <w:r>
              <w:rPr>
                <w:b w:val="0"/>
                <w:bCs w:val="0"/>
                <w:color w:val="auto"/>
                <w:spacing w:val="-7"/>
                <w:highlight w:val="none"/>
              </w:rPr>
              <w:t>组织机构、</w:t>
            </w:r>
            <w:r>
              <w:rPr>
                <w:b w:val="0"/>
                <w:bCs w:val="0"/>
                <w:color w:val="auto"/>
                <w:highlight w:val="none"/>
              </w:rPr>
              <w:t xml:space="preserve"> </w:t>
            </w:r>
            <w:r>
              <w:rPr>
                <w:b w:val="0"/>
                <w:bCs w:val="0"/>
                <w:color w:val="auto"/>
                <w:spacing w:val="-2"/>
                <w:highlight w:val="none"/>
              </w:rPr>
              <w:t>人员及其</w:t>
            </w:r>
            <w:r>
              <w:rPr>
                <w:b w:val="0"/>
                <w:bCs w:val="0"/>
                <w:color w:val="auto"/>
                <w:highlight w:val="none"/>
              </w:rPr>
              <w:t xml:space="preserve">  </w:t>
            </w:r>
            <w:r>
              <w:rPr>
                <w:b w:val="0"/>
                <w:bCs w:val="0"/>
                <w:color w:val="auto"/>
                <w:spacing w:val="-3"/>
                <w:highlight w:val="none"/>
              </w:rPr>
              <w:t>职责（14</w:t>
            </w:r>
            <w:r>
              <w:rPr>
                <w:b w:val="0"/>
                <w:bCs w:val="0"/>
                <w:color w:val="auto"/>
                <w:spacing w:val="1"/>
                <w:highlight w:val="none"/>
              </w:rPr>
              <w:t xml:space="preserve">  </w:t>
            </w:r>
            <w:r>
              <w:rPr>
                <w:b w:val="0"/>
                <w:bCs w:val="0"/>
                <w:color w:val="auto"/>
                <w:spacing w:val="-5"/>
                <w:highlight w:val="none"/>
              </w:rPr>
              <w:t>分）</w:t>
            </w:r>
          </w:p>
        </w:tc>
        <w:tc>
          <w:tcPr>
            <w:tcW w:w="1741" w:type="pct"/>
            <w:tcBorders>
              <w:top w:val="single" w:color="auto" w:sz="4" w:space="0"/>
              <w:left w:val="single" w:color="auto" w:sz="4" w:space="0"/>
              <w:bottom w:val="single" w:color="auto" w:sz="4" w:space="0"/>
              <w:right w:val="single" w:color="auto" w:sz="4" w:space="0"/>
            </w:tcBorders>
            <w:vAlign w:val="center"/>
          </w:tcPr>
          <w:p w14:paraId="1FCDDA89">
            <w:pPr>
              <w:pStyle w:val="23"/>
              <w:keepNext w:val="0"/>
              <w:keepLines w:val="0"/>
              <w:suppressLineNumbers w:val="0"/>
              <w:spacing w:before="70" w:line="220" w:lineRule="auto"/>
              <w:ind w:left="160"/>
              <w:rPr>
                <w:b w:val="0"/>
                <w:bCs w:val="0"/>
                <w:color w:val="auto"/>
                <w:highlight w:val="none"/>
              </w:rPr>
            </w:pPr>
            <w:r>
              <w:rPr>
                <w:b w:val="0"/>
                <w:bCs w:val="0"/>
                <w:color w:val="auto"/>
                <w:spacing w:val="2"/>
                <w:highlight w:val="none"/>
              </w:rPr>
              <w:t>a)以正式文件确定消防安全责任人、消防安全管理人；</w:t>
            </w:r>
          </w:p>
        </w:tc>
        <w:tc>
          <w:tcPr>
            <w:tcW w:w="1183" w:type="pct"/>
            <w:tcBorders>
              <w:top w:val="single" w:color="auto" w:sz="4" w:space="0"/>
              <w:left w:val="single" w:color="auto" w:sz="4" w:space="0"/>
              <w:bottom w:val="single" w:color="auto" w:sz="4" w:space="0"/>
              <w:right w:val="single" w:color="auto" w:sz="4" w:space="0"/>
            </w:tcBorders>
            <w:vAlign w:val="center"/>
          </w:tcPr>
          <w:p w14:paraId="04ED96E1">
            <w:pPr>
              <w:pStyle w:val="23"/>
              <w:keepNext w:val="0"/>
              <w:keepLines w:val="0"/>
              <w:suppressLineNumbers w:val="0"/>
              <w:spacing w:before="70" w:line="281" w:lineRule="auto"/>
              <w:ind w:left="120" w:right="150" w:hanging="8"/>
              <w:rPr>
                <w:b w:val="0"/>
                <w:bCs w:val="0"/>
                <w:color w:val="auto"/>
                <w:highlight w:val="none"/>
              </w:rPr>
            </w:pPr>
            <w:r>
              <w:rPr>
                <w:b w:val="0"/>
                <w:bCs w:val="0"/>
                <w:color w:val="auto"/>
                <w:spacing w:val="-1"/>
                <w:highlight w:val="none"/>
              </w:rPr>
              <w:t>未以正式文件明确消防安全责任人、消</w:t>
            </w:r>
            <w:r>
              <w:rPr>
                <w:b w:val="0"/>
                <w:bCs w:val="0"/>
                <w:color w:val="auto"/>
                <w:highlight w:val="none"/>
              </w:rPr>
              <w:t>防安全管理人的扣4</w:t>
            </w:r>
            <w:r>
              <w:rPr>
                <w:b w:val="0"/>
                <w:bCs w:val="0"/>
                <w:color w:val="auto"/>
                <w:spacing w:val="-27"/>
                <w:highlight w:val="none"/>
              </w:rPr>
              <w:t xml:space="preserve"> </w:t>
            </w:r>
            <w:r>
              <w:rPr>
                <w:b w:val="0"/>
                <w:bCs w:val="0"/>
                <w:color w:val="auto"/>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1512F04C">
            <w:pPr>
              <w:keepNext w:val="0"/>
              <w:keepLines w:val="0"/>
              <w:suppressLineNumbers w:val="0"/>
              <w:spacing w:before="0" w:beforeAutospacing="0" w:after="0" w:afterAutospacing="0"/>
              <w:ind w:left="0" w:right="0"/>
              <w:jc w:val="center"/>
              <w:rPr>
                <w:rFonts w:hint="eastAsia" w:ascii="Arial" w:eastAsia="宋体"/>
                <w:b w:val="0"/>
                <w:bCs w:val="0"/>
                <w:color w:val="auto"/>
                <w:sz w:val="21"/>
                <w:highlight w:val="none"/>
                <w:lang w:eastAsia="zh-CN"/>
              </w:rPr>
            </w:pPr>
          </w:p>
        </w:tc>
        <w:tc>
          <w:tcPr>
            <w:tcW w:w="334" w:type="pct"/>
            <w:tcBorders>
              <w:top w:val="single" w:color="auto" w:sz="4" w:space="0"/>
              <w:left w:val="single" w:color="auto" w:sz="4" w:space="0"/>
              <w:bottom w:val="single" w:color="auto" w:sz="4" w:space="0"/>
              <w:right w:val="single" w:color="auto" w:sz="4" w:space="0"/>
            </w:tcBorders>
            <w:vAlign w:val="center"/>
          </w:tcPr>
          <w:p w14:paraId="2744B5C7">
            <w:pPr>
              <w:keepNext w:val="0"/>
              <w:keepLines w:val="0"/>
              <w:suppressLineNumbers w:val="0"/>
              <w:spacing w:before="0" w:beforeAutospacing="0" w:after="0" w:afterAutospacing="0"/>
              <w:ind w:left="0" w:right="0"/>
              <w:rPr>
                <w:rFonts w:hint="default" w:ascii="Arial" w:eastAsia="宋体"/>
                <w:b w:val="0"/>
                <w:bCs w:val="0"/>
                <w:color w:val="auto"/>
                <w:sz w:val="21"/>
                <w:highlight w:val="none"/>
                <w:lang w:val="en-US" w:eastAsia="zh-CN"/>
              </w:rPr>
            </w:pPr>
          </w:p>
        </w:tc>
        <w:tc>
          <w:tcPr>
            <w:tcW w:w="327" w:type="pct"/>
            <w:vMerge w:val="restart"/>
            <w:tcBorders>
              <w:top w:val="single" w:color="auto" w:sz="4" w:space="0"/>
              <w:left w:val="single" w:color="auto" w:sz="4" w:space="0"/>
              <w:bottom w:val="single" w:color="auto" w:sz="4" w:space="0"/>
              <w:right w:val="single" w:color="auto" w:sz="4" w:space="0"/>
            </w:tcBorders>
            <w:vAlign w:val="center"/>
          </w:tcPr>
          <w:p w14:paraId="7BFFE753">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16BB44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jc w:val="center"/>
        </w:trPr>
        <w:tc>
          <w:tcPr>
            <w:tcW w:w="188" w:type="pct"/>
            <w:vMerge w:val="continue"/>
            <w:tcBorders>
              <w:left w:val="single" w:color="auto" w:sz="4" w:space="0"/>
              <w:right w:val="single" w:color="auto" w:sz="4" w:space="0"/>
            </w:tcBorders>
            <w:vAlign w:val="center"/>
          </w:tcPr>
          <w:p w14:paraId="4E4967C1">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left w:val="single" w:color="auto" w:sz="4" w:space="0"/>
              <w:right w:val="single" w:color="auto" w:sz="4" w:space="0"/>
            </w:tcBorders>
            <w:vAlign w:val="center"/>
          </w:tcPr>
          <w:p w14:paraId="3DFA0263">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left w:val="single" w:color="auto" w:sz="4" w:space="0"/>
              <w:right w:val="single" w:color="auto" w:sz="4" w:space="0"/>
            </w:tcBorders>
            <w:vAlign w:val="center"/>
          </w:tcPr>
          <w:p w14:paraId="2C30E08F">
            <w:pPr>
              <w:keepNext w:val="0"/>
              <w:keepLines w:val="0"/>
              <w:suppressLineNumbers w:val="0"/>
              <w:spacing w:before="0" w:beforeAutospacing="0" w:after="0" w:afterAutospacing="0"/>
              <w:ind w:left="0" w:right="0"/>
              <w:rPr>
                <w:rFonts w:hint="default" w:ascii="Arial"/>
                <w:color w:val="auto"/>
                <w:sz w:val="21"/>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733F4BCC">
            <w:pPr>
              <w:pStyle w:val="23"/>
              <w:keepNext w:val="0"/>
              <w:keepLines w:val="0"/>
              <w:suppressLineNumbers w:val="0"/>
              <w:spacing w:before="70" w:line="281" w:lineRule="auto"/>
              <w:ind w:left="110" w:right="273" w:hanging="3"/>
              <w:rPr>
                <w:b w:val="0"/>
                <w:bCs w:val="0"/>
                <w:color w:val="auto"/>
                <w:highlight w:val="none"/>
              </w:rPr>
            </w:pPr>
            <w:r>
              <w:rPr>
                <w:b w:val="0"/>
                <w:bCs w:val="0"/>
                <w:color w:val="auto"/>
                <w:spacing w:val="-1"/>
                <w:highlight w:val="none"/>
              </w:rPr>
              <w:t>b)明确单位消防安全组织机构,并以正式文件确定消防工作归口管理部门；</w:t>
            </w:r>
          </w:p>
        </w:tc>
        <w:tc>
          <w:tcPr>
            <w:tcW w:w="1183" w:type="pct"/>
            <w:tcBorders>
              <w:top w:val="single" w:color="auto" w:sz="4" w:space="0"/>
              <w:left w:val="single" w:color="auto" w:sz="4" w:space="0"/>
              <w:bottom w:val="single" w:color="auto" w:sz="4" w:space="0"/>
              <w:right w:val="single" w:color="auto" w:sz="4" w:space="0"/>
            </w:tcBorders>
            <w:vAlign w:val="center"/>
          </w:tcPr>
          <w:p w14:paraId="6716CEF5">
            <w:pPr>
              <w:pStyle w:val="23"/>
              <w:keepNext w:val="0"/>
              <w:keepLines w:val="0"/>
              <w:suppressLineNumbers w:val="0"/>
              <w:spacing w:before="70" w:line="281" w:lineRule="auto"/>
              <w:ind w:left="112" w:right="176"/>
              <w:rPr>
                <w:b w:val="0"/>
                <w:bCs w:val="0"/>
                <w:color w:val="auto"/>
                <w:highlight w:val="none"/>
              </w:rPr>
            </w:pPr>
            <w:r>
              <w:rPr>
                <w:b w:val="0"/>
                <w:bCs w:val="0"/>
                <w:color w:val="auto"/>
                <w:spacing w:val="-3"/>
                <w:highlight w:val="none"/>
              </w:rPr>
              <w:t>未以正式文件明确消防安全组织机构、消防工作归口管理部门的扣</w:t>
            </w:r>
            <w:r>
              <w:rPr>
                <w:b w:val="0"/>
                <w:bCs w:val="0"/>
                <w:color w:val="auto"/>
                <w:spacing w:val="-31"/>
                <w:highlight w:val="none"/>
              </w:rPr>
              <w:t xml:space="preserve"> </w:t>
            </w:r>
            <w:r>
              <w:rPr>
                <w:b w:val="0"/>
                <w:bCs w:val="0"/>
                <w:color w:val="auto"/>
                <w:spacing w:val="-3"/>
                <w:highlight w:val="none"/>
              </w:rPr>
              <w:t>3</w:t>
            </w:r>
            <w:r>
              <w:rPr>
                <w:b w:val="0"/>
                <w:bCs w:val="0"/>
                <w:color w:val="auto"/>
                <w:spacing w:val="-36"/>
                <w:highlight w:val="none"/>
              </w:rPr>
              <w:t xml:space="preserve"> </w:t>
            </w:r>
            <w:r>
              <w:rPr>
                <w:b w:val="0"/>
                <w:bCs w:val="0"/>
                <w:color w:val="auto"/>
                <w:spacing w:val="-3"/>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4C14DE92">
            <w:pPr>
              <w:keepNext w:val="0"/>
              <w:keepLines w:val="0"/>
              <w:suppressLineNumbers w:val="0"/>
              <w:spacing w:before="0" w:beforeAutospacing="0" w:after="0" w:afterAutospacing="0"/>
              <w:ind w:left="0" w:right="0"/>
              <w:jc w:val="center"/>
              <w:rPr>
                <w:rFonts w:hint="default" w:ascii="Arial"/>
                <w:color w:val="auto"/>
                <w:sz w:val="21"/>
                <w:highlight w:val="none"/>
              </w:rPr>
            </w:pPr>
          </w:p>
        </w:tc>
        <w:tc>
          <w:tcPr>
            <w:tcW w:w="334" w:type="pct"/>
            <w:tcBorders>
              <w:top w:val="single" w:color="auto" w:sz="4" w:space="0"/>
              <w:left w:val="single" w:color="auto" w:sz="4" w:space="0"/>
              <w:bottom w:val="single" w:color="auto" w:sz="4" w:space="0"/>
              <w:right w:val="single" w:color="auto" w:sz="4" w:space="0"/>
            </w:tcBorders>
            <w:vAlign w:val="center"/>
          </w:tcPr>
          <w:p w14:paraId="37276E5D">
            <w:pPr>
              <w:keepNext w:val="0"/>
              <w:keepLines w:val="0"/>
              <w:suppressLineNumbers w:val="0"/>
              <w:spacing w:before="0" w:beforeAutospacing="0" w:after="0" w:afterAutospacing="0"/>
              <w:ind w:left="0" w:right="0"/>
              <w:rPr>
                <w:rFonts w:hint="default" w:ascii="Arial"/>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63CC12DE">
            <w:pPr>
              <w:keepNext w:val="0"/>
              <w:keepLines w:val="0"/>
              <w:suppressLineNumbers w:val="0"/>
              <w:spacing w:before="0" w:beforeAutospacing="0" w:after="0" w:afterAutospacing="0"/>
              <w:ind w:left="0" w:right="0"/>
              <w:rPr>
                <w:rFonts w:hint="default" w:ascii="Arial"/>
                <w:color w:val="auto"/>
                <w:sz w:val="21"/>
                <w:highlight w:val="none"/>
              </w:rPr>
            </w:pPr>
          </w:p>
        </w:tc>
      </w:tr>
      <w:tr w14:paraId="07E48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6" w:hRule="atLeast"/>
          <w:jc w:val="center"/>
        </w:trPr>
        <w:tc>
          <w:tcPr>
            <w:tcW w:w="188" w:type="pct"/>
            <w:vMerge w:val="continue"/>
            <w:tcBorders>
              <w:left w:val="single" w:color="auto" w:sz="4" w:space="0"/>
              <w:right w:val="single" w:color="auto" w:sz="4" w:space="0"/>
            </w:tcBorders>
            <w:vAlign w:val="center"/>
          </w:tcPr>
          <w:p w14:paraId="46B7D0AF">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left w:val="single" w:color="auto" w:sz="4" w:space="0"/>
              <w:right w:val="single" w:color="auto" w:sz="4" w:space="0"/>
            </w:tcBorders>
            <w:vAlign w:val="center"/>
          </w:tcPr>
          <w:p w14:paraId="4AC977FA">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left w:val="single" w:color="auto" w:sz="4" w:space="0"/>
              <w:right w:val="single" w:color="auto" w:sz="4" w:space="0"/>
            </w:tcBorders>
            <w:vAlign w:val="center"/>
          </w:tcPr>
          <w:p w14:paraId="1560B3B5">
            <w:pPr>
              <w:keepNext w:val="0"/>
              <w:keepLines w:val="0"/>
              <w:suppressLineNumbers w:val="0"/>
              <w:spacing w:before="0" w:beforeAutospacing="0" w:after="0" w:afterAutospacing="0"/>
              <w:ind w:left="0" w:right="0"/>
              <w:rPr>
                <w:rFonts w:hint="default" w:ascii="Arial"/>
                <w:color w:val="auto"/>
                <w:sz w:val="21"/>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07B3F31D">
            <w:pPr>
              <w:pStyle w:val="23"/>
              <w:keepNext w:val="0"/>
              <w:keepLines w:val="0"/>
              <w:suppressLineNumbers w:val="0"/>
              <w:spacing w:before="59" w:line="308" w:lineRule="auto"/>
              <w:ind w:left="111" w:right="185" w:firstLine="2"/>
              <w:rPr>
                <w:b w:val="0"/>
                <w:bCs w:val="0"/>
                <w:color w:val="auto"/>
                <w:highlight w:val="none"/>
              </w:rPr>
            </w:pPr>
            <w:r>
              <w:rPr>
                <w:b w:val="0"/>
                <w:bCs w:val="0"/>
                <w:color w:val="auto"/>
                <w:spacing w:val="-1"/>
                <w:highlight w:val="none"/>
              </w:rPr>
              <w:t>c)明确各级、各部门、各岗位消防安全职责，并确定责任</w:t>
            </w:r>
            <w:r>
              <w:rPr>
                <w:b w:val="0"/>
                <w:bCs w:val="0"/>
                <w:color w:val="auto"/>
                <w:spacing w:val="-5"/>
                <w:highlight w:val="none"/>
              </w:rPr>
              <w:t>人；</w:t>
            </w:r>
          </w:p>
        </w:tc>
        <w:tc>
          <w:tcPr>
            <w:tcW w:w="1183" w:type="pct"/>
            <w:tcBorders>
              <w:top w:val="single" w:color="auto" w:sz="4" w:space="0"/>
              <w:left w:val="single" w:color="auto" w:sz="4" w:space="0"/>
              <w:bottom w:val="single" w:color="auto" w:sz="4" w:space="0"/>
              <w:right w:val="single" w:color="auto" w:sz="4" w:space="0"/>
            </w:tcBorders>
            <w:vAlign w:val="center"/>
          </w:tcPr>
          <w:p w14:paraId="3082B3F1">
            <w:pPr>
              <w:pStyle w:val="23"/>
              <w:keepNext w:val="0"/>
              <w:keepLines w:val="0"/>
              <w:suppressLineNumbers w:val="0"/>
              <w:spacing w:before="71" w:line="302" w:lineRule="auto"/>
              <w:ind w:left="110" w:right="150" w:firstLine="2"/>
              <w:jc w:val="both"/>
              <w:rPr>
                <w:b w:val="0"/>
                <w:bCs w:val="0"/>
                <w:color w:val="auto"/>
                <w:highlight w:val="none"/>
              </w:rPr>
            </w:pPr>
            <w:r>
              <w:rPr>
                <w:b w:val="0"/>
                <w:bCs w:val="0"/>
                <w:color w:val="auto"/>
                <w:spacing w:val="-1"/>
                <w:highlight w:val="none"/>
              </w:rPr>
              <w:t>未明确各级、各部门、各岗位消防安全</w:t>
            </w:r>
            <w:r>
              <w:rPr>
                <w:b w:val="0"/>
                <w:bCs w:val="0"/>
                <w:color w:val="auto"/>
                <w:spacing w:val="-4"/>
                <w:highlight w:val="none"/>
              </w:rPr>
              <w:t>职责的每发现一处扣</w:t>
            </w:r>
            <w:r>
              <w:rPr>
                <w:b w:val="0"/>
                <w:bCs w:val="0"/>
                <w:color w:val="auto"/>
                <w:spacing w:val="-21"/>
                <w:highlight w:val="none"/>
              </w:rPr>
              <w:t xml:space="preserve"> </w:t>
            </w:r>
            <w:r>
              <w:rPr>
                <w:b w:val="0"/>
                <w:bCs w:val="0"/>
                <w:color w:val="auto"/>
                <w:spacing w:val="-4"/>
                <w:highlight w:val="none"/>
              </w:rPr>
              <w:t>0.5</w:t>
            </w:r>
            <w:r>
              <w:rPr>
                <w:b w:val="0"/>
                <w:bCs w:val="0"/>
                <w:color w:val="auto"/>
                <w:spacing w:val="-34"/>
                <w:highlight w:val="none"/>
              </w:rPr>
              <w:t xml:space="preserve"> </w:t>
            </w:r>
            <w:r>
              <w:rPr>
                <w:b w:val="0"/>
                <w:bCs w:val="0"/>
                <w:color w:val="auto"/>
                <w:spacing w:val="-4"/>
                <w:highlight w:val="none"/>
              </w:rPr>
              <w:t>分，最高扣</w:t>
            </w:r>
            <w:r>
              <w:rPr>
                <w:b w:val="0"/>
                <w:bCs w:val="0"/>
                <w:color w:val="auto"/>
                <w:spacing w:val="-24"/>
                <w:highlight w:val="none"/>
              </w:rPr>
              <w:t xml:space="preserve"> </w:t>
            </w:r>
            <w:r>
              <w:rPr>
                <w:b w:val="0"/>
                <w:bCs w:val="0"/>
                <w:color w:val="auto"/>
                <w:spacing w:val="-4"/>
                <w:highlight w:val="none"/>
              </w:rPr>
              <w:t>1</w:t>
            </w:r>
            <w:r>
              <w:rPr>
                <w:b w:val="0"/>
                <w:bCs w:val="0"/>
                <w:color w:val="auto"/>
                <w:highlight w:val="none"/>
              </w:rPr>
              <w:t xml:space="preserve"> </w:t>
            </w:r>
            <w:r>
              <w:rPr>
                <w:b w:val="0"/>
                <w:bCs w:val="0"/>
                <w:color w:val="auto"/>
                <w:spacing w:val="-2"/>
                <w:highlight w:val="none"/>
              </w:rPr>
              <w:t>分；未明确责任人的每发现一处扣</w:t>
            </w:r>
            <w:r>
              <w:rPr>
                <w:b w:val="0"/>
                <w:bCs w:val="0"/>
                <w:color w:val="auto"/>
                <w:spacing w:val="-23"/>
                <w:highlight w:val="none"/>
              </w:rPr>
              <w:t xml:space="preserve"> </w:t>
            </w:r>
            <w:r>
              <w:rPr>
                <w:b w:val="0"/>
                <w:bCs w:val="0"/>
                <w:color w:val="auto"/>
                <w:spacing w:val="-2"/>
                <w:highlight w:val="none"/>
              </w:rPr>
              <w:t>0.5</w:t>
            </w:r>
            <w:r>
              <w:rPr>
                <w:b w:val="0"/>
                <w:bCs w:val="0"/>
                <w:color w:val="auto"/>
                <w:highlight w:val="none"/>
              </w:rPr>
              <w:t xml:space="preserve"> </w:t>
            </w:r>
            <w:r>
              <w:rPr>
                <w:b w:val="0"/>
                <w:bCs w:val="0"/>
                <w:color w:val="auto"/>
                <w:spacing w:val="-6"/>
                <w:highlight w:val="none"/>
              </w:rPr>
              <w:t>分，最高扣</w:t>
            </w:r>
            <w:r>
              <w:rPr>
                <w:b w:val="0"/>
                <w:bCs w:val="0"/>
                <w:color w:val="auto"/>
                <w:spacing w:val="-25"/>
                <w:highlight w:val="none"/>
              </w:rPr>
              <w:t xml:space="preserve"> </w:t>
            </w:r>
            <w:r>
              <w:rPr>
                <w:b w:val="0"/>
                <w:bCs w:val="0"/>
                <w:color w:val="auto"/>
                <w:spacing w:val="-6"/>
                <w:highlight w:val="none"/>
              </w:rPr>
              <w:t>1</w:t>
            </w:r>
            <w:r>
              <w:rPr>
                <w:b w:val="0"/>
                <w:bCs w:val="0"/>
                <w:color w:val="auto"/>
                <w:spacing w:val="-34"/>
                <w:highlight w:val="none"/>
              </w:rPr>
              <w:t xml:space="preserve"> </w:t>
            </w:r>
            <w:r>
              <w:rPr>
                <w:b w:val="0"/>
                <w:bCs w:val="0"/>
                <w:color w:val="auto"/>
                <w:spacing w:val="-6"/>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076BBFE5">
            <w:pPr>
              <w:keepNext w:val="0"/>
              <w:keepLines w:val="0"/>
              <w:suppressLineNumbers w:val="0"/>
              <w:spacing w:before="0" w:beforeAutospacing="0" w:after="0" w:afterAutospacing="0"/>
              <w:ind w:left="0" w:right="0"/>
              <w:jc w:val="center"/>
              <w:rPr>
                <w:rFonts w:hint="eastAsia" w:ascii="Arial" w:eastAsia="宋体"/>
                <w:color w:val="auto"/>
                <w:sz w:val="21"/>
                <w:highlight w:val="none"/>
                <w:lang w:eastAsia="zh-CN"/>
              </w:rPr>
            </w:pPr>
          </w:p>
        </w:tc>
        <w:tc>
          <w:tcPr>
            <w:tcW w:w="334" w:type="pct"/>
            <w:tcBorders>
              <w:top w:val="single" w:color="auto" w:sz="4" w:space="0"/>
              <w:left w:val="single" w:color="auto" w:sz="4" w:space="0"/>
              <w:bottom w:val="single" w:color="auto" w:sz="4" w:space="0"/>
              <w:right w:val="single" w:color="auto" w:sz="4" w:space="0"/>
            </w:tcBorders>
            <w:vAlign w:val="center"/>
          </w:tcPr>
          <w:p w14:paraId="39E69EFA">
            <w:pPr>
              <w:keepNext w:val="0"/>
              <w:keepLines w:val="0"/>
              <w:suppressLineNumbers w:val="0"/>
              <w:spacing w:before="0" w:beforeAutospacing="0" w:after="0" w:afterAutospacing="0"/>
              <w:ind w:left="0" w:right="0"/>
              <w:rPr>
                <w:rFonts w:hint="default" w:ascii="Arial"/>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545D5E2F">
            <w:pPr>
              <w:keepNext w:val="0"/>
              <w:keepLines w:val="0"/>
              <w:suppressLineNumbers w:val="0"/>
              <w:spacing w:before="0" w:beforeAutospacing="0" w:after="0" w:afterAutospacing="0"/>
              <w:ind w:left="0" w:right="0"/>
              <w:rPr>
                <w:rFonts w:hint="default" w:ascii="Arial"/>
                <w:color w:val="auto"/>
                <w:sz w:val="21"/>
                <w:highlight w:val="none"/>
              </w:rPr>
            </w:pPr>
          </w:p>
        </w:tc>
      </w:tr>
      <w:tr w14:paraId="098161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3" w:hRule="atLeast"/>
          <w:jc w:val="center"/>
        </w:trPr>
        <w:tc>
          <w:tcPr>
            <w:tcW w:w="188" w:type="pct"/>
            <w:vMerge w:val="continue"/>
            <w:tcBorders>
              <w:left w:val="single" w:color="auto" w:sz="4" w:space="0"/>
              <w:right w:val="single" w:color="auto" w:sz="4" w:space="0"/>
            </w:tcBorders>
            <w:vAlign w:val="center"/>
          </w:tcPr>
          <w:p w14:paraId="555A6387">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left w:val="single" w:color="auto" w:sz="4" w:space="0"/>
              <w:right w:val="single" w:color="auto" w:sz="4" w:space="0"/>
            </w:tcBorders>
            <w:vAlign w:val="center"/>
          </w:tcPr>
          <w:p w14:paraId="37EACA0F">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left w:val="single" w:color="auto" w:sz="4" w:space="0"/>
              <w:right w:val="single" w:color="auto" w:sz="4" w:space="0"/>
            </w:tcBorders>
            <w:vAlign w:val="center"/>
          </w:tcPr>
          <w:p w14:paraId="63F0B2F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64334D8C">
            <w:pPr>
              <w:pStyle w:val="23"/>
              <w:keepNext w:val="0"/>
              <w:keepLines w:val="0"/>
              <w:suppressLineNumbers w:val="0"/>
              <w:spacing w:before="70" w:line="295" w:lineRule="auto"/>
              <w:ind w:left="114" w:right="108"/>
              <w:jc w:val="both"/>
              <w:rPr>
                <w:b w:val="0"/>
                <w:bCs w:val="0"/>
                <w:color w:val="auto"/>
                <w:highlight w:val="none"/>
              </w:rPr>
            </w:pPr>
            <w:r>
              <w:rPr>
                <w:b w:val="0"/>
                <w:bCs w:val="0"/>
                <w:color w:val="auto"/>
                <w:spacing w:val="-1"/>
                <w:highlight w:val="none"/>
              </w:rPr>
              <w:t>d)共有（用)建筑的产权单位、使用单位书面明确</w:t>
            </w:r>
            <w:r>
              <w:rPr>
                <w:b w:val="0"/>
                <w:bCs w:val="0"/>
                <w:color w:val="auto"/>
                <w:spacing w:val="-2"/>
                <w:highlight w:val="none"/>
              </w:rPr>
              <w:t>各方消防</w:t>
            </w:r>
            <w:r>
              <w:rPr>
                <w:b w:val="0"/>
                <w:bCs w:val="0"/>
                <w:color w:val="auto"/>
                <w:spacing w:val="-1"/>
                <w:highlight w:val="none"/>
              </w:rPr>
              <w:t>安全管理责任，以及确定责任人对共用的疏散通道、安全出口、建筑消防设施和消防车通道进行统一管理；</w:t>
            </w:r>
          </w:p>
        </w:tc>
        <w:tc>
          <w:tcPr>
            <w:tcW w:w="1183" w:type="pct"/>
            <w:tcBorders>
              <w:top w:val="single" w:color="auto" w:sz="4" w:space="0"/>
              <w:left w:val="single" w:color="auto" w:sz="4" w:space="0"/>
              <w:bottom w:val="single" w:color="auto" w:sz="4" w:space="0"/>
              <w:right w:val="single" w:color="auto" w:sz="4" w:space="0"/>
            </w:tcBorders>
            <w:vAlign w:val="center"/>
          </w:tcPr>
          <w:p w14:paraId="50CBFE8F">
            <w:pPr>
              <w:pStyle w:val="23"/>
              <w:keepNext w:val="0"/>
              <w:keepLines w:val="0"/>
              <w:suppressLineNumbers w:val="0"/>
              <w:spacing w:before="67" w:line="307" w:lineRule="auto"/>
              <w:ind w:left="112" w:right="150" w:hanging="3"/>
              <w:rPr>
                <w:b w:val="0"/>
                <w:bCs w:val="0"/>
                <w:color w:val="auto"/>
                <w:highlight w:val="none"/>
              </w:rPr>
            </w:pPr>
            <w:r>
              <w:rPr>
                <w:b w:val="0"/>
                <w:bCs w:val="0"/>
                <w:color w:val="auto"/>
                <w:spacing w:val="-1"/>
                <w:highlight w:val="none"/>
              </w:rPr>
              <w:t>共有（用）建筑的产权单位、使用单位未明确各方消防安全管理责任的扣</w:t>
            </w:r>
            <w:r>
              <w:rPr>
                <w:b w:val="0"/>
                <w:bCs w:val="0"/>
                <w:color w:val="auto"/>
                <w:spacing w:val="-33"/>
                <w:highlight w:val="none"/>
              </w:rPr>
              <w:t xml:space="preserve"> </w:t>
            </w:r>
            <w:r>
              <w:rPr>
                <w:b w:val="0"/>
                <w:bCs w:val="0"/>
                <w:color w:val="auto"/>
                <w:spacing w:val="-1"/>
                <w:highlight w:val="none"/>
              </w:rPr>
              <w:t>2</w:t>
            </w:r>
            <w:r>
              <w:rPr>
                <w:rFonts w:hint="eastAsia"/>
                <w:b w:val="0"/>
                <w:bCs w:val="0"/>
                <w:color w:val="auto"/>
                <w:spacing w:val="-1"/>
                <w:highlight w:val="none"/>
                <w:lang w:val="en-US" w:eastAsia="zh-CN"/>
              </w:rPr>
              <w:t xml:space="preserve"> </w:t>
            </w:r>
            <w:r>
              <w:rPr>
                <w:b w:val="0"/>
                <w:bCs w:val="0"/>
                <w:color w:val="auto"/>
                <w:spacing w:val="-9"/>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1BA646C8">
            <w:pPr>
              <w:keepNext w:val="0"/>
              <w:keepLines w:val="0"/>
              <w:suppressLineNumbers w:val="0"/>
              <w:spacing w:before="0" w:beforeAutospacing="0" w:after="0" w:afterAutospacing="0"/>
              <w:ind w:left="0" w:right="0"/>
              <w:jc w:val="both"/>
              <w:rPr>
                <w:rFonts w:hint="default" w:ascii="Arial" w:eastAsia="宋体"/>
                <w:b w:val="0"/>
                <w:bCs w:val="0"/>
                <w:color w:val="auto"/>
                <w:sz w:val="21"/>
                <w:highlight w:val="none"/>
                <w:lang w:val="en-US" w:eastAsia="zh-CN"/>
              </w:rPr>
            </w:pPr>
          </w:p>
        </w:tc>
        <w:tc>
          <w:tcPr>
            <w:tcW w:w="334" w:type="pct"/>
            <w:tcBorders>
              <w:top w:val="single" w:color="auto" w:sz="4" w:space="0"/>
              <w:left w:val="single" w:color="auto" w:sz="4" w:space="0"/>
              <w:bottom w:val="single" w:color="auto" w:sz="4" w:space="0"/>
              <w:right w:val="single" w:color="auto" w:sz="4" w:space="0"/>
            </w:tcBorders>
            <w:vAlign w:val="center"/>
          </w:tcPr>
          <w:p w14:paraId="6EDFFEC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restart"/>
            <w:tcBorders>
              <w:top w:val="single" w:color="auto" w:sz="4" w:space="0"/>
              <w:left w:val="single" w:color="auto" w:sz="4" w:space="0"/>
              <w:bottom w:val="single" w:color="auto" w:sz="4" w:space="0"/>
              <w:right w:val="single" w:color="auto" w:sz="4" w:space="0"/>
            </w:tcBorders>
            <w:vAlign w:val="center"/>
          </w:tcPr>
          <w:p w14:paraId="2C1C9861">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343D7B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0" w:hRule="atLeast"/>
          <w:jc w:val="center"/>
        </w:trPr>
        <w:tc>
          <w:tcPr>
            <w:tcW w:w="188" w:type="pct"/>
            <w:vMerge w:val="continue"/>
            <w:tcBorders>
              <w:left w:val="single" w:color="auto" w:sz="4" w:space="0"/>
              <w:right w:val="single" w:color="auto" w:sz="4" w:space="0"/>
            </w:tcBorders>
            <w:vAlign w:val="center"/>
          </w:tcPr>
          <w:p w14:paraId="12338706">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left w:val="single" w:color="auto" w:sz="4" w:space="0"/>
              <w:right w:val="single" w:color="auto" w:sz="4" w:space="0"/>
            </w:tcBorders>
            <w:vAlign w:val="center"/>
          </w:tcPr>
          <w:p w14:paraId="45387352">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left w:val="single" w:color="auto" w:sz="4" w:space="0"/>
              <w:right w:val="single" w:color="auto" w:sz="4" w:space="0"/>
            </w:tcBorders>
            <w:vAlign w:val="center"/>
          </w:tcPr>
          <w:p w14:paraId="58A2158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48C2400C">
            <w:pPr>
              <w:pStyle w:val="23"/>
              <w:keepNext w:val="0"/>
              <w:keepLines w:val="0"/>
              <w:suppressLineNumbers w:val="0"/>
              <w:spacing w:before="67" w:line="295" w:lineRule="auto"/>
              <w:ind w:left="111" w:right="185" w:firstLine="4"/>
              <w:jc w:val="both"/>
              <w:rPr>
                <w:b w:val="0"/>
                <w:bCs w:val="0"/>
                <w:color w:val="auto"/>
                <w:highlight w:val="none"/>
              </w:rPr>
            </w:pPr>
            <w:r>
              <w:rPr>
                <w:b w:val="0"/>
                <w:bCs w:val="0"/>
                <w:color w:val="auto"/>
                <w:spacing w:val="-1"/>
                <w:highlight w:val="none"/>
              </w:rPr>
              <w:t>e)对建筑物进行局部改建、扩建和装修的工程，建设单位应当与施工单位在订立的合同中明确各方对施工现场的消</w:t>
            </w:r>
            <w:r>
              <w:rPr>
                <w:b w:val="0"/>
                <w:bCs w:val="0"/>
                <w:color w:val="auto"/>
                <w:spacing w:val="-2"/>
                <w:highlight w:val="none"/>
              </w:rPr>
              <w:t>防安全责任；</w:t>
            </w:r>
          </w:p>
        </w:tc>
        <w:tc>
          <w:tcPr>
            <w:tcW w:w="1183" w:type="pct"/>
            <w:tcBorders>
              <w:top w:val="single" w:color="auto" w:sz="4" w:space="0"/>
              <w:left w:val="single" w:color="auto" w:sz="4" w:space="0"/>
              <w:bottom w:val="single" w:color="auto" w:sz="4" w:space="0"/>
              <w:right w:val="single" w:color="auto" w:sz="4" w:space="0"/>
            </w:tcBorders>
            <w:vAlign w:val="center"/>
          </w:tcPr>
          <w:p w14:paraId="1E6C490B">
            <w:pPr>
              <w:pStyle w:val="23"/>
              <w:keepNext w:val="0"/>
              <w:keepLines w:val="0"/>
              <w:suppressLineNumbers w:val="0"/>
              <w:spacing w:before="67" w:line="295" w:lineRule="auto"/>
              <w:ind w:left="109" w:right="150"/>
              <w:jc w:val="both"/>
              <w:rPr>
                <w:b w:val="0"/>
                <w:bCs w:val="0"/>
                <w:color w:val="auto"/>
                <w:highlight w:val="none"/>
              </w:rPr>
            </w:pPr>
            <w:r>
              <w:rPr>
                <w:b w:val="0"/>
                <w:bCs w:val="0"/>
                <w:color w:val="auto"/>
                <w:spacing w:val="-1"/>
                <w:highlight w:val="none"/>
              </w:rPr>
              <w:t>对建筑物进行局部改建、扩建和装修的工程，未明确建设单位与施工单位各方</w:t>
            </w:r>
            <w:r>
              <w:rPr>
                <w:b w:val="0"/>
                <w:bCs w:val="0"/>
                <w:color w:val="auto"/>
                <w:spacing w:val="-3"/>
                <w:highlight w:val="none"/>
              </w:rPr>
              <w:t>对施工现场的消防安全责任的扣</w:t>
            </w:r>
            <w:r>
              <w:rPr>
                <w:b w:val="0"/>
                <w:bCs w:val="0"/>
                <w:color w:val="auto"/>
                <w:spacing w:val="-20"/>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09D5229E">
            <w:pPr>
              <w:keepNext w:val="0"/>
              <w:keepLines w:val="0"/>
              <w:suppressLineNumbers w:val="0"/>
              <w:spacing w:before="0" w:beforeAutospacing="0" w:after="0" w:afterAutospacing="0"/>
              <w:ind w:left="0" w:right="0"/>
              <w:rPr>
                <w:rFonts w:hint="default" w:ascii="Arial" w:eastAsia="宋体"/>
                <w:b w:val="0"/>
                <w:bCs w:val="0"/>
                <w:color w:val="auto"/>
                <w:sz w:val="21"/>
                <w:highlight w:val="none"/>
                <w:lang w:val="en-US" w:eastAsia="zh-CN"/>
              </w:rPr>
            </w:pPr>
          </w:p>
          <w:p w14:paraId="0369E209">
            <w:pPr>
              <w:keepNext w:val="0"/>
              <w:keepLines w:val="0"/>
              <w:suppressLineNumbers w:val="0"/>
              <w:bidi w:val="0"/>
              <w:spacing w:before="0" w:beforeAutospacing="0" w:after="0" w:afterAutospacing="0"/>
              <w:ind w:left="0" w:right="0" w:firstLine="504" w:firstLineChars="0"/>
              <w:jc w:val="left"/>
              <w:rPr>
                <w:rFonts w:hint="default" w:ascii="Arial" w:hAnsi="Arial" w:eastAsia="Arial" w:cs="Arial"/>
                <w:snapToGrid w:val="0"/>
                <w:color w:val="auto"/>
                <w:kern w:val="0"/>
                <w:sz w:val="21"/>
                <w:szCs w:val="21"/>
                <w:highlight w:val="none"/>
                <w:lang w:val="en-US" w:eastAsia="zh-CN"/>
              </w:rPr>
            </w:pPr>
          </w:p>
        </w:tc>
        <w:tc>
          <w:tcPr>
            <w:tcW w:w="334" w:type="pct"/>
            <w:tcBorders>
              <w:top w:val="single" w:color="auto" w:sz="4" w:space="0"/>
              <w:left w:val="single" w:color="auto" w:sz="4" w:space="0"/>
              <w:bottom w:val="single" w:color="auto" w:sz="4" w:space="0"/>
              <w:right w:val="single" w:color="auto" w:sz="4" w:space="0"/>
            </w:tcBorders>
            <w:vAlign w:val="center"/>
          </w:tcPr>
          <w:p w14:paraId="3BBFB35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28942BE4">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3E220A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jc w:val="center"/>
        </w:trPr>
        <w:tc>
          <w:tcPr>
            <w:tcW w:w="188" w:type="pct"/>
            <w:vMerge w:val="continue"/>
            <w:tcBorders>
              <w:left w:val="single" w:color="auto" w:sz="4" w:space="0"/>
              <w:bottom w:val="single" w:color="auto" w:sz="4" w:space="0"/>
              <w:right w:val="single" w:color="auto" w:sz="4" w:space="0"/>
            </w:tcBorders>
            <w:vAlign w:val="center"/>
          </w:tcPr>
          <w:p w14:paraId="15272BF1">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left w:val="single" w:color="auto" w:sz="4" w:space="0"/>
              <w:bottom w:val="single" w:color="auto" w:sz="4" w:space="0"/>
              <w:right w:val="single" w:color="auto" w:sz="4" w:space="0"/>
            </w:tcBorders>
            <w:vAlign w:val="center"/>
          </w:tcPr>
          <w:p w14:paraId="282FD0FE">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left w:val="single" w:color="auto" w:sz="4" w:space="0"/>
              <w:bottom w:val="single" w:color="auto" w:sz="4" w:space="0"/>
              <w:right w:val="single" w:color="auto" w:sz="4" w:space="0"/>
            </w:tcBorders>
            <w:vAlign w:val="center"/>
          </w:tcPr>
          <w:p w14:paraId="29E39E9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1" w:type="pct"/>
            <w:tcBorders>
              <w:top w:val="single" w:color="auto" w:sz="4" w:space="0"/>
              <w:left w:val="single" w:color="auto" w:sz="4" w:space="0"/>
              <w:bottom w:val="single" w:color="auto" w:sz="4" w:space="0"/>
              <w:right w:val="single" w:color="auto" w:sz="4" w:space="0"/>
            </w:tcBorders>
            <w:vAlign w:val="center"/>
          </w:tcPr>
          <w:p w14:paraId="200E25B2">
            <w:pPr>
              <w:pStyle w:val="23"/>
              <w:keepNext w:val="0"/>
              <w:keepLines w:val="0"/>
              <w:suppressLineNumbers w:val="0"/>
              <w:spacing w:before="59" w:line="308" w:lineRule="auto"/>
              <w:ind w:left="111" w:right="185" w:firstLine="2"/>
              <w:rPr>
                <w:b w:val="0"/>
                <w:bCs w:val="0"/>
                <w:color w:val="auto"/>
                <w:highlight w:val="none"/>
              </w:rPr>
            </w:pPr>
            <w:r>
              <w:rPr>
                <w:b w:val="0"/>
                <w:bCs w:val="0"/>
                <w:color w:val="auto"/>
                <w:spacing w:val="-1"/>
                <w:highlight w:val="none"/>
              </w:rPr>
              <w:t>f)随机抽查 2 名人员消防职责掌握情况。</w:t>
            </w:r>
          </w:p>
        </w:tc>
        <w:tc>
          <w:tcPr>
            <w:tcW w:w="1183" w:type="pct"/>
            <w:tcBorders>
              <w:top w:val="single" w:color="auto" w:sz="4" w:space="0"/>
              <w:left w:val="single" w:color="auto" w:sz="4" w:space="0"/>
              <w:bottom w:val="single" w:color="auto" w:sz="4" w:space="0"/>
              <w:right w:val="single" w:color="auto" w:sz="4" w:space="0"/>
            </w:tcBorders>
            <w:vAlign w:val="center"/>
          </w:tcPr>
          <w:p w14:paraId="77AA6B6F">
            <w:pPr>
              <w:pStyle w:val="23"/>
              <w:keepNext w:val="0"/>
              <w:keepLines w:val="0"/>
              <w:suppressLineNumbers w:val="0"/>
              <w:spacing w:before="66" w:line="283" w:lineRule="auto"/>
              <w:ind w:left="111" w:right="54" w:hanging="2"/>
              <w:rPr>
                <w:b w:val="0"/>
                <w:bCs w:val="0"/>
                <w:color w:val="auto"/>
                <w:highlight w:val="none"/>
              </w:rPr>
            </w:pPr>
            <w:r>
              <w:rPr>
                <w:b w:val="0"/>
                <w:bCs w:val="0"/>
                <w:color w:val="auto"/>
                <w:spacing w:val="-4"/>
                <w:highlight w:val="none"/>
              </w:rPr>
              <w:t>每抽查</w:t>
            </w:r>
            <w:r>
              <w:rPr>
                <w:b w:val="0"/>
                <w:bCs w:val="0"/>
                <w:color w:val="auto"/>
                <w:spacing w:val="-22"/>
                <w:highlight w:val="none"/>
              </w:rPr>
              <w:t xml:space="preserve"> </w:t>
            </w:r>
            <w:r>
              <w:rPr>
                <w:b w:val="0"/>
                <w:bCs w:val="0"/>
                <w:color w:val="auto"/>
                <w:spacing w:val="-4"/>
                <w:highlight w:val="none"/>
              </w:rPr>
              <w:t>1</w:t>
            </w:r>
            <w:r>
              <w:rPr>
                <w:b w:val="0"/>
                <w:bCs w:val="0"/>
                <w:color w:val="auto"/>
                <w:spacing w:val="-47"/>
                <w:highlight w:val="none"/>
              </w:rPr>
              <w:t xml:space="preserve"> </w:t>
            </w:r>
            <w:r>
              <w:rPr>
                <w:b w:val="0"/>
                <w:bCs w:val="0"/>
                <w:color w:val="auto"/>
                <w:spacing w:val="-4"/>
                <w:highlight w:val="none"/>
              </w:rPr>
              <w:t>人次未掌握消防职责的扣1</w:t>
            </w:r>
            <w:r>
              <w:rPr>
                <w:b w:val="0"/>
                <w:bCs w:val="0"/>
                <w:color w:val="auto"/>
                <w:spacing w:val="-46"/>
                <w:highlight w:val="none"/>
              </w:rPr>
              <w:t xml:space="preserve"> </w:t>
            </w:r>
            <w:r>
              <w:rPr>
                <w:b w:val="0"/>
                <w:bCs w:val="0"/>
                <w:color w:val="auto"/>
                <w:spacing w:val="-4"/>
                <w:highlight w:val="none"/>
              </w:rPr>
              <w:t>分，</w:t>
            </w:r>
            <w:r>
              <w:rPr>
                <w:b w:val="0"/>
                <w:bCs w:val="0"/>
                <w:color w:val="auto"/>
                <w:spacing w:val="-7"/>
                <w:highlight w:val="none"/>
              </w:rPr>
              <w:t>最高扣</w:t>
            </w:r>
            <w:r>
              <w:rPr>
                <w:b w:val="0"/>
                <w:bCs w:val="0"/>
                <w:color w:val="auto"/>
                <w:spacing w:val="-32"/>
                <w:highlight w:val="none"/>
              </w:rPr>
              <w:t xml:space="preserve"> </w:t>
            </w:r>
            <w:r>
              <w:rPr>
                <w:b w:val="0"/>
                <w:bCs w:val="0"/>
                <w:color w:val="auto"/>
                <w:spacing w:val="-7"/>
                <w:highlight w:val="none"/>
              </w:rPr>
              <w:t>2</w:t>
            </w:r>
            <w:r>
              <w:rPr>
                <w:b w:val="0"/>
                <w:bCs w:val="0"/>
                <w:color w:val="auto"/>
                <w:spacing w:val="-34"/>
                <w:highlight w:val="none"/>
              </w:rPr>
              <w:t xml:space="preserve"> </w:t>
            </w:r>
            <w:r>
              <w:rPr>
                <w:b w:val="0"/>
                <w:bCs w:val="0"/>
                <w:color w:val="auto"/>
                <w:spacing w:val="-7"/>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76CCF89E">
            <w:pPr>
              <w:keepNext w:val="0"/>
              <w:keepLines w:val="0"/>
              <w:suppressLineNumbers w:val="0"/>
              <w:spacing w:before="0" w:beforeAutospacing="0" w:after="0" w:afterAutospacing="0"/>
              <w:ind w:left="0" w:right="0"/>
              <w:jc w:val="center"/>
              <w:rPr>
                <w:rFonts w:hint="eastAsia" w:ascii="Arial" w:eastAsia="宋体"/>
                <w:b w:val="0"/>
                <w:bCs w:val="0"/>
                <w:color w:val="auto"/>
                <w:sz w:val="21"/>
                <w:highlight w:val="none"/>
                <w:lang w:eastAsia="zh-CN"/>
              </w:rPr>
            </w:pPr>
          </w:p>
        </w:tc>
        <w:tc>
          <w:tcPr>
            <w:tcW w:w="334" w:type="pct"/>
            <w:tcBorders>
              <w:top w:val="single" w:color="auto" w:sz="4" w:space="0"/>
              <w:left w:val="single" w:color="auto" w:sz="4" w:space="0"/>
              <w:bottom w:val="single" w:color="auto" w:sz="4" w:space="0"/>
              <w:right w:val="single" w:color="auto" w:sz="4" w:space="0"/>
            </w:tcBorders>
            <w:vAlign w:val="center"/>
          </w:tcPr>
          <w:p w14:paraId="7596187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tcBorders>
              <w:top w:val="single" w:color="auto" w:sz="4" w:space="0"/>
              <w:left w:val="single" w:color="auto" w:sz="4" w:space="0"/>
              <w:bottom w:val="single" w:color="auto" w:sz="4" w:space="0"/>
              <w:right w:val="single" w:color="auto" w:sz="4" w:space="0"/>
            </w:tcBorders>
            <w:vAlign w:val="center"/>
          </w:tcPr>
          <w:p w14:paraId="3D5BC6B4">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bl>
    <w:p w14:paraId="06463008">
      <w:pPr>
        <w:rPr>
          <w:highlight w:val="none"/>
        </w:rPr>
      </w:pPr>
      <w:r>
        <w:rPr>
          <w:highlight w:val="none"/>
        </w:rPr>
        <w:br w:type="page"/>
      </w:r>
    </w:p>
    <w:tbl>
      <w:tblPr>
        <w:tblStyle w:val="24"/>
        <w:tblW w:w="495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52"/>
        <w:gridCol w:w="1466"/>
        <w:gridCol w:w="1093"/>
        <w:gridCol w:w="5204"/>
        <w:gridCol w:w="3532"/>
        <w:gridCol w:w="1093"/>
        <w:gridCol w:w="1003"/>
        <w:gridCol w:w="976"/>
      </w:tblGrid>
      <w:tr w14:paraId="605C2A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jc w:val="center"/>
        </w:trPr>
        <w:tc>
          <w:tcPr>
            <w:tcW w:w="185" w:type="pct"/>
            <w:tcBorders>
              <w:top w:val="single" w:color="auto" w:sz="4" w:space="0"/>
              <w:left w:val="single" w:color="auto" w:sz="4" w:space="0"/>
              <w:bottom w:val="single" w:color="auto" w:sz="4" w:space="0"/>
              <w:right w:val="single" w:color="auto" w:sz="4" w:space="0"/>
            </w:tcBorders>
            <w:vAlign w:val="center"/>
          </w:tcPr>
          <w:p w14:paraId="7FEFB684">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tcBorders>
              <w:top w:val="single" w:color="auto" w:sz="4" w:space="0"/>
              <w:left w:val="single" w:color="auto" w:sz="4" w:space="0"/>
              <w:bottom w:val="single" w:color="auto" w:sz="4" w:space="0"/>
              <w:right w:val="single" w:color="auto" w:sz="4" w:space="0"/>
            </w:tcBorders>
            <w:vAlign w:val="center"/>
          </w:tcPr>
          <w:p w14:paraId="7DBFE9FC">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tcBorders>
              <w:top w:val="single" w:color="auto" w:sz="4" w:space="0"/>
              <w:left w:val="single" w:color="auto" w:sz="4" w:space="0"/>
              <w:bottom w:val="single" w:color="auto" w:sz="4" w:space="0"/>
              <w:right w:val="single" w:color="auto" w:sz="4" w:space="0"/>
            </w:tcBorders>
            <w:vAlign w:val="center"/>
          </w:tcPr>
          <w:p w14:paraId="18F6D1D1">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43" w:type="pct"/>
            <w:tcBorders>
              <w:top w:val="single" w:color="auto" w:sz="4" w:space="0"/>
              <w:left w:val="single" w:color="auto" w:sz="4" w:space="0"/>
              <w:bottom w:val="single" w:color="auto" w:sz="4" w:space="0"/>
              <w:right w:val="single" w:color="auto" w:sz="4" w:space="0"/>
            </w:tcBorders>
            <w:vAlign w:val="center"/>
          </w:tcPr>
          <w:p w14:paraId="7358C55A">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3" w:type="pct"/>
            <w:tcBorders>
              <w:top w:val="single" w:color="auto" w:sz="4" w:space="0"/>
              <w:left w:val="single" w:color="auto" w:sz="4" w:space="0"/>
              <w:bottom w:val="single" w:color="auto" w:sz="4" w:space="0"/>
              <w:right w:val="single" w:color="auto" w:sz="4" w:space="0"/>
            </w:tcBorders>
            <w:vAlign w:val="center"/>
          </w:tcPr>
          <w:p w14:paraId="572F12B8">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tcBorders>
              <w:top w:val="single" w:color="auto" w:sz="4" w:space="0"/>
              <w:left w:val="single" w:color="auto" w:sz="4" w:space="0"/>
              <w:bottom w:val="single" w:color="auto" w:sz="4" w:space="0"/>
              <w:right w:val="single" w:color="auto" w:sz="4" w:space="0"/>
            </w:tcBorders>
            <w:vAlign w:val="center"/>
          </w:tcPr>
          <w:p w14:paraId="2A7BC284">
            <w:pPr>
              <w:pStyle w:val="23"/>
              <w:keepNext w:val="0"/>
              <w:keepLines w:val="0"/>
              <w:suppressLineNumbers w:val="0"/>
              <w:spacing w:before="70" w:line="219" w:lineRule="auto"/>
              <w:ind w:left="170"/>
              <w:rPr>
                <w:highlight w:val="none"/>
              </w:rPr>
            </w:pPr>
            <w:r>
              <w:rPr>
                <w:b/>
                <w:bCs/>
                <w:spacing w:val="-3"/>
                <w:highlight w:val="none"/>
              </w:rPr>
              <w:t>评估情况</w:t>
            </w:r>
          </w:p>
        </w:tc>
        <w:tc>
          <w:tcPr>
            <w:tcW w:w="336" w:type="pct"/>
            <w:tcBorders>
              <w:top w:val="single" w:color="auto" w:sz="4" w:space="0"/>
              <w:left w:val="single" w:color="auto" w:sz="4" w:space="0"/>
              <w:bottom w:val="single" w:color="auto" w:sz="4" w:space="0"/>
              <w:right w:val="single" w:color="auto" w:sz="4" w:space="0"/>
            </w:tcBorders>
            <w:vAlign w:val="center"/>
          </w:tcPr>
          <w:p w14:paraId="4F9D1451">
            <w:pPr>
              <w:pStyle w:val="23"/>
              <w:keepNext w:val="0"/>
              <w:keepLines w:val="0"/>
              <w:suppressLineNumbers w:val="0"/>
              <w:spacing w:before="70" w:line="221" w:lineRule="auto"/>
              <w:ind w:left="316"/>
              <w:rPr>
                <w:highlight w:val="none"/>
              </w:rPr>
            </w:pPr>
            <w:r>
              <w:rPr>
                <w:b/>
                <w:bCs/>
                <w:spacing w:val="-4"/>
                <w:highlight w:val="none"/>
              </w:rPr>
              <w:t>扣分</w:t>
            </w:r>
          </w:p>
        </w:tc>
        <w:tc>
          <w:tcPr>
            <w:tcW w:w="327" w:type="pct"/>
            <w:tcBorders>
              <w:top w:val="single" w:color="auto" w:sz="4" w:space="0"/>
              <w:left w:val="single" w:color="auto" w:sz="4" w:space="0"/>
              <w:bottom w:val="single" w:color="auto" w:sz="4" w:space="0"/>
              <w:right w:val="single" w:color="auto" w:sz="4" w:space="0"/>
            </w:tcBorders>
            <w:vAlign w:val="center"/>
          </w:tcPr>
          <w:p w14:paraId="093A9E39">
            <w:pPr>
              <w:pStyle w:val="23"/>
              <w:keepNext w:val="0"/>
              <w:keepLines w:val="0"/>
              <w:suppressLineNumbers w:val="0"/>
              <w:spacing w:before="71" w:line="220" w:lineRule="auto"/>
              <w:ind w:left="295"/>
              <w:rPr>
                <w:highlight w:val="none"/>
              </w:rPr>
            </w:pPr>
            <w:r>
              <w:rPr>
                <w:b/>
                <w:bCs/>
                <w:spacing w:val="-4"/>
                <w:highlight w:val="none"/>
              </w:rPr>
              <w:t>得分</w:t>
            </w:r>
          </w:p>
        </w:tc>
      </w:tr>
      <w:tr w14:paraId="529F40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185" w:type="pct"/>
            <w:vMerge w:val="restart"/>
            <w:tcBorders>
              <w:top w:val="single" w:color="auto" w:sz="4" w:space="0"/>
              <w:left w:val="single" w:color="auto" w:sz="4" w:space="0"/>
              <w:right w:val="single" w:color="auto" w:sz="4" w:space="0"/>
            </w:tcBorders>
            <w:vAlign w:val="center"/>
          </w:tcPr>
          <w:p w14:paraId="75A8E657">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restart"/>
            <w:tcBorders>
              <w:top w:val="single" w:color="auto" w:sz="4" w:space="0"/>
              <w:left w:val="single" w:color="auto" w:sz="4" w:space="0"/>
              <w:right w:val="single" w:color="auto" w:sz="4" w:space="0"/>
            </w:tcBorders>
            <w:vAlign w:val="center"/>
          </w:tcPr>
          <w:p w14:paraId="6FE8D5C7">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restart"/>
            <w:tcBorders>
              <w:top w:val="single" w:color="auto" w:sz="4" w:space="0"/>
              <w:left w:val="single" w:color="auto" w:sz="4" w:space="0"/>
              <w:bottom w:val="single" w:color="auto" w:sz="4" w:space="0"/>
              <w:right w:val="single" w:color="auto" w:sz="4" w:space="0"/>
            </w:tcBorders>
            <w:vAlign w:val="center"/>
          </w:tcPr>
          <w:p w14:paraId="4D209C0D">
            <w:pPr>
              <w:pStyle w:val="23"/>
              <w:keepNext w:val="0"/>
              <w:keepLines w:val="0"/>
              <w:suppressLineNumbers w:val="0"/>
              <w:spacing w:before="58" w:line="311" w:lineRule="auto"/>
              <w:ind w:left="111" w:right="102" w:firstLine="2"/>
              <w:jc w:val="both"/>
              <w:rPr>
                <w:b w:val="0"/>
                <w:bCs w:val="0"/>
                <w:color w:val="auto"/>
                <w:highlight w:val="none"/>
              </w:rPr>
            </w:pPr>
            <w:r>
              <w:rPr>
                <w:b w:val="0"/>
                <w:bCs w:val="0"/>
                <w:color w:val="auto"/>
                <w:spacing w:val="-3"/>
                <w:highlight w:val="none"/>
              </w:rPr>
              <w:t>消防安全</w:t>
            </w:r>
            <w:r>
              <w:rPr>
                <w:b w:val="0"/>
                <w:bCs w:val="0"/>
                <w:color w:val="auto"/>
                <w:spacing w:val="-2"/>
                <w:highlight w:val="none"/>
              </w:rPr>
              <w:t>责任人履</w:t>
            </w:r>
            <w:r>
              <w:rPr>
                <w:b w:val="0"/>
                <w:bCs w:val="0"/>
                <w:color w:val="auto"/>
                <w:spacing w:val="5"/>
                <w:highlight w:val="none"/>
              </w:rPr>
              <w:t>职（8分）</w:t>
            </w:r>
          </w:p>
        </w:tc>
        <w:tc>
          <w:tcPr>
            <w:tcW w:w="1743" w:type="pct"/>
            <w:tcBorders>
              <w:top w:val="single" w:color="auto" w:sz="4" w:space="0"/>
              <w:left w:val="single" w:color="auto" w:sz="4" w:space="0"/>
              <w:bottom w:val="single" w:color="auto" w:sz="4" w:space="0"/>
              <w:right w:val="single" w:color="auto" w:sz="4" w:space="0"/>
            </w:tcBorders>
            <w:vAlign w:val="center"/>
          </w:tcPr>
          <w:p w14:paraId="56BC7425">
            <w:pPr>
              <w:pStyle w:val="23"/>
              <w:keepNext w:val="0"/>
              <w:keepLines w:val="0"/>
              <w:suppressLineNumbers w:val="0"/>
              <w:spacing w:before="68" w:line="282" w:lineRule="auto"/>
              <w:ind w:left="111" w:right="185"/>
              <w:rPr>
                <w:b w:val="0"/>
                <w:bCs w:val="0"/>
                <w:color w:val="auto"/>
                <w:highlight w:val="none"/>
              </w:rPr>
            </w:pPr>
            <w:r>
              <w:rPr>
                <w:b w:val="0"/>
                <w:bCs w:val="0"/>
                <w:color w:val="auto"/>
                <w:spacing w:val="-1"/>
                <w:highlight w:val="none"/>
              </w:rPr>
              <w:t>a)贯彻执行消防法规，保障单位消防安全符合规定，掌握</w:t>
            </w:r>
            <w:r>
              <w:rPr>
                <w:rFonts w:hint="eastAsia"/>
                <w:b w:val="0"/>
                <w:bCs w:val="0"/>
                <w:color w:val="auto"/>
                <w:spacing w:val="-4"/>
                <w:highlight w:val="none"/>
                <w:lang w:eastAsia="zh-CN"/>
              </w:rPr>
              <w:t>建筑或场所</w:t>
            </w:r>
            <w:r>
              <w:rPr>
                <w:b w:val="0"/>
                <w:bCs w:val="0"/>
                <w:color w:val="auto"/>
                <w:spacing w:val="-4"/>
                <w:highlight w:val="none"/>
              </w:rPr>
              <w:t>的消防安全情况；</w:t>
            </w:r>
          </w:p>
        </w:tc>
        <w:tc>
          <w:tcPr>
            <w:tcW w:w="1183" w:type="pct"/>
            <w:vMerge w:val="restart"/>
            <w:tcBorders>
              <w:top w:val="single" w:color="auto" w:sz="4" w:space="0"/>
              <w:left w:val="single" w:color="auto" w:sz="4" w:space="0"/>
              <w:bottom w:val="single" w:color="auto" w:sz="4" w:space="0"/>
              <w:right w:val="single" w:color="auto" w:sz="4" w:space="0"/>
            </w:tcBorders>
            <w:vAlign w:val="center"/>
          </w:tcPr>
          <w:p w14:paraId="7A081FD1">
            <w:pPr>
              <w:keepNext w:val="0"/>
              <w:keepLines w:val="0"/>
              <w:suppressLineNumbers w:val="0"/>
              <w:spacing w:before="0" w:beforeAutospacing="0" w:after="0" w:afterAutospacing="0" w:line="250" w:lineRule="auto"/>
              <w:ind w:left="0" w:right="0"/>
              <w:rPr>
                <w:rFonts w:hint="default" w:ascii="Arial"/>
                <w:b w:val="0"/>
                <w:bCs w:val="0"/>
                <w:color w:val="auto"/>
                <w:sz w:val="21"/>
                <w:highlight w:val="none"/>
              </w:rPr>
            </w:pPr>
          </w:p>
          <w:p w14:paraId="1DB384C9">
            <w:pPr>
              <w:keepNext w:val="0"/>
              <w:keepLines w:val="0"/>
              <w:suppressLineNumbers w:val="0"/>
              <w:spacing w:before="0" w:beforeAutospacing="0" w:after="0" w:afterAutospacing="0" w:line="250" w:lineRule="auto"/>
              <w:ind w:left="0" w:right="0"/>
              <w:rPr>
                <w:rFonts w:hint="default" w:ascii="Arial"/>
                <w:b w:val="0"/>
                <w:bCs w:val="0"/>
                <w:color w:val="auto"/>
                <w:sz w:val="21"/>
                <w:highlight w:val="none"/>
              </w:rPr>
            </w:pPr>
          </w:p>
          <w:p w14:paraId="39926767">
            <w:pPr>
              <w:keepNext w:val="0"/>
              <w:keepLines w:val="0"/>
              <w:suppressLineNumbers w:val="0"/>
              <w:spacing w:before="0" w:beforeAutospacing="0" w:after="0" w:afterAutospacing="0" w:line="250" w:lineRule="auto"/>
              <w:ind w:left="0" w:right="0"/>
              <w:rPr>
                <w:rFonts w:hint="default" w:ascii="Arial"/>
                <w:b w:val="0"/>
                <w:bCs w:val="0"/>
                <w:color w:val="auto"/>
                <w:sz w:val="21"/>
                <w:highlight w:val="none"/>
              </w:rPr>
            </w:pPr>
          </w:p>
          <w:p w14:paraId="1D54BF3A">
            <w:pPr>
              <w:keepNext w:val="0"/>
              <w:keepLines w:val="0"/>
              <w:suppressLineNumbers w:val="0"/>
              <w:spacing w:before="0" w:beforeAutospacing="0" w:after="0" w:afterAutospacing="0" w:line="250" w:lineRule="auto"/>
              <w:ind w:left="0" w:right="0"/>
              <w:rPr>
                <w:rFonts w:hint="default" w:ascii="Arial"/>
                <w:b w:val="0"/>
                <w:bCs w:val="0"/>
                <w:color w:val="auto"/>
                <w:sz w:val="21"/>
                <w:highlight w:val="none"/>
              </w:rPr>
            </w:pPr>
          </w:p>
          <w:p w14:paraId="0B036680">
            <w:pPr>
              <w:keepNext w:val="0"/>
              <w:keepLines w:val="0"/>
              <w:suppressLineNumbers w:val="0"/>
              <w:spacing w:before="0" w:beforeAutospacing="0" w:after="0" w:afterAutospacing="0" w:line="250" w:lineRule="auto"/>
              <w:ind w:left="0" w:right="0"/>
              <w:rPr>
                <w:rFonts w:hint="default" w:ascii="Arial"/>
                <w:b w:val="0"/>
                <w:bCs w:val="0"/>
                <w:color w:val="auto"/>
                <w:sz w:val="21"/>
                <w:highlight w:val="none"/>
              </w:rPr>
            </w:pPr>
          </w:p>
          <w:p w14:paraId="2B385ACC">
            <w:pPr>
              <w:keepNext w:val="0"/>
              <w:keepLines w:val="0"/>
              <w:suppressLineNumbers w:val="0"/>
              <w:spacing w:before="0" w:beforeAutospacing="0" w:after="0" w:afterAutospacing="0" w:line="250" w:lineRule="auto"/>
              <w:ind w:left="0" w:right="0"/>
              <w:rPr>
                <w:rFonts w:hint="default" w:ascii="Arial"/>
                <w:b w:val="0"/>
                <w:bCs w:val="0"/>
                <w:color w:val="auto"/>
                <w:sz w:val="21"/>
                <w:highlight w:val="none"/>
              </w:rPr>
            </w:pPr>
          </w:p>
          <w:p w14:paraId="3BEF0163">
            <w:pPr>
              <w:keepNext w:val="0"/>
              <w:keepLines w:val="0"/>
              <w:suppressLineNumbers w:val="0"/>
              <w:spacing w:before="0" w:beforeAutospacing="0" w:after="0" w:afterAutospacing="0" w:line="250" w:lineRule="auto"/>
              <w:ind w:left="0" w:right="0"/>
              <w:rPr>
                <w:rFonts w:hint="default" w:ascii="Arial"/>
                <w:b w:val="0"/>
                <w:bCs w:val="0"/>
                <w:color w:val="auto"/>
                <w:sz w:val="21"/>
                <w:highlight w:val="none"/>
              </w:rPr>
            </w:pPr>
          </w:p>
          <w:p w14:paraId="23FCA533">
            <w:pPr>
              <w:pStyle w:val="23"/>
              <w:keepNext w:val="0"/>
              <w:keepLines w:val="0"/>
              <w:suppressLineNumbers w:val="0"/>
              <w:spacing w:before="58" w:line="307" w:lineRule="auto"/>
              <w:ind w:left="111" w:right="194" w:hanging="2"/>
              <w:rPr>
                <w:b w:val="0"/>
                <w:bCs w:val="0"/>
                <w:color w:val="auto"/>
                <w:highlight w:val="none"/>
              </w:rPr>
            </w:pPr>
            <w:r>
              <w:rPr>
                <w:b w:val="0"/>
                <w:bCs w:val="0"/>
                <w:color w:val="auto"/>
                <w:spacing w:val="-3"/>
                <w:highlight w:val="none"/>
              </w:rPr>
              <w:t>每发现一处未履职项扣</w:t>
            </w:r>
            <w:r>
              <w:rPr>
                <w:b w:val="0"/>
                <w:bCs w:val="0"/>
                <w:color w:val="auto"/>
                <w:spacing w:val="-25"/>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分，最高扣</w:t>
            </w:r>
            <w:r>
              <w:rPr>
                <w:b w:val="0"/>
                <w:bCs w:val="0"/>
                <w:color w:val="auto"/>
                <w:spacing w:val="-37"/>
                <w:highlight w:val="none"/>
              </w:rPr>
              <w:t xml:space="preserve"> </w:t>
            </w:r>
            <w:r>
              <w:rPr>
                <w:b w:val="0"/>
                <w:bCs w:val="0"/>
                <w:color w:val="auto"/>
                <w:spacing w:val="-3"/>
                <w:highlight w:val="none"/>
              </w:rPr>
              <w:t>8</w:t>
            </w:r>
            <w:r>
              <w:rPr>
                <w:b w:val="0"/>
                <w:bCs w:val="0"/>
                <w:color w:val="auto"/>
                <w:highlight w:val="none"/>
              </w:rPr>
              <w:t xml:space="preserve"> </w:t>
            </w:r>
            <w:r>
              <w:rPr>
                <w:b w:val="0"/>
                <w:bCs w:val="0"/>
                <w:color w:val="auto"/>
                <w:spacing w:val="-9"/>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1AB01D88">
            <w:pPr>
              <w:keepNext w:val="0"/>
              <w:keepLines w:val="0"/>
              <w:suppressLineNumbers w:val="0"/>
              <w:spacing w:before="0" w:beforeAutospacing="0" w:after="0" w:afterAutospacing="0"/>
              <w:ind w:left="0" w:right="0"/>
              <w:jc w:val="center"/>
              <w:rPr>
                <w:rFonts w:hint="eastAsia" w:ascii="Arial" w:eastAsia="宋体"/>
                <w:b w:val="0"/>
                <w:bCs w:val="0"/>
                <w:color w:val="auto"/>
                <w:sz w:val="21"/>
                <w:highlight w:val="none"/>
                <w:lang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3951CD8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restart"/>
            <w:tcBorders>
              <w:top w:val="single" w:color="auto" w:sz="4" w:space="0"/>
              <w:left w:val="single" w:color="auto" w:sz="4" w:space="0"/>
              <w:bottom w:val="single" w:color="auto" w:sz="4" w:space="0"/>
              <w:right w:val="single" w:color="auto" w:sz="4" w:space="0"/>
            </w:tcBorders>
            <w:vAlign w:val="center"/>
          </w:tcPr>
          <w:p w14:paraId="2FA9F096">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0E066D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3EC9A957">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4F74FFD4">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415B197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097F5048">
            <w:pPr>
              <w:pStyle w:val="23"/>
              <w:keepNext w:val="0"/>
              <w:keepLines w:val="0"/>
              <w:suppressLineNumbers w:val="0"/>
              <w:spacing w:before="68" w:line="282" w:lineRule="auto"/>
              <w:ind w:left="115" w:right="185" w:hanging="7"/>
              <w:rPr>
                <w:b w:val="0"/>
                <w:bCs w:val="0"/>
                <w:color w:val="auto"/>
                <w:highlight w:val="none"/>
              </w:rPr>
            </w:pPr>
            <w:r>
              <w:rPr>
                <w:b w:val="0"/>
                <w:bCs w:val="0"/>
                <w:color w:val="auto"/>
                <w:spacing w:val="-1"/>
                <w:highlight w:val="none"/>
              </w:rPr>
              <w:t>b)将消防工作与</w:t>
            </w:r>
            <w:r>
              <w:rPr>
                <w:rFonts w:hint="eastAsia"/>
                <w:b w:val="0"/>
                <w:bCs w:val="0"/>
                <w:color w:val="auto"/>
                <w:spacing w:val="-1"/>
                <w:highlight w:val="none"/>
                <w:lang w:eastAsia="zh-CN"/>
              </w:rPr>
              <w:t>建筑或场所</w:t>
            </w:r>
            <w:r>
              <w:rPr>
                <w:b w:val="0"/>
                <w:bCs w:val="0"/>
                <w:color w:val="auto"/>
                <w:spacing w:val="-1"/>
                <w:highlight w:val="none"/>
              </w:rPr>
              <w:t>的生产、科研、经营、管理等活动统筹安排，批准实施年度消防工作计划；</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688E59F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31DA24DE">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7DA2842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2C93E339">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395F6F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0F2B88A3">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150C3BF2">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48D4BB8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1204BEAC">
            <w:pPr>
              <w:pStyle w:val="23"/>
              <w:keepNext w:val="0"/>
              <w:keepLines w:val="0"/>
              <w:suppressLineNumbers w:val="0"/>
              <w:spacing w:before="68" w:line="220" w:lineRule="auto"/>
              <w:ind w:left="114"/>
              <w:rPr>
                <w:b w:val="0"/>
                <w:bCs w:val="0"/>
                <w:color w:val="auto"/>
                <w:highlight w:val="none"/>
              </w:rPr>
            </w:pPr>
            <w:r>
              <w:rPr>
                <w:b w:val="0"/>
                <w:bCs w:val="0"/>
                <w:color w:val="auto"/>
                <w:spacing w:val="-1"/>
                <w:highlight w:val="none"/>
              </w:rPr>
              <w:t>c)为</w:t>
            </w:r>
            <w:r>
              <w:rPr>
                <w:rFonts w:hint="eastAsia"/>
                <w:b w:val="0"/>
                <w:bCs w:val="0"/>
                <w:color w:val="auto"/>
                <w:spacing w:val="-1"/>
                <w:highlight w:val="none"/>
                <w:lang w:eastAsia="zh-CN"/>
              </w:rPr>
              <w:t>建筑或场所</w:t>
            </w:r>
            <w:r>
              <w:rPr>
                <w:b w:val="0"/>
                <w:bCs w:val="0"/>
                <w:color w:val="auto"/>
                <w:spacing w:val="-1"/>
                <w:highlight w:val="none"/>
              </w:rPr>
              <w:t>的消防安全提供必要的经费和组织保障；</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7906EC5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30CC80D8">
            <w:pPr>
              <w:keepNext w:val="0"/>
              <w:keepLines w:val="0"/>
              <w:suppressLineNumbers w:val="0"/>
              <w:spacing w:before="0" w:beforeAutospacing="0" w:after="0" w:afterAutospacing="0"/>
              <w:ind w:left="0" w:right="0"/>
              <w:jc w:val="center"/>
              <w:rPr>
                <w:rFonts w:hint="eastAsia" w:ascii="Arial" w:eastAsia="宋体"/>
                <w:b w:val="0"/>
                <w:bCs w:val="0"/>
                <w:color w:val="auto"/>
                <w:sz w:val="21"/>
                <w:highlight w:val="none"/>
                <w:lang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7B2D51F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7C3AFAD6">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3B2394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2D178278">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6E5E27C7">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0BD91CD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4FB73D5F">
            <w:pPr>
              <w:pStyle w:val="23"/>
              <w:keepNext w:val="0"/>
              <w:keepLines w:val="0"/>
              <w:suppressLineNumbers w:val="0"/>
              <w:spacing w:before="71" w:line="282" w:lineRule="auto"/>
              <w:ind w:left="114" w:right="185"/>
              <w:rPr>
                <w:b w:val="0"/>
                <w:bCs w:val="0"/>
                <w:color w:val="auto"/>
                <w:highlight w:val="none"/>
              </w:rPr>
            </w:pPr>
            <w:r>
              <w:rPr>
                <w:b w:val="0"/>
                <w:bCs w:val="0"/>
                <w:color w:val="auto"/>
                <w:spacing w:val="-1"/>
                <w:highlight w:val="none"/>
              </w:rPr>
              <w:t>d)确定逐级消防安全责任，批准实施消防安全制度和保障</w:t>
            </w:r>
            <w:r>
              <w:rPr>
                <w:b w:val="0"/>
                <w:bCs w:val="0"/>
                <w:color w:val="auto"/>
                <w:spacing w:val="-2"/>
                <w:highlight w:val="none"/>
              </w:rPr>
              <w:t>消防安全的操作规程；</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599495C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2DAA6897">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53FDF54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6D565836">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12C755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777DD314">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3215BF89">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1C10084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4200819B">
            <w:pPr>
              <w:pStyle w:val="23"/>
              <w:keepNext w:val="0"/>
              <w:keepLines w:val="0"/>
              <w:suppressLineNumbers w:val="0"/>
              <w:spacing w:before="70" w:line="281" w:lineRule="auto"/>
              <w:ind w:left="114" w:right="185"/>
              <w:rPr>
                <w:b w:val="0"/>
                <w:bCs w:val="0"/>
                <w:color w:val="auto"/>
                <w:highlight w:val="none"/>
              </w:rPr>
            </w:pPr>
            <w:r>
              <w:rPr>
                <w:b w:val="0"/>
                <w:bCs w:val="0"/>
                <w:color w:val="auto"/>
                <w:spacing w:val="-1"/>
                <w:highlight w:val="none"/>
              </w:rPr>
              <w:t>e)组织防火检查，督促落实火灾隐患整改，及时处理涉及</w:t>
            </w:r>
            <w:r>
              <w:rPr>
                <w:b w:val="0"/>
                <w:bCs w:val="0"/>
                <w:color w:val="auto"/>
                <w:spacing w:val="-2"/>
                <w:highlight w:val="none"/>
              </w:rPr>
              <w:t>消防安全的重大问题；</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6E1A23D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7D9A8E7B">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109EA91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798DFCB4">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21345D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45AED0DD">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607460C8">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62AA8C6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14AAB7EF">
            <w:pPr>
              <w:pStyle w:val="23"/>
              <w:keepNext w:val="0"/>
              <w:keepLines w:val="0"/>
              <w:suppressLineNumbers w:val="0"/>
              <w:spacing w:before="70" w:line="281" w:lineRule="auto"/>
              <w:ind w:left="111" w:right="185"/>
              <w:rPr>
                <w:b w:val="0"/>
                <w:bCs w:val="0"/>
                <w:color w:val="auto"/>
                <w:highlight w:val="none"/>
              </w:rPr>
            </w:pPr>
            <w:r>
              <w:rPr>
                <w:b w:val="0"/>
                <w:bCs w:val="0"/>
                <w:color w:val="auto"/>
                <w:spacing w:val="-1"/>
                <w:highlight w:val="none"/>
              </w:rPr>
              <w:t>f)根据消防法规的规定组织管理专职消防队、志愿消防队；</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0E23A97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7A2E9256">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0F27477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4B26E1E7">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04972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6ED2D6D0">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2A309AC4">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3DAFB07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2753F60B">
            <w:pPr>
              <w:pStyle w:val="23"/>
              <w:keepNext w:val="0"/>
              <w:keepLines w:val="0"/>
              <w:suppressLineNumbers w:val="0"/>
              <w:spacing w:before="70" w:line="281" w:lineRule="auto"/>
              <w:ind w:left="110" w:right="185" w:firstLine="3"/>
              <w:rPr>
                <w:b w:val="0"/>
                <w:bCs w:val="0"/>
                <w:color w:val="auto"/>
                <w:highlight w:val="none"/>
              </w:rPr>
            </w:pPr>
            <w:r>
              <w:rPr>
                <w:b w:val="0"/>
                <w:bCs w:val="0"/>
                <w:color w:val="auto"/>
                <w:spacing w:val="-1"/>
                <w:highlight w:val="none"/>
              </w:rPr>
              <w:t>g)组织制定符合</w:t>
            </w:r>
            <w:r>
              <w:rPr>
                <w:rFonts w:hint="eastAsia"/>
                <w:b w:val="0"/>
                <w:bCs w:val="0"/>
                <w:color w:val="auto"/>
                <w:spacing w:val="-1"/>
                <w:highlight w:val="none"/>
                <w:lang w:eastAsia="zh-CN"/>
              </w:rPr>
              <w:t>建筑或场所</w:t>
            </w:r>
            <w:r>
              <w:rPr>
                <w:b w:val="0"/>
                <w:bCs w:val="0"/>
                <w:color w:val="auto"/>
                <w:spacing w:val="-1"/>
                <w:highlight w:val="none"/>
              </w:rPr>
              <w:t>实际的灭火和应急疏散预案，并实</w:t>
            </w:r>
            <w:r>
              <w:rPr>
                <w:b w:val="0"/>
                <w:bCs w:val="0"/>
                <w:color w:val="auto"/>
                <w:spacing w:val="-2"/>
                <w:highlight w:val="none"/>
              </w:rPr>
              <w:t>施演练；</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77A3992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7150C11E">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12F4273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465CBFD7">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348830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1B313F74">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7A42A0F7">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39AC41B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1B1B0D16">
            <w:pPr>
              <w:pStyle w:val="23"/>
              <w:keepNext w:val="0"/>
              <w:keepLines w:val="0"/>
              <w:suppressLineNumbers w:val="0"/>
              <w:spacing w:before="71" w:line="220" w:lineRule="auto"/>
              <w:ind w:left="108"/>
              <w:rPr>
                <w:b w:val="0"/>
                <w:bCs w:val="0"/>
                <w:color w:val="auto"/>
                <w:highlight w:val="none"/>
              </w:rPr>
            </w:pPr>
            <w:r>
              <w:rPr>
                <w:b w:val="0"/>
                <w:bCs w:val="0"/>
                <w:color w:val="auto"/>
                <w:spacing w:val="-1"/>
                <w:highlight w:val="none"/>
              </w:rPr>
              <w:t>h)建立健全全员消防安全责任制，并组织考核和奖惩。</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5A0F536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35A4D255">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03D9A5C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3BE77B15">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683FB7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7583545D">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77FD4049">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restart"/>
            <w:tcBorders>
              <w:top w:val="single" w:color="auto" w:sz="4" w:space="0"/>
              <w:left w:val="single" w:color="auto" w:sz="4" w:space="0"/>
              <w:bottom w:val="single" w:color="auto" w:sz="4" w:space="0"/>
              <w:right w:val="single" w:color="auto" w:sz="4" w:space="0"/>
            </w:tcBorders>
            <w:vAlign w:val="center"/>
          </w:tcPr>
          <w:p w14:paraId="66C7C150">
            <w:pPr>
              <w:pStyle w:val="23"/>
              <w:keepNext w:val="0"/>
              <w:keepLines w:val="0"/>
              <w:suppressLineNumbers w:val="0"/>
              <w:spacing w:before="234" w:line="311" w:lineRule="auto"/>
              <w:ind w:left="111" w:right="102" w:firstLine="2"/>
              <w:jc w:val="both"/>
              <w:rPr>
                <w:b w:val="0"/>
                <w:bCs w:val="0"/>
                <w:color w:val="auto"/>
                <w:highlight w:val="none"/>
              </w:rPr>
            </w:pPr>
            <w:r>
              <w:rPr>
                <w:b w:val="0"/>
                <w:bCs w:val="0"/>
                <w:color w:val="auto"/>
                <w:spacing w:val="-3"/>
                <w:highlight w:val="none"/>
              </w:rPr>
              <w:t>消防安全</w:t>
            </w:r>
            <w:r>
              <w:rPr>
                <w:b w:val="0"/>
                <w:bCs w:val="0"/>
                <w:color w:val="auto"/>
                <w:spacing w:val="-2"/>
                <w:highlight w:val="none"/>
              </w:rPr>
              <w:t>管理</w:t>
            </w:r>
            <w:r>
              <w:rPr>
                <w:rFonts w:hint="eastAsia"/>
                <w:b w:val="0"/>
                <w:bCs w:val="0"/>
                <w:color w:val="auto"/>
                <w:spacing w:val="-2"/>
                <w:highlight w:val="none"/>
                <w:lang w:eastAsia="zh-CN"/>
              </w:rPr>
              <w:t>人员</w:t>
            </w:r>
            <w:r>
              <w:rPr>
                <w:b w:val="0"/>
                <w:bCs w:val="0"/>
                <w:color w:val="auto"/>
                <w:spacing w:val="-2"/>
                <w:highlight w:val="none"/>
              </w:rPr>
              <w:t>履</w:t>
            </w:r>
            <w:r>
              <w:rPr>
                <w:b w:val="0"/>
                <w:bCs w:val="0"/>
                <w:color w:val="auto"/>
                <w:spacing w:val="5"/>
                <w:highlight w:val="none"/>
              </w:rPr>
              <w:t>职（8分）</w:t>
            </w:r>
          </w:p>
        </w:tc>
        <w:tc>
          <w:tcPr>
            <w:tcW w:w="1743" w:type="pct"/>
            <w:tcBorders>
              <w:top w:val="single" w:color="auto" w:sz="4" w:space="0"/>
              <w:left w:val="single" w:color="auto" w:sz="4" w:space="0"/>
              <w:bottom w:val="single" w:color="auto" w:sz="4" w:space="0"/>
              <w:right w:val="single" w:color="auto" w:sz="4" w:space="0"/>
            </w:tcBorders>
            <w:vAlign w:val="center"/>
          </w:tcPr>
          <w:p w14:paraId="0A97EF81">
            <w:pPr>
              <w:pStyle w:val="23"/>
              <w:keepNext w:val="0"/>
              <w:keepLines w:val="0"/>
              <w:suppressLineNumbers w:val="0"/>
              <w:spacing w:before="70" w:line="281" w:lineRule="auto"/>
              <w:ind w:left="111" w:right="185"/>
              <w:rPr>
                <w:b w:val="0"/>
                <w:bCs w:val="0"/>
                <w:color w:val="auto"/>
                <w:highlight w:val="none"/>
              </w:rPr>
            </w:pPr>
            <w:r>
              <w:rPr>
                <w:b w:val="0"/>
                <w:bCs w:val="0"/>
                <w:color w:val="auto"/>
                <w:spacing w:val="-1"/>
                <w:highlight w:val="none"/>
              </w:rPr>
              <w:t>a)拟订年度消防工作计划，组织实施日常消防安全管理工</w:t>
            </w:r>
            <w:r>
              <w:rPr>
                <w:b w:val="0"/>
                <w:bCs w:val="0"/>
                <w:color w:val="auto"/>
                <w:spacing w:val="-4"/>
                <w:highlight w:val="none"/>
              </w:rPr>
              <w:t>作；</w:t>
            </w:r>
          </w:p>
        </w:tc>
        <w:tc>
          <w:tcPr>
            <w:tcW w:w="1183" w:type="pct"/>
            <w:vMerge w:val="restart"/>
            <w:tcBorders>
              <w:top w:val="single" w:color="auto" w:sz="4" w:space="0"/>
              <w:left w:val="single" w:color="auto" w:sz="4" w:space="0"/>
              <w:bottom w:val="single" w:color="auto" w:sz="4" w:space="0"/>
              <w:right w:val="single" w:color="auto" w:sz="4" w:space="0"/>
            </w:tcBorders>
            <w:vAlign w:val="center"/>
          </w:tcPr>
          <w:p w14:paraId="12906A8E">
            <w:pPr>
              <w:keepNext w:val="0"/>
              <w:keepLines w:val="0"/>
              <w:suppressLineNumbers w:val="0"/>
              <w:spacing w:before="0" w:beforeAutospacing="0" w:after="0" w:afterAutospacing="0" w:line="329" w:lineRule="auto"/>
              <w:ind w:left="0" w:right="0"/>
              <w:rPr>
                <w:rFonts w:hint="default" w:ascii="Arial"/>
                <w:b w:val="0"/>
                <w:bCs w:val="0"/>
                <w:color w:val="auto"/>
                <w:sz w:val="21"/>
                <w:highlight w:val="none"/>
              </w:rPr>
            </w:pPr>
          </w:p>
          <w:p w14:paraId="72B35A5F">
            <w:pPr>
              <w:pStyle w:val="23"/>
              <w:keepNext w:val="0"/>
              <w:keepLines w:val="0"/>
              <w:suppressLineNumbers w:val="0"/>
              <w:spacing w:before="58" w:line="307" w:lineRule="auto"/>
              <w:ind w:left="111" w:right="194" w:hanging="2"/>
              <w:rPr>
                <w:b w:val="0"/>
                <w:bCs w:val="0"/>
                <w:color w:val="auto"/>
                <w:highlight w:val="none"/>
              </w:rPr>
            </w:pPr>
            <w:r>
              <w:rPr>
                <w:b w:val="0"/>
                <w:bCs w:val="0"/>
                <w:color w:val="auto"/>
                <w:spacing w:val="-3"/>
                <w:highlight w:val="none"/>
              </w:rPr>
              <w:t>每发现一处未履职项扣</w:t>
            </w:r>
            <w:r>
              <w:rPr>
                <w:b w:val="0"/>
                <w:bCs w:val="0"/>
                <w:color w:val="auto"/>
                <w:spacing w:val="-25"/>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分，最高扣</w:t>
            </w:r>
            <w:r>
              <w:rPr>
                <w:b w:val="0"/>
                <w:bCs w:val="0"/>
                <w:color w:val="auto"/>
                <w:spacing w:val="-37"/>
                <w:highlight w:val="none"/>
              </w:rPr>
              <w:t xml:space="preserve"> </w:t>
            </w:r>
            <w:r>
              <w:rPr>
                <w:b w:val="0"/>
                <w:bCs w:val="0"/>
                <w:color w:val="auto"/>
                <w:spacing w:val="-3"/>
                <w:highlight w:val="none"/>
              </w:rPr>
              <w:t>8</w:t>
            </w:r>
            <w:r>
              <w:rPr>
                <w:b w:val="0"/>
                <w:bCs w:val="0"/>
                <w:color w:val="auto"/>
                <w:highlight w:val="none"/>
              </w:rPr>
              <w:t xml:space="preserve"> </w:t>
            </w:r>
            <w:r>
              <w:rPr>
                <w:b w:val="0"/>
                <w:bCs w:val="0"/>
                <w:color w:val="auto"/>
                <w:spacing w:val="-9"/>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279E06EB">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4882F3D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restart"/>
            <w:tcBorders>
              <w:top w:val="single" w:color="auto" w:sz="4" w:space="0"/>
              <w:left w:val="single" w:color="auto" w:sz="4" w:space="0"/>
              <w:bottom w:val="single" w:color="auto" w:sz="4" w:space="0"/>
              <w:right w:val="single" w:color="auto" w:sz="4" w:space="0"/>
            </w:tcBorders>
            <w:vAlign w:val="center"/>
          </w:tcPr>
          <w:p w14:paraId="27618649">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42544B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7AC48723">
            <w:pPr>
              <w:keepNext w:val="0"/>
              <w:keepLines w:val="0"/>
              <w:suppressLineNumbers w:val="0"/>
              <w:spacing w:before="0" w:beforeAutospacing="0" w:after="0" w:afterAutospacing="0"/>
              <w:ind w:left="0" w:right="0"/>
              <w:rPr>
                <w:rFonts w:hint="default" w:ascii="Arial"/>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663896C3">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76DAA2A7">
            <w:pPr>
              <w:keepNext w:val="0"/>
              <w:keepLines w:val="0"/>
              <w:suppressLineNumbers w:val="0"/>
              <w:spacing w:before="0" w:beforeAutospacing="0" w:after="0" w:afterAutospacing="0"/>
              <w:ind w:left="0" w:right="0"/>
              <w:rPr>
                <w:rFonts w:hint="default" w:ascii="Arial"/>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6355B0A9">
            <w:pPr>
              <w:pStyle w:val="23"/>
              <w:keepNext w:val="0"/>
              <w:keepLines w:val="0"/>
              <w:suppressLineNumbers w:val="0"/>
              <w:spacing w:before="74" w:line="283" w:lineRule="auto"/>
              <w:ind w:left="113" w:right="185" w:hanging="5"/>
              <w:rPr>
                <w:color w:val="auto"/>
                <w:highlight w:val="none"/>
              </w:rPr>
            </w:pPr>
            <w:r>
              <w:rPr>
                <w:b w:val="0"/>
                <w:bCs w:val="0"/>
                <w:color w:val="auto"/>
                <w:spacing w:val="-1"/>
                <w:highlight w:val="none"/>
              </w:rPr>
              <w:t>b)组织制订消防安全制度和保障消防安全的操作规程并检</w:t>
            </w:r>
            <w:r>
              <w:rPr>
                <w:b w:val="0"/>
                <w:bCs w:val="0"/>
                <w:color w:val="auto"/>
                <w:spacing w:val="-2"/>
                <w:highlight w:val="none"/>
              </w:rPr>
              <w:t>查督促其落实；</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643944F4">
            <w:pPr>
              <w:keepNext w:val="0"/>
              <w:keepLines w:val="0"/>
              <w:suppressLineNumbers w:val="0"/>
              <w:spacing w:before="0" w:beforeAutospacing="0" w:after="0" w:afterAutospacing="0"/>
              <w:ind w:left="0" w:right="0"/>
              <w:rPr>
                <w:rFonts w:hint="default" w:ascii="Arial"/>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35BA9F43">
            <w:pPr>
              <w:keepNext w:val="0"/>
              <w:keepLines w:val="0"/>
              <w:suppressLineNumbers w:val="0"/>
              <w:spacing w:before="0" w:beforeAutospacing="0" w:after="0" w:afterAutospacing="0"/>
              <w:ind w:left="0" w:right="0"/>
              <w:jc w:val="center"/>
              <w:rPr>
                <w:rFonts w:hint="default" w:ascii="Arial"/>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07C1A423">
            <w:pPr>
              <w:keepNext w:val="0"/>
              <w:keepLines w:val="0"/>
              <w:suppressLineNumbers w:val="0"/>
              <w:spacing w:before="0" w:beforeAutospacing="0" w:after="0" w:afterAutospacing="0"/>
              <w:ind w:left="0" w:right="0"/>
              <w:rPr>
                <w:rFonts w:hint="default" w:ascii="Arial"/>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7754DF73">
            <w:pPr>
              <w:keepNext w:val="0"/>
              <w:keepLines w:val="0"/>
              <w:suppressLineNumbers w:val="0"/>
              <w:spacing w:before="0" w:beforeAutospacing="0" w:after="0" w:afterAutospacing="0"/>
              <w:ind w:left="0" w:right="0"/>
              <w:rPr>
                <w:rFonts w:hint="default" w:ascii="Arial"/>
                <w:color w:val="auto"/>
                <w:sz w:val="21"/>
                <w:highlight w:val="none"/>
              </w:rPr>
            </w:pPr>
          </w:p>
        </w:tc>
      </w:tr>
      <w:tr w14:paraId="6374DF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6EC9429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1B9C408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033C43B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045C7ABD">
            <w:pPr>
              <w:pStyle w:val="23"/>
              <w:keepNext w:val="0"/>
              <w:keepLines w:val="0"/>
              <w:suppressLineNumbers w:val="0"/>
              <w:spacing w:before="68" w:line="220" w:lineRule="auto"/>
              <w:ind w:left="114"/>
              <w:rPr>
                <w:b w:val="0"/>
                <w:bCs w:val="0"/>
                <w:color w:val="auto"/>
                <w:highlight w:val="none"/>
              </w:rPr>
            </w:pPr>
            <w:r>
              <w:rPr>
                <w:b w:val="0"/>
                <w:bCs w:val="0"/>
                <w:color w:val="auto"/>
                <w:spacing w:val="-2"/>
                <w:highlight w:val="none"/>
              </w:rPr>
              <w:t>c)拟订消防安全工作的资金投入和组织保障方案；</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56604D7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4A9C8868">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6CE8ACB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restart"/>
            <w:tcBorders>
              <w:top w:val="single" w:color="auto" w:sz="4" w:space="0"/>
              <w:left w:val="single" w:color="auto" w:sz="4" w:space="0"/>
              <w:bottom w:val="single" w:color="auto" w:sz="4" w:space="0"/>
              <w:right w:val="single" w:color="auto" w:sz="4" w:space="0"/>
            </w:tcBorders>
            <w:vAlign w:val="center"/>
          </w:tcPr>
          <w:p w14:paraId="0CDA4232">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8F613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33D0803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7DD131B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4C0A47C2">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26EAF524">
            <w:pPr>
              <w:pStyle w:val="23"/>
              <w:keepNext w:val="0"/>
              <w:keepLines w:val="0"/>
              <w:suppressLineNumbers w:val="0"/>
              <w:spacing w:before="66" w:line="220" w:lineRule="auto"/>
              <w:ind w:left="114"/>
              <w:rPr>
                <w:b w:val="0"/>
                <w:bCs w:val="0"/>
                <w:color w:val="auto"/>
                <w:highlight w:val="none"/>
              </w:rPr>
            </w:pPr>
            <w:r>
              <w:rPr>
                <w:b w:val="0"/>
                <w:bCs w:val="0"/>
                <w:color w:val="auto"/>
                <w:spacing w:val="-1"/>
                <w:highlight w:val="none"/>
              </w:rPr>
              <w:t>d)组织实施防火检查和火灾隐患整改工作；</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36B4AD1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52FE0D74">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0FBD553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4E96B67D">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27F9E3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482B405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62D1522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27DA61D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1892ECCB">
            <w:pPr>
              <w:pStyle w:val="23"/>
              <w:keepNext w:val="0"/>
              <w:keepLines w:val="0"/>
              <w:suppressLineNumbers w:val="0"/>
              <w:spacing w:before="67" w:line="295" w:lineRule="auto"/>
              <w:ind w:left="119" w:right="185" w:hanging="4"/>
              <w:jc w:val="both"/>
              <w:rPr>
                <w:b w:val="0"/>
                <w:bCs w:val="0"/>
                <w:color w:val="auto"/>
                <w:highlight w:val="none"/>
              </w:rPr>
            </w:pPr>
            <w:r>
              <w:rPr>
                <w:b w:val="0"/>
                <w:bCs w:val="0"/>
                <w:color w:val="auto"/>
                <w:spacing w:val="-1"/>
                <w:highlight w:val="none"/>
              </w:rPr>
              <w:t>e)组织实施对</w:t>
            </w:r>
            <w:r>
              <w:rPr>
                <w:rFonts w:hint="eastAsia"/>
                <w:b w:val="0"/>
                <w:bCs w:val="0"/>
                <w:color w:val="auto"/>
                <w:spacing w:val="-1"/>
                <w:highlight w:val="none"/>
                <w:lang w:eastAsia="zh-CN"/>
              </w:rPr>
              <w:t>建筑或场所</w:t>
            </w:r>
            <w:r>
              <w:rPr>
                <w:b w:val="0"/>
                <w:bCs w:val="0"/>
                <w:color w:val="auto"/>
                <w:spacing w:val="-1"/>
                <w:highlight w:val="none"/>
              </w:rPr>
              <w:t>消防设施、灭火器材和消防安全标志的维护保养，确保其完好有效，确保疏散通道和安全出口</w:t>
            </w:r>
            <w:r>
              <w:rPr>
                <w:b w:val="0"/>
                <w:bCs w:val="0"/>
                <w:color w:val="auto"/>
                <w:spacing w:val="-13"/>
                <w:highlight w:val="none"/>
              </w:rPr>
              <w:t>畅通；</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51F2E96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3E89B3FE">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7700E0E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3751EF52">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36730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0B1B43C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0DBD0F7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00416E6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131D3C2E">
            <w:pPr>
              <w:pStyle w:val="23"/>
              <w:keepNext w:val="0"/>
              <w:keepLines w:val="0"/>
              <w:suppressLineNumbers w:val="0"/>
              <w:spacing w:before="67" w:line="220" w:lineRule="auto"/>
              <w:ind w:left="113"/>
              <w:rPr>
                <w:b w:val="0"/>
                <w:bCs w:val="0"/>
                <w:color w:val="auto"/>
                <w:highlight w:val="none"/>
              </w:rPr>
            </w:pPr>
            <w:r>
              <w:rPr>
                <w:b w:val="0"/>
                <w:bCs w:val="0"/>
                <w:color w:val="auto"/>
                <w:spacing w:val="-1"/>
                <w:highlight w:val="none"/>
              </w:rPr>
              <w:t>f)组织管理专职消防队和志愿消防队；</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681BCD8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06A8FD3B">
            <w:pPr>
              <w:keepNext w:val="0"/>
              <w:keepLines w:val="0"/>
              <w:suppressLineNumbers w:val="0"/>
              <w:spacing w:before="0" w:beforeAutospacing="0" w:after="0" w:afterAutospacing="0"/>
              <w:ind w:left="0" w:right="0" w:firstLine="638" w:firstLineChars="0"/>
              <w:jc w:val="both"/>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49C5DF9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581DDC48">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E05EC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6FF232C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3C1EC02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7CA4325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1F274576">
            <w:pPr>
              <w:pStyle w:val="23"/>
              <w:keepNext w:val="0"/>
              <w:keepLines w:val="0"/>
              <w:suppressLineNumbers w:val="0"/>
              <w:spacing w:before="68" w:line="282" w:lineRule="auto"/>
              <w:ind w:left="113" w:right="223"/>
              <w:rPr>
                <w:b w:val="0"/>
                <w:bCs w:val="0"/>
                <w:color w:val="auto"/>
                <w:highlight w:val="none"/>
              </w:rPr>
            </w:pPr>
            <w:r>
              <w:rPr>
                <w:b w:val="0"/>
                <w:bCs w:val="0"/>
                <w:color w:val="auto"/>
                <w:spacing w:val="-2"/>
                <w:highlight w:val="none"/>
              </w:rPr>
              <w:t>g)在员工中组织开展消防知识、技能的宣传教育和培</w:t>
            </w:r>
            <w:r>
              <w:rPr>
                <w:b w:val="0"/>
                <w:bCs w:val="0"/>
                <w:color w:val="auto"/>
                <w:spacing w:val="-3"/>
                <w:highlight w:val="none"/>
              </w:rPr>
              <w:t>训，</w:t>
            </w:r>
            <w:r>
              <w:rPr>
                <w:b w:val="0"/>
                <w:bCs w:val="0"/>
                <w:color w:val="auto"/>
                <w:spacing w:val="-1"/>
                <w:highlight w:val="none"/>
              </w:rPr>
              <w:t>组织灭火和应急疏散预案的实施和演练；</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5A91986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644AE447">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tcBorders>
              <w:top w:val="single" w:color="auto" w:sz="4" w:space="0"/>
              <w:left w:val="single" w:color="auto" w:sz="4" w:space="0"/>
              <w:bottom w:val="single" w:color="auto" w:sz="4" w:space="0"/>
              <w:right w:val="single" w:color="auto" w:sz="4" w:space="0"/>
            </w:tcBorders>
            <w:vAlign w:val="center"/>
          </w:tcPr>
          <w:p w14:paraId="3A6A3E1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715B0123">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3E627D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jc w:val="center"/>
        </w:trPr>
        <w:tc>
          <w:tcPr>
            <w:tcW w:w="185" w:type="pct"/>
            <w:vMerge w:val="continue"/>
            <w:tcBorders>
              <w:top w:val="single" w:color="auto" w:sz="4" w:space="0"/>
              <w:left w:val="single" w:color="auto" w:sz="4" w:space="0"/>
              <w:bottom w:val="single" w:color="auto" w:sz="4" w:space="0"/>
              <w:right w:val="single" w:color="auto" w:sz="4" w:space="0"/>
            </w:tcBorders>
            <w:vAlign w:val="center"/>
          </w:tcPr>
          <w:p w14:paraId="7D7DC86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4777B2D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single" w:color="auto" w:sz="4" w:space="0"/>
              <w:left w:val="single" w:color="auto" w:sz="4" w:space="0"/>
              <w:bottom w:val="single" w:color="auto" w:sz="4" w:space="0"/>
              <w:right w:val="single" w:color="auto" w:sz="4" w:space="0"/>
            </w:tcBorders>
            <w:vAlign w:val="center"/>
          </w:tcPr>
          <w:p w14:paraId="3B14F8B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43" w:type="pct"/>
            <w:tcBorders>
              <w:top w:val="single" w:color="auto" w:sz="4" w:space="0"/>
              <w:left w:val="single" w:color="auto" w:sz="4" w:space="0"/>
              <w:bottom w:val="single" w:color="auto" w:sz="4" w:space="0"/>
              <w:right w:val="single" w:color="auto" w:sz="4" w:space="0"/>
            </w:tcBorders>
            <w:vAlign w:val="center"/>
          </w:tcPr>
          <w:p w14:paraId="16788F32">
            <w:pPr>
              <w:pStyle w:val="23"/>
              <w:keepNext w:val="0"/>
              <w:keepLines w:val="0"/>
              <w:suppressLineNumbers w:val="0"/>
              <w:spacing w:before="113" w:line="220" w:lineRule="auto"/>
              <w:ind w:left="108"/>
              <w:rPr>
                <w:b w:val="0"/>
                <w:bCs w:val="0"/>
                <w:color w:val="auto"/>
                <w:highlight w:val="none"/>
              </w:rPr>
            </w:pPr>
            <w:r>
              <w:rPr>
                <w:b w:val="0"/>
                <w:bCs w:val="0"/>
                <w:color w:val="auto"/>
                <w:spacing w:val="-1"/>
                <w:highlight w:val="none"/>
              </w:rPr>
              <w:t>h)单位消防安全责任人委托的其他消防安全管理工</w:t>
            </w:r>
            <w:r>
              <w:rPr>
                <w:b w:val="0"/>
                <w:bCs w:val="0"/>
                <w:color w:val="auto"/>
                <w:spacing w:val="-2"/>
                <w:highlight w:val="none"/>
              </w:rPr>
              <w:t>作。</w:t>
            </w:r>
          </w:p>
        </w:tc>
        <w:tc>
          <w:tcPr>
            <w:tcW w:w="1183" w:type="pct"/>
            <w:vMerge w:val="continue"/>
            <w:tcBorders>
              <w:top w:val="single" w:color="auto" w:sz="4" w:space="0"/>
              <w:left w:val="single" w:color="auto" w:sz="4" w:space="0"/>
              <w:bottom w:val="single" w:color="auto" w:sz="4" w:space="0"/>
              <w:right w:val="single" w:color="auto" w:sz="4" w:space="0"/>
            </w:tcBorders>
            <w:vAlign w:val="center"/>
          </w:tcPr>
          <w:p w14:paraId="71EEC53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5CD32DBD">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tcBorders>
              <w:top w:val="single" w:color="auto" w:sz="4" w:space="0"/>
              <w:left w:val="single" w:color="auto" w:sz="4" w:space="0"/>
              <w:bottom w:val="single" w:color="auto" w:sz="4" w:space="0"/>
              <w:right w:val="single" w:color="auto" w:sz="4" w:space="0"/>
            </w:tcBorders>
            <w:vAlign w:val="center"/>
          </w:tcPr>
          <w:p w14:paraId="60DD96A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7" w:type="pct"/>
            <w:vMerge w:val="continue"/>
            <w:tcBorders>
              <w:top w:val="single" w:color="auto" w:sz="4" w:space="0"/>
              <w:left w:val="single" w:color="auto" w:sz="4" w:space="0"/>
              <w:bottom w:val="single" w:color="auto" w:sz="4" w:space="0"/>
              <w:right w:val="single" w:color="auto" w:sz="4" w:space="0"/>
            </w:tcBorders>
            <w:vAlign w:val="center"/>
          </w:tcPr>
          <w:p w14:paraId="19EF5DE6">
            <w:pPr>
              <w:keepNext w:val="0"/>
              <w:keepLines w:val="0"/>
              <w:suppressLineNumbers w:val="0"/>
              <w:spacing w:before="0" w:beforeAutospacing="0" w:after="0" w:afterAutospacing="0"/>
              <w:ind w:left="0" w:right="0"/>
              <w:rPr>
                <w:rFonts w:hint="default" w:ascii="Arial"/>
                <w:b w:val="0"/>
                <w:bCs w:val="0"/>
                <w:color w:val="auto"/>
                <w:sz w:val="21"/>
                <w:highlight w:val="none"/>
              </w:rPr>
            </w:pPr>
          </w:p>
        </w:tc>
      </w:tr>
    </w:tbl>
    <w:p w14:paraId="73545B93">
      <w:pPr>
        <w:rPr>
          <w:highlight w:val="none"/>
        </w:rPr>
      </w:pPr>
      <w:r>
        <w:rPr>
          <w:highlight w:val="none"/>
        </w:rPr>
        <w:br w:type="page"/>
      </w:r>
    </w:p>
    <w:tbl>
      <w:tblPr>
        <w:tblStyle w:val="24"/>
        <w:tblW w:w="494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1"/>
        <w:gridCol w:w="1464"/>
        <w:gridCol w:w="1094"/>
        <w:gridCol w:w="5169"/>
        <w:gridCol w:w="3518"/>
        <w:gridCol w:w="1094"/>
        <w:gridCol w:w="1002"/>
        <w:gridCol w:w="978"/>
      </w:tblGrid>
      <w:tr w14:paraId="1E36F1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jc w:val="center"/>
        </w:trPr>
        <w:tc>
          <w:tcPr>
            <w:tcW w:w="192" w:type="pct"/>
            <w:tcBorders>
              <w:top w:val="single" w:color="auto" w:sz="4" w:space="0"/>
              <w:left w:val="single" w:color="auto" w:sz="4" w:space="0"/>
              <w:bottom w:val="single" w:color="auto" w:sz="4" w:space="0"/>
              <w:right w:val="single" w:color="auto" w:sz="4" w:space="0"/>
            </w:tcBorders>
            <w:vAlign w:val="center"/>
          </w:tcPr>
          <w:p w14:paraId="6A06BEF2">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tcBorders>
              <w:top w:val="single" w:color="auto" w:sz="4" w:space="0"/>
              <w:left w:val="single" w:color="auto" w:sz="4" w:space="0"/>
              <w:bottom w:val="single" w:color="auto" w:sz="4" w:space="0"/>
              <w:right w:val="single" w:color="auto" w:sz="4" w:space="0"/>
            </w:tcBorders>
            <w:vAlign w:val="center"/>
          </w:tcPr>
          <w:p w14:paraId="644E3102">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tcBorders>
              <w:left w:val="single" w:color="auto" w:sz="4" w:space="0"/>
            </w:tcBorders>
            <w:vAlign w:val="center"/>
          </w:tcPr>
          <w:p w14:paraId="583E1257">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4" w:type="pct"/>
            <w:vAlign w:val="center"/>
          </w:tcPr>
          <w:p w14:paraId="6BF8FD9B">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0" w:type="pct"/>
            <w:vAlign w:val="center"/>
          </w:tcPr>
          <w:p w14:paraId="08491C12">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6D07EA16">
            <w:pPr>
              <w:pStyle w:val="23"/>
              <w:keepNext w:val="0"/>
              <w:keepLines w:val="0"/>
              <w:suppressLineNumbers w:val="0"/>
              <w:spacing w:before="70" w:line="219" w:lineRule="auto"/>
              <w:ind w:left="170"/>
              <w:rPr>
                <w:highlight w:val="none"/>
              </w:rPr>
            </w:pPr>
            <w:r>
              <w:rPr>
                <w:b/>
                <w:bCs/>
                <w:spacing w:val="-3"/>
                <w:highlight w:val="none"/>
              </w:rPr>
              <w:t>评估情况</w:t>
            </w:r>
          </w:p>
        </w:tc>
        <w:tc>
          <w:tcPr>
            <w:tcW w:w="336" w:type="pct"/>
            <w:vAlign w:val="center"/>
          </w:tcPr>
          <w:p w14:paraId="439F187F">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18FB9152">
            <w:pPr>
              <w:pStyle w:val="23"/>
              <w:keepNext w:val="0"/>
              <w:keepLines w:val="0"/>
              <w:suppressLineNumbers w:val="0"/>
              <w:spacing w:before="71" w:line="220" w:lineRule="auto"/>
              <w:ind w:left="295"/>
              <w:rPr>
                <w:highlight w:val="none"/>
              </w:rPr>
            </w:pPr>
            <w:r>
              <w:rPr>
                <w:b/>
                <w:bCs/>
                <w:spacing w:val="-4"/>
                <w:highlight w:val="none"/>
              </w:rPr>
              <w:t>得分</w:t>
            </w:r>
          </w:p>
        </w:tc>
      </w:tr>
      <w:tr w14:paraId="0CF9A0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7" w:hRule="atLeast"/>
          <w:jc w:val="center"/>
        </w:trPr>
        <w:tc>
          <w:tcPr>
            <w:tcW w:w="192" w:type="pct"/>
            <w:vMerge w:val="restart"/>
            <w:tcBorders>
              <w:top w:val="single" w:color="auto" w:sz="4" w:space="0"/>
              <w:left w:val="single" w:color="auto" w:sz="4" w:space="0"/>
              <w:bottom w:val="single" w:color="auto" w:sz="4" w:space="0"/>
              <w:right w:val="single" w:color="auto" w:sz="4" w:space="0"/>
            </w:tcBorders>
            <w:vAlign w:val="center"/>
          </w:tcPr>
          <w:p w14:paraId="356887D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restart"/>
            <w:tcBorders>
              <w:top w:val="single" w:color="auto" w:sz="4" w:space="0"/>
              <w:left w:val="single" w:color="auto" w:sz="4" w:space="0"/>
              <w:bottom w:val="single" w:color="auto" w:sz="4" w:space="0"/>
              <w:right w:val="single" w:color="auto" w:sz="4" w:space="0"/>
            </w:tcBorders>
            <w:vAlign w:val="center"/>
          </w:tcPr>
          <w:p w14:paraId="01A4419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restart"/>
            <w:tcBorders>
              <w:left w:val="single" w:color="auto" w:sz="4" w:space="0"/>
              <w:bottom w:val="nil"/>
            </w:tcBorders>
            <w:vAlign w:val="center"/>
          </w:tcPr>
          <w:p w14:paraId="50BBDF8E">
            <w:pPr>
              <w:pStyle w:val="23"/>
              <w:keepNext w:val="0"/>
              <w:keepLines w:val="0"/>
              <w:suppressLineNumbers w:val="0"/>
              <w:spacing w:before="59" w:line="313" w:lineRule="auto"/>
              <w:ind w:left="113" w:right="225" w:firstLine="1"/>
              <w:jc w:val="both"/>
              <w:rPr>
                <w:b w:val="0"/>
                <w:bCs w:val="0"/>
                <w:color w:val="auto"/>
                <w:highlight w:val="none"/>
              </w:rPr>
            </w:pPr>
            <w:r>
              <w:rPr>
                <w:b w:val="0"/>
                <w:bCs w:val="0"/>
                <w:color w:val="auto"/>
                <w:spacing w:val="-3"/>
                <w:highlight w:val="none"/>
              </w:rPr>
              <w:t>消防工作归口管理部门（10</w:t>
            </w:r>
            <w:r>
              <w:rPr>
                <w:b w:val="0"/>
                <w:bCs w:val="0"/>
                <w:color w:val="auto"/>
                <w:spacing w:val="2"/>
                <w:highlight w:val="none"/>
              </w:rPr>
              <w:t xml:space="preserve"> </w:t>
            </w:r>
            <w:r>
              <w:rPr>
                <w:b w:val="0"/>
                <w:bCs w:val="0"/>
                <w:color w:val="auto"/>
                <w:spacing w:val="-6"/>
                <w:highlight w:val="none"/>
              </w:rPr>
              <w:t>分）</w:t>
            </w:r>
          </w:p>
        </w:tc>
        <w:tc>
          <w:tcPr>
            <w:tcW w:w="1734" w:type="pct"/>
            <w:vAlign w:val="center"/>
          </w:tcPr>
          <w:p w14:paraId="24DB1741">
            <w:pPr>
              <w:pStyle w:val="23"/>
              <w:keepNext w:val="0"/>
              <w:keepLines w:val="0"/>
              <w:suppressLineNumbers w:val="0"/>
              <w:spacing w:before="58" w:line="220" w:lineRule="auto"/>
              <w:ind w:left="111"/>
              <w:rPr>
                <w:b w:val="0"/>
                <w:bCs w:val="0"/>
                <w:color w:val="auto"/>
                <w:highlight w:val="none"/>
              </w:rPr>
            </w:pPr>
            <w:r>
              <w:rPr>
                <w:b w:val="0"/>
                <w:bCs w:val="0"/>
                <w:color w:val="auto"/>
                <w:spacing w:val="-1"/>
                <w:highlight w:val="none"/>
              </w:rPr>
              <w:t>a)明确专职、兼职消防管理人员；</w:t>
            </w:r>
          </w:p>
        </w:tc>
        <w:tc>
          <w:tcPr>
            <w:tcW w:w="1180" w:type="pct"/>
            <w:vAlign w:val="center"/>
          </w:tcPr>
          <w:p w14:paraId="71DB447A">
            <w:pPr>
              <w:pStyle w:val="23"/>
              <w:keepNext w:val="0"/>
              <w:keepLines w:val="0"/>
              <w:suppressLineNumbers w:val="0"/>
              <w:spacing w:before="58" w:line="220" w:lineRule="auto"/>
              <w:ind w:left="0"/>
              <w:rPr>
                <w:b w:val="0"/>
                <w:bCs w:val="0"/>
                <w:color w:val="auto"/>
                <w:highlight w:val="none"/>
              </w:rPr>
            </w:pPr>
            <w:r>
              <w:rPr>
                <w:b w:val="0"/>
                <w:bCs w:val="0"/>
                <w:color w:val="auto"/>
                <w:highlight w:val="none"/>
              </w:rPr>
              <w:t>未明确专职、兼职消防管理人员的，扣</w:t>
            </w:r>
            <w:r>
              <w:rPr>
                <w:b w:val="0"/>
                <w:bCs w:val="0"/>
                <w:color w:val="auto"/>
                <w:spacing w:val="-10"/>
                <w:highlight w:val="none"/>
              </w:rPr>
              <w:t>5</w:t>
            </w:r>
            <w:r>
              <w:rPr>
                <w:b w:val="0"/>
                <w:bCs w:val="0"/>
                <w:color w:val="auto"/>
                <w:spacing w:val="-35"/>
                <w:highlight w:val="none"/>
              </w:rPr>
              <w:t xml:space="preserve"> </w:t>
            </w:r>
            <w:r>
              <w:rPr>
                <w:b w:val="0"/>
                <w:bCs w:val="0"/>
                <w:color w:val="auto"/>
                <w:spacing w:val="-10"/>
                <w:highlight w:val="none"/>
              </w:rPr>
              <w:t>分。</w:t>
            </w:r>
          </w:p>
        </w:tc>
        <w:tc>
          <w:tcPr>
            <w:tcW w:w="367" w:type="pct"/>
            <w:vAlign w:val="center"/>
          </w:tcPr>
          <w:p w14:paraId="4253B996">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vAlign w:val="center"/>
          </w:tcPr>
          <w:p w14:paraId="09B8C2D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restart"/>
            <w:tcBorders>
              <w:bottom w:val="nil"/>
            </w:tcBorders>
            <w:vAlign w:val="center"/>
          </w:tcPr>
          <w:p w14:paraId="41B80E40">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440734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8" w:hRule="atLeast"/>
          <w:jc w:val="center"/>
        </w:trPr>
        <w:tc>
          <w:tcPr>
            <w:tcW w:w="192" w:type="pct"/>
            <w:vMerge w:val="continue"/>
            <w:tcBorders>
              <w:top w:val="single" w:color="auto" w:sz="4" w:space="0"/>
              <w:left w:val="single" w:color="auto" w:sz="4" w:space="0"/>
              <w:bottom w:val="single" w:color="auto" w:sz="4" w:space="0"/>
            </w:tcBorders>
            <w:vAlign w:val="center"/>
          </w:tcPr>
          <w:p w14:paraId="6391BB6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bottom w:val="single" w:color="auto" w:sz="4" w:space="0"/>
              <w:right w:val="single" w:color="auto" w:sz="4" w:space="0"/>
            </w:tcBorders>
            <w:vAlign w:val="center"/>
          </w:tcPr>
          <w:p w14:paraId="1AF4DDB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continue"/>
            <w:tcBorders>
              <w:top w:val="nil"/>
              <w:left w:val="single" w:color="auto" w:sz="4" w:space="0"/>
            </w:tcBorders>
            <w:vAlign w:val="center"/>
          </w:tcPr>
          <w:p w14:paraId="2960FC3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4" w:type="pct"/>
            <w:vAlign w:val="center"/>
          </w:tcPr>
          <w:p w14:paraId="4ADA9C92">
            <w:pPr>
              <w:pStyle w:val="23"/>
              <w:keepNext w:val="0"/>
              <w:keepLines w:val="0"/>
              <w:suppressLineNumbers w:val="0"/>
              <w:spacing w:before="59" w:line="307" w:lineRule="auto"/>
              <w:ind w:left="111" w:right="185" w:hanging="3"/>
              <w:rPr>
                <w:b w:val="0"/>
                <w:bCs w:val="0"/>
                <w:color w:val="auto"/>
                <w:highlight w:val="none"/>
              </w:rPr>
            </w:pPr>
            <w:r>
              <w:rPr>
                <w:b w:val="0"/>
                <w:bCs w:val="0"/>
                <w:color w:val="auto"/>
                <w:spacing w:val="-1"/>
                <w:highlight w:val="none"/>
              </w:rPr>
              <w:t>b)消防工作归口管理部门和专职、兼职消防管理人员履行</w:t>
            </w:r>
            <w:r>
              <w:rPr>
                <w:b w:val="0"/>
                <w:bCs w:val="0"/>
                <w:color w:val="auto"/>
                <w:spacing w:val="-2"/>
                <w:highlight w:val="none"/>
              </w:rPr>
              <w:t>职责情况。</w:t>
            </w:r>
          </w:p>
        </w:tc>
        <w:tc>
          <w:tcPr>
            <w:tcW w:w="1180" w:type="pct"/>
            <w:vAlign w:val="center"/>
          </w:tcPr>
          <w:p w14:paraId="45350143">
            <w:pPr>
              <w:pStyle w:val="23"/>
              <w:keepNext w:val="0"/>
              <w:keepLines w:val="0"/>
              <w:suppressLineNumbers w:val="0"/>
              <w:spacing w:before="25" w:line="220" w:lineRule="auto"/>
              <w:ind w:left="110" w:right="0" w:firstLine="0"/>
              <w:rPr>
                <w:b w:val="0"/>
                <w:bCs w:val="0"/>
                <w:color w:val="auto"/>
                <w:highlight w:val="none"/>
              </w:rPr>
            </w:pPr>
            <w:r>
              <w:rPr>
                <w:b w:val="0"/>
                <w:bCs w:val="0"/>
                <w:color w:val="auto"/>
                <w:spacing w:val="-2"/>
                <w:highlight w:val="none"/>
              </w:rPr>
              <w:t>消防工作归口管理部门未履职的，扣</w:t>
            </w:r>
            <w:r>
              <w:rPr>
                <w:b w:val="0"/>
                <w:bCs w:val="0"/>
                <w:color w:val="auto"/>
                <w:spacing w:val="-24"/>
                <w:highlight w:val="none"/>
              </w:rPr>
              <w:t xml:space="preserve"> </w:t>
            </w:r>
            <w:r>
              <w:rPr>
                <w:b w:val="0"/>
                <w:bCs w:val="0"/>
                <w:color w:val="auto"/>
                <w:spacing w:val="-2"/>
                <w:highlight w:val="none"/>
              </w:rPr>
              <w:t>2</w:t>
            </w:r>
            <w:r>
              <w:rPr>
                <w:b w:val="0"/>
                <w:bCs w:val="0"/>
                <w:color w:val="auto"/>
                <w:highlight w:val="none"/>
              </w:rPr>
              <w:t xml:space="preserve"> </w:t>
            </w:r>
            <w:r>
              <w:rPr>
                <w:b w:val="0"/>
                <w:bCs w:val="0"/>
                <w:color w:val="auto"/>
                <w:spacing w:val="-5"/>
                <w:highlight w:val="none"/>
              </w:rPr>
              <w:t>分；</w:t>
            </w:r>
          </w:p>
          <w:p w14:paraId="200A470E">
            <w:pPr>
              <w:pStyle w:val="23"/>
              <w:keepNext w:val="0"/>
              <w:keepLines w:val="0"/>
              <w:suppressLineNumbers w:val="0"/>
              <w:spacing w:before="25" w:line="220" w:lineRule="auto"/>
              <w:ind w:left="110"/>
              <w:rPr>
                <w:b w:val="0"/>
                <w:bCs w:val="0"/>
                <w:color w:val="auto"/>
                <w:highlight w:val="none"/>
              </w:rPr>
            </w:pPr>
            <w:r>
              <w:rPr>
                <w:b w:val="0"/>
                <w:bCs w:val="0"/>
                <w:color w:val="auto"/>
                <w:highlight w:val="none"/>
              </w:rPr>
              <w:t>专职、兼职消防管理人员未履职的，扣</w:t>
            </w:r>
            <w:r>
              <w:rPr>
                <w:b w:val="0"/>
                <w:bCs w:val="0"/>
                <w:color w:val="auto"/>
                <w:spacing w:val="-10"/>
                <w:highlight w:val="none"/>
              </w:rPr>
              <w:t>3</w:t>
            </w:r>
            <w:r>
              <w:rPr>
                <w:b w:val="0"/>
                <w:bCs w:val="0"/>
                <w:color w:val="auto"/>
                <w:spacing w:val="-35"/>
                <w:highlight w:val="none"/>
              </w:rPr>
              <w:t xml:space="preserve"> </w:t>
            </w:r>
            <w:r>
              <w:rPr>
                <w:b w:val="0"/>
                <w:bCs w:val="0"/>
                <w:color w:val="auto"/>
                <w:spacing w:val="-10"/>
                <w:highlight w:val="none"/>
              </w:rPr>
              <w:t>分。</w:t>
            </w:r>
          </w:p>
        </w:tc>
        <w:tc>
          <w:tcPr>
            <w:tcW w:w="367" w:type="pct"/>
            <w:vAlign w:val="center"/>
          </w:tcPr>
          <w:p w14:paraId="7A25FF9F">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6" w:type="pct"/>
            <w:vAlign w:val="center"/>
          </w:tcPr>
          <w:p w14:paraId="7879D0A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continue"/>
            <w:tcBorders>
              <w:top w:val="nil"/>
            </w:tcBorders>
            <w:vAlign w:val="center"/>
          </w:tcPr>
          <w:p w14:paraId="75DACA47">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636DE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jc w:val="center"/>
        </w:trPr>
        <w:tc>
          <w:tcPr>
            <w:tcW w:w="192" w:type="pct"/>
            <w:vMerge w:val="restart"/>
            <w:tcBorders>
              <w:top w:val="single" w:color="auto" w:sz="4" w:space="0"/>
              <w:bottom w:val="single" w:color="auto" w:sz="4" w:space="0"/>
            </w:tcBorders>
            <w:vAlign w:val="center"/>
          </w:tcPr>
          <w:p w14:paraId="7203772C">
            <w:pPr>
              <w:pStyle w:val="23"/>
              <w:keepNext w:val="0"/>
              <w:keepLines w:val="0"/>
              <w:suppressLineNumbers w:val="0"/>
              <w:spacing w:before="58" w:line="180" w:lineRule="auto"/>
              <w:ind w:left="281"/>
              <w:rPr>
                <w:rFonts w:hint="eastAsia" w:ascii="宋体" w:hAnsi="宋体" w:eastAsia="宋体" w:cs="宋体"/>
                <w:b w:val="0"/>
                <w:bCs w:val="0"/>
                <w:color w:val="auto"/>
                <w:sz w:val="18"/>
                <w:szCs w:val="18"/>
                <w:highlight w:val="none"/>
                <w:lang w:eastAsia="zh-CN"/>
              </w:rPr>
            </w:pPr>
            <w:r>
              <w:rPr>
                <w:rFonts w:hint="eastAsia" w:ascii="宋体" w:hAnsi="宋体" w:eastAsia="宋体" w:cs="宋体"/>
                <w:b w:val="0"/>
                <w:bCs w:val="0"/>
                <w:color w:val="auto"/>
                <w:spacing w:val="-2"/>
                <w:sz w:val="18"/>
                <w:szCs w:val="18"/>
                <w:highlight w:val="none"/>
                <w:lang w:val="en-US" w:eastAsia="zh-CN"/>
              </w:rPr>
              <w:t>9</w:t>
            </w:r>
          </w:p>
        </w:tc>
        <w:tc>
          <w:tcPr>
            <w:tcW w:w="491" w:type="pct"/>
            <w:vMerge w:val="restart"/>
            <w:tcBorders>
              <w:top w:val="single" w:color="auto" w:sz="4" w:space="0"/>
              <w:bottom w:val="single" w:color="auto" w:sz="4" w:space="0"/>
            </w:tcBorders>
            <w:vAlign w:val="center"/>
          </w:tcPr>
          <w:p w14:paraId="425825B0">
            <w:pPr>
              <w:pStyle w:val="23"/>
              <w:keepNext w:val="0"/>
              <w:keepLines w:val="0"/>
              <w:suppressLineNumbers w:val="0"/>
              <w:spacing w:before="59" w:line="220" w:lineRule="auto"/>
              <w:ind w:left="16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消防安全宣传</w:t>
            </w:r>
          </w:p>
          <w:p w14:paraId="6270ED6C">
            <w:pPr>
              <w:pStyle w:val="23"/>
              <w:keepNext w:val="0"/>
              <w:keepLines w:val="0"/>
              <w:suppressLineNumbers w:val="0"/>
              <w:spacing w:before="98" w:line="220" w:lineRule="auto"/>
              <w:ind w:left="24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教育和培训</w:t>
            </w:r>
          </w:p>
          <w:p w14:paraId="794287D7">
            <w:pPr>
              <w:pStyle w:val="23"/>
              <w:keepNext w:val="0"/>
              <w:keepLines w:val="0"/>
              <w:suppressLineNumbers w:val="0"/>
              <w:spacing w:before="97" w:line="221" w:lineRule="auto"/>
              <w:ind w:left="31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（30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7" w:type="pct"/>
            <w:vAlign w:val="center"/>
          </w:tcPr>
          <w:p w14:paraId="6299396F">
            <w:pPr>
              <w:pStyle w:val="23"/>
              <w:keepNext w:val="0"/>
              <w:keepLines w:val="0"/>
              <w:suppressLineNumbers w:val="0"/>
              <w:spacing w:before="69" w:line="283" w:lineRule="auto"/>
              <w:ind w:left="112" w:right="158" w:firstLine="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消防安全宣传</w:t>
            </w:r>
            <w:r>
              <w:rPr>
                <w:rFonts w:hint="eastAsia" w:ascii="宋体" w:hAnsi="宋体" w:eastAsia="宋体" w:cs="宋体"/>
                <w:b w:val="0"/>
                <w:bCs w:val="0"/>
                <w:color w:val="auto"/>
                <w:spacing w:val="-4"/>
                <w:sz w:val="18"/>
                <w:szCs w:val="18"/>
                <w:highlight w:val="none"/>
              </w:rPr>
              <w:t>教育（5</w:t>
            </w:r>
            <w:r>
              <w:rPr>
                <w:rFonts w:hint="eastAsia" w:ascii="宋体" w:hAnsi="宋体" w:eastAsia="宋体" w:cs="宋体"/>
                <w:b w:val="0"/>
                <w:bCs w:val="0"/>
                <w:color w:val="auto"/>
                <w:spacing w:val="-33"/>
                <w:sz w:val="18"/>
                <w:szCs w:val="18"/>
                <w:highlight w:val="none"/>
              </w:rPr>
              <w:t xml:space="preserve"> </w:t>
            </w:r>
            <w:r>
              <w:rPr>
                <w:rFonts w:hint="eastAsia" w:ascii="宋体" w:hAnsi="宋体" w:eastAsia="宋体" w:cs="宋体"/>
                <w:b w:val="0"/>
                <w:bCs w:val="0"/>
                <w:color w:val="auto"/>
                <w:spacing w:val="-4"/>
                <w:sz w:val="18"/>
                <w:szCs w:val="18"/>
                <w:highlight w:val="none"/>
              </w:rPr>
              <w:t>分）</w:t>
            </w:r>
          </w:p>
        </w:tc>
        <w:tc>
          <w:tcPr>
            <w:tcW w:w="1734" w:type="pct"/>
            <w:vAlign w:val="center"/>
          </w:tcPr>
          <w:p w14:paraId="467D13C4">
            <w:pPr>
              <w:pStyle w:val="23"/>
              <w:keepNext w:val="0"/>
              <w:keepLines w:val="0"/>
              <w:suppressLineNumbers w:val="0"/>
              <w:spacing w:before="58" w:line="220" w:lineRule="auto"/>
              <w:ind w:left="11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开展经常性消防安全宣传教育情况。</w:t>
            </w:r>
          </w:p>
        </w:tc>
        <w:tc>
          <w:tcPr>
            <w:tcW w:w="1180" w:type="pct"/>
            <w:vAlign w:val="center"/>
          </w:tcPr>
          <w:p w14:paraId="448458D7">
            <w:pPr>
              <w:pStyle w:val="23"/>
              <w:keepNext w:val="0"/>
              <w:keepLines w:val="0"/>
              <w:suppressLineNumbers w:val="0"/>
              <w:spacing w:before="69" w:line="283" w:lineRule="auto"/>
              <w:ind w:left="111" w:right="19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未开展经常性消防安全宣传教育的扣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2"/>
                <w:sz w:val="18"/>
                <w:szCs w:val="18"/>
                <w:highlight w:val="none"/>
              </w:rPr>
              <w:t>5</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9"/>
                <w:sz w:val="18"/>
                <w:szCs w:val="18"/>
                <w:highlight w:val="none"/>
              </w:rPr>
              <w:t>分。</w:t>
            </w:r>
          </w:p>
        </w:tc>
        <w:tc>
          <w:tcPr>
            <w:tcW w:w="367" w:type="pct"/>
            <w:vAlign w:val="center"/>
          </w:tcPr>
          <w:p w14:paraId="625B1559">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6" w:type="pct"/>
            <w:vAlign w:val="center"/>
          </w:tcPr>
          <w:p w14:paraId="1565982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Align w:val="center"/>
          </w:tcPr>
          <w:p w14:paraId="7982F78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r w14:paraId="48D3E5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2" w:hRule="atLeast"/>
          <w:jc w:val="center"/>
        </w:trPr>
        <w:tc>
          <w:tcPr>
            <w:tcW w:w="192" w:type="pct"/>
            <w:vMerge w:val="continue"/>
            <w:tcBorders>
              <w:top w:val="single" w:color="auto" w:sz="4" w:space="0"/>
              <w:bottom w:val="single" w:color="auto" w:sz="4" w:space="0"/>
            </w:tcBorders>
            <w:vAlign w:val="center"/>
          </w:tcPr>
          <w:p w14:paraId="7371FE8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tcBorders>
              <w:top w:val="single" w:color="auto" w:sz="4" w:space="0"/>
              <w:bottom w:val="single" w:color="auto" w:sz="4" w:space="0"/>
            </w:tcBorders>
            <w:vAlign w:val="center"/>
          </w:tcPr>
          <w:p w14:paraId="123E4F9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restart"/>
            <w:tcBorders>
              <w:bottom w:val="nil"/>
            </w:tcBorders>
            <w:vAlign w:val="center"/>
          </w:tcPr>
          <w:p w14:paraId="5AAAFE1F">
            <w:pPr>
              <w:pStyle w:val="23"/>
              <w:keepNext w:val="0"/>
              <w:keepLines w:val="0"/>
              <w:suppressLineNumbers w:val="0"/>
              <w:spacing w:before="59" w:line="307" w:lineRule="auto"/>
              <w:ind w:left="114" w:right="158" w:hanging="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消防安全培训</w:t>
            </w:r>
            <w:r>
              <w:rPr>
                <w:rFonts w:hint="eastAsia" w:ascii="宋体" w:hAnsi="宋体" w:eastAsia="宋体" w:cs="宋体"/>
                <w:b w:val="0"/>
                <w:bCs w:val="0"/>
                <w:color w:val="auto"/>
                <w:spacing w:val="-5"/>
                <w:sz w:val="18"/>
                <w:szCs w:val="18"/>
                <w:highlight w:val="none"/>
              </w:rPr>
              <w:t>（25</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1734" w:type="pct"/>
            <w:vAlign w:val="center"/>
          </w:tcPr>
          <w:p w14:paraId="762B2EE8">
            <w:pPr>
              <w:pStyle w:val="23"/>
              <w:keepNext w:val="0"/>
              <w:keepLines w:val="0"/>
              <w:suppressLineNumbers w:val="0"/>
              <w:spacing w:before="68" w:line="223" w:lineRule="auto"/>
              <w:ind w:left="11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a)全员消防安全教育培训情况；</w:t>
            </w:r>
          </w:p>
        </w:tc>
        <w:tc>
          <w:tcPr>
            <w:tcW w:w="1180" w:type="pct"/>
            <w:vAlign w:val="center"/>
          </w:tcPr>
          <w:p w14:paraId="02FE12E1">
            <w:pPr>
              <w:pStyle w:val="23"/>
              <w:keepNext w:val="0"/>
              <w:keepLines w:val="0"/>
              <w:suppressLineNumbers w:val="0"/>
              <w:spacing w:before="66" w:line="311" w:lineRule="auto"/>
              <w:ind w:left="111" w:right="147"/>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未开展全员消防安全教育培训的扣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2"/>
                <w:sz w:val="18"/>
                <w:szCs w:val="18"/>
                <w:highlight w:val="none"/>
              </w:rPr>
              <w:t>15</w:t>
            </w:r>
            <w:r>
              <w:rPr>
                <w:rFonts w:hint="eastAsia" w:ascii="宋体" w:hAnsi="宋体" w:eastAsia="宋体" w:cs="宋体"/>
                <w:b w:val="0"/>
                <w:bCs w:val="0"/>
                <w:color w:val="auto"/>
                <w:spacing w:val="-2"/>
                <w:sz w:val="18"/>
                <w:szCs w:val="18"/>
                <w:highlight w:val="none"/>
                <w:lang w:val="en-US" w:eastAsia="zh-CN"/>
              </w:rPr>
              <w:t xml:space="preserve"> </w:t>
            </w:r>
            <w:r>
              <w:rPr>
                <w:rFonts w:hint="eastAsia" w:ascii="宋体" w:hAnsi="宋体" w:eastAsia="宋体" w:cs="宋体"/>
                <w:b w:val="0"/>
                <w:bCs w:val="0"/>
                <w:color w:val="auto"/>
                <w:spacing w:val="-2"/>
                <w:sz w:val="18"/>
                <w:szCs w:val="18"/>
                <w:highlight w:val="none"/>
              </w:rPr>
              <w:t>分。培训频次不符合要求的扣</w:t>
            </w:r>
            <w:r>
              <w:rPr>
                <w:rFonts w:hint="eastAsia" w:ascii="宋体" w:hAnsi="宋体" w:eastAsia="宋体" w:cs="宋体"/>
                <w:b w:val="0"/>
                <w:bCs w:val="0"/>
                <w:color w:val="auto"/>
                <w:spacing w:val="-32"/>
                <w:sz w:val="18"/>
                <w:szCs w:val="18"/>
                <w:highlight w:val="none"/>
              </w:rPr>
              <w:t xml:space="preserve"> </w:t>
            </w:r>
            <w:r>
              <w:rPr>
                <w:rFonts w:hint="eastAsia" w:ascii="宋体" w:hAnsi="宋体" w:eastAsia="宋体" w:cs="宋体"/>
                <w:b w:val="0"/>
                <w:bCs w:val="0"/>
                <w:color w:val="auto"/>
                <w:spacing w:val="-2"/>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分，每</w:t>
            </w:r>
            <w:r>
              <w:rPr>
                <w:rFonts w:hint="eastAsia" w:ascii="宋体" w:hAnsi="宋体" w:eastAsia="宋体" w:cs="宋体"/>
                <w:b w:val="0"/>
                <w:bCs w:val="0"/>
                <w:color w:val="auto"/>
                <w:spacing w:val="-1"/>
                <w:sz w:val="18"/>
                <w:szCs w:val="18"/>
                <w:highlight w:val="none"/>
              </w:rPr>
              <w:t>发现一处培训内容不符合要求的扣</w:t>
            </w:r>
            <w:r>
              <w:rPr>
                <w:rFonts w:hint="eastAsia" w:ascii="宋体" w:hAnsi="宋体" w:eastAsia="宋体" w:cs="宋体"/>
                <w:b w:val="0"/>
                <w:bCs w:val="0"/>
                <w:color w:val="auto"/>
                <w:spacing w:val="-21"/>
                <w:sz w:val="18"/>
                <w:szCs w:val="18"/>
                <w:highlight w:val="none"/>
              </w:rPr>
              <w:t xml:space="preserve"> </w:t>
            </w:r>
            <w:r>
              <w:rPr>
                <w:rFonts w:hint="eastAsia" w:ascii="宋体" w:hAnsi="宋体" w:eastAsia="宋体" w:cs="宋体"/>
                <w:b w:val="0"/>
                <w:bCs w:val="0"/>
                <w:color w:val="auto"/>
                <w:spacing w:val="-1"/>
                <w:sz w:val="18"/>
                <w:szCs w:val="18"/>
                <w:highlight w:val="none"/>
              </w:rPr>
              <w:t>1</w:t>
            </w:r>
            <w:r>
              <w:rPr>
                <w:rFonts w:hint="eastAsia" w:ascii="宋体" w:hAnsi="宋体" w:eastAsia="宋体" w:cs="宋体"/>
                <w:b w:val="0"/>
                <w:bCs w:val="0"/>
                <w:color w:val="auto"/>
                <w:spacing w:val="-1"/>
                <w:sz w:val="18"/>
                <w:szCs w:val="18"/>
                <w:highlight w:val="none"/>
                <w:lang w:val="en-US" w:eastAsia="zh-CN"/>
              </w:rPr>
              <w:t xml:space="preserve"> </w:t>
            </w:r>
            <w:r>
              <w:rPr>
                <w:rFonts w:hint="eastAsia" w:ascii="宋体" w:hAnsi="宋体" w:eastAsia="宋体" w:cs="宋体"/>
                <w:b w:val="0"/>
                <w:bCs w:val="0"/>
                <w:color w:val="auto"/>
                <w:spacing w:val="-6"/>
                <w:sz w:val="18"/>
                <w:szCs w:val="18"/>
                <w:highlight w:val="none"/>
              </w:rPr>
              <w:t>分，最高扣</w:t>
            </w:r>
            <w:r>
              <w:rPr>
                <w:rFonts w:hint="eastAsia" w:ascii="宋体" w:hAnsi="宋体" w:eastAsia="宋体" w:cs="宋体"/>
                <w:b w:val="0"/>
                <w:bCs w:val="0"/>
                <w:color w:val="auto"/>
                <w:spacing w:val="-21"/>
                <w:sz w:val="18"/>
                <w:szCs w:val="18"/>
                <w:highlight w:val="none"/>
              </w:rPr>
              <w:t xml:space="preserve"> </w:t>
            </w:r>
            <w:r>
              <w:rPr>
                <w:rFonts w:hint="eastAsia" w:ascii="宋体" w:hAnsi="宋体" w:eastAsia="宋体" w:cs="宋体"/>
                <w:b w:val="0"/>
                <w:bCs w:val="0"/>
                <w:color w:val="auto"/>
                <w:spacing w:val="-6"/>
                <w:sz w:val="18"/>
                <w:szCs w:val="18"/>
                <w:highlight w:val="none"/>
              </w:rPr>
              <w:t>10</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367" w:type="pct"/>
            <w:vAlign w:val="center"/>
          </w:tcPr>
          <w:p w14:paraId="27EE8E47">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6" w:type="pct"/>
            <w:vAlign w:val="center"/>
          </w:tcPr>
          <w:p w14:paraId="7EACBB1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restart"/>
            <w:tcBorders>
              <w:bottom w:val="nil"/>
            </w:tcBorders>
            <w:vAlign w:val="center"/>
          </w:tcPr>
          <w:p w14:paraId="069A4C7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p w14:paraId="1F990778">
            <w:pPr>
              <w:keepNext w:val="0"/>
              <w:keepLines w:val="0"/>
              <w:suppressLineNumbers w:val="0"/>
              <w:bidi w:val="0"/>
              <w:spacing w:before="0" w:beforeAutospacing="0" w:after="0" w:afterAutospacing="0"/>
              <w:ind w:left="0" w:right="0"/>
              <w:jc w:val="left"/>
              <w:rPr>
                <w:rFonts w:hint="eastAsia" w:ascii="宋体" w:hAnsi="宋体" w:eastAsia="宋体" w:cs="宋体"/>
                <w:snapToGrid w:val="0"/>
                <w:color w:val="auto"/>
                <w:kern w:val="0"/>
                <w:sz w:val="18"/>
                <w:szCs w:val="18"/>
                <w:highlight w:val="none"/>
                <w:lang w:val="en-US" w:eastAsia="zh-CN"/>
              </w:rPr>
            </w:pPr>
          </w:p>
        </w:tc>
      </w:tr>
      <w:tr w14:paraId="12CB77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jc w:val="center"/>
        </w:trPr>
        <w:tc>
          <w:tcPr>
            <w:tcW w:w="192" w:type="pct"/>
            <w:vMerge w:val="continue"/>
            <w:tcBorders>
              <w:top w:val="single" w:color="auto" w:sz="4" w:space="0"/>
              <w:bottom w:val="single" w:color="auto" w:sz="4" w:space="0"/>
            </w:tcBorders>
            <w:vAlign w:val="center"/>
          </w:tcPr>
          <w:p w14:paraId="5C8B0A9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tcBorders>
              <w:top w:val="single" w:color="auto" w:sz="4" w:space="0"/>
              <w:bottom w:val="single" w:color="auto" w:sz="4" w:space="0"/>
            </w:tcBorders>
            <w:vAlign w:val="center"/>
          </w:tcPr>
          <w:p w14:paraId="72DB249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tcBorders>
              <w:top w:val="nil"/>
              <w:bottom w:val="nil"/>
            </w:tcBorders>
            <w:vAlign w:val="center"/>
          </w:tcPr>
          <w:p w14:paraId="5A5A31E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06DC3ED1">
            <w:pPr>
              <w:pStyle w:val="23"/>
              <w:keepNext w:val="0"/>
              <w:keepLines w:val="0"/>
              <w:suppressLineNumbers w:val="0"/>
              <w:spacing w:before="222" w:line="221" w:lineRule="auto"/>
              <w:ind w:left="107"/>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b)单位组织上岗、转岗前消防安全培训情况；</w:t>
            </w:r>
          </w:p>
        </w:tc>
        <w:tc>
          <w:tcPr>
            <w:tcW w:w="1180" w:type="pct"/>
            <w:vAlign w:val="center"/>
          </w:tcPr>
          <w:p w14:paraId="00BC4BDF">
            <w:pPr>
              <w:pStyle w:val="23"/>
              <w:keepNext w:val="0"/>
              <w:keepLines w:val="0"/>
              <w:suppressLineNumbers w:val="0"/>
              <w:spacing w:before="66" w:line="283" w:lineRule="auto"/>
              <w:ind w:left="112" w:right="18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未组织上岗、转岗前消防安全培训的，</w:t>
            </w:r>
            <w:r>
              <w:rPr>
                <w:rFonts w:hint="eastAsia" w:ascii="宋体" w:hAnsi="宋体" w:eastAsia="宋体" w:cs="宋体"/>
                <w:b w:val="0"/>
                <w:bCs w:val="0"/>
                <w:color w:val="auto"/>
                <w:spacing w:val="-10"/>
                <w:sz w:val="18"/>
                <w:szCs w:val="18"/>
                <w:highlight w:val="none"/>
              </w:rPr>
              <w:t>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0"/>
                <w:sz w:val="18"/>
                <w:szCs w:val="18"/>
                <w:highlight w:val="none"/>
              </w:rPr>
              <w:t>5</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10"/>
                <w:sz w:val="18"/>
                <w:szCs w:val="18"/>
                <w:highlight w:val="none"/>
              </w:rPr>
              <w:t>分。</w:t>
            </w:r>
          </w:p>
        </w:tc>
        <w:tc>
          <w:tcPr>
            <w:tcW w:w="367" w:type="pct"/>
            <w:vAlign w:val="center"/>
          </w:tcPr>
          <w:p w14:paraId="5EF4B82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6" w:type="pct"/>
            <w:vAlign w:val="center"/>
          </w:tcPr>
          <w:p w14:paraId="106B415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bottom w:val="nil"/>
            </w:tcBorders>
            <w:vAlign w:val="center"/>
          </w:tcPr>
          <w:p w14:paraId="013C87D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6C970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7" w:hRule="atLeast"/>
          <w:jc w:val="center"/>
        </w:trPr>
        <w:tc>
          <w:tcPr>
            <w:tcW w:w="192" w:type="pct"/>
            <w:vMerge w:val="continue"/>
            <w:tcBorders>
              <w:top w:val="single" w:color="auto" w:sz="4" w:space="0"/>
              <w:bottom w:val="single" w:color="auto" w:sz="4" w:space="0"/>
            </w:tcBorders>
            <w:vAlign w:val="center"/>
          </w:tcPr>
          <w:p w14:paraId="3989573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tcBorders>
              <w:top w:val="single" w:color="auto" w:sz="4" w:space="0"/>
              <w:bottom w:val="single" w:color="auto" w:sz="4" w:space="0"/>
            </w:tcBorders>
            <w:vAlign w:val="center"/>
          </w:tcPr>
          <w:p w14:paraId="52E158C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tcBorders>
              <w:top w:val="nil"/>
              <w:bottom w:val="nil"/>
            </w:tcBorders>
            <w:vAlign w:val="center"/>
          </w:tcPr>
          <w:p w14:paraId="2954CB7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14C6DDC7">
            <w:pPr>
              <w:pStyle w:val="23"/>
              <w:keepNext w:val="0"/>
              <w:keepLines w:val="0"/>
              <w:suppressLineNumbers w:val="0"/>
              <w:spacing w:before="70" w:line="295" w:lineRule="auto"/>
              <w:ind w:left="114" w:right="105"/>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c)消防安全责任人、消防安全管理</w:t>
            </w:r>
            <w:r>
              <w:rPr>
                <w:rFonts w:hint="eastAsia" w:cs="宋体"/>
                <w:b w:val="0"/>
                <w:bCs w:val="0"/>
                <w:color w:val="auto"/>
                <w:spacing w:val="-1"/>
                <w:sz w:val="18"/>
                <w:szCs w:val="18"/>
                <w:highlight w:val="none"/>
                <w:lang w:eastAsia="zh-CN"/>
              </w:rPr>
              <w:t>人员</w:t>
            </w:r>
            <w:r>
              <w:rPr>
                <w:rFonts w:hint="eastAsia" w:ascii="宋体" w:hAnsi="宋体" w:eastAsia="宋体" w:cs="宋体"/>
                <w:b w:val="0"/>
                <w:bCs w:val="0"/>
                <w:color w:val="auto"/>
                <w:spacing w:val="-1"/>
                <w:sz w:val="18"/>
                <w:szCs w:val="18"/>
                <w:highlight w:val="none"/>
              </w:rPr>
              <w:t>、专（兼)职消防</w:t>
            </w:r>
            <w:r>
              <w:rPr>
                <w:rFonts w:hint="eastAsia" w:ascii="宋体" w:hAnsi="宋体" w:eastAsia="宋体" w:cs="宋体"/>
                <w:b w:val="0"/>
                <w:bCs w:val="0"/>
                <w:color w:val="auto"/>
                <w:spacing w:val="-2"/>
                <w:sz w:val="18"/>
                <w:szCs w:val="18"/>
                <w:highlight w:val="none"/>
              </w:rPr>
              <w:t>管理人员、消防控制室值班操作人员等接受消防安全专</w:t>
            </w:r>
            <w:r>
              <w:rPr>
                <w:rFonts w:hint="eastAsia" w:ascii="宋体" w:hAnsi="宋体" w:eastAsia="宋体" w:cs="宋体"/>
                <w:b w:val="0"/>
                <w:bCs w:val="0"/>
                <w:color w:val="auto"/>
                <w:spacing w:val="-7"/>
                <w:sz w:val="18"/>
                <w:szCs w:val="18"/>
                <w:highlight w:val="none"/>
              </w:rPr>
              <w:t>门培训情况；</w:t>
            </w:r>
          </w:p>
        </w:tc>
        <w:tc>
          <w:tcPr>
            <w:tcW w:w="1180" w:type="pct"/>
            <w:vAlign w:val="center"/>
          </w:tcPr>
          <w:p w14:paraId="64B7ADE9">
            <w:pPr>
              <w:pStyle w:val="23"/>
              <w:keepNext w:val="0"/>
              <w:keepLines w:val="0"/>
              <w:suppressLineNumbers w:val="0"/>
              <w:spacing w:before="225" w:line="307" w:lineRule="auto"/>
              <w:ind w:left="112" w:right="150"/>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未接受培训的每发现一人扣</w:t>
            </w:r>
            <w:r>
              <w:rPr>
                <w:rFonts w:hint="eastAsia" w:ascii="宋体" w:hAnsi="宋体" w:eastAsia="宋体" w:cs="宋体"/>
                <w:b w:val="0"/>
                <w:bCs w:val="0"/>
                <w:color w:val="auto"/>
                <w:spacing w:val="-16"/>
                <w:sz w:val="18"/>
                <w:szCs w:val="18"/>
                <w:highlight w:val="none"/>
              </w:rPr>
              <w:t xml:space="preserve"> </w:t>
            </w:r>
            <w:r>
              <w:rPr>
                <w:rFonts w:hint="eastAsia" w:ascii="宋体" w:hAnsi="宋体" w:eastAsia="宋体" w:cs="宋体"/>
                <w:b w:val="0"/>
                <w:bCs w:val="0"/>
                <w:color w:val="auto"/>
                <w:spacing w:val="-3"/>
                <w:sz w:val="18"/>
                <w:szCs w:val="18"/>
                <w:highlight w:val="none"/>
              </w:rPr>
              <w:t>1</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3"/>
                <w:sz w:val="18"/>
                <w:szCs w:val="18"/>
                <w:highlight w:val="none"/>
              </w:rPr>
              <w:t>分，最高</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10"/>
                <w:sz w:val="18"/>
                <w:szCs w:val="18"/>
                <w:highlight w:val="none"/>
              </w:rPr>
              <w:t>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0"/>
                <w:sz w:val="18"/>
                <w:szCs w:val="18"/>
                <w:highlight w:val="none"/>
              </w:rPr>
              <w:t>5</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10"/>
                <w:sz w:val="18"/>
                <w:szCs w:val="18"/>
                <w:highlight w:val="none"/>
              </w:rPr>
              <w:t>分。</w:t>
            </w:r>
          </w:p>
        </w:tc>
        <w:tc>
          <w:tcPr>
            <w:tcW w:w="367" w:type="pct"/>
            <w:vAlign w:val="center"/>
          </w:tcPr>
          <w:p w14:paraId="037131F4">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6" w:type="pct"/>
            <w:vAlign w:val="center"/>
          </w:tcPr>
          <w:p w14:paraId="0A75EFB6">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18"/>
                <w:szCs w:val="18"/>
                <w:highlight w:val="none"/>
                <w:lang w:val="en-US" w:eastAsia="zh-CN"/>
              </w:rPr>
            </w:pPr>
          </w:p>
        </w:tc>
        <w:tc>
          <w:tcPr>
            <w:tcW w:w="328" w:type="pct"/>
            <w:vMerge w:val="continue"/>
            <w:tcBorders>
              <w:top w:val="nil"/>
              <w:bottom w:val="nil"/>
            </w:tcBorders>
            <w:vAlign w:val="center"/>
          </w:tcPr>
          <w:p w14:paraId="07472115">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2E80F4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jc w:val="center"/>
        </w:trPr>
        <w:tc>
          <w:tcPr>
            <w:tcW w:w="192" w:type="pct"/>
            <w:vMerge w:val="continue"/>
            <w:tcBorders>
              <w:top w:val="single" w:color="auto" w:sz="4" w:space="0"/>
              <w:bottom w:val="single" w:color="auto" w:sz="4" w:space="0"/>
            </w:tcBorders>
            <w:vAlign w:val="center"/>
          </w:tcPr>
          <w:p w14:paraId="09C1DD4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tcBorders>
              <w:top w:val="single" w:color="auto" w:sz="4" w:space="0"/>
              <w:bottom w:val="single" w:color="auto" w:sz="4" w:space="0"/>
            </w:tcBorders>
            <w:vAlign w:val="center"/>
          </w:tcPr>
          <w:p w14:paraId="385E072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tcBorders>
              <w:top w:val="nil"/>
              <w:bottom w:val="nil"/>
            </w:tcBorders>
            <w:vAlign w:val="center"/>
          </w:tcPr>
          <w:p w14:paraId="03D014C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6CFD6047">
            <w:pPr>
              <w:pStyle w:val="23"/>
              <w:keepNext w:val="0"/>
              <w:keepLines w:val="0"/>
              <w:suppressLineNumbers w:val="0"/>
              <w:spacing w:before="59" w:line="220" w:lineRule="auto"/>
              <w:ind w:left="11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d)消防安全培训记录和影像资料建档情况；</w:t>
            </w:r>
          </w:p>
        </w:tc>
        <w:tc>
          <w:tcPr>
            <w:tcW w:w="1180" w:type="pct"/>
            <w:vAlign w:val="center"/>
          </w:tcPr>
          <w:p w14:paraId="10736B30">
            <w:pPr>
              <w:pStyle w:val="23"/>
              <w:keepNext w:val="0"/>
              <w:keepLines w:val="0"/>
              <w:suppressLineNumbers w:val="0"/>
              <w:spacing w:before="69" w:line="295" w:lineRule="auto"/>
              <w:ind w:left="109" w:right="150"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未建档的扣4</w:t>
            </w:r>
            <w:r>
              <w:rPr>
                <w:rFonts w:hint="eastAsia" w:ascii="宋体" w:hAnsi="宋体" w:eastAsia="宋体" w:cs="宋体"/>
                <w:b w:val="0"/>
                <w:bCs w:val="0"/>
                <w:color w:val="auto"/>
                <w:spacing w:val="-30"/>
                <w:sz w:val="18"/>
                <w:szCs w:val="18"/>
                <w:highlight w:val="none"/>
              </w:rPr>
              <w:t xml:space="preserve"> </w:t>
            </w:r>
            <w:r>
              <w:rPr>
                <w:rFonts w:hint="eastAsia" w:ascii="宋体" w:hAnsi="宋体" w:eastAsia="宋体" w:cs="宋体"/>
                <w:b w:val="0"/>
                <w:bCs w:val="0"/>
                <w:color w:val="auto"/>
                <w:spacing w:val="1"/>
                <w:sz w:val="18"/>
                <w:szCs w:val="18"/>
                <w:highlight w:val="none"/>
              </w:rPr>
              <w:t>分。消防安全培训记录和</w:t>
            </w:r>
            <w:r>
              <w:rPr>
                <w:rFonts w:hint="eastAsia" w:ascii="宋体" w:hAnsi="宋体" w:eastAsia="宋体" w:cs="宋体"/>
                <w:b w:val="0"/>
                <w:bCs w:val="0"/>
                <w:color w:val="auto"/>
                <w:spacing w:val="-3"/>
                <w:sz w:val="18"/>
                <w:szCs w:val="18"/>
                <w:highlight w:val="none"/>
              </w:rPr>
              <w:t>影像资料不全的每缺少一项扣</w:t>
            </w:r>
            <w:r>
              <w:rPr>
                <w:rFonts w:hint="eastAsia" w:ascii="宋体" w:hAnsi="宋体" w:eastAsia="宋体" w:cs="宋体"/>
                <w:b w:val="0"/>
                <w:bCs w:val="0"/>
                <w:color w:val="auto"/>
                <w:spacing w:val="-22"/>
                <w:sz w:val="18"/>
                <w:szCs w:val="18"/>
                <w:highlight w:val="none"/>
              </w:rPr>
              <w:t xml:space="preserve"> </w:t>
            </w:r>
            <w:r>
              <w:rPr>
                <w:rFonts w:hint="eastAsia" w:ascii="宋体" w:hAnsi="宋体" w:eastAsia="宋体" w:cs="宋体"/>
                <w:b w:val="0"/>
                <w:bCs w:val="0"/>
                <w:color w:val="auto"/>
                <w:spacing w:val="-3"/>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分，最</w:t>
            </w:r>
            <w:r>
              <w:rPr>
                <w:rFonts w:hint="eastAsia" w:ascii="宋体" w:hAnsi="宋体" w:eastAsia="宋体" w:cs="宋体"/>
                <w:b w:val="0"/>
                <w:bCs w:val="0"/>
                <w:color w:val="auto"/>
                <w:spacing w:val="3"/>
                <w:sz w:val="18"/>
                <w:szCs w:val="18"/>
                <w:highlight w:val="none"/>
              </w:rPr>
              <w:t>高扣4</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3"/>
                <w:sz w:val="18"/>
                <w:szCs w:val="18"/>
                <w:highlight w:val="none"/>
              </w:rPr>
              <w:t>分。</w:t>
            </w:r>
          </w:p>
        </w:tc>
        <w:tc>
          <w:tcPr>
            <w:tcW w:w="367" w:type="pct"/>
            <w:vAlign w:val="center"/>
          </w:tcPr>
          <w:p w14:paraId="58D59330">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6" w:type="pct"/>
            <w:vAlign w:val="center"/>
          </w:tcPr>
          <w:p w14:paraId="199FEA0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bottom w:val="nil"/>
            </w:tcBorders>
            <w:vAlign w:val="center"/>
          </w:tcPr>
          <w:p w14:paraId="3D5039C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6B36C5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jc w:val="center"/>
        </w:trPr>
        <w:tc>
          <w:tcPr>
            <w:tcW w:w="192" w:type="pct"/>
            <w:vMerge w:val="continue"/>
            <w:tcBorders>
              <w:top w:val="single" w:color="auto" w:sz="4" w:space="0"/>
              <w:bottom w:val="single" w:color="auto" w:sz="4" w:space="0"/>
            </w:tcBorders>
            <w:vAlign w:val="center"/>
          </w:tcPr>
          <w:p w14:paraId="6370E9A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tcBorders>
              <w:top w:val="single" w:color="auto" w:sz="4" w:space="0"/>
              <w:bottom w:val="single" w:color="auto" w:sz="4" w:space="0"/>
            </w:tcBorders>
            <w:vAlign w:val="center"/>
          </w:tcPr>
          <w:p w14:paraId="39F3160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tcBorders>
              <w:top w:val="nil"/>
            </w:tcBorders>
            <w:vAlign w:val="center"/>
          </w:tcPr>
          <w:p w14:paraId="22F566B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6C885ABD">
            <w:pPr>
              <w:pStyle w:val="23"/>
              <w:keepNext w:val="0"/>
              <w:keepLines w:val="0"/>
              <w:suppressLineNumbers w:val="0"/>
              <w:spacing w:before="224" w:line="220" w:lineRule="auto"/>
              <w:ind w:left="11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e)抽查员工消防安全教育培训知识的掌握情况。</w:t>
            </w:r>
          </w:p>
        </w:tc>
        <w:tc>
          <w:tcPr>
            <w:tcW w:w="1180" w:type="pct"/>
            <w:vAlign w:val="center"/>
          </w:tcPr>
          <w:p w14:paraId="6D8A94BC">
            <w:pPr>
              <w:pStyle w:val="23"/>
              <w:keepNext w:val="0"/>
              <w:keepLines w:val="0"/>
              <w:suppressLineNumbers w:val="0"/>
              <w:spacing w:before="68" w:line="282" w:lineRule="auto"/>
              <w:ind w:left="111" w:right="194" w:hanging="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每抽查</w:t>
            </w:r>
            <w:r>
              <w:rPr>
                <w:rFonts w:hint="eastAsia" w:ascii="宋体" w:hAnsi="宋体" w:eastAsia="宋体" w:cs="宋体"/>
                <w:b w:val="0"/>
                <w:bCs w:val="0"/>
                <w:color w:val="auto"/>
                <w:spacing w:val="-11"/>
                <w:sz w:val="18"/>
                <w:szCs w:val="18"/>
                <w:highlight w:val="none"/>
              </w:rPr>
              <w:t xml:space="preserve"> </w:t>
            </w:r>
            <w:r>
              <w:rPr>
                <w:rFonts w:hint="eastAsia" w:ascii="宋体" w:hAnsi="宋体" w:eastAsia="宋体" w:cs="宋体"/>
                <w:b w:val="0"/>
                <w:bCs w:val="0"/>
                <w:color w:val="auto"/>
                <w:spacing w:val="-5"/>
                <w:sz w:val="18"/>
                <w:szCs w:val="18"/>
                <w:highlight w:val="none"/>
              </w:rPr>
              <w:t>1</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人次未掌握扣</w:t>
            </w:r>
            <w:r>
              <w:rPr>
                <w:rFonts w:hint="eastAsia" w:ascii="宋体" w:hAnsi="宋体" w:eastAsia="宋体" w:cs="宋体"/>
                <w:b w:val="0"/>
                <w:bCs w:val="0"/>
                <w:color w:val="auto"/>
                <w:spacing w:val="-38"/>
                <w:sz w:val="18"/>
                <w:szCs w:val="18"/>
                <w:highlight w:val="none"/>
              </w:rPr>
              <w:t xml:space="preserve"> </w:t>
            </w:r>
            <w:r>
              <w:rPr>
                <w:rFonts w:hint="eastAsia" w:ascii="宋体" w:hAnsi="宋体" w:eastAsia="宋体" w:cs="宋体"/>
                <w:b w:val="0"/>
                <w:bCs w:val="0"/>
                <w:color w:val="auto"/>
                <w:spacing w:val="-5"/>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分，最高扣</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5"/>
                <w:sz w:val="18"/>
                <w:szCs w:val="18"/>
                <w:highlight w:val="none"/>
              </w:rPr>
              <w:t>6</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9"/>
                <w:sz w:val="18"/>
                <w:szCs w:val="18"/>
                <w:highlight w:val="none"/>
              </w:rPr>
              <w:t>分。</w:t>
            </w:r>
          </w:p>
        </w:tc>
        <w:tc>
          <w:tcPr>
            <w:tcW w:w="367" w:type="pct"/>
            <w:vAlign w:val="center"/>
          </w:tcPr>
          <w:p w14:paraId="2FE72977">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6" w:type="pct"/>
            <w:vAlign w:val="center"/>
          </w:tcPr>
          <w:p w14:paraId="7854D1C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tcBorders>
            <w:vAlign w:val="center"/>
          </w:tcPr>
          <w:p w14:paraId="580117C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6A7845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jc w:val="center"/>
        </w:trPr>
        <w:tc>
          <w:tcPr>
            <w:tcW w:w="192" w:type="pct"/>
            <w:vMerge w:val="restart"/>
            <w:tcBorders>
              <w:top w:val="single" w:color="auto" w:sz="4" w:space="0"/>
              <w:bottom w:val="single" w:color="auto" w:sz="4" w:space="0"/>
            </w:tcBorders>
            <w:vAlign w:val="center"/>
          </w:tcPr>
          <w:p w14:paraId="65897F6A">
            <w:pPr>
              <w:pStyle w:val="23"/>
              <w:keepNext w:val="0"/>
              <w:keepLines w:val="0"/>
              <w:suppressLineNumbers w:val="0"/>
              <w:spacing w:before="58" w:line="182" w:lineRule="auto"/>
              <w:ind w:left="245"/>
              <w:rPr>
                <w:rFonts w:hint="eastAsia" w:eastAsia="宋体"/>
                <w:b w:val="0"/>
                <w:bCs w:val="0"/>
                <w:color w:val="auto"/>
                <w:highlight w:val="none"/>
                <w:lang w:eastAsia="zh-CN"/>
              </w:rPr>
            </w:pPr>
            <w:r>
              <w:rPr>
                <w:b w:val="0"/>
                <w:bCs w:val="0"/>
                <w:color w:val="auto"/>
                <w:spacing w:val="-12"/>
                <w:highlight w:val="none"/>
              </w:rPr>
              <w:t>1</w:t>
            </w:r>
            <w:r>
              <w:rPr>
                <w:rFonts w:hint="eastAsia"/>
                <w:b w:val="0"/>
                <w:bCs w:val="0"/>
                <w:color w:val="auto"/>
                <w:spacing w:val="-12"/>
                <w:highlight w:val="none"/>
                <w:lang w:val="en-US" w:eastAsia="zh-CN"/>
              </w:rPr>
              <w:t>0</w:t>
            </w:r>
          </w:p>
        </w:tc>
        <w:tc>
          <w:tcPr>
            <w:tcW w:w="491" w:type="pct"/>
            <w:vMerge w:val="restart"/>
            <w:tcBorders>
              <w:top w:val="single" w:color="auto" w:sz="4" w:space="0"/>
              <w:bottom w:val="single" w:color="auto" w:sz="4" w:space="0"/>
            </w:tcBorders>
            <w:vAlign w:val="center"/>
          </w:tcPr>
          <w:p w14:paraId="62F122FA">
            <w:pPr>
              <w:pStyle w:val="23"/>
              <w:keepNext w:val="0"/>
              <w:keepLines w:val="0"/>
              <w:suppressLineNumbers w:val="0"/>
              <w:spacing w:before="169" w:line="307" w:lineRule="auto"/>
              <w:ind w:left="318" w:right="247" w:hanging="71"/>
              <w:rPr>
                <w:b w:val="0"/>
                <w:bCs w:val="0"/>
                <w:color w:val="auto"/>
                <w:highlight w:val="none"/>
              </w:rPr>
            </w:pPr>
            <w:r>
              <w:rPr>
                <w:b w:val="0"/>
                <w:bCs w:val="0"/>
                <w:color w:val="auto"/>
                <w:spacing w:val="-2"/>
                <w:highlight w:val="none"/>
              </w:rPr>
              <w:t>专职消防队</w:t>
            </w:r>
            <w:r>
              <w:rPr>
                <w:b w:val="0"/>
                <w:bCs w:val="0"/>
                <w:color w:val="auto"/>
                <w:spacing w:val="1"/>
                <w:highlight w:val="none"/>
              </w:rPr>
              <w:t xml:space="preserve"> </w:t>
            </w:r>
            <w:r>
              <w:rPr>
                <w:b w:val="0"/>
                <w:bCs w:val="0"/>
                <w:color w:val="auto"/>
                <w:spacing w:val="-5"/>
                <w:highlight w:val="none"/>
              </w:rPr>
              <w:t>（20</w:t>
            </w:r>
            <w:r>
              <w:rPr>
                <w:b w:val="0"/>
                <w:bCs w:val="0"/>
                <w:color w:val="auto"/>
                <w:spacing w:val="-35"/>
                <w:highlight w:val="none"/>
              </w:rPr>
              <w:t xml:space="preserve"> </w:t>
            </w:r>
            <w:r>
              <w:rPr>
                <w:b w:val="0"/>
                <w:bCs w:val="0"/>
                <w:color w:val="auto"/>
                <w:spacing w:val="-5"/>
                <w:highlight w:val="none"/>
              </w:rPr>
              <w:t>分）</w:t>
            </w:r>
          </w:p>
        </w:tc>
        <w:tc>
          <w:tcPr>
            <w:tcW w:w="367" w:type="pct"/>
            <w:vMerge w:val="restart"/>
            <w:vAlign w:val="center"/>
          </w:tcPr>
          <w:p w14:paraId="6ED9FE8A">
            <w:pPr>
              <w:pStyle w:val="23"/>
              <w:keepNext w:val="0"/>
              <w:keepLines w:val="0"/>
              <w:suppressLineNumbers w:val="0"/>
              <w:spacing w:before="169" w:line="307" w:lineRule="auto"/>
              <w:ind w:right="248"/>
              <w:jc w:val="center"/>
              <w:rPr>
                <w:b w:val="0"/>
                <w:bCs w:val="0"/>
                <w:color w:val="auto"/>
                <w:spacing w:val="-2"/>
                <w:highlight w:val="none"/>
              </w:rPr>
            </w:pPr>
            <w:r>
              <w:rPr>
                <w:b w:val="0"/>
                <w:bCs w:val="0"/>
                <w:color w:val="auto"/>
                <w:spacing w:val="-2"/>
                <w:highlight w:val="none"/>
              </w:rPr>
              <w:t>建队情况</w:t>
            </w:r>
          </w:p>
          <w:p w14:paraId="5B8E1997">
            <w:pPr>
              <w:pStyle w:val="23"/>
              <w:keepNext w:val="0"/>
              <w:keepLines w:val="0"/>
              <w:suppressLineNumbers w:val="0"/>
              <w:spacing w:before="169" w:line="307" w:lineRule="auto"/>
              <w:ind w:left="112" w:right="248"/>
              <w:jc w:val="center"/>
              <w:rPr>
                <w:b w:val="0"/>
                <w:bCs w:val="0"/>
                <w:color w:val="auto"/>
                <w:highlight w:val="none"/>
              </w:rPr>
            </w:pPr>
            <w:r>
              <w:rPr>
                <w:b w:val="0"/>
                <w:bCs w:val="0"/>
                <w:color w:val="auto"/>
                <w:spacing w:val="-2"/>
                <w:highlight w:val="none"/>
              </w:rPr>
              <w:t>（5</w:t>
            </w:r>
            <w:r>
              <w:rPr>
                <w:b w:val="0"/>
                <w:bCs w:val="0"/>
                <w:color w:val="auto"/>
                <w:highlight w:val="none"/>
              </w:rPr>
              <w:t xml:space="preserve"> </w:t>
            </w:r>
            <w:r>
              <w:rPr>
                <w:b w:val="0"/>
                <w:bCs w:val="0"/>
                <w:color w:val="auto"/>
                <w:spacing w:val="-6"/>
                <w:highlight w:val="none"/>
              </w:rPr>
              <w:t>分）</w:t>
            </w:r>
          </w:p>
        </w:tc>
        <w:tc>
          <w:tcPr>
            <w:tcW w:w="1734" w:type="pct"/>
            <w:vAlign w:val="center"/>
          </w:tcPr>
          <w:p w14:paraId="0FCBB31E">
            <w:pPr>
              <w:pStyle w:val="23"/>
              <w:keepNext w:val="0"/>
              <w:keepLines w:val="0"/>
              <w:suppressLineNumbers w:val="0"/>
              <w:spacing w:before="58" w:line="220" w:lineRule="auto"/>
              <w:ind w:left="111"/>
              <w:rPr>
                <w:b w:val="0"/>
                <w:bCs w:val="0"/>
                <w:color w:val="auto"/>
                <w:highlight w:val="none"/>
              </w:rPr>
            </w:pPr>
            <w:r>
              <w:rPr>
                <w:b w:val="0"/>
                <w:bCs w:val="0"/>
                <w:color w:val="auto"/>
                <w:spacing w:val="-1"/>
                <w:highlight w:val="none"/>
              </w:rPr>
              <w:t>a)是否按照相关要求建立专职消防队；</w:t>
            </w:r>
          </w:p>
        </w:tc>
        <w:tc>
          <w:tcPr>
            <w:tcW w:w="1180" w:type="pct"/>
            <w:vAlign w:val="center"/>
          </w:tcPr>
          <w:p w14:paraId="1A336071">
            <w:pPr>
              <w:pStyle w:val="23"/>
              <w:keepNext w:val="0"/>
              <w:keepLines w:val="0"/>
              <w:suppressLineNumbers w:val="0"/>
              <w:spacing w:before="168" w:line="307" w:lineRule="auto"/>
              <w:ind w:left="112" w:right="107"/>
              <w:rPr>
                <w:b w:val="0"/>
                <w:bCs w:val="0"/>
                <w:color w:val="auto"/>
                <w:highlight w:val="none"/>
              </w:rPr>
            </w:pPr>
            <w:r>
              <w:rPr>
                <w:b w:val="0"/>
                <w:bCs w:val="0"/>
                <w:color w:val="auto"/>
                <w:spacing w:val="1"/>
                <w:highlight w:val="none"/>
              </w:rPr>
              <w:t>未按规定建立专职消防队的，该评估子</w:t>
            </w:r>
            <w:r>
              <w:rPr>
                <w:b w:val="0"/>
                <w:bCs w:val="0"/>
                <w:color w:val="auto"/>
                <w:spacing w:val="-5"/>
                <w:highlight w:val="none"/>
              </w:rPr>
              <w:t>项不得分。</w:t>
            </w:r>
          </w:p>
        </w:tc>
        <w:tc>
          <w:tcPr>
            <w:tcW w:w="367" w:type="pct"/>
            <w:vAlign w:val="center"/>
          </w:tcPr>
          <w:p w14:paraId="2D0AB290">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vAlign w:val="center"/>
          </w:tcPr>
          <w:p w14:paraId="6106C9E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232A4678">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136180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1" w:hRule="atLeast"/>
          <w:jc w:val="center"/>
        </w:trPr>
        <w:tc>
          <w:tcPr>
            <w:tcW w:w="192" w:type="pct"/>
            <w:vMerge w:val="continue"/>
            <w:tcBorders>
              <w:top w:val="single" w:color="auto" w:sz="4" w:space="0"/>
              <w:bottom w:val="single" w:color="auto" w:sz="4" w:space="0"/>
            </w:tcBorders>
            <w:vAlign w:val="center"/>
          </w:tcPr>
          <w:p w14:paraId="7138222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bottom w:val="single" w:color="auto" w:sz="4" w:space="0"/>
            </w:tcBorders>
            <w:vAlign w:val="center"/>
          </w:tcPr>
          <w:p w14:paraId="3E26F18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continue"/>
            <w:vAlign w:val="center"/>
          </w:tcPr>
          <w:p w14:paraId="2A36218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4" w:type="pct"/>
            <w:vAlign w:val="center"/>
          </w:tcPr>
          <w:p w14:paraId="242523D2">
            <w:pPr>
              <w:pStyle w:val="23"/>
              <w:keepNext w:val="0"/>
              <w:keepLines w:val="0"/>
              <w:suppressLineNumbers w:val="0"/>
              <w:spacing w:before="59" w:line="220" w:lineRule="auto"/>
              <w:ind w:left="151"/>
              <w:rPr>
                <w:b w:val="0"/>
                <w:bCs w:val="0"/>
                <w:color w:val="auto"/>
                <w:highlight w:val="none"/>
              </w:rPr>
            </w:pPr>
            <w:r>
              <w:rPr>
                <w:b w:val="0"/>
                <w:bCs w:val="0"/>
                <w:color w:val="auto"/>
                <w:spacing w:val="2"/>
                <w:highlight w:val="none"/>
              </w:rPr>
              <w:t>b)是否明确专职消防队职责任务。</w:t>
            </w:r>
          </w:p>
        </w:tc>
        <w:tc>
          <w:tcPr>
            <w:tcW w:w="1180" w:type="pct"/>
            <w:vAlign w:val="center"/>
          </w:tcPr>
          <w:p w14:paraId="572E7192">
            <w:pPr>
              <w:pStyle w:val="23"/>
              <w:keepNext w:val="0"/>
              <w:keepLines w:val="0"/>
              <w:suppressLineNumbers w:val="0"/>
              <w:spacing w:before="69" w:line="295" w:lineRule="auto"/>
              <w:ind w:left="110" w:right="107" w:firstLine="2"/>
              <w:rPr>
                <w:b w:val="0"/>
                <w:bCs w:val="0"/>
                <w:color w:val="auto"/>
                <w:highlight w:val="none"/>
              </w:rPr>
            </w:pPr>
            <w:r>
              <w:rPr>
                <w:b w:val="0"/>
                <w:bCs w:val="0"/>
                <w:color w:val="auto"/>
                <w:spacing w:val="-4"/>
                <w:highlight w:val="none"/>
              </w:rPr>
              <w:t>未明确专职消防队职责任务的扣 3 分，</w:t>
            </w:r>
            <w:r>
              <w:rPr>
                <w:b w:val="0"/>
                <w:bCs w:val="0"/>
                <w:color w:val="auto"/>
                <w:spacing w:val="2"/>
                <w:highlight w:val="none"/>
              </w:rPr>
              <w:t>专职消防队职责任务不合理或影响火灾</w:t>
            </w:r>
            <w:r>
              <w:rPr>
                <w:b w:val="0"/>
                <w:bCs w:val="0"/>
                <w:color w:val="auto"/>
                <w:spacing w:val="-4"/>
                <w:highlight w:val="none"/>
              </w:rPr>
              <w:t>时消防救援的扣</w:t>
            </w:r>
            <w:r>
              <w:rPr>
                <w:b w:val="0"/>
                <w:bCs w:val="0"/>
                <w:color w:val="auto"/>
                <w:spacing w:val="-33"/>
                <w:highlight w:val="none"/>
              </w:rPr>
              <w:t xml:space="preserve"> </w:t>
            </w:r>
            <w:r>
              <w:rPr>
                <w:b w:val="0"/>
                <w:bCs w:val="0"/>
                <w:color w:val="auto"/>
                <w:spacing w:val="-4"/>
                <w:highlight w:val="none"/>
              </w:rPr>
              <w:t>2</w:t>
            </w:r>
            <w:r>
              <w:rPr>
                <w:b w:val="0"/>
                <w:bCs w:val="0"/>
                <w:color w:val="auto"/>
                <w:spacing w:val="-34"/>
                <w:highlight w:val="none"/>
              </w:rPr>
              <w:t xml:space="preserve"> </w:t>
            </w:r>
            <w:r>
              <w:rPr>
                <w:b w:val="0"/>
                <w:bCs w:val="0"/>
                <w:color w:val="auto"/>
                <w:spacing w:val="-4"/>
                <w:highlight w:val="none"/>
              </w:rPr>
              <w:t>分。</w:t>
            </w:r>
          </w:p>
        </w:tc>
        <w:tc>
          <w:tcPr>
            <w:tcW w:w="367" w:type="pct"/>
            <w:vAlign w:val="center"/>
          </w:tcPr>
          <w:p w14:paraId="28E2A8D0">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vAlign w:val="center"/>
          </w:tcPr>
          <w:p w14:paraId="796B8E5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73FF3C35">
            <w:pPr>
              <w:keepNext w:val="0"/>
              <w:keepLines w:val="0"/>
              <w:suppressLineNumbers w:val="0"/>
              <w:spacing w:before="0" w:beforeAutospacing="0" w:after="0" w:afterAutospacing="0"/>
              <w:ind w:left="0" w:right="0"/>
              <w:rPr>
                <w:rFonts w:hint="default" w:ascii="Arial"/>
                <w:b w:val="0"/>
                <w:bCs w:val="0"/>
                <w:color w:val="auto"/>
                <w:sz w:val="21"/>
                <w:highlight w:val="none"/>
              </w:rPr>
            </w:pPr>
          </w:p>
        </w:tc>
      </w:tr>
    </w:tbl>
    <w:p w14:paraId="03362066">
      <w:pPr>
        <w:rPr>
          <w:highlight w:val="none"/>
        </w:rPr>
      </w:pPr>
      <w:r>
        <w:rPr>
          <w:highlight w:val="none"/>
        </w:rPr>
        <w:br w:type="page"/>
      </w:r>
    </w:p>
    <w:tbl>
      <w:tblPr>
        <w:tblStyle w:val="24"/>
        <w:tblW w:w="493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65"/>
        <w:gridCol w:w="1459"/>
        <w:gridCol w:w="1090"/>
        <w:gridCol w:w="5158"/>
        <w:gridCol w:w="3512"/>
        <w:gridCol w:w="1090"/>
        <w:gridCol w:w="998"/>
        <w:gridCol w:w="975"/>
      </w:tblGrid>
      <w:tr w14:paraId="6AD704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 w:hRule="atLeast"/>
          <w:jc w:val="center"/>
        </w:trPr>
        <w:tc>
          <w:tcPr>
            <w:tcW w:w="190" w:type="pct"/>
            <w:tcBorders>
              <w:top w:val="single" w:color="auto" w:sz="4" w:space="0"/>
              <w:left w:val="single" w:color="auto" w:sz="4" w:space="0"/>
              <w:bottom w:val="single" w:color="auto" w:sz="4" w:space="0"/>
              <w:right w:val="single" w:color="auto" w:sz="4" w:space="0"/>
            </w:tcBorders>
            <w:vAlign w:val="center"/>
          </w:tcPr>
          <w:p w14:paraId="68934216">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tcBorders>
              <w:top w:val="single" w:color="auto" w:sz="4" w:space="0"/>
              <w:left w:val="single" w:color="auto" w:sz="4" w:space="0"/>
              <w:bottom w:val="single" w:color="auto" w:sz="4" w:space="0"/>
              <w:right w:val="single" w:color="auto" w:sz="4" w:space="0"/>
            </w:tcBorders>
            <w:vAlign w:val="center"/>
          </w:tcPr>
          <w:p w14:paraId="35B4F5A3">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tcBorders>
              <w:left w:val="single" w:color="auto" w:sz="4" w:space="0"/>
            </w:tcBorders>
            <w:vAlign w:val="center"/>
          </w:tcPr>
          <w:p w14:paraId="375281C1">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6" w:type="pct"/>
            <w:vAlign w:val="center"/>
          </w:tcPr>
          <w:p w14:paraId="6F3548CB">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2" w:type="pct"/>
            <w:vAlign w:val="center"/>
          </w:tcPr>
          <w:p w14:paraId="5DA9A9FB">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114E27EC">
            <w:pPr>
              <w:pStyle w:val="23"/>
              <w:keepNext w:val="0"/>
              <w:keepLines w:val="0"/>
              <w:suppressLineNumbers w:val="0"/>
              <w:spacing w:before="70" w:line="219" w:lineRule="auto"/>
              <w:ind w:left="170"/>
              <w:rPr>
                <w:highlight w:val="none"/>
              </w:rPr>
            </w:pPr>
            <w:r>
              <w:rPr>
                <w:b/>
                <w:bCs/>
                <w:spacing w:val="-3"/>
                <w:highlight w:val="none"/>
              </w:rPr>
              <w:t>评估情况</w:t>
            </w:r>
          </w:p>
        </w:tc>
        <w:tc>
          <w:tcPr>
            <w:tcW w:w="336" w:type="pct"/>
            <w:vAlign w:val="center"/>
          </w:tcPr>
          <w:p w14:paraId="1479F547">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4F643D38">
            <w:pPr>
              <w:pStyle w:val="23"/>
              <w:keepNext w:val="0"/>
              <w:keepLines w:val="0"/>
              <w:suppressLineNumbers w:val="0"/>
              <w:spacing w:before="71" w:line="220" w:lineRule="auto"/>
              <w:ind w:left="295"/>
              <w:rPr>
                <w:highlight w:val="none"/>
              </w:rPr>
            </w:pPr>
            <w:r>
              <w:rPr>
                <w:b/>
                <w:bCs/>
                <w:spacing w:val="-4"/>
                <w:highlight w:val="none"/>
              </w:rPr>
              <w:t>得分</w:t>
            </w:r>
          </w:p>
        </w:tc>
      </w:tr>
      <w:tr w14:paraId="661A68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2" w:hRule="atLeast"/>
          <w:jc w:val="center"/>
        </w:trPr>
        <w:tc>
          <w:tcPr>
            <w:tcW w:w="190" w:type="pct"/>
            <w:vMerge w:val="restart"/>
            <w:tcBorders>
              <w:top w:val="single" w:color="auto" w:sz="4" w:space="0"/>
              <w:left w:val="single" w:color="auto" w:sz="4" w:space="0"/>
              <w:bottom w:val="single" w:color="auto" w:sz="4" w:space="0"/>
              <w:right w:val="single" w:color="auto" w:sz="4" w:space="0"/>
            </w:tcBorders>
            <w:vAlign w:val="center"/>
          </w:tcPr>
          <w:p w14:paraId="045EE3F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restart"/>
            <w:tcBorders>
              <w:top w:val="single" w:color="auto" w:sz="4" w:space="0"/>
              <w:left w:val="single" w:color="auto" w:sz="4" w:space="0"/>
              <w:bottom w:val="single" w:color="auto" w:sz="4" w:space="0"/>
              <w:right w:val="single" w:color="auto" w:sz="4" w:space="0"/>
            </w:tcBorders>
            <w:vAlign w:val="center"/>
          </w:tcPr>
          <w:p w14:paraId="3E69A1F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tcBorders>
              <w:left w:val="single" w:color="auto" w:sz="4" w:space="0"/>
            </w:tcBorders>
            <w:vAlign w:val="center"/>
          </w:tcPr>
          <w:p w14:paraId="1E6EECD4">
            <w:pPr>
              <w:pStyle w:val="23"/>
              <w:keepNext w:val="0"/>
              <w:keepLines w:val="0"/>
              <w:suppressLineNumbers w:val="0"/>
              <w:spacing w:before="68" w:line="282" w:lineRule="auto"/>
              <w:ind w:left="112" w:right="248" w:firstLine="1"/>
              <w:jc w:val="left"/>
              <w:rPr>
                <w:b w:val="0"/>
                <w:bCs w:val="0"/>
                <w:color w:val="auto"/>
                <w:highlight w:val="none"/>
              </w:rPr>
            </w:pPr>
            <w:r>
              <w:rPr>
                <w:b w:val="0"/>
                <w:bCs w:val="0"/>
                <w:color w:val="auto"/>
                <w:spacing w:val="-3"/>
                <w:highlight w:val="none"/>
              </w:rPr>
              <w:t>消防队员（3</w:t>
            </w:r>
            <w:r>
              <w:rPr>
                <w:b w:val="0"/>
                <w:bCs w:val="0"/>
                <w:color w:val="auto"/>
                <w:spacing w:val="-6"/>
                <w:highlight w:val="none"/>
              </w:rPr>
              <w:t>分）</w:t>
            </w:r>
          </w:p>
        </w:tc>
        <w:tc>
          <w:tcPr>
            <w:tcW w:w="1736" w:type="pct"/>
            <w:vAlign w:val="center"/>
          </w:tcPr>
          <w:p w14:paraId="3E0D2537">
            <w:pPr>
              <w:pStyle w:val="23"/>
              <w:keepNext w:val="0"/>
              <w:keepLines w:val="0"/>
              <w:suppressLineNumbers w:val="0"/>
              <w:spacing w:before="223" w:line="220" w:lineRule="auto"/>
              <w:ind w:left="111"/>
              <w:rPr>
                <w:b w:val="0"/>
                <w:bCs w:val="0"/>
                <w:color w:val="auto"/>
                <w:highlight w:val="none"/>
              </w:rPr>
            </w:pPr>
            <w:r>
              <w:rPr>
                <w:b w:val="0"/>
                <w:bCs w:val="0"/>
                <w:color w:val="auto"/>
                <w:spacing w:val="-1"/>
                <w:highlight w:val="none"/>
              </w:rPr>
              <w:t>人员数量应当符合国家相关规定要求。</w:t>
            </w:r>
          </w:p>
        </w:tc>
        <w:tc>
          <w:tcPr>
            <w:tcW w:w="1182" w:type="pct"/>
            <w:vAlign w:val="center"/>
          </w:tcPr>
          <w:p w14:paraId="51FCFB93">
            <w:pPr>
              <w:pStyle w:val="23"/>
              <w:keepNext w:val="0"/>
              <w:keepLines w:val="0"/>
              <w:suppressLineNumbers w:val="0"/>
              <w:spacing w:before="68" w:line="282" w:lineRule="auto"/>
              <w:ind w:left="111" w:right="105"/>
              <w:rPr>
                <w:b w:val="0"/>
                <w:bCs w:val="0"/>
                <w:color w:val="auto"/>
                <w:highlight w:val="none"/>
              </w:rPr>
            </w:pPr>
            <w:r>
              <w:rPr>
                <w:b w:val="0"/>
                <w:bCs w:val="0"/>
                <w:color w:val="auto"/>
                <w:spacing w:val="12"/>
                <w:highlight w:val="none"/>
              </w:rPr>
              <w:t>人员数量不符合国家相关规定的扣 3</w:t>
            </w:r>
            <w:r>
              <w:rPr>
                <w:b w:val="0"/>
                <w:bCs w:val="0"/>
                <w:color w:val="auto"/>
                <w:spacing w:val="9"/>
                <w:highlight w:val="none"/>
              </w:rPr>
              <w:t xml:space="preserve"> </w:t>
            </w:r>
            <w:r>
              <w:rPr>
                <w:b w:val="0"/>
                <w:bCs w:val="0"/>
                <w:color w:val="auto"/>
                <w:spacing w:val="-5"/>
                <w:highlight w:val="none"/>
              </w:rPr>
              <w:t>分，最高扣</w:t>
            </w:r>
            <w:r>
              <w:rPr>
                <w:b w:val="0"/>
                <w:bCs w:val="0"/>
                <w:color w:val="auto"/>
                <w:spacing w:val="-34"/>
                <w:highlight w:val="none"/>
              </w:rPr>
              <w:t xml:space="preserve"> </w:t>
            </w:r>
            <w:r>
              <w:rPr>
                <w:b w:val="0"/>
                <w:bCs w:val="0"/>
                <w:color w:val="auto"/>
                <w:spacing w:val="-5"/>
                <w:highlight w:val="none"/>
              </w:rPr>
              <w:t>3</w:t>
            </w:r>
            <w:r>
              <w:rPr>
                <w:b w:val="0"/>
                <w:bCs w:val="0"/>
                <w:color w:val="auto"/>
                <w:spacing w:val="-34"/>
                <w:highlight w:val="none"/>
              </w:rPr>
              <w:t xml:space="preserve"> </w:t>
            </w:r>
            <w:r>
              <w:rPr>
                <w:b w:val="0"/>
                <w:bCs w:val="0"/>
                <w:color w:val="auto"/>
                <w:spacing w:val="-5"/>
                <w:highlight w:val="none"/>
              </w:rPr>
              <w:t>分。</w:t>
            </w:r>
          </w:p>
        </w:tc>
        <w:tc>
          <w:tcPr>
            <w:tcW w:w="367" w:type="pct"/>
            <w:vAlign w:val="center"/>
          </w:tcPr>
          <w:p w14:paraId="08BC8898">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vAlign w:val="center"/>
          </w:tcPr>
          <w:p w14:paraId="76556AD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36EF3022">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1EEEE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jc w:val="center"/>
        </w:trPr>
        <w:tc>
          <w:tcPr>
            <w:tcW w:w="190" w:type="pct"/>
            <w:vMerge w:val="continue"/>
            <w:tcBorders>
              <w:top w:val="single" w:color="auto" w:sz="4" w:space="0"/>
              <w:left w:val="single" w:color="auto" w:sz="4" w:space="0"/>
              <w:bottom w:val="single" w:color="auto" w:sz="4" w:space="0"/>
            </w:tcBorders>
            <w:vAlign w:val="center"/>
          </w:tcPr>
          <w:p w14:paraId="2DA4F7C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bottom w:val="single" w:color="auto" w:sz="4" w:space="0"/>
              <w:right w:val="single" w:color="auto" w:sz="4" w:space="0"/>
            </w:tcBorders>
            <w:vAlign w:val="center"/>
          </w:tcPr>
          <w:p w14:paraId="1CA32BB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tcBorders>
              <w:left w:val="single" w:color="auto" w:sz="4" w:space="0"/>
            </w:tcBorders>
            <w:vAlign w:val="center"/>
          </w:tcPr>
          <w:p w14:paraId="2FBC9E1B">
            <w:pPr>
              <w:pStyle w:val="23"/>
              <w:keepNext w:val="0"/>
              <w:keepLines w:val="0"/>
              <w:suppressLineNumbers w:val="0"/>
              <w:spacing w:before="68" w:line="282" w:lineRule="auto"/>
              <w:ind w:left="112" w:right="248" w:firstLine="1"/>
              <w:jc w:val="left"/>
              <w:rPr>
                <w:b w:val="0"/>
                <w:bCs w:val="0"/>
                <w:color w:val="auto"/>
                <w:highlight w:val="none"/>
              </w:rPr>
            </w:pPr>
            <w:r>
              <w:rPr>
                <w:b w:val="0"/>
                <w:bCs w:val="0"/>
                <w:color w:val="auto"/>
                <w:spacing w:val="-3"/>
                <w:highlight w:val="none"/>
              </w:rPr>
              <w:t>消防装备器材（3分）</w:t>
            </w:r>
          </w:p>
        </w:tc>
        <w:tc>
          <w:tcPr>
            <w:tcW w:w="1736" w:type="pct"/>
            <w:vAlign w:val="center"/>
          </w:tcPr>
          <w:p w14:paraId="1DD0F722">
            <w:pPr>
              <w:pStyle w:val="23"/>
              <w:keepNext w:val="0"/>
              <w:keepLines w:val="0"/>
              <w:suppressLineNumbers w:val="0"/>
              <w:spacing w:before="224" w:line="306" w:lineRule="auto"/>
              <w:ind w:left="110" w:right="108"/>
              <w:rPr>
                <w:b w:val="0"/>
                <w:bCs w:val="0"/>
                <w:color w:val="auto"/>
                <w:highlight w:val="none"/>
              </w:rPr>
            </w:pPr>
            <w:r>
              <w:rPr>
                <w:b w:val="0"/>
                <w:bCs w:val="0"/>
                <w:color w:val="auto"/>
                <w:spacing w:val="-2"/>
                <w:highlight w:val="none"/>
              </w:rPr>
              <w:t>应当结合实际需要，为消防队配备相应的消防装备、器</w:t>
            </w:r>
            <w:r>
              <w:rPr>
                <w:b w:val="0"/>
                <w:bCs w:val="0"/>
                <w:color w:val="auto"/>
                <w:spacing w:val="-1"/>
                <w:highlight w:val="none"/>
              </w:rPr>
              <w:t>材及灭火药剂储备。</w:t>
            </w:r>
          </w:p>
        </w:tc>
        <w:tc>
          <w:tcPr>
            <w:tcW w:w="1182" w:type="pct"/>
            <w:vAlign w:val="center"/>
          </w:tcPr>
          <w:p w14:paraId="07DFE24B">
            <w:pPr>
              <w:pStyle w:val="23"/>
              <w:keepNext w:val="0"/>
              <w:keepLines w:val="0"/>
              <w:suppressLineNumbers w:val="0"/>
              <w:spacing w:before="67" w:line="295" w:lineRule="auto"/>
              <w:ind w:left="110" w:right="106" w:firstLine="2"/>
              <w:jc w:val="both"/>
              <w:rPr>
                <w:b w:val="0"/>
                <w:bCs w:val="0"/>
                <w:color w:val="auto"/>
                <w:highlight w:val="none"/>
              </w:rPr>
            </w:pPr>
            <w:r>
              <w:rPr>
                <w:b w:val="0"/>
                <w:bCs w:val="0"/>
                <w:color w:val="auto"/>
                <w:spacing w:val="1"/>
                <w:highlight w:val="none"/>
              </w:rPr>
              <w:t>消防装备、器材及灭火药剂储备不符合</w:t>
            </w:r>
            <w:r>
              <w:rPr>
                <w:b w:val="0"/>
                <w:bCs w:val="0"/>
                <w:color w:val="auto"/>
                <w:spacing w:val="-3"/>
                <w:highlight w:val="none"/>
              </w:rPr>
              <w:t>规定的扣 3 分，现场与单位台账对不上</w:t>
            </w:r>
            <w:r>
              <w:rPr>
                <w:b w:val="0"/>
                <w:bCs w:val="0"/>
                <w:color w:val="auto"/>
                <w:spacing w:val="-6"/>
                <w:highlight w:val="none"/>
              </w:rPr>
              <w:t>的扣</w:t>
            </w:r>
            <w:r>
              <w:rPr>
                <w:b w:val="0"/>
                <w:bCs w:val="0"/>
                <w:color w:val="auto"/>
                <w:spacing w:val="-28"/>
                <w:highlight w:val="none"/>
              </w:rPr>
              <w:t xml:space="preserve"> </w:t>
            </w:r>
            <w:r>
              <w:rPr>
                <w:b w:val="0"/>
                <w:bCs w:val="0"/>
                <w:color w:val="auto"/>
                <w:spacing w:val="-6"/>
                <w:highlight w:val="none"/>
              </w:rPr>
              <w:t>2</w:t>
            </w:r>
            <w:r>
              <w:rPr>
                <w:b w:val="0"/>
                <w:bCs w:val="0"/>
                <w:color w:val="auto"/>
                <w:spacing w:val="-35"/>
                <w:highlight w:val="none"/>
              </w:rPr>
              <w:t xml:space="preserve"> </w:t>
            </w:r>
            <w:r>
              <w:rPr>
                <w:b w:val="0"/>
                <w:bCs w:val="0"/>
                <w:color w:val="auto"/>
                <w:spacing w:val="-6"/>
                <w:highlight w:val="none"/>
              </w:rPr>
              <w:t>分，最高扣</w:t>
            </w:r>
            <w:r>
              <w:rPr>
                <w:b w:val="0"/>
                <w:bCs w:val="0"/>
                <w:color w:val="auto"/>
                <w:spacing w:val="-36"/>
                <w:highlight w:val="none"/>
              </w:rPr>
              <w:t xml:space="preserve"> </w:t>
            </w:r>
            <w:r>
              <w:rPr>
                <w:b w:val="0"/>
                <w:bCs w:val="0"/>
                <w:color w:val="auto"/>
                <w:spacing w:val="-6"/>
                <w:highlight w:val="none"/>
              </w:rPr>
              <w:t>3</w:t>
            </w:r>
            <w:r>
              <w:rPr>
                <w:b w:val="0"/>
                <w:bCs w:val="0"/>
                <w:color w:val="auto"/>
                <w:spacing w:val="-34"/>
                <w:highlight w:val="none"/>
              </w:rPr>
              <w:t xml:space="preserve"> </w:t>
            </w:r>
            <w:r>
              <w:rPr>
                <w:b w:val="0"/>
                <w:bCs w:val="0"/>
                <w:color w:val="auto"/>
                <w:spacing w:val="-6"/>
                <w:highlight w:val="none"/>
              </w:rPr>
              <w:t>分。</w:t>
            </w:r>
          </w:p>
        </w:tc>
        <w:tc>
          <w:tcPr>
            <w:tcW w:w="367" w:type="pct"/>
            <w:vAlign w:val="center"/>
          </w:tcPr>
          <w:p w14:paraId="4FDD3966">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vAlign w:val="center"/>
          </w:tcPr>
          <w:p w14:paraId="427BE63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790FB155">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C044F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jc w:val="center"/>
        </w:trPr>
        <w:tc>
          <w:tcPr>
            <w:tcW w:w="190" w:type="pct"/>
            <w:vMerge w:val="continue"/>
            <w:tcBorders>
              <w:top w:val="single" w:color="auto" w:sz="4" w:space="0"/>
              <w:left w:val="single" w:color="auto" w:sz="4" w:space="0"/>
              <w:bottom w:val="single" w:color="auto" w:sz="4" w:space="0"/>
            </w:tcBorders>
            <w:vAlign w:val="center"/>
          </w:tcPr>
          <w:p w14:paraId="51F110E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bottom w:val="single" w:color="auto" w:sz="4" w:space="0"/>
              <w:right w:val="single" w:color="auto" w:sz="4" w:space="0"/>
            </w:tcBorders>
            <w:vAlign w:val="center"/>
          </w:tcPr>
          <w:p w14:paraId="259FA90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tcBorders>
              <w:left w:val="single" w:color="auto" w:sz="4" w:space="0"/>
            </w:tcBorders>
            <w:vAlign w:val="center"/>
          </w:tcPr>
          <w:p w14:paraId="1D933708">
            <w:pPr>
              <w:pStyle w:val="23"/>
              <w:keepNext w:val="0"/>
              <w:keepLines w:val="0"/>
              <w:suppressLineNumbers w:val="0"/>
              <w:spacing w:before="68" w:line="282" w:lineRule="auto"/>
              <w:ind w:left="112" w:right="248" w:firstLine="1"/>
              <w:jc w:val="left"/>
              <w:rPr>
                <w:b w:val="0"/>
                <w:bCs w:val="0"/>
                <w:color w:val="auto"/>
                <w:highlight w:val="none"/>
              </w:rPr>
            </w:pPr>
            <w:r>
              <w:rPr>
                <w:b w:val="0"/>
                <w:bCs w:val="0"/>
                <w:color w:val="auto"/>
                <w:spacing w:val="-3"/>
                <w:highlight w:val="none"/>
              </w:rPr>
              <w:t>日常工作制度（3分）</w:t>
            </w:r>
          </w:p>
        </w:tc>
        <w:tc>
          <w:tcPr>
            <w:tcW w:w="1736" w:type="pct"/>
            <w:vAlign w:val="center"/>
          </w:tcPr>
          <w:p w14:paraId="4DFB7D61">
            <w:pPr>
              <w:pStyle w:val="23"/>
              <w:keepNext w:val="0"/>
              <w:keepLines w:val="0"/>
              <w:suppressLineNumbers w:val="0"/>
              <w:spacing w:before="58" w:line="307" w:lineRule="auto"/>
              <w:ind w:left="110" w:right="40"/>
              <w:rPr>
                <w:b w:val="0"/>
                <w:bCs w:val="0"/>
                <w:color w:val="auto"/>
                <w:highlight w:val="none"/>
              </w:rPr>
            </w:pPr>
            <w:r>
              <w:rPr>
                <w:b w:val="0"/>
                <w:bCs w:val="0"/>
                <w:color w:val="auto"/>
                <w:spacing w:val="-6"/>
                <w:highlight w:val="none"/>
              </w:rPr>
              <w:t>应当建立并落实消防队定期例会、业务培训、</w:t>
            </w:r>
            <w:r>
              <w:rPr>
                <w:b w:val="0"/>
                <w:bCs w:val="0"/>
                <w:color w:val="auto"/>
                <w:spacing w:val="-7"/>
                <w:highlight w:val="none"/>
              </w:rPr>
              <w:t>训练演练、</w:t>
            </w:r>
            <w:r>
              <w:rPr>
                <w:b w:val="0"/>
                <w:bCs w:val="0"/>
                <w:color w:val="auto"/>
                <w:spacing w:val="-1"/>
                <w:highlight w:val="none"/>
              </w:rPr>
              <w:t>考核奖惩等工作制度。</w:t>
            </w:r>
          </w:p>
        </w:tc>
        <w:tc>
          <w:tcPr>
            <w:tcW w:w="1182" w:type="pct"/>
            <w:vAlign w:val="center"/>
          </w:tcPr>
          <w:p w14:paraId="6BA2A39A">
            <w:pPr>
              <w:pStyle w:val="23"/>
              <w:keepNext w:val="0"/>
              <w:keepLines w:val="0"/>
              <w:suppressLineNumbers w:val="0"/>
              <w:spacing w:before="68" w:line="301" w:lineRule="auto"/>
              <w:ind w:left="110" w:right="105"/>
              <w:jc w:val="both"/>
              <w:rPr>
                <w:b w:val="0"/>
                <w:bCs w:val="0"/>
                <w:color w:val="auto"/>
                <w:highlight w:val="none"/>
              </w:rPr>
            </w:pPr>
            <w:r>
              <w:rPr>
                <w:b w:val="0"/>
                <w:bCs w:val="0"/>
                <w:color w:val="auto"/>
                <w:spacing w:val="-4"/>
                <w:highlight w:val="none"/>
              </w:rPr>
              <w:t>无制度或制度不健全的扣 3 分，制度不</w:t>
            </w:r>
            <w:r>
              <w:rPr>
                <w:b w:val="0"/>
                <w:bCs w:val="0"/>
                <w:color w:val="auto"/>
                <w:spacing w:val="-3"/>
                <w:highlight w:val="none"/>
              </w:rPr>
              <w:t>合理的扣 2 分，无落实制度的证据或记录或频次低于制度的扣 1 分，最高扣 3</w:t>
            </w:r>
            <w:r>
              <w:rPr>
                <w:b w:val="0"/>
                <w:bCs w:val="0"/>
                <w:color w:val="auto"/>
                <w:spacing w:val="1"/>
                <w:highlight w:val="none"/>
              </w:rPr>
              <w:t xml:space="preserve"> </w:t>
            </w:r>
            <w:r>
              <w:rPr>
                <w:b w:val="0"/>
                <w:bCs w:val="0"/>
                <w:color w:val="auto"/>
                <w:spacing w:val="-9"/>
                <w:highlight w:val="none"/>
              </w:rPr>
              <w:t>分。</w:t>
            </w:r>
          </w:p>
        </w:tc>
        <w:tc>
          <w:tcPr>
            <w:tcW w:w="367" w:type="pct"/>
            <w:vAlign w:val="center"/>
          </w:tcPr>
          <w:p w14:paraId="1C7B02C1">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vAlign w:val="center"/>
          </w:tcPr>
          <w:p w14:paraId="02D2E91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22590433">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10BDB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jc w:val="center"/>
        </w:trPr>
        <w:tc>
          <w:tcPr>
            <w:tcW w:w="190" w:type="pct"/>
            <w:vMerge w:val="continue"/>
            <w:tcBorders>
              <w:top w:val="single" w:color="auto" w:sz="4" w:space="0"/>
              <w:left w:val="single" w:color="auto" w:sz="4" w:space="0"/>
              <w:bottom w:val="single" w:color="auto" w:sz="4" w:space="0"/>
            </w:tcBorders>
            <w:vAlign w:val="center"/>
          </w:tcPr>
          <w:p w14:paraId="04AB1D9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bottom w:val="single" w:color="auto" w:sz="4" w:space="0"/>
              <w:right w:val="single" w:color="auto" w:sz="4" w:space="0"/>
            </w:tcBorders>
            <w:vAlign w:val="center"/>
          </w:tcPr>
          <w:p w14:paraId="4910D07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tcBorders>
              <w:left w:val="single" w:color="auto" w:sz="4" w:space="0"/>
              <w:bottom w:val="single" w:color="auto" w:sz="4" w:space="0"/>
            </w:tcBorders>
            <w:vAlign w:val="center"/>
          </w:tcPr>
          <w:p w14:paraId="69633EF2">
            <w:pPr>
              <w:pStyle w:val="23"/>
              <w:keepNext w:val="0"/>
              <w:keepLines w:val="0"/>
              <w:suppressLineNumbers w:val="0"/>
              <w:spacing w:before="68" w:line="282" w:lineRule="auto"/>
              <w:ind w:left="112" w:right="248" w:firstLine="1"/>
              <w:jc w:val="left"/>
              <w:rPr>
                <w:b w:val="0"/>
                <w:bCs w:val="0"/>
                <w:color w:val="auto"/>
                <w:highlight w:val="none"/>
              </w:rPr>
            </w:pPr>
            <w:r>
              <w:rPr>
                <w:b w:val="0"/>
                <w:bCs w:val="0"/>
                <w:color w:val="auto"/>
                <w:spacing w:val="-3"/>
                <w:highlight w:val="none"/>
              </w:rPr>
              <w:t>实地测试 （6分）</w:t>
            </w:r>
          </w:p>
        </w:tc>
        <w:tc>
          <w:tcPr>
            <w:tcW w:w="1736" w:type="pct"/>
            <w:vAlign w:val="center"/>
          </w:tcPr>
          <w:p w14:paraId="04CEC14D">
            <w:pPr>
              <w:pStyle w:val="23"/>
              <w:keepNext w:val="0"/>
              <w:keepLines w:val="0"/>
              <w:suppressLineNumbers w:val="0"/>
              <w:spacing w:before="225" w:line="306" w:lineRule="auto"/>
              <w:ind w:left="111" w:right="105"/>
              <w:rPr>
                <w:b w:val="0"/>
                <w:bCs w:val="0"/>
                <w:color w:val="auto"/>
                <w:highlight w:val="none"/>
              </w:rPr>
            </w:pPr>
            <w:r>
              <w:rPr>
                <w:b w:val="0"/>
                <w:bCs w:val="0"/>
                <w:color w:val="auto"/>
                <w:spacing w:val="-2"/>
                <w:highlight w:val="none"/>
              </w:rPr>
              <w:t>现场模拟火情，专职消防队员应能及时到场并具备灭火</w:t>
            </w:r>
            <w:r>
              <w:rPr>
                <w:b w:val="0"/>
                <w:bCs w:val="0"/>
                <w:color w:val="auto"/>
                <w:spacing w:val="-1"/>
                <w:highlight w:val="none"/>
              </w:rPr>
              <w:t>技能，与附近专职消防</w:t>
            </w:r>
            <w:r>
              <w:rPr>
                <w:rFonts w:hint="eastAsia"/>
                <w:b w:val="0"/>
                <w:bCs w:val="0"/>
                <w:color w:val="auto"/>
                <w:spacing w:val="-1"/>
                <w:highlight w:val="none"/>
                <w:lang w:eastAsia="zh-CN"/>
              </w:rPr>
              <w:t>队员</w:t>
            </w:r>
            <w:r>
              <w:rPr>
                <w:b w:val="0"/>
                <w:bCs w:val="0"/>
                <w:color w:val="auto"/>
                <w:spacing w:val="-1"/>
                <w:highlight w:val="none"/>
              </w:rPr>
              <w:t>能够联动并一同处置火灾。</w:t>
            </w:r>
          </w:p>
        </w:tc>
        <w:tc>
          <w:tcPr>
            <w:tcW w:w="1182" w:type="pct"/>
            <w:vAlign w:val="center"/>
          </w:tcPr>
          <w:p w14:paraId="2D35AF9A">
            <w:pPr>
              <w:pStyle w:val="23"/>
              <w:keepNext w:val="0"/>
              <w:keepLines w:val="0"/>
              <w:suppressLineNumbers w:val="0"/>
              <w:spacing w:before="70" w:line="294" w:lineRule="auto"/>
              <w:ind w:left="109" w:right="107" w:firstLine="2"/>
              <w:jc w:val="both"/>
              <w:rPr>
                <w:b w:val="0"/>
                <w:bCs w:val="0"/>
                <w:color w:val="auto"/>
                <w:highlight w:val="none"/>
              </w:rPr>
            </w:pPr>
            <w:r>
              <w:rPr>
                <w:b w:val="0"/>
                <w:bCs w:val="0"/>
                <w:color w:val="auto"/>
                <w:spacing w:val="2"/>
                <w:highlight w:val="none"/>
              </w:rPr>
              <w:t>现场模拟火情，专职消防队员未按规定</w:t>
            </w:r>
            <w:r>
              <w:rPr>
                <w:b w:val="0"/>
                <w:bCs w:val="0"/>
                <w:color w:val="auto"/>
                <w:spacing w:val="-3"/>
                <w:highlight w:val="none"/>
              </w:rPr>
              <w:t>及时到场的扣 6 分，及时到场灭火技能</w:t>
            </w:r>
            <w:r>
              <w:rPr>
                <w:b w:val="0"/>
                <w:bCs w:val="0"/>
                <w:color w:val="auto"/>
                <w:spacing w:val="-5"/>
                <w:highlight w:val="none"/>
              </w:rPr>
              <w:t>不熟练的扣</w:t>
            </w:r>
            <w:r>
              <w:rPr>
                <w:b w:val="0"/>
                <w:bCs w:val="0"/>
                <w:color w:val="auto"/>
                <w:spacing w:val="-22"/>
                <w:highlight w:val="none"/>
              </w:rPr>
              <w:t xml:space="preserve"> </w:t>
            </w:r>
            <w:r>
              <w:rPr>
                <w:b w:val="0"/>
                <w:bCs w:val="0"/>
                <w:color w:val="auto"/>
                <w:spacing w:val="-5"/>
                <w:highlight w:val="none"/>
              </w:rPr>
              <w:t>3</w:t>
            </w:r>
            <w:r>
              <w:rPr>
                <w:b w:val="0"/>
                <w:bCs w:val="0"/>
                <w:color w:val="auto"/>
                <w:spacing w:val="-34"/>
                <w:highlight w:val="none"/>
              </w:rPr>
              <w:t xml:space="preserve"> </w:t>
            </w:r>
            <w:r>
              <w:rPr>
                <w:b w:val="0"/>
                <w:bCs w:val="0"/>
                <w:color w:val="auto"/>
                <w:spacing w:val="-5"/>
                <w:highlight w:val="none"/>
              </w:rPr>
              <w:t>分，最高扣</w:t>
            </w:r>
            <w:r>
              <w:rPr>
                <w:b w:val="0"/>
                <w:bCs w:val="0"/>
                <w:color w:val="auto"/>
                <w:spacing w:val="-38"/>
                <w:highlight w:val="none"/>
              </w:rPr>
              <w:t xml:space="preserve"> </w:t>
            </w:r>
            <w:r>
              <w:rPr>
                <w:b w:val="0"/>
                <w:bCs w:val="0"/>
                <w:color w:val="auto"/>
                <w:spacing w:val="-5"/>
                <w:highlight w:val="none"/>
              </w:rPr>
              <w:t>6</w:t>
            </w:r>
            <w:r>
              <w:rPr>
                <w:b w:val="0"/>
                <w:bCs w:val="0"/>
                <w:color w:val="auto"/>
                <w:spacing w:val="-34"/>
                <w:highlight w:val="none"/>
              </w:rPr>
              <w:t xml:space="preserve"> </w:t>
            </w:r>
            <w:r>
              <w:rPr>
                <w:b w:val="0"/>
                <w:bCs w:val="0"/>
                <w:color w:val="auto"/>
                <w:spacing w:val="-5"/>
                <w:highlight w:val="none"/>
              </w:rPr>
              <w:t>分。</w:t>
            </w:r>
          </w:p>
        </w:tc>
        <w:tc>
          <w:tcPr>
            <w:tcW w:w="367" w:type="pct"/>
            <w:vAlign w:val="center"/>
          </w:tcPr>
          <w:p w14:paraId="039E9EDB">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vAlign w:val="center"/>
          </w:tcPr>
          <w:p w14:paraId="5E182D4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1B71BE60">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7754C0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3" w:hRule="atLeast"/>
          <w:jc w:val="center"/>
        </w:trPr>
        <w:tc>
          <w:tcPr>
            <w:tcW w:w="190" w:type="pct"/>
            <w:vMerge w:val="restart"/>
            <w:tcBorders>
              <w:top w:val="single" w:color="auto" w:sz="4" w:space="0"/>
              <w:left w:val="single" w:color="auto" w:sz="4" w:space="0"/>
              <w:bottom w:val="single" w:color="auto" w:sz="4" w:space="0"/>
              <w:right w:val="single" w:color="auto" w:sz="4" w:space="0"/>
            </w:tcBorders>
            <w:vAlign w:val="center"/>
          </w:tcPr>
          <w:p w14:paraId="409A835E">
            <w:pPr>
              <w:pStyle w:val="23"/>
              <w:keepNext w:val="0"/>
              <w:keepLines w:val="0"/>
              <w:suppressLineNumbers w:val="0"/>
              <w:spacing w:before="59" w:line="182" w:lineRule="auto"/>
              <w:ind w:left="245"/>
              <w:rPr>
                <w:rFonts w:hint="eastAsia" w:eastAsia="宋体"/>
                <w:b w:val="0"/>
                <w:bCs w:val="0"/>
                <w:color w:val="auto"/>
                <w:highlight w:val="none"/>
                <w:lang w:eastAsia="zh-CN"/>
              </w:rPr>
            </w:pPr>
            <w:r>
              <w:rPr>
                <w:b w:val="0"/>
                <w:bCs w:val="0"/>
                <w:color w:val="auto"/>
                <w:spacing w:val="-12"/>
                <w:highlight w:val="none"/>
              </w:rPr>
              <w:t>1</w:t>
            </w:r>
            <w:r>
              <w:rPr>
                <w:rFonts w:hint="eastAsia"/>
                <w:b w:val="0"/>
                <w:bCs w:val="0"/>
                <w:color w:val="auto"/>
                <w:spacing w:val="-12"/>
                <w:highlight w:val="none"/>
                <w:lang w:val="en-US" w:eastAsia="zh-CN"/>
              </w:rPr>
              <w:t>1</w:t>
            </w:r>
          </w:p>
        </w:tc>
        <w:tc>
          <w:tcPr>
            <w:tcW w:w="491" w:type="pct"/>
            <w:vMerge w:val="restart"/>
            <w:tcBorders>
              <w:top w:val="single" w:color="auto" w:sz="4" w:space="0"/>
              <w:left w:val="single" w:color="auto" w:sz="4" w:space="0"/>
              <w:bottom w:val="single" w:color="auto" w:sz="4" w:space="0"/>
              <w:right w:val="single" w:color="auto" w:sz="4" w:space="0"/>
            </w:tcBorders>
            <w:vAlign w:val="center"/>
          </w:tcPr>
          <w:p w14:paraId="7D6CF205">
            <w:pPr>
              <w:pStyle w:val="23"/>
              <w:keepNext w:val="0"/>
              <w:keepLines w:val="0"/>
              <w:suppressLineNumbers w:val="0"/>
              <w:spacing w:before="58" w:line="313" w:lineRule="auto"/>
              <w:ind w:left="121" w:right="107" w:firstLine="39"/>
              <w:jc w:val="both"/>
              <w:rPr>
                <w:b w:val="0"/>
                <w:bCs w:val="0"/>
                <w:color w:val="auto"/>
                <w:highlight w:val="none"/>
              </w:rPr>
            </w:pPr>
            <w:r>
              <w:rPr>
                <w:b w:val="0"/>
                <w:bCs w:val="0"/>
                <w:color w:val="auto"/>
                <w:spacing w:val="-2"/>
                <w:highlight w:val="none"/>
              </w:rPr>
              <w:t>志愿消防力量</w:t>
            </w:r>
            <w:r>
              <w:rPr>
                <w:b w:val="0"/>
                <w:bCs w:val="0"/>
                <w:color w:val="auto"/>
                <w:spacing w:val="4"/>
                <w:highlight w:val="none"/>
              </w:rPr>
              <w:t>（包括志愿消</w:t>
            </w:r>
            <w:r>
              <w:rPr>
                <w:b w:val="0"/>
                <w:bCs w:val="0"/>
                <w:color w:val="auto"/>
                <w:spacing w:val="-15"/>
                <w:highlight w:val="none"/>
              </w:rPr>
              <w:t>防队、微型</w:t>
            </w:r>
            <w:r>
              <w:rPr>
                <w:rFonts w:hint="eastAsia"/>
                <w:b w:val="0"/>
                <w:bCs w:val="0"/>
                <w:color w:val="auto"/>
                <w:spacing w:val="-15"/>
                <w:highlight w:val="none"/>
                <w:lang w:eastAsia="zh-CN"/>
              </w:rPr>
              <w:t>消防站</w:t>
            </w:r>
            <w:r>
              <w:rPr>
                <w:b w:val="0"/>
                <w:bCs w:val="0"/>
                <w:color w:val="auto"/>
                <w:spacing w:val="4"/>
                <w:highlight w:val="none"/>
              </w:rPr>
              <w:t>、技术处置</w:t>
            </w:r>
            <w:r>
              <w:rPr>
                <w:b w:val="0"/>
                <w:bCs w:val="0"/>
                <w:color w:val="auto"/>
                <w:spacing w:val="-9"/>
                <w:highlight w:val="none"/>
              </w:rPr>
              <w:t>队）</w:t>
            </w:r>
          </w:p>
          <w:p w14:paraId="7C065988">
            <w:pPr>
              <w:pStyle w:val="23"/>
              <w:keepNext w:val="0"/>
              <w:keepLines w:val="0"/>
              <w:suppressLineNumbers w:val="0"/>
              <w:spacing w:before="93" w:line="221" w:lineRule="auto"/>
              <w:ind w:left="318"/>
              <w:rPr>
                <w:b w:val="0"/>
                <w:bCs w:val="0"/>
                <w:color w:val="auto"/>
                <w:highlight w:val="none"/>
              </w:rPr>
            </w:pPr>
            <w:r>
              <w:rPr>
                <w:b w:val="0"/>
                <w:bCs w:val="0"/>
                <w:color w:val="auto"/>
                <w:spacing w:val="-5"/>
                <w:highlight w:val="none"/>
              </w:rPr>
              <w:t>（15</w:t>
            </w:r>
            <w:r>
              <w:rPr>
                <w:b w:val="0"/>
                <w:bCs w:val="0"/>
                <w:color w:val="auto"/>
                <w:spacing w:val="-35"/>
                <w:highlight w:val="none"/>
              </w:rPr>
              <w:t xml:space="preserve"> </w:t>
            </w:r>
            <w:r>
              <w:rPr>
                <w:b w:val="0"/>
                <w:bCs w:val="0"/>
                <w:color w:val="auto"/>
                <w:spacing w:val="-5"/>
                <w:highlight w:val="none"/>
              </w:rPr>
              <w:t>分）</w:t>
            </w:r>
          </w:p>
        </w:tc>
        <w:tc>
          <w:tcPr>
            <w:tcW w:w="367" w:type="pct"/>
            <w:tcBorders>
              <w:top w:val="single" w:color="auto" w:sz="4" w:space="0"/>
              <w:left w:val="single" w:color="auto" w:sz="4" w:space="0"/>
              <w:bottom w:val="single" w:color="auto" w:sz="4" w:space="0"/>
              <w:right w:val="single" w:color="auto" w:sz="4" w:space="0"/>
            </w:tcBorders>
            <w:vAlign w:val="center"/>
          </w:tcPr>
          <w:p w14:paraId="0D31552B">
            <w:pPr>
              <w:pStyle w:val="23"/>
              <w:keepNext w:val="0"/>
              <w:keepLines w:val="0"/>
              <w:suppressLineNumbers w:val="0"/>
              <w:spacing w:before="58" w:line="307" w:lineRule="auto"/>
              <w:ind w:left="112" w:right="108"/>
              <w:rPr>
                <w:b w:val="0"/>
                <w:bCs w:val="0"/>
                <w:color w:val="auto"/>
                <w:highlight w:val="none"/>
              </w:rPr>
            </w:pPr>
            <w:r>
              <w:rPr>
                <w:b w:val="0"/>
                <w:bCs w:val="0"/>
                <w:color w:val="auto"/>
                <w:spacing w:val="-8"/>
                <w:highlight w:val="none"/>
              </w:rPr>
              <w:t>志愿消防队（5</w:t>
            </w:r>
            <w:r>
              <w:rPr>
                <w:b w:val="0"/>
                <w:bCs w:val="0"/>
                <w:color w:val="auto"/>
                <w:spacing w:val="2"/>
                <w:highlight w:val="none"/>
              </w:rPr>
              <w:t xml:space="preserve"> </w:t>
            </w:r>
            <w:r>
              <w:rPr>
                <w:b w:val="0"/>
                <w:bCs w:val="0"/>
                <w:color w:val="auto"/>
                <w:spacing w:val="-6"/>
                <w:highlight w:val="none"/>
              </w:rPr>
              <w:t>分）</w:t>
            </w:r>
          </w:p>
        </w:tc>
        <w:tc>
          <w:tcPr>
            <w:tcW w:w="1736" w:type="pct"/>
            <w:tcBorders>
              <w:left w:val="single" w:color="auto" w:sz="4" w:space="0"/>
            </w:tcBorders>
            <w:vAlign w:val="center"/>
          </w:tcPr>
          <w:p w14:paraId="3A334532">
            <w:pPr>
              <w:pStyle w:val="23"/>
              <w:keepNext w:val="0"/>
              <w:keepLines w:val="0"/>
              <w:suppressLineNumbers w:val="0"/>
              <w:spacing w:before="59" w:line="220" w:lineRule="auto"/>
              <w:ind w:left="111"/>
              <w:rPr>
                <w:b w:val="0"/>
                <w:bCs w:val="0"/>
                <w:color w:val="auto"/>
                <w:highlight w:val="none"/>
              </w:rPr>
            </w:pPr>
            <w:r>
              <w:rPr>
                <w:b w:val="0"/>
                <w:bCs w:val="0"/>
                <w:color w:val="auto"/>
                <w:spacing w:val="-1"/>
                <w:highlight w:val="none"/>
              </w:rPr>
              <w:t>a)是否按规定建立志愿消防队；</w:t>
            </w:r>
          </w:p>
          <w:p w14:paraId="3A2BFC67">
            <w:pPr>
              <w:pStyle w:val="23"/>
              <w:keepNext w:val="0"/>
              <w:keepLines w:val="0"/>
              <w:suppressLineNumbers w:val="0"/>
              <w:spacing w:before="97" w:line="311" w:lineRule="auto"/>
              <w:ind w:left="112" w:right="103" w:hanging="5"/>
              <w:jc w:val="both"/>
              <w:rPr>
                <w:b w:val="0"/>
                <w:bCs w:val="0"/>
                <w:color w:val="auto"/>
                <w:highlight w:val="none"/>
              </w:rPr>
            </w:pPr>
            <w:r>
              <w:rPr>
                <w:b w:val="0"/>
                <w:bCs w:val="0"/>
                <w:color w:val="auto"/>
                <w:spacing w:val="-2"/>
                <w:highlight w:val="none"/>
              </w:rPr>
              <w:t>b)是否建立并落实志愿消防队各项日常管理制度，是否</w:t>
            </w:r>
            <w:r>
              <w:rPr>
                <w:b w:val="0"/>
                <w:bCs w:val="0"/>
                <w:color w:val="auto"/>
                <w:spacing w:val="-3"/>
                <w:highlight w:val="none"/>
              </w:rPr>
              <w:t>明确志愿消防队职责任务，现场抽查至少</w:t>
            </w:r>
            <w:r>
              <w:rPr>
                <w:b w:val="0"/>
                <w:bCs w:val="0"/>
                <w:color w:val="auto"/>
                <w:spacing w:val="-25"/>
                <w:highlight w:val="none"/>
              </w:rPr>
              <w:t xml:space="preserve"> </w:t>
            </w:r>
            <w:r>
              <w:rPr>
                <w:b w:val="0"/>
                <w:bCs w:val="0"/>
                <w:color w:val="auto"/>
                <w:spacing w:val="-3"/>
                <w:highlight w:val="none"/>
              </w:rPr>
              <w:t>2</w:t>
            </w:r>
            <w:r>
              <w:rPr>
                <w:b w:val="0"/>
                <w:bCs w:val="0"/>
                <w:color w:val="auto"/>
                <w:spacing w:val="-34"/>
                <w:highlight w:val="none"/>
              </w:rPr>
              <w:t xml:space="preserve"> </w:t>
            </w:r>
            <w:r>
              <w:rPr>
                <w:b w:val="0"/>
                <w:bCs w:val="0"/>
                <w:color w:val="auto"/>
                <w:spacing w:val="-3"/>
                <w:highlight w:val="none"/>
              </w:rPr>
              <w:t>名志愿消防</w:t>
            </w:r>
            <w:r>
              <w:rPr>
                <w:b w:val="0"/>
                <w:bCs w:val="0"/>
                <w:color w:val="auto"/>
                <w:spacing w:val="-4"/>
                <w:highlight w:val="none"/>
              </w:rPr>
              <w:t>组织成员的职责掌握情况；</w:t>
            </w:r>
          </w:p>
          <w:p w14:paraId="5D5BAAA2">
            <w:pPr>
              <w:pStyle w:val="23"/>
              <w:keepNext w:val="0"/>
              <w:keepLines w:val="0"/>
              <w:suppressLineNumbers w:val="0"/>
              <w:spacing w:before="25" w:line="307" w:lineRule="auto"/>
              <w:ind w:left="111" w:right="105" w:firstLine="2"/>
              <w:rPr>
                <w:b w:val="0"/>
                <w:bCs w:val="0"/>
                <w:color w:val="auto"/>
                <w:highlight w:val="none"/>
              </w:rPr>
            </w:pPr>
            <w:r>
              <w:rPr>
                <w:b w:val="0"/>
                <w:bCs w:val="0"/>
                <w:color w:val="auto"/>
                <w:spacing w:val="-2"/>
                <w:highlight w:val="none"/>
              </w:rPr>
              <w:t>c)志愿消防队人员数量、装备配备及灭火药剂储备是否</w:t>
            </w:r>
            <w:r>
              <w:rPr>
                <w:b w:val="0"/>
                <w:bCs w:val="0"/>
                <w:color w:val="auto"/>
                <w:spacing w:val="-1"/>
                <w:highlight w:val="none"/>
              </w:rPr>
              <w:t>符合有关规定要求；</w:t>
            </w:r>
          </w:p>
          <w:p w14:paraId="67AC1B49">
            <w:pPr>
              <w:pStyle w:val="23"/>
              <w:keepNext w:val="0"/>
              <w:keepLines w:val="0"/>
              <w:suppressLineNumbers w:val="0"/>
              <w:spacing w:before="26" w:line="307" w:lineRule="auto"/>
              <w:ind w:left="108" w:right="105" w:firstLine="5"/>
              <w:rPr>
                <w:b w:val="0"/>
                <w:bCs w:val="0"/>
                <w:color w:val="auto"/>
                <w:highlight w:val="none"/>
              </w:rPr>
            </w:pPr>
            <w:r>
              <w:rPr>
                <w:b w:val="0"/>
                <w:bCs w:val="0"/>
                <w:color w:val="auto"/>
                <w:spacing w:val="-2"/>
                <w:highlight w:val="none"/>
              </w:rPr>
              <w:t>d)现场模拟火情，实地测试志愿消防队员灭火技能掌握情况。</w:t>
            </w:r>
          </w:p>
        </w:tc>
        <w:tc>
          <w:tcPr>
            <w:tcW w:w="1182" w:type="pct"/>
            <w:vAlign w:val="center"/>
          </w:tcPr>
          <w:p w14:paraId="676FD256">
            <w:pPr>
              <w:pStyle w:val="23"/>
              <w:keepNext w:val="0"/>
              <w:keepLines w:val="0"/>
              <w:suppressLineNumbers w:val="0"/>
              <w:spacing w:before="67" w:line="315" w:lineRule="auto"/>
              <w:ind w:left="111" w:right="103"/>
              <w:rPr>
                <w:b w:val="0"/>
                <w:bCs w:val="0"/>
                <w:color w:val="auto"/>
                <w:highlight w:val="none"/>
              </w:rPr>
            </w:pPr>
            <w:r>
              <w:rPr>
                <w:b w:val="0"/>
                <w:bCs w:val="0"/>
                <w:color w:val="auto"/>
                <w:spacing w:val="-1"/>
                <w:highlight w:val="none"/>
              </w:rPr>
              <w:t>未按规定建立志愿消防队的，该评估小</w:t>
            </w:r>
            <w:r>
              <w:rPr>
                <w:b w:val="0"/>
                <w:bCs w:val="0"/>
                <w:color w:val="auto"/>
                <w:spacing w:val="-2"/>
                <w:highlight w:val="none"/>
              </w:rPr>
              <w:t>项不得分。未建立日常管理制度的扣</w:t>
            </w:r>
            <w:r>
              <w:rPr>
                <w:b w:val="0"/>
                <w:bCs w:val="0"/>
                <w:color w:val="auto"/>
                <w:spacing w:val="-23"/>
                <w:highlight w:val="none"/>
              </w:rPr>
              <w:t xml:space="preserve"> </w:t>
            </w:r>
            <w:r>
              <w:rPr>
                <w:b w:val="0"/>
                <w:bCs w:val="0"/>
                <w:color w:val="auto"/>
                <w:spacing w:val="-2"/>
                <w:highlight w:val="none"/>
              </w:rPr>
              <w:t>2</w:t>
            </w:r>
            <w:r>
              <w:rPr>
                <w:b w:val="0"/>
                <w:bCs w:val="0"/>
                <w:color w:val="auto"/>
                <w:highlight w:val="none"/>
              </w:rPr>
              <w:t xml:space="preserve"> </w:t>
            </w:r>
            <w:r>
              <w:rPr>
                <w:b w:val="0"/>
                <w:bCs w:val="0"/>
                <w:color w:val="auto"/>
                <w:spacing w:val="-6"/>
                <w:highlight w:val="none"/>
              </w:rPr>
              <w:t>分，制度不合理的每发现一处问题扣</w:t>
            </w:r>
            <w:r>
              <w:rPr>
                <w:b w:val="0"/>
                <w:bCs w:val="0"/>
                <w:color w:val="auto"/>
                <w:spacing w:val="-36"/>
                <w:highlight w:val="none"/>
              </w:rPr>
              <w:t xml:space="preserve"> </w:t>
            </w:r>
            <w:r>
              <w:rPr>
                <w:b w:val="0"/>
                <w:bCs w:val="0"/>
                <w:color w:val="auto"/>
                <w:spacing w:val="-6"/>
                <w:highlight w:val="none"/>
              </w:rPr>
              <w:t>0.5</w:t>
            </w:r>
            <w:r>
              <w:rPr>
                <w:b w:val="0"/>
                <w:bCs w:val="0"/>
                <w:color w:val="auto"/>
                <w:highlight w:val="none"/>
              </w:rPr>
              <w:t xml:space="preserve"> </w:t>
            </w:r>
            <w:r>
              <w:rPr>
                <w:b w:val="0"/>
                <w:bCs w:val="0"/>
                <w:color w:val="auto"/>
                <w:spacing w:val="-2"/>
                <w:highlight w:val="none"/>
              </w:rPr>
              <w:t>分，最高扣</w:t>
            </w:r>
            <w:r>
              <w:rPr>
                <w:b w:val="0"/>
                <w:bCs w:val="0"/>
                <w:color w:val="auto"/>
                <w:spacing w:val="-35"/>
                <w:highlight w:val="none"/>
              </w:rPr>
              <w:t xml:space="preserve"> </w:t>
            </w:r>
            <w:r>
              <w:rPr>
                <w:b w:val="0"/>
                <w:bCs w:val="0"/>
                <w:color w:val="auto"/>
                <w:spacing w:val="-2"/>
                <w:highlight w:val="none"/>
              </w:rPr>
              <w:t>2</w:t>
            </w:r>
            <w:r>
              <w:rPr>
                <w:b w:val="0"/>
                <w:bCs w:val="0"/>
                <w:color w:val="auto"/>
                <w:spacing w:val="-34"/>
                <w:highlight w:val="none"/>
              </w:rPr>
              <w:t xml:space="preserve"> </w:t>
            </w:r>
            <w:r>
              <w:rPr>
                <w:b w:val="0"/>
                <w:bCs w:val="0"/>
                <w:color w:val="auto"/>
                <w:spacing w:val="-2"/>
                <w:highlight w:val="none"/>
              </w:rPr>
              <w:t>分。志愿消防组织成员职</w:t>
            </w:r>
            <w:r>
              <w:rPr>
                <w:b w:val="0"/>
                <w:bCs w:val="0"/>
                <w:color w:val="auto"/>
                <w:spacing w:val="-1"/>
                <w:highlight w:val="none"/>
              </w:rPr>
              <w:t>责掌握情况不清楚的每发现一人扣</w:t>
            </w:r>
            <w:r>
              <w:rPr>
                <w:b w:val="0"/>
                <w:bCs w:val="0"/>
                <w:color w:val="auto"/>
                <w:spacing w:val="-21"/>
                <w:highlight w:val="none"/>
              </w:rPr>
              <w:t xml:space="preserve"> </w:t>
            </w:r>
            <w:r>
              <w:rPr>
                <w:b w:val="0"/>
                <w:bCs w:val="0"/>
                <w:color w:val="auto"/>
                <w:spacing w:val="-1"/>
                <w:highlight w:val="none"/>
              </w:rPr>
              <w:t>1</w:t>
            </w:r>
            <w:r>
              <w:rPr>
                <w:rFonts w:hint="eastAsia"/>
                <w:b w:val="0"/>
                <w:bCs w:val="0"/>
                <w:color w:val="auto"/>
                <w:spacing w:val="-1"/>
                <w:highlight w:val="none"/>
                <w:lang w:val="en-US" w:eastAsia="zh-CN"/>
              </w:rPr>
              <w:t xml:space="preserve"> </w:t>
            </w:r>
            <w:r>
              <w:rPr>
                <w:b w:val="0"/>
                <w:bCs w:val="0"/>
                <w:color w:val="auto"/>
                <w:spacing w:val="-9"/>
                <w:highlight w:val="none"/>
              </w:rPr>
              <w:t>分。</w:t>
            </w:r>
            <w:r>
              <w:rPr>
                <w:b w:val="0"/>
                <w:bCs w:val="0"/>
                <w:color w:val="auto"/>
                <w:spacing w:val="-1"/>
                <w:highlight w:val="none"/>
              </w:rPr>
              <w:t>消防装备、器材及灭火药剂储备不符合</w:t>
            </w:r>
            <w:r>
              <w:rPr>
                <w:b w:val="0"/>
                <w:bCs w:val="0"/>
                <w:color w:val="auto"/>
                <w:spacing w:val="-8"/>
                <w:highlight w:val="none"/>
              </w:rPr>
              <w:t>规定的扣</w:t>
            </w:r>
            <w:r>
              <w:rPr>
                <w:b w:val="0"/>
                <w:bCs w:val="0"/>
                <w:color w:val="auto"/>
                <w:spacing w:val="-27"/>
                <w:highlight w:val="none"/>
              </w:rPr>
              <w:t xml:space="preserve"> </w:t>
            </w:r>
            <w:r>
              <w:rPr>
                <w:b w:val="0"/>
                <w:bCs w:val="0"/>
                <w:color w:val="auto"/>
                <w:spacing w:val="-8"/>
                <w:highlight w:val="none"/>
              </w:rPr>
              <w:t>2</w:t>
            </w:r>
            <w:r>
              <w:rPr>
                <w:b w:val="0"/>
                <w:bCs w:val="0"/>
                <w:color w:val="auto"/>
                <w:spacing w:val="-34"/>
                <w:highlight w:val="none"/>
              </w:rPr>
              <w:t xml:space="preserve"> </w:t>
            </w:r>
            <w:r>
              <w:rPr>
                <w:b w:val="0"/>
                <w:bCs w:val="0"/>
                <w:color w:val="auto"/>
                <w:spacing w:val="-8"/>
                <w:highlight w:val="none"/>
              </w:rPr>
              <w:t>分，人员数量不足的扣</w:t>
            </w:r>
            <w:r>
              <w:rPr>
                <w:b w:val="0"/>
                <w:bCs w:val="0"/>
                <w:color w:val="auto"/>
                <w:spacing w:val="-35"/>
                <w:highlight w:val="none"/>
              </w:rPr>
              <w:t xml:space="preserve"> </w:t>
            </w:r>
            <w:r>
              <w:rPr>
                <w:b w:val="0"/>
                <w:bCs w:val="0"/>
                <w:color w:val="auto"/>
                <w:spacing w:val="-8"/>
                <w:highlight w:val="none"/>
              </w:rPr>
              <w:t>2</w:t>
            </w:r>
            <w:r>
              <w:rPr>
                <w:b w:val="0"/>
                <w:bCs w:val="0"/>
                <w:color w:val="auto"/>
                <w:spacing w:val="-34"/>
                <w:highlight w:val="none"/>
              </w:rPr>
              <w:t xml:space="preserve"> </w:t>
            </w:r>
            <w:r>
              <w:rPr>
                <w:b w:val="0"/>
                <w:bCs w:val="0"/>
                <w:color w:val="auto"/>
                <w:spacing w:val="-8"/>
                <w:highlight w:val="none"/>
              </w:rPr>
              <w:t>分，</w:t>
            </w:r>
            <w:r>
              <w:rPr>
                <w:b w:val="0"/>
                <w:bCs w:val="0"/>
                <w:color w:val="auto"/>
                <w:spacing w:val="-3"/>
                <w:highlight w:val="none"/>
              </w:rPr>
              <w:t>现场与单位台账不一致的扣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分。该评</w:t>
            </w:r>
            <w:r>
              <w:rPr>
                <w:b w:val="0"/>
                <w:bCs w:val="0"/>
                <w:color w:val="auto"/>
                <w:spacing w:val="-5"/>
                <w:highlight w:val="none"/>
              </w:rPr>
              <w:t>估小项最高扣</w:t>
            </w:r>
            <w:r>
              <w:rPr>
                <w:b w:val="0"/>
                <w:bCs w:val="0"/>
                <w:color w:val="auto"/>
                <w:spacing w:val="-27"/>
                <w:highlight w:val="none"/>
              </w:rPr>
              <w:t xml:space="preserve"> </w:t>
            </w:r>
            <w:r>
              <w:rPr>
                <w:b w:val="0"/>
                <w:bCs w:val="0"/>
                <w:color w:val="auto"/>
                <w:spacing w:val="-5"/>
                <w:highlight w:val="none"/>
              </w:rPr>
              <w:t>5</w:t>
            </w:r>
            <w:r>
              <w:rPr>
                <w:b w:val="0"/>
                <w:bCs w:val="0"/>
                <w:color w:val="auto"/>
                <w:spacing w:val="-34"/>
                <w:highlight w:val="none"/>
              </w:rPr>
              <w:t xml:space="preserve"> </w:t>
            </w:r>
            <w:r>
              <w:rPr>
                <w:b w:val="0"/>
                <w:bCs w:val="0"/>
                <w:color w:val="auto"/>
                <w:spacing w:val="-5"/>
                <w:highlight w:val="none"/>
              </w:rPr>
              <w:t>分。</w:t>
            </w:r>
          </w:p>
        </w:tc>
        <w:tc>
          <w:tcPr>
            <w:tcW w:w="367" w:type="pct"/>
            <w:vAlign w:val="center"/>
          </w:tcPr>
          <w:p w14:paraId="46E9E998">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6" w:type="pct"/>
            <w:vAlign w:val="center"/>
          </w:tcPr>
          <w:p w14:paraId="7D4682A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13445B9D">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3AA7D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6" w:hRule="atLeast"/>
          <w:jc w:val="center"/>
        </w:trPr>
        <w:tc>
          <w:tcPr>
            <w:tcW w:w="190" w:type="pct"/>
            <w:vMerge w:val="continue"/>
            <w:tcBorders>
              <w:top w:val="single" w:color="auto" w:sz="4" w:space="0"/>
              <w:left w:val="single" w:color="auto" w:sz="4" w:space="0"/>
              <w:bottom w:val="single" w:color="auto" w:sz="4" w:space="0"/>
              <w:right w:val="single" w:color="auto" w:sz="4" w:space="0"/>
            </w:tcBorders>
            <w:vAlign w:val="center"/>
          </w:tcPr>
          <w:p w14:paraId="725F4F6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top w:val="single" w:color="auto" w:sz="4" w:space="0"/>
              <w:left w:val="single" w:color="auto" w:sz="4" w:space="0"/>
              <w:bottom w:val="single" w:color="auto" w:sz="4" w:space="0"/>
              <w:right w:val="single" w:color="auto" w:sz="4" w:space="0"/>
            </w:tcBorders>
            <w:vAlign w:val="center"/>
          </w:tcPr>
          <w:p w14:paraId="5990BC7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tcBorders>
              <w:top w:val="single" w:color="auto" w:sz="4" w:space="0"/>
              <w:left w:val="single" w:color="auto" w:sz="4" w:space="0"/>
              <w:bottom w:val="single" w:color="auto" w:sz="4" w:space="0"/>
              <w:right w:val="single" w:color="auto" w:sz="4" w:space="0"/>
            </w:tcBorders>
            <w:vAlign w:val="center"/>
          </w:tcPr>
          <w:p w14:paraId="18ADED78">
            <w:pPr>
              <w:pStyle w:val="23"/>
              <w:keepNext w:val="0"/>
              <w:keepLines w:val="0"/>
              <w:suppressLineNumbers w:val="0"/>
              <w:spacing w:before="58" w:line="307" w:lineRule="auto"/>
              <w:ind w:left="112" w:right="108" w:hanging="2"/>
              <w:rPr>
                <w:b w:val="0"/>
                <w:bCs w:val="0"/>
                <w:color w:val="auto"/>
                <w:highlight w:val="none"/>
              </w:rPr>
            </w:pPr>
            <w:r>
              <w:rPr>
                <w:b w:val="0"/>
                <w:bCs w:val="0"/>
                <w:color w:val="auto"/>
                <w:spacing w:val="-8"/>
                <w:highlight w:val="none"/>
              </w:rPr>
              <w:t>微型消防站（8</w:t>
            </w:r>
            <w:r>
              <w:rPr>
                <w:b w:val="0"/>
                <w:bCs w:val="0"/>
                <w:color w:val="auto"/>
                <w:spacing w:val="5"/>
                <w:highlight w:val="none"/>
              </w:rPr>
              <w:t xml:space="preserve"> </w:t>
            </w:r>
            <w:r>
              <w:rPr>
                <w:b w:val="0"/>
                <w:bCs w:val="0"/>
                <w:color w:val="auto"/>
                <w:spacing w:val="-6"/>
                <w:highlight w:val="none"/>
              </w:rPr>
              <w:t>分）</w:t>
            </w:r>
          </w:p>
        </w:tc>
        <w:tc>
          <w:tcPr>
            <w:tcW w:w="1736" w:type="pct"/>
            <w:tcBorders>
              <w:left w:val="single" w:color="auto" w:sz="4" w:space="0"/>
            </w:tcBorders>
            <w:vAlign w:val="center"/>
          </w:tcPr>
          <w:p w14:paraId="3BE9CC5E">
            <w:pPr>
              <w:pStyle w:val="23"/>
              <w:keepNext w:val="0"/>
              <w:keepLines w:val="0"/>
              <w:suppressLineNumbers w:val="0"/>
              <w:spacing w:before="59" w:line="220" w:lineRule="auto"/>
              <w:ind w:left="111"/>
              <w:rPr>
                <w:b w:val="0"/>
                <w:bCs w:val="0"/>
                <w:color w:val="auto"/>
                <w:highlight w:val="none"/>
              </w:rPr>
            </w:pPr>
            <w:r>
              <w:rPr>
                <w:b w:val="0"/>
                <w:bCs w:val="0"/>
                <w:color w:val="auto"/>
                <w:spacing w:val="-1"/>
                <w:highlight w:val="none"/>
              </w:rPr>
              <w:t>a)是否按规定建立微型消防站；</w:t>
            </w:r>
          </w:p>
          <w:p w14:paraId="5E3C8E25">
            <w:pPr>
              <w:pStyle w:val="23"/>
              <w:keepNext w:val="0"/>
              <w:keepLines w:val="0"/>
              <w:suppressLineNumbers w:val="0"/>
              <w:spacing w:before="97" w:line="311" w:lineRule="auto"/>
              <w:ind w:left="111" w:right="105" w:hanging="4"/>
              <w:jc w:val="both"/>
              <w:rPr>
                <w:b w:val="0"/>
                <w:bCs w:val="0"/>
                <w:color w:val="auto"/>
                <w:highlight w:val="none"/>
              </w:rPr>
            </w:pPr>
            <w:r>
              <w:rPr>
                <w:b w:val="0"/>
                <w:bCs w:val="0"/>
                <w:color w:val="auto"/>
                <w:spacing w:val="-2"/>
                <w:highlight w:val="none"/>
              </w:rPr>
              <w:t>b)是否建立并落实微型消防站各项日常管理制度，是否明确微型消防站职责任务，现场抽查微型消防站站长及</w:t>
            </w:r>
            <w:r>
              <w:rPr>
                <w:b w:val="0"/>
                <w:bCs w:val="0"/>
                <w:color w:val="auto"/>
                <w:spacing w:val="7"/>
                <w:highlight w:val="none"/>
              </w:rPr>
              <w:t xml:space="preserve"> </w:t>
            </w:r>
            <w:r>
              <w:rPr>
                <w:b w:val="0"/>
                <w:bCs w:val="0"/>
                <w:color w:val="auto"/>
                <w:spacing w:val="-5"/>
                <w:highlight w:val="none"/>
              </w:rPr>
              <w:t>至少</w:t>
            </w:r>
            <w:r>
              <w:rPr>
                <w:b w:val="0"/>
                <w:bCs w:val="0"/>
                <w:color w:val="auto"/>
                <w:spacing w:val="-12"/>
                <w:highlight w:val="none"/>
              </w:rPr>
              <w:t xml:space="preserve"> </w:t>
            </w:r>
            <w:r>
              <w:rPr>
                <w:b w:val="0"/>
                <w:bCs w:val="0"/>
                <w:color w:val="auto"/>
                <w:spacing w:val="-5"/>
                <w:highlight w:val="none"/>
              </w:rPr>
              <w:t>1</w:t>
            </w:r>
            <w:r>
              <w:rPr>
                <w:b w:val="0"/>
                <w:bCs w:val="0"/>
                <w:color w:val="auto"/>
                <w:spacing w:val="-34"/>
                <w:highlight w:val="none"/>
              </w:rPr>
              <w:t xml:space="preserve"> </w:t>
            </w:r>
            <w:r>
              <w:rPr>
                <w:b w:val="0"/>
                <w:bCs w:val="0"/>
                <w:color w:val="auto"/>
                <w:spacing w:val="-5"/>
                <w:highlight w:val="none"/>
              </w:rPr>
              <w:t>名消防员的职责掌握情况；</w:t>
            </w:r>
          </w:p>
          <w:p w14:paraId="44AF03B9">
            <w:pPr>
              <w:pStyle w:val="23"/>
              <w:keepNext w:val="0"/>
              <w:keepLines w:val="0"/>
              <w:suppressLineNumbers w:val="0"/>
              <w:spacing w:before="25" w:line="307" w:lineRule="auto"/>
              <w:ind w:left="111" w:right="105" w:firstLine="2"/>
              <w:rPr>
                <w:b w:val="0"/>
                <w:bCs w:val="0"/>
                <w:color w:val="auto"/>
                <w:highlight w:val="none"/>
              </w:rPr>
            </w:pPr>
            <w:r>
              <w:rPr>
                <w:b w:val="0"/>
                <w:bCs w:val="0"/>
                <w:color w:val="auto"/>
                <w:spacing w:val="-2"/>
                <w:highlight w:val="none"/>
              </w:rPr>
              <w:t>c)微型消防站人员数量、装备配备及灭火药剂储备是否</w:t>
            </w:r>
            <w:r>
              <w:rPr>
                <w:b w:val="0"/>
                <w:bCs w:val="0"/>
                <w:color w:val="auto"/>
                <w:spacing w:val="-1"/>
                <w:highlight w:val="none"/>
              </w:rPr>
              <w:t>符合有关规定要求。</w:t>
            </w:r>
          </w:p>
        </w:tc>
        <w:tc>
          <w:tcPr>
            <w:tcW w:w="1182" w:type="pct"/>
            <w:vAlign w:val="center"/>
          </w:tcPr>
          <w:p w14:paraId="14CF16E5">
            <w:pPr>
              <w:pStyle w:val="23"/>
              <w:keepNext w:val="0"/>
              <w:keepLines w:val="0"/>
              <w:suppressLineNumbers w:val="0"/>
              <w:spacing w:before="71" w:line="315" w:lineRule="auto"/>
              <w:ind w:left="109" w:right="103" w:firstLine="3"/>
              <w:rPr>
                <w:b w:val="0"/>
                <w:bCs w:val="0"/>
                <w:color w:val="auto"/>
                <w:highlight w:val="none"/>
              </w:rPr>
            </w:pPr>
            <w:r>
              <w:rPr>
                <w:b w:val="0"/>
                <w:bCs w:val="0"/>
                <w:color w:val="auto"/>
                <w:spacing w:val="-1"/>
                <w:highlight w:val="none"/>
              </w:rPr>
              <w:t>未按规定建立微型消防站的，该评估小</w:t>
            </w:r>
            <w:r>
              <w:rPr>
                <w:b w:val="0"/>
                <w:bCs w:val="0"/>
                <w:color w:val="auto"/>
                <w:spacing w:val="-2"/>
                <w:highlight w:val="none"/>
              </w:rPr>
              <w:t>项不得分。未建立日常管理制度的扣</w:t>
            </w:r>
            <w:r>
              <w:rPr>
                <w:b w:val="0"/>
                <w:bCs w:val="0"/>
                <w:color w:val="auto"/>
                <w:spacing w:val="-20"/>
                <w:highlight w:val="none"/>
              </w:rPr>
              <w:t xml:space="preserve"> </w:t>
            </w:r>
            <w:r>
              <w:rPr>
                <w:b w:val="0"/>
                <w:bCs w:val="0"/>
                <w:color w:val="auto"/>
                <w:spacing w:val="-2"/>
                <w:highlight w:val="none"/>
              </w:rPr>
              <w:t>2</w:t>
            </w:r>
            <w:r>
              <w:rPr>
                <w:b w:val="0"/>
                <w:bCs w:val="0"/>
                <w:color w:val="auto"/>
                <w:highlight w:val="none"/>
              </w:rPr>
              <w:t xml:space="preserve"> </w:t>
            </w:r>
            <w:r>
              <w:rPr>
                <w:b w:val="0"/>
                <w:bCs w:val="0"/>
                <w:color w:val="auto"/>
                <w:spacing w:val="-6"/>
                <w:highlight w:val="none"/>
              </w:rPr>
              <w:t>分，制度不合理的每发现一处问题扣</w:t>
            </w:r>
            <w:r>
              <w:rPr>
                <w:b w:val="0"/>
                <w:bCs w:val="0"/>
                <w:color w:val="auto"/>
                <w:spacing w:val="-33"/>
                <w:highlight w:val="none"/>
              </w:rPr>
              <w:t xml:space="preserve"> </w:t>
            </w:r>
            <w:r>
              <w:rPr>
                <w:b w:val="0"/>
                <w:bCs w:val="0"/>
                <w:color w:val="auto"/>
                <w:spacing w:val="-6"/>
                <w:highlight w:val="none"/>
              </w:rPr>
              <w:t>0.5</w:t>
            </w:r>
            <w:r>
              <w:rPr>
                <w:b w:val="0"/>
                <w:bCs w:val="0"/>
                <w:color w:val="auto"/>
                <w:highlight w:val="none"/>
              </w:rPr>
              <w:t xml:space="preserve"> </w:t>
            </w:r>
            <w:r>
              <w:rPr>
                <w:b w:val="0"/>
                <w:bCs w:val="0"/>
                <w:color w:val="auto"/>
                <w:spacing w:val="-2"/>
                <w:highlight w:val="none"/>
              </w:rPr>
              <w:t>分，最高扣</w:t>
            </w:r>
            <w:r>
              <w:rPr>
                <w:b w:val="0"/>
                <w:bCs w:val="0"/>
                <w:color w:val="auto"/>
                <w:spacing w:val="-32"/>
                <w:highlight w:val="none"/>
              </w:rPr>
              <w:t xml:space="preserve"> </w:t>
            </w:r>
            <w:r>
              <w:rPr>
                <w:b w:val="0"/>
                <w:bCs w:val="0"/>
                <w:color w:val="auto"/>
                <w:spacing w:val="-2"/>
                <w:highlight w:val="none"/>
              </w:rPr>
              <w:t>2</w:t>
            </w:r>
            <w:r>
              <w:rPr>
                <w:b w:val="0"/>
                <w:bCs w:val="0"/>
                <w:color w:val="auto"/>
                <w:spacing w:val="-34"/>
                <w:highlight w:val="none"/>
              </w:rPr>
              <w:t xml:space="preserve"> </w:t>
            </w:r>
            <w:r>
              <w:rPr>
                <w:b w:val="0"/>
                <w:bCs w:val="0"/>
                <w:color w:val="auto"/>
                <w:spacing w:val="-2"/>
                <w:highlight w:val="none"/>
              </w:rPr>
              <w:t>分。职责掌握情况不清楚</w:t>
            </w:r>
            <w:r>
              <w:rPr>
                <w:b w:val="0"/>
                <w:bCs w:val="0"/>
                <w:color w:val="auto"/>
                <w:spacing w:val="-3"/>
                <w:highlight w:val="none"/>
              </w:rPr>
              <w:t>的每发现一人扣</w:t>
            </w:r>
            <w:r>
              <w:rPr>
                <w:b w:val="0"/>
                <w:bCs w:val="0"/>
                <w:color w:val="auto"/>
                <w:spacing w:val="-15"/>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分。消防装备、器材</w:t>
            </w:r>
            <w:r>
              <w:rPr>
                <w:b w:val="0"/>
                <w:bCs w:val="0"/>
                <w:color w:val="auto"/>
                <w:spacing w:val="-2"/>
                <w:highlight w:val="none"/>
              </w:rPr>
              <w:t>及灭火药剂储备不符合规定的扣</w:t>
            </w:r>
            <w:r>
              <w:rPr>
                <w:b w:val="0"/>
                <w:bCs w:val="0"/>
                <w:color w:val="auto"/>
                <w:spacing w:val="-29"/>
                <w:highlight w:val="none"/>
              </w:rPr>
              <w:t xml:space="preserve"> </w:t>
            </w:r>
            <w:r>
              <w:rPr>
                <w:b w:val="0"/>
                <w:bCs w:val="0"/>
                <w:color w:val="auto"/>
                <w:spacing w:val="-2"/>
                <w:highlight w:val="none"/>
              </w:rPr>
              <w:t>2</w:t>
            </w:r>
            <w:r>
              <w:rPr>
                <w:b w:val="0"/>
                <w:bCs w:val="0"/>
                <w:color w:val="auto"/>
                <w:spacing w:val="-34"/>
                <w:highlight w:val="none"/>
              </w:rPr>
              <w:t xml:space="preserve"> </w:t>
            </w:r>
            <w:r>
              <w:rPr>
                <w:b w:val="0"/>
                <w:bCs w:val="0"/>
                <w:color w:val="auto"/>
                <w:spacing w:val="-2"/>
                <w:highlight w:val="none"/>
              </w:rPr>
              <w:t>分，人员数量不足的扣</w:t>
            </w:r>
            <w:r>
              <w:rPr>
                <w:b w:val="0"/>
                <w:bCs w:val="0"/>
                <w:color w:val="auto"/>
                <w:spacing w:val="-34"/>
                <w:highlight w:val="none"/>
              </w:rPr>
              <w:t xml:space="preserve"> </w:t>
            </w:r>
            <w:r>
              <w:rPr>
                <w:b w:val="0"/>
                <w:bCs w:val="0"/>
                <w:color w:val="auto"/>
                <w:spacing w:val="-2"/>
                <w:highlight w:val="none"/>
              </w:rPr>
              <w:t>2</w:t>
            </w:r>
            <w:r>
              <w:rPr>
                <w:b w:val="0"/>
                <w:bCs w:val="0"/>
                <w:color w:val="auto"/>
                <w:spacing w:val="-34"/>
                <w:highlight w:val="none"/>
              </w:rPr>
              <w:t xml:space="preserve"> </w:t>
            </w:r>
            <w:r>
              <w:rPr>
                <w:b w:val="0"/>
                <w:bCs w:val="0"/>
                <w:color w:val="auto"/>
                <w:spacing w:val="-2"/>
                <w:highlight w:val="none"/>
              </w:rPr>
              <w:t>分，现场与单位台</w:t>
            </w:r>
            <w:r>
              <w:rPr>
                <w:b w:val="0"/>
                <w:bCs w:val="0"/>
                <w:color w:val="auto"/>
                <w:spacing w:val="-6"/>
                <w:highlight w:val="none"/>
              </w:rPr>
              <w:t>账不一致的扣</w:t>
            </w:r>
            <w:r>
              <w:rPr>
                <w:b w:val="0"/>
                <w:bCs w:val="0"/>
                <w:color w:val="auto"/>
                <w:spacing w:val="-21"/>
                <w:highlight w:val="none"/>
              </w:rPr>
              <w:t xml:space="preserve"> </w:t>
            </w:r>
            <w:r>
              <w:rPr>
                <w:b w:val="0"/>
                <w:bCs w:val="0"/>
                <w:color w:val="auto"/>
                <w:spacing w:val="-6"/>
                <w:highlight w:val="none"/>
              </w:rPr>
              <w:t>1</w:t>
            </w:r>
            <w:r>
              <w:rPr>
                <w:b w:val="0"/>
                <w:bCs w:val="0"/>
                <w:color w:val="auto"/>
                <w:spacing w:val="-34"/>
                <w:highlight w:val="none"/>
              </w:rPr>
              <w:t xml:space="preserve"> </w:t>
            </w:r>
            <w:r>
              <w:rPr>
                <w:b w:val="0"/>
                <w:bCs w:val="0"/>
                <w:color w:val="auto"/>
                <w:spacing w:val="-6"/>
                <w:highlight w:val="none"/>
              </w:rPr>
              <w:t>分。</w:t>
            </w:r>
          </w:p>
        </w:tc>
        <w:tc>
          <w:tcPr>
            <w:tcW w:w="367" w:type="pct"/>
            <w:vAlign w:val="center"/>
          </w:tcPr>
          <w:p w14:paraId="15FB84FC">
            <w:pPr>
              <w:keepNext w:val="0"/>
              <w:keepLines w:val="0"/>
              <w:suppressLineNumbers w:val="0"/>
              <w:spacing w:before="0" w:beforeAutospacing="0" w:after="0" w:afterAutospacing="0"/>
              <w:ind w:left="0" w:right="0" w:firstLine="533" w:firstLineChars="0"/>
              <w:rPr>
                <w:rFonts w:hint="default" w:ascii="Arial" w:eastAsia="宋体"/>
                <w:b w:val="0"/>
                <w:bCs w:val="0"/>
                <w:color w:val="auto"/>
                <w:sz w:val="21"/>
                <w:highlight w:val="none"/>
                <w:lang w:val="en-US" w:eastAsia="zh-CN"/>
              </w:rPr>
            </w:pPr>
          </w:p>
        </w:tc>
        <w:tc>
          <w:tcPr>
            <w:tcW w:w="336" w:type="pct"/>
            <w:vAlign w:val="center"/>
          </w:tcPr>
          <w:p w14:paraId="3027580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4633E06E">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21"/>
                <w:highlight w:val="none"/>
                <w:lang w:val="en-US" w:eastAsia="zh-CN"/>
              </w:rPr>
            </w:pPr>
          </w:p>
        </w:tc>
      </w:tr>
    </w:tbl>
    <w:p w14:paraId="17C07DBB">
      <w:pPr>
        <w:rPr>
          <w:highlight w:val="none"/>
        </w:rPr>
      </w:pPr>
      <w:r>
        <w:rPr>
          <w:highlight w:val="none"/>
        </w:rPr>
        <w:br w:type="page"/>
      </w:r>
    </w:p>
    <w:tbl>
      <w:tblPr>
        <w:tblStyle w:val="24"/>
        <w:tblW w:w="494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0"/>
        <w:gridCol w:w="1458"/>
        <w:gridCol w:w="1092"/>
        <w:gridCol w:w="5158"/>
        <w:gridCol w:w="3513"/>
        <w:gridCol w:w="1092"/>
        <w:gridCol w:w="1003"/>
        <w:gridCol w:w="979"/>
      </w:tblGrid>
      <w:tr w14:paraId="665A38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jc w:val="center"/>
        </w:trPr>
        <w:tc>
          <w:tcPr>
            <w:tcW w:w="192" w:type="pct"/>
            <w:tcBorders>
              <w:top w:val="single" w:color="auto" w:sz="4" w:space="0"/>
              <w:left w:val="single" w:color="auto" w:sz="4" w:space="0"/>
              <w:bottom w:val="single" w:color="auto" w:sz="4" w:space="0"/>
              <w:right w:val="single" w:color="auto" w:sz="4" w:space="0"/>
            </w:tcBorders>
            <w:vAlign w:val="center"/>
          </w:tcPr>
          <w:p w14:paraId="7131D29D">
            <w:pPr>
              <w:pStyle w:val="23"/>
              <w:keepNext w:val="0"/>
              <w:keepLines w:val="0"/>
              <w:suppressLineNumbers w:val="0"/>
              <w:spacing w:before="70" w:line="222" w:lineRule="auto"/>
              <w:ind w:left="140"/>
              <w:rPr>
                <w:highlight w:val="none"/>
              </w:rPr>
            </w:pPr>
            <w:r>
              <w:rPr>
                <w:b/>
                <w:bCs/>
                <w:spacing w:val="-3"/>
                <w:highlight w:val="none"/>
              </w:rPr>
              <w:t>序号</w:t>
            </w:r>
          </w:p>
        </w:tc>
        <w:tc>
          <w:tcPr>
            <w:tcW w:w="490" w:type="pct"/>
            <w:tcBorders>
              <w:top w:val="single" w:color="auto" w:sz="4" w:space="0"/>
              <w:left w:val="single" w:color="auto" w:sz="4" w:space="0"/>
              <w:bottom w:val="single" w:color="auto" w:sz="4" w:space="0"/>
              <w:right w:val="single" w:color="auto" w:sz="4" w:space="0"/>
            </w:tcBorders>
            <w:vAlign w:val="center"/>
          </w:tcPr>
          <w:p w14:paraId="18FEA101">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tcBorders>
              <w:left w:val="single" w:color="auto" w:sz="4" w:space="0"/>
            </w:tcBorders>
            <w:vAlign w:val="center"/>
          </w:tcPr>
          <w:p w14:paraId="4268AE3E">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4" w:type="pct"/>
            <w:vAlign w:val="center"/>
          </w:tcPr>
          <w:p w14:paraId="1F12253C">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1" w:type="pct"/>
            <w:vAlign w:val="center"/>
          </w:tcPr>
          <w:p w14:paraId="05A3EE56">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070451E3">
            <w:pPr>
              <w:pStyle w:val="23"/>
              <w:keepNext w:val="0"/>
              <w:keepLines w:val="0"/>
              <w:suppressLineNumbers w:val="0"/>
              <w:spacing w:before="70" w:line="219" w:lineRule="auto"/>
              <w:ind w:left="170"/>
              <w:rPr>
                <w:highlight w:val="none"/>
              </w:rPr>
            </w:pPr>
            <w:r>
              <w:rPr>
                <w:b/>
                <w:bCs/>
                <w:spacing w:val="-3"/>
                <w:highlight w:val="none"/>
              </w:rPr>
              <w:t>评估情况</w:t>
            </w:r>
          </w:p>
        </w:tc>
        <w:tc>
          <w:tcPr>
            <w:tcW w:w="337" w:type="pct"/>
            <w:vAlign w:val="center"/>
          </w:tcPr>
          <w:p w14:paraId="369D1360">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3DFB325F">
            <w:pPr>
              <w:pStyle w:val="23"/>
              <w:keepNext w:val="0"/>
              <w:keepLines w:val="0"/>
              <w:suppressLineNumbers w:val="0"/>
              <w:spacing w:before="71" w:line="220" w:lineRule="auto"/>
              <w:ind w:left="295"/>
              <w:rPr>
                <w:highlight w:val="none"/>
              </w:rPr>
            </w:pPr>
            <w:r>
              <w:rPr>
                <w:b/>
                <w:bCs/>
                <w:spacing w:val="-4"/>
                <w:highlight w:val="none"/>
              </w:rPr>
              <w:t>得分</w:t>
            </w:r>
          </w:p>
        </w:tc>
      </w:tr>
      <w:tr w14:paraId="1C088B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4" w:hRule="atLeast"/>
          <w:jc w:val="center"/>
        </w:trPr>
        <w:tc>
          <w:tcPr>
            <w:tcW w:w="192" w:type="pct"/>
            <w:tcBorders>
              <w:top w:val="single" w:color="auto" w:sz="4" w:space="0"/>
              <w:left w:val="single" w:color="auto" w:sz="4" w:space="0"/>
              <w:bottom w:val="single" w:color="auto" w:sz="4" w:space="0"/>
              <w:right w:val="single" w:color="auto" w:sz="4" w:space="0"/>
            </w:tcBorders>
            <w:vAlign w:val="center"/>
          </w:tcPr>
          <w:p w14:paraId="110911F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0" w:type="pct"/>
            <w:tcBorders>
              <w:top w:val="single" w:color="auto" w:sz="4" w:space="0"/>
              <w:left w:val="single" w:color="auto" w:sz="4" w:space="0"/>
              <w:bottom w:val="single" w:color="auto" w:sz="4" w:space="0"/>
              <w:right w:val="single" w:color="auto" w:sz="4" w:space="0"/>
            </w:tcBorders>
            <w:vAlign w:val="center"/>
          </w:tcPr>
          <w:p w14:paraId="5A2D760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tcBorders>
              <w:left w:val="single" w:color="auto" w:sz="4" w:space="0"/>
            </w:tcBorders>
            <w:vAlign w:val="center"/>
          </w:tcPr>
          <w:p w14:paraId="6EF392E3">
            <w:pPr>
              <w:pStyle w:val="23"/>
              <w:keepNext w:val="0"/>
              <w:keepLines w:val="0"/>
              <w:suppressLineNumbers w:val="0"/>
              <w:spacing w:before="59" w:line="307" w:lineRule="auto"/>
              <w:ind w:left="111" w:right="108" w:hanging="1"/>
              <w:rPr>
                <w:b w:val="0"/>
                <w:bCs w:val="0"/>
                <w:color w:val="auto"/>
                <w:highlight w:val="none"/>
              </w:rPr>
            </w:pPr>
            <w:r>
              <w:rPr>
                <w:b w:val="0"/>
                <w:bCs w:val="0"/>
                <w:color w:val="auto"/>
                <w:spacing w:val="-8"/>
                <w:highlight w:val="none"/>
              </w:rPr>
              <w:t>技术处置队（2</w:t>
            </w:r>
            <w:r>
              <w:rPr>
                <w:b w:val="0"/>
                <w:bCs w:val="0"/>
                <w:color w:val="auto"/>
                <w:spacing w:val="4"/>
                <w:highlight w:val="none"/>
              </w:rPr>
              <w:t xml:space="preserve"> </w:t>
            </w:r>
            <w:r>
              <w:rPr>
                <w:b w:val="0"/>
                <w:bCs w:val="0"/>
                <w:color w:val="auto"/>
                <w:spacing w:val="-6"/>
                <w:highlight w:val="none"/>
              </w:rPr>
              <w:t>分）</w:t>
            </w:r>
          </w:p>
        </w:tc>
        <w:tc>
          <w:tcPr>
            <w:tcW w:w="1734" w:type="pct"/>
            <w:vAlign w:val="center"/>
          </w:tcPr>
          <w:p w14:paraId="5AE73587">
            <w:pPr>
              <w:pStyle w:val="23"/>
              <w:keepNext w:val="0"/>
              <w:keepLines w:val="0"/>
              <w:suppressLineNumbers w:val="0"/>
              <w:spacing w:before="224" w:line="220" w:lineRule="auto"/>
              <w:ind w:left="111"/>
              <w:rPr>
                <w:b w:val="0"/>
                <w:bCs w:val="0"/>
                <w:color w:val="auto"/>
                <w:highlight w:val="none"/>
              </w:rPr>
            </w:pPr>
            <w:r>
              <w:rPr>
                <w:b w:val="0"/>
                <w:bCs w:val="0"/>
                <w:color w:val="auto"/>
                <w:spacing w:val="-1"/>
                <w:highlight w:val="none"/>
              </w:rPr>
              <w:t>a)是否按规定建立技术处置</w:t>
            </w:r>
            <w:r>
              <w:rPr>
                <w:rFonts w:hint="eastAsia"/>
                <w:b w:val="0"/>
                <w:bCs w:val="0"/>
                <w:color w:val="auto"/>
                <w:spacing w:val="-1"/>
                <w:highlight w:val="none"/>
                <w:lang w:eastAsia="zh-CN"/>
              </w:rPr>
              <w:t>队伍</w:t>
            </w:r>
            <w:r>
              <w:rPr>
                <w:b w:val="0"/>
                <w:bCs w:val="0"/>
                <w:color w:val="auto"/>
                <w:spacing w:val="-1"/>
                <w:highlight w:val="none"/>
              </w:rPr>
              <w:t>；</w:t>
            </w:r>
          </w:p>
          <w:p w14:paraId="02828757">
            <w:pPr>
              <w:pStyle w:val="23"/>
              <w:keepNext w:val="0"/>
              <w:keepLines w:val="0"/>
              <w:suppressLineNumbers w:val="0"/>
              <w:spacing w:before="96" w:line="307" w:lineRule="auto"/>
              <w:ind w:left="111" w:right="103" w:hanging="4"/>
              <w:rPr>
                <w:b w:val="0"/>
                <w:bCs w:val="0"/>
                <w:color w:val="auto"/>
                <w:highlight w:val="none"/>
              </w:rPr>
            </w:pPr>
            <w:r>
              <w:rPr>
                <w:b w:val="0"/>
                <w:bCs w:val="0"/>
                <w:color w:val="auto"/>
                <w:spacing w:val="-3"/>
                <w:highlight w:val="none"/>
              </w:rPr>
              <w:t>b)是否明确技术处置队职责任务，现场抽查至少</w:t>
            </w:r>
            <w:r>
              <w:rPr>
                <w:b w:val="0"/>
                <w:bCs w:val="0"/>
                <w:color w:val="auto"/>
                <w:spacing w:val="-21"/>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名技</w:t>
            </w:r>
            <w:r>
              <w:rPr>
                <w:b w:val="0"/>
                <w:bCs w:val="0"/>
                <w:color w:val="auto"/>
                <w:spacing w:val="-1"/>
                <w:highlight w:val="none"/>
              </w:rPr>
              <w:t>术处置队人员的职责掌握情况。</w:t>
            </w:r>
          </w:p>
        </w:tc>
        <w:tc>
          <w:tcPr>
            <w:tcW w:w="1181" w:type="pct"/>
            <w:vAlign w:val="center"/>
          </w:tcPr>
          <w:p w14:paraId="6D883136">
            <w:pPr>
              <w:pStyle w:val="23"/>
              <w:keepNext w:val="0"/>
              <w:keepLines w:val="0"/>
              <w:suppressLineNumbers w:val="0"/>
              <w:spacing w:before="68" w:line="301" w:lineRule="auto"/>
              <w:ind w:left="109" w:right="150" w:firstLine="2"/>
              <w:jc w:val="both"/>
              <w:rPr>
                <w:b w:val="0"/>
                <w:bCs w:val="0"/>
                <w:color w:val="auto"/>
                <w:highlight w:val="none"/>
              </w:rPr>
            </w:pPr>
            <w:r>
              <w:rPr>
                <w:b w:val="0"/>
                <w:bCs w:val="0"/>
                <w:color w:val="auto"/>
                <w:spacing w:val="-1"/>
                <w:highlight w:val="none"/>
              </w:rPr>
              <w:t>未按规定建立技术处置</w:t>
            </w:r>
            <w:r>
              <w:rPr>
                <w:rFonts w:hint="eastAsia"/>
                <w:b w:val="0"/>
                <w:bCs w:val="0"/>
                <w:color w:val="auto"/>
                <w:spacing w:val="-1"/>
                <w:highlight w:val="none"/>
                <w:lang w:eastAsia="zh-CN"/>
              </w:rPr>
              <w:t>队伍</w:t>
            </w:r>
            <w:r>
              <w:rPr>
                <w:b w:val="0"/>
                <w:bCs w:val="0"/>
                <w:color w:val="auto"/>
                <w:spacing w:val="-1"/>
                <w:highlight w:val="none"/>
              </w:rPr>
              <w:t>的，该评估小项不得分。职责掌握情况不清楚的每发</w:t>
            </w:r>
            <w:r>
              <w:rPr>
                <w:b w:val="0"/>
                <w:bCs w:val="0"/>
                <w:color w:val="auto"/>
                <w:spacing w:val="-3"/>
                <w:highlight w:val="none"/>
              </w:rPr>
              <w:t>现一人扣</w:t>
            </w:r>
            <w:r>
              <w:rPr>
                <w:b w:val="0"/>
                <w:bCs w:val="0"/>
                <w:color w:val="auto"/>
                <w:spacing w:val="-15"/>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分。职责掌握情况不清楚的</w:t>
            </w:r>
            <w:r>
              <w:rPr>
                <w:b w:val="0"/>
                <w:bCs w:val="0"/>
                <w:color w:val="auto"/>
                <w:spacing w:val="-6"/>
                <w:highlight w:val="none"/>
              </w:rPr>
              <w:t>每发现一人扣</w:t>
            </w:r>
            <w:r>
              <w:rPr>
                <w:b w:val="0"/>
                <w:bCs w:val="0"/>
                <w:color w:val="auto"/>
                <w:spacing w:val="-18"/>
                <w:highlight w:val="none"/>
              </w:rPr>
              <w:t xml:space="preserve"> </w:t>
            </w:r>
            <w:r>
              <w:rPr>
                <w:b w:val="0"/>
                <w:bCs w:val="0"/>
                <w:color w:val="auto"/>
                <w:spacing w:val="-6"/>
                <w:highlight w:val="none"/>
              </w:rPr>
              <w:t>1</w:t>
            </w:r>
            <w:r>
              <w:rPr>
                <w:b w:val="0"/>
                <w:bCs w:val="0"/>
                <w:color w:val="auto"/>
                <w:spacing w:val="-34"/>
                <w:highlight w:val="none"/>
              </w:rPr>
              <w:t xml:space="preserve"> </w:t>
            </w:r>
            <w:r>
              <w:rPr>
                <w:b w:val="0"/>
                <w:bCs w:val="0"/>
                <w:color w:val="auto"/>
                <w:spacing w:val="-6"/>
                <w:highlight w:val="none"/>
              </w:rPr>
              <w:t>分。</w:t>
            </w:r>
          </w:p>
        </w:tc>
        <w:tc>
          <w:tcPr>
            <w:tcW w:w="367" w:type="pct"/>
            <w:vAlign w:val="center"/>
          </w:tcPr>
          <w:p w14:paraId="24A77655">
            <w:pPr>
              <w:keepNext w:val="0"/>
              <w:keepLines w:val="0"/>
              <w:suppressLineNumbers w:val="0"/>
              <w:spacing w:before="0" w:beforeAutospacing="0" w:after="0" w:afterAutospacing="0"/>
              <w:ind w:left="0" w:right="0"/>
              <w:jc w:val="center"/>
              <w:rPr>
                <w:rFonts w:hint="eastAsia" w:ascii="Arial" w:eastAsia="宋体"/>
                <w:b w:val="0"/>
                <w:bCs w:val="0"/>
                <w:color w:val="auto"/>
                <w:sz w:val="21"/>
                <w:highlight w:val="none"/>
                <w:lang w:val="en-US" w:eastAsia="zh-CN"/>
              </w:rPr>
            </w:pPr>
          </w:p>
        </w:tc>
        <w:tc>
          <w:tcPr>
            <w:tcW w:w="337" w:type="pct"/>
            <w:vAlign w:val="center"/>
          </w:tcPr>
          <w:p w14:paraId="58D1958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9" w:type="pct"/>
            <w:vAlign w:val="center"/>
          </w:tcPr>
          <w:p w14:paraId="04555EAD">
            <w:pPr>
              <w:keepNext w:val="0"/>
              <w:keepLines w:val="0"/>
              <w:suppressLineNumbers w:val="0"/>
              <w:spacing w:before="0" w:beforeAutospacing="0" w:after="0" w:afterAutospacing="0"/>
              <w:ind w:left="0" w:right="0"/>
              <w:jc w:val="both"/>
              <w:rPr>
                <w:rFonts w:hint="eastAsia" w:ascii="宋体" w:hAnsi="宋体" w:eastAsia="宋体" w:cs="宋体"/>
                <w:b w:val="0"/>
                <w:bCs w:val="0"/>
                <w:color w:val="auto"/>
                <w:sz w:val="21"/>
                <w:highlight w:val="none"/>
                <w:lang w:val="en-US" w:eastAsia="zh-CN"/>
              </w:rPr>
            </w:pPr>
          </w:p>
        </w:tc>
      </w:tr>
      <w:tr w14:paraId="1DEBF7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1" w:hRule="atLeast"/>
          <w:jc w:val="center"/>
        </w:trPr>
        <w:tc>
          <w:tcPr>
            <w:tcW w:w="192" w:type="pct"/>
            <w:vMerge w:val="restart"/>
            <w:tcBorders>
              <w:top w:val="single" w:color="auto" w:sz="4" w:space="0"/>
              <w:bottom w:val="single" w:color="auto" w:sz="4" w:space="0"/>
            </w:tcBorders>
            <w:vAlign w:val="center"/>
          </w:tcPr>
          <w:p w14:paraId="491453BA">
            <w:pPr>
              <w:pStyle w:val="23"/>
              <w:keepNext w:val="0"/>
              <w:keepLines w:val="0"/>
              <w:suppressLineNumbers w:val="0"/>
              <w:spacing w:before="59" w:line="181" w:lineRule="auto"/>
              <w:ind w:left="277"/>
              <w:rPr>
                <w:rFonts w:hint="default" w:ascii="宋体" w:hAnsi="宋体" w:eastAsia="宋体" w:cs="宋体"/>
                <w:b w:val="0"/>
                <w:bCs w:val="0"/>
                <w:color w:val="auto"/>
                <w:sz w:val="18"/>
                <w:szCs w:val="18"/>
                <w:highlight w:val="none"/>
                <w:lang w:val="en-US" w:eastAsia="zh-CN"/>
              </w:rPr>
            </w:pPr>
            <w:r>
              <w:rPr>
                <w:rFonts w:hint="eastAsia" w:ascii="宋体" w:hAnsi="宋体" w:eastAsia="宋体" w:cs="宋体"/>
                <w:b w:val="0"/>
                <w:bCs w:val="0"/>
                <w:color w:val="auto"/>
                <w:spacing w:val="-2"/>
                <w:sz w:val="18"/>
                <w:szCs w:val="18"/>
                <w:highlight w:val="none"/>
                <w:lang w:val="en-US" w:eastAsia="zh-CN"/>
              </w:rPr>
              <w:t>12</w:t>
            </w:r>
          </w:p>
        </w:tc>
        <w:tc>
          <w:tcPr>
            <w:tcW w:w="490" w:type="pct"/>
            <w:vMerge w:val="restart"/>
            <w:tcBorders>
              <w:top w:val="single" w:color="auto" w:sz="4" w:space="0"/>
              <w:bottom w:val="single" w:color="auto" w:sz="4" w:space="0"/>
            </w:tcBorders>
            <w:vAlign w:val="center"/>
          </w:tcPr>
          <w:p w14:paraId="393B5C9F">
            <w:pPr>
              <w:pStyle w:val="23"/>
              <w:keepNext w:val="0"/>
              <w:keepLines w:val="0"/>
              <w:suppressLineNumbers w:val="0"/>
              <w:spacing w:before="71" w:line="220" w:lineRule="auto"/>
              <w:ind w:left="169"/>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4"/>
                <w:sz w:val="18"/>
                <w:szCs w:val="18"/>
                <w:highlight w:val="none"/>
              </w:rPr>
              <w:t>防火检查巡查</w:t>
            </w:r>
            <w:r>
              <w:rPr>
                <w:rFonts w:hint="eastAsia" w:cs="宋体"/>
                <w:b w:val="0"/>
                <w:bCs w:val="0"/>
                <w:color w:val="auto"/>
                <w:spacing w:val="-2"/>
                <w:sz w:val="18"/>
                <w:szCs w:val="18"/>
                <w:highlight w:val="none"/>
                <w:lang w:eastAsia="zh-CN"/>
              </w:rPr>
              <w:t>及时</w:t>
            </w:r>
            <w:r>
              <w:rPr>
                <w:rFonts w:hint="eastAsia" w:ascii="宋体" w:hAnsi="宋体" w:eastAsia="宋体" w:cs="宋体"/>
                <w:b w:val="0"/>
                <w:bCs w:val="0"/>
                <w:color w:val="auto"/>
                <w:spacing w:val="-2"/>
                <w:sz w:val="18"/>
                <w:szCs w:val="18"/>
                <w:highlight w:val="none"/>
              </w:rPr>
              <w:t>隐患整改</w:t>
            </w:r>
          </w:p>
          <w:p w14:paraId="17FD2DD7">
            <w:pPr>
              <w:pStyle w:val="23"/>
              <w:keepNext w:val="0"/>
              <w:keepLines w:val="0"/>
              <w:suppressLineNumbers w:val="0"/>
              <w:spacing w:before="97" w:line="221" w:lineRule="auto"/>
              <w:ind w:left="31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（30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7" w:type="pct"/>
            <w:vMerge w:val="restart"/>
            <w:vAlign w:val="center"/>
          </w:tcPr>
          <w:p w14:paraId="3F69E96E">
            <w:pPr>
              <w:pStyle w:val="23"/>
              <w:keepNext w:val="0"/>
              <w:keepLines w:val="0"/>
              <w:suppressLineNumbers w:val="0"/>
              <w:spacing w:before="226" w:line="307" w:lineRule="auto"/>
              <w:ind w:left="115" w:right="190" w:firstLine="6"/>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防火检查</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8"/>
                <w:sz w:val="18"/>
                <w:szCs w:val="18"/>
                <w:highlight w:val="none"/>
              </w:rPr>
              <w:t>（10</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8"/>
                <w:sz w:val="18"/>
                <w:szCs w:val="18"/>
                <w:highlight w:val="none"/>
              </w:rPr>
              <w:t>分）</w:t>
            </w:r>
          </w:p>
        </w:tc>
        <w:tc>
          <w:tcPr>
            <w:tcW w:w="1734" w:type="pct"/>
            <w:vAlign w:val="center"/>
          </w:tcPr>
          <w:p w14:paraId="266F4962">
            <w:pPr>
              <w:pStyle w:val="23"/>
              <w:keepNext w:val="0"/>
              <w:keepLines w:val="0"/>
              <w:suppressLineNumbers w:val="0"/>
              <w:spacing w:before="59" w:line="220" w:lineRule="auto"/>
              <w:ind w:left="11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a)防火检查频次是否符合相关要求；</w:t>
            </w:r>
          </w:p>
        </w:tc>
        <w:tc>
          <w:tcPr>
            <w:tcW w:w="1181" w:type="pct"/>
            <w:vAlign w:val="center"/>
          </w:tcPr>
          <w:p w14:paraId="30E8BE09">
            <w:pPr>
              <w:keepNext w:val="0"/>
              <w:keepLines w:val="0"/>
              <w:suppressLineNumbers w:val="0"/>
              <w:spacing w:before="0" w:beforeAutospacing="0" w:after="0" w:afterAutospacing="0"/>
              <w:ind w:left="0" w:right="0" w:firstLine="178" w:firstLineChars="100"/>
              <w:jc w:val="both"/>
              <w:rPr>
                <w:rFonts w:hint="eastAsia" w:ascii="宋体" w:hAnsi="宋体" w:eastAsia="宋体" w:cs="宋体"/>
                <w:color w:val="auto"/>
                <w:sz w:val="18"/>
                <w:szCs w:val="18"/>
                <w:highlight w:val="none"/>
                <w:lang w:eastAsia="zh-CN"/>
              </w:rPr>
            </w:pPr>
            <w:r>
              <w:rPr>
                <w:rFonts w:hint="eastAsia" w:ascii="宋体" w:hAnsi="宋体" w:eastAsia="宋体" w:cs="宋体"/>
                <w:b w:val="0"/>
                <w:bCs w:val="0"/>
                <w:snapToGrid w:val="0"/>
                <w:color w:val="auto"/>
                <w:spacing w:val="-1"/>
                <w:kern w:val="0"/>
                <w:sz w:val="18"/>
                <w:szCs w:val="18"/>
                <w:highlight w:val="none"/>
                <w:lang w:val="en-US" w:eastAsia="zh-CN" w:bidi="ar-SA"/>
              </w:rPr>
              <w:t>检查频次不符合要求扣 5 分。</w:t>
            </w:r>
          </w:p>
        </w:tc>
        <w:tc>
          <w:tcPr>
            <w:tcW w:w="367" w:type="pct"/>
            <w:vAlign w:val="center"/>
          </w:tcPr>
          <w:p w14:paraId="3CDCD2C2">
            <w:pPr>
              <w:keepNext w:val="0"/>
              <w:keepLines w:val="0"/>
              <w:suppressLineNumbers w:val="0"/>
              <w:spacing w:before="0" w:beforeAutospacing="0" w:after="0" w:afterAutospacing="0"/>
              <w:ind w:left="0" w:right="0"/>
              <w:jc w:val="center"/>
              <w:rPr>
                <w:rFonts w:hint="eastAsia" w:ascii="宋体" w:hAnsi="宋体" w:eastAsia="宋体" w:cs="宋体"/>
                <w:color w:val="auto"/>
                <w:sz w:val="18"/>
                <w:szCs w:val="18"/>
                <w:highlight w:val="none"/>
                <w:lang w:eastAsia="zh-CN"/>
              </w:rPr>
            </w:pPr>
          </w:p>
        </w:tc>
        <w:tc>
          <w:tcPr>
            <w:tcW w:w="337" w:type="pct"/>
            <w:vAlign w:val="center"/>
          </w:tcPr>
          <w:p w14:paraId="3081E49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9" w:type="pct"/>
            <w:vAlign w:val="center"/>
          </w:tcPr>
          <w:p w14:paraId="72A76B7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r w14:paraId="75BFB7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5" w:hRule="atLeast"/>
          <w:jc w:val="center"/>
        </w:trPr>
        <w:tc>
          <w:tcPr>
            <w:tcW w:w="192" w:type="pct"/>
            <w:vMerge w:val="continue"/>
            <w:tcBorders>
              <w:top w:val="single" w:color="auto" w:sz="4" w:space="0"/>
              <w:bottom w:val="single" w:color="auto" w:sz="4" w:space="0"/>
            </w:tcBorders>
            <w:vAlign w:val="center"/>
          </w:tcPr>
          <w:p w14:paraId="6B0D1AA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0" w:type="pct"/>
            <w:vMerge w:val="continue"/>
            <w:tcBorders>
              <w:top w:val="single" w:color="auto" w:sz="4" w:space="0"/>
              <w:bottom w:val="single" w:color="auto" w:sz="4" w:space="0"/>
            </w:tcBorders>
            <w:vAlign w:val="center"/>
          </w:tcPr>
          <w:p w14:paraId="788FF41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vAlign w:val="center"/>
          </w:tcPr>
          <w:p w14:paraId="7143CF3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5ADB492A">
            <w:pPr>
              <w:pStyle w:val="23"/>
              <w:keepNext w:val="0"/>
              <w:keepLines w:val="0"/>
              <w:suppressLineNumbers w:val="0"/>
              <w:spacing w:before="69" w:line="220" w:lineRule="auto"/>
              <w:ind w:left="107"/>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b)防火检查内容应符合有关要求，一般包括以下内容：</w:t>
            </w:r>
          </w:p>
          <w:p w14:paraId="4A0E3B7C">
            <w:pPr>
              <w:pStyle w:val="23"/>
              <w:keepNext w:val="0"/>
              <w:keepLines w:val="0"/>
              <w:suppressLineNumbers w:val="0"/>
              <w:spacing w:before="97" w:line="220" w:lineRule="auto"/>
              <w:ind w:left="12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1)火灾隐患的整改情况以及防范措施的落实情况；</w:t>
            </w:r>
          </w:p>
          <w:p w14:paraId="5A3C7E7C">
            <w:pPr>
              <w:pStyle w:val="23"/>
              <w:keepNext w:val="0"/>
              <w:keepLines w:val="0"/>
              <w:suppressLineNumbers w:val="0"/>
              <w:spacing w:before="98" w:line="270" w:lineRule="auto"/>
              <w:ind w:left="111" w:right="18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2)安全疏散通道、疏散指示标志、应急照明和安全出口情</w:t>
            </w:r>
            <w:r>
              <w:rPr>
                <w:rFonts w:hint="eastAsia" w:ascii="宋体" w:hAnsi="宋体" w:eastAsia="宋体" w:cs="宋体"/>
                <w:b w:val="0"/>
                <w:bCs w:val="0"/>
                <w:color w:val="auto"/>
                <w:spacing w:val="-13"/>
                <w:sz w:val="18"/>
                <w:szCs w:val="18"/>
                <w:highlight w:val="none"/>
              </w:rPr>
              <w:t>况；</w:t>
            </w:r>
          </w:p>
          <w:p w14:paraId="5FCC7788">
            <w:pPr>
              <w:pStyle w:val="23"/>
              <w:keepNext w:val="0"/>
              <w:keepLines w:val="0"/>
              <w:suppressLineNumbers w:val="0"/>
              <w:spacing w:before="96" w:line="220" w:lineRule="auto"/>
              <w:ind w:left="11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3)消防车通道、消防水源情况；</w:t>
            </w:r>
          </w:p>
          <w:p w14:paraId="73635AD9">
            <w:pPr>
              <w:pStyle w:val="23"/>
              <w:keepNext w:val="0"/>
              <w:keepLines w:val="0"/>
              <w:suppressLineNumbers w:val="0"/>
              <w:spacing w:before="96" w:line="220" w:lineRule="auto"/>
              <w:ind w:left="109"/>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4)灭火器材配置及有效情况；</w:t>
            </w:r>
          </w:p>
          <w:p w14:paraId="55126BE6">
            <w:pPr>
              <w:pStyle w:val="23"/>
              <w:keepNext w:val="0"/>
              <w:keepLines w:val="0"/>
              <w:suppressLineNumbers w:val="0"/>
              <w:spacing w:before="97" w:line="220" w:lineRule="auto"/>
              <w:ind w:left="11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5)用火、用电有无违章情况；</w:t>
            </w:r>
          </w:p>
          <w:p w14:paraId="6078295C">
            <w:pPr>
              <w:pStyle w:val="23"/>
              <w:keepNext w:val="0"/>
              <w:keepLines w:val="0"/>
              <w:suppressLineNumbers w:val="0"/>
              <w:spacing w:before="99" w:line="220" w:lineRule="auto"/>
              <w:ind w:left="11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6)重点工种人员以及其他员工消防知识的掌握情况；</w:t>
            </w:r>
          </w:p>
          <w:p w14:paraId="6648BEFB">
            <w:pPr>
              <w:pStyle w:val="23"/>
              <w:keepNext w:val="0"/>
              <w:keepLines w:val="0"/>
              <w:suppressLineNumbers w:val="0"/>
              <w:spacing w:before="97" w:line="220" w:lineRule="auto"/>
              <w:ind w:left="11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7)消防安全重点部位的管理情况；</w:t>
            </w:r>
          </w:p>
          <w:p w14:paraId="160136CD">
            <w:pPr>
              <w:pStyle w:val="23"/>
              <w:keepNext w:val="0"/>
              <w:keepLines w:val="0"/>
              <w:suppressLineNumbers w:val="0"/>
              <w:spacing w:before="98" w:line="270" w:lineRule="auto"/>
              <w:ind w:left="110" w:right="18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8)易燃易爆危险物品和场所防火防爆措施的落实情况以及</w:t>
            </w:r>
            <w:r>
              <w:rPr>
                <w:rFonts w:hint="eastAsia" w:ascii="宋体" w:hAnsi="宋体" w:eastAsia="宋体" w:cs="宋体"/>
                <w:b w:val="0"/>
                <w:bCs w:val="0"/>
                <w:color w:val="auto"/>
                <w:spacing w:val="-3"/>
                <w:sz w:val="18"/>
                <w:szCs w:val="18"/>
                <w:highlight w:val="none"/>
              </w:rPr>
              <w:t>其他重要物资的防火安全情况；</w:t>
            </w:r>
          </w:p>
          <w:p w14:paraId="4202E9AC">
            <w:pPr>
              <w:pStyle w:val="23"/>
              <w:keepNext w:val="0"/>
              <w:keepLines w:val="0"/>
              <w:suppressLineNumbers w:val="0"/>
              <w:spacing w:before="97" w:line="220" w:lineRule="auto"/>
              <w:ind w:left="110"/>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9)消防控制室值班情况和设施运行、记录情况；</w:t>
            </w:r>
          </w:p>
          <w:p w14:paraId="41B54FED">
            <w:pPr>
              <w:pStyle w:val="23"/>
              <w:keepNext w:val="0"/>
              <w:keepLines w:val="0"/>
              <w:suppressLineNumbers w:val="0"/>
              <w:spacing w:before="98" w:line="220" w:lineRule="auto"/>
              <w:ind w:left="12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6"/>
                <w:sz w:val="18"/>
                <w:szCs w:val="18"/>
                <w:highlight w:val="none"/>
              </w:rPr>
              <w:t>10)防火巡查情况；</w:t>
            </w:r>
          </w:p>
          <w:p w14:paraId="60C6229E">
            <w:pPr>
              <w:pStyle w:val="23"/>
              <w:keepNext w:val="0"/>
              <w:keepLines w:val="0"/>
              <w:suppressLineNumbers w:val="0"/>
              <w:spacing w:before="97" w:line="220" w:lineRule="auto"/>
              <w:ind w:left="12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11)消防安全标志的设置情况和完好、有效情况；</w:t>
            </w:r>
          </w:p>
          <w:p w14:paraId="651F810B">
            <w:pPr>
              <w:pStyle w:val="23"/>
              <w:keepNext w:val="0"/>
              <w:keepLines w:val="0"/>
              <w:suppressLineNumbers w:val="0"/>
              <w:spacing w:before="98" w:line="220" w:lineRule="auto"/>
              <w:ind w:left="123"/>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4"/>
                <w:sz w:val="18"/>
                <w:szCs w:val="18"/>
                <w:highlight w:val="none"/>
              </w:rPr>
              <w:t>12)其他需要检查的内容。</w:t>
            </w:r>
          </w:p>
        </w:tc>
        <w:tc>
          <w:tcPr>
            <w:tcW w:w="1181" w:type="pct"/>
            <w:vAlign w:val="center"/>
          </w:tcPr>
          <w:p w14:paraId="6945123D">
            <w:pPr>
              <w:pStyle w:val="23"/>
              <w:keepNext w:val="0"/>
              <w:keepLines w:val="0"/>
              <w:suppressLineNumbers w:val="0"/>
              <w:spacing w:before="59" w:line="307" w:lineRule="auto"/>
              <w:ind w:left="111" w:right="194" w:firstLine="9"/>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防火检查内容不齐全，每少一项扣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0.5</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5"/>
                <w:sz w:val="18"/>
                <w:szCs w:val="18"/>
                <w:highlight w:val="none"/>
              </w:rPr>
              <w:t>分，最高扣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7" w:type="pct"/>
            <w:vAlign w:val="center"/>
          </w:tcPr>
          <w:p w14:paraId="4D049386">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777A592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9" w:type="pct"/>
            <w:vMerge w:val="restart"/>
            <w:tcBorders>
              <w:bottom w:val="nil"/>
            </w:tcBorders>
            <w:vAlign w:val="center"/>
          </w:tcPr>
          <w:p w14:paraId="524D2D1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2A962C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jc w:val="center"/>
        </w:trPr>
        <w:tc>
          <w:tcPr>
            <w:tcW w:w="192" w:type="pct"/>
            <w:vMerge w:val="continue"/>
            <w:tcBorders>
              <w:top w:val="single" w:color="auto" w:sz="4" w:space="0"/>
              <w:bottom w:val="single" w:color="auto" w:sz="4" w:space="0"/>
            </w:tcBorders>
            <w:vAlign w:val="center"/>
          </w:tcPr>
          <w:p w14:paraId="7DA2A53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0" w:type="pct"/>
            <w:vMerge w:val="continue"/>
            <w:tcBorders>
              <w:top w:val="single" w:color="auto" w:sz="4" w:space="0"/>
              <w:bottom w:val="single" w:color="auto" w:sz="4" w:space="0"/>
            </w:tcBorders>
            <w:vAlign w:val="center"/>
          </w:tcPr>
          <w:p w14:paraId="7C037D7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vAlign w:val="center"/>
          </w:tcPr>
          <w:p w14:paraId="5BFABCE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5B2F2916">
            <w:pPr>
              <w:pStyle w:val="23"/>
              <w:keepNext w:val="0"/>
              <w:keepLines w:val="0"/>
              <w:suppressLineNumbers w:val="0"/>
              <w:spacing w:before="70" w:line="281" w:lineRule="auto"/>
              <w:ind w:left="111" w:right="365" w:firstLine="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c)防火检查记录及检查人员和被检查部门负责人签字情</w:t>
            </w:r>
            <w:r>
              <w:rPr>
                <w:rFonts w:hint="eastAsia" w:ascii="宋体" w:hAnsi="宋体" w:eastAsia="宋体" w:cs="宋体"/>
                <w:b w:val="0"/>
                <w:bCs w:val="0"/>
                <w:color w:val="auto"/>
                <w:spacing w:val="-13"/>
                <w:sz w:val="18"/>
                <w:szCs w:val="18"/>
                <w:highlight w:val="none"/>
              </w:rPr>
              <w:t>况；</w:t>
            </w:r>
          </w:p>
        </w:tc>
        <w:tc>
          <w:tcPr>
            <w:tcW w:w="1181" w:type="pct"/>
            <w:vAlign w:val="center"/>
          </w:tcPr>
          <w:p w14:paraId="7FEB1C43">
            <w:pPr>
              <w:pStyle w:val="23"/>
              <w:keepNext w:val="0"/>
              <w:keepLines w:val="0"/>
              <w:suppressLineNumbers w:val="0"/>
              <w:spacing w:before="70" w:line="281" w:lineRule="auto"/>
              <w:ind w:left="110" w:right="150" w:firstLine="2"/>
              <w:rPr>
                <w:rFonts w:hint="eastAsia" w:ascii="宋体" w:hAnsi="宋体" w:eastAsia="宋体" w:cs="宋体"/>
                <w:b w:val="0"/>
                <w:bCs w:val="0"/>
                <w:color w:val="auto"/>
                <w:spacing w:val="-5"/>
                <w:sz w:val="18"/>
                <w:szCs w:val="18"/>
                <w:highlight w:val="none"/>
              </w:rPr>
            </w:pPr>
            <w:r>
              <w:rPr>
                <w:rFonts w:hint="eastAsia" w:ascii="宋体" w:hAnsi="宋体" w:eastAsia="宋体" w:cs="宋体"/>
                <w:b w:val="0"/>
                <w:bCs w:val="0"/>
                <w:color w:val="auto"/>
                <w:spacing w:val="-5"/>
                <w:sz w:val="18"/>
                <w:szCs w:val="18"/>
                <w:highlight w:val="none"/>
              </w:rPr>
              <w:t>未形成检查记录扣 2 分，检查记录上每少一人签字扣 1 分，最高扣 2 分。</w:t>
            </w:r>
          </w:p>
        </w:tc>
        <w:tc>
          <w:tcPr>
            <w:tcW w:w="367" w:type="pct"/>
            <w:vAlign w:val="center"/>
          </w:tcPr>
          <w:p w14:paraId="4FE0892E">
            <w:pPr>
              <w:pStyle w:val="23"/>
              <w:keepNext w:val="0"/>
              <w:keepLines w:val="0"/>
              <w:suppressLineNumbers w:val="0"/>
              <w:spacing w:before="70" w:line="281" w:lineRule="auto"/>
              <w:ind w:right="150"/>
              <w:jc w:val="center"/>
              <w:rPr>
                <w:rFonts w:hint="eastAsia" w:ascii="宋体" w:hAnsi="宋体" w:eastAsia="宋体" w:cs="宋体"/>
                <w:b w:val="0"/>
                <w:bCs w:val="0"/>
                <w:color w:val="auto"/>
                <w:spacing w:val="-5"/>
                <w:sz w:val="18"/>
                <w:szCs w:val="18"/>
                <w:highlight w:val="none"/>
                <w:lang w:val="en-US"/>
              </w:rPr>
            </w:pPr>
          </w:p>
        </w:tc>
        <w:tc>
          <w:tcPr>
            <w:tcW w:w="337" w:type="pct"/>
            <w:vAlign w:val="center"/>
          </w:tcPr>
          <w:p w14:paraId="41B9224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9" w:type="pct"/>
            <w:vMerge w:val="continue"/>
            <w:tcBorders>
              <w:top w:val="nil"/>
              <w:bottom w:val="nil"/>
            </w:tcBorders>
            <w:vAlign w:val="center"/>
          </w:tcPr>
          <w:p w14:paraId="7A0A3E3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06F46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jc w:val="center"/>
        </w:trPr>
        <w:tc>
          <w:tcPr>
            <w:tcW w:w="192" w:type="pct"/>
            <w:vMerge w:val="continue"/>
            <w:tcBorders>
              <w:top w:val="single" w:color="auto" w:sz="4" w:space="0"/>
              <w:bottom w:val="single" w:color="auto" w:sz="4" w:space="0"/>
            </w:tcBorders>
            <w:vAlign w:val="center"/>
          </w:tcPr>
          <w:p w14:paraId="3545812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0" w:type="pct"/>
            <w:vMerge w:val="continue"/>
            <w:tcBorders>
              <w:top w:val="single" w:color="auto" w:sz="4" w:space="0"/>
              <w:bottom w:val="single" w:color="auto" w:sz="4" w:space="0"/>
            </w:tcBorders>
            <w:vAlign w:val="center"/>
          </w:tcPr>
          <w:p w14:paraId="4FFF1EF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vAlign w:val="center"/>
          </w:tcPr>
          <w:p w14:paraId="7502700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54D0280F">
            <w:pPr>
              <w:pStyle w:val="23"/>
              <w:keepNext w:val="0"/>
              <w:keepLines w:val="0"/>
              <w:suppressLineNumbers w:val="0"/>
              <w:spacing w:before="70" w:line="281" w:lineRule="auto"/>
              <w:ind w:left="111" w:right="365" w:firstLine="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d)防火检查发现问题的处置和整改情况；</w:t>
            </w:r>
          </w:p>
        </w:tc>
        <w:tc>
          <w:tcPr>
            <w:tcW w:w="1181" w:type="pct"/>
            <w:vAlign w:val="center"/>
          </w:tcPr>
          <w:p w14:paraId="70FBBAF3">
            <w:pPr>
              <w:pStyle w:val="23"/>
              <w:keepNext w:val="0"/>
              <w:keepLines w:val="0"/>
              <w:suppressLineNumbers w:val="0"/>
              <w:spacing w:before="70" w:line="281" w:lineRule="auto"/>
              <w:ind w:left="109" w:right="150" w:firstLine="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发现问题未及时整改或未制定相应整改</w:t>
            </w:r>
            <w:r>
              <w:rPr>
                <w:rFonts w:hint="eastAsia" w:ascii="宋体" w:hAnsi="宋体" w:eastAsia="宋体" w:cs="宋体"/>
                <w:b w:val="0"/>
                <w:bCs w:val="0"/>
                <w:color w:val="auto"/>
                <w:spacing w:val="-6"/>
                <w:sz w:val="18"/>
                <w:szCs w:val="18"/>
                <w:highlight w:val="none"/>
              </w:rPr>
              <w:t>措施的，扣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6"/>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367" w:type="pct"/>
            <w:vAlign w:val="center"/>
          </w:tcPr>
          <w:p w14:paraId="13D25D51">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049B8D7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9" w:type="pct"/>
            <w:vMerge w:val="continue"/>
            <w:tcBorders>
              <w:top w:val="nil"/>
              <w:bottom w:val="nil"/>
            </w:tcBorders>
            <w:vAlign w:val="center"/>
          </w:tcPr>
          <w:p w14:paraId="69E4951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28A62E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192" w:type="pct"/>
            <w:vMerge w:val="continue"/>
            <w:tcBorders>
              <w:top w:val="single" w:color="auto" w:sz="4" w:space="0"/>
              <w:bottom w:val="single" w:color="auto" w:sz="4" w:space="0"/>
            </w:tcBorders>
            <w:vAlign w:val="center"/>
          </w:tcPr>
          <w:p w14:paraId="3CD66673">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0" w:type="pct"/>
            <w:vMerge w:val="continue"/>
            <w:tcBorders>
              <w:top w:val="single" w:color="auto" w:sz="4" w:space="0"/>
              <w:bottom w:val="single" w:color="auto" w:sz="4" w:space="0"/>
            </w:tcBorders>
            <w:vAlign w:val="center"/>
          </w:tcPr>
          <w:p w14:paraId="31FC02A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vAlign w:val="center"/>
          </w:tcPr>
          <w:p w14:paraId="4CB4728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59CAA52C">
            <w:pPr>
              <w:pStyle w:val="23"/>
              <w:keepNext w:val="0"/>
              <w:keepLines w:val="0"/>
              <w:suppressLineNumbers w:val="0"/>
              <w:spacing w:before="70" w:line="220" w:lineRule="auto"/>
              <w:ind w:left="11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4"/>
                <w:sz w:val="18"/>
                <w:szCs w:val="18"/>
                <w:highlight w:val="none"/>
              </w:rPr>
              <w:t>e)防火检查记录存档情况；</w:t>
            </w:r>
          </w:p>
        </w:tc>
        <w:tc>
          <w:tcPr>
            <w:tcW w:w="1181" w:type="pct"/>
            <w:vAlign w:val="center"/>
          </w:tcPr>
          <w:p w14:paraId="58943F2E">
            <w:pPr>
              <w:pStyle w:val="23"/>
              <w:keepNext w:val="0"/>
              <w:keepLines w:val="0"/>
              <w:suppressLineNumbers w:val="0"/>
              <w:spacing w:before="70" w:line="220" w:lineRule="auto"/>
              <w:ind w:left="11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6"/>
                <w:sz w:val="18"/>
                <w:szCs w:val="18"/>
                <w:highlight w:val="none"/>
              </w:rPr>
              <w:t>未存档的，扣</w:t>
            </w:r>
            <w:r>
              <w:rPr>
                <w:rFonts w:hint="eastAsia" w:ascii="宋体" w:hAnsi="宋体" w:eastAsia="宋体" w:cs="宋体"/>
                <w:b w:val="0"/>
                <w:bCs w:val="0"/>
                <w:color w:val="auto"/>
                <w:spacing w:val="-21"/>
                <w:sz w:val="18"/>
                <w:szCs w:val="18"/>
                <w:highlight w:val="none"/>
              </w:rPr>
              <w:t xml:space="preserve"> </w:t>
            </w:r>
            <w:r>
              <w:rPr>
                <w:rFonts w:hint="eastAsia" w:ascii="宋体" w:hAnsi="宋体" w:eastAsia="宋体" w:cs="宋体"/>
                <w:b w:val="0"/>
                <w:bCs w:val="0"/>
                <w:color w:val="auto"/>
                <w:spacing w:val="-6"/>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367" w:type="pct"/>
            <w:vAlign w:val="center"/>
          </w:tcPr>
          <w:p w14:paraId="4EACEE32">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7D0A6C48">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9" w:type="pct"/>
            <w:vMerge w:val="continue"/>
            <w:tcBorders>
              <w:top w:val="nil"/>
              <w:bottom w:val="nil"/>
            </w:tcBorders>
            <w:vAlign w:val="center"/>
          </w:tcPr>
          <w:p w14:paraId="153F445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0FDC0B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jc w:val="center"/>
        </w:trPr>
        <w:tc>
          <w:tcPr>
            <w:tcW w:w="192" w:type="pct"/>
            <w:vMerge w:val="continue"/>
            <w:tcBorders>
              <w:top w:val="single" w:color="auto" w:sz="4" w:space="0"/>
              <w:bottom w:val="single" w:color="auto" w:sz="4" w:space="0"/>
            </w:tcBorders>
            <w:vAlign w:val="center"/>
          </w:tcPr>
          <w:p w14:paraId="1DD3122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0" w:type="pct"/>
            <w:vMerge w:val="continue"/>
            <w:tcBorders>
              <w:top w:val="single" w:color="auto" w:sz="4" w:space="0"/>
              <w:bottom w:val="single" w:color="auto" w:sz="4" w:space="0"/>
            </w:tcBorders>
            <w:vAlign w:val="center"/>
          </w:tcPr>
          <w:p w14:paraId="1FF140B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7" w:type="pct"/>
            <w:vMerge w:val="continue"/>
            <w:vAlign w:val="center"/>
          </w:tcPr>
          <w:p w14:paraId="6C1F570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34" w:type="pct"/>
            <w:vAlign w:val="center"/>
          </w:tcPr>
          <w:p w14:paraId="2E784656">
            <w:pPr>
              <w:pStyle w:val="23"/>
              <w:keepNext w:val="0"/>
              <w:keepLines w:val="0"/>
              <w:suppressLineNumbers w:val="0"/>
              <w:spacing w:before="70" w:line="281" w:lineRule="auto"/>
              <w:ind w:left="111" w:right="365" w:firstLine="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f)抽查 2 名防火检查人员，核查岗位职责掌握情况。</w:t>
            </w:r>
          </w:p>
        </w:tc>
        <w:tc>
          <w:tcPr>
            <w:tcW w:w="1181" w:type="pct"/>
            <w:vAlign w:val="center"/>
          </w:tcPr>
          <w:p w14:paraId="09DB4CA4">
            <w:pPr>
              <w:pStyle w:val="23"/>
              <w:keepNext w:val="0"/>
              <w:keepLines w:val="0"/>
              <w:suppressLineNumbers w:val="0"/>
              <w:spacing w:before="72" w:line="280" w:lineRule="auto"/>
              <w:ind w:left="111" w:right="194" w:hanging="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每抽查</w:t>
            </w:r>
            <w:r>
              <w:rPr>
                <w:rFonts w:hint="eastAsia" w:ascii="宋体" w:hAnsi="宋体" w:eastAsia="宋体" w:cs="宋体"/>
                <w:b w:val="0"/>
                <w:bCs w:val="0"/>
                <w:color w:val="auto"/>
                <w:spacing w:val="-23"/>
                <w:sz w:val="18"/>
                <w:szCs w:val="18"/>
                <w:highlight w:val="none"/>
              </w:rPr>
              <w:t xml:space="preserve"> </w:t>
            </w:r>
            <w:r>
              <w:rPr>
                <w:rFonts w:hint="eastAsia" w:ascii="宋体" w:hAnsi="宋体" w:eastAsia="宋体" w:cs="宋体"/>
                <w:b w:val="0"/>
                <w:bCs w:val="0"/>
                <w:color w:val="auto"/>
                <w:spacing w:val="-5"/>
                <w:sz w:val="18"/>
                <w:szCs w:val="18"/>
                <w:highlight w:val="none"/>
              </w:rPr>
              <w:t>1</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人次未掌握扣</w:t>
            </w:r>
            <w:r>
              <w:rPr>
                <w:rFonts w:hint="eastAsia" w:ascii="宋体" w:hAnsi="宋体" w:eastAsia="宋体" w:cs="宋体"/>
                <w:b w:val="0"/>
                <w:bCs w:val="0"/>
                <w:color w:val="auto"/>
                <w:spacing w:val="-26"/>
                <w:sz w:val="18"/>
                <w:szCs w:val="18"/>
                <w:highlight w:val="none"/>
              </w:rPr>
              <w:t xml:space="preserve"> </w:t>
            </w:r>
            <w:r>
              <w:rPr>
                <w:rFonts w:hint="eastAsia" w:ascii="宋体" w:hAnsi="宋体" w:eastAsia="宋体" w:cs="宋体"/>
                <w:b w:val="0"/>
                <w:bCs w:val="0"/>
                <w:color w:val="auto"/>
                <w:spacing w:val="-5"/>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分，最高扣</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5"/>
                <w:sz w:val="18"/>
                <w:szCs w:val="18"/>
                <w:highlight w:val="none"/>
              </w:rPr>
              <w:t>2</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9"/>
                <w:sz w:val="18"/>
                <w:szCs w:val="18"/>
                <w:highlight w:val="none"/>
              </w:rPr>
              <w:t>分。</w:t>
            </w:r>
          </w:p>
        </w:tc>
        <w:tc>
          <w:tcPr>
            <w:tcW w:w="367" w:type="pct"/>
            <w:vAlign w:val="center"/>
          </w:tcPr>
          <w:p w14:paraId="6B0DD811">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7" w:type="pct"/>
            <w:vAlign w:val="center"/>
          </w:tcPr>
          <w:p w14:paraId="11548F3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9" w:type="pct"/>
            <w:vMerge w:val="continue"/>
            <w:tcBorders>
              <w:top w:val="nil"/>
            </w:tcBorders>
            <w:vAlign w:val="center"/>
          </w:tcPr>
          <w:p w14:paraId="462F8BE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bl>
    <w:p w14:paraId="650F6455">
      <w:pPr>
        <w:rPr>
          <w:highlight w:val="none"/>
        </w:rPr>
      </w:pPr>
      <w:r>
        <w:rPr>
          <w:highlight w:val="none"/>
        </w:rPr>
        <w:br w:type="page"/>
      </w:r>
    </w:p>
    <w:tbl>
      <w:tblPr>
        <w:tblStyle w:val="24"/>
        <w:tblW w:w="495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0"/>
        <w:gridCol w:w="1465"/>
        <w:gridCol w:w="1092"/>
        <w:gridCol w:w="5188"/>
        <w:gridCol w:w="3523"/>
        <w:gridCol w:w="1092"/>
        <w:gridCol w:w="999"/>
        <w:gridCol w:w="979"/>
      </w:tblGrid>
      <w:tr w14:paraId="30D92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 w:hRule="atLeast"/>
          <w:jc w:val="center"/>
        </w:trPr>
        <w:tc>
          <w:tcPr>
            <w:tcW w:w="191" w:type="pct"/>
            <w:tcBorders>
              <w:top w:val="single" w:color="auto" w:sz="4" w:space="0"/>
              <w:left w:val="single" w:color="auto" w:sz="4" w:space="0"/>
              <w:bottom w:val="single" w:color="auto" w:sz="4" w:space="0"/>
              <w:right w:val="single" w:color="auto" w:sz="4" w:space="0"/>
            </w:tcBorders>
            <w:vAlign w:val="center"/>
          </w:tcPr>
          <w:p w14:paraId="4BB2331B">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tcBorders>
              <w:top w:val="single" w:color="auto" w:sz="4" w:space="0"/>
              <w:left w:val="single" w:color="auto" w:sz="4" w:space="0"/>
              <w:bottom w:val="single" w:color="auto" w:sz="4" w:space="0"/>
              <w:right w:val="single" w:color="auto" w:sz="4" w:space="0"/>
            </w:tcBorders>
            <w:vAlign w:val="center"/>
          </w:tcPr>
          <w:p w14:paraId="50518EA2">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tcBorders>
              <w:left w:val="single" w:color="auto" w:sz="4" w:space="0"/>
            </w:tcBorders>
            <w:vAlign w:val="center"/>
          </w:tcPr>
          <w:p w14:paraId="5DB17CB4">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9" w:type="pct"/>
            <w:vAlign w:val="center"/>
          </w:tcPr>
          <w:p w14:paraId="5995D1F8">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1" w:type="pct"/>
            <w:vAlign w:val="center"/>
          </w:tcPr>
          <w:p w14:paraId="19F1B97D">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2559A3B2">
            <w:pPr>
              <w:pStyle w:val="23"/>
              <w:keepNext w:val="0"/>
              <w:keepLines w:val="0"/>
              <w:suppressLineNumbers w:val="0"/>
              <w:spacing w:before="70" w:line="219" w:lineRule="auto"/>
              <w:ind w:left="170"/>
              <w:rPr>
                <w:highlight w:val="none"/>
              </w:rPr>
            </w:pPr>
            <w:r>
              <w:rPr>
                <w:b/>
                <w:bCs/>
                <w:spacing w:val="-3"/>
                <w:highlight w:val="none"/>
              </w:rPr>
              <w:t>评估情况</w:t>
            </w:r>
          </w:p>
        </w:tc>
        <w:tc>
          <w:tcPr>
            <w:tcW w:w="335" w:type="pct"/>
            <w:vAlign w:val="center"/>
          </w:tcPr>
          <w:p w14:paraId="74D690F9">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331DE940">
            <w:pPr>
              <w:pStyle w:val="23"/>
              <w:keepNext w:val="0"/>
              <w:keepLines w:val="0"/>
              <w:suppressLineNumbers w:val="0"/>
              <w:spacing w:before="71" w:line="220" w:lineRule="auto"/>
              <w:ind w:left="295"/>
              <w:rPr>
                <w:highlight w:val="none"/>
              </w:rPr>
            </w:pPr>
            <w:r>
              <w:rPr>
                <w:b/>
                <w:bCs/>
                <w:spacing w:val="-4"/>
                <w:highlight w:val="none"/>
              </w:rPr>
              <w:t>得分</w:t>
            </w:r>
          </w:p>
        </w:tc>
      </w:tr>
      <w:tr w14:paraId="62DFE2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4" w:hRule="atLeast"/>
          <w:jc w:val="center"/>
        </w:trPr>
        <w:tc>
          <w:tcPr>
            <w:tcW w:w="191" w:type="pct"/>
            <w:vMerge w:val="restart"/>
            <w:tcBorders>
              <w:top w:val="nil"/>
            </w:tcBorders>
            <w:vAlign w:val="center"/>
          </w:tcPr>
          <w:p w14:paraId="165DAF2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restart"/>
            <w:tcBorders>
              <w:top w:val="nil"/>
            </w:tcBorders>
            <w:vAlign w:val="center"/>
          </w:tcPr>
          <w:p w14:paraId="72EEB35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restart"/>
            <w:vAlign w:val="center"/>
          </w:tcPr>
          <w:p w14:paraId="2D78A1BB">
            <w:pPr>
              <w:pStyle w:val="23"/>
              <w:keepNext w:val="0"/>
              <w:keepLines w:val="0"/>
              <w:suppressLineNumbers w:val="0"/>
              <w:spacing w:before="184" w:line="307" w:lineRule="auto"/>
              <w:ind w:left="114" w:right="191" w:firstLine="6"/>
              <w:rPr>
                <w:b w:val="0"/>
                <w:bCs w:val="0"/>
                <w:color w:val="auto"/>
                <w:highlight w:val="none"/>
              </w:rPr>
            </w:pPr>
            <w:r>
              <w:rPr>
                <w:b w:val="0"/>
                <w:bCs w:val="0"/>
                <w:color w:val="auto"/>
                <w:spacing w:val="-5"/>
                <w:highlight w:val="none"/>
              </w:rPr>
              <w:t>防火巡查</w:t>
            </w:r>
            <w:r>
              <w:rPr>
                <w:b w:val="0"/>
                <w:bCs w:val="0"/>
                <w:color w:val="auto"/>
                <w:highlight w:val="none"/>
              </w:rPr>
              <w:t xml:space="preserve"> </w:t>
            </w:r>
            <w:r>
              <w:rPr>
                <w:b w:val="0"/>
                <w:bCs w:val="0"/>
                <w:color w:val="auto"/>
                <w:spacing w:val="-8"/>
                <w:highlight w:val="none"/>
              </w:rPr>
              <w:t>（10</w:t>
            </w:r>
            <w:r>
              <w:rPr>
                <w:b w:val="0"/>
                <w:bCs w:val="0"/>
                <w:color w:val="auto"/>
                <w:spacing w:val="-31"/>
                <w:highlight w:val="none"/>
              </w:rPr>
              <w:t xml:space="preserve"> </w:t>
            </w:r>
            <w:r>
              <w:rPr>
                <w:b w:val="0"/>
                <w:bCs w:val="0"/>
                <w:color w:val="auto"/>
                <w:spacing w:val="-8"/>
                <w:highlight w:val="none"/>
              </w:rPr>
              <w:t>分）</w:t>
            </w:r>
          </w:p>
        </w:tc>
        <w:tc>
          <w:tcPr>
            <w:tcW w:w="1739" w:type="pct"/>
            <w:vAlign w:val="center"/>
          </w:tcPr>
          <w:p w14:paraId="76468CBC">
            <w:pPr>
              <w:pStyle w:val="23"/>
              <w:keepNext w:val="0"/>
              <w:keepLines w:val="0"/>
              <w:suppressLineNumbers w:val="0"/>
              <w:spacing w:before="59" w:line="220" w:lineRule="auto"/>
              <w:ind w:left="110"/>
              <w:rPr>
                <w:b w:val="0"/>
                <w:bCs w:val="0"/>
                <w:color w:val="auto"/>
                <w:highlight w:val="none"/>
              </w:rPr>
            </w:pPr>
            <w:r>
              <w:rPr>
                <w:b w:val="0"/>
                <w:bCs w:val="0"/>
                <w:color w:val="auto"/>
                <w:spacing w:val="-1"/>
                <w:highlight w:val="none"/>
              </w:rPr>
              <w:t>a)防火巡查频次是否符合相关要求；</w:t>
            </w:r>
          </w:p>
        </w:tc>
        <w:tc>
          <w:tcPr>
            <w:tcW w:w="1181" w:type="pct"/>
            <w:vAlign w:val="center"/>
          </w:tcPr>
          <w:p w14:paraId="44037A2E">
            <w:pPr>
              <w:pStyle w:val="23"/>
              <w:keepNext w:val="0"/>
              <w:keepLines w:val="0"/>
              <w:suppressLineNumbers w:val="0"/>
              <w:spacing w:before="59" w:line="220" w:lineRule="auto"/>
              <w:ind w:left="110"/>
              <w:rPr>
                <w:b w:val="0"/>
                <w:bCs w:val="0"/>
                <w:color w:val="auto"/>
                <w:highlight w:val="none"/>
              </w:rPr>
            </w:pPr>
            <w:r>
              <w:rPr>
                <w:b w:val="0"/>
                <w:bCs w:val="0"/>
                <w:color w:val="auto"/>
                <w:spacing w:val="-3"/>
                <w:highlight w:val="none"/>
              </w:rPr>
              <w:t>巡查频次不符合要求扣</w:t>
            </w:r>
            <w:r>
              <w:rPr>
                <w:b w:val="0"/>
                <w:bCs w:val="0"/>
                <w:color w:val="auto"/>
                <w:spacing w:val="-34"/>
                <w:highlight w:val="none"/>
              </w:rPr>
              <w:t xml:space="preserve"> </w:t>
            </w:r>
            <w:r>
              <w:rPr>
                <w:b w:val="0"/>
                <w:bCs w:val="0"/>
                <w:color w:val="auto"/>
                <w:spacing w:val="-3"/>
                <w:highlight w:val="none"/>
              </w:rPr>
              <w:t>5</w:t>
            </w:r>
            <w:r>
              <w:rPr>
                <w:b w:val="0"/>
                <w:bCs w:val="0"/>
                <w:color w:val="auto"/>
                <w:spacing w:val="-34"/>
                <w:highlight w:val="none"/>
              </w:rPr>
              <w:t xml:space="preserve"> </w:t>
            </w:r>
            <w:r>
              <w:rPr>
                <w:b w:val="0"/>
                <w:bCs w:val="0"/>
                <w:color w:val="auto"/>
                <w:spacing w:val="-3"/>
                <w:highlight w:val="none"/>
              </w:rPr>
              <w:t>分。</w:t>
            </w:r>
          </w:p>
        </w:tc>
        <w:tc>
          <w:tcPr>
            <w:tcW w:w="366" w:type="pct"/>
            <w:vAlign w:val="center"/>
          </w:tcPr>
          <w:p w14:paraId="29DB2F82">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5" w:type="pct"/>
            <w:vAlign w:val="center"/>
          </w:tcPr>
          <w:p w14:paraId="65ED1E2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0C5CA763">
            <w:pPr>
              <w:keepNext w:val="0"/>
              <w:keepLines w:val="0"/>
              <w:suppressLineNumbers w:val="0"/>
              <w:spacing w:before="0" w:beforeAutospacing="0" w:after="0" w:afterAutospacing="0"/>
              <w:ind w:left="0" w:right="0"/>
              <w:jc w:val="both"/>
              <w:rPr>
                <w:rFonts w:hint="default" w:ascii="Arial" w:eastAsia="宋体"/>
                <w:b w:val="0"/>
                <w:bCs w:val="0"/>
                <w:color w:val="auto"/>
                <w:sz w:val="21"/>
                <w:highlight w:val="none"/>
                <w:lang w:val="en-US" w:eastAsia="zh-CN"/>
              </w:rPr>
            </w:pPr>
          </w:p>
        </w:tc>
      </w:tr>
      <w:tr w14:paraId="6A1B96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7" w:hRule="atLeast"/>
          <w:jc w:val="center"/>
        </w:trPr>
        <w:tc>
          <w:tcPr>
            <w:tcW w:w="191" w:type="pct"/>
            <w:vMerge w:val="continue"/>
            <w:vAlign w:val="center"/>
          </w:tcPr>
          <w:p w14:paraId="14DB7A0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62C0922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vAlign w:val="center"/>
          </w:tcPr>
          <w:p w14:paraId="0C5BB30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9" w:type="pct"/>
            <w:vAlign w:val="center"/>
          </w:tcPr>
          <w:p w14:paraId="6FA47C99">
            <w:pPr>
              <w:pStyle w:val="23"/>
              <w:keepNext w:val="0"/>
              <w:keepLines w:val="0"/>
              <w:suppressLineNumbers w:val="0"/>
              <w:spacing w:before="69" w:line="220" w:lineRule="auto"/>
              <w:ind w:left="107"/>
              <w:rPr>
                <w:b w:val="0"/>
                <w:bCs w:val="0"/>
                <w:color w:val="auto"/>
                <w:highlight w:val="none"/>
              </w:rPr>
            </w:pPr>
            <w:r>
              <w:rPr>
                <w:b w:val="0"/>
                <w:bCs w:val="0"/>
                <w:color w:val="auto"/>
                <w:spacing w:val="-2"/>
                <w:highlight w:val="none"/>
              </w:rPr>
              <w:t>b)巡查内容应符合有关要求，一般包括以下内容：</w:t>
            </w:r>
          </w:p>
          <w:p w14:paraId="16506746">
            <w:pPr>
              <w:pStyle w:val="23"/>
              <w:keepNext w:val="0"/>
              <w:keepLines w:val="0"/>
              <w:suppressLineNumbers w:val="0"/>
              <w:spacing w:before="96" w:line="220" w:lineRule="auto"/>
              <w:ind w:left="123"/>
              <w:rPr>
                <w:b w:val="0"/>
                <w:bCs w:val="0"/>
                <w:color w:val="auto"/>
                <w:highlight w:val="none"/>
              </w:rPr>
            </w:pPr>
            <w:r>
              <w:rPr>
                <w:b w:val="0"/>
                <w:bCs w:val="0"/>
                <w:color w:val="auto"/>
                <w:spacing w:val="-4"/>
                <w:highlight w:val="none"/>
              </w:rPr>
              <w:t>1)用火、用电有无违章情况；</w:t>
            </w:r>
          </w:p>
          <w:p w14:paraId="108D1CF7">
            <w:pPr>
              <w:pStyle w:val="23"/>
              <w:keepNext w:val="0"/>
              <w:keepLines w:val="0"/>
              <w:suppressLineNumbers w:val="0"/>
              <w:spacing w:before="98" w:line="270" w:lineRule="auto"/>
              <w:ind w:left="110" w:right="100" w:firstLine="2"/>
              <w:rPr>
                <w:b w:val="0"/>
                <w:bCs w:val="0"/>
                <w:color w:val="auto"/>
                <w:highlight w:val="none"/>
              </w:rPr>
            </w:pPr>
            <w:r>
              <w:rPr>
                <w:b w:val="0"/>
                <w:bCs w:val="0"/>
                <w:color w:val="auto"/>
                <w:spacing w:val="-2"/>
                <w:highlight w:val="none"/>
              </w:rPr>
              <w:t>2)安全出口、疏散通道是否畅通，安全疏散指示标志、</w:t>
            </w:r>
            <w:r>
              <w:rPr>
                <w:b w:val="0"/>
                <w:bCs w:val="0"/>
                <w:color w:val="auto"/>
                <w:spacing w:val="-1"/>
                <w:highlight w:val="none"/>
              </w:rPr>
              <w:t>应急照明是否完好；</w:t>
            </w:r>
          </w:p>
          <w:p w14:paraId="32F87029">
            <w:pPr>
              <w:pStyle w:val="23"/>
              <w:keepNext w:val="0"/>
              <w:keepLines w:val="0"/>
              <w:suppressLineNumbers w:val="0"/>
              <w:spacing w:before="96" w:line="220" w:lineRule="auto"/>
              <w:ind w:left="114"/>
              <w:rPr>
                <w:b w:val="0"/>
                <w:bCs w:val="0"/>
                <w:color w:val="auto"/>
                <w:highlight w:val="none"/>
              </w:rPr>
            </w:pPr>
            <w:r>
              <w:rPr>
                <w:b w:val="0"/>
                <w:bCs w:val="0"/>
                <w:color w:val="auto"/>
                <w:spacing w:val="-1"/>
                <w:highlight w:val="none"/>
              </w:rPr>
              <w:t>3)消防设施、器材和消防安全标志是否在位、完整；</w:t>
            </w:r>
          </w:p>
          <w:p w14:paraId="2948A537">
            <w:pPr>
              <w:pStyle w:val="23"/>
              <w:keepNext w:val="0"/>
              <w:keepLines w:val="0"/>
              <w:suppressLineNumbers w:val="0"/>
              <w:spacing w:before="98" w:line="270" w:lineRule="auto"/>
              <w:ind w:left="109" w:right="105"/>
              <w:rPr>
                <w:b w:val="0"/>
                <w:bCs w:val="0"/>
                <w:color w:val="auto"/>
                <w:highlight w:val="none"/>
              </w:rPr>
            </w:pPr>
            <w:r>
              <w:rPr>
                <w:b w:val="0"/>
                <w:bCs w:val="0"/>
                <w:color w:val="auto"/>
                <w:spacing w:val="-2"/>
                <w:highlight w:val="none"/>
              </w:rPr>
              <w:t>4)常闭式防火门是否处于关闭状态，防火卷帘下是否堆</w:t>
            </w:r>
            <w:r>
              <w:rPr>
                <w:b w:val="0"/>
                <w:bCs w:val="0"/>
                <w:color w:val="auto"/>
                <w:spacing w:val="-1"/>
                <w:highlight w:val="none"/>
              </w:rPr>
              <w:t>放物品影响使用；</w:t>
            </w:r>
          </w:p>
          <w:p w14:paraId="1968789B">
            <w:pPr>
              <w:pStyle w:val="23"/>
              <w:keepNext w:val="0"/>
              <w:keepLines w:val="0"/>
              <w:suppressLineNumbers w:val="0"/>
              <w:spacing w:before="97" w:line="220" w:lineRule="auto"/>
              <w:ind w:left="114"/>
              <w:rPr>
                <w:b w:val="0"/>
                <w:bCs w:val="0"/>
                <w:color w:val="auto"/>
                <w:highlight w:val="none"/>
              </w:rPr>
            </w:pPr>
            <w:r>
              <w:rPr>
                <w:b w:val="0"/>
                <w:bCs w:val="0"/>
                <w:color w:val="auto"/>
                <w:spacing w:val="-3"/>
                <w:highlight w:val="none"/>
              </w:rPr>
              <w:t>5)消防安全重点部位的人员在岗情况；</w:t>
            </w:r>
          </w:p>
          <w:p w14:paraId="17726C43">
            <w:pPr>
              <w:pStyle w:val="23"/>
              <w:keepNext w:val="0"/>
              <w:keepLines w:val="0"/>
              <w:suppressLineNumbers w:val="0"/>
              <w:spacing w:before="97" w:line="221" w:lineRule="auto"/>
              <w:ind w:left="111"/>
              <w:rPr>
                <w:b w:val="0"/>
                <w:bCs w:val="0"/>
                <w:color w:val="auto"/>
                <w:highlight w:val="none"/>
              </w:rPr>
            </w:pPr>
            <w:r>
              <w:rPr>
                <w:b w:val="0"/>
                <w:bCs w:val="0"/>
                <w:color w:val="auto"/>
                <w:spacing w:val="-1"/>
                <w:highlight w:val="none"/>
              </w:rPr>
              <w:t>6)其他消防安全情况。</w:t>
            </w:r>
          </w:p>
        </w:tc>
        <w:tc>
          <w:tcPr>
            <w:tcW w:w="1181" w:type="pct"/>
            <w:vAlign w:val="center"/>
          </w:tcPr>
          <w:p w14:paraId="75A777DA">
            <w:pPr>
              <w:pStyle w:val="23"/>
              <w:keepNext w:val="0"/>
              <w:keepLines w:val="0"/>
              <w:suppressLineNumbers w:val="0"/>
              <w:spacing w:before="59" w:line="307" w:lineRule="auto"/>
              <w:ind w:left="111" w:right="194" w:firstLine="9"/>
              <w:rPr>
                <w:b w:val="0"/>
                <w:bCs w:val="0"/>
                <w:color w:val="auto"/>
                <w:highlight w:val="none"/>
              </w:rPr>
            </w:pPr>
            <w:r>
              <w:rPr>
                <w:b w:val="0"/>
                <w:bCs w:val="0"/>
                <w:color w:val="auto"/>
                <w:spacing w:val="-2"/>
                <w:highlight w:val="none"/>
              </w:rPr>
              <w:t>防火巡查内容不齐全，每少一项扣</w:t>
            </w:r>
            <w:r>
              <w:rPr>
                <w:b w:val="0"/>
                <w:bCs w:val="0"/>
                <w:color w:val="auto"/>
                <w:spacing w:val="-34"/>
                <w:highlight w:val="none"/>
              </w:rPr>
              <w:t xml:space="preserve"> </w:t>
            </w:r>
            <w:r>
              <w:rPr>
                <w:b w:val="0"/>
                <w:bCs w:val="0"/>
                <w:color w:val="auto"/>
                <w:spacing w:val="-2"/>
                <w:highlight w:val="none"/>
              </w:rPr>
              <w:t>0.5</w:t>
            </w:r>
            <w:r>
              <w:rPr>
                <w:b w:val="0"/>
                <w:bCs w:val="0"/>
                <w:color w:val="auto"/>
                <w:highlight w:val="none"/>
              </w:rPr>
              <w:t xml:space="preserve"> </w:t>
            </w:r>
            <w:r>
              <w:rPr>
                <w:b w:val="0"/>
                <w:bCs w:val="0"/>
                <w:color w:val="auto"/>
                <w:spacing w:val="-5"/>
                <w:highlight w:val="none"/>
              </w:rPr>
              <w:t>分，最高扣</w:t>
            </w:r>
            <w:r>
              <w:rPr>
                <w:b w:val="0"/>
                <w:bCs w:val="0"/>
                <w:color w:val="auto"/>
                <w:spacing w:val="-34"/>
                <w:highlight w:val="none"/>
              </w:rPr>
              <w:t xml:space="preserve"> </w:t>
            </w:r>
            <w:r>
              <w:rPr>
                <w:b w:val="0"/>
                <w:bCs w:val="0"/>
                <w:color w:val="auto"/>
                <w:spacing w:val="-5"/>
                <w:highlight w:val="none"/>
              </w:rPr>
              <w:t>3</w:t>
            </w:r>
            <w:r>
              <w:rPr>
                <w:b w:val="0"/>
                <w:bCs w:val="0"/>
                <w:color w:val="auto"/>
                <w:spacing w:val="-34"/>
                <w:highlight w:val="none"/>
              </w:rPr>
              <w:t xml:space="preserve"> </w:t>
            </w:r>
            <w:r>
              <w:rPr>
                <w:b w:val="0"/>
                <w:bCs w:val="0"/>
                <w:color w:val="auto"/>
                <w:spacing w:val="-5"/>
                <w:highlight w:val="none"/>
              </w:rPr>
              <w:t>分。</w:t>
            </w:r>
          </w:p>
        </w:tc>
        <w:tc>
          <w:tcPr>
            <w:tcW w:w="366" w:type="pct"/>
            <w:vAlign w:val="center"/>
          </w:tcPr>
          <w:p w14:paraId="42A4FEB5">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5" w:type="pct"/>
            <w:vAlign w:val="center"/>
          </w:tcPr>
          <w:p w14:paraId="3D98B00B">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28" w:type="pct"/>
            <w:vMerge w:val="restart"/>
            <w:tcBorders>
              <w:bottom w:val="nil"/>
            </w:tcBorders>
            <w:vAlign w:val="center"/>
          </w:tcPr>
          <w:p w14:paraId="0F6CA90E">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49753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191" w:type="pct"/>
            <w:vMerge w:val="continue"/>
            <w:vAlign w:val="center"/>
          </w:tcPr>
          <w:p w14:paraId="5CE148F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4BDBA36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vAlign w:val="center"/>
          </w:tcPr>
          <w:p w14:paraId="45A3C20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9" w:type="pct"/>
            <w:vAlign w:val="center"/>
          </w:tcPr>
          <w:p w14:paraId="262C4002">
            <w:pPr>
              <w:pStyle w:val="23"/>
              <w:keepNext w:val="0"/>
              <w:keepLines w:val="0"/>
              <w:suppressLineNumbers w:val="0"/>
              <w:spacing w:before="59" w:line="220" w:lineRule="auto"/>
              <w:ind w:left="110"/>
              <w:rPr>
                <w:b w:val="0"/>
                <w:bCs w:val="0"/>
                <w:color w:val="auto"/>
                <w:highlight w:val="none"/>
              </w:rPr>
            </w:pPr>
            <w:r>
              <w:rPr>
                <w:b w:val="0"/>
                <w:bCs w:val="0"/>
                <w:color w:val="auto"/>
                <w:spacing w:val="-1"/>
                <w:highlight w:val="none"/>
              </w:rPr>
              <w:t>c)防火巡查记录中巡查人员及其主管人员签字情况；</w:t>
            </w:r>
          </w:p>
        </w:tc>
        <w:tc>
          <w:tcPr>
            <w:tcW w:w="1181" w:type="pct"/>
            <w:vAlign w:val="center"/>
          </w:tcPr>
          <w:p w14:paraId="162E2270">
            <w:pPr>
              <w:pStyle w:val="23"/>
              <w:keepNext w:val="0"/>
              <w:keepLines w:val="0"/>
              <w:suppressLineNumbers w:val="0"/>
              <w:spacing w:before="68" w:line="282" w:lineRule="auto"/>
              <w:ind w:left="110" w:right="150" w:firstLine="2"/>
              <w:rPr>
                <w:b w:val="0"/>
                <w:bCs w:val="0"/>
                <w:color w:val="auto"/>
                <w:spacing w:val="-2"/>
                <w:highlight w:val="none"/>
              </w:rPr>
            </w:pPr>
            <w:r>
              <w:rPr>
                <w:b w:val="0"/>
                <w:bCs w:val="0"/>
                <w:color w:val="auto"/>
                <w:spacing w:val="-2"/>
                <w:highlight w:val="none"/>
              </w:rPr>
              <w:t>未形成巡查记录扣 2 分，巡查记录上每少一人签字扣 1 分，最高扣 2 分。</w:t>
            </w:r>
          </w:p>
        </w:tc>
        <w:tc>
          <w:tcPr>
            <w:tcW w:w="366" w:type="pct"/>
            <w:vAlign w:val="center"/>
          </w:tcPr>
          <w:p w14:paraId="3D7FA53B">
            <w:pPr>
              <w:pStyle w:val="23"/>
              <w:keepNext w:val="0"/>
              <w:keepLines w:val="0"/>
              <w:suppressLineNumbers w:val="0"/>
              <w:spacing w:before="68" w:line="282" w:lineRule="auto"/>
              <w:ind w:left="110" w:right="150" w:firstLine="2"/>
              <w:jc w:val="center"/>
              <w:rPr>
                <w:b w:val="0"/>
                <w:bCs w:val="0"/>
                <w:color w:val="auto"/>
                <w:spacing w:val="-2"/>
                <w:highlight w:val="none"/>
              </w:rPr>
            </w:pPr>
          </w:p>
        </w:tc>
        <w:tc>
          <w:tcPr>
            <w:tcW w:w="335" w:type="pct"/>
            <w:vAlign w:val="center"/>
          </w:tcPr>
          <w:p w14:paraId="4B0C7AA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continue"/>
            <w:tcBorders>
              <w:top w:val="nil"/>
              <w:bottom w:val="nil"/>
            </w:tcBorders>
            <w:vAlign w:val="center"/>
          </w:tcPr>
          <w:p w14:paraId="55914963">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7607B5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191" w:type="pct"/>
            <w:vMerge w:val="continue"/>
            <w:vAlign w:val="center"/>
          </w:tcPr>
          <w:p w14:paraId="4C22D4F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5A85828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vAlign w:val="center"/>
          </w:tcPr>
          <w:p w14:paraId="525219C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9" w:type="pct"/>
            <w:vAlign w:val="center"/>
          </w:tcPr>
          <w:p w14:paraId="5AB4F116">
            <w:pPr>
              <w:pStyle w:val="23"/>
              <w:keepNext w:val="0"/>
              <w:keepLines w:val="0"/>
              <w:suppressLineNumbers w:val="0"/>
              <w:spacing w:before="59" w:line="220" w:lineRule="auto"/>
              <w:ind w:left="110"/>
              <w:rPr>
                <w:b w:val="0"/>
                <w:bCs w:val="0"/>
                <w:color w:val="auto"/>
                <w:highlight w:val="none"/>
              </w:rPr>
            </w:pPr>
            <w:r>
              <w:rPr>
                <w:b w:val="0"/>
                <w:bCs w:val="0"/>
                <w:color w:val="auto"/>
                <w:spacing w:val="-1"/>
                <w:highlight w:val="none"/>
              </w:rPr>
              <w:t>d)防火巡查发现问题的处置和整改情况；</w:t>
            </w:r>
          </w:p>
        </w:tc>
        <w:tc>
          <w:tcPr>
            <w:tcW w:w="1181" w:type="pct"/>
            <w:vAlign w:val="center"/>
          </w:tcPr>
          <w:p w14:paraId="27C8CFA1">
            <w:pPr>
              <w:pStyle w:val="23"/>
              <w:keepNext w:val="0"/>
              <w:keepLines w:val="0"/>
              <w:suppressLineNumbers w:val="0"/>
              <w:spacing w:before="68" w:line="282" w:lineRule="auto"/>
              <w:ind w:left="109" w:right="150" w:firstLine="2"/>
              <w:rPr>
                <w:b w:val="0"/>
                <w:bCs w:val="0"/>
                <w:color w:val="auto"/>
                <w:highlight w:val="none"/>
              </w:rPr>
            </w:pPr>
            <w:r>
              <w:rPr>
                <w:b w:val="0"/>
                <w:bCs w:val="0"/>
                <w:color w:val="auto"/>
                <w:spacing w:val="-1"/>
                <w:highlight w:val="none"/>
              </w:rPr>
              <w:t>发现问题未及时整改或未制定相应整改</w:t>
            </w:r>
            <w:r>
              <w:rPr>
                <w:b w:val="0"/>
                <w:bCs w:val="0"/>
                <w:color w:val="auto"/>
                <w:spacing w:val="-6"/>
                <w:highlight w:val="none"/>
              </w:rPr>
              <w:t>措施的，扣</w:t>
            </w:r>
            <w:r>
              <w:rPr>
                <w:b w:val="0"/>
                <w:bCs w:val="0"/>
                <w:color w:val="auto"/>
                <w:spacing w:val="-24"/>
                <w:highlight w:val="none"/>
              </w:rPr>
              <w:t xml:space="preserve"> </w:t>
            </w:r>
            <w:r>
              <w:rPr>
                <w:b w:val="0"/>
                <w:bCs w:val="0"/>
                <w:color w:val="auto"/>
                <w:spacing w:val="-6"/>
                <w:highlight w:val="none"/>
              </w:rPr>
              <w:t>1</w:t>
            </w:r>
            <w:r>
              <w:rPr>
                <w:b w:val="0"/>
                <w:bCs w:val="0"/>
                <w:color w:val="auto"/>
                <w:spacing w:val="-34"/>
                <w:highlight w:val="none"/>
              </w:rPr>
              <w:t xml:space="preserve"> </w:t>
            </w:r>
            <w:r>
              <w:rPr>
                <w:b w:val="0"/>
                <w:bCs w:val="0"/>
                <w:color w:val="auto"/>
                <w:spacing w:val="-6"/>
                <w:highlight w:val="none"/>
              </w:rPr>
              <w:t>分。</w:t>
            </w:r>
          </w:p>
        </w:tc>
        <w:tc>
          <w:tcPr>
            <w:tcW w:w="366" w:type="pct"/>
            <w:vAlign w:val="center"/>
          </w:tcPr>
          <w:p w14:paraId="1654CD2E">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5" w:type="pct"/>
            <w:vAlign w:val="center"/>
          </w:tcPr>
          <w:p w14:paraId="3A960CC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continue"/>
            <w:tcBorders>
              <w:top w:val="nil"/>
              <w:bottom w:val="nil"/>
            </w:tcBorders>
            <w:vAlign w:val="center"/>
          </w:tcPr>
          <w:p w14:paraId="4C43D4F1">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E2D4F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jc w:val="center"/>
        </w:trPr>
        <w:tc>
          <w:tcPr>
            <w:tcW w:w="191" w:type="pct"/>
            <w:vMerge w:val="continue"/>
            <w:vAlign w:val="center"/>
          </w:tcPr>
          <w:p w14:paraId="298BE362">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36E64BF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vAlign w:val="center"/>
          </w:tcPr>
          <w:p w14:paraId="7B31ECB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9" w:type="pct"/>
            <w:vAlign w:val="center"/>
          </w:tcPr>
          <w:p w14:paraId="1BDE19BB">
            <w:pPr>
              <w:pStyle w:val="23"/>
              <w:keepNext w:val="0"/>
              <w:keepLines w:val="0"/>
              <w:suppressLineNumbers w:val="0"/>
              <w:spacing w:before="69" w:line="220" w:lineRule="auto"/>
              <w:ind w:left="114"/>
              <w:rPr>
                <w:b w:val="0"/>
                <w:bCs w:val="0"/>
                <w:color w:val="auto"/>
                <w:highlight w:val="none"/>
              </w:rPr>
            </w:pPr>
            <w:r>
              <w:rPr>
                <w:b w:val="0"/>
                <w:bCs w:val="0"/>
                <w:color w:val="auto"/>
                <w:spacing w:val="-4"/>
                <w:highlight w:val="none"/>
              </w:rPr>
              <w:t>e)防火巡查记录存档情况；</w:t>
            </w:r>
          </w:p>
        </w:tc>
        <w:tc>
          <w:tcPr>
            <w:tcW w:w="1181" w:type="pct"/>
            <w:vAlign w:val="center"/>
          </w:tcPr>
          <w:p w14:paraId="716DC207">
            <w:pPr>
              <w:pStyle w:val="23"/>
              <w:keepNext w:val="0"/>
              <w:keepLines w:val="0"/>
              <w:suppressLineNumbers w:val="0"/>
              <w:spacing w:before="69" w:line="220" w:lineRule="auto"/>
              <w:ind w:left="112"/>
              <w:rPr>
                <w:b w:val="0"/>
                <w:bCs w:val="0"/>
                <w:color w:val="auto"/>
                <w:highlight w:val="none"/>
              </w:rPr>
            </w:pPr>
            <w:r>
              <w:rPr>
                <w:b w:val="0"/>
                <w:bCs w:val="0"/>
                <w:color w:val="auto"/>
                <w:spacing w:val="-6"/>
                <w:highlight w:val="none"/>
              </w:rPr>
              <w:t>未存档的，扣</w:t>
            </w:r>
            <w:r>
              <w:rPr>
                <w:b w:val="0"/>
                <w:bCs w:val="0"/>
                <w:color w:val="auto"/>
                <w:spacing w:val="-21"/>
                <w:highlight w:val="none"/>
              </w:rPr>
              <w:t xml:space="preserve"> </w:t>
            </w:r>
            <w:r>
              <w:rPr>
                <w:b w:val="0"/>
                <w:bCs w:val="0"/>
                <w:color w:val="auto"/>
                <w:spacing w:val="-6"/>
                <w:highlight w:val="none"/>
              </w:rPr>
              <w:t>1</w:t>
            </w:r>
            <w:r>
              <w:rPr>
                <w:b w:val="0"/>
                <w:bCs w:val="0"/>
                <w:color w:val="auto"/>
                <w:spacing w:val="-34"/>
                <w:highlight w:val="none"/>
              </w:rPr>
              <w:t xml:space="preserve"> </w:t>
            </w:r>
            <w:r>
              <w:rPr>
                <w:b w:val="0"/>
                <w:bCs w:val="0"/>
                <w:color w:val="auto"/>
                <w:spacing w:val="-6"/>
                <w:highlight w:val="none"/>
              </w:rPr>
              <w:t>分。</w:t>
            </w:r>
          </w:p>
        </w:tc>
        <w:tc>
          <w:tcPr>
            <w:tcW w:w="366" w:type="pct"/>
            <w:vAlign w:val="center"/>
          </w:tcPr>
          <w:p w14:paraId="4BBE0588">
            <w:pPr>
              <w:keepNext w:val="0"/>
              <w:keepLines w:val="0"/>
              <w:suppressLineNumbers w:val="0"/>
              <w:spacing w:before="0" w:beforeAutospacing="0" w:after="0" w:afterAutospacing="0"/>
              <w:ind w:left="0" w:right="0"/>
              <w:jc w:val="center"/>
              <w:rPr>
                <w:rFonts w:hint="eastAsia" w:ascii="Arial" w:eastAsia="宋体"/>
                <w:b w:val="0"/>
                <w:bCs w:val="0"/>
                <w:color w:val="auto"/>
                <w:sz w:val="21"/>
                <w:highlight w:val="none"/>
                <w:lang w:eastAsia="zh-CN"/>
              </w:rPr>
            </w:pPr>
          </w:p>
        </w:tc>
        <w:tc>
          <w:tcPr>
            <w:tcW w:w="335" w:type="pct"/>
            <w:vAlign w:val="center"/>
          </w:tcPr>
          <w:p w14:paraId="6700EF5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continue"/>
            <w:tcBorders>
              <w:top w:val="nil"/>
              <w:bottom w:val="nil"/>
            </w:tcBorders>
            <w:vAlign w:val="center"/>
          </w:tcPr>
          <w:p w14:paraId="56B7E3C6">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E807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jc w:val="center"/>
        </w:trPr>
        <w:tc>
          <w:tcPr>
            <w:tcW w:w="191" w:type="pct"/>
            <w:vMerge w:val="continue"/>
            <w:vAlign w:val="center"/>
          </w:tcPr>
          <w:p w14:paraId="5E8383A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4DD36EA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vAlign w:val="center"/>
          </w:tcPr>
          <w:p w14:paraId="0965286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9" w:type="pct"/>
            <w:vAlign w:val="center"/>
          </w:tcPr>
          <w:p w14:paraId="16AE582C">
            <w:pPr>
              <w:pStyle w:val="23"/>
              <w:keepNext w:val="0"/>
              <w:keepLines w:val="0"/>
              <w:suppressLineNumbers w:val="0"/>
              <w:spacing w:before="59" w:line="220" w:lineRule="auto"/>
              <w:ind w:left="110"/>
              <w:rPr>
                <w:b w:val="0"/>
                <w:bCs w:val="0"/>
                <w:color w:val="auto"/>
                <w:highlight w:val="none"/>
              </w:rPr>
            </w:pPr>
            <w:r>
              <w:rPr>
                <w:b w:val="0"/>
                <w:bCs w:val="0"/>
                <w:color w:val="auto"/>
                <w:spacing w:val="-1"/>
                <w:highlight w:val="none"/>
              </w:rPr>
              <w:t>f)抽查 2 名防火巡查人员，核查岗位职责掌握情况。</w:t>
            </w:r>
          </w:p>
        </w:tc>
        <w:tc>
          <w:tcPr>
            <w:tcW w:w="1181" w:type="pct"/>
            <w:vAlign w:val="center"/>
          </w:tcPr>
          <w:p w14:paraId="691FFE6F">
            <w:pPr>
              <w:pStyle w:val="23"/>
              <w:keepNext w:val="0"/>
              <w:keepLines w:val="0"/>
              <w:suppressLineNumbers w:val="0"/>
              <w:spacing w:before="70" w:line="281" w:lineRule="auto"/>
              <w:ind w:left="111" w:right="194" w:hanging="2"/>
              <w:rPr>
                <w:b w:val="0"/>
                <w:bCs w:val="0"/>
                <w:color w:val="auto"/>
                <w:highlight w:val="none"/>
              </w:rPr>
            </w:pPr>
            <w:r>
              <w:rPr>
                <w:b w:val="0"/>
                <w:bCs w:val="0"/>
                <w:color w:val="auto"/>
                <w:spacing w:val="-5"/>
                <w:highlight w:val="none"/>
              </w:rPr>
              <w:t>每抽查</w:t>
            </w:r>
            <w:r>
              <w:rPr>
                <w:b w:val="0"/>
                <w:bCs w:val="0"/>
                <w:color w:val="auto"/>
                <w:spacing w:val="-23"/>
                <w:highlight w:val="none"/>
              </w:rPr>
              <w:t xml:space="preserve"> </w:t>
            </w:r>
            <w:r>
              <w:rPr>
                <w:b w:val="0"/>
                <w:bCs w:val="0"/>
                <w:color w:val="auto"/>
                <w:spacing w:val="-5"/>
                <w:highlight w:val="none"/>
              </w:rPr>
              <w:t>1</w:t>
            </w:r>
            <w:r>
              <w:rPr>
                <w:b w:val="0"/>
                <w:bCs w:val="0"/>
                <w:color w:val="auto"/>
                <w:spacing w:val="-35"/>
                <w:highlight w:val="none"/>
              </w:rPr>
              <w:t xml:space="preserve"> </w:t>
            </w:r>
            <w:r>
              <w:rPr>
                <w:b w:val="0"/>
                <w:bCs w:val="0"/>
                <w:color w:val="auto"/>
                <w:spacing w:val="-5"/>
                <w:highlight w:val="none"/>
              </w:rPr>
              <w:t>人次未掌握扣</w:t>
            </w:r>
            <w:r>
              <w:rPr>
                <w:b w:val="0"/>
                <w:bCs w:val="0"/>
                <w:color w:val="auto"/>
                <w:spacing w:val="-26"/>
                <w:highlight w:val="none"/>
              </w:rPr>
              <w:t xml:space="preserve"> </w:t>
            </w:r>
            <w:r>
              <w:rPr>
                <w:b w:val="0"/>
                <w:bCs w:val="0"/>
                <w:color w:val="auto"/>
                <w:spacing w:val="-5"/>
                <w:highlight w:val="none"/>
              </w:rPr>
              <w:t>1</w:t>
            </w:r>
            <w:r>
              <w:rPr>
                <w:b w:val="0"/>
                <w:bCs w:val="0"/>
                <w:color w:val="auto"/>
                <w:spacing w:val="-34"/>
                <w:highlight w:val="none"/>
              </w:rPr>
              <w:t xml:space="preserve"> </w:t>
            </w:r>
            <w:r>
              <w:rPr>
                <w:b w:val="0"/>
                <w:bCs w:val="0"/>
                <w:color w:val="auto"/>
                <w:spacing w:val="-5"/>
                <w:highlight w:val="none"/>
              </w:rPr>
              <w:t>分，最高扣</w:t>
            </w:r>
            <w:r>
              <w:rPr>
                <w:b w:val="0"/>
                <w:bCs w:val="0"/>
                <w:color w:val="auto"/>
                <w:spacing w:val="-36"/>
                <w:highlight w:val="none"/>
              </w:rPr>
              <w:t xml:space="preserve"> </w:t>
            </w:r>
            <w:r>
              <w:rPr>
                <w:b w:val="0"/>
                <w:bCs w:val="0"/>
                <w:color w:val="auto"/>
                <w:spacing w:val="-5"/>
                <w:highlight w:val="none"/>
              </w:rPr>
              <w:t>2</w:t>
            </w:r>
            <w:r>
              <w:rPr>
                <w:b w:val="0"/>
                <w:bCs w:val="0"/>
                <w:color w:val="auto"/>
                <w:highlight w:val="none"/>
              </w:rPr>
              <w:t xml:space="preserve"> </w:t>
            </w:r>
            <w:r>
              <w:rPr>
                <w:b w:val="0"/>
                <w:bCs w:val="0"/>
                <w:color w:val="auto"/>
                <w:spacing w:val="-9"/>
                <w:highlight w:val="none"/>
              </w:rPr>
              <w:t>分。</w:t>
            </w:r>
          </w:p>
        </w:tc>
        <w:tc>
          <w:tcPr>
            <w:tcW w:w="366" w:type="pct"/>
            <w:vAlign w:val="center"/>
          </w:tcPr>
          <w:p w14:paraId="7EC785AF">
            <w:pPr>
              <w:keepNext w:val="0"/>
              <w:keepLines w:val="0"/>
              <w:suppressLineNumbers w:val="0"/>
              <w:spacing w:before="0" w:beforeAutospacing="0" w:after="0" w:afterAutospacing="0"/>
              <w:ind w:left="0" w:right="0"/>
              <w:jc w:val="center"/>
              <w:rPr>
                <w:rFonts w:hint="eastAsia" w:ascii="Arial" w:eastAsia="宋体"/>
                <w:b w:val="0"/>
                <w:bCs w:val="0"/>
                <w:color w:val="auto"/>
                <w:sz w:val="21"/>
                <w:highlight w:val="none"/>
                <w:lang w:eastAsia="zh-CN"/>
              </w:rPr>
            </w:pPr>
          </w:p>
        </w:tc>
        <w:tc>
          <w:tcPr>
            <w:tcW w:w="335" w:type="pct"/>
            <w:vAlign w:val="center"/>
          </w:tcPr>
          <w:p w14:paraId="7271E0D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continue"/>
            <w:tcBorders>
              <w:top w:val="nil"/>
            </w:tcBorders>
            <w:vAlign w:val="center"/>
          </w:tcPr>
          <w:p w14:paraId="3B3FAE2A">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77572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9" w:hRule="atLeast"/>
          <w:jc w:val="center"/>
        </w:trPr>
        <w:tc>
          <w:tcPr>
            <w:tcW w:w="191" w:type="pct"/>
            <w:vMerge w:val="continue"/>
            <w:vAlign w:val="center"/>
          </w:tcPr>
          <w:p w14:paraId="5B23B00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0AFEB8E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restart"/>
            <w:tcBorders>
              <w:left w:val="single" w:color="auto" w:sz="4" w:space="0"/>
              <w:bottom w:val="nil"/>
            </w:tcBorders>
            <w:vAlign w:val="center"/>
          </w:tcPr>
          <w:p w14:paraId="7BBDF362">
            <w:pPr>
              <w:pStyle w:val="23"/>
              <w:keepNext w:val="0"/>
              <w:keepLines w:val="0"/>
              <w:suppressLineNumbers w:val="0"/>
              <w:spacing w:before="58" w:line="307" w:lineRule="auto"/>
              <w:ind w:left="114" w:right="158" w:hanging="3"/>
              <w:rPr>
                <w:b w:val="0"/>
                <w:bCs w:val="0"/>
                <w:color w:val="auto"/>
                <w:highlight w:val="none"/>
              </w:rPr>
            </w:pPr>
            <w:r>
              <w:rPr>
                <w:b w:val="0"/>
                <w:bCs w:val="0"/>
                <w:color w:val="auto"/>
                <w:spacing w:val="-2"/>
                <w:highlight w:val="none"/>
              </w:rPr>
              <w:t>火灾隐患整改</w:t>
            </w:r>
            <w:r>
              <w:rPr>
                <w:b w:val="0"/>
                <w:bCs w:val="0"/>
                <w:color w:val="auto"/>
                <w:spacing w:val="2"/>
                <w:highlight w:val="none"/>
              </w:rPr>
              <w:t xml:space="preserve"> </w:t>
            </w:r>
            <w:r>
              <w:rPr>
                <w:b w:val="0"/>
                <w:bCs w:val="0"/>
                <w:color w:val="auto"/>
                <w:spacing w:val="-5"/>
                <w:highlight w:val="none"/>
              </w:rPr>
              <w:t>（10</w:t>
            </w:r>
            <w:r>
              <w:rPr>
                <w:b w:val="0"/>
                <w:bCs w:val="0"/>
                <w:color w:val="auto"/>
                <w:spacing w:val="-35"/>
                <w:highlight w:val="none"/>
              </w:rPr>
              <w:t xml:space="preserve"> </w:t>
            </w:r>
            <w:r>
              <w:rPr>
                <w:b w:val="0"/>
                <w:bCs w:val="0"/>
                <w:color w:val="auto"/>
                <w:spacing w:val="-5"/>
                <w:highlight w:val="none"/>
              </w:rPr>
              <w:t>分）</w:t>
            </w:r>
          </w:p>
        </w:tc>
        <w:tc>
          <w:tcPr>
            <w:tcW w:w="1739" w:type="pct"/>
            <w:vAlign w:val="center"/>
          </w:tcPr>
          <w:p w14:paraId="743E9BF6">
            <w:pPr>
              <w:pStyle w:val="23"/>
              <w:keepNext w:val="0"/>
              <w:keepLines w:val="0"/>
              <w:suppressLineNumbers w:val="0"/>
              <w:spacing w:before="70" w:line="294" w:lineRule="auto"/>
              <w:ind w:left="110" w:right="55"/>
              <w:jc w:val="both"/>
              <w:rPr>
                <w:b w:val="0"/>
                <w:bCs w:val="0"/>
                <w:color w:val="auto"/>
                <w:highlight w:val="none"/>
              </w:rPr>
            </w:pPr>
            <w:r>
              <w:rPr>
                <w:b w:val="0"/>
                <w:bCs w:val="0"/>
                <w:color w:val="auto"/>
                <w:spacing w:val="-2"/>
                <w:highlight w:val="none"/>
              </w:rPr>
              <w:t>a)火灾隐患整改处置程序制定情况（包括对火灾隐患的</w:t>
            </w:r>
            <w:r>
              <w:rPr>
                <w:b w:val="0"/>
                <w:bCs w:val="0"/>
                <w:color w:val="auto"/>
                <w:spacing w:val="-7"/>
                <w:highlight w:val="none"/>
              </w:rPr>
              <w:t>认定，确定整改措施、期限以及负责整改的部门、人员，</w:t>
            </w:r>
            <w:r>
              <w:rPr>
                <w:b w:val="0"/>
                <w:bCs w:val="0"/>
                <w:color w:val="auto"/>
                <w:spacing w:val="-1"/>
                <w:highlight w:val="none"/>
              </w:rPr>
              <w:t>整改资金落实等)；</w:t>
            </w:r>
          </w:p>
        </w:tc>
        <w:tc>
          <w:tcPr>
            <w:tcW w:w="1181" w:type="pct"/>
            <w:vAlign w:val="center"/>
          </w:tcPr>
          <w:p w14:paraId="1E59214A">
            <w:pPr>
              <w:pStyle w:val="23"/>
              <w:keepNext w:val="0"/>
              <w:keepLines w:val="0"/>
              <w:suppressLineNumbers w:val="0"/>
              <w:spacing w:before="71" w:line="220" w:lineRule="auto"/>
              <w:ind w:left="112" w:right="0" w:firstLine="0"/>
              <w:rPr>
                <w:b w:val="0"/>
                <w:bCs w:val="0"/>
                <w:color w:val="auto"/>
                <w:highlight w:val="none"/>
              </w:rPr>
            </w:pPr>
            <w:r>
              <w:rPr>
                <w:b w:val="0"/>
                <w:bCs w:val="0"/>
                <w:color w:val="auto"/>
                <w:spacing w:val="-1"/>
                <w:highlight w:val="none"/>
              </w:rPr>
              <w:t>未制定火灾隐患整改处置程序的扣</w:t>
            </w:r>
            <w:r>
              <w:rPr>
                <w:b w:val="0"/>
                <w:bCs w:val="0"/>
                <w:color w:val="auto"/>
                <w:spacing w:val="-35"/>
                <w:highlight w:val="none"/>
              </w:rPr>
              <w:t xml:space="preserve"> </w:t>
            </w:r>
            <w:r>
              <w:rPr>
                <w:b w:val="0"/>
                <w:bCs w:val="0"/>
                <w:color w:val="auto"/>
                <w:spacing w:val="-1"/>
                <w:highlight w:val="none"/>
              </w:rPr>
              <w:t>4分，每发现一处内容不全面或错误的扣</w:t>
            </w:r>
            <w:r>
              <w:rPr>
                <w:b w:val="0"/>
                <w:bCs w:val="0"/>
                <w:color w:val="auto"/>
                <w:spacing w:val="6"/>
                <w:highlight w:val="none"/>
              </w:rPr>
              <w:t xml:space="preserve"> </w:t>
            </w:r>
            <w:r>
              <w:rPr>
                <w:b w:val="0"/>
                <w:bCs w:val="0"/>
                <w:color w:val="auto"/>
                <w:spacing w:val="-1"/>
                <w:highlight w:val="none"/>
              </w:rPr>
              <w:t>1</w:t>
            </w:r>
            <w:r>
              <w:rPr>
                <w:b w:val="0"/>
                <w:bCs w:val="0"/>
                <w:color w:val="auto"/>
                <w:spacing w:val="-34"/>
                <w:highlight w:val="none"/>
              </w:rPr>
              <w:t xml:space="preserve"> </w:t>
            </w:r>
            <w:r>
              <w:rPr>
                <w:b w:val="0"/>
                <w:bCs w:val="0"/>
                <w:color w:val="auto"/>
                <w:spacing w:val="-1"/>
                <w:highlight w:val="none"/>
              </w:rPr>
              <w:t>分，最高扣</w:t>
            </w:r>
            <w:r>
              <w:rPr>
                <w:rFonts w:hint="eastAsia"/>
                <w:b w:val="0"/>
                <w:bCs w:val="0"/>
                <w:color w:val="auto"/>
                <w:spacing w:val="-1"/>
                <w:highlight w:val="none"/>
                <w:lang w:val="en-US" w:eastAsia="zh-CN"/>
              </w:rPr>
              <w:t xml:space="preserve"> </w:t>
            </w:r>
            <w:r>
              <w:rPr>
                <w:b w:val="0"/>
                <w:bCs w:val="0"/>
                <w:color w:val="auto"/>
                <w:spacing w:val="-1"/>
                <w:highlight w:val="none"/>
              </w:rPr>
              <w:t>4</w:t>
            </w:r>
            <w:r>
              <w:rPr>
                <w:b w:val="0"/>
                <w:bCs w:val="0"/>
                <w:color w:val="auto"/>
                <w:spacing w:val="-34"/>
                <w:highlight w:val="none"/>
              </w:rPr>
              <w:t xml:space="preserve"> </w:t>
            </w:r>
            <w:r>
              <w:rPr>
                <w:b w:val="0"/>
                <w:bCs w:val="0"/>
                <w:color w:val="auto"/>
                <w:spacing w:val="-1"/>
                <w:highlight w:val="none"/>
              </w:rPr>
              <w:t>分。</w:t>
            </w:r>
          </w:p>
        </w:tc>
        <w:tc>
          <w:tcPr>
            <w:tcW w:w="366" w:type="pct"/>
            <w:vAlign w:val="center"/>
          </w:tcPr>
          <w:p w14:paraId="786F099F">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5" w:type="pct"/>
            <w:vAlign w:val="center"/>
          </w:tcPr>
          <w:p w14:paraId="2B862A6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restart"/>
            <w:tcBorders>
              <w:bottom w:val="nil"/>
            </w:tcBorders>
            <w:vAlign w:val="center"/>
          </w:tcPr>
          <w:p w14:paraId="234A9F32">
            <w:pPr>
              <w:keepNext w:val="0"/>
              <w:keepLines w:val="0"/>
              <w:suppressLineNumbers w:val="0"/>
              <w:spacing w:before="0" w:beforeAutospacing="0" w:after="0" w:afterAutospacing="0"/>
              <w:ind w:left="0" w:right="0"/>
              <w:jc w:val="both"/>
              <w:rPr>
                <w:rFonts w:hint="default" w:ascii="Arial" w:eastAsia="宋体"/>
                <w:b w:val="0"/>
                <w:bCs w:val="0"/>
                <w:color w:val="auto"/>
                <w:sz w:val="21"/>
                <w:highlight w:val="none"/>
                <w:lang w:val="en-US" w:eastAsia="zh-CN"/>
              </w:rPr>
            </w:pPr>
          </w:p>
        </w:tc>
      </w:tr>
      <w:tr w14:paraId="6E8213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191" w:type="pct"/>
            <w:vMerge w:val="continue"/>
            <w:vAlign w:val="center"/>
          </w:tcPr>
          <w:p w14:paraId="2AAEDBF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vAlign w:val="center"/>
          </w:tcPr>
          <w:p w14:paraId="4C23969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left w:val="single" w:color="auto" w:sz="4" w:space="0"/>
              <w:bottom w:val="nil"/>
            </w:tcBorders>
            <w:vAlign w:val="center"/>
          </w:tcPr>
          <w:p w14:paraId="7526132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9" w:type="pct"/>
            <w:vAlign w:val="center"/>
          </w:tcPr>
          <w:p w14:paraId="1B8910FC">
            <w:pPr>
              <w:pStyle w:val="23"/>
              <w:keepNext w:val="0"/>
              <w:keepLines w:val="0"/>
              <w:suppressLineNumbers w:val="0"/>
              <w:spacing w:before="59" w:line="220" w:lineRule="auto"/>
              <w:ind w:left="110"/>
              <w:rPr>
                <w:b w:val="0"/>
                <w:bCs w:val="0"/>
                <w:color w:val="auto"/>
                <w:highlight w:val="none"/>
              </w:rPr>
            </w:pPr>
            <w:r>
              <w:rPr>
                <w:b w:val="0"/>
                <w:bCs w:val="0"/>
                <w:color w:val="auto"/>
                <w:spacing w:val="-1"/>
                <w:highlight w:val="none"/>
              </w:rPr>
              <w:t>b)火灾隐患未消除之前相应防范措施制定和落实情况；</w:t>
            </w:r>
          </w:p>
        </w:tc>
        <w:tc>
          <w:tcPr>
            <w:tcW w:w="1181" w:type="pct"/>
            <w:vAlign w:val="center"/>
          </w:tcPr>
          <w:p w14:paraId="58AA5363">
            <w:pPr>
              <w:pStyle w:val="23"/>
              <w:keepNext w:val="0"/>
              <w:keepLines w:val="0"/>
              <w:suppressLineNumbers w:val="0"/>
              <w:spacing w:before="73" w:line="281" w:lineRule="auto"/>
              <w:ind w:left="111" w:right="374"/>
              <w:rPr>
                <w:b w:val="0"/>
                <w:bCs w:val="0"/>
                <w:color w:val="auto"/>
                <w:highlight w:val="none"/>
              </w:rPr>
            </w:pPr>
            <w:r>
              <w:rPr>
                <w:b w:val="0"/>
                <w:bCs w:val="0"/>
                <w:color w:val="auto"/>
                <w:spacing w:val="-2"/>
                <w:highlight w:val="none"/>
              </w:rPr>
              <w:t>发现火灾隐患未落实防范措施的扣</w:t>
            </w:r>
            <w:r>
              <w:rPr>
                <w:b w:val="0"/>
                <w:bCs w:val="0"/>
                <w:color w:val="auto"/>
                <w:spacing w:val="-26"/>
                <w:highlight w:val="none"/>
              </w:rPr>
              <w:t xml:space="preserve"> </w:t>
            </w:r>
            <w:r>
              <w:rPr>
                <w:b w:val="0"/>
                <w:bCs w:val="0"/>
                <w:color w:val="auto"/>
                <w:spacing w:val="-2"/>
                <w:highlight w:val="none"/>
              </w:rPr>
              <w:t>3</w:t>
            </w:r>
            <w:r>
              <w:rPr>
                <w:b w:val="0"/>
                <w:bCs w:val="0"/>
                <w:color w:val="auto"/>
                <w:highlight w:val="none"/>
              </w:rPr>
              <w:t xml:space="preserve"> </w:t>
            </w:r>
            <w:r>
              <w:rPr>
                <w:b w:val="0"/>
                <w:bCs w:val="0"/>
                <w:color w:val="auto"/>
                <w:spacing w:val="-9"/>
                <w:highlight w:val="none"/>
              </w:rPr>
              <w:t>分。</w:t>
            </w:r>
          </w:p>
        </w:tc>
        <w:tc>
          <w:tcPr>
            <w:tcW w:w="366" w:type="pct"/>
            <w:vAlign w:val="center"/>
          </w:tcPr>
          <w:p w14:paraId="5D020BBA">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5" w:type="pct"/>
            <w:vAlign w:val="center"/>
          </w:tcPr>
          <w:p w14:paraId="6B1F15C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continue"/>
            <w:tcBorders>
              <w:top w:val="nil"/>
              <w:bottom w:val="nil"/>
            </w:tcBorders>
            <w:vAlign w:val="center"/>
          </w:tcPr>
          <w:p w14:paraId="127C5B66">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6BC662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6" w:hRule="atLeast"/>
          <w:jc w:val="center"/>
        </w:trPr>
        <w:tc>
          <w:tcPr>
            <w:tcW w:w="191" w:type="pct"/>
            <w:vMerge w:val="continue"/>
            <w:tcBorders>
              <w:bottom w:val="single" w:color="auto" w:sz="4" w:space="0"/>
            </w:tcBorders>
            <w:vAlign w:val="center"/>
          </w:tcPr>
          <w:p w14:paraId="790D4C3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1" w:type="pct"/>
            <w:vMerge w:val="continue"/>
            <w:tcBorders>
              <w:bottom w:val="single" w:color="auto" w:sz="4" w:space="0"/>
            </w:tcBorders>
            <w:vAlign w:val="center"/>
          </w:tcPr>
          <w:p w14:paraId="3B08E31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left w:val="single" w:color="auto" w:sz="4" w:space="0"/>
            </w:tcBorders>
            <w:vAlign w:val="center"/>
          </w:tcPr>
          <w:p w14:paraId="4C46E6D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39" w:type="pct"/>
            <w:vAlign w:val="center"/>
          </w:tcPr>
          <w:p w14:paraId="5B87F8E7">
            <w:pPr>
              <w:pStyle w:val="23"/>
              <w:keepNext w:val="0"/>
              <w:keepLines w:val="0"/>
              <w:suppressLineNumbers w:val="0"/>
              <w:spacing w:before="59" w:line="307" w:lineRule="auto"/>
              <w:ind w:left="111" w:right="254" w:firstLine="2"/>
              <w:rPr>
                <w:b w:val="0"/>
                <w:bCs w:val="0"/>
                <w:color w:val="auto"/>
                <w:highlight w:val="none"/>
              </w:rPr>
            </w:pPr>
            <w:r>
              <w:rPr>
                <w:b w:val="0"/>
                <w:bCs w:val="0"/>
                <w:color w:val="auto"/>
                <w:spacing w:val="-1"/>
                <w:highlight w:val="none"/>
              </w:rPr>
              <w:t>c)火灾隐患整改有关档案资料的建立、更新和归档情</w:t>
            </w:r>
            <w:r>
              <w:rPr>
                <w:b w:val="0"/>
                <w:bCs w:val="0"/>
                <w:color w:val="auto"/>
                <w:spacing w:val="-5"/>
                <w:highlight w:val="none"/>
              </w:rPr>
              <w:t>况。</w:t>
            </w:r>
          </w:p>
        </w:tc>
        <w:tc>
          <w:tcPr>
            <w:tcW w:w="1181" w:type="pct"/>
            <w:vAlign w:val="center"/>
          </w:tcPr>
          <w:p w14:paraId="66422C45">
            <w:pPr>
              <w:pStyle w:val="23"/>
              <w:keepNext w:val="0"/>
              <w:keepLines w:val="0"/>
              <w:suppressLineNumbers w:val="0"/>
              <w:spacing w:before="58" w:line="220" w:lineRule="auto"/>
              <w:ind w:left="112"/>
              <w:rPr>
                <w:b w:val="0"/>
                <w:bCs w:val="0"/>
                <w:color w:val="auto"/>
                <w:highlight w:val="none"/>
              </w:rPr>
            </w:pPr>
            <w:r>
              <w:rPr>
                <w:b w:val="0"/>
                <w:bCs w:val="0"/>
                <w:color w:val="auto"/>
                <w:spacing w:val="-4"/>
                <w:highlight w:val="none"/>
              </w:rPr>
              <w:t>未建立档案的扣 3 分，未更新档案的扣</w:t>
            </w:r>
            <w:r>
              <w:rPr>
                <w:rFonts w:hint="eastAsia"/>
                <w:b w:val="0"/>
                <w:bCs w:val="0"/>
                <w:color w:val="auto"/>
                <w:spacing w:val="-6"/>
                <w:highlight w:val="none"/>
                <w:lang w:val="en-US" w:eastAsia="zh-CN"/>
              </w:rPr>
              <w:t xml:space="preserve"> </w:t>
            </w:r>
            <w:r>
              <w:rPr>
                <w:b w:val="0"/>
                <w:bCs w:val="0"/>
                <w:color w:val="auto"/>
                <w:spacing w:val="-6"/>
                <w:highlight w:val="none"/>
              </w:rPr>
              <w:t>2</w:t>
            </w:r>
            <w:r>
              <w:rPr>
                <w:b w:val="0"/>
                <w:bCs w:val="0"/>
                <w:color w:val="auto"/>
                <w:spacing w:val="-32"/>
                <w:highlight w:val="none"/>
              </w:rPr>
              <w:t xml:space="preserve"> </w:t>
            </w:r>
            <w:r>
              <w:rPr>
                <w:b w:val="0"/>
                <w:bCs w:val="0"/>
                <w:color w:val="auto"/>
                <w:spacing w:val="-6"/>
                <w:highlight w:val="none"/>
              </w:rPr>
              <w:t>分，最高扣</w:t>
            </w:r>
            <w:r>
              <w:rPr>
                <w:b w:val="0"/>
                <w:bCs w:val="0"/>
                <w:color w:val="auto"/>
                <w:spacing w:val="-36"/>
                <w:highlight w:val="none"/>
              </w:rPr>
              <w:t xml:space="preserve"> </w:t>
            </w:r>
            <w:r>
              <w:rPr>
                <w:b w:val="0"/>
                <w:bCs w:val="0"/>
                <w:color w:val="auto"/>
                <w:spacing w:val="-6"/>
                <w:highlight w:val="none"/>
              </w:rPr>
              <w:t>3</w:t>
            </w:r>
            <w:r>
              <w:rPr>
                <w:b w:val="0"/>
                <w:bCs w:val="0"/>
                <w:color w:val="auto"/>
                <w:spacing w:val="-34"/>
                <w:highlight w:val="none"/>
              </w:rPr>
              <w:t xml:space="preserve"> </w:t>
            </w:r>
            <w:r>
              <w:rPr>
                <w:b w:val="0"/>
                <w:bCs w:val="0"/>
                <w:color w:val="auto"/>
                <w:spacing w:val="-6"/>
                <w:highlight w:val="none"/>
              </w:rPr>
              <w:t>分。</w:t>
            </w:r>
          </w:p>
        </w:tc>
        <w:tc>
          <w:tcPr>
            <w:tcW w:w="366" w:type="pct"/>
            <w:vAlign w:val="center"/>
          </w:tcPr>
          <w:p w14:paraId="268CF2AC">
            <w:pPr>
              <w:keepNext w:val="0"/>
              <w:keepLines w:val="0"/>
              <w:suppressLineNumbers w:val="0"/>
              <w:spacing w:before="0" w:beforeAutospacing="0" w:after="0" w:afterAutospacing="0"/>
              <w:ind w:left="0" w:right="0"/>
              <w:jc w:val="center"/>
              <w:rPr>
                <w:rFonts w:hint="default" w:ascii="Arial"/>
                <w:b w:val="0"/>
                <w:bCs w:val="0"/>
                <w:color w:val="auto"/>
                <w:sz w:val="21"/>
                <w:highlight w:val="none"/>
              </w:rPr>
            </w:pPr>
          </w:p>
        </w:tc>
        <w:tc>
          <w:tcPr>
            <w:tcW w:w="335" w:type="pct"/>
            <w:vAlign w:val="center"/>
          </w:tcPr>
          <w:p w14:paraId="094C6BB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Merge w:val="continue"/>
            <w:tcBorders>
              <w:top w:val="nil"/>
            </w:tcBorders>
            <w:vAlign w:val="center"/>
          </w:tcPr>
          <w:p w14:paraId="6748CF6B">
            <w:pPr>
              <w:keepNext w:val="0"/>
              <w:keepLines w:val="0"/>
              <w:suppressLineNumbers w:val="0"/>
              <w:spacing w:before="0" w:beforeAutospacing="0" w:after="0" w:afterAutospacing="0"/>
              <w:ind w:left="0" w:right="0"/>
              <w:rPr>
                <w:rFonts w:hint="default" w:ascii="Arial"/>
                <w:b w:val="0"/>
                <w:bCs w:val="0"/>
                <w:color w:val="auto"/>
                <w:sz w:val="21"/>
                <w:highlight w:val="none"/>
              </w:rPr>
            </w:pPr>
          </w:p>
        </w:tc>
      </w:tr>
    </w:tbl>
    <w:p w14:paraId="1B9EE840">
      <w:pPr>
        <w:rPr>
          <w:highlight w:val="none"/>
        </w:rPr>
      </w:pPr>
      <w:r>
        <w:rPr>
          <w:highlight w:val="none"/>
        </w:rPr>
        <w:br w:type="page"/>
      </w:r>
    </w:p>
    <w:tbl>
      <w:tblPr>
        <w:tblStyle w:val="24"/>
        <w:tblW w:w="497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68"/>
        <w:gridCol w:w="1470"/>
        <w:gridCol w:w="1095"/>
        <w:gridCol w:w="5208"/>
        <w:gridCol w:w="3538"/>
        <w:gridCol w:w="1095"/>
        <w:gridCol w:w="1003"/>
        <w:gridCol w:w="982"/>
      </w:tblGrid>
      <w:tr w14:paraId="0BE2B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jc w:val="center"/>
        </w:trPr>
        <w:tc>
          <w:tcPr>
            <w:tcW w:w="190" w:type="pct"/>
            <w:tcBorders>
              <w:top w:val="single" w:color="auto" w:sz="4" w:space="0"/>
              <w:left w:val="single" w:color="auto" w:sz="4" w:space="0"/>
              <w:bottom w:val="single" w:color="auto" w:sz="4" w:space="0"/>
              <w:right w:val="single" w:color="auto" w:sz="4" w:space="0"/>
            </w:tcBorders>
            <w:vAlign w:val="center"/>
          </w:tcPr>
          <w:p w14:paraId="48DA0724">
            <w:pPr>
              <w:pStyle w:val="23"/>
              <w:keepNext w:val="0"/>
              <w:keepLines w:val="0"/>
              <w:suppressLineNumbers w:val="0"/>
              <w:spacing w:before="70" w:line="222" w:lineRule="auto"/>
              <w:ind w:left="140"/>
              <w:rPr>
                <w:highlight w:val="none"/>
              </w:rPr>
            </w:pPr>
            <w:r>
              <w:rPr>
                <w:b/>
                <w:bCs/>
                <w:spacing w:val="-3"/>
                <w:highlight w:val="none"/>
              </w:rPr>
              <w:t>序号</w:t>
            </w:r>
          </w:p>
        </w:tc>
        <w:tc>
          <w:tcPr>
            <w:tcW w:w="491" w:type="pct"/>
            <w:tcBorders>
              <w:top w:val="single" w:color="auto" w:sz="4" w:space="0"/>
              <w:left w:val="single" w:color="auto" w:sz="4" w:space="0"/>
              <w:bottom w:val="single" w:color="auto" w:sz="4" w:space="0"/>
              <w:right w:val="single" w:color="auto" w:sz="4" w:space="0"/>
            </w:tcBorders>
            <w:vAlign w:val="center"/>
          </w:tcPr>
          <w:p w14:paraId="5C37D11D">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tcBorders>
              <w:left w:val="single" w:color="auto" w:sz="4" w:space="0"/>
            </w:tcBorders>
            <w:vAlign w:val="center"/>
          </w:tcPr>
          <w:p w14:paraId="7C6149FC">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40" w:type="pct"/>
            <w:vAlign w:val="center"/>
          </w:tcPr>
          <w:p w14:paraId="5420BED2">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2" w:type="pct"/>
            <w:vAlign w:val="center"/>
          </w:tcPr>
          <w:p w14:paraId="2F67C431">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0B025E4A">
            <w:pPr>
              <w:pStyle w:val="23"/>
              <w:keepNext w:val="0"/>
              <w:keepLines w:val="0"/>
              <w:suppressLineNumbers w:val="0"/>
              <w:spacing w:before="70" w:line="219" w:lineRule="auto"/>
              <w:ind w:left="170"/>
              <w:rPr>
                <w:highlight w:val="none"/>
              </w:rPr>
            </w:pPr>
            <w:r>
              <w:rPr>
                <w:b/>
                <w:bCs/>
                <w:spacing w:val="-3"/>
                <w:highlight w:val="none"/>
              </w:rPr>
              <w:t>评估情况</w:t>
            </w:r>
          </w:p>
        </w:tc>
        <w:tc>
          <w:tcPr>
            <w:tcW w:w="335" w:type="pct"/>
            <w:vAlign w:val="center"/>
          </w:tcPr>
          <w:p w14:paraId="3390FDA7">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3A3FBA3B">
            <w:pPr>
              <w:pStyle w:val="23"/>
              <w:keepNext w:val="0"/>
              <w:keepLines w:val="0"/>
              <w:suppressLineNumbers w:val="0"/>
              <w:spacing w:before="71" w:line="220" w:lineRule="auto"/>
              <w:ind w:left="295"/>
              <w:rPr>
                <w:highlight w:val="none"/>
              </w:rPr>
            </w:pPr>
            <w:r>
              <w:rPr>
                <w:b/>
                <w:bCs/>
                <w:spacing w:val="-4"/>
                <w:highlight w:val="none"/>
              </w:rPr>
              <w:t>得分</w:t>
            </w:r>
          </w:p>
        </w:tc>
      </w:tr>
      <w:tr w14:paraId="1304FA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jc w:val="center"/>
        </w:trPr>
        <w:tc>
          <w:tcPr>
            <w:tcW w:w="190" w:type="pct"/>
            <w:vMerge w:val="restart"/>
            <w:tcBorders>
              <w:top w:val="single" w:color="auto" w:sz="4" w:space="0"/>
            </w:tcBorders>
            <w:vAlign w:val="center"/>
          </w:tcPr>
          <w:p w14:paraId="5EA5E84C">
            <w:pPr>
              <w:keepNext w:val="0"/>
              <w:keepLines w:val="0"/>
              <w:suppressLineNumbers w:val="0"/>
              <w:spacing w:before="0" w:beforeAutospacing="0" w:after="0" w:afterAutospacing="0" w:line="273" w:lineRule="auto"/>
              <w:ind w:left="0" w:right="0"/>
              <w:rPr>
                <w:rFonts w:hint="eastAsia" w:ascii="宋体" w:hAnsi="宋体" w:eastAsia="宋体" w:cs="宋体"/>
                <w:b w:val="0"/>
                <w:bCs w:val="0"/>
                <w:color w:val="auto"/>
                <w:sz w:val="18"/>
                <w:szCs w:val="18"/>
                <w:highlight w:val="none"/>
              </w:rPr>
            </w:pPr>
          </w:p>
          <w:p w14:paraId="49084BC8">
            <w:pPr>
              <w:pStyle w:val="23"/>
              <w:keepNext w:val="0"/>
              <w:keepLines w:val="0"/>
              <w:suppressLineNumbers w:val="0"/>
              <w:spacing w:before="59" w:line="182" w:lineRule="auto"/>
              <w:ind w:left="245"/>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2"/>
                <w:sz w:val="18"/>
                <w:szCs w:val="18"/>
                <w:highlight w:val="none"/>
              </w:rPr>
              <w:t>13</w:t>
            </w:r>
          </w:p>
        </w:tc>
        <w:tc>
          <w:tcPr>
            <w:tcW w:w="491" w:type="pct"/>
            <w:vMerge w:val="restart"/>
            <w:tcBorders>
              <w:top w:val="single" w:color="auto" w:sz="4" w:space="0"/>
            </w:tcBorders>
            <w:vAlign w:val="center"/>
          </w:tcPr>
          <w:p w14:paraId="194BF12F">
            <w:pPr>
              <w:pStyle w:val="23"/>
              <w:keepNext w:val="0"/>
              <w:keepLines w:val="0"/>
              <w:suppressLineNumbers w:val="0"/>
              <w:spacing w:before="58" w:line="220" w:lineRule="auto"/>
              <w:ind w:left="160"/>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灭火和应急疏散预案演练管</w:t>
            </w:r>
            <w:r>
              <w:rPr>
                <w:rFonts w:hint="eastAsia" w:ascii="宋体" w:hAnsi="宋体" w:eastAsia="宋体" w:cs="宋体"/>
                <w:b w:val="0"/>
                <w:bCs w:val="0"/>
                <w:color w:val="auto"/>
                <w:sz w:val="18"/>
                <w:szCs w:val="18"/>
                <w:highlight w:val="none"/>
              </w:rPr>
              <w:t>理</w:t>
            </w:r>
          </w:p>
          <w:p w14:paraId="7A650D9F">
            <w:pPr>
              <w:pStyle w:val="23"/>
              <w:keepNext w:val="0"/>
              <w:keepLines w:val="0"/>
              <w:suppressLineNumbers w:val="0"/>
              <w:spacing w:before="87" w:line="221" w:lineRule="auto"/>
              <w:ind w:left="31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（40</w:t>
            </w:r>
            <w:r>
              <w:rPr>
                <w:rFonts w:hint="eastAsia" w:ascii="宋体" w:hAnsi="宋体" w:eastAsia="宋体" w:cs="宋体"/>
                <w:b w:val="0"/>
                <w:bCs w:val="0"/>
                <w:color w:val="auto"/>
                <w:spacing w:val="-35"/>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6" w:type="pct"/>
            <w:vMerge w:val="restart"/>
            <w:tcBorders>
              <w:bottom w:val="nil"/>
            </w:tcBorders>
            <w:vAlign w:val="center"/>
          </w:tcPr>
          <w:p w14:paraId="74AB4F01">
            <w:pPr>
              <w:pStyle w:val="23"/>
              <w:keepNext w:val="0"/>
              <w:keepLines w:val="0"/>
              <w:suppressLineNumbers w:val="0"/>
              <w:spacing w:before="58" w:line="307" w:lineRule="auto"/>
              <w:ind w:left="111" w:right="158"/>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预案制定、修</w:t>
            </w:r>
            <w:r>
              <w:rPr>
                <w:rFonts w:hint="eastAsia" w:ascii="宋体" w:hAnsi="宋体" w:eastAsia="宋体" w:cs="宋体"/>
                <w:b w:val="0"/>
                <w:bCs w:val="0"/>
                <w:color w:val="auto"/>
                <w:spacing w:val="2"/>
                <w:sz w:val="18"/>
                <w:szCs w:val="18"/>
                <w:highlight w:val="none"/>
              </w:rPr>
              <w:t xml:space="preserve"> </w:t>
            </w:r>
            <w:r>
              <w:rPr>
                <w:rFonts w:hint="eastAsia" w:ascii="宋体" w:hAnsi="宋体" w:eastAsia="宋体" w:cs="宋体"/>
                <w:b w:val="0"/>
                <w:bCs w:val="0"/>
                <w:color w:val="auto"/>
                <w:spacing w:val="-4"/>
                <w:sz w:val="18"/>
                <w:szCs w:val="18"/>
                <w:highlight w:val="none"/>
              </w:rPr>
              <w:t>订（10</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4"/>
                <w:sz w:val="18"/>
                <w:szCs w:val="18"/>
                <w:highlight w:val="none"/>
              </w:rPr>
              <w:t>分）</w:t>
            </w:r>
          </w:p>
        </w:tc>
        <w:tc>
          <w:tcPr>
            <w:tcW w:w="1740" w:type="pct"/>
            <w:vAlign w:val="center"/>
          </w:tcPr>
          <w:p w14:paraId="4B394762">
            <w:pPr>
              <w:pStyle w:val="23"/>
              <w:keepNext w:val="0"/>
              <w:keepLines w:val="0"/>
              <w:suppressLineNumbers w:val="0"/>
              <w:spacing w:before="59" w:line="307" w:lineRule="auto"/>
              <w:ind w:left="111" w:right="254"/>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a)是否根据单位实际情况按要求制定有针对性的灭火</w:t>
            </w:r>
            <w:r>
              <w:rPr>
                <w:rFonts w:hint="eastAsia" w:ascii="宋体" w:hAnsi="宋体" w:eastAsia="宋体" w:cs="宋体"/>
                <w:b w:val="0"/>
                <w:bCs w:val="0"/>
                <w:color w:val="auto"/>
                <w:spacing w:val="-4"/>
                <w:sz w:val="18"/>
                <w:szCs w:val="18"/>
                <w:highlight w:val="none"/>
              </w:rPr>
              <w:t>和应急疏散预案；</w:t>
            </w:r>
          </w:p>
        </w:tc>
        <w:tc>
          <w:tcPr>
            <w:tcW w:w="1182" w:type="pct"/>
            <w:vAlign w:val="center"/>
          </w:tcPr>
          <w:p w14:paraId="506DBAFD">
            <w:pPr>
              <w:pStyle w:val="23"/>
              <w:keepNext w:val="0"/>
              <w:keepLines w:val="0"/>
              <w:suppressLineNumbers w:val="0"/>
              <w:spacing w:before="68" w:line="301" w:lineRule="auto"/>
              <w:ind w:left="108" w:right="97" w:firstLine="4"/>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5"/>
                <w:sz w:val="18"/>
                <w:szCs w:val="18"/>
                <w:highlight w:val="none"/>
              </w:rPr>
              <w:t>未制定灭火和应急疏散预案的扣</w:t>
            </w:r>
            <w:r>
              <w:rPr>
                <w:rFonts w:hint="eastAsia" w:ascii="宋体" w:hAnsi="宋体" w:eastAsia="宋体" w:cs="宋体"/>
                <w:b w:val="0"/>
                <w:bCs w:val="0"/>
                <w:color w:val="auto"/>
                <w:spacing w:val="-19"/>
                <w:sz w:val="18"/>
                <w:szCs w:val="18"/>
                <w:highlight w:val="none"/>
              </w:rPr>
              <w:t xml:space="preserve"> </w:t>
            </w:r>
            <w:r>
              <w:rPr>
                <w:rFonts w:hint="eastAsia" w:ascii="宋体" w:hAnsi="宋体" w:eastAsia="宋体" w:cs="宋体"/>
                <w:b w:val="0"/>
                <w:bCs w:val="0"/>
                <w:color w:val="auto"/>
                <w:spacing w:val="-5"/>
                <w:sz w:val="18"/>
                <w:szCs w:val="18"/>
                <w:highlight w:val="none"/>
              </w:rPr>
              <w:t>10</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w:t>
            </w:r>
            <w:r>
              <w:rPr>
                <w:rFonts w:hint="eastAsia" w:ascii="宋体" w:hAnsi="宋体" w:eastAsia="宋体" w:cs="宋体"/>
                <w:b w:val="0"/>
                <w:bCs w:val="0"/>
                <w:color w:val="auto"/>
                <w:spacing w:val="2"/>
                <w:sz w:val="18"/>
                <w:szCs w:val="18"/>
                <w:highlight w:val="none"/>
              </w:rPr>
              <w:t>预案不符合规定或不符合单位自身实际</w:t>
            </w:r>
            <w:r>
              <w:rPr>
                <w:rFonts w:hint="eastAsia" w:ascii="宋体" w:hAnsi="宋体" w:eastAsia="宋体" w:cs="宋体"/>
                <w:b w:val="0"/>
                <w:bCs w:val="0"/>
                <w:color w:val="auto"/>
                <w:spacing w:val="-3"/>
                <w:sz w:val="18"/>
                <w:szCs w:val="18"/>
                <w:highlight w:val="none"/>
              </w:rPr>
              <w:t>情况的，每发现一处扣</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分，最高扣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3"/>
                <w:sz w:val="18"/>
                <w:szCs w:val="18"/>
                <w:highlight w:val="none"/>
              </w:rPr>
              <w:t>10</w:t>
            </w:r>
            <w:r>
              <w:rPr>
                <w:rFonts w:hint="eastAsia" w:ascii="宋体" w:hAnsi="宋体" w:eastAsia="宋体" w:cs="宋体"/>
                <w:b w:val="0"/>
                <w:bCs w:val="0"/>
                <w:color w:val="auto"/>
                <w:sz w:val="18"/>
                <w:szCs w:val="18"/>
                <w:highlight w:val="none"/>
              </w:rPr>
              <w:t xml:space="preserve"> </w:t>
            </w:r>
            <w:r>
              <w:rPr>
                <w:rFonts w:hint="eastAsia" w:ascii="宋体" w:hAnsi="宋体" w:eastAsia="宋体" w:cs="宋体"/>
                <w:b w:val="0"/>
                <w:bCs w:val="0"/>
                <w:color w:val="auto"/>
                <w:spacing w:val="-8"/>
                <w:sz w:val="18"/>
                <w:szCs w:val="18"/>
                <w:highlight w:val="none"/>
              </w:rPr>
              <w:t>分。</w:t>
            </w:r>
          </w:p>
        </w:tc>
        <w:tc>
          <w:tcPr>
            <w:tcW w:w="366" w:type="pct"/>
            <w:vAlign w:val="center"/>
          </w:tcPr>
          <w:p w14:paraId="0E2A1C73">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eastAsia="zh-CN"/>
              </w:rPr>
            </w:pPr>
          </w:p>
        </w:tc>
        <w:tc>
          <w:tcPr>
            <w:tcW w:w="335" w:type="pct"/>
            <w:vAlign w:val="center"/>
          </w:tcPr>
          <w:p w14:paraId="2997308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restart"/>
            <w:tcBorders>
              <w:bottom w:val="nil"/>
            </w:tcBorders>
            <w:vAlign w:val="center"/>
          </w:tcPr>
          <w:p w14:paraId="384E520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r w14:paraId="7068EC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jc w:val="center"/>
        </w:trPr>
        <w:tc>
          <w:tcPr>
            <w:tcW w:w="190" w:type="pct"/>
            <w:vMerge w:val="continue"/>
            <w:vAlign w:val="center"/>
          </w:tcPr>
          <w:p w14:paraId="6248315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7E90A40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tcBorders>
              <w:top w:val="nil"/>
            </w:tcBorders>
            <w:vAlign w:val="center"/>
          </w:tcPr>
          <w:p w14:paraId="3C649FA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0" w:type="pct"/>
            <w:vAlign w:val="center"/>
          </w:tcPr>
          <w:p w14:paraId="2DA46355">
            <w:pPr>
              <w:pStyle w:val="23"/>
              <w:keepNext w:val="0"/>
              <w:keepLines w:val="0"/>
              <w:suppressLineNumbers w:val="0"/>
              <w:spacing w:before="69" w:line="220" w:lineRule="auto"/>
              <w:ind w:left="15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b)是否及时对灭火和应急疏散预案进行修订完善。</w:t>
            </w:r>
          </w:p>
        </w:tc>
        <w:tc>
          <w:tcPr>
            <w:tcW w:w="1182" w:type="pct"/>
            <w:vAlign w:val="center"/>
          </w:tcPr>
          <w:p w14:paraId="5A4CDA65">
            <w:pPr>
              <w:pStyle w:val="23"/>
              <w:keepNext w:val="0"/>
              <w:keepLines w:val="0"/>
              <w:suppressLineNumbers w:val="0"/>
              <w:spacing w:before="69" w:line="220" w:lineRule="auto"/>
              <w:ind w:left="11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4"/>
                <w:sz w:val="18"/>
                <w:szCs w:val="18"/>
                <w:highlight w:val="none"/>
              </w:rPr>
              <w:t>预案未及时修订的扣</w:t>
            </w:r>
            <w:r>
              <w:rPr>
                <w:rFonts w:hint="eastAsia" w:ascii="宋体" w:hAnsi="宋体" w:eastAsia="宋体" w:cs="宋体"/>
                <w:b w:val="0"/>
                <w:bCs w:val="0"/>
                <w:color w:val="auto"/>
                <w:spacing w:val="-26"/>
                <w:sz w:val="18"/>
                <w:szCs w:val="18"/>
                <w:highlight w:val="none"/>
              </w:rPr>
              <w:t xml:space="preserve"> </w:t>
            </w:r>
            <w:r>
              <w:rPr>
                <w:rFonts w:hint="eastAsia" w:ascii="宋体" w:hAnsi="宋体" w:eastAsia="宋体" w:cs="宋体"/>
                <w:b w:val="0"/>
                <w:bCs w:val="0"/>
                <w:color w:val="auto"/>
                <w:spacing w:val="-4"/>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4"/>
                <w:sz w:val="18"/>
                <w:szCs w:val="18"/>
                <w:highlight w:val="none"/>
              </w:rPr>
              <w:t>分。</w:t>
            </w:r>
          </w:p>
        </w:tc>
        <w:tc>
          <w:tcPr>
            <w:tcW w:w="366" w:type="pct"/>
            <w:vAlign w:val="center"/>
          </w:tcPr>
          <w:p w14:paraId="72B98B98">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5" w:type="pct"/>
            <w:vAlign w:val="center"/>
          </w:tcPr>
          <w:p w14:paraId="3A1B264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tcBorders>
            <w:vAlign w:val="center"/>
          </w:tcPr>
          <w:p w14:paraId="6200AB7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4F7AA2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5" w:hRule="atLeast"/>
          <w:jc w:val="center"/>
        </w:trPr>
        <w:tc>
          <w:tcPr>
            <w:tcW w:w="190" w:type="pct"/>
            <w:vMerge w:val="continue"/>
            <w:vAlign w:val="center"/>
          </w:tcPr>
          <w:p w14:paraId="116CAD0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576E0F6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restart"/>
            <w:vAlign w:val="center"/>
          </w:tcPr>
          <w:p w14:paraId="6EF56D9C">
            <w:pPr>
              <w:pStyle w:val="23"/>
              <w:keepNext w:val="0"/>
              <w:keepLines w:val="0"/>
              <w:suppressLineNumbers w:val="0"/>
              <w:spacing w:before="58" w:line="307" w:lineRule="auto"/>
              <w:ind w:left="112" w:right="156"/>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组织演练（20</w:t>
            </w:r>
            <w:r>
              <w:rPr>
                <w:rFonts w:hint="eastAsia" w:ascii="宋体" w:hAnsi="宋体" w:eastAsia="宋体" w:cs="宋体"/>
                <w:b w:val="0"/>
                <w:bCs w:val="0"/>
                <w:color w:val="auto"/>
                <w:spacing w:val="1"/>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40" w:type="pct"/>
            <w:vAlign w:val="center"/>
          </w:tcPr>
          <w:p w14:paraId="2C953C29">
            <w:pPr>
              <w:pStyle w:val="23"/>
              <w:keepNext w:val="0"/>
              <w:keepLines w:val="0"/>
              <w:suppressLineNumbers w:val="0"/>
              <w:spacing w:before="59" w:line="307" w:lineRule="auto"/>
              <w:ind w:left="112" w:right="254" w:hanging="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a)单位应当明确组织灭火和应急疏散预案演练的责任部门、责任人和职责；</w:t>
            </w:r>
          </w:p>
        </w:tc>
        <w:tc>
          <w:tcPr>
            <w:tcW w:w="1182" w:type="pct"/>
            <w:vAlign w:val="center"/>
          </w:tcPr>
          <w:p w14:paraId="2BB2064B">
            <w:pPr>
              <w:pStyle w:val="23"/>
              <w:keepNext w:val="0"/>
              <w:keepLines w:val="0"/>
              <w:suppressLineNumbers w:val="0"/>
              <w:spacing w:before="71" w:line="300" w:lineRule="auto"/>
              <w:ind w:left="110" w:right="104" w:firstLine="2"/>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未确定责任部门、责任人的扣 3 分；预</w:t>
            </w:r>
            <w:r>
              <w:rPr>
                <w:rFonts w:hint="eastAsia" w:ascii="宋体" w:hAnsi="宋体" w:eastAsia="宋体" w:cs="宋体"/>
                <w:b w:val="0"/>
                <w:bCs w:val="0"/>
                <w:color w:val="auto"/>
                <w:spacing w:val="2"/>
                <w:sz w:val="18"/>
                <w:szCs w:val="18"/>
                <w:highlight w:val="none"/>
              </w:rPr>
              <w:t>案确定责任部门、责任人不全的，每缺</w:t>
            </w:r>
            <w:r>
              <w:rPr>
                <w:rFonts w:hint="eastAsia" w:ascii="宋体" w:hAnsi="宋体" w:eastAsia="宋体" w:cs="宋体"/>
                <w:b w:val="0"/>
                <w:bCs w:val="0"/>
                <w:color w:val="auto"/>
                <w:spacing w:val="-5"/>
                <w:sz w:val="18"/>
                <w:szCs w:val="18"/>
                <w:highlight w:val="none"/>
              </w:rPr>
              <w:t>少一项扣 1</w:t>
            </w:r>
            <w:r>
              <w:rPr>
                <w:rFonts w:hint="eastAsia" w:ascii="宋体" w:hAnsi="宋体" w:eastAsia="宋体" w:cs="宋体"/>
                <w:b w:val="0"/>
                <w:bCs w:val="0"/>
                <w:color w:val="auto"/>
                <w:spacing w:val="-10"/>
                <w:sz w:val="18"/>
                <w:szCs w:val="18"/>
                <w:highlight w:val="none"/>
              </w:rPr>
              <w:t xml:space="preserve"> </w:t>
            </w:r>
            <w:r>
              <w:rPr>
                <w:rFonts w:hint="eastAsia" w:ascii="宋体" w:hAnsi="宋体" w:eastAsia="宋体" w:cs="宋体"/>
                <w:b w:val="0"/>
                <w:bCs w:val="0"/>
                <w:color w:val="auto"/>
                <w:spacing w:val="-5"/>
                <w:sz w:val="18"/>
                <w:szCs w:val="18"/>
                <w:highlight w:val="none"/>
              </w:rPr>
              <w:t>分，最高扣</w:t>
            </w:r>
            <w:r>
              <w:rPr>
                <w:rFonts w:hint="eastAsia" w:ascii="宋体" w:hAnsi="宋体" w:eastAsia="宋体" w:cs="宋体"/>
                <w:b w:val="0"/>
                <w:bCs w:val="0"/>
                <w:color w:val="auto"/>
                <w:spacing w:val="-25"/>
                <w:sz w:val="18"/>
                <w:szCs w:val="18"/>
                <w:highlight w:val="none"/>
              </w:rPr>
              <w:t xml:space="preserve"> </w:t>
            </w:r>
            <w:r>
              <w:rPr>
                <w:rFonts w:hint="eastAsia" w:ascii="宋体" w:hAnsi="宋体" w:eastAsia="宋体" w:cs="宋体"/>
                <w:b w:val="0"/>
                <w:bCs w:val="0"/>
                <w:color w:val="auto"/>
                <w:spacing w:val="-5"/>
                <w:sz w:val="18"/>
                <w:szCs w:val="18"/>
                <w:highlight w:val="none"/>
              </w:rPr>
              <w:t>2</w:t>
            </w:r>
            <w:r>
              <w:rPr>
                <w:rFonts w:hint="eastAsia" w:ascii="宋体" w:hAnsi="宋体" w:eastAsia="宋体" w:cs="宋体"/>
                <w:b w:val="0"/>
                <w:bCs w:val="0"/>
                <w:color w:val="auto"/>
                <w:spacing w:val="-25"/>
                <w:sz w:val="18"/>
                <w:szCs w:val="18"/>
                <w:highlight w:val="none"/>
              </w:rPr>
              <w:t xml:space="preserve"> </w:t>
            </w:r>
            <w:r>
              <w:rPr>
                <w:rFonts w:hint="eastAsia" w:ascii="宋体" w:hAnsi="宋体" w:eastAsia="宋体" w:cs="宋体"/>
                <w:b w:val="0"/>
                <w:bCs w:val="0"/>
                <w:color w:val="auto"/>
                <w:spacing w:val="-5"/>
                <w:sz w:val="18"/>
                <w:szCs w:val="18"/>
                <w:highlight w:val="none"/>
              </w:rPr>
              <w:t>分；未明确职</w:t>
            </w:r>
            <w:r>
              <w:rPr>
                <w:rFonts w:hint="eastAsia" w:ascii="宋体" w:hAnsi="宋体" w:eastAsia="宋体" w:cs="宋体"/>
                <w:b w:val="0"/>
                <w:bCs w:val="0"/>
                <w:color w:val="auto"/>
                <w:spacing w:val="-7"/>
                <w:sz w:val="18"/>
                <w:szCs w:val="18"/>
                <w:highlight w:val="none"/>
              </w:rPr>
              <w:t>责的扣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7"/>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w:t>
            </w:r>
          </w:p>
        </w:tc>
        <w:tc>
          <w:tcPr>
            <w:tcW w:w="366" w:type="pct"/>
            <w:vAlign w:val="center"/>
          </w:tcPr>
          <w:p w14:paraId="0E20120F">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5" w:type="pct"/>
            <w:vAlign w:val="center"/>
          </w:tcPr>
          <w:p w14:paraId="0CFECAA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restart"/>
            <w:tcBorders>
              <w:bottom w:val="nil"/>
            </w:tcBorders>
            <w:vAlign w:val="center"/>
          </w:tcPr>
          <w:p w14:paraId="3191ADC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r w14:paraId="52CEEA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2" w:hRule="atLeast"/>
          <w:jc w:val="center"/>
        </w:trPr>
        <w:tc>
          <w:tcPr>
            <w:tcW w:w="190" w:type="pct"/>
            <w:vMerge w:val="continue"/>
            <w:vAlign w:val="center"/>
          </w:tcPr>
          <w:p w14:paraId="023A5E4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1D0CA74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vAlign w:val="center"/>
          </w:tcPr>
          <w:p w14:paraId="1767D429">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0" w:type="pct"/>
            <w:vAlign w:val="center"/>
          </w:tcPr>
          <w:p w14:paraId="7B7CC0ED">
            <w:pPr>
              <w:pStyle w:val="23"/>
              <w:keepNext w:val="0"/>
              <w:keepLines w:val="0"/>
              <w:suppressLineNumbers w:val="0"/>
              <w:spacing w:before="58" w:line="307" w:lineRule="auto"/>
              <w:ind w:left="110" w:right="163" w:firstLine="4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b)单位应当根据实际情况，制定年度演练计划，演练</w:t>
            </w:r>
            <w:r>
              <w:rPr>
                <w:rFonts w:hint="eastAsia" w:ascii="宋体" w:hAnsi="宋体" w:eastAsia="宋体" w:cs="宋体"/>
                <w:b w:val="0"/>
                <w:bCs w:val="0"/>
                <w:color w:val="auto"/>
                <w:spacing w:val="-1"/>
                <w:sz w:val="18"/>
                <w:szCs w:val="18"/>
                <w:highlight w:val="none"/>
              </w:rPr>
              <w:t>应保存全面的文字记录和影像资料；</w:t>
            </w:r>
          </w:p>
        </w:tc>
        <w:tc>
          <w:tcPr>
            <w:tcW w:w="1182" w:type="pct"/>
            <w:vAlign w:val="center"/>
          </w:tcPr>
          <w:p w14:paraId="00D223E8">
            <w:pPr>
              <w:pStyle w:val="23"/>
              <w:keepNext w:val="0"/>
              <w:keepLines w:val="0"/>
              <w:suppressLineNumbers w:val="0"/>
              <w:spacing w:before="71" w:line="302" w:lineRule="auto"/>
              <w:ind w:left="111" w:right="105" w:firstLine="1"/>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4"/>
                <w:sz w:val="18"/>
                <w:szCs w:val="18"/>
                <w:highlight w:val="none"/>
              </w:rPr>
              <w:t>未制定年度演练计划的扣 5 分；未提供</w:t>
            </w:r>
            <w:r>
              <w:rPr>
                <w:rFonts w:hint="eastAsia" w:ascii="宋体" w:hAnsi="宋体" w:eastAsia="宋体" w:cs="宋体"/>
                <w:b w:val="0"/>
                <w:bCs w:val="0"/>
                <w:color w:val="auto"/>
                <w:spacing w:val="12"/>
                <w:sz w:val="18"/>
                <w:szCs w:val="18"/>
                <w:highlight w:val="none"/>
              </w:rPr>
              <w:t>预案演练文字记录和影像资料的扣 4</w:t>
            </w:r>
            <w:r>
              <w:rPr>
                <w:rFonts w:hint="eastAsia" w:ascii="宋体" w:hAnsi="宋体" w:eastAsia="宋体" w:cs="宋体"/>
                <w:b w:val="0"/>
                <w:bCs w:val="0"/>
                <w:color w:val="auto"/>
                <w:spacing w:val="9"/>
                <w:sz w:val="18"/>
                <w:szCs w:val="18"/>
                <w:highlight w:val="none"/>
              </w:rPr>
              <w:t xml:space="preserve"> </w:t>
            </w:r>
            <w:r>
              <w:rPr>
                <w:rFonts w:hint="eastAsia" w:ascii="宋体" w:hAnsi="宋体" w:eastAsia="宋体" w:cs="宋体"/>
                <w:b w:val="0"/>
                <w:bCs w:val="0"/>
                <w:color w:val="auto"/>
                <w:spacing w:val="2"/>
                <w:sz w:val="18"/>
                <w:szCs w:val="18"/>
                <w:highlight w:val="none"/>
              </w:rPr>
              <w:t>分；预案演练文字记录和影像资料不全</w:t>
            </w:r>
            <w:r>
              <w:rPr>
                <w:rFonts w:hint="eastAsia" w:ascii="宋体" w:hAnsi="宋体" w:eastAsia="宋体" w:cs="宋体"/>
                <w:b w:val="0"/>
                <w:bCs w:val="0"/>
                <w:color w:val="auto"/>
                <w:spacing w:val="-1"/>
                <w:sz w:val="18"/>
                <w:szCs w:val="18"/>
                <w:highlight w:val="none"/>
              </w:rPr>
              <w:t>的每缺少一项扣</w:t>
            </w:r>
            <w:r>
              <w:rPr>
                <w:rFonts w:hint="eastAsia" w:ascii="宋体" w:hAnsi="宋体" w:eastAsia="宋体" w:cs="宋体"/>
                <w:b w:val="0"/>
                <w:bCs w:val="0"/>
                <w:color w:val="auto"/>
                <w:spacing w:val="-25"/>
                <w:sz w:val="18"/>
                <w:szCs w:val="18"/>
                <w:highlight w:val="none"/>
              </w:rPr>
              <w:t xml:space="preserve"> </w:t>
            </w:r>
            <w:r>
              <w:rPr>
                <w:rFonts w:hint="eastAsia" w:ascii="宋体" w:hAnsi="宋体" w:eastAsia="宋体" w:cs="宋体"/>
                <w:b w:val="0"/>
                <w:bCs w:val="0"/>
                <w:color w:val="auto"/>
                <w:spacing w:val="-1"/>
                <w:sz w:val="18"/>
                <w:szCs w:val="18"/>
                <w:highlight w:val="none"/>
              </w:rPr>
              <w:t>1</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
                <w:sz w:val="18"/>
                <w:szCs w:val="18"/>
                <w:highlight w:val="none"/>
              </w:rPr>
              <w:t>分，最高扣4</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1"/>
                <w:sz w:val="18"/>
                <w:szCs w:val="18"/>
                <w:highlight w:val="none"/>
              </w:rPr>
              <w:t>分。</w:t>
            </w:r>
          </w:p>
        </w:tc>
        <w:tc>
          <w:tcPr>
            <w:tcW w:w="366" w:type="pct"/>
            <w:vAlign w:val="center"/>
          </w:tcPr>
          <w:p w14:paraId="3581AE87">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5" w:type="pct"/>
            <w:tcBorders>
              <w:bottom w:val="single" w:color="auto" w:sz="4" w:space="0"/>
            </w:tcBorders>
            <w:vAlign w:val="center"/>
          </w:tcPr>
          <w:p w14:paraId="2EE5F2D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continue"/>
            <w:tcBorders>
              <w:top w:val="nil"/>
              <w:bottom w:val="single" w:color="auto" w:sz="4" w:space="0"/>
            </w:tcBorders>
            <w:vAlign w:val="center"/>
          </w:tcPr>
          <w:p w14:paraId="54B446A0">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1C814A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jc w:val="center"/>
        </w:trPr>
        <w:tc>
          <w:tcPr>
            <w:tcW w:w="190" w:type="pct"/>
            <w:vMerge w:val="continue"/>
            <w:vAlign w:val="center"/>
          </w:tcPr>
          <w:p w14:paraId="080D914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701ABB11">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vAlign w:val="center"/>
          </w:tcPr>
          <w:p w14:paraId="253E9DAC">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0" w:type="pct"/>
            <w:vAlign w:val="center"/>
          </w:tcPr>
          <w:p w14:paraId="4EDF9BE1">
            <w:pPr>
              <w:pStyle w:val="23"/>
              <w:keepNext w:val="0"/>
              <w:keepLines w:val="0"/>
              <w:suppressLineNumbers w:val="0"/>
              <w:spacing w:before="59" w:line="220" w:lineRule="auto"/>
              <w:ind w:left="160"/>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c)预案演练频次是否符合相关规定；</w:t>
            </w:r>
          </w:p>
        </w:tc>
        <w:tc>
          <w:tcPr>
            <w:tcW w:w="1182" w:type="pct"/>
            <w:vAlign w:val="center"/>
          </w:tcPr>
          <w:p w14:paraId="2662F505">
            <w:pPr>
              <w:pStyle w:val="23"/>
              <w:keepNext w:val="0"/>
              <w:keepLines w:val="0"/>
              <w:suppressLineNumbers w:val="0"/>
              <w:spacing w:before="69" w:line="295" w:lineRule="auto"/>
              <w:ind w:left="112" w:right="38" w:hanging="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3"/>
                <w:sz w:val="18"/>
                <w:szCs w:val="18"/>
                <w:highlight w:val="none"/>
              </w:rPr>
              <w:t>预案演练频次低于规定频次的扣</w:t>
            </w:r>
            <w:r>
              <w:rPr>
                <w:rFonts w:hint="eastAsia" w:ascii="宋体" w:hAnsi="宋体" w:eastAsia="宋体" w:cs="宋体"/>
                <w:b w:val="0"/>
                <w:bCs w:val="0"/>
                <w:color w:val="auto"/>
                <w:spacing w:val="-2"/>
                <w:sz w:val="18"/>
                <w:szCs w:val="18"/>
                <w:highlight w:val="none"/>
              </w:rPr>
              <w:t xml:space="preserve"> </w:t>
            </w:r>
            <w:r>
              <w:rPr>
                <w:rFonts w:hint="eastAsia" w:ascii="宋体" w:hAnsi="宋体" w:eastAsia="宋体" w:cs="宋体"/>
                <w:b w:val="0"/>
                <w:bCs w:val="0"/>
                <w:color w:val="auto"/>
                <w:spacing w:val="-3"/>
                <w:sz w:val="18"/>
                <w:szCs w:val="18"/>
                <w:highlight w:val="none"/>
              </w:rPr>
              <w:t>4 分；</w:t>
            </w:r>
            <w:r>
              <w:rPr>
                <w:rFonts w:hint="eastAsia" w:ascii="宋体" w:hAnsi="宋体" w:eastAsia="宋体" w:cs="宋体"/>
                <w:b w:val="0"/>
                <w:bCs w:val="0"/>
                <w:color w:val="auto"/>
                <w:spacing w:val="13"/>
                <w:sz w:val="18"/>
                <w:szCs w:val="18"/>
                <w:highlight w:val="none"/>
              </w:rPr>
              <w:t>发现有员工一年中未按规定参加演练</w:t>
            </w:r>
            <w:r>
              <w:rPr>
                <w:rFonts w:hint="eastAsia" w:ascii="宋体" w:hAnsi="宋体" w:eastAsia="宋体" w:cs="宋体"/>
                <w:b w:val="0"/>
                <w:bCs w:val="0"/>
                <w:color w:val="auto"/>
                <w:spacing w:val="-7"/>
                <w:sz w:val="18"/>
                <w:szCs w:val="18"/>
                <w:highlight w:val="none"/>
              </w:rPr>
              <w:t>的，每发现一人扣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7"/>
                <w:sz w:val="18"/>
                <w:szCs w:val="18"/>
                <w:highlight w:val="none"/>
              </w:rPr>
              <w:t>0.5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分，最高扣</w:t>
            </w:r>
            <w:r>
              <w:rPr>
                <w:rFonts w:hint="eastAsia" w:ascii="宋体" w:hAnsi="宋体" w:eastAsia="宋体" w:cs="宋体"/>
                <w:b w:val="0"/>
                <w:bCs w:val="0"/>
                <w:color w:val="auto"/>
                <w:spacing w:val="-36"/>
                <w:sz w:val="18"/>
                <w:szCs w:val="18"/>
                <w:highlight w:val="none"/>
              </w:rPr>
              <w:t xml:space="preserve"> </w:t>
            </w:r>
            <w:r>
              <w:rPr>
                <w:rFonts w:hint="eastAsia" w:ascii="宋体" w:hAnsi="宋体" w:eastAsia="宋体" w:cs="宋体"/>
                <w:b w:val="0"/>
                <w:bCs w:val="0"/>
                <w:color w:val="auto"/>
                <w:spacing w:val="-7"/>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w:t>
            </w:r>
          </w:p>
        </w:tc>
        <w:tc>
          <w:tcPr>
            <w:tcW w:w="366" w:type="pct"/>
            <w:tcBorders>
              <w:right w:val="single" w:color="auto" w:sz="4" w:space="0"/>
            </w:tcBorders>
            <w:vAlign w:val="center"/>
          </w:tcPr>
          <w:p w14:paraId="3E4097E8">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eastAsia="zh-CN"/>
              </w:rPr>
            </w:pPr>
          </w:p>
        </w:tc>
        <w:tc>
          <w:tcPr>
            <w:tcW w:w="335" w:type="pct"/>
            <w:tcBorders>
              <w:top w:val="single" w:color="auto" w:sz="4" w:space="0"/>
              <w:left w:val="single" w:color="auto" w:sz="4" w:space="0"/>
              <w:bottom w:val="single" w:color="auto" w:sz="4" w:space="0"/>
              <w:right w:val="single" w:color="auto" w:sz="4" w:space="0"/>
            </w:tcBorders>
            <w:vAlign w:val="center"/>
          </w:tcPr>
          <w:p w14:paraId="2281AEF7">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tcBorders>
              <w:top w:val="single" w:color="auto" w:sz="4" w:space="0"/>
              <w:left w:val="single" w:color="auto" w:sz="4" w:space="0"/>
              <w:bottom w:val="single" w:color="auto" w:sz="4" w:space="0"/>
              <w:right w:val="single" w:color="auto" w:sz="4" w:space="0"/>
            </w:tcBorders>
            <w:vAlign w:val="center"/>
          </w:tcPr>
          <w:p w14:paraId="58C839F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3F7DA0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8" w:hRule="atLeast"/>
          <w:jc w:val="center"/>
        </w:trPr>
        <w:tc>
          <w:tcPr>
            <w:tcW w:w="190" w:type="pct"/>
            <w:vMerge w:val="continue"/>
            <w:vAlign w:val="center"/>
          </w:tcPr>
          <w:p w14:paraId="2E6E3BEB">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4E361892">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Merge w:val="continue"/>
            <w:vAlign w:val="center"/>
          </w:tcPr>
          <w:p w14:paraId="7D1B8A04">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1740" w:type="pct"/>
            <w:vAlign w:val="center"/>
          </w:tcPr>
          <w:p w14:paraId="25412134">
            <w:pPr>
              <w:pStyle w:val="23"/>
              <w:keepNext w:val="0"/>
              <w:keepLines w:val="0"/>
              <w:suppressLineNumbers w:val="0"/>
              <w:spacing w:before="58" w:line="307" w:lineRule="auto"/>
              <w:ind w:left="115" w:right="163" w:firstLine="37"/>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d)模拟警情，现场组织灭火和应急疏散预案演练，各</w:t>
            </w:r>
            <w:r>
              <w:rPr>
                <w:rFonts w:hint="eastAsia" w:ascii="宋体" w:hAnsi="宋体" w:eastAsia="宋体" w:cs="宋体"/>
                <w:b w:val="0"/>
                <w:bCs w:val="0"/>
                <w:color w:val="auto"/>
                <w:spacing w:val="-1"/>
                <w:sz w:val="18"/>
                <w:szCs w:val="18"/>
                <w:highlight w:val="none"/>
              </w:rPr>
              <w:t>小组能够按照预案完成灭火疏散任务。</w:t>
            </w:r>
          </w:p>
        </w:tc>
        <w:tc>
          <w:tcPr>
            <w:tcW w:w="1182" w:type="pct"/>
            <w:vAlign w:val="center"/>
          </w:tcPr>
          <w:p w14:paraId="7625158A">
            <w:pPr>
              <w:pStyle w:val="23"/>
              <w:keepNext w:val="0"/>
              <w:keepLines w:val="0"/>
              <w:suppressLineNumbers w:val="0"/>
              <w:spacing w:before="68" w:line="317" w:lineRule="auto"/>
              <w:ind w:left="108" w:right="106" w:firstLine="2"/>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1"/>
                <w:sz w:val="18"/>
                <w:szCs w:val="18"/>
                <w:highlight w:val="none"/>
              </w:rPr>
              <w:t>现场模拟火情或观看灭火和应急疏散预</w:t>
            </w:r>
            <w:r>
              <w:rPr>
                <w:rFonts w:hint="eastAsia" w:ascii="宋体" w:hAnsi="宋体" w:eastAsia="宋体" w:cs="宋体"/>
                <w:b w:val="0"/>
                <w:bCs w:val="0"/>
                <w:color w:val="auto"/>
                <w:spacing w:val="-2"/>
                <w:sz w:val="18"/>
                <w:szCs w:val="18"/>
                <w:highlight w:val="none"/>
              </w:rPr>
              <w:t>案演练视频，灭火行动组</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2"/>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分钟未到现</w:t>
            </w:r>
            <w:r>
              <w:rPr>
                <w:rFonts w:hint="eastAsia" w:ascii="宋体" w:hAnsi="宋体" w:eastAsia="宋体" w:cs="宋体"/>
                <w:b w:val="0"/>
                <w:bCs w:val="0"/>
                <w:color w:val="auto"/>
                <w:spacing w:val="-7"/>
                <w:sz w:val="18"/>
                <w:szCs w:val="18"/>
                <w:highlight w:val="none"/>
              </w:rPr>
              <w:t>场的扣</w:t>
            </w:r>
            <w:r>
              <w:rPr>
                <w:rFonts w:hint="eastAsia" w:ascii="宋体" w:hAnsi="宋体" w:eastAsia="宋体" w:cs="宋体"/>
                <w:b w:val="0"/>
                <w:bCs w:val="0"/>
                <w:color w:val="auto"/>
                <w:spacing w:val="-9"/>
                <w:sz w:val="18"/>
                <w:szCs w:val="18"/>
                <w:highlight w:val="none"/>
              </w:rPr>
              <w:t xml:space="preserve"> </w:t>
            </w:r>
            <w:r>
              <w:rPr>
                <w:rFonts w:hint="eastAsia" w:ascii="宋体" w:hAnsi="宋体" w:eastAsia="宋体" w:cs="宋体"/>
                <w:b w:val="0"/>
                <w:bCs w:val="0"/>
                <w:color w:val="auto"/>
                <w:spacing w:val="-7"/>
                <w:sz w:val="18"/>
                <w:szCs w:val="18"/>
                <w:highlight w:val="none"/>
              </w:rPr>
              <w:t>10</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分，疏散引导组</w:t>
            </w:r>
            <w:r>
              <w:rPr>
                <w:rFonts w:hint="eastAsia" w:ascii="宋体" w:hAnsi="宋体" w:eastAsia="宋体" w:cs="宋体"/>
                <w:b w:val="0"/>
                <w:bCs w:val="0"/>
                <w:color w:val="auto"/>
                <w:spacing w:val="-37"/>
                <w:sz w:val="18"/>
                <w:szCs w:val="18"/>
                <w:highlight w:val="none"/>
              </w:rPr>
              <w:t xml:space="preserve"> </w:t>
            </w:r>
            <w:r>
              <w:rPr>
                <w:rFonts w:hint="eastAsia" w:ascii="宋体" w:hAnsi="宋体" w:eastAsia="宋体" w:cs="宋体"/>
                <w:b w:val="0"/>
                <w:bCs w:val="0"/>
                <w:color w:val="auto"/>
                <w:spacing w:val="-7"/>
                <w:sz w:val="18"/>
                <w:szCs w:val="18"/>
                <w:highlight w:val="none"/>
              </w:rPr>
              <w:t>3</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7"/>
                <w:sz w:val="18"/>
                <w:szCs w:val="18"/>
                <w:highlight w:val="none"/>
              </w:rPr>
              <w:t>分钟内未按</w:t>
            </w:r>
            <w:r>
              <w:rPr>
                <w:rFonts w:hint="eastAsia" w:ascii="宋体" w:hAnsi="宋体" w:eastAsia="宋体" w:cs="宋体"/>
                <w:b w:val="0"/>
                <w:bCs w:val="0"/>
                <w:color w:val="auto"/>
                <w:spacing w:val="-5"/>
                <w:sz w:val="18"/>
                <w:szCs w:val="18"/>
                <w:highlight w:val="none"/>
              </w:rPr>
              <w:t>规定引导疏散的扣</w:t>
            </w:r>
            <w:r>
              <w:rPr>
                <w:rFonts w:hint="eastAsia" w:ascii="宋体" w:hAnsi="宋体" w:eastAsia="宋体" w:cs="宋体"/>
                <w:b w:val="0"/>
                <w:bCs w:val="0"/>
                <w:color w:val="auto"/>
                <w:spacing w:val="-24"/>
                <w:sz w:val="18"/>
                <w:szCs w:val="18"/>
                <w:highlight w:val="none"/>
              </w:rPr>
              <w:t xml:space="preserve"> </w:t>
            </w:r>
            <w:r>
              <w:rPr>
                <w:rFonts w:hint="eastAsia" w:ascii="宋体" w:hAnsi="宋体" w:eastAsia="宋体" w:cs="宋体"/>
                <w:b w:val="0"/>
                <w:bCs w:val="0"/>
                <w:color w:val="auto"/>
                <w:spacing w:val="-5"/>
                <w:sz w:val="18"/>
                <w:szCs w:val="18"/>
                <w:highlight w:val="none"/>
              </w:rPr>
              <w:t>10</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分，未快速确认火</w:t>
            </w:r>
            <w:r>
              <w:rPr>
                <w:rFonts w:hint="eastAsia" w:ascii="宋体" w:hAnsi="宋体" w:eastAsia="宋体" w:cs="宋体"/>
                <w:b w:val="0"/>
                <w:bCs w:val="0"/>
                <w:color w:val="auto"/>
                <w:spacing w:val="-3"/>
                <w:sz w:val="18"/>
                <w:szCs w:val="18"/>
                <w:highlight w:val="none"/>
              </w:rPr>
              <w:t>情并第一时间模拟正确报</w:t>
            </w:r>
            <w:r>
              <w:rPr>
                <w:rFonts w:hint="eastAsia" w:ascii="宋体" w:hAnsi="宋体" w:eastAsia="宋体" w:cs="宋体"/>
                <w:b w:val="0"/>
                <w:bCs w:val="0"/>
                <w:color w:val="auto"/>
                <w:spacing w:val="-12"/>
                <w:sz w:val="18"/>
                <w:szCs w:val="18"/>
                <w:highlight w:val="none"/>
              </w:rPr>
              <w:t xml:space="preserve"> </w:t>
            </w:r>
            <w:r>
              <w:rPr>
                <w:rFonts w:hint="eastAsia" w:ascii="宋体" w:hAnsi="宋体" w:eastAsia="宋体" w:cs="宋体"/>
                <w:b w:val="0"/>
                <w:bCs w:val="0"/>
                <w:color w:val="auto"/>
                <w:spacing w:val="-3"/>
                <w:sz w:val="18"/>
                <w:szCs w:val="18"/>
                <w:highlight w:val="none"/>
              </w:rPr>
              <w:t>119</w:t>
            </w:r>
            <w:r>
              <w:rPr>
                <w:rFonts w:hint="eastAsia" w:ascii="宋体" w:hAnsi="宋体" w:eastAsia="宋体" w:cs="宋体"/>
                <w:b w:val="0"/>
                <w:bCs w:val="0"/>
                <w:color w:val="auto"/>
                <w:spacing w:val="-37"/>
                <w:sz w:val="18"/>
                <w:szCs w:val="18"/>
                <w:highlight w:val="none"/>
              </w:rPr>
              <w:t xml:space="preserve"> </w:t>
            </w:r>
            <w:r>
              <w:rPr>
                <w:rFonts w:hint="eastAsia" w:ascii="宋体" w:hAnsi="宋体" w:eastAsia="宋体" w:cs="宋体"/>
                <w:b w:val="0"/>
                <w:bCs w:val="0"/>
                <w:color w:val="auto"/>
                <w:spacing w:val="-3"/>
                <w:sz w:val="18"/>
                <w:szCs w:val="18"/>
                <w:highlight w:val="none"/>
              </w:rPr>
              <w:t>火警电话</w:t>
            </w:r>
            <w:r>
              <w:rPr>
                <w:rFonts w:hint="eastAsia" w:ascii="宋体" w:hAnsi="宋体" w:eastAsia="宋体" w:cs="宋体"/>
                <w:b w:val="0"/>
                <w:bCs w:val="0"/>
                <w:color w:val="auto"/>
                <w:spacing w:val="-2"/>
                <w:sz w:val="18"/>
                <w:szCs w:val="18"/>
                <w:highlight w:val="none"/>
              </w:rPr>
              <w:t>的扣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2"/>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分，未及时通知电力、给水、排</w:t>
            </w:r>
            <w:r>
              <w:rPr>
                <w:rFonts w:hint="eastAsia" w:ascii="宋体" w:hAnsi="宋体" w:eastAsia="宋体" w:cs="宋体"/>
                <w:b w:val="0"/>
                <w:bCs w:val="0"/>
                <w:color w:val="auto"/>
                <w:spacing w:val="-1"/>
                <w:sz w:val="18"/>
                <w:szCs w:val="18"/>
                <w:highlight w:val="none"/>
              </w:rPr>
              <w:t>水、燃气等相关工程技术人员到场协助</w:t>
            </w:r>
            <w:r>
              <w:rPr>
                <w:rFonts w:hint="eastAsia" w:ascii="宋体" w:hAnsi="宋体" w:eastAsia="宋体" w:cs="宋体"/>
                <w:b w:val="0"/>
                <w:bCs w:val="0"/>
                <w:color w:val="auto"/>
                <w:spacing w:val="-2"/>
                <w:sz w:val="18"/>
                <w:szCs w:val="18"/>
                <w:highlight w:val="none"/>
              </w:rPr>
              <w:t>的扣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2"/>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分，未将报警区域的消防系统打</w:t>
            </w:r>
            <w:r>
              <w:rPr>
                <w:rFonts w:hint="eastAsia" w:ascii="宋体" w:hAnsi="宋体" w:eastAsia="宋体" w:cs="宋体"/>
                <w:b w:val="0"/>
                <w:bCs w:val="0"/>
                <w:color w:val="auto"/>
                <w:spacing w:val="-1"/>
                <w:sz w:val="18"/>
                <w:szCs w:val="18"/>
                <w:highlight w:val="none"/>
              </w:rPr>
              <w:t>到自动或未及时启动消防设施的扣</w:t>
            </w:r>
            <w:r>
              <w:rPr>
                <w:rFonts w:hint="eastAsia" w:ascii="宋体" w:hAnsi="宋体" w:eastAsia="宋体" w:cs="宋体"/>
                <w:b w:val="0"/>
                <w:bCs w:val="0"/>
                <w:color w:val="auto"/>
                <w:spacing w:val="-27"/>
                <w:sz w:val="18"/>
                <w:szCs w:val="18"/>
                <w:highlight w:val="none"/>
              </w:rPr>
              <w:t xml:space="preserve"> </w:t>
            </w:r>
            <w:r>
              <w:rPr>
                <w:rFonts w:hint="eastAsia" w:ascii="宋体" w:hAnsi="宋体" w:eastAsia="宋体" w:cs="宋体"/>
                <w:b w:val="0"/>
                <w:bCs w:val="0"/>
                <w:color w:val="auto"/>
                <w:spacing w:val="-1"/>
                <w:sz w:val="18"/>
                <w:szCs w:val="18"/>
                <w:highlight w:val="none"/>
              </w:rPr>
              <w:t>5</w:t>
            </w:r>
            <w:r>
              <w:rPr>
                <w:rFonts w:hint="eastAsia" w:ascii="宋体" w:hAnsi="宋体" w:eastAsia="宋体" w:cs="宋体"/>
                <w:b w:val="0"/>
                <w:bCs w:val="0"/>
                <w:color w:val="auto"/>
                <w:spacing w:val="-1"/>
                <w:sz w:val="18"/>
                <w:szCs w:val="18"/>
                <w:highlight w:val="none"/>
                <w:lang w:val="en-US" w:eastAsia="zh-CN"/>
              </w:rPr>
              <w:t xml:space="preserve"> </w:t>
            </w:r>
            <w:r>
              <w:rPr>
                <w:rFonts w:hint="eastAsia" w:ascii="宋体" w:hAnsi="宋体" w:eastAsia="宋体" w:cs="宋体"/>
                <w:b w:val="0"/>
                <w:bCs w:val="0"/>
                <w:color w:val="auto"/>
                <w:spacing w:val="-1"/>
                <w:sz w:val="18"/>
                <w:szCs w:val="18"/>
                <w:highlight w:val="none"/>
              </w:rPr>
              <w:t>分，各组有部分人员未按照灭火和应急</w:t>
            </w:r>
            <w:r>
              <w:rPr>
                <w:rFonts w:hint="eastAsia" w:ascii="宋体" w:hAnsi="宋体" w:eastAsia="宋体" w:cs="宋体"/>
                <w:b w:val="0"/>
                <w:bCs w:val="0"/>
                <w:color w:val="auto"/>
                <w:spacing w:val="-3"/>
                <w:sz w:val="18"/>
                <w:szCs w:val="18"/>
                <w:highlight w:val="none"/>
              </w:rPr>
              <w:t>疏散预案演练规定执行任务的扣</w:t>
            </w:r>
            <w:r>
              <w:rPr>
                <w:rFonts w:hint="eastAsia" w:ascii="宋体" w:hAnsi="宋体" w:eastAsia="宋体" w:cs="宋体"/>
                <w:b w:val="0"/>
                <w:bCs w:val="0"/>
                <w:color w:val="auto"/>
                <w:spacing w:val="-22"/>
                <w:sz w:val="18"/>
                <w:szCs w:val="18"/>
                <w:highlight w:val="none"/>
              </w:rPr>
              <w:t xml:space="preserve"> </w:t>
            </w:r>
            <w:r>
              <w:rPr>
                <w:rFonts w:hint="eastAsia" w:ascii="宋体" w:hAnsi="宋体" w:eastAsia="宋体" w:cs="宋体"/>
                <w:b w:val="0"/>
                <w:bCs w:val="0"/>
                <w:color w:val="auto"/>
                <w:spacing w:val="-3"/>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3"/>
                <w:sz w:val="18"/>
                <w:szCs w:val="18"/>
                <w:highlight w:val="none"/>
              </w:rPr>
              <w:t>分。</w:t>
            </w:r>
          </w:p>
        </w:tc>
        <w:tc>
          <w:tcPr>
            <w:tcW w:w="366" w:type="pct"/>
            <w:tcBorders>
              <w:right w:val="single" w:color="auto" w:sz="4" w:space="0"/>
            </w:tcBorders>
            <w:vAlign w:val="center"/>
          </w:tcPr>
          <w:p w14:paraId="37928909">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rPr>
            </w:pPr>
          </w:p>
        </w:tc>
        <w:tc>
          <w:tcPr>
            <w:tcW w:w="335" w:type="pct"/>
            <w:tcBorders>
              <w:top w:val="single" w:color="auto" w:sz="4" w:space="0"/>
              <w:left w:val="single" w:color="auto" w:sz="4" w:space="0"/>
              <w:bottom w:val="single" w:color="auto" w:sz="4" w:space="0"/>
              <w:right w:val="single" w:color="auto" w:sz="4" w:space="0"/>
            </w:tcBorders>
            <w:vAlign w:val="center"/>
          </w:tcPr>
          <w:p w14:paraId="74C63836">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vMerge w:val="restart"/>
            <w:tcBorders>
              <w:top w:val="single" w:color="auto" w:sz="4" w:space="0"/>
              <w:left w:val="single" w:color="auto" w:sz="4" w:space="0"/>
              <w:bottom w:val="single" w:color="auto" w:sz="4" w:space="0"/>
              <w:right w:val="single" w:color="auto" w:sz="4" w:space="0"/>
            </w:tcBorders>
            <w:vAlign w:val="center"/>
          </w:tcPr>
          <w:p w14:paraId="2272861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r>
      <w:tr w14:paraId="60AABB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2" w:hRule="atLeast"/>
          <w:jc w:val="center"/>
        </w:trPr>
        <w:tc>
          <w:tcPr>
            <w:tcW w:w="190" w:type="pct"/>
            <w:vMerge w:val="continue"/>
            <w:vAlign w:val="center"/>
          </w:tcPr>
          <w:p w14:paraId="090B4D4E">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491" w:type="pct"/>
            <w:vMerge w:val="continue"/>
            <w:vAlign w:val="center"/>
          </w:tcPr>
          <w:p w14:paraId="70F85EAF">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66" w:type="pct"/>
            <w:vAlign w:val="center"/>
          </w:tcPr>
          <w:p w14:paraId="6529E656">
            <w:pPr>
              <w:pStyle w:val="23"/>
              <w:keepNext w:val="0"/>
              <w:keepLines w:val="0"/>
              <w:suppressLineNumbers w:val="0"/>
              <w:spacing w:before="225" w:line="307" w:lineRule="auto"/>
              <w:ind w:left="112" w:right="156"/>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总结讲评（10</w:t>
            </w:r>
            <w:r>
              <w:rPr>
                <w:rFonts w:hint="eastAsia" w:ascii="宋体" w:hAnsi="宋体" w:eastAsia="宋体" w:cs="宋体"/>
                <w:b w:val="0"/>
                <w:bCs w:val="0"/>
                <w:color w:val="auto"/>
                <w:spacing w:val="1"/>
                <w:sz w:val="18"/>
                <w:szCs w:val="18"/>
                <w:highlight w:val="none"/>
              </w:rPr>
              <w:t xml:space="preserve"> </w:t>
            </w:r>
            <w:r>
              <w:rPr>
                <w:rFonts w:hint="eastAsia" w:ascii="宋体" w:hAnsi="宋体" w:eastAsia="宋体" w:cs="宋体"/>
                <w:b w:val="0"/>
                <w:bCs w:val="0"/>
                <w:color w:val="auto"/>
                <w:spacing w:val="-6"/>
                <w:sz w:val="18"/>
                <w:szCs w:val="18"/>
                <w:highlight w:val="none"/>
              </w:rPr>
              <w:t>分）</w:t>
            </w:r>
          </w:p>
        </w:tc>
        <w:tc>
          <w:tcPr>
            <w:tcW w:w="1740" w:type="pct"/>
            <w:vAlign w:val="center"/>
          </w:tcPr>
          <w:p w14:paraId="64480443">
            <w:pPr>
              <w:pStyle w:val="23"/>
              <w:keepNext w:val="0"/>
              <w:keepLines w:val="0"/>
              <w:suppressLineNumbers w:val="0"/>
              <w:spacing w:before="71" w:line="295" w:lineRule="auto"/>
              <w:ind w:left="111" w:right="108" w:firstLine="1"/>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2"/>
                <w:sz w:val="18"/>
                <w:szCs w:val="18"/>
                <w:highlight w:val="none"/>
              </w:rPr>
              <w:t>查看相关记录，检查演练结束后，指挥机构是否组织相关部门或人员总结讲评会议，全面总结消防演练情况，提出改进意见，形成书面报告。</w:t>
            </w:r>
          </w:p>
        </w:tc>
        <w:tc>
          <w:tcPr>
            <w:tcW w:w="1182" w:type="pct"/>
            <w:vAlign w:val="center"/>
          </w:tcPr>
          <w:p w14:paraId="40B89CC8">
            <w:pPr>
              <w:pStyle w:val="23"/>
              <w:keepNext w:val="0"/>
              <w:keepLines w:val="0"/>
              <w:suppressLineNumbers w:val="0"/>
              <w:spacing w:before="71" w:line="295" w:lineRule="auto"/>
              <w:ind w:left="108" w:right="106" w:firstLine="4"/>
              <w:jc w:val="both"/>
              <w:rPr>
                <w:rFonts w:hint="eastAsia" w:ascii="宋体" w:hAnsi="宋体" w:eastAsia="宋体" w:cs="宋体"/>
                <w:b w:val="0"/>
                <w:bCs w:val="0"/>
                <w:color w:val="auto"/>
                <w:sz w:val="18"/>
                <w:szCs w:val="18"/>
                <w:highlight w:val="none"/>
              </w:rPr>
            </w:pPr>
            <w:r>
              <w:rPr>
                <w:rFonts w:hint="eastAsia" w:ascii="宋体" w:hAnsi="宋体" w:eastAsia="宋体" w:cs="宋体"/>
                <w:b w:val="0"/>
                <w:bCs w:val="0"/>
                <w:color w:val="auto"/>
                <w:spacing w:val="-6"/>
                <w:sz w:val="18"/>
                <w:szCs w:val="18"/>
                <w:highlight w:val="none"/>
              </w:rPr>
              <w:t>未进行总结讲评的扣</w:t>
            </w:r>
            <w:r>
              <w:rPr>
                <w:rFonts w:hint="eastAsia" w:ascii="宋体" w:hAnsi="宋体" w:eastAsia="宋体" w:cs="宋体"/>
                <w:b w:val="0"/>
                <w:bCs w:val="0"/>
                <w:color w:val="auto"/>
                <w:spacing w:val="-10"/>
                <w:sz w:val="18"/>
                <w:szCs w:val="18"/>
                <w:highlight w:val="none"/>
              </w:rPr>
              <w:t xml:space="preserve"> </w:t>
            </w:r>
            <w:r>
              <w:rPr>
                <w:rFonts w:hint="eastAsia" w:ascii="宋体" w:hAnsi="宋体" w:eastAsia="宋体" w:cs="宋体"/>
                <w:b w:val="0"/>
                <w:bCs w:val="0"/>
                <w:color w:val="auto"/>
                <w:spacing w:val="-6"/>
                <w:sz w:val="18"/>
                <w:szCs w:val="18"/>
                <w:highlight w:val="none"/>
              </w:rPr>
              <w:t>10</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6"/>
                <w:sz w:val="18"/>
                <w:szCs w:val="18"/>
                <w:highlight w:val="none"/>
              </w:rPr>
              <w:t>分，未形成书面</w:t>
            </w:r>
            <w:r>
              <w:rPr>
                <w:rFonts w:hint="eastAsia" w:ascii="宋体" w:hAnsi="宋体" w:eastAsia="宋体" w:cs="宋体"/>
                <w:b w:val="0"/>
                <w:bCs w:val="0"/>
                <w:color w:val="auto"/>
                <w:spacing w:val="-2"/>
                <w:sz w:val="18"/>
                <w:szCs w:val="18"/>
                <w:highlight w:val="none"/>
              </w:rPr>
              <w:t>报告的扣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2"/>
                <w:sz w:val="18"/>
                <w:szCs w:val="18"/>
                <w:highlight w:val="none"/>
              </w:rPr>
              <w:t>5</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2"/>
                <w:sz w:val="18"/>
                <w:szCs w:val="18"/>
                <w:highlight w:val="none"/>
              </w:rPr>
              <w:t>分，总结报告存在问题的每</w:t>
            </w:r>
            <w:r>
              <w:rPr>
                <w:rFonts w:hint="eastAsia" w:ascii="宋体" w:hAnsi="宋体" w:eastAsia="宋体" w:cs="宋体"/>
                <w:b w:val="0"/>
                <w:bCs w:val="0"/>
                <w:color w:val="auto"/>
                <w:spacing w:val="-5"/>
                <w:sz w:val="18"/>
                <w:szCs w:val="18"/>
                <w:highlight w:val="none"/>
              </w:rPr>
              <w:t>发现一处扣</w:t>
            </w:r>
            <w:r>
              <w:rPr>
                <w:rFonts w:hint="eastAsia" w:ascii="宋体" w:hAnsi="宋体" w:eastAsia="宋体" w:cs="宋体"/>
                <w:b w:val="0"/>
                <w:bCs w:val="0"/>
                <w:color w:val="auto"/>
                <w:spacing w:val="-31"/>
                <w:sz w:val="18"/>
                <w:szCs w:val="18"/>
                <w:highlight w:val="none"/>
              </w:rPr>
              <w:t xml:space="preserve"> </w:t>
            </w:r>
            <w:r>
              <w:rPr>
                <w:rFonts w:hint="eastAsia" w:ascii="宋体" w:hAnsi="宋体" w:eastAsia="宋体" w:cs="宋体"/>
                <w:b w:val="0"/>
                <w:bCs w:val="0"/>
                <w:color w:val="auto"/>
                <w:spacing w:val="-5"/>
                <w:sz w:val="18"/>
                <w:szCs w:val="18"/>
                <w:highlight w:val="none"/>
              </w:rPr>
              <w:t>2</w:t>
            </w:r>
            <w:r>
              <w:rPr>
                <w:rFonts w:hint="eastAsia" w:ascii="宋体" w:hAnsi="宋体" w:eastAsia="宋体" w:cs="宋体"/>
                <w:b w:val="0"/>
                <w:bCs w:val="0"/>
                <w:color w:val="auto"/>
                <w:spacing w:val="-34"/>
                <w:sz w:val="18"/>
                <w:szCs w:val="18"/>
                <w:highlight w:val="none"/>
              </w:rPr>
              <w:t xml:space="preserve"> </w:t>
            </w:r>
            <w:r>
              <w:rPr>
                <w:rFonts w:hint="eastAsia" w:ascii="宋体" w:hAnsi="宋体" w:eastAsia="宋体" w:cs="宋体"/>
                <w:b w:val="0"/>
                <w:bCs w:val="0"/>
                <w:color w:val="auto"/>
                <w:spacing w:val="-5"/>
                <w:sz w:val="18"/>
                <w:szCs w:val="18"/>
                <w:highlight w:val="none"/>
              </w:rPr>
              <w:t>分。</w:t>
            </w:r>
          </w:p>
        </w:tc>
        <w:tc>
          <w:tcPr>
            <w:tcW w:w="366" w:type="pct"/>
            <w:vAlign w:val="center"/>
          </w:tcPr>
          <w:p w14:paraId="2AD0363A">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18"/>
                <w:szCs w:val="18"/>
                <w:highlight w:val="none"/>
                <w:lang w:val="en-US"/>
              </w:rPr>
            </w:pPr>
          </w:p>
        </w:tc>
        <w:tc>
          <w:tcPr>
            <w:tcW w:w="335" w:type="pct"/>
            <w:tcBorders>
              <w:top w:val="single" w:color="auto" w:sz="4" w:space="0"/>
            </w:tcBorders>
            <w:vAlign w:val="center"/>
          </w:tcPr>
          <w:p w14:paraId="0FF8438A">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rPr>
            </w:pPr>
          </w:p>
        </w:tc>
        <w:tc>
          <w:tcPr>
            <w:tcW w:w="328" w:type="pct"/>
            <w:tcBorders>
              <w:top w:val="single" w:color="auto" w:sz="4" w:space="0"/>
            </w:tcBorders>
            <w:vAlign w:val="center"/>
          </w:tcPr>
          <w:p w14:paraId="5F0C720D">
            <w:pPr>
              <w:keepNext w:val="0"/>
              <w:keepLines w:val="0"/>
              <w:suppressLineNumbers w:val="0"/>
              <w:spacing w:before="0" w:beforeAutospacing="0" w:after="0" w:afterAutospacing="0"/>
              <w:ind w:left="0" w:right="0"/>
              <w:rPr>
                <w:rFonts w:hint="eastAsia" w:ascii="宋体" w:hAnsi="宋体" w:eastAsia="宋体" w:cs="宋体"/>
                <w:b w:val="0"/>
                <w:bCs w:val="0"/>
                <w:color w:val="auto"/>
                <w:sz w:val="18"/>
                <w:szCs w:val="18"/>
                <w:highlight w:val="none"/>
                <w:lang w:val="en-US" w:eastAsia="zh-CN"/>
              </w:rPr>
            </w:pPr>
          </w:p>
        </w:tc>
      </w:tr>
    </w:tbl>
    <w:p w14:paraId="795E03E8">
      <w:pPr>
        <w:rPr>
          <w:highlight w:val="none"/>
        </w:rPr>
      </w:pPr>
      <w:r>
        <w:rPr>
          <w:highlight w:val="none"/>
        </w:rPr>
        <w:br w:type="page"/>
      </w:r>
    </w:p>
    <w:p w14:paraId="68645635">
      <w:pPr>
        <w:pStyle w:val="5"/>
        <w:spacing w:before="191" w:line="222" w:lineRule="auto"/>
        <w:outlineLvl w:val="2"/>
        <w:rPr>
          <w:b w:val="0"/>
          <w:bCs w:val="0"/>
          <w:color w:val="auto"/>
          <w:spacing w:val="-2"/>
          <w:sz w:val="24"/>
          <w:szCs w:val="24"/>
          <w:highlight w:val="none"/>
        </w:rPr>
      </w:pPr>
      <w:r>
        <w:rPr>
          <w:rFonts w:hint="eastAsia" w:ascii="Times New Roman" w:hAnsi="Times New Roman" w:cs="Times New Roman"/>
          <w:b/>
          <w:bCs/>
          <w:highlight w:val="none"/>
        </w:rPr>
        <w:t>A.</w:t>
      </w:r>
      <w:r>
        <w:rPr>
          <w:rFonts w:ascii="Times New Roman" w:hAnsi="Times New Roman" w:cs="Times New Roman"/>
          <w:b/>
          <w:bCs/>
          <w:highlight w:val="none"/>
        </w:rPr>
        <w:t>0.</w:t>
      </w:r>
      <w:r>
        <w:rPr>
          <w:rFonts w:hint="eastAsia" w:ascii="Times New Roman" w:hAnsi="Times New Roman" w:cs="Times New Roman"/>
          <w:b/>
          <w:bCs/>
          <w:highlight w:val="none"/>
          <w:lang w:val="en-US" w:eastAsia="zh-CN"/>
        </w:rPr>
        <w:t xml:space="preserve">2  </w:t>
      </w:r>
      <w:r>
        <w:rPr>
          <w:b w:val="0"/>
          <w:bCs w:val="0"/>
          <w:color w:val="auto"/>
          <w:spacing w:val="-2"/>
          <w:sz w:val="24"/>
          <w:szCs w:val="24"/>
          <w:highlight w:val="none"/>
        </w:rPr>
        <w:t>建筑防火</w:t>
      </w:r>
      <w:r>
        <w:rPr>
          <w:rFonts w:hint="eastAsia"/>
          <w:b w:val="0"/>
          <w:bCs w:val="0"/>
          <w:color w:val="auto"/>
          <w:spacing w:val="-2"/>
          <w:sz w:val="24"/>
          <w:szCs w:val="24"/>
          <w:highlight w:val="none"/>
          <w:lang w:val="en-US" w:eastAsia="zh-CN"/>
        </w:rPr>
        <w:t>分</w:t>
      </w:r>
      <w:r>
        <w:rPr>
          <w:b w:val="0"/>
          <w:bCs w:val="0"/>
          <w:color w:val="auto"/>
          <w:spacing w:val="-2"/>
          <w:sz w:val="24"/>
          <w:szCs w:val="24"/>
          <w:highlight w:val="none"/>
        </w:rPr>
        <w:t>项消防安全评估记录表（总分：</w:t>
      </w:r>
      <w:r>
        <w:rPr>
          <w:rFonts w:hint="eastAsia"/>
          <w:b w:val="0"/>
          <w:bCs w:val="0"/>
          <w:color w:val="auto"/>
          <w:spacing w:val="-2"/>
          <w:sz w:val="24"/>
          <w:szCs w:val="24"/>
          <w:highlight w:val="none"/>
          <w:lang w:val="en-US" w:eastAsia="zh-CN"/>
        </w:rPr>
        <w:t>280</w:t>
      </w:r>
      <w:r>
        <w:rPr>
          <w:b w:val="0"/>
          <w:bCs w:val="0"/>
          <w:color w:val="auto"/>
          <w:spacing w:val="-2"/>
          <w:sz w:val="24"/>
          <w:szCs w:val="24"/>
          <w:highlight w:val="none"/>
        </w:rPr>
        <w:t>分）</w:t>
      </w:r>
    </w:p>
    <w:tbl>
      <w:tblPr>
        <w:tblStyle w:val="24"/>
        <w:tblW w:w="48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3"/>
        <w:gridCol w:w="1454"/>
        <w:gridCol w:w="1079"/>
        <w:gridCol w:w="5061"/>
        <w:gridCol w:w="3474"/>
        <w:gridCol w:w="1079"/>
        <w:gridCol w:w="1000"/>
        <w:gridCol w:w="974"/>
      </w:tblGrid>
      <w:tr w14:paraId="464028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jc w:val="center"/>
        </w:trPr>
        <w:tc>
          <w:tcPr>
            <w:tcW w:w="208" w:type="pct"/>
            <w:vAlign w:val="center"/>
          </w:tcPr>
          <w:p w14:paraId="2A484B46">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5152ED15">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3E93A32B">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16" w:type="pct"/>
            <w:vAlign w:val="center"/>
          </w:tcPr>
          <w:p w14:paraId="51BD0CD0">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8" w:type="pct"/>
            <w:vAlign w:val="center"/>
          </w:tcPr>
          <w:p w14:paraId="1D9BD493">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4573C41E">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6615BA6A">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7ABA7BDD">
            <w:pPr>
              <w:pStyle w:val="23"/>
              <w:keepNext w:val="0"/>
              <w:keepLines w:val="0"/>
              <w:suppressLineNumbers w:val="0"/>
              <w:spacing w:before="71" w:line="220" w:lineRule="auto"/>
              <w:ind w:left="295"/>
              <w:rPr>
                <w:highlight w:val="none"/>
              </w:rPr>
            </w:pPr>
            <w:r>
              <w:rPr>
                <w:b/>
                <w:bCs/>
                <w:spacing w:val="-4"/>
                <w:highlight w:val="none"/>
              </w:rPr>
              <w:t>得分</w:t>
            </w:r>
          </w:p>
        </w:tc>
      </w:tr>
      <w:tr w14:paraId="6EB662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restart"/>
            <w:tcBorders>
              <w:bottom w:val="nil"/>
            </w:tcBorders>
            <w:vAlign w:val="center"/>
          </w:tcPr>
          <w:p w14:paraId="37ADC2E6">
            <w:pPr>
              <w:pStyle w:val="23"/>
              <w:keepNext w:val="0"/>
              <w:keepLines w:val="0"/>
              <w:suppressLineNumbers w:val="0"/>
              <w:spacing w:before="58" w:line="182" w:lineRule="auto"/>
              <w:ind w:left="274"/>
              <w:rPr>
                <w:b w:val="0"/>
                <w:bCs w:val="0"/>
                <w:color w:val="auto"/>
                <w:highlight w:val="none"/>
              </w:rPr>
            </w:pPr>
            <w:r>
              <w:rPr>
                <w:b w:val="0"/>
                <w:bCs w:val="0"/>
                <w:color w:val="auto"/>
                <w:spacing w:val="-2"/>
                <w:highlight w:val="none"/>
              </w:rPr>
              <w:t>1</w:t>
            </w:r>
          </w:p>
        </w:tc>
        <w:tc>
          <w:tcPr>
            <w:tcW w:w="493" w:type="pct"/>
            <w:vMerge w:val="restart"/>
            <w:tcBorders>
              <w:bottom w:val="nil"/>
            </w:tcBorders>
            <w:vAlign w:val="center"/>
          </w:tcPr>
          <w:p w14:paraId="4DE7CAA1">
            <w:pPr>
              <w:pStyle w:val="23"/>
              <w:keepNext w:val="0"/>
              <w:keepLines w:val="0"/>
              <w:suppressLineNumbers w:val="0"/>
              <w:spacing w:before="58" w:line="220" w:lineRule="auto"/>
              <w:ind w:left="174"/>
              <w:rPr>
                <w:b w:val="0"/>
                <w:bCs w:val="0"/>
                <w:color w:val="auto"/>
                <w:highlight w:val="none"/>
              </w:rPr>
            </w:pPr>
            <w:r>
              <w:rPr>
                <w:b w:val="0"/>
                <w:bCs w:val="0"/>
                <w:color w:val="auto"/>
                <w:spacing w:val="-2"/>
                <w:highlight w:val="none"/>
              </w:rPr>
              <w:t>消防救援设施</w:t>
            </w:r>
          </w:p>
          <w:p w14:paraId="799D75DD">
            <w:pPr>
              <w:pStyle w:val="23"/>
              <w:keepNext w:val="0"/>
              <w:keepLines w:val="0"/>
              <w:suppressLineNumbers w:val="0"/>
              <w:spacing w:before="97" w:line="221" w:lineRule="auto"/>
              <w:ind w:left="331"/>
              <w:rPr>
                <w:b w:val="0"/>
                <w:bCs w:val="0"/>
                <w:color w:val="auto"/>
                <w:highlight w:val="none"/>
              </w:rPr>
            </w:pPr>
            <w:r>
              <w:rPr>
                <w:b w:val="0"/>
                <w:bCs w:val="0"/>
                <w:color w:val="auto"/>
                <w:spacing w:val="-5"/>
                <w:highlight w:val="none"/>
              </w:rPr>
              <w:t>（35</w:t>
            </w:r>
            <w:r>
              <w:rPr>
                <w:b w:val="0"/>
                <w:bCs w:val="0"/>
                <w:color w:val="auto"/>
                <w:spacing w:val="-35"/>
                <w:highlight w:val="none"/>
              </w:rPr>
              <w:t xml:space="preserve"> </w:t>
            </w:r>
            <w:r>
              <w:rPr>
                <w:b w:val="0"/>
                <w:bCs w:val="0"/>
                <w:color w:val="auto"/>
                <w:spacing w:val="-5"/>
                <w:highlight w:val="none"/>
              </w:rPr>
              <w:t>分）</w:t>
            </w:r>
          </w:p>
        </w:tc>
        <w:tc>
          <w:tcPr>
            <w:tcW w:w="366" w:type="pct"/>
            <w:vMerge w:val="restart"/>
            <w:tcBorders>
              <w:bottom w:val="nil"/>
            </w:tcBorders>
            <w:vAlign w:val="center"/>
          </w:tcPr>
          <w:p w14:paraId="4EB1802D">
            <w:pPr>
              <w:pStyle w:val="23"/>
              <w:keepNext w:val="0"/>
              <w:keepLines w:val="0"/>
              <w:suppressLineNumbers w:val="0"/>
              <w:spacing w:before="58" w:line="307" w:lineRule="auto"/>
              <w:ind w:left="138" w:right="42" w:firstLine="53"/>
              <w:rPr>
                <w:b w:val="0"/>
                <w:bCs w:val="0"/>
                <w:color w:val="auto"/>
                <w:highlight w:val="none"/>
              </w:rPr>
            </w:pPr>
            <w:r>
              <w:rPr>
                <w:b w:val="0"/>
                <w:bCs w:val="0"/>
                <w:color w:val="auto"/>
                <w:spacing w:val="-3"/>
                <w:highlight w:val="none"/>
              </w:rPr>
              <w:t>消防救援</w:t>
            </w:r>
            <w:r>
              <w:rPr>
                <w:b w:val="0"/>
                <w:bCs w:val="0"/>
                <w:color w:val="auto"/>
                <w:spacing w:val="-10"/>
                <w:highlight w:val="none"/>
              </w:rPr>
              <w:t>口（10</w:t>
            </w:r>
            <w:r>
              <w:rPr>
                <w:b w:val="0"/>
                <w:bCs w:val="0"/>
                <w:color w:val="auto"/>
                <w:spacing w:val="-34"/>
                <w:highlight w:val="none"/>
              </w:rPr>
              <w:t xml:space="preserve"> </w:t>
            </w:r>
            <w:r>
              <w:rPr>
                <w:b w:val="0"/>
                <w:bCs w:val="0"/>
                <w:color w:val="auto"/>
                <w:spacing w:val="-10"/>
                <w:highlight w:val="none"/>
              </w:rPr>
              <w:t>分）</w:t>
            </w:r>
          </w:p>
        </w:tc>
        <w:tc>
          <w:tcPr>
            <w:tcW w:w="1716" w:type="pct"/>
            <w:vAlign w:val="center"/>
          </w:tcPr>
          <w:p w14:paraId="62D940B9">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a)建筑是否按规范设置消防救援口；</w:t>
            </w:r>
          </w:p>
        </w:tc>
        <w:tc>
          <w:tcPr>
            <w:tcW w:w="1178" w:type="pct"/>
            <w:vAlign w:val="center"/>
          </w:tcPr>
          <w:p w14:paraId="2B5869F0">
            <w:pPr>
              <w:pStyle w:val="23"/>
              <w:keepNext w:val="0"/>
              <w:keepLines w:val="0"/>
              <w:suppressLineNumbers w:val="0"/>
              <w:spacing w:before="66" w:line="283" w:lineRule="auto"/>
              <w:ind w:left="112" w:right="169" w:firstLine="1"/>
              <w:rPr>
                <w:b w:val="0"/>
                <w:bCs w:val="0"/>
                <w:color w:val="auto"/>
                <w:highlight w:val="none"/>
              </w:rPr>
            </w:pPr>
            <w:r>
              <w:rPr>
                <w:b w:val="0"/>
                <w:bCs w:val="0"/>
                <w:color w:val="auto"/>
                <w:spacing w:val="-1"/>
                <w:highlight w:val="none"/>
              </w:rPr>
              <w:t>按规范应设但未设置消防救援口，该评</w:t>
            </w:r>
            <w:r>
              <w:rPr>
                <w:b w:val="0"/>
                <w:bCs w:val="0"/>
                <w:color w:val="auto"/>
                <w:spacing w:val="-3"/>
                <w:highlight w:val="none"/>
              </w:rPr>
              <w:t>估小项不得分。</w:t>
            </w:r>
          </w:p>
        </w:tc>
        <w:tc>
          <w:tcPr>
            <w:tcW w:w="366" w:type="pct"/>
            <w:vAlign w:val="center"/>
          </w:tcPr>
          <w:p w14:paraId="369B1845">
            <w:pPr>
              <w:keepNext w:val="0"/>
              <w:keepLines w:val="0"/>
              <w:suppressLineNumbers w:val="0"/>
              <w:spacing w:before="0" w:beforeAutospacing="0" w:after="0" w:afterAutospacing="0"/>
              <w:ind w:left="0" w:right="0" w:firstLine="560" w:firstLineChars="0"/>
              <w:jc w:val="both"/>
              <w:rPr>
                <w:rFonts w:hint="default" w:ascii="Arial" w:eastAsia="宋体"/>
                <w:b w:val="0"/>
                <w:bCs w:val="0"/>
                <w:color w:val="auto"/>
                <w:sz w:val="21"/>
                <w:highlight w:val="none"/>
                <w:lang w:val="en-US" w:eastAsia="zh-CN"/>
              </w:rPr>
            </w:pPr>
          </w:p>
        </w:tc>
        <w:tc>
          <w:tcPr>
            <w:tcW w:w="339" w:type="pct"/>
            <w:vAlign w:val="center"/>
          </w:tcPr>
          <w:p w14:paraId="61FF076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restart"/>
            <w:tcBorders>
              <w:bottom w:val="nil"/>
            </w:tcBorders>
            <w:vAlign w:val="center"/>
          </w:tcPr>
          <w:p w14:paraId="75874512">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291D0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continue"/>
            <w:tcBorders>
              <w:top w:val="nil"/>
              <w:bottom w:val="nil"/>
            </w:tcBorders>
            <w:vAlign w:val="center"/>
          </w:tcPr>
          <w:p w14:paraId="0087452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368222F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373CFCD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73BD0BB1">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b)消防救援口的设置位置、数量；</w:t>
            </w:r>
          </w:p>
        </w:tc>
        <w:tc>
          <w:tcPr>
            <w:tcW w:w="1178" w:type="pct"/>
            <w:vAlign w:val="center"/>
          </w:tcPr>
          <w:p w14:paraId="4ECF1EC3">
            <w:pPr>
              <w:pStyle w:val="23"/>
              <w:keepNext w:val="0"/>
              <w:keepLines w:val="0"/>
              <w:suppressLineNumbers w:val="0"/>
              <w:spacing w:before="66" w:line="283"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4"/>
                <w:highlight w:val="none"/>
              </w:rPr>
              <w:t xml:space="preserve"> </w:t>
            </w:r>
            <w:r>
              <w:rPr>
                <w:b w:val="0"/>
                <w:bCs w:val="0"/>
                <w:color w:val="auto"/>
                <w:spacing w:val="-10"/>
                <w:highlight w:val="none"/>
              </w:rPr>
              <w:t>3</w:t>
            </w:r>
            <w:r>
              <w:rPr>
                <w:b w:val="0"/>
                <w:bCs w:val="0"/>
                <w:color w:val="auto"/>
                <w:spacing w:val="-35"/>
                <w:highlight w:val="none"/>
              </w:rPr>
              <w:t xml:space="preserve"> </w:t>
            </w:r>
            <w:r>
              <w:rPr>
                <w:b w:val="0"/>
                <w:bCs w:val="0"/>
                <w:color w:val="auto"/>
                <w:spacing w:val="-10"/>
                <w:highlight w:val="none"/>
              </w:rPr>
              <w:t>分。</w:t>
            </w:r>
          </w:p>
        </w:tc>
        <w:tc>
          <w:tcPr>
            <w:tcW w:w="366" w:type="pct"/>
            <w:vAlign w:val="center"/>
          </w:tcPr>
          <w:p w14:paraId="52D60534">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13C9D31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13DE2289">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200A3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continue"/>
            <w:tcBorders>
              <w:top w:val="nil"/>
              <w:bottom w:val="nil"/>
            </w:tcBorders>
            <w:vAlign w:val="center"/>
          </w:tcPr>
          <w:p w14:paraId="236A8F7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6B18CB4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4E3A5F7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5FD202DD">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c)消防救援口采用玻璃时，应选用安全玻璃；</w:t>
            </w:r>
          </w:p>
        </w:tc>
        <w:tc>
          <w:tcPr>
            <w:tcW w:w="1178" w:type="pct"/>
            <w:vAlign w:val="center"/>
          </w:tcPr>
          <w:p w14:paraId="7101BF4E">
            <w:pPr>
              <w:pStyle w:val="23"/>
              <w:keepNext w:val="0"/>
              <w:keepLines w:val="0"/>
              <w:suppressLineNumbers w:val="0"/>
              <w:spacing w:before="68" w:line="282"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6" w:type="pct"/>
            <w:vAlign w:val="center"/>
          </w:tcPr>
          <w:p w14:paraId="14E3F229">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23C326B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72265EBB">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0C2E09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208" w:type="pct"/>
            <w:vMerge w:val="continue"/>
            <w:tcBorders>
              <w:top w:val="nil"/>
              <w:bottom w:val="nil"/>
            </w:tcBorders>
            <w:vAlign w:val="center"/>
          </w:tcPr>
          <w:p w14:paraId="1D6CD84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77219E0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338E10C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3DCCD2D8">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d)消防救援口的尺寸；</w:t>
            </w:r>
          </w:p>
        </w:tc>
        <w:tc>
          <w:tcPr>
            <w:tcW w:w="1178" w:type="pct"/>
            <w:vAlign w:val="center"/>
          </w:tcPr>
          <w:p w14:paraId="6396B7ED">
            <w:pPr>
              <w:pStyle w:val="23"/>
              <w:keepNext w:val="0"/>
              <w:keepLines w:val="0"/>
              <w:suppressLineNumbers w:val="0"/>
              <w:spacing w:before="71" w:line="282"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6" w:type="pct"/>
            <w:vAlign w:val="center"/>
          </w:tcPr>
          <w:p w14:paraId="3FC00831">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42324F5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0D60CDC7">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4FEF3E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continue"/>
            <w:tcBorders>
              <w:top w:val="nil"/>
              <w:bottom w:val="nil"/>
            </w:tcBorders>
            <w:vAlign w:val="center"/>
          </w:tcPr>
          <w:p w14:paraId="033C33F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4567673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634CA00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2F5B8A0A">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e)消防救援口的间距；</w:t>
            </w:r>
          </w:p>
        </w:tc>
        <w:tc>
          <w:tcPr>
            <w:tcW w:w="1178" w:type="pct"/>
            <w:vAlign w:val="center"/>
          </w:tcPr>
          <w:p w14:paraId="3E571F7C">
            <w:pPr>
              <w:pStyle w:val="23"/>
              <w:keepNext w:val="0"/>
              <w:keepLines w:val="0"/>
              <w:suppressLineNumbers w:val="0"/>
              <w:spacing w:before="68" w:line="282"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6" w:type="pct"/>
            <w:vAlign w:val="center"/>
          </w:tcPr>
          <w:p w14:paraId="1B681F28">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4FBC8C4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1E933C26">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47179C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continue"/>
            <w:tcBorders>
              <w:top w:val="nil"/>
              <w:bottom w:val="nil"/>
            </w:tcBorders>
            <w:vAlign w:val="center"/>
          </w:tcPr>
          <w:p w14:paraId="141D6D0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5C0C352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tcBorders>
            <w:vAlign w:val="center"/>
          </w:tcPr>
          <w:p w14:paraId="024EBFC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41611404">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f)消防救援口应在内外两侧设置标识。</w:t>
            </w:r>
          </w:p>
        </w:tc>
        <w:tc>
          <w:tcPr>
            <w:tcW w:w="1178" w:type="pct"/>
            <w:vAlign w:val="center"/>
          </w:tcPr>
          <w:p w14:paraId="2CB17B5C">
            <w:pPr>
              <w:pStyle w:val="23"/>
              <w:keepNext w:val="0"/>
              <w:keepLines w:val="0"/>
              <w:suppressLineNumbers w:val="0"/>
              <w:spacing w:before="68" w:line="282" w:lineRule="auto"/>
              <w:ind w:left="116" w:right="175" w:hanging="4"/>
              <w:rPr>
                <w:b w:val="0"/>
                <w:bCs w:val="0"/>
                <w:color w:val="auto"/>
                <w:highlight w:val="none"/>
              </w:rPr>
            </w:pPr>
            <w:r>
              <w:rPr>
                <w:b w:val="0"/>
                <w:bCs w:val="0"/>
                <w:color w:val="auto"/>
                <w:spacing w:val="-3"/>
                <w:highlight w:val="none"/>
              </w:rPr>
              <w:t>每发现一处不符合要求的扣</w:t>
            </w:r>
            <w:r>
              <w:rPr>
                <w:b w:val="0"/>
                <w:bCs w:val="0"/>
                <w:color w:val="auto"/>
                <w:spacing w:val="-23"/>
                <w:highlight w:val="none"/>
              </w:rPr>
              <w:t xml:space="preserve"> </w:t>
            </w:r>
            <w:r>
              <w:rPr>
                <w:b w:val="0"/>
                <w:bCs w:val="0"/>
                <w:color w:val="auto"/>
                <w:spacing w:val="-3"/>
                <w:highlight w:val="none"/>
              </w:rPr>
              <w:t>0.5</w:t>
            </w:r>
            <w:r>
              <w:rPr>
                <w:b w:val="0"/>
                <w:bCs w:val="0"/>
                <w:color w:val="auto"/>
                <w:spacing w:val="-34"/>
                <w:highlight w:val="none"/>
              </w:rPr>
              <w:t xml:space="preserve"> </w:t>
            </w:r>
            <w:r>
              <w:rPr>
                <w:b w:val="0"/>
                <w:bCs w:val="0"/>
                <w:color w:val="auto"/>
                <w:spacing w:val="-3"/>
                <w:highlight w:val="none"/>
              </w:rPr>
              <w:t>分，最</w:t>
            </w:r>
            <w:r>
              <w:rPr>
                <w:b w:val="0"/>
                <w:bCs w:val="0"/>
                <w:color w:val="auto"/>
                <w:spacing w:val="-11"/>
                <w:highlight w:val="none"/>
              </w:rPr>
              <w:t>高扣</w:t>
            </w:r>
            <w:r>
              <w:rPr>
                <w:b w:val="0"/>
                <w:bCs w:val="0"/>
                <w:color w:val="auto"/>
                <w:spacing w:val="-22"/>
                <w:highlight w:val="none"/>
              </w:rPr>
              <w:t xml:space="preserve"> </w:t>
            </w:r>
            <w:r>
              <w:rPr>
                <w:b w:val="0"/>
                <w:bCs w:val="0"/>
                <w:color w:val="auto"/>
                <w:spacing w:val="-11"/>
                <w:highlight w:val="none"/>
              </w:rPr>
              <w:t>1</w:t>
            </w:r>
            <w:r>
              <w:rPr>
                <w:b w:val="0"/>
                <w:bCs w:val="0"/>
                <w:color w:val="auto"/>
                <w:spacing w:val="-34"/>
                <w:highlight w:val="none"/>
              </w:rPr>
              <w:t xml:space="preserve"> </w:t>
            </w:r>
            <w:r>
              <w:rPr>
                <w:b w:val="0"/>
                <w:bCs w:val="0"/>
                <w:color w:val="auto"/>
                <w:spacing w:val="-11"/>
                <w:highlight w:val="none"/>
              </w:rPr>
              <w:t>分。</w:t>
            </w:r>
          </w:p>
        </w:tc>
        <w:tc>
          <w:tcPr>
            <w:tcW w:w="366" w:type="pct"/>
            <w:vAlign w:val="center"/>
          </w:tcPr>
          <w:p w14:paraId="18BFF142">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19E4820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tcBorders>
            <w:vAlign w:val="center"/>
          </w:tcPr>
          <w:p w14:paraId="3CE89A2E">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3EC69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continue"/>
            <w:tcBorders>
              <w:top w:val="nil"/>
              <w:bottom w:val="nil"/>
            </w:tcBorders>
            <w:vAlign w:val="center"/>
          </w:tcPr>
          <w:p w14:paraId="4A00F5F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36B9986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restart"/>
            <w:tcBorders>
              <w:bottom w:val="nil"/>
            </w:tcBorders>
            <w:vAlign w:val="center"/>
          </w:tcPr>
          <w:p w14:paraId="356B5B4A">
            <w:pPr>
              <w:pStyle w:val="23"/>
              <w:keepNext w:val="0"/>
              <w:keepLines w:val="0"/>
              <w:suppressLineNumbers w:val="0"/>
              <w:spacing w:before="58" w:line="307" w:lineRule="auto"/>
              <w:ind w:left="168" w:right="169" w:firstLine="22"/>
              <w:rPr>
                <w:b w:val="0"/>
                <w:bCs w:val="0"/>
                <w:color w:val="auto"/>
                <w:highlight w:val="none"/>
              </w:rPr>
            </w:pPr>
            <w:r>
              <w:rPr>
                <w:b w:val="0"/>
                <w:bCs w:val="0"/>
                <w:color w:val="auto"/>
                <w:spacing w:val="-3"/>
                <w:highlight w:val="none"/>
              </w:rPr>
              <w:t>消防电梯</w:t>
            </w:r>
            <w:r>
              <w:rPr>
                <w:b w:val="0"/>
                <w:bCs w:val="0"/>
                <w:color w:val="auto"/>
                <w:highlight w:val="none"/>
              </w:rPr>
              <w:t xml:space="preserve"> </w:t>
            </w:r>
            <w:r>
              <w:rPr>
                <w:b w:val="0"/>
                <w:bCs w:val="0"/>
                <w:color w:val="auto"/>
                <w:spacing w:val="-8"/>
                <w:highlight w:val="none"/>
              </w:rPr>
              <w:t>（15</w:t>
            </w:r>
            <w:r>
              <w:rPr>
                <w:b w:val="0"/>
                <w:bCs w:val="0"/>
                <w:color w:val="auto"/>
                <w:spacing w:val="-31"/>
                <w:highlight w:val="none"/>
              </w:rPr>
              <w:t xml:space="preserve"> </w:t>
            </w:r>
            <w:r>
              <w:rPr>
                <w:b w:val="0"/>
                <w:bCs w:val="0"/>
                <w:color w:val="auto"/>
                <w:spacing w:val="-8"/>
                <w:highlight w:val="none"/>
              </w:rPr>
              <w:t>分）</w:t>
            </w:r>
          </w:p>
        </w:tc>
        <w:tc>
          <w:tcPr>
            <w:tcW w:w="1716" w:type="pct"/>
            <w:vAlign w:val="center"/>
          </w:tcPr>
          <w:p w14:paraId="680EC5CB">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a)建筑是否按规范设置消防电梯；</w:t>
            </w:r>
          </w:p>
        </w:tc>
        <w:tc>
          <w:tcPr>
            <w:tcW w:w="1178" w:type="pct"/>
            <w:vAlign w:val="center"/>
          </w:tcPr>
          <w:p w14:paraId="709D8FDE">
            <w:pPr>
              <w:pStyle w:val="23"/>
              <w:keepNext w:val="0"/>
              <w:keepLines w:val="0"/>
              <w:suppressLineNumbers w:val="0"/>
              <w:spacing w:before="70" w:line="281" w:lineRule="auto"/>
              <w:ind w:left="117" w:right="169" w:hanging="3"/>
              <w:rPr>
                <w:b w:val="0"/>
                <w:bCs w:val="0"/>
                <w:color w:val="auto"/>
                <w:highlight w:val="none"/>
              </w:rPr>
            </w:pPr>
            <w:r>
              <w:rPr>
                <w:b w:val="0"/>
                <w:bCs w:val="0"/>
                <w:color w:val="auto"/>
                <w:spacing w:val="-1"/>
                <w:highlight w:val="none"/>
              </w:rPr>
              <w:t>按规范应设但未设置消防电梯，该评估</w:t>
            </w:r>
            <w:r>
              <w:rPr>
                <w:b w:val="0"/>
                <w:bCs w:val="0"/>
                <w:color w:val="auto"/>
                <w:spacing w:val="-5"/>
                <w:highlight w:val="none"/>
              </w:rPr>
              <w:t>小项不得分。</w:t>
            </w:r>
          </w:p>
        </w:tc>
        <w:tc>
          <w:tcPr>
            <w:tcW w:w="366" w:type="pct"/>
            <w:vAlign w:val="center"/>
          </w:tcPr>
          <w:p w14:paraId="4C2BB94B">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586857F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restart"/>
            <w:tcBorders>
              <w:bottom w:val="nil"/>
            </w:tcBorders>
            <w:vAlign w:val="center"/>
          </w:tcPr>
          <w:p w14:paraId="6848A473">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285BA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continue"/>
            <w:tcBorders>
              <w:top w:val="nil"/>
              <w:bottom w:val="nil"/>
            </w:tcBorders>
            <w:vAlign w:val="center"/>
          </w:tcPr>
          <w:p w14:paraId="6B3233B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583D277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49B72A2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0E5237E8">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b)每个防火分区可供使用的消防电梯不应少于 1 部；</w:t>
            </w:r>
          </w:p>
        </w:tc>
        <w:tc>
          <w:tcPr>
            <w:tcW w:w="1178" w:type="pct"/>
            <w:vAlign w:val="center"/>
          </w:tcPr>
          <w:p w14:paraId="3572FE6B">
            <w:pPr>
              <w:pStyle w:val="23"/>
              <w:keepNext w:val="0"/>
              <w:keepLines w:val="0"/>
              <w:suppressLineNumbers w:val="0"/>
              <w:spacing w:before="70" w:line="281"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4"/>
                <w:highlight w:val="none"/>
              </w:rPr>
              <w:t xml:space="preserve"> </w:t>
            </w:r>
            <w:r>
              <w:rPr>
                <w:b w:val="0"/>
                <w:bCs w:val="0"/>
                <w:color w:val="auto"/>
                <w:spacing w:val="-10"/>
                <w:highlight w:val="none"/>
              </w:rPr>
              <w:t>3</w:t>
            </w:r>
            <w:r>
              <w:rPr>
                <w:b w:val="0"/>
                <w:bCs w:val="0"/>
                <w:color w:val="auto"/>
                <w:spacing w:val="-35"/>
                <w:highlight w:val="none"/>
              </w:rPr>
              <w:t xml:space="preserve"> </w:t>
            </w:r>
            <w:r>
              <w:rPr>
                <w:b w:val="0"/>
                <w:bCs w:val="0"/>
                <w:color w:val="auto"/>
                <w:spacing w:val="-10"/>
                <w:highlight w:val="none"/>
              </w:rPr>
              <w:t>分。</w:t>
            </w:r>
          </w:p>
        </w:tc>
        <w:tc>
          <w:tcPr>
            <w:tcW w:w="366" w:type="pct"/>
            <w:vAlign w:val="center"/>
          </w:tcPr>
          <w:p w14:paraId="0A1038A2">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3CE3F29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107D0A33">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174A96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jc w:val="center"/>
        </w:trPr>
        <w:tc>
          <w:tcPr>
            <w:tcW w:w="208" w:type="pct"/>
            <w:vMerge w:val="continue"/>
            <w:tcBorders>
              <w:top w:val="nil"/>
              <w:bottom w:val="nil"/>
            </w:tcBorders>
            <w:vAlign w:val="center"/>
          </w:tcPr>
          <w:p w14:paraId="2414929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46896EA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639BBA1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29EC3DFB">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c)消防电梯前室或扩大前室至室外出口的距离；</w:t>
            </w:r>
          </w:p>
        </w:tc>
        <w:tc>
          <w:tcPr>
            <w:tcW w:w="1178" w:type="pct"/>
            <w:vAlign w:val="center"/>
          </w:tcPr>
          <w:p w14:paraId="5CEDB78E">
            <w:pPr>
              <w:pStyle w:val="23"/>
              <w:keepNext w:val="0"/>
              <w:keepLines w:val="0"/>
              <w:suppressLineNumbers w:val="0"/>
              <w:spacing w:before="70" w:line="281"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6" w:type="pct"/>
            <w:vAlign w:val="center"/>
          </w:tcPr>
          <w:p w14:paraId="6CC0F8C4">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02A234A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06004A2C">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44D16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208" w:type="pct"/>
            <w:vMerge w:val="continue"/>
            <w:tcBorders>
              <w:top w:val="nil"/>
              <w:bottom w:val="nil"/>
            </w:tcBorders>
            <w:vAlign w:val="center"/>
          </w:tcPr>
          <w:p w14:paraId="3E665C8C">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75C1404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bottom w:val="nil"/>
            </w:tcBorders>
            <w:vAlign w:val="center"/>
          </w:tcPr>
          <w:p w14:paraId="4C82E852">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48292444">
            <w:pPr>
              <w:pStyle w:val="23"/>
              <w:keepNext w:val="0"/>
              <w:keepLines w:val="0"/>
              <w:suppressLineNumbers w:val="0"/>
              <w:spacing w:before="71" w:line="283" w:lineRule="auto"/>
              <w:ind w:left="121" w:right="158" w:hanging="6"/>
              <w:rPr>
                <w:b w:val="0"/>
                <w:bCs w:val="0"/>
                <w:color w:val="auto"/>
                <w:spacing w:val="-1"/>
                <w:highlight w:val="none"/>
              </w:rPr>
            </w:pPr>
            <w:r>
              <w:rPr>
                <w:b w:val="0"/>
                <w:bCs w:val="0"/>
                <w:color w:val="auto"/>
                <w:spacing w:val="-1"/>
                <w:highlight w:val="none"/>
              </w:rPr>
              <w:t>d)消防电梯前室或合用前室的面积、尺寸；</w:t>
            </w:r>
          </w:p>
        </w:tc>
        <w:tc>
          <w:tcPr>
            <w:tcW w:w="1178" w:type="pct"/>
            <w:vAlign w:val="center"/>
          </w:tcPr>
          <w:p w14:paraId="68CA9694">
            <w:pPr>
              <w:pStyle w:val="23"/>
              <w:keepNext w:val="0"/>
              <w:keepLines w:val="0"/>
              <w:suppressLineNumbers w:val="0"/>
              <w:spacing w:before="73" w:line="281"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4"/>
                <w:highlight w:val="none"/>
              </w:rPr>
              <w:t xml:space="preserve"> </w:t>
            </w:r>
            <w:r>
              <w:rPr>
                <w:b w:val="0"/>
                <w:bCs w:val="0"/>
                <w:color w:val="auto"/>
                <w:spacing w:val="-10"/>
                <w:highlight w:val="none"/>
              </w:rPr>
              <w:t>3</w:t>
            </w:r>
            <w:r>
              <w:rPr>
                <w:b w:val="0"/>
                <w:bCs w:val="0"/>
                <w:color w:val="auto"/>
                <w:spacing w:val="-35"/>
                <w:highlight w:val="none"/>
              </w:rPr>
              <w:t xml:space="preserve"> </w:t>
            </w:r>
            <w:r>
              <w:rPr>
                <w:b w:val="0"/>
                <w:bCs w:val="0"/>
                <w:color w:val="auto"/>
                <w:spacing w:val="-10"/>
                <w:highlight w:val="none"/>
              </w:rPr>
              <w:t>分。</w:t>
            </w:r>
          </w:p>
        </w:tc>
        <w:tc>
          <w:tcPr>
            <w:tcW w:w="366" w:type="pct"/>
            <w:vAlign w:val="center"/>
          </w:tcPr>
          <w:p w14:paraId="5E7717CE">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160569B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6DA68835">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3C461A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jc w:val="center"/>
        </w:trPr>
        <w:tc>
          <w:tcPr>
            <w:tcW w:w="208" w:type="pct"/>
            <w:vMerge w:val="continue"/>
            <w:tcBorders>
              <w:top w:val="nil"/>
            </w:tcBorders>
            <w:vAlign w:val="center"/>
          </w:tcPr>
          <w:p w14:paraId="4B875E8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tcBorders>
            <w:vAlign w:val="center"/>
          </w:tcPr>
          <w:p w14:paraId="6B5947B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6" w:type="pct"/>
            <w:vMerge w:val="continue"/>
            <w:tcBorders>
              <w:top w:val="nil"/>
            </w:tcBorders>
            <w:vAlign w:val="center"/>
          </w:tcPr>
          <w:p w14:paraId="73C8F04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6" w:type="pct"/>
            <w:vAlign w:val="center"/>
          </w:tcPr>
          <w:p w14:paraId="61AD976A">
            <w:pPr>
              <w:pStyle w:val="23"/>
              <w:keepNext w:val="0"/>
              <w:keepLines w:val="0"/>
              <w:suppressLineNumbers w:val="0"/>
              <w:spacing w:before="71" w:line="283" w:lineRule="auto"/>
              <w:ind w:left="121" w:right="158" w:hanging="6"/>
              <w:rPr>
                <w:b w:val="0"/>
                <w:bCs w:val="0"/>
                <w:color w:val="auto"/>
                <w:highlight w:val="none"/>
              </w:rPr>
            </w:pPr>
            <w:r>
              <w:rPr>
                <w:b w:val="0"/>
                <w:bCs w:val="0"/>
                <w:color w:val="auto"/>
                <w:spacing w:val="-1"/>
                <w:highlight w:val="none"/>
              </w:rPr>
              <w:t>e)消防电梯前室或合用前室、消防电梯井和机房的防火分</w:t>
            </w:r>
            <w:r>
              <w:rPr>
                <w:b w:val="0"/>
                <w:bCs w:val="0"/>
                <w:color w:val="auto"/>
                <w:spacing w:val="-9"/>
                <w:highlight w:val="none"/>
              </w:rPr>
              <w:t>隔；</w:t>
            </w:r>
          </w:p>
        </w:tc>
        <w:tc>
          <w:tcPr>
            <w:tcW w:w="1178" w:type="pct"/>
            <w:vAlign w:val="center"/>
          </w:tcPr>
          <w:p w14:paraId="78622862">
            <w:pPr>
              <w:pStyle w:val="23"/>
              <w:keepNext w:val="0"/>
              <w:keepLines w:val="0"/>
              <w:suppressLineNumbers w:val="0"/>
              <w:spacing w:before="71" w:line="283"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6" w:type="pct"/>
            <w:vAlign w:val="center"/>
          </w:tcPr>
          <w:p w14:paraId="23BD6A7E">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76E3BE1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tcBorders>
            <w:vAlign w:val="center"/>
          </w:tcPr>
          <w:p w14:paraId="642BCFE0">
            <w:pPr>
              <w:keepNext w:val="0"/>
              <w:keepLines w:val="0"/>
              <w:suppressLineNumbers w:val="0"/>
              <w:spacing w:before="0" w:beforeAutospacing="0" w:after="0" w:afterAutospacing="0"/>
              <w:ind w:left="0" w:right="0"/>
              <w:rPr>
                <w:rFonts w:hint="default" w:ascii="Arial"/>
                <w:b w:val="0"/>
                <w:bCs w:val="0"/>
                <w:color w:val="auto"/>
                <w:sz w:val="21"/>
                <w:highlight w:val="none"/>
              </w:rPr>
            </w:pPr>
          </w:p>
        </w:tc>
      </w:tr>
    </w:tbl>
    <w:p w14:paraId="35833107">
      <w:pPr>
        <w:rPr>
          <w:rFonts w:ascii="Arial"/>
          <w:b w:val="0"/>
          <w:bCs w:val="0"/>
          <w:color w:val="auto"/>
          <w:sz w:val="21"/>
          <w:highlight w:val="none"/>
        </w:rPr>
      </w:pPr>
      <w:r>
        <w:rPr>
          <w:rFonts w:ascii="Arial"/>
          <w:b w:val="0"/>
          <w:bCs w:val="0"/>
          <w:color w:val="auto"/>
          <w:sz w:val="21"/>
          <w:highlight w:val="none"/>
        </w:rPr>
        <w:br w:type="page"/>
      </w:r>
    </w:p>
    <w:tbl>
      <w:tblPr>
        <w:tblStyle w:val="24"/>
        <w:tblW w:w="495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7"/>
        <w:gridCol w:w="1471"/>
        <w:gridCol w:w="1095"/>
        <w:gridCol w:w="5123"/>
        <w:gridCol w:w="3512"/>
        <w:gridCol w:w="1095"/>
        <w:gridCol w:w="1011"/>
        <w:gridCol w:w="985"/>
      </w:tblGrid>
      <w:tr w14:paraId="659F25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207" w:type="pct"/>
            <w:vAlign w:val="center"/>
          </w:tcPr>
          <w:p w14:paraId="10C37E67">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7E434122">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5E31C611">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17" w:type="pct"/>
            <w:vAlign w:val="center"/>
          </w:tcPr>
          <w:p w14:paraId="339227A2">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7" w:type="pct"/>
            <w:vAlign w:val="center"/>
          </w:tcPr>
          <w:p w14:paraId="7D33052D">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47F781C5">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0DC13083">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1E285B57">
            <w:pPr>
              <w:pStyle w:val="23"/>
              <w:keepNext w:val="0"/>
              <w:keepLines w:val="0"/>
              <w:suppressLineNumbers w:val="0"/>
              <w:spacing w:before="71" w:line="220" w:lineRule="auto"/>
              <w:ind w:left="295"/>
              <w:rPr>
                <w:highlight w:val="none"/>
              </w:rPr>
            </w:pPr>
            <w:r>
              <w:rPr>
                <w:b/>
                <w:bCs/>
                <w:spacing w:val="-4"/>
                <w:highlight w:val="none"/>
              </w:rPr>
              <w:t>得分</w:t>
            </w:r>
          </w:p>
        </w:tc>
      </w:tr>
      <w:tr w14:paraId="36A48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0" w:hRule="atLeast"/>
          <w:jc w:val="center"/>
        </w:trPr>
        <w:tc>
          <w:tcPr>
            <w:tcW w:w="207" w:type="pct"/>
            <w:vMerge w:val="restart"/>
            <w:tcBorders>
              <w:bottom w:val="nil"/>
            </w:tcBorders>
            <w:vAlign w:val="center"/>
          </w:tcPr>
          <w:p w14:paraId="6854806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restart"/>
            <w:tcBorders>
              <w:bottom w:val="nil"/>
            </w:tcBorders>
            <w:vAlign w:val="center"/>
          </w:tcPr>
          <w:p w14:paraId="3B8127A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restart"/>
            <w:tcBorders>
              <w:bottom w:val="nil"/>
            </w:tcBorders>
            <w:vAlign w:val="center"/>
          </w:tcPr>
          <w:p w14:paraId="0331840F">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7" w:type="pct"/>
            <w:vAlign w:val="center"/>
          </w:tcPr>
          <w:p w14:paraId="7B07F712">
            <w:pPr>
              <w:pStyle w:val="23"/>
              <w:keepNext w:val="0"/>
              <w:keepLines w:val="0"/>
              <w:suppressLineNumbers w:val="0"/>
              <w:spacing w:before="171" w:line="307" w:lineRule="auto"/>
              <w:ind w:left="110" w:right="157" w:firstLine="3"/>
              <w:rPr>
                <w:b w:val="0"/>
                <w:bCs w:val="0"/>
                <w:color w:val="auto"/>
                <w:highlight w:val="none"/>
              </w:rPr>
            </w:pPr>
            <w:r>
              <w:rPr>
                <w:b w:val="0"/>
                <w:bCs w:val="0"/>
                <w:color w:val="auto"/>
                <w:spacing w:val="-1"/>
                <w:highlight w:val="none"/>
              </w:rPr>
              <w:t>f)消防电梯应能在所服务区域每层停靠，载重量、消防电梯标志及操作说明设置应符合规范要求；</w:t>
            </w:r>
          </w:p>
        </w:tc>
        <w:tc>
          <w:tcPr>
            <w:tcW w:w="1177" w:type="pct"/>
            <w:vAlign w:val="center"/>
          </w:tcPr>
          <w:p w14:paraId="3030C57B">
            <w:pPr>
              <w:pStyle w:val="23"/>
              <w:keepNext w:val="0"/>
              <w:keepLines w:val="0"/>
              <w:suppressLineNumbers w:val="0"/>
              <w:spacing w:before="171" w:line="307"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4"/>
                <w:highlight w:val="none"/>
              </w:rPr>
              <w:t xml:space="preserve"> </w:t>
            </w:r>
            <w:r>
              <w:rPr>
                <w:b w:val="0"/>
                <w:bCs w:val="0"/>
                <w:color w:val="auto"/>
                <w:spacing w:val="-10"/>
                <w:highlight w:val="none"/>
              </w:rPr>
              <w:t>3</w:t>
            </w:r>
            <w:r>
              <w:rPr>
                <w:b w:val="0"/>
                <w:bCs w:val="0"/>
                <w:color w:val="auto"/>
                <w:spacing w:val="-35"/>
                <w:highlight w:val="none"/>
              </w:rPr>
              <w:t xml:space="preserve"> </w:t>
            </w:r>
            <w:r>
              <w:rPr>
                <w:b w:val="0"/>
                <w:bCs w:val="0"/>
                <w:color w:val="auto"/>
                <w:spacing w:val="-10"/>
                <w:highlight w:val="none"/>
              </w:rPr>
              <w:t>分。</w:t>
            </w:r>
          </w:p>
        </w:tc>
        <w:tc>
          <w:tcPr>
            <w:tcW w:w="367" w:type="pct"/>
            <w:vAlign w:val="center"/>
          </w:tcPr>
          <w:p w14:paraId="4FFF8A98">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0A9D6CA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restart"/>
            <w:tcBorders>
              <w:bottom w:val="nil"/>
            </w:tcBorders>
            <w:vAlign w:val="center"/>
          </w:tcPr>
          <w:p w14:paraId="74077D34">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2CD14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jc w:val="center"/>
        </w:trPr>
        <w:tc>
          <w:tcPr>
            <w:tcW w:w="207" w:type="pct"/>
            <w:vMerge w:val="continue"/>
            <w:tcBorders>
              <w:top w:val="nil"/>
              <w:bottom w:val="nil"/>
            </w:tcBorders>
            <w:vAlign w:val="center"/>
          </w:tcPr>
          <w:p w14:paraId="38116624">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03CD7C3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continue"/>
            <w:tcBorders>
              <w:top w:val="nil"/>
            </w:tcBorders>
            <w:vAlign w:val="center"/>
          </w:tcPr>
          <w:p w14:paraId="0BB71B87">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7" w:type="pct"/>
            <w:vAlign w:val="center"/>
          </w:tcPr>
          <w:p w14:paraId="0937CD71">
            <w:pPr>
              <w:pStyle w:val="23"/>
              <w:keepNext w:val="0"/>
              <w:keepLines w:val="0"/>
              <w:suppressLineNumbers w:val="0"/>
              <w:spacing w:before="71" w:line="283" w:lineRule="auto"/>
              <w:ind w:left="121" w:right="158" w:hanging="6"/>
              <w:rPr>
                <w:b w:val="0"/>
                <w:bCs w:val="0"/>
                <w:color w:val="auto"/>
                <w:highlight w:val="none"/>
              </w:rPr>
            </w:pPr>
            <w:r>
              <w:rPr>
                <w:b w:val="0"/>
                <w:bCs w:val="0"/>
                <w:color w:val="auto"/>
                <w:spacing w:val="-1"/>
                <w:highlight w:val="none"/>
              </w:rPr>
              <w:t>g)电梯轿厢内部装修材料的燃烧性能。</w:t>
            </w:r>
          </w:p>
        </w:tc>
        <w:tc>
          <w:tcPr>
            <w:tcW w:w="1177" w:type="pct"/>
            <w:vAlign w:val="center"/>
          </w:tcPr>
          <w:p w14:paraId="020C94EA">
            <w:pPr>
              <w:pStyle w:val="23"/>
              <w:keepNext w:val="0"/>
              <w:keepLines w:val="0"/>
              <w:suppressLineNumbers w:val="0"/>
              <w:spacing w:before="141" w:line="307"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7" w:type="pct"/>
            <w:vAlign w:val="center"/>
          </w:tcPr>
          <w:p w14:paraId="3423FEB6">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47BEFE5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tcBorders>
            <w:vAlign w:val="center"/>
          </w:tcPr>
          <w:p w14:paraId="4151C8E5">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7A99B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jc w:val="center"/>
        </w:trPr>
        <w:tc>
          <w:tcPr>
            <w:tcW w:w="207" w:type="pct"/>
            <w:vMerge w:val="continue"/>
            <w:tcBorders>
              <w:top w:val="nil"/>
              <w:bottom w:val="nil"/>
            </w:tcBorders>
            <w:vAlign w:val="center"/>
          </w:tcPr>
          <w:p w14:paraId="2BC5545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5A2913F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restart"/>
            <w:tcBorders>
              <w:bottom w:val="nil"/>
            </w:tcBorders>
            <w:vAlign w:val="center"/>
          </w:tcPr>
          <w:p w14:paraId="552500FC">
            <w:pPr>
              <w:pStyle w:val="23"/>
              <w:keepNext w:val="0"/>
              <w:keepLines w:val="0"/>
              <w:suppressLineNumbers w:val="0"/>
              <w:spacing w:before="59" w:line="307" w:lineRule="auto"/>
              <w:ind w:left="113" w:right="25" w:firstLine="73"/>
              <w:rPr>
                <w:b w:val="0"/>
                <w:bCs w:val="0"/>
                <w:color w:val="auto"/>
                <w:highlight w:val="none"/>
              </w:rPr>
            </w:pPr>
            <w:r>
              <w:rPr>
                <w:b w:val="0"/>
                <w:bCs w:val="0"/>
                <w:color w:val="auto"/>
                <w:spacing w:val="-2"/>
                <w:highlight w:val="none"/>
              </w:rPr>
              <w:t>应急排烟</w:t>
            </w:r>
            <w:r>
              <w:rPr>
                <w:b w:val="0"/>
                <w:bCs w:val="0"/>
                <w:color w:val="auto"/>
                <w:highlight w:val="none"/>
              </w:rPr>
              <w:t xml:space="preserve">  </w:t>
            </w:r>
            <w:r>
              <w:rPr>
                <w:b w:val="0"/>
                <w:bCs w:val="0"/>
                <w:color w:val="auto"/>
                <w:spacing w:val="-18"/>
                <w:highlight w:val="none"/>
              </w:rPr>
              <w:t>设施（5</w:t>
            </w:r>
            <w:r>
              <w:rPr>
                <w:b w:val="0"/>
                <w:bCs w:val="0"/>
                <w:color w:val="auto"/>
                <w:spacing w:val="-32"/>
                <w:highlight w:val="none"/>
              </w:rPr>
              <w:t xml:space="preserve"> </w:t>
            </w:r>
            <w:r>
              <w:rPr>
                <w:b w:val="0"/>
                <w:bCs w:val="0"/>
                <w:color w:val="auto"/>
                <w:spacing w:val="-18"/>
                <w:highlight w:val="none"/>
              </w:rPr>
              <w:t>分）</w:t>
            </w:r>
          </w:p>
        </w:tc>
        <w:tc>
          <w:tcPr>
            <w:tcW w:w="1717" w:type="pct"/>
            <w:vAlign w:val="center"/>
          </w:tcPr>
          <w:p w14:paraId="5ED89095">
            <w:pPr>
              <w:pStyle w:val="23"/>
              <w:keepNext w:val="0"/>
              <w:keepLines w:val="0"/>
              <w:suppressLineNumbers w:val="0"/>
              <w:spacing w:before="58" w:line="220" w:lineRule="auto"/>
              <w:ind w:left="111"/>
              <w:rPr>
                <w:b w:val="0"/>
                <w:bCs w:val="0"/>
                <w:color w:val="auto"/>
                <w:highlight w:val="none"/>
              </w:rPr>
            </w:pPr>
            <w:r>
              <w:rPr>
                <w:b w:val="0"/>
                <w:bCs w:val="0"/>
                <w:color w:val="auto"/>
                <w:spacing w:val="-1"/>
                <w:highlight w:val="none"/>
              </w:rPr>
              <w:t>a)封闭楼梯间、防烟楼梯间设置的常闭式应急排烟窗；</w:t>
            </w:r>
          </w:p>
        </w:tc>
        <w:tc>
          <w:tcPr>
            <w:tcW w:w="1177" w:type="pct"/>
            <w:vAlign w:val="center"/>
          </w:tcPr>
          <w:p w14:paraId="55CEC167">
            <w:pPr>
              <w:pStyle w:val="23"/>
              <w:keepNext w:val="0"/>
              <w:keepLines w:val="0"/>
              <w:suppressLineNumbers w:val="0"/>
              <w:spacing w:before="231" w:line="311" w:lineRule="auto"/>
              <w:ind w:left="114" w:right="169"/>
              <w:rPr>
                <w:b w:val="0"/>
                <w:bCs w:val="0"/>
                <w:color w:val="auto"/>
                <w:highlight w:val="none"/>
              </w:rPr>
            </w:pPr>
            <w:r>
              <w:rPr>
                <w:b w:val="0"/>
                <w:bCs w:val="0"/>
                <w:color w:val="auto"/>
                <w:spacing w:val="-1"/>
                <w:highlight w:val="none"/>
              </w:rPr>
              <w:t>按规范应设置但未设置的，该评估小项</w:t>
            </w:r>
            <w:r>
              <w:rPr>
                <w:b w:val="0"/>
                <w:bCs w:val="0"/>
                <w:color w:val="auto"/>
                <w:spacing w:val="-3"/>
                <w:highlight w:val="none"/>
              </w:rPr>
              <w:t>不得分。每发现一处不符合项扣</w:t>
            </w:r>
            <w:r>
              <w:rPr>
                <w:b w:val="0"/>
                <w:bCs w:val="0"/>
                <w:color w:val="auto"/>
                <w:spacing w:val="-18"/>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分，</w:t>
            </w:r>
            <w:r>
              <w:rPr>
                <w:b w:val="0"/>
                <w:bCs w:val="0"/>
                <w:color w:val="auto"/>
                <w:spacing w:val="-7"/>
                <w:highlight w:val="none"/>
              </w:rPr>
              <w:t>最高扣</w:t>
            </w:r>
            <w:r>
              <w:rPr>
                <w:b w:val="0"/>
                <w:bCs w:val="0"/>
                <w:color w:val="auto"/>
                <w:spacing w:val="-32"/>
                <w:highlight w:val="none"/>
              </w:rPr>
              <w:t xml:space="preserve"> </w:t>
            </w:r>
            <w:r>
              <w:rPr>
                <w:b w:val="0"/>
                <w:bCs w:val="0"/>
                <w:color w:val="auto"/>
                <w:spacing w:val="-7"/>
                <w:highlight w:val="none"/>
              </w:rPr>
              <w:t>3</w:t>
            </w:r>
            <w:r>
              <w:rPr>
                <w:b w:val="0"/>
                <w:bCs w:val="0"/>
                <w:color w:val="auto"/>
                <w:spacing w:val="-34"/>
                <w:highlight w:val="none"/>
              </w:rPr>
              <w:t xml:space="preserve"> </w:t>
            </w:r>
            <w:r>
              <w:rPr>
                <w:b w:val="0"/>
                <w:bCs w:val="0"/>
                <w:color w:val="auto"/>
                <w:spacing w:val="-7"/>
                <w:highlight w:val="none"/>
              </w:rPr>
              <w:t>分。</w:t>
            </w:r>
          </w:p>
        </w:tc>
        <w:tc>
          <w:tcPr>
            <w:tcW w:w="367" w:type="pct"/>
            <w:vAlign w:val="center"/>
          </w:tcPr>
          <w:p w14:paraId="2AC715EF">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732A713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restart"/>
            <w:tcBorders>
              <w:bottom w:val="nil"/>
            </w:tcBorders>
            <w:vAlign w:val="center"/>
          </w:tcPr>
          <w:p w14:paraId="27CC1C52">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0150B8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7" w:hRule="atLeast"/>
          <w:jc w:val="center"/>
        </w:trPr>
        <w:tc>
          <w:tcPr>
            <w:tcW w:w="207" w:type="pct"/>
            <w:vMerge w:val="continue"/>
            <w:tcBorders>
              <w:top w:val="nil"/>
              <w:bottom w:val="nil"/>
            </w:tcBorders>
            <w:vAlign w:val="center"/>
          </w:tcPr>
          <w:p w14:paraId="6E18983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0502D0CD">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continue"/>
            <w:tcBorders>
              <w:top w:val="nil"/>
            </w:tcBorders>
            <w:vAlign w:val="center"/>
          </w:tcPr>
          <w:p w14:paraId="7D27DE6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7" w:type="pct"/>
            <w:vAlign w:val="center"/>
          </w:tcPr>
          <w:p w14:paraId="6798C863">
            <w:pPr>
              <w:pStyle w:val="23"/>
              <w:keepNext w:val="0"/>
              <w:keepLines w:val="0"/>
              <w:suppressLineNumbers w:val="0"/>
              <w:spacing w:before="225" w:line="308" w:lineRule="auto"/>
              <w:ind w:left="110" w:right="158" w:hanging="2"/>
              <w:rPr>
                <w:b w:val="0"/>
                <w:bCs w:val="0"/>
                <w:color w:val="auto"/>
                <w:highlight w:val="none"/>
              </w:rPr>
            </w:pPr>
            <w:r>
              <w:rPr>
                <w:b w:val="0"/>
                <w:bCs w:val="0"/>
                <w:color w:val="auto"/>
                <w:spacing w:val="-1"/>
                <w:highlight w:val="none"/>
              </w:rPr>
              <w:t>b)无可开启外窗的地上建筑或部位设置的应急排烟排热设</w:t>
            </w:r>
            <w:r>
              <w:rPr>
                <w:b w:val="0"/>
                <w:bCs w:val="0"/>
                <w:color w:val="auto"/>
                <w:spacing w:val="-4"/>
                <w:highlight w:val="none"/>
              </w:rPr>
              <w:t>施。</w:t>
            </w:r>
          </w:p>
        </w:tc>
        <w:tc>
          <w:tcPr>
            <w:tcW w:w="1177" w:type="pct"/>
            <w:vAlign w:val="center"/>
          </w:tcPr>
          <w:p w14:paraId="0056E677">
            <w:pPr>
              <w:pStyle w:val="23"/>
              <w:keepNext w:val="0"/>
              <w:keepLines w:val="0"/>
              <w:suppressLineNumbers w:val="0"/>
              <w:spacing w:before="70" w:line="294" w:lineRule="auto"/>
              <w:ind w:left="114" w:right="169"/>
              <w:rPr>
                <w:b w:val="0"/>
                <w:bCs w:val="0"/>
                <w:color w:val="auto"/>
                <w:highlight w:val="none"/>
              </w:rPr>
            </w:pPr>
            <w:r>
              <w:rPr>
                <w:b w:val="0"/>
                <w:bCs w:val="0"/>
                <w:color w:val="auto"/>
                <w:spacing w:val="-1"/>
                <w:highlight w:val="none"/>
              </w:rPr>
              <w:t>按规范应设置但未设置的，该评估小项</w:t>
            </w:r>
            <w:r>
              <w:rPr>
                <w:b w:val="0"/>
                <w:bCs w:val="0"/>
                <w:color w:val="auto"/>
                <w:spacing w:val="-3"/>
                <w:highlight w:val="none"/>
              </w:rPr>
              <w:t>不得分。每发现一处不符合项扣</w:t>
            </w:r>
            <w:r>
              <w:rPr>
                <w:b w:val="0"/>
                <w:bCs w:val="0"/>
                <w:color w:val="auto"/>
                <w:spacing w:val="-18"/>
                <w:highlight w:val="none"/>
              </w:rPr>
              <w:t xml:space="preserve"> </w:t>
            </w:r>
            <w:r>
              <w:rPr>
                <w:b w:val="0"/>
                <w:bCs w:val="0"/>
                <w:color w:val="auto"/>
                <w:spacing w:val="-3"/>
                <w:highlight w:val="none"/>
              </w:rPr>
              <w:t>1</w:t>
            </w:r>
            <w:r>
              <w:rPr>
                <w:b w:val="0"/>
                <w:bCs w:val="0"/>
                <w:color w:val="auto"/>
                <w:spacing w:val="-34"/>
                <w:highlight w:val="none"/>
              </w:rPr>
              <w:t xml:space="preserve"> </w:t>
            </w:r>
            <w:r>
              <w:rPr>
                <w:b w:val="0"/>
                <w:bCs w:val="0"/>
                <w:color w:val="auto"/>
                <w:spacing w:val="-3"/>
                <w:highlight w:val="none"/>
              </w:rPr>
              <w:t>分，</w:t>
            </w:r>
            <w:r>
              <w:rPr>
                <w:b w:val="0"/>
                <w:bCs w:val="0"/>
                <w:color w:val="auto"/>
                <w:spacing w:val="-7"/>
                <w:highlight w:val="none"/>
              </w:rPr>
              <w:t>最高扣</w:t>
            </w:r>
            <w:r>
              <w:rPr>
                <w:b w:val="0"/>
                <w:bCs w:val="0"/>
                <w:color w:val="auto"/>
                <w:spacing w:val="-32"/>
                <w:highlight w:val="none"/>
              </w:rPr>
              <w:t xml:space="preserve"> </w:t>
            </w:r>
            <w:r>
              <w:rPr>
                <w:b w:val="0"/>
                <w:bCs w:val="0"/>
                <w:color w:val="auto"/>
                <w:spacing w:val="-7"/>
                <w:highlight w:val="none"/>
              </w:rPr>
              <w:t>2</w:t>
            </w:r>
            <w:r>
              <w:rPr>
                <w:b w:val="0"/>
                <w:bCs w:val="0"/>
                <w:color w:val="auto"/>
                <w:spacing w:val="-34"/>
                <w:highlight w:val="none"/>
              </w:rPr>
              <w:t xml:space="preserve"> </w:t>
            </w:r>
            <w:r>
              <w:rPr>
                <w:b w:val="0"/>
                <w:bCs w:val="0"/>
                <w:color w:val="auto"/>
                <w:spacing w:val="-7"/>
                <w:highlight w:val="none"/>
              </w:rPr>
              <w:t>分。</w:t>
            </w:r>
          </w:p>
        </w:tc>
        <w:tc>
          <w:tcPr>
            <w:tcW w:w="367" w:type="pct"/>
            <w:vAlign w:val="center"/>
          </w:tcPr>
          <w:p w14:paraId="5EE4220B">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6D163D10">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tcBorders>
            <w:vAlign w:val="center"/>
          </w:tcPr>
          <w:p w14:paraId="73D1BE1B">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20C2AC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207" w:type="pct"/>
            <w:vMerge w:val="continue"/>
            <w:tcBorders>
              <w:top w:val="nil"/>
              <w:bottom w:val="nil"/>
            </w:tcBorders>
            <w:vAlign w:val="center"/>
          </w:tcPr>
          <w:p w14:paraId="47E469D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442EC45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restart"/>
            <w:tcBorders>
              <w:bottom w:val="nil"/>
            </w:tcBorders>
            <w:vAlign w:val="center"/>
          </w:tcPr>
          <w:p w14:paraId="76F599DE">
            <w:pPr>
              <w:pStyle w:val="23"/>
              <w:keepNext w:val="0"/>
              <w:keepLines w:val="0"/>
              <w:suppressLineNumbers w:val="0"/>
              <w:spacing w:before="59" w:line="306" w:lineRule="auto"/>
              <w:ind w:left="110" w:right="25" w:firstLine="78"/>
              <w:rPr>
                <w:b w:val="0"/>
                <w:bCs w:val="0"/>
                <w:color w:val="auto"/>
                <w:highlight w:val="none"/>
              </w:rPr>
            </w:pPr>
            <w:r>
              <w:rPr>
                <w:b w:val="0"/>
                <w:bCs w:val="0"/>
                <w:color w:val="auto"/>
                <w:spacing w:val="-3"/>
                <w:highlight w:val="none"/>
              </w:rPr>
              <w:t>直升机停</w:t>
            </w:r>
            <w:r>
              <w:rPr>
                <w:b w:val="0"/>
                <w:bCs w:val="0"/>
                <w:color w:val="auto"/>
                <w:spacing w:val="1"/>
                <w:highlight w:val="none"/>
              </w:rPr>
              <w:t xml:space="preserve">  </w:t>
            </w:r>
            <w:r>
              <w:rPr>
                <w:b w:val="0"/>
                <w:bCs w:val="0"/>
                <w:color w:val="auto"/>
                <w:spacing w:val="-17"/>
                <w:highlight w:val="none"/>
              </w:rPr>
              <w:t>机坪（5</w:t>
            </w:r>
            <w:r>
              <w:rPr>
                <w:b w:val="0"/>
                <w:bCs w:val="0"/>
                <w:color w:val="auto"/>
                <w:spacing w:val="-35"/>
                <w:highlight w:val="none"/>
              </w:rPr>
              <w:t xml:space="preserve"> </w:t>
            </w:r>
            <w:r>
              <w:rPr>
                <w:b w:val="0"/>
                <w:bCs w:val="0"/>
                <w:color w:val="auto"/>
                <w:spacing w:val="-17"/>
                <w:highlight w:val="none"/>
              </w:rPr>
              <w:t>分）</w:t>
            </w:r>
          </w:p>
        </w:tc>
        <w:tc>
          <w:tcPr>
            <w:tcW w:w="1717" w:type="pct"/>
            <w:vAlign w:val="center"/>
          </w:tcPr>
          <w:p w14:paraId="0BDBCC1C">
            <w:pPr>
              <w:pStyle w:val="23"/>
              <w:keepNext w:val="0"/>
              <w:keepLines w:val="0"/>
              <w:suppressLineNumbers w:val="0"/>
              <w:spacing w:before="58" w:line="220" w:lineRule="auto"/>
              <w:ind w:left="111"/>
              <w:rPr>
                <w:b w:val="0"/>
                <w:bCs w:val="0"/>
                <w:color w:val="auto"/>
                <w:highlight w:val="none"/>
              </w:rPr>
            </w:pPr>
            <w:r>
              <w:rPr>
                <w:b w:val="0"/>
                <w:bCs w:val="0"/>
                <w:color w:val="auto"/>
                <w:spacing w:val="-1"/>
                <w:highlight w:val="none"/>
              </w:rPr>
              <w:t>a)是否按规范设置直升机停机坪；</w:t>
            </w:r>
          </w:p>
        </w:tc>
        <w:tc>
          <w:tcPr>
            <w:tcW w:w="1177" w:type="pct"/>
            <w:vAlign w:val="center"/>
          </w:tcPr>
          <w:p w14:paraId="510511CE">
            <w:pPr>
              <w:pStyle w:val="23"/>
              <w:keepNext w:val="0"/>
              <w:keepLines w:val="0"/>
              <w:suppressLineNumbers w:val="0"/>
              <w:spacing w:before="156" w:line="306" w:lineRule="auto"/>
              <w:ind w:left="112" w:right="178" w:firstLine="2"/>
              <w:rPr>
                <w:b w:val="0"/>
                <w:bCs w:val="0"/>
                <w:color w:val="auto"/>
                <w:highlight w:val="none"/>
              </w:rPr>
            </w:pPr>
            <w:r>
              <w:rPr>
                <w:b w:val="0"/>
                <w:bCs w:val="0"/>
                <w:color w:val="auto"/>
                <w:spacing w:val="-2"/>
                <w:highlight w:val="none"/>
              </w:rPr>
              <w:t>按规范应设但未设置直升机停机坪，该</w:t>
            </w:r>
            <w:r>
              <w:rPr>
                <w:b w:val="0"/>
                <w:bCs w:val="0"/>
                <w:color w:val="auto"/>
                <w:spacing w:val="-3"/>
                <w:highlight w:val="none"/>
              </w:rPr>
              <w:t>评估小项不得分。</w:t>
            </w:r>
          </w:p>
        </w:tc>
        <w:tc>
          <w:tcPr>
            <w:tcW w:w="367" w:type="pct"/>
            <w:vAlign w:val="center"/>
          </w:tcPr>
          <w:p w14:paraId="4AE8BF4E">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3F8D6632">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restart"/>
            <w:tcBorders>
              <w:bottom w:val="nil"/>
            </w:tcBorders>
            <w:vAlign w:val="center"/>
          </w:tcPr>
          <w:p w14:paraId="3DB8CA64">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7695D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jc w:val="center"/>
        </w:trPr>
        <w:tc>
          <w:tcPr>
            <w:tcW w:w="207" w:type="pct"/>
            <w:vMerge w:val="continue"/>
            <w:tcBorders>
              <w:top w:val="nil"/>
              <w:bottom w:val="nil"/>
            </w:tcBorders>
            <w:vAlign w:val="center"/>
          </w:tcPr>
          <w:p w14:paraId="04639EE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0798C566">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continue"/>
            <w:tcBorders>
              <w:top w:val="nil"/>
              <w:bottom w:val="nil"/>
            </w:tcBorders>
            <w:vAlign w:val="center"/>
          </w:tcPr>
          <w:p w14:paraId="4F22AB31">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7" w:type="pct"/>
            <w:vAlign w:val="center"/>
          </w:tcPr>
          <w:p w14:paraId="56102A27">
            <w:pPr>
              <w:pStyle w:val="23"/>
              <w:keepNext w:val="0"/>
              <w:keepLines w:val="0"/>
              <w:suppressLineNumbers w:val="0"/>
              <w:spacing w:before="58" w:line="220" w:lineRule="auto"/>
              <w:ind w:left="111"/>
              <w:rPr>
                <w:b w:val="0"/>
                <w:bCs w:val="0"/>
                <w:color w:val="auto"/>
                <w:spacing w:val="-1"/>
                <w:highlight w:val="none"/>
              </w:rPr>
            </w:pPr>
            <w:r>
              <w:rPr>
                <w:b w:val="0"/>
                <w:bCs w:val="0"/>
                <w:color w:val="auto"/>
                <w:spacing w:val="-1"/>
                <w:highlight w:val="none"/>
              </w:rPr>
              <w:t>b)停机坪与屋面上突出物的最小水平距离；</w:t>
            </w:r>
          </w:p>
        </w:tc>
        <w:tc>
          <w:tcPr>
            <w:tcW w:w="1177" w:type="pct"/>
            <w:vAlign w:val="center"/>
          </w:tcPr>
          <w:p w14:paraId="74F37AE5">
            <w:pPr>
              <w:pStyle w:val="23"/>
              <w:keepNext w:val="0"/>
              <w:keepLines w:val="0"/>
              <w:suppressLineNumbers w:val="0"/>
              <w:spacing w:before="212" w:line="220" w:lineRule="auto"/>
              <w:ind w:left="115"/>
              <w:rPr>
                <w:b w:val="0"/>
                <w:bCs w:val="0"/>
                <w:color w:val="auto"/>
                <w:highlight w:val="none"/>
              </w:rPr>
            </w:pPr>
            <w:r>
              <w:rPr>
                <w:b w:val="0"/>
                <w:bCs w:val="0"/>
                <w:color w:val="auto"/>
                <w:spacing w:val="-5"/>
                <w:highlight w:val="none"/>
              </w:rPr>
              <w:t>不符合规范要求扣</w:t>
            </w:r>
            <w:r>
              <w:rPr>
                <w:b w:val="0"/>
                <w:bCs w:val="0"/>
                <w:color w:val="auto"/>
                <w:spacing w:val="-20"/>
                <w:highlight w:val="none"/>
              </w:rPr>
              <w:t xml:space="preserve"> </w:t>
            </w:r>
            <w:r>
              <w:rPr>
                <w:b w:val="0"/>
                <w:bCs w:val="0"/>
                <w:color w:val="auto"/>
                <w:spacing w:val="-5"/>
                <w:highlight w:val="none"/>
              </w:rPr>
              <w:t>1</w:t>
            </w:r>
            <w:r>
              <w:rPr>
                <w:b w:val="0"/>
                <w:bCs w:val="0"/>
                <w:color w:val="auto"/>
                <w:spacing w:val="-34"/>
                <w:highlight w:val="none"/>
              </w:rPr>
              <w:t xml:space="preserve"> </w:t>
            </w:r>
            <w:r>
              <w:rPr>
                <w:b w:val="0"/>
                <w:bCs w:val="0"/>
                <w:color w:val="auto"/>
                <w:spacing w:val="-5"/>
                <w:highlight w:val="none"/>
              </w:rPr>
              <w:t>分。</w:t>
            </w:r>
          </w:p>
        </w:tc>
        <w:tc>
          <w:tcPr>
            <w:tcW w:w="367" w:type="pct"/>
            <w:vAlign w:val="center"/>
          </w:tcPr>
          <w:p w14:paraId="2AC28B0B">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224107E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7BE33495">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513EF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jc w:val="center"/>
        </w:trPr>
        <w:tc>
          <w:tcPr>
            <w:tcW w:w="207" w:type="pct"/>
            <w:vMerge w:val="continue"/>
            <w:tcBorders>
              <w:top w:val="nil"/>
              <w:bottom w:val="nil"/>
            </w:tcBorders>
            <w:vAlign w:val="center"/>
          </w:tcPr>
          <w:p w14:paraId="09A0B952">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bottom w:val="nil"/>
            </w:tcBorders>
            <w:vAlign w:val="center"/>
          </w:tcPr>
          <w:p w14:paraId="7B05522E">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continue"/>
            <w:tcBorders>
              <w:top w:val="nil"/>
              <w:bottom w:val="nil"/>
            </w:tcBorders>
            <w:vAlign w:val="center"/>
          </w:tcPr>
          <w:p w14:paraId="12001BA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7" w:type="pct"/>
            <w:vAlign w:val="center"/>
          </w:tcPr>
          <w:p w14:paraId="681B5E35">
            <w:pPr>
              <w:pStyle w:val="23"/>
              <w:keepNext w:val="0"/>
              <w:keepLines w:val="0"/>
              <w:suppressLineNumbers w:val="0"/>
              <w:spacing w:before="58" w:line="220" w:lineRule="auto"/>
              <w:ind w:left="111"/>
              <w:rPr>
                <w:b w:val="0"/>
                <w:bCs w:val="0"/>
                <w:color w:val="auto"/>
                <w:spacing w:val="-1"/>
                <w:highlight w:val="none"/>
              </w:rPr>
            </w:pPr>
            <w:r>
              <w:rPr>
                <w:b w:val="0"/>
                <w:bCs w:val="0"/>
                <w:color w:val="auto"/>
                <w:spacing w:val="-1"/>
                <w:highlight w:val="none"/>
              </w:rPr>
              <w:t>c)建筑通向停机坪的出口数量；</w:t>
            </w:r>
          </w:p>
        </w:tc>
        <w:tc>
          <w:tcPr>
            <w:tcW w:w="1177" w:type="pct"/>
            <w:vAlign w:val="center"/>
          </w:tcPr>
          <w:p w14:paraId="3E12739C">
            <w:pPr>
              <w:pStyle w:val="23"/>
              <w:keepNext w:val="0"/>
              <w:keepLines w:val="0"/>
              <w:suppressLineNumbers w:val="0"/>
              <w:spacing w:before="193" w:line="220" w:lineRule="auto"/>
              <w:ind w:left="115"/>
              <w:rPr>
                <w:b w:val="0"/>
                <w:bCs w:val="0"/>
                <w:color w:val="auto"/>
                <w:highlight w:val="none"/>
              </w:rPr>
            </w:pPr>
            <w:r>
              <w:rPr>
                <w:b w:val="0"/>
                <w:bCs w:val="0"/>
                <w:color w:val="auto"/>
                <w:spacing w:val="-4"/>
                <w:highlight w:val="none"/>
              </w:rPr>
              <w:t>不符合规范要求扣</w:t>
            </w:r>
            <w:r>
              <w:rPr>
                <w:b w:val="0"/>
                <w:bCs w:val="0"/>
                <w:color w:val="auto"/>
                <w:spacing w:val="-31"/>
                <w:highlight w:val="none"/>
              </w:rPr>
              <w:t xml:space="preserve"> </w:t>
            </w:r>
            <w:r>
              <w:rPr>
                <w:b w:val="0"/>
                <w:bCs w:val="0"/>
                <w:color w:val="auto"/>
                <w:spacing w:val="-4"/>
                <w:highlight w:val="none"/>
              </w:rPr>
              <w:t>2</w:t>
            </w:r>
            <w:r>
              <w:rPr>
                <w:b w:val="0"/>
                <w:bCs w:val="0"/>
                <w:color w:val="auto"/>
                <w:spacing w:val="-34"/>
                <w:highlight w:val="none"/>
              </w:rPr>
              <w:t xml:space="preserve"> </w:t>
            </w:r>
            <w:r>
              <w:rPr>
                <w:b w:val="0"/>
                <w:bCs w:val="0"/>
                <w:color w:val="auto"/>
                <w:spacing w:val="-4"/>
                <w:highlight w:val="none"/>
              </w:rPr>
              <w:t>分。</w:t>
            </w:r>
          </w:p>
        </w:tc>
        <w:tc>
          <w:tcPr>
            <w:tcW w:w="367" w:type="pct"/>
            <w:vAlign w:val="center"/>
          </w:tcPr>
          <w:p w14:paraId="327A64D6">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414C618B">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bottom w:val="nil"/>
            </w:tcBorders>
            <w:vAlign w:val="center"/>
          </w:tcPr>
          <w:p w14:paraId="3D981317">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1E73D4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jc w:val="center"/>
        </w:trPr>
        <w:tc>
          <w:tcPr>
            <w:tcW w:w="207" w:type="pct"/>
            <w:vMerge w:val="continue"/>
            <w:tcBorders>
              <w:top w:val="nil"/>
            </w:tcBorders>
            <w:vAlign w:val="center"/>
          </w:tcPr>
          <w:p w14:paraId="116748D8">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493" w:type="pct"/>
            <w:vMerge w:val="continue"/>
            <w:tcBorders>
              <w:top w:val="nil"/>
            </w:tcBorders>
            <w:vAlign w:val="center"/>
          </w:tcPr>
          <w:p w14:paraId="1DF72B9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67" w:type="pct"/>
            <w:vMerge w:val="continue"/>
            <w:tcBorders>
              <w:top w:val="nil"/>
            </w:tcBorders>
            <w:vAlign w:val="center"/>
          </w:tcPr>
          <w:p w14:paraId="5B5FA9F3">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1717" w:type="pct"/>
            <w:vAlign w:val="center"/>
          </w:tcPr>
          <w:p w14:paraId="3482F651">
            <w:pPr>
              <w:pStyle w:val="23"/>
              <w:keepNext w:val="0"/>
              <w:keepLines w:val="0"/>
              <w:suppressLineNumbers w:val="0"/>
              <w:spacing w:before="58" w:line="220" w:lineRule="auto"/>
              <w:ind w:left="111"/>
              <w:rPr>
                <w:b w:val="0"/>
                <w:bCs w:val="0"/>
                <w:color w:val="auto"/>
                <w:spacing w:val="-1"/>
                <w:highlight w:val="none"/>
              </w:rPr>
            </w:pPr>
            <w:r>
              <w:rPr>
                <w:b w:val="0"/>
                <w:bCs w:val="0"/>
                <w:color w:val="auto"/>
                <w:spacing w:val="-1"/>
                <w:highlight w:val="none"/>
              </w:rPr>
              <w:t>d)停机坪四周应设置航空障碍灯、应急照明装置、消火栓。</w:t>
            </w:r>
          </w:p>
        </w:tc>
        <w:tc>
          <w:tcPr>
            <w:tcW w:w="1177" w:type="pct"/>
            <w:vAlign w:val="center"/>
          </w:tcPr>
          <w:p w14:paraId="5B07D39F">
            <w:pPr>
              <w:pStyle w:val="23"/>
              <w:keepNext w:val="0"/>
              <w:keepLines w:val="0"/>
              <w:suppressLineNumbers w:val="0"/>
              <w:spacing w:before="73" w:line="283" w:lineRule="auto"/>
              <w:ind w:left="114" w:right="169" w:hanging="2"/>
              <w:rPr>
                <w:b w:val="0"/>
                <w:bCs w:val="0"/>
                <w:color w:val="auto"/>
                <w:highlight w:val="none"/>
              </w:rPr>
            </w:pPr>
            <w:r>
              <w:rPr>
                <w:b w:val="0"/>
                <w:bCs w:val="0"/>
                <w:color w:val="auto"/>
                <w:spacing w:val="-3"/>
                <w:highlight w:val="none"/>
              </w:rPr>
              <w:t>每发现一处不符合要求的扣</w:t>
            </w:r>
            <w:r>
              <w:rPr>
                <w:b w:val="0"/>
                <w:bCs w:val="0"/>
                <w:color w:val="auto"/>
                <w:spacing w:val="-13"/>
                <w:highlight w:val="none"/>
              </w:rPr>
              <w:t xml:space="preserve"> </w:t>
            </w:r>
            <w:r>
              <w:rPr>
                <w:b w:val="0"/>
                <w:bCs w:val="0"/>
                <w:color w:val="auto"/>
                <w:spacing w:val="-3"/>
                <w:highlight w:val="none"/>
              </w:rPr>
              <w:t>1</w:t>
            </w:r>
            <w:r>
              <w:rPr>
                <w:b w:val="0"/>
                <w:bCs w:val="0"/>
                <w:color w:val="auto"/>
                <w:spacing w:val="-36"/>
                <w:highlight w:val="none"/>
              </w:rPr>
              <w:t xml:space="preserve"> </w:t>
            </w:r>
            <w:r>
              <w:rPr>
                <w:b w:val="0"/>
                <w:bCs w:val="0"/>
                <w:color w:val="auto"/>
                <w:spacing w:val="-3"/>
                <w:highlight w:val="none"/>
              </w:rPr>
              <w:t>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7" w:type="pct"/>
            <w:vAlign w:val="center"/>
          </w:tcPr>
          <w:p w14:paraId="1E8EAB68">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9" w:type="pct"/>
            <w:vAlign w:val="center"/>
          </w:tcPr>
          <w:p w14:paraId="74F0592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tcBorders>
            <w:vAlign w:val="center"/>
          </w:tcPr>
          <w:p w14:paraId="0C7DD786">
            <w:pPr>
              <w:keepNext w:val="0"/>
              <w:keepLines w:val="0"/>
              <w:suppressLineNumbers w:val="0"/>
              <w:spacing w:before="0" w:beforeAutospacing="0" w:after="0" w:afterAutospacing="0"/>
              <w:ind w:left="0" w:right="0"/>
              <w:rPr>
                <w:rFonts w:hint="default" w:ascii="Arial"/>
                <w:b w:val="0"/>
                <w:bCs w:val="0"/>
                <w:color w:val="auto"/>
                <w:sz w:val="21"/>
                <w:highlight w:val="none"/>
              </w:rPr>
            </w:pPr>
          </w:p>
        </w:tc>
      </w:tr>
    </w:tbl>
    <w:p w14:paraId="2FD18C78">
      <w:pPr>
        <w:rPr>
          <w:rFonts w:ascii="Arial"/>
          <w:b w:val="0"/>
          <w:bCs w:val="0"/>
          <w:sz w:val="21"/>
          <w:highlight w:val="none"/>
        </w:rPr>
      </w:pPr>
      <w:r>
        <w:rPr>
          <w:rFonts w:ascii="Arial"/>
          <w:b w:val="0"/>
          <w:bCs w:val="0"/>
          <w:sz w:val="21"/>
          <w:highlight w:val="none"/>
        </w:rPr>
        <w:br w:type="page"/>
      </w:r>
    </w:p>
    <w:tbl>
      <w:tblPr>
        <w:tblStyle w:val="24"/>
        <w:tblW w:w="494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2"/>
        <w:gridCol w:w="1467"/>
        <w:gridCol w:w="1092"/>
        <w:gridCol w:w="5114"/>
        <w:gridCol w:w="3505"/>
        <w:gridCol w:w="1092"/>
        <w:gridCol w:w="1009"/>
        <w:gridCol w:w="976"/>
      </w:tblGrid>
      <w:tr w14:paraId="0AC754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6" w:type="pct"/>
            <w:vAlign w:val="center"/>
          </w:tcPr>
          <w:p w14:paraId="61086DD9">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08666AE6">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41B0AC54">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19" w:type="pct"/>
            <w:vAlign w:val="center"/>
          </w:tcPr>
          <w:p w14:paraId="00693536">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8" w:type="pct"/>
            <w:vAlign w:val="center"/>
          </w:tcPr>
          <w:p w14:paraId="299A85B9">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4CDC4BB8">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0164D4D2">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1841E9A8">
            <w:pPr>
              <w:pStyle w:val="23"/>
              <w:keepNext w:val="0"/>
              <w:keepLines w:val="0"/>
              <w:suppressLineNumbers w:val="0"/>
              <w:spacing w:before="71" w:line="220" w:lineRule="auto"/>
              <w:ind w:left="295"/>
              <w:rPr>
                <w:highlight w:val="none"/>
              </w:rPr>
            </w:pPr>
            <w:r>
              <w:rPr>
                <w:b/>
                <w:bCs/>
                <w:spacing w:val="-4"/>
                <w:highlight w:val="none"/>
              </w:rPr>
              <w:t>得分</w:t>
            </w:r>
          </w:p>
        </w:tc>
      </w:tr>
      <w:tr w14:paraId="0307F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4" w:hRule="atLeast"/>
          <w:jc w:val="center"/>
        </w:trPr>
        <w:tc>
          <w:tcPr>
            <w:tcW w:w="206" w:type="pct"/>
            <w:vMerge w:val="restart"/>
            <w:tcBorders>
              <w:bottom w:val="nil"/>
            </w:tcBorders>
            <w:vAlign w:val="center"/>
          </w:tcPr>
          <w:p w14:paraId="603319EC">
            <w:pPr>
              <w:pStyle w:val="23"/>
              <w:keepNext w:val="0"/>
              <w:keepLines w:val="0"/>
              <w:suppressLineNumbers w:val="0"/>
              <w:spacing w:before="59" w:line="181" w:lineRule="auto"/>
              <w:ind w:left="263"/>
              <w:rPr>
                <w:b w:val="0"/>
                <w:bCs w:val="0"/>
                <w:highlight w:val="none"/>
              </w:rPr>
            </w:pPr>
            <w:r>
              <w:rPr>
                <w:b w:val="0"/>
                <w:bCs w:val="0"/>
                <w:spacing w:val="-2"/>
                <w:highlight w:val="none"/>
              </w:rPr>
              <w:t>2</w:t>
            </w:r>
          </w:p>
        </w:tc>
        <w:tc>
          <w:tcPr>
            <w:tcW w:w="493" w:type="pct"/>
            <w:vMerge w:val="restart"/>
            <w:tcBorders>
              <w:bottom w:val="nil"/>
            </w:tcBorders>
            <w:vAlign w:val="center"/>
          </w:tcPr>
          <w:p w14:paraId="57895453">
            <w:pPr>
              <w:pStyle w:val="23"/>
              <w:keepNext w:val="0"/>
              <w:keepLines w:val="0"/>
              <w:suppressLineNumbers w:val="0"/>
              <w:spacing w:before="58" w:line="307" w:lineRule="auto"/>
              <w:ind w:left="448" w:right="176" w:hanging="271"/>
              <w:rPr>
                <w:b w:val="0"/>
                <w:bCs w:val="0"/>
                <w:highlight w:val="none"/>
              </w:rPr>
            </w:pPr>
            <w:r>
              <w:rPr>
                <w:b w:val="0"/>
                <w:bCs w:val="0"/>
                <w:spacing w:val="-3"/>
                <w:highlight w:val="none"/>
              </w:rPr>
              <w:t>总平面布</w:t>
            </w:r>
            <w:r>
              <w:rPr>
                <w:b w:val="0"/>
                <w:bCs w:val="0"/>
                <w:highlight w:val="none"/>
              </w:rPr>
              <w:t>局</w:t>
            </w:r>
          </w:p>
          <w:p w14:paraId="4F4D428E">
            <w:pPr>
              <w:pStyle w:val="23"/>
              <w:keepNext w:val="0"/>
              <w:keepLines w:val="0"/>
              <w:suppressLineNumbers w:val="0"/>
              <w:spacing w:before="24" w:line="221" w:lineRule="auto"/>
              <w:ind w:left="158"/>
              <w:rPr>
                <w:b w:val="0"/>
                <w:bCs w:val="0"/>
                <w:highlight w:val="none"/>
              </w:rPr>
            </w:pPr>
            <w:r>
              <w:rPr>
                <w:b w:val="0"/>
                <w:bCs w:val="0"/>
                <w:spacing w:val="-5"/>
                <w:highlight w:val="none"/>
              </w:rPr>
              <w:t>（40</w:t>
            </w:r>
            <w:r>
              <w:rPr>
                <w:b w:val="0"/>
                <w:bCs w:val="0"/>
                <w:spacing w:val="-35"/>
                <w:highlight w:val="none"/>
              </w:rPr>
              <w:t xml:space="preserve"> </w:t>
            </w:r>
            <w:r>
              <w:rPr>
                <w:b w:val="0"/>
                <w:bCs w:val="0"/>
                <w:spacing w:val="-5"/>
                <w:highlight w:val="none"/>
              </w:rPr>
              <w:t>分）</w:t>
            </w:r>
          </w:p>
        </w:tc>
        <w:tc>
          <w:tcPr>
            <w:tcW w:w="367" w:type="pct"/>
            <w:vAlign w:val="center"/>
          </w:tcPr>
          <w:p w14:paraId="08681400">
            <w:pPr>
              <w:pStyle w:val="23"/>
              <w:keepNext w:val="0"/>
              <w:keepLines w:val="0"/>
              <w:suppressLineNumbers w:val="0"/>
              <w:spacing w:before="58" w:line="307" w:lineRule="auto"/>
              <w:ind w:left="190" w:right="192" w:firstLine="30"/>
              <w:rPr>
                <w:b w:val="0"/>
                <w:bCs w:val="0"/>
                <w:highlight w:val="none"/>
              </w:rPr>
            </w:pPr>
            <w:r>
              <w:rPr>
                <w:b w:val="0"/>
                <w:bCs w:val="0"/>
                <w:spacing w:val="-5"/>
                <w:highlight w:val="none"/>
              </w:rPr>
              <w:t>防火间距</w:t>
            </w:r>
            <w:r>
              <w:rPr>
                <w:b w:val="0"/>
                <w:bCs w:val="0"/>
                <w:spacing w:val="-8"/>
                <w:highlight w:val="none"/>
              </w:rPr>
              <w:t>（10</w:t>
            </w:r>
            <w:r>
              <w:rPr>
                <w:b w:val="0"/>
                <w:bCs w:val="0"/>
                <w:spacing w:val="-31"/>
                <w:highlight w:val="none"/>
              </w:rPr>
              <w:t xml:space="preserve"> </w:t>
            </w:r>
            <w:r>
              <w:rPr>
                <w:b w:val="0"/>
                <w:bCs w:val="0"/>
                <w:spacing w:val="-8"/>
                <w:highlight w:val="none"/>
              </w:rPr>
              <w:t>分）</w:t>
            </w:r>
          </w:p>
        </w:tc>
        <w:tc>
          <w:tcPr>
            <w:tcW w:w="1719" w:type="pct"/>
            <w:vAlign w:val="center"/>
          </w:tcPr>
          <w:p w14:paraId="2D97F8D3">
            <w:pPr>
              <w:pStyle w:val="23"/>
              <w:keepNext w:val="0"/>
              <w:keepLines w:val="0"/>
              <w:suppressLineNumbers w:val="0"/>
              <w:spacing w:before="65" w:line="220" w:lineRule="auto"/>
              <w:ind w:left="112"/>
              <w:rPr>
                <w:b w:val="0"/>
                <w:bCs w:val="0"/>
                <w:color w:val="auto"/>
                <w:highlight w:val="none"/>
              </w:rPr>
            </w:pPr>
            <w:r>
              <w:rPr>
                <w:b w:val="0"/>
                <w:bCs w:val="0"/>
                <w:color w:val="auto"/>
                <w:spacing w:val="-1"/>
                <w:highlight w:val="none"/>
              </w:rPr>
              <w:t>a)与相邻建筑物、可燃材料堆场的间距；</w:t>
            </w:r>
          </w:p>
          <w:p w14:paraId="61892599">
            <w:pPr>
              <w:pStyle w:val="23"/>
              <w:keepNext w:val="0"/>
              <w:keepLines w:val="0"/>
              <w:suppressLineNumbers w:val="0"/>
              <w:spacing w:before="98" w:line="270" w:lineRule="auto"/>
              <w:ind w:left="110" w:right="104" w:hanging="2"/>
              <w:rPr>
                <w:b w:val="0"/>
                <w:bCs w:val="0"/>
                <w:color w:val="auto"/>
                <w:highlight w:val="none"/>
              </w:rPr>
            </w:pPr>
            <w:r>
              <w:rPr>
                <w:b w:val="0"/>
                <w:bCs w:val="0"/>
                <w:color w:val="auto"/>
                <w:highlight w:val="none"/>
              </w:rPr>
              <w:t>b)甲、乙类物品运输车的汽车库、修车库、停车场与人员密集场</w:t>
            </w:r>
            <w:r>
              <w:rPr>
                <w:b w:val="0"/>
                <w:bCs w:val="0"/>
                <w:color w:val="auto"/>
                <w:spacing w:val="-1"/>
                <w:highlight w:val="none"/>
              </w:rPr>
              <w:t>所、其他民用建筑及明火或散发火花地点的防火间距；</w:t>
            </w:r>
          </w:p>
          <w:p w14:paraId="3E11C048">
            <w:pPr>
              <w:pStyle w:val="23"/>
              <w:keepNext w:val="0"/>
              <w:keepLines w:val="0"/>
              <w:suppressLineNumbers w:val="0"/>
              <w:spacing w:before="97" w:line="271" w:lineRule="auto"/>
              <w:ind w:left="110" w:right="104" w:firstLine="4"/>
              <w:rPr>
                <w:b w:val="0"/>
                <w:bCs w:val="0"/>
                <w:color w:val="auto"/>
                <w:highlight w:val="none"/>
              </w:rPr>
            </w:pPr>
            <w:r>
              <w:rPr>
                <w:b w:val="0"/>
                <w:bCs w:val="0"/>
                <w:color w:val="auto"/>
                <w:spacing w:val="1"/>
                <w:highlight w:val="none"/>
              </w:rPr>
              <w:t>c)相邻两座通过连廊、天桥或下部建筑物等连接的建筑</w:t>
            </w:r>
            <w:r>
              <w:rPr>
                <w:b w:val="0"/>
                <w:bCs w:val="0"/>
                <w:color w:val="auto"/>
                <w:highlight w:val="none"/>
              </w:rPr>
              <w:t>的防火间</w:t>
            </w:r>
            <w:r>
              <w:rPr>
                <w:b w:val="0"/>
                <w:bCs w:val="0"/>
                <w:color w:val="auto"/>
                <w:spacing w:val="-4"/>
                <w:highlight w:val="none"/>
              </w:rPr>
              <w:t>距；</w:t>
            </w:r>
          </w:p>
          <w:p w14:paraId="7318FD3A">
            <w:pPr>
              <w:pStyle w:val="23"/>
              <w:keepNext w:val="0"/>
              <w:keepLines w:val="0"/>
              <w:suppressLineNumbers w:val="0"/>
              <w:spacing w:before="95" w:line="220" w:lineRule="auto"/>
              <w:ind w:left="115"/>
              <w:rPr>
                <w:b w:val="0"/>
                <w:bCs w:val="0"/>
                <w:color w:val="auto"/>
                <w:highlight w:val="none"/>
              </w:rPr>
            </w:pPr>
            <w:r>
              <w:rPr>
                <w:b w:val="0"/>
                <w:bCs w:val="0"/>
                <w:color w:val="auto"/>
                <w:spacing w:val="-2"/>
                <w:highlight w:val="none"/>
              </w:rPr>
              <w:t>d)U</w:t>
            </w:r>
            <w:r>
              <w:rPr>
                <w:b w:val="0"/>
                <w:bCs w:val="0"/>
                <w:color w:val="auto"/>
                <w:spacing w:val="-24"/>
                <w:highlight w:val="none"/>
              </w:rPr>
              <w:t xml:space="preserve"> </w:t>
            </w:r>
            <w:r>
              <w:rPr>
                <w:b w:val="0"/>
                <w:bCs w:val="0"/>
                <w:color w:val="auto"/>
                <w:spacing w:val="-2"/>
                <w:highlight w:val="none"/>
              </w:rPr>
              <w:t>型或</w:t>
            </w:r>
            <w:r>
              <w:rPr>
                <w:rFonts w:hint="eastAsia"/>
                <w:b w:val="0"/>
                <w:bCs w:val="0"/>
                <w:color w:val="auto"/>
                <w:spacing w:val="-2"/>
                <w:highlight w:val="none"/>
                <w:lang w:eastAsia="zh-CN"/>
              </w:rPr>
              <w:t>山形</w:t>
            </w:r>
            <w:r>
              <w:rPr>
                <w:b w:val="0"/>
                <w:bCs w:val="0"/>
                <w:color w:val="auto"/>
                <w:spacing w:val="-2"/>
                <w:highlight w:val="none"/>
              </w:rPr>
              <w:t>等建筑两翼之间的距离；</w:t>
            </w:r>
          </w:p>
          <w:p w14:paraId="706E2363">
            <w:pPr>
              <w:pStyle w:val="23"/>
              <w:keepNext w:val="0"/>
              <w:keepLines w:val="0"/>
              <w:suppressLineNumbers w:val="0"/>
              <w:spacing w:before="96" w:line="220" w:lineRule="auto"/>
              <w:ind w:left="115"/>
              <w:rPr>
                <w:b w:val="0"/>
                <w:bCs w:val="0"/>
                <w:color w:val="auto"/>
                <w:highlight w:val="none"/>
              </w:rPr>
            </w:pPr>
            <w:r>
              <w:rPr>
                <w:b w:val="0"/>
                <w:bCs w:val="0"/>
                <w:color w:val="auto"/>
                <w:spacing w:val="-1"/>
                <w:highlight w:val="none"/>
              </w:rPr>
              <w:t>e)飞机库与甲类仓库、喷漆机库的防火间距；</w:t>
            </w:r>
          </w:p>
          <w:p w14:paraId="71198533">
            <w:pPr>
              <w:pStyle w:val="23"/>
              <w:keepNext w:val="0"/>
              <w:keepLines w:val="0"/>
              <w:suppressLineNumbers w:val="0"/>
              <w:spacing w:before="98" w:line="295" w:lineRule="auto"/>
              <w:ind w:left="113" w:right="81"/>
              <w:rPr>
                <w:b w:val="0"/>
                <w:bCs w:val="0"/>
                <w:color w:val="auto"/>
                <w:highlight w:val="none"/>
              </w:rPr>
            </w:pPr>
            <w:r>
              <w:rPr>
                <w:b w:val="0"/>
                <w:bCs w:val="0"/>
                <w:color w:val="auto"/>
                <w:spacing w:val="1"/>
                <w:highlight w:val="none"/>
              </w:rPr>
              <w:t>f)加油加气站、石油化工工程、石油天然气工程、石油库</w:t>
            </w:r>
            <w:r>
              <w:rPr>
                <w:b w:val="0"/>
                <w:bCs w:val="0"/>
                <w:color w:val="auto"/>
                <w:highlight w:val="none"/>
              </w:rPr>
              <w:t>、易燃</w:t>
            </w:r>
            <w:r>
              <w:rPr>
                <w:b w:val="0"/>
                <w:bCs w:val="0"/>
                <w:color w:val="auto"/>
                <w:spacing w:val="-1"/>
                <w:highlight w:val="none"/>
              </w:rPr>
              <w:t>易爆化学物品专用码头等特殊建筑物，与周围居</w:t>
            </w:r>
            <w:r>
              <w:rPr>
                <w:b w:val="0"/>
                <w:bCs w:val="0"/>
                <w:color w:val="auto"/>
                <w:spacing w:val="-2"/>
                <w:highlight w:val="none"/>
              </w:rPr>
              <w:t>住区、公共设施、</w:t>
            </w:r>
            <w:r>
              <w:rPr>
                <w:b w:val="0"/>
                <w:bCs w:val="0"/>
                <w:color w:val="auto"/>
                <w:spacing w:val="-1"/>
                <w:highlight w:val="none"/>
              </w:rPr>
              <w:t>厂矿企业的距离，以及其场区内部建筑物、设施相</w:t>
            </w:r>
            <w:r>
              <w:rPr>
                <w:b w:val="0"/>
                <w:bCs w:val="0"/>
                <w:color w:val="auto"/>
                <w:spacing w:val="-2"/>
                <w:highlight w:val="none"/>
              </w:rPr>
              <w:t>互之间的距离。</w:t>
            </w:r>
          </w:p>
        </w:tc>
        <w:tc>
          <w:tcPr>
            <w:tcW w:w="1178" w:type="pct"/>
            <w:vAlign w:val="center"/>
          </w:tcPr>
          <w:p w14:paraId="0E4A4387">
            <w:pPr>
              <w:pStyle w:val="23"/>
              <w:keepNext w:val="0"/>
              <w:keepLines w:val="0"/>
              <w:suppressLineNumbers w:val="0"/>
              <w:spacing w:before="58" w:line="220" w:lineRule="auto"/>
              <w:ind w:left="124"/>
              <w:rPr>
                <w:b w:val="0"/>
                <w:bCs w:val="0"/>
                <w:color w:val="auto"/>
                <w:highlight w:val="none"/>
              </w:rPr>
            </w:pPr>
            <w:r>
              <w:rPr>
                <w:b w:val="0"/>
                <w:bCs w:val="0"/>
                <w:color w:val="auto"/>
                <w:highlight w:val="none"/>
              </w:rPr>
              <w:t>防火间距不符合要求的每发现一处扣</w:t>
            </w:r>
            <w:r>
              <w:rPr>
                <w:b w:val="0"/>
                <w:bCs w:val="0"/>
                <w:color w:val="auto"/>
                <w:spacing w:val="-7"/>
                <w:highlight w:val="none"/>
              </w:rPr>
              <w:t>2</w:t>
            </w:r>
            <w:r>
              <w:rPr>
                <w:b w:val="0"/>
                <w:bCs w:val="0"/>
                <w:color w:val="auto"/>
                <w:spacing w:val="-28"/>
                <w:highlight w:val="none"/>
              </w:rPr>
              <w:t xml:space="preserve"> </w:t>
            </w:r>
            <w:r>
              <w:rPr>
                <w:b w:val="0"/>
                <w:bCs w:val="0"/>
                <w:color w:val="auto"/>
                <w:spacing w:val="-7"/>
                <w:highlight w:val="none"/>
              </w:rPr>
              <w:t>分，最高扣</w:t>
            </w:r>
            <w:r>
              <w:rPr>
                <w:b w:val="0"/>
                <w:bCs w:val="0"/>
                <w:color w:val="auto"/>
                <w:spacing w:val="-24"/>
                <w:highlight w:val="none"/>
              </w:rPr>
              <w:t xml:space="preserve"> </w:t>
            </w:r>
            <w:r>
              <w:rPr>
                <w:b w:val="0"/>
                <w:bCs w:val="0"/>
                <w:color w:val="auto"/>
                <w:spacing w:val="-7"/>
                <w:highlight w:val="none"/>
              </w:rPr>
              <w:t>10</w:t>
            </w:r>
            <w:r>
              <w:rPr>
                <w:b w:val="0"/>
                <w:bCs w:val="0"/>
                <w:color w:val="auto"/>
                <w:spacing w:val="-34"/>
                <w:highlight w:val="none"/>
              </w:rPr>
              <w:t xml:space="preserve"> </w:t>
            </w:r>
            <w:r>
              <w:rPr>
                <w:b w:val="0"/>
                <w:bCs w:val="0"/>
                <w:color w:val="auto"/>
                <w:spacing w:val="-7"/>
                <w:highlight w:val="none"/>
              </w:rPr>
              <w:t>分。</w:t>
            </w:r>
          </w:p>
        </w:tc>
        <w:tc>
          <w:tcPr>
            <w:tcW w:w="367" w:type="pct"/>
            <w:vAlign w:val="center"/>
          </w:tcPr>
          <w:p w14:paraId="2A4CB9F3">
            <w:pPr>
              <w:pStyle w:val="23"/>
              <w:keepNext w:val="0"/>
              <w:keepLines w:val="0"/>
              <w:suppressLineNumbers w:val="0"/>
              <w:spacing w:before="68" w:line="282" w:lineRule="auto"/>
              <w:ind w:right="101"/>
              <w:jc w:val="center"/>
              <w:rPr>
                <w:rFonts w:hint="eastAsia" w:ascii="宋体" w:hAnsi="宋体" w:eastAsia="宋体" w:cs="宋体"/>
                <w:b w:val="0"/>
                <w:bCs w:val="0"/>
                <w:color w:val="auto"/>
                <w:spacing w:val="-3"/>
                <w:sz w:val="16"/>
                <w:szCs w:val="16"/>
                <w:highlight w:val="none"/>
                <w:lang w:val="en-US"/>
              </w:rPr>
            </w:pPr>
          </w:p>
        </w:tc>
        <w:tc>
          <w:tcPr>
            <w:tcW w:w="339" w:type="pct"/>
            <w:vAlign w:val="center"/>
          </w:tcPr>
          <w:p w14:paraId="605D31D5">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c>
          <w:tcPr>
            <w:tcW w:w="328" w:type="pct"/>
            <w:vAlign w:val="center"/>
          </w:tcPr>
          <w:p w14:paraId="6F8496C1">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r>
      <w:tr w14:paraId="193861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206" w:type="pct"/>
            <w:vMerge w:val="continue"/>
            <w:tcBorders>
              <w:top w:val="nil"/>
              <w:bottom w:val="nil"/>
            </w:tcBorders>
            <w:vAlign w:val="center"/>
          </w:tcPr>
          <w:p w14:paraId="314F626F">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73726FD2">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restart"/>
            <w:tcBorders>
              <w:bottom w:val="nil"/>
            </w:tcBorders>
            <w:vAlign w:val="center"/>
          </w:tcPr>
          <w:p w14:paraId="205ED38C">
            <w:pPr>
              <w:pStyle w:val="23"/>
              <w:keepNext w:val="0"/>
              <w:keepLines w:val="0"/>
              <w:suppressLineNumbers w:val="0"/>
              <w:spacing w:before="59" w:line="307" w:lineRule="auto"/>
              <w:ind w:left="190" w:right="192" w:firstLine="22"/>
              <w:rPr>
                <w:b w:val="0"/>
                <w:bCs w:val="0"/>
                <w:highlight w:val="none"/>
              </w:rPr>
            </w:pPr>
            <w:r>
              <w:rPr>
                <w:b w:val="0"/>
                <w:bCs w:val="0"/>
                <w:spacing w:val="-3"/>
                <w:highlight w:val="none"/>
              </w:rPr>
              <w:t>消防车道</w:t>
            </w:r>
            <w:r>
              <w:rPr>
                <w:b w:val="0"/>
                <w:bCs w:val="0"/>
                <w:spacing w:val="-8"/>
                <w:highlight w:val="none"/>
              </w:rPr>
              <w:t>（12</w:t>
            </w:r>
            <w:r>
              <w:rPr>
                <w:b w:val="0"/>
                <w:bCs w:val="0"/>
                <w:spacing w:val="-31"/>
                <w:highlight w:val="none"/>
              </w:rPr>
              <w:t xml:space="preserve"> </w:t>
            </w:r>
            <w:r>
              <w:rPr>
                <w:b w:val="0"/>
                <w:bCs w:val="0"/>
                <w:spacing w:val="-8"/>
                <w:highlight w:val="none"/>
              </w:rPr>
              <w:t>分）</w:t>
            </w:r>
          </w:p>
        </w:tc>
        <w:tc>
          <w:tcPr>
            <w:tcW w:w="1719" w:type="pct"/>
            <w:vAlign w:val="center"/>
          </w:tcPr>
          <w:p w14:paraId="35993816">
            <w:pPr>
              <w:pStyle w:val="23"/>
              <w:keepNext w:val="0"/>
              <w:keepLines w:val="0"/>
              <w:suppressLineNumbers w:val="0"/>
              <w:spacing w:before="68" w:line="282" w:lineRule="auto"/>
              <w:ind w:left="110" w:right="104" w:firstLine="1"/>
              <w:rPr>
                <w:b w:val="0"/>
                <w:bCs w:val="0"/>
                <w:color w:val="auto"/>
                <w:highlight w:val="none"/>
              </w:rPr>
            </w:pPr>
            <w:r>
              <w:rPr>
                <w:b w:val="0"/>
                <w:bCs w:val="0"/>
                <w:color w:val="auto"/>
                <w:spacing w:val="-2"/>
                <w:highlight w:val="none"/>
              </w:rPr>
              <w:t>a)建筑物、工厂、仓库区及可燃液体储罐区、可燃气体储罐区、可</w:t>
            </w:r>
            <w:r>
              <w:rPr>
                <w:b w:val="0"/>
                <w:bCs w:val="0"/>
                <w:color w:val="auto"/>
                <w:spacing w:val="-1"/>
                <w:highlight w:val="none"/>
              </w:rPr>
              <w:t>燃材料堆场是否按规范的要求设置了消防车道；</w:t>
            </w:r>
          </w:p>
        </w:tc>
        <w:tc>
          <w:tcPr>
            <w:tcW w:w="1178" w:type="pct"/>
            <w:vAlign w:val="center"/>
          </w:tcPr>
          <w:p w14:paraId="2F4BB03D">
            <w:pPr>
              <w:pStyle w:val="23"/>
              <w:keepNext w:val="0"/>
              <w:keepLines w:val="0"/>
              <w:suppressLineNumbers w:val="0"/>
              <w:spacing w:before="68" w:line="282" w:lineRule="auto"/>
              <w:ind w:left="113" w:right="101" w:firstLine="1"/>
              <w:rPr>
                <w:b w:val="0"/>
                <w:bCs w:val="0"/>
                <w:color w:val="auto"/>
                <w:highlight w:val="none"/>
              </w:rPr>
            </w:pPr>
            <w:r>
              <w:rPr>
                <w:b w:val="0"/>
                <w:bCs w:val="0"/>
                <w:color w:val="auto"/>
                <w:highlight w:val="none"/>
              </w:rPr>
              <w:t>按规范应设但未设置消防车道，该评</w:t>
            </w:r>
            <w:r>
              <w:rPr>
                <w:b w:val="0"/>
                <w:bCs w:val="0"/>
                <w:color w:val="auto"/>
                <w:spacing w:val="-3"/>
                <w:highlight w:val="none"/>
              </w:rPr>
              <w:t>估小项不得分。</w:t>
            </w:r>
          </w:p>
        </w:tc>
        <w:tc>
          <w:tcPr>
            <w:tcW w:w="367" w:type="pct"/>
            <w:vAlign w:val="center"/>
          </w:tcPr>
          <w:p w14:paraId="221C4003">
            <w:pPr>
              <w:pStyle w:val="23"/>
              <w:keepNext w:val="0"/>
              <w:keepLines w:val="0"/>
              <w:suppressLineNumbers w:val="0"/>
              <w:spacing w:before="68" w:line="282" w:lineRule="auto"/>
              <w:ind w:right="101"/>
              <w:jc w:val="center"/>
              <w:rPr>
                <w:rFonts w:hint="eastAsia" w:ascii="宋体" w:hAnsi="宋体" w:eastAsia="宋体" w:cs="宋体"/>
                <w:b w:val="0"/>
                <w:bCs w:val="0"/>
                <w:color w:val="auto"/>
                <w:spacing w:val="-3"/>
                <w:sz w:val="16"/>
                <w:szCs w:val="16"/>
                <w:highlight w:val="none"/>
                <w:lang w:val="en-US"/>
              </w:rPr>
            </w:pPr>
          </w:p>
        </w:tc>
        <w:tc>
          <w:tcPr>
            <w:tcW w:w="339" w:type="pct"/>
            <w:vAlign w:val="center"/>
          </w:tcPr>
          <w:p w14:paraId="76371E5F">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c>
          <w:tcPr>
            <w:tcW w:w="328" w:type="pct"/>
            <w:vMerge w:val="restart"/>
            <w:tcBorders>
              <w:bottom w:val="nil"/>
            </w:tcBorders>
            <w:vAlign w:val="center"/>
          </w:tcPr>
          <w:p w14:paraId="4DB3B020">
            <w:pPr>
              <w:keepNext w:val="0"/>
              <w:keepLines w:val="0"/>
              <w:suppressLineNumbers w:val="0"/>
              <w:tabs>
                <w:tab w:val="left" w:pos="476"/>
              </w:tabs>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r>
      <w:tr w14:paraId="75D269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jc w:val="center"/>
        </w:trPr>
        <w:tc>
          <w:tcPr>
            <w:tcW w:w="206" w:type="pct"/>
            <w:vMerge w:val="continue"/>
            <w:tcBorders>
              <w:top w:val="nil"/>
              <w:bottom w:val="nil"/>
            </w:tcBorders>
            <w:vAlign w:val="center"/>
          </w:tcPr>
          <w:p w14:paraId="5ED7B1E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761CE05">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bottom w:val="nil"/>
            </w:tcBorders>
            <w:vAlign w:val="center"/>
          </w:tcPr>
          <w:p w14:paraId="6F7BB454">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4147BE13">
            <w:pPr>
              <w:pStyle w:val="23"/>
              <w:keepNext w:val="0"/>
              <w:keepLines w:val="0"/>
              <w:suppressLineNumbers w:val="0"/>
              <w:spacing w:before="0" w:line="221" w:lineRule="auto"/>
              <w:ind w:left="113"/>
              <w:rPr>
                <w:b w:val="0"/>
                <w:bCs w:val="0"/>
                <w:color w:val="auto"/>
                <w:highlight w:val="none"/>
              </w:rPr>
            </w:pPr>
            <w:r>
              <w:rPr>
                <w:b w:val="0"/>
                <w:bCs w:val="0"/>
                <w:color w:val="auto"/>
                <w:spacing w:val="-2"/>
                <w:highlight w:val="none"/>
              </w:rPr>
              <w:t>b)消防车道应与外部公路或街道连通；</w:t>
            </w:r>
          </w:p>
        </w:tc>
        <w:tc>
          <w:tcPr>
            <w:tcW w:w="1178" w:type="pct"/>
            <w:vAlign w:val="center"/>
          </w:tcPr>
          <w:p w14:paraId="58D3B98E">
            <w:pPr>
              <w:pStyle w:val="23"/>
              <w:keepNext w:val="0"/>
              <w:keepLines w:val="0"/>
              <w:suppressLineNumbers w:val="0"/>
              <w:spacing w:before="68" w:line="220" w:lineRule="auto"/>
              <w:ind w:left="116"/>
              <w:rPr>
                <w:b w:val="0"/>
                <w:bCs w:val="0"/>
                <w:color w:val="auto"/>
                <w:highlight w:val="none"/>
              </w:rPr>
            </w:pPr>
            <w:r>
              <w:rPr>
                <w:b w:val="0"/>
                <w:bCs w:val="0"/>
                <w:color w:val="auto"/>
                <w:spacing w:val="-4"/>
                <w:highlight w:val="none"/>
              </w:rPr>
              <w:t>不符合规范要求扣</w:t>
            </w:r>
            <w:r>
              <w:rPr>
                <w:b w:val="0"/>
                <w:bCs w:val="0"/>
                <w:color w:val="auto"/>
                <w:spacing w:val="-31"/>
                <w:highlight w:val="none"/>
              </w:rPr>
              <w:t xml:space="preserve"> </w:t>
            </w:r>
            <w:r>
              <w:rPr>
                <w:b w:val="0"/>
                <w:bCs w:val="0"/>
                <w:color w:val="auto"/>
                <w:spacing w:val="-4"/>
                <w:highlight w:val="none"/>
              </w:rPr>
              <w:t>2</w:t>
            </w:r>
            <w:r>
              <w:rPr>
                <w:b w:val="0"/>
                <w:bCs w:val="0"/>
                <w:color w:val="auto"/>
                <w:spacing w:val="-34"/>
                <w:highlight w:val="none"/>
              </w:rPr>
              <w:t xml:space="preserve"> </w:t>
            </w:r>
            <w:r>
              <w:rPr>
                <w:b w:val="0"/>
                <w:bCs w:val="0"/>
                <w:color w:val="auto"/>
                <w:spacing w:val="-4"/>
                <w:highlight w:val="none"/>
              </w:rPr>
              <w:t>分。</w:t>
            </w:r>
          </w:p>
        </w:tc>
        <w:tc>
          <w:tcPr>
            <w:tcW w:w="367" w:type="pct"/>
            <w:vAlign w:val="center"/>
          </w:tcPr>
          <w:p w14:paraId="6479330A">
            <w:pPr>
              <w:pStyle w:val="23"/>
              <w:keepNext w:val="0"/>
              <w:keepLines w:val="0"/>
              <w:suppressLineNumbers w:val="0"/>
              <w:spacing w:before="68" w:line="282" w:lineRule="auto"/>
              <w:ind w:right="101"/>
              <w:jc w:val="center"/>
              <w:rPr>
                <w:b w:val="0"/>
                <w:bCs w:val="0"/>
                <w:color w:val="auto"/>
                <w:spacing w:val="-3"/>
                <w:highlight w:val="none"/>
              </w:rPr>
            </w:pPr>
          </w:p>
        </w:tc>
        <w:tc>
          <w:tcPr>
            <w:tcW w:w="339" w:type="pct"/>
            <w:vAlign w:val="center"/>
          </w:tcPr>
          <w:p w14:paraId="69F876C0">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Merge w:val="continue"/>
            <w:tcBorders>
              <w:top w:val="nil"/>
              <w:bottom w:val="nil"/>
            </w:tcBorders>
            <w:vAlign w:val="center"/>
          </w:tcPr>
          <w:p w14:paraId="579BF8AF">
            <w:pPr>
              <w:keepNext w:val="0"/>
              <w:keepLines w:val="0"/>
              <w:suppressLineNumbers w:val="0"/>
              <w:spacing w:before="0" w:beforeAutospacing="0" w:after="0" w:afterAutospacing="0"/>
              <w:ind w:left="0" w:right="0"/>
              <w:rPr>
                <w:rFonts w:hint="default" w:ascii="Arial"/>
                <w:b w:val="0"/>
                <w:bCs w:val="0"/>
                <w:sz w:val="21"/>
                <w:highlight w:val="none"/>
              </w:rPr>
            </w:pPr>
          </w:p>
        </w:tc>
      </w:tr>
      <w:tr w14:paraId="2B95E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jc w:val="center"/>
        </w:trPr>
        <w:tc>
          <w:tcPr>
            <w:tcW w:w="206" w:type="pct"/>
            <w:vMerge w:val="continue"/>
            <w:tcBorders>
              <w:top w:val="nil"/>
              <w:bottom w:val="nil"/>
            </w:tcBorders>
            <w:vAlign w:val="center"/>
          </w:tcPr>
          <w:p w14:paraId="10DF97AE">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0C7FF70C">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bottom w:val="nil"/>
            </w:tcBorders>
            <w:vAlign w:val="center"/>
          </w:tcPr>
          <w:p w14:paraId="7E6D5885">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248F225E">
            <w:pPr>
              <w:pStyle w:val="23"/>
              <w:keepNext w:val="0"/>
              <w:keepLines w:val="0"/>
              <w:suppressLineNumbers w:val="0"/>
              <w:spacing w:before="71" w:line="282" w:lineRule="auto"/>
              <w:ind w:left="110" w:right="104" w:firstLine="4"/>
              <w:rPr>
                <w:b w:val="0"/>
                <w:bCs w:val="0"/>
                <w:color w:val="auto"/>
                <w:highlight w:val="none"/>
              </w:rPr>
            </w:pPr>
            <w:r>
              <w:rPr>
                <w:b w:val="0"/>
                <w:bCs w:val="0"/>
                <w:color w:val="auto"/>
                <w:spacing w:val="-2"/>
                <w:highlight w:val="none"/>
              </w:rPr>
              <w:t>c)消防车道的净宽度、净空高度和转弯半径，尽头式消防</w:t>
            </w:r>
            <w:r>
              <w:rPr>
                <w:b w:val="0"/>
                <w:bCs w:val="0"/>
                <w:color w:val="auto"/>
                <w:spacing w:val="-3"/>
                <w:highlight w:val="none"/>
              </w:rPr>
              <w:t>车道回车</w:t>
            </w:r>
            <w:r>
              <w:rPr>
                <w:b w:val="0"/>
                <w:bCs w:val="0"/>
                <w:color w:val="auto"/>
                <w:spacing w:val="-2"/>
                <w:highlight w:val="none"/>
              </w:rPr>
              <w:t>场的尺寸；</w:t>
            </w:r>
          </w:p>
        </w:tc>
        <w:tc>
          <w:tcPr>
            <w:tcW w:w="1178" w:type="pct"/>
            <w:vAlign w:val="center"/>
          </w:tcPr>
          <w:p w14:paraId="6B06163F">
            <w:pPr>
              <w:pStyle w:val="23"/>
              <w:keepNext w:val="0"/>
              <w:keepLines w:val="0"/>
              <w:suppressLineNumbers w:val="0"/>
              <w:spacing w:before="68" w:line="282" w:lineRule="auto"/>
              <w:ind w:left="110" w:right="104" w:firstLine="1"/>
              <w:rPr>
                <w:b w:val="0"/>
                <w:bCs w:val="0"/>
                <w:color w:val="auto"/>
                <w:spacing w:val="-2"/>
                <w:highlight w:val="none"/>
              </w:rPr>
            </w:pPr>
            <w:r>
              <w:rPr>
                <w:b w:val="0"/>
                <w:bCs w:val="0"/>
                <w:color w:val="auto"/>
                <w:spacing w:val="-2"/>
                <w:highlight w:val="none"/>
              </w:rPr>
              <w:t>每发现一处不符合要求的扣 1 分，最高扣4 分。</w:t>
            </w:r>
          </w:p>
        </w:tc>
        <w:tc>
          <w:tcPr>
            <w:tcW w:w="367" w:type="pct"/>
            <w:vAlign w:val="center"/>
          </w:tcPr>
          <w:p w14:paraId="543CCC15">
            <w:pPr>
              <w:keepNext w:val="0"/>
              <w:keepLines w:val="0"/>
              <w:suppressLineNumbers w:val="0"/>
              <w:spacing w:before="68" w:beforeAutospacing="0" w:after="0" w:afterAutospacing="0" w:line="282" w:lineRule="auto"/>
              <w:ind w:left="0" w:right="101"/>
              <w:jc w:val="center"/>
              <w:rPr>
                <w:rFonts w:hint="default"/>
                <w:b w:val="0"/>
                <w:bCs w:val="0"/>
                <w:color w:val="auto"/>
                <w:spacing w:val="-3"/>
                <w:highlight w:val="none"/>
              </w:rPr>
            </w:pPr>
          </w:p>
        </w:tc>
        <w:tc>
          <w:tcPr>
            <w:tcW w:w="339" w:type="pct"/>
            <w:vAlign w:val="center"/>
          </w:tcPr>
          <w:p w14:paraId="7C371690">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Merge w:val="continue"/>
            <w:tcBorders>
              <w:top w:val="nil"/>
              <w:bottom w:val="nil"/>
            </w:tcBorders>
            <w:vAlign w:val="center"/>
          </w:tcPr>
          <w:p w14:paraId="09D52DAA">
            <w:pPr>
              <w:keepNext w:val="0"/>
              <w:keepLines w:val="0"/>
              <w:suppressLineNumbers w:val="0"/>
              <w:spacing w:before="0" w:beforeAutospacing="0" w:after="0" w:afterAutospacing="0"/>
              <w:ind w:left="0" w:right="0"/>
              <w:rPr>
                <w:rFonts w:hint="default" w:ascii="Arial"/>
                <w:b w:val="0"/>
                <w:bCs w:val="0"/>
                <w:sz w:val="21"/>
                <w:highlight w:val="none"/>
              </w:rPr>
            </w:pPr>
          </w:p>
        </w:tc>
      </w:tr>
      <w:tr w14:paraId="06FD3E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206" w:type="pct"/>
            <w:vMerge w:val="continue"/>
            <w:tcBorders>
              <w:top w:val="nil"/>
              <w:bottom w:val="nil"/>
            </w:tcBorders>
            <w:vAlign w:val="center"/>
          </w:tcPr>
          <w:p w14:paraId="5D59C84F">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4B221525">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bottom w:val="nil"/>
            </w:tcBorders>
            <w:vAlign w:val="center"/>
          </w:tcPr>
          <w:p w14:paraId="3B7180C7">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21FCFA62">
            <w:pPr>
              <w:pStyle w:val="23"/>
              <w:keepNext w:val="0"/>
              <w:keepLines w:val="0"/>
              <w:suppressLineNumbers w:val="0"/>
              <w:spacing w:before="70" w:line="281" w:lineRule="auto"/>
              <w:ind w:left="113" w:right="104" w:firstLine="2"/>
              <w:rPr>
                <w:b w:val="0"/>
                <w:bCs w:val="0"/>
                <w:color w:val="auto"/>
                <w:highlight w:val="none"/>
              </w:rPr>
            </w:pPr>
            <w:r>
              <w:rPr>
                <w:b w:val="0"/>
                <w:bCs w:val="0"/>
                <w:color w:val="auto"/>
                <w:spacing w:val="-2"/>
                <w:highlight w:val="none"/>
              </w:rPr>
              <w:t>d)消防车道与建筑之间的距离应符合规范的要求，不应有</w:t>
            </w:r>
            <w:r>
              <w:rPr>
                <w:b w:val="0"/>
                <w:bCs w:val="0"/>
                <w:color w:val="auto"/>
                <w:spacing w:val="-3"/>
                <w:highlight w:val="none"/>
              </w:rPr>
              <w:t>妨碍消防</w:t>
            </w:r>
            <w:r>
              <w:rPr>
                <w:b w:val="0"/>
                <w:bCs w:val="0"/>
                <w:color w:val="auto"/>
                <w:spacing w:val="-4"/>
                <w:highlight w:val="none"/>
              </w:rPr>
              <w:t>车作业的障碍物；</w:t>
            </w:r>
          </w:p>
        </w:tc>
        <w:tc>
          <w:tcPr>
            <w:tcW w:w="1178" w:type="pct"/>
            <w:vAlign w:val="center"/>
          </w:tcPr>
          <w:p w14:paraId="6D171317">
            <w:pPr>
              <w:pStyle w:val="23"/>
              <w:keepNext w:val="0"/>
              <w:keepLines w:val="0"/>
              <w:suppressLineNumbers w:val="0"/>
              <w:spacing w:before="68" w:line="282" w:lineRule="auto"/>
              <w:ind w:left="110" w:right="104" w:firstLine="1"/>
              <w:rPr>
                <w:b w:val="0"/>
                <w:bCs w:val="0"/>
                <w:color w:val="auto"/>
                <w:spacing w:val="-2"/>
                <w:highlight w:val="none"/>
              </w:rPr>
            </w:pPr>
            <w:r>
              <w:rPr>
                <w:b w:val="0"/>
                <w:bCs w:val="0"/>
                <w:color w:val="auto"/>
                <w:spacing w:val="-2"/>
                <w:highlight w:val="none"/>
              </w:rPr>
              <w:t>每发现一处不符合要求的扣 1 分，最高扣 2 分。</w:t>
            </w:r>
          </w:p>
        </w:tc>
        <w:tc>
          <w:tcPr>
            <w:tcW w:w="367" w:type="pct"/>
            <w:vAlign w:val="center"/>
          </w:tcPr>
          <w:p w14:paraId="277F6D79">
            <w:pPr>
              <w:keepNext w:val="0"/>
              <w:keepLines w:val="0"/>
              <w:suppressLineNumbers w:val="0"/>
              <w:spacing w:before="68" w:beforeAutospacing="0" w:after="0" w:afterAutospacing="0" w:line="282" w:lineRule="auto"/>
              <w:ind w:left="0" w:right="101"/>
              <w:jc w:val="center"/>
              <w:rPr>
                <w:rFonts w:hint="eastAsia"/>
                <w:b w:val="0"/>
                <w:bCs w:val="0"/>
                <w:color w:val="auto"/>
                <w:spacing w:val="-3"/>
                <w:highlight w:val="none"/>
                <w:lang w:eastAsia="zh-CN"/>
              </w:rPr>
            </w:pPr>
          </w:p>
        </w:tc>
        <w:tc>
          <w:tcPr>
            <w:tcW w:w="339" w:type="pct"/>
            <w:vAlign w:val="center"/>
          </w:tcPr>
          <w:p w14:paraId="70E1F701">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Merge w:val="continue"/>
            <w:tcBorders>
              <w:top w:val="nil"/>
              <w:bottom w:val="nil"/>
            </w:tcBorders>
            <w:vAlign w:val="center"/>
          </w:tcPr>
          <w:p w14:paraId="6CA94B8C">
            <w:pPr>
              <w:keepNext w:val="0"/>
              <w:keepLines w:val="0"/>
              <w:suppressLineNumbers w:val="0"/>
              <w:spacing w:before="0" w:beforeAutospacing="0" w:after="0" w:afterAutospacing="0"/>
              <w:ind w:left="0" w:right="0"/>
              <w:rPr>
                <w:rFonts w:hint="default" w:ascii="Arial"/>
                <w:b w:val="0"/>
                <w:bCs w:val="0"/>
                <w:sz w:val="21"/>
                <w:highlight w:val="none"/>
              </w:rPr>
            </w:pPr>
          </w:p>
        </w:tc>
      </w:tr>
      <w:tr w14:paraId="279A9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206" w:type="pct"/>
            <w:vMerge w:val="continue"/>
            <w:tcBorders>
              <w:top w:val="nil"/>
              <w:bottom w:val="nil"/>
            </w:tcBorders>
            <w:vAlign w:val="center"/>
          </w:tcPr>
          <w:p w14:paraId="1ECB5C75">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10847C77">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bottom w:val="nil"/>
            </w:tcBorders>
            <w:vAlign w:val="center"/>
          </w:tcPr>
          <w:p w14:paraId="258C461A">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54916FD3">
            <w:pPr>
              <w:pStyle w:val="23"/>
              <w:keepNext w:val="0"/>
              <w:keepLines w:val="0"/>
              <w:suppressLineNumbers w:val="0"/>
              <w:spacing w:before="0" w:line="221" w:lineRule="auto"/>
              <w:ind w:left="113"/>
              <w:rPr>
                <w:b w:val="0"/>
                <w:bCs w:val="0"/>
                <w:color w:val="auto"/>
                <w:highlight w:val="none"/>
              </w:rPr>
            </w:pPr>
            <w:r>
              <w:rPr>
                <w:b w:val="0"/>
                <w:bCs w:val="0"/>
                <w:color w:val="auto"/>
                <w:spacing w:val="-1"/>
                <w:highlight w:val="none"/>
              </w:rPr>
              <w:t>e)消防车道的坡度及承重；</w:t>
            </w:r>
          </w:p>
        </w:tc>
        <w:tc>
          <w:tcPr>
            <w:tcW w:w="1178" w:type="pct"/>
            <w:vAlign w:val="center"/>
          </w:tcPr>
          <w:p w14:paraId="3DE6634B">
            <w:pPr>
              <w:pStyle w:val="23"/>
              <w:keepNext w:val="0"/>
              <w:keepLines w:val="0"/>
              <w:suppressLineNumbers w:val="0"/>
              <w:spacing w:before="68" w:line="282" w:lineRule="auto"/>
              <w:ind w:left="110" w:right="104" w:firstLine="1"/>
              <w:rPr>
                <w:b w:val="0"/>
                <w:bCs w:val="0"/>
                <w:color w:val="auto"/>
                <w:spacing w:val="-2"/>
                <w:highlight w:val="none"/>
              </w:rPr>
            </w:pPr>
            <w:r>
              <w:rPr>
                <w:b w:val="0"/>
                <w:bCs w:val="0"/>
                <w:color w:val="auto"/>
                <w:spacing w:val="-2"/>
                <w:highlight w:val="none"/>
              </w:rPr>
              <w:t>每发现一处不符合要求的扣 1 分，最高扣 2 分。</w:t>
            </w:r>
          </w:p>
        </w:tc>
        <w:tc>
          <w:tcPr>
            <w:tcW w:w="367" w:type="pct"/>
            <w:vAlign w:val="center"/>
          </w:tcPr>
          <w:p w14:paraId="112FC2A4">
            <w:pPr>
              <w:keepNext w:val="0"/>
              <w:keepLines w:val="0"/>
              <w:suppressLineNumbers w:val="0"/>
              <w:spacing w:before="68" w:beforeAutospacing="0" w:after="0" w:afterAutospacing="0" w:line="282" w:lineRule="auto"/>
              <w:ind w:left="0" w:right="101"/>
              <w:jc w:val="center"/>
              <w:rPr>
                <w:rFonts w:hint="eastAsia"/>
                <w:b w:val="0"/>
                <w:bCs w:val="0"/>
                <w:color w:val="auto"/>
                <w:spacing w:val="-3"/>
                <w:highlight w:val="none"/>
                <w:lang w:eastAsia="zh-CN"/>
              </w:rPr>
            </w:pPr>
          </w:p>
        </w:tc>
        <w:tc>
          <w:tcPr>
            <w:tcW w:w="339" w:type="pct"/>
            <w:vAlign w:val="center"/>
          </w:tcPr>
          <w:p w14:paraId="3A03D757">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Merge w:val="continue"/>
            <w:tcBorders>
              <w:top w:val="nil"/>
              <w:bottom w:val="nil"/>
            </w:tcBorders>
            <w:vAlign w:val="center"/>
          </w:tcPr>
          <w:p w14:paraId="3012AF5A">
            <w:pPr>
              <w:keepNext w:val="0"/>
              <w:keepLines w:val="0"/>
              <w:suppressLineNumbers w:val="0"/>
              <w:spacing w:before="0" w:beforeAutospacing="0" w:after="0" w:afterAutospacing="0"/>
              <w:ind w:left="0" w:right="0"/>
              <w:rPr>
                <w:rFonts w:hint="default" w:ascii="Arial"/>
                <w:b w:val="0"/>
                <w:bCs w:val="0"/>
                <w:sz w:val="21"/>
                <w:highlight w:val="none"/>
              </w:rPr>
            </w:pPr>
          </w:p>
        </w:tc>
      </w:tr>
      <w:tr w14:paraId="69601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206" w:type="pct"/>
            <w:vMerge w:val="continue"/>
            <w:tcBorders>
              <w:top w:val="nil"/>
              <w:bottom w:val="nil"/>
            </w:tcBorders>
            <w:vAlign w:val="center"/>
          </w:tcPr>
          <w:p w14:paraId="12BAF1B6">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D158450">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tcBorders>
            <w:vAlign w:val="center"/>
          </w:tcPr>
          <w:p w14:paraId="4526F492">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1352DB51">
            <w:pPr>
              <w:pStyle w:val="23"/>
              <w:keepNext w:val="0"/>
              <w:keepLines w:val="0"/>
              <w:suppressLineNumbers w:val="0"/>
              <w:spacing w:before="0" w:line="221" w:lineRule="auto"/>
              <w:ind w:left="113"/>
              <w:rPr>
                <w:b w:val="0"/>
                <w:bCs w:val="0"/>
                <w:color w:val="auto"/>
                <w:highlight w:val="none"/>
              </w:rPr>
            </w:pPr>
            <w:r>
              <w:rPr>
                <w:b w:val="0"/>
                <w:bCs w:val="0"/>
                <w:color w:val="auto"/>
                <w:spacing w:val="-1"/>
                <w:highlight w:val="none"/>
              </w:rPr>
              <w:t>f)消防车道应设置标识，不应被占用、堵塞。</w:t>
            </w:r>
          </w:p>
        </w:tc>
        <w:tc>
          <w:tcPr>
            <w:tcW w:w="1178" w:type="pct"/>
            <w:vAlign w:val="center"/>
          </w:tcPr>
          <w:p w14:paraId="436A22C6">
            <w:pPr>
              <w:pStyle w:val="23"/>
              <w:keepNext w:val="0"/>
              <w:keepLines w:val="0"/>
              <w:suppressLineNumbers w:val="0"/>
              <w:spacing w:before="68" w:line="282" w:lineRule="auto"/>
              <w:ind w:left="110" w:right="104" w:firstLine="1"/>
              <w:rPr>
                <w:b w:val="0"/>
                <w:bCs w:val="0"/>
                <w:color w:val="auto"/>
                <w:spacing w:val="-2"/>
                <w:highlight w:val="none"/>
              </w:rPr>
            </w:pPr>
            <w:r>
              <w:rPr>
                <w:b w:val="0"/>
                <w:bCs w:val="0"/>
                <w:color w:val="auto"/>
                <w:spacing w:val="-2"/>
                <w:highlight w:val="none"/>
              </w:rPr>
              <w:t>每发现一处不符合要求的扣 1 分，最高扣 2 分。</w:t>
            </w:r>
          </w:p>
        </w:tc>
        <w:tc>
          <w:tcPr>
            <w:tcW w:w="367" w:type="pct"/>
            <w:vAlign w:val="center"/>
          </w:tcPr>
          <w:p w14:paraId="3AFED4E0">
            <w:pPr>
              <w:keepNext w:val="0"/>
              <w:keepLines w:val="0"/>
              <w:suppressLineNumbers w:val="0"/>
              <w:spacing w:before="68" w:beforeAutospacing="0" w:after="0" w:afterAutospacing="0" w:line="282" w:lineRule="auto"/>
              <w:ind w:left="0" w:right="101"/>
              <w:jc w:val="center"/>
              <w:rPr>
                <w:rFonts w:hint="default"/>
                <w:b w:val="0"/>
                <w:bCs w:val="0"/>
                <w:color w:val="auto"/>
                <w:spacing w:val="-3"/>
                <w:highlight w:val="none"/>
                <w:lang w:val="en-US" w:eastAsia="zh-CN"/>
              </w:rPr>
            </w:pPr>
          </w:p>
        </w:tc>
        <w:tc>
          <w:tcPr>
            <w:tcW w:w="339" w:type="pct"/>
            <w:vAlign w:val="center"/>
          </w:tcPr>
          <w:p w14:paraId="6D9A4616">
            <w:pPr>
              <w:keepNext w:val="0"/>
              <w:keepLines w:val="0"/>
              <w:suppressLineNumbers w:val="0"/>
              <w:spacing w:before="0" w:beforeAutospacing="0" w:after="0" w:afterAutospacing="0"/>
              <w:ind w:left="0" w:right="0"/>
              <w:rPr>
                <w:rFonts w:hint="default" w:ascii="Arial" w:eastAsia="宋体"/>
                <w:b w:val="0"/>
                <w:bCs w:val="0"/>
                <w:sz w:val="21"/>
                <w:highlight w:val="none"/>
                <w:lang w:val="en-US" w:eastAsia="zh-CN"/>
              </w:rPr>
            </w:pPr>
          </w:p>
        </w:tc>
        <w:tc>
          <w:tcPr>
            <w:tcW w:w="328" w:type="pct"/>
            <w:vMerge w:val="continue"/>
            <w:tcBorders>
              <w:top w:val="nil"/>
            </w:tcBorders>
            <w:vAlign w:val="center"/>
          </w:tcPr>
          <w:p w14:paraId="7EA1A710">
            <w:pPr>
              <w:keepNext w:val="0"/>
              <w:keepLines w:val="0"/>
              <w:suppressLineNumbers w:val="0"/>
              <w:spacing w:before="0" w:beforeAutospacing="0" w:after="0" w:afterAutospacing="0"/>
              <w:ind w:left="0" w:right="0"/>
              <w:rPr>
                <w:rFonts w:hint="default" w:ascii="Arial"/>
                <w:b w:val="0"/>
                <w:bCs w:val="0"/>
                <w:sz w:val="21"/>
                <w:highlight w:val="none"/>
              </w:rPr>
            </w:pPr>
          </w:p>
        </w:tc>
      </w:tr>
      <w:tr w14:paraId="493DA6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5" w:hRule="atLeast"/>
          <w:jc w:val="center"/>
        </w:trPr>
        <w:tc>
          <w:tcPr>
            <w:tcW w:w="206" w:type="pct"/>
            <w:vMerge w:val="continue"/>
            <w:tcBorders>
              <w:top w:val="nil"/>
            </w:tcBorders>
            <w:vAlign w:val="center"/>
          </w:tcPr>
          <w:p w14:paraId="5A37358F">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7135CF02">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0BC5BDA2">
            <w:pPr>
              <w:pStyle w:val="23"/>
              <w:keepNext w:val="0"/>
              <w:keepLines w:val="0"/>
              <w:suppressLineNumbers w:val="0"/>
              <w:spacing w:before="72" w:line="295" w:lineRule="auto"/>
              <w:ind w:left="189" w:right="115" w:hanging="68"/>
              <w:jc w:val="both"/>
              <w:rPr>
                <w:b w:val="0"/>
                <w:bCs w:val="0"/>
                <w:highlight w:val="none"/>
              </w:rPr>
            </w:pPr>
            <w:r>
              <w:rPr>
                <w:b w:val="0"/>
                <w:bCs w:val="0"/>
                <w:spacing w:val="-3"/>
                <w:highlight w:val="none"/>
              </w:rPr>
              <w:t>消防车登高</w:t>
            </w:r>
            <w:r>
              <w:rPr>
                <w:b w:val="0"/>
                <w:bCs w:val="0"/>
                <w:spacing w:val="3"/>
                <w:highlight w:val="none"/>
              </w:rPr>
              <w:t>操作场地</w:t>
            </w:r>
            <w:r>
              <w:rPr>
                <w:b w:val="0"/>
                <w:bCs w:val="0"/>
                <w:spacing w:val="-5"/>
                <w:highlight w:val="none"/>
              </w:rPr>
              <w:t>（18</w:t>
            </w:r>
            <w:r>
              <w:rPr>
                <w:b w:val="0"/>
                <w:bCs w:val="0"/>
                <w:spacing w:val="-35"/>
                <w:highlight w:val="none"/>
              </w:rPr>
              <w:t xml:space="preserve"> </w:t>
            </w:r>
            <w:r>
              <w:rPr>
                <w:b w:val="0"/>
                <w:bCs w:val="0"/>
                <w:spacing w:val="-5"/>
                <w:highlight w:val="none"/>
              </w:rPr>
              <w:t>分）</w:t>
            </w:r>
          </w:p>
        </w:tc>
        <w:tc>
          <w:tcPr>
            <w:tcW w:w="1719" w:type="pct"/>
            <w:vAlign w:val="center"/>
          </w:tcPr>
          <w:p w14:paraId="67C0A576">
            <w:pPr>
              <w:pStyle w:val="23"/>
              <w:keepNext w:val="0"/>
              <w:keepLines w:val="0"/>
              <w:suppressLineNumbers w:val="0"/>
              <w:spacing w:before="59" w:line="220" w:lineRule="auto"/>
              <w:ind w:left="112"/>
              <w:rPr>
                <w:b w:val="0"/>
                <w:bCs w:val="0"/>
                <w:highlight w:val="none"/>
              </w:rPr>
            </w:pPr>
            <w:r>
              <w:rPr>
                <w:b w:val="0"/>
                <w:bCs w:val="0"/>
                <w:spacing w:val="-1"/>
                <w:highlight w:val="none"/>
              </w:rPr>
              <w:t>a)建筑是否按规范要求设置了消防车登高操作场地；</w:t>
            </w:r>
          </w:p>
        </w:tc>
        <w:tc>
          <w:tcPr>
            <w:tcW w:w="1178" w:type="pct"/>
            <w:vAlign w:val="center"/>
          </w:tcPr>
          <w:p w14:paraId="52961617">
            <w:pPr>
              <w:pStyle w:val="23"/>
              <w:keepNext w:val="0"/>
              <w:keepLines w:val="0"/>
              <w:suppressLineNumbers w:val="0"/>
              <w:spacing w:before="68" w:line="282" w:lineRule="auto"/>
              <w:ind w:left="110" w:right="104" w:firstLine="1"/>
              <w:rPr>
                <w:b w:val="0"/>
                <w:bCs w:val="0"/>
                <w:color w:val="auto"/>
                <w:spacing w:val="-2"/>
                <w:highlight w:val="none"/>
              </w:rPr>
            </w:pPr>
            <w:r>
              <w:rPr>
                <w:b w:val="0"/>
                <w:bCs w:val="0"/>
                <w:color w:val="auto"/>
                <w:spacing w:val="-2"/>
                <w:highlight w:val="none"/>
              </w:rPr>
              <w:t>按规范应设但未设置消防车登高操作场地，该评估小项不得分。</w:t>
            </w:r>
          </w:p>
        </w:tc>
        <w:tc>
          <w:tcPr>
            <w:tcW w:w="367" w:type="pct"/>
            <w:vAlign w:val="center"/>
          </w:tcPr>
          <w:p w14:paraId="245EC7C0">
            <w:pPr>
              <w:pStyle w:val="23"/>
              <w:keepNext w:val="0"/>
              <w:keepLines w:val="0"/>
              <w:suppressLineNumbers w:val="0"/>
              <w:spacing w:before="68" w:line="282" w:lineRule="auto"/>
              <w:ind w:right="101"/>
              <w:jc w:val="center"/>
              <w:rPr>
                <w:rFonts w:hint="default"/>
                <w:b w:val="0"/>
                <w:bCs w:val="0"/>
                <w:spacing w:val="-3"/>
                <w:highlight w:val="none"/>
                <w:lang w:val="en-US" w:eastAsia="zh-CN"/>
              </w:rPr>
            </w:pPr>
          </w:p>
        </w:tc>
        <w:tc>
          <w:tcPr>
            <w:tcW w:w="339" w:type="pct"/>
            <w:vAlign w:val="center"/>
          </w:tcPr>
          <w:p w14:paraId="4820ABB2">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Align w:val="center"/>
          </w:tcPr>
          <w:p w14:paraId="740E6BBF">
            <w:pPr>
              <w:keepNext w:val="0"/>
              <w:keepLines w:val="0"/>
              <w:suppressLineNumbers w:val="0"/>
              <w:spacing w:before="0" w:beforeAutospacing="0" w:after="0" w:afterAutospacing="0"/>
              <w:ind w:left="0" w:right="0"/>
              <w:rPr>
                <w:rFonts w:hint="default" w:ascii="Arial" w:eastAsia="宋体"/>
                <w:b w:val="0"/>
                <w:bCs w:val="0"/>
                <w:sz w:val="21"/>
                <w:highlight w:val="none"/>
                <w:lang w:val="en-US" w:eastAsia="zh-CN"/>
              </w:rPr>
            </w:pPr>
          </w:p>
        </w:tc>
      </w:tr>
    </w:tbl>
    <w:p w14:paraId="34022731">
      <w:pPr>
        <w:rPr>
          <w:rFonts w:ascii="Arial"/>
          <w:b w:val="0"/>
          <w:bCs w:val="0"/>
          <w:color w:val="auto"/>
          <w:sz w:val="21"/>
          <w:highlight w:val="none"/>
        </w:rPr>
      </w:pPr>
      <w:r>
        <w:rPr>
          <w:rFonts w:ascii="Arial"/>
          <w:b w:val="0"/>
          <w:bCs w:val="0"/>
          <w:color w:val="auto"/>
          <w:sz w:val="21"/>
          <w:highlight w:val="none"/>
        </w:rPr>
        <w:br w:type="page"/>
      </w:r>
    </w:p>
    <w:tbl>
      <w:tblPr>
        <w:tblStyle w:val="24"/>
        <w:tblW w:w="496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6"/>
        <w:gridCol w:w="1473"/>
        <w:gridCol w:w="1094"/>
        <w:gridCol w:w="5137"/>
        <w:gridCol w:w="3517"/>
        <w:gridCol w:w="1094"/>
        <w:gridCol w:w="1013"/>
        <w:gridCol w:w="986"/>
      </w:tblGrid>
      <w:tr w14:paraId="37F4FD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206" w:type="pct"/>
            <w:vAlign w:val="center"/>
          </w:tcPr>
          <w:p w14:paraId="66483216">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39FB61C5">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030EB21A">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19" w:type="pct"/>
            <w:vAlign w:val="center"/>
          </w:tcPr>
          <w:p w14:paraId="12B68632">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7" w:type="pct"/>
            <w:vAlign w:val="center"/>
          </w:tcPr>
          <w:p w14:paraId="56C5D006">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4CD64241">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2341ACCA">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2B6CAD64">
            <w:pPr>
              <w:pStyle w:val="23"/>
              <w:keepNext w:val="0"/>
              <w:keepLines w:val="0"/>
              <w:suppressLineNumbers w:val="0"/>
              <w:spacing w:before="71" w:line="220" w:lineRule="auto"/>
              <w:ind w:left="295"/>
              <w:rPr>
                <w:highlight w:val="none"/>
              </w:rPr>
            </w:pPr>
            <w:r>
              <w:rPr>
                <w:b/>
                <w:bCs/>
                <w:spacing w:val="-4"/>
                <w:highlight w:val="none"/>
              </w:rPr>
              <w:t>得分</w:t>
            </w:r>
          </w:p>
        </w:tc>
      </w:tr>
      <w:tr w14:paraId="3F9B0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restart"/>
            <w:tcBorders>
              <w:bottom w:val="nil"/>
            </w:tcBorders>
            <w:vAlign w:val="center"/>
          </w:tcPr>
          <w:p w14:paraId="4004BD94">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bottom w:val="nil"/>
            </w:tcBorders>
            <w:vAlign w:val="center"/>
          </w:tcPr>
          <w:p w14:paraId="479F6570">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restart"/>
            <w:tcBorders>
              <w:bottom w:val="nil"/>
            </w:tcBorders>
            <w:vAlign w:val="center"/>
          </w:tcPr>
          <w:p w14:paraId="2BE3DBE9">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2C1447EC">
            <w:pPr>
              <w:pStyle w:val="23"/>
              <w:keepNext w:val="0"/>
              <w:keepLines w:val="0"/>
              <w:suppressLineNumbers w:val="0"/>
              <w:spacing w:before="66" w:line="283" w:lineRule="auto"/>
              <w:ind w:left="111" w:right="102" w:hanging="3"/>
              <w:rPr>
                <w:b w:val="0"/>
                <w:bCs w:val="0"/>
                <w:highlight w:val="none"/>
              </w:rPr>
            </w:pPr>
            <w:r>
              <w:rPr>
                <w:b w:val="0"/>
                <w:bCs w:val="0"/>
                <w:spacing w:val="2"/>
                <w:highlight w:val="none"/>
              </w:rPr>
              <w:t>b)消防车登高操作场地的布置形式、设置位</w:t>
            </w:r>
            <w:r>
              <w:rPr>
                <w:b w:val="0"/>
                <w:bCs w:val="0"/>
                <w:spacing w:val="1"/>
                <w:highlight w:val="none"/>
              </w:rPr>
              <w:t>置应符合规范</w:t>
            </w:r>
            <w:r>
              <w:rPr>
                <w:b w:val="0"/>
                <w:bCs w:val="0"/>
                <w:spacing w:val="-1"/>
                <w:highlight w:val="none"/>
              </w:rPr>
              <w:t>要求，操作场地不应有影响登高车停靠、作业</w:t>
            </w:r>
            <w:r>
              <w:rPr>
                <w:b w:val="0"/>
                <w:bCs w:val="0"/>
                <w:spacing w:val="-2"/>
                <w:highlight w:val="none"/>
              </w:rPr>
              <w:t>的障碍物；</w:t>
            </w:r>
          </w:p>
        </w:tc>
        <w:tc>
          <w:tcPr>
            <w:tcW w:w="1177" w:type="pct"/>
            <w:vAlign w:val="center"/>
          </w:tcPr>
          <w:p w14:paraId="08703A0A">
            <w:pPr>
              <w:pStyle w:val="23"/>
              <w:keepNext w:val="0"/>
              <w:keepLines w:val="0"/>
              <w:suppressLineNumbers w:val="0"/>
              <w:spacing w:before="66" w:line="283"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4"/>
                <w:highlight w:val="none"/>
              </w:rPr>
              <w:t xml:space="preserve"> </w:t>
            </w:r>
            <w:r>
              <w:rPr>
                <w:b w:val="0"/>
                <w:bCs w:val="0"/>
                <w:spacing w:val="-10"/>
                <w:highlight w:val="none"/>
              </w:rPr>
              <w:t>3</w:t>
            </w:r>
            <w:r>
              <w:rPr>
                <w:b w:val="0"/>
                <w:bCs w:val="0"/>
                <w:spacing w:val="-35"/>
                <w:highlight w:val="none"/>
              </w:rPr>
              <w:t xml:space="preserve"> </w:t>
            </w:r>
            <w:r>
              <w:rPr>
                <w:b w:val="0"/>
                <w:bCs w:val="0"/>
                <w:spacing w:val="-10"/>
                <w:highlight w:val="none"/>
              </w:rPr>
              <w:t>分。</w:t>
            </w:r>
          </w:p>
        </w:tc>
        <w:tc>
          <w:tcPr>
            <w:tcW w:w="366" w:type="pct"/>
            <w:vAlign w:val="center"/>
          </w:tcPr>
          <w:p w14:paraId="2D75FB6C">
            <w:pPr>
              <w:pStyle w:val="23"/>
              <w:keepNext w:val="0"/>
              <w:keepLines w:val="0"/>
              <w:suppressLineNumbers w:val="0"/>
              <w:spacing w:before="68" w:line="282" w:lineRule="auto"/>
              <w:ind w:right="101"/>
              <w:jc w:val="center"/>
              <w:rPr>
                <w:rFonts w:hint="default"/>
                <w:b w:val="0"/>
                <w:bCs w:val="0"/>
                <w:spacing w:val="-3"/>
                <w:highlight w:val="none"/>
                <w:lang w:val="en-US" w:eastAsia="zh-CN"/>
              </w:rPr>
            </w:pPr>
          </w:p>
        </w:tc>
        <w:tc>
          <w:tcPr>
            <w:tcW w:w="339" w:type="pct"/>
            <w:vAlign w:val="center"/>
          </w:tcPr>
          <w:p w14:paraId="75317E1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restart"/>
            <w:tcBorders>
              <w:bottom w:val="nil"/>
            </w:tcBorders>
            <w:vAlign w:val="center"/>
          </w:tcPr>
          <w:p w14:paraId="4D4166F3">
            <w:pPr>
              <w:keepNext w:val="0"/>
              <w:keepLines w:val="0"/>
              <w:suppressLineNumbers w:val="0"/>
              <w:spacing w:before="0" w:beforeAutospacing="0" w:after="0" w:afterAutospacing="0"/>
              <w:ind w:left="0" w:right="0"/>
              <w:rPr>
                <w:rFonts w:hint="default" w:ascii="Arial"/>
                <w:b w:val="0"/>
                <w:bCs w:val="0"/>
                <w:sz w:val="21"/>
                <w:highlight w:val="none"/>
              </w:rPr>
            </w:pPr>
          </w:p>
        </w:tc>
      </w:tr>
      <w:tr w14:paraId="4CC25D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continue"/>
            <w:tcBorders>
              <w:top w:val="nil"/>
              <w:bottom w:val="nil"/>
            </w:tcBorders>
            <w:vAlign w:val="center"/>
          </w:tcPr>
          <w:p w14:paraId="63AE49C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EA5A391">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4CCA1A45">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493F6DBE">
            <w:pPr>
              <w:pStyle w:val="23"/>
              <w:keepNext w:val="0"/>
              <w:keepLines w:val="0"/>
              <w:suppressLineNumbers w:val="0"/>
              <w:spacing w:before="0" w:line="221" w:lineRule="auto"/>
              <w:ind w:left="113"/>
              <w:rPr>
                <w:b w:val="0"/>
                <w:bCs w:val="0"/>
                <w:highlight w:val="none"/>
              </w:rPr>
            </w:pPr>
            <w:r>
              <w:rPr>
                <w:b w:val="0"/>
                <w:bCs w:val="0"/>
                <w:spacing w:val="-1"/>
                <w:highlight w:val="none"/>
              </w:rPr>
              <w:t>c)消防车登高操作场地的尺寸；</w:t>
            </w:r>
          </w:p>
        </w:tc>
        <w:tc>
          <w:tcPr>
            <w:tcW w:w="1177" w:type="pct"/>
            <w:vAlign w:val="center"/>
          </w:tcPr>
          <w:p w14:paraId="06CFC2A6">
            <w:pPr>
              <w:pStyle w:val="23"/>
              <w:keepNext w:val="0"/>
              <w:keepLines w:val="0"/>
              <w:suppressLineNumbers w:val="0"/>
              <w:spacing w:before="66" w:line="283"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4"/>
                <w:highlight w:val="none"/>
              </w:rPr>
              <w:t xml:space="preserve"> </w:t>
            </w:r>
            <w:r>
              <w:rPr>
                <w:b w:val="0"/>
                <w:bCs w:val="0"/>
                <w:spacing w:val="-10"/>
                <w:highlight w:val="none"/>
              </w:rPr>
              <w:t>3</w:t>
            </w:r>
            <w:r>
              <w:rPr>
                <w:b w:val="0"/>
                <w:bCs w:val="0"/>
                <w:spacing w:val="-35"/>
                <w:highlight w:val="none"/>
              </w:rPr>
              <w:t xml:space="preserve"> </w:t>
            </w:r>
            <w:r>
              <w:rPr>
                <w:b w:val="0"/>
                <w:bCs w:val="0"/>
                <w:spacing w:val="-10"/>
                <w:highlight w:val="none"/>
              </w:rPr>
              <w:t>分。</w:t>
            </w:r>
          </w:p>
        </w:tc>
        <w:tc>
          <w:tcPr>
            <w:tcW w:w="366" w:type="pct"/>
            <w:vAlign w:val="center"/>
          </w:tcPr>
          <w:p w14:paraId="153CF043">
            <w:pPr>
              <w:pStyle w:val="23"/>
              <w:keepNext w:val="0"/>
              <w:keepLines w:val="0"/>
              <w:suppressLineNumbers w:val="0"/>
              <w:spacing w:before="68" w:line="282" w:lineRule="auto"/>
              <w:ind w:right="101"/>
              <w:jc w:val="center"/>
              <w:rPr>
                <w:rFonts w:hint="default"/>
                <w:b w:val="0"/>
                <w:bCs w:val="0"/>
                <w:spacing w:val="-3"/>
                <w:highlight w:val="none"/>
                <w:lang w:val="en-US" w:eastAsia="zh-CN"/>
              </w:rPr>
            </w:pPr>
          </w:p>
        </w:tc>
        <w:tc>
          <w:tcPr>
            <w:tcW w:w="339" w:type="pct"/>
            <w:vAlign w:val="center"/>
          </w:tcPr>
          <w:p w14:paraId="70673118">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789CCE48">
            <w:pPr>
              <w:keepNext w:val="0"/>
              <w:keepLines w:val="0"/>
              <w:suppressLineNumbers w:val="0"/>
              <w:spacing w:before="0" w:beforeAutospacing="0" w:after="0" w:afterAutospacing="0"/>
              <w:ind w:left="0" w:right="0"/>
              <w:rPr>
                <w:rFonts w:hint="default" w:ascii="Arial"/>
                <w:b w:val="0"/>
                <w:bCs w:val="0"/>
                <w:sz w:val="21"/>
                <w:highlight w:val="none"/>
              </w:rPr>
            </w:pPr>
          </w:p>
        </w:tc>
      </w:tr>
      <w:tr w14:paraId="421A2D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continue"/>
            <w:tcBorders>
              <w:top w:val="nil"/>
              <w:bottom w:val="nil"/>
            </w:tcBorders>
            <w:vAlign w:val="center"/>
          </w:tcPr>
          <w:p w14:paraId="724DB79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0E475B1B">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42C62F41">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0EA331E6">
            <w:pPr>
              <w:pStyle w:val="23"/>
              <w:keepNext w:val="0"/>
              <w:keepLines w:val="0"/>
              <w:suppressLineNumbers w:val="0"/>
              <w:spacing w:before="0" w:line="221" w:lineRule="auto"/>
              <w:ind w:left="113"/>
              <w:rPr>
                <w:b w:val="0"/>
                <w:bCs w:val="0"/>
                <w:highlight w:val="none"/>
              </w:rPr>
            </w:pPr>
            <w:r>
              <w:rPr>
                <w:b w:val="0"/>
                <w:bCs w:val="0"/>
                <w:spacing w:val="-1"/>
                <w:highlight w:val="none"/>
              </w:rPr>
              <w:t>d)消防车登高操作</w:t>
            </w:r>
            <w:r>
              <w:rPr>
                <w:b w:val="0"/>
                <w:bCs w:val="0"/>
                <w:color w:val="auto"/>
                <w:spacing w:val="-1"/>
                <w:highlight w:val="none"/>
              </w:rPr>
              <w:t>场地</w:t>
            </w:r>
            <w:r>
              <w:rPr>
                <w:b w:val="0"/>
                <w:bCs w:val="0"/>
                <w:spacing w:val="-1"/>
                <w:highlight w:val="none"/>
              </w:rPr>
              <w:t>的坡度、承重；</w:t>
            </w:r>
          </w:p>
        </w:tc>
        <w:tc>
          <w:tcPr>
            <w:tcW w:w="1177" w:type="pct"/>
            <w:vAlign w:val="center"/>
          </w:tcPr>
          <w:p w14:paraId="5D2DE18F">
            <w:pPr>
              <w:pStyle w:val="23"/>
              <w:keepNext w:val="0"/>
              <w:keepLines w:val="0"/>
              <w:suppressLineNumbers w:val="0"/>
              <w:spacing w:before="68" w:line="282"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4"/>
                <w:highlight w:val="none"/>
              </w:rPr>
              <w:t xml:space="preserve"> </w:t>
            </w:r>
            <w:r>
              <w:rPr>
                <w:b w:val="0"/>
                <w:bCs w:val="0"/>
                <w:spacing w:val="-10"/>
                <w:highlight w:val="none"/>
              </w:rPr>
              <w:t>3</w:t>
            </w:r>
            <w:r>
              <w:rPr>
                <w:b w:val="0"/>
                <w:bCs w:val="0"/>
                <w:spacing w:val="-35"/>
                <w:highlight w:val="none"/>
              </w:rPr>
              <w:t xml:space="preserve"> </w:t>
            </w:r>
            <w:r>
              <w:rPr>
                <w:b w:val="0"/>
                <w:bCs w:val="0"/>
                <w:spacing w:val="-10"/>
                <w:highlight w:val="none"/>
              </w:rPr>
              <w:t>分。</w:t>
            </w:r>
          </w:p>
        </w:tc>
        <w:tc>
          <w:tcPr>
            <w:tcW w:w="366" w:type="pct"/>
            <w:vAlign w:val="center"/>
          </w:tcPr>
          <w:p w14:paraId="7DA99CC3">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50849B53">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07C248A5">
            <w:pPr>
              <w:keepNext w:val="0"/>
              <w:keepLines w:val="0"/>
              <w:suppressLineNumbers w:val="0"/>
              <w:spacing w:before="0" w:beforeAutospacing="0" w:after="0" w:afterAutospacing="0"/>
              <w:ind w:left="0" w:right="0"/>
              <w:rPr>
                <w:rFonts w:hint="default" w:ascii="Arial"/>
                <w:b w:val="0"/>
                <w:bCs w:val="0"/>
                <w:sz w:val="21"/>
                <w:highlight w:val="none"/>
              </w:rPr>
            </w:pPr>
          </w:p>
        </w:tc>
      </w:tr>
      <w:tr w14:paraId="7434F7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206" w:type="pct"/>
            <w:vMerge w:val="continue"/>
            <w:tcBorders>
              <w:top w:val="nil"/>
              <w:bottom w:val="nil"/>
            </w:tcBorders>
            <w:vAlign w:val="center"/>
          </w:tcPr>
          <w:p w14:paraId="6B270740">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47B32073">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5A7DF1F1">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6907522C">
            <w:pPr>
              <w:pStyle w:val="23"/>
              <w:keepNext w:val="0"/>
              <w:keepLines w:val="0"/>
              <w:suppressLineNumbers w:val="0"/>
              <w:spacing w:before="0" w:line="221" w:lineRule="auto"/>
              <w:ind w:left="113"/>
              <w:rPr>
                <w:b w:val="0"/>
                <w:bCs w:val="0"/>
                <w:highlight w:val="none"/>
              </w:rPr>
            </w:pPr>
            <w:r>
              <w:rPr>
                <w:b w:val="0"/>
                <w:bCs w:val="0"/>
                <w:spacing w:val="-1"/>
                <w:highlight w:val="none"/>
              </w:rPr>
              <w:t>e)场地之间的距离以及场地与建筑之间的距离；</w:t>
            </w:r>
          </w:p>
        </w:tc>
        <w:tc>
          <w:tcPr>
            <w:tcW w:w="1177" w:type="pct"/>
            <w:vAlign w:val="center"/>
          </w:tcPr>
          <w:p w14:paraId="0C35B76A">
            <w:pPr>
              <w:pStyle w:val="23"/>
              <w:keepNext w:val="0"/>
              <w:keepLines w:val="0"/>
              <w:suppressLineNumbers w:val="0"/>
              <w:spacing w:before="71" w:line="282"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4"/>
                <w:highlight w:val="none"/>
              </w:rPr>
              <w:t xml:space="preserve"> </w:t>
            </w:r>
            <w:r>
              <w:rPr>
                <w:b w:val="0"/>
                <w:bCs w:val="0"/>
                <w:spacing w:val="-10"/>
                <w:highlight w:val="none"/>
              </w:rPr>
              <w:t>3</w:t>
            </w:r>
            <w:r>
              <w:rPr>
                <w:b w:val="0"/>
                <w:bCs w:val="0"/>
                <w:spacing w:val="-35"/>
                <w:highlight w:val="none"/>
              </w:rPr>
              <w:t xml:space="preserve"> </w:t>
            </w:r>
            <w:r>
              <w:rPr>
                <w:b w:val="0"/>
                <w:bCs w:val="0"/>
                <w:spacing w:val="-10"/>
                <w:highlight w:val="none"/>
              </w:rPr>
              <w:t>分。</w:t>
            </w:r>
          </w:p>
        </w:tc>
        <w:tc>
          <w:tcPr>
            <w:tcW w:w="366" w:type="pct"/>
            <w:vAlign w:val="center"/>
          </w:tcPr>
          <w:p w14:paraId="7D57A55D">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9" w:type="pct"/>
            <w:vAlign w:val="center"/>
          </w:tcPr>
          <w:p w14:paraId="53E3E8E4">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302E6659">
            <w:pPr>
              <w:keepNext w:val="0"/>
              <w:keepLines w:val="0"/>
              <w:suppressLineNumbers w:val="0"/>
              <w:spacing w:before="0" w:beforeAutospacing="0" w:after="0" w:afterAutospacing="0"/>
              <w:ind w:left="0" w:right="0"/>
              <w:rPr>
                <w:rFonts w:hint="default" w:ascii="Arial"/>
                <w:b w:val="0"/>
                <w:bCs w:val="0"/>
                <w:sz w:val="21"/>
                <w:highlight w:val="none"/>
              </w:rPr>
            </w:pPr>
          </w:p>
        </w:tc>
      </w:tr>
      <w:tr w14:paraId="49EF0D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continue"/>
            <w:tcBorders>
              <w:top w:val="nil"/>
              <w:bottom w:val="nil"/>
            </w:tcBorders>
            <w:vAlign w:val="center"/>
          </w:tcPr>
          <w:p w14:paraId="237967F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7C569662">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05441F07">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168BE986">
            <w:pPr>
              <w:pStyle w:val="23"/>
              <w:keepNext w:val="0"/>
              <w:keepLines w:val="0"/>
              <w:suppressLineNumbers w:val="0"/>
              <w:spacing w:before="68" w:line="282" w:lineRule="auto"/>
              <w:ind w:left="112" w:right="102" w:firstLine="1"/>
              <w:rPr>
                <w:b w:val="0"/>
                <w:bCs w:val="0"/>
                <w:highlight w:val="none"/>
              </w:rPr>
            </w:pPr>
            <w:r>
              <w:rPr>
                <w:b w:val="0"/>
                <w:bCs w:val="0"/>
                <w:spacing w:val="1"/>
                <w:highlight w:val="none"/>
              </w:rPr>
              <w:t>f)建筑物与消防车登高操作场地相对应的范围内，应设置</w:t>
            </w:r>
            <w:r>
              <w:rPr>
                <w:b w:val="0"/>
                <w:bCs w:val="0"/>
                <w:spacing w:val="-1"/>
                <w:highlight w:val="none"/>
              </w:rPr>
              <w:t>直通室外的楼梯或直通楼梯间的入口；</w:t>
            </w:r>
          </w:p>
        </w:tc>
        <w:tc>
          <w:tcPr>
            <w:tcW w:w="1177" w:type="pct"/>
            <w:vAlign w:val="center"/>
          </w:tcPr>
          <w:p w14:paraId="4E1DEA44">
            <w:pPr>
              <w:pStyle w:val="23"/>
              <w:keepNext w:val="0"/>
              <w:keepLines w:val="0"/>
              <w:suppressLineNumbers w:val="0"/>
              <w:spacing w:before="68" w:line="282"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4"/>
                <w:highlight w:val="none"/>
              </w:rPr>
              <w:t xml:space="preserve"> </w:t>
            </w:r>
            <w:r>
              <w:rPr>
                <w:b w:val="0"/>
                <w:bCs w:val="0"/>
                <w:spacing w:val="-10"/>
                <w:highlight w:val="none"/>
              </w:rPr>
              <w:t>3</w:t>
            </w:r>
            <w:r>
              <w:rPr>
                <w:b w:val="0"/>
                <w:bCs w:val="0"/>
                <w:spacing w:val="-35"/>
                <w:highlight w:val="none"/>
              </w:rPr>
              <w:t xml:space="preserve"> </w:t>
            </w:r>
            <w:r>
              <w:rPr>
                <w:b w:val="0"/>
                <w:bCs w:val="0"/>
                <w:spacing w:val="-10"/>
                <w:highlight w:val="none"/>
              </w:rPr>
              <w:t>分。</w:t>
            </w:r>
          </w:p>
        </w:tc>
        <w:tc>
          <w:tcPr>
            <w:tcW w:w="366" w:type="pct"/>
            <w:vAlign w:val="center"/>
          </w:tcPr>
          <w:p w14:paraId="46B0CAD2">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9" w:type="pct"/>
            <w:vAlign w:val="center"/>
          </w:tcPr>
          <w:p w14:paraId="3EF60FFA">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6496F2E6">
            <w:pPr>
              <w:keepNext w:val="0"/>
              <w:keepLines w:val="0"/>
              <w:suppressLineNumbers w:val="0"/>
              <w:spacing w:before="0" w:beforeAutospacing="0" w:after="0" w:afterAutospacing="0"/>
              <w:ind w:left="0" w:right="0"/>
              <w:rPr>
                <w:rFonts w:hint="default" w:ascii="Arial"/>
                <w:b w:val="0"/>
                <w:bCs w:val="0"/>
                <w:sz w:val="21"/>
                <w:highlight w:val="none"/>
              </w:rPr>
            </w:pPr>
          </w:p>
        </w:tc>
      </w:tr>
      <w:tr w14:paraId="109CE1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continue"/>
            <w:tcBorders>
              <w:top w:val="nil"/>
            </w:tcBorders>
            <w:vAlign w:val="center"/>
          </w:tcPr>
          <w:p w14:paraId="3F51B756">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315C608C">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21C3B20D">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449E9919">
            <w:pPr>
              <w:pStyle w:val="23"/>
              <w:keepNext w:val="0"/>
              <w:keepLines w:val="0"/>
              <w:suppressLineNumbers w:val="0"/>
              <w:spacing w:before="0" w:line="221" w:lineRule="auto"/>
              <w:ind w:left="113"/>
              <w:rPr>
                <w:b w:val="0"/>
                <w:bCs w:val="0"/>
                <w:color w:val="auto"/>
                <w:highlight w:val="none"/>
              </w:rPr>
            </w:pPr>
            <w:r>
              <w:rPr>
                <w:b w:val="0"/>
                <w:bCs w:val="0"/>
                <w:color w:val="auto"/>
                <w:spacing w:val="-2"/>
                <w:highlight w:val="none"/>
              </w:rPr>
              <w:t>g)消防车登高操作</w:t>
            </w:r>
            <w:r>
              <w:rPr>
                <w:b w:val="0"/>
                <w:bCs w:val="0"/>
                <w:color w:val="auto"/>
                <w:spacing w:val="-1"/>
                <w:highlight w:val="none"/>
              </w:rPr>
              <w:t>场地</w:t>
            </w:r>
            <w:r>
              <w:rPr>
                <w:b w:val="0"/>
                <w:bCs w:val="0"/>
                <w:color w:val="auto"/>
                <w:spacing w:val="-2"/>
                <w:highlight w:val="none"/>
              </w:rPr>
              <w:t>应设置标识，不应被占用。</w:t>
            </w:r>
          </w:p>
        </w:tc>
        <w:tc>
          <w:tcPr>
            <w:tcW w:w="1177" w:type="pct"/>
            <w:vAlign w:val="center"/>
          </w:tcPr>
          <w:p w14:paraId="519EDE58">
            <w:pPr>
              <w:pStyle w:val="23"/>
              <w:keepNext w:val="0"/>
              <w:keepLines w:val="0"/>
              <w:suppressLineNumbers w:val="0"/>
              <w:spacing w:before="68" w:line="282" w:lineRule="auto"/>
              <w:ind w:left="114" w:right="102" w:hanging="2"/>
              <w:rPr>
                <w:b w:val="0"/>
                <w:bCs w:val="0"/>
                <w:color w:val="auto"/>
                <w:highlight w:val="none"/>
              </w:rPr>
            </w:pPr>
            <w:r>
              <w:rPr>
                <w:b w:val="0"/>
                <w:bCs w:val="0"/>
                <w:color w:val="auto"/>
                <w:spacing w:val="-2"/>
                <w:highlight w:val="none"/>
              </w:rPr>
              <w:t>每发现一处不符合要求的扣 1 分，最高</w:t>
            </w:r>
            <w:r>
              <w:rPr>
                <w:b w:val="0"/>
                <w:bCs w:val="0"/>
                <w:color w:val="auto"/>
                <w:spacing w:val="-10"/>
                <w:highlight w:val="none"/>
              </w:rPr>
              <w:t>扣</w:t>
            </w:r>
            <w:r>
              <w:rPr>
                <w:b w:val="0"/>
                <w:bCs w:val="0"/>
                <w:color w:val="auto"/>
                <w:spacing w:val="-34"/>
                <w:highlight w:val="none"/>
              </w:rPr>
              <w:t xml:space="preserve"> </w:t>
            </w:r>
            <w:r>
              <w:rPr>
                <w:b w:val="0"/>
                <w:bCs w:val="0"/>
                <w:color w:val="auto"/>
                <w:spacing w:val="-10"/>
                <w:highlight w:val="none"/>
              </w:rPr>
              <w:t>3</w:t>
            </w:r>
            <w:r>
              <w:rPr>
                <w:b w:val="0"/>
                <w:bCs w:val="0"/>
                <w:color w:val="auto"/>
                <w:spacing w:val="-35"/>
                <w:highlight w:val="none"/>
              </w:rPr>
              <w:t xml:space="preserve"> </w:t>
            </w:r>
            <w:r>
              <w:rPr>
                <w:b w:val="0"/>
                <w:bCs w:val="0"/>
                <w:color w:val="auto"/>
                <w:spacing w:val="-10"/>
                <w:highlight w:val="none"/>
              </w:rPr>
              <w:t>分。</w:t>
            </w:r>
          </w:p>
        </w:tc>
        <w:tc>
          <w:tcPr>
            <w:tcW w:w="366" w:type="pct"/>
            <w:vAlign w:val="center"/>
          </w:tcPr>
          <w:p w14:paraId="3BBAE2FF">
            <w:pPr>
              <w:keepNext w:val="0"/>
              <w:keepLines w:val="0"/>
              <w:suppressLineNumbers w:val="0"/>
              <w:spacing w:before="68" w:beforeAutospacing="0" w:after="0" w:afterAutospacing="0" w:line="282" w:lineRule="auto"/>
              <w:ind w:left="0" w:right="101" w:rightChars="0"/>
              <w:jc w:val="center"/>
              <w:rPr>
                <w:rFonts w:hint="default"/>
                <w:b w:val="0"/>
                <w:bCs w:val="0"/>
                <w:spacing w:val="-10"/>
                <w:highlight w:val="none"/>
                <w:lang w:val="en-US" w:eastAsia="zh-CN"/>
              </w:rPr>
            </w:pPr>
          </w:p>
        </w:tc>
        <w:tc>
          <w:tcPr>
            <w:tcW w:w="339" w:type="pct"/>
            <w:vAlign w:val="center"/>
          </w:tcPr>
          <w:p w14:paraId="5E5346D5">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continue"/>
            <w:tcBorders>
              <w:top w:val="nil"/>
            </w:tcBorders>
            <w:vAlign w:val="center"/>
          </w:tcPr>
          <w:p w14:paraId="13C2A0B6">
            <w:pPr>
              <w:keepNext w:val="0"/>
              <w:keepLines w:val="0"/>
              <w:suppressLineNumbers w:val="0"/>
              <w:spacing w:before="0" w:beforeAutospacing="0" w:after="0" w:afterAutospacing="0"/>
              <w:ind w:left="0" w:right="0"/>
              <w:rPr>
                <w:rFonts w:hint="default" w:ascii="Arial"/>
                <w:b w:val="0"/>
                <w:bCs w:val="0"/>
                <w:color w:val="auto"/>
                <w:sz w:val="21"/>
                <w:highlight w:val="none"/>
              </w:rPr>
            </w:pPr>
          </w:p>
        </w:tc>
      </w:tr>
      <w:tr w14:paraId="4EB5EC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restart"/>
            <w:tcBorders>
              <w:bottom w:val="nil"/>
            </w:tcBorders>
            <w:vAlign w:val="center"/>
          </w:tcPr>
          <w:p w14:paraId="3278528D">
            <w:pPr>
              <w:pStyle w:val="23"/>
              <w:keepNext w:val="0"/>
              <w:keepLines w:val="0"/>
              <w:suppressLineNumbers w:val="0"/>
              <w:spacing w:before="59" w:line="181" w:lineRule="auto"/>
              <w:ind w:left="264"/>
              <w:rPr>
                <w:b w:val="0"/>
                <w:bCs w:val="0"/>
                <w:highlight w:val="none"/>
              </w:rPr>
            </w:pPr>
            <w:r>
              <w:rPr>
                <w:b w:val="0"/>
                <w:bCs w:val="0"/>
                <w:spacing w:val="-2"/>
                <w:highlight w:val="none"/>
              </w:rPr>
              <w:t>3</w:t>
            </w:r>
          </w:p>
        </w:tc>
        <w:tc>
          <w:tcPr>
            <w:tcW w:w="493" w:type="pct"/>
            <w:vMerge w:val="restart"/>
            <w:tcBorders>
              <w:bottom w:val="nil"/>
            </w:tcBorders>
            <w:vAlign w:val="center"/>
          </w:tcPr>
          <w:p w14:paraId="2E42697B">
            <w:pPr>
              <w:pStyle w:val="23"/>
              <w:keepNext w:val="0"/>
              <w:keepLines w:val="0"/>
              <w:suppressLineNumbers w:val="0"/>
              <w:autoSpaceDE/>
              <w:autoSpaceDN/>
              <w:spacing w:before="59" w:line="308" w:lineRule="auto"/>
              <w:ind w:left="439" w:right="170" w:firstLine="0"/>
              <w:rPr>
                <w:b w:val="0"/>
                <w:bCs w:val="0"/>
                <w:highlight w:val="none"/>
              </w:rPr>
            </w:pPr>
            <w:r>
              <w:rPr>
                <w:b w:val="0"/>
                <w:bCs w:val="0"/>
                <w:spacing w:val="-2"/>
                <w:highlight w:val="none"/>
              </w:rPr>
              <w:t>平面布置与防</w:t>
            </w:r>
            <w:r>
              <w:rPr>
                <w:b w:val="0"/>
                <w:bCs w:val="0"/>
                <w:spacing w:val="-3"/>
                <w:highlight w:val="none"/>
              </w:rPr>
              <w:t>火分隔</w:t>
            </w:r>
            <w:r>
              <w:rPr>
                <w:b w:val="0"/>
                <w:bCs w:val="0"/>
                <w:spacing w:val="-5"/>
                <w:highlight w:val="none"/>
              </w:rPr>
              <w:t>（40</w:t>
            </w:r>
            <w:r>
              <w:rPr>
                <w:b w:val="0"/>
                <w:bCs w:val="0"/>
                <w:spacing w:val="-35"/>
                <w:highlight w:val="none"/>
              </w:rPr>
              <w:t xml:space="preserve"> </w:t>
            </w:r>
            <w:r>
              <w:rPr>
                <w:b w:val="0"/>
                <w:bCs w:val="0"/>
                <w:spacing w:val="-5"/>
                <w:highlight w:val="none"/>
              </w:rPr>
              <w:t>分）</w:t>
            </w:r>
          </w:p>
        </w:tc>
        <w:tc>
          <w:tcPr>
            <w:tcW w:w="366" w:type="pct"/>
            <w:vMerge w:val="restart"/>
            <w:tcBorders>
              <w:bottom w:val="nil"/>
            </w:tcBorders>
            <w:vAlign w:val="center"/>
          </w:tcPr>
          <w:p w14:paraId="759A6F0A">
            <w:pPr>
              <w:pStyle w:val="23"/>
              <w:keepNext w:val="0"/>
              <w:keepLines w:val="0"/>
              <w:suppressLineNumbers w:val="0"/>
              <w:spacing w:before="70" w:line="281" w:lineRule="auto"/>
              <w:ind w:left="114" w:right="101" w:hanging="2"/>
              <w:jc w:val="center"/>
              <w:rPr>
                <w:rFonts w:hint="eastAsia"/>
                <w:b w:val="0"/>
                <w:bCs w:val="0"/>
                <w:spacing w:val="-2"/>
                <w:highlight w:val="none"/>
                <w:lang w:val="en-US" w:eastAsia="zh-CN"/>
              </w:rPr>
            </w:pPr>
            <w:r>
              <w:rPr>
                <w:rFonts w:hint="eastAsia"/>
                <w:b w:val="0"/>
                <w:bCs w:val="0"/>
                <w:spacing w:val="-2"/>
                <w:highlight w:val="none"/>
                <w:lang w:val="en-US" w:eastAsia="zh-CN"/>
              </w:rPr>
              <w:t>防火、防烟</w:t>
            </w:r>
          </w:p>
          <w:p w14:paraId="67A978E9">
            <w:pPr>
              <w:pStyle w:val="23"/>
              <w:keepNext w:val="0"/>
              <w:keepLines w:val="0"/>
              <w:suppressLineNumbers w:val="0"/>
              <w:spacing w:before="70" w:line="281" w:lineRule="auto"/>
              <w:ind w:left="114" w:right="101" w:hanging="2"/>
              <w:jc w:val="center"/>
              <w:rPr>
                <w:b w:val="0"/>
                <w:bCs w:val="0"/>
                <w:highlight w:val="none"/>
              </w:rPr>
            </w:pPr>
            <w:r>
              <w:rPr>
                <w:rFonts w:hint="eastAsia"/>
                <w:b w:val="0"/>
                <w:bCs w:val="0"/>
                <w:spacing w:val="-2"/>
                <w:highlight w:val="none"/>
                <w:lang w:val="en-US" w:eastAsia="zh-CN"/>
              </w:rPr>
              <w:t>分区（20 分）</w:t>
            </w:r>
          </w:p>
        </w:tc>
        <w:tc>
          <w:tcPr>
            <w:tcW w:w="1719" w:type="pct"/>
            <w:vAlign w:val="center"/>
          </w:tcPr>
          <w:p w14:paraId="0D5E6495">
            <w:pPr>
              <w:pStyle w:val="23"/>
              <w:keepNext w:val="0"/>
              <w:keepLines w:val="0"/>
              <w:suppressLineNumbers w:val="0"/>
              <w:spacing w:before="0" w:line="221" w:lineRule="auto"/>
              <w:ind w:left="113"/>
              <w:rPr>
                <w:b w:val="0"/>
                <w:bCs w:val="0"/>
                <w:color w:val="auto"/>
                <w:highlight w:val="none"/>
              </w:rPr>
            </w:pPr>
            <w:r>
              <w:rPr>
                <w:b w:val="0"/>
                <w:bCs w:val="0"/>
                <w:color w:val="auto"/>
                <w:spacing w:val="-1"/>
                <w:highlight w:val="none"/>
              </w:rPr>
              <w:t>a)防火分区、防烟分区面积；</w:t>
            </w:r>
          </w:p>
        </w:tc>
        <w:tc>
          <w:tcPr>
            <w:tcW w:w="1177" w:type="pct"/>
            <w:vAlign w:val="center"/>
          </w:tcPr>
          <w:p w14:paraId="2EF49C5A">
            <w:pPr>
              <w:pStyle w:val="23"/>
              <w:keepNext w:val="0"/>
              <w:keepLines w:val="0"/>
              <w:suppressLineNumbers w:val="0"/>
              <w:spacing w:before="70" w:line="281" w:lineRule="auto"/>
              <w:ind w:left="114" w:right="101" w:hanging="2"/>
              <w:rPr>
                <w:b w:val="0"/>
                <w:bCs w:val="0"/>
                <w:color w:val="auto"/>
                <w:spacing w:val="-10"/>
                <w:highlight w:val="none"/>
              </w:rPr>
            </w:pPr>
            <w:r>
              <w:rPr>
                <w:b w:val="0"/>
                <w:bCs w:val="0"/>
                <w:color w:val="auto"/>
                <w:spacing w:val="-10"/>
                <w:highlight w:val="none"/>
              </w:rPr>
              <w:t>每发现一处不符合要求的扣 1 分，最高扣 5 分。</w:t>
            </w:r>
          </w:p>
        </w:tc>
        <w:tc>
          <w:tcPr>
            <w:tcW w:w="366" w:type="pct"/>
            <w:vAlign w:val="center"/>
          </w:tcPr>
          <w:p w14:paraId="5C06883F">
            <w:pPr>
              <w:keepNext w:val="0"/>
              <w:keepLines w:val="0"/>
              <w:suppressLineNumbers w:val="0"/>
              <w:spacing w:before="68" w:beforeAutospacing="0" w:after="0" w:afterAutospacing="0" w:line="282" w:lineRule="auto"/>
              <w:ind w:left="0" w:right="101" w:rightChars="0"/>
              <w:jc w:val="center"/>
              <w:rPr>
                <w:rFonts w:hint="default"/>
                <w:b w:val="0"/>
                <w:bCs w:val="0"/>
                <w:spacing w:val="-10"/>
                <w:highlight w:val="none"/>
                <w:lang w:val="en-US" w:eastAsia="zh-CN"/>
              </w:rPr>
            </w:pPr>
          </w:p>
        </w:tc>
        <w:tc>
          <w:tcPr>
            <w:tcW w:w="339" w:type="pct"/>
            <w:vAlign w:val="center"/>
          </w:tcPr>
          <w:p w14:paraId="220431CA">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30" w:type="pct"/>
            <w:vMerge w:val="restart"/>
            <w:tcBorders>
              <w:bottom w:val="nil"/>
            </w:tcBorders>
            <w:vAlign w:val="center"/>
          </w:tcPr>
          <w:p w14:paraId="29BF9361">
            <w:pPr>
              <w:keepNext w:val="0"/>
              <w:keepLines w:val="0"/>
              <w:suppressLineNumbers w:val="0"/>
              <w:spacing w:before="0" w:beforeAutospacing="0" w:after="0" w:afterAutospacing="0"/>
              <w:ind w:left="0" w:right="0"/>
              <w:rPr>
                <w:rFonts w:hint="default" w:ascii="Arial" w:eastAsia="宋体"/>
                <w:b w:val="0"/>
                <w:bCs w:val="0"/>
                <w:color w:val="auto"/>
                <w:sz w:val="21"/>
                <w:highlight w:val="none"/>
                <w:lang w:val="en-US" w:eastAsia="zh-CN"/>
              </w:rPr>
            </w:pPr>
          </w:p>
        </w:tc>
      </w:tr>
      <w:tr w14:paraId="7159E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206" w:type="pct"/>
            <w:vMerge w:val="continue"/>
            <w:tcBorders>
              <w:top w:val="nil"/>
              <w:bottom w:val="nil"/>
            </w:tcBorders>
            <w:vAlign w:val="center"/>
          </w:tcPr>
          <w:p w14:paraId="4AD7D904">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BC1FB09">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293610D9">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5E87B7A5">
            <w:pPr>
              <w:pStyle w:val="23"/>
              <w:keepNext w:val="0"/>
              <w:keepLines w:val="0"/>
              <w:suppressLineNumbers w:val="0"/>
              <w:spacing w:before="0" w:line="221" w:lineRule="auto"/>
              <w:ind w:left="113" w:right="0" w:firstLine="0"/>
              <w:rPr>
                <w:b w:val="0"/>
                <w:bCs w:val="0"/>
                <w:color w:val="auto"/>
                <w:highlight w:val="none"/>
              </w:rPr>
            </w:pPr>
            <w:r>
              <w:rPr>
                <w:b w:val="0"/>
                <w:bCs w:val="0"/>
                <w:color w:val="auto"/>
                <w:spacing w:val="1"/>
                <w:highlight w:val="none"/>
              </w:rPr>
              <w:t>b)防火分区的防火分隔和防烟分区的分隔设施应完整、有</w:t>
            </w:r>
            <w:r>
              <w:rPr>
                <w:b w:val="0"/>
                <w:bCs w:val="0"/>
                <w:color w:val="auto"/>
                <w:spacing w:val="-14"/>
                <w:highlight w:val="none"/>
              </w:rPr>
              <w:t>效；</w:t>
            </w:r>
          </w:p>
        </w:tc>
        <w:tc>
          <w:tcPr>
            <w:tcW w:w="1177" w:type="pct"/>
            <w:vAlign w:val="center"/>
          </w:tcPr>
          <w:p w14:paraId="1C9971B7">
            <w:pPr>
              <w:pStyle w:val="23"/>
              <w:keepNext w:val="0"/>
              <w:keepLines w:val="0"/>
              <w:suppressLineNumbers w:val="0"/>
              <w:spacing w:before="69" w:line="282" w:lineRule="auto"/>
              <w:ind w:left="114" w:right="102" w:hanging="2"/>
              <w:rPr>
                <w:b w:val="0"/>
                <w:bCs w:val="0"/>
                <w:color w:val="auto"/>
                <w:highlight w:val="none"/>
              </w:rPr>
            </w:pPr>
            <w:r>
              <w:rPr>
                <w:b w:val="0"/>
                <w:bCs w:val="0"/>
                <w:color w:val="auto"/>
                <w:spacing w:val="-2"/>
                <w:highlight w:val="none"/>
              </w:rPr>
              <w:t>每发现一处不符合要求的扣 1 分，最高</w:t>
            </w:r>
            <w:r>
              <w:rPr>
                <w:b w:val="0"/>
                <w:bCs w:val="0"/>
                <w:color w:val="auto"/>
                <w:spacing w:val="-10"/>
                <w:highlight w:val="none"/>
              </w:rPr>
              <w:t>扣</w:t>
            </w:r>
            <w:r>
              <w:rPr>
                <w:b w:val="0"/>
                <w:bCs w:val="0"/>
                <w:color w:val="auto"/>
                <w:spacing w:val="-34"/>
                <w:highlight w:val="none"/>
              </w:rPr>
              <w:t xml:space="preserve"> </w:t>
            </w:r>
            <w:r>
              <w:rPr>
                <w:b w:val="0"/>
                <w:bCs w:val="0"/>
                <w:color w:val="auto"/>
                <w:spacing w:val="-10"/>
                <w:highlight w:val="none"/>
              </w:rPr>
              <w:t>5</w:t>
            </w:r>
            <w:r>
              <w:rPr>
                <w:b w:val="0"/>
                <w:bCs w:val="0"/>
                <w:color w:val="auto"/>
                <w:spacing w:val="-35"/>
                <w:highlight w:val="none"/>
              </w:rPr>
              <w:t xml:space="preserve"> </w:t>
            </w:r>
            <w:r>
              <w:rPr>
                <w:b w:val="0"/>
                <w:bCs w:val="0"/>
                <w:color w:val="auto"/>
                <w:spacing w:val="-10"/>
                <w:highlight w:val="none"/>
              </w:rPr>
              <w:t>分。</w:t>
            </w:r>
          </w:p>
        </w:tc>
        <w:tc>
          <w:tcPr>
            <w:tcW w:w="366" w:type="pct"/>
            <w:vAlign w:val="center"/>
          </w:tcPr>
          <w:p w14:paraId="402C4ECB">
            <w:pPr>
              <w:keepNext w:val="0"/>
              <w:keepLines w:val="0"/>
              <w:suppressLineNumbers w:val="0"/>
              <w:spacing w:before="68" w:beforeAutospacing="0" w:after="0" w:afterAutospacing="0" w:line="282" w:lineRule="auto"/>
              <w:ind w:left="0" w:right="101" w:rightChars="0"/>
              <w:jc w:val="center"/>
              <w:rPr>
                <w:rFonts w:hint="default" w:ascii="Arial" w:eastAsia="宋体"/>
                <w:b w:val="0"/>
                <w:bCs w:val="0"/>
                <w:color w:val="FF0000"/>
                <w:sz w:val="21"/>
                <w:highlight w:val="none"/>
                <w:lang w:val="en-US" w:eastAsia="zh-CN"/>
              </w:rPr>
            </w:pPr>
          </w:p>
        </w:tc>
        <w:tc>
          <w:tcPr>
            <w:tcW w:w="339" w:type="pct"/>
            <w:vAlign w:val="center"/>
          </w:tcPr>
          <w:p w14:paraId="731E50B7">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0BD5A2B8">
            <w:pPr>
              <w:keepNext w:val="0"/>
              <w:keepLines w:val="0"/>
              <w:suppressLineNumbers w:val="0"/>
              <w:spacing w:before="0" w:beforeAutospacing="0" w:after="0" w:afterAutospacing="0"/>
              <w:ind w:left="0" w:right="0"/>
              <w:rPr>
                <w:rFonts w:hint="default" w:ascii="Arial"/>
                <w:b w:val="0"/>
                <w:bCs w:val="0"/>
                <w:sz w:val="21"/>
                <w:highlight w:val="none"/>
              </w:rPr>
            </w:pPr>
          </w:p>
        </w:tc>
      </w:tr>
      <w:tr w14:paraId="1B804D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continue"/>
            <w:tcBorders>
              <w:top w:val="nil"/>
              <w:bottom w:val="nil"/>
            </w:tcBorders>
            <w:vAlign w:val="center"/>
          </w:tcPr>
          <w:p w14:paraId="5128A806">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C26BCC4">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68A447D1">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434CC4F6">
            <w:pPr>
              <w:pStyle w:val="23"/>
              <w:keepNext w:val="0"/>
              <w:keepLines w:val="0"/>
              <w:suppressLineNumbers w:val="0"/>
              <w:spacing w:before="0" w:line="221" w:lineRule="auto"/>
              <w:ind w:left="113"/>
              <w:rPr>
                <w:b w:val="0"/>
                <w:bCs w:val="0"/>
                <w:color w:val="auto"/>
                <w:highlight w:val="none"/>
              </w:rPr>
            </w:pPr>
            <w:r>
              <w:rPr>
                <w:b w:val="0"/>
                <w:bCs w:val="0"/>
                <w:color w:val="auto"/>
                <w:spacing w:val="-2"/>
                <w:highlight w:val="none"/>
              </w:rPr>
              <w:t>c)防火卷帘的设置长度；</w:t>
            </w:r>
          </w:p>
        </w:tc>
        <w:tc>
          <w:tcPr>
            <w:tcW w:w="1177" w:type="pct"/>
            <w:vAlign w:val="center"/>
          </w:tcPr>
          <w:p w14:paraId="03208716">
            <w:pPr>
              <w:pStyle w:val="23"/>
              <w:keepNext w:val="0"/>
              <w:keepLines w:val="0"/>
              <w:suppressLineNumbers w:val="0"/>
              <w:spacing w:before="70" w:line="281" w:lineRule="auto"/>
              <w:ind w:left="114" w:right="102" w:hanging="2"/>
              <w:rPr>
                <w:b w:val="0"/>
                <w:bCs w:val="0"/>
                <w:color w:val="auto"/>
                <w:highlight w:val="none"/>
              </w:rPr>
            </w:pPr>
            <w:r>
              <w:rPr>
                <w:b w:val="0"/>
                <w:bCs w:val="0"/>
                <w:color w:val="auto"/>
                <w:spacing w:val="-2"/>
                <w:highlight w:val="none"/>
              </w:rPr>
              <w:t>每发现一处不符合要求的扣 1 分，最高</w:t>
            </w:r>
            <w:r>
              <w:rPr>
                <w:b w:val="0"/>
                <w:bCs w:val="0"/>
                <w:color w:val="auto"/>
                <w:spacing w:val="-10"/>
                <w:highlight w:val="none"/>
              </w:rPr>
              <w:t>扣</w:t>
            </w:r>
            <w:r>
              <w:rPr>
                <w:b w:val="0"/>
                <w:bCs w:val="0"/>
                <w:color w:val="auto"/>
                <w:spacing w:val="-35"/>
                <w:highlight w:val="none"/>
              </w:rPr>
              <w:t xml:space="preserve"> </w:t>
            </w:r>
            <w:r>
              <w:rPr>
                <w:b w:val="0"/>
                <w:bCs w:val="0"/>
                <w:color w:val="auto"/>
                <w:spacing w:val="-10"/>
                <w:highlight w:val="none"/>
              </w:rPr>
              <w:t>2</w:t>
            </w:r>
            <w:r>
              <w:rPr>
                <w:b w:val="0"/>
                <w:bCs w:val="0"/>
                <w:color w:val="auto"/>
                <w:spacing w:val="-34"/>
                <w:highlight w:val="none"/>
              </w:rPr>
              <w:t xml:space="preserve"> </w:t>
            </w:r>
            <w:r>
              <w:rPr>
                <w:b w:val="0"/>
                <w:bCs w:val="0"/>
                <w:color w:val="auto"/>
                <w:spacing w:val="-10"/>
                <w:highlight w:val="none"/>
              </w:rPr>
              <w:t>分。</w:t>
            </w:r>
          </w:p>
        </w:tc>
        <w:tc>
          <w:tcPr>
            <w:tcW w:w="366" w:type="pct"/>
            <w:shd w:val="clear" w:color="auto" w:fill="auto"/>
            <w:vAlign w:val="center"/>
          </w:tcPr>
          <w:p w14:paraId="51095CAF">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9" w:type="pct"/>
            <w:vAlign w:val="center"/>
          </w:tcPr>
          <w:p w14:paraId="02EBE934">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2314D251">
            <w:pPr>
              <w:keepNext w:val="0"/>
              <w:keepLines w:val="0"/>
              <w:suppressLineNumbers w:val="0"/>
              <w:spacing w:before="0" w:beforeAutospacing="0" w:after="0" w:afterAutospacing="0"/>
              <w:ind w:left="0" w:right="0"/>
              <w:rPr>
                <w:rFonts w:hint="default" w:ascii="Arial"/>
                <w:b w:val="0"/>
                <w:bCs w:val="0"/>
                <w:sz w:val="21"/>
                <w:highlight w:val="none"/>
              </w:rPr>
            </w:pPr>
          </w:p>
        </w:tc>
      </w:tr>
      <w:tr w14:paraId="359881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206" w:type="pct"/>
            <w:vMerge w:val="continue"/>
            <w:tcBorders>
              <w:top w:val="nil"/>
              <w:bottom w:val="nil"/>
            </w:tcBorders>
            <w:vAlign w:val="center"/>
          </w:tcPr>
          <w:p w14:paraId="431A3A77">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04586153">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41E37217">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4A254D37">
            <w:pPr>
              <w:pStyle w:val="23"/>
              <w:keepNext w:val="0"/>
              <w:keepLines w:val="0"/>
              <w:suppressLineNumbers w:val="0"/>
              <w:spacing w:before="0" w:line="221" w:lineRule="auto"/>
              <w:ind w:left="113"/>
              <w:rPr>
                <w:b w:val="0"/>
                <w:bCs w:val="0"/>
                <w:highlight w:val="none"/>
              </w:rPr>
            </w:pPr>
            <w:r>
              <w:rPr>
                <w:b w:val="0"/>
                <w:bCs w:val="0"/>
                <w:spacing w:val="-1"/>
                <w:highlight w:val="none"/>
              </w:rPr>
              <w:t>d)电缆井、管道井的层间防火封堵应严密；</w:t>
            </w:r>
          </w:p>
        </w:tc>
        <w:tc>
          <w:tcPr>
            <w:tcW w:w="1177" w:type="pct"/>
            <w:vAlign w:val="center"/>
          </w:tcPr>
          <w:p w14:paraId="3F25AAEE">
            <w:pPr>
              <w:pStyle w:val="23"/>
              <w:keepNext w:val="0"/>
              <w:keepLines w:val="0"/>
              <w:suppressLineNumbers w:val="0"/>
              <w:spacing w:before="73" w:line="281"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5"/>
                <w:highlight w:val="none"/>
              </w:rPr>
              <w:t xml:space="preserve"> </w:t>
            </w:r>
            <w:r>
              <w:rPr>
                <w:b w:val="0"/>
                <w:bCs w:val="0"/>
                <w:spacing w:val="-10"/>
                <w:highlight w:val="none"/>
              </w:rPr>
              <w:t>2</w:t>
            </w:r>
            <w:r>
              <w:rPr>
                <w:b w:val="0"/>
                <w:bCs w:val="0"/>
                <w:spacing w:val="-34"/>
                <w:highlight w:val="none"/>
              </w:rPr>
              <w:t xml:space="preserve"> </w:t>
            </w:r>
            <w:r>
              <w:rPr>
                <w:b w:val="0"/>
                <w:bCs w:val="0"/>
                <w:spacing w:val="-10"/>
                <w:highlight w:val="none"/>
              </w:rPr>
              <w:t>分。</w:t>
            </w:r>
          </w:p>
        </w:tc>
        <w:tc>
          <w:tcPr>
            <w:tcW w:w="366" w:type="pct"/>
            <w:vAlign w:val="center"/>
          </w:tcPr>
          <w:p w14:paraId="167DB3FF">
            <w:pPr>
              <w:pStyle w:val="23"/>
              <w:keepNext w:val="0"/>
              <w:keepLines w:val="0"/>
              <w:suppressLineNumbers w:val="0"/>
              <w:spacing w:before="68" w:line="282" w:lineRule="auto"/>
              <w:ind w:right="101" w:rightChars="0"/>
              <w:jc w:val="center"/>
              <w:rPr>
                <w:rFonts w:ascii="Arial"/>
                <w:b w:val="0"/>
                <w:bCs w:val="0"/>
                <w:color w:val="auto"/>
                <w:sz w:val="21"/>
                <w:highlight w:val="none"/>
              </w:rPr>
            </w:pPr>
          </w:p>
        </w:tc>
        <w:tc>
          <w:tcPr>
            <w:tcW w:w="339" w:type="pct"/>
            <w:vAlign w:val="center"/>
          </w:tcPr>
          <w:p w14:paraId="5095AEA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6922EF90">
            <w:pPr>
              <w:keepNext w:val="0"/>
              <w:keepLines w:val="0"/>
              <w:suppressLineNumbers w:val="0"/>
              <w:spacing w:before="0" w:beforeAutospacing="0" w:after="0" w:afterAutospacing="0"/>
              <w:ind w:left="0" w:right="0"/>
              <w:rPr>
                <w:rFonts w:hint="default" w:ascii="Arial"/>
                <w:b w:val="0"/>
                <w:bCs w:val="0"/>
                <w:sz w:val="21"/>
                <w:highlight w:val="none"/>
              </w:rPr>
            </w:pPr>
          </w:p>
        </w:tc>
      </w:tr>
      <w:tr w14:paraId="06F736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206" w:type="pct"/>
            <w:vMerge w:val="continue"/>
            <w:tcBorders>
              <w:top w:val="nil"/>
              <w:bottom w:val="nil"/>
            </w:tcBorders>
            <w:vAlign w:val="center"/>
          </w:tcPr>
          <w:p w14:paraId="6B4C5A33">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54CA7B80">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5359D607">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670163AC">
            <w:pPr>
              <w:pStyle w:val="23"/>
              <w:keepNext w:val="0"/>
              <w:keepLines w:val="0"/>
              <w:suppressLineNumbers w:val="0"/>
              <w:spacing w:before="0" w:line="221" w:lineRule="auto"/>
              <w:ind w:left="113"/>
              <w:rPr>
                <w:b w:val="0"/>
                <w:bCs w:val="0"/>
                <w:highlight w:val="none"/>
              </w:rPr>
            </w:pPr>
            <w:r>
              <w:rPr>
                <w:b w:val="0"/>
                <w:bCs w:val="0"/>
                <w:spacing w:val="-3"/>
                <w:highlight w:val="none"/>
              </w:rPr>
              <w:t>e)中庭防火分隔和可燃物</w:t>
            </w:r>
            <w:r>
              <w:rPr>
                <w:b w:val="0"/>
                <w:bCs w:val="0"/>
                <w:color w:val="auto"/>
                <w:spacing w:val="-1"/>
                <w:highlight w:val="none"/>
              </w:rPr>
              <w:t>布置</w:t>
            </w:r>
            <w:r>
              <w:rPr>
                <w:b w:val="0"/>
                <w:bCs w:val="0"/>
                <w:spacing w:val="-3"/>
                <w:highlight w:val="none"/>
              </w:rPr>
              <w:t>情况；</w:t>
            </w:r>
          </w:p>
        </w:tc>
        <w:tc>
          <w:tcPr>
            <w:tcW w:w="1177" w:type="pct"/>
            <w:vAlign w:val="center"/>
          </w:tcPr>
          <w:p w14:paraId="223AB32C">
            <w:pPr>
              <w:pStyle w:val="23"/>
              <w:keepNext w:val="0"/>
              <w:keepLines w:val="0"/>
              <w:suppressLineNumbers w:val="0"/>
              <w:spacing w:before="70" w:line="281"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5"/>
                <w:highlight w:val="none"/>
              </w:rPr>
              <w:t xml:space="preserve"> </w:t>
            </w:r>
            <w:r>
              <w:rPr>
                <w:b w:val="0"/>
                <w:bCs w:val="0"/>
                <w:spacing w:val="-10"/>
                <w:highlight w:val="none"/>
              </w:rPr>
              <w:t>2</w:t>
            </w:r>
            <w:r>
              <w:rPr>
                <w:b w:val="0"/>
                <w:bCs w:val="0"/>
                <w:spacing w:val="-34"/>
                <w:highlight w:val="none"/>
              </w:rPr>
              <w:t xml:space="preserve"> </w:t>
            </w:r>
            <w:r>
              <w:rPr>
                <w:b w:val="0"/>
                <w:bCs w:val="0"/>
                <w:spacing w:val="-10"/>
                <w:highlight w:val="none"/>
              </w:rPr>
              <w:t>分。</w:t>
            </w:r>
          </w:p>
        </w:tc>
        <w:tc>
          <w:tcPr>
            <w:tcW w:w="366" w:type="pct"/>
            <w:vAlign w:val="center"/>
          </w:tcPr>
          <w:p w14:paraId="0794E61A">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9" w:type="pct"/>
            <w:vAlign w:val="center"/>
          </w:tcPr>
          <w:p w14:paraId="266D3B3D">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7CAE82B9">
            <w:pPr>
              <w:keepNext w:val="0"/>
              <w:keepLines w:val="0"/>
              <w:suppressLineNumbers w:val="0"/>
              <w:spacing w:before="0" w:beforeAutospacing="0" w:after="0" w:afterAutospacing="0"/>
              <w:ind w:left="0" w:right="0"/>
              <w:rPr>
                <w:rFonts w:hint="default" w:ascii="Arial"/>
                <w:b w:val="0"/>
                <w:bCs w:val="0"/>
                <w:sz w:val="21"/>
                <w:highlight w:val="none"/>
              </w:rPr>
            </w:pPr>
          </w:p>
        </w:tc>
      </w:tr>
      <w:tr w14:paraId="5F9990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206" w:type="pct"/>
            <w:vMerge w:val="continue"/>
            <w:tcBorders>
              <w:top w:val="nil"/>
            </w:tcBorders>
            <w:vAlign w:val="center"/>
          </w:tcPr>
          <w:p w14:paraId="013B152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4C4F5949">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02E298F9">
            <w:pPr>
              <w:keepNext w:val="0"/>
              <w:keepLines w:val="0"/>
              <w:suppressLineNumbers w:val="0"/>
              <w:spacing w:before="0" w:beforeAutospacing="0" w:after="0" w:afterAutospacing="0"/>
              <w:ind w:left="0" w:right="0"/>
              <w:rPr>
                <w:rFonts w:hint="default" w:ascii="Arial"/>
                <w:b w:val="0"/>
                <w:bCs w:val="0"/>
                <w:sz w:val="21"/>
                <w:highlight w:val="none"/>
              </w:rPr>
            </w:pPr>
          </w:p>
        </w:tc>
        <w:tc>
          <w:tcPr>
            <w:tcW w:w="1719" w:type="pct"/>
            <w:vAlign w:val="center"/>
          </w:tcPr>
          <w:p w14:paraId="1EBE0550">
            <w:pPr>
              <w:pStyle w:val="23"/>
              <w:keepNext w:val="0"/>
              <w:keepLines w:val="0"/>
              <w:suppressLineNumbers w:val="0"/>
              <w:spacing w:before="0" w:line="221" w:lineRule="auto"/>
              <w:ind w:left="113"/>
              <w:rPr>
                <w:b w:val="0"/>
                <w:bCs w:val="0"/>
                <w:highlight w:val="none"/>
              </w:rPr>
            </w:pPr>
            <w:r>
              <w:rPr>
                <w:b w:val="0"/>
                <w:bCs w:val="0"/>
                <w:spacing w:val="-2"/>
                <w:highlight w:val="none"/>
              </w:rPr>
              <w:t>f)有顶步行街的防火分隔和可燃物布置情况；</w:t>
            </w:r>
          </w:p>
        </w:tc>
        <w:tc>
          <w:tcPr>
            <w:tcW w:w="1177" w:type="pct"/>
            <w:vAlign w:val="center"/>
          </w:tcPr>
          <w:p w14:paraId="5AEDACEA">
            <w:pPr>
              <w:pStyle w:val="23"/>
              <w:keepNext w:val="0"/>
              <w:keepLines w:val="0"/>
              <w:suppressLineNumbers w:val="0"/>
              <w:spacing w:before="71" w:line="283" w:lineRule="auto"/>
              <w:ind w:left="114" w:right="102" w:hanging="2"/>
              <w:rPr>
                <w:b w:val="0"/>
                <w:bCs w:val="0"/>
                <w:highlight w:val="none"/>
              </w:rPr>
            </w:pPr>
            <w:r>
              <w:rPr>
                <w:b w:val="0"/>
                <w:bCs w:val="0"/>
                <w:spacing w:val="-2"/>
                <w:highlight w:val="none"/>
              </w:rPr>
              <w:t>每发现一处不符合要求的扣 1 分，最高</w:t>
            </w:r>
            <w:r>
              <w:rPr>
                <w:b w:val="0"/>
                <w:bCs w:val="0"/>
                <w:spacing w:val="-10"/>
                <w:highlight w:val="none"/>
              </w:rPr>
              <w:t>扣</w:t>
            </w:r>
            <w:r>
              <w:rPr>
                <w:b w:val="0"/>
                <w:bCs w:val="0"/>
                <w:spacing w:val="-35"/>
                <w:highlight w:val="none"/>
              </w:rPr>
              <w:t xml:space="preserve"> </w:t>
            </w:r>
            <w:r>
              <w:rPr>
                <w:b w:val="0"/>
                <w:bCs w:val="0"/>
                <w:spacing w:val="-10"/>
                <w:highlight w:val="none"/>
              </w:rPr>
              <w:t>2</w:t>
            </w:r>
            <w:r>
              <w:rPr>
                <w:b w:val="0"/>
                <w:bCs w:val="0"/>
                <w:spacing w:val="-34"/>
                <w:highlight w:val="none"/>
              </w:rPr>
              <w:t xml:space="preserve"> </w:t>
            </w:r>
            <w:r>
              <w:rPr>
                <w:b w:val="0"/>
                <w:bCs w:val="0"/>
                <w:spacing w:val="-10"/>
                <w:highlight w:val="none"/>
              </w:rPr>
              <w:t>分。</w:t>
            </w:r>
          </w:p>
        </w:tc>
        <w:tc>
          <w:tcPr>
            <w:tcW w:w="366" w:type="pct"/>
            <w:vAlign w:val="center"/>
          </w:tcPr>
          <w:p w14:paraId="3A97CD8B">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388F2A06">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tcBorders>
            <w:vAlign w:val="center"/>
          </w:tcPr>
          <w:p w14:paraId="17154CEA">
            <w:pPr>
              <w:keepNext w:val="0"/>
              <w:keepLines w:val="0"/>
              <w:suppressLineNumbers w:val="0"/>
              <w:spacing w:before="0" w:beforeAutospacing="0" w:after="0" w:afterAutospacing="0"/>
              <w:ind w:left="0" w:right="0"/>
              <w:rPr>
                <w:rFonts w:hint="default" w:ascii="Arial"/>
                <w:b w:val="0"/>
                <w:bCs w:val="0"/>
                <w:sz w:val="21"/>
                <w:highlight w:val="none"/>
              </w:rPr>
            </w:pPr>
          </w:p>
        </w:tc>
      </w:tr>
    </w:tbl>
    <w:p w14:paraId="5C8D5E90">
      <w:pPr>
        <w:rPr>
          <w:rFonts w:ascii="Arial"/>
          <w:b w:val="0"/>
          <w:bCs w:val="0"/>
          <w:sz w:val="21"/>
          <w:highlight w:val="none"/>
        </w:rPr>
      </w:pPr>
      <w:r>
        <w:rPr>
          <w:rFonts w:ascii="Arial"/>
          <w:b w:val="0"/>
          <w:bCs w:val="0"/>
          <w:sz w:val="21"/>
          <w:highlight w:val="none"/>
        </w:rPr>
        <w:br w:type="page"/>
      </w:r>
    </w:p>
    <w:tbl>
      <w:tblPr>
        <w:tblStyle w:val="24"/>
        <w:tblW w:w="492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04"/>
        <w:gridCol w:w="1461"/>
        <w:gridCol w:w="1084"/>
        <w:gridCol w:w="5096"/>
        <w:gridCol w:w="3487"/>
        <w:gridCol w:w="1084"/>
        <w:gridCol w:w="1005"/>
        <w:gridCol w:w="979"/>
      </w:tblGrid>
      <w:tr w14:paraId="4AAF4B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jc w:val="center"/>
        </w:trPr>
        <w:tc>
          <w:tcPr>
            <w:tcW w:w="204" w:type="pct"/>
            <w:vAlign w:val="center"/>
          </w:tcPr>
          <w:p w14:paraId="671E7402">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20E55C28">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14E24F85">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0" w:type="pct"/>
            <w:vAlign w:val="center"/>
          </w:tcPr>
          <w:p w14:paraId="075FB92D">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7" w:type="pct"/>
            <w:vAlign w:val="center"/>
          </w:tcPr>
          <w:p w14:paraId="7FD92092">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3D6047BD">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03E45A9E">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5949223B">
            <w:pPr>
              <w:pStyle w:val="23"/>
              <w:keepNext w:val="0"/>
              <w:keepLines w:val="0"/>
              <w:suppressLineNumbers w:val="0"/>
              <w:spacing w:before="71" w:line="220" w:lineRule="auto"/>
              <w:ind w:left="295"/>
              <w:rPr>
                <w:highlight w:val="none"/>
              </w:rPr>
            </w:pPr>
            <w:r>
              <w:rPr>
                <w:b/>
                <w:bCs/>
                <w:spacing w:val="-4"/>
                <w:highlight w:val="none"/>
              </w:rPr>
              <w:t>得分</w:t>
            </w:r>
          </w:p>
        </w:tc>
      </w:tr>
      <w:tr w14:paraId="64489D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jc w:val="center"/>
        </w:trPr>
        <w:tc>
          <w:tcPr>
            <w:tcW w:w="204" w:type="pct"/>
            <w:vMerge w:val="restart"/>
            <w:tcBorders>
              <w:bottom w:val="nil"/>
            </w:tcBorders>
            <w:vAlign w:val="center"/>
          </w:tcPr>
          <w:p w14:paraId="3A4BF8BD">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bottom w:val="nil"/>
            </w:tcBorders>
            <w:vAlign w:val="center"/>
          </w:tcPr>
          <w:p w14:paraId="0715074E">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1E6CFFB0">
            <w:pPr>
              <w:keepNext w:val="0"/>
              <w:keepLines w:val="0"/>
              <w:suppressLineNumbers w:val="0"/>
              <w:spacing w:before="0" w:beforeAutospacing="0" w:after="0" w:afterAutospacing="0"/>
              <w:ind w:left="0" w:right="0"/>
              <w:rPr>
                <w:rFonts w:hint="default" w:ascii="Arial"/>
                <w:b w:val="0"/>
                <w:bCs w:val="0"/>
                <w:sz w:val="21"/>
                <w:highlight w:val="none"/>
              </w:rPr>
            </w:pPr>
          </w:p>
        </w:tc>
        <w:tc>
          <w:tcPr>
            <w:tcW w:w="1720" w:type="pct"/>
            <w:vAlign w:val="center"/>
          </w:tcPr>
          <w:p w14:paraId="2CF8623D">
            <w:pPr>
              <w:pStyle w:val="23"/>
              <w:keepNext w:val="0"/>
              <w:keepLines w:val="0"/>
              <w:suppressLineNumbers w:val="0"/>
              <w:spacing w:before="0" w:line="221" w:lineRule="auto"/>
              <w:ind w:left="113"/>
              <w:rPr>
                <w:b w:val="0"/>
                <w:bCs w:val="0"/>
                <w:highlight w:val="none"/>
              </w:rPr>
            </w:pPr>
            <w:r>
              <w:rPr>
                <w:b w:val="0"/>
                <w:bCs w:val="0"/>
                <w:spacing w:val="-1"/>
                <w:highlight w:val="none"/>
              </w:rPr>
              <w:t>g)总建筑面积大于</w:t>
            </w:r>
            <w:r>
              <w:rPr>
                <w:b w:val="0"/>
                <w:bCs w:val="0"/>
                <w:spacing w:val="-37"/>
                <w:highlight w:val="none"/>
              </w:rPr>
              <w:t xml:space="preserve"> </w:t>
            </w:r>
            <w:r>
              <w:rPr>
                <w:b w:val="0"/>
                <w:bCs w:val="0"/>
                <w:spacing w:val="-1"/>
                <w:highlight w:val="none"/>
              </w:rPr>
              <w:t>20000m²的地下或半地下商店</w:t>
            </w:r>
            <w:r>
              <w:rPr>
                <w:b w:val="0"/>
                <w:bCs w:val="0"/>
                <w:spacing w:val="-2"/>
                <w:highlight w:val="none"/>
              </w:rPr>
              <w:t>防火分隔。</w:t>
            </w:r>
          </w:p>
        </w:tc>
        <w:tc>
          <w:tcPr>
            <w:tcW w:w="1177" w:type="pct"/>
            <w:vAlign w:val="center"/>
          </w:tcPr>
          <w:p w14:paraId="7DB75C3C">
            <w:pPr>
              <w:pStyle w:val="23"/>
              <w:keepNext w:val="0"/>
              <w:keepLines w:val="0"/>
              <w:suppressLineNumbers w:val="0"/>
              <w:spacing w:before="66" w:line="220" w:lineRule="auto"/>
              <w:ind w:left="113"/>
              <w:rPr>
                <w:b w:val="0"/>
                <w:bCs w:val="0"/>
                <w:highlight w:val="none"/>
              </w:rPr>
            </w:pPr>
            <w:r>
              <w:rPr>
                <w:b w:val="0"/>
                <w:bCs w:val="0"/>
                <w:spacing w:val="-4"/>
                <w:highlight w:val="none"/>
              </w:rPr>
              <w:t>每发现一处不符合要求的扣</w:t>
            </w:r>
            <w:r>
              <w:rPr>
                <w:b w:val="0"/>
                <w:bCs w:val="0"/>
                <w:spacing w:val="-11"/>
                <w:highlight w:val="none"/>
              </w:rPr>
              <w:t xml:space="preserve"> </w:t>
            </w:r>
            <w:r>
              <w:rPr>
                <w:b w:val="0"/>
                <w:bCs w:val="0"/>
                <w:spacing w:val="-4"/>
                <w:highlight w:val="none"/>
              </w:rPr>
              <w:t>1</w:t>
            </w:r>
            <w:r>
              <w:rPr>
                <w:b w:val="0"/>
                <w:bCs w:val="0"/>
                <w:spacing w:val="-37"/>
                <w:highlight w:val="none"/>
              </w:rPr>
              <w:t xml:space="preserve"> </w:t>
            </w:r>
            <w:r>
              <w:rPr>
                <w:b w:val="0"/>
                <w:bCs w:val="0"/>
                <w:spacing w:val="-4"/>
                <w:highlight w:val="none"/>
              </w:rPr>
              <w:t>分，最高扣</w:t>
            </w:r>
            <w:r>
              <w:rPr>
                <w:rFonts w:hint="eastAsia"/>
                <w:b w:val="0"/>
                <w:bCs w:val="0"/>
                <w:spacing w:val="-4"/>
                <w:highlight w:val="none"/>
                <w:lang w:val="en-US" w:eastAsia="zh-CN"/>
              </w:rPr>
              <w:t xml:space="preserve"> </w:t>
            </w:r>
            <w:r>
              <w:rPr>
                <w:b w:val="0"/>
                <w:bCs w:val="0"/>
                <w:spacing w:val="-10"/>
                <w:highlight w:val="none"/>
              </w:rPr>
              <w:t>2</w:t>
            </w:r>
            <w:r>
              <w:rPr>
                <w:b w:val="0"/>
                <w:bCs w:val="0"/>
                <w:spacing w:val="-34"/>
                <w:highlight w:val="none"/>
              </w:rPr>
              <w:t xml:space="preserve"> </w:t>
            </w:r>
            <w:r>
              <w:rPr>
                <w:b w:val="0"/>
                <w:bCs w:val="0"/>
                <w:spacing w:val="-10"/>
                <w:highlight w:val="none"/>
              </w:rPr>
              <w:t>分。</w:t>
            </w:r>
          </w:p>
        </w:tc>
        <w:tc>
          <w:tcPr>
            <w:tcW w:w="366" w:type="pct"/>
            <w:vAlign w:val="center"/>
          </w:tcPr>
          <w:p w14:paraId="1A178920">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1DD8B572">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6AA50593">
            <w:pPr>
              <w:keepNext w:val="0"/>
              <w:keepLines w:val="0"/>
              <w:suppressLineNumbers w:val="0"/>
              <w:spacing w:before="0" w:beforeAutospacing="0" w:after="0" w:afterAutospacing="0"/>
              <w:ind w:left="0" w:right="0"/>
              <w:rPr>
                <w:rFonts w:hint="default" w:ascii="Arial"/>
                <w:b w:val="0"/>
                <w:bCs w:val="0"/>
                <w:sz w:val="21"/>
                <w:highlight w:val="none"/>
              </w:rPr>
            </w:pPr>
          </w:p>
        </w:tc>
      </w:tr>
      <w:tr w14:paraId="32C129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0" w:hRule="atLeast"/>
          <w:jc w:val="center"/>
        </w:trPr>
        <w:tc>
          <w:tcPr>
            <w:tcW w:w="204" w:type="pct"/>
            <w:vMerge w:val="continue"/>
            <w:tcBorders>
              <w:top w:val="nil"/>
            </w:tcBorders>
            <w:vAlign w:val="center"/>
          </w:tcPr>
          <w:p w14:paraId="5B5BEEC0">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7F163CC7">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5E9DEE8C">
            <w:pPr>
              <w:pStyle w:val="23"/>
              <w:keepNext w:val="0"/>
              <w:keepLines w:val="0"/>
              <w:suppressLineNumbers w:val="0"/>
              <w:spacing w:before="58" w:line="311" w:lineRule="auto"/>
              <w:ind w:left="189" w:right="115" w:hanging="69"/>
              <w:jc w:val="both"/>
              <w:rPr>
                <w:b w:val="0"/>
                <w:bCs w:val="0"/>
                <w:highlight w:val="none"/>
              </w:rPr>
            </w:pPr>
            <w:r>
              <w:rPr>
                <w:b w:val="0"/>
                <w:bCs w:val="0"/>
                <w:spacing w:val="-2"/>
                <w:highlight w:val="none"/>
              </w:rPr>
              <w:t>功能场所的</w:t>
            </w:r>
            <w:r>
              <w:rPr>
                <w:b w:val="0"/>
                <w:bCs w:val="0"/>
                <w:spacing w:val="3"/>
                <w:highlight w:val="none"/>
              </w:rPr>
              <w:t>平面布置</w:t>
            </w:r>
            <w:r>
              <w:rPr>
                <w:b w:val="0"/>
                <w:bCs w:val="0"/>
                <w:spacing w:val="-5"/>
                <w:highlight w:val="none"/>
              </w:rPr>
              <w:t>（20</w:t>
            </w:r>
            <w:r>
              <w:rPr>
                <w:b w:val="0"/>
                <w:bCs w:val="0"/>
                <w:spacing w:val="-35"/>
                <w:highlight w:val="none"/>
              </w:rPr>
              <w:t xml:space="preserve"> </w:t>
            </w:r>
            <w:r>
              <w:rPr>
                <w:b w:val="0"/>
                <w:bCs w:val="0"/>
                <w:spacing w:val="-5"/>
                <w:highlight w:val="none"/>
              </w:rPr>
              <w:t>分）</w:t>
            </w:r>
          </w:p>
        </w:tc>
        <w:tc>
          <w:tcPr>
            <w:tcW w:w="1720" w:type="pct"/>
            <w:vAlign w:val="center"/>
          </w:tcPr>
          <w:p w14:paraId="5ABDFE2E">
            <w:pPr>
              <w:pStyle w:val="23"/>
              <w:keepNext w:val="0"/>
              <w:keepLines w:val="0"/>
              <w:suppressLineNumbers w:val="0"/>
              <w:spacing w:before="67" w:line="311" w:lineRule="auto"/>
              <w:ind w:left="112" w:right="106"/>
              <w:jc w:val="both"/>
              <w:rPr>
                <w:b w:val="0"/>
                <w:bCs w:val="0"/>
                <w:highlight w:val="none"/>
              </w:rPr>
            </w:pPr>
            <w:r>
              <w:rPr>
                <w:b w:val="0"/>
                <w:bCs w:val="0"/>
                <w:spacing w:val="-1"/>
                <w:highlight w:val="none"/>
              </w:rPr>
              <w:t>a)消防控制室、消防水泵房、柴油发电机房、燃油或燃气锅炉房、变配电室、有明火的食品加工厨房等场所的设置位置、防火分隔、安全出口；</w:t>
            </w:r>
          </w:p>
          <w:p w14:paraId="72473ED5">
            <w:pPr>
              <w:pStyle w:val="23"/>
              <w:keepNext w:val="0"/>
              <w:keepLines w:val="0"/>
              <w:suppressLineNumbers w:val="0"/>
              <w:spacing w:before="26" w:line="311" w:lineRule="auto"/>
              <w:ind w:left="110" w:right="41" w:hanging="2"/>
              <w:jc w:val="both"/>
              <w:rPr>
                <w:b w:val="0"/>
                <w:bCs w:val="0"/>
                <w:highlight w:val="none"/>
              </w:rPr>
            </w:pPr>
            <w:r>
              <w:rPr>
                <w:b w:val="0"/>
                <w:bCs w:val="0"/>
                <w:spacing w:val="-5"/>
                <w:highlight w:val="none"/>
              </w:rPr>
              <w:t>b)商店营业厅、公共展览厅、托儿所、幼儿园、儿童活动场所、</w:t>
            </w:r>
            <w:r>
              <w:rPr>
                <w:b w:val="0"/>
                <w:bCs w:val="0"/>
                <w:spacing w:val="-1"/>
                <w:highlight w:val="none"/>
              </w:rPr>
              <w:t>老年人照料设施、医疗建筑中住院病房、歌舞娱乐放映游艺等场所的设置位置、建筑面积、防火分隔、安全出口；</w:t>
            </w:r>
          </w:p>
          <w:p w14:paraId="1D8BD245">
            <w:pPr>
              <w:pStyle w:val="23"/>
              <w:keepNext w:val="0"/>
              <w:keepLines w:val="0"/>
              <w:suppressLineNumbers w:val="0"/>
              <w:spacing w:before="26" w:line="282" w:lineRule="auto"/>
              <w:ind w:left="112" w:right="106" w:firstLine="2"/>
              <w:rPr>
                <w:b w:val="0"/>
                <w:bCs w:val="0"/>
                <w:highlight w:val="none"/>
              </w:rPr>
            </w:pPr>
            <w:r>
              <w:rPr>
                <w:b w:val="0"/>
                <w:bCs w:val="0"/>
                <w:spacing w:val="-1"/>
                <w:highlight w:val="none"/>
              </w:rPr>
              <w:t>c)厂房及仓库内员工宿舍、</w:t>
            </w:r>
            <w:r>
              <w:rPr>
                <w:rFonts w:hint="eastAsia"/>
                <w:b w:val="0"/>
                <w:bCs w:val="0"/>
                <w:spacing w:val="-1"/>
                <w:highlight w:val="none"/>
                <w:lang w:eastAsia="zh-CN"/>
              </w:rPr>
              <w:t>中转仓库</w:t>
            </w:r>
            <w:r>
              <w:rPr>
                <w:b w:val="0"/>
                <w:bCs w:val="0"/>
                <w:spacing w:val="-1"/>
                <w:highlight w:val="none"/>
              </w:rPr>
              <w:t>、办公室、休息室、总控</w:t>
            </w:r>
            <w:r>
              <w:rPr>
                <w:b w:val="0"/>
                <w:bCs w:val="0"/>
                <w:spacing w:val="-2"/>
                <w:highlight w:val="none"/>
              </w:rPr>
              <w:t>制室等场所的设置位置、防火分隔、安全出口。</w:t>
            </w:r>
          </w:p>
        </w:tc>
        <w:tc>
          <w:tcPr>
            <w:tcW w:w="1177" w:type="pct"/>
            <w:vAlign w:val="center"/>
          </w:tcPr>
          <w:p w14:paraId="672228B7">
            <w:pPr>
              <w:pStyle w:val="23"/>
              <w:keepNext w:val="0"/>
              <w:keepLines w:val="0"/>
              <w:suppressLineNumbers w:val="0"/>
              <w:spacing w:before="59" w:line="220" w:lineRule="auto"/>
              <w:ind w:left="113"/>
              <w:rPr>
                <w:b w:val="0"/>
                <w:bCs w:val="0"/>
                <w:highlight w:val="none"/>
              </w:rPr>
            </w:pPr>
            <w:r>
              <w:rPr>
                <w:b w:val="0"/>
                <w:bCs w:val="0"/>
                <w:spacing w:val="-4"/>
                <w:highlight w:val="none"/>
              </w:rPr>
              <w:t>每发现一处问题扣</w:t>
            </w:r>
            <w:r>
              <w:rPr>
                <w:b w:val="0"/>
                <w:bCs w:val="0"/>
                <w:spacing w:val="-23"/>
                <w:highlight w:val="none"/>
              </w:rPr>
              <w:t xml:space="preserve"> </w:t>
            </w:r>
            <w:r>
              <w:rPr>
                <w:b w:val="0"/>
                <w:bCs w:val="0"/>
                <w:spacing w:val="-4"/>
                <w:highlight w:val="none"/>
              </w:rPr>
              <w:t>5</w:t>
            </w:r>
            <w:r>
              <w:rPr>
                <w:b w:val="0"/>
                <w:bCs w:val="0"/>
                <w:spacing w:val="-34"/>
                <w:highlight w:val="none"/>
              </w:rPr>
              <w:t xml:space="preserve"> </w:t>
            </w:r>
            <w:r>
              <w:rPr>
                <w:b w:val="0"/>
                <w:bCs w:val="0"/>
                <w:spacing w:val="-4"/>
                <w:highlight w:val="none"/>
              </w:rPr>
              <w:t>分，最高扣</w:t>
            </w:r>
            <w:r>
              <w:rPr>
                <w:b w:val="0"/>
                <w:bCs w:val="0"/>
                <w:spacing w:val="-36"/>
                <w:highlight w:val="none"/>
              </w:rPr>
              <w:t xml:space="preserve"> </w:t>
            </w:r>
            <w:r>
              <w:rPr>
                <w:b w:val="0"/>
                <w:bCs w:val="0"/>
                <w:spacing w:val="-4"/>
                <w:highlight w:val="none"/>
              </w:rPr>
              <w:t>20</w:t>
            </w:r>
            <w:r>
              <w:rPr>
                <w:b w:val="0"/>
                <w:bCs w:val="0"/>
                <w:spacing w:val="-34"/>
                <w:highlight w:val="none"/>
              </w:rPr>
              <w:t xml:space="preserve"> </w:t>
            </w:r>
            <w:r>
              <w:rPr>
                <w:b w:val="0"/>
                <w:bCs w:val="0"/>
                <w:spacing w:val="-4"/>
                <w:highlight w:val="none"/>
              </w:rPr>
              <w:t>分。</w:t>
            </w:r>
          </w:p>
        </w:tc>
        <w:tc>
          <w:tcPr>
            <w:tcW w:w="366" w:type="pct"/>
            <w:shd w:val="clear" w:color="auto" w:fill="auto"/>
            <w:vAlign w:val="center"/>
          </w:tcPr>
          <w:p w14:paraId="44BF90E1">
            <w:pPr>
              <w:keepNext w:val="0"/>
              <w:keepLines w:val="0"/>
              <w:suppressLineNumbers w:val="0"/>
              <w:spacing w:before="68" w:beforeAutospacing="0" w:after="0" w:afterAutospacing="0" w:line="282" w:lineRule="auto"/>
              <w:ind w:left="0" w:right="101" w:rightChars="0"/>
              <w:jc w:val="center"/>
              <w:rPr>
                <w:rFonts w:hint="eastAsia" w:ascii="宋体" w:hAnsi="宋体" w:eastAsia="宋体" w:cs="宋体"/>
                <w:b w:val="0"/>
                <w:bCs w:val="0"/>
                <w:snapToGrid w:val="0"/>
                <w:color w:val="auto"/>
                <w:kern w:val="0"/>
                <w:sz w:val="18"/>
                <w:szCs w:val="18"/>
                <w:highlight w:val="none"/>
                <w:lang w:val="en-US" w:eastAsia="zh-CN"/>
              </w:rPr>
            </w:pPr>
          </w:p>
        </w:tc>
        <w:tc>
          <w:tcPr>
            <w:tcW w:w="339" w:type="pct"/>
            <w:vAlign w:val="center"/>
          </w:tcPr>
          <w:p w14:paraId="0C6982B3">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vAlign w:val="center"/>
          </w:tcPr>
          <w:p w14:paraId="7ABFD80F">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7DB40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204" w:type="pct"/>
            <w:vMerge w:val="restart"/>
            <w:tcBorders>
              <w:bottom w:val="nil"/>
            </w:tcBorders>
            <w:vAlign w:val="center"/>
          </w:tcPr>
          <w:p w14:paraId="38C8ECD0">
            <w:pPr>
              <w:pStyle w:val="23"/>
              <w:keepNext w:val="0"/>
              <w:keepLines w:val="0"/>
              <w:suppressLineNumbers w:val="0"/>
              <w:spacing w:before="59" w:line="181" w:lineRule="auto"/>
              <w:ind w:left="258"/>
              <w:rPr>
                <w:b w:val="0"/>
                <w:bCs w:val="0"/>
                <w:highlight w:val="none"/>
              </w:rPr>
            </w:pPr>
            <w:r>
              <w:rPr>
                <w:b w:val="0"/>
                <w:bCs w:val="0"/>
                <w:spacing w:val="-2"/>
                <w:highlight w:val="none"/>
              </w:rPr>
              <w:t>4</w:t>
            </w:r>
          </w:p>
        </w:tc>
        <w:tc>
          <w:tcPr>
            <w:tcW w:w="493" w:type="pct"/>
            <w:vMerge w:val="restart"/>
            <w:tcBorders>
              <w:bottom w:val="nil"/>
            </w:tcBorders>
            <w:vAlign w:val="center"/>
          </w:tcPr>
          <w:p w14:paraId="50F54A88">
            <w:pPr>
              <w:pStyle w:val="23"/>
              <w:keepNext w:val="0"/>
              <w:keepLines w:val="0"/>
              <w:suppressLineNumbers w:val="0"/>
              <w:spacing w:before="59" w:line="220" w:lineRule="auto"/>
              <w:ind w:left="181"/>
              <w:rPr>
                <w:b w:val="0"/>
                <w:bCs w:val="0"/>
                <w:highlight w:val="none"/>
              </w:rPr>
            </w:pPr>
            <w:r>
              <w:rPr>
                <w:b w:val="0"/>
                <w:bCs w:val="0"/>
                <w:spacing w:val="-3"/>
                <w:highlight w:val="none"/>
              </w:rPr>
              <w:t>安全疏散与避难设</w:t>
            </w:r>
            <w:r>
              <w:rPr>
                <w:b w:val="0"/>
                <w:bCs w:val="0"/>
                <w:highlight w:val="none"/>
              </w:rPr>
              <w:t>施</w:t>
            </w:r>
            <w:r>
              <w:rPr>
                <w:b w:val="0"/>
                <w:bCs w:val="0"/>
                <w:spacing w:val="-5"/>
                <w:highlight w:val="none"/>
              </w:rPr>
              <w:t>（60</w:t>
            </w:r>
            <w:r>
              <w:rPr>
                <w:b w:val="0"/>
                <w:bCs w:val="0"/>
                <w:spacing w:val="-35"/>
                <w:highlight w:val="none"/>
              </w:rPr>
              <w:t xml:space="preserve"> </w:t>
            </w:r>
            <w:r>
              <w:rPr>
                <w:b w:val="0"/>
                <w:bCs w:val="0"/>
                <w:spacing w:val="-5"/>
                <w:highlight w:val="none"/>
              </w:rPr>
              <w:t>分）</w:t>
            </w:r>
          </w:p>
        </w:tc>
        <w:tc>
          <w:tcPr>
            <w:tcW w:w="366" w:type="pct"/>
            <w:vMerge w:val="restart"/>
            <w:tcBorders>
              <w:bottom w:val="nil"/>
            </w:tcBorders>
            <w:vAlign w:val="center"/>
          </w:tcPr>
          <w:p w14:paraId="59635414">
            <w:pPr>
              <w:pStyle w:val="23"/>
              <w:keepNext w:val="0"/>
              <w:keepLines w:val="0"/>
              <w:suppressLineNumbers w:val="0"/>
              <w:spacing w:before="59" w:line="222" w:lineRule="auto"/>
              <w:ind w:left="121"/>
              <w:rPr>
                <w:b w:val="0"/>
                <w:bCs w:val="0"/>
                <w:highlight w:val="none"/>
              </w:rPr>
            </w:pPr>
            <w:r>
              <w:rPr>
                <w:b w:val="0"/>
                <w:bCs w:val="0"/>
                <w:spacing w:val="-2"/>
                <w:highlight w:val="none"/>
              </w:rPr>
              <w:t>安全出口及</w:t>
            </w:r>
          </w:p>
          <w:p w14:paraId="6E1CC2CD">
            <w:pPr>
              <w:pStyle w:val="23"/>
              <w:keepNext w:val="0"/>
              <w:keepLines w:val="0"/>
              <w:suppressLineNumbers w:val="0"/>
              <w:spacing w:before="95" w:line="307" w:lineRule="auto"/>
              <w:ind w:left="390" w:right="114" w:hanging="272"/>
              <w:rPr>
                <w:b w:val="0"/>
                <w:bCs w:val="0"/>
                <w:highlight w:val="none"/>
              </w:rPr>
            </w:pPr>
            <w:r>
              <w:rPr>
                <w:b w:val="0"/>
                <w:bCs w:val="0"/>
                <w:spacing w:val="-2"/>
                <w:highlight w:val="none"/>
              </w:rPr>
              <w:t>疏散门（15</w:t>
            </w:r>
            <w:r>
              <w:rPr>
                <w:b w:val="0"/>
                <w:bCs w:val="0"/>
                <w:highlight w:val="none"/>
              </w:rPr>
              <w:t xml:space="preserve"> </w:t>
            </w:r>
            <w:r>
              <w:rPr>
                <w:b w:val="0"/>
                <w:bCs w:val="0"/>
                <w:spacing w:val="-6"/>
                <w:highlight w:val="none"/>
              </w:rPr>
              <w:t>分）</w:t>
            </w:r>
          </w:p>
        </w:tc>
        <w:tc>
          <w:tcPr>
            <w:tcW w:w="1720" w:type="pct"/>
            <w:vAlign w:val="center"/>
          </w:tcPr>
          <w:p w14:paraId="76A5824F">
            <w:pPr>
              <w:pStyle w:val="23"/>
              <w:keepNext w:val="0"/>
              <w:keepLines w:val="0"/>
              <w:suppressLineNumbers w:val="0"/>
              <w:spacing w:before="0" w:line="221" w:lineRule="auto"/>
              <w:ind w:left="113"/>
              <w:rPr>
                <w:b w:val="0"/>
                <w:bCs w:val="0"/>
                <w:color w:val="auto"/>
                <w:highlight w:val="none"/>
              </w:rPr>
            </w:pPr>
            <w:r>
              <w:rPr>
                <w:b w:val="0"/>
                <w:bCs w:val="0"/>
                <w:color w:val="auto"/>
                <w:spacing w:val="-1"/>
                <w:highlight w:val="none"/>
              </w:rPr>
              <w:t>a)安全出口及疏散门的数量、疏散宽度、间距；</w:t>
            </w:r>
          </w:p>
        </w:tc>
        <w:tc>
          <w:tcPr>
            <w:tcW w:w="1177" w:type="pct"/>
            <w:vAlign w:val="center"/>
          </w:tcPr>
          <w:p w14:paraId="791ADF07">
            <w:pPr>
              <w:pStyle w:val="23"/>
              <w:keepNext w:val="0"/>
              <w:keepLines w:val="0"/>
              <w:suppressLineNumbers w:val="0"/>
              <w:spacing w:before="67" w:line="295" w:lineRule="auto"/>
              <w:ind w:left="110" w:right="107" w:firstLine="5"/>
              <w:jc w:val="both"/>
              <w:rPr>
                <w:b w:val="0"/>
                <w:bCs w:val="0"/>
                <w:color w:val="auto"/>
                <w:spacing w:val="-3"/>
                <w:highlight w:val="none"/>
              </w:rPr>
            </w:pPr>
            <w:r>
              <w:rPr>
                <w:b w:val="0"/>
                <w:bCs w:val="0"/>
                <w:color w:val="auto"/>
                <w:spacing w:val="-3"/>
                <w:highlight w:val="none"/>
              </w:rPr>
              <w:t>每发现一处不符合要求的扣 1 分，最高扣4 分。</w:t>
            </w:r>
          </w:p>
        </w:tc>
        <w:tc>
          <w:tcPr>
            <w:tcW w:w="366" w:type="pct"/>
            <w:vAlign w:val="center"/>
          </w:tcPr>
          <w:p w14:paraId="3AD7025B">
            <w:pPr>
              <w:keepNext w:val="0"/>
              <w:keepLines w:val="0"/>
              <w:suppressLineNumbers w:val="0"/>
              <w:spacing w:before="68" w:beforeAutospacing="0" w:after="0" w:afterAutospacing="0" w:line="282" w:lineRule="auto"/>
              <w:ind w:left="0" w:right="101" w:rightChars="0"/>
              <w:jc w:val="both"/>
              <w:rPr>
                <w:rFonts w:hint="eastAsia" w:ascii="宋体" w:hAnsi="宋体" w:eastAsia="宋体" w:cs="宋体"/>
                <w:b w:val="0"/>
                <w:bCs w:val="0"/>
                <w:color w:val="auto"/>
                <w:sz w:val="18"/>
                <w:szCs w:val="18"/>
                <w:highlight w:val="none"/>
                <w:lang w:val="en-US" w:eastAsia="zh-CN"/>
              </w:rPr>
            </w:pPr>
          </w:p>
        </w:tc>
        <w:tc>
          <w:tcPr>
            <w:tcW w:w="339" w:type="pct"/>
            <w:vAlign w:val="center"/>
          </w:tcPr>
          <w:p w14:paraId="2ED9837A">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c>
          <w:tcPr>
            <w:tcW w:w="330" w:type="pct"/>
            <w:vMerge w:val="restart"/>
            <w:tcBorders>
              <w:bottom w:val="nil"/>
            </w:tcBorders>
            <w:vAlign w:val="center"/>
          </w:tcPr>
          <w:p w14:paraId="5BFD9C35">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4FF94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204" w:type="pct"/>
            <w:vMerge w:val="continue"/>
            <w:tcBorders>
              <w:top w:val="nil"/>
              <w:bottom w:val="nil"/>
            </w:tcBorders>
            <w:vAlign w:val="center"/>
          </w:tcPr>
          <w:p w14:paraId="6C91002D">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EDA80A6">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7D7E4357">
            <w:pPr>
              <w:keepNext w:val="0"/>
              <w:keepLines w:val="0"/>
              <w:suppressLineNumbers w:val="0"/>
              <w:spacing w:before="0" w:beforeAutospacing="0" w:after="0" w:afterAutospacing="0"/>
              <w:ind w:left="0" w:right="0"/>
              <w:rPr>
                <w:rFonts w:hint="default" w:ascii="Arial"/>
                <w:b w:val="0"/>
                <w:bCs w:val="0"/>
                <w:sz w:val="21"/>
                <w:highlight w:val="none"/>
              </w:rPr>
            </w:pPr>
          </w:p>
        </w:tc>
        <w:tc>
          <w:tcPr>
            <w:tcW w:w="1720" w:type="pct"/>
            <w:vAlign w:val="center"/>
          </w:tcPr>
          <w:p w14:paraId="3B6786C0">
            <w:pPr>
              <w:pStyle w:val="23"/>
              <w:keepNext w:val="0"/>
              <w:keepLines w:val="0"/>
              <w:suppressLineNumbers w:val="0"/>
              <w:spacing w:before="0" w:line="221" w:lineRule="auto"/>
              <w:ind w:left="113"/>
              <w:rPr>
                <w:b w:val="0"/>
                <w:bCs w:val="0"/>
                <w:highlight w:val="none"/>
              </w:rPr>
            </w:pPr>
            <w:r>
              <w:rPr>
                <w:b w:val="0"/>
                <w:bCs w:val="0"/>
                <w:spacing w:val="-1"/>
                <w:highlight w:val="none"/>
              </w:rPr>
              <w:t>b)安全出口及</w:t>
            </w:r>
            <w:r>
              <w:rPr>
                <w:b w:val="0"/>
                <w:bCs w:val="0"/>
                <w:color w:val="auto"/>
                <w:spacing w:val="-1"/>
                <w:highlight w:val="none"/>
              </w:rPr>
              <w:t>疏散</w:t>
            </w:r>
            <w:r>
              <w:rPr>
                <w:b w:val="0"/>
                <w:bCs w:val="0"/>
                <w:spacing w:val="-1"/>
                <w:highlight w:val="none"/>
              </w:rPr>
              <w:t>门的开启方向；</w:t>
            </w:r>
          </w:p>
        </w:tc>
        <w:tc>
          <w:tcPr>
            <w:tcW w:w="1177" w:type="pct"/>
            <w:vAlign w:val="center"/>
          </w:tcPr>
          <w:p w14:paraId="5549E80A">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分，最高扣4 分。</w:t>
            </w:r>
          </w:p>
        </w:tc>
        <w:tc>
          <w:tcPr>
            <w:tcW w:w="366" w:type="pct"/>
            <w:vAlign w:val="center"/>
          </w:tcPr>
          <w:p w14:paraId="5D144119">
            <w:pPr>
              <w:keepNext w:val="0"/>
              <w:keepLines w:val="0"/>
              <w:suppressLineNumbers w:val="0"/>
              <w:spacing w:before="68" w:beforeAutospacing="0" w:after="0" w:afterAutospacing="0" w:line="282" w:lineRule="auto"/>
              <w:ind w:left="0" w:right="101" w:rightChars="0"/>
              <w:jc w:val="center"/>
              <w:rPr>
                <w:rFonts w:hint="eastAsia" w:ascii="宋体" w:hAnsi="宋体" w:eastAsia="宋体" w:cs="宋体"/>
                <w:b w:val="0"/>
                <w:bCs w:val="0"/>
                <w:color w:val="auto"/>
                <w:sz w:val="18"/>
                <w:szCs w:val="18"/>
                <w:highlight w:val="none"/>
                <w:lang w:eastAsia="zh-CN"/>
              </w:rPr>
            </w:pPr>
          </w:p>
        </w:tc>
        <w:tc>
          <w:tcPr>
            <w:tcW w:w="339" w:type="pct"/>
            <w:vAlign w:val="center"/>
          </w:tcPr>
          <w:p w14:paraId="119DA501">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vMerge w:val="continue"/>
            <w:tcBorders>
              <w:top w:val="nil"/>
              <w:bottom w:val="nil"/>
            </w:tcBorders>
            <w:vAlign w:val="center"/>
          </w:tcPr>
          <w:p w14:paraId="6091BF19">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109DA3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204" w:type="pct"/>
            <w:vMerge w:val="continue"/>
            <w:tcBorders>
              <w:top w:val="nil"/>
              <w:bottom w:val="nil"/>
            </w:tcBorders>
            <w:vAlign w:val="center"/>
          </w:tcPr>
          <w:p w14:paraId="3D0EB0DB">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69DFADBB">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45AEE19B">
            <w:pPr>
              <w:keepNext w:val="0"/>
              <w:keepLines w:val="0"/>
              <w:suppressLineNumbers w:val="0"/>
              <w:spacing w:before="0" w:beforeAutospacing="0" w:after="0" w:afterAutospacing="0"/>
              <w:ind w:left="0" w:right="0"/>
              <w:rPr>
                <w:rFonts w:hint="default" w:ascii="Arial"/>
                <w:b w:val="0"/>
                <w:bCs w:val="0"/>
                <w:sz w:val="21"/>
                <w:highlight w:val="none"/>
              </w:rPr>
            </w:pPr>
          </w:p>
        </w:tc>
        <w:tc>
          <w:tcPr>
            <w:tcW w:w="1720" w:type="pct"/>
            <w:vAlign w:val="center"/>
          </w:tcPr>
          <w:p w14:paraId="21C7EBEF">
            <w:pPr>
              <w:pStyle w:val="23"/>
              <w:keepNext w:val="0"/>
              <w:keepLines w:val="0"/>
              <w:suppressLineNumbers w:val="0"/>
              <w:spacing w:before="0" w:line="221" w:lineRule="auto"/>
              <w:ind w:left="113"/>
              <w:rPr>
                <w:b w:val="0"/>
                <w:bCs w:val="0"/>
                <w:color w:val="auto"/>
                <w:spacing w:val="-1"/>
                <w:highlight w:val="none"/>
              </w:rPr>
            </w:pPr>
            <w:r>
              <w:rPr>
                <w:b w:val="0"/>
                <w:bCs w:val="0"/>
                <w:color w:val="auto"/>
                <w:spacing w:val="-1"/>
                <w:highlight w:val="none"/>
              </w:rPr>
              <w:t>c)疏散出口门</w:t>
            </w:r>
            <w:r>
              <w:rPr>
                <w:rFonts w:hint="eastAsia"/>
                <w:b w:val="0"/>
                <w:bCs w:val="0"/>
                <w:color w:val="auto"/>
                <w:spacing w:val="-1"/>
                <w:highlight w:val="none"/>
                <w:lang w:eastAsia="zh-CN"/>
              </w:rPr>
              <w:t>应</w:t>
            </w:r>
            <w:r>
              <w:rPr>
                <w:b w:val="0"/>
                <w:bCs w:val="0"/>
                <w:color w:val="auto"/>
                <w:spacing w:val="-1"/>
                <w:highlight w:val="none"/>
              </w:rPr>
              <w:t>在关闭后从任何一侧手动开启；</w:t>
            </w:r>
          </w:p>
        </w:tc>
        <w:tc>
          <w:tcPr>
            <w:tcW w:w="1177" w:type="pct"/>
            <w:vAlign w:val="center"/>
          </w:tcPr>
          <w:p w14:paraId="744BAEF7">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分，最高扣4 分。</w:t>
            </w:r>
          </w:p>
        </w:tc>
        <w:tc>
          <w:tcPr>
            <w:tcW w:w="366" w:type="pct"/>
            <w:vAlign w:val="center"/>
          </w:tcPr>
          <w:p w14:paraId="1C3190D4">
            <w:pPr>
              <w:keepNext w:val="0"/>
              <w:keepLines w:val="0"/>
              <w:suppressLineNumbers w:val="0"/>
              <w:spacing w:before="68" w:beforeAutospacing="0" w:after="0" w:afterAutospacing="0" w:line="282" w:lineRule="auto"/>
              <w:ind w:left="0" w:right="101" w:rightChars="0"/>
              <w:jc w:val="center"/>
              <w:rPr>
                <w:rFonts w:hint="eastAsia" w:ascii="宋体" w:hAnsi="宋体" w:eastAsia="宋体" w:cs="宋体"/>
                <w:b w:val="0"/>
                <w:bCs w:val="0"/>
                <w:color w:val="auto"/>
                <w:sz w:val="18"/>
                <w:szCs w:val="18"/>
                <w:highlight w:val="none"/>
                <w:lang w:eastAsia="zh-CN"/>
              </w:rPr>
            </w:pPr>
          </w:p>
        </w:tc>
        <w:tc>
          <w:tcPr>
            <w:tcW w:w="339" w:type="pct"/>
            <w:vAlign w:val="center"/>
          </w:tcPr>
          <w:p w14:paraId="53E50043">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vMerge w:val="continue"/>
            <w:tcBorders>
              <w:top w:val="nil"/>
              <w:bottom w:val="nil"/>
            </w:tcBorders>
            <w:vAlign w:val="center"/>
          </w:tcPr>
          <w:p w14:paraId="1720FAC6">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75AF8B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204" w:type="pct"/>
            <w:vMerge w:val="continue"/>
            <w:tcBorders>
              <w:top w:val="nil"/>
              <w:bottom w:val="nil"/>
            </w:tcBorders>
            <w:vAlign w:val="center"/>
          </w:tcPr>
          <w:p w14:paraId="20EB511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A85E398">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49A1A465">
            <w:pPr>
              <w:keepNext w:val="0"/>
              <w:keepLines w:val="0"/>
              <w:suppressLineNumbers w:val="0"/>
              <w:spacing w:before="0" w:beforeAutospacing="0" w:after="0" w:afterAutospacing="0"/>
              <w:ind w:left="0" w:right="0"/>
              <w:rPr>
                <w:rFonts w:hint="default" w:ascii="Arial"/>
                <w:b w:val="0"/>
                <w:bCs w:val="0"/>
                <w:sz w:val="21"/>
                <w:highlight w:val="none"/>
              </w:rPr>
            </w:pPr>
          </w:p>
        </w:tc>
        <w:tc>
          <w:tcPr>
            <w:tcW w:w="1720" w:type="pct"/>
            <w:vAlign w:val="center"/>
          </w:tcPr>
          <w:p w14:paraId="7FE053D3">
            <w:pPr>
              <w:pStyle w:val="23"/>
              <w:keepNext w:val="0"/>
              <w:keepLines w:val="0"/>
              <w:suppressLineNumbers w:val="0"/>
              <w:spacing w:before="0" w:line="221" w:lineRule="auto"/>
              <w:ind w:left="113"/>
              <w:rPr>
                <w:b w:val="0"/>
                <w:bCs w:val="0"/>
                <w:color w:val="auto"/>
                <w:spacing w:val="-1"/>
                <w:highlight w:val="none"/>
              </w:rPr>
            </w:pPr>
            <w:r>
              <w:rPr>
                <w:b w:val="0"/>
                <w:bCs w:val="0"/>
                <w:color w:val="auto"/>
                <w:spacing w:val="-1"/>
                <w:highlight w:val="none"/>
              </w:rPr>
              <w:t>d)楼梯间在首层直通室外的情况。</w:t>
            </w:r>
          </w:p>
        </w:tc>
        <w:tc>
          <w:tcPr>
            <w:tcW w:w="1177" w:type="pct"/>
            <w:vAlign w:val="center"/>
          </w:tcPr>
          <w:p w14:paraId="4ECAF03E">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分，最高扣3 分。</w:t>
            </w:r>
          </w:p>
        </w:tc>
        <w:tc>
          <w:tcPr>
            <w:tcW w:w="366" w:type="pct"/>
            <w:shd w:val="clear" w:color="auto" w:fill="auto"/>
            <w:vAlign w:val="center"/>
          </w:tcPr>
          <w:p w14:paraId="7208E146">
            <w:pPr>
              <w:keepNext w:val="0"/>
              <w:keepLines w:val="0"/>
              <w:suppressLineNumbers w:val="0"/>
              <w:spacing w:before="68" w:beforeAutospacing="0" w:after="0" w:afterAutospacing="0" w:line="282" w:lineRule="auto"/>
              <w:ind w:left="0" w:right="101" w:rightChars="0"/>
              <w:jc w:val="center"/>
              <w:rPr>
                <w:rFonts w:hint="eastAsia" w:ascii="宋体" w:hAnsi="宋体" w:eastAsia="宋体" w:cs="宋体"/>
                <w:b w:val="0"/>
                <w:bCs w:val="0"/>
                <w:snapToGrid w:val="0"/>
                <w:color w:val="auto"/>
                <w:kern w:val="0"/>
                <w:sz w:val="18"/>
                <w:szCs w:val="18"/>
                <w:highlight w:val="none"/>
                <w:lang w:val="en-US" w:eastAsia="zh-CN"/>
              </w:rPr>
            </w:pPr>
          </w:p>
        </w:tc>
        <w:tc>
          <w:tcPr>
            <w:tcW w:w="339" w:type="pct"/>
            <w:vAlign w:val="center"/>
          </w:tcPr>
          <w:p w14:paraId="1678E30A">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vMerge w:val="continue"/>
            <w:tcBorders>
              <w:top w:val="nil"/>
            </w:tcBorders>
            <w:vAlign w:val="center"/>
          </w:tcPr>
          <w:p w14:paraId="2B4A109F">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3798B3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204" w:type="pct"/>
            <w:vMerge w:val="continue"/>
            <w:tcBorders>
              <w:top w:val="nil"/>
              <w:bottom w:val="nil"/>
            </w:tcBorders>
            <w:vAlign w:val="center"/>
          </w:tcPr>
          <w:p w14:paraId="1E62A590">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3EC6D334">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restart"/>
            <w:tcBorders>
              <w:bottom w:val="nil"/>
            </w:tcBorders>
            <w:vAlign w:val="center"/>
          </w:tcPr>
          <w:p w14:paraId="42643D43">
            <w:pPr>
              <w:pStyle w:val="23"/>
              <w:keepNext w:val="0"/>
              <w:keepLines w:val="0"/>
              <w:suppressLineNumbers w:val="0"/>
              <w:spacing w:before="58" w:line="307" w:lineRule="auto"/>
              <w:ind w:left="190" w:right="192" w:firstLine="19"/>
              <w:rPr>
                <w:b w:val="0"/>
                <w:bCs w:val="0"/>
                <w:highlight w:val="none"/>
              </w:rPr>
            </w:pPr>
            <w:r>
              <w:rPr>
                <w:b w:val="0"/>
                <w:bCs w:val="0"/>
                <w:spacing w:val="-2"/>
                <w:highlight w:val="none"/>
              </w:rPr>
              <w:t>疏散楼梯</w:t>
            </w:r>
            <w:r>
              <w:rPr>
                <w:b w:val="0"/>
                <w:bCs w:val="0"/>
                <w:spacing w:val="-8"/>
                <w:highlight w:val="none"/>
              </w:rPr>
              <w:t>（18</w:t>
            </w:r>
            <w:r>
              <w:rPr>
                <w:b w:val="0"/>
                <w:bCs w:val="0"/>
                <w:spacing w:val="-31"/>
                <w:highlight w:val="none"/>
              </w:rPr>
              <w:t xml:space="preserve"> </w:t>
            </w:r>
            <w:r>
              <w:rPr>
                <w:b w:val="0"/>
                <w:bCs w:val="0"/>
                <w:spacing w:val="-8"/>
                <w:highlight w:val="none"/>
              </w:rPr>
              <w:t>分）</w:t>
            </w:r>
          </w:p>
        </w:tc>
        <w:tc>
          <w:tcPr>
            <w:tcW w:w="1720" w:type="pct"/>
            <w:vAlign w:val="center"/>
          </w:tcPr>
          <w:p w14:paraId="46F2582D">
            <w:pPr>
              <w:pStyle w:val="23"/>
              <w:keepNext w:val="0"/>
              <w:keepLines w:val="0"/>
              <w:suppressLineNumbers w:val="0"/>
              <w:spacing w:before="0" w:line="221" w:lineRule="auto"/>
              <w:ind w:left="113"/>
              <w:rPr>
                <w:b w:val="0"/>
                <w:bCs w:val="0"/>
                <w:color w:val="auto"/>
                <w:spacing w:val="-1"/>
                <w:highlight w:val="none"/>
              </w:rPr>
            </w:pPr>
            <w:r>
              <w:rPr>
                <w:b w:val="0"/>
                <w:bCs w:val="0"/>
                <w:color w:val="auto"/>
                <w:spacing w:val="-1"/>
                <w:highlight w:val="none"/>
              </w:rPr>
              <w:t>a)疏散楼梯的设置形式、数量、净宽度；</w:t>
            </w:r>
          </w:p>
        </w:tc>
        <w:tc>
          <w:tcPr>
            <w:tcW w:w="1177" w:type="pct"/>
            <w:vAlign w:val="center"/>
          </w:tcPr>
          <w:p w14:paraId="7C4BF4C6">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分，最高扣5 分。</w:t>
            </w:r>
          </w:p>
        </w:tc>
        <w:tc>
          <w:tcPr>
            <w:tcW w:w="366" w:type="pct"/>
            <w:vAlign w:val="center"/>
          </w:tcPr>
          <w:p w14:paraId="51ED1815">
            <w:pPr>
              <w:keepNext w:val="0"/>
              <w:keepLines w:val="0"/>
              <w:suppressLineNumbers w:val="0"/>
              <w:spacing w:before="68" w:beforeAutospacing="0" w:after="0" w:afterAutospacing="0" w:line="282" w:lineRule="auto"/>
              <w:ind w:left="0" w:right="101" w:rightChars="0"/>
              <w:jc w:val="center"/>
              <w:rPr>
                <w:rFonts w:hint="eastAsia" w:ascii="宋体" w:hAnsi="宋体" w:eastAsia="宋体" w:cs="宋体"/>
                <w:b w:val="0"/>
                <w:bCs w:val="0"/>
                <w:color w:val="auto"/>
                <w:sz w:val="18"/>
                <w:szCs w:val="18"/>
                <w:highlight w:val="none"/>
                <w:lang w:val="en-US" w:eastAsia="zh-CN"/>
              </w:rPr>
            </w:pPr>
          </w:p>
        </w:tc>
        <w:tc>
          <w:tcPr>
            <w:tcW w:w="339" w:type="pct"/>
            <w:vAlign w:val="center"/>
          </w:tcPr>
          <w:p w14:paraId="0F066C16">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c>
          <w:tcPr>
            <w:tcW w:w="330" w:type="pct"/>
            <w:vMerge w:val="restart"/>
            <w:tcBorders>
              <w:bottom w:val="nil"/>
            </w:tcBorders>
            <w:vAlign w:val="center"/>
          </w:tcPr>
          <w:p w14:paraId="3A7B402E">
            <w:pPr>
              <w:keepNext w:val="0"/>
              <w:keepLines w:val="0"/>
              <w:suppressLineNumbers w:val="0"/>
              <w:spacing w:before="0" w:beforeAutospacing="0" w:after="0" w:afterAutospacing="0"/>
              <w:ind w:left="0" w:right="0"/>
              <w:jc w:val="both"/>
              <w:rPr>
                <w:rFonts w:hint="default" w:ascii="宋体" w:hAnsi="宋体" w:eastAsia="宋体" w:cs="宋体"/>
                <w:b w:val="0"/>
                <w:bCs w:val="0"/>
                <w:color w:val="auto"/>
                <w:sz w:val="21"/>
                <w:highlight w:val="none"/>
                <w:lang w:val="en-US" w:eastAsia="zh-CN"/>
              </w:rPr>
            </w:pPr>
          </w:p>
        </w:tc>
      </w:tr>
      <w:tr w14:paraId="5375C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jc w:val="center"/>
        </w:trPr>
        <w:tc>
          <w:tcPr>
            <w:tcW w:w="204" w:type="pct"/>
            <w:vMerge w:val="continue"/>
            <w:tcBorders>
              <w:top w:val="nil"/>
              <w:bottom w:val="nil"/>
            </w:tcBorders>
            <w:vAlign w:val="center"/>
          </w:tcPr>
          <w:p w14:paraId="10C5143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5782EB30">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72DB7DB8">
            <w:pPr>
              <w:keepNext w:val="0"/>
              <w:keepLines w:val="0"/>
              <w:suppressLineNumbers w:val="0"/>
              <w:spacing w:before="0" w:beforeAutospacing="0" w:after="0" w:afterAutospacing="0"/>
              <w:ind w:left="0" w:right="0"/>
              <w:rPr>
                <w:rFonts w:hint="default" w:ascii="Arial"/>
                <w:b w:val="0"/>
                <w:bCs w:val="0"/>
                <w:sz w:val="21"/>
                <w:highlight w:val="none"/>
              </w:rPr>
            </w:pPr>
          </w:p>
        </w:tc>
        <w:tc>
          <w:tcPr>
            <w:tcW w:w="1720" w:type="pct"/>
            <w:vAlign w:val="center"/>
          </w:tcPr>
          <w:p w14:paraId="1C4BEE10">
            <w:pPr>
              <w:pStyle w:val="23"/>
              <w:keepNext w:val="0"/>
              <w:keepLines w:val="0"/>
              <w:suppressLineNumbers w:val="0"/>
              <w:spacing w:before="0" w:line="221" w:lineRule="auto"/>
              <w:ind w:left="113"/>
              <w:rPr>
                <w:b w:val="0"/>
                <w:bCs w:val="0"/>
                <w:color w:val="auto"/>
                <w:spacing w:val="-1"/>
                <w:highlight w:val="none"/>
              </w:rPr>
            </w:pPr>
            <w:r>
              <w:rPr>
                <w:b w:val="0"/>
                <w:bCs w:val="0"/>
                <w:color w:val="auto"/>
                <w:spacing w:val="-1"/>
                <w:highlight w:val="none"/>
              </w:rPr>
              <w:t>b)疏散楼梯间及前室的防火分隔；</w:t>
            </w:r>
          </w:p>
        </w:tc>
        <w:tc>
          <w:tcPr>
            <w:tcW w:w="1177" w:type="pct"/>
            <w:vAlign w:val="center"/>
          </w:tcPr>
          <w:p w14:paraId="1B43DA06">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分，最高扣4 分。</w:t>
            </w:r>
          </w:p>
        </w:tc>
        <w:tc>
          <w:tcPr>
            <w:tcW w:w="366" w:type="pct"/>
            <w:shd w:val="clear" w:color="auto" w:fill="auto"/>
            <w:vAlign w:val="center"/>
          </w:tcPr>
          <w:p w14:paraId="0C374046">
            <w:pPr>
              <w:keepNext w:val="0"/>
              <w:keepLines w:val="0"/>
              <w:suppressLineNumbers w:val="0"/>
              <w:spacing w:before="68" w:beforeAutospacing="0" w:after="0" w:afterAutospacing="0" w:line="282" w:lineRule="auto"/>
              <w:ind w:left="0" w:right="101" w:rightChars="0"/>
              <w:jc w:val="center"/>
              <w:rPr>
                <w:rFonts w:hint="eastAsia" w:ascii="宋体" w:hAnsi="宋体" w:eastAsia="宋体" w:cs="宋体"/>
                <w:b w:val="0"/>
                <w:bCs w:val="0"/>
                <w:snapToGrid w:val="0"/>
                <w:color w:val="auto"/>
                <w:kern w:val="0"/>
                <w:sz w:val="18"/>
                <w:szCs w:val="18"/>
                <w:highlight w:val="none"/>
                <w:lang w:val="en-US" w:eastAsia="zh-CN"/>
              </w:rPr>
            </w:pPr>
          </w:p>
        </w:tc>
        <w:tc>
          <w:tcPr>
            <w:tcW w:w="339" w:type="pct"/>
            <w:vAlign w:val="center"/>
          </w:tcPr>
          <w:p w14:paraId="60760390">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6108948E">
            <w:pPr>
              <w:keepNext w:val="0"/>
              <w:keepLines w:val="0"/>
              <w:suppressLineNumbers w:val="0"/>
              <w:spacing w:before="0" w:beforeAutospacing="0" w:after="0" w:afterAutospacing="0"/>
              <w:ind w:left="0" w:right="0"/>
              <w:rPr>
                <w:rFonts w:hint="default" w:ascii="Arial"/>
                <w:b w:val="0"/>
                <w:bCs w:val="0"/>
                <w:sz w:val="21"/>
                <w:highlight w:val="none"/>
              </w:rPr>
            </w:pPr>
          </w:p>
        </w:tc>
      </w:tr>
      <w:tr w14:paraId="5B9FE7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jc w:val="center"/>
        </w:trPr>
        <w:tc>
          <w:tcPr>
            <w:tcW w:w="204" w:type="pct"/>
            <w:vMerge w:val="continue"/>
            <w:tcBorders>
              <w:top w:val="nil"/>
            </w:tcBorders>
            <w:vAlign w:val="center"/>
          </w:tcPr>
          <w:p w14:paraId="28A3BA7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53519659">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5C9206A0">
            <w:pPr>
              <w:keepNext w:val="0"/>
              <w:keepLines w:val="0"/>
              <w:suppressLineNumbers w:val="0"/>
              <w:spacing w:before="0" w:beforeAutospacing="0" w:after="0" w:afterAutospacing="0"/>
              <w:ind w:left="0" w:right="0"/>
              <w:rPr>
                <w:rFonts w:hint="default" w:ascii="Arial"/>
                <w:b w:val="0"/>
                <w:bCs w:val="0"/>
                <w:sz w:val="21"/>
                <w:highlight w:val="none"/>
              </w:rPr>
            </w:pPr>
          </w:p>
        </w:tc>
        <w:tc>
          <w:tcPr>
            <w:tcW w:w="1720" w:type="pct"/>
            <w:vAlign w:val="center"/>
          </w:tcPr>
          <w:p w14:paraId="754D9B1E">
            <w:pPr>
              <w:pStyle w:val="23"/>
              <w:keepNext w:val="0"/>
              <w:keepLines w:val="0"/>
              <w:suppressLineNumbers w:val="0"/>
              <w:spacing w:before="0" w:line="221" w:lineRule="auto"/>
              <w:ind w:left="113"/>
              <w:rPr>
                <w:b w:val="0"/>
                <w:bCs w:val="0"/>
                <w:color w:val="auto"/>
                <w:spacing w:val="-1"/>
                <w:highlight w:val="none"/>
              </w:rPr>
            </w:pPr>
            <w:r>
              <w:rPr>
                <w:b w:val="0"/>
                <w:bCs w:val="0"/>
                <w:color w:val="auto"/>
                <w:spacing w:val="-1"/>
                <w:highlight w:val="none"/>
              </w:rPr>
              <w:t>c)疏散楼梯间前室、合用前室面积；</w:t>
            </w:r>
          </w:p>
        </w:tc>
        <w:tc>
          <w:tcPr>
            <w:tcW w:w="1177" w:type="pct"/>
            <w:vAlign w:val="center"/>
          </w:tcPr>
          <w:p w14:paraId="28D15D24">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分，最高扣3 分。</w:t>
            </w:r>
          </w:p>
        </w:tc>
        <w:tc>
          <w:tcPr>
            <w:tcW w:w="366" w:type="pct"/>
            <w:vAlign w:val="center"/>
          </w:tcPr>
          <w:p w14:paraId="48241B66">
            <w:pPr>
              <w:keepNext w:val="0"/>
              <w:keepLines w:val="0"/>
              <w:suppressLineNumbers w:val="0"/>
              <w:spacing w:before="0" w:beforeAutospacing="0" w:after="0" w:afterAutospacing="0"/>
              <w:ind w:left="0" w:right="0"/>
              <w:jc w:val="center"/>
              <w:rPr>
                <w:rFonts w:hint="eastAsia" w:ascii="宋体" w:hAnsi="宋体" w:eastAsia="宋体" w:cs="宋体"/>
                <w:b w:val="0"/>
                <w:bCs w:val="0"/>
                <w:sz w:val="18"/>
                <w:szCs w:val="18"/>
                <w:highlight w:val="none"/>
                <w:lang w:val="en-US" w:eastAsia="zh-CN"/>
              </w:rPr>
            </w:pPr>
          </w:p>
        </w:tc>
        <w:tc>
          <w:tcPr>
            <w:tcW w:w="339" w:type="pct"/>
            <w:vAlign w:val="center"/>
          </w:tcPr>
          <w:p w14:paraId="30A7EDC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tcBorders>
            <w:vAlign w:val="center"/>
          </w:tcPr>
          <w:p w14:paraId="491B34BE">
            <w:pPr>
              <w:keepNext w:val="0"/>
              <w:keepLines w:val="0"/>
              <w:suppressLineNumbers w:val="0"/>
              <w:spacing w:before="0" w:beforeAutospacing="0" w:after="0" w:afterAutospacing="0"/>
              <w:ind w:left="0" w:right="0"/>
              <w:rPr>
                <w:rFonts w:hint="default" w:ascii="Arial"/>
                <w:b w:val="0"/>
                <w:bCs w:val="0"/>
                <w:sz w:val="21"/>
                <w:highlight w:val="none"/>
              </w:rPr>
            </w:pPr>
          </w:p>
        </w:tc>
      </w:tr>
    </w:tbl>
    <w:p w14:paraId="460BCB22">
      <w:pPr>
        <w:rPr>
          <w:rFonts w:ascii="Arial"/>
          <w:b w:val="0"/>
          <w:bCs w:val="0"/>
          <w:sz w:val="21"/>
          <w:highlight w:val="none"/>
        </w:rPr>
      </w:pPr>
      <w:r>
        <w:rPr>
          <w:rFonts w:ascii="Arial"/>
          <w:b w:val="0"/>
          <w:bCs w:val="0"/>
          <w:sz w:val="21"/>
          <w:highlight w:val="none"/>
        </w:rPr>
        <w:br w:type="page"/>
      </w:r>
    </w:p>
    <w:tbl>
      <w:tblPr>
        <w:tblStyle w:val="24"/>
        <w:tblW w:w="494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05"/>
        <w:gridCol w:w="1469"/>
        <w:gridCol w:w="1091"/>
        <w:gridCol w:w="5129"/>
        <w:gridCol w:w="3507"/>
        <w:gridCol w:w="1091"/>
        <w:gridCol w:w="1010"/>
        <w:gridCol w:w="983"/>
      </w:tblGrid>
      <w:tr w14:paraId="10241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203" w:type="pct"/>
            <w:vAlign w:val="center"/>
          </w:tcPr>
          <w:p w14:paraId="49F387BA">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4C1805FA">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731EB231">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1" w:type="pct"/>
            <w:vAlign w:val="center"/>
          </w:tcPr>
          <w:p w14:paraId="64609633">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7" w:type="pct"/>
            <w:vAlign w:val="center"/>
          </w:tcPr>
          <w:p w14:paraId="7F52F6FC">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4D2FBFC2">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6E6A621E">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6111142F">
            <w:pPr>
              <w:pStyle w:val="23"/>
              <w:keepNext w:val="0"/>
              <w:keepLines w:val="0"/>
              <w:suppressLineNumbers w:val="0"/>
              <w:spacing w:before="71" w:line="220" w:lineRule="auto"/>
              <w:ind w:left="295"/>
              <w:rPr>
                <w:highlight w:val="none"/>
              </w:rPr>
            </w:pPr>
            <w:r>
              <w:rPr>
                <w:b/>
                <w:bCs/>
                <w:spacing w:val="-4"/>
                <w:highlight w:val="none"/>
              </w:rPr>
              <w:t>得分</w:t>
            </w:r>
          </w:p>
        </w:tc>
      </w:tr>
      <w:tr w14:paraId="056076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jc w:val="center"/>
        </w:trPr>
        <w:tc>
          <w:tcPr>
            <w:tcW w:w="203" w:type="pct"/>
            <w:vMerge w:val="restart"/>
            <w:tcBorders>
              <w:bottom w:val="nil"/>
            </w:tcBorders>
            <w:vAlign w:val="center"/>
          </w:tcPr>
          <w:p w14:paraId="1FFBFA57">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bottom w:val="nil"/>
            </w:tcBorders>
            <w:vAlign w:val="center"/>
          </w:tcPr>
          <w:p w14:paraId="0FED7A86">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restart"/>
            <w:tcBorders>
              <w:bottom w:val="nil"/>
            </w:tcBorders>
            <w:vAlign w:val="center"/>
          </w:tcPr>
          <w:p w14:paraId="6CBE79EB">
            <w:pPr>
              <w:keepNext w:val="0"/>
              <w:keepLines w:val="0"/>
              <w:suppressLineNumbers w:val="0"/>
              <w:spacing w:before="0" w:beforeAutospacing="0" w:after="0" w:afterAutospacing="0"/>
              <w:ind w:left="0" w:right="0"/>
              <w:rPr>
                <w:rFonts w:hint="default" w:ascii="Arial"/>
                <w:b w:val="0"/>
                <w:bCs w:val="0"/>
                <w:sz w:val="21"/>
                <w:highlight w:val="none"/>
              </w:rPr>
            </w:pPr>
          </w:p>
        </w:tc>
        <w:tc>
          <w:tcPr>
            <w:tcW w:w="1721" w:type="pct"/>
            <w:vAlign w:val="center"/>
          </w:tcPr>
          <w:p w14:paraId="2B9CBC9F">
            <w:pPr>
              <w:pStyle w:val="23"/>
              <w:keepNext w:val="0"/>
              <w:keepLines w:val="0"/>
              <w:suppressLineNumbers w:val="0"/>
              <w:spacing w:before="222" w:line="220" w:lineRule="auto"/>
              <w:ind w:left="115"/>
              <w:rPr>
                <w:b w:val="0"/>
                <w:bCs w:val="0"/>
                <w:highlight w:val="none"/>
              </w:rPr>
            </w:pPr>
            <w:r>
              <w:rPr>
                <w:b w:val="0"/>
                <w:bCs w:val="0"/>
                <w:spacing w:val="-1"/>
                <w:highlight w:val="none"/>
              </w:rPr>
              <w:t>d)楼梯间不应设置或穿过甲、乙、丙类液体管道；</w:t>
            </w:r>
          </w:p>
        </w:tc>
        <w:tc>
          <w:tcPr>
            <w:tcW w:w="1177" w:type="pct"/>
            <w:vAlign w:val="center"/>
          </w:tcPr>
          <w:p w14:paraId="298BE508">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033AF31F">
            <w:pPr>
              <w:keepNext w:val="0"/>
              <w:keepLines w:val="0"/>
              <w:suppressLineNumbers w:val="0"/>
              <w:spacing w:before="68" w:beforeAutospacing="0" w:after="0" w:afterAutospacing="0" w:line="282" w:lineRule="auto"/>
              <w:ind w:left="0" w:right="101" w:rightChars="0"/>
              <w:jc w:val="center"/>
              <w:rPr>
                <w:rFonts w:hint="default" w:eastAsia="宋体"/>
                <w:b w:val="0"/>
                <w:bCs w:val="0"/>
                <w:color w:val="auto"/>
                <w:sz w:val="21"/>
                <w:highlight w:val="none"/>
                <w:lang w:val="en-US" w:eastAsia="zh-CN"/>
              </w:rPr>
            </w:pPr>
          </w:p>
        </w:tc>
        <w:tc>
          <w:tcPr>
            <w:tcW w:w="339" w:type="pct"/>
            <w:vAlign w:val="center"/>
          </w:tcPr>
          <w:p w14:paraId="6047B843">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restart"/>
            <w:tcBorders>
              <w:bottom w:val="nil"/>
            </w:tcBorders>
            <w:vAlign w:val="center"/>
          </w:tcPr>
          <w:p w14:paraId="1184DE8D">
            <w:pPr>
              <w:keepNext w:val="0"/>
              <w:keepLines w:val="0"/>
              <w:suppressLineNumbers w:val="0"/>
              <w:spacing w:before="0" w:beforeAutospacing="0" w:after="0" w:afterAutospacing="0"/>
              <w:ind w:left="0" w:right="0"/>
              <w:rPr>
                <w:rFonts w:hint="default" w:ascii="Arial"/>
                <w:b w:val="0"/>
                <w:bCs w:val="0"/>
                <w:sz w:val="21"/>
                <w:highlight w:val="none"/>
              </w:rPr>
            </w:pPr>
          </w:p>
        </w:tc>
      </w:tr>
      <w:tr w14:paraId="6A1FC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jc w:val="center"/>
        </w:trPr>
        <w:tc>
          <w:tcPr>
            <w:tcW w:w="203" w:type="pct"/>
            <w:vMerge w:val="continue"/>
            <w:tcBorders>
              <w:top w:val="nil"/>
              <w:bottom w:val="nil"/>
            </w:tcBorders>
            <w:vAlign w:val="center"/>
          </w:tcPr>
          <w:p w14:paraId="0F52AA6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164CFAE2">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3CB3921A">
            <w:pPr>
              <w:keepNext w:val="0"/>
              <w:keepLines w:val="0"/>
              <w:suppressLineNumbers w:val="0"/>
              <w:spacing w:before="0" w:beforeAutospacing="0" w:after="0" w:afterAutospacing="0"/>
              <w:ind w:left="0" w:right="0"/>
              <w:rPr>
                <w:rFonts w:hint="default" w:ascii="Arial"/>
                <w:b w:val="0"/>
                <w:bCs w:val="0"/>
                <w:sz w:val="21"/>
                <w:highlight w:val="none"/>
              </w:rPr>
            </w:pPr>
          </w:p>
        </w:tc>
        <w:tc>
          <w:tcPr>
            <w:tcW w:w="1721" w:type="pct"/>
            <w:vAlign w:val="center"/>
          </w:tcPr>
          <w:p w14:paraId="08B35F3F">
            <w:pPr>
              <w:pStyle w:val="23"/>
              <w:keepNext w:val="0"/>
              <w:keepLines w:val="0"/>
              <w:suppressLineNumbers w:val="0"/>
              <w:spacing w:before="67" w:line="295" w:lineRule="auto"/>
              <w:ind w:left="110" w:right="107" w:firstLine="5"/>
              <w:jc w:val="both"/>
              <w:rPr>
                <w:b w:val="0"/>
                <w:bCs w:val="0"/>
                <w:highlight w:val="none"/>
              </w:rPr>
            </w:pPr>
            <w:r>
              <w:rPr>
                <w:b w:val="0"/>
                <w:bCs w:val="0"/>
                <w:spacing w:val="-4"/>
                <w:highlight w:val="none"/>
              </w:rPr>
              <w:t>e)疏散楼梯间内不应设置烧水间、可燃材料储藏室、垃圾</w:t>
            </w:r>
            <w:r>
              <w:rPr>
                <w:b w:val="0"/>
                <w:bCs w:val="0"/>
                <w:spacing w:val="-3"/>
                <w:highlight w:val="none"/>
              </w:rPr>
              <w:t>道及其他影响人员疏散的</w:t>
            </w:r>
            <w:r>
              <w:rPr>
                <w:rFonts w:hint="eastAsia"/>
                <w:b w:val="0"/>
                <w:bCs w:val="0"/>
                <w:spacing w:val="-3"/>
                <w:highlight w:val="none"/>
                <w:lang w:eastAsia="zh-CN"/>
              </w:rPr>
              <w:t>突出</w:t>
            </w:r>
            <w:r>
              <w:rPr>
                <w:b w:val="0"/>
                <w:bCs w:val="0"/>
                <w:spacing w:val="-3"/>
                <w:highlight w:val="none"/>
              </w:rPr>
              <w:t>物或障碍物，应</w:t>
            </w:r>
            <w:r>
              <w:rPr>
                <w:b w:val="0"/>
                <w:bCs w:val="0"/>
                <w:spacing w:val="-4"/>
                <w:highlight w:val="none"/>
              </w:rPr>
              <w:t>采用不燃材</w:t>
            </w:r>
            <w:r>
              <w:rPr>
                <w:b w:val="0"/>
                <w:bCs w:val="0"/>
                <w:spacing w:val="-2"/>
                <w:highlight w:val="none"/>
              </w:rPr>
              <w:t>料装修。</w:t>
            </w:r>
          </w:p>
        </w:tc>
        <w:tc>
          <w:tcPr>
            <w:tcW w:w="1177" w:type="pct"/>
            <w:vAlign w:val="center"/>
          </w:tcPr>
          <w:p w14:paraId="7E0DCEF9">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0535E104">
            <w:pPr>
              <w:keepNext w:val="0"/>
              <w:keepLines w:val="0"/>
              <w:suppressLineNumbers w:val="0"/>
              <w:spacing w:before="68" w:beforeAutospacing="0" w:after="0" w:afterAutospacing="0" w:line="282" w:lineRule="auto"/>
              <w:ind w:left="0" w:right="101" w:rightChars="0"/>
              <w:jc w:val="center"/>
              <w:rPr>
                <w:rFonts w:hint="default" w:eastAsia="宋体"/>
                <w:b w:val="0"/>
                <w:bCs w:val="0"/>
                <w:color w:val="auto"/>
                <w:sz w:val="21"/>
                <w:highlight w:val="none"/>
                <w:lang w:val="en-US" w:eastAsia="zh-CN"/>
              </w:rPr>
            </w:pPr>
          </w:p>
        </w:tc>
        <w:tc>
          <w:tcPr>
            <w:tcW w:w="339" w:type="pct"/>
            <w:vAlign w:val="center"/>
          </w:tcPr>
          <w:p w14:paraId="1E1ACD7C">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tcBorders>
            <w:vAlign w:val="center"/>
          </w:tcPr>
          <w:p w14:paraId="3B528477">
            <w:pPr>
              <w:keepNext w:val="0"/>
              <w:keepLines w:val="0"/>
              <w:suppressLineNumbers w:val="0"/>
              <w:spacing w:before="0" w:beforeAutospacing="0" w:after="0" w:afterAutospacing="0"/>
              <w:ind w:left="0" w:right="0"/>
              <w:rPr>
                <w:rFonts w:hint="default" w:ascii="Arial"/>
                <w:b w:val="0"/>
                <w:bCs w:val="0"/>
                <w:sz w:val="21"/>
                <w:highlight w:val="none"/>
              </w:rPr>
            </w:pPr>
          </w:p>
        </w:tc>
      </w:tr>
      <w:tr w14:paraId="1FCEA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jc w:val="center"/>
        </w:trPr>
        <w:tc>
          <w:tcPr>
            <w:tcW w:w="203" w:type="pct"/>
            <w:vMerge w:val="continue"/>
            <w:tcBorders>
              <w:top w:val="nil"/>
              <w:bottom w:val="nil"/>
            </w:tcBorders>
            <w:vAlign w:val="center"/>
          </w:tcPr>
          <w:p w14:paraId="3E6AB713">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33842EE6">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restart"/>
            <w:tcBorders>
              <w:bottom w:val="nil"/>
            </w:tcBorders>
            <w:vAlign w:val="center"/>
          </w:tcPr>
          <w:p w14:paraId="24DF738E">
            <w:pPr>
              <w:pStyle w:val="23"/>
              <w:keepNext w:val="0"/>
              <w:keepLines w:val="0"/>
              <w:suppressLineNumbers w:val="0"/>
              <w:spacing w:before="59" w:line="220" w:lineRule="auto"/>
              <w:ind w:left="111"/>
              <w:rPr>
                <w:b w:val="0"/>
                <w:bCs w:val="0"/>
                <w:highlight w:val="none"/>
              </w:rPr>
            </w:pPr>
            <w:r>
              <w:rPr>
                <w:b w:val="0"/>
                <w:bCs w:val="0"/>
                <w:spacing w:val="-3"/>
                <w:highlight w:val="none"/>
              </w:rPr>
              <w:t>疏散走道（7</w:t>
            </w:r>
            <w:r>
              <w:rPr>
                <w:b w:val="0"/>
                <w:bCs w:val="0"/>
                <w:spacing w:val="-32"/>
                <w:highlight w:val="none"/>
              </w:rPr>
              <w:t xml:space="preserve"> </w:t>
            </w:r>
            <w:r>
              <w:rPr>
                <w:b w:val="0"/>
                <w:bCs w:val="0"/>
                <w:spacing w:val="-3"/>
                <w:highlight w:val="none"/>
              </w:rPr>
              <w:t>分）</w:t>
            </w:r>
          </w:p>
        </w:tc>
        <w:tc>
          <w:tcPr>
            <w:tcW w:w="1721" w:type="pct"/>
            <w:vAlign w:val="center"/>
          </w:tcPr>
          <w:p w14:paraId="03871876">
            <w:pPr>
              <w:pStyle w:val="23"/>
              <w:keepNext w:val="0"/>
              <w:keepLines w:val="0"/>
              <w:suppressLineNumbers w:val="0"/>
              <w:spacing w:before="223" w:line="220" w:lineRule="auto"/>
              <w:ind w:left="112"/>
              <w:rPr>
                <w:b w:val="0"/>
                <w:bCs w:val="0"/>
                <w:highlight w:val="none"/>
              </w:rPr>
            </w:pPr>
            <w:r>
              <w:rPr>
                <w:b w:val="0"/>
                <w:bCs w:val="0"/>
                <w:spacing w:val="-1"/>
                <w:highlight w:val="none"/>
              </w:rPr>
              <w:t>a)疏散走道的防火分隔；</w:t>
            </w:r>
          </w:p>
        </w:tc>
        <w:tc>
          <w:tcPr>
            <w:tcW w:w="1177" w:type="pct"/>
            <w:vAlign w:val="center"/>
          </w:tcPr>
          <w:p w14:paraId="58977503">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4 分。</w:t>
            </w:r>
          </w:p>
        </w:tc>
        <w:tc>
          <w:tcPr>
            <w:tcW w:w="366" w:type="pct"/>
            <w:vAlign w:val="center"/>
          </w:tcPr>
          <w:p w14:paraId="61BB3674">
            <w:pPr>
              <w:keepNext w:val="0"/>
              <w:keepLines w:val="0"/>
              <w:suppressLineNumbers w:val="0"/>
              <w:spacing w:before="68" w:beforeAutospacing="0" w:after="0" w:afterAutospacing="0" w:line="282" w:lineRule="auto"/>
              <w:ind w:left="0" w:right="101" w:rightChars="0"/>
              <w:jc w:val="center"/>
              <w:rPr>
                <w:rFonts w:hint="eastAsia" w:eastAsia="宋体"/>
                <w:b w:val="0"/>
                <w:bCs w:val="0"/>
                <w:color w:val="auto"/>
                <w:sz w:val="21"/>
                <w:highlight w:val="none"/>
                <w:lang w:eastAsia="zh-CN"/>
              </w:rPr>
            </w:pPr>
          </w:p>
        </w:tc>
        <w:tc>
          <w:tcPr>
            <w:tcW w:w="339" w:type="pct"/>
            <w:vAlign w:val="center"/>
          </w:tcPr>
          <w:p w14:paraId="7B48B563">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restart"/>
            <w:tcBorders>
              <w:bottom w:val="nil"/>
            </w:tcBorders>
            <w:vAlign w:val="center"/>
          </w:tcPr>
          <w:p w14:paraId="05B6A1FE">
            <w:pPr>
              <w:keepNext w:val="0"/>
              <w:keepLines w:val="0"/>
              <w:suppressLineNumbers w:val="0"/>
              <w:spacing w:before="0" w:beforeAutospacing="0" w:after="0" w:afterAutospacing="0"/>
              <w:ind w:left="0" w:right="0"/>
              <w:rPr>
                <w:rFonts w:hint="default" w:ascii="宋体" w:hAnsi="宋体" w:eastAsia="宋体" w:cs="宋体"/>
                <w:b w:val="0"/>
                <w:bCs w:val="0"/>
                <w:sz w:val="21"/>
                <w:highlight w:val="none"/>
                <w:lang w:val="en-US" w:eastAsia="zh-CN"/>
              </w:rPr>
            </w:pPr>
          </w:p>
        </w:tc>
      </w:tr>
      <w:tr w14:paraId="41013D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jc w:val="center"/>
        </w:trPr>
        <w:tc>
          <w:tcPr>
            <w:tcW w:w="203" w:type="pct"/>
            <w:vMerge w:val="continue"/>
            <w:tcBorders>
              <w:top w:val="nil"/>
              <w:bottom w:val="nil"/>
            </w:tcBorders>
            <w:vAlign w:val="center"/>
          </w:tcPr>
          <w:p w14:paraId="51BE4A96">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1BF5850C">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25B8F9B1">
            <w:pPr>
              <w:keepNext w:val="0"/>
              <w:keepLines w:val="0"/>
              <w:suppressLineNumbers w:val="0"/>
              <w:spacing w:before="0" w:beforeAutospacing="0" w:after="0" w:afterAutospacing="0"/>
              <w:ind w:left="0" w:right="0"/>
              <w:rPr>
                <w:rFonts w:hint="default" w:ascii="Arial"/>
                <w:b w:val="0"/>
                <w:bCs w:val="0"/>
                <w:sz w:val="21"/>
                <w:highlight w:val="none"/>
              </w:rPr>
            </w:pPr>
          </w:p>
        </w:tc>
        <w:tc>
          <w:tcPr>
            <w:tcW w:w="1721" w:type="pct"/>
            <w:vAlign w:val="center"/>
          </w:tcPr>
          <w:p w14:paraId="3FDF0DDD">
            <w:pPr>
              <w:pStyle w:val="23"/>
              <w:keepNext w:val="0"/>
              <w:keepLines w:val="0"/>
              <w:suppressLineNumbers w:val="0"/>
              <w:spacing w:before="226" w:line="220" w:lineRule="auto"/>
              <w:ind w:left="108"/>
              <w:rPr>
                <w:b w:val="0"/>
                <w:bCs w:val="0"/>
                <w:highlight w:val="none"/>
              </w:rPr>
            </w:pPr>
            <w:r>
              <w:rPr>
                <w:b w:val="0"/>
                <w:bCs w:val="0"/>
                <w:spacing w:val="-1"/>
                <w:highlight w:val="none"/>
              </w:rPr>
              <w:t>b)疏散走道的宽度、高度。</w:t>
            </w:r>
          </w:p>
        </w:tc>
        <w:tc>
          <w:tcPr>
            <w:tcW w:w="1177" w:type="pct"/>
            <w:vAlign w:val="center"/>
          </w:tcPr>
          <w:p w14:paraId="52019900">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7EF13DD3">
            <w:pPr>
              <w:keepNext w:val="0"/>
              <w:keepLines w:val="0"/>
              <w:suppressLineNumbers w:val="0"/>
              <w:spacing w:before="68" w:beforeAutospacing="0" w:after="0" w:afterAutospacing="0" w:line="282" w:lineRule="auto"/>
              <w:ind w:left="0" w:right="101" w:rightChars="0"/>
              <w:jc w:val="center"/>
              <w:rPr>
                <w:rFonts w:hint="eastAsia" w:eastAsia="宋体"/>
                <w:b w:val="0"/>
                <w:bCs w:val="0"/>
                <w:color w:val="auto"/>
                <w:sz w:val="21"/>
                <w:highlight w:val="none"/>
                <w:lang w:eastAsia="zh-CN"/>
              </w:rPr>
            </w:pPr>
          </w:p>
        </w:tc>
        <w:tc>
          <w:tcPr>
            <w:tcW w:w="339" w:type="pct"/>
            <w:vAlign w:val="center"/>
          </w:tcPr>
          <w:p w14:paraId="31B446D8">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tcBorders>
            <w:vAlign w:val="center"/>
          </w:tcPr>
          <w:p w14:paraId="06C20B48">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r>
      <w:tr w14:paraId="2D3B4C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3" w:hRule="atLeast"/>
          <w:jc w:val="center"/>
        </w:trPr>
        <w:tc>
          <w:tcPr>
            <w:tcW w:w="203" w:type="pct"/>
            <w:vMerge w:val="continue"/>
            <w:tcBorders>
              <w:top w:val="nil"/>
              <w:bottom w:val="nil"/>
            </w:tcBorders>
            <w:vAlign w:val="center"/>
          </w:tcPr>
          <w:p w14:paraId="1C2DC02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8D46602">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49B2D5B5">
            <w:pPr>
              <w:pStyle w:val="23"/>
              <w:keepNext w:val="0"/>
              <w:keepLines w:val="0"/>
              <w:suppressLineNumbers w:val="0"/>
              <w:spacing w:before="59" w:line="220" w:lineRule="auto"/>
              <w:ind w:right="14"/>
              <w:jc w:val="right"/>
              <w:rPr>
                <w:b w:val="0"/>
                <w:bCs w:val="0"/>
                <w:highlight w:val="none"/>
              </w:rPr>
            </w:pPr>
            <w:r>
              <w:rPr>
                <w:b w:val="0"/>
                <w:bCs w:val="0"/>
                <w:spacing w:val="-9"/>
                <w:highlight w:val="none"/>
              </w:rPr>
              <w:t>疏散距离（10</w:t>
            </w:r>
            <w:r>
              <w:rPr>
                <w:b w:val="0"/>
                <w:bCs w:val="0"/>
                <w:spacing w:val="-28"/>
                <w:highlight w:val="none"/>
              </w:rPr>
              <w:t xml:space="preserve"> </w:t>
            </w:r>
            <w:r>
              <w:rPr>
                <w:b w:val="0"/>
                <w:bCs w:val="0"/>
                <w:spacing w:val="-9"/>
                <w:highlight w:val="none"/>
              </w:rPr>
              <w:t>分）</w:t>
            </w:r>
          </w:p>
        </w:tc>
        <w:tc>
          <w:tcPr>
            <w:tcW w:w="1721" w:type="pct"/>
            <w:vAlign w:val="center"/>
          </w:tcPr>
          <w:p w14:paraId="43579308">
            <w:pPr>
              <w:pStyle w:val="23"/>
              <w:keepNext w:val="0"/>
              <w:keepLines w:val="0"/>
              <w:suppressLineNumbers w:val="0"/>
              <w:spacing w:before="187" w:line="307" w:lineRule="auto"/>
              <w:ind w:left="114" w:right="105"/>
              <w:rPr>
                <w:b w:val="0"/>
                <w:bCs w:val="0"/>
                <w:spacing w:val="4"/>
                <w:highlight w:val="none"/>
              </w:rPr>
            </w:pPr>
            <w:r>
              <w:rPr>
                <w:b w:val="0"/>
                <w:bCs w:val="0"/>
                <w:spacing w:val="4"/>
                <w:highlight w:val="none"/>
              </w:rPr>
              <w:t>a)观众厅、展览厅、多功能厅、餐厅、营业厅等空间疏散距离；</w:t>
            </w:r>
          </w:p>
          <w:p w14:paraId="2EE361A1">
            <w:pPr>
              <w:pStyle w:val="23"/>
              <w:keepNext w:val="0"/>
              <w:keepLines w:val="0"/>
              <w:suppressLineNumbers w:val="0"/>
              <w:spacing w:before="187" w:line="307" w:lineRule="auto"/>
              <w:ind w:left="114" w:right="105"/>
              <w:rPr>
                <w:b w:val="0"/>
                <w:bCs w:val="0"/>
                <w:highlight w:val="none"/>
              </w:rPr>
            </w:pPr>
            <w:r>
              <w:rPr>
                <w:b w:val="0"/>
                <w:bCs w:val="0"/>
                <w:spacing w:val="4"/>
                <w:highlight w:val="none"/>
              </w:rPr>
              <w:t>b)房间内、疏散走道的疏散距离。</w:t>
            </w:r>
          </w:p>
        </w:tc>
        <w:tc>
          <w:tcPr>
            <w:tcW w:w="1177" w:type="pct"/>
            <w:vAlign w:val="center"/>
          </w:tcPr>
          <w:p w14:paraId="31665924">
            <w:pPr>
              <w:pStyle w:val="23"/>
              <w:keepNext w:val="0"/>
              <w:keepLines w:val="0"/>
              <w:suppressLineNumbers w:val="0"/>
              <w:spacing w:before="67" w:line="295" w:lineRule="auto"/>
              <w:ind w:left="110" w:right="107" w:firstLine="5"/>
              <w:jc w:val="both"/>
              <w:rPr>
                <w:b w:val="0"/>
                <w:bCs w:val="0"/>
                <w:spacing w:val="-3"/>
                <w:highlight w:val="none"/>
              </w:rPr>
            </w:pPr>
          </w:p>
          <w:p w14:paraId="0DBE7A08">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每发现一处问题扣 2 分，最高扣 10 分。</w:t>
            </w:r>
          </w:p>
        </w:tc>
        <w:tc>
          <w:tcPr>
            <w:tcW w:w="366" w:type="pct"/>
            <w:vAlign w:val="center"/>
          </w:tcPr>
          <w:p w14:paraId="7195E1F6">
            <w:pPr>
              <w:keepNext w:val="0"/>
              <w:keepLines w:val="0"/>
              <w:suppressLineNumbers w:val="0"/>
              <w:spacing w:before="68" w:beforeAutospacing="0" w:after="0" w:afterAutospacing="0" w:line="282" w:lineRule="auto"/>
              <w:ind w:left="0" w:right="101" w:rightChars="0"/>
              <w:jc w:val="center"/>
              <w:rPr>
                <w:rFonts w:hint="eastAsia" w:eastAsia="宋体"/>
                <w:b w:val="0"/>
                <w:bCs w:val="0"/>
                <w:color w:val="auto"/>
                <w:sz w:val="21"/>
                <w:highlight w:val="none"/>
                <w:lang w:eastAsia="zh-CN"/>
              </w:rPr>
            </w:pPr>
          </w:p>
        </w:tc>
        <w:tc>
          <w:tcPr>
            <w:tcW w:w="339" w:type="pct"/>
            <w:vAlign w:val="center"/>
          </w:tcPr>
          <w:p w14:paraId="30FE45C3">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ACFF1CF">
            <w:pPr>
              <w:keepNext w:val="0"/>
              <w:keepLines w:val="0"/>
              <w:suppressLineNumbers w:val="0"/>
              <w:spacing w:before="0" w:beforeAutospacing="0" w:after="0" w:afterAutospacing="0"/>
              <w:ind w:left="0" w:right="0"/>
              <w:rPr>
                <w:rFonts w:hint="default" w:ascii="宋体" w:hAnsi="宋体" w:eastAsia="宋体" w:cs="宋体"/>
                <w:b w:val="0"/>
                <w:bCs w:val="0"/>
                <w:sz w:val="21"/>
                <w:highlight w:val="none"/>
                <w:lang w:val="en-US" w:eastAsia="zh-CN"/>
              </w:rPr>
            </w:pPr>
          </w:p>
        </w:tc>
      </w:tr>
      <w:tr w14:paraId="367E4D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2" w:hRule="atLeast"/>
          <w:jc w:val="center"/>
        </w:trPr>
        <w:tc>
          <w:tcPr>
            <w:tcW w:w="203" w:type="pct"/>
            <w:vMerge w:val="continue"/>
            <w:tcBorders>
              <w:top w:val="nil"/>
              <w:bottom w:val="nil"/>
            </w:tcBorders>
            <w:vAlign w:val="center"/>
          </w:tcPr>
          <w:p w14:paraId="029C8973">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7CFC3F6A">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restart"/>
            <w:tcBorders>
              <w:bottom w:val="nil"/>
            </w:tcBorders>
            <w:vAlign w:val="center"/>
          </w:tcPr>
          <w:p w14:paraId="6B7C39A8">
            <w:pPr>
              <w:pStyle w:val="23"/>
              <w:keepNext w:val="0"/>
              <w:keepLines w:val="0"/>
              <w:suppressLineNumbers w:val="0"/>
              <w:spacing w:before="59" w:line="311" w:lineRule="auto"/>
              <w:ind w:left="131" w:right="135" w:firstLine="18"/>
              <w:rPr>
                <w:b w:val="0"/>
                <w:bCs w:val="0"/>
                <w:highlight w:val="none"/>
              </w:rPr>
            </w:pPr>
            <w:r>
              <w:rPr>
                <w:b w:val="0"/>
                <w:bCs w:val="0"/>
                <w:highlight w:val="none"/>
              </w:rPr>
              <w:t>避难层（间）、</w:t>
            </w:r>
            <w:r>
              <w:rPr>
                <w:b w:val="0"/>
                <w:bCs w:val="0"/>
                <w:spacing w:val="1"/>
                <w:highlight w:val="none"/>
              </w:rPr>
              <w:t>避难走道、下沉</w:t>
            </w:r>
            <w:r>
              <w:rPr>
                <w:b w:val="0"/>
                <w:bCs w:val="0"/>
                <w:spacing w:val="-5"/>
                <w:highlight w:val="none"/>
              </w:rPr>
              <w:t>式广场（10</w:t>
            </w:r>
            <w:r>
              <w:rPr>
                <w:b w:val="0"/>
                <w:bCs w:val="0"/>
                <w:spacing w:val="-30"/>
                <w:highlight w:val="none"/>
              </w:rPr>
              <w:t xml:space="preserve"> </w:t>
            </w:r>
            <w:r>
              <w:rPr>
                <w:b w:val="0"/>
                <w:bCs w:val="0"/>
                <w:spacing w:val="-5"/>
                <w:highlight w:val="none"/>
              </w:rPr>
              <w:t>分）</w:t>
            </w:r>
          </w:p>
        </w:tc>
        <w:tc>
          <w:tcPr>
            <w:tcW w:w="1721" w:type="pct"/>
            <w:vAlign w:val="center"/>
          </w:tcPr>
          <w:p w14:paraId="3D2C8762">
            <w:pPr>
              <w:pStyle w:val="23"/>
              <w:keepNext w:val="0"/>
              <w:keepLines w:val="0"/>
              <w:suppressLineNumbers w:val="0"/>
              <w:spacing w:before="180" w:line="311" w:lineRule="auto"/>
              <w:ind w:left="110" w:right="107" w:firstLine="1"/>
              <w:jc w:val="both"/>
              <w:rPr>
                <w:b w:val="0"/>
                <w:bCs w:val="0"/>
                <w:highlight w:val="none"/>
              </w:rPr>
            </w:pPr>
            <w:r>
              <w:rPr>
                <w:b w:val="0"/>
                <w:bCs w:val="0"/>
                <w:spacing w:val="-3"/>
                <w:highlight w:val="none"/>
              </w:rPr>
              <w:t>a)避难层（间）的设置位置、净面积、装</w:t>
            </w:r>
            <w:r>
              <w:rPr>
                <w:b w:val="0"/>
                <w:bCs w:val="0"/>
                <w:spacing w:val="-4"/>
                <w:highlight w:val="none"/>
              </w:rPr>
              <w:t>修材料、防火分</w:t>
            </w:r>
            <w:r>
              <w:rPr>
                <w:b w:val="0"/>
                <w:bCs w:val="0"/>
                <w:spacing w:val="-3"/>
                <w:highlight w:val="none"/>
              </w:rPr>
              <w:t>隔；除可布置设备用房外，避难层不应用于其</w:t>
            </w:r>
            <w:r>
              <w:rPr>
                <w:b w:val="0"/>
                <w:bCs w:val="0"/>
                <w:spacing w:val="-4"/>
                <w:highlight w:val="none"/>
              </w:rPr>
              <w:t>他用途；避</w:t>
            </w:r>
            <w:r>
              <w:rPr>
                <w:b w:val="0"/>
                <w:bCs w:val="0"/>
                <w:spacing w:val="-1"/>
                <w:highlight w:val="none"/>
              </w:rPr>
              <w:t>难区（间）应设置可开启外窗；</w:t>
            </w:r>
          </w:p>
        </w:tc>
        <w:tc>
          <w:tcPr>
            <w:tcW w:w="1177" w:type="pct"/>
            <w:vAlign w:val="center"/>
          </w:tcPr>
          <w:p w14:paraId="42822795">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4 分。</w:t>
            </w:r>
          </w:p>
        </w:tc>
        <w:tc>
          <w:tcPr>
            <w:tcW w:w="366" w:type="pct"/>
            <w:vAlign w:val="center"/>
          </w:tcPr>
          <w:p w14:paraId="7D4A020F">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4C2ED230">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restart"/>
            <w:tcBorders>
              <w:bottom w:val="nil"/>
            </w:tcBorders>
            <w:vAlign w:val="center"/>
          </w:tcPr>
          <w:p w14:paraId="35AD7F41">
            <w:pPr>
              <w:keepNext w:val="0"/>
              <w:keepLines w:val="0"/>
              <w:suppressLineNumbers w:val="0"/>
              <w:spacing w:before="0" w:beforeAutospacing="0" w:after="0" w:afterAutospacing="0"/>
              <w:ind w:left="0" w:right="0"/>
              <w:rPr>
                <w:rFonts w:hint="default" w:ascii="Arial"/>
                <w:b w:val="0"/>
                <w:bCs w:val="0"/>
                <w:sz w:val="21"/>
                <w:highlight w:val="none"/>
              </w:rPr>
            </w:pPr>
          </w:p>
        </w:tc>
      </w:tr>
      <w:tr w14:paraId="6F0780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jc w:val="center"/>
        </w:trPr>
        <w:tc>
          <w:tcPr>
            <w:tcW w:w="203" w:type="pct"/>
            <w:vMerge w:val="continue"/>
            <w:tcBorders>
              <w:top w:val="nil"/>
              <w:bottom w:val="nil"/>
            </w:tcBorders>
            <w:vAlign w:val="center"/>
          </w:tcPr>
          <w:p w14:paraId="563B2EA6">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5B304EE3">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001847C7">
            <w:pPr>
              <w:keepNext w:val="0"/>
              <w:keepLines w:val="0"/>
              <w:suppressLineNumbers w:val="0"/>
              <w:spacing w:before="0" w:beforeAutospacing="0" w:after="0" w:afterAutospacing="0"/>
              <w:ind w:left="0" w:right="0"/>
              <w:rPr>
                <w:rFonts w:hint="default" w:ascii="Arial"/>
                <w:b w:val="0"/>
                <w:bCs w:val="0"/>
                <w:sz w:val="21"/>
                <w:highlight w:val="none"/>
              </w:rPr>
            </w:pPr>
          </w:p>
        </w:tc>
        <w:tc>
          <w:tcPr>
            <w:tcW w:w="1721" w:type="pct"/>
            <w:vAlign w:val="center"/>
          </w:tcPr>
          <w:p w14:paraId="63F47DFD">
            <w:pPr>
              <w:pStyle w:val="23"/>
              <w:keepNext w:val="0"/>
              <w:keepLines w:val="0"/>
              <w:suppressLineNumbers w:val="0"/>
              <w:spacing w:before="74" w:line="284" w:lineRule="auto"/>
              <w:ind w:left="113" w:right="107" w:hanging="5"/>
              <w:rPr>
                <w:b w:val="0"/>
                <w:bCs w:val="0"/>
                <w:highlight w:val="none"/>
              </w:rPr>
            </w:pPr>
            <w:r>
              <w:rPr>
                <w:b w:val="0"/>
                <w:bCs w:val="0"/>
                <w:spacing w:val="-3"/>
                <w:highlight w:val="none"/>
              </w:rPr>
              <w:t>b)避难走道的净宽度、装修材料、安全出口数量、</w:t>
            </w:r>
            <w:r>
              <w:rPr>
                <w:b w:val="0"/>
                <w:bCs w:val="0"/>
                <w:spacing w:val="-4"/>
                <w:highlight w:val="none"/>
              </w:rPr>
              <w:t>疏散距</w:t>
            </w:r>
            <w:r>
              <w:rPr>
                <w:b w:val="0"/>
                <w:bCs w:val="0"/>
                <w:spacing w:val="-5"/>
                <w:highlight w:val="none"/>
              </w:rPr>
              <w:t>离；</w:t>
            </w:r>
          </w:p>
        </w:tc>
        <w:tc>
          <w:tcPr>
            <w:tcW w:w="1177" w:type="pct"/>
            <w:vAlign w:val="center"/>
          </w:tcPr>
          <w:p w14:paraId="71A3832E">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71A7FD58">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145B646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12EAFA82">
            <w:pPr>
              <w:keepNext w:val="0"/>
              <w:keepLines w:val="0"/>
              <w:suppressLineNumbers w:val="0"/>
              <w:spacing w:before="0" w:beforeAutospacing="0" w:after="0" w:afterAutospacing="0"/>
              <w:ind w:left="0" w:right="0"/>
              <w:rPr>
                <w:rFonts w:hint="default" w:ascii="Arial"/>
                <w:b w:val="0"/>
                <w:bCs w:val="0"/>
                <w:sz w:val="21"/>
                <w:highlight w:val="none"/>
              </w:rPr>
            </w:pPr>
          </w:p>
        </w:tc>
      </w:tr>
      <w:tr w14:paraId="2E0126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5" w:hRule="atLeast"/>
          <w:jc w:val="center"/>
        </w:trPr>
        <w:tc>
          <w:tcPr>
            <w:tcW w:w="203" w:type="pct"/>
            <w:vMerge w:val="continue"/>
            <w:tcBorders>
              <w:top w:val="nil"/>
            </w:tcBorders>
            <w:vAlign w:val="center"/>
          </w:tcPr>
          <w:p w14:paraId="4FF62D9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01FA6918">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4308657D">
            <w:pPr>
              <w:keepNext w:val="0"/>
              <w:keepLines w:val="0"/>
              <w:suppressLineNumbers w:val="0"/>
              <w:spacing w:before="0" w:beforeAutospacing="0" w:after="0" w:afterAutospacing="0"/>
              <w:ind w:left="0" w:right="0"/>
              <w:rPr>
                <w:rFonts w:hint="default" w:ascii="Arial"/>
                <w:b w:val="0"/>
                <w:bCs w:val="0"/>
                <w:sz w:val="21"/>
                <w:highlight w:val="none"/>
              </w:rPr>
            </w:pPr>
          </w:p>
        </w:tc>
        <w:tc>
          <w:tcPr>
            <w:tcW w:w="1721" w:type="pct"/>
            <w:vAlign w:val="center"/>
          </w:tcPr>
          <w:p w14:paraId="3691CC05">
            <w:pPr>
              <w:pStyle w:val="23"/>
              <w:keepNext w:val="0"/>
              <w:keepLines w:val="0"/>
              <w:suppressLineNumbers w:val="0"/>
              <w:spacing w:before="187" w:line="307" w:lineRule="auto"/>
              <w:ind w:left="114" w:right="105"/>
              <w:rPr>
                <w:b w:val="0"/>
                <w:bCs w:val="0"/>
                <w:highlight w:val="none"/>
              </w:rPr>
            </w:pPr>
            <w:r>
              <w:rPr>
                <w:b w:val="0"/>
                <w:bCs w:val="0"/>
                <w:spacing w:val="4"/>
                <w:highlight w:val="none"/>
              </w:rPr>
              <w:t>c)用于防火分隔的下沉式广场的净面积，</w:t>
            </w:r>
            <w:r>
              <w:rPr>
                <w:b w:val="0"/>
                <w:bCs w:val="0"/>
                <w:spacing w:val="3"/>
                <w:highlight w:val="none"/>
              </w:rPr>
              <w:t>开口间水平距</w:t>
            </w:r>
            <w:r>
              <w:rPr>
                <w:b w:val="0"/>
                <w:bCs w:val="0"/>
                <w:spacing w:val="-1"/>
                <w:highlight w:val="none"/>
              </w:rPr>
              <w:t>离，直通地面的疏散楼梯宽度、数量，防风雨棚。</w:t>
            </w:r>
          </w:p>
        </w:tc>
        <w:tc>
          <w:tcPr>
            <w:tcW w:w="1177" w:type="pct"/>
            <w:vAlign w:val="center"/>
          </w:tcPr>
          <w:p w14:paraId="79380049">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6DC8A186">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6FE13ED7">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tcBorders>
            <w:vAlign w:val="center"/>
          </w:tcPr>
          <w:p w14:paraId="1C863728">
            <w:pPr>
              <w:keepNext w:val="0"/>
              <w:keepLines w:val="0"/>
              <w:suppressLineNumbers w:val="0"/>
              <w:spacing w:before="0" w:beforeAutospacing="0" w:after="0" w:afterAutospacing="0"/>
              <w:ind w:left="0" w:right="0"/>
              <w:rPr>
                <w:rFonts w:hint="default" w:ascii="Arial"/>
                <w:b w:val="0"/>
                <w:bCs w:val="0"/>
                <w:sz w:val="21"/>
                <w:highlight w:val="none"/>
              </w:rPr>
            </w:pPr>
          </w:p>
        </w:tc>
      </w:tr>
    </w:tbl>
    <w:p w14:paraId="740EB0BC">
      <w:pPr>
        <w:rPr>
          <w:rFonts w:ascii="Arial"/>
          <w:b w:val="0"/>
          <w:bCs w:val="0"/>
          <w:sz w:val="21"/>
          <w:highlight w:val="none"/>
        </w:rPr>
      </w:pPr>
      <w:r>
        <w:rPr>
          <w:rFonts w:ascii="Arial"/>
          <w:b w:val="0"/>
          <w:bCs w:val="0"/>
          <w:sz w:val="21"/>
          <w:highlight w:val="none"/>
        </w:rPr>
        <w:br w:type="page"/>
      </w:r>
    </w:p>
    <w:tbl>
      <w:tblPr>
        <w:tblStyle w:val="24"/>
        <w:tblW w:w="494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5"/>
        <w:gridCol w:w="1467"/>
        <w:gridCol w:w="1089"/>
        <w:gridCol w:w="5138"/>
        <w:gridCol w:w="3505"/>
        <w:gridCol w:w="1089"/>
        <w:gridCol w:w="1009"/>
        <w:gridCol w:w="982"/>
      </w:tblGrid>
      <w:tr w14:paraId="3F057F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97" w:type="pct"/>
            <w:vAlign w:val="center"/>
          </w:tcPr>
          <w:p w14:paraId="56E53F76">
            <w:pPr>
              <w:pStyle w:val="23"/>
              <w:keepNext w:val="0"/>
              <w:keepLines w:val="0"/>
              <w:pageBreakBefore w:val="0"/>
              <w:widowControl w:val="0"/>
              <w:suppressLineNumbers w:val="0"/>
              <w:wordWrap/>
              <w:overflowPunct/>
              <w:topLinePunct w:val="0"/>
              <w:autoSpaceDE w:val="0"/>
              <w:autoSpaceDN w:val="0"/>
              <w:bidi w:val="0"/>
              <w:spacing w:before="70" w:line="240" w:lineRule="auto"/>
              <w:ind w:left="140"/>
              <w:rPr>
                <w:highlight w:val="none"/>
              </w:rPr>
            </w:pPr>
            <w:r>
              <w:rPr>
                <w:b/>
                <w:bCs/>
                <w:spacing w:val="-3"/>
                <w:highlight w:val="none"/>
              </w:rPr>
              <w:t>序号</w:t>
            </w:r>
          </w:p>
        </w:tc>
        <w:tc>
          <w:tcPr>
            <w:tcW w:w="493" w:type="pct"/>
            <w:vAlign w:val="center"/>
          </w:tcPr>
          <w:p w14:paraId="3464836F">
            <w:pPr>
              <w:pStyle w:val="23"/>
              <w:keepNext w:val="0"/>
              <w:keepLines w:val="0"/>
              <w:pageBreakBefore w:val="0"/>
              <w:widowControl w:val="0"/>
              <w:suppressLineNumbers w:val="0"/>
              <w:wordWrap/>
              <w:overflowPunct/>
              <w:topLinePunct w:val="0"/>
              <w:autoSpaceDE w:val="0"/>
              <w:autoSpaceDN w:val="0"/>
              <w:bidi w:val="0"/>
              <w:spacing w:before="70" w:line="240"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47E288FA">
            <w:pPr>
              <w:pStyle w:val="23"/>
              <w:keepNext w:val="0"/>
              <w:keepLines w:val="0"/>
              <w:pageBreakBefore w:val="0"/>
              <w:widowControl w:val="0"/>
              <w:suppressLineNumbers w:val="0"/>
              <w:wordWrap/>
              <w:overflowPunct/>
              <w:topLinePunct w:val="0"/>
              <w:autoSpaceDE w:val="0"/>
              <w:autoSpaceDN w:val="0"/>
              <w:bidi w:val="0"/>
              <w:spacing w:before="70" w:line="240"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7" w:type="pct"/>
            <w:vAlign w:val="center"/>
          </w:tcPr>
          <w:p w14:paraId="33CA5848">
            <w:pPr>
              <w:pStyle w:val="23"/>
              <w:keepNext w:val="0"/>
              <w:keepLines w:val="0"/>
              <w:pageBreakBefore w:val="0"/>
              <w:widowControl w:val="0"/>
              <w:suppressLineNumbers w:val="0"/>
              <w:wordWrap/>
              <w:overflowPunct/>
              <w:topLinePunct w:val="0"/>
              <w:autoSpaceDE w:val="0"/>
              <w:autoSpaceDN w:val="0"/>
              <w:bidi w:val="0"/>
              <w:spacing w:before="71" w:line="24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8" w:type="pct"/>
            <w:vAlign w:val="center"/>
          </w:tcPr>
          <w:p w14:paraId="24C8DBDA">
            <w:pPr>
              <w:pStyle w:val="23"/>
              <w:keepNext w:val="0"/>
              <w:keepLines w:val="0"/>
              <w:pageBreakBefore w:val="0"/>
              <w:widowControl w:val="0"/>
              <w:suppressLineNumbers w:val="0"/>
              <w:wordWrap/>
              <w:overflowPunct/>
              <w:topLinePunct w:val="0"/>
              <w:autoSpaceDE w:val="0"/>
              <w:autoSpaceDN w:val="0"/>
              <w:bidi w:val="0"/>
              <w:spacing w:before="70" w:line="240" w:lineRule="auto"/>
              <w:ind w:left="1299"/>
              <w:rPr>
                <w:highlight w:val="none"/>
              </w:rPr>
            </w:pPr>
            <w:r>
              <w:rPr>
                <w:b/>
                <w:bCs/>
                <w:spacing w:val="-3"/>
                <w:highlight w:val="none"/>
              </w:rPr>
              <w:t>评分标准</w:t>
            </w:r>
          </w:p>
        </w:tc>
        <w:tc>
          <w:tcPr>
            <w:tcW w:w="366" w:type="pct"/>
            <w:vAlign w:val="center"/>
          </w:tcPr>
          <w:p w14:paraId="5D9DDE5A">
            <w:pPr>
              <w:pStyle w:val="23"/>
              <w:keepNext w:val="0"/>
              <w:keepLines w:val="0"/>
              <w:pageBreakBefore w:val="0"/>
              <w:widowControl w:val="0"/>
              <w:suppressLineNumbers w:val="0"/>
              <w:wordWrap/>
              <w:overflowPunct/>
              <w:topLinePunct w:val="0"/>
              <w:autoSpaceDE w:val="0"/>
              <w:autoSpaceDN w:val="0"/>
              <w:bidi w:val="0"/>
              <w:spacing w:before="70" w:line="240" w:lineRule="auto"/>
              <w:ind w:left="170"/>
              <w:rPr>
                <w:highlight w:val="none"/>
              </w:rPr>
            </w:pPr>
            <w:r>
              <w:rPr>
                <w:b/>
                <w:bCs/>
                <w:spacing w:val="-3"/>
                <w:highlight w:val="none"/>
              </w:rPr>
              <w:t>评估情况</w:t>
            </w:r>
          </w:p>
        </w:tc>
        <w:tc>
          <w:tcPr>
            <w:tcW w:w="339" w:type="pct"/>
            <w:vAlign w:val="center"/>
          </w:tcPr>
          <w:p w14:paraId="7A05391B">
            <w:pPr>
              <w:pStyle w:val="23"/>
              <w:keepNext w:val="0"/>
              <w:keepLines w:val="0"/>
              <w:pageBreakBefore w:val="0"/>
              <w:widowControl w:val="0"/>
              <w:suppressLineNumbers w:val="0"/>
              <w:wordWrap/>
              <w:overflowPunct/>
              <w:topLinePunct w:val="0"/>
              <w:autoSpaceDE w:val="0"/>
              <w:autoSpaceDN w:val="0"/>
              <w:bidi w:val="0"/>
              <w:spacing w:before="70" w:line="240" w:lineRule="auto"/>
              <w:ind w:left="316"/>
              <w:rPr>
                <w:highlight w:val="none"/>
              </w:rPr>
            </w:pPr>
            <w:r>
              <w:rPr>
                <w:b/>
                <w:bCs/>
                <w:spacing w:val="-4"/>
                <w:highlight w:val="none"/>
              </w:rPr>
              <w:t>扣分</w:t>
            </w:r>
          </w:p>
        </w:tc>
        <w:tc>
          <w:tcPr>
            <w:tcW w:w="330" w:type="pct"/>
            <w:vAlign w:val="center"/>
          </w:tcPr>
          <w:p w14:paraId="66E0B362">
            <w:pPr>
              <w:pStyle w:val="23"/>
              <w:keepNext w:val="0"/>
              <w:keepLines w:val="0"/>
              <w:pageBreakBefore w:val="0"/>
              <w:widowControl w:val="0"/>
              <w:suppressLineNumbers w:val="0"/>
              <w:wordWrap/>
              <w:overflowPunct/>
              <w:topLinePunct w:val="0"/>
              <w:autoSpaceDE w:val="0"/>
              <w:autoSpaceDN w:val="0"/>
              <w:bidi w:val="0"/>
              <w:spacing w:before="71" w:line="240" w:lineRule="auto"/>
              <w:ind w:left="295"/>
              <w:rPr>
                <w:highlight w:val="none"/>
              </w:rPr>
            </w:pPr>
            <w:r>
              <w:rPr>
                <w:b/>
                <w:bCs/>
                <w:spacing w:val="-4"/>
                <w:highlight w:val="none"/>
              </w:rPr>
              <w:t>得分</w:t>
            </w:r>
          </w:p>
        </w:tc>
      </w:tr>
      <w:tr w14:paraId="6577A8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restart"/>
            <w:vAlign w:val="center"/>
          </w:tcPr>
          <w:p w14:paraId="6D89501C">
            <w:pPr>
              <w:pStyle w:val="23"/>
              <w:keepNext w:val="0"/>
              <w:keepLines w:val="0"/>
              <w:pageBreakBefore w:val="0"/>
              <w:widowControl w:val="0"/>
              <w:suppressLineNumbers w:val="0"/>
              <w:wordWrap/>
              <w:overflowPunct/>
              <w:topLinePunct w:val="0"/>
              <w:autoSpaceDE w:val="0"/>
              <w:autoSpaceDN w:val="0"/>
              <w:bidi w:val="0"/>
              <w:spacing w:before="59" w:line="240" w:lineRule="auto"/>
              <w:ind w:left="263"/>
              <w:rPr>
                <w:rFonts w:hint="eastAsia" w:eastAsia="宋体"/>
                <w:b w:val="0"/>
                <w:bCs w:val="0"/>
                <w:highlight w:val="none"/>
                <w:lang w:eastAsia="zh-CN"/>
              </w:rPr>
            </w:pPr>
            <w:r>
              <w:rPr>
                <w:rFonts w:hint="eastAsia"/>
                <w:b w:val="0"/>
                <w:bCs w:val="0"/>
                <w:spacing w:val="-2"/>
                <w:highlight w:val="none"/>
                <w:lang w:val="en-US" w:eastAsia="zh-CN"/>
              </w:rPr>
              <w:t>5</w:t>
            </w:r>
          </w:p>
        </w:tc>
        <w:tc>
          <w:tcPr>
            <w:tcW w:w="493" w:type="pct"/>
            <w:vMerge w:val="restart"/>
            <w:vAlign w:val="center"/>
          </w:tcPr>
          <w:p w14:paraId="74DF509E">
            <w:pPr>
              <w:pStyle w:val="23"/>
              <w:keepNext w:val="0"/>
              <w:keepLines w:val="0"/>
              <w:pageBreakBefore w:val="0"/>
              <w:widowControl w:val="0"/>
              <w:suppressLineNumbers w:val="0"/>
              <w:wordWrap/>
              <w:overflowPunct/>
              <w:topLinePunct w:val="0"/>
              <w:autoSpaceDE w:val="0"/>
              <w:autoSpaceDN w:val="0"/>
              <w:bidi w:val="0"/>
              <w:spacing w:before="58" w:line="240" w:lineRule="auto"/>
              <w:ind w:left="158" w:right="162" w:firstLine="21"/>
              <w:rPr>
                <w:b w:val="0"/>
                <w:bCs w:val="0"/>
                <w:highlight w:val="none"/>
              </w:rPr>
            </w:pPr>
            <w:r>
              <w:rPr>
                <w:b w:val="0"/>
                <w:bCs w:val="0"/>
                <w:spacing w:val="-3"/>
                <w:highlight w:val="none"/>
              </w:rPr>
              <w:t>建筑构造</w:t>
            </w:r>
            <w:r>
              <w:rPr>
                <w:b w:val="0"/>
                <w:bCs w:val="0"/>
                <w:spacing w:val="-8"/>
                <w:highlight w:val="none"/>
              </w:rPr>
              <w:t>（40</w:t>
            </w:r>
            <w:r>
              <w:rPr>
                <w:b w:val="0"/>
                <w:bCs w:val="0"/>
                <w:spacing w:val="-31"/>
                <w:highlight w:val="none"/>
              </w:rPr>
              <w:t xml:space="preserve"> </w:t>
            </w:r>
            <w:r>
              <w:rPr>
                <w:b w:val="0"/>
                <w:bCs w:val="0"/>
                <w:spacing w:val="-8"/>
                <w:highlight w:val="none"/>
              </w:rPr>
              <w:t>分）</w:t>
            </w:r>
          </w:p>
        </w:tc>
        <w:tc>
          <w:tcPr>
            <w:tcW w:w="366" w:type="pct"/>
            <w:vMerge w:val="restart"/>
            <w:tcBorders>
              <w:bottom w:val="nil"/>
            </w:tcBorders>
            <w:vAlign w:val="center"/>
          </w:tcPr>
          <w:p w14:paraId="053DA4BC">
            <w:pPr>
              <w:pStyle w:val="23"/>
              <w:keepNext w:val="0"/>
              <w:keepLines w:val="0"/>
              <w:pageBreakBefore w:val="0"/>
              <w:widowControl/>
              <w:suppressLineNumbers w:val="0"/>
              <w:wordWrap/>
              <w:overflowPunct/>
              <w:topLinePunct w:val="0"/>
              <w:autoSpaceDE/>
              <w:autoSpaceDN/>
              <w:bidi w:val="0"/>
              <w:spacing w:before="59" w:line="311" w:lineRule="auto"/>
              <w:ind w:left="131" w:right="135" w:firstLine="18"/>
              <w:rPr>
                <w:b w:val="0"/>
                <w:bCs w:val="0"/>
                <w:highlight w:val="none"/>
              </w:rPr>
            </w:pPr>
            <w:r>
              <w:rPr>
                <w:b w:val="0"/>
                <w:bCs w:val="0"/>
                <w:spacing w:val="0"/>
                <w:highlight w:val="none"/>
              </w:rPr>
              <w:t>防火墙和防火隔墙（10 分）</w:t>
            </w:r>
          </w:p>
        </w:tc>
        <w:tc>
          <w:tcPr>
            <w:tcW w:w="1727" w:type="pct"/>
            <w:vAlign w:val="center"/>
          </w:tcPr>
          <w:p w14:paraId="78FE9144">
            <w:pPr>
              <w:pStyle w:val="23"/>
              <w:keepNext w:val="0"/>
              <w:keepLines w:val="0"/>
              <w:pageBreakBefore w:val="0"/>
              <w:widowControl w:val="0"/>
              <w:suppressLineNumbers w:val="0"/>
              <w:wordWrap/>
              <w:overflowPunct/>
              <w:topLinePunct w:val="0"/>
              <w:autoSpaceDE w:val="0"/>
              <w:autoSpaceDN w:val="0"/>
              <w:bidi w:val="0"/>
              <w:spacing w:before="226" w:line="240" w:lineRule="auto"/>
              <w:ind w:left="112"/>
              <w:rPr>
                <w:b w:val="0"/>
                <w:bCs w:val="0"/>
                <w:highlight w:val="none"/>
              </w:rPr>
            </w:pPr>
            <w:r>
              <w:rPr>
                <w:b w:val="0"/>
                <w:bCs w:val="0"/>
                <w:spacing w:val="-3"/>
                <w:highlight w:val="none"/>
              </w:rPr>
              <w:t>a)建筑内防火墙、防火隔墙的耐火等级；</w:t>
            </w:r>
          </w:p>
        </w:tc>
        <w:tc>
          <w:tcPr>
            <w:tcW w:w="1178" w:type="pct"/>
            <w:vAlign w:val="center"/>
          </w:tcPr>
          <w:p w14:paraId="3C43B541">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分，最高扣4 分。</w:t>
            </w:r>
          </w:p>
        </w:tc>
        <w:tc>
          <w:tcPr>
            <w:tcW w:w="366" w:type="pct"/>
            <w:shd w:val="clear" w:color="auto" w:fill="auto"/>
            <w:vAlign w:val="center"/>
          </w:tcPr>
          <w:p w14:paraId="5915823A">
            <w:pPr>
              <w:pStyle w:val="23"/>
              <w:keepNext w:val="0"/>
              <w:keepLines w:val="0"/>
              <w:pageBreakBefore w:val="0"/>
              <w:widowControl w:val="0"/>
              <w:suppressLineNumbers w:val="0"/>
              <w:wordWrap/>
              <w:overflowPunct/>
              <w:topLinePunct w:val="0"/>
              <w:autoSpaceDE w:val="0"/>
              <w:autoSpaceDN w:val="0"/>
              <w:bidi w:val="0"/>
              <w:spacing w:before="68" w:line="240" w:lineRule="auto"/>
              <w:ind w:right="101" w:rightChars="0"/>
              <w:jc w:val="center"/>
              <w:rPr>
                <w:rFonts w:hint="eastAsia" w:ascii="宋体" w:hAnsi="宋体" w:eastAsia="宋体" w:cs="宋体"/>
                <w:b w:val="0"/>
                <w:bCs w:val="0"/>
                <w:snapToGrid w:val="0"/>
                <w:color w:val="auto"/>
                <w:kern w:val="0"/>
                <w:sz w:val="21"/>
                <w:szCs w:val="18"/>
                <w:highlight w:val="none"/>
                <w:lang w:val="en-US" w:eastAsia="zh-CN" w:bidi="ar-SA"/>
              </w:rPr>
            </w:pPr>
          </w:p>
        </w:tc>
        <w:tc>
          <w:tcPr>
            <w:tcW w:w="339" w:type="pct"/>
            <w:vAlign w:val="center"/>
          </w:tcPr>
          <w:p w14:paraId="1E7089FF">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Arial" w:eastAsia="宋体"/>
                <w:b w:val="0"/>
                <w:bCs w:val="0"/>
                <w:sz w:val="21"/>
                <w:highlight w:val="none"/>
                <w:lang w:val="en-US" w:eastAsia="zh-CN"/>
              </w:rPr>
            </w:pPr>
          </w:p>
        </w:tc>
        <w:tc>
          <w:tcPr>
            <w:tcW w:w="330" w:type="pct"/>
            <w:vMerge w:val="restart"/>
            <w:tcBorders>
              <w:bottom w:val="nil"/>
            </w:tcBorders>
            <w:vAlign w:val="center"/>
          </w:tcPr>
          <w:p w14:paraId="586EE50E">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宋体" w:hAnsi="宋体" w:eastAsia="宋体" w:cs="宋体"/>
                <w:b w:val="0"/>
                <w:bCs w:val="0"/>
                <w:sz w:val="21"/>
                <w:highlight w:val="none"/>
                <w:lang w:val="en-US" w:eastAsia="zh-CN"/>
              </w:rPr>
            </w:pPr>
          </w:p>
        </w:tc>
      </w:tr>
      <w:tr w14:paraId="757832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continue"/>
            <w:vAlign w:val="center"/>
          </w:tcPr>
          <w:p w14:paraId="4406AA6C">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2F5CB63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continue"/>
            <w:tcBorders>
              <w:top w:val="nil"/>
              <w:bottom w:val="nil"/>
            </w:tcBorders>
            <w:vAlign w:val="center"/>
          </w:tcPr>
          <w:p w14:paraId="27674A92">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1727" w:type="pct"/>
            <w:vAlign w:val="center"/>
          </w:tcPr>
          <w:p w14:paraId="22F07942">
            <w:pPr>
              <w:pStyle w:val="23"/>
              <w:keepNext w:val="0"/>
              <w:keepLines w:val="0"/>
              <w:pageBreakBefore w:val="0"/>
              <w:widowControl w:val="0"/>
              <w:suppressLineNumbers w:val="0"/>
              <w:wordWrap/>
              <w:overflowPunct/>
              <w:topLinePunct w:val="0"/>
              <w:autoSpaceDE w:val="0"/>
              <w:autoSpaceDN w:val="0"/>
              <w:bidi w:val="0"/>
              <w:spacing w:before="68" w:line="240" w:lineRule="auto"/>
              <w:ind w:left="113" w:right="105" w:hanging="5"/>
              <w:rPr>
                <w:b w:val="0"/>
                <w:bCs w:val="0"/>
                <w:highlight w:val="none"/>
              </w:rPr>
            </w:pPr>
            <w:r>
              <w:rPr>
                <w:b w:val="0"/>
                <w:bCs w:val="0"/>
                <w:spacing w:val="-3"/>
                <w:highlight w:val="none"/>
              </w:rPr>
              <w:t>b)防火墙上不应开设门、窗、洞口，确需开设时，应设置</w:t>
            </w:r>
            <w:r>
              <w:rPr>
                <w:b w:val="0"/>
                <w:bCs w:val="0"/>
                <w:spacing w:val="-1"/>
                <w:highlight w:val="none"/>
              </w:rPr>
              <w:t>不可开启或火灾时能自动关闭的甲级防火门、窗；</w:t>
            </w:r>
          </w:p>
        </w:tc>
        <w:tc>
          <w:tcPr>
            <w:tcW w:w="1178" w:type="pct"/>
            <w:vAlign w:val="center"/>
          </w:tcPr>
          <w:p w14:paraId="55B592CA">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分，最高扣3 分。</w:t>
            </w:r>
          </w:p>
        </w:tc>
        <w:tc>
          <w:tcPr>
            <w:tcW w:w="366" w:type="pct"/>
            <w:vAlign w:val="center"/>
          </w:tcPr>
          <w:p w14:paraId="100DD5B4">
            <w:pPr>
              <w:pStyle w:val="23"/>
              <w:keepNext w:val="0"/>
              <w:keepLines w:val="0"/>
              <w:pageBreakBefore w:val="0"/>
              <w:widowControl w:val="0"/>
              <w:suppressLineNumbers w:val="0"/>
              <w:wordWrap/>
              <w:overflowPunct/>
              <w:topLinePunct w:val="0"/>
              <w:autoSpaceDE w:val="0"/>
              <w:autoSpaceDN w:val="0"/>
              <w:bidi w:val="0"/>
              <w:spacing w:before="68" w:line="240" w:lineRule="auto"/>
              <w:ind w:right="101" w:rightChars="0"/>
              <w:jc w:val="center"/>
              <w:rPr>
                <w:rFonts w:hint="default" w:eastAsia="宋体"/>
                <w:b w:val="0"/>
                <w:bCs w:val="0"/>
                <w:color w:val="auto"/>
                <w:sz w:val="21"/>
                <w:highlight w:val="none"/>
                <w:lang w:val="en-US" w:eastAsia="zh-CN"/>
              </w:rPr>
            </w:pPr>
          </w:p>
        </w:tc>
        <w:tc>
          <w:tcPr>
            <w:tcW w:w="339" w:type="pct"/>
            <w:vAlign w:val="center"/>
          </w:tcPr>
          <w:p w14:paraId="720F5B68">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30" w:type="pct"/>
            <w:vMerge w:val="continue"/>
            <w:tcBorders>
              <w:top w:val="nil"/>
              <w:bottom w:val="nil"/>
            </w:tcBorders>
            <w:vAlign w:val="center"/>
          </w:tcPr>
          <w:p w14:paraId="4F59D869">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宋体" w:hAnsi="宋体" w:eastAsia="宋体" w:cs="宋体"/>
                <w:b w:val="0"/>
                <w:bCs w:val="0"/>
                <w:sz w:val="21"/>
                <w:highlight w:val="none"/>
              </w:rPr>
            </w:pPr>
          </w:p>
        </w:tc>
      </w:tr>
      <w:tr w14:paraId="26B3A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jc w:val="center"/>
        </w:trPr>
        <w:tc>
          <w:tcPr>
            <w:tcW w:w="197" w:type="pct"/>
            <w:vMerge w:val="continue"/>
            <w:vAlign w:val="center"/>
          </w:tcPr>
          <w:p w14:paraId="639269C6">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6B6C20C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continue"/>
            <w:tcBorders>
              <w:top w:val="nil"/>
            </w:tcBorders>
            <w:vAlign w:val="center"/>
          </w:tcPr>
          <w:p w14:paraId="44C36343">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1727" w:type="pct"/>
            <w:vAlign w:val="center"/>
          </w:tcPr>
          <w:p w14:paraId="4DE0EAAF">
            <w:pPr>
              <w:pStyle w:val="23"/>
              <w:keepNext w:val="0"/>
              <w:keepLines w:val="0"/>
              <w:pageBreakBefore w:val="0"/>
              <w:widowControl w:val="0"/>
              <w:suppressLineNumbers w:val="0"/>
              <w:wordWrap/>
              <w:overflowPunct/>
              <w:topLinePunct w:val="0"/>
              <w:autoSpaceDE w:val="0"/>
              <w:autoSpaceDN w:val="0"/>
              <w:bidi w:val="0"/>
              <w:spacing w:before="68" w:line="240" w:lineRule="auto"/>
              <w:ind w:left="122" w:right="76" w:hanging="7"/>
              <w:rPr>
                <w:b w:val="0"/>
                <w:bCs w:val="0"/>
                <w:highlight w:val="none"/>
              </w:rPr>
            </w:pPr>
            <w:r>
              <w:rPr>
                <w:b w:val="0"/>
                <w:bCs w:val="0"/>
                <w:spacing w:val="-2"/>
                <w:highlight w:val="none"/>
              </w:rPr>
              <w:t>c)可燃气体和甲、乙、丙类液体的管道严禁穿</w:t>
            </w:r>
            <w:r>
              <w:rPr>
                <w:b w:val="0"/>
                <w:bCs w:val="0"/>
                <w:spacing w:val="-3"/>
                <w:highlight w:val="none"/>
              </w:rPr>
              <w:t>过防火墙；</w:t>
            </w:r>
            <w:r>
              <w:rPr>
                <w:b w:val="0"/>
                <w:bCs w:val="0"/>
                <w:spacing w:val="-2"/>
                <w:highlight w:val="none"/>
              </w:rPr>
              <w:t>防火墙内不应设置排气道。</w:t>
            </w:r>
          </w:p>
        </w:tc>
        <w:tc>
          <w:tcPr>
            <w:tcW w:w="1178" w:type="pct"/>
            <w:vAlign w:val="center"/>
          </w:tcPr>
          <w:p w14:paraId="29ED877C">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570462FD">
            <w:pPr>
              <w:pStyle w:val="23"/>
              <w:keepNext w:val="0"/>
              <w:keepLines w:val="0"/>
              <w:pageBreakBefore w:val="0"/>
              <w:widowControl w:val="0"/>
              <w:suppressLineNumbers w:val="0"/>
              <w:wordWrap/>
              <w:overflowPunct/>
              <w:topLinePunct w:val="0"/>
              <w:autoSpaceDE w:val="0"/>
              <w:autoSpaceDN w:val="0"/>
              <w:bidi w:val="0"/>
              <w:spacing w:before="68" w:line="240" w:lineRule="auto"/>
              <w:ind w:right="101" w:rightChars="0"/>
              <w:jc w:val="center"/>
              <w:rPr>
                <w:rFonts w:hint="default" w:eastAsia="宋体"/>
                <w:b w:val="0"/>
                <w:bCs w:val="0"/>
                <w:color w:val="auto"/>
                <w:sz w:val="21"/>
                <w:highlight w:val="none"/>
                <w:lang w:val="en-US" w:eastAsia="zh-CN"/>
              </w:rPr>
            </w:pPr>
          </w:p>
        </w:tc>
        <w:tc>
          <w:tcPr>
            <w:tcW w:w="339" w:type="pct"/>
            <w:vAlign w:val="center"/>
          </w:tcPr>
          <w:p w14:paraId="0C7B3E2E">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30" w:type="pct"/>
            <w:vMerge w:val="continue"/>
            <w:tcBorders>
              <w:top w:val="nil"/>
            </w:tcBorders>
            <w:vAlign w:val="center"/>
          </w:tcPr>
          <w:p w14:paraId="38778969">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宋体" w:hAnsi="宋体" w:eastAsia="宋体" w:cs="宋体"/>
                <w:b w:val="0"/>
                <w:bCs w:val="0"/>
                <w:sz w:val="21"/>
                <w:highlight w:val="none"/>
              </w:rPr>
            </w:pPr>
          </w:p>
        </w:tc>
      </w:tr>
      <w:tr w14:paraId="32B425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8" w:hRule="atLeast"/>
          <w:jc w:val="center"/>
        </w:trPr>
        <w:tc>
          <w:tcPr>
            <w:tcW w:w="197" w:type="pct"/>
            <w:vMerge w:val="continue"/>
            <w:vAlign w:val="center"/>
          </w:tcPr>
          <w:p w14:paraId="4F74D280">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51EFF556">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restart"/>
            <w:tcBorders>
              <w:bottom w:val="nil"/>
            </w:tcBorders>
            <w:vAlign w:val="center"/>
          </w:tcPr>
          <w:p w14:paraId="6B8E0072">
            <w:pPr>
              <w:pStyle w:val="23"/>
              <w:keepNext w:val="0"/>
              <w:keepLines w:val="0"/>
              <w:pageBreakBefore w:val="0"/>
              <w:widowControl/>
              <w:suppressLineNumbers w:val="0"/>
              <w:wordWrap/>
              <w:overflowPunct/>
              <w:topLinePunct w:val="0"/>
              <w:autoSpaceDE/>
              <w:autoSpaceDN/>
              <w:bidi w:val="0"/>
              <w:spacing w:before="59" w:line="311" w:lineRule="auto"/>
              <w:ind w:left="131" w:right="135" w:firstLine="18"/>
              <w:jc w:val="left"/>
              <w:rPr>
                <w:b w:val="0"/>
                <w:bCs w:val="0"/>
                <w:highlight w:val="none"/>
              </w:rPr>
            </w:pPr>
            <w:r>
              <w:rPr>
                <w:b w:val="0"/>
                <w:bCs w:val="0"/>
                <w:spacing w:val="0"/>
                <w:highlight w:val="none"/>
              </w:rPr>
              <w:t>建筑竖井（10 分）</w:t>
            </w:r>
          </w:p>
        </w:tc>
        <w:tc>
          <w:tcPr>
            <w:tcW w:w="1727" w:type="pct"/>
            <w:vAlign w:val="center"/>
          </w:tcPr>
          <w:p w14:paraId="4570D2F4">
            <w:pPr>
              <w:pStyle w:val="23"/>
              <w:keepNext w:val="0"/>
              <w:keepLines w:val="0"/>
              <w:pageBreakBefore w:val="0"/>
              <w:widowControl w:val="0"/>
              <w:suppressLineNumbers w:val="0"/>
              <w:wordWrap/>
              <w:overflowPunct/>
              <w:topLinePunct w:val="0"/>
              <w:autoSpaceDE w:val="0"/>
              <w:autoSpaceDN w:val="0"/>
              <w:bidi w:val="0"/>
              <w:spacing w:before="70" w:line="240" w:lineRule="auto"/>
              <w:ind w:left="114" w:right="55" w:hanging="2"/>
              <w:jc w:val="both"/>
              <w:rPr>
                <w:b w:val="0"/>
                <w:bCs w:val="0"/>
                <w:highlight w:val="none"/>
              </w:rPr>
            </w:pPr>
            <w:r>
              <w:rPr>
                <w:b w:val="0"/>
                <w:bCs w:val="0"/>
                <w:spacing w:val="-1"/>
                <w:highlight w:val="none"/>
              </w:rPr>
              <w:t>a)电梯井应独立设置，井内严禁敷设可燃</w:t>
            </w:r>
            <w:r>
              <w:rPr>
                <w:b w:val="0"/>
                <w:bCs w:val="0"/>
                <w:spacing w:val="-2"/>
                <w:highlight w:val="none"/>
              </w:rPr>
              <w:t>气体和甲、乙、</w:t>
            </w:r>
            <w:r>
              <w:rPr>
                <w:b w:val="0"/>
                <w:bCs w:val="0"/>
                <w:spacing w:val="-8"/>
                <w:highlight w:val="none"/>
              </w:rPr>
              <w:t>丙类液体管道，不应敷设与电梯无关的电缆、电线</w:t>
            </w:r>
            <w:r>
              <w:rPr>
                <w:b w:val="0"/>
                <w:bCs w:val="0"/>
                <w:spacing w:val="-9"/>
                <w:highlight w:val="none"/>
              </w:rPr>
              <w:t>、开口；</w:t>
            </w:r>
            <w:r>
              <w:rPr>
                <w:b w:val="0"/>
                <w:bCs w:val="0"/>
                <w:spacing w:val="-1"/>
                <w:highlight w:val="none"/>
              </w:rPr>
              <w:t>电梯井壁、层门耐火极限应符合规范要求；</w:t>
            </w:r>
          </w:p>
        </w:tc>
        <w:tc>
          <w:tcPr>
            <w:tcW w:w="1178" w:type="pct"/>
            <w:vAlign w:val="center"/>
          </w:tcPr>
          <w:p w14:paraId="68D64680">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4 分。</w:t>
            </w:r>
          </w:p>
        </w:tc>
        <w:tc>
          <w:tcPr>
            <w:tcW w:w="366" w:type="pct"/>
            <w:vAlign w:val="center"/>
          </w:tcPr>
          <w:p w14:paraId="1D69740E">
            <w:pPr>
              <w:pStyle w:val="23"/>
              <w:keepNext w:val="0"/>
              <w:keepLines w:val="0"/>
              <w:pageBreakBefore w:val="0"/>
              <w:widowControl w:val="0"/>
              <w:suppressLineNumbers w:val="0"/>
              <w:wordWrap/>
              <w:overflowPunct/>
              <w:topLinePunct w:val="0"/>
              <w:autoSpaceDE w:val="0"/>
              <w:autoSpaceDN w:val="0"/>
              <w:bidi w:val="0"/>
              <w:spacing w:before="68" w:line="240" w:lineRule="auto"/>
              <w:ind w:right="101" w:rightChars="0"/>
              <w:jc w:val="center"/>
              <w:rPr>
                <w:rFonts w:hint="default" w:eastAsia="宋体"/>
                <w:b w:val="0"/>
                <w:bCs w:val="0"/>
                <w:color w:val="auto"/>
                <w:sz w:val="21"/>
                <w:highlight w:val="none"/>
                <w:lang w:val="en-US" w:eastAsia="zh-CN"/>
              </w:rPr>
            </w:pPr>
          </w:p>
        </w:tc>
        <w:tc>
          <w:tcPr>
            <w:tcW w:w="339" w:type="pct"/>
            <w:vAlign w:val="center"/>
          </w:tcPr>
          <w:p w14:paraId="1F5941F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30" w:type="pct"/>
            <w:vMerge w:val="restart"/>
            <w:tcBorders>
              <w:bottom w:val="nil"/>
            </w:tcBorders>
            <w:vAlign w:val="center"/>
          </w:tcPr>
          <w:p w14:paraId="7BEB6468">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宋体" w:hAnsi="宋体" w:eastAsia="宋体" w:cs="宋体"/>
                <w:b w:val="0"/>
                <w:bCs w:val="0"/>
                <w:sz w:val="21"/>
                <w:highlight w:val="none"/>
                <w:lang w:val="en-US" w:eastAsia="zh-CN"/>
              </w:rPr>
            </w:pPr>
          </w:p>
        </w:tc>
      </w:tr>
      <w:tr w14:paraId="6E3023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continue"/>
            <w:vAlign w:val="center"/>
          </w:tcPr>
          <w:p w14:paraId="5A9DB417">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0F7AB26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continue"/>
            <w:tcBorders>
              <w:top w:val="nil"/>
              <w:bottom w:val="nil"/>
            </w:tcBorders>
            <w:vAlign w:val="center"/>
          </w:tcPr>
          <w:p w14:paraId="67288D92">
            <w:pPr>
              <w:pStyle w:val="23"/>
              <w:keepNext w:val="0"/>
              <w:keepLines w:val="0"/>
              <w:pageBreakBefore w:val="0"/>
              <w:widowControl/>
              <w:suppressLineNumbers w:val="0"/>
              <w:wordWrap/>
              <w:overflowPunct/>
              <w:topLinePunct w:val="0"/>
              <w:autoSpaceDE/>
              <w:autoSpaceDN/>
              <w:bidi w:val="0"/>
              <w:spacing w:before="59" w:beforeAutospacing="0" w:after="0" w:afterAutospacing="0" w:line="311" w:lineRule="auto"/>
              <w:ind w:left="131" w:right="135" w:firstLine="18"/>
              <w:rPr>
                <w:rFonts w:hint="eastAsia" w:ascii="宋体"/>
                <w:b w:val="0"/>
                <w:bCs w:val="0"/>
                <w:sz w:val="18"/>
                <w:highlight w:val="none"/>
              </w:rPr>
            </w:pPr>
          </w:p>
        </w:tc>
        <w:tc>
          <w:tcPr>
            <w:tcW w:w="1727" w:type="pct"/>
            <w:vAlign w:val="center"/>
          </w:tcPr>
          <w:p w14:paraId="7D27AA82">
            <w:pPr>
              <w:pStyle w:val="23"/>
              <w:keepNext w:val="0"/>
              <w:keepLines w:val="0"/>
              <w:pageBreakBefore w:val="0"/>
              <w:widowControl w:val="0"/>
              <w:suppressLineNumbers w:val="0"/>
              <w:wordWrap/>
              <w:overflowPunct/>
              <w:topLinePunct w:val="0"/>
              <w:autoSpaceDE w:val="0"/>
              <w:autoSpaceDN w:val="0"/>
              <w:bidi w:val="0"/>
              <w:spacing w:before="70" w:line="240" w:lineRule="auto"/>
              <w:ind w:left="110" w:right="55" w:hanging="2"/>
              <w:jc w:val="both"/>
              <w:rPr>
                <w:b w:val="0"/>
                <w:bCs w:val="0"/>
                <w:highlight w:val="none"/>
              </w:rPr>
            </w:pPr>
            <w:r>
              <w:rPr>
                <w:b w:val="0"/>
                <w:bCs w:val="0"/>
                <w:spacing w:val="-8"/>
                <w:highlight w:val="none"/>
              </w:rPr>
              <w:t>b)电缆井、管道井、排烟道、排气道、垃圾道等竖向井道，</w:t>
            </w:r>
            <w:r>
              <w:rPr>
                <w:b w:val="0"/>
                <w:bCs w:val="0"/>
                <w:spacing w:val="-3"/>
                <w:highlight w:val="none"/>
              </w:rPr>
              <w:t>应分别独立设置；井壁、防火门的耐火极限</w:t>
            </w:r>
            <w:r>
              <w:rPr>
                <w:b w:val="0"/>
                <w:bCs w:val="0"/>
                <w:spacing w:val="-4"/>
                <w:highlight w:val="none"/>
              </w:rPr>
              <w:t>应符合规范要求；</w:t>
            </w:r>
          </w:p>
        </w:tc>
        <w:tc>
          <w:tcPr>
            <w:tcW w:w="1178" w:type="pct"/>
            <w:vAlign w:val="center"/>
          </w:tcPr>
          <w:p w14:paraId="0B1FCAF0">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28FB1577">
            <w:pPr>
              <w:pStyle w:val="23"/>
              <w:keepNext w:val="0"/>
              <w:keepLines w:val="0"/>
              <w:pageBreakBefore w:val="0"/>
              <w:widowControl w:val="0"/>
              <w:suppressLineNumbers w:val="0"/>
              <w:wordWrap/>
              <w:overflowPunct/>
              <w:topLinePunct w:val="0"/>
              <w:autoSpaceDE w:val="0"/>
              <w:autoSpaceDN w:val="0"/>
              <w:bidi w:val="0"/>
              <w:spacing w:before="68" w:line="240" w:lineRule="auto"/>
              <w:ind w:right="101" w:rightChars="0"/>
              <w:jc w:val="center"/>
              <w:rPr>
                <w:rFonts w:hint="default" w:eastAsia="宋体"/>
                <w:b w:val="0"/>
                <w:bCs w:val="0"/>
                <w:color w:val="auto"/>
                <w:sz w:val="21"/>
                <w:highlight w:val="none"/>
                <w:lang w:val="en-US" w:eastAsia="zh-CN"/>
              </w:rPr>
            </w:pPr>
          </w:p>
        </w:tc>
        <w:tc>
          <w:tcPr>
            <w:tcW w:w="339" w:type="pct"/>
            <w:vAlign w:val="center"/>
          </w:tcPr>
          <w:p w14:paraId="59D7E124">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30" w:type="pct"/>
            <w:vMerge w:val="continue"/>
            <w:tcBorders>
              <w:top w:val="nil"/>
              <w:bottom w:val="nil"/>
            </w:tcBorders>
            <w:vAlign w:val="center"/>
          </w:tcPr>
          <w:p w14:paraId="40D7E37F">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r>
      <w:tr w14:paraId="414E54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continue"/>
            <w:vAlign w:val="center"/>
          </w:tcPr>
          <w:p w14:paraId="2D3E26B4">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4060B734">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continue"/>
            <w:tcBorders>
              <w:top w:val="nil"/>
            </w:tcBorders>
            <w:vAlign w:val="center"/>
          </w:tcPr>
          <w:p w14:paraId="7A88FF19">
            <w:pPr>
              <w:pStyle w:val="23"/>
              <w:keepNext w:val="0"/>
              <w:keepLines w:val="0"/>
              <w:pageBreakBefore w:val="0"/>
              <w:widowControl/>
              <w:suppressLineNumbers w:val="0"/>
              <w:wordWrap/>
              <w:overflowPunct/>
              <w:topLinePunct w:val="0"/>
              <w:autoSpaceDE/>
              <w:autoSpaceDN/>
              <w:bidi w:val="0"/>
              <w:spacing w:before="59" w:beforeAutospacing="0" w:after="0" w:afterAutospacing="0" w:line="311" w:lineRule="auto"/>
              <w:ind w:left="131" w:right="135" w:firstLine="18"/>
              <w:rPr>
                <w:rFonts w:hint="eastAsia" w:ascii="宋体"/>
                <w:b w:val="0"/>
                <w:bCs w:val="0"/>
                <w:sz w:val="18"/>
                <w:highlight w:val="none"/>
              </w:rPr>
            </w:pPr>
          </w:p>
        </w:tc>
        <w:tc>
          <w:tcPr>
            <w:tcW w:w="1727" w:type="pct"/>
            <w:vAlign w:val="center"/>
          </w:tcPr>
          <w:p w14:paraId="45685FB7">
            <w:pPr>
              <w:pStyle w:val="23"/>
              <w:keepNext w:val="0"/>
              <w:keepLines w:val="0"/>
              <w:pageBreakBefore w:val="0"/>
              <w:widowControl w:val="0"/>
              <w:suppressLineNumbers w:val="0"/>
              <w:wordWrap/>
              <w:overflowPunct/>
              <w:topLinePunct w:val="0"/>
              <w:autoSpaceDE w:val="0"/>
              <w:autoSpaceDN w:val="0"/>
              <w:bidi w:val="0"/>
              <w:spacing w:before="59" w:line="240" w:lineRule="auto"/>
              <w:ind w:left="112" w:right="107" w:firstLine="2"/>
              <w:rPr>
                <w:b w:val="0"/>
                <w:bCs w:val="0"/>
                <w:highlight w:val="none"/>
              </w:rPr>
            </w:pPr>
            <w:r>
              <w:rPr>
                <w:b w:val="0"/>
                <w:bCs w:val="0"/>
                <w:spacing w:val="-4"/>
                <w:highlight w:val="none"/>
              </w:rPr>
              <w:t>c)建筑内的电缆井、管道井应在每层楼板处采用不低于楼</w:t>
            </w:r>
            <w:r>
              <w:rPr>
                <w:b w:val="0"/>
                <w:bCs w:val="0"/>
                <w:spacing w:val="-1"/>
                <w:highlight w:val="none"/>
              </w:rPr>
              <w:t>板耐火极限的不燃材料或防火封堵材料封堵。</w:t>
            </w:r>
          </w:p>
        </w:tc>
        <w:tc>
          <w:tcPr>
            <w:tcW w:w="1178" w:type="pct"/>
            <w:vAlign w:val="center"/>
          </w:tcPr>
          <w:p w14:paraId="5FE20775">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2461E31B">
            <w:pPr>
              <w:pStyle w:val="23"/>
              <w:keepNext w:val="0"/>
              <w:keepLines w:val="0"/>
              <w:pageBreakBefore w:val="0"/>
              <w:widowControl w:val="0"/>
              <w:suppressLineNumbers w:val="0"/>
              <w:wordWrap/>
              <w:overflowPunct/>
              <w:topLinePunct w:val="0"/>
              <w:autoSpaceDE w:val="0"/>
              <w:autoSpaceDN w:val="0"/>
              <w:bidi w:val="0"/>
              <w:spacing w:before="68" w:line="240" w:lineRule="auto"/>
              <w:ind w:right="101" w:rightChars="0"/>
              <w:jc w:val="center"/>
              <w:rPr>
                <w:rFonts w:hint="default" w:eastAsia="宋体"/>
                <w:b w:val="0"/>
                <w:bCs w:val="0"/>
                <w:color w:val="auto"/>
                <w:sz w:val="21"/>
                <w:highlight w:val="none"/>
                <w:lang w:val="en-US" w:eastAsia="zh-CN"/>
              </w:rPr>
            </w:pPr>
          </w:p>
        </w:tc>
        <w:tc>
          <w:tcPr>
            <w:tcW w:w="339" w:type="pct"/>
            <w:vAlign w:val="center"/>
          </w:tcPr>
          <w:p w14:paraId="7473233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30" w:type="pct"/>
            <w:vMerge w:val="continue"/>
            <w:tcBorders>
              <w:top w:val="nil"/>
            </w:tcBorders>
            <w:vAlign w:val="center"/>
          </w:tcPr>
          <w:p w14:paraId="200DC767">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r>
      <w:tr w14:paraId="3057F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continue"/>
            <w:vAlign w:val="center"/>
          </w:tcPr>
          <w:p w14:paraId="057B57B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02A06B92">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restart"/>
            <w:vAlign w:val="center"/>
          </w:tcPr>
          <w:p w14:paraId="5C6E5AD9">
            <w:pPr>
              <w:pStyle w:val="23"/>
              <w:keepNext w:val="0"/>
              <w:keepLines w:val="0"/>
              <w:pageBreakBefore w:val="0"/>
              <w:widowControl/>
              <w:suppressLineNumbers w:val="0"/>
              <w:wordWrap/>
              <w:overflowPunct/>
              <w:topLinePunct w:val="0"/>
              <w:autoSpaceDE/>
              <w:autoSpaceDN/>
              <w:bidi w:val="0"/>
              <w:spacing w:before="59" w:line="311" w:lineRule="auto"/>
              <w:ind w:left="131" w:right="135" w:firstLine="18"/>
              <w:rPr>
                <w:b w:val="0"/>
                <w:bCs w:val="0"/>
                <w:highlight w:val="none"/>
              </w:rPr>
            </w:pPr>
            <w:r>
              <w:rPr>
                <w:b w:val="0"/>
                <w:bCs w:val="0"/>
                <w:spacing w:val="0"/>
                <w:highlight w:val="none"/>
              </w:rPr>
              <w:t>防火门窗、防火卷帘（10 分）</w:t>
            </w:r>
          </w:p>
        </w:tc>
        <w:tc>
          <w:tcPr>
            <w:tcW w:w="1727" w:type="pct"/>
            <w:vAlign w:val="center"/>
          </w:tcPr>
          <w:p w14:paraId="1CFFDB9A">
            <w:pPr>
              <w:pStyle w:val="23"/>
              <w:keepNext w:val="0"/>
              <w:keepLines w:val="0"/>
              <w:pageBreakBefore w:val="0"/>
              <w:widowControl w:val="0"/>
              <w:suppressLineNumbers w:val="0"/>
              <w:wordWrap/>
              <w:overflowPunct/>
              <w:topLinePunct w:val="0"/>
              <w:autoSpaceDE w:val="0"/>
              <w:autoSpaceDN w:val="0"/>
              <w:bidi w:val="0"/>
              <w:spacing w:before="227" w:line="240" w:lineRule="auto"/>
              <w:ind w:left="112"/>
              <w:rPr>
                <w:b w:val="0"/>
                <w:bCs w:val="0"/>
                <w:highlight w:val="none"/>
              </w:rPr>
            </w:pPr>
            <w:r>
              <w:rPr>
                <w:b w:val="0"/>
                <w:bCs w:val="0"/>
                <w:spacing w:val="-2"/>
                <w:highlight w:val="none"/>
              </w:rPr>
              <w:t>a)建筑内防火门窗、防火卷帘的设置位置、耐火性能；</w:t>
            </w:r>
          </w:p>
        </w:tc>
        <w:tc>
          <w:tcPr>
            <w:tcW w:w="1178" w:type="pct"/>
            <w:vAlign w:val="center"/>
          </w:tcPr>
          <w:p w14:paraId="2D896DD4">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6 分。</w:t>
            </w:r>
          </w:p>
        </w:tc>
        <w:tc>
          <w:tcPr>
            <w:tcW w:w="366" w:type="pct"/>
            <w:vAlign w:val="center"/>
          </w:tcPr>
          <w:p w14:paraId="5BBE6262">
            <w:pPr>
              <w:pStyle w:val="23"/>
              <w:keepNext w:val="0"/>
              <w:keepLines w:val="0"/>
              <w:pageBreakBefore w:val="0"/>
              <w:widowControl w:val="0"/>
              <w:suppressLineNumbers w:val="0"/>
              <w:wordWrap/>
              <w:overflowPunct/>
              <w:topLinePunct w:val="0"/>
              <w:autoSpaceDE w:val="0"/>
              <w:autoSpaceDN w:val="0"/>
              <w:bidi w:val="0"/>
              <w:spacing w:before="68" w:line="240" w:lineRule="auto"/>
              <w:ind w:right="101" w:rightChars="0"/>
              <w:jc w:val="center"/>
              <w:rPr>
                <w:rFonts w:hint="default" w:eastAsia="宋体"/>
                <w:b w:val="0"/>
                <w:bCs w:val="0"/>
                <w:color w:val="auto"/>
                <w:sz w:val="21"/>
                <w:highlight w:val="none"/>
                <w:lang w:val="en-US" w:eastAsia="zh-CN"/>
              </w:rPr>
            </w:pPr>
          </w:p>
        </w:tc>
        <w:tc>
          <w:tcPr>
            <w:tcW w:w="339" w:type="pct"/>
            <w:vAlign w:val="center"/>
          </w:tcPr>
          <w:p w14:paraId="7BC6F2B5">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30" w:type="pct"/>
            <w:vAlign w:val="center"/>
          </w:tcPr>
          <w:p w14:paraId="46F1D436">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eastAsia="宋体"/>
                <w:b w:val="0"/>
                <w:bCs w:val="0"/>
                <w:sz w:val="21"/>
                <w:highlight w:val="none"/>
                <w:lang w:val="en-US" w:eastAsia="zh-CN"/>
              </w:rPr>
            </w:pPr>
          </w:p>
        </w:tc>
      </w:tr>
      <w:tr w14:paraId="374B4F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8" w:hRule="atLeast"/>
          <w:jc w:val="center"/>
        </w:trPr>
        <w:tc>
          <w:tcPr>
            <w:tcW w:w="197" w:type="pct"/>
            <w:vMerge w:val="continue"/>
            <w:vAlign w:val="center"/>
          </w:tcPr>
          <w:p w14:paraId="35CD6AC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27297F62">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continue"/>
            <w:vAlign w:val="center"/>
          </w:tcPr>
          <w:p w14:paraId="2E82AB3E">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hanging="2"/>
              <w:jc w:val="both"/>
              <w:rPr>
                <w:b w:val="0"/>
                <w:bCs w:val="0"/>
                <w:spacing w:val="-3"/>
                <w:highlight w:val="none"/>
              </w:rPr>
            </w:pPr>
          </w:p>
        </w:tc>
        <w:tc>
          <w:tcPr>
            <w:tcW w:w="1727" w:type="pct"/>
            <w:vAlign w:val="center"/>
          </w:tcPr>
          <w:p w14:paraId="44626628">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hanging="2"/>
              <w:jc w:val="both"/>
              <w:rPr>
                <w:b w:val="0"/>
                <w:bCs w:val="0"/>
                <w:highlight w:val="none"/>
              </w:rPr>
            </w:pPr>
            <w:r>
              <w:rPr>
                <w:b w:val="0"/>
                <w:bCs w:val="0"/>
                <w:spacing w:val="-3"/>
                <w:highlight w:val="none"/>
              </w:rPr>
              <w:t>b)除允许设置常开防火门的位置外，其他位置的防</w:t>
            </w:r>
            <w:r>
              <w:rPr>
                <w:b w:val="0"/>
                <w:bCs w:val="0"/>
                <w:spacing w:val="-4"/>
                <w:highlight w:val="none"/>
              </w:rPr>
              <w:t>火门均</w:t>
            </w:r>
            <w:r>
              <w:rPr>
                <w:b w:val="0"/>
                <w:bCs w:val="0"/>
                <w:spacing w:val="-3"/>
                <w:highlight w:val="none"/>
              </w:rPr>
              <w:t>应采用常闭防火门；常闭防火门应在其明显</w:t>
            </w:r>
            <w:r>
              <w:rPr>
                <w:b w:val="0"/>
                <w:bCs w:val="0"/>
                <w:spacing w:val="-4"/>
                <w:highlight w:val="none"/>
              </w:rPr>
              <w:t>位置设置“保</w:t>
            </w:r>
            <w:r>
              <w:rPr>
                <w:b w:val="0"/>
                <w:bCs w:val="0"/>
                <w:spacing w:val="-1"/>
                <w:highlight w:val="none"/>
              </w:rPr>
              <w:t>持防火门关闭”等提示标识。</w:t>
            </w:r>
          </w:p>
        </w:tc>
        <w:tc>
          <w:tcPr>
            <w:tcW w:w="1178" w:type="pct"/>
            <w:vAlign w:val="center"/>
          </w:tcPr>
          <w:p w14:paraId="5FD8A313">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4 分。</w:t>
            </w:r>
          </w:p>
        </w:tc>
        <w:tc>
          <w:tcPr>
            <w:tcW w:w="366" w:type="pct"/>
            <w:vAlign w:val="center"/>
          </w:tcPr>
          <w:p w14:paraId="02470F85">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firstLine="542" w:firstLineChars="0"/>
              <w:jc w:val="both"/>
              <w:rPr>
                <w:rFonts w:hint="default" w:ascii="Arial" w:eastAsia="宋体"/>
                <w:b w:val="0"/>
                <w:bCs w:val="0"/>
                <w:sz w:val="21"/>
                <w:highlight w:val="none"/>
                <w:lang w:val="en-US" w:eastAsia="zh-CN"/>
              </w:rPr>
            </w:pPr>
          </w:p>
        </w:tc>
        <w:tc>
          <w:tcPr>
            <w:tcW w:w="339" w:type="pct"/>
            <w:vAlign w:val="center"/>
          </w:tcPr>
          <w:p w14:paraId="0D9613DF">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30" w:type="pct"/>
            <w:vAlign w:val="center"/>
          </w:tcPr>
          <w:p w14:paraId="2A446402">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r>
      <w:tr w14:paraId="4E7000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continue"/>
            <w:vAlign w:val="center"/>
          </w:tcPr>
          <w:p w14:paraId="68D14092">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468525E1">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restart"/>
            <w:tcBorders>
              <w:bottom w:val="nil"/>
            </w:tcBorders>
            <w:vAlign w:val="center"/>
          </w:tcPr>
          <w:p w14:paraId="2ED50C2F">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hanging="2"/>
              <w:jc w:val="both"/>
              <w:rPr>
                <w:b w:val="0"/>
                <w:bCs w:val="0"/>
                <w:spacing w:val="-3"/>
                <w:highlight w:val="none"/>
              </w:rPr>
            </w:pPr>
            <w:r>
              <w:rPr>
                <w:b w:val="0"/>
                <w:bCs w:val="0"/>
                <w:spacing w:val="-3"/>
                <w:highlight w:val="none"/>
              </w:rPr>
              <w:t>天桥、连廊（4 分）</w:t>
            </w:r>
          </w:p>
        </w:tc>
        <w:tc>
          <w:tcPr>
            <w:tcW w:w="1727" w:type="pct"/>
            <w:vAlign w:val="center"/>
          </w:tcPr>
          <w:p w14:paraId="3C600A2A">
            <w:pPr>
              <w:pStyle w:val="23"/>
              <w:keepNext w:val="0"/>
              <w:keepLines w:val="0"/>
              <w:pageBreakBefore w:val="0"/>
              <w:widowControl w:val="0"/>
              <w:suppressLineNumbers w:val="0"/>
              <w:wordWrap/>
              <w:overflowPunct/>
              <w:topLinePunct w:val="0"/>
              <w:autoSpaceDE w:val="0"/>
              <w:autoSpaceDN w:val="0"/>
              <w:bidi w:val="0"/>
              <w:spacing w:before="66" w:line="240" w:lineRule="auto"/>
              <w:ind w:left="126" w:right="105" w:hanging="14"/>
              <w:rPr>
                <w:b w:val="0"/>
                <w:bCs w:val="0"/>
                <w:highlight w:val="none"/>
              </w:rPr>
            </w:pPr>
            <w:r>
              <w:rPr>
                <w:b w:val="0"/>
                <w:bCs w:val="0"/>
                <w:spacing w:val="4"/>
                <w:highlight w:val="none"/>
              </w:rPr>
              <w:t>a)作为安全出口的天桥和连廊不应设置除人员通</w:t>
            </w:r>
            <w:r>
              <w:rPr>
                <w:b w:val="0"/>
                <w:bCs w:val="0"/>
                <w:spacing w:val="3"/>
                <w:highlight w:val="none"/>
              </w:rPr>
              <w:t>行以外</w:t>
            </w:r>
            <w:r>
              <w:rPr>
                <w:b w:val="0"/>
                <w:bCs w:val="0"/>
                <w:spacing w:val="-8"/>
                <w:highlight w:val="none"/>
              </w:rPr>
              <w:t>的其他功能；</w:t>
            </w:r>
          </w:p>
        </w:tc>
        <w:tc>
          <w:tcPr>
            <w:tcW w:w="1178" w:type="pct"/>
            <w:vAlign w:val="center"/>
          </w:tcPr>
          <w:p w14:paraId="10F4A32C">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2 分。</w:t>
            </w:r>
          </w:p>
        </w:tc>
        <w:tc>
          <w:tcPr>
            <w:tcW w:w="366" w:type="pct"/>
            <w:vAlign w:val="center"/>
          </w:tcPr>
          <w:p w14:paraId="1F25C7DF">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jc w:val="center"/>
              <w:rPr>
                <w:rFonts w:hint="default" w:ascii="Arial" w:eastAsia="宋体"/>
                <w:b w:val="0"/>
                <w:bCs w:val="0"/>
                <w:sz w:val="21"/>
                <w:highlight w:val="none"/>
                <w:lang w:val="en-US" w:eastAsia="zh-CN"/>
              </w:rPr>
            </w:pPr>
          </w:p>
        </w:tc>
        <w:tc>
          <w:tcPr>
            <w:tcW w:w="339" w:type="pct"/>
            <w:vAlign w:val="center"/>
          </w:tcPr>
          <w:p w14:paraId="770CC945">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宋体" w:hAnsi="宋体" w:eastAsia="宋体" w:cs="宋体"/>
                <w:b w:val="0"/>
                <w:bCs w:val="0"/>
                <w:sz w:val="21"/>
                <w:highlight w:val="none"/>
              </w:rPr>
            </w:pPr>
          </w:p>
        </w:tc>
        <w:tc>
          <w:tcPr>
            <w:tcW w:w="330" w:type="pct"/>
            <w:vMerge w:val="restart"/>
            <w:tcBorders>
              <w:bottom w:val="nil"/>
            </w:tcBorders>
            <w:vAlign w:val="center"/>
          </w:tcPr>
          <w:p w14:paraId="21208A5D">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宋体" w:hAnsi="宋体" w:eastAsia="宋体" w:cs="宋体"/>
                <w:b w:val="0"/>
                <w:bCs w:val="0"/>
                <w:sz w:val="21"/>
                <w:highlight w:val="none"/>
                <w:lang w:val="en-US" w:eastAsia="zh-CN"/>
              </w:rPr>
            </w:pPr>
          </w:p>
        </w:tc>
      </w:tr>
      <w:tr w14:paraId="239BEE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continue"/>
            <w:vAlign w:val="center"/>
          </w:tcPr>
          <w:p w14:paraId="3303357E">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3467EBD6">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continue"/>
            <w:tcBorders>
              <w:top w:val="nil"/>
            </w:tcBorders>
            <w:vAlign w:val="center"/>
          </w:tcPr>
          <w:p w14:paraId="018E5FFD">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1727" w:type="pct"/>
            <w:vAlign w:val="center"/>
          </w:tcPr>
          <w:p w14:paraId="1BA197E5">
            <w:pPr>
              <w:pStyle w:val="23"/>
              <w:keepNext w:val="0"/>
              <w:keepLines w:val="0"/>
              <w:pageBreakBefore w:val="0"/>
              <w:widowControl w:val="0"/>
              <w:suppressLineNumbers w:val="0"/>
              <w:wordWrap/>
              <w:overflowPunct/>
              <w:topLinePunct w:val="0"/>
              <w:autoSpaceDE w:val="0"/>
              <w:autoSpaceDN w:val="0"/>
              <w:bidi w:val="0"/>
              <w:spacing w:before="68" w:line="240" w:lineRule="auto"/>
              <w:ind w:left="110" w:right="105" w:hanging="2"/>
              <w:rPr>
                <w:b w:val="0"/>
                <w:bCs w:val="0"/>
                <w:highlight w:val="none"/>
              </w:rPr>
            </w:pPr>
            <w:r>
              <w:rPr>
                <w:b w:val="0"/>
                <w:bCs w:val="0"/>
                <w:spacing w:val="-2"/>
                <w:highlight w:val="none"/>
              </w:rPr>
              <w:t>b)应采取防止火灾在两座建筑间蔓延的措施；采用A</w:t>
            </w:r>
            <w:r>
              <w:rPr>
                <w:b w:val="0"/>
                <w:bCs w:val="0"/>
                <w:spacing w:val="-29"/>
                <w:highlight w:val="none"/>
              </w:rPr>
              <w:t xml:space="preserve"> </w:t>
            </w:r>
            <w:r>
              <w:rPr>
                <w:b w:val="0"/>
                <w:bCs w:val="0"/>
                <w:spacing w:val="-2"/>
                <w:highlight w:val="none"/>
              </w:rPr>
              <w:t>级不燃材料装修。</w:t>
            </w:r>
          </w:p>
        </w:tc>
        <w:tc>
          <w:tcPr>
            <w:tcW w:w="1178" w:type="pct"/>
            <w:vAlign w:val="center"/>
          </w:tcPr>
          <w:p w14:paraId="7A50EA0E">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2 分。</w:t>
            </w:r>
          </w:p>
        </w:tc>
        <w:tc>
          <w:tcPr>
            <w:tcW w:w="366" w:type="pct"/>
            <w:vAlign w:val="center"/>
          </w:tcPr>
          <w:p w14:paraId="189187C6">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jc w:val="center"/>
              <w:rPr>
                <w:rFonts w:hint="default" w:ascii="Arial" w:eastAsia="宋体"/>
                <w:b w:val="0"/>
                <w:bCs w:val="0"/>
                <w:sz w:val="21"/>
                <w:highlight w:val="none"/>
                <w:lang w:val="en-US" w:eastAsia="zh-CN"/>
              </w:rPr>
            </w:pPr>
          </w:p>
        </w:tc>
        <w:tc>
          <w:tcPr>
            <w:tcW w:w="339" w:type="pct"/>
            <w:vAlign w:val="center"/>
          </w:tcPr>
          <w:p w14:paraId="30BF6A3D">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宋体" w:hAnsi="宋体" w:eastAsia="宋体" w:cs="宋体"/>
                <w:b w:val="0"/>
                <w:bCs w:val="0"/>
                <w:sz w:val="21"/>
                <w:highlight w:val="none"/>
              </w:rPr>
            </w:pPr>
          </w:p>
        </w:tc>
        <w:tc>
          <w:tcPr>
            <w:tcW w:w="330" w:type="pct"/>
            <w:vMerge w:val="continue"/>
            <w:tcBorders>
              <w:top w:val="nil"/>
            </w:tcBorders>
            <w:vAlign w:val="center"/>
          </w:tcPr>
          <w:p w14:paraId="7407184A">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宋体" w:hAnsi="宋体" w:eastAsia="宋体" w:cs="宋体"/>
                <w:b w:val="0"/>
                <w:bCs w:val="0"/>
                <w:sz w:val="21"/>
                <w:highlight w:val="none"/>
              </w:rPr>
            </w:pPr>
          </w:p>
        </w:tc>
      </w:tr>
      <w:tr w14:paraId="6B7CAA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jc w:val="center"/>
        </w:trPr>
        <w:tc>
          <w:tcPr>
            <w:tcW w:w="197" w:type="pct"/>
            <w:vMerge w:val="continue"/>
            <w:vAlign w:val="center"/>
          </w:tcPr>
          <w:p w14:paraId="34C5CD2B">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349DB835">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restart"/>
            <w:tcBorders>
              <w:bottom w:val="nil"/>
            </w:tcBorders>
            <w:vAlign w:val="center"/>
          </w:tcPr>
          <w:p w14:paraId="548D5A1C">
            <w:pPr>
              <w:pStyle w:val="23"/>
              <w:keepNext w:val="0"/>
              <w:keepLines w:val="0"/>
              <w:pageBreakBefore w:val="0"/>
              <w:widowControl w:val="0"/>
              <w:suppressLineNumbers w:val="0"/>
              <w:wordWrap/>
              <w:overflowPunct/>
              <w:topLinePunct w:val="0"/>
              <w:autoSpaceDE w:val="0"/>
              <w:autoSpaceDN w:val="0"/>
              <w:bidi w:val="0"/>
              <w:spacing w:before="58" w:line="240" w:lineRule="auto"/>
              <w:ind w:left="153"/>
              <w:rPr>
                <w:b w:val="0"/>
                <w:bCs w:val="0"/>
                <w:highlight w:val="none"/>
              </w:rPr>
            </w:pPr>
            <w:r>
              <w:rPr>
                <w:b w:val="0"/>
                <w:bCs w:val="0"/>
                <w:spacing w:val="-2"/>
                <w:highlight w:val="none"/>
              </w:rPr>
              <w:t>建筑外保温系统</w:t>
            </w:r>
            <w:r>
              <w:rPr>
                <w:b w:val="0"/>
                <w:bCs w:val="0"/>
                <w:spacing w:val="7"/>
                <w:highlight w:val="none"/>
              </w:rPr>
              <w:t>（6分）</w:t>
            </w:r>
          </w:p>
        </w:tc>
        <w:tc>
          <w:tcPr>
            <w:tcW w:w="1727" w:type="pct"/>
            <w:vAlign w:val="center"/>
          </w:tcPr>
          <w:p w14:paraId="06D143E1">
            <w:pPr>
              <w:pStyle w:val="23"/>
              <w:keepNext w:val="0"/>
              <w:keepLines w:val="0"/>
              <w:pageBreakBefore w:val="0"/>
              <w:widowControl w:val="0"/>
              <w:suppressLineNumbers w:val="0"/>
              <w:wordWrap/>
              <w:overflowPunct/>
              <w:topLinePunct w:val="0"/>
              <w:autoSpaceDE w:val="0"/>
              <w:autoSpaceDN w:val="0"/>
              <w:bidi w:val="0"/>
              <w:spacing w:before="226" w:line="240" w:lineRule="auto"/>
              <w:ind w:left="112"/>
              <w:rPr>
                <w:b w:val="0"/>
                <w:bCs w:val="0"/>
                <w:highlight w:val="none"/>
              </w:rPr>
            </w:pPr>
            <w:r>
              <w:rPr>
                <w:b w:val="0"/>
                <w:bCs w:val="0"/>
                <w:spacing w:val="-2"/>
                <w:highlight w:val="none"/>
              </w:rPr>
              <w:t>a)建筑外墙的外保温系统燃烧性能；</w:t>
            </w:r>
          </w:p>
        </w:tc>
        <w:tc>
          <w:tcPr>
            <w:tcW w:w="1178" w:type="pct"/>
            <w:vAlign w:val="center"/>
          </w:tcPr>
          <w:p w14:paraId="3B347F9A">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72669630">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jc w:val="center"/>
              <w:rPr>
                <w:rFonts w:hint="default" w:eastAsia="宋体"/>
                <w:b w:val="0"/>
                <w:bCs w:val="0"/>
                <w:color w:val="auto"/>
                <w:sz w:val="21"/>
                <w:highlight w:val="none"/>
                <w:lang w:val="en-US" w:eastAsia="zh-CN"/>
              </w:rPr>
            </w:pPr>
          </w:p>
        </w:tc>
        <w:tc>
          <w:tcPr>
            <w:tcW w:w="339" w:type="pct"/>
            <w:vAlign w:val="center"/>
          </w:tcPr>
          <w:p w14:paraId="066195C5">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firstLine="454" w:firstLineChars="0"/>
              <w:rPr>
                <w:rFonts w:hint="eastAsia" w:ascii="宋体" w:hAnsi="宋体" w:eastAsia="宋体" w:cs="宋体"/>
                <w:b w:val="0"/>
                <w:bCs w:val="0"/>
                <w:sz w:val="21"/>
                <w:highlight w:val="none"/>
                <w:lang w:val="en-US" w:eastAsia="zh-CN"/>
              </w:rPr>
            </w:pPr>
          </w:p>
        </w:tc>
        <w:tc>
          <w:tcPr>
            <w:tcW w:w="330" w:type="pct"/>
            <w:vMerge w:val="restart"/>
            <w:tcBorders>
              <w:bottom w:val="nil"/>
            </w:tcBorders>
            <w:vAlign w:val="center"/>
          </w:tcPr>
          <w:p w14:paraId="315B1360">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eastAsia" w:ascii="宋体" w:hAnsi="宋体" w:eastAsia="宋体" w:cs="宋体"/>
                <w:b w:val="0"/>
                <w:bCs w:val="0"/>
                <w:sz w:val="21"/>
                <w:highlight w:val="none"/>
                <w:lang w:val="en-US" w:eastAsia="zh-CN"/>
              </w:rPr>
            </w:pPr>
          </w:p>
        </w:tc>
      </w:tr>
      <w:tr w14:paraId="0BA34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jc w:val="center"/>
        </w:trPr>
        <w:tc>
          <w:tcPr>
            <w:tcW w:w="197" w:type="pct"/>
            <w:vMerge w:val="continue"/>
            <w:vAlign w:val="center"/>
          </w:tcPr>
          <w:p w14:paraId="7ECB1281">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493" w:type="pct"/>
            <w:vMerge w:val="continue"/>
            <w:vAlign w:val="center"/>
          </w:tcPr>
          <w:p w14:paraId="74F2DADC">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366" w:type="pct"/>
            <w:vMerge w:val="continue"/>
            <w:tcBorders>
              <w:top w:val="nil"/>
            </w:tcBorders>
            <w:vAlign w:val="center"/>
          </w:tcPr>
          <w:p w14:paraId="424074B7">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c>
          <w:tcPr>
            <w:tcW w:w="1727" w:type="pct"/>
            <w:vAlign w:val="center"/>
          </w:tcPr>
          <w:p w14:paraId="72A0C048">
            <w:pPr>
              <w:pStyle w:val="23"/>
              <w:keepNext w:val="0"/>
              <w:keepLines w:val="0"/>
              <w:pageBreakBefore w:val="0"/>
              <w:widowControl w:val="0"/>
              <w:suppressLineNumbers w:val="0"/>
              <w:wordWrap/>
              <w:overflowPunct/>
              <w:topLinePunct w:val="0"/>
              <w:autoSpaceDE w:val="0"/>
              <w:autoSpaceDN w:val="0"/>
              <w:bidi w:val="0"/>
              <w:spacing w:before="276" w:line="240" w:lineRule="auto"/>
              <w:ind w:left="108"/>
              <w:rPr>
                <w:b w:val="0"/>
                <w:bCs w:val="0"/>
                <w:highlight w:val="none"/>
              </w:rPr>
            </w:pPr>
            <w:r>
              <w:rPr>
                <w:b w:val="0"/>
                <w:bCs w:val="0"/>
                <w:spacing w:val="-1"/>
                <w:highlight w:val="none"/>
              </w:rPr>
              <w:t>b)屋面保温材料的燃烧性能。</w:t>
            </w:r>
          </w:p>
        </w:tc>
        <w:tc>
          <w:tcPr>
            <w:tcW w:w="1178" w:type="pct"/>
            <w:vAlign w:val="center"/>
          </w:tcPr>
          <w:p w14:paraId="3D759498">
            <w:pPr>
              <w:pStyle w:val="23"/>
              <w:keepNext w:val="0"/>
              <w:keepLines w:val="0"/>
              <w:pageBreakBefore w:val="0"/>
              <w:widowControl w:val="0"/>
              <w:suppressLineNumbers w:val="0"/>
              <w:wordWrap/>
              <w:overflowPunct/>
              <w:topLinePunct w:val="0"/>
              <w:autoSpaceDE w:val="0"/>
              <w:autoSpaceDN w:val="0"/>
              <w:bidi w:val="0"/>
              <w:spacing w:before="67" w:line="240" w:lineRule="auto"/>
              <w:ind w:left="110" w:right="107" w:firstLine="5"/>
              <w:jc w:val="both"/>
              <w:rPr>
                <w:b w:val="0"/>
                <w:bCs w:val="0"/>
                <w:spacing w:val="-3"/>
                <w:highlight w:val="none"/>
              </w:rPr>
            </w:pPr>
            <w:r>
              <w:rPr>
                <w:b w:val="0"/>
                <w:bCs w:val="0"/>
                <w:spacing w:val="-3"/>
                <w:highlight w:val="none"/>
              </w:rPr>
              <w:t>每发现一处不符合要求的扣 1 分，最高扣</w:t>
            </w:r>
            <w:r>
              <w:rPr>
                <w:rFonts w:hint="eastAsia"/>
                <w:b w:val="0"/>
                <w:bCs w:val="0"/>
                <w:spacing w:val="-3"/>
                <w:highlight w:val="none"/>
                <w:lang w:val="en-US" w:eastAsia="zh-CN"/>
              </w:rPr>
              <w:t xml:space="preserve"> </w:t>
            </w:r>
            <w:r>
              <w:rPr>
                <w:b w:val="0"/>
                <w:bCs w:val="0"/>
                <w:spacing w:val="-3"/>
                <w:highlight w:val="none"/>
              </w:rPr>
              <w:t>3 分。</w:t>
            </w:r>
          </w:p>
        </w:tc>
        <w:tc>
          <w:tcPr>
            <w:tcW w:w="366" w:type="pct"/>
            <w:vAlign w:val="center"/>
          </w:tcPr>
          <w:p w14:paraId="48B1C0A2">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jc w:val="left"/>
              <w:rPr>
                <w:rFonts w:hint="default" w:ascii="Arial" w:hAnsi="Arial" w:eastAsia="Arial" w:cs="Arial"/>
                <w:snapToGrid w:val="0"/>
                <w:color w:val="000000"/>
                <w:kern w:val="0"/>
                <w:sz w:val="21"/>
                <w:szCs w:val="21"/>
                <w:highlight w:val="none"/>
                <w:lang w:val="en-US" w:eastAsia="zh-CN"/>
              </w:rPr>
            </w:pPr>
          </w:p>
        </w:tc>
        <w:tc>
          <w:tcPr>
            <w:tcW w:w="339" w:type="pct"/>
            <w:vAlign w:val="center"/>
          </w:tcPr>
          <w:p w14:paraId="061493D8">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firstLine="409" w:firstLineChars="0"/>
              <w:rPr>
                <w:rFonts w:hint="eastAsia" w:ascii="Arial" w:eastAsia="宋体"/>
                <w:b w:val="0"/>
                <w:bCs w:val="0"/>
                <w:sz w:val="21"/>
                <w:highlight w:val="none"/>
                <w:lang w:val="en-US" w:eastAsia="zh-CN"/>
              </w:rPr>
            </w:pPr>
          </w:p>
        </w:tc>
        <w:tc>
          <w:tcPr>
            <w:tcW w:w="330" w:type="pct"/>
            <w:vMerge w:val="continue"/>
            <w:tcBorders>
              <w:top w:val="nil"/>
            </w:tcBorders>
            <w:vAlign w:val="center"/>
          </w:tcPr>
          <w:p w14:paraId="020D91B5">
            <w:pPr>
              <w:keepNext w:val="0"/>
              <w:keepLines w:val="0"/>
              <w:pageBreakBefore w:val="0"/>
              <w:widowControl w:val="0"/>
              <w:suppressLineNumbers w:val="0"/>
              <w:wordWrap/>
              <w:overflowPunct/>
              <w:topLinePunct w:val="0"/>
              <w:autoSpaceDE w:val="0"/>
              <w:autoSpaceDN w:val="0"/>
              <w:bidi w:val="0"/>
              <w:spacing w:before="0" w:beforeAutospacing="0" w:after="0" w:afterAutospacing="0" w:line="240" w:lineRule="auto"/>
              <w:ind w:left="0" w:right="0"/>
              <w:rPr>
                <w:rFonts w:hint="default" w:ascii="Arial"/>
                <w:b w:val="0"/>
                <w:bCs w:val="0"/>
                <w:sz w:val="21"/>
                <w:highlight w:val="none"/>
              </w:rPr>
            </w:pPr>
          </w:p>
        </w:tc>
      </w:tr>
    </w:tbl>
    <w:p w14:paraId="0791E2D2">
      <w:pPr>
        <w:rPr>
          <w:highlight w:val="none"/>
        </w:rPr>
      </w:pPr>
      <w:r>
        <w:rPr>
          <w:highlight w:val="none"/>
        </w:rPr>
        <w:br w:type="page"/>
      </w:r>
    </w:p>
    <w:tbl>
      <w:tblPr>
        <w:tblStyle w:val="24"/>
        <w:tblW w:w="493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1"/>
        <w:gridCol w:w="1465"/>
        <w:gridCol w:w="1088"/>
        <w:gridCol w:w="5138"/>
        <w:gridCol w:w="3503"/>
        <w:gridCol w:w="1088"/>
        <w:gridCol w:w="1004"/>
        <w:gridCol w:w="978"/>
      </w:tblGrid>
      <w:tr w14:paraId="2F2FED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196" w:type="pct"/>
            <w:vAlign w:val="center"/>
          </w:tcPr>
          <w:p w14:paraId="7462DA45">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62DD0219">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7752C7EC">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9" w:type="pct"/>
            <w:vAlign w:val="center"/>
          </w:tcPr>
          <w:p w14:paraId="15FCCA26">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31FA4512">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314D4118">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5C197ECD">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1FE95791">
            <w:pPr>
              <w:pStyle w:val="23"/>
              <w:keepNext w:val="0"/>
              <w:keepLines w:val="0"/>
              <w:suppressLineNumbers w:val="0"/>
              <w:spacing w:before="71" w:line="220" w:lineRule="auto"/>
              <w:ind w:left="295"/>
              <w:rPr>
                <w:highlight w:val="none"/>
              </w:rPr>
            </w:pPr>
            <w:r>
              <w:rPr>
                <w:b/>
                <w:bCs/>
                <w:spacing w:val="-4"/>
                <w:highlight w:val="none"/>
              </w:rPr>
              <w:t>得分</w:t>
            </w:r>
          </w:p>
        </w:tc>
      </w:tr>
      <w:tr w14:paraId="6C7A9B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96" w:type="pct"/>
            <w:vMerge w:val="restart"/>
            <w:vAlign w:val="center"/>
          </w:tcPr>
          <w:p w14:paraId="03011EFC">
            <w:pPr>
              <w:pStyle w:val="23"/>
              <w:keepNext w:val="0"/>
              <w:keepLines w:val="0"/>
              <w:suppressLineNumbers w:val="0"/>
              <w:spacing w:before="59" w:line="181" w:lineRule="auto"/>
              <w:ind w:left="259"/>
              <w:rPr>
                <w:rFonts w:hint="eastAsia" w:eastAsia="宋体"/>
                <w:b w:val="0"/>
                <w:bCs w:val="0"/>
                <w:highlight w:val="none"/>
                <w:lang w:eastAsia="zh-CN"/>
              </w:rPr>
            </w:pPr>
            <w:r>
              <w:rPr>
                <w:rFonts w:hint="eastAsia"/>
                <w:b w:val="0"/>
                <w:bCs w:val="0"/>
                <w:spacing w:val="-2"/>
                <w:highlight w:val="none"/>
                <w:lang w:val="en-US" w:eastAsia="zh-CN"/>
              </w:rPr>
              <w:t>6</w:t>
            </w:r>
          </w:p>
        </w:tc>
        <w:tc>
          <w:tcPr>
            <w:tcW w:w="493" w:type="pct"/>
            <w:vMerge w:val="restart"/>
            <w:vAlign w:val="center"/>
          </w:tcPr>
          <w:p w14:paraId="6A8DF8C5">
            <w:pPr>
              <w:pStyle w:val="23"/>
              <w:keepNext w:val="0"/>
              <w:keepLines w:val="0"/>
              <w:suppressLineNumbers w:val="0"/>
              <w:spacing w:before="58" w:line="220" w:lineRule="auto"/>
              <w:ind w:left="110"/>
              <w:rPr>
                <w:b w:val="0"/>
                <w:bCs w:val="0"/>
                <w:highlight w:val="none"/>
              </w:rPr>
            </w:pPr>
            <w:r>
              <w:rPr>
                <w:b w:val="0"/>
                <w:bCs w:val="0"/>
                <w:spacing w:val="-11"/>
                <w:highlight w:val="none"/>
              </w:rPr>
              <w:t>供暖、通风</w:t>
            </w:r>
            <w:r>
              <w:rPr>
                <w:b w:val="0"/>
                <w:bCs w:val="0"/>
                <w:spacing w:val="-2"/>
                <w:highlight w:val="none"/>
              </w:rPr>
              <w:t>和空调系</w:t>
            </w:r>
            <w:r>
              <w:rPr>
                <w:b w:val="0"/>
                <w:bCs w:val="0"/>
                <w:highlight w:val="none"/>
              </w:rPr>
              <w:t>统</w:t>
            </w: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6" w:type="pct"/>
            <w:vMerge w:val="restart"/>
            <w:tcBorders>
              <w:bottom w:val="nil"/>
            </w:tcBorders>
            <w:vAlign w:val="center"/>
          </w:tcPr>
          <w:p w14:paraId="79F10A45">
            <w:pPr>
              <w:pStyle w:val="23"/>
              <w:keepNext w:val="0"/>
              <w:keepLines w:val="0"/>
              <w:suppressLineNumbers w:val="0"/>
              <w:spacing w:before="68" w:line="282" w:lineRule="auto"/>
              <w:ind w:left="113" w:right="107" w:hanging="5"/>
              <w:rPr>
                <w:b w:val="0"/>
                <w:bCs w:val="0"/>
                <w:spacing w:val="-3"/>
                <w:highlight w:val="none"/>
              </w:rPr>
            </w:pPr>
            <w:r>
              <w:rPr>
                <w:b w:val="0"/>
                <w:bCs w:val="0"/>
                <w:spacing w:val="-3"/>
                <w:highlight w:val="none"/>
              </w:rPr>
              <w:t>防爆措施(6 分)</w:t>
            </w:r>
          </w:p>
        </w:tc>
        <w:tc>
          <w:tcPr>
            <w:tcW w:w="1729" w:type="pct"/>
            <w:vAlign w:val="center"/>
          </w:tcPr>
          <w:p w14:paraId="30E30D2B">
            <w:pPr>
              <w:pStyle w:val="23"/>
              <w:keepNext w:val="0"/>
              <w:keepLines w:val="0"/>
              <w:suppressLineNumbers w:val="0"/>
              <w:spacing w:before="71" w:line="282" w:lineRule="auto"/>
              <w:ind w:left="115" w:right="107" w:hanging="3"/>
              <w:rPr>
                <w:b w:val="0"/>
                <w:bCs w:val="0"/>
                <w:highlight w:val="none"/>
              </w:rPr>
            </w:pPr>
            <w:r>
              <w:rPr>
                <w:b w:val="0"/>
                <w:bCs w:val="0"/>
                <w:highlight w:val="none"/>
              </w:rPr>
              <w:t>a)排除有燃烧或爆炸危险性气体、蒸气或粉尘的排风系</w:t>
            </w:r>
            <w:r>
              <w:rPr>
                <w:b w:val="0"/>
                <w:bCs w:val="0"/>
                <w:spacing w:val="-1"/>
                <w:highlight w:val="none"/>
              </w:rPr>
              <w:t>统应设置导除静电的接地装置；</w:t>
            </w:r>
          </w:p>
        </w:tc>
        <w:tc>
          <w:tcPr>
            <w:tcW w:w="1179" w:type="pct"/>
            <w:vAlign w:val="center"/>
          </w:tcPr>
          <w:p w14:paraId="2CFE989C">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分，最高扣2 分。</w:t>
            </w:r>
          </w:p>
        </w:tc>
        <w:tc>
          <w:tcPr>
            <w:tcW w:w="366" w:type="pct"/>
            <w:vAlign w:val="center"/>
          </w:tcPr>
          <w:p w14:paraId="629E4881">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4D808764">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Merge w:val="restart"/>
            <w:tcBorders>
              <w:bottom w:val="nil"/>
            </w:tcBorders>
            <w:vAlign w:val="center"/>
          </w:tcPr>
          <w:p w14:paraId="2B22CFCC">
            <w:pPr>
              <w:keepNext w:val="0"/>
              <w:keepLines w:val="0"/>
              <w:suppressLineNumbers w:val="0"/>
              <w:spacing w:before="0" w:beforeAutospacing="0" w:after="0" w:afterAutospacing="0"/>
              <w:ind w:left="0" w:right="0"/>
              <w:rPr>
                <w:rFonts w:hint="default" w:ascii="Arial"/>
                <w:b w:val="0"/>
                <w:bCs w:val="0"/>
                <w:sz w:val="21"/>
                <w:highlight w:val="none"/>
              </w:rPr>
            </w:pPr>
          </w:p>
        </w:tc>
      </w:tr>
      <w:tr w14:paraId="133336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96" w:type="pct"/>
            <w:vMerge w:val="continue"/>
            <w:vAlign w:val="center"/>
          </w:tcPr>
          <w:p w14:paraId="52EE212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306431AA">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bottom w:val="nil"/>
            </w:tcBorders>
            <w:vAlign w:val="center"/>
          </w:tcPr>
          <w:p w14:paraId="56BF4EAB">
            <w:pPr>
              <w:pStyle w:val="23"/>
              <w:keepNext w:val="0"/>
              <w:keepLines w:val="0"/>
              <w:suppressLineNumbers w:val="0"/>
              <w:spacing w:before="68" w:line="282" w:lineRule="auto"/>
              <w:ind w:left="113" w:right="107" w:hanging="5"/>
              <w:rPr>
                <w:b w:val="0"/>
                <w:bCs w:val="0"/>
                <w:spacing w:val="-3"/>
                <w:highlight w:val="none"/>
              </w:rPr>
            </w:pPr>
          </w:p>
        </w:tc>
        <w:tc>
          <w:tcPr>
            <w:tcW w:w="1729" w:type="pct"/>
            <w:vAlign w:val="center"/>
          </w:tcPr>
          <w:p w14:paraId="4D5972BD">
            <w:pPr>
              <w:pStyle w:val="23"/>
              <w:keepNext w:val="0"/>
              <w:keepLines w:val="0"/>
              <w:suppressLineNumbers w:val="0"/>
              <w:spacing w:before="68" w:line="282" w:lineRule="auto"/>
              <w:ind w:left="113" w:right="107" w:hanging="5"/>
              <w:rPr>
                <w:b w:val="0"/>
                <w:bCs w:val="0"/>
                <w:highlight w:val="none"/>
              </w:rPr>
            </w:pPr>
            <w:r>
              <w:rPr>
                <w:b w:val="0"/>
                <w:bCs w:val="0"/>
                <w:spacing w:val="-3"/>
                <w:highlight w:val="none"/>
              </w:rPr>
              <w:t>b)排除有燃烧或爆炸危险性气体、蒸气或粉尘的排</w:t>
            </w:r>
            <w:r>
              <w:rPr>
                <w:b w:val="0"/>
                <w:bCs w:val="0"/>
                <w:spacing w:val="-4"/>
                <w:highlight w:val="none"/>
              </w:rPr>
              <w:t>风系统</w:t>
            </w:r>
            <w:r>
              <w:rPr>
                <w:b w:val="0"/>
                <w:bCs w:val="0"/>
                <w:spacing w:val="-2"/>
                <w:highlight w:val="none"/>
              </w:rPr>
              <w:t>不应布置在地下或半地下建筑（室）内；</w:t>
            </w:r>
          </w:p>
        </w:tc>
        <w:tc>
          <w:tcPr>
            <w:tcW w:w="1179" w:type="pct"/>
            <w:vAlign w:val="center"/>
          </w:tcPr>
          <w:p w14:paraId="5B4C8706">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分，最高扣2 分。</w:t>
            </w:r>
          </w:p>
        </w:tc>
        <w:tc>
          <w:tcPr>
            <w:tcW w:w="366" w:type="pct"/>
            <w:vAlign w:val="center"/>
          </w:tcPr>
          <w:p w14:paraId="5EBD8976">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647931F2">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Merge w:val="continue"/>
            <w:tcBorders>
              <w:top w:val="nil"/>
              <w:bottom w:val="nil"/>
            </w:tcBorders>
            <w:vAlign w:val="center"/>
          </w:tcPr>
          <w:p w14:paraId="32D04AD7">
            <w:pPr>
              <w:keepNext w:val="0"/>
              <w:keepLines w:val="0"/>
              <w:suppressLineNumbers w:val="0"/>
              <w:spacing w:before="0" w:beforeAutospacing="0" w:after="0" w:afterAutospacing="0"/>
              <w:ind w:left="0" w:right="0"/>
              <w:rPr>
                <w:rFonts w:hint="default" w:ascii="Arial"/>
                <w:b w:val="0"/>
                <w:bCs w:val="0"/>
                <w:sz w:val="21"/>
                <w:highlight w:val="none"/>
              </w:rPr>
            </w:pPr>
          </w:p>
        </w:tc>
      </w:tr>
      <w:tr w14:paraId="1E3D9A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jc w:val="center"/>
        </w:trPr>
        <w:tc>
          <w:tcPr>
            <w:tcW w:w="196" w:type="pct"/>
            <w:vMerge w:val="continue"/>
            <w:vAlign w:val="center"/>
          </w:tcPr>
          <w:p w14:paraId="7C26CD5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768CDAD9">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4222A691">
            <w:pPr>
              <w:pStyle w:val="23"/>
              <w:keepNext w:val="0"/>
              <w:keepLines w:val="0"/>
              <w:suppressLineNumbers w:val="0"/>
              <w:spacing w:before="68" w:line="282" w:lineRule="auto"/>
              <w:ind w:left="113" w:right="107" w:hanging="5"/>
              <w:rPr>
                <w:b w:val="0"/>
                <w:bCs w:val="0"/>
                <w:spacing w:val="-3"/>
                <w:highlight w:val="none"/>
              </w:rPr>
            </w:pPr>
          </w:p>
        </w:tc>
        <w:tc>
          <w:tcPr>
            <w:tcW w:w="1729" w:type="pct"/>
            <w:vAlign w:val="center"/>
          </w:tcPr>
          <w:p w14:paraId="6AB4D69A">
            <w:pPr>
              <w:pStyle w:val="23"/>
              <w:keepNext w:val="0"/>
              <w:keepLines w:val="0"/>
              <w:suppressLineNumbers w:val="0"/>
              <w:spacing w:before="70" w:line="294" w:lineRule="auto"/>
              <w:ind w:left="110" w:right="107" w:firstLine="4"/>
              <w:jc w:val="both"/>
              <w:rPr>
                <w:b w:val="0"/>
                <w:bCs w:val="0"/>
                <w:highlight w:val="none"/>
              </w:rPr>
            </w:pPr>
            <w:r>
              <w:rPr>
                <w:b w:val="0"/>
                <w:bCs w:val="0"/>
                <w:spacing w:val="-4"/>
                <w:highlight w:val="none"/>
              </w:rPr>
              <w:t>c)排除有燃烧或爆炸危险性气体、蒸气或粉尘的排风系统</w:t>
            </w:r>
            <w:r>
              <w:rPr>
                <w:b w:val="0"/>
                <w:bCs w:val="0"/>
                <w:spacing w:val="-3"/>
                <w:highlight w:val="none"/>
              </w:rPr>
              <w:t>排风管道应具有不易积聚静电的性能，所</w:t>
            </w:r>
            <w:r>
              <w:rPr>
                <w:rFonts w:hint="eastAsia"/>
                <w:b w:val="0"/>
                <w:bCs w:val="0"/>
                <w:spacing w:val="-3"/>
                <w:highlight w:val="none"/>
                <w:lang w:eastAsia="zh-CN"/>
              </w:rPr>
              <w:t>排出</w:t>
            </w:r>
            <w:r>
              <w:rPr>
                <w:b w:val="0"/>
                <w:bCs w:val="0"/>
                <w:spacing w:val="-4"/>
                <w:highlight w:val="none"/>
              </w:rPr>
              <w:t>的空气应直</w:t>
            </w:r>
            <w:r>
              <w:rPr>
                <w:b w:val="0"/>
                <w:bCs w:val="0"/>
                <w:spacing w:val="-1"/>
                <w:highlight w:val="none"/>
              </w:rPr>
              <w:t>接通向室外安全地点。</w:t>
            </w:r>
          </w:p>
        </w:tc>
        <w:tc>
          <w:tcPr>
            <w:tcW w:w="1179" w:type="pct"/>
            <w:vAlign w:val="center"/>
          </w:tcPr>
          <w:p w14:paraId="0755BED8">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分，最高扣2 分。</w:t>
            </w:r>
          </w:p>
        </w:tc>
        <w:tc>
          <w:tcPr>
            <w:tcW w:w="366" w:type="pct"/>
            <w:vAlign w:val="center"/>
          </w:tcPr>
          <w:p w14:paraId="6A16965E">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717E6E33">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Merge w:val="continue"/>
            <w:tcBorders>
              <w:top w:val="nil"/>
            </w:tcBorders>
            <w:vAlign w:val="center"/>
          </w:tcPr>
          <w:p w14:paraId="6826EF5F">
            <w:pPr>
              <w:keepNext w:val="0"/>
              <w:keepLines w:val="0"/>
              <w:suppressLineNumbers w:val="0"/>
              <w:spacing w:before="0" w:beforeAutospacing="0" w:after="0" w:afterAutospacing="0"/>
              <w:ind w:left="0" w:right="0"/>
              <w:rPr>
                <w:rFonts w:hint="default" w:ascii="Arial"/>
                <w:b w:val="0"/>
                <w:bCs w:val="0"/>
                <w:sz w:val="21"/>
                <w:highlight w:val="none"/>
              </w:rPr>
            </w:pPr>
          </w:p>
        </w:tc>
      </w:tr>
      <w:tr w14:paraId="79E60E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96" w:type="pct"/>
            <w:vMerge w:val="continue"/>
            <w:vAlign w:val="center"/>
          </w:tcPr>
          <w:p w14:paraId="2D23692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7807FE59">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restart"/>
            <w:tcBorders>
              <w:bottom w:val="nil"/>
            </w:tcBorders>
            <w:vAlign w:val="center"/>
          </w:tcPr>
          <w:p w14:paraId="25A3042A">
            <w:pPr>
              <w:pStyle w:val="23"/>
              <w:keepNext w:val="0"/>
              <w:keepLines w:val="0"/>
              <w:suppressLineNumbers w:val="0"/>
              <w:spacing w:before="68" w:line="282" w:lineRule="auto"/>
              <w:ind w:left="113" w:right="107" w:hanging="5"/>
              <w:rPr>
                <w:b w:val="0"/>
                <w:bCs w:val="0"/>
                <w:spacing w:val="-3"/>
                <w:highlight w:val="none"/>
              </w:rPr>
            </w:pPr>
            <w:r>
              <w:rPr>
                <w:b w:val="0"/>
                <w:bCs w:val="0"/>
                <w:spacing w:val="-3"/>
                <w:highlight w:val="none"/>
              </w:rPr>
              <w:t>分隔措施（6 分）</w:t>
            </w:r>
          </w:p>
        </w:tc>
        <w:tc>
          <w:tcPr>
            <w:tcW w:w="1729" w:type="pct"/>
            <w:vAlign w:val="center"/>
          </w:tcPr>
          <w:p w14:paraId="7176CB81">
            <w:pPr>
              <w:pStyle w:val="23"/>
              <w:keepNext w:val="0"/>
              <w:keepLines w:val="0"/>
              <w:suppressLineNumbers w:val="0"/>
              <w:spacing w:before="225" w:line="220" w:lineRule="auto"/>
              <w:ind w:left="112"/>
              <w:rPr>
                <w:b w:val="0"/>
                <w:bCs w:val="0"/>
                <w:highlight w:val="none"/>
              </w:rPr>
            </w:pPr>
            <w:r>
              <w:rPr>
                <w:b w:val="0"/>
                <w:bCs w:val="0"/>
                <w:spacing w:val="-1"/>
                <w:highlight w:val="none"/>
              </w:rPr>
              <w:t>a)通风、空调系统的防火阀设置；</w:t>
            </w:r>
          </w:p>
        </w:tc>
        <w:tc>
          <w:tcPr>
            <w:tcW w:w="1179" w:type="pct"/>
            <w:vAlign w:val="center"/>
          </w:tcPr>
          <w:p w14:paraId="43FC3A66">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分，最高扣3 分。</w:t>
            </w:r>
          </w:p>
        </w:tc>
        <w:tc>
          <w:tcPr>
            <w:tcW w:w="366" w:type="pct"/>
            <w:vAlign w:val="center"/>
          </w:tcPr>
          <w:p w14:paraId="766C05E3">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1C9E8B8E">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Merge w:val="restart"/>
            <w:tcBorders>
              <w:bottom w:val="nil"/>
            </w:tcBorders>
            <w:vAlign w:val="center"/>
          </w:tcPr>
          <w:p w14:paraId="4B13BAC8">
            <w:pPr>
              <w:keepNext w:val="0"/>
              <w:keepLines w:val="0"/>
              <w:suppressLineNumbers w:val="0"/>
              <w:spacing w:before="0" w:beforeAutospacing="0" w:after="0" w:afterAutospacing="0"/>
              <w:ind w:left="0" w:right="0"/>
              <w:rPr>
                <w:rFonts w:hint="default" w:ascii="Arial"/>
                <w:b w:val="0"/>
                <w:bCs w:val="0"/>
                <w:sz w:val="21"/>
                <w:highlight w:val="none"/>
              </w:rPr>
            </w:pPr>
          </w:p>
        </w:tc>
      </w:tr>
      <w:tr w14:paraId="22623A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96" w:type="pct"/>
            <w:vMerge w:val="continue"/>
            <w:vAlign w:val="center"/>
          </w:tcPr>
          <w:p w14:paraId="0FCF74CB">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7D7C98EE">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Merge w:val="continue"/>
            <w:tcBorders>
              <w:top w:val="nil"/>
            </w:tcBorders>
            <w:vAlign w:val="center"/>
          </w:tcPr>
          <w:p w14:paraId="1F3E0799">
            <w:pPr>
              <w:keepNext w:val="0"/>
              <w:keepLines w:val="0"/>
              <w:suppressLineNumbers w:val="0"/>
              <w:spacing w:before="0" w:beforeAutospacing="0" w:after="0" w:afterAutospacing="0"/>
              <w:ind w:left="0" w:right="0"/>
              <w:rPr>
                <w:rFonts w:hint="default" w:ascii="Arial"/>
                <w:b w:val="0"/>
                <w:bCs w:val="0"/>
                <w:sz w:val="21"/>
                <w:highlight w:val="none"/>
              </w:rPr>
            </w:pPr>
          </w:p>
        </w:tc>
        <w:tc>
          <w:tcPr>
            <w:tcW w:w="1729" w:type="pct"/>
            <w:vAlign w:val="center"/>
          </w:tcPr>
          <w:p w14:paraId="59285C9E">
            <w:pPr>
              <w:pStyle w:val="23"/>
              <w:keepNext w:val="0"/>
              <w:keepLines w:val="0"/>
              <w:suppressLineNumbers w:val="0"/>
              <w:spacing w:before="225" w:line="220" w:lineRule="auto"/>
              <w:ind w:left="108"/>
              <w:rPr>
                <w:b w:val="0"/>
                <w:bCs w:val="0"/>
                <w:highlight w:val="none"/>
              </w:rPr>
            </w:pPr>
            <w:r>
              <w:rPr>
                <w:b w:val="0"/>
                <w:bCs w:val="0"/>
                <w:spacing w:val="-1"/>
                <w:highlight w:val="none"/>
              </w:rPr>
              <w:t>b)通风机房的防火分隔、防火门设置。</w:t>
            </w:r>
          </w:p>
        </w:tc>
        <w:tc>
          <w:tcPr>
            <w:tcW w:w="1179" w:type="pct"/>
            <w:vAlign w:val="center"/>
          </w:tcPr>
          <w:p w14:paraId="688243F0">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分，最高扣3 分。</w:t>
            </w:r>
          </w:p>
        </w:tc>
        <w:tc>
          <w:tcPr>
            <w:tcW w:w="366" w:type="pct"/>
            <w:vAlign w:val="center"/>
          </w:tcPr>
          <w:p w14:paraId="3BF24E0D">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063663A7">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Merge w:val="continue"/>
            <w:tcBorders>
              <w:top w:val="nil"/>
            </w:tcBorders>
            <w:vAlign w:val="center"/>
          </w:tcPr>
          <w:p w14:paraId="6CA95FBB">
            <w:pPr>
              <w:keepNext w:val="0"/>
              <w:keepLines w:val="0"/>
              <w:suppressLineNumbers w:val="0"/>
              <w:spacing w:before="0" w:beforeAutospacing="0" w:after="0" w:afterAutospacing="0"/>
              <w:ind w:left="0" w:right="0"/>
              <w:rPr>
                <w:rFonts w:hint="default" w:ascii="Arial"/>
                <w:b w:val="0"/>
                <w:bCs w:val="0"/>
                <w:sz w:val="21"/>
                <w:highlight w:val="none"/>
              </w:rPr>
            </w:pPr>
          </w:p>
        </w:tc>
      </w:tr>
      <w:tr w14:paraId="548F8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96" w:type="pct"/>
            <w:vMerge w:val="continue"/>
            <w:vAlign w:val="center"/>
          </w:tcPr>
          <w:p w14:paraId="39330FA7">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326810B7">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24304CBD">
            <w:pPr>
              <w:pStyle w:val="23"/>
              <w:keepNext w:val="0"/>
              <w:keepLines w:val="0"/>
              <w:suppressLineNumbers w:val="0"/>
              <w:spacing w:before="71" w:line="284" w:lineRule="auto"/>
              <w:ind w:left="114" w:right="104" w:hanging="2"/>
              <w:rPr>
                <w:b w:val="0"/>
                <w:bCs w:val="0"/>
                <w:highlight w:val="none"/>
              </w:rPr>
            </w:pPr>
          </w:p>
        </w:tc>
        <w:tc>
          <w:tcPr>
            <w:tcW w:w="1729" w:type="pct"/>
            <w:vAlign w:val="center"/>
          </w:tcPr>
          <w:p w14:paraId="4DD087AC">
            <w:pPr>
              <w:pStyle w:val="23"/>
              <w:keepNext w:val="0"/>
              <w:keepLines w:val="0"/>
              <w:suppressLineNumbers w:val="0"/>
              <w:spacing w:before="71" w:line="284" w:lineRule="auto"/>
              <w:ind w:left="118" w:right="107" w:hanging="6"/>
              <w:rPr>
                <w:b w:val="0"/>
                <w:bCs w:val="0"/>
                <w:strike/>
                <w:highlight w:val="none"/>
                <w:shd w:val="clear" w:color="FFFFFF" w:fill="D9D9D9"/>
              </w:rPr>
            </w:pPr>
            <w:r>
              <w:rPr>
                <w:b w:val="0"/>
                <w:bCs w:val="0"/>
                <w:strike/>
                <w:spacing w:val="-3"/>
                <w:highlight w:val="none"/>
                <w:shd w:val="clear" w:color="FFFFFF" w:fill="D9D9D9"/>
              </w:rPr>
              <w:t>a)甲、乙类厂房（仓库）内严禁采用明火</w:t>
            </w:r>
            <w:r>
              <w:rPr>
                <w:b w:val="0"/>
                <w:bCs w:val="0"/>
                <w:strike/>
                <w:spacing w:val="-4"/>
                <w:highlight w:val="none"/>
                <w:shd w:val="clear" w:color="FFFFFF" w:fill="D9D9D9"/>
              </w:rPr>
              <w:t>和电热散热器供</w:t>
            </w:r>
            <w:r>
              <w:rPr>
                <w:b w:val="0"/>
                <w:bCs w:val="0"/>
                <w:strike/>
                <w:spacing w:val="-8"/>
                <w:highlight w:val="none"/>
                <w:shd w:val="clear" w:color="FFFFFF" w:fill="D9D9D9"/>
              </w:rPr>
              <w:t>暖；</w:t>
            </w:r>
          </w:p>
        </w:tc>
        <w:tc>
          <w:tcPr>
            <w:tcW w:w="1179" w:type="pct"/>
            <w:vAlign w:val="center"/>
          </w:tcPr>
          <w:p w14:paraId="4A5A27F4">
            <w:pPr>
              <w:pStyle w:val="23"/>
              <w:keepNext w:val="0"/>
              <w:keepLines w:val="0"/>
              <w:suppressLineNumbers w:val="0"/>
              <w:spacing w:before="67" w:line="295" w:lineRule="auto"/>
              <w:ind w:left="110" w:right="107" w:firstLine="5"/>
              <w:jc w:val="both"/>
              <w:rPr>
                <w:b w:val="0"/>
                <w:bCs w:val="0"/>
                <w:strike/>
                <w:spacing w:val="-3"/>
                <w:highlight w:val="none"/>
                <w:shd w:val="clear" w:color="FFFFFF" w:fill="D9D9D9"/>
              </w:rPr>
            </w:pPr>
            <w:r>
              <w:rPr>
                <w:b w:val="0"/>
                <w:bCs w:val="0"/>
                <w:strike/>
                <w:spacing w:val="-3"/>
                <w:highlight w:val="none"/>
                <w:shd w:val="clear" w:color="FFFFFF" w:fill="D9D9D9"/>
              </w:rPr>
              <w:t>每发现一处不符合要求的扣 1 分，最高扣2 分。</w:t>
            </w:r>
          </w:p>
        </w:tc>
        <w:tc>
          <w:tcPr>
            <w:tcW w:w="366" w:type="pct"/>
            <w:vAlign w:val="center"/>
          </w:tcPr>
          <w:p w14:paraId="7A25256E">
            <w:pPr>
              <w:keepNext w:val="0"/>
              <w:keepLines w:val="0"/>
              <w:suppressLineNumbers w:val="0"/>
              <w:spacing w:before="0" w:beforeAutospacing="0" w:after="0" w:afterAutospacing="0"/>
              <w:ind w:left="0" w:right="0"/>
              <w:jc w:val="center"/>
              <w:rPr>
                <w:rFonts w:hint="default" w:ascii="Arial" w:eastAsia="宋体"/>
                <w:b w:val="0"/>
                <w:bCs w:val="0"/>
                <w:sz w:val="21"/>
                <w:highlight w:val="none"/>
                <w:shd w:val="clear" w:color="FFFFFF" w:fill="D9D9D9"/>
                <w:lang w:val="en-US" w:eastAsia="zh-CN"/>
              </w:rPr>
            </w:pPr>
          </w:p>
        </w:tc>
        <w:tc>
          <w:tcPr>
            <w:tcW w:w="338" w:type="pct"/>
            <w:vAlign w:val="center"/>
          </w:tcPr>
          <w:p w14:paraId="2570415B">
            <w:pPr>
              <w:keepNext w:val="0"/>
              <w:keepLines w:val="0"/>
              <w:suppressLineNumbers w:val="0"/>
              <w:spacing w:before="0" w:beforeAutospacing="0" w:after="0" w:afterAutospacing="0"/>
              <w:ind w:left="0" w:right="0"/>
              <w:rPr>
                <w:rFonts w:hint="default" w:ascii="Arial"/>
                <w:b w:val="0"/>
                <w:bCs w:val="0"/>
                <w:sz w:val="21"/>
                <w:highlight w:val="none"/>
                <w:shd w:val="clear" w:color="FFFFFF" w:fill="D9D9D9"/>
              </w:rPr>
            </w:pPr>
          </w:p>
        </w:tc>
        <w:tc>
          <w:tcPr>
            <w:tcW w:w="329" w:type="pct"/>
            <w:vAlign w:val="center"/>
          </w:tcPr>
          <w:p w14:paraId="51AE1B03">
            <w:pPr>
              <w:keepNext w:val="0"/>
              <w:keepLines w:val="0"/>
              <w:suppressLineNumbers w:val="0"/>
              <w:spacing w:before="0" w:beforeAutospacing="0" w:after="0" w:afterAutospacing="0"/>
              <w:ind w:left="0" w:right="0"/>
              <w:rPr>
                <w:rFonts w:hint="default" w:ascii="Arial"/>
                <w:b w:val="0"/>
                <w:bCs w:val="0"/>
                <w:sz w:val="21"/>
                <w:highlight w:val="none"/>
                <w:shd w:val="clear" w:color="FFFFFF" w:fill="D9D9D9"/>
              </w:rPr>
            </w:pPr>
          </w:p>
        </w:tc>
      </w:tr>
      <w:tr w14:paraId="6940D6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5" w:hRule="atLeast"/>
          <w:jc w:val="center"/>
        </w:trPr>
        <w:tc>
          <w:tcPr>
            <w:tcW w:w="196" w:type="pct"/>
            <w:vMerge w:val="continue"/>
            <w:vAlign w:val="center"/>
          </w:tcPr>
          <w:p w14:paraId="2519C5AE">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67045D3D">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09A24E1D">
            <w:pPr>
              <w:pStyle w:val="23"/>
              <w:keepNext w:val="0"/>
              <w:keepLines w:val="0"/>
              <w:suppressLineNumbers w:val="0"/>
              <w:spacing w:before="68" w:beforeAutospacing="0" w:after="0" w:afterAutospacing="0" w:line="282" w:lineRule="auto"/>
              <w:ind w:left="113" w:right="107" w:hanging="5"/>
              <w:rPr>
                <w:rFonts w:hint="eastAsia" w:ascii="宋体"/>
                <w:b w:val="0"/>
                <w:bCs w:val="0"/>
                <w:spacing w:val="-3"/>
                <w:sz w:val="18"/>
                <w:highlight w:val="none"/>
              </w:rPr>
            </w:pPr>
            <w:r>
              <w:rPr>
                <w:rFonts w:hint="eastAsia" w:ascii="宋体"/>
                <w:b w:val="0"/>
                <w:bCs w:val="0"/>
                <w:spacing w:val="-3"/>
                <w:sz w:val="18"/>
                <w:highlight w:val="none"/>
              </w:rPr>
              <w:t>危险源控制措施（8分）</w:t>
            </w:r>
          </w:p>
        </w:tc>
        <w:tc>
          <w:tcPr>
            <w:tcW w:w="1729" w:type="pct"/>
            <w:vAlign w:val="center"/>
          </w:tcPr>
          <w:p w14:paraId="39CAF446">
            <w:pPr>
              <w:pStyle w:val="23"/>
              <w:keepNext w:val="0"/>
              <w:keepLines w:val="0"/>
              <w:suppressLineNumbers w:val="0"/>
              <w:spacing w:before="68" w:line="282" w:lineRule="auto"/>
              <w:ind w:left="113" w:right="107" w:hanging="5"/>
              <w:jc w:val="left"/>
              <w:rPr>
                <w:b w:val="0"/>
                <w:bCs w:val="0"/>
                <w:spacing w:val="-3"/>
                <w:highlight w:val="none"/>
              </w:rPr>
            </w:pPr>
            <w:r>
              <w:rPr>
                <w:b w:val="0"/>
                <w:bCs w:val="0"/>
                <w:spacing w:val="-3"/>
                <w:highlight w:val="none"/>
              </w:rPr>
              <w:t>b)下列厂房应采用不循环使用的热风供暖：生产过程中散发的可燃气体、蒸气、粉尘或纤维与供暖管道、散热器表面接触能引起燃烧的厂房；生产过程中散发的粉尘受到水、水蒸气的作用能引起自燃、爆炸或产生爆炸性气体的厂房；</w:t>
            </w:r>
          </w:p>
        </w:tc>
        <w:tc>
          <w:tcPr>
            <w:tcW w:w="1179" w:type="pct"/>
            <w:vAlign w:val="center"/>
          </w:tcPr>
          <w:p w14:paraId="3A45A909">
            <w:pPr>
              <w:pStyle w:val="23"/>
              <w:keepNext w:val="0"/>
              <w:keepLines w:val="0"/>
              <w:suppressLineNumbers w:val="0"/>
              <w:spacing w:before="67" w:line="295" w:lineRule="auto"/>
              <w:ind w:left="110" w:right="107" w:firstLine="5"/>
              <w:jc w:val="both"/>
              <w:rPr>
                <w:b w:val="0"/>
                <w:bCs w:val="0"/>
                <w:highlight w:val="none"/>
              </w:rPr>
            </w:pPr>
            <w:r>
              <w:rPr>
                <w:b w:val="0"/>
                <w:bCs w:val="0"/>
                <w:spacing w:val="-3"/>
                <w:highlight w:val="none"/>
              </w:rPr>
              <w:t>每发现一处不符合要求的扣 1 分， 最高扣 3 分。</w:t>
            </w:r>
          </w:p>
        </w:tc>
        <w:tc>
          <w:tcPr>
            <w:tcW w:w="366" w:type="pct"/>
            <w:vAlign w:val="center"/>
          </w:tcPr>
          <w:p w14:paraId="17C97BDE">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0B4897D5">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Merge w:val="restart"/>
            <w:tcBorders>
              <w:bottom w:val="nil"/>
            </w:tcBorders>
            <w:vAlign w:val="center"/>
          </w:tcPr>
          <w:p w14:paraId="2C53344B">
            <w:pPr>
              <w:keepNext w:val="0"/>
              <w:keepLines w:val="0"/>
              <w:suppressLineNumbers w:val="0"/>
              <w:spacing w:before="0" w:beforeAutospacing="0" w:after="0" w:afterAutospacing="0"/>
              <w:ind w:left="0" w:right="0"/>
              <w:rPr>
                <w:rFonts w:hint="default" w:ascii="Arial"/>
                <w:b w:val="0"/>
                <w:bCs w:val="0"/>
                <w:sz w:val="21"/>
                <w:highlight w:val="none"/>
              </w:rPr>
            </w:pPr>
          </w:p>
        </w:tc>
      </w:tr>
      <w:tr w14:paraId="447FA0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jc w:val="center"/>
        </w:trPr>
        <w:tc>
          <w:tcPr>
            <w:tcW w:w="196" w:type="pct"/>
            <w:vMerge w:val="continue"/>
            <w:vAlign w:val="center"/>
          </w:tcPr>
          <w:p w14:paraId="6409169F">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203460DE">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4A285BEB">
            <w:pPr>
              <w:keepNext w:val="0"/>
              <w:keepLines w:val="0"/>
              <w:suppressLineNumbers w:val="0"/>
              <w:spacing w:before="0" w:beforeAutospacing="0" w:after="0" w:afterAutospacing="0"/>
              <w:ind w:left="0" w:right="0"/>
              <w:rPr>
                <w:rFonts w:hint="default" w:ascii="Arial"/>
                <w:b w:val="0"/>
                <w:bCs w:val="0"/>
                <w:sz w:val="21"/>
                <w:highlight w:val="none"/>
              </w:rPr>
            </w:pPr>
          </w:p>
        </w:tc>
        <w:tc>
          <w:tcPr>
            <w:tcW w:w="1729" w:type="pct"/>
            <w:vAlign w:val="center"/>
          </w:tcPr>
          <w:p w14:paraId="07D6E794">
            <w:pPr>
              <w:pStyle w:val="23"/>
              <w:keepNext w:val="0"/>
              <w:keepLines w:val="0"/>
              <w:suppressLineNumbers w:val="0"/>
              <w:spacing w:before="222" w:line="220" w:lineRule="auto"/>
              <w:ind w:left="114"/>
              <w:rPr>
                <w:b w:val="0"/>
                <w:bCs w:val="0"/>
                <w:highlight w:val="none"/>
              </w:rPr>
            </w:pPr>
            <w:r>
              <w:rPr>
                <w:b w:val="0"/>
                <w:bCs w:val="0"/>
                <w:spacing w:val="-1"/>
                <w:highlight w:val="none"/>
              </w:rPr>
              <w:t>c)供暖管道与可燃物的间距。</w:t>
            </w:r>
          </w:p>
        </w:tc>
        <w:tc>
          <w:tcPr>
            <w:tcW w:w="1179" w:type="pct"/>
            <w:vAlign w:val="center"/>
          </w:tcPr>
          <w:p w14:paraId="5A392C8D">
            <w:pPr>
              <w:pStyle w:val="23"/>
              <w:keepNext w:val="0"/>
              <w:keepLines w:val="0"/>
              <w:suppressLineNumbers w:val="0"/>
              <w:spacing w:before="66" w:line="283" w:lineRule="auto"/>
              <w:ind w:left="115" w:right="142" w:hanging="2"/>
              <w:rPr>
                <w:b w:val="0"/>
                <w:bCs w:val="0"/>
                <w:highlight w:val="none"/>
              </w:rPr>
            </w:pPr>
            <w:r>
              <w:rPr>
                <w:b w:val="0"/>
                <w:bCs w:val="0"/>
                <w:spacing w:val="-5"/>
                <w:highlight w:val="none"/>
              </w:rPr>
              <w:t>每发现一处不符合要求的扣 1 分，</w:t>
            </w:r>
            <w:r>
              <w:rPr>
                <w:b w:val="0"/>
                <w:bCs w:val="0"/>
                <w:spacing w:val="6"/>
                <w:highlight w:val="none"/>
              </w:rPr>
              <w:t xml:space="preserve"> </w:t>
            </w:r>
            <w:r>
              <w:rPr>
                <w:b w:val="0"/>
                <w:bCs w:val="0"/>
                <w:spacing w:val="-7"/>
                <w:highlight w:val="none"/>
              </w:rPr>
              <w:t>最高扣</w:t>
            </w:r>
            <w:r>
              <w:rPr>
                <w:b w:val="0"/>
                <w:bCs w:val="0"/>
                <w:spacing w:val="-32"/>
                <w:highlight w:val="none"/>
              </w:rPr>
              <w:t xml:space="preserve"> </w:t>
            </w:r>
            <w:r>
              <w:rPr>
                <w:b w:val="0"/>
                <w:bCs w:val="0"/>
                <w:spacing w:val="-7"/>
                <w:highlight w:val="none"/>
              </w:rPr>
              <w:t>3</w:t>
            </w:r>
            <w:r>
              <w:rPr>
                <w:b w:val="0"/>
                <w:bCs w:val="0"/>
                <w:spacing w:val="-34"/>
                <w:highlight w:val="none"/>
              </w:rPr>
              <w:t xml:space="preserve"> </w:t>
            </w:r>
            <w:r>
              <w:rPr>
                <w:b w:val="0"/>
                <w:bCs w:val="0"/>
                <w:spacing w:val="-7"/>
                <w:highlight w:val="none"/>
              </w:rPr>
              <w:t>分。</w:t>
            </w:r>
          </w:p>
        </w:tc>
        <w:tc>
          <w:tcPr>
            <w:tcW w:w="366" w:type="pct"/>
            <w:vAlign w:val="center"/>
          </w:tcPr>
          <w:p w14:paraId="7D89DE27">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2AD21F51">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Merge w:val="continue"/>
            <w:tcBorders>
              <w:top w:val="nil"/>
            </w:tcBorders>
            <w:vAlign w:val="center"/>
          </w:tcPr>
          <w:p w14:paraId="4BC2E713">
            <w:pPr>
              <w:keepNext w:val="0"/>
              <w:keepLines w:val="0"/>
              <w:suppressLineNumbers w:val="0"/>
              <w:spacing w:before="0" w:beforeAutospacing="0" w:after="0" w:afterAutospacing="0"/>
              <w:ind w:left="0" w:right="0"/>
              <w:rPr>
                <w:rFonts w:hint="default" w:ascii="Arial"/>
                <w:b w:val="0"/>
                <w:bCs w:val="0"/>
                <w:sz w:val="21"/>
                <w:highlight w:val="none"/>
              </w:rPr>
            </w:pPr>
          </w:p>
        </w:tc>
      </w:tr>
      <w:tr w14:paraId="141104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96" w:type="pct"/>
            <w:vMerge w:val="restart"/>
            <w:tcBorders>
              <w:bottom w:val="nil"/>
            </w:tcBorders>
            <w:vAlign w:val="center"/>
          </w:tcPr>
          <w:p w14:paraId="5FA3C294">
            <w:pPr>
              <w:pStyle w:val="23"/>
              <w:keepNext w:val="0"/>
              <w:keepLines w:val="0"/>
              <w:suppressLineNumbers w:val="0"/>
              <w:spacing w:before="59" w:line="181" w:lineRule="auto"/>
              <w:ind w:left="260"/>
              <w:rPr>
                <w:rFonts w:hint="eastAsia" w:eastAsia="宋体"/>
                <w:b w:val="0"/>
                <w:bCs w:val="0"/>
                <w:highlight w:val="none"/>
                <w:lang w:eastAsia="zh-CN"/>
              </w:rPr>
            </w:pPr>
            <w:r>
              <w:rPr>
                <w:rFonts w:hint="eastAsia"/>
                <w:b w:val="0"/>
                <w:bCs w:val="0"/>
                <w:spacing w:val="-2"/>
                <w:highlight w:val="none"/>
                <w:lang w:val="en-US" w:eastAsia="zh-CN"/>
              </w:rPr>
              <w:t>7</w:t>
            </w:r>
          </w:p>
        </w:tc>
        <w:tc>
          <w:tcPr>
            <w:tcW w:w="493" w:type="pct"/>
            <w:vMerge w:val="restart"/>
            <w:tcBorders>
              <w:bottom w:val="nil"/>
            </w:tcBorders>
            <w:vAlign w:val="center"/>
          </w:tcPr>
          <w:p w14:paraId="0D247A59">
            <w:pPr>
              <w:pStyle w:val="23"/>
              <w:keepNext w:val="0"/>
              <w:keepLines w:val="0"/>
              <w:suppressLineNumbers w:val="0"/>
              <w:spacing w:before="59" w:line="307" w:lineRule="auto"/>
              <w:ind w:left="356" w:right="174" w:hanging="177"/>
              <w:rPr>
                <w:b w:val="0"/>
                <w:bCs w:val="0"/>
                <w:highlight w:val="none"/>
              </w:rPr>
            </w:pPr>
            <w:r>
              <w:rPr>
                <w:b w:val="0"/>
                <w:bCs w:val="0"/>
                <w:spacing w:val="-3"/>
                <w:highlight w:val="none"/>
              </w:rPr>
              <w:t>建筑内部</w:t>
            </w:r>
            <w:r>
              <w:rPr>
                <w:b w:val="0"/>
                <w:bCs w:val="0"/>
                <w:spacing w:val="-4"/>
                <w:highlight w:val="none"/>
              </w:rPr>
              <w:t>装修</w:t>
            </w:r>
          </w:p>
          <w:p w14:paraId="3D7A1426">
            <w:pPr>
              <w:pStyle w:val="23"/>
              <w:keepNext w:val="0"/>
              <w:keepLines w:val="0"/>
              <w:suppressLineNumbers w:val="0"/>
              <w:spacing w:before="26" w:line="221" w:lineRule="auto"/>
              <w:ind w:left="158"/>
              <w:rPr>
                <w:b w:val="0"/>
                <w:bCs w:val="0"/>
                <w:highlight w:val="none"/>
              </w:rPr>
            </w:pPr>
            <w:r>
              <w:rPr>
                <w:b w:val="0"/>
                <w:bCs w:val="0"/>
                <w:spacing w:val="-5"/>
                <w:highlight w:val="none"/>
              </w:rPr>
              <w:t>（25</w:t>
            </w:r>
            <w:r>
              <w:rPr>
                <w:b w:val="0"/>
                <w:bCs w:val="0"/>
                <w:spacing w:val="-35"/>
                <w:highlight w:val="none"/>
              </w:rPr>
              <w:t xml:space="preserve"> </w:t>
            </w:r>
            <w:r>
              <w:rPr>
                <w:b w:val="0"/>
                <w:bCs w:val="0"/>
                <w:spacing w:val="-5"/>
                <w:highlight w:val="none"/>
              </w:rPr>
              <w:t>分）</w:t>
            </w:r>
          </w:p>
        </w:tc>
        <w:tc>
          <w:tcPr>
            <w:tcW w:w="366" w:type="pct"/>
            <w:vAlign w:val="center"/>
          </w:tcPr>
          <w:p w14:paraId="54BDFC9A">
            <w:pPr>
              <w:pStyle w:val="23"/>
              <w:keepNext w:val="0"/>
              <w:keepLines w:val="0"/>
              <w:suppressLineNumbers w:val="0"/>
              <w:spacing w:before="223" w:line="220" w:lineRule="auto"/>
              <w:ind w:left="111" w:right="0"/>
              <w:jc w:val="left"/>
              <w:rPr>
                <w:b w:val="0"/>
                <w:bCs w:val="0"/>
                <w:highlight w:val="none"/>
              </w:rPr>
            </w:pPr>
            <w:r>
              <w:rPr>
                <w:b w:val="0"/>
                <w:bCs w:val="0"/>
                <w:spacing w:val="0"/>
                <w:highlight w:val="none"/>
              </w:rPr>
              <w:t>燃烧性能（10 分）</w:t>
            </w:r>
          </w:p>
        </w:tc>
        <w:tc>
          <w:tcPr>
            <w:tcW w:w="1729" w:type="pct"/>
            <w:vAlign w:val="center"/>
          </w:tcPr>
          <w:p w14:paraId="0926AC85">
            <w:pPr>
              <w:pStyle w:val="23"/>
              <w:keepNext w:val="0"/>
              <w:keepLines w:val="0"/>
              <w:suppressLineNumbers w:val="0"/>
              <w:spacing w:before="221" w:line="220" w:lineRule="auto"/>
              <w:ind w:left="111"/>
              <w:rPr>
                <w:b w:val="0"/>
                <w:bCs w:val="0"/>
                <w:highlight w:val="none"/>
              </w:rPr>
            </w:pPr>
            <w:r>
              <w:rPr>
                <w:b w:val="0"/>
                <w:bCs w:val="0"/>
                <w:spacing w:val="-1"/>
                <w:highlight w:val="none"/>
              </w:rPr>
              <w:t>装修材料燃烧性能。</w:t>
            </w:r>
          </w:p>
        </w:tc>
        <w:tc>
          <w:tcPr>
            <w:tcW w:w="1179" w:type="pct"/>
            <w:vAlign w:val="center"/>
          </w:tcPr>
          <w:p w14:paraId="7AF93CCA">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分，最高扣10 分。</w:t>
            </w:r>
          </w:p>
        </w:tc>
        <w:tc>
          <w:tcPr>
            <w:tcW w:w="366" w:type="pct"/>
            <w:vAlign w:val="center"/>
          </w:tcPr>
          <w:p w14:paraId="3FBFFE26">
            <w:pPr>
              <w:pStyle w:val="23"/>
              <w:keepNext w:val="0"/>
              <w:keepLines w:val="0"/>
              <w:suppressLineNumbers w:val="0"/>
              <w:spacing w:before="68" w:line="282" w:lineRule="auto"/>
              <w:ind w:right="101" w:rightChars="0" w:firstLine="541" w:firstLineChars="0"/>
              <w:jc w:val="both"/>
              <w:rPr>
                <w:rFonts w:hint="default" w:eastAsia="宋体"/>
                <w:b w:val="0"/>
                <w:bCs w:val="0"/>
                <w:color w:val="auto"/>
                <w:sz w:val="21"/>
                <w:highlight w:val="none"/>
                <w:lang w:val="en-US" w:eastAsia="zh-CN"/>
              </w:rPr>
            </w:pPr>
          </w:p>
        </w:tc>
        <w:tc>
          <w:tcPr>
            <w:tcW w:w="338" w:type="pct"/>
            <w:vAlign w:val="center"/>
          </w:tcPr>
          <w:p w14:paraId="6F50BEA0">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3A4B4E9C">
            <w:pPr>
              <w:keepNext w:val="0"/>
              <w:keepLines w:val="0"/>
              <w:suppressLineNumbers w:val="0"/>
              <w:spacing w:before="0" w:beforeAutospacing="0" w:after="0" w:afterAutospacing="0"/>
              <w:ind w:left="0" w:right="0"/>
              <w:rPr>
                <w:rFonts w:hint="default" w:ascii="宋体" w:hAnsi="宋体" w:eastAsia="宋体" w:cs="宋体"/>
                <w:b w:val="0"/>
                <w:bCs w:val="0"/>
                <w:sz w:val="21"/>
                <w:highlight w:val="none"/>
                <w:lang w:val="en-US" w:eastAsia="zh-CN"/>
              </w:rPr>
            </w:pPr>
          </w:p>
        </w:tc>
      </w:tr>
      <w:tr w14:paraId="75886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0" w:hRule="atLeast"/>
          <w:jc w:val="center"/>
        </w:trPr>
        <w:tc>
          <w:tcPr>
            <w:tcW w:w="196" w:type="pct"/>
            <w:vMerge w:val="continue"/>
            <w:tcBorders>
              <w:top w:val="nil"/>
              <w:bottom w:val="nil"/>
            </w:tcBorders>
            <w:vAlign w:val="center"/>
          </w:tcPr>
          <w:p w14:paraId="3F22CDEB">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46069F23">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6AE39779">
            <w:pPr>
              <w:pStyle w:val="23"/>
              <w:keepNext w:val="0"/>
              <w:keepLines w:val="0"/>
              <w:suppressLineNumbers w:val="0"/>
              <w:spacing w:before="66" w:line="283" w:lineRule="auto"/>
              <w:ind w:left="112" w:right="104"/>
              <w:rPr>
                <w:b w:val="0"/>
                <w:bCs w:val="0"/>
                <w:highlight w:val="none"/>
              </w:rPr>
            </w:pPr>
            <w:r>
              <w:rPr>
                <w:b w:val="0"/>
                <w:bCs w:val="0"/>
                <w:spacing w:val="10"/>
                <w:highlight w:val="none"/>
              </w:rPr>
              <w:t>分隔、设施及标</w:t>
            </w:r>
            <w:r>
              <w:rPr>
                <w:b w:val="0"/>
                <w:bCs w:val="0"/>
                <w:spacing w:val="7"/>
                <w:highlight w:val="none"/>
              </w:rPr>
              <w:t>识（7分）</w:t>
            </w:r>
          </w:p>
        </w:tc>
        <w:tc>
          <w:tcPr>
            <w:tcW w:w="1729" w:type="pct"/>
            <w:vAlign w:val="center"/>
          </w:tcPr>
          <w:p w14:paraId="7CB9E4C4">
            <w:pPr>
              <w:pStyle w:val="23"/>
              <w:keepNext w:val="0"/>
              <w:keepLines w:val="0"/>
              <w:suppressLineNumbers w:val="0"/>
              <w:spacing w:before="223" w:line="220" w:lineRule="auto"/>
              <w:ind w:left="113"/>
              <w:rPr>
                <w:b w:val="0"/>
                <w:bCs w:val="0"/>
                <w:highlight w:val="none"/>
              </w:rPr>
            </w:pPr>
            <w:r>
              <w:rPr>
                <w:b w:val="0"/>
                <w:bCs w:val="0"/>
                <w:spacing w:val="-1"/>
                <w:highlight w:val="none"/>
              </w:rPr>
              <w:t>建筑内部装修不应影响防火分隔、消防设施及其标识。</w:t>
            </w:r>
          </w:p>
        </w:tc>
        <w:tc>
          <w:tcPr>
            <w:tcW w:w="1179" w:type="pct"/>
            <w:vAlign w:val="center"/>
          </w:tcPr>
          <w:p w14:paraId="038AD21A">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分，最高扣7 分。</w:t>
            </w:r>
          </w:p>
        </w:tc>
        <w:tc>
          <w:tcPr>
            <w:tcW w:w="366" w:type="pct"/>
            <w:vAlign w:val="center"/>
          </w:tcPr>
          <w:p w14:paraId="28037295">
            <w:pPr>
              <w:pStyle w:val="23"/>
              <w:keepNext w:val="0"/>
              <w:keepLines w:val="0"/>
              <w:suppressLineNumbers w:val="0"/>
              <w:spacing w:before="68" w:line="282" w:lineRule="auto"/>
              <w:ind w:right="101" w:rightChars="0"/>
              <w:jc w:val="center"/>
              <w:rPr>
                <w:rFonts w:hint="eastAsia" w:eastAsia="宋体"/>
                <w:b w:val="0"/>
                <w:bCs w:val="0"/>
                <w:color w:val="auto"/>
                <w:sz w:val="21"/>
                <w:highlight w:val="none"/>
                <w:lang w:eastAsia="zh-CN"/>
              </w:rPr>
            </w:pPr>
          </w:p>
        </w:tc>
        <w:tc>
          <w:tcPr>
            <w:tcW w:w="338" w:type="pct"/>
            <w:vAlign w:val="center"/>
          </w:tcPr>
          <w:p w14:paraId="269A6046">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5052DC4A">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67D552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jc w:val="center"/>
        </w:trPr>
        <w:tc>
          <w:tcPr>
            <w:tcW w:w="196" w:type="pct"/>
            <w:vMerge w:val="continue"/>
            <w:tcBorders>
              <w:top w:val="nil"/>
            </w:tcBorders>
            <w:vAlign w:val="center"/>
          </w:tcPr>
          <w:p w14:paraId="546A9CD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50E308CF">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0695DB18">
            <w:pPr>
              <w:pStyle w:val="23"/>
              <w:keepNext w:val="0"/>
              <w:keepLines w:val="0"/>
              <w:suppressLineNumbers w:val="0"/>
              <w:spacing w:before="223" w:line="220" w:lineRule="auto"/>
              <w:ind w:left="111"/>
              <w:rPr>
                <w:b w:val="0"/>
                <w:bCs w:val="0"/>
                <w:highlight w:val="none"/>
              </w:rPr>
            </w:pPr>
            <w:r>
              <w:rPr>
                <w:b w:val="0"/>
                <w:bCs w:val="0"/>
                <w:spacing w:val="-3"/>
                <w:highlight w:val="none"/>
              </w:rPr>
              <w:t>疏散通道（8</w:t>
            </w:r>
            <w:r>
              <w:rPr>
                <w:b w:val="0"/>
                <w:bCs w:val="0"/>
                <w:spacing w:val="-32"/>
                <w:highlight w:val="none"/>
              </w:rPr>
              <w:t xml:space="preserve"> </w:t>
            </w:r>
            <w:r>
              <w:rPr>
                <w:b w:val="0"/>
                <w:bCs w:val="0"/>
                <w:spacing w:val="-3"/>
                <w:highlight w:val="none"/>
              </w:rPr>
              <w:t>分）</w:t>
            </w:r>
          </w:p>
        </w:tc>
        <w:tc>
          <w:tcPr>
            <w:tcW w:w="1729" w:type="pct"/>
            <w:vAlign w:val="center"/>
          </w:tcPr>
          <w:p w14:paraId="08C4B719">
            <w:pPr>
              <w:pStyle w:val="23"/>
              <w:keepNext w:val="0"/>
              <w:keepLines w:val="0"/>
              <w:suppressLineNumbers w:val="0"/>
              <w:spacing w:before="223" w:line="220" w:lineRule="auto"/>
              <w:ind w:left="113"/>
              <w:rPr>
                <w:b w:val="0"/>
                <w:bCs w:val="0"/>
                <w:highlight w:val="none"/>
              </w:rPr>
            </w:pPr>
            <w:r>
              <w:rPr>
                <w:b w:val="0"/>
                <w:bCs w:val="0"/>
                <w:spacing w:val="-1"/>
                <w:highlight w:val="none"/>
              </w:rPr>
              <w:t>建筑内部装修不应影响安全出口、疏散门和疏散走道。</w:t>
            </w:r>
          </w:p>
        </w:tc>
        <w:tc>
          <w:tcPr>
            <w:tcW w:w="1179" w:type="pct"/>
            <w:vAlign w:val="center"/>
          </w:tcPr>
          <w:p w14:paraId="4A3FECF5">
            <w:pPr>
              <w:pStyle w:val="23"/>
              <w:keepNext w:val="0"/>
              <w:keepLines w:val="0"/>
              <w:suppressLineNumbers w:val="0"/>
              <w:spacing w:before="67" w:line="295" w:lineRule="auto"/>
              <w:ind w:left="110" w:right="107" w:firstLine="5"/>
              <w:jc w:val="both"/>
              <w:rPr>
                <w:b w:val="0"/>
                <w:bCs w:val="0"/>
                <w:spacing w:val="-3"/>
                <w:highlight w:val="none"/>
              </w:rPr>
            </w:pPr>
            <w:r>
              <w:rPr>
                <w:b w:val="0"/>
                <w:bCs w:val="0"/>
                <w:spacing w:val="-3"/>
                <w:highlight w:val="none"/>
              </w:rPr>
              <w:t>每发现一处不符合要求的扣 1 分，最高扣8 分。</w:t>
            </w:r>
          </w:p>
        </w:tc>
        <w:tc>
          <w:tcPr>
            <w:tcW w:w="366" w:type="pct"/>
            <w:vAlign w:val="center"/>
          </w:tcPr>
          <w:p w14:paraId="6F6381DE">
            <w:pPr>
              <w:pStyle w:val="23"/>
              <w:keepNext w:val="0"/>
              <w:keepLines w:val="0"/>
              <w:suppressLineNumbers w:val="0"/>
              <w:spacing w:before="68" w:line="282" w:lineRule="auto"/>
              <w:ind w:right="101" w:rightChars="0"/>
              <w:jc w:val="center"/>
              <w:rPr>
                <w:rFonts w:hint="eastAsia" w:eastAsia="宋体"/>
                <w:b w:val="0"/>
                <w:bCs w:val="0"/>
                <w:color w:val="auto"/>
                <w:sz w:val="21"/>
                <w:highlight w:val="none"/>
                <w:lang w:eastAsia="zh-CN"/>
              </w:rPr>
            </w:pPr>
          </w:p>
        </w:tc>
        <w:tc>
          <w:tcPr>
            <w:tcW w:w="338" w:type="pct"/>
            <w:vAlign w:val="center"/>
          </w:tcPr>
          <w:p w14:paraId="4BA94660">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7D0945CF">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bl>
    <w:p w14:paraId="402B084F">
      <w:pPr>
        <w:rPr>
          <w:highlight w:val="none"/>
        </w:rPr>
      </w:pPr>
      <w:r>
        <w:rPr>
          <w:highlight w:val="none"/>
        </w:rPr>
        <w:br w:type="page"/>
      </w:r>
    </w:p>
    <w:tbl>
      <w:tblPr>
        <w:tblStyle w:val="24"/>
        <w:tblW w:w="496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8"/>
        <w:gridCol w:w="1472"/>
        <w:gridCol w:w="1097"/>
        <w:gridCol w:w="5160"/>
        <w:gridCol w:w="3520"/>
        <w:gridCol w:w="1097"/>
        <w:gridCol w:w="1010"/>
        <w:gridCol w:w="986"/>
      </w:tblGrid>
      <w:tr w14:paraId="2E7396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197" w:type="pct"/>
            <w:vAlign w:val="center"/>
          </w:tcPr>
          <w:p w14:paraId="2D16DB7C">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70CFC04A">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7A5823AB">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7" w:type="pct"/>
            <w:vAlign w:val="center"/>
          </w:tcPr>
          <w:p w14:paraId="18F7C16A">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8" w:type="pct"/>
            <w:vAlign w:val="center"/>
          </w:tcPr>
          <w:p w14:paraId="2AAAD007">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7DFB416B">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2E145B34">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07F77A0F">
            <w:pPr>
              <w:pStyle w:val="23"/>
              <w:keepNext w:val="0"/>
              <w:keepLines w:val="0"/>
              <w:suppressLineNumbers w:val="0"/>
              <w:spacing w:before="71" w:line="220" w:lineRule="auto"/>
              <w:ind w:left="295"/>
              <w:rPr>
                <w:highlight w:val="none"/>
              </w:rPr>
            </w:pPr>
            <w:r>
              <w:rPr>
                <w:b/>
                <w:bCs/>
                <w:spacing w:val="-4"/>
                <w:highlight w:val="none"/>
              </w:rPr>
              <w:t>得分</w:t>
            </w:r>
          </w:p>
        </w:tc>
      </w:tr>
      <w:tr w14:paraId="00F97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 w:hRule="atLeast"/>
          <w:jc w:val="center"/>
        </w:trPr>
        <w:tc>
          <w:tcPr>
            <w:tcW w:w="197" w:type="pct"/>
            <w:vMerge w:val="restart"/>
            <w:tcBorders>
              <w:bottom w:val="nil"/>
            </w:tcBorders>
            <w:vAlign w:val="center"/>
          </w:tcPr>
          <w:p w14:paraId="7B6F8722">
            <w:pPr>
              <w:pStyle w:val="23"/>
              <w:keepNext w:val="0"/>
              <w:keepLines w:val="0"/>
              <w:suppressLineNumbers w:val="0"/>
              <w:spacing w:before="59" w:line="181" w:lineRule="auto"/>
              <w:ind w:left="259"/>
              <w:rPr>
                <w:rFonts w:hint="default" w:eastAsia="宋体"/>
                <w:b w:val="0"/>
                <w:bCs w:val="0"/>
                <w:highlight w:val="none"/>
                <w:lang w:val="en-US" w:eastAsia="zh-CN"/>
              </w:rPr>
            </w:pPr>
            <w:r>
              <w:rPr>
                <w:rFonts w:hint="eastAsia"/>
                <w:b w:val="0"/>
                <w:bCs w:val="0"/>
                <w:spacing w:val="-2"/>
                <w:highlight w:val="none"/>
                <w:lang w:val="en-US" w:eastAsia="zh-CN"/>
              </w:rPr>
              <w:t>8</w:t>
            </w:r>
          </w:p>
        </w:tc>
        <w:tc>
          <w:tcPr>
            <w:tcW w:w="493" w:type="pct"/>
            <w:vMerge w:val="restart"/>
            <w:tcBorders>
              <w:bottom w:val="nil"/>
            </w:tcBorders>
            <w:vAlign w:val="center"/>
          </w:tcPr>
          <w:p w14:paraId="7511F7C8">
            <w:pPr>
              <w:pStyle w:val="23"/>
              <w:keepNext w:val="0"/>
              <w:keepLines w:val="0"/>
              <w:suppressLineNumbers w:val="0"/>
              <w:spacing w:before="59" w:line="221" w:lineRule="auto"/>
              <w:ind w:left="180"/>
              <w:rPr>
                <w:b w:val="0"/>
                <w:bCs w:val="0"/>
                <w:highlight w:val="none"/>
              </w:rPr>
            </w:pPr>
            <w:r>
              <w:rPr>
                <w:b w:val="0"/>
                <w:bCs w:val="0"/>
                <w:spacing w:val="-3"/>
                <w:highlight w:val="none"/>
              </w:rPr>
              <w:t>非消防电</w:t>
            </w:r>
            <w:r>
              <w:rPr>
                <w:b w:val="0"/>
                <w:bCs w:val="0"/>
                <w:spacing w:val="-2"/>
                <w:highlight w:val="none"/>
              </w:rPr>
              <w:t>气线路与</w:t>
            </w:r>
            <w:r>
              <w:rPr>
                <w:b w:val="0"/>
                <w:bCs w:val="0"/>
                <w:spacing w:val="-3"/>
                <w:highlight w:val="none"/>
              </w:rPr>
              <w:t>设备</w:t>
            </w: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7" w:type="pct"/>
            <w:vMerge w:val="restart"/>
            <w:tcBorders>
              <w:bottom w:val="nil"/>
            </w:tcBorders>
            <w:vAlign w:val="center"/>
          </w:tcPr>
          <w:p w14:paraId="439352CA">
            <w:pPr>
              <w:pStyle w:val="23"/>
              <w:keepNext w:val="0"/>
              <w:keepLines w:val="0"/>
              <w:suppressLineNumbers w:val="0"/>
              <w:spacing w:before="59" w:line="311" w:lineRule="auto"/>
              <w:ind w:left="111" w:right="104" w:firstLine="20"/>
              <w:jc w:val="both"/>
              <w:rPr>
                <w:b w:val="0"/>
                <w:bCs w:val="0"/>
                <w:highlight w:val="none"/>
              </w:rPr>
            </w:pPr>
            <w:r>
              <w:rPr>
                <w:b w:val="0"/>
                <w:bCs w:val="0"/>
                <w:spacing w:val="7"/>
                <w:highlight w:val="none"/>
              </w:rPr>
              <w:t>电气线路</w:t>
            </w:r>
            <w:r>
              <w:rPr>
                <w:b w:val="0"/>
                <w:bCs w:val="0"/>
                <w:spacing w:val="-4"/>
                <w:highlight w:val="none"/>
              </w:rPr>
              <w:t>敷设（12</w:t>
            </w:r>
            <w:r>
              <w:rPr>
                <w:b w:val="0"/>
                <w:bCs w:val="0"/>
                <w:highlight w:val="none"/>
              </w:rPr>
              <w:t xml:space="preserve"> </w:t>
            </w:r>
            <w:r>
              <w:rPr>
                <w:b w:val="0"/>
                <w:bCs w:val="0"/>
                <w:spacing w:val="-5"/>
                <w:highlight w:val="none"/>
              </w:rPr>
              <w:t>分）</w:t>
            </w:r>
          </w:p>
        </w:tc>
        <w:tc>
          <w:tcPr>
            <w:tcW w:w="1727" w:type="pct"/>
            <w:vAlign w:val="center"/>
          </w:tcPr>
          <w:p w14:paraId="360C9E3E">
            <w:pPr>
              <w:pStyle w:val="23"/>
              <w:keepNext w:val="0"/>
              <w:keepLines w:val="0"/>
              <w:suppressLineNumbers w:val="0"/>
              <w:spacing w:before="67" w:line="295" w:lineRule="auto"/>
              <w:ind w:left="110" w:right="104" w:firstLine="1"/>
              <w:jc w:val="both"/>
              <w:rPr>
                <w:b w:val="0"/>
                <w:bCs w:val="0"/>
                <w:strike/>
                <w:highlight w:val="none"/>
                <w:shd w:val="clear" w:color="FFFFFF" w:fill="D9D9D9"/>
              </w:rPr>
            </w:pPr>
            <w:r>
              <w:rPr>
                <w:b w:val="0"/>
                <w:bCs w:val="0"/>
                <w:strike/>
                <w:spacing w:val="1"/>
                <w:highlight w:val="none"/>
                <w:shd w:val="clear" w:color="FFFFFF" w:fill="D9D9D9"/>
              </w:rPr>
              <w:t>a)架空电力线与甲、乙类厂房（仓库</w:t>
            </w:r>
            <w:r>
              <w:rPr>
                <w:b w:val="0"/>
                <w:bCs w:val="0"/>
                <w:strike/>
                <w:spacing w:val="6"/>
                <w:highlight w:val="none"/>
                <w:shd w:val="clear" w:color="FFFFFF" w:fill="D9D9D9"/>
              </w:rPr>
              <w:t>），</w:t>
            </w:r>
            <w:r>
              <w:rPr>
                <w:b w:val="0"/>
                <w:bCs w:val="0"/>
                <w:strike/>
                <w:spacing w:val="1"/>
                <w:highlight w:val="none"/>
                <w:shd w:val="clear" w:color="FFFFFF" w:fill="D9D9D9"/>
              </w:rPr>
              <w:t>可燃材料堆垛，甲、乙、丙类液体储罐，液化石油气储罐，可燃、助燃气体储罐等危险场所的最</w:t>
            </w:r>
            <w:r>
              <w:rPr>
                <w:b w:val="0"/>
                <w:bCs w:val="0"/>
                <w:strike/>
                <w:spacing w:val="-2"/>
                <w:highlight w:val="none"/>
                <w:shd w:val="clear" w:color="FFFFFF" w:fill="D9D9D9"/>
              </w:rPr>
              <w:t>近水平距离；</w:t>
            </w:r>
          </w:p>
        </w:tc>
        <w:tc>
          <w:tcPr>
            <w:tcW w:w="1178" w:type="pct"/>
            <w:vAlign w:val="center"/>
          </w:tcPr>
          <w:p w14:paraId="042D8DA8">
            <w:pPr>
              <w:pStyle w:val="23"/>
              <w:keepNext w:val="0"/>
              <w:keepLines w:val="0"/>
              <w:suppressLineNumbers w:val="0"/>
              <w:spacing w:before="222" w:line="307" w:lineRule="auto"/>
              <w:ind w:left="115" w:right="142" w:hanging="2"/>
              <w:rPr>
                <w:b w:val="0"/>
                <w:bCs w:val="0"/>
                <w:strike/>
                <w:highlight w:val="none"/>
                <w:shd w:val="clear" w:color="FFFFFF" w:fill="D9D9D9"/>
              </w:rPr>
            </w:pPr>
            <w:r>
              <w:rPr>
                <w:b w:val="0"/>
                <w:bCs w:val="0"/>
                <w:strike/>
                <w:spacing w:val="-5"/>
                <w:highlight w:val="none"/>
                <w:shd w:val="clear" w:color="FFFFFF" w:fill="D9D9D9"/>
              </w:rPr>
              <w:t>每发现一处不符合要求的扣 2 分，</w:t>
            </w:r>
            <w:r>
              <w:rPr>
                <w:b w:val="0"/>
                <w:bCs w:val="0"/>
                <w:strike/>
                <w:spacing w:val="6"/>
                <w:highlight w:val="none"/>
                <w:shd w:val="clear" w:color="FFFFFF" w:fill="D9D9D9"/>
              </w:rPr>
              <w:t xml:space="preserve"> </w:t>
            </w:r>
            <w:r>
              <w:rPr>
                <w:b w:val="0"/>
                <w:bCs w:val="0"/>
                <w:strike/>
                <w:spacing w:val="-7"/>
                <w:highlight w:val="none"/>
                <w:shd w:val="clear" w:color="FFFFFF" w:fill="D9D9D9"/>
              </w:rPr>
              <w:t>最高扣</w:t>
            </w:r>
            <w:r>
              <w:rPr>
                <w:b w:val="0"/>
                <w:bCs w:val="0"/>
                <w:strike/>
                <w:spacing w:val="-32"/>
                <w:highlight w:val="none"/>
                <w:shd w:val="clear" w:color="FFFFFF" w:fill="D9D9D9"/>
              </w:rPr>
              <w:t xml:space="preserve"> </w:t>
            </w:r>
            <w:r>
              <w:rPr>
                <w:b w:val="0"/>
                <w:bCs w:val="0"/>
                <w:strike/>
                <w:spacing w:val="-7"/>
                <w:highlight w:val="none"/>
                <w:shd w:val="clear" w:color="FFFFFF" w:fill="D9D9D9"/>
              </w:rPr>
              <w:t>6</w:t>
            </w:r>
            <w:r>
              <w:rPr>
                <w:b w:val="0"/>
                <w:bCs w:val="0"/>
                <w:strike/>
                <w:spacing w:val="-34"/>
                <w:highlight w:val="none"/>
                <w:shd w:val="clear" w:color="FFFFFF" w:fill="D9D9D9"/>
              </w:rPr>
              <w:t xml:space="preserve"> </w:t>
            </w:r>
            <w:r>
              <w:rPr>
                <w:b w:val="0"/>
                <w:bCs w:val="0"/>
                <w:strike/>
                <w:spacing w:val="-7"/>
                <w:highlight w:val="none"/>
                <w:shd w:val="clear" w:color="FFFFFF" w:fill="D9D9D9"/>
              </w:rPr>
              <w:t>分。</w:t>
            </w:r>
          </w:p>
        </w:tc>
        <w:tc>
          <w:tcPr>
            <w:tcW w:w="367" w:type="pct"/>
            <w:vAlign w:val="center"/>
          </w:tcPr>
          <w:p w14:paraId="478A69F6">
            <w:pPr>
              <w:keepNext w:val="0"/>
              <w:keepLines w:val="0"/>
              <w:suppressLineNumbers w:val="0"/>
              <w:spacing w:before="0" w:beforeAutospacing="0" w:after="0" w:afterAutospacing="0"/>
              <w:ind w:left="0" w:right="0"/>
              <w:jc w:val="center"/>
              <w:rPr>
                <w:rFonts w:hint="default" w:ascii="Arial" w:eastAsia="宋体"/>
                <w:b w:val="0"/>
                <w:bCs w:val="0"/>
                <w:strike/>
                <w:sz w:val="21"/>
                <w:highlight w:val="none"/>
                <w:shd w:val="clear" w:color="FFFFFF" w:fill="D9D9D9"/>
                <w:lang w:val="en-US" w:eastAsia="zh-CN"/>
              </w:rPr>
            </w:pPr>
          </w:p>
        </w:tc>
        <w:tc>
          <w:tcPr>
            <w:tcW w:w="338" w:type="pct"/>
            <w:vAlign w:val="center"/>
          </w:tcPr>
          <w:p w14:paraId="469BA658">
            <w:pPr>
              <w:keepNext w:val="0"/>
              <w:keepLines w:val="0"/>
              <w:suppressLineNumbers w:val="0"/>
              <w:spacing w:before="0" w:beforeAutospacing="0" w:after="0" w:afterAutospacing="0"/>
              <w:ind w:left="0" w:right="0"/>
              <w:rPr>
                <w:rFonts w:hint="default" w:ascii="Arial"/>
                <w:b w:val="0"/>
                <w:bCs w:val="0"/>
                <w:strike/>
                <w:sz w:val="21"/>
                <w:highlight w:val="none"/>
                <w:shd w:val="clear" w:color="FFFFFF" w:fill="D9D9D9"/>
              </w:rPr>
            </w:pPr>
          </w:p>
        </w:tc>
        <w:tc>
          <w:tcPr>
            <w:tcW w:w="330" w:type="pct"/>
            <w:vMerge w:val="restart"/>
            <w:tcBorders>
              <w:bottom w:val="nil"/>
            </w:tcBorders>
            <w:vAlign w:val="center"/>
          </w:tcPr>
          <w:p w14:paraId="6C754B08">
            <w:pPr>
              <w:keepNext w:val="0"/>
              <w:keepLines w:val="0"/>
              <w:suppressLineNumbers w:val="0"/>
              <w:spacing w:before="0" w:beforeAutospacing="0" w:after="0" w:afterAutospacing="0"/>
              <w:ind w:left="0" w:right="0"/>
              <w:rPr>
                <w:rFonts w:hint="default" w:ascii="Arial" w:eastAsia="宋体"/>
                <w:b w:val="0"/>
                <w:bCs w:val="0"/>
                <w:sz w:val="21"/>
                <w:highlight w:val="none"/>
                <w:lang w:val="en-US" w:eastAsia="zh-CN"/>
              </w:rPr>
            </w:pPr>
          </w:p>
        </w:tc>
      </w:tr>
      <w:tr w14:paraId="0DD92A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jc w:val="center"/>
        </w:trPr>
        <w:tc>
          <w:tcPr>
            <w:tcW w:w="197" w:type="pct"/>
            <w:vMerge w:val="continue"/>
            <w:tcBorders>
              <w:top w:val="nil"/>
              <w:bottom w:val="nil"/>
            </w:tcBorders>
            <w:vAlign w:val="center"/>
          </w:tcPr>
          <w:p w14:paraId="448FA270">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1748AA6E">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bottom w:val="nil"/>
            </w:tcBorders>
            <w:vAlign w:val="center"/>
          </w:tcPr>
          <w:p w14:paraId="275CD0D1">
            <w:pPr>
              <w:keepNext w:val="0"/>
              <w:keepLines w:val="0"/>
              <w:suppressLineNumbers w:val="0"/>
              <w:spacing w:before="0" w:beforeAutospacing="0" w:after="0" w:afterAutospacing="0"/>
              <w:ind w:left="0" w:right="0"/>
              <w:rPr>
                <w:rFonts w:hint="default" w:ascii="Arial"/>
                <w:b w:val="0"/>
                <w:bCs w:val="0"/>
                <w:sz w:val="21"/>
                <w:highlight w:val="none"/>
              </w:rPr>
            </w:pPr>
          </w:p>
        </w:tc>
        <w:tc>
          <w:tcPr>
            <w:tcW w:w="1727" w:type="pct"/>
            <w:vAlign w:val="center"/>
          </w:tcPr>
          <w:p w14:paraId="6930E161">
            <w:pPr>
              <w:pStyle w:val="23"/>
              <w:keepNext w:val="0"/>
              <w:keepLines w:val="0"/>
              <w:suppressLineNumbers w:val="0"/>
              <w:spacing w:before="226" w:line="220" w:lineRule="auto"/>
              <w:ind w:left="108"/>
              <w:rPr>
                <w:b w:val="0"/>
                <w:bCs w:val="0"/>
                <w:highlight w:val="none"/>
              </w:rPr>
            </w:pPr>
            <w:r>
              <w:rPr>
                <w:b w:val="0"/>
                <w:bCs w:val="0"/>
                <w:highlight w:val="none"/>
              </w:rPr>
              <w:t>b)室外电缆沟或电缆隧道在进入建筑、工程或变</w:t>
            </w:r>
            <w:r>
              <w:rPr>
                <w:b w:val="0"/>
                <w:bCs w:val="0"/>
                <w:spacing w:val="-1"/>
                <w:highlight w:val="none"/>
              </w:rPr>
              <w:t>电站处的防火分隔；</w:t>
            </w:r>
          </w:p>
        </w:tc>
        <w:tc>
          <w:tcPr>
            <w:tcW w:w="1178" w:type="pct"/>
            <w:vAlign w:val="center"/>
          </w:tcPr>
          <w:p w14:paraId="450871A6">
            <w:pPr>
              <w:pStyle w:val="23"/>
              <w:keepNext w:val="0"/>
              <w:keepLines w:val="0"/>
              <w:suppressLineNumbers w:val="0"/>
              <w:spacing w:before="71" w:line="282" w:lineRule="auto"/>
              <w:ind w:left="115" w:right="142" w:hanging="2"/>
              <w:rPr>
                <w:b w:val="0"/>
                <w:bCs w:val="0"/>
                <w:highlight w:val="none"/>
              </w:rPr>
            </w:pPr>
            <w:r>
              <w:rPr>
                <w:b w:val="0"/>
                <w:bCs w:val="0"/>
                <w:spacing w:val="-5"/>
                <w:highlight w:val="none"/>
              </w:rPr>
              <w:t>每发现一处不符合要求的扣 1 分，</w:t>
            </w:r>
            <w:r>
              <w:rPr>
                <w:b w:val="0"/>
                <w:bCs w:val="0"/>
                <w:spacing w:val="6"/>
                <w:highlight w:val="none"/>
              </w:rPr>
              <w:t xml:space="preserve"> </w:t>
            </w:r>
            <w:r>
              <w:rPr>
                <w:b w:val="0"/>
                <w:bCs w:val="0"/>
                <w:spacing w:val="-7"/>
                <w:highlight w:val="none"/>
              </w:rPr>
              <w:t>最高扣</w:t>
            </w:r>
            <w:r>
              <w:rPr>
                <w:b w:val="0"/>
                <w:bCs w:val="0"/>
                <w:spacing w:val="-32"/>
                <w:highlight w:val="none"/>
              </w:rPr>
              <w:t xml:space="preserve"> </w:t>
            </w:r>
            <w:r>
              <w:rPr>
                <w:b w:val="0"/>
                <w:bCs w:val="0"/>
                <w:spacing w:val="-7"/>
                <w:highlight w:val="none"/>
              </w:rPr>
              <w:t>3</w:t>
            </w:r>
            <w:r>
              <w:rPr>
                <w:b w:val="0"/>
                <w:bCs w:val="0"/>
                <w:spacing w:val="-34"/>
                <w:highlight w:val="none"/>
              </w:rPr>
              <w:t xml:space="preserve"> </w:t>
            </w:r>
            <w:r>
              <w:rPr>
                <w:b w:val="0"/>
                <w:bCs w:val="0"/>
                <w:spacing w:val="-7"/>
                <w:highlight w:val="none"/>
              </w:rPr>
              <w:t>分。</w:t>
            </w:r>
          </w:p>
        </w:tc>
        <w:tc>
          <w:tcPr>
            <w:tcW w:w="367" w:type="pct"/>
            <w:vAlign w:val="center"/>
          </w:tcPr>
          <w:p w14:paraId="63D41748">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3F4DD847">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0EDBD09A">
            <w:pPr>
              <w:keepNext w:val="0"/>
              <w:keepLines w:val="0"/>
              <w:suppressLineNumbers w:val="0"/>
              <w:spacing w:before="0" w:beforeAutospacing="0" w:after="0" w:afterAutospacing="0"/>
              <w:ind w:left="0" w:right="0"/>
              <w:rPr>
                <w:rFonts w:hint="default" w:ascii="Arial"/>
                <w:b w:val="0"/>
                <w:bCs w:val="0"/>
                <w:sz w:val="21"/>
                <w:highlight w:val="none"/>
              </w:rPr>
            </w:pPr>
          </w:p>
        </w:tc>
      </w:tr>
      <w:tr w14:paraId="45D01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jc w:val="center"/>
        </w:trPr>
        <w:tc>
          <w:tcPr>
            <w:tcW w:w="197" w:type="pct"/>
            <w:vMerge w:val="continue"/>
            <w:tcBorders>
              <w:top w:val="nil"/>
              <w:bottom w:val="nil"/>
            </w:tcBorders>
            <w:vAlign w:val="center"/>
          </w:tcPr>
          <w:p w14:paraId="1E566F6D">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334A7C71">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tcBorders>
            <w:vAlign w:val="center"/>
          </w:tcPr>
          <w:p w14:paraId="7E5E7931">
            <w:pPr>
              <w:keepNext w:val="0"/>
              <w:keepLines w:val="0"/>
              <w:suppressLineNumbers w:val="0"/>
              <w:spacing w:before="0" w:beforeAutospacing="0" w:after="0" w:afterAutospacing="0"/>
              <w:ind w:left="0" w:right="0"/>
              <w:rPr>
                <w:rFonts w:hint="default" w:ascii="Arial"/>
                <w:b w:val="0"/>
                <w:bCs w:val="0"/>
                <w:sz w:val="21"/>
                <w:highlight w:val="none"/>
              </w:rPr>
            </w:pPr>
          </w:p>
        </w:tc>
        <w:tc>
          <w:tcPr>
            <w:tcW w:w="1727" w:type="pct"/>
            <w:vAlign w:val="center"/>
          </w:tcPr>
          <w:p w14:paraId="523B9017">
            <w:pPr>
              <w:pStyle w:val="23"/>
              <w:keepNext w:val="0"/>
              <w:keepLines w:val="0"/>
              <w:suppressLineNumbers w:val="0"/>
              <w:spacing w:before="224" w:line="220" w:lineRule="auto"/>
              <w:ind w:left="114"/>
              <w:rPr>
                <w:b w:val="0"/>
                <w:bCs w:val="0"/>
                <w:highlight w:val="none"/>
              </w:rPr>
            </w:pPr>
            <w:r>
              <w:rPr>
                <w:b w:val="0"/>
                <w:bCs w:val="0"/>
                <w:spacing w:val="-1"/>
                <w:highlight w:val="none"/>
              </w:rPr>
              <w:t>c)配电线路在有可燃物的闷顶、吊顶内敷设时的防火保护措施。</w:t>
            </w:r>
          </w:p>
        </w:tc>
        <w:tc>
          <w:tcPr>
            <w:tcW w:w="1178" w:type="pct"/>
            <w:vAlign w:val="center"/>
          </w:tcPr>
          <w:p w14:paraId="60F2FBE0">
            <w:pPr>
              <w:pStyle w:val="23"/>
              <w:keepNext w:val="0"/>
              <w:keepLines w:val="0"/>
              <w:suppressLineNumbers w:val="0"/>
              <w:spacing w:before="68" w:line="282" w:lineRule="auto"/>
              <w:ind w:left="115" w:right="142" w:hanging="2"/>
              <w:rPr>
                <w:b w:val="0"/>
                <w:bCs w:val="0"/>
                <w:highlight w:val="none"/>
              </w:rPr>
            </w:pPr>
            <w:r>
              <w:rPr>
                <w:b w:val="0"/>
                <w:bCs w:val="0"/>
                <w:spacing w:val="-5"/>
                <w:highlight w:val="none"/>
              </w:rPr>
              <w:t>每发现一处不符合要求的扣 1 分，</w:t>
            </w:r>
            <w:r>
              <w:rPr>
                <w:b w:val="0"/>
                <w:bCs w:val="0"/>
                <w:spacing w:val="6"/>
                <w:highlight w:val="none"/>
              </w:rPr>
              <w:t xml:space="preserve"> </w:t>
            </w:r>
            <w:r>
              <w:rPr>
                <w:b w:val="0"/>
                <w:bCs w:val="0"/>
                <w:spacing w:val="-7"/>
                <w:highlight w:val="none"/>
              </w:rPr>
              <w:t>最高扣</w:t>
            </w:r>
            <w:r>
              <w:rPr>
                <w:b w:val="0"/>
                <w:bCs w:val="0"/>
                <w:spacing w:val="-32"/>
                <w:highlight w:val="none"/>
              </w:rPr>
              <w:t xml:space="preserve"> </w:t>
            </w:r>
            <w:r>
              <w:rPr>
                <w:b w:val="0"/>
                <w:bCs w:val="0"/>
                <w:spacing w:val="-7"/>
                <w:highlight w:val="none"/>
              </w:rPr>
              <w:t>3</w:t>
            </w:r>
            <w:r>
              <w:rPr>
                <w:b w:val="0"/>
                <w:bCs w:val="0"/>
                <w:spacing w:val="-34"/>
                <w:highlight w:val="none"/>
              </w:rPr>
              <w:t xml:space="preserve"> </w:t>
            </w:r>
            <w:r>
              <w:rPr>
                <w:b w:val="0"/>
                <w:bCs w:val="0"/>
                <w:spacing w:val="-7"/>
                <w:highlight w:val="none"/>
              </w:rPr>
              <w:t>分。</w:t>
            </w:r>
          </w:p>
        </w:tc>
        <w:tc>
          <w:tcPr>
            <w:tcW w:w="367" w:type="pct"/>
            <w:shd w:val="clear" w:color="auto" w:fill="auto"/>
            <w:vAlign w:val="center"/>
          </w:tcPr>
          <w:p w14:paraId="4942779A">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8" w:type="pct"/>
            <w:vAlign w:val="center"/>
          </w:tcPr>
          <w:p w14:paraId="12A8F76A">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vMerge w:val="continue"/>
            <w:tcBorders>
              <w:top w:val="nil"/>
            </w:tcBorders>
            <w:vAlign w:val="center"/>
          </w:tcPr>
          <w:p w14:paraId="0190E1C4">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r>
      <w:tr w14:paraId="245DEE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jc w:val="center"/>
        </w:trPr>
        <w:tc>
          <w:tcPr>
            <w:tcW w:w="197" w:type="pct"/>
            <w:vMerge w:val="continue"/>
            <w:tcBorders>
              <w:top w:val="nil"/>
              <w:bottom w:val="nil"/>
            </w:tcBorders>
            <w:vAlign w:val="center"/>
          </w:tcPr>
          <w:p w14:paraId="47A3B505">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085E0207">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restart"/>
            <w:tcBorders>
              <w:bottom w:val="nil"/>
            </w:tcBorders>
            <w:vAlign w:val="center"/>
          </w:tcPr>
          <w:p w14:paraId="5BC3E587">
            <w:pPr>
              <w:pStyle w:val="23"/>
              <w:keepNext w:val="0"/>
              <w:keepLines w:val="0"/>
              <w:suppressLineNumbers w:val="0"/>
              <w:spacing w:before="59" w:line="307" w:lineRule="auto"/>
              <w:ind w:left="112" w:right="37" w:firstLine="1"/>
              <w:rPr>
                <w:b w:val="0"/>
                <w:bCs w:val="0"/>
                <w:highlight w:val="none"/>
              </w:rPr>
            </w:pPr>
            <w:r>
              <w:rPr>
                <w:b w:val="0"/>
                <w:bCs w:val="0"/>
                <w:spacing w:val="11"/>
                <w:highlight w:val="none"/>
              </w:rPr>
              <w:t>设备的使</w:t>
            </w:r>
            <w:r>
              <w:rPr>
                <w:b w:val="0"/>
                <w:bCs w:val="0"/>
                <w:spacing w:val="4"/>
                <w:highlight w:val="none"/>
              </w:rPr>
              <w:t>用（8分）</w:t>
            </w:r>
          </w:p>
        </w:tc>
        <w:tc>
          <w:tcPr>
            <w:tcW w:w="1727" w:type="pct"/>
            <w:vAlign w:val="center"/>
          </w:tcPr>
          <w:p w14:paraId="79723EDD">
            <w:pPr>
              <w:pStyle w:val="23"/>
              <w:keepNext w:val="0"/>
              <w:keepLines w:val="0"/>
              <w:suppressLineNumbers w:val="0"/>
              <w:spacing w:before="68" w:line="282" w:lineRule="auto"/>
              <w:ind w:left="111" w:right="104"/>
              <w:rPr>
                <w:b w:val="0"/>
                <w:bCs w:val="0"/>
                <w:highlight w:val="none"/>
              </w:rPr>
            </w:pPr>
            <w:r>
              <w:rPr>
                <w:b w:val="0"/>
                <w:bCs w:val="0"/>
                <w:highlight w:val="none"/>
              </w:rPr>
              <w:t>a)安装在 B</w:t>
            </w:r>
            <w:r>
              <w:rPr>
                <w:b w:val="0"/>
                <w:bCs w:val="0"/>
                <w:sz w:val="9"/>
                <w:szCs w:val="9"/>
                <w:highlight w:val="none"/>
              </w:rPr>
              <w:t xml:space="preserve">1 </w:t>
            </w:r>
            <w:r>
              <w:rPr>
                <w:b w:val="0"/>
                <w:bCs w:val="0"/>
                <w:highlight w:val="none"/>
              </w:rPr>
              <w:t>级以下（含 B</w:t>
            </w:r>
            <w:r>
              <w:rPr>
                <w:b w:val="0"/>
                <w:bCs w:val="0"/>
                <w:sz w:val="9"/>
                <w:szCs w:val="9"/>
                <w:highlight w:val="none"/>
              </w:rPr>
              <w:t xml:space="preserve">1 </w:t>
            </w:r>
            <w:r>
              <w:rPr>
                <w:b w:val="0"/>
                <w:bCs w:val="0"/>
                <w:highlight w:val="none"/>
              </w:rPr>
              <w:t>级）装修材料内的插座</w:t>
            </w:r>
            <w:r>
              <w:rPr>
                <w:b w:val="0"/>
                <w:bCs w:val="0"/>
                <w:spacing w:val="-1"/>
                <w:highlight w:val="none"/>
              </w:rPr>
              <w:t>、开关，应采用防火封堵密封件或具有良好隔热性能的 A 级材料隔绝；</w:t>
            </w:r>
          </w:p>
        </w:tc>
        <w:tc>
          <w:tcPr>
            <w:tcW w:w="1178" w:type="pct"/>
            <w:vAlign w:val="center"/>
          </w:tcPr>
          <w:p w14:paraId="55EC13EA">
            <w:pPr>
              <w:pStyle w:val="23"/>
              <w:keepNext w:val="0"/>
              <w:keepLines w:val="0"/>
              <w:suppressLineNumbers w:val="0"/>
              <w:spacing w:before="68" w:line="282" w:lineRule="auto"/>
              <w:ind w:left="115" w:right="142" w:hanging="2"/>
              <w:rPr>
                <w:b w:val="0"/>
                <w:bCs w:val="0"/>
                <w:highlight w:val="none"/>
              </w:rPr>
            </w:pPr>
            <w:r>
              <w:rPr>
                <w:b w:val="0"/>
                <w:bCs w:val="0"/>
                <w:spacing w:val="-5"/>
                <w:highlight w:val="none"/>
              </w:rPr>
              <w:t>每发现一处不符合要求的扣 1 分，</w:t>
            </w:r>
            <w:r>
              <w:rPr>
                <w:b w:val="0"/>
                <w:bCs w:val="0"/>
                <w:spacing w:val="6"/>
                <w:highlight w:val="none"/>
              </w:rPr>
              <w:t xml:space="preserve"> </w:t>
            </w:r>
            <w:r>
              <w:rPr>
                <w:b w:val="0"/>
                <w:bCs w:val="0"/>
                <w:spacing w:val="-7"/>
                <w:highlight w:val="none"/>
              </w:rPr>
              <w:t>最高扣</w:t>
            </w:r>
            <w:r>
              <w:rPr>
                <w:b w:val="0"/>
                <w:bCs w:val="0"/>
                <w:spacing w:val="-32"/>
                <w:highlight w:val="none"/>
              </w:rPr>
              <w:t xml:space="preserve"> </w:t>
            </w:r>
            <w:r>
              <w:rPr>
                <w:b w:val="0"/>
                <w:bCs w:val="0"/>
                <w:spacing w:val="-7"/>
                <w:highlight w:val="none"/>
              </w:rPr>
              <w:t>2</w:t>
            </w:r>
            <w:r>
              <w:rPr>
                <w:b w:val="0"/>
                <w:bCs w:val="0"/>
                <w:spacing w:val="-34"/>
                <w:highlight w:val="none"/>
              </w:rPr>
              <w:t xml:space="preserve"> </w:t>
            </w:r>
            <w:r>
              <w:rPr>
                <w:b w:val="0"/>
                <w:bCs w:val="0"/>
                <w:spacing w:val="-7"/>
                <w:highlight w:val="none"/>
              </w:rPr>
              <w:t>分。</w:t>
            </w:r>
          </w:p>
        </w:tc>
        <w:tc>
          <w:tcPr>
            <w:tcW w:w="367" w:type="pct"/>
            <w:vAlign w:val="center"/>
          </w:tcPr>
          <w:p w14:paraId="1F5866A5">
            <w:pPr>
              <w:keepNext w:val="0"/>
              <w:keepLines w:val="0"/>
              <w:numPr>
                <w:ilvl w:val="0"/>
                <w:numId w:val="0"/>
              </w:numPr>
              <w:suppressLineNumbers w:val="0"/>
              <w:spacing w:before="0" w:beforeAutospacing="0" w:after="0" w:afterAutospacing="0"/>
              <w:ind w:left="0" w:right="0"/>
              <w:jc w:val="center"/>
              <w:rPr>
                <w:rFonts w:hint="eastAsia" w:ascii="宋体" w:hAnsi="宋体" w:eastAsia="宋体" w:cs="宋体"/>
                <w:b w:val="0"/>
                <w:bCs w:val="0"/>
                <w:sz w:val="16"/>
                <w:szCs w:val="16"/>
                <w:highlight w:val="none"/>
                <w:lang w:val="en-US" w:eastAsia="zh-CN"/>
              </w:rPr>
            </w:pPr>
          </w:p>
        </w:tc>
        <w:tc>
          <w:tcPr>
            <w:tcW w:w="338" w:type="pct"/>
            <w:vAlign w:val="center"/>
          </w:tcPr>
          <w:p w14:paraId="37F07908">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c>
          <w:tcPr>
            <w:tcW w:w="330" w:type="pct"/>
            <w:vMerge w:val="restart"/>
            <w:tcBorders>
              <w:bottom w:val="nil"/>
            </w:tcBorders>
            <w:vAlign w:val="center"/>
          </w:tcPr>
          <w:p w14:paraId="1A60259F">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4F4795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2" w:hRule="atLeast"/>
          <w:jc w:val="center"/>
        </w:trPr>
        <w:tc>
          <w:tcPr>
            <w:tcW w:w="197" w:type="pct"/>
            <w:vMerge w:val="continue"/>
            <w:tcBorders>
              <w:top w:val="nil"/>
              <w:bottom w:val="nil"/>
            </w:tcBorders>
            <w:vAlign w:val="center"/>
          </w:tcPr>
          <w:p w14:paraId="037B4D67">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AED6080">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bottom w:val="nil"/>
            </w:tcBorders>
            <w:vAlign w:val="center"/>
          </w:tcPr>
          <w:p w14:paraId="6BCB34F4">
            <w:pPr>
              <w:keepNext w:val="0"/>
              <w:keepLines w:val="0"/>
              <w:suppressLineNumbers w:val="0"/>
              <w:spacing w:before="0" w:beforeAutospacing="0" w:after="0" w:afterAutospacing="0"/>
              <w:ind w:left="0" w:right="0"/>
              <w:rPr>
                <w:rFonts w:hint="default" w:ascii="Arial"/>
                <w:b w:val="0"/>
                <w:bCs w:val="0"/>
                <w:sz w:val="21"/>
                <w:highlight w:val="none"/>
              </w:rPr>
            </w:pPr>
          </w:p>
        </w:tc>
        <w:tc>
          <w:tcPr>
            <w:tcW w:w="1727" w:type="pct"/>
            <w:vAlign w:val="center"/>
          </w:tcPr>
          <w:p w14:paraId="1B8618FC">
            <w:pPr>
              <w:pStyle w:val="23"/>
              <w:keepNext w:val="0"/>
              <w:keepLines w:val="0"/>
              <w:suppressLineNumbers w:val="0"/>
              <w:spacing w:before="70" w:line="281" w:lineRule="auto"/>
              <w:ind w:left="110" w:right="102" w:hanging="2"/>
              <w:rPr>
                <w:b w:val="0"/>
                <w:bCs w:val="0"/>
                <w:highlight w:val="none"/>
              </w:rPr>
            </w:pPr>
            <w:r>
              <w:rPr>
                <w:b w:val="0"/>
                <w:bCs w:val="0"/>
                <w:spacing w:val="-3"/>
                <w:highlight w:val="none"/>
              </w:rPr>
              <w:t>b)卤钨灯和额定功率不小于</w:t>
            </w:r>
            <w:r>
              <w:rPr>
                <w:b w:val="0"/>
                <w:bCs w:val="0"/>
                <w:spacing w:val="-19"/>
                <w:highlight w:val="none"/>
              </w:rPr>
              <w:t xml:space="preserve"> </w:t>
            </w:r>
            <w:r>
              <w:rPr>
                <w:b w:val="0"/>
                <w:bCs w:val="0"/>
                <w:spacing w:val="-3"/>
                <w:highlight w:val="none"/>
              </w:rPr>
              <w:t>100W</w:t>
            </w:r>
            <w:r>
              <w:rPr>
                <w:b w:val="0"/>
                <w:bCs w:val="0"/>
                <w:spacing w:val="-21"/>
                <w:highlight w:val="none"/>
              </w:rPr>
              <w:t xml:space="preserve"> </w:t>
            </w:r>
            <w:r>
              <w:rPr>
                <w:b w:val="0"/>
                <w:bCs w:val="0"/>
                <w:spacing w:val="-3"/>
                <w:highlight w:val="none"/>
              </w:rPr>
              <w:t>的白炽灯泡的吸顶灯、槽灯、嵌入式</w:t>
            </w:r>
            <w:r>
              <w:rPr>
                <w:b w:val="0"/>
                <w:bCs w:val="0"/>
                <w:spacing w:val="-1"/>
                <w:highlight w:val="none"/>
              </w:rPr>
              <w:t>灯，其引入线应采用瓷管、矿棉等不燃材料作隔热保护；</w:t>
            </w:r>
          </w:p>
        </w:tc>
        <w:tc>
          <w:tcPr>
            <w:tcW w:w="1178" w:type="pct"/>
            <w:vAlign w:val="center"/>
          </w:tcPr>
          <w:p w14:paraId="621748EC">
            <w:pPr>
              <w:pStyle w:val="23"/>
              <w:keepNext w:val="0"/>
              <w:keepLines w:val="0"/>
              <w:suppressLineNumbers w:val="0"/>
              <w:spacing w:before="70" w:line="281" w:lineRule="auto"/>
              <w:ind w:left="115" w:right="142" w:hanging="2"/>
              <w:rPr>
                <w:b w:val="0"/>
                <w:bCs w:val="0"/>
                <w:highlight w:val="none"/>
              </w:rPr>
            </w:pPr>
            <w:r>
              <w:rPr>
                <w:b w:val="0"/>
                <w:bCs w:val="0"/>
                <w:spacing w:val="-5"/>
                <w:highlight w:val="none"/>
              </w:rPr>
              <w:t>每发现一处不符合要求的扣 1 分，</w:t>
            </w:r>
            <w:r>
              <w:rPr>
                <w:b w:val="0"/>
                <w:bCs w:val="0"/>
                <w:spacing w:val="6"/>
                <w:highlight w:val="none"/>
              </w:rPr>
              <w:t xml:space="preserve"> </w:t>
            </w:r>
            <w:r>
              <w:rPr>
                <w:b w:val="0"/>
                <w:bCs w:val="0"/>
                <w:spacing w:val="-7"/>
                <w:highlight w:val="none"/>
              </w:rPr>
              <w:t>最高扣</w:t>
            </w:r>
            <w:r>
              <w:rPr>
                <w:b w:val="0"/>
                <w:bCs w:val="0"/>
                <w:spacing w:val="-32"/>
                <w:highlight w:val="none"/>
              </w:rPr>
              <w:t xml:space="preserve"> </w:t>
            </w:r>
            <w:r>
              <w:rPr>
                <w:b w:val="0"/>
                <w:bCs w:val="0"/>
                <w:spacing w:val="-7"/>
                <w:highlight w:val="none"/>
              </w:rPr>
              <w:t>2</w:t>
            </w:r>
            <w:r>
              <w:rPr>
                <w:b w:val="0"/>
                <w:bCs w:val="0"/>
                <w:spacing w:val="-34"/>
                <w:highlight w:val="none"/>
              </w:rPr>
              <w:t xml:space="preserve"> </w:t>
            </w:r>
            <w:r>
              <w:rPr>
                <w:b w:val="0"/>
                <w:bCs w:val="0"/>
                <w:spacing w:val="-7"/>
                <w:highlight w:val="none"/>
              </w:rPr>
              <w:t>分。</w:t>
            </w:r>
          </w:p>
        </w:tc>
        <w:tc>
          <w:tcPr>
            <w:tcW w:w="367" w:type="pct"/>
            <w:shd w:val="clear" w:color="auto" w:fill="auto"/>
            <w:vAlign w:val="center"/>
          </w:tcPr>
          <w:p w14:paraId="57145E4C">
            <w:pPr>
              <w:keepNext w:val="0"/>
              <w:keepLines w:val="0"/>
              <w:suppressLineNumbers w:val="0"/>
              <w:spacing w:before="0" w:beforeAutospacing="0" w:after="0" w:afterAutospacing="0"/>
              <w:ind w:left="0" w:right="0"/>
              <w:jc w:val="center"/>
              <w:rPr>
                <w:rFonts w:hint="default" w:ascii="Arial" w:hAnsi="Arial" w:eastAsia="宋体" w:cs="Arial"/>
                <w:b w:val="0"/>
                <w:bCs w:val="0"/>
                <w:snapToGrid w:val="0"/>
                <w:color w:val="000000"/>
                <w:kern w:val="0"/>
                <w:sz w:val="21"/>
                <w:szCs w:val="21"/>
                <w:highlight w:val="none"/>
                <w:lang w:val="en-US" w:eastAsia="zh-CN"/>
              </w:rPr>
            </w:pPr>
          </w:p>
        </w:tc>
        <w:tc>
          <w:tcPr>
            <w:tcW w:w="338" w:type="pct"/>
            <w:vAlign w:val="center"/>
          </w:tcPr>
          <w:p w14:paraId="70728323">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1F893037">
            <w:pPr>
              <w:keepNext w:val="0"/>
              <w:keepLines w:val="0"/>
              <w:suppressLineNumbers w:val="0"/>
              <w:spacing w:before="0" w:beforeAutospacing="0" w:after="0" w:afterAutospacing="0"/>
              <w:ind w:left="0" w:right="0"/>
              <w:rPr>
                <w:rFonts w:hint="default" w:ascii="Arial"/>
                <w:b w:val="0"/>
                <w:bCs w:val="0"/>
                <w:sz w:val="21"/>
                <w:highlight w:val="none"/>
              </w:rPr>
            </w:pPr>
          </w:p>
        </w:tc>
      </w:tr>
      <w:tr w14:paraId="27887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1" w:hRule="atLeast"/>
          <w:jc w:val="center"/>
        </w:trPr>
        <w:tc>
          <w:tcPr>
            <w:tcW w:w="197" w:type="pct"/>
            <w:vMerge w:val="continue"/>
            <w:tcBorders>
              <w:top w:val="nil"/>
              <w:bottom w:val="nil"/>
            </w:tcBorders>
            <w:vAlign w:val="center"/>
          </w:tcPr>
          <w:p w14:paraId="5BA23B93">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314BFC40">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bottom w:val="nil"/>
            </w:tcBorders>
            <w:vAlign w:val="center"/>
          </w:tcPr>
          <w:p w14:paraId="05A99E95">
            <w:pPr>
              <w:keepNext w:val="0"/>
              <w:keepLines w:val="0"/>
              <w:suppressLineNumbers w:val="0"/>
              <w:spacing w:before="0" w:beforeAutospacing="0" w:after="0" w:afterAutospacing="0"/>
              <w:ind w:left="0" w:right="0"/>
              <w:rPr>
                <w:rFonts w:hint="default" w:ascii="Arial"/>
                <w:b w:val="0"/>
                <w:bCs w:val="0"/>
                <w:sz w:val="21"/>
                <w:highlight w:val="none"/>
              </w:rPr>
            </w:pPr>
          </w:p>
        </w:tc>
        <w:tc>
          <w:tcPr>
            <w:tcW w:w="1727" w:type="pct"/>
            <w:vAlign w:val="center"/>
          </w:tcPr>
          <w:p w14:paraId="02DD3C9A">
            <w:pPr>
              <w:pStyle w:val="23"/>
              <w:keepNext w:val="0"/>
              <w:keepLines w:val="0"/>
              <w:suppressLineNumbers w:val="0"/>
              <w:spacing w:before="70" w:line="294" w:lineRule="auto"/>
              <w:ind w:left="110" w:right="42" w:firstLine="4"/>
              <w:jc w:val="both"/>
              <w:rPr>
                <w:b w:val="0"/>
                <w:bCs w:val="0"/>
                <w:highlight w:val="none"/>
              </w:rPr>
            </w:pPr>
            <w:r>
              <w:rPr>
                <w:b w:val="0"/>
                <w:bCs w:val="0"/>
                <w:spacing w:val="-4"/>
                <w:highlight w:val="none"/>
              </w:rPr>
              <w:t>c)额定功率不小于</w:t>
            </w:r>
            <w:r>
              <w:rPr>
                <w:b w:val="0"/>
                <w:bCs w:val="0"/>
                <w:spacing w:val="-20"/>
                <w:highlight w:val="none"/>
              </w:rPr>
              <w:t xml:space="preserve"> </w:t>
            </w:r>
            <w:r>
              <w:rPr>
                <w:b w:val="0"/>
                <w:bCs w:val="0"/>
                <w:spacing w:val="-4"/>
                <w:highlight w:val="none"/>
              </w:rPr>
              <w:t>60W</w:t>
            </w:r>
            <w:r>
              <w:rPr>
                <w:b w:val="0"/>
                <w:bCs w:val="0"/>
                <w:spacing w:val="-22"/>
                <w:highlight w:val="none"/>
              </w:rPr>
              <w:t xml:space="preserve"> </w:t>
            </w:r>
            <w:r>
              <w:rPr>
                <w:b w:val="0"/>
                <w:bCs w:val="0"/>
                <w:spacing w:val="-4"/>
                <w:highlight w:val="none"/>
              </w:rPr>
              <w:t>的白炽灯、卤钨灯、高压钠灯、金属卤化物灯、</w:t>
            </w:r>
            <w:r>
              <w:rPr>
                <w:b w:val="0"/>
                <w:bCs w:val="0"/>
                <w:spacing w:val="1"/>
                <w:highlight w:val="none"/>
              </w:rPr>
              <w:t>荧光高压汞灯（包括电感镇流器）等，不应直接安装在可燃物体上或</w:t>
            </w:r>
            <w:r>
              <w:rPr>
                <w:b w:val="0"/>
                <w:bCs w:val="0"/>
                <w:spacing w:val="-1"/>
                <w:highlight w:val="none"/>
              </w:rPr>
              <w:t>采取其他防火措施；</w:t>
            </w:r>
          </w:p>
        </w:tc>
        <w:tc>
          <w:tcPr>
            <w:tcW w:w="1178" w:type="pct"/>
            <w:vAlign w:val="center"/>
          </w:tcPr>
          <w:p w14:paraId="3F9D01A5">
            <w:pPr>
              <w:pStyle w:val="23"/>
              <w:keepNext w:val="0"/>
              <w:keepLines w:val="0"/>
              <w:suppressLineNumbers w:val="0"/>
              <w:spacing w:before="225" w:line="307" w:lineRule="auto"/>
              <w:ind w:left="115" w:right="142" w:hanging="2"/>
              <w:rPr>
                <w:b w:val="0"/>
                <w:bCs w:val="0"/>
                <w:highlight w:val="none"/>
              </w:rPr>
            </w:pPr>
            <w:r>
              <w:rPr>
                <w:b w:val="0"/>
                <w:bCs w:val="0"/>
                <w:spacing w:val="-5"/>
                <w:highlight w:val="none"/>
              </w:rPr>
              <w:t>每发现一处不符合要求的扣 1 分，</w:t>
            </w:r>
            <w:r>
              <w:rPr>
                <w:b w:val="0"/>
                <w:bCs w:val="0"/>
                <w:spacing w:val="6"/>
                <w:highlight w:val="none"/>
              </w:rPr>
              <w:t xml:space="preserve"> </w:t>
            </w:r>
            <w:r>
              <w:rPr>
                <w:b w:val="0"/>
                <w:bCs w:val="0"/>
                <w:spacing w:val="-7"/>
                <w:highlight w:val="none"/>
              </w:rPr>
              <w:t>最高扣</w:t>
            </w:r>
            <w:r>
              <w:rPr>
                <w:b w:val="0"/>
                <w:bCs w:val="0"/>
                <w:spacing w:val="-32"/>
                <w:highlight w:val="none"/>
              </w:rPr>
              <w:t xml:space="preserve"> </w:t>
            </w:r>
            <w:r>
              <w:rPr>
                <w:b w:val="0"/>
                <w:bCs w:val="0"/>
                <w:spacing w:val="-7"/>
                <w:highlight w:val="none"/>
              </w:rPr>
              <w:t>2</w:t>
            </w:r>
            <w:r>
              <w:rPr>
                <w:b w:val="0"/>
                <w:bCs w:val="0"/>
                <w:spacing w:val="-34"/>
                <w:highlight w:val="none"/>
              </w:rPr>
              <w:t xml:space="preserve"> </w:t>
            </w:r>
            <w:r>
              <w:rPr>
                <w:b w:val="0"/>
                <w:bCs w:val="0"/>
                <w:spacing w:val="-7"/>
                <w:highlight w:val="none"/>
              </w:rPr>
              <w:t>分。</w:t>
            </w:r>
          </w:p>
        </w:tc>
        <w:tc>
          <w:tcPr>
            <w:tcW w:w="367" w:type="pct"/>
            <w:shd w:val="clear" w:color="auto" w:fill="auto"/>
            <w:vAlign w:val="center"/>
          </w:tcPr>
          <w:p w14:paraId="3648F63A">
            <w:pPr>
              <w:keepNext w:val="0"/>
              <w:keepLines w:val="0"/>
              <w:suppressLineNumbers w:val="0"/>
              <w:spacing w:before="0" w:beforeAutospacing="0" w:after="0" w:afterAutospacing="0"/>
              <w:ind w:left="0" w:right="0"/>
              <w:jc w:val="center"/>
              <w:rPr>
                <w:rFonts w:hint="default" w:ascii="Arial" w:hAnsi="Arial" w:eastAsia="宋体" w:cs="Arial"/>
                <w:b w:val="0"/>
                <w:bCs w:val="0"/>
                <w:snapToGrid w:val="0"/>
                <w:color w:val="000000"/>
                <w:kern w:val="0"/>
                <w:sz w:val="21"/>
                <w:szCs w:val="21"/>
                <w:highlight w:val="none"/>
                <w:lang w:val="en-US" w:eastAsia="zh-CN"/>
              </w:rPr>
            </w:pPr>
          </w:p>
        </w:tc>
        <w:tc>
          <w:tcPr>
            <w:tcW w:w="338" w:type="pct"/>
            <w:vAlign w:val="center"/>
          </w:tcPr>
          <w:p w14:paraId="08F2CE3D">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bottom w:val="nil"/>
            </w:tcBorders>
            <w:vAlign w:val="center"/>
          </w:tcPr>
          <w:p w14:paraId="5FCDB561">
            <w:pPr>
              <w:keepNext w:val="0"/>
              <w:keepLines w:val="0"/>
              <w:suppressLineNumbers w:val="0"/>
              <w:spacing w:before="0" w:beforeAutospacing="0" w:after="0" w:afterAutospacing="0"/>
              <w:ind w:left="0" w:right="0"/>
              <w:rPr>
                <w:rFonts w:hint="default" w:ascii="Arial"/>
                <w:b w:val="0"/>
                <w:bCs w:val="0"/>
                <w:sz w:val="21"/>
                <w:highlight w:val="none"/>
              </w:rPr>
            </w:pPr>
          </w:p>
        </w:tc>
      </w:tr>
      <w:tr w14:paraId="380336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2" w:hRule="atLeast"/>
          <w:jc w:val="center"/>
        </w:trPr>
        <w:tc>
          <w:tcPr>
            <w:tcW w:w="197" w:type="pct"/>
            <w:vMerge w:val="continue"/>
            <w:tcBorders>
              <w:top w:val="nil"/>
            </w:tcBorders>
            <w:vAlign w:val="center"/>
          </w:tcPr>
          <w:p w14:paraId="6662FFF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3FDACCE0">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Merge w:val="continue"/>
            <w:tcBorders>
              <w:top w:val="nil"/>
            </w:tcBorders>
            <w:vAlign w:val="center"/>
          </w:tcPr>
          <w:p w14:paraId="70CD0D8A">
            <w:pPr>
              <w:keepNext w:val="0"/>
              <w:keepLines w:val="0"/>
              <w:suppressLineNumbers w:val="0"/>
              <w:spacing w:before="0" w:beforeAutospacing="0" w:after="0" w:afterAutospacing="0"/>
              <w:ind w:left="0" w:right="0"/>
              <w:rPr>
                <w:rFonts w:hint="default" w:ascii="Arial"/>
                <w:b w:val="0"/>
                <w:bCs w:val="0"/>
                <w:sz w:val="21"/>
                <w:highlight w:val="none"/>
              </w:rPr>
            </w:pPr>
          </w:p>
        </w:tc>
        <w:tc>
          <w:tcPr>
            <w:tcW w:w="1727" w:type="pct"/>
            <w:vAlign w:val="center"/>
          </w:tcPr>
          <w:p w14:paraId="73F02EBF">
            <w:pPr>
              <w:pStyle w:val="23"/>
              <w:keepNext w:val="0"/>
              <w:keepLines w:val="0"/>
              <w:suppressLineNumbers w:val="0"/>
              <w:spacing w:before="71" w:line="296" w:lineRule="auto"/>
              <w:ind w:left="112" w:right="102" w:firstLine="2"/>
              <w:jc w:val="both"/>
              <w:rPr>
                <w:b w:val="0"/>
                <w:bCs w:val="0"/>
                <w:highlight w:val="none"/>
              </w:rPr>
            </w:pPr>
            <w:r>
              <w:rPr>
                <w:b w:val="0"/>
                <w:bCs w:val="0"/>
                <w:spacing w:val="1"/>
                <w:highlight w:val="none"/>
              </w:rPr>
              <w:t>d)可燃材料仓库内宜使用低温照明灯具，并应对灯具的发热部件采取</w:t>
            </w:r>
            <w:r>
              <w:rPr>
                <w:b w:val="0"/>
                <w:bCs w:val="0"/>
                <w:highlight w:val="none"/>
              </w:rPr>
              <w:t>隔热等防火措施，不应使用碘钨灯、卤钨灯、60W以上的白炽灯等高</w:t>
            </w:r>
            <w:r>
              <w:rPr>
                <w:b w:val="0"/>
                <w:bCs w:val="0"/>
                <w:spacing w:val="-2"/>
                <w:highlight w:val="none"/>
              </w:rPr>
              <w:t>温照明灯具。</w:t>
            </w:r>
          </w:p>
        </w:tc>
        <w:tc>
          <w:tcPr>
            <w:tcW w:w="1178" w:type="pct"/>
            <w:vAlign w:val="center"/>
          </w:tcPr>
          <w:p w14:paraId="7A09BCD9">
            <w:pPr>
              <w:pStyle w:val="23"/>
              <w:keepNext w:val="0"/>
              <w:keepLines w:val="0"/>
              <w:suppressLineNumbers w:val="0"/>
              <w:spacing w:before="225" w:line="307" w:lineRule="auto"/>
              <w:ind w:left="115" w:right="142" w:hanging="2"/>
              <w:rPr>
                <w:b w:val="0"/>
                <w:bCs w:val="0"/>
                <w:highlight w:val="none"/>
              </w:rPr>
            </w:pPr>
            <w:r>
              <w:rPr>
                <w:b w:val="0"/>
                <w:bCs w:val="0"/>
                <w:spacing w:val="-5"/>
                <w:highlight w:val="none"/>
              </w:rPr>
              <w:t>每发现一处不符合要求的扣 1 分，</w:t>
            </w:r>
            <w:r>
              <w:rPr>
                <w:b w:val="0"/>
                <w:bCs w:val="0"/>
                <w:spacing w:val="6"/>
                <w:highlight w:val="none"/>
              </w:rPr>
              <w:t xml:space="preserve"> </w:t>
            </w:r>
            <w:r>
              <w:rPr>
                <w:b w:val="0"/>
                <w:bCs w:val="0"/>
                <w:spacing w:val="-7"/>
                <w:highlight w:val="none"/>
              </w:rPr>
              <w:t>最高扣</w:t>
            </w:r>
            <w:r>
              <w:rPr>
                <w:b w:val="0"/>
                <w:bCs w:val="0"/>
                <w:spacing w:val="-32"/>
                <w:highlight w:val="none"/>
              </w:rPr>
              <w:t xml:space="preserve"> </w:t>
            </w:r>
            <w:r>
              <w:rPr>
                <w:b w:val="0"/>
                <w:bCs w:val="0"/>
                <w:spacing w:val="-7"/>
                <w:highlight w:val="none"/>
              </w:rPr>
              <w:t>2</w:t>
            </w:r>
            <w:r>
              <w:rPr>
                <w:b w:val="0"/>
                <w:bCs w:val="0"/>
                <w:spacing w:val="-34"/>
                <w:highlight w:val="none"/>
              </w:rPr>
              <w:t xml:space="preserve"> </w:t>
            </w:r>
            <w:r>
              <w:rPr>
                <w:b w:val="0"/>
                <w:bCs w:val="0"/>
                <w:spacing w:val="-7"/>
                <w:highlight w:val="none"/>
              </w:rPr>
              <w:t>分。</w:t>
            </w:r>
          </w:p>
        </w:tc>
        <w:tc>
          <w:tcPr>
            <w:tcW w:w="367" w:type="pct"/>
            <w:vAlign w:val="center"/>
          </w:tcPr>
          <w:p w14:paraId="4587B226">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5BE754E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Merge w:val="continue"/>
            <w:tcBorders>
              <w:top w:val="nil"/>
            </w:tcBorders>
            <w:vAlign w:val="center"/>
          </w:tcPr>
          <w:p w14:paraId="0594DC20">
            <w:pPr>
              <w:keepNext w:val="0"/>
              <w:keepLines w:val="0"/>
              <w:suppressLineNumbers w:val="0"/>
              <w:spacing w:before="0" w:beforeAutospacing="0" w:after="0" w:afterAutospacing="0"/>
              <w:ind w:left="0" w:right="0"/>
              <w:rPr>
                <w:rFonts w:hint="default" w:ascii="Arial"/>
                <w:b w:val="0"/>
                <w:bCs w:val="0"/>
                <w:sz w:val="21"/>
                <w:highlight w:val="none"/>
              </w:rPr>
            </w:pPr>
          </w:p>
        </w:tc>
      </w:tr>
    </w:tbl>
    <w:p w14:paraId="263A9905">
      <w:pPr>
        <w:rPr>
          <w:highlight w:val="none"/>
        </w:rPr>
      </w:pPr>
      <w:r>
        <w:rPr>
          <w:highlight w:val="none"/>
        </w:rPr>
        <w:br w:type="page"/>
      </w:r>
    </w:p>
    <w:p w14:paraId="35A7A62A">
      <w:pPr>
        <w:pStyle w:val="5"/>
        <w:spacing w:before="191" w:line="222" w:lineRule="auto"/>
        <w:outlineLvl w:val="9"/>
        <w:rPr>
          <w:b w:val="0"/>
          <w:bCs w:val="0"/>
          <w:color w:val="auto"/>
          <w:spacing w:val="-2"/>
          <w:sz w:val="18"/>
          <w:szCs w:val="18"/>
          <w:highlight w:val="none"/>
        </w:rPr>
      </w:pPr>
    </w:p>
    <w:p w14:paraId="57B8E786">
      <w:pPr>
        <w:pStyle w:val="5"/>
        <w:spacing w:before="191" w:line="222" w:lineRule="auto"/>
        <w:outlineLvl w:val="2"/>
        <w:rPr>
          <w:b w:val="0"/>
          <w:bCs w:val="0"/>
          <w:spacing w:val="-2"/>
          <w:sz w:val="24"/>
          <w:szCs w:val="24"/>
          <w:highlight w:val="none"/>
        </w:rPr>
      </w:pPr>
      <w:r>
        <w:rPr>
          <w:rFonts w:hint="eastAsia" w:ascii="Times New Roman" w:hAnsi="Times New Roman" w:cs="Times New Roman"/>
          <w:b/>
          <w:bCs/>
          <w:highlight w:val="none"/>
        </w:rPr>
        <w:t>A.</w:t>
      </w:r>
      <w:r>
        <w:rPr>
          <w:rFonts w:ascii="Times New Roman" w:hAnsi="Times New Roman" w:cs="Times New Roman"/>
          <w:b/>
          <w:bCs/>
          <w:highlight w:val="none"/>
        </w:rPr>
        <w:t>0.</w:t>
      </w:r>
      <w:r>
        <w:rPr>
          <w:rFonts w:hint="eastAsia" w:ascii="Times New Roman" w:hAnsi="Times New Roman" w:cs="Times New Roman"/>
          <w:b/>
          <w:bCs/>
          <w:highlight w:val="none"/>
          <w:lang w:val="en-US" w:eastAsia="zh-CN"/>
        </w:rPr>
        <w:t xml:space="preserve">3  </w:t>
      </w:r>
      <w:r>
        <w:rPr>
          <w:b w:val="0"/>
          <w:bCs w:val="0"/>
          <w:spacing w:val="-2"/>
          <w:sz w:val="24"/>
          <w:szCs w:val="24"/>
          <w:highlight w:val="none"/>
        </w:rPr>
        <w:t>消防设施</w:t>
      </w:r>
      <w:r>
        <w:rPr>
          <w:rFonts w:hint="eastAsia"/>
          <w:b w:val="0"/>
          <w:bCs w:val="0"/>
          <w:spacing w:val="-2"/>
          <w:sz w:val="24"/>
          <w:szCs w:val="24"/>
          <w:highlight w:val="none"/>
          <w:lang w:val="en-US" w:eastAsia="zh-CN"/>
        </w:rPr>
        <w:t>分</w:t>
      </w:r>
      <w:r>
        <w:rPr>
          <w:b w:val="0"/>
          <w:bCs w:val="0"/>
          <w:spacing w:val="-2"/>
          <w:sz w:val="24"/>
          <w:szCs w:val="24"/>
          <w:highlight w:val="none"/>
        </w:rPr>
        <w:t>项消防安全评估记录表（总分：</w:t>
      </w:r>
      <w:r>
        <w:rPr>
          <w:rFonts w:hint="eastAsia"/>
          <w:b w:val="0"/>
          <w:bCs w:val="0"/>
          <w:spacing w:val="-2"/>
          <w:sz w:val="24"/>
          <w:szCs w:val="24"/>
          <w:highlight w:val="none"/>
          <w:lang w:val="en-US" w:eastAsia="zh-CN"/>
        </w:rPr>
        <w:t>340</w:t>
      </w:r>
      <w:r>
        <w:rPr>
          <w:b w:val="0"/>
          <w:bCs w:val="0"/>
          <w:spacing w:val="-2"/>
          <w:sz w:val="24"/>
          <w:szCs w:val="24"/>
          <w:highlight w:val="none"/>
        </w:rPr>
        <w:t>分）</w:t>
      </w:r>
    </w:p>
    <w:tbl>
      <w:tblPr>
        <w:tblStyle w:val="24"/>
        <w:tblW w:w="494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9"/>
        <w:gridCol w:w="1466"/>
        <w:gridCol w:w="1092"/>
        <w:gridCol w:w="5104"/>
        <w:gridCol w:w="3501"/>
        <w:gridCol w:w="1092"/>
        <w:gridCol w:w="1008"/>
        <w:gridCol w:w="982"/>
      </w:tblGrid>
      <w:tr w14:paraId="11D4CB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208" w:type="pct"/>
            <w:tcBorders>
              <w:bottom w:val="single" w:color="auto" w:sz="4" w:space="0"/>
            </w:tcBorders>
            <w:vAlign w:val="center"/>
          </w:tcPr>
          <w:p w14:paraId="1CC3CAE4">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tcBorders>
              <w:bottom w:val="single" w:color="auto" w:sz="4" w:space="0"/>
            </w:tcBorders>
            <w:vAlign w:val="center"/>
          </w:tcPr>
          <w:p w14:paraId="5CD32167">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tcBorders>
              <w:bottom w:val="single" w:color="auto" w:sz="4" w:space="0"/>
            </w:tcBorders>
            <w:vAlign w:val="center"/>
          </w:tcPr>
          <w:p w14:paraId="2941ECE8">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16" w:type="pct"/>
            <w:tcBorders>
              <w:bottom w:val="single" w:color="auto" w:sz="4" w:space="0"/>
            </w:tcBorders>
            <w:vAlign w:val="center"/>
          </w:tcPr>
          <w:p w14:paraId="7B60EDF7">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7" w:type="pct"/>
            <w:tcBorders>
              <w:bottom w:val="single" w:color="auto" w:sz="4" w:space="0"/>
            </w:tcBorders>
            <w:vAlign w:val="center"/>
          </w:tcPr>
          <w:p w14:paraId="4FEADDA1">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tcBorders>
              <w:bottom w:val="single" w:color="auto" w:sz="4" w:space="0"/>
            </w:tcBorders>
            <w:vAlign w:val="center"/>
          </w:tcPr>
          <w:p w14:paraId="2262E14B">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tcBorders>
              <w:bottom w:val="single" w:color="auto" w:sz="4" w:space="0"/>
            </w:tcBorders>
            <w:vAlign w:val="center"/>
          </w:tcPr>
          <w:p w14:paraId="17F9496E">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tcBorders>
              <w:bottom w:val="single" w:color="auto" w:sz="4" w:space="0"/>
            </w:tcBorders>
            <w:vAlign w:val="center"/>
          </w:tcPr>
          <w:p w14:paraId="673DDB54">
            <w:pPr>
              <w:pStyle w:val="23"/>
              <w:keepNext w:val="0"/>
              <w:keepLines w:val="0"/>
              <w:suppressLineNumbers w:val="0"/>
              <w:spacing w:before="71" w:line="220" w:lineRule="auto"/>
              <w:ind w:left="295"/>
              <w:rPr>
                <w:highlight w:val="none"/>
              </w:rPr>
            </w:pPr>
            <w:r>
              <w:rPr>
                <w:b/>
                <w:bCs/>
                <w:spacing w:val="-4"/>
                <w:highlight w:val="none"/>
              </w:rPr>
              <w:t>得分</w:t>
            </w:r>
          </w:p>
        </w:tc>
      </w:tr>
      <w:tr w14:paraId="1EC0EE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5" w:hRule="atLeast"/>
          <w:jc w:val="center"/>
        </w:trPr>
        <w:tc>
          <w:tcPr>
            <w:tcW w:w="208" w:type="pct"/>
            <w:vMerge w:val="restart"/>
            <w:tcBorders>
              <w:top w:val="single" w:color="auto" w:sz="4" w:space="0"/>
              <w:left w:val="single" w:color="auto" w:sz="4" w:space="0"/>
              <w:bottom w:val="single" w:color="auto" w:sz="4" w:space="0"/>
              <w:right w:val="single" w:color="auto" w:sz="4" w:space="0"/>
            </w:tcBorders>
            <w:vAlign w:val="center"/>
          </w:tcPr>
          <w:p w14:paraId="2A56C78C">
            <w:pPr>
              <w:pStyle w:val="23"/>
              <w:keepNext w:val="0"/>
              <w:keepLines w:val="0"/>
              <w:suppressLineNumbers w:val="0"/>
              <w:spacing w:before="59" w:line="181" w:lineRule="auto"/>
              <w:ind w:left="269"/>
              <w:rPr>
                <w:rFonts w:hint="eastAsia" w:eastAsia="宋体"/>
                <w:b w:val="0"/>
                <w:bCs w:val="0"/>
                <w:highlight w:val="none"/>
                <w:lang w:eastAsia="zh-CN"/>
              </w:rPr>
            </w:pPr>
            <w:r>
              <w:rPr>
                <w:rFonts w:hint="eastAsia"/>
                <w:b w:val="0"/>
                <w:bCs w:val="0"/>
                <w:spacing w:val="-2"/>
                <w:highlight w:val="none"/>
                <w:lang w:val="en-US" w:eastAsia="zh-CN"/>
              </w:rPr>
              <w:t>1</w:t>
            </w:r>
          </w:p>
        </w:tc>
        <w:tc>
          <w:tcPr>
            <w:tcW w:w="493" w:type="pct"/>
            <w:vMerge w:val="restart"/>
            <w:tcBorders>
              <w:top w:val="single" w:color="auto" w:sz="4" w:space="0"/>
              <w:left w:val="single" w:color="auto" w:sz="4" w:space="0"/>
              <w:bottom w:val="single" w:color="auto" w:sz="4" w:space="0"/>
              <w:right w:val="single" w:color="auto" w:sz="4" w:space="0"/>
            </w:tcBorders>
            <w:vAlign w:val="center"/>
          </w:tcPr>
          <w:p w14:paraId="70B7256A">
            <w:pPr>
              <w:pStyle w:val="23"/>
              <w:keepNext w:val="0"/>
              <w:keepLines w:val="0"/>
              <w:suppressLineNumbers w:val="0"/>
              <w:spacing w:before="59" w:line="220" w:lineRule="auto"/>
              <w:ind w:left="174"/>
              <w:rPr>
                <w:b w:val="0"/>
                <w:bCs w:val="0"/>
                <w:highlight w:val="none"/>
              </w:rPr>
            </w:pPr>
            <w:r>
              <w:rPr>
                <w:b w:val="0"/>
                <w:bCs w:val="0"/>
                <w:spacing w:val="-2"/>
                <w:highlight w:val="none"/>
              </w:rPr>
              <w:t>消防给水设施</w:t>
            </w:r>
          </w:p>
          <w:p w14:paraId="22ED00C6">
            <w:pPr>
              <w:pStyle w:val="23"/>
              <w:keepNext w:val="0"/>
              <w:keepLines w:val="0"/>
              <w:suppressLineNumbers w:val="0"/>
              <w:spacing w:before="97" w:line="221" w:lineRule="auto"/>
              <w:ind w:left="331"/>
              <w:rPr>
                <w:b w:val="0"/>
                <w:bCs w:val="0"/>
                <w:highlight w:val="none"/>
              </w:rPr>
            </w:pP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7" w:type="pct"/>
            <w:tcBorders>
              <w:top w:val="single" w:color="auto" w:sz="4" w:space="0"/>
              <w:left w:val="single" w:color="auto" w:sz="4" w:space="0"/>
              <w:bottom w:val="single" w:color="auto" w:sz="4" w:space="0"/>
              <w:right w:val="single" w:color="auto" w:sz="4" w:space="0"/>
            </w:tcBorders>
            <w:vAlign w:val="center"/>
          </w:tcPr>
          <w:p w14:paraId="56F4510D">
            <w:pPr>
              <w:pStyle w:val="23"/>
              <w:keepNext w:val="0"/>
              <w:keepLines w:val="0"/>
              <w:suppressLineNumbers w:val="0"/>
              <w:spacing w:before="58" w:line="307" w:lineRule="auto"/>
              <w:ind w:left="113" w:right="106" w:hanging="1"/>
              <w:rPr>
                <w:b w:val="0"/>
                <w:bCs w:val="0"/>
                <w:highlight w:val="none"/>
              </w:rPr>
            </w:pPr>
            <w:r>
              <w:rPr>
                <w:b w:val="0"/>
                <w:bCs w:val="0"/>
                <w:spacing w:val="-12"/>
                <w:highlight w:val="none"/>
              </w:rPr>
              <w:t>消防水源</w:t>
            </w:r>
            <w:r>
              <w:rPr>
                <w:b w:val="0"/>
                <w:bCs w:val="0"/>
                <w:spacing w:val="7"/>
                <w:highlight w:val="none"/>
              </w:rPr>
              <w:t>（4分）</w:t>
            </w:r>
          </w:p>
        </w:tc>
        <w:tc>
          <w:tcPr>
            <w:tcW w:w="1716" w:type="pct"/>
            <w:tcBorders>
              <w:top w:val="single" w:color="auto" w:sz="4" w:space="0"/>
              <w:left w:val="single" w:color="auto" w:sz="4" w:space="0"/>
              <w:bottom w:val="single" w:color="auto" w:sz="4" w:space="0"/>
              <w:right w:val="single" w:color="auto" w:sz="4" w:space="0"/>
            </w:tcBorders>
            <w:vAlign w:val="center"/>
          </w:tcPr>
          <w:p w14:paraId="38D96F89">
            <w:pPr>
              <w:pStyle w:val="23"/>
              <w:keepNext w:val="0"/>
              <w:keepLines w:val="0"/>
              <w:suppressLineNumbers w:val="0"/>
              <w:spacing w:before="59" w:line="220" w:lineRule="auto"/>
              <w:ind w:left="112"/>
              <w:rPr>
                <w:b w:val="0"/>
                <w:bCs w:val="0"/>
                <w:highlight w:val="none"/>
              </w:rPr>
            </w:pPr>
            <w:r>
              <w:rPr>
                <w:b w:val="0"/>
                <w:bCs w:val="0"/>
                <w:spacing w:val="-1"/>
                <w:highlight w:val="none"/>
              </w:rPr>
              <w:t>a)市政给水的供水能力；</w:t>
            </w:r>
          </w:p>
          <w:p w14:paraId="034AF119">
            <w:pPr>
              <w:pStyle w:val="23"/>
              <w:keepNext w:val="0"/>
              <w:keepLines w:val="0"/>
              <w:suppressLineNumbers w:val="0"/>
              <w:spacing w:before="97" w:line="220" w:lineRule="auto"/>
              <w:ind w:left="108"/>
              <w:rPr>
                <w:b w:val="0"/>
                <w:bCs w:val="0"/>
                <w:highlight w:val="none"/>
              </w:rPr>
            </w:pPr>
            <w:r>
              <w:rPr>
                <w:b w:val="0"/>
                <w:bCs w:val="0"/>
                <w:spacing w:val="-1"/>
                <w:highlight w:val="none"/>
              </w:rPr>
              <w:t>b)地表天然水源的供水能力；</w:t>
            </w:r>
          </w:p>
          <w:p w14:paraId="396E8B23">
            <w:pPr>
              <w:pStyle w:val="23"/>
              <w:keepNext w:val="0"/>
              <w:keepLines w:val="0"/>
              <w:suppressLineNumbers w:val="0"/>
              <w:spacing w:before="97" w:line="220" w:lineRule="auto"/>
              <w:ind w:left="115"/>
              <w:rPr>
                <w:b w:val="0"/>
                <w:bCs w:val="0"/>
                <w:highlight w:val="none"/>
              </w:rPr>
            </w:pPr>
            <w:r>
              <w:rPr>
                <w:b w:val="0"/>
                <w:bCs w:val="0"/>
                <w:spacing w:val="-1"/>
                <w:highlight w:val="none"/>
              </w:rPr>
              <w:t>c)地下水井的供水能力。</w:t>
            </w:r>
          </w:p>
        </w:tc>
        <w:tc>
          <w:tcPr>
            <w:tcW w:w="1177" w:type="pct"/>
            <w:tcBorders>
              <w:top w:val="single" w:color="auto" w:sz="4" w:space="0"/>
              <w:left w:val="single" w:color="auto" w:sz="4" w:space="0"/>
              <w:bottom w:val="single" w:color="auto" w:sz="4" w:space="0"/>
              <w:right w:val="single" w:color="auto" w:sz="4" w:space="0"/>
            </w:tcBorders>
            <w:vAlign w:val="center"/>
          </w:tcPr>
          <w:p w14:paraId="21B6DF27">
            <w:pPr>
              <w:pStyle w:val="23"/>
              <w:keepNext w:val="0"/>
              <w:keepLines w:val="0"/>
              <w:suppressLineNumbers w:val="0"/>
              <w:spacing w:before="59" w:line="220" w:lineRule="auto"/>
              <w:ind w:left="116"/>
              <w:rPr>
                <w:b w:val="0"/>
                <w:bCs w:val="0"/>
                <w:highlight w:val="none"/>
              </w:rPr>
            </w:pPr>
            <w:r>
              <w:rPr>
                <w:b w:val="0"/>
                <w:bCs w:val="0"/>
                <w:highlight w:val="none"/>
              </w:rPr>
              <w:t>不符合要求扣4</w:t>
            </w:r>
            <w:r>
              <w:rPr>
                <w:b w:val="0"/>
                <w:bCs w:val="0"/>
                <w:spacing w:val="-25"/>
                <w:highlight w:val="none"/>
              </w:rPr>
              <w:t xml:space="preserve"> </w:t>
            </w:r>
            <w:r>
              <w:rPr>
                <w:b w:val="0"/>
                <w:bCs w:val="0"/>
                <w:highlight w:val="none"/>
              </w:rPr>
              <w:t>分，扣完不得分。</w:t>
            </w:r>
          </w:p>
        </w:tc>
        <w:tc>
          <w:tcPr>
            <w:tcW w:w="367" w:type="pct"/>
            <w:tcBorders>
              <w:top w:val="single" w:color="auto" w:sz="4" w:space="0"/>
              <w:left w:val="single" w:color="auto" w:sz="4" w:space="0"/>
              <w:bottom w:val="single" w:color="auto" w:sz="4" w:space="0"/>
              <w:right w:val="single" w:color="auto" w:sz="4" w:space="0"/>
            </w:tcBorders>
            <w:shd w:val="clear" w:color="auto" w:fill="auto"/>
            <w:vAlign w:val="center"/>
          </w:tcPr>
          <w:p w14:paraId="4C73197C">
            <w:pPr>
              <w:pStyle w:val="23"/>
              <w:keepNext w:val="0"/>
              <w:keepLines w:val="0"/>
              <w:suppressLineNumbers w:val="0"/>
              <w:spacing w:before="68" w:line="282" w:lineRule="auto"/>
              <w:ind w:right="101" w:rightChars="0"/>
              <w:jc w:val="center"/>
              <w:rPr>
                <w:rFonts w:hint="default" w:eastAsia="宋体"/>
                <w:b w:val="0"/>
                <w:bCs w:val="0"/>
                <w:color w:val="auto"/>
                <w:sz w:val="21"/>
                <w:highlight w:val="none"/>
                <w:lang w:val="en-US" w:eastAsia="zh-CN"/>
              </w:rPr>
            </w:pPr>
          </w:p>
        </w:tc>
        <w:tc>
          <w:tcPr>
            <w:tcW w:w="339" w:type="pct"/>
            <w:tcBorders>
              <w:top w:val="single" w:color="auto" w:sz="4" w:space="0"/>
              <w:left w:val="single" w:color="auto" w:sz="4" w:space="0"/>
              <w:bottom w:val="single" w:color="auto" w:sz="4" w:space="0"/>
              <w:right w:val="single" w:color="auto" w:sz="4" w:space="0"/>
            </w:tcBorders>
            <w:vAlign w:val="center"/>
          </w:tcPr>
          <w:p w14:paraId="1CC5B565">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tcBorders>
              <w:top w:val="single" w:color="auto" w:sz="4" w:space="0"/>
              <w:left w:val="single" w:color="auto" w:sz="4" w:space="0"/>
              <w:bottom w:val="single" w:color="auto" w:sz="4" w:space="0"/>
              <w:right w:val="single" w:color="auto" w:sz="4" w:space="0"/>
            </w:tcBorders>
            <w:vAlign w:val="center"/>
          </w:tcPr>
          <w:p w14:paraId="13B1BC53">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5B436D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53"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54A2E1E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E71DE9D">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top w:val="single" w:color="auto" w:sz="4" w:space="0"/>
              <w:left w:val="single" w:color="auto" w:sz="4" w:space="0"/>
              <w:bottom w:val="single" w:color="auto" w:sz="4" w:space="0"/>
              <w:right w:val="single" w:color="auto" w:sz="4" w:space="0"/>
            </w:tcBorders>
            <w:vAlign w:val="center"/>
          </w:tcPr>
          <w:p w14:paraId="56E9E664">
            <w:pPr>
              <w:pStyle w:val="23"/>
              <w:keepNext w:val="0"/>
              <w:keepLines w:val="0"/>
              <w:suppressLineNumbers w:val="0"/>
              <w:spacing w:before="59" w:line="307" w:lineRule="auto"/>
              <w:ind w:left="113" w:right="106" w:hanging="1"/>
              <w:rPr>
                <w:b w:val="0"/>
                <w:bCs w:val="0"/>
                <w:highlight w:val="none"/>
              </w:rPr>
            </w:pPr>
            <w:r>
              <w:rPr>
                <w:b w:val="0"/>
                <w:bCs w:val="0"/>
                <w:spacing w:val="-12"/>
                <w:highlight w:val="none"/>
              </w:rPr>
              <w:t>消防水池</w:t>
            </w:r>
            <w:r>
              <w:rPr>
                <w:b w:val="0"/>
                <w:bCs w:val="0"/>
                <w:spacing w:val="7"/>
                <w:highlight w:val="none"/>
              </w:rPr>
              <w:t>（3分）</w:t>
            </w:r>
          </w:p>
        </w:tc>
        <w:tc>
          <w:tcPr>
            <w:tcW w:w="1716" w:type="pct"/>
            <w:tcBorders>
              <w:top w:val="single" w:color="auto" w:sz="4" w:space="0"/>
              <w:left w:val="single" w:color="auto" w:sz="4" w:space="0"/>
              <w:bottom w:val="single" w:color="auto" w:sz="4" w:space="0"/>
              <w:right w:val="single" w:color="auto" w:sz="4" w:space="0"/>
            </w:tcBorders>
            <w:vAlign w:val="center"/>
          </w:tcPr>
          <w:p w14:paraId="2A78D60D">
            <w:pPr>
              <w:pStyle w:val="23"/>
              <w:keepNext w:val="0"/>
              <w:keepLines w:val="0"/>
              <w:suppressLineNumbers w:val="0"/>
              <w:spacing w:before="70" w:line="220" w:lineRule="auto"/>
              <w:ind w:left="112"/>
              <w:rPr>
                <w:b w:val="0"/>
                <w:bCs w:val="0"/>
                <w:highlight w:val="none"/>
              </w:rPr>
            </w:pPr>
            <w:r>
              <w:rPr>
                <w:b w:val="0"/>
                <w:bCs w:val="0"/>
                <w:spacing w:val="-1"/>
                <w:highlight w:val="none"/>
              </w:rPr>
              <w:t>a)消防水池有效容积；</w:t>
            </w:r>
          </w:p>
          <w:p w14:paraId="4497B138">
            <w:pPr>
              <w:pStyle w:val="23"/>
              <w:keepNext w:val="0"/>
              <w:keepLines w:val="0"/>
              <w:suppressLineNumbers w:val="0"/>
              <w:spacing w:before="97" w:line="220" w:lineRule="auto"/>
              <w:ind w:left="108"/>
              <w:rPr>
                <w:b w:val="0"/>
                <w:bCs w:val="0"/>
                <w:highlight w:val="none"/>
              </w:rPr>
            </w:pPr>
            <w:r>
              <w:rPr>
                <w:b w:val="0"/>
                <w:bCs w:val="0"/>
                <w:spacing w:val="-1"/>
                <w:highlight w:val="none"/>
              </w:rPr>
              <w:t>b)就地水位显示、消防控制室显示，高低水位报警装置；</w:t>
            </w:r>
          </w:p>
          <w:p w14:paraId="166D0BED">
            <w:pPr>
              <w:pStyle w:val="23"/>
              <w:keepNext w:val="0"/>
              <w:keepLines w:val="0"/>
              <w:suppressLineNumbers w:val="0"/>
              <w:spacing w:before="97" w:line="220" w:lineRule="auto"/>
              <w:ind w:left="115"/>
              <w:rPr>
                <w:b w:val="0"/>
                <w:bCs w:val="0"/>
                <w:highlight w:val="none"/>
              </w:rPr>
            </w:pPr>
            <w:r>
              <w:rPr>
                <w:b w:val="0"/>
                <w:bCs w:val="0"/>
                <w:spacing w:val="-1"/>
                <w:highlight w:val="none"/>
              </w:rPr>
              <w:t>c)消防水池的补水设施；</w:t>
            </w:r>
          </w:p>
          <w:p w14:paraId="5421517A">
            <w:pPr>
              <w:pStyle w:val="23"/>
              <w:keepNext w:val="0"/>
              <w:keepLines w:val="0"/>
              <w:suppressLineNumbers w:val="0"/>
              <w:spacing w:before="97" w:line="220" w:lineRule="auto"/>
              <w:ind w:left="115"/>
              <w:rPr>
                <w:b w:val="0"/>
                <w:bCs w:val="0"/>
                <w:highlight w:val="none"/>
              </w:rPr>
            </w:pPr>
            <w:r>
              <w:rPr>
                <w:b w:val="0"/>
                <w:bCs w:val="0"/>
                <w:spacing w:val="-2"/>
                <w:highlight w:val="none"/>
              </w:rPr>
              <w:t>d)消防水池的防冻措施；</w:t>
            </w:r>
          </w:p>
          <w:p w14:paraId="0A15CD17">
            <w:pPr>
              <w:pStyle w:val="23"/>
              <w:keepNext w:val="0"/>
              <w:keepLines w:val="0"/>
              <w:suppressLineNumbers w:val="0"/>
              <w:spacing w:before="97" w:line="283" w:lineRule="auto"/>
              <w:ind w:left="114" w:right="847" w:firstLine="1"/>
              <w:rPr>
                <w:b w:val="0"/>
                <w:bCs w:val="0"/>
                <w:spacing w:val="2"/>
                <w:highlight w:val="none"/>
              </w:rPr>
            </w:pPr>
            <w:r>
              <w:rPr>
                <w:b w:val="0"/>
                <w:bCs w:val="0"/>
                <w:spacing w:val="-2"/>
                <w:highlight w:val="none"/>
              </w:rPr>
              <w:t>e)消防水池的进出水管路、溢流管、通气管等；</w:t>
            </w:r>
          </w:p>
          <w:p w14:paraId="5B9E76C1">
            <w:pPr>
              <w:pStyle w:val="23"/>
              <w:keepNext w:val="0"/>
              <w:keepLines w:val="0"/>
              <w:suppressLineNumbers w:val="0"/>
              <w:spacing w:before="97" w:line="283" w:lineRule="auto"/>
              <w:ind w:left="114" w:right="847" w:firstLine="1"/>
              <w:rPr>
                <w:b w:val="0"/>
                <w:bCs w:val="0"/>
                <w:highlight w:val="none"/>
              </w:rPr>
            </w:pPr>
            <w:r>
              <w:rPr>
                <w:b w:val="0"/>
                <w:bCs w:val="0"/>
                <w:spacing w:val="-2"/>
                <w:highlight w:val="none"/>
              </w:rPr>
              <w:t>f)消防水池进出口阀门外观、启闭状态及标志。</w:t>
            </w:r>
          </w:p>
        </w:tc>
        <w:tc>
          <w:tcPr>
            <w:tcW w:w="1177" w:type="pct"/>
            <w:tcBorders>
              <w:top w:val="single" w:color="auto" w:sz="4" w:space="0"/>
              <w:left w:val="single" w:color="auto" w:sz="4" w:space="0"/>
              <w:bottom w:val="single" w:color="auto" w:sz="4" w:space="0"/>
              <w:right w:val="single" w:color="auto" w:sz="4" w:space="0"/>
            </w:tcBorders>
            <w:vAlign w:val="center"/>
          </w:tcPr>
          <w:p w14:paraId="0A69BCA2">
            <w:pPr>
              <w:pStyle w:val="23"/>
              <w:keepNext w:val="0"/>
              <w:keepLines w:val="0"/>
              <w:suppressLineNumbers w:val="0"/>
              <w:spacing w:before="59"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tcBorders>
              <w:top w:val="single" w:color="auto" w:sz="4" w:space="0"/>
              <w:left w:val="single" w:color="auto" w:sz="4" w:space="0"/>
              <w:bottom w:val="single" w:color="auto" w:sz="4" w:space="0"/>
              <w:right w:val="single" w:color="auto" w:sz="4" w:space="0"/>
            </w:tcBorders>
            <w:vAlign w:val="center"/>
          </w:tcPr>
          <w:p w14:paraId="11F8D7EC">
            <w:pPr>
              <w:pStyle w:val="23"/>
              <w:keepNext w:val="0"/>
              <w:keepLines w:val="0"/>
              <w:suppressLineNumbers w:val="0"/>
              <w:spacing w:before="68" w:line="282" w:lineRule="auto"/>
              <w:ind w:right="101" w:rightChars="0"/>
              <w:jc w:val="center"/>
              <w:rPr>
                <w:rFonts w:hint="default" w:eastAsia="宋体"/>
                <w:b w:val="0"/>
                <w:bCs w:val="0"/>
                <w:color w:val="auto"/>
                <w:sz w:val="21"/>
                <w:highlight w:val="none"/>
                <w:lang w:val="en-US" w:eastAsia="zh-CN"/>
              </w:rPr>
            </w:pPr>
          </w:p>
        </w:tc>
        <w:tc>
          <w:tcPr>
            <w:tcW w:w="339" w:type="pct"/>
            <w:tcBorders>
              <w:top w:val="single" w:color="auto" w:sz="4" w:space="0"/>
              <w:left w:val="single" w:color="auto" w:sz="4" w:space="0"/>
              <w:bottom w:val="single" w:color="auto" w:sz="4" w:space="0"/>
              <w:right w:val="single" w:color="auto" w:sz="4" w:space="0"/>
            </w:tcBorders>
            <w:vAlign w:val="center"/>
          </w:tcPr>
          <w:p w14:paraId="027F27A2">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c>
          <w:tcPr>
            <w:tcW w:w="330" w:type="pct"/>
            <w:tcBorders>
              <w:top w:val="single" w:color="auto" w:sz="4" w:space="0"/>
              <w:left w:val="single" w:color="auto" w:sz="4" w:space="0"/>
              <w:bottom w:val="single" w:color="auto" w:sz="4" w:space="0"/>
              <w:right w:val="single" w:color="auto" w:sz="4" w:space="0"/>
            </w:tcBorders>
            <w:vAlign w:val="center"/>
          </w:tcPr>
          <w:p w14:paraId="487A1B15">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45C988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7"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03561F3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C05475D">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top w:val="single" w:color="auto" w:sz="4" w:space="0"/>
              <w:left w:val="single" w:color="auto" w:sz="4" w:space="0"/>
              <w:bottom w:val="single" w:color="auto" w:sz="4" w:space="0"/>
              <w:right w:val="single" w:color="auto" w:sz="4" w:space="0"/>
            </w:tcBorders>
            <w:vAlign w:val="center"/>
          </w:tcPr>
          <w:p w14:paraId="1364CF19">
            <w:pPr>
              <w:pStyle w:val="23"/>
              <w:keepNext w:val="0"/>
              <w:keepLines w:val="0"/>
              <w:suppressLineNumbers w:val="0"/>
              <w:spacing w:before="58" w:line="307" w:lineRule="auto"/>
              <w:ind w:left="112" w:right="105" w:firstLine="1"/>
              <w:rPr>
                <w:b w:val="0"/>
                <w:bCs w:val="0"/>
                <w:highlight w:val="none"/>
              </w:rPr>
            </w:pPr>
            <w:r>
              <w:rPr>
                <w:b w:val="0"/>
                <w:bCs w:val="0"/>
                <w:spacing w:val="-15"/>
                <w:highlight w:val="none"/>
              </w:rPr>
              <w:t>消防水箱（3</w:t>
            </w:r>
            <w:r>
              <w:rPr>
                <w:b w:val="0"/>
                <w:bCs w:val="0"/>
                <w:spacing w:val="4"/>
                <w:highlight w:val="none"/>
              </w:rPr>
              <w:t xml:space="preserve"> </w:t>
            </w:r>
            <w:r>
              <w:rPr>
                <w:b w:val="0"/>
                <w:bCs w:val="0"/>
                <w:spacing w:val="-6"/>
                <w:highlight w:val="none"/>
              </w:rPr>
              <w:t>分）</w:t>
            </w:r>
          </w:p>
        </w:tc>
        <w:tc>
          <w:tcPr>
            <w:tcW w:w="1716" w:type="pct"/>
            <w:tcBorders>
              <w:top w:val="single" w:color="auto" w:sz="4" w:space="0"/>
              <w:left w:val="single" w:color="auto" w:sz="4" w:space="0"/>
              <w:bottom w:val="single" w:color="auto" w:sz="4" w:space="0"/>
              <w:right w:val="single" w:color="auto" w:sz="4" w:space="0"/>
            </w:tcBorders>
            <w:vAlign w:val="center"/>
          </w:tcPr>
          <w:p w14:paraId="29C7AF71">
            <w:pPr>
              <w:pStyle w:val="23"/>
              <w:keepNext w:val="0"/>
              <w:keepLines w:val="0"/>
              <w:suppressLineNumbers w:val="0"/>
              <w:spacing w:before="66" w:line="220" w:lineRule="auto"/>
              <w:ind w:left="112"/>
              <w:rPr>
                <w:b w:val="0"/>
                <w:bCs w:val="0"/>
                <w:highlight w:val="none"/>
              </w:rPr>
            </w:pPr>
            <w:r>
              <w:rPr>
                <w:b w:val="0"/>
                <w:bCs w:val="0"/>
                <w:spacing w:val="-1"/>
                <w:highlight w:val="none"/>
              </w:rPr>
              <w:t>a)消防水箱有效容积；</w:t>
            </w:r>
          </w:p>
          <w:p w14:paraId="2E919B87">
            <w:pPr>
              <w:pStyle w:val="23"/>
              <w:keepNext w:val="0"/>
              <w:keepLines w:val="0"/>
              <w:suppressLineNumbers w:val="0"/>
              <w:spacing w:before="96" w:line="308" w:lineRule="auto"/>
              <w:ind w:left="109" w:right="104" w:hanging="1"/>
              <w:rPr>
                <w:b w:val="0"/>
                <w:bCs w:val="0"/>
                <w:highlight w:val="none"/>
              </w:rPr>
            </w:pPr>
            <w:r>
              <w:rPr>
                <w:b w:val="0"/>
                <w:bCs w:val="0"/>
                <w:spacing w:val="-1"/>
                <w:highlight w:val="none"/>
              </w:rPr>
              <w:t>b)就地水位显示、消防控制室或值班室显示，高低水位报警装</w:t>
            </w:r>
            <w:r>
              <w:rPr>
                <w:b w:val="0"/>
                <w:bCs w:val="0"/>
                <w:spacing w:val="-3"/>
                <w:highlight w:val="none"/>
              </w:rPr>
              <w:t>置；</w:t>
            </w:r>
          </w:p>
          <w:p w14:paraId="0F73A2AB">
            <w:pPr>
              <w:pStyle w:val="23"/>
              <w:keepNext w:val="0"/>
              <w:keepLines w:val="0"/>
              <w:suppressLineNumbers w:val="0"/>
              <w:spacing w:before="24" w:line="220" w:lineRule="auto"/>
              <w:ind w:left="115"/>
              <w:rPr>
                <w:b w:val="0"/>
                <w:bCs w:val="0"/>
                <w:highlight w:val="none"/>
              </w:rPr>
            </w:pPr>
            <w:r>
              <w:rPr>
                <w:b w:val="0"/>
                <w:bCs w:val="0"/>
                <w:spacing w:val="-1"/>
                <w:highlight w:val="none"/>
              </w:rPr>
              <w:t>c)消防水箱的补水设施；</w:t>
            </w:r>
          </w:p>
          <w:p w14:paraId="6B156C1F">
            <w:pPr>
              <w:pStyle w:val="23"/>
              <w:keepNext w:val="0"/>
              <w:keepLines w:val="0"/>
              <w:suppressLineNumbers w:val="0"/>
              <w:spacing w:before="97" w:line="220" w:lineRule="auto"/>
              <w:ind w:left="115"/>
              <w:rPr>
                <w:b w:val="0"/>
                <w:bCs w:val="0"/>
                <w:highlight w:val="none"/>
              </w:rPr>
            </w:pPr>
            <w:r>
              <w:rPr>
                <w:b w:val="0"/>
                <w:bCs w:val="0"/>
                <w:spacing w:val="-2"/>
                <w:highlight w:val="none"/>
              </w:rPr>
              <w:t>d)消防水箱的防冻措施；</w:t>
            </w:r>
          </w:p>
          <w:p w14:paraId="2977922B">
            <w:pPr>
              <w:pStyle w:val="23"/>
              <w:keepNext w:val="0"/>
              <w:keepLines w:val="0"/>
              <w:suppressLineNumbers w:val="0"/>
              <w:spacing w:before="97" w:line="220" w:lineRule="auto"/>
              <w:ind w:left="115"/>
              <w:rPr>
                <w:b w:val="0"/>
                <w:bCs w:val="0"/>
                <w:highlight w:val="none"/>
              </w:rPr>
            </w:pPr>
            <w:r>
              <w:rPr>
                <w:b w:val="0"/>
                <w:bCs w:val="0"/>
                <w:spacing w:val="-2"/>
                <w:highlight w:val="none"/>
              </w:rPr>
              <w:t>e)消防水箱的进出水管路、溢流管、通气管等；</w:t>
            </w:r>
          </w:p>
          <w:p w14:paraId="75E5207C">
            <w:pPr>
              <w:pStyle w:val="23"/>
              <w:keepNext w:val="0"/>
              <w:keepLines w:val="0"/>
              <w:suppressLineNumbers w:val="0"/>
              <w:spacing w:before="97" w:line="220" w:lineRule="auto"/>
              <w:ind w:left="114"/>
              <w:rPr>
                <w:b w:val="0"/>
                <w:bCs w:val="0"/>
                <w:highlight w:val="none"/>
              </w:rPr>
            </w:pPr>
            <w:r>
              <w:rPr>
                <w:b w:val="0"/>
                <w:bCs w:val="0"/>
                <w:spacing w:val="-1"/>
                <w:highlight w:val="none"/>
              </w:rPr>
              <w:t>f)消防水箱进出水管阀门的外观、启闭状态及标志；</w:t>
            </w:r>
          </w:p>
          <w:p w14:paraId="5B143D74">
            <w:pPr>
              <w:pStyle w:val="23"/>
              <w:keepNext w:val="0"/>
              <w:keepLines w:val="0"/>
              <w:suppressLineNumbers w:val="0"/>
              <w:spacing w:before="96" w:line="308" w:lineRule="auto"/>
              <w:ind w:left="114" w:right="102"/>
              <w:rPr>
                <w:b w:val="0"/>
                <w:bCs w:val="0"/>
                <w:highlight w:val="none"/>
              </w:rPr>
            </w:pPr>
            <w:r>
              <w:rPr>
                <w:b w:val="0"/>
                <w:bCs w:val="0"/>
                <w:spacing w:val="5"/>
                <w:highlight w:val="none"/>
              </w:rPr>
              <w:t>g)设置高位水箱间时，水箱间内的环境温度或水温不应低于</w:t>
            </w:r>
            <w:r>
              <w:rPr>
                <w:b w:val="0"/>
                <w:bCs w:val="0"/>
                <w:spacing w:val="-4"/>
                <w:highlight w:val="none"/>
              </w:rPr>
              <w:t>5℃;</w:t>
            </w:r>
          </w:p>
          <w:p w14:paraId="7DAF43F0">
            <w:pPr>
              <w:pStyle w:val="23"/>
              <w:keepNext w:val="0"/>
              <w:keepLines w:val="0"/>
              <w:suppressLineNumbers w:val="0"/>
              <w:spacing w:before="25" w:line="282" w:lineRule="auto"/>
              <w:ind w:left="122" w:right="102" w:hanging="13"/>
              <w:rPr>
                <w:b w:val="0"/>
                <w:bCs w:val="0"/>
                <w:highlight w:val="none"/>
              </w:rPr>
            </w:pPr>
            <w:r>
              <w:rPr>
                <w:b w:val="0"/>
                <w:bCs w:val="0"/>
                <w:spacing w:val="5"/>
                <w:highlight w:val="none"/>
              </w:rPr>
              <w:t>h)屋顶露天高位消防水箱的人孔和进出水管的阀门等应采取</w:t>
            </w:r>
            <w:r>
              <w:rPr>
                <w:b w:val="0"/>
                <w:bCs w:val="0"/>
                <w:spacing w:val="-2"/>
                <w:highlight w:val="none"/>
              </w:rPr>
              <w:t>防止被随意关闭的保护措施。</w:t>
            </w:r>
          </w:p>
        </w:tc>
        <w:tc>
          <w:tcPr>
            <w:tcW w:w="1177" w:type="pct"/>
            <w:tcBorders>
              <w:top w:val="single" w:color="auto" w:sz="4" w:space="0"/>
              <w:left w:val="single" w:color="auto" w:sz="4" w:space="0"/>
              <w:bottom w:val="single" w:color="auto" w:sz="4" w:space="0"/>
              <w:right w:val="single" w:color="auto" w:sz="4" w:space="0"/>
            </w:tcBorders>
            <w:vAlign w:val="center"/>
          </w:tcPr>
          <w:p w14:paraId="0FDC73A6">
            <w:pPr>
              <w:pStyle w:val="23"/>
              <w:keepNext w:val="0"/>
              <w:keepLines w:val="0"/>
              <w:suppressLineNumbers w:val="0"/>
              <w:spacing w:before="59" w:line="307" w:lineRule="auto"/>
              <w:ind w:left="115" w:right="101" w:hanging="2"/>
              <w:rPr>
                <w:b w:val="0"/>
                <w:bCs w:val="0"/>
                <w:spacing w:val="-6"/>
                <w:highlight w:val="none"/>
              </w:rPr>
            </w:pPr>
            <w:r>
              <w:rPr>
                <w:b w:val="0"/>
                <w:bCs w:val="0"/>
                <w:spacing w:val="-6"/>
                <w:highlight w:val="none"/>
              </w:rPr>
              <w:t>每条检查内容不符合要求各扣 1 分，扣完不得分。</w:t>
            </w:r>
          </w:p>
        </w:tc>
        <w:tc>
          <w:tcPr>
            <w:tcW w:w="367" w:type="pct"/>
            <w:tcBorders>
              <w:top w:val="single" w:color="auto" w:sz="4" w:space="0"/>
              <w:left w:val="single" w:color="auto" w:sz="4" w:space="0"/>
              <w:bottom w:val="single" w:color="auto" w:sz="4" w:space="0"/>
              <w:right w:val="single" w:color="auto" w:sz="4" w:space="0"/>
            </w:tcBorders>
            <w:vAlign w:val="center"/>
          </w:tcPr>
          <w:p w14:paraId="41A5ECBD">
            <w:pPr>
              <w:pStyle w:val="23"/>
              <w:keepNext w:val="0"/>
              <w:keepLines w:val="0"/>
              <w:suppressLineNumbers w:val="0"/>
              <w:spacing w:before="68" w:line="282" w:lineRule="auto"/>
              <w:ind w:left="113" w:leftChars="0" w:right="101" w:rightChars="0" w:firstLine="1" w:firstLineChars="0"/>
              <w:jc w:val="center"/>
              <w:rPr>
                <w:rFonts w:hint="default" w:eastAsia="宋体"/>
                <w:b w:val="0"/>
                <w:bCs w:val="0"/>
                <w:color w:val="auto"/>
                <w:sz w:val="21"/>
                <w:highlight w:val="none"/>
                <w:lang w:val="en-US" w:eastAsia="zh-CN"/>
              </w:rPr>
            </w:pPr>
          </w:p>
        </w:tc>
        <w:tc>
          <w:tcPr>
            <w:tcW w:w="339" w:type="pct"/>
            <w:tcBorders>
              <w:top w:val="single" w:color="auto" w:sz="4" w:space="0"/>
              <w:left w:val="single" w:color="auto" w:sz="4" w:space="0"/>
              <w:bottom w:val="single" w:color="auto" w:sz="4" w:space="0"/>
              <w:right w:val="single" w:color="auto" w:sz="4" w:space="0"/>
            </w:tcBorders>
            <w:vAlign w:val="center"/>
          </w:tcPr>
          <w:p w14:paraId="55B5C634">
            <w:pPr>
              <w:keepNext w:val="0"/>
              <w:keepLines w:val="0"/>
              <w:suppressLineNumbers w:val="0"/>
              <w:spacing w:before="0" w:beforeAutospacing="0" w:after="0" w:afterAutospacing="0"/>
              <w:ind w:left="0" w:right="0" w:firstLine="358" w:firstLineChars="0"/>
              <w:rPr>
                <w:rFonts w:hint="eastAsia" w:ascii="宋体" w:hAnsi="宋体" w:eastAsia="宋体" w:cs="宋体"/>
                <w:b w:val="0"/>
                <w:bCs w:val="0"/>
                <w:sz w:val="21"/>
                <w:highlight w:val="none"/>
                <w:lang w:val="en-US" w:eastAsia="zh-CN"/>
              </w:rPr>
            </w:pPr>
          </w:p>
        </w:tc>
        <w:tc>
          <w:tcPr>
            <w:tcW w:w="330" w:type="pct"/>
            <w:tcBorders>
              <w:top w:val="single" w:color="auto" w:sz="4" w:space="0"/>
              <w:left w:val="single" w:color="auto" w:sz="4" w:space="0"/>
              <w:bottom w:val="single" w:color="auto" w:sz="4" w:space="0"/>
              <w:right w:val="single" w:color="auto" w:sz="4" w:space="0"/>
            </w:tcBorders>
            <w:vAlign w:val="center"/>
          </w:tcPr>
          <w:p w14:paraId="0AA8C22A">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4ADA1D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4" w:hRule="atLeast"/>
          <w:jc w:val="center"/>
        </w:trPr>
        <w:tc>
          <w:tcPr>
            <w:tcW w:w="208" w:type="pct"/>
            <w:vMerge w:val="continue"/>
            <w:tcBorders>
              <w:top w:val="single" w:color="auto" w:sz="4" w:space="0"/>
              <w:left w:val="single" w:color="auto" w:sz="4" w:space="0"/>
              <w:bottom w:val="single" w:color="auto" w:sz="4" w:space="0"/>
              <w:right w:val="single" w:color="auto" w:sz="4" w:space="0"/>
            </w:tcBorders>
            <w:vAlign w:val="center"/>
          </w:tcPr>
          <w:p w14:paraId="1CFE1586">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731459D8">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top w:val="single" w:color="auto" w:sz="4" w:space="0"/>
              <w:left w:val="single" w:color="auto" w:sz="4" w:space="0"/>
              <w:bottom w:val="single" w:color="auto" w:sz="4" w:space="0"/>
              <w:right w:val="single" w:color="auto" w:sz="4" w:space="0"/>
            </w:tcBorders>
            <w:vAlign w:val="center"/>
          </w:tcPr>
          <w:p w14:paraId="7070CC73">
            <w:pPr>
              <w:pStyle w:val="23"/>
              <w:keepNext w:val="0"/>
              <w:keepLines w:val="0"/>
              <w:suppressLineNumbers w:val="0"/>
              <w:spacing w:before="59" w:line="307" w:lineRule="auto"/>
              <w:ind w:left="112" w:right="105" w:hanging="1"/>
              <w:rPr>
                <w:b w:val="0"/>
                <w:bCs w:val="0"/>
                <w:highlight w:val="none"/>
              </w:rPr>
            </w:pPr>
            <w:r>
              <w:rPr>
                <w:b w:val="0"/>
                <w:bCs w:val="0"/>
                <w:spacing w:val="-14"/>
                <w:highlight w:val="none"/>
              </w:rPr>
              <w:t>稳压装置（3</w:t>
            </w:r>
            <w:r>
              <w:rPr>
                <w:b w:val="0"/>
                <w:bCs w:val="0"/>
                <w:spacing w:val="1"/>
                <w:highlight w:val="none"/>
              </w:rPr>
              <w:t xml:space="preserve"> </w:t>
            </w:r>
            <w:r>
              <w:rPr>
                <w:b w:val="0"/>
                <w:bCs w:val="0"/>
                <w:spacing w:val="-6"/>
                <w:highlight w:val="none"/>
              </w:rPr>
              <w:t>分）</w:t>
            </w:r>
          </w:p>
        </w:tc>
        <w:tc>
          <w:tcPr>
            <w:tcW w:w="1716" w:type="pct"/>
            <w:tcBorders>
              <w:top w:val="single" w:color="auto" w:sz="4" w:space="0"/>
              <w:left w:val="single" w:color="auto" w:sz="4" w:space="0"/>
              <w:bottom w:val="single" w:color="auto" w:sz="4" w:space="0"/>
              <w:right w:val="single" w:color="auto" w:sz="4" w:space="0"/>
            </w:tcBorders>
            <w:vAlign w:val="center"/>
          </w:tcPr>
          <w:p w14:paraId="165C3395">
            <w:pPr>
              <w:pStyle w:val="23"/>
              <w:keepNext w:val="0"/>
              <w:keepLines w:val="0"/>
              <w:suppressLineNumbers w:val="0"/>
              <w:spacing w:before="68" w:line="220" w:lineRule="auto"/>
              <w:ind w:left="112"/>
              <w:rPr>
                <w:b w:val="0"/>
                <w:bCs w:val="0"/>
                <w:highlight w:val="none"/>
              </w:rPr>
            </w:pPr>
            <w:r>
              <w:rPr>
                <w:b w:val="0"/>
                <w:bCs w:val="0"/>
                <w:spacing w:val="-1"/>
                <w:highlight w:val="none"/>
              </w:rPr>
              <w:t>a)稳压泵、气压水罐和稳压泵控制柜安装、外观；</w:t>
            </w:r>
          </w:p>
          <w:p w14:paraId="35A2F62F">
            <w:pPr>
              <w:pStyle w:val="23"/>
              <w:keepNext w:val="0"/>
              <w:keepLines w:val="0"/>
              <w:suppressLineNumbers w:val="0"/>
              <w:spacing w:before="97" w:line="220" w:lineRule="auto"/>
              <w:ind w:left="108"/>
              <w:rPr>
                <w:b w:val="0"/>
                <w:bCs w:val="0"/>
                <w:highlight w:val="none"/>
              </w:rPr>
            </w:pPr>
            <w:r>
              <w:rPr>
                <w:b w:val="0"/>
                <w:bCs w:val="0"/>
                <w:spacing w:val="-1"/>
                <w:highlight w:val="none"/>
              </w:rPr>
              <w:t>b)稳压泵、气压水罐的进出口阀门启闭状态及标志牌；</w:t>
            </w:r>
          </w:p>
          <w:p w14:paraId="2F77A4B1">
            <w:pPr>
              <w:pStyle w:val="23"/>
              <w:keepNext w:val="0"/>
              <w:keepLines w:val="0"/>
              <w:suppressLineNumbers w:val="0"/>
              <w:spacing w:before="97" w:line="220" w:lineRule="auto"/>
              <w:ind w:left="115"/>
              <w:rPr>
                <w:b w:val="0"/>
                <w:bCs w:val="0"/>
                <w:highlight w:val="none"/>
              </w:rPr>
            </w:pPr>
            <w:r>
              <w:rPr>
                <w:b w:val="0"/>
                <w:bCs w:val="0"/>
                <w:spacing w:val="-2"/>
                <w:highlight w:val="none"/>
              </w:rPr>
              <w:t>c)电接点压力表的压力设定值、管网压力显示；</w:t>
            </w:r>
          </w:p>
          <w:p w14:paraId="2791B5EB">
            <w:pPr>
              <w:pStyle w:val="23"/>
              <w:keepNext w:val="0"/>
              <w:keepLines w:val="0"/>
              <w:suppressLineNumbers w:val="0"/>
              <w:spacing w:before="97" w:line="220" w:lineRule="auto"/>
              <w:ind w:left="115"/>
              <w:rPr>
                <w:b w:val="0"/>
                <w:bCs w:val="0"/>
                <w:highlight w:val="none"/>
              </w:rPr>
            </w:pPr>
            <w:r>
              <w:rPr>
                <w:b w:val="0"/>
                <w:bCs w:val="0"/>
                <w:spacing w:val="-1"/>
                <w:highlight w:val="none"/>
              </w:rPr>
              <w:t>d)稳压泵控制柜是否处于自动状态，指示灯显示是否正常；</w:t>
            </w:r>
          </w:p>
          <w:p w14:paraId="37060DBD">
            <w:pPr>
              <w:pStyle w:val="23"/>
              <w:keepNext w:val="0"/>
              <w:keepLines w:val="0"/>
              <w:suppressLineNumbers w:val="0"/>
              <w:spacing w:before="97" w:line="220" w:lineRule="auto"/>
              <w:ind w:left="115"/>
              <w:rPr>
                <w:b w:val="0"/>
                <w:bCs w:val="0"/>
                <w:highlight w:val="none"/>
              </w:rPr>
            </w:pPr>
            <w:r>
              <w:rPr>
                <w:b w:val="0"/>
                <w:bCs w:val="0"/>
                <w:spacing w:val="-1"/>
                <w:highlight w:val="none"/>
              </w:rPr>
              <w:t>e)稳压泵启动、停止、运行是否正常；</w:t>
            </w:r>
          </w:p>
          <w:p w14:paraId="7CCF54CB">
            <w:pPr>
              <w:pStyle w:val="23"/>
              <w:keepNext w:val="0"/>
              <w:keepLines w:val="0"/>
              <w:suppressLineNumbers w:val="0"/>
              <w:spacing w:before="98" w:line="220" w:lineRule="auto"/>
              <w:ind w:left="114"/>
              <w:rPr>
                <w:b w:val="0"/>
                <w:bCs w:val="0"/>
                <w:highlight w:val="none"/>
              </w:rPr>
            </w:pPr>
            <w:r>
              <w:rPr>
                <w:b w:val="0"/>
                <w:bCs w:val="0"/>
                <w:spacing w:val="-1"/>
                <w:highlight w:val="none"/>
              </w:rPr>
              <w:t>f)稳压泵的主、备电源切换；</w:t>
            </w:r>
          </w:p>
          <w:p w14:paraId="5ED3D846">
            <w:pPr>
              <w:pStyle w:val="23"/>
              <w:keepNext w:val="0"/>
              <w:keepLines w:val="0"/>
              <w:suppressLineNumbers w:val="0"/>
              <w:spacing w:before="97" w:line="214" w:lineRule="auto"/>
              <w:ind w:left="114"/>
              <w:rPr>
                <w:b w:val="0"/>
                <w:bCs w:val="0"/>
                <w:highlight w:val="none"/>
              </w:rPr>
            </w:pPr>
            <w:r>
              <w:rPr>
                <w:b w:val="0"/>
                <w:bCs w:val="0"/>
                <w:spacing w:val="-1"/>
                <w:highlight w:val="none"/>
              </w:rPr>
              <w:t>g)稳压泵的主、备泵切换。</w:t>
            </w:r>
          </w:p>
        </w:tc>
        <w:tc>
          <w:tcPr>
            <w:tcW w:w="1177" w:type="pct"/>
            <w:tcBorders>
              <w:top w:val="single" w:color="auto" w:sz="4" w:space="0"/>
              <w:left w:val="single" w:color="auto" w:sz="4" w:space="0"/>
              <w:bottom w:val="single" w:color="auto" w:sz="4" w:space="0"/>
              <w:right w:val="single" w:color="auto" w:sz="4" w:space="0"/>
            </w:tcBorders>
            <w:vAlign w:val="center"/>
          </w:tcPr>
          <w:p w14:paraId="049E5580">
            <w:pPr>
              <w:pStyle w:val="23"/>
              <w:keepNext w:val="0"/>
              <w:keepLines w:val="0"/>
              <w:suppressLineNumbers w:val="0"/>
              <w:spacing w:before="58" w:line="307" w:lineRule="auto"/>
              <w:ind w:left="116" w:right="100" w:hanging="2"/>
              <w:rPr>
                <w:b w:val="0"/>
                <w:bCs w:val="0"/>
                <w:highlight w:val="none"/>
              </w:rPr>
            </w:pPr>
            <w:r>
              <w:rPr>
                <w:b w:val="0"/>
                <w:bCs w:val="0"/>
                <w:spacing w:val="-1"/>
                <w:highlight w:val="none"/>
              </w:rPr>
              <w:t>a)b)c)d)不符合要求各扣</w:t>
            </w:r>
            <w:r>
              <w:rPr>
                <w:b w:val="0"/>
                <w:bCs w:val="0"/>
                <w:spacing w:val="26"/>
                <w:highlight w:val="none"/>
              </w:rPr>
              <w:t xml:space="preserve"> </w:t>
            </w:r>
            <w:r>
              <w:rPr>
                <w:b w:val="0"/>
                <w:bCs w:val="0"/>
                <w:spacing w:val="-1"/>
                <w:highlight w:val="none"/>
              </w:rPr>
              <w:t>1 分，e)f)g)</w:t>
            </w:r>
            <w:r>
              <w:rPr>
                <w:b w:val="0"/>
                <w:bCs w:val="0"/>
                <w:highlight w:val="none"/>
              </w:rPr>
              <w:t xml:space="preserve"> </w:t>
            </w:r>
            <w:r>
              <w:rPr>
                <w:b w:val="0"/>
                <w:bCs w:val="0"/>
                <w:spacing w:val="-3"/>
                <w:highlight w:val="none"/>
              </w:rPr>
              <w:t>不符合要求各扣</w:t>
            </w:r>
            <w:r>
              <w:rPr>
                <w:b w:val="0"/>
                <w:bCs w:val="0"/>
                <w:spacing w:val="-34"/>
                <w:highlight w:val="none"/>
              </w:rPr>
              <w:t xml:space="preserve"> </w:t>
            </w:r>
            <w:r>
              <w:rPr>
                <w:b w:val="0"/>
                <w:bCs w:val="0"/>
                <w:spacing w:val="-3"/>
                <w:highlight w:val="none"/>
              </w:rPr>
              <w:t>3</w:t>
            </w:r>
            <w:r>
              <w:rPr>
                <w:b w:val="0"/>
                <w:bCs w:val="0"/>
                <w:spacing w:val="-34"/>
                <w:highlight w:val="none"/>
              </w:rPr>
              <w:t xml:space="preserve"> </w:t>
            </w:r>
            <w:r>
              <w:rPr>
                <w:b w:val="0"/>
                <w:bCs w:val="0"/>
                <w:spacing w:val="-3"/>
                <w:highlight w:val="none"/>
              </w:rPr>
              <w:t>分；扣完不得分。</w:t>
            </w:r>
          </w:p>
        </w:tc>
        <w:tc>
          <w:tcPr>
            <w:tcW w:w="367" w:type="pct"/>
            <w:tcBorders>
              <w:top w:val="single" w:color="auto" w:sz="4" w:space="0"/>
              <w:left w:val="single" w:color="auto" w:sz="4" w:space="0"/>
              <w:bottom w:val="single" w:color="auto" w:sz="4" w:space="0"/>
              <w:right w:val="single" w:color="auto" w:sz="4" w:space="0"/>
            </w:tcBorders>
            <w:vAlign w:val="center"/>
          </w:tcPr>
          <w:p w14:paraId="377B7753">
            <w:pPr>
              <w:pStyle w:val="23"/>
              <w:keepNext w:val="0"/>
              <w:keepLines w:val="0"/>
              <w:suppressLineNumbers w:val="0"/>
              <w:spacing w:before="68" w:line="282" w:lineRule="auto"/>
              <w:ind w:right="101" w:rightChars="0"/>
              <w:jc w:val="center"/>
              <w:rPr>
                <w:rFonts w:hint="default" w:eastAsia="宋体"/>
                <w:b w:val="0"/>
                <w:bCs w:val="0"/>
                <w:color w:val="auto"/>
                <w:sz w:val="21"/>
                <w:highlight w:val="none"/>
                <w:lang w:val="en-US" w:eastAsia="zh-CN"/>
              </w:rPr>
            </w:pPr>
          </w:p>
        </w:tc>
        <w:tc>
          <w:tcPr>
            <w:tcW w:w="339" w:type="pct"/>
            <w:tcBorders>
              <w:top w:val="single" w:color="auto" w:sz="4" w:space="0"/>
              <w:left w:val="single" w:color="auto" w:sz="4" w:space="0"/>
              <w:bottom w:val="single" w:color="auto" w:sz="4" w:space="0"/>
              <w:right w:val="single" w:color="auto" w:sz="4" w:space="0"/>
            </w:tcBorders>
            <w:vAlign w:val="center"/>
          </w:tcPr>
          <w:p w14:paraId="2AC71098">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tcBorders>
              <w:top w:val="single" w:color="auto" w:sz="4" w:space="0"/>
              <w:left w:val="single" w:color="auto" w:sz="4" w:space="0"/>
              <w:bottom w:val="single" w:color="auto" w:sz="4" w:space="0"/>
              <w:right w:val="single" w:color="auto" w:sz="4" w:space="0"/>
            </w:tcBorders>
            <w:vAlign w:val="center"/>
          </w:tcPr>
          <w:p w14:paraId="66DA0461">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r>
    </w:tbl>
    <w:p w14:paraId="1789465E">
      <w:pPr>
        <w:rPr>
          <w:highlight w:val="none"/>
        </w:rPr>
      </w:pPr>
      <w:r>
        <w:rPr>
          <w:highlight w:val="none"/>
        </w:rPr>
        <w:br w:type="page"/>
      </w:r>
    </w:p>
    <w:tbl>
      <w:tblPr>
        <w:tblStyle w:val="24"/>
        <w:tblW w:w="497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95"/>
        <w:gridCol w:w="1475"/>
        <w:gridCol w:w="1095"/>
        <w:gridCol w:w="5165"/>
        <w:gridCol w:w="3528"/>
        <w:gridCol w:w="1095"/>
        <w:gridCol w:w="1012"/>
        <w:gridCol w:w="988"/>
      </w:tblGrid>
      <w:tr w14:paraId="1EC4A8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 w:hRule="atLeast"/>
          <w:jc w:val="center"/>
        </w:trPr>
        <w:tc>
          <w:tcPr>
            <w:tcW w:w="199" w:type="pct"/>
            <w:tcBorders>
              <w:top w:val="single" w:color="auto" w:sz="4" w:space="0"/>
              <w:left w:val="single" w:color="auto" w:sz="4" w:space="0"/>
              <w:bottom w:val="single" w:color="auto" w:sz="4" w:space="0"/>
              <w:right w:val="single" w:color="auto" w:sz="4" w:space="0"/>
            </w:tcBorders>
            <w:vAlign w:val="center"/>
          </w:tcPr>
          <w:p w14:paraId="4B02E6DF">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tcBorders>
              <w:top w:val="single" w:color="auto" w:sz="4" w:space="0"/>
              <w:left w:val="single" w:color="auto" w:sz="4" w:space="0"/>
              <w:bottom w:val="single" w:color="auto" w:sz="4" w:space="0"/>
              <w:right w:val="single" w:color="auto" w:sz="4" w:space="0"/>
            </w:tcBorders>
            <w:vAlign w:val="center"/>
          </w:tcPr>
          <w:p w14:paraId="7AADC21E">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tcBorders>
              <w:top w:val="single" w:color="auto" w:sz="4" w:space="0"/>
              <w:left w:val="single" w:color="auto" w:sz="4" w:space="0"/>
              <w:bottom w:val="single" w:color="auto" w:sz="4" w:space="0"/>
              <w:right w:val="single" w:color="auto" w:sz="4" w:space="0"/>
            </w:tcBorders>
            <w:vAlign w:val="center"/>
          </w:tcPr>
          <w:p w14:paraId="79BD54D1">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6" w:type="pct"/>
            <w:tcBorders>
              <w:left w:val="single" w:color="auto" w:sz="4" w:space="0"/>
            </w:tcBorders>
            <w:vAlign w:val="center"/>
          </w:tcPr>
          <w:p w14:paraId="21209457">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10B8863F">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1421DBF7">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1787505A">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1884B348">
            <w:pPr>
              <w:pStyle w:val="23"/>
              <w:keepNext w:val="0"/>
              <w:keepLines w:val="0"/>
              <w:suppressLineNumbers w:val="0"/>
              <w:spacing w:before="71" w:line="220" w:lineRule="auto"/>
              <w:ind w:left="295"/>
              <w:rPr>
                <w:highlight w:val="none"/>
              </w:rPr>
            </w:pPr>
            <w:r>
              <w:rPr>
                <w:b/>
                <w:bCs/>
                <w:spacing w:val="-4"/>
                <w:highlight w:val="none"/>
              </w:rPr>
              <w:t>得分</w:t>
            </w:r>
          </w:p>
        </w:tc>
      </w:tr>
      <w:tr w14:paraId="51EE15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0" w:hRule="atLeast"/>
          <w:jc w:val="center"/>
        </w:trPr>
        <w:tc>
          <w:tcPr>
            <w:tcW w:w="199" w:type="pct"/>
            <w:vMerge w:val="restart"/>
            <w:tcBorders>
              <w:top w:val="single" w:color="auto" w:sz="4" w:space="0"/>
              <w:left w:val="single" w:color="auto" w:sz="4" w:space="0"/>
              <w:bottom w:val="single" w:color="auto" w:sz="4" w:space="0"/>
              <w:right w:val="single" w:color="auto" w:sz="4" w:space="0"/>
            </w:tcBorders>
            <w:vAlign w:val="center"/>
          </w:tcPr>
          <w:p w14:paraId="288F3B80">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top w:val="single" w:color="auto" w:sz="4" w:space="0"/>
              <w:left w:val="single" w:color="auto" w:sz="4" w:space="0"/>
              <w:bottom w:val="single" w:color="auto" w:sz="4" w:space="0"/>
              <w:right w:val="single" w:color="auto" w:sz="4" w:space="0"/>
            </w:tcBorders>
            <w:vAlign w:val="center"/>
          </w:tcPr>
          <w:p w14:paraId="6B2E2A06">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1AD2511A">
            <w:pPr>
              <w:pStyle w:val="23"/>
              <w:keepNext w:val="0"/>
              <w:keepLines w:val="0"/>
              <w:suppressLineNumbers w:val="0"/>
              <w:spacing w:before="58" w:line="307" w:lineRule="auto"/>
              <w:ind w:left="115" w:right="103" w:hanging="1"/>
              <w:rPr>
                <w:b w:val="0"/>
                <w:bCs w:val="0"/>
                <w:highlight w:val="none"/>
              </w:rPr>
            </w:pPr>
            <w:r>
              <w:rPr>
                <w:b w:val="0"/>
                <w:bCs w:val="0"/>
                <w:spacing w:val="1"/>
                <w:highlight w:val="none"/>
              </w:rPr>
              <w:t>消防水泵房</w:t>
            </w:r>
            <w:r>
              <w:rPr>
                <w:b w:val="0"/>
                <w:bCs w:val="0"/>
                <w:spacing w:val="7"/>
                <w:highlight w:val="none"/>
              </w:rPr>
              <w:t>（3分）</w:t>
            </w:r>
          </w:p>
        </w:tc>
        <w:tc>
          <w:tcPr>
            <w:tcW w:w="1726" w:type="pct"/>
            <w:tcBorders>
              <w:left w:val="single" w:color="auto" w:sz="4" w:space="0"/>
            </w:tcBorders>
            <w:vAlign w:val="center"/>
          </w:tcPr>
          <w:p w14:paraId="7D3A3110">
            <w:pPr>
              <w:pStyle w:val="23"/>
              <w:keepNext w:val="0"/>
              <w:keepLines w:val="0"/>
              <w:suppressLineNumbers w:val="0"/>
              <w:spacing w:before="70" w:line="220" w:lineRule="auto"/>
              <w:ind w:left="112"/>
              <w:rPr>
                <w:b w:val="0"/>
                <w:bCs w:val="0"/>
                <w:highlight w:val="none"/>
              </w:rPr>
            </w:pPr>
            <w:r>
              <w:rPr>
                <w:b w:val="0"/>
                <w:bCs w:val="0"/>
                <w:spacing w:val="-1"/>
                <w:highlight w:val="none"/>
              </w:rPr>
              <w:t>a)消防水泵、进出水管及阀门等组件的安装、外观；</w:t>
            </w:r>
          </w:p>
          <w:p w14:paraId="2E9BCDE1">
            <w:pPr>
              <w:pStyle w:val="23"/>
              <w:keepNext w:val="0"/>
              <w:keepLines w:val="0"/>
              <w:suppressLineNumbers w:val="0"/>
              <w:spacing w:before="97" w:line="220" w:lineRule="auto"/>
              <w:ind w:left="108"/>
              <w:rPr>
                <w:b w:val="0"/>
                <w:bCs w:val="0"/>
                <w:highlight w:val="none"/>
              </w:rPr>
            </w:pPr>
            <w:r>
              <w:rPr>
                <w:b w:val="0"/>
                <w:bCs w:val="0"/>
                <w:spacing w:val="-1"/>
                <w:highlight w:val="none"/>
              </w:rPr>
              <w:t>b)消防水泵标志牌；</w:t>
            </w:r>
          </w:p>
          <w:p w14:paraId="1A8B7883">
            <w:pPr>
              <w:pStyle w:val="23"/>
              <w:keepNext w:val="0"/>
              <w:keepLines w:val="0"/>
              <w:suppressLineNumbers w:val="0"/>
              <w:spacing w:before="97" w:line="220" w:lineRule="auto"/>
              <w:ind w:left="115"/>
              <w:rPr>
                <w:b w:val="0"/>
                <w:bCs w:val="0"/>
                <w:highlight w:val="none"/>
              </w:rPr>
            </w:pPr>
            <w:r>
              <w:rPr>
                <w:b w:val="0"/>
                <w:bCs w:val="0"/>
                <w:spacing w:val="-1"/>
                <w:highlight w:val="none"/>
              </w:rPr>
              <w:t>c)进、出口阀门的启闭状态及标志牌；</w:t>
            </w:r>
          </w:p>
          <w:p w14:paraId="0F5B5D0F">
            <w:pPr>
              <w:pStyle w:val="23"/>
              <w:keepNext w:val="0"/>
              <w:keepLines w:val="0"/>
              <w:suppressLineNumbers w:val="0"/>
              <w:spacing w:before="96" w:line="220" w:lineRule="auto"/>
              <w:ind w:left="115"/>
              <w:rPr>
                <w:b w:val="0"/>
                <w:bCs w:val="0"/>
                <w:highlight w:val="none"/>
              </w:rPr>
            </w:pPr>
            <w:r>
              <w:rPr>
                <w:b w:val="0"/>
                <w:bCs w:val="0"/>
                <w:spacing w:val="-1"/>
                <w:highlight w:val="none"/>
              </w:rPr>
              <w:t>d)消防水泵是否采用自灌式吸水；</w:t>
            </w:r>
          </w:p>
          <w:p w14:paraId="0D3D216C">
            <w:pPr>
              <w:pStyle w:val="23"/>
              <w:keepNext w:val="0"/>
              <w:keepLines w:val="0"/>
              <w:suppressLineNumbers w:val="0"/>
              <w:spacing w:before="98" w:line="220" w:lineRule="auto"/>
              <w:ind w:left="115"/>
              <w:rPr>
                <w:b w:val="0"/>
                <w:bCs w:val="0"/>
                <w:highlight w:val="none"/>
              </w:rPr>
            </w:pPr>
            <w:r>
              <w:rPr>
                <w:b w:val="0"/>
                <w:bCs w:val="0"/>
                <w:spacing w:val="-2"/>
                <w:highlight w:val="none"/>
              </w:rPr>
              <w:t>e)消防水泵的进、出口压力表设置及显示情况；</w:t>
            </w:r>
          </w:p>
          <w:p w14:paraId="45599DE7">
            <w:pPr>
              <w:pStyle w:val="23"/>
              <w:keepNext w:val="0"/>
              <w:keepLines w:val="0"/>
              <w:suppressLineNumbers w:val="0"/>
              <w:spacing w:before="97" w:line="217" w:lineRule="auto"/>
              <w:ind w:left="114"/>
              <w:rPr>
                <w:b w:val="0"/>
                <w:bCs w:val="0"/>
                <w:highlight w:val="none"/>
              </w:rPr>
            </w:pPr>
            <w:r>
              <w:rPr>
                <w:b w:val="0"/>
                <w:bCs w:val="0"/>
                <w:spacing w:val="-2"/>
                <w:highlight w:val="none"/>
              </w:rPr>
              <w:t>f)室内环境温度不应低于5℃</w:t>
            </w:r>
            <w:r>
              <w:rPr>
                <w:b w:val="0"/>
                <w:bCs w:val="0"/>
                <w:spacing w:val="-54"/>
                <w:highlight w:val="none"/>
              </w:rPr>
              <w:t xml:space="preserve"> </w:t>
            </w:r>
            <w:r>
              <w:rPr>
                <w:b w:val="0"/>
                <w:bCs w:val="0"/>
                <w:spacing w:val="-2"/>
                <w:highlight w:val="none"/>
              </w:rPr>
              <w:t>,且应采取防水淹等的措施。</w:t>
            </w:r>
          </w:p>
        </w:tc>
        <w:tc>
          <w:tcPr>
            <w:tcW w:w="1179" w:type="pct"/>
            <w:vAlign w:val="center"/>
          </w:tcPr>
          <w:p w14:paraId="1F7A8E4C">
            <w:pPr>
              <w:pStyle w:val="23"/>
              <w:keepNext w:val="0"/>
              <w:keepLines w:val="0"/>
              <w:suppressLineNumbers w:val="0"/>
              <w:spacing w:before="59"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6" w:type="pct"/>
            <w:shd w:val="clear" w:color="auto" w:fill="auto"/>
            <w:vAlign w:val="center"/>
          </w:tcPr>
          <w:p w14:paraId="7C0C90A2">
            <w:pPr>
              <w:pStyle w:val="23"/>
              <w:keepNext w:val="0"/>
              <w:keepLines w:val="0"/>
              <w:suppressLineNumbers w:val="0"/>
              <w:spacing w:before="68" w:line="282" w:lineRule="auto"/>
              <w:ind w:right="101" w:rightChars="0"/>
              <w:jc w:val="center"/>
              <w:rPr>
                <w:rFonts w:hint="default" w:ascii="宋体" w:hAnsi="宋体" w:eastAsia="宋体" w:cs="宋体"/>
                <w:b w:val="0"/>
                <w:bCs w:val="0"/>
                <w:snapToGrid w:val="0"/>
                <w:color w:val="auto"/>
                <w:kern w:val="0"/>
                <w:sz w:val="21"/>
                <w:szCs w:val="18"/>
                <w:highlight w:val="none"/>
                <w:lang w:val="en-US" w:eastAsia="zh-CN" w:bidi="ar-SA"/>
              </w:rPr>
            </w:pPr>
          </w:p>
        </w:tc>
        <w:tc>
          <w:tcPr>
            <w:tcW w:w="338" w:type="pct"/>
            <w:vAlign w:val="center"/>
          </w:tcPr>
          <w:p w14:paraId="7D9D8903">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c>
          <w:tcPr>
            <w:tcW w:w="330" w:type="pct"/>
            <w:vAlign w:val="center"/>
          </w:tcPr>
          <w:p w14:paraId="3B079DDD">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39047E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7" w:hRule="atLeast"/>
          <w:jc w:val="center"/>
        </w:trPr>
        <w:tc>
          <w:tcPr>
            <w:tcW w:w="199" w:type="pct"/>
            <w:vMerge w:val="continue"/>
            <w:tcBorders>
              <w:top w:val="single" w:color="auto" w:sz="4" w:space="0"/>
              <w:left w:val="single" w:color="auto" w:sz="4" w:space="0"/>
            </w:tcBorders>
            <w:vAlign w:val="center"/>
          </w:tcPr>
          <w:p w14:paraId="4FE09D63">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tcBorders>
            <w:vAlign w:val="center"/>
          </w:tcPr>
          <w:p w14:paraId="1920D868">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top w:val="single" w:color="auto" w:sz="4" w:space="0"/>
            </w:tcBorders>
            <w:vAlign w:val="center"/>
          </w:tcPr>
          <w:p w14:paraId="5533B3CF">
            <w:pPr>
              <w:pStyle w:val="23"/>
              <w:keepNext w:val="0"/>
              <w:keepLines w:val="0"/>
              <w:suppressLineNumbers w:val="0"/>
              <w:spacing w:before="58" w:line="307" w:lineRule="auto"/>
              <w:ind w:left="111" w:right="24" w:firstLine="2"/>
              <w:rPr>
                <w:b w:val="0"/>
                <w:bCs w:val="0"/>
                <w:highlight w:val="none"/>
              </w:rPr>
            </w:pPr>
            <w:r>
              <w:rPr>
                <w:b w:val="0"/>
                <w:bCs w:val="0"/>
                <w:spacing w:val="1"/>
                <w:highlight w:val="none"/>
              </w:rPr>
              <w:t>消防水泵控</w:t>
            </w:r>
            <w:r>
              <w:rPr>
                <w:b w:val="0"/>
                <w:bCs w:val="0"/>
                <w:spacing w:val="-10"/>
                <w:highlight w:val="none"/>
              </w:rPr>
              <w:t>制柜（2</w:t>
            </w:r>
            <w:r>
              <w:rPr>
                <w:b w:val="0"/>
                <w:bCs w:val="0"/>
                <w:spacing w:val="-33"/>
                <w:highlight w:val="none"/>
              </w:rPr>
              <w:t xml:space="preserve"> </w:t>
            </w:r>
            <w:r>
              <w:rPr>
                <w:b w:val="0"/>
                <w:bCs w:val="0"/>
                <w:spacing w:val="-10"/>
                <w:highlight w:val="none"/>
              </w:rPr>
              <w:t>分）</w:t>
            </w:r>
          </w:p>
        </w:tc>
        <w:tc>
          <w:tcPr>
            <w:tcW w:w="1726" w:type="pct"/>
            <w:vAlign w:val="center"/>
          </w:tcPr>
          <w:p w14:paraId="6C7B9FE1">
            <w:pPr>
              <w:pStyle w:val="23"/>
              <w:keepNext w:val="0"/>
              <w:keepLines w:val="0"/>
              <w:suppressLineNumbers w:val="0"/>
              <w:spacing w:before="67" w:line="220" w:lineRule="auto"/>
              <w:ind w:left="112"/>
              <w:rPr>
                <w:b w:val="0"/>
                <w:bCs w:val="0"/>
                <w:highlight w:val="none"/>
              </w:rPr>
            </w:pPr>
            <w:r>
              <w:rPr>
                <w:b w:val="0"/>
                <w:bCs w:val="0"/>
                <w:spacing w:val="-3"/>
                <w:highlight w:val="none"/>
              </w:rPr>
              <w:t>a)消防水泵控制柜的安装、外观、IP防护等级；</w:t>
            </w:r>
          </w:p>
          <w:p w14:paraId="799C45FE">
            <w:pPr>
              <w:pStyle w:val="23"/>
              <w:keepNext w:val="0"/>
              <w:keepLines w:val="0"/>
              <w:suppressLineNumbers w:val="0"/>
              <w:spacing w:before="97" w:line="220" w:lineRule="auto"/>
              <w:ind w:left="108"/>
              <w:rPr>
                <w:b w:val="0"/>
                <w:bCs w:val="0"/>
                <w:highlight w:val="none"/>
              </w:rPr>
            </w:pPr>
            <w:r>
              <w:rPr>
                <w:b w:val="0"/>
                <w:bCs w:val="0"/>
                <w:spacing w:val="-1"/>
                <w:highlight w:val="none"/>
              </w:rPr>
              <w:t>b)消防水泵控制柜是否有注明所属系统及编号的标志；</w:t>
            </w:r>
          </w:p>
          <w:p w14:paraId="1938F824">
            <w:pPr>
              <w:pStyle w:val="23"/>
              <w:keepNext w:val="0"/>
              <w:keepLines w:val="0"/>
              <w:suppressLineNumbers w:val="0"/>
              <w:spacing w:before="97" w:line="220" w:lineRule="auto"/>
              <w:ind w:left="115"/>
              <w:rPr>
                <w:b w:val="0"/>
                <w:bCs w:val="0"/>
                <w:highlight w:val="none"/>
              </w:rPr>
            </w:pPr>
            <w:r>
              <w:rPr>
                <w:b w:val="0"/>
                <w:bCs w:val="0"/>
                <w:spacing w:val="-1"/>
                <w:highlight w:val="none"/>
              </w:rPr>
              <w:t>c)消防水泵控制柜是否处于自动状态，指示灯显示是否正常；</w:t>
            </w:r>
          </w:p>
          <w:p w14:paraId="045A21F9">
            <w:pPr>
              <w:pStyle w:val="23"/>
              <w:keepNext w:val="0"/>
              <w:keepLines w:val="0"/>
              <w:suppressLineNumbers w:val="0"/>
              <w:spacing w:before="97" w:line="220" w:lineRule="auto"/>
              <w:ind w:left="108"/>
              <w:rPr>
                <w:b w:val="0"/>
                <w:bCs w:val="0"/>
                <w:spacing w:val="-1"/>
                <w:highlight w:val="none"/>
              </w:rPr>
            </w:pPr>
            <w:r>
              <w:rPr>
                <w:b w:val="0"/>
                <w:bCs w:val="0"/>
                <w:spacing w:val="-1"/>
                <w:highlight w:val="none"/>
              </w:rPr>
              <w:t>d)消防水泵的自动巡检功能；</w:t>
            </w:r>
          </w:p>
          <w:p w14:paraId="200D835F">
            <w:pPr>
              <w:pStyle w:val="23"/>
              <w:keepNext w:val="0"/>
              <w:keepLines w:val="0"/>
              <w:suppressLineNumbers w:val="0"/>
              <w:spacing w:before="97" w:line="220" w:lineRule="auto"/>
              <w:ind w:left="108" w:right="0" w:firstLine="0"/>
              <w:rPr>
                <w:rFonts w:hint="eastAsia"/>
                <w:b w:val="0"/>
                <w:bCs w:val="0"/>
                <w:spacing w:val="-1"/>
                <w:highlight w:val="none"/>
                <w:lang w:val="en-US"/>
              </w:rPr>
            </w:pPr>
            <w:r>
              <w:rPr>
                <w:b w:val="0"/>
                <w:bCs w:val="0"/>
                <w:spacing w:val="-1"/>
                <w:highlight w:val="none"/>
              </w:rPr>
              <w:t>e)消防水泵的主、备电源切换；</w:t>
            </w:r>
          </w:p>
          <w:p w14:paraId="7AABE924">
            <w:pPr>
              <w:pStyle w:val="23"/>
              <w:keepNext w:val="0"/>
              <w:keepLines w:val="0"/>
              <w:suppressLineNumbers w:val="0"/>
              <w:spacing w:before="97" w:line="220" w:lineRule="auto"/>
              <w:ind w:left="108" w:right="0" w:firstLine="0"/>
              <w:rPr>
                <w:b w:val="0"/>
                <w:bCs w:val="0"/>
                <w:spacing w:val="-1"/>
                <w:highlight w:val="none"/>
              </w:rPr>
            </w:pPr>
            <w:r>
              <w:rPr>
                <w:b w:val="0"/>
                <w:bCs w:val="0"/>
                <w:spacing w:val="-1"/>
                <w:highlight w:val="none"/>
              </w:rPr>
              <w:t>f)消防水泵的主、备泵切换；</w:t>
            </w:r>
          </w:p>
          <w:p w14:paraId="4204E452">
            <w:pPr>
              <w:pStyle w:val="23"/>
              <w:keepNext w:val="0"/>
              <w:keepLines w:val="0"/>
              <w:suppressLineNumbers w:val="0"/>
              <w:spacing w:before="97" w:line="220" w:lineRule="auto"/>
              <w:ind w:left="108"/>
              <w:rPr>
                <w:b w:val="0"/>
                <w:bCs w:val="0"/>
                <w:spacing w:val="-1"/>
                <w:highlight w:val="none"/>
              </w:rPr>
            </w:pPr>
            <w:r>
              <w:rPr>
                <w:b w:val="0"/>
                <w:bCs w:val="0"/>
                <w:spacing w:val="-1"/>
                <w:highlight w:val="none"/>
              </w:rPr>
              <w:t>g)消防水泵手动启停和自动启动功能，运行是否平稳；</w:t>
            </w:r>
          </w:p>
          <w:p w14:paraId="0BFE4731">
            <w:pPr>
              <w:pStyle w:val="23"/>
              <w:keepNext w:val="0"/>
              <w:keepLines w:val="0"/>
              <w:suppressLineNumbers w:val="0"/>
              <w:spacing w:before="97" w:line="220" w:lineRule="auto"/>
              <w:ind w:left="108" w:right="0" w:firstLine="0"/>
              <w:rPr>
                <w:b w:val="0"/>
                <w:bCs w:val="0"/>
                <w:spacing w:val="-1"/>
                <w:highlight w:val="none"/>
              </w:rPr>
            </w:pPr>
            <w:r>
              <w:rPr>
                <w:b w:val="0"/>
                <w:bCs w:val="0"/>
                <w:spacing w:val="-1"/>
                <w:highlight w:val="none"/>
              </w:rPr>
              <w:t>h)消防水泵控制柜是否设置机械应急启泵装置；</w:t>
            </w:r>
          </w:p>
          <w:p w14:paraId="18AE4BE6">
            <w:pPr>
              <w:pStyle w:val="23"/>
              <w:keepNext w:val="0"/>
              <w:keepLines w:val="0"/>
              <w:suppressLineNumbers w:val="0"/>
              <w:spacing w:before="97" w:line="220" w:lineRule="auto"/>
              <w:ind w:left="108" w:right="0" w:firstLine="0"/>
              <w:rPr>
                <w:b w:val="0"/>
                <w:bCs w:val="0"/>
                <w:highlight w:val="none"/>
              </w:rPr>
            </w:pPr>
            <w:r>
              <w:rPr>
                <w:b w:val="0"/>
                <w:bCs w:val="0"/>
                <w:spacing w:val="-1"/>
                <w:highlight w:val="none"/>
              </w:rPr>
              <w:t>i)消防水泵不应设置自动停泵的控制功能。</w:t>
            </w:r>
          </w:p>
        </w:tc>
        <w:tc>
          <w:tcPr>
            <w:tcW w:w="1179" w:type="pct"/>
            <w:vAlign w:val="center"/>
          </w:tcPr>
          <w:p w14:paraId="1E6D3EAE">
            <w:pPr>
              <w:pStyle w:val="23"/>
              <w:keepNext w:val="0"/>
              <w:keepLines w:val="0"/>
              <w:suppressLineNumbers w:val="0"/>
              <w:spacing w:before="59" w:line="311" w:lineRule="auto"/>
              <w:ind w:left="114" w:right="103"/>
              <w:rPr>
                <w:b w:val="0"/>
                <w:bCs w:val="0"/>
                <w:highlight w:val="none"/>
              </w:rPr>
            </w:pPr>
            <w:r>
              <w:rPr>
                <w:b w:val="0"/>
                <w:bCs w:val="0"/>
                <w:spacing w:val="-8"/>
                <w:highlight w:val="none"/>
              </w:rPr>
              <w:t>a)b)c)d)</w:t>
            </w:r>
            <w:r>
              <w:rPr>
                <w:b w:val="0"/>
                <w:bCs w:val="0"/>
                <w:spacing w:val="-22"/>
                <w:highlight w:val="none"/>
              </w:rPr>
              <w:t xml:space="preserve"> </w:t>
            </w:r>
            <w:r>
              <w:rPr>
                <w:b w:val="0"/>
                <w:bCs w:val="0"/>
                <w:spacing w:val="-8"/>
                <w:highlight w:val="none"/>
              </w:rPr>
              <w:t>不符合要求各扣</w:t>
            </w:r>
            <w:r>
              <w:rPr>
                <w:rFonts w:hint="eastAsia"/>
                <w:b w:val="0"/>
                <w:bCs w:val="0"/>
                <w:spacing w:val="-8"/>
                <w:highlight w:val="none"/>
                <w:lang w:val="en-US" w:eastAsia="zh-CN"/>
              </w:rPr>
              <w:t xml:space="preserve"> </w:t>
            </w:r>
            <w:r>
              <w:rPr>
                <w:b w:val="0"/>
                <w:bCs w:val="0"/>
                <w:spacing w:val="-8"/>
                <w:highlight w:val="none"/>
              </w:rPr>
              <w:t>1分 ，</w:t>
            </w:r>
            <w:r>
              <w:rPr>
                <w:b w:val="0"/>
                <w:bCs w:val="0"/>
                <w:spacing w:val="-5"/>
                <w:highlight w:val="none"/>
              </w:rPr>
              <w:t>e)f)g)h)i)不符合要求各扣</w:t>
            </w:r>
            <w:r>
              <w:rPr>
                <w:b w:val="0"/>
                <w:bCs w:val="0"/>
                <w:spacing w:val="-24"/>
                <w:highlight w:val="none"/>
              </w:rPr>
              <w:t xml:space="preserve"> </w:t>
            </w:r>
            <w:r>
              <w:rPr>
                <w:b w:val="0"/>
                <w:bCs w:val="0"/>
                <w:spacing w:val="-5"/>
                <w:highlight w:val="none"/>
              </w:rPr>
              <w:t>2</w:t>
            </w:r>
            <w:r>
              <w:rPr>
                <w:b w:val="0"/>
                <w:bCs w:val="0"/>
                <w:spacing w:val="-36"/>
                <w:highlight w:val="none"/>
              </w:rPr>
              <w:t xml:space="preserve"> </w:t>
            </w:r>
            <w:r>
              <w:rPr>
                <w:b w:val="0"/>
                <w:bCs w:val="0"/>
                <w:spacing w:val="-5"/>
                <w:highlight w:val="none"/>
              </w:rPr>
              <w:t>分；扣完不</w:t>
            </w:r>
            <w:r>
              <w:rPr>
                <w:b w:val="0"/>
                <w:bCs w:val="0"/>
                <w:spacing w:val="-7"/>
                <w:highlight w:val="none"/>
              </w:rPr>
              <w:t>得分。</w:t>
            </w:r>
          </w:p>
        </w:tc>
        <w:tc>
          <w:tcPr>
            <w:tcW w:w="366" w:type="pct"/>
            <w:vAlign w:val="center"/>
          </w:tcPr>
          <w:p w14:paraId="4D265C37">
            <w:pPr>
              <w:pStyle w:val="23"/>
              <w:keepNext w:val="0"/>
              <w:keepLines w:val="0"/>
              <w:suppressLineNumbers w:val="0"/>
              <w:spacing w:before="68" w:line="282" w:lineRule="auto"/>
              <w:ind w:right="101" w:rightChars="0"/>
              <w:jc w:val="center"/>
              <w:rPr>
                <w:rFonts w:hint="default" w:ascii="宋体" w:hAnsi="宋体" w:eastAsia="宋体" w:cs="宋体"/>
                <w:b w:val="0"/>
                <w:bCs w:val="0"/>
                <w:color w:val="auto"/>
                <w:sz w:val="21"/>
                <w:highlight w:val="none"/>
                <w:lang w:val="en-US" w:eastAsia="zh-CN"/>
              </w:rPr>
            </w:pPr>
          </w:p>
        </w:tc>
        <w:tc>
          <w:tcPr>
            <w:tcW w:w="338" w:type="pct"/>
            <w:vAlign w:val="center"/>
          </w:tcPr>
          <w:p w14:paraId="4A97D3BC">
            <w:pPr>
              <w:keepNext w:val="0"/>
              <w:keepLines w:val="0"/>
              <w:suppressLineNumbers w:val="0"/>
              <w:tabs>
                <w:tab w:val="left" w:pos="418"/>
              </w:tabs>
              <w:spacing w:before="0" w:beforeAutospacing="0" w:after="0" w:afterAutospacing="0"/>
              <w:ind w:left="0" w:right="0"/>
              <w:rPr>
                <w:rFonts w:hint="default" w:ascii="宋体" w:hAnsi="宋体" w:eastAsia="宋体" w:cs="宋体"/>
                <w:b w:val="0"/>
                <w:bCs w:val="0"/>
                <w:color w:val="auto"/>
                <w:sz w:val="21"/>
                <w:highlight w:val="none"/>
                <w:lang w:val="en-US" w:eastAsia="zh-CN"/>
              </w:rPr>
            </w:pPr>
          </w:p>
        </w:tc>
        <w:tc>
          <w:tcPr>
            <w:tcW w:w="330" w:type="pct"/>
            <w:vAlign w:val="center"/>
          </w:tcPr>
          <w:p w14:paraId="5292B431">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r>
      <w:tr w14:paraId="5BBDE7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1" w:hRule="atLeast"/>
          <w:jc w:val="center"/>
        </w:trPr>
        <w:tc>
          <w:tcPr>
            <w:tcW w:w="199" w:type="pct"/>
            <w:vMerge w:val="continue"/>
            <w:tcBorders>
              <w:left w:val="single" w:color="auto" w:sz="4" w:space="0"/>
              <w:bottom w:val="single" w:color="auto" w:sz="4" w:space="0"/>
            </w:tcBorders>
            <w:vAlign w:val="center"/>
          </w:tcPr>
          <w:p w14:paraId="36F783A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bottom w:val="single" w:color="auto" w:sz="4" w:space="0"/>
            </w:tcBorders>
            <w:vAlign w:val="center"/>
          </w:tcPr>
          <w:p w14:paraId="57C1EFD4">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7542482B">
            <w:pPr>
              <w:pStyle w:val="23"/>
              <w:keepNext w:val="0"/>
              <w:keepLines w:val="0"/>
              <w:suppressLineNumbers w:val="0"/>
              <w:spacing w:before="59" w:line="307" w:lineRule="auto"/>
              <w:ind w:left="114" w:right="103" w:hanging="2"/>
              <w:rPr>
                <w:b w:val="0"/>
                <w:bCs w:val="0"/>
                <w:highlight w:val="none"/>
              </w:rPr>
            </w:pPr>
            <w:r>
              <w:rPr>
                <w:b w:val="0"/>
                <w:bCs w:val="0"/>
                <w:spacing w:val="2"/>
                <w:highlight w:val="none"/>
              </w:rPr>
              <w:t>水泵接合器</w:t>
            </w:r>
            <w:r>
              <w:rPr>
                <w:b w:val="0"/>
                <w:bCs w:val="0"/>
                <w:spacing w:val="7"/>
                <w:highlight w:val="none"/>
              </w:rPr>
              <w:t>（2分）</w:t>
            </w:r>
          </w:p>
        </w:tc>
        <w:tc>
          <w:tcPr>
            <w:tcW w:w="1726" w:type="pct"/>
            <w:vAlign w:val="center"/>
          </w:tcPr>
          <w:p w14:paraId="07C67A2B">
            <w:pPr>
              <w:pStyle w:val="23"/>
              <w:keepNext w:val="0"/>
              <w:keepLines w:val="0"/>
              <w:suppressLineNumbers w:val="0"/>
              <w:spacing w:before="69" w:line="220" w:lineRule="auto"/>
              <w:ind w:left="112"/>
              <w:rPr>
                <w:b w:val="0"/>
                <w:bCs w:val="0"/>
                <w:highlight w:val="none"/>
              </w:rPr>
            </w:pPr>
            <w:r>
              <w:rPr>
                <w:b w:val="0"/>
                <w:bCs w:val="0"/>
                <w:spacing w:val="-1"/>
                <w:highlight w:val="none"/>
              </w:rPr>
              <w:t>a)是否按规定设置水泵接合器；</w:t>
            </w:r>
          </w:p>
          <w:p w14:paraId="5DA3B19C">
            <w:pPr>
              <w:pStyle w:val="23"/>
              <w:keepNext w:val="0"/>
              <w:keepLines w:val="0"/>
              <w:suppressLineNumbers w:val="0"/>
              <w:spacing w:before="97" w:line="220" w:lineRule="auto"/>
              <w:ind w:left="108"/>
              <w:rPr>
                <w:b w:val="0"/>
                <w:bCs w:val="0"/>
                <w:highlight w:val="none"/>
              </w:rPr>
            </w:pPr>
            <w:r>
              <w:rPr>
                <w:b w:val="0"/>
                <w:bCs w:val="0"/>
                <w:spacing w:val="-2"/>
                <w:highlight w:val="none"/>
              </w:rPr>
              <w:t>b)水泵接合器的组件、外观、标志及遮挡情况；</w:t>
            </w:r>
          </w:p>
          <w:p w14:paraId="7B9883CE">
            <w:pPr>
              <w:pStyle w:val="23"/>
              <w:keepNext w:val="0"/>
              <w:keepLines w:val="0"/>
              <w:suppressLineNumbers w:val="0"/>
              <w:spacing w:before="97" w:line="220" w:lineRule="auto"/>
              <w:ind w:left="115"/>
              <w:rPr>
                <w:b w:val="0"/>
                <w:bCs w:val="0"/>
                <w:highlight w:val="none"/>
              </w:rPr>
            </w:pPr>
            <w:r>
              <w:rPr>
                <w:b w:val="0"/>
                <w:bCs w:val="0"/>
                <w:spacing w:val="-2"/>
                <w:highlight w:val="none"/>
              </w:rPr>
              <w:t>c)控制阀启闭状态；</w:t>
            </w:r>
          </w:p>
          <w:p w14:paraId="71DE1E0F">
            <w:pPr>
              <w:pStyle w:val="23"/>
              <w:keepNext w:val="0"/>
              <w:keepLines w:val="0"/>
              <w:suppressLineNumbers w:val="0"/>
              <w:spacing w:before="97" w:line="221" w:lineRule="auto"/>
              <w:ind w:left="115"/>
              <w:rPr>
                <w:b w:val="0"/>
                <w:bCs w:val="0"/>
                <w:highlight w:val="none"/>
              </w:rPr>
            </w:pPr>
            <w:r>
              <w:rPr>
                <w:b w:val="0"/>
                <w:bCs w:val="0"/>
                <w:spacing w:val="-2"/>
                <w:highlight w:val="none"/>
              </w:rPr>
              <w:t>d)防冻措施。</w:t>
            </w:r>
          </w:p>
        </w:tc>
        <w:tc>
          <w:tcPr>
            <w:tcW w:w="1179" w:type="pct"/>
            <w:vAlign w:val="center"/>
          </w:tcPr>
          <w:p w14:paraId="0B82A6A9">
            <w:pPr>
              <w:pStyle w:val="23"/>
              <w:keepNext w:val="0"/>
              <w:keepLines w:val="0"/>
              <w:suppressLineNumbers w:val="0"/>
              <w:spacing w:before="225" w:line="220" w:lineRule="auto"/>
              <w:ind w:left="114"/>
              <w:rPr>
                <w:b w:val="0"/>
                <w:bCs w:val="0"/>
                <w:highlight w:val="none"/>
              </w:rPr>
            </w:pPr>
            <w:r>
              <w:rPr>
                <w:b w:val="0"/>
                <w:bCs w:val="0"/>
                <w:spacing w:val="-1"/>
                <w:highlight w:val="none"/>
              </w:rPr>
              <w:t>a)按照规范应设但未设置水泵接合器扣</w:t>
            </w:r>
            <w:r>
              <w:rPr>
                <w:b w:val="0"/>
                <w:bCs w:val="0"/>
                <w:spacing w:val="-41"/>
                <w:highlight w:val="none"/>
              </w:rPr>
              <w:t xml:space="preserve"> </w:t>
            </w:r>
            <w:r>
              <w:rPr>
                <w:b w:val="0"/>
                <w:bCs w:val="0"/>
                <w:spacing w:val="-1"/>
                <w:highlight w:val="none"/>
              </w:rPr>
              <w:t>2</w:t>
            </w:r>
          </w:p>
          <w:p w14:paraId="54EA3F63">
            <w:pPr>
              <w:pStyle w:val="23"/>
              <w:keepNext w:val="0"/>
              <w:keepLines w:val="0"/>
              <w:suppressLineNumbers w:val="0"/>
              <w:spacing w:before="96" w:line="307" w:lineRule="auto"/>
              <w:ind w:left="114" w:right="101" w:firstLine="1"/>
              <w:rPr>
                <w:b w:val="0"/>
                <w:bCs w:val="0"/>
                <w:highlight w:val="none"/>
              </w:rPr>
            </w:pPr>
            <w:r>
              <w:rPr>
                <w:b w:val="0"/>
                <w:bCs w:val="0"/>
                <w:spacing w:val="-5"/>
                <w:highlight w:val="none"/>
              </w:rPr>
              <w:t>分，b)c)d)不符合要求各扣</w:t>
            </w:r>
            <w:r>
              <w:rPr>
                <w:b w:val="0"/>
                <w:bCs w:val="0"/>
                <w:spacing w:val="-25"/>
                <w:highlight w:val="none"/>
              </w:rPr>
              <w:t xml:space="preserve"> </w:t>
            </w:r>
            <w:r>
              <w:rPr>
                <w:b w:val="0"/>
                <w:bCs w:val="0"/>
                <w:spacing w:val="-5"/>
                <w:highlight w:val="none"/>
              </w:rPr>
              <w:t>1</w:t>
            </w:r>
            <w:r>
              <w:rPr>
                <w:b w:val="0"/>
                <w:bCs w:val="0"/>
                <w:spacing w:val="-37"/>
                <w:highlight w:val="none"/>
              </w:rPr>
              <w:t xml:space="preserve"> </w:t>
            </w:r>
            <w:r>
              <w:rPr>
                <w:b w:val="0"/>
                <w:bCs w:val="0"/>
                <w:spacing w:val="-5"/>
                <w:highlight w:val="none"/>
              </w:rPr>
              <w:t>分；扣完不</w:t>
            </w:r>
            <w:r>
              <w:rPr>
                <w:b w:val="0"/>
                <w:bCs w:val="0"/>
                <w:spacing w:val="-7"/>
                <w:highlight w:val="none"/>
              </w:rPr>
              <w:t>得分。</w:t>
            </w:r>
          </w:p>
        </w:tc>
        <w:tc>
          <w:tcPr>
            <w:tcW w:w="366" w:type="pct"/>
            <w:vAlign w:val="center"/>
          </w:tcPr>
          <w:p w14:paraId="0471A456">
            <w:pPr>
              <w:pStyle w:val="23"/>
              <w:keepNext w:val="0"/>
              <w:keepLines w:val="0"/>
              <w:suppressLineNumbers w:val="0"/>
              <w:spacing w:before="68" w:line="282" w:lineRule="auto"/>
              <w:ind w:right="101" w:rightChars="0"/>
              <w:jc w:val="center"/>
              <w:rPr>
                <w:rFonts w:hint="default" w:ascii="宋体" w:hAnsi="宋体" w:eastAsia="宋体" w:cs="宋体"/>
                <w:b w:val="0"/>
                <w:bCs w:val="0"/>
                <w:color w:val="auto"/>
                <w:sz w:val="21"/>
                <w:highlight w:val="none"/>
                <w:lang w:val="en-US" w:eastAsia="zh-CN"/>
              </w:rPr>
            </w:pPr>
          </w:p>
        </w:tc>
        <w:tc>
          <w:tcPr>
            <w:tcW w:w="338" w:type="pct"/>
            <w:vAlign w:val="center"/>
          </w:tcPr>
          <w:p w14:paraId="308AE830">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c>
          <w:tcPr>
            <w:tcW w:w="330" w:type="pct"/>
            <w:vAlign w:val="center"/>
          </w:tcPr>
          <w:p w14:paraId="0B9B2B60">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r>
      <w:tr w14:paraId="775D3A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jc w:val="center"/>
        </w:trPr>
        <w:tc>
          <w:tcPr>
            <w:tcW w:w="199" w:type="pct"/>
            <w:vMerge w:val="restart"/>
            <w:tcBorders>
              <w:top w:val="single" w:color="auto" w:sz="4" w:space="0"/>
              <w:left w:val="single" w:color="auto" w:sz="4" w:space="0"/>
              <w:bottom w:val="single" w:color="auto" w:sz="4" w:space="0"/>
              <w:right w:val="single" w:color="auto" w:sz="4" w:space="0"/>
            </w:tcBorders>
            <w:vAlign w:val="center"/>
          </w:tcPr>
          <w:p w14:paraId="7BCA4938">
            <w:pPr>
              <w:pStyle w:val="23"/>
              <w:keepNext w:val="0"/>
              <w:keepLines w:val="0"/>
              <w:suppressLineNumbers w:val="0"/>
              <w:spacing w:before="59" w:line="182" w:lineRule="auto"/>
              <w:ind w:left="279"/>
              <w:rPr>
                <w:rFonts w:hint="eastAsia" w:eastAsia="宋体"/>
                <w:b w:val="0"/>
                <w:bCs w:val="0"/>
                <w:highlight w:val="none"/>
                <w:lang w:val="en-US" w:eastAsia="zh-CN"/>
              </w:rPr>
            </w:pPr>
            <w:r>
              <w:rPr>
                <w:rFonts w:hint="eastAsia"/>
                <w:b w:val="0"/>
                <w:bCs w:val="0"/>
                <w:highlight w:val="none"/>
                <w:lang w:val="en-US" w:eastAsia="zh-CN"/>
              </w:rPr>
              <w:t>2</w:t>
            </w:r>
          </w:p>
        </w:tc>
        <w:tc>
          <w:tcPr>
            <w:tcW w:w="493" w:type="pct"/>
            <w:vMerge w:val="restart"/>
            <w:tcBorders>
              <w:top w:val="single" w:color="auto" w:sz="4" w:space="0"/>
              <w:left w:val="single" w:color="auto" w:sz="4" w:space="0"/>
              <w:bottom w:val="single" w:color="auto" w:sz="4" w:space="0"/>
              <w:right w:val="single" w:color="auto" w:sz="4" w:space="0"/>
            </w:tcBorders>
            <w:vAlign w:val="center"/>
          </w:tcPr>
          <w:p w14:paraId="50E5E731">
            <w:pPr>
              <w:pStyle w:val="23"/>
              <w:keepNext w:val="0"/>
              <w:keepLines w:val="0"/>
              <w:suppressLineNumbers w:val="0"/>
              <w:spacing w:before="59" w:line="220" w:lineRule="auto"/>
              <w:ind w:left="174"/>
              <w:rPr>
                <w:rFonts w:hint="default" w:ascii="Arial"/>
                <w:b w:val="0"/>
                <w:bCs w:val="0"/>
                <w:sz w:val="21"/>
                <w:highlight w:val="none"/>
              </w:rPr>
            </w:pPr>
            <w:r>
              <w:rPr>
                <w:b w:val="0"/>
                <w:bCs w:val="0"/>
                <w:spacing w:val="-2"/>
                <w:highlight w:val="none"/>
              </w:rPr>
              <w:t>消防供配电设施（20 分）</w:t>
            </w:r>
          </w:p>
        </w:tc>
        <w:tc>
          <w:tcPr>
            <w:tcW w:w="366" w:type="pct"/>
            <w:tcBorders>
              <w:left w:val="single" w:color="auto" w:sz="4" w:space="0"/>
            </w:tcBorders>
            <w:vAlign w:val="center"/>
          </w:tcPr>
          <w:p w14:paraId="043F3816">
            <w:pPr>
              <w:pStyle w:val="23"/>
              <w:keepNext w:val="0"/>
              <w:keepLines w:val="0"/>
              <w:suppressLineNumbers w:val="0"/>
              <w:spacing w:before="67" w:line="295" w:lineRule="auto"/>
              <w:ind w:left="108" w:right="106"/>
              <w:jc w:val="both"/>
              <w:rPr>
                <w:b w:val="0"/>
                <w:bCs w:val="0"/>
                <w:highlight w:val="none"/>
              </w:rPr>
            </w:pPr>
            <w:r>
              <w:rPr>
                <w:b w:val="0"/>
                <w:bCs w:val="0"/>
                <w:spacing w:val="-13"/>
                <w:highlight w:val="none"/>
              </w:rPr>
              <w:t>供配电负</w:t>
            </w:r>
            <w:r>
              <w:rPr>
                <w:b w:val="0"/>
                <w:bCs w:val="0"/>
                <w:spacing w:val="3"/>
                <w:highlight w:val="none"/>
              </w:rPr>
              <w:t>荷等级（</w:t>
            </w:r>
            <w:r>
              <w:rPr>
                <w:b w:val="0"/>
                <w:bCs w:val="0"/>
                <w:spacing w:val="-28"/>
                <w:highlight w:val="none"/>
              </w:rPr>
              <w:t xml:space="preserve"> </w:t>
            </w:r>
            <w:r>
              <w:rPr>
                <w:b w:val="0"/>
                <w:bCs w:val="0"/>
                <w:spacing w:val="3"/>
                <w:highlight w:val="none"/>
              </w:rPr>
              <w:t>5</w:t>
            </w:r>
            <w:r>
              <w:rPr>
                <w:b w:val="0"/>
                <w:bCs w:val="0"/>
                <w:highlight w:val="none"/>
              </w:rPr>
              <w:t xml:space="preserve"> </w:t>
            </w:r>
            <w:r>
              <w:rPr>
                <w:b w:val="0"/>
                <w:bCs w:val="0"/>
                <w:spacing w:val="-5"/>
                <w:highlight w:val="none"/>
              </w:rPr>
              <w:t>分）</w:t>
            </w:r>
          </w:p>
        </w:tc>
        <w:tc>
          <w:tcPr>
            <w:tcW w:w="1726" w:type="pct"/>
            <w:vAlign w:val="center"/>
          </w:tcPr>
          <w:p w14:paraId="62C98074">
            <w:pPr>
              <w:pStyle w:val="23"/>
              <w:keepNext w:val="0"/>
              <w:keepLines w:val="0"/>
              <w:suppressLineNumbers w:val="0"/>
              <w:spacing w:before="59" w:line="220" w:lineRule="auto"/>
              <w:ind w:left="115"/>
              <w:rPr>
                <w:b w:val="0"/>
                <w:bCs w:val="0"/>
                <w:highlight w:val="none"/>
              </w:rPr>
            </w:pPr>
            <w:r>
              <w:rPr>
                <w:b w:val="0"/>
                <w:bCs w:val="0"/>
                <w:spacing w:val="-1"/>
                <w:highlight w:val="none"/>
              </w:rPr>
              <w:t>消防供配电是否满足相应负荷等级的要求。</w:t>
            </w:r>
          </w:p>
        </w:tc>
        <w:tc>
          <w:tcPr>
            <w:tcW w:w="1179" w:type="pct"/>
            <w:vAlign w:val="center"/>
          </w:tcPr>
          <w:p w14:paraId="064E9E7C">
            <w:pPr>
              <w:pStyle w:val="23"/>
              <w:keepNext w:val="0"/>
              <w:keepLines w:val="0"/>
              <w:suppressLineNumbers w:val="0"/>
              <w:spacing w:before="59" w:line="220" w:lineRule="auto"/>
              <w:ind w:left="116"/>
              <w:rPr>
                <w:b w:val="0"/>
                <w:bCs w:val="0"/>
                <w:highlight w:val="none"/>
              </w:rPr>
            </w:pPr>
            <w:r>
              <w:rPr>
                <w:b w:val="0"/>
                <w:bCs w:val="0"/>
                <w:spacing w:val="-5"/>
                <w:highlight w:val="none"/>
              </w:rPr>
              <w:t>不符合要求扣</w:t>
            </w:r>
            <w:r>
              <w:rPr>
                <w:b w:val="0"/>
                <w:bCs w:val="0"/>
                <w:spacing w:val="-30"/>
                <w:highlight w:val="none"/>
              </w:rPr>
              <w:t xml:space="preserve"> </w:t>
            </w:r>
            <w:r>
              <w:rPr>
                <w:b w:val="0"/>
                <w:bCs w:val="0"/>
                <w:spacing w:val="-5"/>
                <w:highlight w:val="none"/>
              </w:rPr>
              <w:t>5</w:t>
            </w:r>
            <w:r>
              <w:rPr>
                <w:b w:val="0"/>
                <w:bCs w:val="0"/>
                <w:spacing w:val="-34"/>
                <w:highlight w:val="none"/>
              </w:rPr>
              <w:t xml:space="preserve"> </w:t>
            </w:r>
            <w:r>
              <w:rPr>
                <w:b w:val="0"/>
                <w:bCs w:val="0"/>
                <w:spacing w:val="-5"/>
                <w:highlight w:val="none"/>
              </w:rPr>
              <w:t>分。</w:t>
            </w:r>
          </w:p>
        </w:tc>
        <w:tc>
          <w:tcPr>
            <w:tcW w:w="366" w:type="pct"/>
            <w:vAlign w:val="center"/>
          </w:tcPr>
          <w:p w14:paraId="77D16DCB">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vAlign w:val="center"/>
          </w:tcPr>
          <w:p w14:paraId="6A3721E5">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c>
          <w:tcPr>
            <w:tcW w:w="330" w:type="pct"/>
            <w:vAlign w:val="center"/>
          </w:tcPr>
          <w:p w14:paraId="47A6B3AD">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563F9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8" w:hRule="atLeast"/>
          <w:jc w:val="center"/>
        </w:trPr>
        <w:tc>
          <w:tcPr>
            <w:tcW w:w="199" w:type="pct"/>
            <w:vMerge w:val="continue"/>
            <w:tcBorders>
              <w:top w:val="single" w:color="auto" w:sz="4" w:space="0"/>
              <w:left w:val="single" w:color="auto" w:sz="4" w:space="0"/>
              <w:bottom w:val="single" w:color="auto" w:sz="4" w:space="0"/>
            </w:tcBorders>
            <w:vAlign w:val="center"/>
          </w:tcPr>
          <w:p w14:paraId="4AB3CB2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right w:val="single" w:color="auto" w:sz="4" w:space="0"/>
            </w:tcBorders>
            <w:vAlign w:val="center"/>
          </w:tcPr>
          <w:p w14:paraId="032A94C9">
            <w:pPr>
              <w:pStyle w:val="23"/>
              <w:keepNext w:val="0"/>
              <w:keepLines w:val="0"/>
              <w:suppressLineNumbers w:val="0"/>
              <w:spacing w:before="59" w:line="220" w:lineRule="auto"/>
              <w:ind w:left="174"/>
              <w:rPr>
                <w:rFonts w:hint="default" w:ascii="Arial"/>
                <w:b w:val="0"/>
                <w:bCs w:val="0"/>
                <w:sz w:val="21"/>
                <w:highlight w:val="none"/>
              </w:rPr>
            </w:pPr>
          </w:p>
        </w:tc>
        <w:tc>
          <w:tcPr>
            <w:tcW w:w="366" w:type="pct"/>
            <w:tcBorders>
              <w:left w:val="single" w:color="auto" w:sz="4" w:space="0"/>
            </w:tcBorders>
            <w:vAlign w:val="center"/>
          </w:tcPr>
          <w:p w14:paraId="3999ECAE">
            <w:pPr>
              <w:pStyle w:val="23"/>
              <w:keepNext w:val="0"/>
              <w:keepLines w:val="0"/>
              <w:suppressLineNumbers w:val="0"/>
              <w:spacing w:before="58" w:line="306" w:lineRule="auto"/>
              <w:ind w:left="108" w:right="106" w:firstLine="30"/>
              <w:rPr>
                <w:b w:val="0"/>
                <w:bCs w:val="0"/>
                <w:highlight w:val="none"/>
              </w:rPr>
            </w:pPr>
            <w:r>
              <w:rPr>
                <w:b w:val="0"/>
                <w:bCs w:val="0"/>
                <w:spacing w:val="-21"/>
                <w:highlight w:val="none"/>
              </w:rPr>
              <w:t>自备发电</w:t>
            </w:r>
            <w:r>
              <w:rPr>
                <w:b w:val="0"/>
                <w:bCs w:val="0"/>
                <w:spacing w:val="7"/>
                <w:highlight w:val="none"/>
              </w:rPr>
              <w:t>机（5分）</w:t>
            </w:r>
          </w:p>
        </w:tc>
        <w:tc>
          <w:tcPr>
            <w:tcW w:w="1726" w:type="pct"/>
            <w:vAlign w:val="center"/>
          </w:tcPr>
          <w:p w14:paraId="442F7891">
            <w:pPr>
              <w:pStyle w:val="23"/>
              <w:keepNext w:val="0"/>
              <w:keepLines w:val="0"/>
              <w:suppressLineNumbers w:val="0"/>
              <w:spacing w:before="66" w:line="220" w:lineRule="auto"/>
              <w:ind w:left="112"/>
              <w:rPr>
                <w:b w:val="0"/>
                <w:bCs w:val="0"/>
                <w:highlight w:val="none"/>
              </w:rPr>
            </w:pPr>
            <w:r>
              <w:rPr>
                <w:b w:val="0"/>
                <w:bCs w:val="0"/>
                <w:spacing w:val="-1"/>
                <w:highlight w:val="none"/>
              </w:rPr>
              <w:t>a)发电机房内的通风设施；</w:t>
            </w:r>
          </w:p>
          <w:p w14:paraId="558BF0B5">
            <w:pPr>
              <w:pStyle w:val="23"/>
              <w:keepNext w:val="0"/>
              <w:keepLines w:val="0"/>
              <w:suppressLineNumbers w:val="0"/>
              <w:spacing w:before="97" w:line="220" w:lineRule="auto"/>
              <w:ind w:left="108"/>
              <w:rPr>
                <w:b w:val="0"/>
                <w:bCs w:val="0"/>
                <w:highlight w:val="none"/>
              </w:rPr>
            </w:pPr>
            <w:r>
              <w:rPr>
                <w:b w:val="0"/>
                <w:bCs w:val="0"/>
                <w:spacing w:val="-1"/>
                <w:highlight w:val="none"/>
              </w:rPr>
              <w:t>b)发电机储油设施的油位显示；</w:t>
            </w:r>
          </w:p>
          <w:p w14:paraId="77B121F7">
            <w:pPr>
              <w:pStyle w:val="23"/>
              <w:keepNext w:val="0"/>
              <w:keepLines w:val="0"/>
              <w:suppressLineNumbers w:val="0"/>
              <w:spacing w:before="97" w:line="307" w:lineRule="auto"/>
              <w:ind w:left="112" w:right="104" w:firstLine="2"/>
              <w:rPr>
                <w:b w:val="0"/>
                <w:bCs w:val="0"/>
                <w:highlight w:val="none"/>
              </w:rPr>
            </w:pPr>
            <w:r>
              <w:rPr>
                <w:b w:val="0"/>
                <w:bCs w:val="0"/>
                <w:spacing w:val="-2"/>
                <w:highlight w:val="none"/>
              </w:rPr>
              <w:t>c)自备发电机组的仪表、指示灯及开关按钮是否</w:t>
            </w:r>
            <w:r>
              <w:rPr>
                <w:b w:val="0"/>
                <w:bCs w:val="0"/>
                <w:spacing w:val="-3"/>
                <w:highlight w:val="none"/>
              </w:rPr>
              <w:t>完好并显</w:t>
            </w:r>
            <w:r>
              <w:rPr>
                <w:b w:val="0"/>
                <w:bCs w:val="0"/>
                <w:spacing w:val="-2"/>
                <w:highlight w:val="none"/>
              </w:rPr>
              <w:t>示正常；</w:t>
            </w:r>
          </w:p>
          <w:p w14:paraId="6BC48E99">
            <w:pPr>
              <w:pStyle w:val="23"/>
              <w:keepNext w:val="0"/>
              <w:keepLines w:val="0"/>
              <w:suppressLineNumbers w:val="0"/>
              <w:spacing w:before="25" w:line="220" w:lineRule="auto"/>
              <w:ind w:left="115"/>
              <w:rPr>
                <w:b w:val="0"/>
                <w:bCs w:val="0"/>
                <w:highlight w:val="none"/>
              </w:rPr>
            </w:pPr>
            <w:r>
              <w:rPr>
                <w:b w:val="0"/>
                <w:bCs w:val="0"/>
                <w:spacing w:val="-2"/>
                <w:highlight w:val="none"/>
              </w:rPr>
              <w:t>d)是否处于自启动状态；</w:t>
            </w:r>
          </w:p>
          <w:p w14:paraId="27D03E94">
            <w:pPr>
              <w:pStyle w:val="23"/>
              <w:keepNext w:val="0"/>
              <w:keepLines w:val="0"/>
              <w:suppressLineNumbers w:val="0"/>
              <w:spacing w:before="97" w:line="282" w:lineRule="auto"/>
              <w:ind w:left="114" w:right="1403" w:firstLine="1"/>
              <w:rPr>
                <w:b w:val="0"/>
                <w:bCs w:val="0"/>
                <w:spacing w:val="-5"/>
                <w:highlight w:val="none"/>
              </w:rPr>
            </w:pPr>
            <w:r>
              <w:rPr>
                <w:b w:val="0"/>
                <w:bCs w:val="0"/>
                <w:spacing w:val="-5"/>
                <w:highlight w:val="none"/>
              </w:rPr>
              <w:t>e)自动启动，达到额定转速发电的时间；</w:t>
            </w:r>
          </w:p>
          <w:p w14:paraId="12041D0C">
            <w:pPr>
              <w:pStyle w:val="23"/>
              <w:keepNext w:val="0"/>
              <w:keepLines w:val="0"/>
              <w:suppressLineNumbers w:val="0"/>
              <w:spacing w:before="97" w:line="282" w:lineRule="auto"/>
              <w:ind w:left="114" w:right="1403" w:firstLine="1"/>
              <w:rPr>
                <w:b w:val="0"/>
                <w:bCs w:val="0"/>
                <w:highlight w:val="none"/>
              </w:rPr>
            </w:pPr>
            <w:r>
              <w:rPr>
                <w:b w:val="0"/>
                <w:bCs w:val="0"/>
                <w:spacing w:val="-1"/>
                <w:highlight w:val="none"/>
              </w:rPr>
              <w:t>f)发电机的运行及输出电压、频率。</w:t>
            </w:r>
          </w:p>
        </w:tc>
        <w:tc>
          <w:tcPr>
            <w:tcW w:w="1179" w:type="pct"/>
            <w:vAlign w:val="center"/>
          </w:tcPr>
          <w:p w14:paraId="303AAE89">
            <w:pPr>
              <w:pStyle w:val="23"/>
              <w:keepNext w:val="0"/>
              <w:keepLines w:val="0"/>
              <w:suppressLineNumbers w:val="0"/>
              <w:spacing w:before="58" w:line="307" w:lineRule="auto"/>
              <w:ind w:left="114" w:right="101"/>
              <w:rPr>
                <w:b w:val="0"/>
                <w:bCs w:val="0"/>
                <w:highlight w:val="none"/>
              </w:rPr>
            </w:pPr>
            <w:r>
              <w:rPr>
                <w:b w:val="0"/>
                <w:bCs w:val="0"/>
                <w:spacing w:val="-5"/>
                <w:highlight w:val="none"/>
              </w:rPr>
              <w:t>a)b)c)d)e)不符合要求各扣</w:t>
            </w:r>
            <w:r>
              <w:rPr>
                <w:b w:val="0"/>
                <w:bCs w:val="0"/>
                <w:spacing w:val="-20"/>
                <w:highlight w:val="none"/>
              </w:rPr>
              <w:t xml:space="preserve"> </w:t>
            </w:r>
            <w:r>
              <w:rPr>
                <w:b w:val="0"/>
                <w:bCs w:val="0"/>
                <w:spacing w:val="-5"/>
                <w:highlight w:val="none"/>
              </w:rPr>
              <w:t>1</w:t>
            </w:r>
            <w:r>
              <w:rPr>
                <w:b w:val="0"/>
                <w:bCs w:val="0"/>
                <w:spacing w:val="-37"/>
                <w:highlight w:val="none"/>
              </w:rPr>
              <w:t xml:space="preserve"> </w:t>
            </w:r>
            <w:r>
              <w:rPr>
                <w:b w:val="0"/>
                <w:bCs w:val="0"/>
                <w:spacing w:val="-5"/>
                <w:highlight w:val="none"/>
              </w:rPr>
              <w:t>分，f)不符</w:t>
            </w:r>
            <w:r>
              <w:rPr>
                <w:b w:val="0"/>
                <w:bCs w:val="0"/>
                <w:spacing w:val="-4"/>
                <w:highlight w:val="none"/>
              </w:rPr>
              <w:t>合要求扣</w:t>
            </w:r>
            <w:r>
              <w:rPr>
                <w:b w:val="0"/>
                <w:bCs w:val="0"/>
                <w:spacing w:val="-25"/>
                <w:highlight w:val="none"/>
              </w:rPr>
              <w:t xml:space="preserve"> </w:t>
            </w:r>
            <w:r>
              <w:rPr>
                <w:b w:val="0"/>
                <w:bCs w:val="0"/>
                <w:spacing w:val="-4"/>
                <w:highlight w:val="none"/>
              </w:rPr>
              <w:t>5</w:t>
            </w:r>
            <w:r>
              <w:rPr>
                <w:b w:val="0"/>
                <w:bCs w:val="0"/>
                <w:spacing w:val="-34"/>
                <w:highlight w:val="none"/>
              </w:rPr>
              <w:t xml:space="preserve"> </w:t>
            </w:r>
            <w:r>
              <w:rPr>
                <w:b w:val="0"/>
                <w:bCs w:val="0"/>
                <w:spacing w:val="-4"/>
                <w:highlight w:val="none"/>
              </w:rPr>
              <w:t>分；扣完不得分。</w:t>
            </w:r>
          </w:p>
        </w:tc>
        <w:tc>
          <w:tcPr>
            <w:tcW w:w="366" w:type="pct"/>
            <w:vAlign w:val="center"/>
          </w:tcPr>
          <w:p w14:paraId="06786EA4">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2614CED8">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30" w:type="pct"/>
            <w:vAlign w:val="center"/>
          </w:tcPr>
          <w:p w14:paraId="27EAC8DA">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r>
    </w:tbl>
    <w:p w14:paraId="26AF9D8D">
      <w:pPr>
        <w:pStyle w:val="23"/>
        <w:keepNext w:val="0"/>
        <w:keepLines w:val="0"/>
        <w:suppressLineNumbers w:val="0"/>
        <w:spacing w:before="70" w:line="222" w:lineRule="auto"/>
        <w:ind w:left="140"/>
        <w:rPr>
          <w:b/>
          <w:bCs/>
          <w:spacing w:val="-3"/>
          <w:highlight w:val="none"/>
        </w:rPr>
      </w:pPr>
      <w:r>
        <w:rPr>
          <w:b/>
          <w:bCs/>
          <w:spacing w:val="-3"/>
          <w:highlight w:val="none"/>
        </w:rPr>
        <w:br w:type="page"/>
      </w:r>
    </w:p>
    <w:tbl>
      <w:tblPr>
        <w:tblStyle w:val="24"/>
        <w:tblW w:w="495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98"/>
        <w:gridCol w:w="1470"/>
        <w:gridCol w:w="1096"/>
        <w:gridCol w:w="5142"/>
        <w:gridCol w:w="3513"/>
        <w:gridCol w:w="1096"/>
        <w:gridCol w:w="1010"/>
        <w:gridCol w:w="983"/>
      </w:tblGrid>
      <w:tr w14:paraId="168E0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jc w:val="center"/>
        </w:trPr>
        <w:tc>
          <w:tcPr>
            <w:tcW w:w="556" w:type="dxa"/>
            <w:tcBorders>
              <w:top w:val="single" w:color="auto" w:sz="4" w:space="0"/>
              <w:left w:val="single" w:color="auto" w:sz="4" w:space="0"/>
              <w:bottom w:val="single" w:color="auto" w:sz="4" w:space="0"/>
              <w:right w:val="single" w:color="auto" w:sz="4" w:space="0"/>
            </w:tcBorders>
            <w:vAlign w:val="center"/>
          </w:tcPr>
          <w:p w14:paraId="213B749B">
            <w:pPr>
              <w:pStyle w:val="23"/>
              <w:keepNext w:val="0"/>
              <w:keepLines w:val="0"/>
              <w:suppressLineNumbers w:val="0"/>
              <w:spacing w:before="70" w:line="222" w:lineRule="auto"/>
              <w:ind w:left="140" w:leftChars="0" w:right="0" w:rightChars="0"/>
              <w:rPr>
                <w:b/>
                <w:bCs/>
                <w:spacing w:val="-3"/>
                <w:highlight w:val="none"/>
              </w:rPr>
            </w:pPr>
            <w:r>
              <w:rPr>
                <w:b/>
                <w:bCs/>
                <w:spacing w:val="-3"/>
                <w:highlight w:val="none"/>
              </w:rPr>
              <w:t>序号</w:t>
            </w:r>
          </w:p>
        </w:tc>
        <w:tc>
          <w:tcPr>
            <w:tcW w:w="1364" w:type="dxa"/>
            <w:tcBorders>
              <w:top w:val="single" w:color="auto" w:sz="4" w:space="0"/>
              <w:left w:val="single" w:color="auto" w:sz="4" w:space="0"/>
              <w:bottom w:val="single" w:color="auto" w:sz="4" w:space="0"/>
              <w:right w:val="single" w:color="auto" w:sz="4" w:space="0"/>
            </w:tcBorders>
            <w:vAlign w:val="center"/>
          </w:tcPr>
          <w:p w14:paraId="25FA03A1">
            <w:pPr>
              <w:pStyle w:val="23"/>
              <w:keepNext w:val="0"/>
              <w:keepLines w:val="0"/>
              <w:suppressLineNumbers w:val="0"/>
              <w:spacing w:before="70" w:line="219" w:lineRule="auto"/>
              <w:ind w:left="334" w:leftChars="0" w:right="0" w:rightChars="0"/>
              <w:rPr>
                <w:b/>
                <w:bCs/>
                <w:spacing w:val="-3"/>
                <w:highlight w:val="none"/>
              </w:rPr>
            </w:pPr>
            <w:r>
              <w:rPr>
                <w:b/>
                <w:bCs/>
                <w:spacing w:val="-3"/>
                <w:highlight w:val="none"/>
              </w:rPr>
              <w:t>评估</w:t>
            </w:r>
            <w:r>
              <w:rPr>
                <w:rFonts w:hint="eastAsia"/>
                <w:b/>
                <w:bCs/>
                <w:spacing w:val="-3"/>
                <w:highlight w:val="none"/>
                <w:lang w:val="en-US" w:eastAsia="zh-CN"/>
              </w:rPr>
              <w:t>单项</w:t>
            </w:r>
          </w:p>
        </w:tc>
        <w:tc>
          <w:tcPr>
            <w:tcW w:w="1017" w:type="dxa"/>
            <w:tcBorders>
              <w:left w:val="single" w:color="auto" w:sz="4" w:space="0"/>
            </w:tcBorders>
            <w:vAlign w:val="center"/>
          </w:tcPr>
          <w:p w14:paraId="0475BD1B">
            <w:pPr>
              <w:pStyle w:val="23"/>
              <w:keepNext w:val="0"/>
              <w:keepLines w:val="0"/>
              <w:suppressLineNumbers w:val="0"/>
              <w:spacing w:before="70" w:line="219" w:lineRule="auto"/>
              <w:ind w:left="166" w:leftChars="0" w:right="0" w:rightChars="0"/>
              <w:rPr>
                <w:b/>
                <w:bCs/>
                <w:spacing w:val="-3"/>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4772" w:type="dxa"/>
            <w:vAlign w:val="center"/>
          </w:tcPr>
          <w:p w14:paraId="34BDAF20">
            <w:pPr>
              <w:pStyle w:val="23"/>
              <w:keepNext w:val="0"/>
              <w:keepLines w:val="0"/>
              <w:suppressLineNumbers w:val="0"/>
              <w:spacing w:before="71" w:line="220" w:lineRule="auto"/>
              <w:ind w:left="2037" w:leftChars="0" w:right="0" w:rightChars="0"/>
              <w:rPr>
                <w:rFonts w:hint="eastAsia"/>
                <w:b/>
                <w:bCs/>
                <w:spacing w:val="-4"/>
                <w:highlight w:val="none"/>
                <w:lang w:val="en-US" w:eastAsia="zh-CN"/>
              </w:rPr>
            </w:pPr>
            <w:r>
              <w:rPr>
                <w:rFonts w:hint="eastAsia"/>
                <w:b/>
                <w:bCs/>
                <w:spacing w:val="-4"/>
                <w:highlight w:val="none"/>
                <w:lang w:val="en-US" w:eastAsia="zh-CN"/>
              </w:rPr>
              <w:t>评估要素</w:t>
            </w:r>
          </w:p>
        </w:tc>
        <w:tc>
          <w:tcPr>
            <w:tcW w:w="3260" w:type="dxa"/>
            <w:vAlign w:val="center"/>
          </w:tcPr>
          <w:p w14:paraId="3A8F71DE">
            <w:pPr>
              <w:pStyle w:val="23"/>
              <w:keepNext w:val="0"/>
              <w:keepLines w:val="0"/>
              <w:suppressLineNumbers w:val="0"/>
              <w:spacing w:before="70" w:line="221" w:lineRule="auto"/>
              <w:ind w:left="1299" w:leftChars="0" w:right="0" w:rightChars="0"/>
              <w:rPr>
                <w:b/>
                <w:bCs/>
                <w:spacing w:val="-3"/>
                <w:highlight w:val="none"/>
              </w:rPr>
            </w:pPr>
            <w:r>
              <w:rPr>
                <w:b/>
                <w:bCs/>
                <w:spacing w:val="-3"/>
                <w:highlight w:val="none"/>
              </w:rPr>
              <w:t>评分标准</w:t>
            </w:r>
          </w:p>
        </w:tc>
        <w:tc>
          <w:tcPr>
            <w:tcW w:w="1017" w:type="dxa"/>
            <w:vAlign w:val="center"/>
          </w:tcPr>
          <w:p w14:paraId="5622A8A1">
            <w:pPr>
              <w:pStyle w:val="23"/>
              <w:keepNext w:val="0"/>
              <w:keepLines w:val="0"/>
              <w:suppressLineNumbers w:val="0"/>
              <w:spacing w:before="70" w:line="219" w:lineRule="auto"/>
              <w:ind w:left="170" w:leftChars="0" w:right="0" w:rightChars="0"/>
              <w:rPr>
                <w:b/>
                <w:bCs/>
                <w:spacing w:val="-3"/>
                <w:highlight w:val="none"/>
              </w:rPr>
            </w:pPr>
            <w:r>
              <w:rPr>
                <w:b/>
                <w:bCs/>
                <w:spacing w:val="-3"/>
                <w:highlight w:val="none"/>
              </w:rPr>
              <w:t>评估情况</w:t>
            </w:r>
          </w:p>
        </w:tc>
        <w:tc>
          <w:tcPr>
            <w:tcW w:w="937" w:type="dxa"/>
            <w:vAlign w:val="center"/>
          </w:tcPr>
          <w:p w14:paraId="48B85741">
            <w:pPr>
              <w:pStyle w:val="23"/>
              <w:keepNext w:val="0"/>
              <w:keepLines w:val="0"/>
              <w:suppressLineNumbers w:val="0"/>
              <w:spacing w:before="70" w:line="221" w:lineRule="auto"/>
              <w:ind w:left="316" w:leftChars="0" w:right="0" w:rightChars="0"/>
              <w:rPr>
                <w:b/>
                <w:bCs/>
                <w:spacing w:val="-4"/>
                <w:highlight w:val="none"/>
              </w:rPr>
            </w:pPr>
            <w:r>
              <w:rPr>
                <w:b/>
                <w:bCs/>
                <w:spacing w:val="-4"/>
                <w:highlight w:val="none"/>
              </w:rPr>
              <w:t>扣分</w:t>
            </w:r>
          </w:p>
        </w:tc>
        <w:tc>
          <w:tcPr>
            <w:tcW w:w="912" w:type="dxa"/>
            <w:vAlign w:val="center"/>
          </w:tcPr>
          <w:p w14:paraId="6AEE43EE">
            <w:pPr>
              <w:pStyle w:val="23"/>
              <w:keepNext w:val="0"/>
              <w:keepLines w:val="0"/>
              <w:suppressLineNumbers w:val="0"/>
              <w:spacing w:before="71" w:line="220" w:lineRule="auto"/>
              <w:ind w:left="295" w:leftChars="0" w:right="0" w:rightChars="0"/>
              <w:rPr>
                <w:b/>
                <w:bCs/>
                <w:spacing w:val="-4"/>
                <w:highlight w:val="none"/>
              </w:rPr>
            </w:pPr>
            <w:r>
              <w:rPr>
                <w:b/>
                <w:bCs/>
                <w:spacing w:val="-4"/>
                <w:highlight w:val="none"/>
              </w:rPr>
              <w:t>得分</w:t>
            </w:r>
          </w:p>
        </w:tc>
      </w:tr>
      <w:tr w14:paraId="552C2F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3" w:hRule="atLeast"/>
          <w:jc w:val="center"/>
        </w:trPr>
        <w:tc>
          <w:tcPr>
            <w:tcW w:w="556" w:type="dxa"/>
            <w:vMerge w:val="restart"/>
            <w:tcBorders>
              <w:top w:val="single" w:color="auto" w:sz="4" w:space="0"/>
              <w:left w:val="single" w:color="auto" w:sz="4" w:space="0"/>
              <w:bottom w:val="single" w:color="auto" w:sz="4" w:space="0"/>
              <w:right w:val="single" w:color="auto" w:sz="4" w:space="0"/>
            </w:tcBorders>
            <w:vAlign w:val="center"/>
          </w:tcPr>
          <w:p w14:paraId="43909A1A">
            <w:pPr>
              <w:keepNext w:val="0"/>
              <w:keepLines w:val="0"/>
              <w:suppressLineNumbers w:val="0"/>
              <w:spacing w:before="0" w:beforeAutospacing="0" w:after="0" w:afterAutospacing="0"/>
              <w:ind w:left="0" w:right="0"/>
              <w:rPr>
                <w:rFonts w:hint="default" w:ascii="Arial"/>
                <w:b w:val="0"/>
                <w:bCs w:val="0"/>
                <w:sz w:val="21"/>
                <w:highlight w:val="none"/>
              </w:rPr>
            </w:pPr>
          </w:p>
        </w:tc>
        <w:tc>
          <w:tcPr>
            <w:tcW w:w="1364" w:type="dxa"/>
            <w:vMerge w:val="restart"/>
            <w:tcBorders>
              <w:top w:val="single" w:color="auto" w:sz="4" w:space="0"/>
              <w:left w:val="single" w:color="auto" w:sz="4" w:space="0"/>
              <w:bottom w:val="single" w:color="auto" w:sz="4" w:space="0"/>
              <w:right w:val="single" w:color="auto" w:sz="4" w:space="0"/>
            </w:tcBorders>
            <w:vAlign w:val="center"/>
          </w:tcPr>
          <w:p w14:paraId="0CFFD0F7">
            <w:pPr>
              <w:keepNext w:val="0"/>
              <w:keepLines w:val="0"/>
              <w:suppressLineNumbers w:val="0"/>
              <w:spacing w:before="0" w:beforeAutospacing="0" w:after="0" w:afterAutospacing="0"/>
              <w:ind w:left="0" w:right="0"/>
              <w:rPr>
                <w:rFonts w:hint="default" w:ascii="Arial"/>
                <w:b w:val="0"/>
                <w:bCs w:val="0"/>
                <w:sz w:val="21"/>
                <w:highlight w:val="none"/>
              </w:rPr>
            </w:pPr>
          </w:p>
        </w:tc>
        <w:tc>
          <w:tcPr>
            <w:tcW w:w="1017" w:type="dxa"/>
            <w:tcBorders>
              <w:left w:val="single" w:color="auto" w:sz="4" w:space="0"/>
            </w:tcBorders>
            <w:vAlign w:val="center"/>
          </w:tcPr>
          <w:p w14:paraId="79E53557">
            <w:pPr>
              <w:pStyle w:val="23"/>
              <w:keepNext w:val="0"/>
              <w:keepLines w:val="0"/>
              <w:suppressLineNumbers w:val="0"/>
              <w:spacing w:before="224" w:line="307" w:lineRule="auto"/>
              <w:ind w:left="129" w:right="29" w:hanging="20"/>
              <w:rPr>
                <w:b w:val="0"/>
                <w:bCs w:val="0"/>
                <w:highlight w:val="none"/>
              </w:rPr>
            </w:pPr>
            <w:r>
              <w:rPr>
                <w:b w:val="0"/>
                <w:bCs w:val="0"/>
                <w:spacing w:val="-9"/>
                <w:highlight w:val="none"/>
              </w:rPr>
              <w:t>其他备用</w:t>
            </w:r>
            <w:r>
              <w:rPr>
                <w:b w:val="0"/>
                <w:bCs w:val="0"/>
                <w:spacing w:val="-17"/>
                <w:highlight w:val="none"/>
              </w:rPr>
              <w:t>电源（5</w:t>
            </w:r>
            <w:r>
              <w:rPr>
                <w:b w:val="0"/>
                <w:bCs w:val="0"/>
                <w:spacing w:val="-33"/>
                <w:highlight w:val="none"/>
              </w:rPr>
              <w:t xml:space="preserve"> </w:t>
            </w:r>
            <w:r>
              <w:rPr>
                <w:b w:val="0"/>
                <w:bCs w:val="0"/>
                <w:spacing w:val="-17"/>
                <w:highlight w:val="none"/>
              </w:rPr>
              <w:t>分）</w:t>
            </w:r>
          </w:p>
        </w:tc>
        <w:tc>
          <w:tcPr>
            <w:tcW w:w="4772" w:type="dxa"/>
            <w:vAlign w:val="center"/>
          </w:tcPr>
          <w:p w14:paraId="0EB2EC97">
            <w:pPr>
              <w:pStyle w:val="23"/>
              <w:keepNext w:val="0"/>
              <w:keepLines w:val="0"/>
              <w:suppressLineNumbers w:val="0"/>
              <w:spacing w:before="69" w:line="220" w:lineRule="auto"/>
              <w:ind w:left="112"/>
              <w:rPr>
                <w:b w:val="0"/>
                <w:bCs w:val="0"/>
                <w:highlight w:val="none"/>
              </w:rPr>
            </w:pPr>
            <w:r>
              <w:rPr>
                <w:b w:val="0"/>
                <w:bCs w:val="0"/>
                <w:spacing w:val="-1"/>
                <w:highlight w:val="none"/>
              </w:rPr>
              <w:t>a)仪表、指示灯及开关按钮；</w:t>
            </w:r>
          </w:p>
          <w:p w14:paraId="28345D89">
            <w:pPr>
              <w:pStyle w:val="23"/>
              <w:keepNext w:val="0"/>
              <w:keepLines w:val="0"/>
              <w:suppressLineNumbers w:val="0"/>
              <w:spacing w:before="97" w:line="221" w:lineRule="auto"/>
              <w:ind w:left="108"/>
              <w:rPr>
                <w:b w:val="0"/>
                <w:bCs w:val="0"/>
                <w:highlight w:val="none"/>
              </w:rPr>
            </w:pPr>
            <w:r>
              <w:rPr>
                <w:b w:val="0"/>
                <w:bCs w:val="0"/>
                <w:spacing w:val="-2"/>
                <w:highlight w:val="none"/>
              </w:rPr>
              <w:t>b)消防设备应急电源的控制功能；</w:t>
            </w:r>
          </w:p>
          <w:p w14:paraId="3204ACD7">
            <w:pPr>
              <w:pStyle w:val="23"/>
              <w:keepNext w:val="0"/>
              <w:keepLines w:val="0"/>
              <w:suppressLineNumbers w:val="0"/>
              <w:spacing w:before="96" w:line="221" w:lineRule="auto"/>
              <w:ind w:left="115"/>
              <w:rPr>
                <w:b w:val="0"/>
                <w:bCs w:val="0"/>
                <w:highlight w:val="none"/>
              </w:rPr>
            </w:pPr>
            <w:r>
              <w:rPr>
                <w:b w:val="0"/>
                <w:bCs w:val="0"/>
                <w:spacing w:val="-1"/>
                <w:highlight w:val="none"/>
              </w:rPr>
              <w:t>c)消防设备应急电源的电源转换功能。</w:t>
            </w:r>
          </w:p>
        </w:tc>
        <w:tc>
          <w:tcPr>
            <w:tcW w:w="3260" w:type="dxa"/>
            <w:vAlign w:val="center"/>
          </w:tcPr>
          <w:p w14:paraId="6DC2ED5A">
            <w:pPr>
              <w:pStyle w:val="23"/>
              <w:keepNext w:val="0"/>
              <w:keepLines w:val="0"/>
              <w:suppressLineNumbers w:val="0"/>
              <w:spacing w:before="224" w:line="307" w:lineRule="auto"/>
              <w:ind w:left="116" w:right="101" w:hanging="2"/>
              <w:rPr>
                <w:b w:val="0"/>
                <w:bCs w:val="0"/>
                <w:highlight w:val="none"/>
              </w:rPr>
            </w:pPr>
            <w:r>
              <w:rPr>
                <w:b w:val="0"/>
                <w:bCs w:val="0"/>
                <w:spacing w:val="-5"/>
                <w:highlight w:val="none"/>
              </w:rPr>
              <w:t>a)不符合要求扣</w:t>
            </w:r>
            <w:r>
              <w:rPr>
                <w:b w:val="0"/>
                <w:bCs w:val="0"/>
                <w:spacing w:val="-26"/>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分，b)c)不符合要求各扣</w:t>
            </w:r>
            <w:r>
              <w:rPr>
                <w:b w:val="0"/>
                <w:bCs w:val="0"/>
                <w:spacing w:val="-30"/>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分；扣完不得分。</w:t>
            </w:r>
          </w:p>
        </w:tc>
        <w:tc>
          <w:tcPr>
            <w:tcW w:w="1017" w:type="dxa"/>
            <w:vAlign w:val="center"/>
          </w:tcPr>
          <w:p w14:paraId="2A58309A">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937" w:type="dxa"/>
            <w:vAlign w:val="center"/>
          </w:tcPr>
          <w:p w14:paraId="191BD1BC">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912" w:type="dxa"/>
            <w:vAlign w:val="center"/>
          </w:tcPr>
          <w:p w14:paraId="1F8BF236">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r>
      <w:tr w14:paraId="716C5E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5" w:hRule="atLeast"/>
          <w:jc w:val="center"/>
        </w:trPr>
        <w:tc>
          <w:tcPr>
            <w:tcW w:w="556" w:type="dxa"/>
            <w:vMerge w:val="continue"/>
            <w:tcBorders>
              <w:top w:val="single" w:color="auto" w:sz="4" w:space="0"/>
              <w:left w:val="single" w:color="auto" w:sz="4" w:space="0"/>
              <w:bottom w:val="single" w:color="auto" w:sz="4" w:space="0"/>
            </w:tcBorders>
            <w:vAlign w:val="center"/>
          </w:tcPr>
          <w:p w14:paraId="1115A2C0">
            <w:pPr>
              <w:keepNext w:val="0"/>
              <w:keepLines w:val="0"/>
              <w:suppressLineNumbers w:val="0"/>
              <w:spacing w:before="0" w:beforeAutospacing="0" w:after="0" w:afterAutospacing="0"/>
              <w:ind w:left="0" w:right="0"/>
              <w:rPr>
                <w:rFonts w:hint="default" w:ascii="Arial"/>
                <w:b w:val="0"/>
                <w:bCs w:val="0"/>
                <w:sz w:val="21"/>
                <w:highlight w:val="none"/>
              </w:rPr>
            </w:pPr>
          </w:p>
        </w:tc>
        <w:tc>
          <w:tcPr>
            <w:tcW w:w="1364" w:type="dxa"/>
            <w:vMerge w:val="continue"/>
            <w:tcBorders>
              <w:top w:val="single" w:color="auto" w:sz="4" w:space="0"/>
              <w:bottom w:val="single" w:color="auto" w:sz="4" w:space="0"/>
              <w:right w:val="single" w:color="auto" w:sz="4" w:space="0"/>
            </w:tcBorders>
            <w:vAlign w:val="center"/>
          </w:tcPr>
          <w:p w14:paraId="6C644FD2">
            <w:pPr>
              <w:keepNext w:val="0"/>
              <w:keepLines w:val="0"/>
              <w:suppressLineNumbers w:val="0"/>
              <w:spacing w:before="0" w:beforeAutospacing="0" w:after="0" w:afterAutospacing="0"/>
              <w:ind w:left="0" w:right="0"/>
              <w:rPr>
                <w:rFonts w:hint="default" w:ascii="Arial"/>
                <w:b w:val="0"/>
                <w:bCs w:val="0"/>
                <w:sz w:val="21"/>
                <w:highlight w:val="none"/>
              </w:rPr>
            </w:pPr>
          </w:p>
        </w:tc>
        <w:tc>
          <w:tcPr>
            <w:tcW w:w="1017" w:type="dxa"/>
            <w:tcBorders>
              <w:left w:val="single" w:color="auto" w:sz="4" w:space="0"/>
            </w:tcBorders>
            <w:vAlign w:val="center"/>
          </w:tcPr>
          <w:p w14:paraId="1A287464">
            <w:pPr>
              <w:pStyle w:val="23"/>
              <w:keepNext w:val="0"/>
              <w:keepLines w:val="0"/>
              <w:suppressLineNumbers w:val="0"/>
              <w:spacing w:before="59" w:line="307" w:lineRule="auto"/>
              <w:ind w:left="113" w:right="106" w:hanging="1"/>
              <w:rPr>
                <w:b w:val="0"/>
                <w:bCs w:val="0"/>
                <w:highlight w:val="none"/>
              </w:rPr>
            </w:pPr>
            <w:r>
              <w:rPr>
                <w:b w:val="0"/>
                <w:bCs w:val="0"/>
                <w:spacing w:val="-14"/>
                <w:highlight w:val="none"/>
              </w:rPr>
              <w:t>消防配电</w:t>
            </w:r>
            <w:r>
              <w:rPr>
                <w:b w:val="0"/>
                <w:bCs w:val="0"/>
                <w:spacing w:val="7"/>
                <w:highlight w:val="none"/>
              </w:rPr>
              <w:t>（5分）</w:t>
            </w:r>
          </w:p>
        </w:tc>
        <w:tc>
          <w:tcPr>
            <w:tcW w:w="4772" w:type="dxa"/>
            <w:vAlign w:val="center"/>
          </w:tcPr>
          <w:p w14:paraId="7E534476">
            <w:pPr>
              <w:pStyle w:val="23"/>
              <w:keepNext w:val="0"/>
              <w:keepLines w:val="0"/>
              <w:suppressLineNumbers w:val="0"/>
              <w:spacing w:before="69" w:line="221" w:lineRule="auto"/>
              <w:ind w:left="112"/>
              <w:rPr>
                <w:b w:val="0"/>
                <w:bCs w:val="0"/>
                <w:highlight w:val="none"/>
              </w:rPr>
            </w:pPr>
            <w:r>
              <w:rPr>
                <w:b w:val="0"/>
                <w:bCs w:val="0"/>
                <w:spacing w:val="-5"/>
                <w:highlight w:val="none"/>
              </w:rPr>
              <w:t>a)自动切换装置的设置、切换情况；</w:t>
            </w:r>
          </w:p>
          <w:p w14:paraId="20203EBA">
            <w:pPr>
              <w:pStyle w:val="23"/>
              <w:keepNext w:val="0"/>
              <w:keepLines w:val="0"/>
              <w:suppressLineNumbers w:val="0"/>
              <w:spacing w:before="96" w:line="220" w:lineRule="auto"/>
              <w:ind w:left="108"/>
              <w:rPr>
                <w:b w:val="0"/>
                <w:bCs w:val="0"/>
                <w:highlight w:val="none"/>
              </w:rPr>
            </w:pPr>
            <w:r>
              <w:rPr>
                <w:b w:val="0"/>
                <w:bCs w:val="0"/>
                <w:spacing w:val="-1"/>
                <w:highlight w:val="none"/>
              </w:rPr>
              <w:t>b)消防配电线路的敷设；</w:t>
            </w:r>
          </w:p>
          <w:p w14:paraId="4F60DB8E">
            <w:pPr>
              <w:pStyle w:val="23"/>
              <w:keepNext w:val="0"/>
              <w:keepLines w:val="0"/>
              <w:suppressLineNumbers w:val="0"/>
              <w:spacing w:before="96" w:line="220" w:lineRule="auto"/>
              <w:ind w:left="115"/>
              <w:rPr>
                <w:b w:val="0"/>
                <w:bCs w:val="0"/>
                <w:highlight w:val="none"/>
              </w:rPr>
            </w:pPr>
            <w:r>
              <w:rPr>
                <w:b w:val="0"/>
                <w:bCs w:val="0"/>
                <w:spacing w:val="-1"/>
                <w:highlight w:val="none"/>
              </w:rPr>
              <w:t>c)消防用电设备是否采用专用的供电回路；</w:t>
            </w:r>
          </w:p>
          <w:p w14:paraId="0C380A96">
            <w:pPr>
              <w:pStyle w:val="23"/>
              <w:keepNext w:val="0"/>
              <w:keepLines w:val="0"/>
              <w:suppressLineNumbers w:val="0"/>
              <w:spacing w:before="98" w:line="221" w:lineRule="auto"/>
              <w:ind w:left="115"/>
              <w:rPr>
                <w:b w:val="0"/>
                <w:bCs w:val="0"/>
                <w:highlight w:val="none"/>
              </w:rPr>
            </w:pPr>
            <w:r>
              <w:rPr>
                <w:b w:val="0"/>
                <w:bCs w:val="0"/>
                <w:spacing w:val="-1"/>
                <w:highlight w:val="none"/>
              </w:rPr>
              <w:t>d)消防设备配电箱的标志、标识；</w:t>
            </w:r>
          </w:p>
          <w:p w14:paraId="163D2985">
            <w:pPr>
              <w:pStyle w:val="23"/>
              <w:keepNext w:val="0"/>
              <w:keepLines w:val="0"/>
              <w:suppressLineNumbers w:val="0"/>
              <w:spacing w:before="96" w:line="220" w:lineRule="auto"/>
              <w:ind w:left="116"/>
              <w:rPr>
                <w:b w:val="0"/>
                <w:bCs w:val="0"/>
                <w:highlight w:val="none"/>
              </w:rPr>
            </w:pPr>
            <w:r>
              <w:rPr>
                <w:b w:val="0"/>
                <w:bCs w:val="0"/>
                <w:spacing w:val="-1"/>
                <w:highlight w:val="none"/>
              </w:rPr>
              <w:t>e)配电箱上的仪表、指示灯、开关及控制按钮。</w:t>
            </w:r>
          </w:p>
        </w:tc>
        <w:tc>
          <w:tcPr>
            <w:tcW w:w="3260" w:type="dxa"/>
            <w:vAlign w:val="center"/>
          </w:tcPr>
          <w:p w14:paraId="02B8D88A">
            <w:pPr>
              <w:pStyle w:val="23"/>
              <w:keepNext w:val="0"/>
              <w:keepLines w:val="0"/>
              <w:suppressLineNumbers w:val="0"/>
              <w:spacing w:before="58" w:line="307" w:lineRule="auto"/>
              <w:ind w:left="114" w:right="99"/>
              <w:rPr>
                <w:b w:val="0"/>
                <w:bCs w:val="0"/>
                <w:highlight w:val="none"/>
              </w:rPr>
            </w:pPr>
            <w:r>
              <w:rPr>
                <w:b w:val="0"/>
                <w:bCs w:val="0"/>
                <w:spacing w:val="-5"/>
                <w:highlight w:val="none"/>
              </w:rPr>
              <w:t>a)b)c)不符合要求各扣</w:t>
            </w:r>
            <w:r>
              <w:rPr>
                <w:b w:val="0"/>
                <w:bCs w:val="0"/>
                <w:spacing w:val="-21"/>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分，d)e)不符合</w:t>
            </w:r>
            <w:r>
              <w:rPr>
                <w:b w:val="0"/>
                <w:bCs w:val="0"/>
                <w:spacing w:val="-4"/>
                <w:highlight w:val="none"/>
              </w:rPr>
              <w:t>要求各扣</w:t>
            </w:r>
            <w:r>
              <w:rPr>
                <w:b w:val="0"/>
                <w:bCs w:val="0"/>
                <w:spacing w:val="-25"/>
                <w:highlight w:val="none"/>
              </w:rPr>
              <w:t xml:space="preserve"> </w:t>
            </w:r>
            <w:r>
              <w:rPr>
                <w:b w:val="0"/>
                <w:bCs w:val="0"/>
                <w:spacing w:val="-4"/>
                <w:highlight w:val="none"/>
              </w:rPr>
              <w:t>1</w:t>
            </w:r>
            <w:r>
              <w:rPr>
                <w:b w:val="0"/>
                <w:bCs w:val="0"/>
                <w:spacing w:val="-34"/>
                <w:highlight w:val="none"/>
              </w:rPr>
              <w:t xml:space="preserve"> </w:t>
            </w:r>
            <w:r>
              <w:rPr>
                <w:b w:val="0"/>
                <w:bCs w:val="0"/>
                <w:spacing w:val="-4"/>
                <w:highlight w:val="none"/>
              </w:rPr>
              <w:t>分；扣完不得分。</w:t>
            </w:r>
          </w:p>
        </w:tc>
        <w:tc>
          <w:tcPr>
            <w:tcW w:w="1017" w:type="dxa"/>
            <w:vAlign w:val="center"/>
          </w:tcPr>
          <w:p w14:paraId="1D030C7E">
            <w:pPr>
              <w:keepNext w:val="0"/>
              <w:keepLines w:val="0"/>
              <w:suppressLineNumbers w:val="0"/>
              <w:bidi w:val="0"/>
              <w:spacing w:before="0" w:beforeAutospacing="0" w:after="0" w:afterAutospacing="0"/>
              <w:ind w:left="0" w:right="0"/>
              <w:jc w:val="center"/>
              <w:rPr>
                <w:rFonts w:hint="default"/>
                <w:highlight w:val="none"/>
                <w:lang w:val="en-US" w:eastAsia="zh-CN"/>
              </w:rPr>
            </w:pPr>
          </w:p>
        </w:tc>
        <w:tc>
          <w:tcPr>
            <w:tcW w:w="937" w:type="dxa"/>
            <w:vAlign w:val="center"/>
          </w:tcPr>
          <w:p w14:paraId="7108DCF2">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c>
          <w:tcPr>
            <w:tcW w:w="912" w:type="dxa"/>
            <w:vAlign w:val="center"/>
          </w:tcPr>
          <w:p w14:paraId="5524C6A9">
            <w:pPr>
              <w:keepNext w:val="0"/>
              <w:keepLines w:val="0"/>
              <w:suppressLineNumbers w:val="0"/>
              <w:spacing w:before="0" w:beforeAutospacing="0" w:after="0" w:afterAutospacing="0"/>
              <w:ind w:left="0" w:right="0"/>
              <w:rPr>
                <w:rFonts w:hint="default" w:ascii="宋体" w:hAnsi="宋体" w:eastAsia="宋体" w:cs="宋体"/>
                <w:b w:val="0"/>
                <w:bCs w:val="0"/>
                <w:sz w:val="21"/>
                <w:highlight w:val="none"/>
                <w:lang w:val="en-US" w:eastAsia="zh-CN"/>
              </w:rPr>
            </w:pPr>
          </w:p>
        </w:tc>
      </w:tr>
      <w:tr w14:paraId="12416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jc w:val="center"/>
        </w:trPr>
        <w:tc>
          <w:tcPr>
            <w:tcW w:w="556" w:type="dxa"/>
            <w:vMerge w:val="restart"/>
            <w:tcBorders>
              <w:top w:val="single" w:color="auto" w:sz="4" w:space="0"/>
              <w:bottom w:val="single" w:color="auto" w:sz="4" w:space="0"/>
            </w:tcBorders>
            <w:vAlign w:val="center"/>
          </w:tcPr>
          <w:p w14:paraId="1F207222">
            <w:pPr>
              <w:pStyle w:val="23"/>
              <w:keepNext w:val="0"/>
              <w:keepLines w:val="0"/>
              <w:suppressLineNumbers w:val="0"/>
              <w:spacing w:before="58" w:line="181" w:lineRule="auto"/>
              <w:ind w:left="268"/>
              <w:rPr>
                <w:rFonts w:hint="eastAsia" w:eastAsia="宋体"/>
                <w:b w:val="0"/>
                <w:bCs w:val="0"/>
                <w:highlight w:val="none"/>
                <w:lang w:eastAsia="zh-CN"/>
              </w:rPr>
            </w:pPr>
            <w:r>
              <w:rPr>
                <w:rFonts w:hint="eastAsia"/>
                <w:b w:val="0"/>
                <w:bCs w:val="0"/>
                <w:spacing w:val="-2"/>
                <w:highlight w:val="none"/>
                <w:lang w:val="en-US" w:eastAsia="zh-CN"/>
              </w:rPr>
              <w:t>3</w:t>
            </w:r>
          </w:p>
        </w:tc>
        <w:tc>
          <w:tcPr>
            <w:tcW w:w="1364" w:type="dxa"/>
            <w:vMerge w:val="restart"/>
            <w:tcBorders>
              <w:top w:val="single" w:color="auto" w:sz="4" w:space="0"/>
              <w:bottom w:val="single" w:color="auto" w:sz="4" w:space="0"/>
            </w:tcBorders>
            <w:vAlign w:val="center"/>
          </w:tcPr>
          <w:p w14:paraId="14D0C503">
            <w:pPr>
              <w:pStyle w:val="23"/>
              <w:keepNext w:val="0"/>
              <w:keepLines w:val="0"/>
              <w:suppressLineNumbers w:val="0"/>
              <w:spacing w:before="74" w:line="307" w:lineRule="auto"/>
              <w:ind w:left="14" w:right="169" w:firstLine="158"/>
              <w:rPr>
                <w:b w:val="0"/>
                <w:bCs w:val="0"/>
                <w:highlight w:val="none"/>
              </w:rPr>
            </w:pPr>
            <w:r>
              <w:rPr>
                <w:b w:val="0"/>
                <w:bCs w:val="0"/>
                <w:spacing w:val="-2"/>
                <w:highlight w:val="none"/>
              </w:rPr>
              <w:t>火灾自动报警</w:t>
            </w:r>
            <w:r>
              <w:rPr>
                <w:b w:val="0"/>
                <w:bCs w:val="0"/>
                <w:spacing w:val="-3"/>
                <w:highlight w:val="none"/>
              </w:rPr>
              <w:t>系统</w:t>
            </w:r>
          </w:p>
          <w:p w14:paraId="27A8B3F4">
            <w:pPr>
              <w:pStyle w:val="23"/>
              <w:keepNext w:val="0"/>
              <w:keepLines w:val="0"/>
              <w:suppressLineNumbers w:val="0"/>
              <w:spacing w:before="24" w:line="221" w:lineRule="auto"/>
              <w:ind w:left="331"/>
              <w:rPr>
                <w:b w:val="0"/>
                <w:bCs w:val="0"/>
                <w:highlight w:val="none"/>
              </w:rPr>
            </w:pPr>
            <w:r>
              <w:rPr>
                <w:b w:val="0"/>
                <w:bCs w:val="0"/>
                <w:spacing w:val="-5"/>
                <w:highlight w:val="none"/>
              </w:rPr>
              <w:t>（20</w:t>
            </w:r>
            <w:r>
              <w:rPr>
                <w:b w:val="0"/>
                <w:bCs w:val="0"/>
                <w:spacing w:val="-35"/>
                <w:highlight w:val="none"/>
              </w:rPr>
              <w:t xml:space="preserve"> </w:t>
            </w:r>
            <w:r>
              <w:rPr>
                <w:b w:val="0"/>
                <w:bCs w:val="0"/>
                <w:spacing w:val="-5"/>
                <w:highlight w:val="none"/>
              </w:rPr>
              <w:t>分）</w:t>
            </w:r>
          </w:p>
        </w:tc>
        <w:tc>
          <w:tcPr>
            <w:tcW w:w="1017" w:type="dxa"/>
            <w:vAlign w:val="center"/>
          </w:tcPr>
          <w:p w14:paraId="10BFD81D">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4772" w:type="dxa"/>
            <w:vAlign w:val="center"/>
          </w:tcPr>
          <w:p w14:paraId="1C41025B">
            <w:pPr>
              <w:pStyle w:val="23"/>
              <w:keepNext w:val="0"/>
              <w:keepLines w:val="0"/>
              <w:suppressLineNumbers w:val="0"/>
              <w:spacing w:before="58" w:line="220" w:lineRule="auto"/>
              <w:ind w:left="114"/>
              <w:rPr>
                <w:b w:val="0"/>
                <w:bCs w:val="0"/>
                <w:highlight w:val="none"/>
              </w:rPr>
            </w:pPr>
            <w:r>
              <w:rPr>
                <w:b w:val="0"/>
                <w:bCs w:val="0"/>
                <w:spacing w:val="-1"/>
                <w:highlight w:val="none"/>
              </w:rPr>
              <w:t>是否按规定设置火灾自动报警系统。</w:t>
            </w:r>
          </w:p>
        </w:tc>
        <w:tc>
          <w:tcPr>
            <w:tcW w:w="3260" w:type="dxa"/>
            <w:vAlign w:val="center"/>
          </w:tcPr>
          <w:p w14:paraId="5442F494">
            <w:pPr>
              <w:pStyle w:val="23"/>
              <w:keepNext w:val="0"/>
              <w:keepLines w:val="0"/>
              <w:suppressLineNumbers w:val="0"/>
              <w:spacing w:before="229" w:line="306" w:lineRule="auto"/>
              <w:ind w:left="115" w:right="87" w:hanging="1"/>
              <w:rPr>
                <w:b w:val="0"/>
                <w:bCs w:val="0"/>
                <w:highlight w:val="none"/>
              </w:rPr>
            </w:pPr>
            <w:r>
              <w:rPr>
                <w:b w:val="0"/>
                <w:bCs w:val="0"/>
                <w:spacing w:val="-3"/>
                <w:highlight w:val="none"/>
              </w:rPr>
              <w:t>按规范应设但未设置火灾自动报警系统，该评估子项不得分。</w:t>
            </w:r>
          </w:p>
        </w:tc>
        <w:tc>
          <w:tcPr>
            <w:tcW w:w="1017" w:type="dxa"/>
            <w:shd w:val="clear" w:color="auto" w:fill="auto"/>
            <w:vAlign w:val="center"/>
          </w:tcPr>
          <w:p w14:paraId="536A846F">
            <w:pPr>
              <w:keepNext w:val="0"/>
              <w:keepLines w:val="0"/>
              <w:suppressLineNumbers w:val="0"/>
              <w:spacing w:before="0" w:beforeAutospacing="0" w:after="0" w:afterAutospacing="0"/>
              <w:ind w:left="0" w:right="0"/>
              <w:jc w:val="center"/>
              <w:rPr>
                <w:rFonts w:hint="default" w:ascii="Arial" w:hAnsi="Arial" w:eastAsia="宋体" w:cs="Arial"/>
                <w:b w:val="0"/>
                <w:bCs w:val="0"/>
                <w:snapToGrid w:val="0"/>
                <w:color w:val="000000"/>
                <w:kern w:val="0"/>
                <w:sz w:val="21"/>
                <w:szCs w:val="21"/>
                <w:highlight w:val="none"/>
                <w:lang w:val="en-US" w:eastAsia="zh-CN"/>
              </w:rPr>
            </w:pPr>
          </w:p>
        </w:tc>
        <w:tc>
          <w:tcPr>
            <w:tcW w:w="937" w:type="dxa"/>
            <w:vAlign w:val="center"/>
          </w:tcPr>
          <w:p w14:paraId="0397E440">
            <w:pPr>
              <w:keepNext w:val="0"/>
              <w:keepLines w:val="0"/>
              <w:suppressLineNumbers w:val="0"/>
              <w:spacing w:before="0" w:beforeAutospacing="0" w:after="0" w:afterAutospacing="0"/>
              <w:ind w:left="0" w:right="0"/>
              <w:rPr>
                <w:rFonts w:hint="default" w:ascii="Arial"/>
                <w:b w:val="0"/>
                <w:bCs w:val="0"/>
                <w:sz w:val="21"/>
                <w:highlight w:val="none"/>
              </w:rPr>
            </w:pPr>
          </w:p>
        </w:tc>
        <w:tc>
          <w:tcPr>
            <w:tcW w:w="912" w:type="dxa"/>
            <w:vAlign w:val="center"/>
          </w:tcPr>
          <w:p w14:paraId="233DD48E">
            <w:pPr>
              <w:keepNext w:val="0"/>
              <w:keepLines w:val="0"/>
              <w:suppressLineNumbers w:val="0"/>
              <w:spacing w:before="0" w:beforeAutospacing="0" w:after="0" w:afterAutospacing="0"/>
              <w:ind w:left="0" w:right="0"/>
              <w:rPr>
                <w:rFonts w:hint="default" w:ascii="Arial" w:eastAsia="宋体"/>
                <w:b w:val="0"/>
                <w:bCs w:val="0"/>
                <w:sz w:val="21"/>
                <w:highlight w:val="none"/>
                <w:lang w:val="en-US" w:eastAsia="zh-CN"/>
              </w:rPr>
            </w:pPr>
          </w:p>
        </w:tc>
      </w:tr>
      <w:tr w14:paraId="176393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0" w:hRule="atLeast"/>
          <w:jc w:val="center"/>
        </w:trPr>
        <w:tc>
          <w:tcPr>
            <w:tcW w:w="556" w:type="dxa"/>
            <w:vMerge w:val="continue"/>
            <w:tcBorders>
              <w:top w:val="single" w:color="auto" w:sz="4" w:space="0"/>
              <w:bottom w:val="single" w:color="auto" w:sz="4" w:space="0"/>
            </w:tcBorders>
            <w:vAlign w:val="center"/>
          </w:tcPr>
          <w:p w14:paraId="570E22C1">
            <w:pPr>
              <w:keepNext w:val="0"/>
              <w:keepLines w:val="0"/>
              <w:suppressLineNumbers w:val="0"/>
              <w:spacing w:before="0" w:beforeAutospacing="0" w:after="0" w:afterAutospacing="0"/>
              <w:ind w:left="0" w:right="0"/>
              <w:rPr>
                <w:rFonts w:hint="default" w:ascii="Arial"/>
                <w:b w:val="0"/>
                <w:bCs w:val="0"/>
                <w:sz w:val="21"/>
                <w:highlight w:val="none"/>
              </w:rPr>
            </w:pPr>
          </w:p>
        </w:tc>
        <w:tc>
          <w:tcPr>
            <w:tcW w:w="1364" w:type="dxa"/>
            <w:vMerge w:val="continue"/>
            <w:tcBorders>
              <w:top w:val="single" w:color="auto" w:sz="4" w:space="0"/>
              <w:bottom w:val="single" w:color="auto" w:sz="4" w:space="0"/>
            </w:tcBorders>
            <w:vAlign w:val="center"/>
          </w:tcPr>
          <w:p w14:paraId="2DD22D78">
            <w:pPr>
              <w:keepNext w:val="0"/>
              <w:keepLines w:val="0"/>
              <w:suppressLineNumbers w:val="0"/>
              <w:spacing w:before="0" w:beforeAutospacing="0" w:after="0" w:afterAutospacing="0"/>
              <w:ind w:left="0" w:right="0"/>
              <w:rPr>
                <w:rFonts w:hint="default" w:ascii="Arial"/>
                <w:b w:val="0"/>
                <w:bCs w:val="0"/>
                <w:sz w:val="21"/>
                <w:highlight w:val="none"/>
              </w:rPr>
            </w:pPr>
          </w:p>
        </w:tc>
        <w:tc>
          <w:tcPr>
            <w:tcW w:w="1017" w:type="dxa"/>
            <w:vAlign w:val="center"/>
          </w:tcPr>
          <w:p w14:paraId="1ACE1734">
            <w:pPr>
              <w:pStyle w:val="23"/>
              <w:keepNext w:val="0"/>
              <w:keepLines w:val="0"/>
              <w:suppressLineNumbers w:val="0"/>
              <w:spacing w:before="223" w:line="220" w:lineRule="auto"/>
              <w:ind w:left="0" w:right="0" w:firstLine="0"/>
              <w:rPr>
                <w:b w:val="0"/>
                <w:bCs w:val="0"/>
                <w:highlight w:val="none"/>
              </w:rPr>
            </w:pPr>
            <w:r>
              <w:rPr>
                <w:b w:val="0"/>
                <w:bCs w:val="0"/>
                <w:spacing w:val="-3"/>
                <w:highlight w:val="none"/>
              </w:rPr>
              <w:t>火灾报警</w:t>
            </w:r>
            <w:r>
              <w:rPr>
                <w:b w:val="0"/>
                <w:bCs w:val="0"/>
                <w:spacing w:val="-2"/>
                <w:highlight w:val="none"/>
              </w:rPr>
              <w:t>控制器（4</w:t>
            </w:r>
            <w:r>
              <w:rPr>
                <w:b w:val="0"/>
                <w:bCs w:val="0"/>
                <w:highlight w:val="none"/>
              </w:rPr>
              <w:t xml:space="preserve"> </w:t>
            </w:r>
            <w:r>
              <w:rPr>
                <w:b w:val="0"/>
                <w:bCs w:val="0"/>
                <w:spacing w:val="-6"/>
                <w:highlight w:val="none"/>
              </w:rPr>
              <w:t>分）</w:t>
            </w:r>
          </w:p>
        </w:tc>
        <w:tc>
          <w:tcPr>
            <w:tcW w:w="4772" w:type="dxa"/>
            <w:vAlign w:val="center"/>
          </w:tcPr>
          <w:p w14:paraId="1134E3F8">
            <w:pPr>
              <w:pStyle w:val="23"/>
              <w:keepNext w:val="0"/>
              <w:keepLines w:val="0"/>
              <w:suppressLineNumbers w:val="0"/>
              <w:spacing w:before="67" w:line="220" w:lineRule="auto"/>
              <w:ind w:left="112"/>
              <w:rPr>
                <w:b w:val="0"/>
                <w:bCs w:val="0"/>
                <w:highlight w:val="none"/>
              </w:rPr>
            </w:pPr>
            <w:r>
              <w:rPr>
                <w:b w:val="0"/>
                <w:bCs w:val="0"/>
                <w:spacing w:val="-1"/>
                <w:highlight w:val="none"/>
              </w:rPr>
              <w:t>a)控制器的中文功能标注、信息显示、安装、接线；</w:t>
            </w:r>
          </w:p>
          <w:p w14:paraId="5522999F">
            <w:pPr>
              <w:pStyle w:val="23"/>
              <w:keepNext w:val="0"/>
              <w:keepLines w:val="0"/>
              <w:suppressLineNumbers w:val="0"/>
              <w:spacing w:before="97" w:line="221" w:lineRule="auto"/>
              <w:ind w:left="108"/>
              <w:rPr>
                <w:b w:val="0"/>
                <w:bCs w:val="0"/>
                <w:highlight w:val="none"/>
              </w:rPr>
            </w:pPr>
            <w:r>
              <w:rPr>
                <w:b w:val="0"/>
                <w:bCs w:val="0"/>
                <w:spacing w:val="-1"/>
                <w:highlight w:val="none"/>
              </w:rPr>
              <w:t>b)控制器的接地及接地标识；</w:t>
            </w:r>
          </w:p>
          <w:p w14:paraId="68C87557">
            <w:pPr>
              <w:pStyle w:val="23"/>
              <w:keepNext w:val="0"/>
              <w:keepLines w:val="0"/>
              <w:suppressLineNumbers w:val="0"/>
              <w:spacing w:before="96" w:line="221" w:lineRule="auto"/>
              <w:ind w:left="115"/>
              <w:rPr>
                <w:b w:val="0"/>
                <w:bCs w:val="0"/>
                <w:highlight w:val="none"/>
              </w:rPr>
            </w:pPr>
            <w:r>
              <w:rPr>
                <w:b w:val="0"/>
                <w:bCs w:val="0"/>
                <w:spacing w:val="-3"/>
                <w:highlight w:val="none"/>
              </w:rPr>
              <w:t>c)控制器电源的设置及标识情况；</w:t>
            </w:r>
          </w:p>
          <w:p w14:paraId="784A319F">
            <w:pPr>
              <w:pStyle w:val="23"/>
              <w:keepNext w:val="0"/>
              <w:keepLines w:val="0"/>
              <w:suppressLineNumbers w:val="0"/>
              <w:spacing w:before="96" w:line="221" w:lineRule="auto"/>
              <w:ind w:left="115"/>
              <w:rPr>
                <w:b w:val="0"/>
                <w:bCs w:val="0"/>
                <w:highlight w:val="none"/>
              </w:rPr>
            </w:pPr>
            <w:r>
              <w:rPr>
                <w:b w:val="0"/>
                <w:bCs w:val="0"/>
                <w:spacing w:val="-2"/>
                <w:highlight w:val="none"/>
              </w:rPr>
              <w:t>d)控制器的功能。</w:t>
            </w:r>
          </w:p>
        </w:tc>
        <w:tc>
          <w:tcPr>
            <w:tcW w:w="3260" w:type="dxa"/>
            <w:vAlign w:val="center"/>
          </w:tcPr>
          <w:p w14:paraId="16DB232F">
            <w:pPr>
              <w:pStyle w:val="23"/>
              <w:keepNext w:val="0"/>
              <w:keepLines w:val="0"/>
              <w:suppressLineNumbers w:val="0"/>
              <w:spacing w:before="58" w:line="307" w:lineRule="auto"/>
              <w:ind w:left="114" w:right="101"/>
              <w:rPr>
                <w:b w:val="0"/>
                <w:bCs w:val="0"/>
                <w:highlight w:val="none"/>
              </w:rPr>
            </w:pPr>
            <w:r>
              <w:rPr>
                <w:b w:val="0"/>
                <w:bCs w:val="0"/>
                <w:spacing w:val="-5"/>
                <w:highlight w:val="none"/>
              </w:rPr>
              <w:t>a)b)c)不符合要求各扣</w:t>
            </w:r>
            <w:r>
              <w:rPr>
                <w:b w:val="0"/>
                <w:bCs w:val="0"/>
                <w:spacing w:val="-25"/>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分，d)不符合要</w:t>
            </w:r>
            <w:r>
              <w:rPr>
                <w:b w:val="0"/>
                <w:bCs w:val="0"/>
                <w:spacing w:val="1"/>
                <w:highlight w:val="none"/>
              </w:rPr>
              <w:t>求扣4</w:t>
            </w:r>
            <w:r>
              <w:rPr>
                <w:b w:val="0"/>
                <w:bCs w:val="0"/>
                <w:spacing w:val="-33"/>
                <w:highlight w:val="none"/>
              </w:rPr>
              <w:t xml:space="preserve"> </w:t>
            </w:r>
            <w:r>
              <w:rPr>
                <w:b w:val="0"/>
                <w:bCs w:val="0"/>
                <w:spacing w:val="1"/>
                <w:highlight w:val="none"/>
              </w:rPr>
              <w:t>分；扣完不得分。</w:t>
            </w:r>
          </w:p>
        </w:tc>
        <w:tc>
          <w:tcPr>
            <w:tcW w:w="1017" w:type="dxa"/>
            <w:vAlign w:val="center"/>
          </w:tcPr>
          <w:p w14:paraId="43DB2510">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937" w:type="dxa"/>
            <w:vAlign w:val="center"/>
          </w:tcPr>
          <w:p w14:paraId="22E741F6">
            <w:pPr>
              <w:keepNext w:val="0"/>
              <w:keepLines w:val="0"/>
              <w:suppressLineNumbers w:val="0"/>
              <w:spacing w:before="0" w:beforeAutospacing="0" w:after="0" w:afterAutospacing="0"/>
              <w:ind w:left="0" w:right="0"/>
              <w:rPr>
                <w:rFonts w:hint="default" w:ascii="Arial"/>
                <w:b w:val="0"/>
                <w:bCs w:val="0"/>
                <w:sz w:val="21"/>
                <w:highlight w:val="none"/>
              </w:rPr>
            </w:pPr>
          </w:p>
        </w:tc>
        <w:tc>
          <w:tcPr>
            <w:tcW w:w="912" w:type="dxa"/>
            <w:vAlign w:val="center"/>
          </w:tcPr>
          <w:p w14:paraId="7C8C5EA5">
            <w:pPr>
              <w:keepNext w:val="0"/>
              <w:keepLines w:val="0"/>
              <w:suppressLineNumbers w:val="0"/>
              <w:spacing w:before="0" w:beforeAutospacing="0" w:after="0" w:afterAutospacing="0"/>
              <w:ind w:left="0" w:right="0"/>
              <w:rPr>
                <w:rFonts w:hint="default" w:ascii="Arial"/>
                <w:b w:val="0"/>
                <w:bCs w:val="0"/>
                <w:sz w:val="21"/>
                <w:highlight w:val="none"/>
              </w:rPr>
            </w:pPr>
          </w:p>
        </w:tc>
      </w:tr>
      <w:tr w14:paraId="7D5190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56" w:hRule="atLeast"/>
          <w:jc w:val="center"/>
        </w:trPr>
        <w:tc>
          <w:tcPr>
            <w:tcW w:w="556" w:type="dxa"/>
            <w:vMerge w:val="continue"/>
            <w:tcBorders>
              <w:top w:val="single" w:color="auto" w:sz="4" w:space="0"/>
              <w:bottom w:val="single" w:color="auto" w:sz="4" w:space="0"/>
            </w:tcBorders>
            <w:vAlign w:val="center"/>
          </w:tcPr>
          <w:p w14:paraId="0A47306E">
            <w:pPr>
              <w:keepNext w:val="0"/>
              <w:keepLines w:val="0"/>
              <w:suppressLineNumbers w:val="0"/>
              <w:spacing w:before="0" w:beforeAutospacing="0" w:after="0" w:afterAutospacing="0"/>
              <w:ind w:left="0" w:right="0"/>
              <w:rPr>
                <w:rFonts w:hint="default" w:ascii="Arial"/>
                <w:b w:val="0"/>
                <w:bCs w:val="0"/>
                <w:sz w:val="21"/>
                <w:highlight w:val="none"/>
              </w:rPr>
            </w:pPr>
          </w:p>
        </w:tc>
        <w:tc>
          <w:tcPr>
            <w:tcW w:w="1364" w:type="dxa"/>
            <w:vMerge w:val="continue"/>
            <w:tcBorders>
              <w:top w:val="single" w:color="auto" w:sz="4" w:space="0"/>
              <w:bottom w:val="single" w:color="auto" w:sz="4" w:space="0"/>
            </w:tcBorders>
            <w:vAlign w:val="center"/>
          </w:tcPr>
          <w:p w14:paraId="74DA4225">
            <w:pPr>
              <w:keepNext w:val="0"/>
              <w:keepLines w:val="0"/>
              <w:suppressLineNumbers w:val="0"/>
              <w:spacing w:before="0" w:beforeAutospacing="0" w:after="0" w:afterAutospacing="0"/>
              <w:ind w:left="0" w:right="0"/>
              <w:rPr>
                <w:rFonts w:hint="default" w:ascii="Arial"/>
                <w:b w:val="0"/>
                <w:bCs w:val="0"/>
                <w:sz w:val="21"/>
                <w:highlight w:val="none"/>
              </w:rPr>
            </w:pPr>
          </w:p>
        </w:tc>
        <w:tc>
          <w:tcPr>
            <w:tcW w:w="1017" w:type="dxa"/>
            <w:vAlign w:val="center"/>
          </w:tcPr>
          <w:p w14:paraId="608E41F7">
            <w:pPr>
              <w:pStyle w:val="23"/>
              <w:keepNext w:val="0"/>
              <w:keepLines w:val="0"/>
              <w:suppressLineNumbers w:val="0"/>
              <w:spacing w:before="59" w:line="311" w:lineRule="auto"/>
              <w:ind w:left="0" w:right="106" w:firstLine="0"/>
              <w:jc w:val="both"/>
              <w:rPr>
                <w:b w:val="0"/>
                <w:bCs w:val="0"/>
                <w:highlight w:val="none"/>
              </w:rPr>
            </w:pPr>
            <w:r>
              <w:rPr>
                <w:b w:val="0"/>
                <w:bCs w:val="0"/>
                <w:spacing w:val="-12"/>
                <w:highlight w:val="none"/>
              </w:rPr>
              <w:t>消防联动</w:t>
            </w:r>
            <w:r>
              <w:rPr>
                <w:b w:val="0"/>
                <w:bCs w:val="0"/>
                <w:spacing w:val="4"/>
                <w:highlight w:val="none"/>
              </w:rPr>
              <w:t>控制器（</w:t>
            </w:r>
            <w:r>
              <w:rPr>
                <w:b w:val="0"/>
                <w:bCs w:val="0"/>
                <w:spacing w:val="-33"/>
                <w:highlight w:val="none"/>
              </w:rPr>
              <w:t xml:space="preserve"> </w:t>
            </w:r>
            <w:r>
              <w:rPr>
                <w:b w:val="0"/>
                <w:bCs w:val="0"/>
                <w:spacing w:val="4"/>
                <w:highlight w:val="none"/>
              </w:rPr>
              <w:t>4</w:t>
            </w:r>
            <w:r>
              <w:rPr>
                <w:b w:val="0"/>
                <w:bCs w:val="0"/>
                <w:highlight w:val="none"/>
              </w:rPr>
              <w:t xml:space="preserve"> </w:t>
            </w:r>
            <w:r>
              <w:rPr>
                <w:b w:val="0"/>
                <w:bCs w:val="0"/>
                <w:spacing w:val="-5"/>
                <w:highlight w:val="none"/>
              </w:rPr>
              <w:t>分）</w:t>
            </w:r>
          </w:p>
        </w:tc>
        <w:tc>
          <w:tcPr>
            <w:tcW w:w="4772" w:type="dxa"/>
            <w:vAlign w:val="center"/>
          </w:tcPr>
          <w:p w14:paraId="3C7A461B">
            <w:pPr>
              <w:pStyle w:val="23"/>
              <w:keepNext w:val="0"/>
              <w:keepLines w:val="0"/>
              <w:suppressLineNumbers w:val="0"/>
              <w:spacing w:before="69" w:line="313" w:lineRule="auto"/>
              <w:ind w:left="111" w:right="102" w:firstLine="1"/>
              <w:rPr>
                <w:b w:val="0"/>
                <w:bCs w:val="0"/>
                <w:highlight w:val="none"/>
              </w:rPr>
            </w:pPr>
            <w:r>
              <w:rPr>
                <w:b w:val="0"/>
                <w:bCs w:val="0"/>
                <w:spacing w:val="-1"/>
                <w:highlight w:val="none"/>
              </w:rPr>
              <w:t>a)消防联动控制器对消防给水灭火系统、防烟排烟系统、气体灭火系统、防火卷帘门、电动防火门、消防广播与火灾警报器、非消防用电切换、电梯、门禁及闸口等设备的</w:t>
            </w:r>
            <w:r>
              <w:rPr>
                <w:b w:val="0"/>
                <w:bCs w:val="0"/>
                <w:spacing w:val="-6"/>
                <w:highlight w:val="none"/>
              </w:rPr>
              <w:t>控制功能；</w:t>
            </w:r>
          </w:p>
          <w:p w14:paraId="59C4BF84">
            <w:pPr>
              <w:pStyle w:val="23"/>
              <w:keepNext w:val="0"/>
              <w:keepLines w:val="0"/>
              <w:suppressLineNumbers w:val="0"/>
              <w:spacing w:before="25" w:line="282" w:lineRule="auto"/>
              <w:ind w:left="110" w:right="107" w:hanging="2"/>
              <w:rPr>
                <w:b w:val="0"/>
                <w:bCs w:val="0"/>
                <w:highlight w:val="none"/>
              </w:rPr>
            </w:pPr>
            <w:r>
              <w:rPr>
                <w:b w:val="0"/>
                <w:bCs w:val="0"/>
                <w:spacing w:val="6"/>
                <w:highlight w:val="none"/>
              </w:rPr>
              <w:t>b)设置在消防控制室以外的消防联动控制设备的动作状</w:t>
            </w:r>
            <w:r>
              <w:rPr>
                <w:b w:val="0"/>
                <w:bCs w:val="0"/>
                <w:spacing w:val="-1"/>
                <w:highlight w:val="none"/>
              </w:rPr>
              <w:t>态信号，是否在消防控制室显示。</w:t>
            </w:r>
          </w:p>
        </w:tc>
        <w:tc>
          <w:tcPr>
            <w:tcW w:w="3260" w:type="dxa"/>
            <w:vAlign w:val="center"/>
          </w:tcPr>
          <w:p w14:paraId="5002FC36">
            <w:pPr>
              <w:pStyle w:val="23"/>
              <w:keepNext w:val="0"/>
              <w:keepLines w:val="0"/>
              <w:suppressLineNumbers w:val="0"/>
              <w:spacing w:before="58" w:line="307" w:lineRule="auto"/>
              <w:ind w:left="115" w:right="102" w:hanging="1"/>
              <w:rPr>
                <w:b w:val="0"/>
                <w:bCs w:val="0"/>
                <w:highlight w:val="none"/>
              </w:rPr>
            </w:pPr>
            <w:r>
              <w:rPr>
                <w:b w:val="0"/>
                <w:bCs w:val="0"/>
                <w:spacing w:val="-1"/>
                <w:highlight w:val="none"/>
              </w:rPr>
              <w:t>a)不符合要求扣4</w:t>
            </w:r>
            <w:r>
              <w:rPr>
                <w:b w:val="0"/>
                <w:bCs w:val="0"/>
                <w:spacing w:val="-19"/>
                <w:highlight w:val="none"/>
              </w:rPr>
              <w:t xml:space="preserve"> </w:t>
            </w:r>
            <w:r>
              <w:rPr>
                <w:b w:val="0"/>
                <w:bCs w:val="0"/>
                <w:spacing w:val="-1"/>
                <w:highlight w:val="none"/>
              </w:rPr>
              <w:t>分，b)不符合要求扣</w:t>
            </w:r>
            <w:r>
              <w:rPr>
                <w:b w:val="0"/>
                <w:bCs w:val="0"/>
                <w:spacing w:val="-36"/>
                <w:highlight w:val="none"/>
              </w:rPr>
              <w:t xml:space="preserve"> </w:t>
            </w:r>
            <w:r>
              <w:rPr>
                <w:b w:val="0"/>
                <w:bCs w:val="0"/>
                <w:spacing w:val="-1"/>
                <w:highlight w:val="none"/>
              </w:rPr>
              <w:t>2</w:t>
            </w:r>
            <w:r>
              <w:rPr>
                <w:b w:val="0"/>
                <w:bCs w:val="0"/>
                <w:highlight w:val="none"/>
              </w:rPr>
              <w:t xml:space="preserve"> </w:t>
            </w:r>
            <w:r>
              <w:rPr>
                <w:b w:val="0"/>
                <w:bCs w:val="0"/>
                <w:spacing w:val="-3"/>
                <w:highlight w:val="none"/>
              </w:rPr>
              <w:t>分；扣完不得分。</w:t>
            </w:r>
          </w:p>
        </w:tc>
        <w:tc>
          <w:tcPr>
            <w:tcW w:w="1017" w:type="dxa"/>
            <w:vAlign w:val="center"/>
          </w:tcPr>
          <w:p w14:paraId="1F217A52">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937" w:type="dxa"/>
            <w:vAlign w:val="center"/>
          </w:tcPr>
          <w:p w14:paraId="217145B0">
            <w:pPr>
              <w:keepNext w:val="0"/>
              <w:keepLines w:val="0"/>
              <w:suppressLineNumbers w:val="0"/>
              <w:spacing w:before="0" w:beforeAutospacing="0" w:after="0" w:afterAutospacing="0"/>
              <w:ind w:left="0" w:right="0"/>
              <w:rPr>
                <w:rFonts w:hint="default" w:ascii="Arial"/>
                <w:b w:val="0"/>
                <w:bCs w:val="0"/>
                <w:sz w:val="21"/>
                <w:highlight w:val="none"/>
              </w:rPr>
            </w:pPr>
          </w:p>
        </w:tc>
        <w:tc>
          <w:tcPr>
            <w:tcW w:w="912" w:type="dxa"/>
            <w:vAlign w:val="center"/>
          </w:tcPr>
          <w:p w14:paraId="2FC7351E">
            <w:pPr>
              <w:keepNext w:val="0"/>
              <w:keepLines w:val="0"/>
              <w:suppressLineNumbers w:val="0"/>
              <w:spacing w:before="0" w:beforeAutospacing="0" w:after="0" w:afterAutospacing="0"/>
              <w:ind w:left="0" w:right="0"/>
              <w:rPr>
                <w:rFonts w:hint="default" w:ascii="Arial"/>
                <w:b w:val="0"/>
                <w:bCs w:val="0"/>
                <w:sz w:val="21"/>
                <w:highlight w:val="none"/>
              </w:rPr>
            </w:pPr>
          </w:p>
        </w:tc>
      </w:tr>
      <w:tr w14:paraId="635A05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6" w:hRule="atLeast"/>
          <w:jc w:val="center"/>
        </w:trPr>
        <w:tc>
          <w:tcPr>
            <w:tcW w:w="556" w:type="dxa"/>
            <w:vMerge w:val="continue"/>
            <w:tcBorders>
              <w:top w:val="single" w:color="auto" w:sz="4" w:space="0"/>
              <w:bottom w:val="single" w:color="auto" w:sz="4" w:space="0"/>
            </w:tcBorders>
            <w:vAlign w:val="center"/>
          </w:tcPr>
          <w:p w14:paraId="0D57B677">
            <w:pPr>
              <w:keepNext w:val="0"/>
              <w:keepLines w:val="0"/>
              <w:suppressLineNumbers w:val="0"/>
              <w:spacing w:before="0" w:beforeAutospacing="0" w:after="0" w:afterAutospacing="0"/>
              <w:ind w:left="0" w:right="0"/>
              <w:rPr>
                <w:rFonts w:hint="default" w:ascii="Arial"/>
                <w:b w:val="0"/>
                <w:bCs w:val="0"/>
                <w:sz w:val="21"/>
                <w:highlight w:val="none"/>
              </w:rPr>
            </w:pPr>
          </w:p>
        </w:tc>
        <w:tc>
          <w:tcPr>
            <w:tcW w:w="1364" w:type="dxa"/>
            <w:vMerge w:val="continue"/>
            <w:tcBorders>
              <w:top w:val="single" w:color="auto" w:sz="4" w:space="0"/>
              <w:bottom w:val="single" w:color="auto" w:sz="4" w:space="0"/>
            </w:tcBorders>
            <w:vAlign w:val="center"/>
          </w:tcPr>
          <w:p w14:paraId="74E11C37">
            <w:pPr>
              <w:keepNext w:val="0"/>
              <w:keepLines w:val="0"/>
              <w:suppressLineNumbers w:val="0"/>
              <w:spacing w:before="0" w:beforeAutospacing="0" w:after="0" w:afterAutospacing="0"/>
              <w:ind w:left="0" w:right="0"/>
              <w:rPr>
                <w:rFonts w:hint="default" w:ascii="Arial"/>
                <w:b w:val="0"/>
                <w:bCs w:val="0"/>
                <w:sz w:val="21"/>
                <w:highlight w:val="none"/>
              </w:rPr>
            </w:pPr>
          </w:p>
        </w:tc>
        <w:tc>
          <w:tcPr>
            <w:tcW w:w="1017" w:type="dxa"/>
            <w:vAlign w:val="center"/>
          </w:tcPr>
          <w:p w14:paraId="303D143F">
            <w:pPr>
              <w:pStyle w:val="23"/>
              <w:keepNext w:val="0"/>
              <w:keepLines w:val="0"/>
              <w:suppressLineNumbers w:val="0"/>
              <w:spacing w:before="58" w:line="313" w:lineRule="auto"/>
              <w:ind w:left="0" w:right="106" w:firstLine="0"/>
              <w:jc w:val="both"/>
              <w:rPr>
                <w:b w:val="0"/>
                <w:bCs w:val="0"/>
                <w:highlight w:val="none"/>
              </w:rPr>
            </w:pPr>
            <w:r>
              <w:rPr>
                <w:b w:val="0"/>
                <w:bCs w:val="0"/>
                <w:spacing w:val="-11"/>
                <w:highlight w:val="none"/>
              </w:rPr>
              <w:t>消防控制</w:t>
            </w:r>
            <w:r>
              <w:rPr>
                <w:b w:val="0"/>
                <w:bCs w:val="0"/>
                <w:spacing w:val="-12"/>
                <w:highlight w:val="none"/>
              </w:rPr>
              <w:t>室图形显</w:t>
            </w:r>
            <w:r>
              <w:rPr>
                <w:b w:val="0"/>
                <w:bCs w:val="0"/>
                <w:spacing w:val="3"/>
                <w:highlight w:val="none"/>
              </w:rPr>
              <w:t>示装置（</w:t>
            </w:r>
            <w:r>
              <w:rPr>
                <w:b w:val="0"/>
                <w:bCs w:val="0"/>
                <w:spacing w:val="-30"/>
                <w:highlight w:val="none"/>
              </w:rPr>
              <w:t xml:space="preserve"> </w:t>
            </w:r>
            <w:r>
              <w:rPr>
                <w:b w:val="0"/>
                <w:bCs w:val="0"/>
                <w:spacing w:val="3"/>
                <w:highlight w:val="none"/>
              </w:rPr>
              <w:t>3</w:t>
            </w:r>
            <w:r>
              <w:rPr>
                <w:b w:val="0"/>
                <w:bCs w:val="0"/>
                <w:highlight w:val="none"/>
              </w:rPr>
              <w:t xml:space="preserve"> </w:t>
            </w:r>
            <w:r>
              <w:rPr>
                <w:b w:val="0"/>
                <w:bCs w:val="0"/>
                <w:spacing w:val="-5"/>
                <w:highlight w:val="none"/>
              </w:rPr>
              <w:t>分）</w:t>
            </w:r>
          </w:p>
        </w:tc>
        <w:tc>
          <w:tcPr>
            <w:tcW w:w="4772" w:type="dxa"/>
            <w:vAlign w:val="center"/>
          </w:tcPr>
          <w:p w14:paraId="1AF500F0">
            <w:pPr>
              <w:pStyle w:val="23"/>
              <w:keepNext w:val="0"/>
              <w:keepLines w:val="0"/>
              <w:suppressLineNumbers w:val="0"/>
              <w:spacing w:before="68" w:line="307" w:lineRule="auto"/>
              <w:ind w:left="112" w:right="128"/>
              <w:rPr>
                <w:b w:val="0"/>
                <w:bCs w:val="0"/>
                <w:highlight w:val="none"/>
              </w:rPr>
            </w:pPr>
            <w:r>
              <w:rPr>
                <w:b w:val="0"/>
                <w:bCs w:val="0"/>
                <w:spacing w:val="-2"/>
                <w:highlight w:val="none"/>
              </w:rPr>
              <w:t>a)消防控制室图形显示装置是否显示建筑总平面布局图、保护对象的建筑平面图、系统图；</w:t>
            </w:r>
          </w:p>
          <w:p w14:paraId="61D14900">
            <w:pPr>
              <w:pStyle w:val="23"/>
              <w:keepNext w:val="0"/>
              <w:keepLines w:val="0"/>
              <w:suppressLineNumbers w:val="0"/>
              <w:spacing w:before="25" w:line="307" w:lineRule="auto"/>
              <w:ind w:left="110" w:right="102" w:hanging="2"/>
              <w:rPr>
                <w:b w:val="0"/>
                <w:bCs w:val="0"/>
                <w:highlight w:val="none"/>
              </w:rPr>
            </w:pPr>
            <w:r>
              <w:rPr>
                <w:b w:val="0"/>
                <w:bCs w:val="0"/>
                <w:spacing w:val="-1"/>
                <w:highlight w:val="none"/>
              </w:rPr>
              <w:t>b)消防控制室图形显示装置的通信故障报警、消音、信号</w:t>
            </w:r>
            <w:r>
              <w:rPr>
                <w:b w:val="0"/>
                <w:bCs w:val="0"/>
                <w:spacing w:val="-2"/>
                <w:highlight w:val="none"/>
              </w:rPr>
              <w:t>接收和显示、信息记录、复位功能；</w:t>
            </w:r>
          </w:p>
          <w:p w14:paraId="6D102DCE">
            <w:pPr>
              <w:pStyle w:val="23"/>
              <w:keepNext w:val="0"/>
              <w:keepLines w:val="0"/>
              <w:suppressLineNumbers w:val="0"/>
              <w:spacing w:before="26" w:line="281" w:lineRule="auto"/>
              <w:ind w:left="115" w:right="107"/>
              <w:rPr>
                <w:b w:val="0"/>
                <w:bCs w:val="0"/>
                <w:highlight w:val="none"/>
              </w:rPr>
            </w:pPr>
            <w:r>
              <w:rPr>
                <w:b w:val="0"/>
                <w:bCs w:val="0"/>
                <w:spacing w:val="6"/>
                <w:highlight w:val="none"/>
              </w:rPr>
              <w:t>c)消防控制室图形显示装置显示的信息是否与控制器的</w:t>
            </w:r>
            <w:r>
              <w:rPr>
                <w:b w:val="0"/>
                <w:bCs w:val="0"/>
                <w:spacing w:val="-2"/>
                <w:highlight w:val="none"/>
              </w:rPr>
              <w:t>显示信息一致。</w:t>
            </w:r>
          </w:p>
        </w:tc>
        <w:tc>
          <w:tcPr>
            <w:tcW w:w="3260" w:type="dxa"/>
            <w:vAlign w:val="center"/>
          </w:tcPr>
          <w:p w14:paraId="6F57EB4F">
            <w:pPr>
              <w:pStyle w:val="23"/>
              <w:keepNext w:val="0"/>
              <w:keepLines w:val="0"/>
              <w:suppressLineNumbers w:val="0"/>
              <w:spacing w:before="59"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1017" w:type="dxa"/>
            <w:vAlign w:val="center"/>
          </w:tcPr>
          <w:p w14:paraId="71782644">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937" w:type="dxa"/>
            <w:vAlign w:val="center"/>
          </w:tcPr>
          <w:p w14:paraId="724C4170">
            <w:pPr>
              <w:keepNext w:val="0"/>
              <w:keepLines w:val="0"/>
              <w:suppressLineNumbers w:val="0"/>
              <w:spacing w:before="0" w:beforeAutospacing="0" w:after="0" w:afterAutospacing="0"/>
              <w:ind w:left="0" w:right="0"/>
              <w:rPr>
                <w:rFonts w:hint="default" w:ascii="Arial"/>
                <w:b w:val="0"/>
                <w:bCs w:val="0"/>
                <w:sz w:val="21"/>
                <w:highlight w:val="none"/>
              </w:rPr>
            </w:pPr>
          </w:p>
        </w:tc>
        <w:tc>
          <w:tcPr>
            <w:tcW w:w="912" w:type="dxa"/>
            <w:vAlign w:val="center"/>
          </w:tcPr>
          <w:p w14:paraId="6BF30A49">
            <w:pPr>
              <w:keepNext w:val="0"/>
              <w:keepLines w:val="0"/>
              <w:suppressLineNumbers w:val="0"/>
              <w:spacing w:before="0" w:beforeAutospacing="0" w:after="0" w:afterAutospacing="0"/>
              <w:ind w:left="0" w:right="0"/>
              <w:rPr>
                <w:rFonts w:hint="default" w:ascii="Arial"/>
                <w:b w:val="0"/>
                <w:bCs w:val="0"/>
                <w:sz w:val="21"/>
                <w:highlight w:val="none"/>
              </w:rPr>
            </w:pPr>
          </w:p>
        </w:tc>
      </w:tr>
    </w:tbl>
    <w:p w14:paraId="6B81C1D0">
      <w:pPr>
        <w:rPr>
          <w:highlight w:val="none"/>
        </w:rPr>
      </w:pPr>
      <w:r>
        <w:rPr>
          <w:highlight w:val="none"/>
        </w:rPr>
        <w:br w:type="page"/>
      </w:r>
    </w:p>
    <w:tbl>
      <w:tblPr>
        <w:tblStyle w:val="24"/>
        <w:tblW w:w="496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9"/>
        <w:gridCol w:w="1474"/>
        <w:gridCol w:w="1094"/>
        <w:gridCol w:w="5162"/>
        <w:gridCol w:w="3521"/>
        <w:gridCol w:w="1094"/>
        <w:gridCol w:w="1013"/>
        <w:gridCol w:w="983"/>
      </w:tblGrid>
      <w:tr w14:paraId="78D36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1" w:hRule="atLeast"/>
          <w:jc w:val="center"/>
        </w:trPr>
        <w:tc>
          <w:tcPr>
            <w:tcW w:w="197" w:type="pct"/>
            <w:vAlign w:val="center"/>
          </w:tcPr>
          <w:p w14:paraId="24ECEA98">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6971F5C4">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298EA6F3">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7" w:type="pct"/>
            <w:vAlign w:val="center"/>
          </w:tcPr>
          <w:p w14:paraId="6DF406F1">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8" w:type="pct"/>
            <w:vAlign w:val="center"/>
          </w:tcPr>
          <w:p w14:paraId="6A999EBB">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61559CAE">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334B385C">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72839570">
            <w:pPr>
              <w:pStyle w:val="23"/>
              <w:keepNext w:val="0"/>
              <w:keepLines w:val="0"/>
              <w:suppressLineNumbers w:val="0"/>
              <w:spacing w:before="71" w:line="220" w:lineRule="auto"/>
              <w:ind w:left="295"/>
              <w:rPr>
                <w:highlight w:val="none"/>
              </w:rPr>
            </w:pPr>
            <w:r>
              <w:rPr>
                <w:b/>
                <w:bCs/>
                <w:spacing w:val="-4"/>
                <w:highlight w:val="none"/>
              </w:rPr>
              <w:t>得分</w:t>
            </w:r>
          </w:p>
        </w:tc>
      </w:tr>
      <w:tr w14:paraId="4EB68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5" w:hRule="atLeast"/>
          <w:jc w:val="center"/>
        </w:trPr>
        <w:tc>
          <w:tcPr>
            <w:tcW w:w="197" w:type="pct"/>
            <w:vMerge w:val="restart"/>
            <w:vAlign w:val="center"/>
          </w:tcPr>
          <w:p w14:paraId="2E702AF4">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vAlign w:val="center"/>
          </w:tcPr>
          <w:p w14:paraId="7DBA435A">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4F6ACD9C">
            <w:pPr>
              <w:pStyle w:val="23"/>
              <w:keepNext w:val="0"/>
              <w:keepLines w:val="0"/>
              <w:suppressLineNumbers w:val="0"/>
              <w:spacing w:before="59" w:line="307" w:lineRule="auto"/>
              <w:ind w:left="0" w:right="106" w:firstLine="0"/>
              <w:rPr>
                <w:b w:val="0"/>
                <w:bCs w:val="0"/>
                <w:highlight w:val="none"/>
              </w:rPr>
            </w:pPr>
            <w:r>
              <w:rPr>
                <w:b w:val="0"/>
                <w:bCs w:val="0"/>
                <w:spacing w:val="-12"/>
                <w:highlight w:val="none"/>
              </w:rPr>
              <w:t>区域显示</w:t>
            </w:r>
            <w:r>
              <w:rPr>
                <w:b w:val="0"/>
                <w:bCs w:val="0"/>
                <w:spacing w:val="7"/>
                <w:highlight w:val="none"/>
              </w:rPr>
              <w:t>器（2分）</w:t>
            </w:r>
          </w:p>
        </w:tc>
        <w:tc>
          <w:tcPr>
            <w:tcW w:w="1727" w:type="pct"/>
            <w:vAlign w:val="center"/>
          </w:tcPr>
          <w:p w14:paraId="0EB6E877">
            <w:pPr>
              <w:pStyle w:val="23"/>
              <w:keepNext w:val="0"/>
              <w:keepLines w:val="0"/>
              <w:suppressLineNumbers w:val="0"/>
              <w:spacing w:before="69" w:line="307" w:lineRule="auto"/>
              <w:ind w:left="126" w:right="107" w:hanging="14"/>
              <w:rPr>
                <w:b w:val="0"/>
                <w:bCs w:val="0"/>
                <w:highlight w:val="none"/>
              </w:rPr>
            </w:pPr>
            <w:r>
              <w:rPr>
                <w:b w:val="0"/>
                <w:bCs w:val="0"/>
                <w:spacing w:val="6"/>
                <w:highlight w:val="none"/>
              </w:rPr>
              <w:t>a)区域显示器是否能正确接收和显示火灾报警控制器发</w:t>
            </w:r>
            <w:r>
              <w:rPr>
                <w:b w:val="0"/>
                <w:bCs w:val="0"/>
                <w:spacing w:val="-3"/>
                <w:highlight w:val="none"/>
              </w:rPr>
              <w:t>出的火灾报警信号；</w:t>
            </w:r>
          </w:p>
          <w:p w14:paraId="0635272E">
            <w:pPr>
              <w:pStyle w:val="23"/>
              <w:keepNext w:val="0"/>
              <w:keepLines w:val="0"/>
              <w:suppressLineNumbers w:val="0"/>
              <w:spacing w:before="26" w:line="284" w:lineRule="auto"/>
              <w:ind w:left="116" w:right="104" w:hanging="8"/>
              <w:rPr>
                <w:b w:val="0"/>
                <w:bCs w:val="0"/>
                <w:highlight w:val="none"/>
              </w:rPr>
            </w:pPr>
            <w:r>
              <w:rPr>
                <w:b w:val="0"/>
                <w:bCs w:val="0"/>
                <w:spacing w:val="-1"/>
                <w:highlight w:val="none"/>
              </w:rPr>
              <w:t>b)声报警信号是否能手动消除，再次有火警信号输入时是</w:t>
            </w:r>
            <w:r>
              <w:rPr>
                <w:b w:val="0"/>
                <w:bCs w:val="0"/>
                <w:spacing w:val="-3"/>
                <w:highlight w:val="none"/>
              </w:rPr>
              <w:t>否能再启动。</w:t>
            </w:r>
          </w:p>
        </w:tc>
        <w:tc>
          <w:tcPr>
            <w:tcW w:w="1178" w:type="pct"/>
            <w:vAlign w:val="center"/>
          </w:tcPr>
          <w:p w14:paraId="4ED74E11">
            <w:pPr>
              <w:pStyle w:val="23"/>
              <w:keepNext w:val="0"/>
              <w:keepLines w:val="0"/>
              <w:suppressLineNumbers w:val="0"/>
              <w:spacing w:before="58" w:line="307" w:lineRule="auto"/>
              <w:ind w:left="115" w:right="101" w:hanging="2"/>
              <w:rPr>
                <w:b w:val="0"/>
                <w:bCs w:val="0"/>
                <w:spacing w:val="-6"/>
                <w:highlight w:val="none"/>
              </w:rPr>
            </w:pPr>
            <w:r>
              <w:rPr>
                <w:b w:val="0"/>
                <w:bCs w:val="0"/>
                <w:spacing w:val="-6"/>
                <w:highlight w:val="none"/>
              </w:rPr>
              <w:t>每条检查内容不符合要求各扣 1 分，扣完不得分。</w:t>
            </w:r>
          </w:p>
        </w:tc>
        <w:tc>
          <w:tcPr>
            <w:tcW w:w="366" w:type="pct"/>
            <w:vAlign w:val="center"/>
          </w:tcPr>
          <w:p w14:paraId="1BA303EC">
            <w:pPr>
              <w:pStyle w:val="23"/>
              <w:keepNext w:val="0"/>
              <w:keepLines w:val="0"/>
              <w:suppressLineNumbers w:val="0"/>
              <w:spacing w:before="58" w:line="307" w:lineRule="auto"/>
              <w:ind w:right="101"/>
              <w:jc w:val="center"/>
              <w:rPr>
                <w:rFonts w:hint="default"/>
                <w:b w:val="0"/>
                <w:bCs w:val="0"/>
                <w:spacing w:val="-6"/>
                <w:highlight w:val="none"/>
                <w:lang w:val="en-US" w:eastAsia="zh-CN"/>
              </w:rPr>
            </w:pPr>
          </w:p>
        </w:tc>
        <w:tc>
          <w:tcPr>
            <w:tcW w:w="339" w:type="pct"/>
            <w:vAlign w:val="center"/>
          </w:tcPr>
          <w:p w14:paraId="38A3AE83">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4D735A1E">
            <w:pPr>
              <w:keepNext w:val="0"/>
              <w:keepLines w:val="0"/>
              <w:suppressLineNumbers w:val="0"/>
              <w:spacing w:before="0" w:beforeAutospacing="0" w:after="0" w:afterAutospacing="0"/>
              <w:ind w:left="0" w:right="0"/>
              <w:rPr>
                <w:rFonts w:hint="default" w:ascii="Arial"/>
                <w:b w:val="0"/>
                <w:bCs w:val="0"/>
                <w:sz w:val="21"/>
                <w:highlight w:val="none"/>
              </w:rPr>
            </w:pPr>
          </w:p>
        </w:tc>
      </w:tr>
      <w:tr w14:paraId="46C86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5" w:hRule="atLeast"/>
          <w:jc w:val="center"/>
        </w:trPr>
        <w:tc>
          <w:tcPr>
            <w:tcW w:w="197" w:type="pct"/>
            <w:vMerge w:val="continue"/>
            <w:vAlign w:val="center"/>
          </w:tcPr>
          <w:p w14:paraId="4EF68A8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572AC0D7">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7CAF14FA">
            <w:pPr>
              <w:pStyle w:val="23"/>
              <w:keepNext w:val="0"/>
              <w:keepLines w:val="0"/>
              <w:suppressLineNumbers w:val="0"/>
              <w:spacing w:before="58" w:line="307" w:lineRule="auto"/>
              <w:ind w:left="0" w:right="139" w:firstLine="0"/>
              <w:rPr>
                <w:b w:val="0"/>
                <w:bCs w:val="0"/>
                <w:highlight w:val="none"/>
              </w:rPr>
            </w:pPr>
            <w:r>
              <w:rPr>
                <w:b w:val="0"/>
                <w:bCs w:val="0"/>
                <w:spacing w:val="-3"/>
                <w:highlight w:val="none"/>
              </w:rPr>
              <w:t>火灾探测</w:t>
            </w:r>
            <w:r>
              <w:rPr>
                <w:b w:val="0"/>
                <w:bCs w:val="0"/>
                <w:spacing w:val="5"/>
                <w:highlight w:val="none"/>
              </w:rPr>
              <w:t>器（3分）</w:t>
            </w:r>
          </w:p>
        </w:tc>
        <w:tc>
          <w:tcPr>
            <w:tcW w:w="1727" w:type="pct"/>
            <w:vAlign w:val="center"/>
          </w:tcPr>
          <w:p w14:paraId="737C0867">
            <w:pPr>
              <w:pStyle w:val="23"/>
              <w:keepNext w:val="0"/>
              <w:keepLines w:val="0"/>
              <w:suppressLineNumbers w:val="0"/>
              <w:spacing w:before="66" w:line="220" w:lineRule="auto"/>
              <w:ind w:left="112"/>
              <w:rPr>
                <w:b w:val="0"/>
                <w:bCs w:val="0"/>
                <w:highlight w:val="none"/>
              </w:rPr>
            </w:pPr>
            <w:r>
              <w:rPr>
                <w:b w:val="0"/>
                <w:bCs w:val="0"/>
                <w:spacing w:val="-1"/>
                <w:highlight w:val="none"/>
              </w:rPr>
              <w:t>a)探测器的选型和布置；</w:t>
            </w:r>
          </w:p>
          <w:p w14:paraId="56182A3A">
            <w:pPr>
              <w:pStyle w:val="23"/>
              <w:keepNext w:val="0"/>
              <w:keepLines w:val="0"/>
              <w:suppressLineNumbers w:val="0"/>
              <w:spacing w:before="98" w:line="220" w:lineRule="auto"/>
              <w:ind w:left="108"/>
              <w:rPr>
                <w:b w:val="0"/>
                <w:bCs w:val="0"/>
                <w:highlight w:val="none"/>
              </w:rPr>
            </w:pPr>
            <w:r>
              <w:rPr>
                <w:b w:val="0"/>
                <w:bCs w:val="0"/>
                <w:spacing w:val="-1"/>
                <w:highlight w:val="none"/>
              </w:rPr>
              <w:t>b)探测器是否处于正常监视状态；</w:t>
            </w:r>
          </w:p>
          <w:p w14:paraId="25A4649D">
            <w:pPr>
              <w:pStyle w:val="23"/>
              <w:keepNext w:val="0"/>
              <w:keepLines w:val="0"/>
              <w:suppressLineNumbers w:val="0"/>
              <w:spacing w:before="97" w:line="220" w:lineRule="auto"/>
              <w:ind w:left="115"/>
              <w:rPr>
                <w:b w:val="0"/>
                <w:bCs w:val="0"/>
                <w:highlight w:val="none"/>
              </w:rPr>
            </w:pPr>
            <w:r>
              <w:rPr>
                <w:b w:val="0"/>
                <w:bCs w:val="0"/>
                <w:spacing w:val="-2"/>
                <w:highlight w:val="none"/>
              </w:rPr>
              <w:t>c)火灾探测器外观、安装、丢失和被遮挡情况；</w:t>
            </w:r>
          </w:p>
          <w:p w14:paraId="65428817">
            <w:pPr>
              <w:pStyle w:val="23"/>
              <w:keepNext w:val="0"/>
              <w:keepLines w:val="0"/>
              <w:suppressLineNumbers w:val="0"/>
              <w:spacing w:before="97" w:line="220" w:lineRule="auto"/>
              <w:ind w:left="115"/>
              <w:rPr>
                <w:b w:val="0"/>
                <w:bCs w:val="0"/>
                <w:highlight w:val="none"/>
              </w:rPr>
            </w:pPr>
            <w:r>
              <w:rPr>
                <w:b w:val="0"/>
                <w:bCs w:val="0"/>
                <w:spacing w:val="-3"/>
                <w:highlight w:val="none"/>
              </w:rPr>
              <w:t>d)火灾探测器的功能；</w:t>
            </w:r>
          </w:p>
          <w:p w14:paraId="6E84124D">
            <w:pPr>
              <w:pStyle w:val="23"/>
              <w:keepNext w:val="0"/>
              <w:keepLines w:val="0"/>
              <w:suppressLineNumbers w:val="0"/>
              <w:spacing w:before="97" w:line="270" w:lineRule="auto"/>
              <w:ind w:left="112" w:right="99" w:firstLine="3"/>
              <w:rPr>
                <w:b w:val="0"/>
                <w:bCs w:val="0"/>
                <w:highlight w:val="none"/>
              </w:rPr>
            </w:pPr>
            <w:r>
              <w:rPr>
                <w:b w:val="0"/>
                <w:bCs w:val="0"/>
                <w:spacing w:val="3"/>
                <w:highlight w:val="none"/>
              </w:rPr>
              <w:t>e)管路采样式吸气感烟火灾探测器吸气管路和采样</w:t>
            </w:r>
            <w:r>
              <w:rPr>
                <w:b w:val="0"/>
                <w:bCs w:val="0"/>
                <w:spacing w:val="2"/>
                <w:highlight w:val="none"/>
              </w:rPr>
              <w:t>孔应</w:t>
            </w:r>
            <w:r>
              <w:rPr>
                <w:b w:val="0"/>
                <w:bCs w:val="0"/>
                <w:spacing w:val="-1"/>
                <w:highlight w:val="none"/>
              </w:rPr>
              <w:t>有明显的火灾探测器标识。</w:t>
            </w:r>
          </w:p>
        </w:tc>
        <w:tc>
          <w:tcPr>
            <w:tcW w:w="1178" w:type="pct"/>
            <w:vAlign w:val="center"/>
          </w:tcPr>
          <w:p w14:paraId="4EC418A5">
            <w:pPr>
              <w:pStyle w:val="23"/>
              <w:keepNext w:val="0"/>
              <w:keepLines w:val="0"/>
              <w:suppressLineNumbers w:val="0"/>
              <w:spacing w:before="58" w:line="313" w:lineRule="auto"/>
              <w:ind w:left="113" w:right="101"/>
              <w:jc w:val="both"/>
              <w:rPr>
                <w:b w:val="0"/>
                <w:bCs w:val="0"/>
                <w:highlight w:val="none"/>
              </w:rPr>
            </w:pPr>
            <w:r>
              <w:rPr>
                <w:b w:val="0"/>
                <w:bCs w:val="0"/>
                <w:spacing w:val="-5"/>
                <w:highlight w:val="none"/>
              </w:rPr>
              <w:t>a)b)d)不符合要求各扣</w:t>
            </w:r>
            <w:r>
              <w:rPr>
                <w:b w:val="0"/>
                <w:bCs w:val="0"/>
                <w:spacing w:val="-25"/>
                <w:highlight w:val="none"/>
              </w:rPr>
              <w:t xml:space="preserve"> </w:t>
            </w:r>
            <w:r>
              <w:rPr>
                <w:b w:val="0"/>
                <w:bCs w:val="0"/>
                <w:spacing w:val="-5"/>
                <w:highlight w:val="none"/>
              </w:rPr>
              <w:t>3</w:t>
            </w:r>
            <w:r>
              <w:rPr>
                <w:b w:val="0"/>
                <w:bCs w:val="0"/>
                <w:spacing w:val="-34"/>
                <w:highlight w:val="none"/>
              </w:rPr>
              <w:t xml:space="preserve"> </w:t>
            </w:r>
            <w:r>
              <w:rPr>
                <w:b w:val="0"/>
                <w:bCs w:val="0"/>
                <w:spacing w:val="-5"/>
                <w:highlight w:val="none"/>
              </w:rPr>
              <w:t>分；c)外观、安</w:t>
            </w:r>
            <w:r>
              <w:rPr>
                <w:b w:val="0"/>
                <w:bCs w:val="0"/>
                <w:spacing w:val="-4"/>
                <w:highlight w:val="none"/>
              </w:rPr>
              <w:t>装、被遮挡等不符合要求情况下不影响功能扣 1 分，丢失或影响功能扣 3 分；e)</w:t>
            </w:r>
            <w:r>
              <w:rPr>
                <w:b w:val="0"/>
                <w:bCs w:val="0"/>
                <w:spacing w:val="18"/>
                <w:highlight w:val="none"/>
              </w:rPr>
              <w:t xml:space="preserve"> </w:t>
            </w:r>
            <w:r>
              <w:rPr>
                <w:b w:val="0"/>
                <w:bCs w:val="0"/>
                <w:spacing w:val="-4"/>
                <w:highlight w:val="none"/>
              </w:rPr>
              <w:t>不符合要求扣</w:t>
            </w:r>
            <w:r>
              <w:rPr>
                <w:b w:val="0"/>
                <w:bCs w:val="0"/>
                <w:spacing w:val="-18"/>
                <w:highlight w:val="none"/>
              </w:rPr>
              <w:t xml:space="preserve"> </w:t>
            </w:r>
            <w:r>
              <w:rPr>
                <w:b w:val="0"/>
                <w:bCs w:val="0"/>
                <w:spacing w:val="-4"/>
                <w:highlight w:val="none"/>
              </w:rPr>
              <w:t>1</w:t>
            </w:r>
            <w:r>
              <w:rPr>
                <w:b w:val="0"/>
                <w:bCs w:val="0"/>
                <w:spacing w:val="-34"/>
                <w:highlight w:val="none"/>
              </w:rPr>
              <w:t xml:space="preserve"> </w:t>
            </w:r>
            <w:r>
              <w:rPr>
                <w:b w:val="0"/>
                <w:bCs w:val="0"/>
                <w:spacing w:val="-4"/>
                <w:highlight w:val="none"/>
              </w:rPr>
              <w:t>分；扣完不得分。</w:t>
            </w:r>
          </w:p>
        </w:tc>
        <w:tc>
          <w:tcPr>
            <w:tcW w:w="366" w:type="pct"/>
            <w:vAlign w:val="center"/>
          </w:tcPr>
          <w:p w14:paraId="5002ADD0">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9" w:type="pct"/>
            <w:vAlign w:val="center"/>
          </w:tcPr>
          <w:p w14:paraId="69907ED3">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29" w:type="pct"/>
            <w:vAlign w:val="center"/>
          </w:tcPr>
          <w:p w14:paraId="027E0D5B">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6D8CEA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jc w:val="center"/>
        </w:trPr>
        <w:tc>
          <w:tcPr>
            <w:tcW w:w="197" w:type="pct"/>
            <w:vMerge w:val="continue"/>
            <w:vAlign w:val="center"/>
          </w:tcPr>
          <w:p w14:paraId="1C5B153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7B9621A0">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3AD00179">
            <w:pPr>
              <w:pStyle w:val="23"/>
              <w:keepNext w:val="0"/>
              <w:keepLines w:val="0"/>
              <w:suppressLineNumbers w:val="0"/>
              <w:spacing w:before="67" w:line="295" w:lineRule="auto"/>
              <w:ind w:left="0" w:right="106" w:firstLine="0"/>
              <w:jc w:val="both"/>
              <w:rPr>
                <w:b w:val="0"/>
                <w:bCs w:val="0"/>
                <w:highlight w:val="none"/>
              </w:rPr>
            </w:pPr>
            <w:r>
              <w:rPr>
                <w:b w:val="0"/>
                <w:bCs w:val="0"/>
                <w:spacing w:val="-9"/>
                <w:highlight w:val="none"/>
              </w:rPr>
              <w:t>手动火灾</w:t>
            </w:r>
            <w:r>
              <w:rPr>
                <w:b w:val="0"/>
                <w:bCs w:val="0"/>
                <w:spacing w:val="-8"/>
                <w:highlight w:val="none"/>
              </w:rPr>
              <w:t>报警按钮</w:t>
            </w:r>
            <w:r>
              <w:rPr>
                <w:b w:val="0"/>
                <w:bCs w:val="0"/>
                <w:spacing w:val="9"/>
                <w:highlight w:val="none"/>
              </w:rPr>
              <w:t>（2分）</w:t>
            </w:r>
          </w:p>
        </w:tc>
        <w:tc>
          <w:tcPr>
            <w:tcW w:w="1727" w:type="pct"/>
            <w:vAlign w:val="center"/>
          </w:tcPr>
          <w:p w14:paraId="674364F1">
            <w:pPr>
              <w:pStyle w:val="23"/>
              <w:keepNext w:val="0"/>
              <w:keepLines w:val="0"/>
              <w:suppressLineNumbers w:val="0"/>
              <w:spacing w:before="68" w:line="220" w:lineRule="auto"/>
              <w:ind w:left="112"/>
              <w:rPr>
                <w:b w:val="0"/>
                <w:bCs w:val="0"/>
                <w:highlight w:val="none"/>
              </w:rPr>
            </w:pPr>
            <w:r>
              <w:rPr>
                <w:b w:val="0"/>
                <w:bCs w:val="0"/>
                <w:spacing w:val="-1"/>
                <w:highlight w:val="none"/>
              </w:rPr>
              <w:t>a)手动火灾报警按钮的设置部位和数量；</w:t>
            </w:r>
          </w:p>
          <w:p w14:paraId="51DFF4F1">
            <w:pPr>
              <w:pStyle w:val="23"/>
              <w:keepNext w:val="0"/>
              <w:keepLines w:val="0"/>
              <w:suppressLineNumbers w:val="0"/>
              <w:spacing w:before="96" w:line="282" w:lineRule="auto"/>
              <w:ind w:left="114" w:right="1223" w:hanging="6"/>
              <w:rPr>
                <w:b w:val="0"/>
                <w:bCs w:val="0"/>
                <w:spacing w:val="9"/>
                <w:highlight w:val="none"/>
              </w:rPr>
            </w:pPr>
            <w:r>
              <w:rPr>
                <w:b w:val="0"/>
                <w:bCs w:val="0"/>
                <w:spacing w:val="-3"/>
                <w:highlight w:val="none"/>
              </w:rPr>
              <w:t>b)手动火灾报警按钮的外观、标识、安装；</w:t>
            </w:r>
            <w:r>
              <w:rPr>
                <w:b w:val="0"/>
                <w:bCs w:val="0"/>
                <w:spacing w:val="9"/>
                <w:highlight w:val="none"/>
              </w:rPr>
              <w:t xml:space="preserve"> </w:t>
            </w:r>
          </w:p>
          <w:p w14:paraId="7352625D">
            <w:pPr>
              <w:pStyle w:val="23"/>
              <w:keepNext w:val="0"/>
              <w:keepLines w:val="0"/>
              <w:suppressLineNumbers w:val="0"/>
              <w:spacing w:before="96" w:line="282" w:lineRule="auto"/>
              <w:ind w:left="114" w:right="1223" w:hanging="6"/>
              <w:rPr>
                <w:b w:val="0"/>
                <w:bCs w:val="0"/>
                <w:highlight w:val="none"/>
              </w:rPr>
            </w:pPr>
            <w:r>
              <w:rPr>
                <w:b w:val="0"/>
                <w:bCs w:val="0"/>
                <w:spacing w:val="-1"/>
                <w:highlight w:val="none"/>
              </w:rPr>
              <w:t>c)手动火灾报警按钮的功能。</w:t>
            </w:r>
          </w:p>
        </w:tc>
        <w:tc>
          <w:tcPr>
            <w:tcW w:w="1178" w:type="pct"/>
            <w:vAlign w:val="center"/>
          </w:tcPr>
          <w:p w14:paraId="38F8A4B1">
            <w:pPr>
              <w:pStyle w:val="23"/>
              <w:keepNext w:val="0"/>
              <w:keepLines w:val="0"/>
              <w:suppressLineNumbers w:val="0"/>
              <w:spacing w:before="223"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分，c)不符合要求扣</w:t>
            </w:r>
            <w:r>
              <w:rPr>
                <w:b w:val="0"/>
                <w:bCs w:val="0"/>
                <w:spacing w:val="-30"/>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分；扣完不得分。</w:t>
            </w:r>
          </w:p>
        </w:tc>
        <w:tc>
          <w:tcPr>
            <w:tcW w:w="366" w:type="pct"/>
            <w:vAlign w:val="center"/>
          </w:tcPr>
          <w:p w14:paraId="048AB8CC">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9" w:type="pct"/>
            <w:vAlign w:val="center"/>
          </w:tcPr>
          <w:p w14:paraId="1A7C68E5">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29" w:type="pct"/>
            <w:vAlign w:val="center"/>
          </w:tcPr>
          <w:p w14:paraId="480CD8B7">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571C2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7" w:hRule="atLeast"/>
          <w:jc w:val="center"/>
        </w:trPr>
        <w:tc>
          <w:tcPr>
            <w:tcW w:w="197" w:type="pct"/>
            <w:vMerge w:val="continue"/>
            <w:vAlign w:val="center"/>
          </w:tcPr>
          <w:p w14:paraId="3407D5E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216AD08C">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4898C509">
            <w:pPr>
              <w:pStyle w:val="23"/>
              <w:keepNext w:val="0"/>
              <w:keepLines w:val="0"/>
              <w:suppressLineNumbers w:val="0"/>
              <w:spacing w:before="58" w:line="307" w:lineRule="auto"/>
              <w:ind w:left="108" w:right="106" w:firstLine="1"/>
              <w:rPr>
                <w:b w:val="0"/>
                <w:bCs w:val="0"/>
                <w:highlight w:val="none"/>
              </w:rPr>
            </w:pPr>
            <w:r>
              <w:rPr>
                <w:b w:val="0"/>
                <w:bCs w:val="0"/>
                <w:spacing w:val="-9"/>
                <w:highlight w:val="none"/>
              </w:rPr>
              <w:t>火</w:t>
            </w:r>
            <w:r>
              <w:rPr>
                <w:b w:val="0"/>
                <w:bCs w:val="0"/>
                <w:spacing w:val="-19"/>
                <w:highlight w:val="none"/>
              </w:rPr>
              <w:t xml:space="preserve"> </w:t>
            </w:r>
            <w:r>
              <w:rPr>
                <w:b w:val="0"/>
                <w:bCs w:val="0"/>
                <w:spacing w:val="-9"/>
                <w:highlight w:val="none"/>
              </w:rPr>
              <w:t>灾</w:t>
            </w:r>
            <w:r>
              <w:rPr>
                <w:b w:val="0"/>
                <w:bCs w:val="0"/>
                <w:spacing w:val="-21"/>
                <w:highlight w:val="none"/>
              </w:rPr>
              <w:t xml:space="preserve"> </w:t>
            </w:r>
            <w:r>
              <w:rPr>
                <w:b w:val="0"/>
                <w:bCs w:val="0"/>
                <w:spacing w:val="-9"/>
                <w:highlight w:val="none"/>
              </w:rPr>
              <w:t>警</w:t>
            </w:r>
            <w:r>
              <w:rPr>
                <w:b w:val="0"/>
                <w:bCs w:val="0"/>
                <w:spacing w:val="-24"/>
                <w:highlight w:val="none"/>
              </w:rPr>
              <w:t xml:space="preserve"> </w:t>
            </w:r>
            <w:r>
              <w:rPr>
                <w:b w:val="0"/>
                <w:bCs w:val="0"/>
                <w:spacing w:val="-9"/>
                <w:highlight w:val="none"/>
              </w:rPr>
              <w:t>报</w:t>
            </w:r>
            <w:r>
              <w:rPr>
                <w:b w:val="0"/>
                <w:bCs w:val="0"/>
                <w:highlight w:val="none"/>
              </w:rPr>
              <w:t xml:space="preserve"> </w:t>
            </w:r>
            <w:r>
              <w:rPr>
                <w:b w:val="0"/>
                <w:bCs w:val="0"/>
                <w:spacing w:val="7"/>
                <w:highlight w:val="none"/>
              </w:rPr>
              <w:t>器（2分）</w:t>
            </w:r>
          </w:p>
        </w:tc>
        <w:tc>
          <w:tcPr>
            <w:tcW w:w="1727" w:type="pct"/>
            <w:vAlign w:val="center"/>
          </w:tcPr>
          <w:p w14:paraId="5F2639B4">
            <w:pPr>
              <w:pStyle w:val="23"/>
              <w:keepNext w:val="0"/>
              <w:keepLines w:val="0"/>
              <w:suppressLineNumbers w:val="0"/>
              <w:spacing w:before="68" w:line="220" w:lineRule="auto"/>
              <w:ind w:left="112"/>
              <w:rPr>
                <w:b w:val="0"/>
                <w:bCs w:val="0"/>
                <w:spacing w:val="-1"/>
                <w:highlight w:val="none"/>
              </w:rPr>
            </w:pPr>
            <w:r>
              <w:rPr>
                <w:b w:val="0"/>
                <w:bCs w:val="0"/>
                <w:spacing w:val="-1"/>
                <w:highlight w:val="none"/>
              </w:rPr>
              <w:t>a)火灾警报器的设置部位和数量；</w:t>
            </w:r>
          </w:p>
          <w:p w14:paraId="12A867DC">
            <w:pPr>
              <w:pStyle w:val="23"/>
              <w:keepNext w:val="0"/>
              <w:keepLines w:val="0"/>
              <w:suppressLineNumbers w:val="0"/>
              <w:spacing w:before="68" w:line="220" w:lineRule="auto"/>
              <w:ind w:left="112"/>
              <w:rPr>
                <w:b w:val="0"/>
                <w:bCs w:val="0"/>
                <w:spacing w:val="-1"/>
                <w:highlight w:val="none"/>
              </w:rPr>
            </w:pPr>
            <w:r>
              <w:rPr>
                <w:b w:val="0"/>
                <w:bCs w:val="0"/>
                <w:spacing w:val="-1"/>
                <w:highlight w:val="none"/>
              </w:rPr>
              <w:t>b)火灾警报器的外观、安装；</w:t>
            </w:r>
          </w:p>
          <w:p w14:paraId="54ECE122">
            <w:pPr>
              <w:pStyle w:val="23"/>
              <w:keepNext w:val="0"/>
              <w:keepLines w:val="0"/>
              <w:suppressLineNumbers w:val="0"/>
              <w:spacing w:before="68" w:line="220" w:lineRule="auto"/>
              <w:ind w:left="112"/>
              <w:rPr>
                <w:b w:val="0"/>
                <w:bCs w:val="0"/>
                <w:highlight w:val="none"/>
              </w:rPr>
            </w:pPr>
            <w:r>
              <w:rPr>
                <w:b w:val="0"/>
                <w:bCs w:val="0"/>
                <w:spacing w:val="-1"/>
                <w:highlight w:val="none"/>
              </w:rPr>
              <w:t>c)火灾警报器的功能。</w:t>
            </w:r>
          </w:p>
        </w:tc>
        <w:tc>
          <w:tcPr>
            <w:tcW w:w="1178" w:type="pct"/>
            <w:vAlign w:val="center"/>
          </w:tcPr>
          <w:p w14:paraId="62C650E2">
            <w:pPr>
              <w:pStyle w:val="23"/>
              <w:keepNext w:val="0"/>
              <w:keepLines w:val="0"/>
              <w:suppressLineNumbers w:val="0"/>
              <w:spacing w:before="59"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分，c)不符合要求扣</w:t>
            </w:r>
            <w:r>
              <w:rPr>
                <w:b w:val="0"/>
                <w:bCs w:val="0"/>
                <w:spacing w:val="-30"/>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分；扣完不得分。</w:t>
            </w:r>
          </w:p>
        </w:tc>
        <w:tc>
          <w:tcPr>
            <w:tcW w:w="366" w:type="pct"/>
            <w:vAlign w:val="center"/>
          </w:tcPr>
          <w:p w14:paraId="4941FA9E">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9" w:type="pct"/>
            <w:vAlign w:val="center"/>
          </w:tcPr>
          <w:p w14:paraId="5D8476BE">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c>
          <w:tcPr>
            <w:tcW w:w="329" w:type="pct"/>
            <w:vAlign w:val="center"/>
          </w:tcPr>
          <w:p w14:paraId="0C7946CE">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070A62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9" w:hRule="atLeast"/>
          <w:jc w:val="center"/>
        </w:trPr>
        <w:tc>
          <w:tcPr>
            <w:tcW w:w="197" w:type="pct"/>
            <w:vMerge w:val="restart"/>
            <w:tcBorders>
              <w:bottom w:val="nil"/>
            </w:tcBorders>
            <w:vAlign w:val="center"/>
          </w:tcPr>
          <w:p w14:paraId="1F8B4101">
            <w:pPr>
              <w:pStyle w:val="23"/>
              <w:keepNext w:val="0"/>
              <w:keepLines w:val="0"/>
              <w:suppressLineNumbers w:val="0"/>
              <w:spacing w:before="59" w:line="181" w:lineRule="auto"/>
              <w:ind w:left="224"/>
              <w:rPr>
                <w:rFonts w:hint="eastAsia" w:eastAsia="宋体"/>
                <w:b w:val="0"/>
                <w:bCs w:val="0"/>
                <w:highlight w:val="none"/>
                <w:lang w:eastAsia="zh-CN"/>
              </w:rPr>
            </w:pPr>
            <w:r>
              <w:rPr>
                <w:rFonts w:hint="eastAsia"/>
                <w:b w:val="0"/>
                <w:bCs w:val="0"/>
                <w:spacing w:val="-6"/>
                <w:highlight w:val="none"/>
                <w:lang w:val="en-US" w:eastAsia="zh-CN"/>
              </w:rPr>
              <w:t>4</w:t>
            </w:r>
          </w:p>
        </w:tc>
        <w:tc>
          <w:tcPr>
            <w:tcW w:w="493" w:type="pct"/>
            <w:vMerge w:val="restart"/>
            <w:tcBorders>
              <w:bottom w:val="nil"/>
            </w:tcBorders>
            <w:vAlign w:val="center"/>
          </w:tcPr>
          <w:p w14:paraId="6770EB33">
            <w:pPr>
              <w:pStyle w:val="23"/>
              <w:keepNext w:val="0"/>
              <w:keepLines w:val="0"/>
              <w:suppressLineNumbers w:val="0"/>
              <w:spacing w:before="58" w:line="311" w:lineRule="auto"/>
              <w:ind w:left="169" w:right="168"/>
              <w:jc w:val="both"/>
              <w:rPr>
                <w:b w:val="0"/>
                <w:bCs w:val="0"/>
                <w:highlight w:val="none"/>
              </w:rPr>
            </w:pPr>
            <w:r>
              <w:rPr>
                <w:b w:val="0"/>
                <w:bCs w:val="0"/>
                <w:color w:val="auto"/>
                <w:spacing w:val="-2"/>
                <w:highlight w:val="none"/>
              </w:rPr>
              <w:t>独立式感烟探测器</w:t>
            </w:r>
            <w:r>
              <w:rPr>
                <w:b w:val="0"/>
                <w:bCs w:val="0"/>
                <w:color w:val="auto"/>
                <w:spacing w:val="14"/>
                <w:highlight w:val="none"/>
              </w:rPr>
              <w:t>（5分）</w:t>
            </w:r>
          </w:p>
        </w:tc>
        <w:tc>
          <w:tcPr>
            <w:tcW w:w="366" w:type="pct"/>
            <w:vAlign w:val="center"/>
          </w:tcPr>
          <w:p w14:paraId="27A4406A">
            <w:pPr>
              <w:pStyle w:val="23"/>
              <w:keepNext w:val="0"/>
              <w:keepLines w:val="0"/>
              <w:suppressLineNumbers w:val="0"/>
              <w:spacing w:before="58" w:line="221" w:lineRule="auto"/>
              <w:ind w:right="15"/>
              <w:jc w:val="center"/>
              <w:rPr>
                <w:b w:val="0"/>
                <w:bCs w:val="0"/>
                <w:highlight w:val="none"/>
              </w:rPr>
            </w:pPr>
            <w:r>
              <w:rPr>
                <w:b w:val="0"/>
                <w:bCs w:val="0"/>
                <w:spacing w:val="-9"/>
                <w:highlight w:val="none"/>
              </w:rPr>
              <w:t>安装（2</w:t>
            </w:r>
            <w:r>
              <w:rPr>
                <w:b w:val="0"/>
                <w:bCs w:val="0"/>
                <w:spacing w:val="-31"/>
                <w:highlight w:val="none"/>
              </w:rPr>
              <w:t xml:space="preserve"> </w:t>
            </w:r>
            <w:r>
              <w:rPr>
                <w:b w:val="0"/>
                <w:bCs w:val="0"/>
                <w:spacing w:val="-9"/>
                <w:highlight w:val="none"/>
              </w:rPr>
              <w:t>分）</w:t>
            </w:r>
          </w:p>
        </w:tc>
        <w:tc>
          <w:tcPr>
            <w:tcW w:w="1727" w:type="pct"/>
            <w:vAlign w:val="center"/>
          </w:tcPr>
          <w:p w14:paraId="0BA06A18">
            <w:pPr>
              <w:pStyle w:val="23"/>
              <w:keepNext w:val="0"/>
              <w:keepLines w:val="0"/>
              <w:suppressLineNumbers w:val="0"/>
              <w:spacing w:before="59" w:line="220" w:lineRule="auto"/>
              <w:ind w:left="110"/>
              <w:rPr>
                <w:b w:val="0"/>
                <w:bCs w:val="0"/>
                <w:highlight w:val="none"/>
              </w:rPr>
            </w:pPr>
            <w:r>
              <w:rPr>
                <w:b w:val="0"/>
                <w:bCs w:val="0"/>
                <w:spacing w:val="-1"/>
                <w:highlight w:val="none"/>
              </w:rPr>
              <w:t>独立式感烟探测器的外观、安装、丢失和被遮挡情况。</w:t>
            </w:r>
          </w:p>
        </w:tc>
        <w:tc>
          <w:tcPr>
            <w:tcW w:w="1178" w:type="pct"/>
            <w:vAlign w:val="center"/>
          </w:tcPr>
          <w:p w14:paraId="004E2C0D">
            <w:pPr>
              <w:pStyle w:val="23"/>
              <w:keepNext w:val="0"/>
              <w:keepLines w:val="0"/>
              <w:suppressLineNumbers w:val="0"/>
              <w:spacing w:before="67" w:line="301" w:lineRule="auto"/>
              <w:ind w:left="114" w:right="103" w:firstLine="2"/>
              <w:jc w:val="both"/>
              <w:rPr>
                <w:b w:val="0"/>
                <w:bCs w:val="0"/>
                <w:highlight w:val="none"/>
              </w:rPr>
            </w:pPr>
            <w:r>
              <w:rPr>
                <w:b w:val="0"/>
                <w:bCs w:val="0"/>
                <w:spacing w:val="2"/>
                <w:highlight w:val="none"/>
              </w:rPr>
              <w:t>外观、安装、被遮挡等不符合要求情况下不影响功能每发现一处</w:t>
            </w:r>
            <w:r>
              <w:rPr>
                <w:b w:val="0"/>
                <w:bCs w:val="0"/>
                <w:spacing w:val="-4"/>
                <w:highlight w:val="none"/>
              </w:rPr>
              <w:t>扣 1 分，丢失或影响功能每发现一处扣</w:t>
            </w:r>
            <w:r>
              <w:rPr>
                <w:b w:val="0"/>
                <w:bCs w:val="0"/>
                <w:spacing w:val="-30"/>
                <w:highlight w:val="none"/>
              </w:rPr>
              <w:t xml:space="preserve"> </w:t>
            </w:r>
            <w:r>
              <w:rPr>
                <w:b w:val="0"/>
                <w:bCs w:val="0"/>
                <w:spacing w:val="-4"/>
                <w:highlight w:val="none"/>
              </w:rPr>
              <w:t>2</w:t>
            </w:r>
            <w:r>
              <w:rPr>
                <w:b w:val="0"/>
                <w:bCs w:val="0"/>
                <w:spacing w:val="-34"/>
                <w:highlight w:val="none"/>
              </w:rPr>
              <w:t xml:space="preserve"> </w:t>
            </w:r>
            <w:r>
              <w:rPr>
                <w:b w:val="0"/>
                <w:bCs w:val="0"/>
                <w:spacing w:val="-4"/>
                <w:highlight w:val="none"/>
              </w:rPr>
              <w:t>分；扣完不得分。</w:t>
            </w:r>
          </w:p>
        </w:tc>
        <w:tc>
          <w:tcPr>
            <w:tcW w:w="366" w:type="pct"/>
            <w:vAlign w:val="center"/>
          </w:tcPr>
          <w:p w14:paraId="2B30BB04">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20654018">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4FD4A080">
            <w:pPr>
              <w:keepNext w:val="0"/>
              <w:keepLines w:val="0"/>
              <w:suppressLineNumbers w:val="0"/>
              <w:spacing w:before="0" w:beforeAutospacing="0" w:after="0" w:afterAutospacing="0"/>
              <w:ind w:left="0" w:right="0"/>
              <w:rPr>
                <w:rFonts w:hint="default" w:ascii="Arial"/>
                <w:b w:val="0"/>
                <w:bCs w:val="0"/>
                <w:sz w:val="21"/>
                <w:highlight w:val="none"/>
              </w:rPr>
            </w:pPr>
          </w:p>
        </w:tc>
      </w:tr>
      <w:tr w14:paraId="75D88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jc w:val="center"/>
        </w:trPr>
        <w:tc>
          <w:tcPr>
            <w:tcW w:w="197" w:type="pct"/>
            <w:vMerge w:val="continue"/>
            <w:tcBorders>
              <w:top w:val="nil"/>
            </w:tcBorders>
            <w:vAlign w:val="center"/>
          </w:tcPr>
          <w:p w14:paraId="457DDD3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503BD89A">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1E8A0E3B">
            <w:pPr>
              <w:pStyle w:val="23"/>
              <w:keepNext w:val="0"/>
              <w:keepLines w:val="0"/>
              <w:suppressLineNumbers w:val="0"/>
              <w:spacing w:before="58" w:line="221" w:lineRule="auto"/>
              <w:ind w:right="15"/>
              <w:jc w:val="center"/>
              <w:rPr>
                <w:b w:val="0"/>
                <w:bCs w:val="0"/>
                <w:highlight w:val="none"/>
              </w:rPr>
            </w:pPr>
            <w:r>
              <w:rPr>
                <w:b w:val="0"/>
                <w:bCs w:val="0"/>
                <w:spacing w:val="-9"/>
                <w:highlight w:val="none"/>
              </w:rPr>
              <w:t>功能（3</w:t>
            </w:r>
            <w:r>
              <w:rPr>
                <w:b w:val="0"/>
                <w:bCs w:val="0"/>
                <w:spacing w:val="-30"/>
                <w:highlight w:val="none"/>
              </w:rPr>
              <w:t xml:space="preserve"> </w:t>
            </w:r>
            <w:r>
              <w:rPr>
                <w:b w:val="0"/>
                <w:bCs w:val="0"/>
                <w:spacing w:val="-9"/>
                <w:highlight w:val="none"/>
              </w:rPr>
              <w:t>分）</w:t>
            </w:r>
          </w:p>
        </w:tc>
        <w:tc>
          <w:tcPr>
            <w:tcW w:w="1727" w:type="pct"/>
            <w:vAlign w:val="center"/>
          </w:tcPr>
          <w:p w14:paraId="697AAD42">
            <w:pPr>
              <w:pStyle w:val="23"/>
              <w:keepNext w:val="0"/>
              <w:keepLines w:val="0"/>
              <w:suppressLineNumbers w:val="0"/>
              <w:spacing w:before="183" w:line="220" w:lineRule="auto"/>
              <w:ind w:left="111"/>
              <w:rPr>
                <w:b w:val="0"/>
                <w:bCs w:val="0"/>
                <w:highlight w:val="none"/>
              </w:rPr>
            </w:pPr>
            <w:r>
              <w:rPr>
                <w:b w:val="0"/>
                <w:bCs w:val="0"/>
                <w:spacing w:val="-2"/>
                <w:highlight w:val="none"/>
              </w:rPr>
              <w:t>a)独立式感烟探测器的报警功能；</w:t>
            </w:r>
          </w:p>
          <w:p w14:paraId="775AFB8F">
            <w:pPr>
              <w:pStyle w:val="23"/>
              <w:keepNext w:val="0"/>
              <w:keepLines w:val="0"/>
              <w:suppressLineNumbers w:val="0"/>
              <w:spacing w:before="97" w:line="221" w:lineRule="auto"/>
              <w:ind w:left="107"/>
              <w:rPr>
                <w:b w:val="0"/>
                <w:bCs w:val="0"/>
                <w:highlight w:val="none"/>
              </w:rPr>
            </w:pPr>
            <w:r>
              <w:rPr>
                <w:b w:val="0"/>
                <w:bCs w:val="0"/>
                <w:spacing w:val="-1"/>
                <w:highlight w:val="none"/>
              </w:rPr>
              <w:t>b)独立式感烟探测器的声压级。</w:t>
            </w:r>
          </w:p>
        </w:tc>
        <w:tc>
          <w:tcPr>
            <w:tcW w:w="1178" w:type="pct"/>
            <w:vAlign w:val="center"/>
          </w:tcPr>
          <w:p w14:paraId="35F342D7">
            <w:pPr>
              <w:pStyle w:val="23"/>
              <w:keepNext w:val="0"/>
              <w:keepLines w:val="0"/>
              <w:suppressLineNumbers w:val="0"/>
              <w:spacing w:before="182" w:line="307" w:lineRule="auto"/>
              <w:ind w:left="114" w:right="102" w:hanging="1"/>
              <w:rPr>
                <w:b w:val="0"/>
                <w:bCs w:val="0"/>
                <w:highlight w:val="none"/>
              </w:rPr>
            </w:pPr>
            <w:r>
              <w:rPr>
                <w:b w:val="0"/>
                <w:bCs w:val="0"/>
                <w:spacing w:val="2"/>
                <w:highlight w:val="none"/>
              </w:rPr>
              <w:t>a)b)不符合要求每发现一处扣 2</w:t>
            </w:r>
            <w:r>
              <w:rPr>
                <w:b w:val="0"/>
                <w:bCs w:val="0"/>
                <w:highlight w:val="none"/>
              </w:rPr>
              <w:t xml:space="preserve"> </w:t>
            </w:r>
            <w:r>
              <w:rPr>
                <w:b w:val="0"/>
                <w:bCs w:val="0"/>
                <w:spacing w:val="-3"/>
                <w:highlight w:val="none"/>
              </w:rPr>
              <w:t>分，扣完不得分。</w:t>
            </w:r>
          </w:p>
        </w:tc>
        <w:tc>
          <w:tcPr>
            <w:tcW w:w="366" w:type="pct"/>
            <w:vAlign w:val="center"/>
          </w:tcPr>
          <w:p w14:paraId="7E4DE4C5">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689506E0">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1B484F5B">
            <w:pPr>
              <w:keepNext w:val="0"/>
              <w:keepLines w:val="0"/>
              <w:suppressLineNumbers w:val="0"/>
              <w:spacing w:before="0" w:beforeAutospacing="0" w:after="0" w:afterAutospacing="0"/>
              <w:ind w:left="0" w:right="0"/>
              <w:rPr>
                <w:rFonts w:hint="default" w:ascii="Arial"/>
                <w:b w:val="0"/>
                <w:bCs w:val="0"/>
                <w:sz w:val="21"/>
                <w:highlight w:val="none"/>
              </w:rPr>
            </w:pPr>
          </w:p>
        </w:tc>
      </w:tr>
      <w:tr w14:paraId="505011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97" w:type="pct"/>
            <w:vMerge w:val="restart"/>
            <w:tcBorders>
              <w:bottom w:val="nil"/>
            </w:tcBorders>
            <w:vAlign w:val="center"/>
          </w:tcPr>
          <w:p w14:paraId="094C5BCD">
            <w:pPr>
              <w:pStyle w:val="23"/>
              <w:keepNext w:val="0"/>
              <w:keepLines w:val="0"/>
              <w:suppressLineNumbers w:val="0"/>
              <w:spacing w:before="59" w:line="182" w:lineRule="auto"/>
              <w:ind w:left="236"/>
              <w:rPr>
                <w:rFonts w:hint="eastAsia" w:eastAsia="宋体"/>
                <w:b w:val="0"/>
                <w:bCs w:val="0"/>
                <w:highlight w:val="none"/>
                <w:lang w:eastAsia="zh-CN"/>
              </w:rPr>
            </w:pPr>
            <w:r>
              <w:rPr>
                <w:rFonts w:hint="eastAsia"/>
                <w:b w:val="0"/>
                <w:bCs w:val="0"/>
                <w:spacing w:val="-12"/>
                <w:highlight w:val="none"/>
                <w:lang w:val="en-US" w:eastAsia="zh-CN"/>
              </w:rPr>
              <w:t>5</w:t>
            </w:r>
          </w:p>
        </w:tc>
        <w:tc>
          <w:tcPr>
            <w:tcW w:w="493" w:type="pct"/>
            <w:vMerge w:val="restart"/>
            <w:tcBorders>
              <w:bottom w:val="nil"/>
            </w:tcBorders>
            <w:vAlign w:val="center"/>
          </w:tcPr>
          <w:p w14:paraId="2A9F9BEB">
            <w:pPr>
              <w:pStyle w:val="23"/>
              <w:keepNext w:val="0"/>
              <w:keepLines w:val="0"/>
              <w:suppressLineNumbers w:val="0"/>
              <w:spacing w:before="59" w:line="222" w:lineRule="auto"/>
              <w:ind w:left="171"/>
              <w:rPr>
                <w:b w:val="0"/>
                <w:bCs w:val="0"/>
                <w:color w:val="auto"/>
                <w:highlight w:val="none"/>
              </w:rPr>
            </w:pPr>
            <w:r>
              <w:rPr>
                <w:b w:val="0"/>
                <w:bCs w:val="0"/>
                <w:color w:val="auto"/>
                <w:spacing w:val="-3"/>
                <w:highlight w:val="none"/>
              </w:rPr>
              <w:t>可燃气体</w:t>
            </w:r>
            <w:r>
              <w:rPr>
                <w:b w:val="0"/>
                <w:bCs w:val="0"/>
                <w:color w:val="auto"/>
                <w:spacing w:val="-2"/>
                <w:highlight w:val="none"/>
              </w:rPr>
              <w:t>探测报警</w:t>
            </w:r>
            <w:r>
              <w:rPr>
                <w:b w:val="0"/>
                <w:bCs w:val="0"/>
                <w:color w:val="auto"/>
                <w:spacing w:val="-3"/>
                <w:highlight w:val="none"/>
              </w:rPr>
              <w:t>系统</w:t>
            </w:r>
          </w:p>
          <w:p w14:paraId="027DB549">
            <w:pPr>
              <w:pStyle w:val="23"/>
              <w:keepNext w:val="0"/>
              <w:keepLines w:val="0"/>
              <w:suppressLineNumbers w:val="0"/>
              <w:spacing w:before="95" w:line="221" w:lineRule="auto"/>
              <w:ind w:left="150"/>
              <w:rPr>
                <w:b w:val="0"/>
                <w:bCs w:val="0"/>
                <w:highlight w:val="none"/>
              </w:rPr>
            </w:pPr>
            <w:r>
              <w:rPr>
                <w:b w:val="0"/>
                <w:bCs w:val="0"/>
                <w:color w:val="auto"/>
                <w:spacing w:val="-5"/>
                <w:highlight w:val="none"/>
              </w:rPr>
              <w:t>（10</w:t>
            </w:r>
            <w:r>
              <w:rPr>
                <w:b w:val="0"/>
                <w:bCs w:val="0"/>
                <w:color w:val="auto"/>
                <w:spacing w:val="-35"/>
                <w:highlight w:val="none"/>
              </w:rPr>
              <w:t xml:space="preserve"> </w:t>
            </w:r>
            <w:r>
              <w:rPr>
                <w:b w:val="0"/>
                <w:bCs w:val="0"/>
                <w:color w:val="auto"/>
                <w:spacing w:val="-5"/>
                <w:highlight w:val="none"/>
              </w:rPr>
              <w:t>分）</w:t>
            </w:r>
          </w:p>
        </w:tc>
        <w:tc>
          <w:tcPr>
            <w:tcW w:w="366" w:type="pct"/>
            <w:vAlign w:val="center"/>
          </w:tcPr>
          <w:p w14:paraId="2D6C9E9D">
            <w:pPr>
              <w:pStyle w:val="23"/>
              <w:keepNext w:val="0"/>
              <w:keepLines w:val="0"/>
              <w:suppressLineNumbers w:val="0"/>
              <w:spacing w:before="58" w:line="222" w:lineRule="auto"/>
              <w:ind w:left="0"/>
              <w:rPr>
                <w:b w:val="0"/>
                <w:bCs w:val="0"/>
                <w:highlight w:val="none"/>
              </w:rPr>
            </w:pPr>
            <w:r>
              <w:rPr>
                <w:b w:val="0"/>
                <w:bCs w:val="0"/>
                <w:spacing w:val="-3"/>
                <w:highlight w:val="none"/>
              </w:rPr>
              <w:t>系统设置</w:t>
            </w:r>
          </w:p>
        </w:tc>
        <w:tc>
          <w:tcPr>
            <w:tcW w:w="1727" w:type="pct"/>
            <w:vAlign w:val="center"/>
          </w:tcPr>
          <w:p w14:paraId="3894C955">
            <w:pPr>
              <w:pStyle w:val="23"/>
              <w:keepNext w:val="0"/>
              <w:keepLines w:val="0"/>
              <w:suppressLineNumbers w:val="0"/>
              <w:spacing w:before="59" w:line="220" w:lineRule="auto"/>
              <w:ind w:left="113"/>
              <w:rPr>
                <w:b w:val="0"/>
                <w:bCs w:val="0"/>
                <w:highlight w:val="none"/>
              </w:rPr>
            </w:pPr>
            <w:r>
              <w:rPr>
                <w:b w:val="0"/>
                <w:bCs w:val="0"/>
                <w:spacing w:val="-1"/>
                <w:highlight w:val="none"/>
              </w:rPr>
              <w:t>是否按规定设置可燃气体探测报警系统。</w:t>
            </w:r>
          </w:p>
        </w:tc>
        <w:tc>
          <w:tcPr>
            <w:tcW w:w="1178" w:type="pct"/>
            <w:vAlign w:val="center"/>
          </w:tcPr>
          <w:p w14:paraId="2F11CF3B">
            <w:pPr>
              <w:pStyle w:val="23"/>
              <w:keepNext w:val="0"/>
              <w:keepLines w:val="0"/>
              <w:suppressLineNumbers w:val="0"/>
              <w:spacing w:before="67" w:line="295" w:lineRule="auto"/>
              <w:ind w:left="112" w:right="103" w:firstLine="2"/>
              <w:jc w:val="both"/>
              <w:rPr>
                <w:b w:val="0"/>
                <w:bCs w:val="0"/>
                <w:highlight w:val="none"/>
              </w:rPr>
            </w:pPr>
            <w:r>
              <w:rPr>
                <w:b w:val="0"/>
                <w:bCs w:val="0"/>
                <w:spacing w:val="2"/>
                <w:highlight w:val="none"/>
              </w:rPr>
              <w:t>按照规范应设但未设置可燃气体</w:t>
            </w:r>
            <w:r>
              <w:rPr>
                <w:b w:val="0"/>
                <w:bCs w:val="0"/>
                <w:spacing w:val="9"/>
                <w:highlight w:val="none"/>
              </w:rPr>
              <w:t>探测报警系统,该评估子项不得</w:t>
            </w:r>
            <w:r>
              <w:rPr>
                <w:b w:val="0"/>
                <w:bCs w:val="0"/>
                <w:spacing w:val="-8"/>
                <w:highlight w:val="none"/>
              </w:rPr>
              <w:t>分。</w:t>
            </w:r>
          </w:p>
        </w:tc>
        <w:tc>
          <w:tcPr>
            <w:tcW w:w="366" w:type="pct"/>
            <w:vAlign w:val="center"/>
          </w:tcPr>
          <w:p w14:paraId="316100B9">
            <w:pPr>
              <w:pStyle w:val="23"/>
              <w:keepNext w:val="0"/>
              <w:keepLines w:val="0"/>
              <w:suppressLineNumbers w:val="0"/>
              <w:spacing w:before="68" w:line="282" w:lineRule="auto"/>
              <w:ind w:left="113" w:leftChars="0" w:right="101" w:rightChars="0" w:firstLine="1" w:firstLineChars="0"/>
              <w:jc w:val="center"/>
              <w:rPr>
                <w:rFonts w:hint="default" w:ascii="Arial" w:eastAsia="宋体"/>
                <w:b w:val="0"/>
                <w:bCs w:val="0"/>
                <w:sz w:val="21"/>
                <w:highlight w:val="none"/>
                <w:lang w:val="en-US" w:eastAsia="zh-CN"/>
              </w:rPr>
            </w:pPr>
          </w:p>
        </w:tc>
        <w:tc>
          <w:tcPr>
            <w:tcW w:w="339" w:type="pct"/>
            <w:vAlign w:val="center"/>
          </w:tcPr>
          <w:p w14:paraId="13D4B9CB">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69377282">
            <w:pPr>
              <w:keepNext w:val="0"/>
              <w:keepLines w:val="0"/>
              <w:suppressLineNumbers w:val="0"/>
              <w:spacing w:before="0" w:beforeAutospacing="0" w:after="0" w:afterAutospacing="0"/>
              <w:ind w:left="0" w:right="0"/>
              <w:rPr>
                <w:rFonts w:hint="default" w:ascii="Arial"/>
                <w:b w:val="0"/>
                <w:bCs w:val="0"/>
                <w:sz w:val="21"/>
                <w:highlight w:val="none"/>
              </w:rPr>
            </w:pPr>
          </w:p>
        </w:tc>
      </w:tr>
      <w:tr w14:paraId="09094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4" w:hRule="atLeast"/>
          <w:jc w:val="center"/>
        </w:trPr>
        <w:tc>
          <w:tcPr>
            <w:tcW w:w="197" w:type="pct"/>
            <w:vMerge w:val="continue"/>
            <w:tcBorders>
              <w:top w:val="nil"/>
            </w:tcBorders>
            <w:vAlign w:val="center"/>
          </w:tcPr>
          <w:p w14:paraId="0066C467">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20A32D64">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197BC67A">
            <w:pPr>
              <w:pStyle w:val="23"/>
              <w:keepNext w:val="0"/>
              <w:keepLines w:val="0"/>
              <w:suppressLineNumbers w:val="0"/>
              <w:spacing w:before="59" w:line="307" w:lineRule="auto"/>
              <w:ind w:left="0" w:right="102" w:firstLine="0"/>
              <w:rPr>
                <w:b w:val="0"/>
                <w:bCs w:val="0"/>
                <w:highlight w:val="none"/>
              </w:rPr>
            </w:pPr>
            <w:r>
              <w:rPr>
                <w:b w:val="0"/>
                <w:bCs w:val="0"/>
                <w:spacing w:val="-11"/>
                <w:highlight w:val="none"/>
              </w:rPr>
              <w:t>系统功能</w:t>
            </w:r>
            <w:r>
              <w:rPr>
                <w:b w:val="0"/>
                <w:bCs w:val="0"/>
                <w:spacing w:val="-5"/>
                <w:highlight w:val="none"/>
              </w:rPr>
              <w:t>（10</w:t>
            </w:r>
            <w:r>
              <w:rPr>
                <w:b w:val="0"/>
                <w:bCs w:val="0"/>
                <w:spacing w:val="-35"/>
                <w:highlight w:val="none"/>
              </w:rPr>
              <w:t xml:space="preserve"> </w:t>
            </w:r>
            <w:r>
              <w:rPr>
                <w:b w:val="0"/>
                <w:bCs w:val="0"/>
                <w:spacing w:val="-5"/>
                <w:highlight w:val="none"/>
              </w:rPr>
              <w:t>分）</w:t>
            </w:r>
          </w:p>
        </w:tc>
        <w:tc>
          <w:tcPr>
            <w:tcW w:w="1727" w:type="pct"/>
            <w:vAlign w:val="center"/>
          </w:tcPr>
          <w:p w14:paraId="74F1D9DD">
            <w:pPr>
              <w:pStyle w:val="23"/>
              <w:keepNext w:val="0"/>
              <w:keepLines w:val="0"/>
              <w:suppressLineNumbers w:val="0"/>
              <w:spacing w:before="68" w:line="220" w:lineRule="auto"/>
              <w:ind w:left="112"/>
              <w:rPr>
                <w:b w:val="0"/>
                <w:bCs w:val="0"/>
                <w:spacing w:val="-1"/>
                <w:highlight w:val="none"/>
              </w:rPr>
            </w:pPr>
            <w:r>
              <w:rPr>
                <w:b w:val="0"/>
                <w:bCs w:val="0"/>
                <w:spacing w:val="-1"/>
                <w:highlight w:val="none"/>
              </w:rPr>
              <w:t>a)可燃气体报警控制器的自检、消音、复位、屏蔽等功能；</w:t>
            </w:r>
          </w:p>
          <w:p w14:paraId="063DE664">
            <w:pPr>
              <w:pStyle w:val="23"/>
              <w:keepNext w:val="0"/>
              <w:keepLines w:val="0"/>
              <w:suppressLineNumbers w:val="0"/>
              <w:spacing w:before="68" w:line="220" w:lineRule="auto"/>
              <w:ind w:left="112"/>
              <w:rPr>
                <w:b w:val="0"/>
                <w:bCs w:val="0"/>
                <w:spacing w:val="-1"/>
                <w:highlight w:val="none"/>
              </w:rPr>
            </w:pPr>
            <w:r>
              <w:rPr>
                <w:b w:val="0"/>
                <w:bCs w:val="0"/>
                <w:spacing w:val="-1"/>
                <w:highlight w:val="none"/>
              </w:rPr>
              <w:t>b)可燃气体报警控制器主、备电源的自动转换功能；</w:t>
            </w:r>
          </w:p>
          <w:p w14:paraId="4056CCA9">
            <w:pPr>
              <w:pStyle w:val="23"/>
              <w:keepNext w:val="0"/>
              <w:keepLines w:val="0"/>
              <w:suppressLineNumbers w:val="0"/>
              <w:spacing w:before="68" w:line="220" w:lineRule="auto"/>
              <w:ind w:left="112"/>
              <w:rPr>
                <w:b w:val="0"/>
                <w:bCs w:val="0"/>
                <w:spacing w:val="-1"/>
                <w:highlight w:val="none"/>
              </w:rPr>
            </w:pPr>
            <w:r>
              <w:rPr>
                <w:b w:val="0"/>
                <w:bCs w:val="0"/>
                <w:spacing w:val="-1"/>
                <w:highlight w:val="none"/>
              </w:rPr>
              <w:t xml:space="preserve">c)可燃气体探测器的型号、安装、设置位置及功能； </w:t>
            </w:r>
          </w:p>
          <w:p w14:paraId="0D7AF6E0">
            <w:pPr>
              <w:pStyle w:val="23"/>
              <w:keepNext w:val="0"/>
              <w:keepLines w:val="0"/>
              <w:suppressLineNumbers w:val="0"/>
              <w:spacing w:before="68" w:line="220" w:lineRule="auto"/>
              <w:ind w:left="112"/>
              <w:rPr>
                <w:b w:val="0"/>
                <w:bCs w:val="0"/>
                <w:highlight w:val="none"/>
              </w:rPr>
            </w:pPr>
            <w:r>
              <w:rPr>
                <w:b w:val="0"/>
                <w:bCs w:val="0"/>
                <w:spacing w:val="-1"/>
                <w:highlight w:val="none"/>
              </w:rPr>
              <w:t>d)可燃气体探测报警系统的联动控制功能。</w:t>
            </w:r>
          </w:p>
        </w:tc>
        <w:tc>
          <w:tcPr>
            <w:tcW w:w="1178" w:type="pct"/>
            <w:vAlign w:val="center"/>
          </w:tcPr>
          <w:p w14:paraId="6AF806A8">
            <w:pPr>
              <w:pStyle w:val="23"/>
              <w:keepNext w:val="0"/>
              <w:keepLines w:val="0"/>
              <w:suppressLineNumbers w:val="0"/>
              <w:spacing w:before="224" w:line="311" w:lineRule="auto"/>
              <w:ind w:left="114" w:right="102" w:hanging="1"/>
              <w:jc w:val="both"/>
              <w:rPr>
                <w:b w:val="0"/>
                <w:bCs w:val="0"/>
                <w:highlight w:val="none"/>
              </w:rPr>
            </w:pPr>
            <w:r>
              <w:rPr>
                <w:b w:val="0"/>
                <w:bCs w:val="0"/>
                <w:spacing w:val="-4"/>
                <w:highlight w:val="none"/>
              </w:rPr>
              <w:t>a)b)不符合要求各扣 2 分，c)d)</w:t>
            </w:r>
            <w:r>
              <w:rPr>
                <w:b w:val="0"/>
                <w:bCs w:val="0"/>
                <w:spacing w:val="15"/>
                <w:highlight w:val="none"/>
              </w:rPr>
              <w:t xml:space="preserve"> </w:t>
            </w:r>
            <w:r>
              <w:rPr>
                <w:b w:val="0"/>
                <w:bCs w:val="0"/>
                <w:spacing w:val="-4"/>
                <w:highlight w:val="none"/>
              </w:rPr>
              <w:t>不符合要求各扣 3 分；扣完不得</w:t>
            </w:r>
            <w:r>
              <w:rPr>
                <w:b w:val="0"/>
                <w:bCs w:val="0"/>
                <w:spacing w:val="-9"/>
                <w:highlight w:val="none"/>
              </w:rPr>
              <w:t>分。</w:t>
            </w:r>
          </w:p>
        </w:tc>
        <w:tc>
          <w:tcPr>
            <w:tcW w:w="366" w:type="pct"/>
            <w:vAlign w:val="center"/>
          </w:tcPr>
          <w:p w14:paraId="4FD08DDC">
            <w:pPr>
              <w:pStyle w:val="23"/>
              <w:keepNext w:val="0"/>
              <w:keepLines w:val="0"/>
              <w:suppressLineNumbers w:val="0"/>
              <w:spacing w:before="68" w:line="282" w:lineRule="auto"/>
              <w:ind w:left="113" w:leftChars="0" w:right="101" w:rightChars="0" w:firstLine="1" w:firstLineChars="0"/>
              <w:jc w:val="center"/>
              <w:rPr>
                <w:rFonts w:hint="default" w:ascii="Arial" w:eastAsia="宋体"/>
                <w:b w:val="0"/>
                <w:bCs w:val="0"/>
                <w:sz w:val="21"/>
                <w:highlight w:val="none"/>
                <w:lang w:val="en-US" w:eastAsia="zh-CN"/>
              </w:rPr>
            </w:pPr>
          </w:p>
        </w:tc>
        <w:tc>
          <w:tcPr>
            <w:tcW w:w="339" w:type="pct"/>
            <w:vAlign w:val="center"/>
          </w:tcPr>
          <w:p w14:paraId="19F7855C">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7112DFA0">
            <w:pPr>
              <w:keepNext w:val="0"/>
              <w:keepLines w:val="0"/>
              <w:suppressLineNumbers w:val="0"/>
              <w:spacing w:before="0" w:beforeAutospacing="0" w:after="0" w:afterAutospacing="0"/>
              <w:ind w:left="0" w:right="0"/>
              <w:rPr>
                <w:rFonts w:hint="default" w:ascii="Arial"/>
                <w:b w:val="0"/>
                <w:bCs w:val="0"/>
                <w:sz w:val="21"/>
                <w:highlight w:val="none"/>
              </w:rPr>
            </w:pPr>
          </w:p>
        </w:tc>
      </w:tr>
    </w:tbl>
    <w:p w14:paraId="19F7DF4E">
      <w:pPr>
        <w:rPr>
          <w:highlight w:val="none"/>
        </w:rPr>
      </w:pPr>
      <w:r>
        <w:rPr>
          <w:highlight w:val="none"/>
        </w:rPr>
        <w:br w:type="page"/>
      </w:r>
    </w:p>
    <w:tbl>
      <w:tblPr>
        <w:tblStyle w:val="24"/>
        <w:tblW w:w="497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9"/>
        <w:gridCol w:w="1475"/>
        <w:gridCol w:w="1095"/>
        <w:gridCol w:w="5170"/>
        <w:gridCol w:w="3528"/>
        <w:gridCol w:w="1095"/>
        <w:gridCol w:w="1014"/>
        <w:gridCol w:w="985"/>
      </w:tblGrid>
      <w:tr w14:paraId="1FDE1C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197" w:type="pct"/>
            <w:vAlign w:val="center"/>
          </w:tcPr>
          <w:p w14:paraId="69A1628E">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4A36FD76">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53B93814">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8" w:type="pct"/>
            <w:vAlign w:val="center"/>
          </w:tcPr>
          <w:p w14:paraId="66E7A69B">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70C9801E">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5F2CD431">
            <w:pPr>
              <w:pStyle w:val="23"/>
              <w:keepNext w:val="0"/>
              <w:keepLines w:val="0"/>
              <w:suppressLineNumbers w:val="0"/>
              <w:spacing w:before="70" w:line="219" w:lineRule="auto"/>
              <w:ind w:left="170"/>
              <w:rPr>
                <w:highlight w:val="none"/>
              </w:rPr>
            </w:pPr>
            <w:r>
              <w:rPr>
                <w:b/>
                <w:bCs/>
                <w:spacing w:val="-3"/>
                <w:highlight w:val="none"/>
              </w:rPr>
              <w:t>评估情况</w:t>
            </w:r>
          </w:p>
        </w:tc>
        <w:tc>
          <w:tcPr>
            <w:tcW w:w="339" w:type="pct"/>
            <w:vAlign w:val="center"/>
          </w:tcPr>
          <w:p w14:paraId="2347F246">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6EC35619">
            <w:pPr>
              <w:pStyle w:val="23"/>
              <w:keepNext w:val="0"/>
              <w:keepLines w:val="0"/>
              <w:suppressLineNumbers w:val="0"/>
              <w:spacing w:before="71" w:line="220" w:lineRule="auto"/>
              <w:ind w:left="295"/>
              <w:rPr>
                <w:highlight w:val="none"/>
              </w:rPr>
            </w:pPr>
            <w:r>
              <w:rPr>
                <w:b/>
                <w:bCs/>
                <w:spacing w:val="-4"/>
                <w:highlight w:val="none"/>
              </w:rPr>
              <w:t>得分</w:t>
            </w:r>
          </w:p>
        </w:tc>
      </w:tr>
      <w:tr w14:paraId="2DF717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0" w:hRule="atLeast"/>
          <w:jc w:val="center"/>
        </w:trPr>
        <w:tc>
          <w:tcPr>
            <w:tcW w:w="197" w:type="pct"/>
            <w:vMerge w:val="restart"/>
            <w:tcBorders>
              <w:bottom w:val="nil"/>
            </w:tcBorders>
            <w:vAlign w:val="center"/>
          </w:tcPr>
          <w:p w14:paraId="5ABB0459">
            <w:pPr>
              <w:pStyle w:val="23"/>
              <w:keepNext w:val="0"/>
              <w:keepLines w:val="0"/>
              <w:suppressLineNumbers w:val="0"/>
              <w:spacing w:before="58" w:line="181" w:lineRule="auto"/>
              <w:ind w:left="224"/>
              <w:rPr>
                <w:rFonts w:hint="eastAsia" w:eastAsia="宋体"/>
                <w:b w:val="0"/>
                <w:bCs w:val="0"/>
                <w:highlight w:val="none"/>
                <w:lang w:eastAsia="zh-CN"/>
              </w:rPr>
            </w:pPr>
            <w:r>
              <w:rPr>
                <w:rFonts w:hint="eastAsia"/>
                <w:b w:val="0"/>
                <w:bCs w:val="0"/>
                <w:spacing w:val="-6"/>
                <w:highlight w:val="none"/>
                <w:lang w:val="en-US" w:eastAsia="zh-CN"/>
              </w:rPr>
              <w:t>6</w:t>
            </w:r>
          </w:p>
        </w:tc>
        <w:tc>
          <w:tcPr>
            <w:tcW w:w="493" w:type="pct"/>
            <w:vMerge w:val="restart"/>
            <w:tcBorders>
              <w:bottom w:val="nil"/>
            </w:tcBorders>
            <w:vAlign w:val="center"/>
          </w:tcPr>
          <w:p w14:paraId="74884CD9">
            <w:pPr>
              <w:pStyle w:val="23"/>
              <w:keepNext w:val="0"/>
              <w:keepLines w:val="0"/>
              <w:suppressLineNumbers w:val="0"/>
              <w:spacing w:before="59" w:line="311" w:lineRule="auto"/>
              <w:ind w:left="150" w:right="156" w:firstLine="40"/>
              <w:jc w:val="both"/>
              <w:rPr>
                <w:b w:val="0"/>
                <w:bCs w:val="0"/>
                <w:highlight w:val="none"/>
              </w:rPr>
            </w:pPr>
            <w:r>
              <w:rPr>
                <w:b w:val="0"/>
                <w:bCs w:val="0"/>
                <w:color w:val="auto"/>
                <w:spacing w:val="-8"/>
                <w:highlight w:val="none"/>
              </w:rPr>
              <w:t>电气火灾</w:t>
            </w:r>
            <w:r>
              <w:rPr>
                <w:b w:val="0"/>
                <w:bCs w:val="0"/>
                <w:color w:val="auto"/>
                <w:spacing w:val="3"/>
                <w:highlight w:val="none"/>
              </w:rPr>
              <w:t>监控系统</w:t>
            </w:r>
            <w:r>
              <w:rPr>
                <w:b w:val="0"/>
                <w:bCs w:val="0"/>
                <w:color w:val="auto"/>
                <w:spacing w:val="-8"/>
                <w:highlight w:val="none"/>
              </w:rPr>
              <w:t>（10</w:t>
            </w:r>
            <w:r>
              <w:rPr>
                <w:b w:val="0"/>
                <w:bCs w:val="0"/>
                <w:color w:val="auto"/>
                <w:spacing w:val="-31"/>
                <w:highlight w:val="none"/>
              </w:rPr>
              <w:t xml:space="preserve"> </w:t>
            </w:r>
            <w:r>
              <w:rPr>
                <w:b w:val="0"/>
                <w:bCs w:val="0"/>
                <w:color w:val="auto"/>
                <w:spacing w:val="-8"/>
                <w:highlight w:val="none"/>
              </w:rPr>
              <w:t>分）</w:t>
            </w:r>
          </w:p>
        </w:tc>
        <w:tc>
          <w:tcPr>
            <w:tcW w:w="366" w:type="pct"/>
            <w:vAlign w:val="center"/>
          </w:tcPr>
          <w:p w14:paraId="693B75F3">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28" w:type="pct"/>
            <w:vAlign w:val="center"/>
          </w:tcPr>
          <w:p w14:paraId="32B8EC27">
            <w:pPr>
              <w:pStyle w:val="23"/>
              <w:keepNext w:val="0"/>
              <w:keepLines w:val="0"/>
              <w:suppressLineNumbers w:val="0"/>
              <w:spacing w:before="58" w:line="220" w:lineRule="auto"/>
              <w:ind w:left="113"/>
              <w:rPr>
                <w:b w:val="0"/>
                <w:bCs w:val="0"/>
                <w:highlight w:val="none"/>
              </w:rPr>
            </w:pPr>
            <w:r>
              <w:rPr>
                <w:b w:val="0"/>
                <w:bCs w:val="0"/>
                <w:spacing w:val="-1"/>
                <w:highlight w:val="none"/>
              </w:rPr>
              <w:t>是否按规定设置电气火灾监控系统。</w:t>
            </w:r>
          </w:p>
        </w:tc>
        <w:tc>
          <w:tcPr>
            <w:tcW w:w="1179" w:type="pct"/>
            <w:vAlign w:val="center"/>
          </w:tcPr>
          <w:p w14:paraId="595D8753">
            <w:pPr>
              <w:pStyle w:val="23"/>
              <w:keepNext w:val="0"/>
              <w:keepLines w:val="0"/>
              <w:suppressLineNumbers w:val="0"/>
              <w:spacing w:before="182" w:line="306" w:lineRule="auto"/>
              <w:ind w:left="113" w:right="103"/>
              <w:rPr>
                <w:b w:val="0"/>
                <w:bCs w:val="0"/>
                <w:highlight w:val="none"/>
              </w:rPr>
            </w:pPr>
            <w:r>
              <w:rPr>
                <w:b w:val="0"/>
                <w:bCs w:val="0"/>
                <w:spacing w:val="2"/>
                <w:highlight w:val="none"/>
              </w:rPr>
              <w:t>按照规范应设但未设置电气火灾</w:t>
            </w:r>
            <w:r>
              <w:rPr>
                <w:b w:val="0"/>
                <w:bCs w:val="0"/>
                <w:spacing w:val="-2"/>
                <w:highlight w:val="none"/>
              </w:rPr>
              <w:t>监控系统，该评估子项不得分。</w:t>
            </w:r>
          </w:p>
        </w:tc>
        <w:tc>
          <w:tcPr>
            <w:tcW w:w="366" w:type="pct"/>
            <w:vAlign w:val="center"/>
          </w:tcPr>
          <w:p w14:paraId="02F13FD7">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0E5E7C88">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57599E17">
            <w:pPr>
              <w:keepNext w:val="0"/>
              <w:keepLines w:val="0"/>
              <w:suppressLineNumbers w:val="0"/>
              <w:spacing w:before="0" w:beforeAutospacing="0" w:after="0" w:afterAutospacing="0"/>
              <w:ind w:left="0" w:right="0"/>
              <w:rPr>
                <w:rFonts w:hint="default" w:ascii="Arial"/>
                <w:b w:val="0"/>
                <w:bCs w:val="0"/>
                <w:sz w:val="21"/>
                <w:highlight w:val="none"/>
              </w:rPr>
            </w:pPr>
          </w:p>
        </w:tc>
      </w:tr>
      <w:tr w14:paraId="3B86F1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4" w:hRule="atLeast"/>
          <w:jc w:val="center"/>
        </w:trPr>
        <w:tc>
          <w:tcPr>
            <w:tcW w:w="197" w:type="pct"/>
            <w:vMerge w:val="continue"/>
            <w:tcBorders>
              <w:top w:val="nil"/>
            </w:tcBorders>
            <w:vAlign w:val="center"/>
          </w:tcPr>
          <w:p w14:paraId="1103F16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7EE334AB">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531FF92C">
            <w:pPr>
              <w:pStyle w:val="23"/>
              <w:keepNext w:val="0"/>
              <w:keepLines w:val="0"/>
              <w:suppressLineNumbers w:val="0"/>
              <w:spacing w:before="224" w:line="307" w:lineRule="auto"/>
              <w:ind w:left="0" w:right="102" w:firstLine="0"/>
              <w:rPr>
                <w:b w:val="0"/>
                <w:bCs w:val="0"/>
                <w:highlight w:val="none"/>
              </w:rPr>
            </w:pPr>
            <w:r>
              <w:rPr>
                <w:b w:val="0"/>
                <w:bCs w:val="0"/>
                <w:spacing w:val="-11"/>
                <w:highlight w:val="none"/>
              </w:rPr>
              <w:t>系统功能</w:t>
            </w:r>
            <w:r>
              <w:rPr>
                <w:b w:val="0"/>
                <w:bCs w:val="0"/>
                <w:spacing w:val="-5"/>
                <w:highlight w:val="none"/>
              </w:rPr>
              <w:t>（10</w:t>
            </w:r>
            <w:r>
              <w:rPr>
                <w:b w:val="0"/>
                <w:bCs w:val="0"/>
                <w:spacing w:val="-35"/>
                <w:highlight w:val="none"/>
              </w:rPr>
              <w:t xml:space="preserve"> </w:t>
            </w:r>
            <w:r>
              <w:rPr>
                <w:b w:val="0"/>
                <w:bCs w:val="0"/>
                <w:spacing w:val="-5"/>
                <w:highlight w:val="none"/>
              </w:rPr>
              <w:t>分）</w:t>
            </w:r>
          </w:p>
        </w:tc>
        <w:tc>
          <w:tcPr>
            <w:tcW w:w="1728" w:type="pct"/>
            <w:vAlign w:val="center"/>
          </w:tcPr>
          <w:p w14:paraId="5136AADA">
            <w:pPr>
              <w:pStyle w:val="23"/>
              <w:keepNext w:val="0"/>
              <w:keepLines w:val="0"/>
              <w:numPr>
                <w:ilvl w:val="0"/>
                <w:numId w:val="0"/>
              </w:numPr>
              <w:suppressLineNumbers w:val="0"/>
              <w:spacing w:before="67" w:line="295" w:lineRule="auto"/>
              <w:ind w:left="107" w:right="201" w:firstLine="3"/>
              <w:jc w:val="both"/>
              <w:rPr>
                <w:b w:val="0"/>
                <w:bCs w:val="0"/>
                <w:spacing w:val="1"/>
                <w:highlight w:val="none"/>
              </w:rPr>
            </w:pPr>
            <w:r>
              <w:rPr>
                <w:rFonts w:hint="eastAsia" w:ascii="宋体" w:hAnsi="宋体" w:eastAsia="宋体" w:cs="宋体"/>
                <w:b w:val="0"/>
                <w:bCs w:val="0"/>
                <w:snapToGrid/>
                <w:color w:val="000000"/>
                <w:spacing w:val="1"/>
                <w:kern w:val="0"/>
                <w:sz w:val="18"/>
                <w:szCs w:val="18"/>
                <w:highlight w:val="none"/>
                <w:lang w:val="en-US" w:eastAsia="zh-CN" w:bidi="ar"/>
              </w:rPr>
              <w:t>a)</w:t>
            </w:r>
            <w:r>
              <w:rPr>
                <w:b w:val="0"/>
                <w:bCs w:val="0"/>
                <w:spacing w:val="-1"/>
                <w:highlight w:val="none"/>
              </w:rPr>
              <w:t>电气火灾监控器主、备电源的自动转换功能（如具有备用电源</w:t>
            </w:r>
            <w:r>
              <w:rPr>
                <w:b w:val="0"/>
                <w:bCs w:val="0"/>
                <w:spacing w:val="-13"/>
                <w:highlight w:val="none"/>
              </w:rPr>
              <w:t>）；</w:t>
            </w:r>
          </w:p>
          <w:p w14:paraId="552B2ACE">
            <w:pPr>
              <w:pStyle w:val="23"/>
              <w:keepNext w:val="0"/>
              <w:keepLines w:val="0"/>
              <w:numPr>
                <w:ilvl w:val="0"/>
                <w:numId w:val="0"/>
              </w:numPr>
              <w:suppressLineNumbers w:val="0"/>
              <w:spacing w:before="67" w:line="295" w:lineRule="auto"/>
              <w:ind w:left="107" w:right="201" w:firstLine="3"/>
              <w:jc w:val="both"/>
              <w:rPr>
                <w:b w:val="0"/>
                <w:bCs w:val="0"/>
                <w:highlight w:val="none"/>
              </w:rPr>
            </w:pPr>
            <w:r>
              <w:rPr>
                <w:rFonts w:hint="eastAsia" w:ascii="宋体" w:hAnsi="宋体" w:eastAsia="宋体" w:cs="宋体"/>
                <w:b w:val="0"/>
                <w:bCs w:val="0"/>
                <w:snapToGrid/>
                <w:color w:val="000000"/>
                <w:kern w:val="0"/>
                <w:sz w:val="18"/>
                <w:szCs w:val="18"/>
                <w:highlight w:val="none"/>
                <w:lang w:val="en-US" w:eastAsia="zh-CN" w:bidi="ar"/>
              </w:rPr>
              <w:t>b)</w:t>
            </w:r>
            <w:r>
              <w:rPr>
                <w:b w:val="0"/>
                <w:bCs w:val="0"/>
                <w:spacing w:val="-3"/>
                <w:highlight w:val="none"/>
              </w:rPr>
              <w:t>电气火灾监控器的安装及显示、报警、</w:t>
            </w:r>
            <w:r>
              <w:rPr>
                <w:b w:val="0"/>
                <w:bCs w:val="0"/>
                <w:spacing w:val="-48"/>
                <w:highlight w:val="none"/>
              </w:rPr>
              <w:t xml:space="preserve"> </w:t>
            </w:r>
            <w:r>
              <w:rPr>
                <w:b w:val="0"/>
                <w:bCs w:val="0"/>
                <w:spacing w:val="-3"/>
                <w:highlight w:val="none"/>
              </w:rPr>
              <w:t>自检、消音、复位等功能；</w:t>
            </w:r>
          </w:p>
          <w:p w14:paraId="335099F4">
            <w:pPr>
              <w:pStyle w:val="23"/>
              <w:keepNext w:val="0"/>
              <w:keepLines w:val="0"/>
              <w:numPr>
                <w:ilvl w:val="0"/>
                <w:numId w:val="0"/>
              </w:numPr>
              <w:suppressLineNumbers w:val="0"/>
              <w:spacing w:before="67" w:line="295" w:lineRule="auto"/>
              <w:ind w:left="107" w:right="201" w:firstLine="3"/>
              <w:jc w:val="both"/>
              <w:rPr>
                <w:b w:val="0"/>
                <w:bCs w:val="0"/>
                <w:highlight w:val="none"/>
              </w:rPr>
            </w:pPr>
            <w:r>
              <w:rPr>
                <w:rFonts w:hint="eastAsia" w:ascii="宋体" w:hAnsi="宋体" w:eastAsia="宋体" w:cs="宋体"/>
                <w:b w:val="0"/>
                <w:bCs w:val="0"/>
                <w:snapToGrid/>
                <w:color w:val="000000"/>
                <w:kern w:val="0"/>
                <w:sz w:val="18"/>
                <w:szCs w:val="18"/>
                <w:highlight w:val="none"/>
                <w:lang w:val="en-US" w:eastAsia="zh-CN" w:bidi="ar"/>
              </w:rPr>
              <w:t>c)</w:t>
            </w:r>
            <w:r>
              <w:rPr>
                <w:b w:val="0"/>
                <w:bCs w:val="0"/>
                <w:spacing w:val="-1"/>
                <w:highlight w:val="none"/>
              </w:rPr>
              <w:t>电气火灾监控探测器的安装及功能。</w:t>
            </w:r>
          </w:p>
        </w:tc>
        <w:tc>
          <w:tcPr>
            <w:tcW w:w="1179" w:type="pct"/>
            <w:vAlign w:val="center"/>
          </w:tcPr>
          <w:p w14:paraId="57DE5F76">
            <w:pPr>
              <w:pStyle w:val="23"/>
              <w:keepNext w:val="0"/>
              <w:keepLines w:val="0"/>
              <w:suppressLineNumbers w:val="0"/>
              <w:spacing w:before="223" w:line="307" w:lineRule="auto"/>
              <w:ind w:left="113" w:right="103"/>
              <w:rPr>
                <w:b w:val="0"/>
                <w:bCs w:val="0"/>
                <w:highlight w:val="none"/>
              </w:rPr>
            </w:pPr>
            <w:r>
              <w:rPr>
                <w:b w:val="0"/>
                <w:bCs w:val="0"/>
                <w:spacing w:val="-4"/>
                <w:highlight w:val="none"/>
              </w:rPr>
              <w:t>a)c)不符合要求各扣 3 分，b)不</w:t>
            </w:r>
            <w:r>
              <w:rPr>
                <w:b w:val="0"/>
                <w:bCs w:val="0"/>
                <w:highlight w:val="none"/>
              </w:rPr>
              <w:t>符合要求扣4</w:t>
            </w:r>
            <w:r>
              <w:rPr>
                <w:b w:val="0"/>
                <w:bCs w:val="0"/>
                <w:spacing w:val="-23"/>
                <w:highlight w:val="none"/>
              </w:rPr>
              <w:t xml:space="preserve"> </w:t>
            </w:r>
            <w:r>
              <w:rPr>
                <w:b w:val="0"/>
                <w:bCs w:val="0"/>
                <w:highlight w:val="none"/>
              </w:rPr>
              <w:t>分；扣完不得分。</w:t>
            </w:r>
          </w:p>
        </w:tc>
        <w:tc>
          <w:tcPr>
            <w:tcW w:w="366" w:type="pct"/>
            <w:vAlign w:val="center"/>
          </w:tcPr>
          <w:p w14:paraId="08F4F4A6">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9" w:type="pct"/>
            <w:vAlign w:val="center"/>
          </w:tcPr>
          <w:p w14:paraId="127AC014">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3AA4B6B8">
            <w:pPr>
              <w:keepNext w:val="0"/>
              <w:keepLines w:val="0"/>
              <w:suppressLineNumbers w:val="0"/>
              <w:spacing w:before="0" w:beforeAutospacing="0" w:after="0" w:afterAutospacing="0"/>
              <w:ind w:left="0" w:right="0"/>
              <w:rPr>
                <w:rFonts w:hint="default" w:ascii="Arial"/>
                <w:b w:val="0"/>
                <w:bCs w:val="0"/>
                <w:sz w:val="21"/>
                <w:highlight w:val="none"/>
              </w:rPr>
            </w:pPr>
          </w:p>
        </w:tc>
      </w:tr>
      <w:tr w14:paraId="1FDB49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2" w:hRule="atLeast"/>
          <w:jc w:val="center"/>
        </w:trPr>
        <w:tc>
          <w:tcPr>
            <w:tcW w:w="197" w:type="pct"/>
            <w:vMerge w:val="restart"/>
            <w:vAlign w:val="center"/>
          </w:tcPr>
          <w:p w14:paraId="7425E196">
            <w:pPr>
              <w:pStyle w:val="23"/>
              <w:keepNext w:val="0"/>
              <w:keepLines w:val="0"/>
              <w:suppressLineNumbers w:val="0"/>
              <w:spacing w:before="59" w:line="181" w:lineRule="auto"/>
              <w:ind w:left="265"/>
              <w:rPr>
                <w:rFonts w:hint="eastAsia" w:eastAsia="宋体"/>
                <w:b w:val="0"/>
                <w:bCs w:val="0"/>
                <w:highlight w:val="none"/>
                <w:lang w:eastAsia="zh-CN"/>
              </w:rPr>
            </w:pPr>
            <w:r>
              <w:rPr>
                <w:rFonts w:hint="eastAsia"/>
                <w:b w:val="0"/>
                <w:bCs w:val="0"/>
                <w:spacing w:val="-2"/>
                <w:highlight w:val="none"/>
                <w:lang w:val="en-US" w:eastAsia="zh-CN"/>
              </w:rPr>
              <w:t>7</w:t>
            </w:r>
          </w:p>
        </w:tc>
        <w:tc>
          <w:tcPr>
            <w:tcW w:w="493" w:type="pct"/>
            <w:vMerge w:val="restart"/>
            <w:vAlign w:val="center"/>
          </w:tcPr>
          <w:p w14:paraId="7ECA5413">
            <w:pPr>
              <w:pStyle w:val="23"/>
              <w:keepNext w:val="0"/>
              <w:keepLines w:val="0"/>
              <w:suppressLineNumbers w:val="0"/>
              <w:spacing w:before="58" w:line="307" w:lineRule="auto"/>
              <w:ind w:left="443" w:right="167" w:hanging="269"/>
              <w:rPr>
                <w:b w:val="0"/>
                <w:bCs w:val="0"/>
                <w:highlight w:val="none"/>
              </w:rPr>
            </w:pPr>
            <w:r>
              <w:rPr>
                <w:b w:val="0"/>
                <w:bCs w:val="0"/>
                <w:spacing w:val="-3"/>
                <w:highlight w:val="none"/>
              </w:rPr>
              <w:t>消火栓系</w:t>
            </w:r>
            <w:r>
              <w:rPr>
                <w:b w:val="0"/>
                <w:bCs w:val="0"/>
                <w:highlight w:val="none"/>
              </w:rPr>
              <w:t>统</w:t>
            </w:r>
          </w:p>
          <w:p w14:paraId="226B2CCE">
            <w:pPr>
              <w:pStyle w:val="23"/>
              <w:keepNext w:val="0"/>
              <w:keepLines w:val="0"/>
              <w:suppressLineNumbers w:val="0"/>
              <w:spacing w:before="24" w:line="221" w:lineRule="auto"/>
              <w:ind w:left="151"/>
              <w:rPr>
                <w:b w:val="0"/>
                <w:bCs w:val="0"/>
                <w:highlight w:val="none"/>
              </w:rPr>
            </w:pP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6" w:type="pct"/>
            <w:vAlign w:val="center"/>
          </w:tcPr>
          <w:p w14:paraId="1E7E77FF">
            <w:pPr>
              <w:pStyle w:val="23"/>
              <w:keepNext w:val="0"/>
              <w:keepLines w:val="0"/>
              <w:suppressLineNumbers w:val="0"/>
              <w:spacing w:before="58" w:line="307" w:lineRule="auto"/>
              <w:ind w:left="0" w:right="103" w:firstLine="0"/>
              <w:rPr>
                <w:b w:val="0"/>
                <w:bCs w:val="0"/>
                <w:highlight w:val="none"/>
              </w:rPr>
            </w:pPr>
            <w:r>
              <w:rPr>
                <w:b w:val="0"/>
                <w:bCs w:val="0"/>
                <w:spacing w:val="1"/>
                <w:highlight w:val="none"/>
              </w:rPr>
              <w:t>室外消火栓</w:t>
            </w:r>
            <w:r>
              <w:rPr>
                <w:b w:val="0"/>
                <w:bCs w:val="0"/>
                <w:spacing w:val="7"/>
                <w:highlight w:val="none"/>
              </w:rPr>
              <w:t>（5分）</w:t>
            </w:r>
          </w:p>
        </w:tc>
        <w:tc>
          <w:tcPr>
            <w:tcW w:w="1728" w:type="pct"/>
            <w:vAlign w:val="center"/>
          </w:tcPr>
          <w:p w14:paraId="50C89C6A">
            <w:pPr>
              <w:pStyle w:val="23"/>
              <w:keepNext w:val="0"/>
              <w:keepLines w:val="0"/>
              <w:suppressLineNumbers w:val="0"/>
              <w:spacing w:before="70" w:line="220" w:lineRule="auto"/>
              <w:ind w:left="112"/>
              <w:rPr>
                <w:b w:val="0"/>
                <w:bCs w:val="0"/>
                <w:highlight w:val="none"/>
              </w:rPr>
            </w:pPr>
            <w:r>
              <w:rPr>
                <w:b w:val="0"/>
                <w:bCs w:val="0"/>
                <w:spacing w:val="-1"/>
                <w:highlight w:val="none"/>
              </w:rPr>
              <w:t>a)是否按规定设置室外消火栓系统；</w:t>
            </w:r>
          </w:p>
          <w:p w14:paraId="39437587">
            <w:pPr>
              <w:pStyle w:val="23"/>
              <w:keepNext w:val="0"/>
              <w:keepLines w:val="0"/>
              <w:suppressLineNumbers w:val="0"/>
              <w:spacing w:before="96" w:line="220" w:lineRule="auto"/>
              <w:ind w:left="108"/>
              <w:rPr>
                <w:b w:val="0"/>
                <w:bCs w:val="0"/>
                <w:highlight w:val="none"/>
              </w:rPr>
            </w:pPr>
            <w:r>
              <w:rPr>
                <w:b w:val="0"/>
                <w:bCs w:val="0"/>
                <w:spacing w:val="-1"/>
                <w:highlight w:val="none"/>
              </w:rPr>
              <w:t>b)室外消火栓的布置、安装、组件、外观、标识；</w:t>
            </w:r>
          </w:p>
          <w:p w14:paraId="0D72DDA4">
            <w:pPr>
              <w:pStyle w:val="23"/>
              <w:keepNext w:val="0"/>
              <w:keepLines w:val="0"/>
              <w:suppressLineNumbers w:val="0"/>
              <w:spacing w:before="98" w:line="220" w:lineRule="auto"/>
              <w:ind w:left="115"/>
              <w:rPr>
                <w:b w:val="0"/>
                <w:bCs w:val="0"/>
                <w:highlight w:val="none"/>
              </w:rPr>
            </w:pPr>
            <w:r>
              <w:rPr>
                <w:b w:val="0"/>
                <w:bCs w:val="0"/>
                <w:spacing w:val="-1"/>
                <w:highlight w:val="none"/>
              </w:rPr>
              <w:t>c)室外消火栓的防冻措施；</w:t>
            </w:r>
          </w:p>
          <w:p w14:paraId="0C921208">
            <w:pPr>
              <w:pStyle w:val="23"/>
              <w:keepNext w:val="0"/>
              <w:keepLines w:val="0"/>
              <w:suppressLineNumbers w:val="0"/>
              <w:spacing w:before="97" w:line="220" w:lineRule="auto"/>
              <w:ind w:left="115"/>
              <w:rPr>
                <w:b w:val="0"/>
                <w:bCs w:val="0"/>
                <w:highlight w:val="none"/>
              </w:rPr>
            </w:pPr>
            <w:r>
              <w:rPr>
                <w:b w:val="0"/>
                <w:bCs w:val="0"/>
                <w:spacing w:val="-1"/>
                <w:highlight w:val="none"/>
              </w:rPr>
              <w:t>d)消火栓上的阀门应能灵活启、闭；</w:t>
            </w:r>
          </w:p>
          <w:p w14:paraId="0A0F85FA">
            <w:pPr>
              <w:pStyle w:val="23"/>
              <w:keepNext w:val="0"/>
              <w:keepLines w:val="0"/>
              <w:suppressLineNumbers w:val="0"/>
              <w:spacing w:before="97" w:line="283" w:lineRule="auto"/>
              <w:ind w:left="114" w:right="1206" w:firstLine="1"/>
              <w:rPr>
                <w:b w:val="0"/>
                <w:bCs w:val="0"/>
                <w:spacing w:val="8"/>
                <w:highlight w:val="none"/>
              </w:rPr>
            </w:pPr>
            <w:r>
              <w:rPr>
                <w:b w:val="0"/>
                <w:bCs w:val="0"/>
                <w:spacing w:val="-3"/>
                <w:highlight w:val="none"/>
              </w:rPr>
              <w:t>e)地下式消火栓应有明显标志，井内应无积水；</w:t>
            </w:r>
          </w:p>
          <w:p w14:paraId="773C9A7C">
            <w:pPr>
              <w:pStyle w:val="23"/>
              <w:keepNext w:val="0"/>
              <w:keepLines w:val="0"/>
              <w:suppressLineNumbers w:val="0"/>
              <w:spacing w:before="97" w:line="283" w:lineRule="auto"/>
              <w:ind w:left="114" w:right="1206" w:firstLine="1"/>
              <w:rPr>
                <w:b w:val="0"/>
                <w:bCs w:val="0"/>
                <w:highlight w:val="none"/>
              </w:rPr>
            </w:pPr>
            <w:r>
              <w:rPr>
                <w:b w:val="0"/>
                <w:bCs w:val="0"/>
                <w:spacing w:val="-1"/>
                <w:highlight w:val="none"/>
              </w:rPr>
              <w:t>f)消火栓栓口处的静水压力和动水压力。</w:t>
            </w:r>
          </w:p>
        </w:tc>
        <w:tc>
          <w:tcPr>
            <w:tcW w:w="1179" w:type="pct"/>
            <w:vAlign w:val="center"/>
          </w:tcPr>
          <w:p w14:paraId="166D078B">
            <w:pPr>
              <w:pStyle w:val="23"/>
              <w:keepNext w:val="0"/>
              <w:keepLines w:val="0"/>
              <w:suppressLineNumbers w:val="0"/>
              <w:spacing w:before="59" w:line="220" w:lineRule="auto"/>
              <w:ind w:left="114" w:right="0" w:firstLine="0"/>
              <w:rPr>
                <w:b w:val="0"/>
                <w:bCs w:val="0"/>
                <w:highlight w:val="none"/>
              </w:rPr>
            </w:pPr>
            <w:r>
              <w:rPr>
                <w:b w:val="0"/>
                <w:bCs w:val="0"/>
                <w:spacing w:val="6"/>
                <w:highlight w:val="none"/>
              </w:rPr>
              <w:t>a)按照规范应设但未设置室外消火栓</w:t>
            </w:r>
            <w:r>
              <w:rPr>
                <w:rFonts w:hint="eastAsia"/>
                <w:b w:val="0"/>
                <w:bCs w:val="0"/>
                <w:spacing w:val="6"/>
                <w:highlight w:val="none"/>
                <w:lang w:eastAsia="zh-CN"/>
              </w:rPr>
              <w:t>系</w:t>
            </w:r>
            <w:r>
              <w:rPr>
                <w:b w:val="0"/>
                <w:bCs w:val="0"/>
                <w:spacing w:val="-9"/>
                <w:highlight w:val="none"/>
              </w:rPr>
              <w:t>统扣</w:t>
            </w:r>
            <w:r>
              <w:rPr>
                <w:b w:val="0"/>
                <w:bCs w:val="0"/>
                <w:spacing w:val="-48"/>
                <w:highlight w:val="none"/>
              </w:rPr>
              <w:t xml:space="preserve"> </w:t>
            </w:r>
            <w:r>
              <w:rPr>
                <w:b w:val="0"/>
                <w:bCs w:val="0"/>
                <w:spacing w:val="-9"/>
                <w:highlight w:val="none"/>
              </w:rPr>
              <w:t>5</w:t>
            </w:r>
            <w:r>
              <w:rPr>
                <w:b w:val="0"/>
                <w:bCs w:val="0"/>
                <w:spacing w:val="-49"/>
                <w:highlight w:val="none"/>
              </w:rPr>
              <w:t xml:space="preserve"> </w:t>
            </w:r>
            <w:r>
              <w:rPr>
                <w:b w:val="0"/>
                <w:bCs w:val="0"/>
                <w:spacing w:val="-9"/>
                <w:highlight w:val="none"/>
              </w:rPr>
              <w:t>分，b)c)d)e)不符合要求各</w:t>
            </w:r>
            <w:r>
              <w:rPr>
                <w:b w:val="0"/>
                <w:bCs w:val="0"/>
                <w:spacing w:val="-10"/>
                <w:highlight w:val="none"/>
              </w:rPr>
              <w:t>扣</w:t>
            </w:r>
            <w:r>
              <w:rPr>
                <w:b w:val="0"/>
                <w:bCs w:val="0"/>
                <w:spacing w:val="-38"/>
                <w:highlight w:val="none"/>
              </w:rPr>
              <w:t xml:space="preserve"> </w:t>
            </w:r>
            <w:r>
              <w:rPr>
                <w:b w:val="0"/>
                <w:bCs w:val="0"/>
                <w:spacing w:val="-10"/>
                <w:highlight w:val="none"/>
              </w:rPr>
              <w:t>1</w:t>
            </w:r>
            <w:r>
              <w:rPr>
                <w:b w:val="0"/>
                <w:bCs w:val="0"/>
                <w:spacing w:val="-48"/>
                <w:highlight w:val="none"/>
              </w:rPr>
              <w:t xml:space="preserve"> </w:t>
            </w:r>
            <w:r>
              <w:rPr>
                <w:b w:val="0"/>
                <w:bCs w:val="0"/>
                <w:spacing w:val="-10"/>
                <w:highlight w:val="none"/>
              </w:rPr>
              <w:t>分，</w:t>
            </w:r>
            <w:r>
              <w:rPr>
                <w:b w:val="0"/>
                <w:bCs w:val="0"/>
                <w:highlight w:val="none"/>
              </w:rPr>
              <w:t xml:space="preserve"> </w:t>
            </w:r>
            <w:r>
              <w:rPr>
                <w:b w:val="0"/>
                <w:bCs w:val="0"/>
                <w:spacing w:val="-3"/>
                <w:highlight w:val="none"/>
              </w:rPr>
              <w:t>f)不符合要求扣</w:t>
            </w:r>
            <w:r>
              <w:rPr>
                <w:b w:val="0"/>
                <w:bCs w:val="0"/>
                <w:spacing w:val="-35"/>
                <w:highlight w:val="none"/>
              </w:rPr>
              <w:t xml:space="preserve"> </w:t>
            </w:r>
            <w:r>
              <w:rPr>
                <w:b w:val="0"/>
                <w:bCs w:val="0"/>
                <w:spacing w:val="-3"/>
                <w:highlight w:val="none"/>
              </w:rPr>
              <w:t>5</w:t>
            </w:r>
            <w:r>
              <w:rPr>
                <w:b w:val="0"/>
                <w:bCs w:val="0"/>
                <w:spacing w:val="-34"/>
                <w:highlight w:val="none"/>
              </w:rPr>
              <w:t xml:space="preserve"> </w:t>
            </w:r>
            <w:r>
              <w:rPr>
                <w:b w:val="0"/>
                <w:bCs w:val="0"/>
                <w:spacing w:val="-3"/>
                <w:highlight w:val="none"/>
              </w:rPr>
              <w:t>分；扣完不得分。</w:t>
            </w:r>
          </w:p>
        </w:tc>
        <w:tc>
          <w:tcPr>
            <w:tcW w:w="366" w:type="pct"/>
            <w:vAlign w:val="center"/>
          </w:tcPr>
          <w:p w14:paraId="796F1A9A">
            <w:pPr>
              <w:pStyle w:val="23"/>
              <w:keepNext w:val="0"/>
              <w:keepLines w:val="0"/>
              <w:suppressLineNumbers w:val="0"/>
              <w:spacing w:before="68" w:line="282" w:lineRule="auto"/>
              <w:ind w:left="113" w:leftChars="0" w:right="101" w:rightChars="0" w:firstLine="1" w:firstLineChars="0"/>
              <w:jc w:val="center"/>
              <w:rPr>
                <w:rFonts w:hint="eastAsia" w:ascii="宋体" w:hAnsi="宋体" w:eastAsia="宋体" w:cs="宋体"/>
                <w:b w:val="0"/>
                <w:bCs w:val="0"/>
                <w:color w:val="auto"/>
                <w:sz w:val="21"/>
                <w:highlight w:val="none"/>
                <w:lang w:val="en-US" w:eastAsia="zh-CN"/>
              </w:rPr>
            </w:pPr>
          </w:p>
        </w:tc>
        <w:tc>
          <w:tcPr>
            <w:tcW w:w="339" w:type="pct"/>
            <w:vAlign w:val="center"/>
          </w:tcPr>
          <w:p w14:paraId="55F48CCB">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c>
          <w:tcPr>
            <w:tcW w:w="329" w:type="pct"/>
            <w:vAlign w:val="center"/>
          </w:tcPr>
          <w:p w14:paraId="2BE852A1">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37258E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0" w:hRule="atLeast"/>
          <w:jc w:val="center"/>
        </w:trPr>
        <w:tc>
          <w:tcPr>
            <w:tcW w:w="197" w:type="pct"/>
            <w:vMerge w:val="continue"/>
            <w:vAlign w:val="center"/>
          </w:tcPr>
          <w:p w14:paraId="2F519D8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51008582">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6A18DF7A">
            <w:pPr>
              <w:pStyle w:val="23"/>
              <w:keepNext w:val="0"/>
              <w:keepLines w:val="0"/>
              <w:suppressLineNumbers w:val="0"/>
              <w:spacing w:before="58" w:line="311" w:lineRule="auto"/>
              <w:ind w:left="0" w:right="103" w:firstLine="0"/>
              <w:jc w:val="both"/>
              <w:rPr>
                <w:b w:val="0"/>
                <w:bCs w:val="0"/>
                <w:highlight w:val="none"/>
              </w:rPr>
            </w:pPr>
            <w:r>
              <w:rPr>
                <w:b w:val="0"/>
                <w:bCs w:val="0"/>
                <w:spacing w:val="1"/>
                <w:highlight w:val="none"/>
              </w:rPr>
              <w:t>室内消火栓</w:t>
            </w:r>
            <w:r>
              <w:rPr>
                <w:b w:val="0"/>
                <w:bCs w:val="0"/>
                <w:spacing w:val="2"/>
                <w:highlight w:val="none"/>
              </w:rPr>
              <w:t>和消火栓箱</w:t>
            </w:r>
            <w:r>
              <w:rPr>
                <w:b w:val="0"/>
                <w:bCs w:val="0"/>
                <w:spacing w:val="8"/>
                <w:highlight w:val="none"/>
              </w:rPr>
              <w:t>（5分）</w:t>
            </w:r>
          </w:p>
        </w:tc>
        <w:tc>
          <w:tcPr>
            <w:tcW w:w="1728" w:type="pct"/>
            <w:vAlign w:val="center"/>
          </w:tcPr>
          <w:p w14:paraId="07D16A3D">
            <w:pPr>
              <w:pStyle w:val="23"/>
              <w:keepNext w:val="0"/>
              <w:keepLines w:val="0"/>
              <w:suppressLineNumbers w:val="0"/>
              <w:spacing w:before="67" w:line="220" w:lineRule="auto"/>
              <w:ind w:left="112"/>
              <w:rPr>
                <w:b w:val="0"/>
                <w:bCs w:val="0"/>
                <w:highlight w:val="none"/>
              </w:rPr>
            </w:pPr>
            <w:r>
              <w:rPr>
                <w:b w:val="0"/>
                <w:bCs w:val="0"/>
                <w:spacing w:val="-1"/>
                <w:highlight w:val="none"/>
              </w:rPr>
              <w:t>a)是否按规定设置室内消火栓系统；</w:t>
            </w:r>
          </w:p>
          <w:p w14:paraId="3E7EB445">
            <w:pPr>
              <w:pStyle w:val="23"/>
              <w:keepNext w:val="0"/>
              <w:keepLines w:val="0"/>
              <w:suppressLineNumbers w:val="0"/>
              <w:spacing w:before="96" w:line="220" w:lineRule="auto"/>
              <w:ind w:left="108"/>
              <w:rPr>
                <w:b w:val="0"/>
                <w:bCs w:val="0"/>
                <w:highlight w:val="none"/>
              </w:rPr>
            </w:pPr>
            <w:r>
              <w:rPr>
                <w:b w:val="0"/>
                <w:bCs w:val="0"/>
                <w:spacing w:val="-1"/>
                <w:highlight w:val="none"/>
              </w:rPr>
              <w:t>b)室内消火栓的布置、安装、组件、外观、标识；</w:t>
            </w:r>
          </w:p>
          <w:p w14:paraId="5A326361">
            <w:pPr>
              <w:pStyle w:val="23"/>
              <w:keepNext w:val="0"/>
              <w:keepLines w:val="0"/>
              <w:suppressLineNumbers w:val="0"/>
              <w:spacing w:before="98" w:line="220" w:lineRule="auto"/>
              <w:ind w:left="115"/>
              <w:rPr>
                <w:b w:val="0"/>
                <w:bCs w:val="0"/>
                <w:highlight w:val="none"/>
              </w:rPr>
            </w:pPr>
            <w:r>
              <w:rPr>
                <w:b w:val="0"/>
                <w:bCs w:val="0"/>
                <w:spacing w:val="-3"/>
                <w:highlight w:val="none"/>
              </w:rPr>
              <w:t>c)消火栓按钮的功能；</w:t>
            </w:r>
          </w:p>
          <w:p w14:paraId="3D3B9D78">
            <w:pPr>
              <w:pStyle w:val="23"/>
              <w:keepNext w:val="0"/>
              <w:keepLines w:val="0"/>
              <w:suppressLineNumbers w:val="0"/>
              <w:spacing w:before="96" w:line="307" w:lineRule="auto"/>
              <w:ind w:left="126" w:right="104" w:hanging="11"/>
              <w:rPr>
                <w:b w:val="0"/>
                <w:bCs w:val="0"/>
                <w:highlight w:val="none"/>
              </w:rPr>
            </w:pPr>
            <w:r>
              <w:rPr>
                <w:b w:val="0"/>
                <w:bCs w:val="0"/>
                <w:spacing w:val="-1"/>
                <w:highlight w:val="none"/>
              </w:rPr>
              <w:t>d)室内消火栓栓口处的静水压力，启动消防泵</w:t>
            </w:r>
            <w:r>
              <w:rPr>
                <w:b w:val="0"/>
                <w:bCs w:val="0"/>
                <w:spacing w:val="-2"/>
                <w:highlight w:val="none"/>
              </w:rPr>
              <w:t>后消火栓栓口处</w:t>
            </w:r>
            <w:r>
              <w:rPr>
                <w:b w:val="0"/>
                <w:bCs w:val="0"/>
                <w:spacing w:val="-4"/>
                <w:highlight w:val="none"/>
              </w:rPr>
              <w:t>的出水压力；</w:t>
            </w:r>
          </w:p>
          <w:p w14:paraId="2667183D">
            <w:pPr>
              <w:pStyle w:val="23"/>
              <w:keepNext w:val="0"/>
              <w:keepLines w:val="0"/>
              <w:suppressLineNumbers w:val="0"/>
              <w:spacing w:before="26" w:line="220" w:lineRule="auto"/>
              <w:ind w:left="115"/>
              <w:rPr>
                <w:b w:val="0"/>
                <w:bCs w:val="0"/>
                <w:highlight w:val="none"/>
              </w:rPr>
            </w:pPr>
            <w:r>
              <w:rPr>
                <w:b w:val="0"/>
                <w:bCs w:val="0"/>
                <w:spacing w:val="-2"/>
                <w:highlight w:val="none"/>
              </w:rPr>
              <w:t>e)消火栓的阀门、栓口；</w:t>
            </w:r>
          </w:p>
          <w:p w14:paraId="4F6C6D3B">
            <w:pPr>
              <w:pStyle w:val="23"/>
              <w:keepNext w:val="0"/>
              <w:keepLines w:val="0"/>
              <w:suppressLineNumbers w:val="0"/>
              <w:spacing w:before="96" w:line="220" w:lineRule="auto"/>
              <w:ind w:left="108"/>
              <w:rPr>
                <w:b w:val="0"/>
                <w:bCs w:val="0"/>
                <w:spacing w:val="-1"/>
                <w:highlight w:val="none"/>
              </w:rPr>
            </w:pPr>
            <w:r>
              <w:rPr>
                <w:b w:val="0"/>
                <w:bCs w:val="0"/>
                <w:spacing w:val="-1"/>
                <w:highlight w:val="none"/>
              </w:rPr>
              <w:t>f)干式消火栓报警阀组的控制阀均应锁定在常开位置；</w:t>
            </w:r>
          </w:p>
          <w:p w14:paraId="707BBF41">
            <w:pPr>
              <w:pStyle w:val="23"/>
              <w:keepNext w:val="0"/>
              <w:keepLines w:val="0"/>
              <w:suppressLineNumbers w:val="0"/>
              <w:spacing w:before="96" w:line="220" w:lineRule="auto"/>
              <w:ind w:left="108"/>
              <w:rPr>
                <w:b w:val="0"/>
                <w:bCs w:val="0"/>
                <w:spacing w:val="-1"/>
                <w:highlight w:val="none"/>
              </w:rPr>
            </w:pPr>
            <w:r>
              <w:rPr>
                <w:b w:val="0"/>
                <w:bCs w:val="0"/>
                <w:spacing w:val="-1"/>
                <w:highlight w:val="none"/>
              </w:rPr>
              <w:t>g)干式消火栓报警阀组的功能；</w:t>
            </w:r>
          </w:p>
          <w:p w14:paraId="04D909AA">
            <w:pPr>
              <w:pStyle w:val="23"/>
              <w:keepNext w:val="0"/>
              <w:keepLines w:val="0"/>
              <w:suppressLineNumbers w:val="0"/>
              <w:spacing w:before="32" w:line="311" w:lineRule="auto"/>
              <w:ind w:left="111" w:right="104" w:hanging="2"/>
              <w:jc w:val="both"/>
              <w:rPr>
                <w:b w:val="0"/>
                <w:bCs w:val="0"/>
                <w:highlight w:val="none"/>
              </w:rPr>
            </w:pPr>
            <w:r>
              <w:rPr>
                <w:b w:val="0"/>
                <w:bCs w:val="0"/>
                <w:spacing w:val="-1"/>
                <w:highlight w:val="none"/>
              </w:rPr>
              <w:t>h)干式消火栓系统当采用雨淋阀、电磁阀和电动阀时，在消火栓箱处应设置直接开启快速启闭装置的手动按钮，在系统管道的最高处应设置快速排气阀；</w:t>
            </w:r>
          </w:p>
          <w:p w14:paraId="343D39A6">
            <w:pPr>
              <w:pStyle w:val="23"/>
              <w:keepNext w:val="0"/>
              <w:keepLines w:val="0"/>
              <w:suppressLineNumbers w:val="0"/>
              <w:spacing w:before="26" w:line="281" w:lineRule="auto"/>
              <w:ind w:left="118" w:right="126" w:firstLine="4"/>
              <w:rPr>
                <w:b w:val="0"/>
                <w:bCs w:val="0"/>
                <w:spacing w:val="18"/>
                <w:highlight w:val="none"/>
              </w:rPr>
            </w:pPr>
            <w:r>
              <w:rPr>
                <w:b w:val="0"/>
                <w:bCs w:val="0"/>
                <w:spacing w:val="-3"/>
                <w:highlight w:val="none"/>
              </w:rPr>
              <w:t>i)消火栓箱的组件、箱门，箱体外是否有明显标志或区别色；</w:t>
            </w:r>
          </w:p>
          <w:p w14:paraId="2B7E7D7D">
            <w:pPr>
              <w:pStyle w:val="23"/>
              <w:keepNext w:val="0"/>
              <w:keepLines w:val="0"/>
              <w:suppressLineNumbers w:val="0"/>
              <w:spacing w:before="26" w:line="281" w:lineRule="auto"/>
              <w:ind w:left="118" w:right="126" w:firstLine="4"/>
              <w:rPr>
                <w:b w:val="0"/>
                <w:bCs w:val="0"/>
                <w:highlight w:val="none"/>
              </w:rPr>
            </w:pPr>
            <w:r>
              <w:rPr>
                <w:b w:val="0"/>
                <w:bCs w:val="0"/>
                <w:spacing w:val="-1"/>
                <w:highlight w:val="none"/>
              </w:rPr>
              <w:t>j)空气压缩机的运行状态，启动、停止时的气压值。</w:t>
            </w:r>
          </w:p>
        </w:tc>
        <w:tc>
          <w:tcPr>
            <w:tcW w:w="1179" w:type="pct"/>
            <w:vAlign w:val="center"/>
          </w:tcPr>
          <w:p w14:paraId="47B3CFFC">
            <w:pPr>
              <w:pStyle w:val="23"/>
              <w:keepNext w:val="0"/>
              <w:keepLines w:val="0"/>
              <w:suppressLineNumbers w:val="0"/>
              <w:spacing w:before="59" w:line="304" w:lineRule="auto"/>
              <w:ind w:left="117" w:right="101" w:hanging="3"/>
              <w:rPr>
                <w:b w:val="0"/>
                <w:bCs w:val="0"/>
                <w:highlight w:val="none"/>
              </w:rPr>
            </w:pPr>
            <w:r>
              <w:rPr>
                <w:b w:val="0"/>
                <w:bCs w:val="0"/>
                <w:spacing w:val="6"/>
                <w:highlight w:val="none"/>
              </w:rPr>
              <w:t>a)按照规范应设但未设置室内消火栓系</w:t>
            </w:r>
            <w:r>
              <w:rPr>
                <w:b w:val="0"/>
                <w:bCs w:val="0"/>
                <w:spacing w:val="-5"/>
                <w:highlight w:val="none"/>
              </w:rPr>
              <w:t>统扣</w:t>
            </w:r>
            <w:r>
              <w:rPr>
                <w:b w:val="0"/>
                <w:bCs w:val="0"/>
                <w:spacing w:val="-26"/>
                <w:highlight w:val="none"/>
              </w:rPr>
              <w:t xml:space="preserve"> </w:t>
            </w:r>
            <w:r>
              <w:rPr>
                <w:b w:val="0"/>
                <w:bCs w:val="0"/>
                <w:spacing w:val="-5"/>
                <w:highlight w:val="none"/>
              </w:rPr>
              <w:t>5</w:t>
            </w:r>
            <w:r>
              <w:rPr>
                <w:b w:val="0"/>
                <w:bCs w:val="0"/>
                <w:spacing w:val="-34"/>
                <w:highlight w:val="none"/>
              </w:rPr>
              <w:t xml:space="preserve"> </w:t>
            </w:r>
            <w:r>
              <w:rPr>
                <w:b w:val="0"/>
                <w:bCs w:val="0"/>
                <w:spacing w:val="-5"/>
                <w:highlight w:val="none"/>
              </w:rPr>
              <w:t>分，b)e)f)h)i)j)不符合要求各扣</w:t>
            </w:r>
            <w:r>
              <w:rPr>
                <w:b w:val="0"/>
                <w:bCs w:val="0"/>
                <w:spacing w:val="-4"/>
                <w:highlight w:val="none"/>
              </w:rPr>
              <w:t>1</w:t>
            </w:r>
            <w:r>
              <w:rPr>
                <w:b w:val="0"/>
                <w:bCs w:val="0"/>
                <w:spacing w:val="-26"/>
                <w:highlight w:val="none"/>
              </w:rPr>
              <w:t xml:space="preserve"> </w:t>
            </w:r>
            <w:r>
              <w:rPr>
                <w:b w:val="0"/>
                <w:bCs w:val="0"/>
                <w:spacing w:val="-4"/>
                <w:highlight w:val="none"/>
              </w:rPr>
              <w:t>分，c)d)g)不符合要求各扣</w:t>
            </w:r>
            <w:r>
              <w:rPr>
                <w:b w:val="0"/>
                <w:bCs w:val="0"/>
                <w:spacing w:val="-36"/>
                <w:highlight w:val="none"/>
              </w:rPr>
              <w:t xml:space="preserve"> </w:t>
            </w:r>
            <w:r>
              <w:rPr>
                <w:b w:val="0"/>
                <w:bCs w:val="0"/>
                <w:spacing w:val="-4"/>
                <w:highlight w:val="none"/>
              </w:rPr>
              <w:t>5</w:t>
            </w:r>
            <w:r>
              <w:rPr>
                <w:b w:val="0"/>
                <w:bCs w:val="0"/>
                <w:spacing w:val="-34"/>
                <w:highlight w:val="none"/>
              </w:rPr>
              <w:t xml:space="preserve"> </w:t>
            </w:r>
            <w:r>
              <w:rPr>
                <w:b w:val="0"/>
                <w:bCs w:val="0"/>
                <w:spacing w:val="-4"/>
                <w:highlight w:val="none"/>
              </w:rPr>
              <w:t>分；扣完</w:t>
            </w:r>
            <w:r>
              <w:rPr>
                <w:b w:val="0"/>
                <w:bCs w:val="0"/>
                <w:spacing w:val="-6"/>
                <w:highlight w:val="none"/>
              </w:rPr>
              <w:t>不得分。</w:t>
            </w:r>
          </w:p>
        </w:tc>
        <w:tc>
          <w:tcPr>
            <w:tcW w:w="366" w:type="pct"/>
            <w:shd w:val="clear" w:color="auto" w:fill="auto"/>
            <w:vAlign w:val="center"/>
          </w:tcPr>
          <w:p w14:paraId="1DBD93D4">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9" w:type="pct"/>
            <w:vAlign w:val="center"/>
          </w:tcPr>
          <w:p w14:paraId="0C3B4B03">
            <w:pPr>
              <w:keepNext w:val="0"/>
              <w:keepLines w:val="0"/>
              <w:suppressLineNumbers w:val="0"/>
              <w:spacing w:before="0" w:beforeAutospacing="0" w:after="0" w:afterAutospacing="0"/>
              <w:ind w:left="0" w:right="0"/>
              <w:rPr>
                <w:rFonts w:hint="eastAsia" w:ascii="Arial" w:eastAsia="宋体"/>
                <w:b w:val="0"/>
                <w:bCs w:val="0"/>
                <w:sz w:val="21"/>
                <w:highlight w:val="none"/>
                <w:lang w:val="en-US" w:eastAsia="zh-CN"/>
              </w:rPr>
            </w:pPr>
          </w:p>
        </w:tc>
        <w:tc>
          <w:tcPr>
            <w:tcW w:w="329" w:type="pct"/>
            <w:vAlign w:val="center"/>
          </w:tcPr>
          <w:p w14:paraId="4FA12BF3">
            <w:pPr>
              <w:keepNext w:val="0"/>
              <w:keepLines w:val="0"/>
              <w:suppressLineNumbers w:val="0"/>
              <w:spacing w:before="0" w:beforeAutospacing="0" w:after="0" w:afterAutospacing="0"/>
              <w:ind w:left="0" w:right="0"/>
              <w:jc w:val="both"/>
              <w:rPr>
                <w:rFonts w:hint="default" w:ascii="Arial" w:eastAsia="宋体"/>
                <w:b w:val="0"/>
                <w:bCs w:val="0"/>
                <w:sz w:val="21"/>
                <w:highlight w:val="none"/>
                <w:lang w:val="en-US" w:eastAsia="zh-CN"/>
              </w:rPr>
            </w:pPr>
          </w:p>
        </w:tc>
      </w:tr>
    </w:tbl>
    <w:p w14:paraId="5918706F">
      <w:pPr>
        <w:rPr>
          <w:highlight w:val="none"/>
        </w:rPr>
      </w:pPr>
      <w:r>
        <w:rPr>
          <w:highlight w:val="none"/>
        </w:rPr>
        <w:br w:type="page"/>
      </w:r>
    </w:p>
    <w:tbl>
      <w:tblPr>
        <w:tblStyle w:val="24"/>
        <w:tblW w:w="493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5"/>
        <w:gridCol w:w="1464"/>
        <w:gridCol w:w="1087"/>
        <w:gridCol w:w="5133"/>
        <w:gridCol w:w="3502"/>
        <w:gridCol w:w="1087"/>
        <w:gridCol w:w="1004"/>
        <w:gridCol w:w="980"/>
      </w:tblGrid>
      <w:tr w14:paraId="57BBBD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97" w:type="pct"/>
            <w:vAlign w:val="center"/>
          </w:tcPr>
          <w:p w14:paraId="31CD8216">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12A915B0">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2048EBB5">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8" w:type="pct"/>
            <w:vAlign w:val="center"/>
          </w:tcPr>
          <w:p w14:paraId="2FA03392">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0193864B">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634E171D">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76460DBF">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2CB4DA3B">
            <w:pPr>
              <w:pStyle w:val="23"/>
              <w:keepNext w:val="0"/>
              <w:keepLines w:val="0"/>
              <w:suppressLineNumbers w:val="0"/>
              <w:spacing w:before="71" w:line="220" w:lineRule="auto"/>
              <w:ind w:left="295"/>
              <w:rPr>
                <w:highlight w:val="none"/>
              </w:rPr>
            </w:pPr>
            <w:r>
              <w:rPr>
                <w:b/>
                <w:bCs/>
                <w:spacing w:val="-4"/>
                <w:highlight w:val="none"/>
              </w:rPr>
              <w:t>得分</w:t>
            </w:r>
          </w:p>
        </w:tc>
      </w:tr>
      <w:tr w14:paraId="274407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3" w:hRule="atLeast"/>
          <w:jc w:val="center"/>
        </w:trPr>
        <w:tc>
          <w:tcPr>
            <w:tcW w:w="197" w:type="pct"/>
            <w:vAlign w:val="center"/>
          </w:tcPr>
          <w:p w14:paraId="12DEC7DE">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Align w:val="center"/>
          </w:tcPr>
          <w:p w14:paraId="41BD78DD">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2274AE70">
            <w:pPr>
              <w:pStyle w:val="23"/>
              <w:keepNext w:val="0"/>
              <w:keepLines w:val="0"/>
              <w:suppressLineNumbers w:val="0"/>
              <w:spacing w:before="155" w:line="311" w:lineRule="auto"/>
              <w:ind w:left="0" w:right="102" w:firstLine="0"/>
              <w:jc w:val="both"/>
              <w:rPr>
                <w:b w:val="0"/>
                <w:bCs w:val="0"/>
                <w:highlight w:val="none"/>
              </w:rPr>
            </w:pPr>
            <w:r>
              <w:rPr>
                <w:b w:val="0"/>
                <w:bCs w:val="0"/>
                <w:spacing w:val="1"/>
                <w:highlight w:val="none"/>
              </w:rPr>
              <w:t>消火栓系统</w:t>
            </w:r>
            <w:r>
              <w:rPr>
                <w:b w:val="0"/>
                <w:bCs w:val="0"/>
                <w:spacing w:val="-14"/>
                <w:highlight w:val="none"/>
              </w:rPr>
              <w:t>功能（10</w:t>
            </w:r>
            <w:r>
              <w:rPr>
                <w:b w:val="0"/>
                <w:bCs w:val="0"/>
                <w:highlight w:val="none"/>
              </w:rPr>
              <w:t xml:space="preserve"> </w:t>
            </w:r>
            <w:r>
              <w:rPr>
                <w:b w:val="0"/>
                <w:bCs w:val="0"/>
                <w:spacing w:val="-6"/>
                <w:highlight w:val="none"/>
              </w:rPr>
              <w:t>分）</w:t>
            </w:r>
          </w:p>
        </w:tc>
        <w:tc>
          <w:tcPr>
            <w:tcW w:w="1728" w:type="pct"/>
            <w:vAlign w:val="center"/>
          </w:tcPr>
          <w:p w14:paraId="21C7017C">
            <w:pPr>
              <w:pStyle w:val="23"/>
              <w:keepNext w:val="0"/>
              <w:keepLines w:val="0"/>
              <w:suppressLineNumbers w:val="0"/>
              <w:spacing w:before="154" w:line="311" w:lineRule="auto"/>
              <w:ind w:left="108" w:right="1926" w:firstLine="3"/>
              <w:jc w:val="both"/>
              <w:rPr>
                <w:b w:val="0"/>
                <w:bCs w:val="0"/>
                <w:highlight w:val="none"/>
              </w:rPr>
            </w:pPr>
            <w:r>
              <w:rPr>
                <w:b w:val="0"/>
                <w:bCs w:val="0"/>
                <w:spacing w:val="-3"/>
                <w:highlight w:val="none"/>
              </w:rPr>
              <w:t>a)消火栓系统的手动控制方式及功能；</w:t>
            </w:r>
            <w:r>
              <w:rPr>
                <w:b w:val="0"/>
                <w:bCs w:val="0"/>
                <w:highlight w:val="none"/>
              </w:rPr>
              <w:t xml:space="preserve"> </w:t>
            </w:r>
            <w:r>
              <w:rPr>
                <w:b w:val="0"/>
                <w:bCs w:val="0"/>
                <w:spacing w:val="-3"/>
                <w:highlight w:val="none"/>
              </w:rPr>
              <w:t>b)消火栓系统的联动控制方式及功能；</w:t>
            </w:r>
            <w:r>
              <w:rPr>
                <w:b w:val="0"/>
                <w:bCs w:val="0"/>
                <w:spacing w:val="3"/>
                <w:highlight w:val="none"/>
              </w:rPr>
              <w:t xml:space="preserve"> </w:t>
            </w:r>
            <w:r>
              <w:rPr>
                <w:b w:val="0"/>
                <w:bCs w:val="0"/>
                <w:spacing w:val="-1"/>
                <w:highlight w:val="none"/>
              </w:rPr>
              <w:t>c)消火栓泵的动作信号反馈。</w:t>
            </w:r>
          </w:p>
        </w:tc>
        <w:tc>
          <w:tcPr>
            <w:tcW w:w="1179" w:type="pct"/>
            <w:vAlign w:val="center"/>
          </w:tcPr>
          <w:p w14:paraId="14E5E0D8">
            <w:pPr>
              <w:pStyle w:val="23"/>
              <w:keepNext w:val="0"/>
              <w:keepLines w:val="0"/>
              <w:suppressLineNumbers w:val="0"/>
              <w:spacing w:before="58"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5</w:t>
            </w:r>
            <w:r>
              <w:rPr>
                <w:b w:val="0"/>
                <w:bCs w:val="0"/>
                <w:spacing w:val="-34"/>
                <w:highlight w:val="none"/>
              </w:rPr>
              <w:t xml:space="preserve"> </w:t>
            </w:r>
            <w:r>
              <w:rPr>
                <w:b w:val="0"/>
                <w:bCs w:val="0"/>
                <w:spacing w:val="-5"/>
                <w:highlight w:val="none"/>
              </w:rPr>
              <w:t>分，c)不符合要求扣</w:t>
            </w:r>
            <w:r>
              <w:rPr>
                <w:b w:val="0"/>
                <w:bCs w:val="0"/>
                <w:spacing w:val="-30"/>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分；扣完不得分。</w:t>
            </w:r>
          </w:p>
        </w:tc>
        <w:tc>
          <w:tcPr>
            <w:tcW w:w="366" w:type="pct"/>
            <w:shd w:val="clear" w:color="auto" w:fill="auto"/>
            <w:vAlign w:val="center"/>
          </w:tcPr>
          <w:p w14:paraId="08F5AEA6">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8" w:type="pct"/>
            <w:vAlign w:val="center"/>
          </w:tcPr>
          <w:p w14:paraId="36F9E675">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F81A2A3">
            <w:pPr>
              <w:keepNext w:val="0"/>
              <w:keepLines w:val="0"/>
              <w:suppressLineNumbers w:val="0"/>
              <w:spacing w:before="0" w:beforeAutospacing="0" w:after="0" w:afterAutospacing="0"/>
              <w:ind w:left="0" w:right="0"/>
              <w:rPr>
                <w:rFonts w:hint="default" w:ascii="Arial" w:eastAsia="宋体"/>
                <w:b w:val="0"/>
                <w:bCs w:val="0"/>
                <w:sz w:val="21"/>
                <w:highlight w:val="none"/>
                <w:lang w:val="en-US" w:eastAsia="zh-CN"/>
              </w:rPr>
            </w:pPr>
          </w:p>
        </w:tc>
      </w:tr>
      <w:tr w14:paraId="551517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4" w:hRule="atLeast"/>
          <w:jc w:val="center"/>
        </w:trPr>
        <w:tc>
          <w:tcPr>
            <w:tcW w:w="197" w:type="pct"/>
            <w:vMerge w:val="restart"/>
            <w:tcBorders>
              <w:bottom w:val="nil"/>
            </w:tcBorders>
            <w:vAlign w:val="center"/>
          </w:tcPr>
          <w:p w14:paraId="3FDD60FD">
            <w:pPr>
              <w:pStyle w:val="23"/>
              <w:keepNext w:val="0"/>
              <w:keepLines w:val="0"/>
              <w:suppressLineNumbers w:val="0"/>
              <w:spacing w:before="59" w:line="180" w:lineRule="auto"/>
              <w:ind w:left="269"/>
              <w:rPr>
                <w:rFonts w:hint="eastAsia" w:eastAsia="宋体"/>
                <w:b w:val="0"/>
                <w:bCs w:val="0"/>
                <w:highlight w:val="none"/>
                <w:lang w:eastAsia="zh-CN"/>
              </w:rPr>
            </w:pPr>
            <w:r>
              <w:rPr>
                <w:rFonts w:hint="eastAsia"/>
                <w:b w:val="0"/>
                <w:bCs w:val="0"/>
                <w:spacing w:val="-2"/>
                <w:highlight w:val="none"/>
                <w:lang w:val="en-US" w:eastAsia="zh-CN"/>
              </w:rPr>
              <w:t>8</w:t>
            </w:r>
          </w:p>
        </w:tc>
        <w:tc>
          <w:tcPr>
            <w:tcW w:w="493" w:type="pct"/>
            <w:vMerge w:val="restart"/>
            <w:tcBorders>
              <w:bottom w:val="nil"/>
            </w:tcBorders>
            <w:vAlign w:val="center"/>
          </w:tcPr>
          <w:p w14:paraId="07BCC55D">
            <w:pPr>
              <w:pStyle w:val="23"/>
              <w:keepNext w:val="0"/>
              <w:keepLines w:val="0"/>
              <w:suppressLineNumbers w:val="0"/>
              <w:spacing w:before="58" w:line="311" w:lineRule="auto"/>
              <w:ind w:left="151" w:right="155" w:firstLine="48"/>
              <w:jc w:val="both"/>
              <w:rPr>
                <w:b w:val="0"/>
                <w:bCs w:val="0"/>
                <w:highlight w:val="none"/>
              </w:rPr>
            </w:pPr>
            <w:r>
              <w:rPr>
                <w:b w:val="0"/>
                <w:bCs w:val="0"/>
                <w:spacing w:val="-10"/>
                <w:highlight w:val="none"/>
              </w:rPr>
              <w:t>自动喷水</w:t>
            </w:r>
            <w:r>
              <w:rPr>
                <w:b w:val="0"/>
                <w:bCs w:val="0"/>
                <w:spacing w:val="3"/>
                <w:highlight w:val="none"/>
              </w:rPr>
              <w:t>灭火系统</w:t>
            </w:r>
            <w:r>
              <w:rPr>
                <w:b w:val="0"/>
                <w:bCs w:val="0"/>
                <w:spacing w:val="-8"/>
                <w:highlight w:val="none"/>
              </w:rPr>
              <w:t>（20</w:t>
            </w:r>
            <w:r>
              <w:rPr>
                <w:b w:val="0"/>
                <w:bCs w:val="0"/>
                <w:spacing w:val="-31"/>
                <w:highlight w:val="none"/>
              </w:rPr>
              <w:t xml:space="preserve"> </w:t>
            </w:r>
            <w:r>
              <w:rPr>
                <w:b w:val="0"/>
                <w:bCs w:val="0"/>
                <w:spacing w:val="-8"/>
                <w:highlight w:val="none"/>
              </w:rPr>
              <w:t>分）</w:t>
            </w:r>
          </w:p>
        </w:tc>
        <w:tc>
          <w:tcPr>
            <w:tcW w:w="366" w:type="pct"/>
            <w:vAlign w:val="center"/>
          </w:tcPr>
          <w:p w14:paraId="48F8D71D">
            <w:pPr>
              <w:pStyle w:val="23"/>
              <w:keepNext w:val="0"/>
              <w:keepLines w:val="0"/>
              <w:suppressLineNumbers w:val="0"/>
              <w:spacing w:before="58" w:line="222" w:lineRule="auto"/>
              <w:ind w:left="0"/>
              <w:rPr>
                <w:b w:val="0"/>
                <w:bCs w:val="0"/>
                <w:highlight w:val="none"/>
              </w:rPr>
            </w:pPr>
            <w:r>
              <w:rPr>
                <w:b w:val="0"/>
                <w:bCs w:val="0"/>
                <w:spacing w:val="-3"/>
                <w:highlight w:val="none"/>
              </w:rPr>
              <w:t>系统设置</w:t>
            </w:r>
          </w:p>
        </w:tc>
        <w:tc>
          <w:tcPr>
            <w:tcW w:w="1728" w:type="pct"/>
            <w:vAlign w:val="center"/>
          </w:tcPr>
          <w:p w14:paraId="449942AF">
            <w:pPr>
              <w:pStyle w:val="23"/>
              <w:keepNext w:val="0"/>
              <w:keepLines w:val="0"/>
              <w:suppressLineNumbers w:val="0"/>
              <w:spacing w:before="59" w:line="220" w:lineRule="auto"/>
              <w:ind w:left="114"/>
              <w:rPr>
                <w:b w:val="0"/>
                <w:bCs w:val="0"/>
                <w:highlight w:val="none"/>
              </w:rPr>
            </w:pPr>
            <w:r>
              <w:rPr>
                <w:b w:val="0"/>
                <w:bCs w:val="0"/>
                <w:spacing w:val="-1"/>
                <w:highlight w:val="none"/>
              </w:rPr>
              <w:t>是否按规定设置自动喷水灭火系统。</w:t>
            </w:r>
          </w:p>
        </w:tc>
        <w:tc>
          <w:tcPr>
            <w:tcW w:w="1179" w:type="pct"/>
            <w:vAlign w:val="center"/>
          </w:tcPr>
          <w:p w14:paraId="0CDFD7F6">
            <w:pPr>
              <w:pStyle w:val="23"/>
              <w:keepNext w:val="0"/>
              <w:keepLines w:val="0"/>
              <w:suppressLineNumbers w:val="0"/>
              <w:spacing w:before="191" w:line="306" w:lineRule="auto"/>
              <w:ind w:left="116" w:right="103" w:hanging="2"/>
              <w:rPr>
                <w:b w:val="0"/>
                <w:bCs w:val="0"/>
                <w:highlight w:val="none"/>
              </w:rPr>
            </w:pPr>
            <w:r>
              <w:rPr>
                <w:b w:val="0"/>
                <w:bCs w:val="0"/>
                <w:spacing w:val="6"/>
                <w:highlight w:val="none"/>
              </w:rPr>
              <w:t>按照规范应设但未设置自动喷水灭火系</w:t>
            </w:r>
            <w:r>
              <w:rPr>
                <w:b w:val="0"/>
                <w:bCs w:val="0"/>
                <w:spacing w:val="-3"/>
                <w:highlight w:val="none"/>
              </w:rPr>
              <w:t>统，该评估子项不得分。</w:t>
            </w:r>
          </w:p>
        </w:tc>
        <w:tc>
          <w:tcPr>
            <w:tcW w:w="366" w:type="pct"/>
            <w:shd w:val="clear" w:color="auto" w:fill="auto"/>
            <w:vAlign w:val="center"/>
          </w:tcPr>
          <w:p w14:paraId="213457AC">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auto"/>
                <w:kern w:val="0"/>
                <w:sz w:val="21"/>
                <w:szCs w:val="18"/>
                <w:highlight w:val="none"/>
                <w:lang w:val="en-US" w:eastAsia="zh-CN" w:bidi="ar-SA"/>
              </w:rPr>
            </w:pPr>
          </w:p>
        </w:tc>
        <w:tc>
          <w:tcPr>
            <w:tcW w:w="338" w:type="pct"/>
            <w:vAlign w:val="center"/>
          </w:tcPr>
          <w:p w14:paraId="351AA74F">
            <w:pPr>
              <w:keepNext w:val="0"/>
              <w:keepLines w:val="0"/>
              <w:suppressLineNumbers w:val="0"/>
              <w:spacing w:before="0" w:beforeAutospacing="0" w:after="0" w:afterAutospacing="0"/>
              <w:ind w:left="0" w:right="0"/>
              <w:rPr>
                <w:rFonts w:hint="default" w:ascii="Arial" w:eastAsia="宋体"/>
                <w:b w:val="0"/>
                <w:bCs w:val="0"/>
                <w:sz w:val="21"/>
                <w:highlight w:val="none"/>
                <w:lang w:val="en-US" w:eastAsia="zh-CN"/>
              </w:rPr>
            </w:pPr>
          </w:p>
        </w:tc>
        <w:tc>
          <w:tcPr>
            <w:tcW w:w="330" w:type="pct"/>
            <w:vAlign w:val="center"/>
          </w:tcPr>
          <w:p w14:paraId="6658162B">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50FDE1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7" w:hRule="atLeast"/>
          <w:jc w:val="center"/>
        </w:trPr>
        <w:tc>
          <w:tcPr>
            <w:tcW w:w="197" w:type="pct"/>
            <w:vMerge w:val="continue"/>
            <w:tcBorders>
              <w:top w:val="nil"/>
              <w:bottom w:val="nil"/>
            </w:tcBorders>
            <w:vAlign w:val="center"/>
          </w:tcPr>
          <w:p w14:paraId="385D4DFB">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44777EC7">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3376FBCF">
            <w:pPr>
              <w:pStyle w:val="23"/>
              <w:keepNext w:val="0"/>
              <w:keepLines w:val="0"/>
              <w:suppressLineNumbers w:val="0"/>
              <w:spacing w:before="58" w:line="220" w:lineRule="auto"/>
              <w:ind w:right="14"/>
              <w:jc w:val="center"/>
              <w:rPr>
                <w:b w:val="0"/>
                <w:bCs w:val="0"/>
                <w:highlight w:val="none"/>
              </w:rPr>
            </w:pPr>
            <w:r>
              <w:rPr>
                <w:b w:val="0"/>
                <w:bCs w:val="0"/>
                <w:spacing w:val="-9"/>
                <w:highlight w:val="none"/>
              </w:rPr>
              <w:t>管网（3</w:t>
            </w:r>
            <w:r>
              <w:rPr>
                <w:b w:val="0"/>
                <w:bCs w:val="0"/>
                <w:spacing w:val="-31"/>
                <w:highlight w:val="none"/>
              </w:rPr>
              <w:t xml:space="preserve"> </w:t>
            </w:r>
            <w:r>
              <w:rPr>
                <w:b w:val="0"/>
                <w:bCs w:val="0"/>
                <w:spacing w:val="-9"/>
                <w:highlight w:val="none"/>
              </w:rPr>
              <w:t>分）</w:t>
            </w:r>
          </w:p>
        </w:tc>
        <w:tc>
          <w:tcPr>
            <w:tcW w:w="1728" w:type="pct"/>
            <w:vAlign w:val="center"/>
          </w:tcPr>
          <w:p w14:paraId="2A68185D">
            <w:pPr>
              <w:pStyle w:val="23"/>
              <w:keepNext w:val="0"/>
              <w:keepLines w:val="0"/>
              <w:suppressLineNumbers w:val="0"/>
              <w:spacing w:before="66" w:line="220" w:lineRule="auto"/>
              <w:ind w:left="112"/>
              <w:rPr>
                <w:b w:val="0"/>
                <w:bCs w:val="0"/>
                <w:highlight w:val="none"/>
              </w:rPr>
            </w:pPr>
            <w:r>
              <w:rPr>
                <w:b w:val="0"/>
                <w:bCs w:val="0"/>
                <w:spacing w:val="-1"/>
                <w:highlight w:val="none"/>
              </w:rPr>
              <w:t>a)配水干管、配水管应做红色或红色环圈标志；</w:t>
            </w:r>
          </w:p>
          <w:p w14:paraId="0630EB39">
            <w:pPr>
              <w:pStyle w:val="23"/>
              <w:keepNext w:val="0"/>
              <w:keepLines w:val="0"/>
              <w:suppressLineNumbers w:val="0"/>
              <w:spacing w:before="97" w:line="307" w:lineRule="auto"/>
              <w:ind w:left="117" w:right="104" w:hanging="9"/>
              <w:rPr>
                <w:b w:val="0"/>
                <w:bCs w:val="0"/>
                <w:highlight w:val="none"/>
              </w:rPr>
            </w:pPr>
            <w:r>
              <w:rPr>
                <w:b w:val="0"/>
                <w:bCs w:val="0"/>
                <w:spacing w:val="-1"/>
                <w:highlight w:val="none"/>
              </w:rPr>
              <w:t>b)管道、组件、支吊架等应完好无损、无锈蚀，管道无泄漏现象，配水管道不应设置其他用水设施；</w:t>
            </w:r>
          </w:p>
          <w:p w14:paraId="35BA687F">
            <w:pPr>
              <w:pStyle w:val="23"/>
              <w:keepNext w:val="0"/>
              <w:keepLines w:val="0"/>
              <w:suppressLineNumbers w:val="0"/>
              <w:spacing w:before="25" w:line="307" w:lineRule="auto"/>
              <w:ind w:left="112" w:right="102" w:firstLine="2"/>
              <w:rPr>
                <w:b w:val="0"/>
                <w:bCs w:val="0"/>
                <w:highlight w:val="none"/>
              </w:rPr>
            </w:pPr>
            <w:r>
              <w:rPr>
                <w:b w:val="0"/>
                <w:bCs w:val="0"/>
                <w:spacing w:val="4"/>
                <w:highlight w:val="none"/>
              </w:rPr>
              <w:t>c)</w:t>
            </w:r>
            <w:r>
              <w:rPr>
                <w:b w:val="0"/>
                <w:bCs w:val="0"/>
                <w:spacing w:val="-48"/>
                <w:highlight w:val="none"/>
              </w:rPr>
              <w:t xml:space="preserve"> </w:t>
            </w:r>
            <w:r>
              <w:rPr>
                <w:b w:val="0"/>
                <w:bCs w:val="0"/>
                <w:spacing w:val="4"/>
                <w:highlight w:val="none"/>
              </w:rPr>
              <w:t>自动喷水灭火系统环状供水管网及报警阀进出口采</w:t>
            </w:r>
            <w:r>
              <w:rPr>
                <w:b w:val="0"/>
                <w:bCs w:val="0"/>
                <w:spacing w:val="3"/>
                <w:highlight w:val="none"/>
              </w:rPr>
              <w:t>用的控</w:t>
            </w:r>
            <w:r>
              <w:rPr>
                <w:b w:val="0"/>
                <w:bCs w:val="0"/>
                <w:spacing w:val="-1"/>
                <w:highlight w:val="none"/>
              </w:rPr>
              <w:t>制阀，应为信号阀或具有确保阀位处于常开状态的措施；</w:t>
            </w:r>
          </w:p>
          <w:p w14:paraId="32B6C2D5">
            <w:pPr>
              <w:pStyle w:val="23"/>
              <w:keepNext w:val="0"/>
              <w:keepLines w:val="0"/>
              <w:suppressLineNumbers w:val="0"/>
              <w:spacing w:before="25" w:line="307" w:lineRule="auto"/>
              <w:ind w:left="112" w:right="104" w:firstLine="2"/>
              <w:rPr>
                <w:b w:val="0"/>
                <w:bCs w:val="0"/>
                <w:highlight w:val="none"/>
              </w:rPr>
            </w:pPr>
            <w:r>
              <w:rPr>
                <w:b w:val="0"/>
                <w:bCs w:val="0"/>
                <w:spacing w:val="-1"/>
                <w:highlight w:val="none"/>
              </w:rPr>
              <w:t>d)干式系统和预作用系统的配水管道应设快速</w:t>
            </w:r>
            <w:r>
              <w:rPr>
                <w:b w:val="0"/>
                <w:bCs w:val="0"/>
                <w:spacing w:val="-2"/>
                <w:highlight w:val="none"/>
              </w:rPr>
              <w:t>排气阀，有压充</w:t>
            </w:r>
            <w:r>
              <w:rPr>
                <w:b w:val="0"/>
                <w:bCs w:val="0"/>
                <w:spacing w:val="-1"/>
                <w:highlight w:val="none"/>
              </w:rPr>
              <w:t>气管道的快速排气阀入口前应设电动阀；</w:t>
            </w:r>
          </w:p>
          <w:p w14:paraId="0699C903">
            <w:pPr>
              <w:pStyle w:val="23"/>
              <w:keepNext w:val="0"/>
              <w:keepLines w:val="0"/>
              <w:suppressLineNumbers w:val="0"/>
              <w:spacing w:before="26" w:line="281" w:lineRule="auto"/>
              <w:ind w:left="114" w:right="104" w:firstLine="1"/>
              <w:rPr>
                <w:b w:val="0"/>
                <w:bCs w:val="0"/>
                <w:highlight w:val="none"/>
              </w:rPr>
            </w:pPr>
            <w:r>
              <w:rPr>
                <w:b w:val="0"/>
                <w:bCs w:val="0"/>
                <w:spacing w:val="-1"/>
                <w:highlight w:val="none"/>
              </w:rPr>
              <w:t>e)空气压缩机和气压控制装置状态应正常；</w:t>
            </w:r>
            <w:r>
              <w:rPr>
                <w:b w:val="0"/>
                <w:bCs w:val="0"/>
                <w:spacing w:val="-2"/>
                <w:highlight w:val="none"/>
              </w:rPr>
              <w:t>压力表显示应符合</w:t>
            </w:r>
            <w:r>
              <w:rPr>
                <w:b w:val="0"/>
                <w:bCs w:val="0"/>
                <w:spacing w:val="-3"/>
                <w:highlight w:val="none"/>
              </w:rPr>
              <w:t>设定值。</w:t>
            </w:r>
          </w:p>
        </w:tc>
        <w:tc>
          <w:tcPr>
            <w:tcW w:w="1179" w:type="pct"/>
            <w:vAlign w:val="center"/>
          </w:tcPr>
          <w:p w14:paraId="00F68F8B">
            <w:pPr>
              <w:pStyle w:val="23"/>
              <w:keepNext w:val="0"/>
              <w:keepLines w:val="0"/>
              <w:suppressLineNumbers w:val="0"/>
              <w:spacing w:before="58"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6" w:type="pct"/>
            <w:vAlign w:val="center"/>
          </w:tcPr>
          <w:p w14:paraId="303C51D3">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vAlign w:val="center"/>
          </w:tcPr>
          <w:p w14:paraId="549A9C6E">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571C16CD">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rPr>
            </w:pPr>
          </w:p>
        </w:tc>
      </w:tr>
      <w:tr w14:paraId="49ABD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3" w:hRule="atLeast"/>
          <w:jc w:val="center"/>
        </w:trPr>
        <w:tc>
          <w:tcPr>
            <w:tcW w:w="197" w:type="pct"/>
            <w:vMerge w:val="continue"/>
            <w:tcBorders>
              <w:top w:val="nil"/>
              <w:bottom w:val="nil"/>
            </w:tcBorders>
            <w:vAlign w:val="center"/>
          </w:tcPr>
          <w:p w14:paraId="5005F6AF">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455DC2AB">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2AB555CD">
            <w:pPr>
              <w:pStyle w:val="23"/>
              <w:keepNext w:val="0"/>
              <w:keepLines w:val="0"/>
              <w:suppressLineNumbers w:val="0"/>
              <w:spacing w:before="58" w:line="307" w:lineRule="auto"/>
              <w:ind w:left="0" w:right="105" w:firstLine="0"/>
              <w:rPr>
                <w:b w:val="0"/>
                <w:bCs w:val="0"/>
                <w:highlight w:val="none"/>
              </w:rPr>
            </w:pPr>
            <w:r>
              <w:rPr>
                <w:b w:val="0"/>
                <w:bCs w:val="0"/>
                <w:spacing w:val="-14"/>
                <w:highlight w:val="none"/>
              </w:rPr>
              <w:t>报警阀组（5</w:t>
            </w:r>
            <w:r>
              <w:rPr>
                <w:b w:val="0"/>
                <w:bCs w:val="0"/>
                <w:spacing w:val="3"/>
                <w:highlight w:val="none"/>
              </w:rPr>
              <w:t xml:space="preserve"> </w:t>
            </w:r>
            <w:r>
              <w:rPr>
                <w:b w:val="0"/>
                <w:bCs w:val="0"/>
                <w:spacing w:val="-6"/>
                <w:highlight w:val="none"/>
              </w:rPr>
              <w:t>分）</w:t>
            </w:r>
          </w:p>
        </w:tc>
        <w:tc>
          <w:tcPr>
            <w:tcW w:w="1728" w:type="pct"/>
            <w:vAlign w:val="center"/>
          </w:tcPr>
          <w:p w14:paraId="586F3925">
            <w:pPr>
              <w:pStyle w:val="23"/>
              <w:keepNext w:val="0"/>
              <w:keepLines w:val="0"/>
              <w:suppressLineNumbers w:val="0"/>
              <w:spacing w:before="70" w:line="220" w:lineRule="auto"/>
              <w:ind w:left="112"/>
              <w:rPr>
                <w:b w:val="0"/>
                <w:bCs w:val="0"/>
                <w:highlight w:val="none"/>
              </w:rPr>
            </w:pPr>
            <w:r>
              <w:rPr>
                <w:b w:val="0"/>
                <w:bCs w:val="0"/>
                <w:spacing w:val="-1"/>
                <w:highlight w:val="none"/>
              </w:rPr>
              <w:t>a)报警阀组安装位置、排水设施；</w:t>
            </w:r>
          </w:p>
          <w:p w14:paraId="740D16F7">
            <w:pPr>
              <w:pStyle w:val="23"/>
              <w:keepNext w:val="0"/>
              <w:keepLines w:val="0"/>
              <w:suppressLineNumbers w:val="0"/>
              <w:spacing w:before="97" w:line="220" w:lineRule="auto"/>
              <w:ind w:left="108"/>
              <w:rPr>
                <w:b w:val="0"/>
                <w:bCs w:val="0"/>
                <w:highlight w:val="none"/>
              </w:rPr>
            </w:pPr>
            <w:r>
              <w:rPr>
                <w:b w:val="0"/>
                <w:bCs w:val="0"/>
                <w:spacing w:val="-1"/>
                <w:highlight w:val="none"/>
              </w:rPr>
              <w:t>b)报警阀组的标志牌、组件、外观；</w:t>
            </w:r>
          </w:p>
          <w:p w14:paraId="087D1931">
            <w:pPr>
              <w:pStyle w:val="23"/>
              <w:keepNext w:val="0"/>
              <w:keepLines w:val="0"/>
              <w:suppressLineNumbers w:val="0"/>
              <w:spacing w:before="97" w:line="220" w:lineRule="auto"/>
              <w:ind w:left="115"/>
              <w:rPr>
                <w:b w:val="0"/>
                <w:bCs w:val="0"/>
                <w:highlight w:val="none"/>
              </w:rPr>
            </w:pPr>
            <w:r>
              <w:rPr>
                <w:b w:val="0"/>
                <w:bCs w:val="0"/>
                <w:spacing w:val="-1"/>
                <w:highlight w:val="none"/>
              </w:rPr>
              <w:t>c)水力警铃的设置位置；</w:t>
            </w:r>
          </w:p>
          <w:p w14:paraId="39BF5D0A">
            <w:pPr>
              <w:pStyle w:val="23"/>
              <w:keepNext w:val="0"/>
              <w:keepLines w:val="0"/>
              <w:suppressLineNumbers w:val="0"/>
              <w:spacing w:before="97" w:line="220" w:lineRule="auto"/>
              <w:ind w:left="115"/>
              <w:rPr>
                <w:b w:val="0"/>
                <w:bCs w:val="0"/>
                <w:highlight w:val="none"/>
              </w:rPr>
            </w:pPr>
            <w:r>
              <w:rPr>
                <w:b w:val="0"/>
                <w:bCs w:val="0"/>
                <w:spacing w:val="-1"/>
                <w:highlight w:val="none"/>
              </w:rPr>
              <w:t>d)报警阀组的功能。</w:t>
            </w:r>
          </w:p>
        </w:tc>
        <w:tc>
          <w:tcPr>
            <w:tcW w:w="1179" w:type="pct"/>
            <w:vAlign w:val="center"/>
          </w:tcPr>
          <w:p w14:paraId="4D4AE43C">
            <w:pPr>
              <w:pStyle w:val="23"/>
              <w:keepNext w:val="0"/>
              <w:keepLines w:val="0"/>
              <w:suppressLineNumbers w:val="0"/>
              <w:spacing w:before="59" w:line="307" w:lineRule="auto"/>
              <w:ind w:left="114" w:right="101"/>
              <w:rPr>
                <w:b w:val="0"/>
                <w:bCs w:val="0"/>
                <w:highlight w:val="none"/>
              </w:rPr>
            </w:pPr>
            <w:r>
              <w:rPr>
                <w:b w:val="0"/>
                <w:bCs w:val="0"/>
                <w:spacing w:val="-5"/>
                <w:highlight w:val="none"/>
              </w:rPr>
              <w:t>a)b)c)不符合要求各扣</w:t>
            </w:r>
            <w:r>
              <w:rPr>
                <w:b w:val="0"/>
                <w:bCs w:val="0"/>
                <w:spacing w:val="-25"/>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分，d)不符合要</w:t>
            </w:r>
            <w:r>
              <w:rPr>
                <w:b w:val="0"/>
                <w:bCs w:val="0"/>
                <w:spacing w:val="-4"/>
                <w:highlight w:val="none"/>
              </w:rPr>
              <w:t>求扣</w:t>
            </w:r>
            <w:r>
              <w:rPr>
                <w:b w:val="0"/>
                <w:bCs w:val="0"/>
                <w:spacing w:val="-34"/>
                <w:highlight w:val="none"/>
              </w:rPr>
              <w:t xml:space="preserve"> </w:t>
            </w:r>
            <w:r>
              <w:rPr>
                <w:b w:val="0"/>
                <w:bCs w:val="0"/>
                <w:spacing w:val="-4"/>
                <w:highlight w:val="none"/>
              </w:rPr>
              <w:t>5</w:t>
            </w:r>
            <w:r>
              <w:rPr>
                <w:b w:val="0"/>
                <w:bCs w:val="0"/>
                <w:spacing w:val="-34"/>
                <w:highlight w:val="none"/>
              </w:rPr>
              <w:t xml:space="preserve"> </w:t>
            </w:r>
            <w:r>
              <w:rPr>
                <w:b w:val="0"/>
                <w:bCs w:val="0"/>
                <w:spacing w:val="-4"/>
                <w:highlight w:val="none"/>
              </w:rPr>
              <w:t>分；扣完不得分。</w:t>
            </w:r>
          </w:p>
        </w:tc>
        <w:tc>
          <w:tcPr>
            <w:tcW w:w="366" w:type="pct"/>
            <w:vAlign w:val="center"/>
          </w:tcPr>
          <w:p w14:paraId="5E302D75">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vAlign w:val="center"/>
          </w:tcPr>
          <w:p w14:paraId="5545ABBC">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BE47282">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573F5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4" w:hRule="atLeast"/>
          <w:jc w:val="center"/>
        </w:trPr>
        <w:tc>
          <w:tcPr>
            <w:tcW w:w="197" w:type="pct"/>
            <w:vMerge w:val="continue"/>
            <w:tcBorders>
              <w:top w:val="nil"/>
              <w:bottom w:val="nil"/>
            </w:tcBorders>
            <w:vAlign w:val="center"/>
          </w:tcPr>
          <w:p w14:paraId="6278F2A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54B8A26">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7CE1FD2B">
            <w:pPr>
              <w:pStyle w:val="23"/>
              <w:keepNext w:val="0"/>
              <w:keepLines w:val="0"/>
              <w:suppressLineNumbers w:val="0"/>
              <w:spacing w:before="59" w:line="220" w:lineRule="auto"/>
              <w:ind w:right="14"/>
              <w:jc w:val="center"/>
              <w:rPr>
                <w:b w:val="0"/>
                <w:bCs w:val="0"/>
                <w:highlight w:val="none"/>
              </w:rPr>
            </w:pPr>
            <w:r>
              <w:rPr>
                <w:b w:val="0"/>
                <w:bCs w:val="0"/>
                <w:spacing w:val="-9"/>
                <w:highlight w:val="none"/>
              </w:rPr>
              <w:t>喷头（3</w:t>
            </w:r>
            <w:r>
              <w:rPr>
                <w:b w:val="0"/>
                <w:bCs w:val="0"/>
                <w:spacing w:val="-34"/>
                <w:highlight w:val="none"/>
              </w:rPr>
              <w:t xml:space="preserve"> </w:t>
            </w:r>
            <w:r>
              <w:rPr>
                <w:b w:val="0"/>
                <w:bCs w:val="0"/>
                <w:spacing w:val="-9"/>
                <w:highlight w:val="none"/>
              </w:rPr>
              <w:t>分）</w:t>
            </w:r>
          </w:p>
        </w:tc>
        <w:tc>
          <w:tcPr>
            <w:tcW w:w="1728" w:type="pct"/>
            <w:vAlign w:val="center"/>
          </w:tcPr>
          <w:p w14:paraId="41F0EEB3">
            <w:pPr>
              <w:pStyle w:val="23"/>
              <w:keepNext w:val="0"/>
              <w:keepLines w:val="0"/>
              <w:suppressLineNumbers w:val="0"/>
              <w:spacing w:before="59" w:line="220" w:lineRule="auto"/>
              <w:ind w:left="118"/>
              <w:rPr>
                <w:b w:val="0"/>
                <w:bCs w:val="0"/>
                <w:highlight w:val="none"/>
              </w:rPr>
            </w:pPr>
            <w:r>
              <w:rPr>
                <w:rFonts w:hint="eastAsia"/>
                <w:b w:val="0"/>
                <w:bCs w:val="0"/>
                <w:spacing w:val="-1"/>
                <w:highlight w:val="none"/>
                <w:lang w:eastAsia="zh-CN"/>
              </w:rPr>
              <w:t>喷</w:t>
            </w:r>
            <w:r>
              <w:rPr>
                <w:b w:val="0"/>
                <w:bCs w:val="0"/>
                <w:spacing w:val="-1"/>
                <w:highlight w:val="none"/>
              </w:rPr>
              <w:t>头的规格型号、安装、防护措施。</w:t>
            </w:r>
          </w:p>
        </w:tc>
        <w:tc>
          <w:tcPr>
            <w:tcW w:w="1179" w:type="pct"/>
            <w:vAlign w:val="center"/>
          </w:tcPr>
          <w:p w14:paraId="79D394BF">
            <w:pPr>
              <w:pStyle w:val="23"/>
              <w:keepNext w:val="0"/>
              <w:keepLines w:val="0"/>
              <w:suppressLineNumbers w:val="0"/>
              <w:spacing w:before="197" w:line="307" w:lineRule="auto"/>
              <w:ind w:left="115" w:right="103" w:hanging="2"/>
              <w:rPr>
                <w:b w:val="0"/>
                <w:bCs w:val="0"/>
                <w:highlight w:val="none"/>
              </w:rPr>
            </w:pPr>
            <w:r>
              <w:rPr>
                <w:b w:val="0"/>
                <w:bCs w:val="0"/>
                <w:spacing w:val="-6"/>
                <w:highlight w:val="none"/>
              </w:rPr>
              <w:t>每发现一处不符合要求扣</w:t>
            </w:r>
            <w:r>
              <w:rPr>
                <w:b w:val="0"/>
                <w:bCs w:val="0"/>
                <w:spacing w:val="-14"/>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w:t>
            </w:r>
            <w:r>
              <w:rPr>
                <w:b w:val="0"/>
                <w:bCs w:val="0"/>
                <w:spacing w:val="-9"/>
                <w:highlight w:val="none"/>
              </w:rPr>
              <w:t>分。</w:t>
            </w:r>
          </w:p>
        </w:tc>
        <w:tc>
          <w:tcPr>
            <w:tcW w:w="366" w:type="pct"/>
            <w:vAlign w:val="center"/>
          </w:tcPr>
          <w:p w14:paraId="1F026B9F">
            <w:pPr>
              <w:pStyle w:val="23"/>
              <w:keepNext w:val="0"/>
              <w:keepLines w:val="0"/>
              <w:suppressLineNumbers w:val="0"/>
              <w:spacing w:before="68" w:line="282" w:lineRule="auto"/>
              <w:ind w:right="101" w:rightChars="0"/>
              <w:jc w:val="center"/>
              <w:rPr>
                <w:rFonts w:hint="default" w:ascii="Arial" w:eastAsia="宋体"/>
                <w:b w:val="0"/>
                <w:bCs w:val="0"/>
                <w:color w:val="auto"/>
                <w:sz w:val="21"/>
                <w:highlight w:val="none"/>
                <w:lang w:val="en-US" w:eastAsia="zh-CN"/>
              </w:rPr>
            </w:pPr>
          </w:p>
        </w:tc>
        <w:tc>
          <w:tcPr>
            <w:tcW w:w="338" w:type="pct"/>
            <w:vAlign w:val="center"/>
          </w:tcPr>
          <w:p w14:paraId="6F5B1FDF">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609CBAA3">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75B1DB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jc w:val="center"/>
        </w:trPr>
        <w:tc>
          <w:tcPr>
            <w:tcW w:w="197" w:type="pct"/>
            <w:vMerge w:val="continue"/>
            <w:tcBorders>
              <w:top w:val="nil"/>
            </w:tcBorders>
            <w:vAlign w:val="center"/>
          </w:tcPr>
          <w:p w14:paraId="3DCA8AF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52A598F0">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4EDFCEAC">
            <w:pPr>
              <w:pStyle w:val="23"/>
              <w:keepNext w:val="0"/>
              <w:keepLines w:val="0"/>
              <w:suppressLineNumbers w:val="0"/>
              <w:spacing w:before="229" w:line="307" w:lineRule="auto"/>
              <w:ind w:left="0" w:right="103" w:firstLine="0"/>
              <w:rPr>
                <w:b w:val="0"/>
                <w:bCs w:val="0"/>
                <w:highlight w:val="none"/>
              </w:rPr>
            </w:pPr>
            <w:r>
              <w:rPr>
                <w:b w:val="0"/>
                <w:bCs w:val="0"/>
                <w:spacing w:val="2"/>
                <w:highlight w:val="none"/>
              </w:rPr>
              <w:t>末端试水装</w:t>
            </w:r>
            <w:r>
              <w:rPr>
                <w:b w:val="0"/>
                <w:bCs w:val="0"/>
                <w:spacing w:val="7"/>
                <w:highlight w:val="none"/>
              </w:rPr>
              <w:t>置（2分）</w:t>
            </w:r>
          </w:p>
        </w:tc>
        <w:tc>
          <w:tcPr>
            <w:tcW w:w="1728" w:type="pct"/>
            <w:vAlign w:val="center"/>
          </w:tcPr>
          <w:p w14:paraId="2BEF8FDB">
            <w:pPr>
              <w:pStyle w:val="23"/>
              <w:keepNext w:val="0"/>
              <w:keepLines w:val="0"/>
              <w:suppressLineNumbers w:val="0"/>
              <w:spacing w:before="73" w:line="220" w:lineRule="auto"/>
              <w:ind w:left="112"/>
              <w:rPr>
                <w:b w:val="0"/>
                <w:bCs w:val="0"/>
                <w:highlight w:val="none"/>
              </w:rPr>
            </w:pPr>
            <w:r>
              <w:rPr>
                <w:b w:val="0"/>
                <w:bCs w:val="0"/>
                <w:spacing w:val="-1"/>
                <w:highlight w:val="none"/>
              </w:rPr>
              <w:t>a)末端</w:t>
            </w:r>
            <w:r>
              <w:rPr>
                <w:rFonts w:hint="eastAsia"/>
                <w:b w:val="0"/>
                <w:bCs w:val="0"/>
                <w:spacing w:val="-1"/>
                <w:highlight w:val="none"/>
                <w:lang w:eastAsia="zh-CN"/>
              </w:rPr>
              <w:t>洒水装置</w:t>
            </w:r>
            <w:r>
              <w:rPr>
                <w:b w:val="0"/>
                <w:bCs w:val="0"/>
                <w:spacing w:val="-1"/>
                <w:highlight w:val="none"/>
              </w:rPr>
              <w:t>的设置、安装、组件、排水设施；</w:t>
            </w:r>
          </w:p>
          <w:p w14:paraId="4FF1E2C0">
            <w:pPr>
              <w:pStyle w:val="23"/>
              <w:keepNext w:val="0"/>
              <w:keepLines w:val="0"/>
              <w:suppressLineNumbers w:val="0"/>
              <w:spacing w:before="96" w:line="283" w:lineRule="auto"/>
              <w:ind w:left="110" w:right="102" w:hanging="2"/>
              <w:rPr>
                <w:b w:val="0"/>
                <w:bCs w:val="0"/>
                <w:highlight w:val="none"/>
              </w:rPr>
            </w:pPr>
            <w:r>
              <w:rPr>
                <w:b w:val="0"/>
                <w:bCs w:val="0"/>
                <w:spacing w:val="6"/>
                <w:highlight w:val="none"/>
              </w:rPr>
              <w:t>b)末端试水装置和试水阀应有标识，并应</w:t>
            </w:r>
            <w:r>
              <w:rPr>
                <w:b w:val="0"/>
                <w:bCs w:val="0"/>
                <w:spacing w:val="5"/>
                <w:highlight w:val="none"/>
              </w:rPr>
              <w:t>采取不被他用的措</w:t>
            </w:r>
            <w:r>
              <w:rPr>
                <w:b w:val="0"/>
                <w:bCs w:val="0"/>
                <w:spacing w:val="-4"/>
                <w:highlight w:val="none"/>
              </w:rPr>
              <w:t>施。</w:t>
            </w:r>
          </w:p>
        </w:tc>
        <w:tc>
          <w:tcPr>
            <w:tcW w:w="1179" w:type="pct"/>
            <w:vAlign w:val="center"/>
          </w:tcPr>
          <w:p w14:paraId="676EDF66">
            <w:pPr>
              <w:pStyle w:val="23"/>
              <w:keepNext w:val="0"/>
              <w:keepLines w:val="0"/>
              <w:suppressLineNumbers w:val="0"/>
              <w:spacing w:before="228"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6" w:type="pct"/>
            <w:vAlign w:val="center"/>
          </w:tcPr>
          <w:p w14:paraId="35EF68CE">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vAlign w:val="center"/>
          </w:tcPr>
          <w:p w14:paraId="38F85095">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5009B662">
            <w:pPr>
              <w:keepNext w:val="0"/>
              <w:keepLines w:val="0"/>
              <w:suppressLineNumbers w:val="0"/>
              <w:spacing w:before="0" w:beforeAutospacing="0" w:after="0" w:afterAutospacing="0"/>
              <w:ind w:left="0" w:right="0"/>
              <w:rPr>
                <w:rFonts w:hint="default" w:ascii="Arial"/>
                <w:b w:val="0"/>
                <w:bCs w:val="0"/>
                <w:sz w:val="21"/>
                <w:highlight w:val="none"/>
              </w:rPr>
            </w:pPr>
          </w:p>
        </w:tc>
      </w:tr>
    </w:tbl>
    <w:p w14:paraId="612C2381">
      <w:pPr>
        <w:rPr>
          <w:highlight w:val="none"/>
        </w:rPr>
      </w:pPr>
      <w:r>
        <w:rPr>
          <w:highlight w:val="none"/>
        </w:rPr>
        <w:br w:type="page"/>
      </w:r>
    </w:p>
    <w:tbl>
      <w:tblPr>
        <w:tblStyle w:val="24"/>
        <w:tblW w:w="497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9"/>
        <w:gridCol w:w="1475"/>
        <w:gridCol w:w="1098"/>
        <w:gridCol w:w="5170"/>
        <w:gridCol w:w="3525"/>
        <w:gridCol w:w="1098"/>
        <w:gridCol w:w="1011"/>
        <w:gridCol w:w="985"/>
      </w:tblGrid>
      <w:tr w14:paraId="0BD7B8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197" w:type="pct"/>
            <w:vAlign w:val="center"/>
          </w:tcPr>
          <w:p w14:paraId="6D12973F">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1096ED4B">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7FF7762F">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28" w:type="pct"/>
            <w:vAlign w:val="center"/>
          </w:tcPr>
          <w:p w14:paraId="3EE4D385">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8" w:type="pct"/>
            <w:vAlign w:val="center"/>
          </w:tcPr>
          <w:p w14:paraId="32499888">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1D616A14">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67E4469F">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434FF74B">
            <w:pPr>
              <w:pStyle w:val="23"/>
              <w:keepNext w:val="0"/>
              <w:keepLines w:val="0"/>
              <w:suppressLineNumbers w:val="0"/>
              <w:spacing w:before="71" w:line="220" w:lineRule="auto"/>
              <w:ind w:left="295"/>
              <w:rPr>
                <w:highlight w:val="none"/>
              </w:rPr>
            </w:pPr>
            <w:r>
              <w:rPr>
                <w:b/>
                <w:bCs/>
                <w:spacing w:val="-4"/>
                <w:highlight w:val="none"/>
              </w:rPr>
              <w:t>得分</w:t>
            </w:r>
          </w:p>
        </w:tc>
      </w:tr>
      <w:tr w14:paraId="7F5908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1" w:hRule="atLeast"/>
          <w:jc w:val="center"/>
        </w:trPr>
        <w:tc>
          <w:tcPr>
            <w:tcW w:w="197" w:type="pct"/>
            <w:vAlign w:val="center"/>
          </w:tcPr>
          <w:p w14:paraId="1940315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Align w:val="center"/>
          </w:tcPr>
          <w:p w14:paraId="3EDAE2B4">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3F8AC22E">
            <w:pPr>
              <w:pStyle w:val="23"/>
              <w:keepNext w:val="0"/>
              <w:keepLines w:val="0"/>
              <w:suppressLineNumbers w:val="0"/>
              <w:spacing w:before="58" w:line="307" w:lineRule="auto"/>
              <w:ind w:left="0" w:right="105" w:firstLine="0"/>
              <w:rPr>
                <w:b w:val="0"/>
                <w:bCs w:val="0"/>
                <w:highlight w:val="none"/>
              </w:rPr>
            </w:pPr>
            <w:r>
              <w:rPr>
                <w:b w:val="0"/>
                <w:bCs w:val="0"/>
                <w:spacing w:val="-15"/>
                <w:highlight w:val="none"/>
              </w:rPr>
              <w:t>系统功能（7</w:t>
            </w:r>
            <w:r>
              <w:rPr>
                <w:b w:val="0"/>
                <w:bCs w:val="0"/>
                <w:spacing w:val="4"/>
                <w:highlight w:val="none"/>
              </w:rPr>
              <w:t xml:space="preserve"> </w:t>
            </w:r>
            <w:r>
              <w:rPr>
                <w:b w:val="0"/>
                <w:bCs w:val="0"/>
                <w:spacing w:val="-6"/>
                <w:highlight w:val="none"/>
              </w:rPr>
              <w:t>分）</w:t>
            </w:r>
          </w:p>
        </w:tc>
        <w:tc>
          <w:tcPr>
            <w:tcW w:w="1728" w:type="pct"/>
            <w:vAlign w:val="center"/>
          </w:tcPr>
          <w:p w14:paraId="14EA5927">
            <w:pPr>
              <w:pStyle w:val="23"/>
              <w:keepNext w:val="0"/>
              <w:keepLines w:val="0"/>
              <w:suppressLineNumbers w:val="0"/>
              <w:spacing w:before="66" w:line="220" w:lineRule="auto"/>
              <w:ind w:left="112"/>
              <w:rPr>
                <w:b w:val="0"/>
                <w:bCs w:val="0"/>
                <w:highlight w:val="none"/>
              </w:rPr>
            </w:pPr>
            <w:r>
              <w:rPr>
                <w:b w:val="0"/>
                <w:bCs w:val="0"/>
                <w:spacing w:val="-4"/>
                <w:highlight w:val="none"/>
              </w:rPr>
              <w:t>a)自动喷水灭火系统的手动控制方式及功能；</w:t>
            </w:r>
          </w:p>
          <w:p w14:paraId="2EEF8AC2">
            <w:pPr>
              <w:pStyle w:val="23"/>
              <w:keepNext w:val="0"/>
              <w:keepLines w:val="0"/>
              <w:suppressLineNumbers w:val="0"/>
              <w:spacing w:before="97" w:line="220" w:lineRule="auto"/>
              <w:ind w:left="108"/>
              <w:rPr>
                <w:b w:val="0"/>
                <w:bCs w:val="0"/>
                <w:highlight w:val="none"/>
              </w:rPr>
            </w:pPr>
            <w:r>
              <w:rPr>
                <w:b w:val="0"/>
                <w:bCs w:val="0"/>
                <w:spacing w:val="-4"/>
                <w:highlight w:val="none"/>
              </w:rPr>
              <w:t>b)自动喷水灭火系统的联动控制方式及功能；</w:t>
            </w:r>
          </w:p>
          <w:p w14:paraId="1EC9B318">
            <w:pPr>
              <w:pStyle w:val="23"/>
              <w:keepNext w:val="0"/>
              <w:keepLines w:val="0"/>
              <w:suppressLineNumbers w:val="0"/>
              <w:spacing w:before="98" w:line="301" w:lineRule="auto"/>
              <w:ind w:left="110" w:right="102" w:firstLine="4"/>
              <w:jc w:val="both"/>
              <w:rPr>
                <w:b w:val="0"/>
                <w:bCs w:val="0"/>
                <w:highlight w:val="none"/>
              </w:rPr>
            </w:pPr>
            <w:r>
              <w:rPr>
                <w:b w:val="0"/>
                <w:bCs w:val="0"/>
                <w:spacing w:val="-1"/>
                <w:highlight w:val="none"/>
              </w:rPr>
              <w:t>c)水流指示器、信号阀、压力开关、消防泵的</w:t>
            </w:r>
            <w:r>
              <w:rPr>
                <w:b w:val="0"/>
                <w:bCs w:val="0"/>
                <w:spacing w:val="-2"/>
                <w:highlight w:val="none"/>
              </w:rPr>
              <w:t>启动和停止的动</w:t>
            </w:r>
            <w:r>
              <w:rPr>
                <w:b w:val="0"/>
                <w:bCs w:val="0"/>
                <w:spacing w:val="-1"/>
                <w:highlight w:val="none"/>
              </w:rPr>
              <w:t>作信号反馈，有压气体管道气压状态信号和快速排气阀入口前</w:t>
            </w:r>
            <w:r>
              <w:rPr>
                <w:b w:val="0"/>
                <w:bCs w:val="0"/>
                <w:spacing w:val="6"/>
                <w:highlight w:val="none"/>
              </w:rPr>
              <w:t>电动阀的动作信号反馈，水幕系统相关控制阀组动作信号反</w:t>
            </w:r>
            <w:r>
              <w:rPr>
                <w:b w:val="0"/>
                <w:bCs w:val="0"/>
                <w:spacing w:val="-4"/>
                <w:highlight w:val="none"/>
              </w:rPr>
              <w:t>馈。</w:t>
            </w:r>
          </w:p>
        </w:tc>
        <w:tc>
          <w:tcPr>
            <w:tcW w:w="1178" w:type="pct"/>
            <w:vAlign w:val="center"/>
          </w:tcPr>
          <w:p w14:paraId="5E9962BF">
            <w:pPr>
              <w:pStyle w:val="23"/>
              <w:keepNext w:val="0"/>
              <w:keepLines w:val="0"/>
              <w:suppressLineNumbers w:val="0"/>
              <w:spacing w:before="59"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3</w:t>
            </w:r>
            <w:r>
              <w:rPr>
                <w:b w:val="0"/>
                <w:bCs w:val="0"/>
                <w:spacing w:val="-34"/>
                <w:highlight w:val="none"/>
              </w:rPr>
              <w:t xml:space="preserve"> </w:t>
            </w:r>
            <w:r>
              <w:rPr>
                <w:b w:val="0"/>
                <w:bCs w:val="0"/>
                <w:spacing w:val="-5"/>
                <w:highlight w:val="none"/>
              </w:rPr>
              <w:t>分，c)不符合要求</w:t>
            </w:r>
            <w:r>
              <w:rPr>
                <w:b w:val="0"/>
                <w:bCs w:val="0"/>
                <w:spacing w:val="-6"/>
                <w:highlight w:val="none"/>
              </w:rPr>
              <w:t>扣</w:t>
            </w:r>
            <w:r>
              <w:rPr>
                <w:b w:val="0"/>
                <w:bCs w:val="0"/>
                <w:spacing w:val="-20"/>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shd w:val="clear" w:color="auto" w:fill="auto"/>
            <w:vAlign w:val="center"/>
          </w:tcPr>
          <w:p w14:paraId="21A263AF">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8" w:type="pct"/>
            <w:vAlign w:val="center"/>
          </w:tcPr>
          <w:p w14:paraId="01FD1C4E">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523C0197">
            <w:pPr>
              <w:keepNext w:val="0"/>
              <w:keepLines w:val="0"/>
              <w:suppressLineNumbers w:val="0"/>
              <w:spacing w:before="0" w:beforeAutospacing="0" w:after="0" w:afterAutospacing="0"/>
              <w:ind w:left="0" w:right="0"/>
              <w:rPr>
                <w:rFonts w:hint="default" w:ascii="Arial"/>
                <w:b w:val="0"/>
                <w:bCs w:val="0"/>
                <w:sz w:val="21"/>
                <w:highlight w:val="none"/>
              </w:rPr>
            </w:pPr>
          </w:p>
        </w:tc>
      </w:tr>
      <w:tr w14:paraId="78C7E7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jc w:val="center"/>
        </w:trPr>
        <w:tc>
          <w:tcPr>
            <w:tcW w:w="197" w:type="pct"/>
            <w:vMerge w:val="restart"/>
            <w:tcBorders>
              <w:bottom w:val="nil"/>
            </w:tcBorders>
            <w:vAlign w:val="center"/>
          </w:tcPr>
          <w:p w14:paraId="29D2AE07">
            <w:pPr>
              <w:pStyle w:val="23"/>
              <w:keepNext w:val="0"/>
              <w:keepLines w:val="0"/>
              <w:suppressLineNumbers w:val="0"/>
              <w:spacing w:before="58" w:line="181" w:lineRule="auto"/>
              <w:ind w:left="267"/>
              <w:rPr>
                <w:rFonts w:hint="default" w:eastAsia="宋体"/>
                <w:b w:val="0"/>
                <w:bCs w:val="0"/>
                <w:highlight w:val="none"/>
                <w:lang w:val="en-US" w:eastAsia="zh-CN"/>
              </w:rPr>
            </w:pPr>
            <w:r>
              <w:rPr>
                <w:rFonts w:hint="eastAsia"/>
                <w:b w:val="0"/>
                <w:bCs w:val="0"/>
                <w:highlight w:val="none"/>
                <w:lang w:val="en-US" w:eastAsia="zh-CN"/>
              </w:rPr>
              <w:t>9</w:t>
            </w:r>
          </w:p>
        </w:tc>
        <w:tc>
          <w:tcPr>
            <w:tcW w:w="493" w:type="pct"/>
            <w:vMerge w:val="restart"/>
            <w:tcBorders>
              <w:bottom w:val="nil"/>
            </w:tcBorders>
            <w:vAlign w:val="center"/>
          </w:tcPr>
          <w:p w14:paraId="4DD46BAD">
            <w:pPr>
              <w:pStyle w:val="23"/>
              <w:keepNext w:val="0"/>
              <w:keepLines w:val="0"/>
              <w:suppressLineNumbers w:val="0"/>
              <w:spacing w:before="59" w:line="311" w:lineRule="auto"/>
              <w:ind w:left="151" w:right="155" w:firstLine="21"/>
              <w:rPr>
                <w:b w:val="0"/>
                <w:bCs w:val="0"/>
                <w:highlight w:val="none"/>
              </w:rPr>
            </w:pPr>
            <w:r>
              <w:rPr>
                <w:b w:val="0"/>
                <w:bCs w:val="0"/>
                <w:spacing w:val="-3"/>
                <w:highlight w:val="none"/>
              </w:rPr>
              <w:t>水喷雾灭</w:t>
            </w:r>
            <w:r>
              <w:rPr>
                <w:b w:val="0"/>
                <w:bCs w:val="0"/>
                <w:spacing w:val="33"/>
                <w:highlight w:val="none"/>
              </w:rPr>
              <w:t>火系统</w:t>
            </w:r>
            <w:r>
              <w:rPr>
                <w:b w:val="0"/>
                <w:bCs w:val="0"/>
                <w:spacing w:val="-8"/>
                <w:highlight w:val="none"/>
              </w:rPr>
              <w:t>（15</w:t>
            </w:r>
            <w:r>
              <w:rPr>
                <w:b w:val="0"/>
                <w:bCs w:val="0"/>
                <w:spacing w:val="-31"/>
                <w:highlight w:val="none"/>
              </w:rPr>
              <w:t xml:space="preserve"> </w:t>
            </w:r>
            <w:r>
              <w:rPr>
                <w:b w:val="0"/>
                <w:bCs w:val="0"/>
                <w:spacing w:val="-8"/>
                <w:highlight w:val="none"/>
              </w:rPr>
              <w:t>分）</w:t>
            </w:r>
          </w:p>
        </w:tc>
        <w:tc>
          <w:tcPr>
            <w:tcW w:w="367" w:type="pct"/>
            <w:vAlign w:val="center"/>
          </w:tcPr>
          <w:p w14:paraId="2D33992C">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28" w:type="pct"/>
            <w:vAlign w:val="center"/>
          </w:tcPr>
          <w:p w14:paraId="4570D7D8">
            <w:pPr>
              <w:pStyle w:val="23"/>
              <w:keepNext w:val="0"/>
              <w:keepLines w:val="0"/>
              <w:suppressLineNumbers w:val="0"/>
              <w:spacing w:before="59" w:line="220" w:lineRule="auto"/>
              <w:ind w:left="114"/>
              <w:rPr>
                <w:b w:val="0"/>
                <w:bCs w:val="0"/>
                <w:highlight w:val="none"/>
              </w:rPr>
            </w:pPr>
            <w:r>
              <w:rPr>
                <w:b w:val="0"/>
                <w:bCs w:val="0"/>
                <w:spacing w:val="-1"/>
                <w:highlight w:val="none"/>
              </w:rPr>
              <w:t>是否按规定设置水喷雾灭火系统。</w:t>
            </w:r>
          </w:p>
        </w:tc>
        <w:tc>
          <w:tcPr>
            <w:tcW w:w="1178" w:type="pct"/>
            <w:vAlign w:val="center"/>
          </w:tcPr>
          <w:p w14:paraId="1317E716">
            <w:pPr>
              <w:pStyle w:val="23"/>
              <w:keepNext w:val="0"/>
              <w:keepLines w:val="0"/>
              <w:suppressLineNumbers w:val="0"/>
              <w:spacing w:before="194" w:line="306" w:lineRule="auto"/>
              <w:ind w:left="115" w:right="87" w:hanging="1"/>
              <w:rPr>
                <w:b w:val="0"/>
                <w:bCs w:val="0"/>
                <w:highlight w:val="none"/>
              </w:rPr>
            </w:pPr>
            <w:r>
              <w:rPr>
                <w:b w:val="0"/>
                <w:bCs w:val="0"/>
                <w:spacing w:val="-3"/>
                <w:highlight w:val="none"/>
              </w:rPr>
              <w:t>按照规范应设但未设置水喷雾灭火系统，该评估子项不得分。</w:t>
            </w:r>
          </w:p>
        </w:tc>
        <w:tc>
          <w:tcPr>
            <w:tcW w:w="367" w:type="pct"/>
            <w:vAlign w:val="center"/>
          </w:tcPr>
          <w:p w14:paraId="7069ECDE">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22070D94">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22B3D509">
            <w:pPr>
              <w:keepNext w:val="0"/>
              <w:keepLines w:val="0"/>
              <w:suppressLineNumbers w:val="0"/>
              <w:spacing w:before="0" w:beforeAutospacing="0" w:after="0" w:afterAutospacing="0"/>
              <w:ind w:left="0" w:right="0"/>
              <w:rPr>
                <w:rFonts w:hint="default" w:ascii="Arial"/>
                <w:b w:val="0"/>
                <w:bCs w:val="0"/>
                <w:sz w:val="21"/>
                <w:highlight w:val="none"/>
              </w:rPr>
            </w:pPr>
          </w:p>
        </w:tc>
      </w:tr>
      <w:tr w14:paraId="1AB50B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0" w:hRule="atLeast"/>
          <w:jc w:val="center"/>
        </w:trPr>
        <w:tc>
          <w:tcPr>
            <w:tcW w:w="197" w:type="pct"/>
            <w:vMerge w:val="continue"/>
            <w:tcBorders>
              <w:top w:val="nil"/>
              <w:bottom w:val="nil"/>
            </w:tcBorders>
            <w:vAlign w:val="center"/>
          </w:tcPr>
          <w:p w14:paraId="0A030A9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5E6A7A30">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742760AE">
            <w:pPr>
              <w:pStyle w:val="23"/>
              <w:keepNext w:val="0"/>
              <w:keepLines w:val="0"/>
              <w:suppressLineNumbers w:val="0"/>
              <w:spacing w:before="226" w:line="307" w:lineRule="auto"/>
              <w:ind w:left="0" w:right="102" w:firstLine="0"/>
              <w:jc w:val="both"/>
              <w:rPr>
                <w:b w:val="0"/>
                <w:bCs w:val="0"/>
                <w:spacing w:val="-3"/>
                <w:highlight w:val="none"/>
              </w:rPr>
            </w:pPr>
            <w:r>
              <w:rPr>
                <w:b w:val="0"/>
                <w:bCs w:val="0"/>
                <w:spacing w:val="-3"/>
                <w:highlight w:val="none"/>
              </w:rPr>
              <w:t>管网（3分）</w:t>
            </w:r>
          </w:p>
        </w:tc>
        <w:tc>
          <w:tcPr>
            <w:tcW w:w="1728" w:type="pct"/>
            <w:vAlign w:val="center"/>
          </w:tcPr>
          <w:p w14:paraId="3AF12E9F">
            <w:pPr>
              <w:pStyle w:val="23"/>
              <w:keepNext w:val="0"/>
              <w:keepLines w:val="0"/>
              <w:suppressLineNumbers w:val="0"/>
              <w:spacing w:before="68" w:line="220" w:lineRule="auto"/>
              <w:ind w:left="112"/>
              <w:rPr>
                <w:b w:val="0"/>
                <w:bCs w:val="0"/>
                <w:highlight w:val="none"/>
              </w:rPr>
            </w:pPr>
            <w:r>
              <w:rPr>
                <w:b w:val="0"/>
                <w:bCs w:val="0"/>
                <w:spacing w:val="-1"/>
                <w:highlight w:val="none"/>
              </w:rPr>
              <w:t>a)管道应为具有相应耐腐蚀性能的金属管道；</w:t>
            </w:r>
          </w:p>
          <w:p w14:paraId="5C7BF58C">
            <w:pPr>
              <w:pStyle w:val="23"/>
              <w:keepNext w:val="0"/>
              <w:keepLines w:val="0"/>
              <w:suppressLineNumbers w:val="0"/>
              <w:spacing w:before="96" w:line="307" w:lineRule="auto"/>
              <w:ind w:left="117" w:right="104" w:hanging="9"/>
              <w:rPr>
                <w:b w:val="0"/>
                <w:bCs w:val="0"/>
                <w:highlight w:val="none"/>
              </w:rPr>
            </w:pPr>
            <w:r>
              <w:rPr>
                <w:b w:val="0"/>
                <w:bCs w:val="0"/>
                <w:spacing w:val="-1"/>
                <w:highlight w:val="none"/>
              </w:rPr>
              <w:t>b)管道、组件、支吊架等应完好无损、无锈蚀，管道无泄漏现</w:t>
            </w:r>
            <w:r>
              <w:rPr>
                <w:b w:val="0"/>
                <w:bCs w:val="0"/>
                <w:spacing w:val="-7"/>
                <w:highlight w:val="none"/>
              </w:rPr>
              <w:t>象；</w:t>
            </w:r>
          </w:p>
          <w:p w14:paraId="1E324227">
            <w:pPr>
              <w:pStyle w:val="23"/>
              <w:keepNext w:val="0"/>
              <w:keepLines w:val="0"/>
              <w:suppressLineNumbers w:val="0"/>
              <w:spacing w:before="26" w:line="221" w:lineRule="auto"/>
              <w:ind w:left="115"/>
              <w:rPr>
                <w:b w:val="0"/>
                <w:bCs w:val="0"/>
                <w:highlight w:val="none"/>
              </w:rPr>
            </w:pPr>
            <w:r>
              <w:rPr>
                <w:b w:val="0"/>
                <w:bCs w:val="0"/>
                <w:spacing w:val="-2"/>
                <w:highlight w:val="none"/>
              </w:rPr>
              <w:t>c)控制阀的启闭标志；</w:t>
            </w:r>
          </w:p>
          <w:p w14:paraId="3E3F6F73">
            <w:pPr>
              <w:pStyle w:val="23"/>
              <w:keepNext w:val="0"/>
              <w:keepLines w:val="0"/>
              <w:suppressLineNumbers w:val="0"/>
              <w:spacing w:before="95" w:line="282" w:lineRule="auto"/>
              <w:ind w:left="111" w:right="102" w:firstLine="3"/>
              <w:rPr>
                <w:b w:val="0"/>
                <w:bCs w:val="0"/>
                <w:highlight w:val="none"/>
              </w:rPr>
            </w:pPr>
            <w:r>
              <w:rPr>
                <w:b w:val="0"/>
                <w:bCs w:val="0"/>
                <w:spacing w:val="5"/>
                <w:highlight w:val="none"/>
              </w:rPr>
              <w:t>d)手动控制阀门均应采用铅封或锁链固定在开启或规定的状</w:t>
            </w:r>
            <w:r>
              <w:rPr>
                <w:b w:val="0"/>
                <w:bCs w:val="0"/>
                <w:spacing w:val="-4"/>
                <w:highlight w:val="none"/>
              </w:rPr>
              <w:t>态。</w:t>
            </w:r>
          </w:p>
        </w:tc>
        <w:tc>
          <w:tcPr>
            <w:tcW w:w="1178" w:type="pct"/>
            <w:vAlign w:val="center"/>
          </w:tcPr>
          <w:p w14:paraId="65241665">
            <w:pPr>
              <w:pStyle w:val="23"/>
              <w:keepNext w:val="0"/>
              <w:keepLines w:val="0"/>
              <w:suppressLineNumbers w:val="0"/>
              <w:spacing w:before="59" w:line="307" w:lineRule="auto"/>
              <w:ind w:left="115" w:right="101" w:hanging="2"/>
              <w:rPr>
                <w:b w:val="0"/>
                <w:bCs w:val="0"/>
                <w:highlight w:val="none"/>
              </w:rPr>
            </w:pPr>
            <w:r>
              <w:rPr>
                <w:b w:val="0"/>
                <w:bCs w:val="0"/>
                <w:spacing w:val="-3"/>
                <w:highlight w:val="none"/>
              </w:rPr>
              <w:t>每条检查内容不符合要求各扣 1</w:t>
            </w:r>
            <w:r>
              <w:rPr>
                <w:b w:val="0"/>
                <w:bCs w:val="0"/>
                <w:spacing w:val="-8"/>
                <w:highlight w:val="none"/>
              </w:rPr>
              <w:t xml:space="preserve"> </w:t>
            </w:r>
            <w:r>
              <w:rPr>
                <w:b w:val="0"/>
                <w:bCs w:val="0"/>
                <w:spacing w:val="-3"/>
                <w:highlight w:val="none"/>
              </w:rPr>
              <w:t>分,扣完</w:t>
            </w:r>
            <w:r>
              <w:rPr>
                <w:b w:val="0"/>
                <w:bCs w:val="0"/>
                <w:spacing w:val="-6"/>
                <w:highlight w:val="none"/>
              </w:rPr>
              <w:t>不得分。</w:t>
            </w:r>
          </w:p>
        </w:tc>
        <w:tc>
          <w:tcPr>
            <w:tcW w:w="367" w:type="pct"/>
            <w:vAlign w:val="center"/>
          </w:tcPr>
          <w:p w14:paraId="43521770">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5044D8DC">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26409D98">
            <w:pPr>
              <w:keepNext w:val="0"/>
              <w:keepLines w:val="0"/>
              <w:suppressLineNumbers w:val="0"/>
              <w:spacing w:before="0" w:beforeAutospacing="0" w:after="0" w:afterAutospacing="0"/>
              <w:ind w:left="0" w:right="0"/>
              <w:rPr>
                <w:rFonts w:hint="default" w:ascii="Arial"/>
                <w:b w:val="0"/>
                <w:bCs w:val="0"/>
                <w:sz w:val="21"/>
                <w:highlight w:val="none"/>
              </w:rPr>
            </w:pPr>
          </w:p>
        </w:tc>
      </w:tr>
      <w:tr w14:paraId="33EFD6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4" w:hRule="atLeast"/>
          <w:jc w:val="center"/>
        </w:trPr>
        <w:tc>
          <w:tcPr>
            <w:tcW w:w="197" w:type="pct"/>
            <w:vMerge w:val="continue"/>
            <w:tcBorders>
              <w:top w:val="nil"/>
              <w:bottom w:val="nil"/>
            </w:tcBorders>
            <w:vAlign w:val="center"/>
          </w:tcPr>
          <w:p w14:paraId="7D860274">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03B966D">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452EAF5F">
            <w:pPr>
              <w:pStyle w:val="23"/>
              <w:keepNext w:val="0"/>
              <w:keepLines w:val="0"/>
              <w:suppressLineNumbers w:val="0"/>
              <w:spacing w:before="226" w:line="307" w:lineRule="auto"/>
              <w:ind w:left="0" w:right="102" w:firstLine="0"/>
              <w:jc w:val="both"/>
              <w:rPr>
                <w:b w:val="0"/>
                <w:bCs w:val="0"/>
                <w:spacing w:val="-3"/>
                <w:highlight w:val="none"/>
              </w:rPr>
            </w:pPr>
            <w:r>
              <w:rPr>
                <w:b w:val="0"/>
                <w:bCs w:val="0"/>
                <w:spacing w:val="-3"/>
                <w:highlight w:val="none"/>
              </w:rPr>
              <w:t>报警阀组（5 分）</w:t>
            </w:r>
          </w:p>
        </w:tc>
        <w:tc>
          <w:tcPr>
            <w:tcW w:w="1728" w:type="pct"/>
            <w:vAlign w:val="center"/>
          </w:tcPr>
          <w:p w14:paraId="2599DB0E">
            <w:pPr>
              <w:pStyle w:val="23"/>
              <w:keepNext w:val="0"/>
              <w:keepLines w:val="0"/>
              <w:numPr>
                <w:ilvl w:val="-1"/>
                <w:numId w:val="0"/>
              </w:numPr>
              <w:suppressLineNumbers w:val="0"/>
              <w:spacing w:before="68" w:line="220" w:lineRule="auto"/>
              <w:ind w:left="112" w:right="0" w:firstLine="0"/>
              <w:jc w:val="left"/>
              <w:rPr>
                <w:b w:val="0"/>
                <w:bCs w:val="0"/>
                <w:spacing w:val="-1"/>
                <w:highlight w:val="none"/>
              </w:rPr>
            </w:pPr>
            <w:r>
              <w:rPr>
                <w:b w:val="0"/>
                <w:bCs w:val="0"/>
                <w:spacing w:val="-1"/>
                <w:highlight w:val="none"/>
              </w:rPr>
              <w:t>a)报警阀组安装位置、排水设施；</w:t>
            </w:r>
          </w:p>
          <w:p w14:paraId="7B3B6FF0">
            <w:pPr>
              <w:pStyle w:val="23"/>
              <w:keepNext w:val="0"/>
              <w:keepLines w:val="0"/>
              <w:numPr>
                <w:ilvl w:val="-1"/>
                <w:numId w:val="0"/>
              </w:numPr>
              <w:suppressLineNumbers w:val="0"/>
              <w:spacing w:before="68" w:line="220" w:lineRule="auto"/>
              <w:ind w:left="112" w:right="0" w:firstLine="0"/>
              <w:jc w:val="left"/>
              <w:rPr>
                <w:b w:val="0"/>
                <w:bCs w:val="0"/>
                <w:spacing w:val="-1"/>
                <w:highlight w:val="none"/>
              </w:rPr>
            </w:pPr>
            <w:r>
              <w:rPr>
                <w:b w:val="0"/>
                <w:bCs w:val="0"/>
                <w:spacing w:val="-1"/>
                <w:highlight w:val="none"/>
              </w:rPr>
              <w:t xml:space="preserve">b)报警阀组的标志、组件、外观； </w:t>
            </w:r>
          </w:p>
          <w:p w14:paraId="7A231029">
            <w:pPr>
              <w:pStyle w:val="23"/>
              <w:keepNext w:val="0"/>
              <w:keepLines w:val="0"/>
              <w:numPr>
                <w:ilvl w:val="-1"/>
                <w:numId w:val="0"/>
              </w:numPr>
              <w:suppressLineNumbers w:val="0"/>
              <w:spacing w:before="68" w:line="220" w:lineRule="auto"/>
              <w:ind w:left="112" w:leftChars="0" w:right="0" w:rightChars="0"/>
              <w:jc w:val="left"/>
              <w:rPr>
                <w:b w:val="0"/>
                <w:bCs w:val="0"/>
                <w:highlight w:val="none"/>
              </w:rPr>
            </w:pPr>
            <w:r>
              <w:rPr>
                <w:b w:val="0"/>
                <w:bCs w:val="0"/>
                <w:spacing w:val="-1"/>
                <w:highlight w:val="none"/>
              </w:rPr>
              <w:t>c)报警阀组的功能。</w:t>
            </w:r>
          </w:p>
        </w:tc>
        <w:tc>
          <w:tcPr>
            <w:tcW w:w="1178" w:type="pct"/>
            <w:vAlign w:val="center"/>
          </w:tcPr>
          <w:p w14:paraId="529D13EE">
            <w:pPr>
              <w:pStyle w:val="23"/>
              <w:keepNext w:val="0"/>
              <w:keepLines w:val="0"/>
              <w:suppressLineNumbers w:val="0"/>
              <w:spacing w:before="231"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分，c)不符合要求扣</w:t>
            </w:r>
            <w:r>
              <w:rPr>
                <w:b w:val="0"/>
                <w:bCs w:val="0"/>
                <w:spacing w:val="-30"/>
                <w:highlight w:val="none"/>
              </w:rPr>
              <w:t xml:space="preserve"> </w:t>
            </w:r>
            <w:r>
              <w:rPr>
                <w:b w:val="0"/>
                <w:bCs w:val="0"/>
                <w:spacing w:val="-5"/>
                <w:highlight w:val="none"/>
              </w:rPr>
              <w:t>5</w:t>
            </w:r>
            <w:r>
              <w:rPr>
                <w:b w:val="0"/>
                <w:bCs w:val="0"/>
                <w:spacing w:val="-34"/>
                <w:highlight w:val="none"/>
              </w:rPr>
              <w:t xml:space="preserve"> </w:t>
            </w:r>
            <w:r>
              <w:rPr>
                <w:b w:val="0"/>
                <w:bCs w:val="0"/>
                <w:spacing w:val="-5"/>
                <w:highlight w:val="none"/>
              </w:rPr>
              <w:t>分；扣完不得分。</w:t>
            </w:r>
          </w:p>
        </w:tc>
        <w:tc>
          <w:tcPr>
            <w:tcW w:w="367" w:type="pct"/>
            <w:vAlign w:val="center"/>
          </w:tcPr>
          <w:p w14:paraId="1FD2E99E">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61BFE20D">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16374CD1">
            <w:pPr>
              <w:keepNext w:val="0"/>
              <w:keepLines w:val="0"/>
              <w:suppressLineNumbers w:val="0"/>
              <w:spacing w:before="0" w:beforeAutospacing="0" w:after="0" w:afterAutospacing="0"/>
              <w:ind w:left="0" w:right="0"/>
              <w:rPr>
                <w:rFonts w:hint="default" w:ascii="Arial"/>
                <w:b w:val="0"/>
                <w:bCs w:val="0"/>
                <w:sz w:val="21"/>
                <w:highlight w:val="none"/>
              </w:rPr>
            </w:pPr>
          </w:p>
        </w:tc>
      </w:tr>
      <w:tr w14:paraId="4445BC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jc w:val="center"/>
        </w:trPr>
        <w:tc>
          <w:tcPr>
            <w:tcW w:w="197" w:type="pct"/>
            <w:vMerge w:val="continue"/>
            <w:tcBorders>
              <w:top w:val="nil"/>
              <w:bottom w:val="nil"/>
            </w:tcBorders>
            <w:vAlign w:val="center"/>
          </w:tcPr>
          <w:p w14:paraId="50FDA68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7A10A6FE">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3BF6FC34">
            <w:pPr>
              <w:pStyle w:val="23"/>
              <w:keepNext w:val="0"/>
              <w:keepLines w:val="0"/>
              <w:suppressLineNumbers w:val="0"/>
              <w:spacing w:before="58" w:line="220" w:lineRule="auto"/>
              <w:ind w:right="14"/>
              <w:jc w:val="both"/>
              <w:rPr>
                <w:b w:val="0"/>
                <w:bCs w:val="0"/>
                <w:highlight w:val="none"/>
              </w:rPr>
            </w:pPr>
            <w:r>
              <w:rPr>
                <w:b w:val="0"/>
                <w:bCs w:val="0"/>
                <w:spacing w:val="-9"/>
                <w:highlight w:val="none"/>
              </w:rPr>
              <w:t>喷头（2</w:t>
            </w:r>
            <w:r>
              <w:rPr>
                <w:b w:val="0"/>
                <w:bCs w:val="0"/>
                <w:spacing w:val="-34"/>
                <w:highlight w:val="none"/>
              </w:rPr>
              <w:t xml:space="preserve"> </w:t>
            </w:r>
            <w:r>
              <w:rPr>
                <w:b w:val="0"/>
                <w:bCs w:val="0"/>
                <w:spacing w:val="-9"/>
                <w:highlight w:val="none"/>
              </w:rPr>
              <w:t>分）</w:t>
            </w:r>
          </w:p>
        </w:tc>
        <w:tc>
          <w:tcPr>
            <w:tcW w:w="1728" w:type="pct"/>
            <w:vAlign w:val="center"/>
          </w:tcPr>
          <w:p w14:paraId="712925D5">
            <w:pPr>
              <w:pStyle w:val="23"/>
              <w:keepNext w:val="0"/>
              <w:keepLines w:val="0"/>
              <w:suppressLineNumbers w:val="0"/>
              <w:spacing w:before="58" w:line="220" w:lineRule="auto"/>
              <w:ind w:left="118"/>
              <w:rPr>
                <w:b w:val="0"/>
                <w:bCs w:val="0"/>
                <w:highlight w:val="none"/>
              </w:rPr>
            </w:pPr>
            <w:r>
              <w:rPr>
                <w:b w:val="0"/>
                <w:bCs w:val="0"/>
                <w:spacing w:val="-1"/>
                <w:highlight w:val="none"/>
              </w:rPr>
              <w:t>喷头的规格型号、安装、防护措施。</w:t>
            </w:r>
          </w:p>
        </w:tc>
        <w:tc>
          <w:tcPr>
            <w:tcW w:w="1178" w:type="pct"/>
            <w:vAlign w:val="center"/>
          </w:tcPr>
          <w:p w14:paraId="65444615">
            <w:pPr>
              <w:pStyle w:val="23"/>
              <w:keepNext w:val="0"/>
              <w:keepLines w:val="0"/>
              <w:suppressLineNumbers w:val="0"/>
              <w:spacing w:before="197" w:line="307" w:lineRule="auto"/>
              <w:ind w:left="115" w:right="103" w:hanging="2"/>
              <w:rPr>
                <w:b w:val="0"/>
                <w:bCs w:val="0"/>
                <w:highlight w:val="none"/>
              </w:rPr>
            </w:pPr>
            <w:r>
              <w:rPr>
                <w:b w:val="0"/>
                <w:bCs w:val="0"/>
                <w:spacing w:val="-6"/>
                <w:highlight w:val="none"/>
              </w:rPr>
              <w:t>每发现一处不符合要求扣</w:t>
            </w:r>
            <w:r>
              <w:rPr>
                <w:b w:val="0"/>
                <w:bCs w:val="0"/>
                <w:spacing w:val="-14"/>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w:t>
            </w:r>
            <w:r>
              <w:rPr>
                <w:b w:val="0"/>
                <w:bCs w:val="0"/>
                <w:spacing w:val="-9"/>
                <w:highlight w:val="none"/>
              </w:rPr>
              <w:t>分。</w:t>
            </w:r>
          </w:p>
        </w:tc>
        <w:tc>
          <w:tcPr>
            <w:tcW w:w="367" w:type="pct"/>
            <w:vAlign w:val="center"/>
          </w:tcPr>
          <w:p w14:paraId="1AFDB6FA">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2AE52C6C">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45A1C1CE">
            <w:pPr>
              <w:keepNext w:val="0"/>
              <w:keepLines w:val="0"/>
              <w:suppressLineNumbers w:val="0"/>
              <w:spacing w:before="0" w:beforeAutospacing="0" w:after="0" w:afterAutospacing="0"/>
              <w:ind w:left="0" w:right="0"/>
              <w:rPr>
                <w:rFonts w:hint="default" w:ascii="Arial"/>
                <w:b w:val="0"/>
                <w:bCs w:val="0"/>
                <w:sz w:val="21"/>
                <w:highlight w:val="none"/>
              </w:rPr>
            </w:pPr>
          </w:p>
        </w:tc>
      </w:tr>
      <w:tr w14:paraId="39EC0D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7" w:hRule="atLeast"/>
          <w:jc w:val="center"/>
        </w:trPr>
        <w:tc>
          <w:tcPr>
            <w:tcW w:w="197" w:type="pct"/>
            <w:vMerge w:val="continue"/>
            <w:tcBorders>
              <w:top w:val="nil"/>
            </w:tcBorders>
            <w:vAlign w:val="center"/>
          </w:tcPr>
          <w:p w14:paraId="6BE9654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5873BD42">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7F523ACC">
            <w:pPr>
              <w:pStyle w:val="23"/>
              <w:keepNext w:val="0"/>
              <w:keepLines w:val="0"/>
              <w:suppressLineNumbers w:val="0"/>
              <w:spacing w:before="227" w:line="307" w:lineRule="auto"/>
              <w:ind w:left="0" w:right="105" w:firstLine="0"/>
              <w:jc w:val="both"/>
              <w:rPr>
                <w:b w:val="0"/>
                <w:bCs w:val="0"/>
                <w:highlight w:val="none"/>
              </w:rPr>
            </w:pPr>
            <w:r>
              <w:rPr>
                <w:b w:val="0"/>
                <w:bCs w:val="0"/>
                <w:spacing w:val="-3"/>
                <w:highlight w:val="none"/>
              </w:rPr>
              <w:t>系统功能（5 分）</w:t>
            </w:r>
          </w:p>
        </w:tc>
        <w:tc>
          <w:tcPr>
            <w:tcW w:w="1728" w:type="pct"/>
            <w:vAlign w:val="center"/>
          </w:tcPr>
          <w:p w14:paraId="30E5F896">
            <w:pPr>
              <w:pStyle w:val="23"/>
              <w:keepNext w:val="0"/>
              <w:keepLines w:val="0"/>
              <w:suppressLineNumbers w:val="0"/>
              <w:spacing w:before="71" w:line="307" w:lineRule="auto"/>
              <w:ind w:left="114" w:right="104" w:hanging="2"/>
              <w:rPr>
                <w:b w:val="0"/>
                <w:bCs w:val="0"/>
                <w:highlight w:val="none"/>
              </w:rPr>
            </w:pPr>
            <w:r>
              <w:rPr>
                <w:b w:val="0"/>
                <w:bCs w:val="0"/>
                <w:spacing w:val="-1"/>
                <w:highlight w:val="none"/>
              </w:rPr>
              <w:t>a)系统应具有自动控制、手动控制和应急机械启动三</w:t>
            </w:r>
            <w:r>
              <w:rPr>
                <w:b w:val="0"/>
                <w:bCs w:val="0"/>
                <w:spacing w:val="-2"/>
                <w:highlight w:val="none"/>
              </w:rPr>
              <w:t>种控制方</w:t>
            </w:r>
            <w:r>
              <w:rPr>
                <w:b w:val="0"/>
                <w:bCs w:val="0"/>
                <w:spacing w:val="-6"/>
                <w:highlight w:val="none"/>
              </w:rPr>
              <w:t>式；</w:t>
            </w:r>
          </w:p>
          <w:p w14:paraId="0272D953">
            <w:pPr>
              <w:pStyle w:val="23"/>
              <w:keepNext w:val="0"/>
              <w:keepLines w:val="0"/>
              <w:suppressLineNumbers w:val="0"/>
              <w:spacing w:before="25" w:line="220" w:lineRule="auto"/>
              <w:ind w:left="108"/>
              <w:rPr>
                <w:b w:val="0"/>
                <w:bCs w:val="0"/>
                <w:highlight w:val="none"/>
              </w:rPr>
            </w:pPr>
            <w:r>
              <w:rPr>
                <w:b w:val="0"/>
                <w:bCs w:val="0"/>
                <w:spacing w:val="-1"/>
                <w:highlight w:val="none"/>
              </w:rPr>
              <w:t>b)水喷雾灭火系统的联动控制功能。</w:t>
            </w:r>
          </w:p>
        </w:tc>
        <w:tc>
          <w:tcPr>
            <w:tcW w:w="1178" w:type="pct"/>
            <w:vAlign w:val="center"/>
          </w:tcPr>
          <w:p w14:paraId="51E58FA6">
            <w:pPr>
              <w:pStyle w:val="23"/>
              <w:keepNext w:val="0"/>
              <w:keepLines w:val="0"/>
              <w:suppressLineNumbers w:val="0"/>
              <w:spacing w:before="226" w:line="307" w:lineRule="auto"/>
              <w:ind w:left="115" w:right="102" w:hanging="1"/>
              <w:rPr>
                <w:b w:val="0"/>
                <w:bCs w:val="0"/>
                <w:highlight w:val="none"/>
              </w:rPr>
            </w:pPr>
            <w:r>
              <w:rPr>
                <w:b w:val="0"/>
                <w:bCs w:val="0"/>
                <w:spacing w:val="-3"/>
                <w:highlight w:val="none"/>
              </w:rPr>
              <w:t>a)不符合要求扣</w:t>
            </w:r>
            <w:r>
              <w:rPr>
                <w:b w:val="0"/>
                <w:bCs w:val="0"/>
                <w:spacing w:val="-37"/>
                <w:highlight w:val="none"/>
              </w:rPr>
              <w:t xml:space="preserve"> </w:t>
            </w:r>
            <w:r>
              <w:rPr>
                <w:b w:val="0"/>
                <w:bCs w:val="0"/>
                <w:spacing w:val="-3"/>
                <w:highlight w:val="none"/>
              </w:rPr>
              <w:t>2</w:t>
            </w:r>
            <w:r>
              <w:rPr>
                <w:b w:val="0"/>
                <w:bCs w:val="0"/>
                <w:spacing w:val="-34"/>
                <w:highlight w:val="none"/>
              </w:rPr>
              <w:t xml:space="preserve"> </w:t>
            </w:r>
            <w:r>
              <w:rPr>
                <w:b w:val="0"/>
                <w:bCs w:val="0"/>
                <w:spacing w:val="-3"/>
                <w:highlight w:val="none"/>
              </w:rPr>
              <w:t>分，b)不符合要求扣</w:t>
            </w:r>
            <w:r>
              <w:rPr>
                <w:b w:val="0"/>
                <w:bCs w:val="0"/>
                <w:spacing w:val="-34"/>
                <w:highlight w:val="none"/>
              </w:rPr>
              <w:t xml:space="preserve"> </w:t>
            </w:r>
            <w:r>
              <w:rPr>
                <w:b w:val="0"/>
                <w:bCs w:val="0"/>
                <w:spacing w:val="-3"/>
                <w:highlight w:val="none"/>
              </w:rPr>
              <w:t>5分，扣完不得分。</w:t>
            </w:r>
          </w:p>
        </w:tc>
        <w:tc>
          <w:tcPr>
            <w:tcW w:w="367" w:type="pct"/>
            <w:vAlign w:val="center"/>
          </w:tcPr>
          <w:p w14:paraId="0F15CAD2">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170FC0EB">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0A41D7A7">
            <w:pPr>
              <w:keepNext w:val="0"/>
              <w:keepLines w:val="0"/>
              <w:suppressLineNumbers w:val="0"/>
              <w:spacing w:before="0" w:beforeAutospacing="0" w:after="0" w:afterAutospacing="0"/>
              <w:ind w:left="0" w:right="0"/>
              <w:rPr>
                <w:rFonts w:hint="default" w:ascii="Arial"/>
                <w:b w:val="0"/>
                <w:bCs w:val="0"/>
                <w:sz w:val="21"/>
                <w:highlight w:val="none"/>
              </w:rPr>
            </w:pPr>
          </w:p>
        </w:tc>
      </w:tr>
    </w:tbl>
    <w:p w14:paraId="3B7611F5">
      <w:pPr>
        <w:rPr>
          <w:highlight w:val="none"/>
        </w:rPr>
      </w:pPr>
      <w:r>
        <w:rPr>
          <w:highlight w:val="none"/>
        </w:rPr>
        <w:br w:type="page"/>
      </w:r>
    </w:p>
    <w:tbl>
      <w:tblPr>
        <w:tblStyle w:val="24"/>
        <w:tblW w:w="497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4"/>
        <w:gridCol w:w="1475"/>
        <w:gridCol w:w="1098"/>
        <w:gridCol w:w="5177"/>
        <w:gridCol w:w="3528"/>
        <w:gridCol w:w="1098"/>
        <w:gridCol w:w="1006"/>
        <w:gridCol w:w="988"/>
      </w:tblGrid>
      <w:tr w14:paraId="2CD724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195" w:type="pct"/>
            <w:vAlign w:val="center"/>
          </w:tcPr>
          <w:p w14:paraId="129A0378">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162B06FB">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2C9E72A0">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0" w:type="pct"/>
            <w:vAlign w:val="center"/>
          </w:tcPr>
          <w:p w14:paraId="7AA4CD71">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28A9705F">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6E316504">
            <w:pPr>
              <w:pStyle w:val="23"/>
              <w:keepNext w:val="0"/>
              <w:keepLines w:val="0"/>
              <w:suppressLineNumbers w:val="0"/>
              <w:spacing w:before="70" w:line="219" w:lineRule="auto"/>
              <w:ind w:left="170"/>
              <w:rPr>
                <w:highlight w:val="none"/>
              </w:rPr>
            </w:pPr>
            <w:r>
              <w:rPr>
                <w:b/>
                <w:bCs/>
                <w:spacing w:val="-3"/>
                <w:highlight w:val="none"/>
              </w:rPr>
              <w:t>评估情况</w:t>
            </w:r>
          </w:p>
        </w:tc>
        <w:tc>
          <w:tcPr>
            <w:tcW w:w="336" w:type="pct"/>
            <w:vAlign w:val="center"/>
          </w:tcPr>
          <w:p w14:paraId="707D9237">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4ADA2EC1">
            <w:pPr>
              <w:pStyle w:val="23"/>
              <w:keepNext w:val="0"/>
              <w:keepLines w:val="0"/>
              <w:suppressLineNumbers w:val="0"/>
              <w:spacing w:before="71" w:line="220" w:lineRule="auto"/>
              <w:ind w:left="295"/>
              <w:rPr>
                <w:highlight w:val="none"/>
              </w:rPr>
            </w:pPr>
            <w:r>
              <w:rPr>
                <w:b/>
                <w:bCs/>
                <w:spacing w:val="-4"/>
                <w:highlight w:val="none"/>
              </w:rPr>
              <w:t>得分</w:t>
            </w:r>
          </w:p>
        </w:tc>
      </w:tr>
      <w:tr w14:paraId="699224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8" w:hRule="atLeast"/>
          <w:jc w:val="center"/>
        </w:trPr>
        <w:tc>
          <w:tcPr>
            <w:tcW w:w="195" w:type="pct"/>
            <w:vMerge w:val="restart"/>
            <w:vAlign w:val="center"/>
          </w:tcPr>
          <w:p w14:paraId="746C6345">
            <w:pPr>
              <w:pStyle w:val="23"/>
              <w:keepNext w:val="0"/>
              <w:keepLines w:val="0"/>
              <w:suppressLineNumbers w:val="0"/>
              <w:spacing w:before="58" w:line="180" w:lineRule="auto"/>
              <w:jc w:val="center"/>
              <w:rPr>
                <w:rFonts w:hint="default" w:eastAsia="宋体"/>
                <w:b w:val="0"/>
                <w:bCs w:val="0"/>
                <w:highlight w:val="none"/>
                <w:lang w:val="en-US" w:eastAsia="zh-CN"/>
              </w:rPr>
            </w:pPr>
            <w:r>
              <w:rPr>
                <w:rFonts w:hint="eastAsia"/>
                <w:b w:val="0"/>
                <w:bCs w:val="0"/>
                <w:highlight w:val="none"/>
                <w:lang w:val="en-US" w:eastAsia="zh-CN"/>
              </w:rPr>
              <w:t>10</w:t>
            </w:r>
          </w:p>
        </w:tc>
        <w:tc>
          <w:tcPr>
            <w:tcW w:w="493" w:type="pct"/>
            <w:vMerge w:val="restart"/>
            <w:vAlign w:val="center"/>
          </w:tcPr>
          <w:p w14:paraId="78D0428F">
            <w:pPr>
              <w:pStyle w:val="23"/>
              <w:keepNext w:val="0"/>
              <w:keepLines w:val="0"/>
              <w:suppressLineNumbers w:val="0"/>
              <w:spacing w:before="59" w:line="311" w:lineRule="auto"/>
              <w:ind w:left="151" w:right="155" w:firstLine="19"/>
              <w:rPr>
                <w:b w:val="0"/>
                <w:bCs w:val="0"/>
                <w:highlight w:val="none"/>
              </w:rPr>
            </w:pPr>
            <w:r>
              <w:rPr>
                <w:b w:val="0"/>
                <w:bCs w:val="0"/>
                <w:spacing w:val="-2"/>
                <w:highlight w:val="none"/>
              </w:rPr>
              <w:t>细水雾灭</w:t>
            </w:r>
            <w:r>
              <w:rPr>
                <w:b w:val="0"/>
                <w:bCs w:val="0"/>
                <w:spacing w:val="33"/>
                <w:highlight w:val="none"/>
              </w:rPr>
              <w:t>火系统</w:t>
            </w:r>
            <w:r>
              <w:rPr>
                <w:b w:val="0"/>
                <w:bCs w:val="0"/>
                <w:spacing w:val="-8"/>
                <w:highlight w:val="none"/>
              </w:rPr>
              <w:t>（10</w:t>
            </w:r>
            <w:r>
              <w:rPr>
                <w:b w:val="0"/>
                <w:bCs w:val="0"/>
                <w:spacing w:val="-31"/>
                <w:highlight w:val="none"/>
              </w:rPr>
              <w:t xml:space="preserve"> </w:t>
            </w:r>
            <w:r>
              <w:rPr>
                <w:b w:val="0"/>
                <w:bCs w:val="0"/>
                <w:spacing w:val="-8"/>
                <w:highlight w:val="none"/>
              </w:rPr>
              <w:t>分）</w:t>
            </w:r>
          </w:p>
        </w:tc>
        <w:tc>
          <w:tcPr>
            <w:tcW w:w="367" w:type="pct"/>
            <w:vAlign w:val="center"/>
          </w:tcPr>
          <w:p w14:paraId="6EF34046">
            <w:pPr>
              <w:pStyle w:val="23"/>
              <w:keepNext w:val="0"/>
              <w:keepLines w:val="0"/>
              <w:suppressLineNumbers w:val="0"/>
              <w:spacing w:before="58" w:line="222" w:lineRule="auto"/>
              <w:ind w:left="0"/>
              <w:rPr>
                <w:b w:val="0"/>
                <w:bCs w:val="0"/>
                <w:highlight w:val="none"/>
              </w:rPr>
            </w:pPr>
            <w:r>
              <w:rPr>
                <w:b w:val="0"/>
                <w:bCs w:val="0"/>
                <w:spacing w:val="-3"/>
                <w:highlight w:val="none"/>
              </w:rPr>
              <w:t>系统设置</w:t>
            </w:r>
          </w:p>
        </w:tc>
        <w:tc>
          <w:tcPr>
            <w:tcW w:w="1730" w:type="pct"/>
            <w:vAlign w:val="center"/>
          </w:tcPr>
          <w:p w14:paraId="5FB34F32">
            <w:pPr>
              <w:pStyle w:val="23"/>
              <w:keepNext w:val="0"/>
              <w:keepLines w:val="0"/>
              <w:suppressLineNumbers w:val="0"/>
              <w:spacing w:before="59" w:line="220" w:lineRule="auto"/>
              <w:ind w:left="114"/>
              <w:rPr>
                <w:b w:val="0"/>
                <w:bCs w:val="0"/>
                <w:highlight w:val="none"/>
              </w:rPr>
            </w:pPr>
            <w:r>
              <w:rPr>
                <w:b w:val="0"/>
                <w:bCs w:val="0"/>
                <w:spacing w:val="-1"/>
                <w:highlight w:val="none"/>
              </w:rPr>
              <w:t>是否按规定设置细水雾灭火系统。</w:t>
            </w:r>
          </w:p>
        </w:tc>
        <w:tc>
          <w:tcPr>
            <w:tcW w:w="1179" w:type="pct"/>
            <w:vAlign w:val="center"/>
          </w:tcPr>
          <w:p w14:paraId="0941A64E">
            <w:pPr>
              <w:pStyle w:val="23"/>
              <w:keepNext w:val="0"/>
              <w:keepLines w:val="0"/>
              <w:suppressLineNumbers w:val="0"/>
              <w:spacing w:before="190" w:line="306" w:lineRule="auto"/>
              <w:ind w:left="115" w:right="87" w:hanging="1"/>
              <w:rPr>
                <w:b w:val="0"/>
                <w:bCs w:val="0"/>
                <w:highlight w:val="none"/>
              </w:rPr>
            </w:pPr>
            <w:r>
              <w:rPr>
                <w:b w:val="0"/>
                <w:bCs w:val="0"/>
                <w:spacing w:val="-3"/>
                <w:highlight w:val="none"/>
              </w:rPr>
              <w:t>按照规范应设但未设置细水雾灭火系统，该评估子项不得分。</w:t>
            </w:r>
          </w:p>
        </w:tc>
        <w:tc>
          <w:tcPr>
            <w:tcW w:w="367" w:type="pct"/>
            <w:vAlign w:val="center"/>
          </w:tcPr>
          <w:p w14:paraId="34BFE04E">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6" w:type="pct"/>
            <w:vAlign w:val="center"/>
          </w:tcPr>
          <w:p w14:paraId="7C17AB84">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5FB5649B">
            <w:pPr>
              <w:keepNext w:val="0"/>
              <w:keepLines w:val="0"/>
              <w:suppressLineNumbers w:val="0"/>
              <w:spacing w:before="0" w:beforeAutospacing="0" w:after="0" w:afterAutospacing="0"/>
              <w:ind w:left="0" w:right="0"/>
              <w:rPr>
                <w:rFonts w:hint="default" w:ascii="Arial"/>
                <w:b w:val="0"/>
                <w:bCs w:val="0"/>
                <w:sz w:val="21"/>
                <w:highlight w:val="none"/>
              </w:rPr>
            </w:pPr>
          </w:p>
        </w:tc>
      </w:tr>
      <w:tr w14:paraId="5A9EDE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409" w:hRule="atLeast"/>
          <w:jc w:val="center"/>
        </w:trPr>
        <w:tc>
          <w:tcPr>
            <w:tcW w:w="195" w:type="pct"/>
            <w:vMerge w:val="continue"/>
            <w:vAlign w:val="center"/>
          </w:tcPr>
          <w:p w14:paraId="141A1FF5">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624A81C4">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5CC44D7E">
            <w:pPr>
              <w:pStyle w:val="23"/>
              <w:keepNext w:val="0"/>
              <w:keepLines w:val="0"/>
              <w:suppressLineNumbers w:val="0"/>
              <w:spacing w:before="58" w:line="220" w:lineRule="auto"/>
              <w:ind w:right="14"/>
              <w:jc w:val="both"/>
              <w:rPr>
                <w:b w:val="0"/>
                <w:bCs w:val="0"/>
                <w:highlight w:val="none"/>
              </w:rPr>
            </w:pPr>
            <w:r>
              <w:rPr>
                <w:b w:val="0"/>
                <w:bCs w:val="0"/>
                <w:spacing w:val="-9"/>
                <w:highlight w:val="none"/>
              </w:rPr>
              <w:t>管网（1</w:t>
            </w:r>
            <w:r>
              <w:rPr>
                <w:b w:val="0"/>
                <w:bCs w:val="0"/>
                <w:spacing w:val="-31"/>
                <w:highlight w:val="none"/>
              </w:rPr>
              <w:t xml:space="preserve"> </w:t>
            </w:r>
            <w:r>
              <w:rPr>
                <w:b w:val="0"/>
                <w:bCs w:val="0"/>
                <w:spacing w:val="-9"/>
                <w:highlight w:val="none"/>
              </w:rPr>
              <w:t>分）</w:t>
            </w:r>
          </w:p>
        </w:tc>
        <w:tc>
          <w:tcPr>
            <w:tcW w:w="1730" w:type="pct"/>
            <w:vAlign w:val="center"/>
          </w:tcPr>
          <w:p w14:paraId="5C6680F5">
            <w:pPr>
              <w:pStyle w:val="23"/>
              <w:keepNext w:val="0"/>
              <w:keepLines w:val="0"/>
              <w:suppressLineNumbers w:val="0"/>
              <w:spacing w:before="66" w:line="220" w:lineRule="auto"/>
              <w:ind w:left="112"/>
              <w:rPr>
                <w:b w:val="0"/>
                <w:bCs w:val="0"/>
                <w:highlight w:val="none"/>
              </w:rPr>
            </w:pPr>
            <w:r>
              <w:rPr>
                <w:b w:val="0"/>
                <w:bCs w:val="0"/>
                <w:spacing w:val="-1"/>
                <w:highlight w:val="none"/>
              </w:rPr>
              <w:t>a)管道应为具有相应耐腐蚀性能的金属管道；</w:t>
            </w:r>
          </w:p>
          <w:p w14:paraId="19B2F1BD">
            <w:pPr>
              <w:pStyle w:val="23"/>
              <w:keepNext w:val="0"/>
              <w:keepLines w:val="0"/>
              <w:suppressLineNumbers w:val="0"/>
              <w:spacing w:before="97" w:line="220" w:lineRule="auto"/>
              <w:ind w:left="108"/>
              <w:rPr>
                <w:b w:val="0"/>
                <w:bCs w:val="0"/>
                <w:highlight w:val="none"/>
              </w:rPr>
            </w:pPr>
            <w:r>
              <w:rPr>
                <w:b w:val="0"/>
                <w:bCs w:val="0"/>
                <w:highlight w:val="none"/>
              </w:rPr>
              <w:t>b)管道、组件、支吊架等应完好无损、无</w:t>
            </w:r>
            <w:r>
              <w:rPr>
                <w:b w:val="0"/>
                <w:bCs w:val="0"/>
                <w:spacing w:val="-1"/>
                <w:highlight w:val="none"/>
              </w:rPr>
              <w:t>锈蚀，管道无泄漏；</w:t>
            </w:r>
          </w:p>
          <w:p w14:paraId="5BB9BE10">
            <w:pPr>
              <w:pStyle w:val="23"/>
              <w:keepNext w:val="0"/>
              <w:keepLines w:val="0"/>
              <w:suppressLineNumbers w:val="0"/>
              <w:spacing w:before="96" w:line="220" w:lineRule="auto"/>
              <w:ind w:left="115"/>
              <w:rPr>
                <w:b w:val="0"/>
                <w:bCs w:val="0"/>
                <w:highlight w:val="none"/>
              </w:rPr>
            </w:pPr>
            <w:r>
              <w:rPr>
                <w:b w:val="0"/>
                <w:bCs w:val="0"/>
                <w:spacing w:val="-1"/>
                <w:highlight w:val="none"/>
              </w:rPr>
              <w:t>c)过滤器的设置、材质、网孔孔径；</w:t>
            </w:r>
          </w:p>
          <w:p w14:paraId="1B252C78">
            <w:pPr>
              <w:pStyle w:val="23"/>
              <w:keepNext w:val="0"/>
              <w:keepLines w:val="0"/>
              <w:suppressLineNumbers w:val="0"/>
              <w:spacing w:before="98" w:line="220" w:lineRule="auto"/>
              <w:ind w:left="115"/>
              <w:rPr>
                <w:b w:val="0"/>
                <w:bCs w:val="0"/>
                <w:highlight w:val="none"/>
              </w:rPr>
            </w:pPr>
            <w:r>
              <w:rPr>
                <w:b w:val="0"/>
                <w:bCs w:val="0"/>
                <w:spacing w:val="-1"/>
                <w:highlight w:val="none"/>
              </w:rPr>
              <w:t>d)阀门的外观及启闭状态。</w:t>
            </w:r>
          </w:p>
        </w:tc>
        <w:tc>
          <w:tcPr>
            <w:tcW w:w="1179" w:type="pct"/>
            <w:vAlign w:val="center"/>
          </w:tcPr>
          <w:p w14:paraId="5106211C">
            <w:pPr>
              <w:pStyle w:val="23"/>
              <w:keepNext w:val="0"/>
              <w:keepLines w:val="0"/>
              <w:suppressLineNumbers w:val="0"/>
              <w:spacing w:before="58"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5E4E5FC6">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6" w:type="pct"/>
            <w:vAlign w:val="center"/>
          </w:tcPr>
          <w:p w14:paraId="63333480">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5CFFCF5">
            <w:pPr>
              <w:keepNext w:val="0"/>
              <w:keepLines w:val="0"/>
              <w:suppressLineNumbers w:val="0"/>
              <w:spacing w:before="0" w:beforeAutospacing="0" w:after="0" w:afterAutospacing="0"/>
              <w:ind w:left="0" w:right="0"/>
              <w:rPr>
                <w:rFonts w:hint="default" w:ascii="Arial"/>
                <w:b w:val="0"/>
                <w:bCs w:val="0"/>
                <w:sz w:val="21"/>
                <w:highlight w:val="none"/>
              </w:rPr>
            </w:pPr>
          </w:p>
        </w:tc>
      </w:tr>
      <w:tr w14:paraId="55423C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5" w:hRule="atLeast"/>
          <w:jc w:val="center"/>
        </w:trPr>
        <w:tc>
          <w:tcPr>
            <w:tcW w:w="195" w:type="pct"/>
            <w:vMerge w:val="continue"/>
            <w:vAlign w:val="center"/>
          </w:tcPr>
          <w:p w14:paraId="361625B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7430EC85">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0D87B86E">
            <w:pPr>
              <w:pStyle w:val="23"/>
              <w:keepNext w:val="0"/>
              <w:keepLines w:val="0"/>
              <w:suppressLineNumbers w:val="0"/>
              <w:spacing w:before="59" w:line="307" w:lineRule="auto"/>
              <w:ind w:left="0" w:right="105" w:firstLine="0"/>
              <w:rPr>
                <w:b w:val="0"/>
                <w:bCs w:val="0"/>
                <w:highlight w:val="none"/>
              </w:rPr>
            </w:pPr>
            <w:r>
              <w:rPr>
                <w:b w:val="0"/>
                <w:bCs w:val="0"/>
                <w:spacing w:val="-14"/>
                <w:highlight w:val="none"/>
              </w:rPr>
              <w:t>供水装置（2</w:t>
            </w:r>
            <w:r>
              <w:rPr>
                <w:b w:val="0"/>
                <w:bCs w:val="0"/>
                <w:spacing w:val="2"/>
                <w:highlight w:val="none"/>
              </w:rPr>
              <w:t xml:space="preserve"> </w:t>
            </w:r>
            <w:r>
              <w:rPr>
                <w:b w:val="0"/>
                <w:bCs w:val="0"/>
                <w:spacing w:val="-6"/>
                <w:highlight w:val="none"/>
              </w:rPr>
              <w:t>分）</w:t>
            </w:r>
          </w:p>
        </w:tc>
        <w:tc>
          <w:tcPr>
            <w:tcW w:w="1730" w:type="pct"/>
            <w:vAlign w:val="center"/>
          </w:tcPr>
          <w:p w14:paraId="1D07F0F6">
            <w:pPr>
              <w:pStyle w:val="23"/>
              <w:keepNext w:val="0"/>
              <w:keepLines w:val="0"/>
              <w:suppressLineNumbers w:val="0"/>
              <w:spacing w:before="67" w:line="220" w:lineRule="auto"/>
              <w:ind w:left="112"/>
              <w:rPr>
                <w:b w:val="0"/>
                <w:bCs w:val="0"/>
                <w:highlight w:val="none"/>
              </w:rPr>
            </w:pPr>
            <w:r>
              <w:rPr>
                <w:b w:val="0"/>
                <w:bCs w:val="0"/>
                <w:spacing w:val="-1"/>
                <w:highlight w:val="none"/>
              </w:rPr>
              <w:t>a)瓶组的型号、规格、安装和标志；</w:t>
            </w:r>
          </w:p>
          <w:p w14:paraId="099E23B3">
            <w:pPr>
              <w:pStyle w:val="23"/>
              <w:keepNext w:val="0"/>
              <w:keepLines w:val="0"/>
              <w:suppressLineNumbers w:val="0"/>
              <w:spacing w:before="96" w:line="307" w:lineRule="auto"/>
              <w:ind w:left="110" w:right="102" w:hanging="2"/>
              <w:rPr>
                <w:b w:val="0"/>
                <w:bCs w:val="0"/>
                <w:highlight w:val="none"/>
              </w:rPr>
            </w:pPr>
            <w:r>
              <w:rPr>
                <w:b w:val="0"/>
                <w:bCs w:val="0"/>
                <w:spacing w:val="6"/>
                <w:highlight w:val="none"/>
              </w:rPr>
              <w:t>b)储水容器内水的充装量和储气容器内氮</w:t>
            </w:r>
            <w:r>
              <w:rPr>
                <w:b w:val="0"/>
                <w:bCs w:val="0"/>
                <w:spacing w:val="5"/>
                <w:highlight w:val="none"/>
              </w:rPr>
              <w:t>气或压缩空气的储</w:t>
            </w:r>
            <w:r>
              <w:rPr>
                <w:b w:val="0"/>
                <w:bCs w:val="0"/>
                <w:spacing w:val="-2"/>
                <w:highlight w:val="none"/>
              </w:rPr>
              <w:t>存压力；</w:t>
            </w:r>
          </w:p>
          <w:p w14:paraId="39E34172">
            <w:pPr>
              <w:pStyle w:val="23"/>
              <w:keepNext w:val="0"/>
              <w:keepLines w:val="0"/>
              <w:suppressLineNumbers w:val="0"/>
              <w:spacing w:before="25" w:line="307" w:lineRule="auto"/>
              <w:ind w:left="112" w:right="104" w:firstLine="2"/>
              <w:rPr>
                <w:b w:val="0"/>
                <w:bCs w:val="0"/>
                <w:highlight w:val="none"/>
              </w:rPr>
            </w:pPr>
            <w:r>
              <w:rPr>
                <w:b w:val="0"/>
                <w:bCs w:val="0"/>
                <w:spacing w:val="-1"/>
                <w:highlight w:val="none"/>
              </w:rPr>
              <w:t>c)瓶组机械应急操作处的标志，应急操作装置</w:t>
            </w:r>
            <w:r>
              <w:rPr>
                <w:b w:val="0"/>
                <w:bCs w:val="0"/>
                <w:spacing w:val="-2"/>
                <w:highlight w:val="none"/>
              </w:rPr>
              <w:t>应有铅封的安全销或保护罩；</w:t>
            </w:r>
          </w:p>
          <w:p w14:paraId="3373756D">
            <w:pPr>
              <w:pStyle w:val="23"/>
              <w:keepNext w:val="0"/>
              <w:keepLines w:val="0"/>
              <w:suppressLineNumbers w:val="0"/>
              <w:spacing w:before="25" w:line="308" w:lineRule="auto"/>
              <w:ind w:left="110" w:right="104" w:firstLine="5"/>
              <w:rPr>
                <w:b w:val="0"/>
                <w:bCs w:val="0"/>
                <w:highlight w:val="none"/>
              </w:rPr>
            </w:pPr>
            <w:r>
              <w:rPr>
                <w:b w:val="0"/>
                <w:bCs w:val="0"/>
                <w:spacing w:val="-1"/>
                <w:highlight w:val="none"/>
              </w:rPr>
              <w:t>d)泵组储水箱的容量、补水装置、液位显示、</w:t>
            </w:r>
            <w:r>
              <w:rPr>
                <w:b w:val="0"/>
                <w:bCs w:val="0"/>
                <w:spacing w:val="-2"/>
                <w:highlight w:val="none"/>
              </w:rPr>
              <w:t>高低液位报警装</w:t>
            </w:r>
            <w:r>
              <w:rPr>
                <w:b w:val="0"/>
                <w:bCs w:val="0"/>
                <w:spacing w:val="-3"/>
                <w:highlight w:val="none"/>
              </w:rPr>
              <w:t>置；</w:t>
            </w:r>
          </w:p>
          <w:p w14:paraId="73CB3D7D">
            <w:pPr>
              <w:pStyle w:val="23"/>
              <w:keepNext w:val="0"/>
              <w:keepLines w:val="0"/>
              <w:suppressLineNumbers w:val="0"/>
              <w:spacing w:before="23" w:line="307" w:lineRule="auto"/>
              <w:ind w:left="114" w:right="1206" w:firstLine="1"/>
              <w:rPr>
                <w:b w:val="0"/>
                <w:bCs w:val="0"/>
                <w:spacing w:val="8"/>
                <w:highlight w:val="none"/>
              </w:rPr>
            </w:pPr>
            <w:r>
              <w:rPr>
                <w:b w:val="0"/>
                <w:bCs w:val="0"/>
                <w:spacing w:val="-3"/>
                <w:highlight w:val="none"/>
              </w:rPr>
              <w:t>e)泵组系统水泵的手动启停功能以及巡检功能；</w:t>
            </w:r>
            <w:r>
              <w:rPr>
                <w:b w:val="0"/>
                <w:bCs w:val="0"/>
                <w:spacing w:val="8"/>
                <w:highlight w:val="none"/>
              </w:rPr>
              <w:t xml:space="preserve"> </w:t>
            </w:r>
          </w:p>
          <w:p w14:paraId="060F9AC5">
            <w:pPr>
              <w:pStyle w:val="23"/>
              <w:keepNext w:val="0"/>
              <w:keepLines w:val="0"/>
              <w:suppressLineNumbers w:val="0"/>
              <w:spacing w:before="23" w:line="307" w:lineRule="auto"/>
              <w:ind w:left="114" w:right="1206" w:firstLine="1"/>
              <w:rPr>
                <w:b w:val="0"/>
                <w:bCs w:val="0"/>
                <w:highlight w:val="none"/>
              </w:rPr>
            </w:pPr>
            <w:r>
              <w:rPr>
                <w:b w:val="0"/>
                <w:bCs w:val="0"/>
                <w:spacing w:val="-2"/>
                <w:highlight w:val="none"/>
              </w:rPr>
              <w:t>f)泵组系统主、备用泵自动切换功能；</w:t>
            </w:r>
          </w:p>
          <w:p w14:paraId="47EDC4D3">
            <w:pPr>
              <w:pStyle w:val="23"/>
              <w:keepNext w:val="0"/>
              <w:keepLines w:val="0"/>
              <w:suppressLineNumbers w:val="0"/>
              <w:spacing w:before="25" w:line="282" w:lineRule="auto"/>
              <w:ind w:left="122" w:right="111" w:hanging="8"/>
              <w:rPr>
                <w:b w:val="0"/>
                <w:bCs w:val="0"/>
                <w:highlight w:val="none"/>
              </w:rPr>
            </w:pPr>
            <w:r>
              <w:rPr>
                <w:b w:val="0"/>
                <w:bCs w:val="0"/>
                <w:spacing w:val="-2"/>
                <w:highlight w:val="none"/>
              </w:rPr>
              <w:t>g)水泵控制柜（盘）的控制面板及显示信号状态、防护等级、</w:t>
            </w:r>
            <w:r>
              <w:rPr>
                <w:b w:val="0"/>
                <w:bCs w:val="0"/>
                <w:spacing w:val="-3"/>
                <w:highlight w:val="none"/>
              </w:rPr>
              <w:t>防腐及防水措施。</w:t>
            </w:r>
          </w:p>
        </w:tc>
        <w:tc>
          <w:tcPr>
            <w:tcW w:w="1179" w:type="pct"/>
            <w:vAlign w:val="center"/>
          </w:tcPr>
          <w:p w14:paraId="6B007993">
            <w:pPr>
              <w:pStyle w:val="23"/>
              <w:keepNext w:val="0"/>
              <w:keepLines w:val="0"/>
              <w:suppressLineNumbers w:val="0"/>
              <w:spacing w:before="59"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007199C1">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6" w:type="pct"/>
            <w:vAlign w:val="center"/>
          </w:tcPr>
          <w:p w14:paraId="1383D782">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494121C3">
            <w:pPr>
              <w:keepNext w:val="0"/>
              <w:keepLines w:val="0"/>
              <w:suppressLineNumbers w:val="0"/>
              <w:spacing w:before="0" w:beforeAutospacing="0" w:after="0" w:afterAutospacing="0"/>
              <w:ind w:left="0" w:right="0"/>
              <w:rPr>
                <w:rFonts w:hint="default" w:ascii="Arial"/>
                <w:b w:val="0"/>
                <w:bCs w:val="0"/>
                <w:sz w:val="21"/>
                <w:highlight w:val="none"/>
              </w:rPr>
            </w:pPr>
          </w:p>
        </w:tc>
      </w:tr>
      <w:tr w14:paraId="59FFF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jc w:val="center"/>
        </w:trPr>
        <w:tc>
          <w:tcPr>
            <w:tcW w:w="195" w:type="pct"/>
            <w:vMerge w:val="continue"/>
            <w:vAlign w:val="center"/>
          </w:tcPr>
          <w:p w14:paraId="488C7070">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23BE7FFA">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7F2E6B60">
            <w:pPr>
              <w:pStyle w:val="23"/>
              <w:keepNext w:val="0"/>
              <w:keepLines w:val="0"/>
              <w:suppressLineNumbers w:val="0"/>
              <w:spacing w:before="196" w:line="307" w:lineRule="auto"/>
              <w:ind w:left="0" w:right="103" w:firstLine="0"/>
              <w:rPr>
                <w:b w:val="0"/>
                <w:bCs w:val="0"/>
                <w:highlight w:val="none"/>
              </w:rPr>
            </w:pPr>
            <w:r>
              <w:rPr>
                <w:b w:val="0"/>
                <w:bCs w:val="0"/>
                <w:spacing w:val="2"/>
                <w:highlight w:val="none"/>
              </w:rPr>
              <w:t>分区控制阀</w:t>
            </w:r>
            <w:r>
              <w:rPr>
                <w:b w:val="0"/>
                <w:bCs w:val="0"/>
                <w:spacing w:val="7"/>
                <w:highlight w:val="none"/>
              </w:rPr>
              <w:t>（2分）</w:t>
            </w:r>
          </w:p>
        </w:tc>
        <w:tc>
          <w:tcPr>
            <w:tcW w:w="1730" w:type="pct"/>
            <w:vAlign w:val="center"/>
          </w:tcPr>
          <w:p w14:paraId="0010696A">
            <w:pPr>
              <w:pStyle w:val="23"/>
              <w:keepNext w:val="0"/>
              <w:keepLines w:val="0"/>
              <w:suppressLineNumbers w:val="0"/>
              <w:spacing w:before="197" w:line="220" w:lineRule="auto"/>
              <w:ind w:left="112"/>
              <w:rPr>
                <w:b w:val="0"/>
                <w:bCs w:val="0"/>
                <w:highlight w:val="none"/>
              </w:rPr>
            </w:pPr>
            <w:r>
              <w:rPr>
                <w:b w:val="0"/>
                <w:bCs w:val="0"/>
                <w:spacing w:val="-1"/>
                <w:highlight w:val="none"/>
              </w:rPr>
              <w:t>a)分区控制阀的安装、启闭标志、启闭状态；</w:t>
            </w:r>
          </w:p>
          <w:p w14:paraId="338DD6A1">
            <w:pPr>
              <w:pStyle w:val="23"/>
              <w:keepNext w:val="0"/>
              <w:keepLines w:val="0"/>
              <w:suppressLineNumbers w:val="0"/>
              <w:spacing w:before="97" w:line="220" w:lineRule="auto"/>
              <w:ind w:left="108"/>
              <w:rPr>
                <w:b w:val="0"/>
                <w:bCs w:val="0"/>
                <w:highlight w:val="none"/>
              </w:rPr>
            </w:pPr>
            <w:r>
              <w:rPr>
                <w:b w:val="0"/>
                <w:bCs w:val="0"/>
                <w:spacing w:val="-1"/>
                <w:highlight w:val="none"/>
              </w:rPr>
              <w:t>b)对应于防护区或保护对象的永久性标识。</w:t>
            </w:r>
          </w:p>
        </w:tc>
        <w:tc>
          <w:tcPr>
            <w:tcW w:w="1179" w:type="pct"/>
            <w:vAlign w:val="center"/>
          </w:tcPr>
          <w:p w14:paraId="08504E26">
            <w:pPr>
              <w:pStyle w:val="23"/>
              <w:keepNext w:val="0"/>
              <w:keepLines w:val="0"/>
              <w:suppressLineNumbers w:val="0"/>
              <w:spacing w:before="195"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7DF97C09">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6" w:type="pct"/>
            <w:vAlign w:val="center"/>
          </w:tcPr>
          <w:p w14:paraId="43EF3488">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0014FADD">
            <w:pPr>
              <w:keepNext w:val="0"/>
              <w:keepLines w:val="0"/>
              <w:suppressLineNumbers w:val="0"/>
              <w:spacing w:before="0" w:beforeAutospacing="0" w:after="0" w:afterAutospacing="0"/>
              <w:ind w:left="0" w:right="0"/>
              <w:rPr>
                <w:rFonts w:hint="default" w:ascii="Arial"/>
                <w:b w:val="0"/>
                <w:bCs w:val="0"/>
                <w:sz w:val="21"/>
                <w:highlight w:val="none"/>
              </w:rPr>
            </w:pPr>
          </w:p>
        </w:tc>
      </w:tr>
      <w:tr w14:paraId="278EAE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jc w:val="center"/>
        </w:trPr>
        <w:tc>
          <w:tcPr>
            <w:tcW w:w="195" w:type="pct"/>
            <w:vMerge w:val="continue"/>
            <w:vAlign w:val="center"/>
          </w:tcPr>
          <w:p w14:paraId="2995099F">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73350A7E">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791237E3">
            <w:pPr>
              <w:pStyle w:val="23"/>
              <w:keepNext w:val="0"/>
              <w:keepLines w:val="0"/>
              <w:suppressLineNumbers w:val="0"/>
              <w:spacing w:before="58" w:line="220" w:lineRule="auto"/>
              <w:ind w:right="14"/>
              <w:jc w:val="both"/>
              <w:rPr>
                <w:b w:val="0"/>
                <w:bCs w:val="0"/>
                <w:highlight w:val="none"/>
              </w:rPr>
            </w:pPr>
            <w:r>
              <w:rPr>
                <w:b w:val="0"/>
                <w:bCs w:val="0"/>
                <w:spacing w:val="-9"/>
                <w:highlight w:val="none"/>
              </w:rPr>
              <w:t>喷头（1</w:t>
            </w:r>
            <w:r>
              <w:rPr>
                <w:b w:val="0"/>
                <w:bCs w:val="0"/>
                <w:spacing w:val="-34"/>
                <w:highlight w:val="none"/>
              </w:rPr>
              <w:t xml:space="preserve"> </w:t>
            </w:r>
            <w:r>
              <w:rPr>
                <w:b w:val="0"/>
                <w:bCs w:val="0"/>
                <w:spacing w:val="-9"/>
                <w:highlight w:val="none"/>
              </w:rPr>
              <w:t>分）</w:t>
            </w:r>
          </w:p>
        </w:tc>
        <w:tc>
          <w:tcPr>
            <w:tcW w:w="1730" w:type="pct"/>
            <w:vAlign w:val="center"/>
          </w:tcPr>
          <w:p w14:paraId="7CC6E8B5">
            <w:pPr>
              <w:pStyle w:val="23"/>
              <w:keepNext w:val="0"/>
              <w:keepLines w:val="0"/>
              <w:suppressLineNumbers w:val="0"/>
              <w:spacing w:before="59" w:line="220" w:lineRule="auto"/>
              <w:ind w:left="118"/>
              <w:rPr>
                <w:b w:val="0"/>
                <w:bCs w:val="0"/>
                <w:highlight w:val="none"/>
              </w:rPr>
            </w:pPr>
            <w:r>
              <w:rPr>
                <w:b w:val="0"/>
                <w:bCs w:val="0"/>
                <w:spacing w:val="-1"/>
                <w:highlight w:val="none"/>
              </w:rPr>
              <w:t>喷头的规格型号、布置、安装、防护措施。</w:t>
            </w:r>
          </w:p>
        </w:tc>
        <w:tc>
          <w:tcPr>
            <w:tcW w:w="1179" w:type="pct"/>
            <w:vAlign w:val="center"/>
          </w:tcPr>
          <w:p w14:paraId="2799389A">
            <w:pPr>
              <w:pStyle w:val="23"/>
              <w:keepNext w:val="0"/>
              <w:keepLines w:val="0"/>
              <w:suppressLineNumbers w:val="0"/>
              <w:spacing w:before="58" w:line="220" w:lineRule="auto"/>
              <w:ind w:left="116"/>
              <w:rPr>
                <w:b w:val="0"/>
                <w:bCs w:val="0"/>
                <w:highlight w:val="none"/>
              </w:rPr>
            </w:pPr>
            <w:r>
              <w:rPr>
                <w:b w:val="0"/>
                <w:bCs w:val="0"/>
                <w:spacing w:val="-4"/>
                <w:highlight w:val="none"/>
              </w:rPr>
              <w:t>不符合要求扣</w:t>
            </w:r>
            <w:r>
              <w:rPr>
                <w:b w:val="0"/>
                <w:bCs w:val="0"/>
                <w:spacing w:val="-21"/>
                <w:highlight w:val="none"/>
              </w:rPr>
              <w:t xml:space="preserve"> </w:t>
            </w:r>
            <w:r>
              <w:rPr>
                <w:b w:val="0"/>
                <w:bCs w:val="0"/>
                <w:spacing w:val="-4"/>
                <w:highlight w:val="none"/>
              </w:rPr>
              <w:t>1</w:t>
            </w:r>
            <w:r>
              <w:rPr>
                <w:b w:val="0"/>
                <w:bCs w:val="0"/>
                <w:spacing w:val="-34"/>
                <w:highlight w:val="none"/>
              </w:rPr>
              <w:t xml:space="preserve"> </w:t>
            </w:r>
            <w:r>
              <w:rPr>
                <w:b w:val="0"/>
                <w:bCs w:val="0"/>
                <w:spacing w:val="-4"/>
                <w:highlight w:val="none"/>
              </w:rPr>
              <w:t>分，扣完不得分。</w:t>
            </w:r>
          </w:p>
        </w:tc>
        <w:tc>
          <w:tcPr>
            <w:tcW w:w="367" w:type="pct"/>
            <w:vAlign w:val="center"/>
          </w:tcPr>
          <w:p w14:paraId="5B47D320">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6" w:type="pct"/>
            <w:vAlign w:val="center"/>
          </w:tcPr>
          <w:p w14:paraId="6AF014B5">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76AE351">
            <w:pPr>
              <w:keepNext w:val="0"/>
              <w:keepLines w:val="0"/>
              <w:suppressLineNumbers w:val="0"/>
              <w:spacing w:before="0" w:beforeAutospacing="0" w:after="0" w:afterAutospacing="0"/>
              <w:ind w:left="0" w:right="0"/>
              <w:rPr>
                <w:rFonts w:hint="default" w:ascii="Arial"/>
                <w:b w:val="0"/>
                <w:bCs w:val="0"/>
                <w:sz w:val="21"/>
                <w:highlight w:val="none"/>
              </w:rPr>
            </w:pPr>
          </w:p>
        </w:tc>
      </w:tr>
      <w:tr w14:paraId="6DFB7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3" w:hRule="atLeast"/>
          <w:jc w:val="center"/>
        </w:trPr>
        <w:tc>
          <w:tcPr>
            <w:tcW w:w="195" w:type="pct"/>
            <w:vMerge w:val="continue"/>
            <w:vAlign w:val="center"/>
          </w:tcPr>
          <w:p w14:paraId="6A8261A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2FA91FFB">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31D7181F">
            <w:pPr>
              <w:pStyle w:val="23"/>
              <w:keepNext w:val="0"/>
              <w:keepLines w:val="0"/>
              <w:suppressLineNumbers w:val="0"/>
              <w:spacing w:before="58" w:line="307" w:lineRule="auto"/>
              <w:ind w:left="0" w:right="107" w:firstLine="0"/>
              <w:rPr>
                <w:b w:val="0"/>
                <w:bCs w:val="0"/>
                <w:highlight w:val="none"/>
              </w:rPr>
            </w:pPr>
            <w:r>
              <w:rPr>
                <w:b w:val="0"/>
                <w:bCs w:val="0"/>
                <w:spacing w:val="4"/>
                <w:highlight w:val="none"/>
              </w:rPr>
              <w:t>防护区（</w:t>
            </w:r>
            <w:r>
              <w:rPr>
                <w:b w:val="0"/>
                <w:bCs w:val="0"/>
                <w:spacing w:val="-26"/>
                <w:highlight w:val="none"/>
              </w:rPr>
              <w:t xml:space="preserve"> </w:t>
            </w:r>
            <w:r>
              <w:rPr>
                <w:b w:val="0"/>
                <w:bCs w:val="0"/>
                <w:spacing w:val="4"/>
                <w:highlight w:val="none"/>
              </w:rPr>
              <w:t>2</w:t>
            </w:r>
            <w:r>
              <w:rPr>
                <w:b w:val="0"/>
                <w:bCs w:val="0"/>
                <w:highlight w:val="none"/>
              </w:rPr>
              <w:t xml:space="preserve"> </w:t>
            </w:r>
            <w:r>
              <w:rPr>
                <w:b w:val="0"/>
                <w:bCs w:val="0"/>
                <w:spacing w:val="-6"/>
                <w:highlight w:val="none"/>
              </w:rPr>
              <w:t>分）</w:t>
            </w:r>
          </w:p>
        </w:tc>
        <w:tc>
          <w:tcPr>
            <w:tcW w:w="1730" w:type="pct"/>
            <w:vAlign w:val="center"/>
          </w:tcPr>
          <w:p w14:paraId="7EDFF558">
            <w:pPr>
              <w:pStyle w:val="23"/>
              <w:keepNext w:val="0"/>
              <w:keepLines w:val="0"/>
              <w:suppressLineNumbers w:val="0"/>
              <w:spacing w:before="67" w:line="220" w:lineRule="auto"/>
              <w:ind w:left="112"/>
              <w:rPr>
                <w:b w:val="0"/>
                <w:bCs w:val="0"/>
                <w:highlight w:val="none"/>
              </w:rPr>
            </w:pPr>
            <w:r>
              <w:rPr>
                <w:b w:val="0"/>
                <w:bCs w:val="0"/>
                <w:spacing w:val="5"/>
                <w:highlight w:val="none"/>
              </w:rPr>
              <w:t>a)防护区或保护场所的入口处应设置声光报警装置和系统动</w:t>
            </w:r>
            <w:r>
              <w:rPr>
                <w:b w:val="0"/>
                <w:bCs w:val="0"/>
                <w:spacing w:val="-2"/>
                <w:highlight w:val="none"/>
              </w:rPr>
              <w:t>作指示灯；</w:t>
            </w:r>
          </w:p>
          <w:p w14:paraId="630AFA80">
            <w:pPr>
              <w:pStyle w:val="23"/>
              <w:keepNext w:val="0"/>
              <w:keepLines w:val="0"/>
              <w:suppressLineNumbers w:val="0"/>
              <w:spacing w:before="96" w:line="220" w:lineRule="auto"/>
              <w:ind w:left="108"/>
              <w:rPr>
                <w:b w:val="0"/>
                <w:bCs w:val="0"/>
                <w:highlight w:val="none"/>
              </w:rPr>
            </w:pPr>
            <w:r>
              <w:rPr>
                <w:b w:val="0"/>
                <w:bCs w:val="0"/>
                <w:spacing w:val="-1"/>
                <w:highlight w:val="none"/>
              </w:rPr>
              <w:t>b)手动启动装置、机械应急操作装置及防止误操作的措施；</w:t>
            </w:r>
          </w:p>
          <w:p w14:paraId="3C8DE3C3">
            <w:pPr>
              <w:pStyle w:val="23"/>
              <w:keepNext w:val="0"/>
              <w:keepLines w:val="0"/>
              <w:suppressLineNumbers w:val="0"/>
              <w:spacing w:before="97" w:line="220" w:lineRule="auto"/>
              <w:ind w:left="115"/>
              <w:rPr>
                <w:b w:val="0"/>
                <w:bCs w:val="0"/>
                <w:highlight w:val="none"/>
              </w:rPr>
            </w:pPr>
            <w:r>
              <w:rPr>
                <w:b w:val="0"/>
                <w:bCs w:val="0"/>
                <w:spacing w:val="-1"/>
                <w:highlight w:val="none"/>
              </w:rPr>
              <w:t>c)手动启动装置和机械应急操作装置的标识及系统操作说明。</w:t>
            </w:r>
          </w:p>
        </w:tc>
        <w:tc>
          <w:tcPr>
            <w:tcW w:w="1179" w:type="pct"/>
            <w:vAlign w:val="center"/>
          </w:tcPr>
          <w:p w14:paraId="5DFC4C58">
            <w:pPr>
              <w:pStyle w:val="23"/>
              <w:keepNext w:val="0"/>
              <w:keepLines w:val="0"/>
              <w:suppressLineNumbers w:val="0"/>
              <w:spacing w:before="58"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7A42792C">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6" w:type="pct"/>
            <w:vAlign w:val="center"/>
          </w:tcPr>
          <w:p w14:paraId="17FC60DC">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9C3BC0E">
            <w:pPr>
              <w:keepNext w:val="0"/>
              <w:keepLines w:val="0"/>
              <w:suppressLineNumbers w:val="0"/>
              <w:spacing w:before="0" w:beforeAutospacing="0" w:after="0" w:afterAutospacing="0"/>
              <w:ind w:left="0" w:right="0"/>
              <w:rPr>
                <w:rFonts w:hint="default" w:ascii="Arial"/>
                <w:b w:val="0"/>
                <w:bCs w:val="0"/>
                <w:sz w:val="21"/>
                <w:highlight w:val="none"/>
              </w:rPr>
            </w:pPr>
          </w:p>
        </w:tc>
      </w:tr>
      <w:tr w14:paraId="079FD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9" w:hRule="atLeast"/>
          <w:jc w:val="center"/>
        </w:trPr>
        <w:tc>
          <w:tcPr>
            <w:tcW w:w="195" w:type="pct"/>
            <w:vMerge w:val="continue"/>
            <w:vAlign w:val="center"/>
          </w:tcPr>
          <w:p w14:paraId="1DFDA50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vAlign w:val="center"/>
          </w:tcPr>
          <w:p w14:paraId="7F95BDF6">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6A9596AB">
            <w:pPr>
              <w:pStyle w:val="23"/>
              <w:keepNext w:val="0"/>
              <w:keepLines w:val="0"/>
              <w:suppressLineNumbers w:val="0"/>
              <w:spacing w:before="223" w:line="307" w:lineRule="auto"/>
              <w:ind w:left="0" w:right="105" w:firstLine="0"/>
              <w:rPr>
                <w:b w:val="0"/>
                <w:bCs w:val="0"/>
                <w:highlight w:val="none"/>
              </w:rPr>
            </w:pPr>
            <w:r>
              <w:rPr>
                <w:b w:val="0"/>
                <w:bCs w:val="0"/>
                <w:spacing w:val="-15"/>
                <w:highlight w:val="none"/>
              </w:rPr>
              <w:t>系统功能（2</w:t>
            </w:r>
            <w:r>
              <w:rPr>
                <w:b w:val="0"/>
                <w:bCs w:val="0"/>
                <w:spacing w:val="4"/>
                <w:highlight w:val="none"/>
              </w:rPr>
              <w:t xml:space="preserve"> </w:t>
            </w:r>
            <w:r>
              <w:rPr>
                <w:b w:val="0"/>
                <w:bCs w:val="0"/>
                <w:spacing w:val="-6"/>
                <w:highlight w:val="none"/>
              </w:rPr>
              <w:t>分）</w:t>
            </w:r>
          </w:p>
        </w:tc>
        <w:tc>
          <w:tcPr>
            <w:tcW w:w="1730" w:type="pct"/>
            <w:vAlign w:val="center"/>
          </w:tcPr>
          <w:p w14:paraId="59F7C035">
            <w:pPr>
              <w:pStyle w:val="23"/>
              <w:keepNext w:val="0"/>
              <w:keepLines w:val="0"/>
              <w:suppressLineNumbers w:val="0"/>
              <w:spacing w:before="66" w:line="220" w:lineRule="auto"/>
              <w:ind w:left="112"/>
              <w:rPr>
                <w:b w:val="0"/>
                <w:bCs w:val="0"/>
                <w:highlight w:val="none"/>
              </w:rPr>
            </w:pPr>
            <w:r>
              <w:rPr>
                <w:b w:val="0"/>
                <w:bCs w:val="0"/>
                <w:spacing w:val="-1"/>
                <w:highlight w:val="none"/>
              </w:rPr>
              <w:t>a)瓶组系统应具有自动、手动和机械应急操作控制方式；</w:t>
            </w:r>
          </w:p>
          <w:p w14:paraId="757467FE">
            <w:pPr>
              <w:pStyle w:val="23"/>
              <w:keepNext w:val="0"/>
              <w:keepLines w:val="0"/>
              <w:suppressLineNumbers w:val="0"/>
              <w:spacing w:before="98" w:line="220" w:lineRule="auto"/>
              <w:ind w:left="108"/>
              <w:rPr>
                <w:b w:val="0"/>
                <w:bCs w:val="0"/>
                <w:highlight w:val="none"/>
              </w:rPr>
            </w:pPr>
            <w:r>
              <w:rPr>
                <w:b w:val="0"/>
                <w:bCs w:val="0"/>
                <w:spacing w:val="-1"/>
                <w:highlight w:val="none"/>
              </w:rPr>
              <w:t>b)泵组系统应具有自动、手动控制方式；</w:t>
            </w:r>
          </w:p>
          <w:p w14:paraId="3A0BDF46">
            <w:pPr>
              <w:pStyle w:val="23"/>
              <w:keepNext w:val="0"/>
              <w:keepLines w:val="0"/>
              <w:suppressLineNumbers w:val="0"/>
              <w:spacing w:before="97" w:line="221" w:lineRule="auto"/>
              <w:ind w:left="115"/>
              <w:rPr>
                <w:b w:val="0"/>
                <w:bCs w:val="0"/>
                <w:highlight w:val="none"/>
              </w:rPr>
            </w:pPr>
            <w:r>
              <w:rPr>
                <w:b w:val="0"/>
                <w:bCs w:val="0"/>
                <w:spacing w:val="-2"/>
                <w:highlight w:val="none"/>
              </w:rPr>
              <w:t>c)系统的联动控制功能。</w:t>
            </w:r>
          </w:p>
        </w:tc>
        <w:tc>
          <w:tcPr>
            <w:tcW w:w="1179" w:type="pct"/>
            <w:vAlign w:val="center"/>
          </w:tcPr>
          <w:p w14:paraId="7D60BAA3">
            <w:pPr>
              <w:pStyle w:val="23"/>
              <w:keepNext w:val="0"/>
              <w:keepLines w:val="0"/>
              <w:suppressLineNumbers w:val="0"/>
              <w:spacing w:before="222"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分，c)不符合要求扣</w:t>
            </w:r>
            <w:r>
              <w:rPr>
                <w:b w:val="0"/>
                <w:bCs w:val="0"/>
                <w:spacing w:val="-30"/>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分；扣完不得分。</w:t>
            </w:r>
          </w:p>
        </w:tc>
        <w:tc>
          <w:tcPr>
            <w:tcW w:w="367" w:type="pct"/>
            <w:vAlign w:val="center"/>
          </w:tcPr>
          <w:p w14:paraId="677A7EF2">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6" w:type="pct"/>
            <w:vAlign w:val="center"/>
          </w:tcPr>
          <w:p w14:paraId="6C0EE668">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2B0328B6">
            <w:pPr>
              <w:keepNext w:val="0"/>
              <w:keepLines w:val="0"/>
              <w:suppressLineNumbers w:val="0"/>
              <w:spacing w:before="0" w:beforeAutospacing="0" w:after="0" w:afterAutospacing="0"/>
              <w:ind w:left="0" w:right="0"/>
              <w:rPr>
                <w:rFonts w:hint="default" w:ascii="Arial"/>
                <w:b w:val="0"/>
                <w:bCs w:val="0"/>
                <w:sz w:val="21"/>
                <w:highlight w:val="none"/>
              </w:rPr>
            </w:pPr>
          </w:p>
        </w:tc>
      </w:tr>
    </w:tbl>
    <w:p w14:paraId="66CC2477">
      <w:pPr>
        <w:rPr>
          <w:highlight w:val="none"/>
        </w:rPr>
      </w:pPr>
      <w:r>
        <w:rPr>
          <w:highlight w:val="none"/>
        </w:rPr>
        <w:br w:type="page"/>
      </w:r>
    </w:p>
    <w:tbl>
      <w:tblPr>
        <w:tblStyle w:val="24"/>
        <w:tblW w:w="4964"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83"/>
        <w:gridCol w:w="1474"/>
        <w:gridCol w:w="1094"/>
        <w:gridCol w:w="5171"/>
        <w:gridCol w:w="3527"/>
        <w:gridCol w:w="1094"/>
        <w:gridCol w:w="1007"/>
        <w:gridCol w:w="983"/>
      </w:tblGrid>
      <w:tr w14:paraId="36CF88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jc w:val="center"/>
        </w:trPr>
        <w:tc>
          <w:tcPr>
            <w:tcW w:w="195" w:type="pct"/>
            <w:vAlign w:val="center"/>
          </w:tcPr>
          <w:p w14:paraId="78D6CFD7">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24342DFA">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4356A84C">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0" w:type="pct"/>
            <w:vAlign w:val="center"/>
          </w:tcPr>
          <w:p w14:paraId="57706D0E">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0" w:type="pct"/>
            <w:vAlign w:val="center"/>
          </w:tcPr>
          <w:p w14:paraId="44EC6881">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3407A65A">
            <w:pPr>
              <w:pStyle w:val="23"/>
              <w:keepNext w:val="0"/>
              <w:keepLines w:val="0"/>
              <w:suppressLineNumbers w:val="0"/>
              <w:spacing w:before="70" w:line="219" w:lineRule="auto"/>
              <w:ind w:left="170"/>
              <w:rPr>
                <w:highlight w:val="none"/>
              </w:rPr>
            </w:pPr>
            <w:r>
              <w:rPr>
                <w:b/>
                <w:bCs/>
                <w:spacing w:val="-3"/>
                <w:highlight w:val="none"/>
              </w:rPr>
              <w:t>评估情况</w:t>
            </w:r>
          </w:p>
        </w:tc>
        <w:tc>
          <w:tcPr>
            <w:tcW w:w="337" w:type="pct"/>
            <w:vAlign w:val="center"/>
          </w:tcPr>
          <w:p w14:paraId="460C8A60">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6374440F">
            <w:pPr>
              <w:pStyle w:val="23"/>
              <w:keepNext w:val="0"/>
              <w:keepLines w:val="0"/>
              <w:suppressLineNumbers w:val="0"/>
              <w:spacing w:before="71" w:line="220" w:lineRule="auto"/>
              <w:ind w:left="295"/>
              <w:rPr>
                <w:highlight w:val="none"/>
              </w:rPr>
            </w:pPr>
            <w:r>
              <w:rPr>
                <w:b/>
                <w:bCs/>
                <w:spacing w:val="-4"/>
                <w:highlight w:val="none"/>
              </w:rPr>
              <w:t>得分</w:t>
            </w:r>
          </w:p>
        </w:tc>
      </w:tr>
      <w:tr w14:paraId="321B0D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jc w:val="center"/>
        </w:trPr>
        <w:tc>
          <w:tcPr>
            <w:tcW w:w="195" w:type="pct"/>
            <w:vMerge w:val="restart"/>
            <w:tcBorders>
              <w:bottom w:val="nil"/>
            </w:tcBorders>
            <w:vAlign w:val="center"/>
          </w:tcPr>
          <w:p w14:paraId="7A414DAC">
            <w:pPr>
              <w:pStyle w:val="23"/>
              <w:keepNext w:val="0"/>
              <w:keepLines w:val="0"/>
              <w:suppressLineNumbers w:val="0"/>
              <w:spacing w:before="58" w:line="181" w:lineRule="auto"/>
              <w:ind w:left="266"/>
              <w:rPr>
                <w:rFonts w:hint="default" w:eastAsia="宋体"/>
                <w:b w:val="0"/>
                <w:bCs w:val="0"/>
                <w:highlight w:val="none"/>
                <w:lang w:val="en-US" w:eastAsia="zh-CN"/>
              </w:rPr>
            </w:pPr>
            <w:r>
              <w:rPr>
                <w:rFonts w:hint="eastAsia"/>
                <w:b w:val="0"/>
                <w:bCs w:val="0"/>
                <w:highlight w:val="none"/>
                <w:lang w:val="en-US" w:eastAsia="zh-CN"/>
              </w:rPr>
              <w:t>11</w:t>
            </w:r>
          </w:p>
        </w:tc>
        <w:tc>
          <w:tcPr>
            <w:tcW w:w="493" w:type="pct"/>
            <w:vMerge w:val="restart"/>
            <w:tcBorders>
              <w:bottom w:val="nil"/>
            </w:tcBorders>
            <w:vAlign w:val="center"/>
          </w:tcPr>
          <w:p w14:paraId="457BD5A4">
            <w:pPr>
              <w:pStyle w:val="23"/>
              <w:keepNext w:val="0"/>
              <w:keepLines w:val="0"/>
              <w:suppressLineNumbers w:val="0"/>
              <w:spacing w:before="59" w:line="311" w:lineRule="auto"/>
              <w:ind w:left="151" w:right="155" w:firstLine="22"/>
              <w:rPr>
                <w:b w:val="0"/>
                <w:bCs w:val="0"/>
                <w:highlight w:val="none"/>
              </w:rPr>
            </w:pPr>
            <w:r>
              <w:rPr>
                <w:b w:val="0"/>
                <w:bCs w:val="0"/>
                <w:spacing w:val="-3"/>
                <w:highlight w:val="none"/>
              </w:rPr>
              <w:t>消防炮灭</w:t>
            </w:r>
            <w:r>
              <w:rPr>
                <w:b w:val="0"/>
                <w:bCs w:val="0"/>
                <w:spacing w:val="33"/>
                <w:highlight w:val="none"/>
              </w:rPr>
              <w:t>火系统</w:t>
            </w:r>
            <w:r>
              <w:rPr>
                <w:b w:val="0"/>
                <w:bCs w:val="0"/>
                <w:spacing w:val="-8"/>
                <w:highlight w:val="none"/>
              </w:rPr>
              <w:t>（15</w:t>
            </w:r>
            <w:r>
              <w:rPr>
                <w:b w:val="0"/>
                <w:bCs w:val="0"/>
                <w:spacing w:val="-31"/>
                <w:highlight w:val="none"/>
              </w:rPr>
              <w:t xml:space="preserve"> </w:t>
            </w:r>
            <w:r>
              <w:rPr>
                <w:b w:val="0"/>
                <w:bCs w:val="0"/>
                <w:spacing w:val="-8"/>
                <w:highlight w:val="none"/>
              </w:rPr>
              <w:t>分）</w:t>
            </w:r>
          </w:p>
        </w:tc>
        <w:tc>
          <w:tcPr>
            <w:tcW w:w="366" w:type="pct"/>
            <w:vAlign w:val="center"/>
          </w:tcPr>
          <w:p w14:paraId="318CBB3B">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30" w:type="pct"/>
            <w:vAlign w:val="center"/>
          </w:tcPr>
          <w:p w14:paraId="4B1EA809">
            <w:pPr>
              <w:pStyle w:val="23"/>
              <w:keepNext w:val="0"/>
              <w:keepLines w:val="0"/>
              <w:suppressLineNumbers w:val="0"/>
              <w:spacing w:before="58" w:line="220" w:lineRule="auto"/>
              <w:ind w:left="114"/>
              <w:rPr>
                <w:b w:val="0"/>
                <w:bCs w:val="0"/>
                <w:highlight w:val="none"/>
              </w:rPr>
            </w:pPr>
            <w:r>
              <w:rPr>
                <w:b w:val="0"/>
                <w:bCs w:val="0"/>
                <w:spacing w:val="-1"/>
                <w:highlight w:val="none"/>
              </w:rPr>
              <w:t>是否按规定设置消防炮灭火系统。</w:t>
            </w:r>
          </w:p>
        </w:tc>
        <w:tc>
          <w:tcPr>
            <w:tcW w:w="1180" w:type="pct"/>
            <w:vAlign w:val="center"/>
          </w:tcPr>
          <w:p w14:paraId="0A6A4A7F">
            <w:pPr>
              <w:pStyle w:val="23"/>
              <w:keepNext w:val="0"/>
              <w:keepLines w:val="0"/>
              <w:suppressLineNumbers w:val="0"/>
              <w:spacing w:before="194" w:line="306" w:lineRule="auto"/>
              <w:ind w:left="115" w:right="87" w:hanging="1"/>
              <w:rPr>
                <w:b w:val="0"/>
                <w:bCs w:val="0"/>
                <w:highlight w:val="none"/>
              </w:rPr>
            </w:pPr>
            <w:r>
              <w:rPr>
                <w:b w:val="0"/>
                <w:bCs w:val="0"/>
                <w:spacing w:val="-3"/>
                <w:highlight w:val="none"/>
              </w:rPr>
              <w:t>按照规范应设但未设置</w:t>
            </w:r>
            <w:r>
              <w:rPr>
                <w:rFonts w:hint="eastAsia"/>
                <w:b w:val="0"/>
                <w:bCs w:val="0"/>
                <w:spacing w:val="-3"/>
                <w:highlight w:val="none"/>
                <w:lang w:eastAsia="zh-CN"/>
              </w:rPr>
              <w:t>消防</w:t>
            </w:r>
            <w:r>
              <w:rPr>
                <w:b w:val="0"/>
                <w:bCs w:val="0"/>
                <w:spacing w:val="-3"/>
                <w:highlight w:val="none"/>
              </w:rPr>
              <w:t>灭火系统，该评估子项不得分。</w:t>
            </w:r>
          </w:p>
        </w:tc>
        <w:tc>
          <w:tcPr>
            <w:tcW w:w="366" w:type="pct"/>
            <w:vAlign w:val="center"/>
          </w:tcPr>
          <w:p w14:paraId="387F2AEF">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02681063">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69B2B545">
            <w:pPr>
              <w:keepNext w:val="0"/>
              <w:keepLines w:val="0"/>
              <w:suppressLineNumbers w:val="0"/>
              <w:spacing w:before="0" w:beforeAutospacing="0" w:after="0" w:afterAutospacing="0"/>
              <w:ind w:left="0" w:right="0"/>
              <w:rPr>
                <w:rFonts w:hint="default" w:ascii="Arial"/>
                <w:b w:val="0"/>
                <w:bCs w:val="0"/>
                <w:sz w:val="21"/>
                <w:highlight w:val="none"/>
              </w:rPr>
            </w:pPr>
          </w:p>
        </w:tc>
      </w:tr>
      <w:tr w14:paraId="234EDB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37" w:hRule="atLeast"/>
          <w:jc w:val="center"/>
        </w:trPr>
        <w:tc>
          <w:tcPr>
            <w:tcW w:w="195" w:type="pct"/>
            <w:vMerge w:val="continue"/>
            <w:tcBorders>
              <w:top w:val="nil"/>
              <w:bottom w:val="nil"/>
            </w:tcBorders>
            <w:vAlign w:val="center"/>
          </w:tcPr>
          <w:p w14:paraId="3D41CA2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06ACFA92">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0994363D">
            <w:pPr>
              <w:pStyle w:val="23"/>
              <w:keepNext w:val="0"/>
              <w:keepLines w:val="0"/>
              <w:suppressLineNumbers w:val="0"/>
              <w:spacing w:before="58" w:line="220" w:lineRule="auto"/>
              <w:ind w:right="14"/>
              <w:jc w:val="both"/>
              <w:rPr>
                <w:b w:val="0"/>
                <w:bCs w:val="0"/>
                <w:highlight w:val="none"/>
              </w:rPr>
            </w:pPr>
            <w:r>
              <w:rPr>
                <w:b w:val="0"/>
                <w:bCs w:val="0"/>
                <w:spacing w:val="-9"/>
                <w:highlight w:val="none"/>
              </w:rPr>
              <w:t>管网（4</w:t>
            </w:r>
            <w:r>
              <w:rPr>
                <w:b w:val="0"/>
                <w:bCs w:val="0"/>
                <w:spacing w:val="-31"/>
                <w:highlight w:val="none"/>
              </w:rPr>
              <w:t xml:space="preserve"> </w:t>
            </w:r>
            <w:r>
              <w:rPr>
                <w:b w:val="0"/>
                <w:bCs w:val="0"/>
                <w:spacing w:val="-9"/>
                <w:highlight w:val="none"/>
              </w:rPr>
              <w:t>分）</w:t>
            </w:r>
          </w:p>
        </w:tc>
        <w:tc>
          <w:tcPr>
            <w:tcW w:w="1730" w:type="pct"/>
            <w:vAlign w:val="center"/>
          </w:tcPr>
          <w:p w14:paraId="5A91E2C1">
            <w:pPr>
              <w:pStyle w:val="23"/>
              <w:keepNext w:val="0"/>
              <w:keepLines w:val="0"/>
              <w:suppressLineNumbers w:val="0"/>
              <w:spacing w:before="67" w:line="307" w:lineRule="auto"/>
              <w:ind w:left="117" w:right="104" w:hanging="5"/>
              <w:rPr>
                <w:b w:val="0"/>
                <w:bCs w:val="0"/>
                <w:highlight w:val="none"/>
              </w:rPr>
            </w:pPr>
            <w:r>
              <w:rPr>
                <w:b w:val="0"/>
                <w:bCs w:val="0"/>
                <w:spacing w:val="-1"/>
                <w:highlight w:val="none"/>
              </w:rPr>
              <w:t>a)管道、组件、支吊架等应完好无损、无锈蚀，管道</w:t>
            </w:r>
            <w:r>
              <w:rPr>
                <w:b w:val="0"/>
                <w:bCs w:val="0"/>
                <w:spacing w:val="-2"/>
                <w:highlight w:val="none"/>
              </w:rPr>
              <w:t>无泄漏现</w:t>
            </w:r>
            <w:r>
              <w:rPr>
                <w:b w:val="0"/>
                <w:bCs w:val="0"/>
                <w:spacing w:val="-7"/>
                <w:highlight w:val="none"/>
              </w:rPr>
              <w:t>象；</w:t>
            </w:r>
          </w:p>
          <w:p w14:paraId="46786351">
            <w:pPr>
              <w:pStyle w:val="23"/>
              <w:keepNext w:val="0"/>
              <w:keepLines w:val="0"/>
              <w:suppressLineNumbers w:val="0"/>
              <w:spacing w:before="26" w:line="220" w:lineRule="auto"/>
              <w:ind w:left="108"/>
              <w:rPr>
                <w:b w:val="0"/>
                <w:bCs w:val="0"/>
                <w:highlight w:val="none"/>
              </w:rPr>
            </w:pPr>
            <w:r>
              <w:rPr>
                <w:b w:val="0"/>
                <w:bCs w:val="0"/>
                <w:spacing w:val="-1"/>
                <w:highlight w:val="none"/>
              </w:rPr>
              <w:t>b)阀门启闭状态及标志；</w:t>
            </w:r>
          </w:p>
          <w:p w14:paraId="4D0C0538">
            <w:pPr>
              <w:pStyle w:val="23"/>
              <w:keepNext w:val="0"/>
              <w:keepLines w:val="0"/>
              <w:suppressLineNumbers w:val="0"/>
              <w:spacing w:before="96" w:line="282" w:lineRule="auto"/>
              <w:ind w:left="128" w:right="102" w:hanging="13"/>
              <w:rPr>
                <w:b w:val="0"/>
                <w:bCs w:val="0"/>
                <w:highlight w:val="none"/>
              </w:rPr>
            </w:pPr>
            <w:r>
              <w:rPr>
                <w:b w:val="0"/>
                <w:bCs w:val="0"/>
                <w:spacing w:val="5"/>
                <w:highlight w:val="none"/>
              </w:rPr>
              <w:t>c)固定消防炮灭火系统中的阀门应设置工作位置锁定装置和</w:t>
            </w:r>
            <w:r>
              <w:rPr>
                <w:b w:val="0"/>
                <w:bCs w:val="0"/>
                <w:spacing w:val="-3"/>
                <w:highlight w:val="none"/>
              </w:rPr>
              <w:t>明显的指示标志。</w:t>
            </w:r>
          </w:p>
        </w:tc>
        <w:tc>
          <w:tcPr>
            <w:tcW w:w="1180" w:type="pct"/>
            <w:vAlign w:val="center"/>
          </w:tcPr>
          <w:p w14:paraId="0C16A28F">
            <w:pPr>
              <w:pStyle w:val="23"/>
              <w:keepNext w:val="0"/>
              <w:keepLines w:val="0"/>
              <w:suppressLineNumbers w:val="0"/>
              <w:spacing w:before="58"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分，c)不符合要求</w:t>
            </w:r>
            <w:r>
              <w:rPr>
                <w:b w:val="0"/>
                <w:bCs w:val="0"/>
                <w:spacing w:val="-6"/>
                <w:highlight w:val="none"/>
              </w:rPr>
              <w:t>扣</w:t>
            </w:r>
            <w:r>
              <w:rPr>
                <w:b w:val="0"/>
                <w:bCs w:val="0"/>
                <w:spacing w:val="-20"/>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6" w:type="pct"/>
            <w:vAlign w:val="center"/>
          </w:tcPr>
          <w:p w14:paraId="5ED2295A">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28ADB78B">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50351797">
            <w:pPr>
              <w:keepNext w:val="0"/>
              <w:keepLines w:val="0"/>
              <w:suppressLineNumbers w:val="0"/>
              <w:spacing w:before="0" w:beforeAutospacing="0" w:after="0" w:afterAutospacing="0"/>
              <w:ind w:left="0" w:right="0"/>
              <w:rPr>
                <w:rFonts w:hint="default" w:ascii="Arial"/>
                <w:b w:val="0"/>
                <w:bCs w:val="0"/>
                <w:sz w:val="21"/>
                <w:highlight w:val="none"/>
              </w:rPr>
            </w:pPr>
          </w:p>
        </w:tc>
      </w:tr>
      <w:tr w14:paraId="4CBD79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5" w:hRule="atLeast"/>
          <w:jc w:val="center"/>
        </w:trPr>
        <w:tc>
          <w:tcPr>
            <w:tcW w:w="195" w:type="pct"/>
            <w:vMerge w:val="continue"/>
            <w:tcBorders>
              <w:top w:val="nil"/>
              <w:bottom w:val="nil"/>
            </w:tcBorders>
            <w:vAlign w:val="center"/>
          </w:tcPr>
          <w:p w14:paraId="0D682F62">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28DFB00C">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79DE4C99">
            <w:pPr>
              <w:pStyle w:val="23"/>
              <w:keepNext w:val="0"/>
              <w:keepLines w:val="0"/>
              <w:suppressLineNumbers w:val="0"/>
              <w:spacing w:before="227" w:line="307" w:lineRule="auto"/>
              <w:ind w:left="0" w:right="103" w:firstLine="0"/>
              <w:rPr>
                <w:b w:val="0"/>
                <w:bCs w:val="0"/>
                <w:highlight w:val="none"/>
              </w:rPr>
            </w:pPr>
            <w:r>
              <w:rPr>
                <w:b w:val="0"/>
                <w:bCs w:val="0"/>
                <w:spacing w:val="2"/>
                <w:highlight w:val="none"/>
              </w:rPr>
              <w:t>机械操作性</w:t>
            </w:r>
            <w:r>
              <w:rPr>
                <w:b w:val="0"/>
                <w:bCs w:val="0"/>
                <w:spacing w:val="5"/>
                <w:highlight w:val="none"/>
              </w:rPr>
              <w:t>能（4分）</w:t>
            </w:r>
          </w:p>
        </w:tc>
        <w:tc>
          <w:tcPr>
            <w:tcW w:w="1730" w:type="pct"/>
            <w:vAlign w:val="center"/>
          </w:tcPr>
          <w:p w14:paraId="0E6016DB">
            <w:pPr>
              <w:pStyle w:val="23"/>
              <w:keepNext w:val="0"/>
              <w:keepLines w:val="0"/>
              <w:suppressLineNumbers w:val="0"/>
              <w:spacing w:before="71" w:line="221" w:lineRule="auto"/>
              <w:ind w:left="112"/>
              <w:rPr>
                <w:b w:val="0"/>
                <w:bCs w:val="0"/>
                <w:highlight w:val="none"/>
              </w:rPr>
            </w:pPr>
            <w:r>
              <w:rPr>
                <w:b w:val="0"/>
                <w:bCs w:val="0"/>
                <w:spacing w:val="-1"/>
                <w:highlight w:val="none"/>
              </w:rPr>
              <w:t>a)控制阀应能灵活启、闭；</w:t>
            </w:r>
          </w:p>
          <w:p w14:paraId="318D8D14">
            <w:pPr>
              <w:pStyle w:val="23"/>
              <w:keepNext w:val="0"/>
              <w:keepLines w:val="0"/>
              <w:suppressLineNumbers w:val="0"/>
              <w:spacing w:before="97" w:line="281" w:lineRule="auto"/>
              <w:ind w:left="110" w:right="104" w:hanging="2"/>
              <w:rPr>
                <w:b w:val="0"/>
                <w:bCs w:val="0"/>
                <w:highlight w:val="none"/>
              </w:rPr>
            </w:pPr>
            <w:r>
              <w:rPr>
                <w:b w:val="0"/>
                <w:bCs w:val="0"/>
                <w:spacing w:val="-1"/>
                <w:highlight w:val="none"/>
              </w:rPr>
              <w:t>b)应能灵活进行回转与仰俯操作，操作角度应符合设定值，定</w:t>
            </w:r>
            <w:r>
              <w:rPr>
                <w:b w:val="0"/>
                <w:bCs w:val="0"/>
                <w:spacing w:val="-2"/>
                <w:highlight w:val="none"/>
              </w:rPr>
              <w:t>位机构可靠。</w:t>
            </w:r>
          </w:p>
        </w:tc>
        <w:tc>
          <w:tcPr>
            <w:tcW w:w="1180" w:type="pct"/>
            <w:vAlign w:val="center"/>
          </w:tcPr>
          <w:p w14:paraId="7C5D2291">
            <w:pPr>
              <w:pStyle w:val="23"/>
              <w:keepNext w:val="0"/>
              <w:keepLines w:val="0"/>
              <w:suppressLineNumbers w:val="0"/>
              <w:spacing w:before="58" w:line="220" w:lineRule="auto"/>
              <w:ind w:left="114"/>
              <w:rPr>
                <w:b w:val="0"/>
                <w:bCs w:val="0"/>
                <w:highlight w:val="none"/>
              </w:rPr>
            </w:pPr>
            <w:r>
              <w:rPr>
                <w:b w:val="0"/>
                <w:bCs w:val="0"/>
                <w:spacing w:val="-3"/>
                <w:highlight w:val="none"/>
              </w:rPr>
              <w:t>a)b)不符合要求各扣</w:t>
            </w:r>
            <w:r>
              <w:rPr>
                <w:b w:val="0"/>
                <w:bCs w:val="0"/>
                <w:spacing w:val="-27"/>
                <w:highlight w:val="none"/>
              </w:rPr>
              <w:t xml:space="preserve"> </w:t>
            </w:r>
            <w:r>
              <w:rPr>
                <w:b w:val="0"/>
                <w:bCs w:val="0"/>
                <w:spacing w:val="-3"/>
                <w:highlight w:val="none"/>
              </w:rPr>
              <w:t>2</w:t>
            </w:r>
            <w:r>
              <w:rPr>
                <w:b w:val="0"/>
                <w:bCs w:val="0"/>
                <w:spacing w:val="-34"/>
                <w:highlight w:val="none"/>
              </w:rPr>
              <w:t xml:space="preserve"> </w:t>
            </w:r>
            <w:r>
              <w:rPr>
                <w:b w:val="0"/>
                <w:bCs w:val="0"/>
                <w:spacing w:val="-3"/>
                <w:highlight w:val="none"/>
              </w:rPr>
              <w:t>分，扣完不得分。</w:t>
            </w:r>
          </w:p>
        </w:tc>
        <w:tc>
          <w:tcPr>
            <w:tcW w:w="366" w:type="pct"/>
            <w:vAlign w:val="center"/>
          </w:tcPr>
          <w:p w14:paraId="0B5BF24D">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03522E5F">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7CA2BB59">
            <w:pPr>
              <w:keepNext w:val="0"/>
              <w:keepLines w:val="0"/>
              <w:suppressLineNumbers w:val="0"/>
              <w:spacing w:before="0" w:beforeAutospacing="0" w:after="0" w:afterAutospacing="0"/>
              <w:ind w:left="0" w:right="0"/>
              <w:rPr>
                <w:rFonts w:hint="default" w:ascii="Arial"/>
                <w:b w:val="0"/>
                <w:bCs w:val="0"/>
                <w:sz w:val="21"/>
                <w:highlight w:val="none"/>
              </w:rPr>
            </w:pPr>
          </w:p>
        </w:tc>
      </w:tr>
      <w:tr w14:paraId="28D361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9" w:hRule="atLeast"/>
          <w:jc w:val="center"/>
        </w:trPr>
        <w:tc>
          <w:tcPr>
            <w:tcW w:w="195" w:type="pct"/>
            <w:vMerge w:val="continue"/>
            <w:tcBorders>
              <w:top w:val="nil"/>
              <w:bottom w:val="single" w:color="auto" w:sz="4" w:space="0"/>
            </w:tcBorders>
            <w:vAlign w:val="center"/>
          </w:tcPr>
          <w:p w14:paraId="5D3B2F6B">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single" w:color="auto" w:sz="4" w:space="0"/>
            </w:tcBorders>
            <w:vAlign w:val="center"/>
          </w:tcPr>
          <w:p w14:paraId="08733AB2">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bottom w:val="single" w:color="auto" w:sz="4" w:space="0"/>
            </w:tcBorders>
            <w:vAlign w:val="center"/>
          </w:tcPr>
          <w:p w14:paraId="19690EA7">
            <w:pPr>
              <w:pStyle w:val="23"/>
              <w:keepNext w:val="0"/>
              <w:keepLines w:val="0"/>
              <w:suppressLineNumbers w:val="0"/>
              <w:spacing w:before="59" w:line="307" w:lineRule="auto"/>
              <w:ind w:left="0" w:right="105" w:firstLine="0"/>
              <w:rPr>
                <w:b w:val="0"/>
                <w:bCs w:val="0"/>
                <w:highlight w:val="none"/>
              </w:rPr>
            </w:pPr>
            <w:r>
              <w:rPr>
                <w:b w:val="0"/>
                <w:bCs w:val="0"/>
                <w:spacing w:val="-15"/>
                <w:highlight w:val="none"/>
              </w:rPr>
              <w:t>系统功能（7</w:t>
            </w:r>
            <w:r>
              <w:rPr>
                <w:b w:val="0"/>
                <w:bCs w:val="0"/>
                <w:spacing w:val="4"/>
                <w:highlight w:val="none"/>
              </w:rPr>
              <w:t xml:space="preserve"> </w:t>
            </w:r>
            <w:r>
              <w:rPr>
                <w:b w:val="0"/>
                <w:bCs w:val="0"/>
                <w:spacing w:val="-6"/>
                <w:highlight w:val="none"/>
              </w:rPr>
              <w:t>分）</w:t>
            </w:r>
          </w:p>
        </w:tc>
        <w:tc>
          <w:tcPr>
            <w:tcW w:w="1730" w:type="pct"/>
            <w:tcBorders>
              <w:bottom w:val="single" w:color="auto" w:sz="4" w:space="0"/>
            </w:tcBorders>
            <w:vAlign w:val="center"/>
          </w:tcPr>
          <w:p w14:paraId="3DF597A9">
            <w:pPr>
              <w:pStyle w:val="23"/>
              <w:keepNext w:val="0"/>
              <w:keepLines w:val="0"/>
              <w:suppressLineNumbers w:val="0"/>
              <w:spacing w:before="70" w:line="307" w:lineRule="auto"/>
              <w:ind w:left="112" w:right="104"/>
              <w:rPr>
                <w:b w:val="0"/>
                <w:bCs w:val="0"/>
                <w:highlight w:val="none"/>
              </w:rPr>
            </w:pPr>
            <w:r>
              <w:rPr>
                <w:b w:val="0"/>
                <w:bCs w:val="0"/>
                <w:spacing w:val="-3"/>
                <w:highlight w:val="none"/>
              </w:rPr>
              <w:t>a)</w:t>
            </w:r>
            <w:r>
              <w:rPr>
                <w:b w:val="0"/>
                <w:bCs w:val="0"/>
                <w:spacing w:val="-38"/>
                <w:highlight w:val="none"/>
              </w:rPr>
              <w:t xml:space="preserve"> </w:t>
            </w:r>
            <w:r>
              <w:rPr>
                <w:b w:val="0"/>
                <w:bCs w:val="0"/>
                <w:spacing w:val="-3"/>
                <w:highlight w:val="none"/>
              </w:rPr>
              <w:t>自动跟踪定位射流灭火系统应具有自动控制、消防控制室手</w:t>
            </w:r>
            <w:r>
              <w:rPr>
                <w:b w:val="0"/>
                <w:bCs w:val="0"/>
                <w:spacing w:val="-1"/>
                <w:highlight w:val="none"/>
              </w:rPr>
              <w:t>动控制和现场手动控制的启动方式；</w:t>
            </w:r>
          </w:p>
          <w:p w14:paraId="1818D7AE">
            <w:pPr>
              <w:pStyle w:val="23"/>
              <w:keepNext w:val="0"/>
              <w:keepLines w:val="0"/>
              <w:suppressLineNumbers w:val="0"/>
              <w:spacing w:before="25" w:line="221" w:lineRule="auto"/>
              <w:ind w:left="108"/>
              <w:rPr>
                <w:b w:val="0"/>
                <w:bCs w:val="0"/>
                <w:highlight w:val="none"/>
              </w:rPr>
            </w:pPr>
            <w:r>
              <w:rPr>
                <w:b w:val="0"/>
                <w:bCs w:val="0"/>
                <w:spacing w:val="-2"/>
                <w:highlight w:val="none"/>
              </w:rPr>
              <w:t>b)远控炮系统远程控制的功能；</w:t>
            </w:r>
          </w:p>
          <w:p w14:paraId="6BD3D55E">
            <w:pPr>
              <w:pStyle w:val="23"/>
              <w:keepNext w:val="0"/>
              <w:keepLines w:val="0"/>
              <w:suppressLineNumbers w:val="0"/>
              <w:spacing w:before="96" w:line="221" w:lineRule="auto"/>
              <w:ind w:left="115"/>
              <w:rPr>
                <w:b w:val="0"/>
                <w:bCs w:val="0"/>
                <w:highlight w:val="none"/>
              </w:rPr>
            </w:pPr>
            <w:r>
              <w:rPr>
                <w:b w:val="0"/>
                <w:bCs w:val="0"/>
                <w:spacing w:val="-3"/>
                <w:highlight w:val="none"/>
              </w:rPr>
              <w:t>c)系统</w:t>
            </w:r>
            <w:r>
              <w:rPr>
                <w:rFonts w:hint="eastAsia"/>
                <w:b w:val="0"/>
                <w:bCs w:val="0"/>
                <w:spacing w:val="-3"/>
                <w:highlight w:val="none"/>
                <w:lang w:eastAsia="zh-CN"/>
              </w:rPr>
              <w:t>自动</w:t>
            </w:r>
            <w:r>
              <w:rPr>
                <w:b w:val="0"/>
                <w:bCs w:val="0"/>
                <w:spacing w:val="-3"/>
                <w:highlight w:val="none"/>
              </w:rPr>
              <w:t>启动功能；</w:t>
            </w:r>
          </w:p>
          <w:p w14:paraId="42C64E70">
            <w:pPr>
              <w:pStyle w:val="23"/>
              <w:keepNext w:val="0"/>
              <w:keepLines w:val="0"/>
              <w:suppressLineNumbers w:val="0"/>
              <w:spacing w:before="96" w:line="283" w:lineRule="auto"/>
              <w:ind w:left="115" w:right="2466"/>
              <w:rPr>
                <w:b w:val="0"/>
                <w:bCs w:val="0"/>
                <w:spacing w:val="3"/>
                <w:highlight w:val="none"/>
              </w:rPr>
            </w:pPr>
            <w:r>
              <w:rPr>
                <w:b w:val="0"/>
                <w:bCs w:val="0"/>
                <w:spacing w:val="-4"/>
                <w:highlight w:val="none"/>
              </w:rPr>
              <w:t>d)系统主、备电源的切换功能；</w:t>
            </w:r>
            <w:r>
              <w:rPr>
                <w:b w:val="0"/>
                <w:bCs w:val="0"/>
                <w:spacing w:val="3"/>
                <w:highlight w:val="none"/>
              </w:rPr>
              <w:t xml:space="preserve"> </w:t>
            </w:r>
          </w:p>
          <w:p w14:paraId="5BC5A7CA">
            <w:pPr>
              <w:pStyle w:val="23"/>
              <w:keepNext w:val="0"/>
              <w:keepLines w:val="0"/>
              <w:suppressLineNumbers w:val="0"/>
              <w:spacing w:before="96" w:line="283" w:lineRule="auto"/>
              <w:ind w:left="115" w:right="2466"/>
              <w:rPr>
                <w:b w:val="0"/>
                <w:bCs w:val="0"/>
                <w:highlight w:val="none"/>
              </w:rPr>
            </w:pPr>
            <w:r>
              <w:rPr>
                <w:b w:val="0"/>
                <w:bCs w:val="0"/>
                <w:spacing w:val="-2"/>
                <w:highlight w:val="none"/>
              </w:rPr>
              <w:t>e)系统联动喷射功能。</w:t>
            </w:r>
          </w:p>
        </w:tc>
        <w:tc>
          <w:tcPr>
            <w:tcW w:w="1180" w:type="pct"/>
            <w:tcBorders>
              <w:bottom w:val="single" w:color="auto" w:sz="4" w:space="0"/>
            </w:tcBorders>
            <w:vAlign w:val="center"/>
          </w:tcPr>
          <w:p w14:paraId="07E0541A">
            <w:pPr>
              <w:pStyle w:val="23"/>
              <w:keepNext w:val="0"/>
              <w:keepLines w:val="0"/>
              <w:suppressLineNumbers w:val="0"/>
              <w:spacing w:before="59" w:line="307" w:lineRule="auto"/>
              <w:ind w:left="114" w:right="101"/>
              <w:rPr>
                <w:b w:val="0"/>
                <w:bCs w:val="0"/>
                <w:highlight w:val="none"/>
              </w:rPr>
            </w:pPr>
            <w:r>
              <w:rPr>
                <w:b w:val="0"/>
                <w:bCs w:val="0"/>
                <w:spacing w:val="-5"/>
                <w:highlight w:val="none"/>
              </w:rPr>
              <w:t>a)b)c)d)不符合要求各扣</w:t>
            </w:r>
            <w:r>
              <w:rPr>
                <w:b w:val="0"/>
                <w:bCs w:val="0"/>
                <w:spacing w:val="-24"/>
                <w:highlight w:val="none"/>
              </w:rPr>
              <w:t xml:space="preserve"> </w:t>
            </w:r>
            <w:r>
              <w:rPr>
                <w:b w:val="0"/>
                <w:bCs w:val="0"/>
                <w:spacing w:val="-5"/>
                <w:highlight w:val="none"/>
              </w:rPr>
              <w:t>3</w:t>
            </w:r>
            <w:r>
              <w:rPr>
                <w:b w:val="0"/>
                <w:bCs w:val="0"/>
                <w:spacing w:val="-34"/>
                <w:highlight w:val="none"/>
              </w:rPr>
              <w:t xml:space="preserve"> </w:t>
            </w:r>
            <w:r>
              <w:rPr>
                <w:b w:val="0"/>
                <w:bCs w:val="0"/>
                <w:spacing w:val="-5"/>
                <w:highlight w:val="none"/>
              </w:rPr>
              <w:t>分，e)不符合</w:t>
            </w:r>
            <w:r>
              <w:rPr>
                <w:b w:val="0"/>
                <w:bCs w:val="0"/>
                <w:spacing w:val="1"/>
                <w:highlight w:val="none"/>
              </w:rPr>
              <w:t>要求扣4</w:t>
            </w:r>
            <w:r>
              <w:rPr>
                <w:b w:val="0"/>
                <w:bCs w:val="0"/>
                <w:spacing w:val="-33"/>
                <w:highlight w:val="none"/>
              </w:rPr>
              <w:t xml:space="preserve"> </w:t>
            </w:r>
            <w:r>
              <w:rPr>
                <w:b w:val="0"/>
                <w:bCs w:val="0"/>
                <w:spacing w:val="1"/>
                <w:highlight w:val="none"/>
              </w:rPr>
              <w:t>分；扣完不得分。</w:t>
            </w:r>
          </w:p>
        </w:tc>
        <w:tc>
          <w:tcPr>
            <w:tcW w:w="366" w:type="pct"/>
            <w:tcBorders>
              <w:bottom w:val="single" w:color="auto" w:sz="4" w:space="0"/>
            </w:tcBorders>
            <w:vAlign w:val="center"/>
          </w:tcPr>
          <w:p w14:paraId="36FD222E">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tcBorders>
              <w:bottom w:val="single" w:color="auto" w:sz="4" w:space="0"/>
            </w:tcBorders>
            <w:vAlign w:val="center"/>
          </w:tcPr>
          <w:p w14:paraId="3090A415">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bottom w:val="single" w:color="auto" w:sz="4" w:space="0"/>
            </w:tcBorders>
            <w:vAlign w:val="center"/>
          </w:tcPr>
          <w:p w14:paraId="5C44F4C3">
            <w:pPr>
              <w:keepNext w:val="0"/>
              <w:keepLines w:val="0"/>
              <w:suppressLineNumbers w:val="0"/>
              <w:spacing w:before="0" w:beforeAutospacing="0" w:after="0" w:afterAutospacing="0"/>
              <w:ind w:left="0" w:right="0"/>
              <w:rPr>
                <w:rFonts w:hint="default" w:ascii="Arial"/>
                <w:b w:val="0"/>
                <w:bCs w:val="0"/>
                <w:sz w:val="21"/>
                <w:highlight w:val="none"/>
              </w:rPr>
            </w:pPr>
          </w:p>
        </w:tc>
      </w:tr>
      <w:tr w14:paraId="235055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195" w:type="pct"/>
            <w:vMerge w:val="restart"/>
            <w:tcBorders>
              <w:top w:val="single" w:color="auto" w:sz="4" w:space="0"/>
              <w:left w:val="single" w:color="auto" w:sz="4" w:space="0"/>
              <w:bottom w:val="single" w:color="auto" w:sz="4" w:space="0"/>
              <w:right w:val="single" w:color="auto" w:sz="4" w:space="0"/>
            </w:tcBorders>
            <w:vAlign w:val="center"/>
          </w:tcPr>
          <w:p w14:paraId="61C80FC9">
            <w:pPr>
              <w:pStyle w:val="23"/>
              <w:keepNext w:val="0"/>
              <w:keepLines w:val="0"/>
              <w:suppressLineNumbers w:val="0"/>
              <w:spacing w:before="58" w:line="181" w:lineRule="auto"/>
              <w:jc w:val="center"/>
              <w:rPr>
                <w:rFonts w:hint="default" w:eastAsia="宋体"/>
                <w:b w:val="0"/>
                <w:bCs w:val="0"/>
                <w:highlight w:val="none"/>
                <w:lang w:val="en-US" w:eastAsia="zh-CN"/>
              </w:rPr>
            </w:pPr>
            <w:r>
              <w:rPr>
                <w:rFonts w:hint="eastAsia"/>
                <w:b w:val="0"/>
                <w:bCs w:val="0"/>
                <w:highlight w:val="none"/>
                <w:lang w:val="en-US" w:eastAsia="zh-CN"/>
              </w:rPr>
              <w:t>12</w:t>
            </w:r>
          </w:p>
        </w:tc>
        <w:tc>
          <w:tcPr>
            <w:tcW w:w="493" w:type="pct"/>
            <w:vMerge w:val="restart"/>
            <w:tcBorders>
              <w:top w:val="single" w:color="auto" w:sz="4" w:space="0"/>
              <w:left w:val="single" w:color="auto" w:sz="4" w:space="0"/>
              <w:bottom w:val="single" w:color="auto" w:sz="4" w:space="0"/>
              <w:right w:val="single" w:color="auto" w:sz="4" w:space="0"/>
            </w:tcBorders>
            <w:vAlign w:val="center"/>
          </w:tcPr>
          <w:p w14:paraId="3D560A78">
            <w:pPr>
              <w:pStyle w:val="23"/>
              <w:keepNext w:val="0"/>
              <w:keepLines w:val="0"/>
              <w:suppressLineNumbers w:val="0"/>
              <w:spacing w:before="59" w:line="307" w:lineRule="auto"/>
              <w:ind w:left="354" w:right="167" w:hanging="182"/>
              <w:rPr>
                <w:b w:val="0"/>
                <w:bCs w:val="0"/>
                <w:highlight w:val="none"/>
              </w:rPr>
            </w:pPr>
            <w:r>
              <w:rPr>
                <w:b w:val="0"/>
                <w:bCs w:val="0"/>
                <w:spacing w:val="-3"/>
                <w:highlight w:val="none"/>
              </w:rPr>
              <w:t>泡沫灭火系统</w:t>
            </w:r>
          </w:p>
          <w:p w14:paraId="0506BDD4">
            <w:pPr>
              <w:pStyle w:val="23"/>
              <w:keepNext w:val="0"/>
              <w:keepLines w:val="0"/>
              <w:suppressLineNumbers w:val="0"/>
              <w:spacing w:before="59" w:line="307" w:lineRule="auto"/>
              <w:ind w:left="354" w:right="167" w:hanging="182"/>
              <w:rPr>
                <w:b w:val="0"/>
                <w:bCs w:val="0"/>
                <w:highlight w:val="none"/>
              </w:rPr>
            </w:pP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00B9B4A1">
            <w:pPr>
              <w:pStyle w:val="23"/>
              <w:keepNext w:val="0"/>
              <w:keepLines w:val="0"/>
              <w:suppressLineNumbers w:val="0"/>
              <w:spacing w:before="58" w:line="222" w:lineRule="auto"/>
              <w:ind w:left="0"/>
              <w:rPr>
                <w:b w:val="0"/>
                <w:bCs w:val="0"/>
                <w:highlight w:val="none"/>
              </w:rPr>
            </w:pPr>
            <w:r>
              <w:rPr>
                <w:b w:val="0"/>
                <w:bCs w:val="0"/>
                <w:spacing w:val="-3"/>
                <w:highlight w:val="none"/>
              </w:rPr>
              <w:t>系统设置</w:t>
            </w:r>
          </w:p>
        </w:tc>
        <w:tc>
          <w:tcPr>
            <w:tcW w:w="1730" w:type="pct"/>
            <w:tcBorders>
              <w:top w:val="single" w:color="auto" w:sz="4" w:space="0"/>
              <w:left w:val="single" w:color="auto" w:sz="4" w:space="0"/>
              <w:bottom w:val="single" w:color="auto" w:sz="4" w:space="0"/>
              <w:right w:val="single" w:color="auto" w:sz="4" w:space="0"/>
            </w:tcBorders>
            <w:vAlign w:val="center"/>
          </w:tcPr>
          <w:p w14:paraId="79DBA503">
            <w:pPr>
              <w:pStyle w:val="23"/>
              <w:keepNext w:val="0"/>
              <w:keepLines w:val="0"/>
              <w:suppressLineNumbers w:val="0"/>
              <w:spacing w:before="59" w:line="220" w:lineRule="auto"/>
              <w:ind w:left="114"/>
              <w:rPr>
                <w:b w:val="0"/>
                <w:bCs w:val="0"/>
                <w:highlight w:val="none"/>
              </w:rPr>
            </w:pPr>
            <w:r>
              <w:rPr>
                <w:b w:val="0"/>
                <w:bCs w:val="0"/>
                <w:spacing w:val="-1"/>
                <w:highlight w:val="none"/>
              </w:rPr>
              <w:t>是否按规定设置泡沫灭火系统。</w:t>
            </w:r>
          </w:p>
        </w:tc>
        <w:tc>
          <w:tcPr>
            <w:tcW w:w="1180" w:type="pct"/>
            <w:tcBorders>
              <w:top w:val="single" w:color="auto" w:sz="4" w:space="0"/>
              <w:left w:val="single" w:color="auto" w:sz="4" w:space="0"/>
              <w:bottom w:val="single" w:color="auto" w:sz="4" w:space="0"/>
              <w:right w:val="single" w:color="auto" w:sz="4" w:space="0"/>
            </w:tcBorders>
            <w:vAlign w:val="center"/>
          </w:tcPr>
          <w:p w14:paraId="63C382CE">
            <w:pPr>
              <w:pStyle w:val="23"/>
              <w:keepNext w:val="0"/>
              <w:keepLines w:val="0"/>
              <w:suppressLineNumbers w:val="0"/>
              <w:spacing w:before="191" w:line="306" w:lineRule="auto"/>
              <w:ind w:left="112" w:right="112" w:firstLine="2"/>
              <w:rPr>
                <w:b w:val="0"/>
                <w:bCs w:val="0"/>
                <w:highlight w:val="none"/>
              </w:rPr>
            </w:pPr>
            <w:r>
              <w:rPr>
                <w:b w:val="0"/>
                <w:bCs w:val="0"/>
                <w:spacing w:val="-5"/>
                <w:highlight w:val="none"/>
              </w:rPr>
              <w:t>按照规范应设但未设置泡沫灭火系统，该</w:t>
            </w:r>
            <w:r>
              <w:rPr>
                <w:b w:val="0"/>
                <w:bCs w:val="0"/>
                <w:spacing w:val="-3"/>
                <w:highlight w:val="none"/>
              </w:rPr>
              <w:t>评估子项不得分。</w:t>
            </w:r>
          </w:p>
        </w:tc>
        <w:tc>
          <w:tcPr>
            <w:tcW w:w="366" w:type="pct"/>
            <w:tcBorders>
              <w:top w:val="single" w:color="auto" w:sz="4" w:space="0"/>
              <w:left w:val="single" w:color="auto" w:sz="4" w:space="0"/>
              <w:bottom w:val="single" w:color="auto" w:sz="4" w:space="0"/>
              <w:right w:val="single" w:color="auto" w:sz="4" w:space="0"/>
            </w:tcBorders>
            <w:vAlign w:val="center"/>
          </w:tcPr>
          <w:p w14:paraId="30A9D4F7">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tcBorders>
              <w:top w:val="single" w:color="auto" w:sz="4" w:space="0"/>
              <w:left w:val="single" w:color="auto" w:sz="4" w:space="0"/>
              <w:bottom w:val="single" w:color="auto" w:sz="4" w:space="0"/>
              <w:right w:val="single" w:color="auto" w:sz="4" w:space="0"/>
            </w:tcBorders>
            <w:vAlign w:val="center"/>
          </w:tcPr>
          <w:p w14:paraId="7DA5FBD9">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5CA25B18">
            <w:pPr>
              <w:keepNext w:val="0"/>
              <w:keepLines w:val="0"/>
              <w:suppressLineNumbers w:val="0"/>
              <w:spacing w:before="0" w:beforeAutospacing="0" w:after="0" w:afterAutospacing="0"/>
              <w:ind w:left="0" w:right="0"/>
              <w:rPr>
                <w:rFonts w:hint="default" w:ascii="Arial"/>
                <w:b w:val="0"/>
                <w:bCs w:val="0"/>
                <w:sz w:val="21"/>
                <w:highlight w:val="none"/>
              </w:rPr>
            </w:pPr>
          </w:p>
        </w:tc>
      </w:tr>
      <w:tr w14:paraId="1C9FB2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1" w:hRule="atLeast"/>
          <w:jc w:val="center"/>
        </w:trPr>
        <w:tc>
          <w:tcPr>
            <w:tcW w:w="195" w:type="pct"/>
            <w:vMerge w:val="continue"/>
            <w:tcBorders>
              <w:top w:val="single" w:color="auto" w:sz="4" w:space="0"/>
              <w:left w:val="single" w:color="auto" w:sz="4" w:space="0"/>
              <w:bottom w:val="single" w:color="auto" w:sz="4" w:space="0"/>
              <w:right w:val="single" w:color="auto" w:sz="4" w:space="0"/>
            </w:tcBorders>
            <w:vAlign w:val="center"/>
          </w:tcPr>
          <w:p w14:paraId="0E0D3A44">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28EA51D">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1BC2EB32">
            <w:pPr>
              <w:pStyle w:val="23"/>
              <w:keepNext w:val="0"/>
              <w:keepLines w:val="0"/>
              <w:suppressLineNumbers w:val="0"/>
              <w:spacing w:before="59" w:line="307" w:lineRule="auto"/>
              <w:ind w:left="0" w:right="103" w:firstLine="0"/>
              <w:rPr>
                <w:b w:val="0"/>
                <w:bCs w:val="0"/>
                <w:highlight w:val="none"/>
              </w:rPr>
            </w:pPr>
            <w:r>
              <w:rPr>
                <w:b w:val="0"/>
                <w:bCs w:val="0"/>
                <w:spacing w:val="2"/>
                <w:highlight w:val="none"/>
              </w:rPr>
              <w:t>泡沫液储罐</w:t>
            </w:r>
            <w:r>
              <w:rPr>
                <w:b w:val="0"/>
                <w:bCs w:val="0"/>
                <w:spacing w:val="7"/>
                <w:highlight w:val="none"/>
              </w:rPr>
              <w:t>（4分）</w:t>
            </w:r>
          </w:p>
        </w:tc>
        <w:tc>
          <w:tcPr>
            <w:tcW w:w="1730" w:type="pct"/>
            <w:tcBorders>
              <w:top w:val="single" w:color="auto" w:sz="4" w:space="0"/>
              <w:left w:val="single" w:color="auto" w:sz="4" w:space="0"/>
              <w:bottom w:val="single" w:color="auto" w:sz="4" w:space="0"/>
              <w:right w:val="single" w:color="auto" w:sz="4" w:space="0"/>
            </w:tcBorders>
            <w:vAlign w:val="center"/>
          </w:tcPr>
          <w:p w14:paraId="5C614162">
            <w:pPr>
              <w:pStyle w:val="23"/>
              <w:keepNext w:val="0"/>
              <w:keepLines w:val="0"/>
              <w:suppressLineNumbers w:val="0"/>
              <w:spacing w:before="67" w:line="220" w:lineRule="auto"/>
              <w:ind w:left="112"/>
              <w:rPr>
                <w:b w:val="0"/>
                <w:bCs w:val="0"/>
                <w:highlight w:val="none"/>
              </w:rPr>
            </w:pPr>
            <w:r>
              <w:rPr>
                <w:b w:val="0"/>
                <w:bCs w:val="0"/>
                <w:spacing w:val="-1"/>
                <w:highlight w:val="none"/>
              </w:rPr>
              <w:t>a)泡沫液储罐标识；</w:t>
            </w:r>
          </w:p>
          <w:p w14:paraId="168D97FF">
            <w:pPr>
              <w:pStyle w:val="23"/>
              <w:keepNext w:val="0"/>
              <w:keepLines w:val="0"/>
              <w:suppressLineNumbers w:val="0"/>
              <w:spacing w:before="96" w:line="308" w:lineRule="auto"/>
              <w:ind w:left="110" w:right="104" w:hanging="2"/>
              <w:rPr>
                <w:b w:val="0"/>
                <w:bCs w:val="0"/>
                <w:highlight w:val="none"/>
              </w:rPr>
            </w:pPr>
            <w:r>
              <w:rPr>
                <w:b w:val="0"/>
                <w:bCs w:val="0"/>
                <w:spacing w:val="-1"/>
                <w:highlight w:val="none"/>
              </w:rPr>
              <w:t>b)泡沫灭火剂的型号、配比浓度、泡沫灭火剂的有效日期和储</w:t>
            </w:r>
            <w:r>
              <w:rPr>
                <w:b w:val="0"/>
                <w:bCs w:val="0"/>
                <w:spacing w:val="-4"/>
                <w:highlight w:val="none"/>
              </w:rPr>
              <w:t>量；</w:t>
            </w:r>
          </w:p>
          <w:p w14:paraId="43C1D7F9">
            <w:pPr>
              <w:pStyle w:val="23"/>
              <w:keepNext w:val="0"/>
              <w:keepLines w:val="0"/>
              <w:suppressLineNumbers w:val="0"/>
              <w:spacing w:before="24" w:line="220" w:lineRule="auto"/>
              <w:ind w:left="115"/>
              <w:rPr>
                <w:b w:val="0"/>
                <w:bCs w:val="0"/>
                <w:highlight w:val="none"/>
              </w:rPr>
            </w:pPr>
            <w:r>
              <w:rPr>
                <w:b w:val="0"/>
                <w:bCs w:val="0"/>
                <w:spacing w:val="-1"/>
                <w:highlight w:val="none"/>
              </w:rPr>
              <w:t>c)储罐组件、外观，储罐的防晒、防冻和防腐措施。</w:t>
            </w:r>
          </w:p>
        </w:tc>
        <w:tc>
          <w:tcPr>
            <w:tcW w:w="1180" w:type="pct"/>
            <w:tcBorders>
              <w:top w:val="single" w:color="auto" w:sz="4" w:space="0"/>
              <w:left w:val="single" w:color="auto" w:sz="4" w:space="0"/>
              <w:bottom w:val="single" w:color="auto" w:sz="4" w:space="0"/>
              <w:right w:val="single" w:color="auto" w:sz="4" w:space="0"/>
            </w:tcBorders>
            <w:vAlign w:val="center"/>
          </w:tcPr>
          <w:p w14:paraId="6C774638">
            <w:pPr>
              <w:pStyle w:val="23"/>
              <w:keepNext w:val="0"/>
              <w:keepLines w:val="0"/>
              <w:suppressLineNumbers w:val="0"/>
              <w:spacing w:before="58" w:line="307" w:lineRule="auto"/>
              <w:ind w:left="115" w:right="101" w:hanging="2"/>
              <w:rPr>
                <w:b w:val="0"/>
                <w:bCs w:val="0"/>
                <w:highlight w:val="none"/>
              </w:rPr>
            </w:pPr>
            <w:r>
              <w:rPr>
                <w:b w:val="0"/>
                <w:bCs w:val="0"/>
                <w:spacing w:val="-5"/>
                <w:highlight w:val="none"/>
              </w:rPr>
              <w:t>每条检查内容不符合要求各扣</w:t>
            </w:r>
            <w:r>
              <w:rPr>
                <w:b w:val="0"/>
                <w:bCs w:val="0"/>
                <w:spacing w:val="-29"/>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w:t>
            </w:r>
            <w:r>
              <w:rPr>
                <w:b w:val="0"/>
                <w:bCs w:val="0"/>
                <w:spacing w:val="-6"/>
                <w:highlight w:val="none"/>
              </w:rPr>
              <w:t>不得分。</w:t>
            </w:r>
          </w:p>
        </w:tc>
        <w:tc>
          <w:tcPr>
            <w:tcW w:w="366" w:type="pct"/>
            <w:tcBorders>
              <w:top w:val="single" w:color="auto" w:sz="4" w:space="0"/>
              <w:left w:val="single" w:color="auto" w:sz="4" w:space="0"/>
              <w:bottom w:val="single" w:color="auto" w:sz="4" w:space="0"/>
              <w:right w:val="single" w:color="auto" w:sz="4" w:space="0"/>
            </w:tcBorders>
            <w:vAlign w:val="center"/>
          </w:tcPr>
          <w:p w14:paraId="7E38CA71">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tcBorders>
              <w:top w:val="single" w:color="auto" w:sz="4" w:space="0"/>
              <w:left w:val="single" w:color="auto" w:sz="4" w:space="0"/>
              <w:bottom w:val="single" w:color="auto" w:sz="4" w:space="0"/>
              <w:right w:val="single" w:color="auto" w:sz="4" w:space="0"/>
            </w:tcBorders>
            <w:vAlign w:val="center"/>
          </w:tcPr>
          <w:p w14:paraId="1EAD1C21">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46909FF6">
            <w:pPr>
              <w:keepNext w:val="0"/>
              <w:keepLines w:val="0"/>
              <w:suppressLineNumbers w:val="0"/>
              <w:spacing w:before="0" w:beforeAutospacing="0" w:after="0" w:afterAutospacing="0"/>
              <w:ind w:left="0" w:right="0"/>
              <w:rPr>
                <w:rFonts w:hint="default" w:ascii="Arial"/>
                <w:b w:val="0"/>
                <w:bCs w:val="0"/>
                <w:sz w:val="21"/>
                <w:highlight w:val="none"/>
              </w:rPr>
            </w:pPr>
          </w:p>
        </w:tc>
      </w:tr>
      <w:tr w14:paraId="4B31AE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8" w:hRule="atLeast"/>
          <w:jc w:val="center"/>
        </w:trPr>
        <w:tc>
          <w:tcPr>
            <w:tcW w:w="195" w:type="pct"/>
            <w:vMerge w:val="continue"/>
            <w:tcBorders>
              <w:top w:val="single" w:color="auto" w:sz="4" w:space="0"/>
              <w:left w:val="single" w:color="auto" w:sz="4" w:space="0"/>
              <w:bottom w:val="single" w:color="auto" w:sz="4" w:space="0"/>
              <w:right w:val="single" w:color="auto" w:sz="4" w:space="0"/>
            </w:tcBorders>
            <w:vAlign w:val="center"/>
          </w:tcPr>
          <w:p w14:paraId="0A7360F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5EB8D8F">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42190CFE">
            <w:pPr>
              <w:pStyle w:val="23"/>
              <w:keepNext w:val="0"/>
              <w:keepLines w:val="0"/>
              <w:suppressLineNumbers w:val="0"/>
              <w:spacing w:before="67" w:line="220" w:lineRule="auto"/>
              <w:ind w:left="112" w:right="0"/>
              <w:rPr>
                <w:b w:val="0"/>
                <w:bCs w:val="0"/>
                <w:spacing w:val="-1"/>
                <w:highlight w:val="none"/>
              </w:rPr>
            </w:pPr>
            <w:r>
              <w:rPr>
                <w:b w:val="0"/>
                <w:bCs w:val="0"/>
                <w:spacing w:val="-1"/>
                <w:highlight w:val="none"/>
              </w:rPr>
              <w:t>泡沫比例混合器（3 分）</w:t>
            </w:r>
          </w:p>
        </w:tc>
        <w:tc>
          <w:tcPr>
            <w:tcW w:w="1730" w:type="pct"/>
            <w:tcBorders>
              <w:top w:val="single" w:color="auto" w:sz="4" w:space="0"/>
              <w:left w:val="single" w:color="auto" w:sz="4" w:space="0"/>
              <w:bottom w:val="single" w:color="auto" w:sz="4" w:space="0"/>
              <w:right w:val="single" w:color="auto" w:sz="4" w:space="0"/>
            </w:tcBorders>
            <w:vAlign w:val="center"/>
          </w:tcPr>
          <w:p w14:paraId="698A6C59">
            <w:pPr>
              <w:pStyle w:val="23"/>
              <w:keepNext w:val="0"/>
              <w:keepLines w:val="0"/>
              <w:numPr>
                <w:ilvl w:val="-1"/>
                <w:numId w:val="0"/>
              </w:numPr>
              <w:suppressLineNumbers w:val="0"/>
              <w:spacing w:before="67" w:line="220" w:lineRule="auto"/>
              <w:ind w:left="112" w:right="0" w:firstLine="0"/>
              <w:rPr>
                <w:b w:val="0"/>
                <w:bCs w:val="0"/>
                <w:spacing w:val="-1"/>
                <w:highlight w:val="none"/>
              </w:rPr>
            </w:pPr>
            <w:r>
              <w:rPr>
                <w:b w:val="0"/>
                <w:bCs w:val="0"/>
                <w:spacing w:val="-1"/>
                <w:highlight w:val="none"/>
              </w:rPr>
              <w:t>a)泡沫比例混合器的安装应牢固，应无损伤、锈蚀；</w:t>
            </w:r>
          </w:p>
          <w:p w14:paraId="17102439">
            <w:pPr>
              <w:pStyle w:val="23"/>
              <w:keepNext w:val="0"/>
              <w:keepLines w:val="0"/>
              <w:numPr>
                <w:ilvl w:val="-1"/>
                <w:numId w:val="0"/>
              </w:numPr>
              <w:suppressLineNumbers w:val="0"/>
              <w:spacing w:before="67" w:line="220" w:lineRule="auto"/>
              <w:ind w:left="112" w:leftChars="0" w:right="0" w:rightChars="0"/>
              <w:rPr>
                <w:b w:val="0"/>
                <w:bCs w:val="0"/>
                <w:spacing w:val="-1"/>
                <w:highlight w:val="none"/>
              </w:rPr>
            </w:pPr>
            <w:r>
              <w:rPr>
                <w:b w:val="0"/>
                <w:bCs w:val="0"/>
                <w:spacing w:val="-1"/>
                <w:highlight w:val="none"/>
              </w:rPr>
              <w:t>b)泡沫比例混合器的标注方向应与液流方向一致；</w:t>
            </w:r>
          </w:p>
          <w:p w14:paraId="3AB2E157">
            <w:pPr>
              <w:pStyle w:val="23"/>
              <w:keepNext w:val="0"/>
              <w:keepLines w:val="0"/>
              <w:suppressLineNumbers w:val="0"/>
              <w:spacing w:before="67" w:line="220" w:lineRule="auto"/>
              <w:ind w:left="112"/>
              <w:rPr>
                <w:b w:val="0"/>
                <w:bCs w:val="0"/>
                <w:spacing w:val="-1"/>
                <w:highlight w:val="none"/>
              </w:rPr>
            </w:pPr>
            <w:r>
              <w:rPr>
                <w:b w:val="0"/>
                <w:bCs w:val="0"/>
                <w:spacing w:val="-1"/>
                <w:highlight w:val="none"/>
              </w:rPr>
              <w:t>c)阀门启闭应灵活，压力表显示应正常。</w:t>
            </w:r>
          </w:p>
        </w:tc>
        <w:tc>
          <w:tcPr>
            <w:tcW w:w="1180" w:type="pct"/>
            <w:tcBorders>
              <w:top w:val="single" w:color="auto" w:sz="4" w:space="0"/>
              <w:left w:val="single" w:color="auto" w:sz="4" w:space="0"/>
              <w:bottom w:val="single" w:color="auto" w:sz="4" w:space="0"/>
              <w:right w:val="single" w:color="auto" w:sz="4" w:space="0"/>
            </w:tcBorders>
            <w:vAlign w:val="center"/>
          </w:tcPr>
          <w:p w14:paraId="20C3C9F1">
            <w:pPr>
              <w:pStyle w:val="23"/>
              <w:keepNext w:val="0"/>
              <w:keepLines w:val="0"/>
              <w:suppressLineNumbers w:val="0"/>
              <w:spacing w:before="224" w:line="307" w:lineRule="auto"/>
              <w:ind w:left="115" w:right="101" w:hanging="2"/>
              <w:rPr>
                <w:b w:val="0"/>
                <w:bCs w:val="0"/>
                <w:highlight w:val="none"/>
              </w:rPr>
            </w:pPr>
            <w:r>
              <w:rPr>
                <w:b w:val="0"/>
                <w:bCs w:val="0"/>
                <w:spacing w:val="-5"/>
                <w:highlight w:val="none"/>
              </w:rPr>
              <w:t>每条检查内容不符合要求各扣</w:t>
            </w:r>
            <w:r>
              <w:rPr>
                <w:b w:val="0"/>
                <w:bCs w:val="0"/>
                <w:spacing w:val="-29"/>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w:t>
            </w:r>
            <w:r>
              <w:rPr>
                <w:b w:val="0"/>
                <w:bCs w:val="0"/>
                <w:spacing w:val="-6"/>
                <w:highlight w:val="none"/>
              </w:rPr>
              <w:t>不得分。</w:t>
            </w:r>
          </w:p>
        </w:tc>
        <w:tc>
          <w:tcPr>
            <w:tcW w:w="366" w:type="pct"/>
            <w:tcBorders>
              <w:top w:val="single" w:color="auto" w:sz="4" w:space="0"/>
              <w:left w:val="single" w:color="auto" w:sz="4" w:space="0"/>
              <w:bottom w:val="single" w:color="auto" w:sz="4" w:space="0"/>
              <w:right w:val="single" w:color="auto" w:sz="4" w:space="0"/>
            </w:tcBorders>
            <w:vAlign w:val="center"/>
          </w:tcPr>
          <w:p w14:paraId="57589CFE">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tcBorders>
              <w:top w:val="single" w:color="auto" w:sz="4" w:space="0"/>
              <w:left w:val="single" w:color="auto" w:sz="4" w:space="0"/>
              <w:bottom w:val="single" w:color="auto" w:sz="4" w:space="0"/>
              <w:right w:val="single" w:color="auto" w:sz="4" w:space="0"/>
            </w:tcBorders>
            <w:vAlign w:val="center"/>
          </w:tcPr>
          <w:p w14:paraId="45F62691">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16CB5473">
            <w:pPr>
              <w:keepNext w:val="0"/>
              <w:keepLines w:val="0"/>
              <w:suppressLineNumbers w:val="0"/>
              <w:spacing w:before="0" w:beforeAutospacing="0" w:after="0" w:afterAutospacing="0"/>
              <w:ind w:left="0" w:right="0"/>
              <w:rPr>
                <w:rFonts w:hint="default" w:ascii="Arial"/>
                <w:b w:val="0"/>
                <w:bCs w:val="0"/>
                <w:sz w:val="21"/>
                <w:highlight w:val="none"/>
              </w:rPr>
            </w:pPr>
          </w:p>
        </w:tc>
      </w:tr>
    </w:tbl>
    <w:p w14:paraId="574BCEA9">
      <w:pPr>
        <w:rPr>
          <w:highlight w:val="none"/>
        </w:rPr>
      </w:pPr>
      <w:r>
        <w:rPr>
          <w:highlight w:val="none"/>
        </w:rPr>
        <w:br w:type="page"/>
      </w:r>
    </w:p>
    <w:tbl>
      <w:tblPr>
        <w:tblStyle w:val="24"/>
        <w:tblW w:w="493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67"/>
        <w:gridCol w:w="1465"/>
        <w:gridCol w:w="1090"/>
        <w:gridCol w:w="5146"/>
        <w:gridCol w:w="3506"/>
        <w:gridCol w:w="1090"/>
        <w:gridCol w:w="1002"/>
        <w:gridCol w:w="981"/>
      </w:tblGrid>
      <w:tr w14:paraId="115090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 w:hRule="atLeast"/>
          <w:jc w:val="center"/>
        </w:trPr>
        <w:tc>
          <w:tcPr>
            <w:tcW w:w="191" w:type="pct"/>
            <w:tcBorders>
              <w:top w:val="single" w:color="auto" w:sz="4" w:space="0"/>
              <w:left w:val="single" w:color="auto" w:sz="4" w:space="0"/>
              <w:bottom w:val="single" w:color="auto" w:sz="4" w:space="0"/>
              <w:right w:val="single" w:color="auto" w:sz="4" w:space="0"/>
            </w:tcBorders>
            <w:vAlign w:val="center"/>
          </w:tcPr>
          <w:p w14:paraId="46813D01">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tcBorders>
              <w:top w:val="single" w:color="auto" w:sz="4" w:space="0"/>
              <w:left w:val="single" w:color="auto" w:sz="4" w:space="0"/>
              <w:bottom w:val="single" w:color="auto" w:sz="4" w:space="0"/>
              <w:right w:val="single" w:color="auto" w:sz="4" w:space="0"/>
            </w:tcBorders>
            <w:vAlign w:val="center"/>
          </w:tcPr>
          <w:p w14:paraId="6954D945">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tcBorders>
              <w:left w:val="single" w:color="auto" w:sz="4" w:space="0"/>
            </w:tcBorders>
            <w:vAlign w:val="center"/>
          </w:tcPr>
          <w:p w14:paraId="6B3A85E8">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2" w:type="pct"/>
            <w:vAlign w:val="center"/>
          </w:tcPr>
          <w:p w14:paraId="3EBBB4BF">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0" w:type="pct"/>
            <w:vAlign w:val="center"/>
          </w:tcPr>
          <w:p w14:paraId="6BCD11C7">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3841ABA4">
            <w:pPr>
              <w:pStyle w:val="23"/>
              <w:keepNext w:val="0"/>
              <w:keepLines w:val="0"/>
              <w:suppressLineNumbers w:val="0"/>
              <w:spacing w:before="70" w:line="219" w:lineRule="auto"/>
              <w:ind w:left="170"/>
              <w:rPr>
                <w:highlight w:val="none"/>
              </w:rPr>
            </w:pPr>
            <w:r>
              <w:rPr>
                <w:b/>
                <w:bCs/>
                <w:spacing w:val="-3"/>
                <w:highlight w:val="none"/>
              </w:rPr>
              <w:t>评估情况</w:t>
            </w:r>
          </w:p>
        </w:tc>
        <w:tc>
          <w:tcPr>
            <w:tcW w:w="337" w:type="pct"/>
            <w:vAlign w:val="center"/>
          </w:tcPr>
          <w:p w14:paraId="7888F4EA">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6498DF3F">
            <w:pPr>
              <w:pStyle w:val="23"/>
              <w:keepNext w:val="0"/>
              <w:keepLines w:val="0"/>
              <w:suppressLineNumbers w:val="0"/>
              <w:spacing w:before="71" w:line="220" w:lineRule="auto"/>
              <w:ind w:left="295"/>
              <w:rPr>
                <w:highlight w:val="none"/>
              </w:rPr>
            </w:pPr>
            <w:r>
              <w:rPr>
                <w:b/>
                <w:bCs/>
                <w:spacing w:val="-4"/>
                <w:highlight w:val="none"/>
              </w:rPr>
              <w:t>得分</w:t>
            </w:r>
          </w:p>
        </w:tc>
      </w:tr>
      <w:tr w14:paraId="3EA258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8" w:hRule="atLeast"/>
          <w:jc w:val="center"/>
        </w:trPr>
        <w:tc>
          <w:tcPr>
            <w:tcW w:w="191" w:type="pct"/>
            <w:vMerge w:val="restart"/>
            <w:tcBorders>
              <w:top w:val="single" w:color="auto" w:sz="4" w:space="0"/>
              <w:left w:val="single" w:color="auto" w:sz="4" w:space="0"/>
              <w:bottom w:val="single" w:color="auto" w:sz="4" w:space="0"/>
              <w:right w:val="single" w:color="auto" w:sz="4" w:space="0"/>
            </w:tcBorders>
            <w:vAlign w:val="center"/>
          </w:tcPr>
          <w:p w14:paraId="21E0F71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top w:val="single" w:color="auto" w:sz="4" w:space="0"/>
              <w:left w:val="single" w:color="auto" w:sz="4" w:space="0"/>
              <w:bottom w:val="single" w:color="auto" w:sz="4" w:space="0"/>
              <w:right w:val="single" w:color="auto" w:sz="4" w:space="0"/>
            </w:tcBorders>
            <w:vAlign w:val="center"/>
          </w:tcPr>
          <w:p w14:paraId="54A5398F">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1F7DA8DA">
            <w:pPr>
              <w:pStyle w:val="23"/>
              <w:keepNext w:val="0"/>
              <w:keepLines w:val="0"/>
              <w:suppressLineNumbers w:val="0"/>
              <w:spacing w:before="59" w:line="307" w:lineRule="auto"/>
              <w:ind w:left="0" w:right="103" w:firstLine="0"/>
              <w:rPr>
                <w:b w:val="0"/>
                <w:bCs w:val="0"/>
                <w:highlight w:val="none"/>
              </w:rPr>
            </w:pPr>
            <w:r>
              <w:rPr>
                <w:b w:val="0"/>
                <w:bCs w:val="0"/>
                <w:spacing w:val="2"/>
                <w:highlight w:val="none"/>
              </w:rPr>
              <w:t>泡沫产生装</w:t>
            </w:r>
            <w:r>
              <w:rPr>
                <w:b w:val="0"/>
                <w:bCs w:val="0"/>
                <w:spacing w:val="7"/>
                <w:highlight w:val="none"/>
              </w:rPr>
              <w:t>置（4分）</w:t>
            </w:r>
          </w:p>
        </w:tc>
        <w:tc>
          <w:tcPr>
            <w:tcW w:w="1732" w:type="pct"/>
            <w:vAlign w:val="center"/>
          </w:tcPr>
          <w:p w14:paraId="23CCBF20">
            <w:pPr>
              <w:pStyle w:val="23"/>
              <w:keepNext w:val="0"/>
              <w:keepLines w:val="0"/>
              <w:suppressLineNumbers w:val="0"/>
              <w:spacing w:before="69" w:line="220" w:lineRule="auto"/>
              <w:ind w:left="112"/>
              <w:rPr>
                <w:b w:val="0"/>
                <w:bCs w:val="0"/>
                <w:highlight w:val="none"/>
              </w:rPr>
            </w:pPr>
            <w:r>
              <w:rPr>
                <w:b w:val="0"/>
                <w:bCs w:val="0"/>
                <w:spacing w:val="-1"/>
                <w:highlight w:val="none"/>
              </w:rPr>
              <w:t>a)泡沫产生器控制阀应常开，并有明显标志；</w:t>
            </w:r>
          </w:p>
          <w:p w14:paraId="33710B2E">
            <w:pPr>
              <w:pStyle w:val="23"/>
              <w:keepNext w:val="0"/>
              <w:keepLines w:val="0"/>
              <w:suppressLineNumbers w:val="0"/>
              <w:spacing w:before="98" w:line="300" w:lineRule="auto"/>
              <w:ind w:left="111" w:right="54" w:hanging="3"/>
              <w:rPr>
                <w:b w:val="0"/>
                <w:bCs w:val="0"/>
                <w:spacing w:val="-6"/>
                <w:highlight w:val="none"/>
              </w:rPr>
            </w:pPr>
            <w:r>
              <w:rPr>
                <w:b w:val="0"/>
                <w:bCs w:val="0"/>
                <w:spacing w:val="-6"/>
                <w:highlight w:val="none"/>
              </w:rPr>
              <w:t>b)泡沫产生器、泡沫喷头安装应牢固，无损坏或变形，无锈蚀；</w:t>
            </w:r>
          </w:p>
          <w:p w14:paraId="40395CF0">
            <w:pPr>
              <w:pStyle w:val="23"/>
              <w:keepNext w:val="0"/>
              <w:keepLines w:val="0"/>
              <w:suppressLineNumbers w:val="0"/>
              <w:spacing w:before="98" w:line="300" w:lineRule="auto"/>
              <w:ind w:left="111" w:right="54" w:hanging="3"/>
              <w:rPr>
                <w:b w:val="0"/>
                <w:bCs w:val="0"/>
                <w:spacing w:val="18"/>
                <w:highlight w:val="none"/>
              </w:rPr>
            </w:pPr>
            <w:r>
              <w:rPr>
                <w:b w:val="0"/>
                <w:bCs w:val="0"/>
                <w:spacing w:val="-1"/>
                <w:highlight w:val="none"/>
              </w:rPr>
              <w:t>c)吸气孔、发泡网及暴露的泡沫喷射口，不得有杂物</w:t>
            </w:r>
            <w:r>
              <w:rPr>
                <w:b w:val="0"/>
                <w:bCs w:val="0"/>
                <w:spacing w:val="-2"/>
                <w:highlight w:val="none"/>
              </w:rPr>
              <w:t>进入或堵</w:t>
            </w:r>
            <w:r>
              <w:rPr>
                <w:b w:val="0"/>
                <w:bCs w:val="0"/>
                <w:spacing w:val="-1"/>
                <w:highlight w:val="none"/>
              </w:rPr>
              <w:t>塞，泡沫出口附近不得有阻挡泡沫喷射及泡沫流淌的障碍物；</w:t>
            </w:r>
          </w:p>
          <w:p w14:paraId="3177F5A9">
            <w:pPr>
              <w:pStyle w:val="23"/>
              <w:keepNext w:val="0"/>
              <w:keepLines w:val="0"/>
              <w:suppressLineNumbers w:val="0"/>
              <w:spacing w:before="98" w:line="300" w:lineRule="auto"/>
              <w:ind w:left="111" w:right="54" w:hanging="3"/>
              <w:rPr>
                <w:b w:val="0"/>
                <w:bCs w:val="0"/>
                <w:highlight w:val="none"/>
              </w:rPr>
            </w:pPr>
            <w:r>
              <w:rPr>
                <w:b w:val="0"/>
                <w:bCs w:val="0"/>
                <w:spacing w:val="-1"/>
                <w:highlight w:val="none"/>
              </w:rPr>
              <w:t>d)喷头周围不应有影响泡沫喷洒的障碍物。</w:t>
            </w:r>
          </w:p>
        </w:tc>
        <w:tc>
          <w:tcPr>
            <w:tcW w:w="1180" w:type="pct"/>
            <w:vAlign w:val="center"/>
          </w:tcPr>
          <w:p w14:paraId="4B01BE9A">
            <w:pPr>
              <w:pStyle w:val="23"/>
              <w:keepNext w:val="0"/>
              <w:keepLines w:val="0"/>
              <w:suppressLineNumbers w:val="0"/>
              <w:spacing w:before="59" w:line="307" w:lineRule="auto"/>
              <w:ind w:left="115" w:right="103" w:hanging="1"/>
              <w:rPr>
                <w:b w:val="0"/>
                <w:bCs w:val="0"/>
                <w:highlight w:val="none"/>
              </w:rPr>
            </w:pPr>
            <w:r>
              <w:rPr>
                <w:b w:val="0"/>
                <w:bCs w:val="0"/>
                <w:spacing w:val="-5"/>
                <w:highlight w:val="none"/>
              </w:rPr>
              <w:t>a)b)c)d)不符合要求各扣</w:t>
            </w:r>
            <w:r>
              <w:rPr>
                <w:b w:val="0"/>
                <w:bCs w:val="0"/>
                <w:spacing w:val="-27"/>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w:t>
            </w:r>
            <w:r>
              <w:rPr>
                <w:b w:val="0"/>
                <w:bCs w:val="0"/>
                <w:spacing w:val="-9"/>
                <w:highlight w:val="none"/>
              </w:rPr>
              <w:t>分。</w:t>
            </w:r>
          </w:p>
        </w:tc>
        <w:tc>
          <w:tcPr>
            <w:tcW w:w="367" w:type="pct"/>
            <w:vAlign w:val="center"/>
          </w:tcPr>
          <w:p w14:paraId="0873E73C">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0751813E">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43E20AD4">
            <w:pPr>
              <w:keepNext w:val="0"/>
              <w:keepLines w:val="0"/>
              <w:suppressLineNumbers w:val="0"/>
              <w:spacing w:before="0" w:beforeAutospacing="0" w:after="0" w:afterAutospacing="0"/>
              <w:ind w:left="0" w:right="0"/>
              <w:rPr>
                <w:rFonts w:hint="default" w:ascii="Arial"/>
                <w:b w:val="0"/>
                <w:bCs w:val="0"/>
                <w:sz w:val="21"/>
                <w:highlight w:val="none"/>
              </w:rPr>
            </w:pPr>
          </w:p>
        </w:tc>
      </w:tr>
      <w:tr w14:paraId="7FE6DE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7" w:hRule="atLeast"/>
          <w:jc w:val="center"/>
        </w:trPr>
        <w:tc>
          <w:tcPr>
            <w:tcW w:w="191" w:type="pct"/>
            <w:vMerge w:val="continue"/>
            <w:tcBorders>
              <w:top w:val="single" w:color="auto" w:sz="4" w:space="0"/>
              <w:left w:val="single" w:color="auto" w:sz="4" w:space="0"/>
              <w:bottom w:val="single" w:color="auto" w:sz="4" w:space="0"/>
            </w:tcBorders>
            <w:vAlign w:val="center"/>
          </w:tcPr>
          <w:p w14:paraId="47D4CDB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right w:val="single" w:color="auto" w:sz="4" w:space="0"/>
            </w:tcBorders>
            <w:vAlign w:val="center"/>
          </w:tcPr>
          <w:p w14:paraId="0A1FE30E">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1F0F7F51">
            <w:pPr>
              <w:pStyle w:val="23"/>
              <w:keepNext w:val="0"/>
              <w:keepLines w:val="0"/>
              <w:suppressLineNumbers w:val="0"/>
              <w:spacing w:before="277" w:line="307" w:lineRule="auto"/>
              <w:ind w:left="0" w:right="103" w:firstLine="0"/>
              <w:rPr>
                <w:b w:val="0"/>
                <w:bCs w:val="0"/>
                <w:highlight w:val="none"/>
              </w:rPr>
            </w:pPr>
            <w:r>
              <w:rPr>
                <w:b w:val="0"/>
                <w:bCs w:val="0"/>
                <w:spacing w:val="2"/>
                <w:highlight w:val="none"/>
              </w:rPr>
              <w:t>泡沫消火栓</w:t>
            </w:r>
            <w:r>
              <w:rPr>
                <w:b w:val="0"/>
                <w:bCs w:val="0"/>
                <w:spacing w:val="7"/>
                <w:highlight w:val="none"/>
              </w:rPr>
              <w:t>（2分）</w:t>
            </w:r>
          </w:p>
        </w:tc>
        <w:tc>
          <w:tcPr>
            <w:tcW w:w="1732" w:type="pct"/>
            <w:vAlign w:val="center"/>
          </w:tcPr>
          <w:p w14:paraId="778B1F1A">
            <w:pPr>
              <w:pStyle w:val="23"/>
              <w:keepNext w:val="0"/>
              <w:keepLines w:val="0"/>
              <w:suppressLineNumbers w:val="0"/>
              <w:spacing w:before="277" w:line="220" w:lineRule="auto"/>
              <w:ind w:left="112"/>
              <w:rPr>
                <w:b w:val="0"/>
                <w:bCs w:val="0"/>
                <w:highlight w:val="none"/>
              </w:rPr>
            </w:pPr>
            <w:r>
              <w:rPr>
                <w:b w:val="0"/>
                <w:bCs w:val="0"/>
                <w:spacing w:val="-1"/>
                <w:highlight w:val="none"/>
              </w:rPr>
              <w:t>a)泡沫消火栓的规格型号、外观、安装、位置、间距；</w:t>
            </w:r>
          </w:p>
          <w:p w14:paraId="7F371F78">
            <w:pPr>
              <w:pStyle w:val="23"/>
              <w:keepNext w:val="0"/>
              <w:keepLines w:val="0"/>
              <w:suppressLineNumbers w:val="0"/>
              <w:spacing w:before="97" w:line="220" w:lineRule="auto"/>
              <w:ind w:left="108"/>
              <w:rPr>
                <w:b w:val="0"/>
                <w:bCs w:val="0"/>
                <w:highlight w:val="none"/>
              </w:rPr>
            </w:pPr>
            <w:r>
              <w:rPr>
                <w:b w:val="0"/>
                <w:bCs w:val="0"/>
                <w:spacing w:val="-1"/>
                <w:highlight w:val="none"/>
              </w:rPr>
              <w:t>b)泡沫消火栓箱的设置、安装、外观。</w:t>
            </w:r>
          </w:p>
        </w:tc>
        <w:tc>
          <w:tcPr>
            <w:tcW w:w="1180" w:type="pct"/>
            <w:vAlign w:val="center"/>
          </w:tcPr>
          <w:p w14:paraId="6F88A700">
            <w:pPr>
              <w:pStyle w:val="23"/>
              <w:keepNext w:val="0"/>
              <w:keepLines w:val="0"/>
              <w:suppressLineNumbers w:val="0"/>
              <w:spacing w:before="276" w:line="307" w:lineRule="auto"/>
              <w:ind w:left="115" w:right="101" w:hanging="2"/>
              <w:rPr>
                <w:b w:val="0"/>
                <w:bCs w:val="0"/>
                <w:highlight w:val="none"/>
              </w:rPr>
            </w:pPr>
            <w:r>
              <w:rPr>
                <w:b w:val="0"/>
                <w:bCs w:val="0"/>
                <w:spacing w:val="-5"/>
                <w:highlight w:val="none"/>
              </w:rPr>
              <w:t>每条检查内容不符合要求各扣</w:t>
            </w:r>
            <w:r>
              <w:rPr>
                <w:b w:val="0"/>
                <w:bCs w:val="0"/>
                <w:spacing w:val="-29"/>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w:t>
            </w:r>
            <w:r>
              <w:rPr>
                <w:b w:val="0"/>
                <w:bCs w:val="0"/>
                <w:spacing w:val="-6"/>
                <w:highlight w:val="none"/>
              </w:rPr>
              <w:t>不得分。</w:t>
            </w:r>
          </w:p>
        </w:tc>
        <w:tc>
          <w:tcPr>
            <w:tcW w:w="367" w:type="pct"/>
            <w:vAlign w:val="center"/>
          </w:tcPr>
          <w:p w14:paraId="582B81FA">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3DBE648E">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3FA2B9D">
            <w:pPr>
              <w:keepNext w:val="0"/>
              <w:keepLines w:val="0"/>
              <w:suppressLineNumbers w:val="0"/>
              <w:spacing w:before="0" w:beforeAutospacing="0" w:after="0" w:afterAutospacing="0"/>
              <w:ind w:left="0" w:right="0"/>
              <w:rPr>
                <w:rFonts w:hint="default" w:ascii="Arial"/>
                <w:b w:val="0"/>
                <w:bCs w:val="0"/>
                <w:sz w:val="21"/>
                <w:highlight w:val="none"/>
              </w:rPr>
            </w:pPr>
          </w:p>
        </w:tc>
      </w:tr>
      <w:tr w14:paraId="6AB480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34" w:hRule="atLeast"/>
          <w:jc w:val="center"/>
        </w:trPr>
        <w:tc>
          <w:tcPr>
            <w:tcW w:w="191" w:type="pct"/>
            <w:vMerge w:val="continue"/>
            <w:tcBorders>
              <w:top w:val="single" w:color="auto" w:sz="4" w:space="0"/>
              <w:left w:val="single" w:color="auto" w:sz="4" w:space="0"/>
              <w:bottom w:val="single" w:color="auto" w:sz="4" w:space="0"/>
            </w:tcBorders>
            <w:vAlign w:val="center"/>
          </w:tcPr>
          <w:p w14:paraId="246A042D">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right w:val="single" w:color="auto" w:sz="4" w:space="0"/>
            </w:tcBorders>
            <w:vAlign w:val="center"/>
          </w:tcPr>
          <w:p w14:paraId="3CC0DF30">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2BAC15D8">
            <w:pPr>
              <w:pStyle w:val="23"/>
              <w:keepNext w:val="0"/>
              <w:keepLines w:val="0"/>
              <w:suppressLineNumbers w:val="0"/>
              <w:spacing w:before="58" w:line="307" w:lineRule="auto"/>
              <w:ind w:left="0" w:right="103" w:firstLine="0"/>
              <w:rPr>
                <w:b w:val="0"/>
                <w:bCs w:val="0"/>
                <w:highlight w:val="none"/>
              </w:rPr>
            </w:pPr>
            <w:r>
              <w:rPr>
                <w:b w:val="0"/>
                <w:bCs w:val="0"/>
                <w:spacing w:val="1"/>
                <w:highlight w:val="none"/>
              </w:rPr>
              <w:t>管道及附件</w:t>
            </w:r>
            <w:r>
              <w:rPr>
                <w:b w:val="0"/>
                <w:bCs w:val="0"/>
                <w:spacing w:val="7"/>
                <w:highlight w:val="none"/>
              </w:rPr>
              <w:t>（3分）</w:t>
            </w:r>
          </w:p>
        </w:tc>
        <w:tc>
          <w:tcPr>
            <w:tcW w:w="1732" w:type="pct"/>
            <w:vAlign w:val="center"/>
          </w:tcPr>
          <w:p w14:paraId="45B675B4">
            <w:pPr>
              <w:pStyle w:val="23"/>
              <w:keepNext w:val="0"/>
              <w:keepLines w:val="0"/>
              <w:suppressLineNumbers w:val="0"/>
              <w:spacing w:before="65" w:line="307" w:lineRule="auto"/>
              <w:ind w:left="117" w:right="104" w:hanging="5"/>
              <w:rPr>
                <w:b w:val="0"/>
                <w:bCs w:val="0"/>
                <w:highlight w:val="none"/>
              </w:rPr>
            </w:pPr>
            <w:r>
              <w:rPr>
                <w:b w:val="0"/>
                <w:bCs w:val="0"/>
                <w:spacing w:val="-1"/>
                <w:highlight w:val="none"/>
              </w:rPr>
              <w:t>a)管道、组件、支吊架等应完好无损、无锈蚀，管道</w:t>
            </w:r>
            <w:r>
              <w:rPr>
                <w:b w:val="0"/>
                <w:bCs w:val="0"/>
                <w:spacing w:val="-2"/>
                <w:highlight w:val="none"/>
              </w:rPr>
              <w:t>无泄漏现</w:t>
            </w:r>
            <w:r>
              <w:rPr>
                <w:b w:val="0"/>
                <w:bCs w:val="0"/>
                <w:spacing w:val="-7"/>
                <w:highlight w:val="none"/>
              </w:rPr>
              <w:t>象；</w:t>
            </w:r>
          </w:p>
          <w:p w14:paraId="0381BDD2">
            <w:pPr>
              <w:pStyle w:val="23"/>
              <w:keepNext w:val="0"/>
              <w:keepLines w:val="0"/>
              <w:suppressLineNumbers w:val="0"/>
              <w:spacing w:before="26" w:line="220" w:lineRule="auto"/>
              <w:ind w:left="108"/>
              <w:rPr>
                <w:b w:val="0"/>
                <w:bCs w:val="0"/>
                <w:highlight w:val="none"/>
              </w:rPr>
            </w:pPr>
            <w:r>
              <w:rPr>
                <w:b w:val="0"/>
                <w:bCs w:val="0"/>
                <w:spacing w:val="-1"/>
                <w:highlight w:val="none"/>
              </w:rPr>
              <w:t>b)泡沫混合液管道上试验检测口的设置位置和数量；</w:t>
            </w:r>
          </w:p>
          <w:p w14:paraId="73461C0A">
            <w:pPr>
              <w:pStyle w:val="23"/>
              <w:keepNext w:val="0"/>
              <w:keepLines w:val="0"/>
              <w:suppressLineNumbers w:val="0"/>
              <w:spacing w:before="97" w:line="307" w:lineRule="auto"/>
              <w:ind w:left="115" w:right="111"/>
              <w:rPr>
                <w:b w:val="0"/>
                <w:bCs w:val="0"/>
                <w:highlight w:val="none"/>
              </w:rPr>
            </w:pPr>
            <w:r>
              <w:rPr>
                <w:b w:val="0"/>
                <w:bCs w:val="0"/>
                <w:spacing w:val="-2"/>
                <w:highlight w:val="none"/>
              </w:rPr>
              <w:t>c)泡沫混合液立管与水平管道连接处金属软管的设置、安装、</w:t>
            </w:r>
            <w:r>
              <w:rPr>
                <w:b w:val="0"/>
                <w:bCs w:val="0"/>
                <w:spacing w:val="-4"/>
                <w:highlight w:val="none"/>
              </w:rPr>
              <w:t>外观；</w:t>
            </w:r>
          </w:p>
          <w:p w14:paraId="05F181BE">
            <w:pPr>
              <w:pStyle w:val="23"/>
              <w:keepNext w:val="0"/>
              <w:keepLines w:val="0"/>
              <w:suppressLineNumbers w:val="0"/>
              <w:spacing w:before="24" w:line="307" w:lineRule="auto"/>
              <w:ind w:left="113" w:right="104" w:firstLine="2"/>
              <w:rPr>
                <w:b w:val="0"/>
                <w:bCs w:val="0"/>
                <w:highlight w:val="none"/>
              </w:rPr>
            </w:pPr>
            <w:r>
              <w:rPr>
                <w:b w:val="0"/>
                <w:bCs w:val="0"/>
                <w:spacing w:val="-1"/>
                <w:highlight w:val="none"/>
              </w:rPr>
              <w:t>d)半固定式系统的泡沫管道，在防火堤外设置</w:t>
            </w:r>
            <w:r>
              <w:rPr>
                <w:b w:val="0"/>
                <w:bCs w:val="0"/>
                <w:spacing w:val="-2"/>
                <w:highlight w:val="none"/>
              </w:rPr>
              <w:t>的高背压泡沫产</w:t>
            </w:r>
            <w:r>
              <w:rPr>
                <w:b w:val="0"/>
                <w:bCs w:val="0"/>
                <w:spacing w:val="-1"/>
                <w:highlight w:val="none"/>
              </w:rPr>
              <w:t>生器快装接口应水平安装；</w:t>
            </w:r>
          </w:p>
          <w:p w14:paraId="3269A329">
            <w:pPr>
              <w:pStyle w:val="23"/>
              <w:keepNext w:val="0"/>
              <w:keepLines w:val="0"/>
              <w:suppressLineNumbers w:val="0"/>
              <w:spacing w:before="26" w:line="220" w:lineRule="auto"/>
              <w:ind w:left="115"/>
              <w:rPr>
                <w:b w:val="0"/>
                <w:bCs w:val="0"/>
                <w:highlight w:val="none"/>
              </w:rPr>
            </w:pPr>
            <w:r>
              <w:rPr>
                <w:b w:val="0"/>
                <w:bCs w:val="0"/>
                <w:spacing w:val="-1"/>
                <w:highlight w:val="none"/>
              </w:rPr>
              <w:t>e)阀门的设置位置、型号规格、启闭状态及标识。</w:t>
            </w:r>
          </w:p>
        </w:tc>
        <w:tc>
          <w:tcPr>
            <w:tcW w:w="1180" w:type="pct"/>
            <w:vAlign w:val="center"/>
          </w:tcPr>
          <w:p w14:paraId="473B5BB6">
            <w:pPr>
              <w:pStyle w:val="23"/>
              <w:keepNext w:val="0"/>
              <w:keepLines w:val="0"/>
              <w:suppressLineNumbers w:val="0"/>
              <w:spacing w:before="59"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65D32DC7">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1153FB0B">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0DB3532">
            <w:pPr>
              <w:keepNext w:val="0"/>
              <w:keepLines w:val="0"/>
              <w:suppressLineNumbers w:val="0"/>
              <w:spacing w:before="0" w:beforeAutospacing="0" w:after="0" w:afterAutospacing="0"/>
              <w:ind w:left="0" w:right="0"/>
              <w:rPr>
                <w:rFonts w:hint="default" w:ascii="Arial"/>
                <w:b w:val="0"/>
                <w:bCs w:val="0"/>
                <w:sz w:val="21"/>
                <w:highlight w:val="none"/>
              </w:rPr>
            </w:pPr>
          </w:p>
        </w:tc>
      </w:tr>
      <w:tr w14:paraId="287688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1" w:hRule="atLeast"/>
          <w:jc w:val="center"/>
        </w:trPr>
        <w:tc>
          <w:tcPr>
            <w:tcW w:w="191" w:type="pct"/>
            <w:vMerge w:val="continue"/>
            <w:tcBorders>
              <w:top w:val="single" w:color="auto" w:sz="4" w:space="0"/>
              <w:left w:val="single" w:color="auto" w:sz="4" w:space="0"/>
              <w:bottom w:val="single" w:color="auto" w:sz="4" w:space="0"/>
            </w:tcBorders>
            <w:vAlign w:val="center"/>
          </w:tcPr>
          <w:p w14:paraId="1C104165">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right w:val="single" w:color="auto" w:sz="4" w:space="0"/>
            </w:tcBorders>
            <w:vAlign w:val="center"/>
          </w:tcPr>
          <w:p w14:paraId="6A6DCABB">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2919BDCD">
            <w:pPr>
              <w:pStyle w:val="23"/>
              <w:keepNext w:val="0"/>
              <w:keepLines w:val="0"/>
              <w:suppressLineNumbers w:val="0"/>
              <w:spacing w:before="224" w:line="307" w:lineRule="auto"/>
              <w:ind w:left="0" w:right="103" w:firstLine="0"/>
              <w:rPr>
                <w:b w:val="0"/>
                <w:bCs w:val="0"/>
                <w:highlight w:val="none"/>
              </w:rPr>
            </w:pPr>
            <w:r>
              <w:rPr>
                <w:b w:val="0"/>
                <w:bCs w:val="0"/>
                <w:spacing w:val="2"/>
                <w:highlight w:val="none"/>
              </w:rPr>
              <w:t>泡沫灭火系</w:t>
            </w:r>
            <w:r>
              <w:rPr>
                <w:b w:val="0"/>
                <w:bCs w:val="0"/>
                <w:spacing w:val="-4"/>
                <w:highlight w:val="none"/>
              </w:rPr>
              <w:t>统功能</w:t>
            </w:r>
          </w:p>
          <w:p w14:paraId="12ADB6D1">
            <w:pPr>
              <w:pStyle w:val="23"/>
              <w:keepNext w:val="0"/>
              <w:keepLines w:val="0"/>
              <w:suppressLineNumbers w:val="0"/>
              <w:spacing w:before="24" w:line="221" w:lineRule="auto"/>
              <w:ind w:left="115"/>
              <w:rPr>
                <w:b w:val="0"/>
                <w:bCs w:val="0"/>
                <w:highlight w:val="none"/>
              </w:rPr>
            </w:pPr>
            <w:r>
              <w:rPr>
                <w:b w:val="0"/>
                <w:bCs w:val="0"/>
                <w:spacing w:val="7"/>
                <w:highlight w:val="none"/>
              </w:rPr>
              <w:t>（4分）</w:t>
            </w:r>
          </w:p>
        </w:tc>
        <w:tc>
          <w:tcPr>
            <w:tcW w:w="1732" w:type="pct"/>
            <w:vAlign w:val="center"/>
          </w:tcPr>
          <w:p w14:paraId="3BCDD942">
            <w:pPr>
              <w:pStyle w:val="23"/>
              <w:keepNext w:val="0"/>
              <w:keepLines w:val="0"/>
              <w:suppressLineNumbers w:val="0"/>
              <w:spacing w:before="68" w:line="220" w:lineRule="auto"/>
              <w:ind w:left="112"/>
              <w:rPr>
                <w:b w:val="0"/>
                <w:bCs w:val="0"/>
                <w:highlight w:val="none"/>
              </w:rPr>
            </w:pPr>
            <w:r>
              <w:rPr>
                <w:b w:val="0"/>
                <w:bCs w:val="0"/>
                <w:spacing w:val="-1"/>
                <w:highlight w:val="none"/>
              </w:rPr>
              <w:t>a)泡沫灭火系统喷水试验；</w:t>
            </w:r>
          </w:p>
          <w:p w14:paraId="64B314C4">
            <w:pPr>
              <w:pStyle w:val="23"/>
              <w:keepNext w:val="0"/>
              <w:keepLines w:val="0"/>
              <w:suppressLineNumbers w:val="0"/>
              <w:spacing w:before="97" w:line="220" w:lineRule="auto"/>
              <w:ind w:left="108"/>
              <w:rPr>
                <w:b w:val="0"/>
                <w:bCs w:val="0"/>
                <w:highlight w:val="none"/>
              </w:rPr>
            </w:pPr>
            <w:r>
              <w:rPr>
                <w:b w:val="0"/>
                <w:bCs w:val="0"/>
                <w:spacing w:val="-1"/>
                <w:highlight w:val="none"/>
              </w:rPr>
              <w:t>b)泡沫灭火系统喷泡沫试验；</w:t>
            </w:r>
          </w:p>
          <w:p w14:paraId="3075C166">
            <w:pPr>
              <w:pStyle w:val="23"/>
              <w:keepNext w:val="0"/>
              <w:keepLines w:val="0"/>
              <w:suppressLineNumbers w:val="0"/>
              <w:spacing w:before="96" w:line="282" w:lineRule="auto"/>
              <w:ind w:left="118" w:right="104" w:hanging="3"/>
              <w:rPr>
                <w:b w:val="0"/>
                <w:bCs w:val="0"/>
                <w:highlight w:val="none"/>
              </w:rPr>
            </w:pPr>
            <w:r>
              <w:rPr>
                <w:b w:val="0"/>
                <w:bCs w:val="0"/>
                <w:spacing w:val="-1"/>
                <w:highlight w:val="none"/>
              </w:rPr>
              <w:t>c)泡沫灭火控制器的基本功能、手自动转换功</w:t>
            </w:r>
            <w:r>
              <w:rPr>
                <w:b w:val="0"/>
                <w:bCs w:val="0"/>
                <w:spacing w:val="-2"/>
                <w:highlight w:val="none"/>
              </w:rPr>
              <w:t>能、手动控制功</w:t>
            </w:r>
            <w:r>
              <w:rPr>
                <w:b w:val="0"/>
                <w:bCs w:val="0"/>
                <w:spacing w:val="-6"/>
                <w:highlight w:val="none"/>
              </w:rPr>
              <w:t>能、自动控制功能。</w:t>
            </w:r>
          </w:p>
        </w:tc>
        <w:tc>
          <w:tcPr>
            <w:tcW w:w="1180" w:type="pct"/>
            <w:vAlign w:val="center"/>
          </w:tcPr>
          <w:p w14:paraId="56A00754">
            <w:pPr>
              <w:pStyle w:val="23"/>
              <w:keepNext w:val="0"/>
              <w:keepLines w:val="0"/>
              <w:suppressLineNumbers w:val="0"/>
              <w:spacing w:before="58" w:line="307" w:lineRule="auto"/>
              <w:ind w:left="115" w:right="101" w:hanging="2"/>
              <w:rPr>
                <w:b w:val="0"/>
                <w:bCs w:val="0"/>
                <w:highlight w:val="none"/>
              </w:rPr>
            </w:pPr>
            <w:r>
              <w:rPr>
                <w:b w:val="0"/>
                <w:bCs w:val="0"/>
                <w:spacing w:val="-2"/>
                <w:highlight w:val="none"/>
              </w:rPr>
              <w:t>每条检查内容不符合要求各扣4</w:t>
            </w:r>
            <w:r>
              <w:rPr>
                <w:b w:val="0"/>
                <w:bCs w:val="0"/>
                <w:spacing w:val="-27"/>
                <w:highlight w:val="none"/>
              </w:rPr>
              <w:t xml:space="preserve"> </w:t>
            </w:r>
            <w:r>
              <w:rPr>
                <w:b w:val="0"/>
                <w:bCs w:val="0"/>
                <w:spacing w:val="-2"/>
                <w:highlight w:val="none"/>
              </w:rPr>
              <w:t>分，扣完</w:t>
            </w:r>
            <w:r>
              <w:rPr>
                <w:b w:val="0"/>
                <w:bCs w:val="0"/>
                <w:spacing w:val="-6"/>
                <w:highlight w:val="none"/>
              </w:rPr>
              <w:t>不得分。</w:t>
            </w:r>
          </w:p>
        </w:tc>
        <w:tc>
          <w:tcPr>
            <w:tcW w:w="367" w:type="pct"/>
            <w:vAlign w:val="center"/>
          </w:tcPr>
          <w:p w14:paraId="51B643A0">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552F7232">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298698E5">
            <w:pPr>
              <w:keepNext w:val="0"/>
              <w:keepLines w:val="0"/>
              <w:suppressLineNumbers w:val="0"/>
              <w:spacing w:before="0" w:beforeAutospacing="0" w:after="0" w:afterAutospacing="0"/>
              <w:ind w:left="0" w:right="0"/>
              <w:rPr>
                <w:rFonts w:hint="default" w:ascii="Arial"/>
                <w:b w:val="0"/>
                <w:bCs w:val="0"/>
                <w:sz w:val="21"/>
                <w:highlight w:val="none"/>
              </w:rPr>
            </w:pPr>
          </w:p>
        </w:tc>
      </w:tr>
      <w:tr w14:paraId="0F6BB3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0" w:hRule="atLeast"/>
          <w:jc w:val="center"/>
        </w:trPr>
        <w:tc>
          <w:tcPr>
            <w:tcW w:w="191" w:type="pct"/>
            <w:vMerge w:val="restart"/>
            <w:tcBorders>
              <w:top w:val="single" w:color="auto" w:sz="4" w:space="0"/>
              <w:bottom w:val="single" w:color="auto" w:sz="4" w:space="0"/>
            </w:tcBorders>
            <w:vAlign w:val="center"/>
          </w:tcPr>
          <w:p w14:paraId="50F6DEFE">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13</w:t>
            </w:r>
          </w:p>
        </w:tc>
        <w:tc>
          <w:tcPr>
            <w:tcW w:w="493" w:type="pct"/>
            <w:vMerge w:val="restart"/>
            <w:tcBorders>
              <w:top w:val="single" w:color="auto" w:sz="4" w:space="0"/>
              <w:bottom w:val="single" w:color="auto" w:sz="4" w:space="0"/>
            </w:tcBorders>
            <w:vAlign w:val="center"/>
          </w:tcPr>
          <w:p w14:paraId="46D0BD23">
            <w:pPr>
              <w:pStyle w:val="23"/>
              <w:keepNext w:val="0"/>
              <w:keepLines w:val="0"/>
              <w:suppressLineNumbers w:val="0"/>
              <w:spacing w:before="58" w:line="307" w:lineRule="auto"/>
              <w:ind w:left="353" w:right="167" w:hanging="182"/>
              <w:rPr>
                <w:b w:val="0"/>
                <w:bCs w:val="0"/>
                <w:highlight w:val="none"/>
              </w:rPr>
            </w:pPr>
            <w:r>
              <w:rPr>
                <w:b w:val="0"/>
                <w:bCs w:val="0"/>
                <w:spacing w:val="-2"/>
                <w:highlight w:val="none"/>
              </w:rPr>
              <w:t>气体灭火</w:t>
            </w:r>
            <w:r>
              <w:rPr>
                <w:b w:val="0"/>
                <w:bCs w:val="0"/>
                <w:spacing w:val="-3"/>
                <w:highlight w:val="none"/>
              </w:rPr>
              <w:t>系统</w:t>
            </w:r>
          </w:p>
          <w:p w14:paraId="69A3CA67">
            <w:pPr>
              <w:pStyle w:val="23"/>
              <w:keepNext w:val="0"/>
              <w:keepLines w:val="0"/>
              <w:suppressLineNumbers w:val="0"/>
              <w:spacing w:before="24" w:line="221" w:lineRule="auto"/>
              <w:ind w:left="151"/>
              <w:rPr>
                <w:b w:val="0"/>
                <w:bCs w:val="0"/>
                <w:highlight w:val="none"/>
              </w:rPr>
            </w:pP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7" w:type="pct"/>
            <w:vAlign w:val="center"/>
          </w:tcPr>
          <w:p w14:paraId="2603E96E">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32" w:type="pct"/>
            <w:vAlign w:val="center"/>
          </w:tcPr>
          <w:p w14:paraId="6083A112">
            <w:pPr>
              <w:pStyle w:val="23"/>
              <w:keepNext w:val="0"/>
              <w:keepLines w:val="0"/>
              <w:suppressLineNumbers w:val="0"/>
              <w:spacing w:before="58" w:line="220" w:lineRule="auto"/>
              <w:ind w:left="114"/>
              <w:rPr>
                <w:b w:val="0"/>
                <w:bCs w:val="0"/>
                <w:highlight w:val="none"/>
              </w:rPr>
            </w:pPr>
            <w:r>
              <w:rPr>
                <w:b w:val="0"/>
                <w:bCs w:val="0"/>
                <w:spacing w:val="-1"/>
                <w:highlight w:val="none"/>
              </w:rPr>
              <w:t>是否按规定设置气体灭火系统。</w:t>
            </w:r>
          </w:p>
        </w:tc>
        <w:tc>
          <w:tcPr>
            <w:tcW w:w="1180" w:type="pct"/>
            <w:vAlign w:val="center"/>
          </w:tcPr>
          <w:p w14:paraId="78CD6D4E">
            <w:pPr>
              <w:pStyle w:val="23"/>
              <w:keepNext w:val="0"/>
              <w:keepLines w:val="0"/>
              <w:suppressLineNumbers w:val="0"/>
              <w:spacing w:before="195" w:line="306" w:lineRule="auto"/>
              <w:ind w:left="112" w:right="112" w:firstLine="2"/>
              <w:rPr>
                <w:b w:val="0"/>
                <w:bCs w:val="0"/>
                <w:highlight w:val="none"/>
              </w:rPr>
            </w:pPr>
            <w:r>
              <w:rPr>
                <w:b w:val="0"/>
                <w:bCs w:val="0"/>
                <w:spacing w:val="-5"/>
                <w:highlight w:val="none"/>
              </w:rPr>
              <w:t>按照规范应设但未设置气体灭火系统，该</w:t>
            </w:r>
            <w:r>
              <w:rPr>
                <w:b w:val="0"/>
                <w:bCs w:val="0"/>
                <w:spacing w:val="-3"/>
                <w:highlight w:val="none"/>
              </w:rPr>
              <w:t>评估子项不得分。</w:t>
            </w:r>
          </w:p>
        </w:tc>
        <w:tc>
          <w:tcPr>
            <w:tcW w:w="367" w:type="pct"/>
            <w:vAlign w:val="center"/>
          </w:tcPr>
          <w:p w14:paraId="4EF6BD6A">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0BC57674">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20E7D041">
            <w:pPr>
              <w:keepNext w:val="0"/>
              <w:keepLines w:val="0"/>
              <w:suppressLineNumbers w:val="0"/>
              <w:spacing w:before="0" w:beforeAutospacing="0" w:after="0" w:afterAutospacing="0"/>
              <w:ind w:left="0" w:right="0"/>
              <w:rPr>
                <w:rFonts w:hint="default" w:ascii="Arial"/>
                <w:b w:val="0"/>
                <w:bCs w:val="0"/>
                <w:sz w:val="21"/>
                <w:highlight w:val="none"/>
              </w:rPr>
            </w:pPr>
          </w:p>
        </w:tc>
      </w:tr>
      <w:tr w14:paraId="2A0EB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7" w:hRule="atLeast"/>
          <w:jc w:val="center"/>
        </w:trPr>
        <w:tc>
          <w:tcPr>
            <w:tcW w:w="191" w:type="pct"/>
            <w:vMerge w:val="continue"/>
            <w:tcBorders>
              <w:top w:val="single" w:color="auto" w:sz="4" w:space="0"/>
              <w:bottom w:val="single" w:color="auto" w:sz="4" w:space="0"/>
            </w:tcBorders>
            <w:vAlign w:val="center"/>
          </w:tcPr>
          <w:p w14:paraId="2272059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tcBorders>
            <w:vAlign w:val="center"/>
          </w:tcPr>
          <w:p w14:paraId="08202144">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60E7971A">
            <w:pPr>
              <w:pStyle w:val="23"/>
              <w:keepNext w:val="0"/>
              <w:keepLines w:val="0"/>
              <w:suppressLineNumbers w:val="0"/>
              <w:spacing w:before="59" w:line="307" w:lineRule="auto"/>
              <w:ind w:left="0" w:right="107" w:firstLine="0"/>
              <w:rPr>
                <w:b w:val="0"/>
                <w:bCs w:val="0"/>
                <w:highlight w:val="none"/>
              </w:rPr>
            </w:pPr>
            <w:r>
              <w:rPr>
                <w:b w:val="0"/>
                <w:bCs w:val="0"/>
                <w:spacing w:val="4"/>
                <w:highlight w:val="none"/>
              </w:rPr>
              <w:t>防护区（</w:t>
            </w:r>
            <w:r>
              <w:rPr>
                <w:b w:val="0"/>
                <w:bCs w:val="0"/>
                <w:spacing w:val="-26"/>
                <w:highlight w:val="none"/>
              </w:rPr>
              <w:t xml:space="preserve"> </w:t>
            </w:r>
            <w:r>
              <w:rPr>
                <w:b w:val="0"/>
                <w:bCs w:val="0"/>
                <w:spacing w:val="4"/>
                <w:highlight w:val="none"/>
              </w:rPr>
              <w:t>5</w:t>
            </w:r>
            <w:r>
              <w:rPr>
                <w:b w:val="0"/>
                <w:bCs w:val="0"/>
                <w:highlight w:val="none"/>
              </w:rPr>
              <w:t xml:space="preserve"> </w:t>
            </w:r>
            <w:r>
              <w:rPr>
                <w:b w:val="0"/>
                <w:bCs w:val="0"/>
                <w:spacing w:val="-6"/>
                <w:highlight w:val="none"/>
              </w:rPr>
              <w:t>分）</w:t>
            </w:r>
          </w:p>
        </w:tc>
        <w:tc>
          <w:tcPr>
            <w:tcW w:w="1732" w:type="pct"/>
            <w:vAlign w:val="center"/>
          </w:tcPr>
          <w:p w14:paraId="3DFFDE4F">
            <w:pPr>
              <w:pStyle w:val="23"/>
              <w:keepNext w:val="0"/>
              <w:keepLines w:val="0"/>
              <w:suppressLineNumbers w:val="0"/>
              <w:spacing w:before="69" w:line="306" w:lineRule="auto"/>
              <w:ind w:left="112" w:right="104"/>
              <w:rPr>
                <w:b w:val="0"/>
                <w:bCs w:val="0"/>
                <w:highlight w:val="none"/>
              </w:rPr>
            </w:pPr>
            <w:r>
              <w:rPr>
                <w:b w:val="0"/>
                <w:bCs w:val="0"/>
                <w:spacing w:val="-1"/>
                <w:highlight w:val="none"/>
              </w:rPr>
              <w:t>a)防护区内的应急照明和疏散指示标志、声光报警装</w:t>
            </w:r>
            <w:r>
              <w:rPr>
                <w:b w:val="0"/>
                <w:bCs w:val="0"/>
                <w:spacing w:val="-2"/>
                <w:highlight w:val="none"/>
              </w:rPr>
              <w:t>置、安全</w:t>
            </w:r>
            <w:r>
              <w:rPr>
                <w:b w:val="0"/>
                <w:bCs w:val="0"/>
                <w:spacing w:val="-1"/>
                <w:highlight w:val="none"/>
              </w:rPr>
              <w:t>标志和灭火剂释放指示灯、系统紧急启动和停止按钮；</w:t>
            </w:r>
          </w:p>
          <w:p w14:paraId="0A788C21">
            <w:pPr>
              <w:pStyle w:val="23"/>
              <w:keepNext w:val="0"/>
              <w:keepLines w:val="0"/>
              <w:suppressLineNumbers w:val="0"/>
              <w:spacing w:before="26" w:line="221" w:lineRule="auto"/>
              <w:ind w:left="108"/>
              <w:rPr>
                <w:b w:val="0"/>
                <w:bCs w:val="0"/>
                <w:highlight w:val="none"/>
              </w:rPr>
            </w:pPr>
            <w:r>
              <w:rPr>
                <w:b w:val="0"/>
                <w:bCs w:val="0"/>
                <w:spacing w:val="-1"/>
                <w:highlight w:val="none"/>
              </w:rPr>
              <w:t>b)防护区的排气、泄压措施；</w:t>
            </w:r>
          </w:p>
          <w:p w14:paraId="609800E7">
            <w:pPr>
              <w:pStyle w:val="23"/>
              <w:keepNext w:val="0"/>
              <w:keepLines w:val="0"/>
              <w:suppressLineNumbers w:val="0"/>
              <w:spacing w:before="96" w:line="221" w:lineRule="auto"/>
              <w:ind w:left="115"/>
              <w:rPr>
                <w:b w:val="0"/>
                <w:bCs w:val="0"/>
                <w:highlight w:val="none"/>
              </w:rPr>
            </w:pPr>
            <w:r>
              <w:rPr>
                <w:b w:val="0"/>
                <w:bCs w:val="0"/>
                <w:spacing w:val="-2"/>
                <w:highlight w:val="none"/>
              </w:rPr>
              <w:t>c)防护区围护结构的耐超压性能、密闭性能；</w:t>
            </w:r>
          </w:p>
          <w:p w14:paraId="09C45A8F">
            <w:pPr>
              <w:pStyle w:val="23"/>
              <w:keepNext w:val="0"/>
              <w:keepLines w:val="0"/>
              <w:suppressLineNumbers w:val="0"/>
              <w:spacing w:before="96" w:line="221" w:lineRule="auto"/>
              <w:ind w:left="115"/>
              <w:rPr>
                <w:b w:val="0"/>
                <w:bCs w:val="0"/>
                <w:highlight w:val="none"/>
              </w:rPr>
            </w:pPr>
            <w:r>
              <w:rPr>
                <w:b w:val="0"/>
                <w:bCs w:val="0"/>
                <w:spacing w:val="-2"/>
                <w:highlight w:val="none"/>
              </w:rPr>
              <w:t>d)防护区的门、窗。</w:t>
            </w:r>
          </w:p>
        </w:tc>
        <w:tc>
          <w:tcPr>
            <w:tcW w:w="1180" w:type="pct"/>
            <w:vAlign w:val="center"/>
          </w:tcPr>
          <w:p w14:paraId="54E7AE0A">
            <w:pPr>
              <w:pStyle w:val="23"/>
              <w:keepNext w:val="0"/>
              <w:keepLines w:val="0"/>
              <w:suppressLineNumbers w:val="0"/>
              <w:spacing w:before="58" w:line="307" w:lineRule="auto"/>
              <w:ind w:left="115" w:right="101" w:hanging="2"/>
              <w:rPr>
                <w:b w:val="0"/>
                <w:bCs w:val="0"/>
                <w:highlight w:val="none"/>
              </w:rPr>
            </w:pPr>
            <w:r>
              <w:rPr>
                <w:b w:val="0"/>
                <w:bCs w:val="0"/>
                <w:spacing w:val="-5"/>
                <w:highlight w:val="none"/>
              </w:rPr>
              <w:t>每条检查内容不符合要求各扣</w:t>
            </w:r>
            <w:r>
              <w:rPr>
                <w:b w:val="0"/>
                <w:bCs w:val="0"/>
                <w:spacing w:val="-29"/>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w:t>
            </w:r>
            <w:r>
              <w:rPr>
                <w:b w:val="0"/>
                <w:bCs w:val="0"/>
                <w:spacing w:val="-6"/>
                <w:highlight w:val="none"/>
              </w:rPr>
              <w:t>不得分。</w:t>
            </w:r>
          </w:p>
        </w:tc>
        <w:tc>
          <w:tcPr>
            <w:tcW w:w="367" w:type="pct"/>
            <w:vAlign w:val="center"/>
          </w:tcPr>
          <w:p w14:paraId="587EF493">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7128CC56">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534684D8">
            <w:pPr>
              <w:keepNext w:val="0"/>
              <w:keepLines w:val="0"/>
              <w:suppressLineNumbers w:val="0"/>
              <w:spacing w:before="0" w:beforeAutospacing="0" w:after="0" w:afterAutospacing="0"/>
              <w:ind w:left="0" w:right="0"/>
              <w:rPr>
                <w:rFonts w:hint="default" w:ascii="Arial"/>
                <w:b w:val="0"/>
                <w:bCs w:val="0"/>
                <w:sz w:val="21"/>
                <w:highlight w:val="none"/>
              </w:rPr>
            </w:pPr>
          </w:p>
        </w:tc>
      </w:tr>
    </w:tbl>
    <w:p w14:paraId="68D7EEED">
      <w:pPr>
        <w:rPr>
          <w:highlight w:val="none"/>
        </w:rPr>
      </w:pPr>
      <w:r>
        <w:rPr>
          <w:highlight w:val="none"/>
        </w:rPr>
        <w:br w:type="page"/>
      </w:r>
    </w:p>
    <w:tbl>
      <w:tblPr>
        <w:tblStyle w:val="24"/>
        <w:tblW w:w="496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3"/>
        <w:gridCol w:w="1473"/>
        <w:gridCol w:w="1097"/>
        <w:gridCol w:w="5173"/>
        <w:gridCol w:w="3523"/>
        <w:gridCol w:w="1097"/>
        <w:gridCol w:w="1010"/>
        <w:gridCol w:w="986"/>
      </w:tblGrid>
      <w:tr w14:paraId="762CB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jc w:val="center"/>
        </w:trPr>
        <w:tc>
          <w:tcPr>
            <w:tcW w:w="192" w:type="pct"/>
            <w:tcBorders>
              <w:top w:val="single" w:color="auto" w:sz="4" w:space="0"/>
              <w:left w:val="single" w:color="auto" w:sz="4" w:space="0"/>
              <w:bottom w:val="single" w:color="auto" w:sz="4" w:space="0"/>
              <w:right w:val="single" w:color="auto" w:sz="4" w:space="0"/>
            </w:tcBorders>
            <w:vAlign w:val="center"/>
          </w:tcPr>
          <w:p w14:paraId="1566B215">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tcBorders>
              <w:top w:val="single" w:color="auto" w:sz="4" w:space="0"/>
              <w:left w:val="single" w:color="auto" w:sz="4" w:space="0"/>
              <w:bottom w:val="single" w:color="auto" w:sz="4" w:space="0"/>
              <w:right w:val="single" w:color="auto" w:sz="4" w:space="0"/>
            </w:tcBorders>
            <w:vAlign w:val="center"/>
          </w:tcPr>
          <w:p w14:paraId="4A18FFF9">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tcBorders>
              <w:left w:val="single" w:color="auto" w:sz="4" w:space="0"/>
            </w:tcBorders>
            <w:vAlign w:val="center"/>
          </w:tcPr>
          <w:p w14:paraId="205B26E1">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1" w:type="pct"/>
            <w:vAlign w:val="center"/>
          </w:tcPr>
          <w:p w14:paraId="4AFFA986">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5664477A">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4ACA8380">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0917BEA3">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47C7C0B6">
            <w:pPr>
              <w:pStyle w:val="23"/>
              <w:keepNext w:val="0"/>
              <w:keepLines w:val="0"/>
              <w:suppressLineNumbers w:val="0"/>
              <w:spacing w:before="71" w:line="220" w:lineRule="auto"/>
              <w:ind w:left="295"/>
              <w:rPr>
                <w:highlight w:val="none"/>
              </w:rPr>
            </w:pPr>
            <w:r>
              <w:rPr>
                <w:b/>
                <w:bCs/>
                <w:spacing w:val="-4"/>
                <w:highlight w:val="none"/>
              </w:rPr>
              <w:t>得分</w:t>
            </w:r>
          </w:p>
        </w:tc>
      </w:tr>
      <w:tr w14:paraId="2D8121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1" w:hRule="atLeast"/>
          <w:jc w:val="center"/>
        </w:trPr>
        <w:tc>
          <w:tcPr>
            <w:tcW w:w="192" w:type="pct"/>
            <w:vMerge w:val="restart"/>
            <w:tcBorders>
              <w:top w:val="single" w:color="auto" w:sz="4" w:space="0"/>
              <w:left w:val="single" w:color="auto" w:sz="4" w:space="0"/>
              <w:bottom w:val="single" w:color="auto" w:sz="4" w:space="0"/>
              <w:right w:val="single" w:color="auto" w:sz="4" w:space="0"/>
            </w:tcBorders>
            <w:vAlign w:val="center"/>
          </w:tcPr>
          <w:p w14:paraId="298BC231">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top w:val="single" w:color="auto" w:sz="4" w:space="0"/>
              <w:left w:val="single" w:color="auto" w:sz="4" w:space="0"/>
              <w:bottom w:val="single" w:color="auto" w:sz="4" w:space="0"/>
              <w:right w:val="single" w:color="auto" w:sz="4" w:space="0"/>
            </w:tcBorders>
            <w:vAlign w:val="center"/>
          </w:tcPr>
          <w:p w14:paraId="777F3416">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45E27219">
            <w:pPr>
              <w:pStyle w:val="23"/>
              <w:keepNext w:val="0"/>
              <w:keepLines w:val="0"/>
              <w:suppressLineNumbers w:val="0"/>
              <w:spacing w:before="59" w:line="307" w:lineRule="auto"/>
              <w:ind w:left="0" w:right="123" w:firstLine="0"/>
              <w:rPr>
                <w:b w:val="0"/>
                <w:bCs w:val="0"/>
                <w:highlight w:val="none"/>
              </w:rPr>
            </w:pPr>
            <w:r>
              <w:rPr>
                <w:b w:val="0"/>
                <w:bCs w:val="0"/>
                <w:spacing w:val="-2"/>
                <w:highlight w:val="none"/>
              </w:rPr>
              <w:t>储瓶装置间</w:t>
            </w:r>
            <w:r>
              <w:rPr>
                <w:b w:val="0"/>
                <w:bCs w:val="0"/>
                <w:spacing w:val="7"/>
                <w:highlight w:val="none"/>
              </w:rPr>
              <w:t>（5分）</w:t>
            </w:r>
          </w:p>
        </w:tc>
        <w:tc>
          <w:tcPr>
            <w:tcW w:w="1731" w:type="pct"/>
            <w:vAlign w:val="center"/>
          </w:tcPr>
          <w:p w14:paraId="4A6E0C64">
            <w:pPr>
              <w:pStyle w:val="23"/>
              <w:keepNext w:val="0"/>
              <w:keepLines w:val="0"/>
              <w:suppressLineNumbers w:val="0"/>
              <w:spacing w:before="72" w:line="221" w:lineRule="auto"/>
              <w:ind w:left="112"/>
              <w:rPr>
                <w:b w:val="0"/>
                <w:bCs w:val="0"/>
                <w:highlight w:val="none"/>
              </w:rPr>
            </w:pPr>
            <w:r>
              <w:rPr>
                <w:b w:val="0"/>
                <w:bCs w:val="0"/>
                <w:spacing w:val="-2"/>
                <w:highlight w:val="none"/>
              </w:rPr>
              <w:t>a)储瓶间标志；</w:t>
            </w:r>
          </w:p>
          <w:p w14:paraId="5D410E45">
            <w:pPr>
              <w:pStyle w:val="23"/>
              <w:keepNext w:val="0"/>
              <w:keepLines w:val="0"/>
              <w:suppressLineNumbers w:val="0"/>
              <w:spacing w:before="96" w:line="221" w:lineRule="auto"/>
              <w:ind w:left="108"/>
              <w:rPr>
                <w:b w:val="0"/>
                <w:bCs w:val="0"/>
                <w:highlight w:val="none"/>
              </w:rPr>
            </w:pPr>
            <w:r>
              <w:rPr>
                <w:b w:val="0"/>
                <w:bCs w:val="0"/>
                <w:spacing w:val="-1"/>
                <w:highlight w:val="none"/>
              </w:rPr>
              <w:t>b)储瓶间门的开启方向；</w:t>
            </w:r>
          </w:p>
          <w:p w14:paraId="65165498">
            <w:pPr>
              <w:pStyle w:val="23"/>
              <w:keepNext w:val="0"/>
              <w:keepLines w:val="0"/>
              <w:suppressLineNumbers w:val="0"/>
              <w:spacing w:before="96" w:line="220" w:lineRule="auto"/>
              <w:ind w:left="115"/>
              <w:rPr>
                <w:b w:val="0"/>
                <w:bCs w:val="0"/>
                <w:highlight w:val="none"/>
              </w:rPr>
            </w:pPr>
            <w:r>
              <w:rPr>
                <w:b w:val="0"/>
                <w:bCs w:val="0"/>
                <w:spacing w:val="-2"/>
                <w:highlight w:val="none"/>
              </w:rPr>
              <w:t>c)储瓶间应急照明；</w:t>
            </w:r>
          </w:p>
          <w:p w14:paraId="0CBD61DB">
            <w:pPr>
              <w:pStyle w:val="23"/>
              <w:keepNext w:val="0"/>
              <w:keepLines w:val="0"/>
              <w:suppressLineNumbers w:val="0"/>
              <w:spacing w:before="96" w:line="220" w:lineRule="auto"/>
              <w:ind w:left="115"/>
              <w:rPr>
                <w:b w:val="0"/>
                <w:bCs w:val="0"/>
                <w:highlight w:val="none"/>
              </w:rPr>
            </w:pPr>
            <w:r>
              <w:rPr>
                <w:b w:val="0"/>
                <w:bCs w:val="0"/>
                <w:spacing w:val="-1"/>
                <w:highlight w:val="none"/>
              </w:rPr>
              <w:t>d)储瓶间的通风条件、机械排风装置。</w:t>
            </w:r>
          </w:p>
        </w:tc>
        <w:tc>
          <w:tcPr>
            <w:tcW w:w="1179" w:type="pct"/>
            <w:vAlign w:val="center"/>
          </w:tcPr>
          <w:p w14:paraId="7EB45E1B">
            <w:pPr>
              <w:pStyle w:val="23"/>
              <w:keepNext w:val="0"/>
              <w:keepLines w:val="0"/>
              <w:suppressLineNumbers w:val="0"/>
              <w:spacing w:before="58" w:line="307" w:lineRule="auto"/>
              <w:ind w:left="114" w:right="101"/>
              <w:rPr>
                <w:b w:val="0"/>
                <w:bCs w:val="0"/>
                <w:highlight w:val="none"/>
              </w:rPr>
            </w:pPr>
            <w:r>
              <w:rPr>
                <w:b w:val="0"/>
                <w:bCs w:val="0"/>
                <w:spacing w:val="-5"/>
                <w:highlight w:val="none"/>
              </w:rPr>
              <w:t>a)b)不符合要求各扣</w:t>
            </w:r>
            <w:r>
              <w:rPr>
                <w:b w:val="0"/>
                <w:bCs w:val="0"/>
                <w:spacing w:val="-25"/>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分，c)d)不符合要</w:t>
            </w:r>
            <w:r>
              <w:rPr>
                <w:b w:val="0"/>
                <w:bCs w:val="0"/>
                <w:spacing w:val="-4"/>
                <w:highlight w:val="none"/>
              </w:rPr>
              <w:t>求各扣</w:t>
            </w:r>
            <w:r>
              <w:rPr>
                <w:b w:val="0"/>
                <w:bCs w:val="0"/>
                <w:spacing w:val="-30"/>
                <w:highlight w:val="none"/>
              </w:rPr>
              <w:t xml:space="preserve"> </w:t>
            </w:r>
            <w:r>
              <w:rPr>
                <w:b w:val="0"/>
                <w:bCs w:val="0"/>
                <w:spacing w:val="-4"/>
                <w:highlight w:val="none"/>
              </w:rPr>
              <w:t>2</w:t>
            </w:r>
            <w:r>
              <w:rPr>
                <w:b w:val="0"/>
                <w:bCs w:val="0"/>
                <w:spacing w:val="-34"/>
                <w:highlight w:val="none"/>
              </w:rPr>
              <w:t xml:space="preserve"> </w:t>
            </w:r>
            <w:r>
              <w:rPr>
                <w:b w:val="0"/>
                <w:bCs w:val="0"/>
                <w:spacing w:val="-4"/>
                <w:highlight w:val="none"/>
              </w:rPr>
              <w:t>分；扣完不得分。</w:t>
            </w:r>
          </w:p>
        </w:tc>
        <w:tc>
          <w:tcPr>
            <w:tcW w:w="367" w:type="pct"/>
            <w:vAlign w:val="center"/>
          </w:tcPr>
          <w:p w14:paraId="3AFD30FF">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5FB33F1A">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BA7031A">
            <w:pPr>
              <w:keepNext w:val="0"/>
              <w:keepLines w:val="0"/>
              <w:suppressLineNumbers w:val="0"/>
              <w:spacing w:before="0" w:beforeAutospacing="0" w:after="0" w:afterAutospacing="0"/>
              <w:ind w:left="0" w:right="0"/>
              <w:rPr>
                <w:rFonts w:hint="default" w:ascii="Arial"/>
                <w:b w:val="0"/>
                <w:bCs w:val="0"/>
                <w:sz w:val="21"/>
                <w:highlight w:val="none"/>
              </w:rPr>
            </w:pPr>
          </w:p>
        </w:tc>
      </w:tr>
      <w:tr w14:paraId="040D6A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96" w:hRule="atLeast"/>
          <w:jc w:val="center"/>
        </w:trPr>
        <w:tc>
          <w:tcPr>
            <w:tcW w:w="192" w:type="pct"/>
            <w:vMerge w:val="continue"/>
            <w:tcBorders>
              <w:top w:val="single" w:color="auto" w:sz="4" w:space="0"/>
              <w:left w:val="single" w:color="auto" w:sz="4" w:space="0"/>
              <w:bottom w:val="single" w:color="auto" w:sz="4" w:space="0"/>
            </w:tcBorders>
            <w:vAlign w:val="center"/>
          </w:tcPr>
          <w:p w14:paraId="1AB1029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right w:val="single" w:color="auto" w:sz="4" w:space="0"/>
            </w:tcBorders>
            <w:vAlign w:val="center"/>
          </w:tcPr>
          <w:p w14:paraId="7177C0A6">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7F84E7BB">
            <w:pPr>
              <w:pStyle w:val="23"/>
              <w:keepNext w:val="0"/>
              <w:keepLines w:val="0"/>
              <w:suppressLineNumbers w:val="0"/>
              <w:spacing w:before="59" w:line="307" w:lineRule="auto"/>
              <w:ind w:left="0" w:right="303" w:firstLine="0"/>
              <w:rPr>
                <w:b w:val="0"/>
                <w:bCs w:val="0"/>
                <w:highlight w:val="none"/>
              </w:rPr>
            </w:pPr>
            <w:r>
              <w:rPr>
                <w:b w:val="0"/>
                <w:bCs w:val="0"/>
                <w:spacing w:val="-3"/>
                <w:highlight w:val="none"/>
              </w:rPr>
              <w:t>系统组件</w:t>
            </w:r>
            <w:r>
              <w:rPr>
                <w:b w:val="0"/>
                <w:bCs w:val="0"/>
                <w:spacing w:val="7"/>
                <w:highlight w:val="none"/>
              </w:rPr>
              <w:t>（5分）</w:t>
            </w:r>
          </w:p>
        </w:tc>
        <w:tc>
          <w:tcPr>
            <w:tcW w:w="1731" w:type="pct"/>
            <w:vAlign w:val="center"/>
          </w:tcPr>
          <w:p w14:paraId="551967DE">
            <w:pPr>
              <w:pStyle w:val="23"/>
              <w:keepNext w:val="0"/>
              <w:keepLines w:val="0"/>
              <w:suppressLineNumbers w:val="0"/>
              <w:spacing w:before="299" w:line="220" w:lineRule="auto"/>
              <w:ind w:left="112"/>
              <w:rPr>
                <w:b w:val="0"/>
                <w:bCs w:val="0"/>
                <w:highlight w:val="none"/>
              </w:rPr>
            </w:pPr>
            <w:r>
              <w:rPr>
                <w:b w:val="0"/>
                <w:bCs w:val="0"/>
                <w:spacing w:val="-1"/>
                <w:highlight w:val="none"/>
              </w:rPr>
              <w:t>a)储存装置的规格、灭火剂充装量、储存压力、备用量；</w:t>
            </w:r>
          </w:p>
          <w:p w14:paraId="15FB5E32">
            <w:pPr>
              <w:pStyle w:val="23"/>
              <w:keepNext w:val="0"/>
              <w:keepLines w:val="0"/>
              <w:suppressLineNumbers w:val="0"/>
              <w:spacing w:before="98" w:line="220" w:lineRule="auto"/>
              <w:ind w:left="108"/>
              <w:rPr>
                <w:b w:val="0"/>
                <w:bCs w:val="0"/>
                <w:highlight w:val="none"/>
              </w:rPr>
            </w:pPr>
            <w:r>
              <w:rPr>
                <w:b w:val="0"/>
                <w:bCs w:val="0"/>
                <w:spacing w:val="-1"/>
                <w:highlight w:val="none"/>
              </w:rPr>
              <w:t>b)储存容器是否在有效检验周期内；</w:t>
            </w:r>
          </w:p>
          <w:p w14:paraId="6CF9571B">
            <w:pPr>
              <w:pStyle w:val="23"/>
              <w:keepNext w:val="0"/>
              <w:keepLines w:val="0"/>
              <w:suppressLineNumbers w:val="0"/>
              <w:spacing w:before="96" w:line="307" w:lineRule="auto"/>
              <w:ind w:left="128" w:right="104" w:hanging="13"/>
              <w:rPr>
                <w:b w:val="0"/>
                <w:bCs w:val="0"/>
                <w:highlight w:val="none"/>
              </w:rPr>
            </w:pPr>
            <w:r>
              <w:rPr>
                <w:b w:val="0"/>
                <w:bCs w:val="0"/>
                <w:spacing w:val="-1"/>
                <w:highlight w:val="none"/>
              </w:rPr>
              <w:t>c)储存装置、驱动装置、集流管、选择阀、压</w:t>
            </w:r>
            <w:r>
              <w:rPr>
                <w:b w:val="0"/>
                <w:bCs w:val="0"/>
                <w:spacing w:val="-2"/>
                <w:highlight w:val="none"/>
              </w:rPr>
              <w:t>力</w:t>
            </w:r>
            <w:r>
              <w:rPr>
                <w:rFonts w:hint="eastAsia"/>
                <w:b w:val="0"/>
                <w:bCs w:val="0"/>
                <w:spacing w:val="-2"/>
                <w:highlight w:val="none"/>
                <w:lang w:eastAsia="zh-CN"/>
              </w:rPr>
              <w:t>信号器</w:t>
            </w:r>
            <w:r>
              <w:rPr>
                <w:b w:val="0"/>
                <w:bCs w:val="0"/>
                <w:spacing w:val="-2"/>
                <w:highlight w:val="none"/>
              </w:rPr>
              <w:t>、单向阀、喷嘴等组件的安装、外观及标识。</w:t>
            </w:r>
          </w:p>
        </w:tc>
        <w:tc>
          <w:tcPr>
            <w:tcW w:w="1179" w:type="pct"/>
            <w:vAlign w:val="center"/>
          </w:tcPr>
          <w:p w14:paraId="09D47AA0">
            <w:pPr>
              <w:pStyle w:val="23"/>
              <w:keepNext w:val="0"/>
              <w:keepLines w:val="0"/>
              <w:suppressLineNumbers w:val="0"/>
              <w:spacing w:before="59"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分，c)不符合要求</w:t>
            </w:r>
            <w:r>
              <w:rPr>
                <w:b w:val="0"/>
                <w:bCs w:val="0"/>
                <w:spacing w:val="-6"/>
                <w:highlight w:val="none"/>
              </w:rPr>
              <w:t>扣</w:t>
            </w:r>
            <w:r>
              <w:rPr>
                <w:b w:val="0"/>
                <w:bCs w:val="0"/>
                <w:spacing w:val="-20"/>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1F6C45B1">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281CDA9E">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630E720">
            <w:pPr>
              <w:keepNext w:val="0"/>
              <w:keepLines w:val="0"/>
              <w:suppressLineNumbers w:val="0"/>
              <w:spacing w:before="0" w:beforeAutospacing="0" w:after="0" w:afterAutospacing="0"/>
              <w:ind w:left="0" w:right="0"/>
              <w:rPr>
                <w:rFonts w:hint="default" w:ascii="Arial"/>
                <w:b w:val="0"/>
                <w:bCs w:val="0"/>
                <w:sz w:val="21"/>
                <w:highlight w:val="none"/>
              </w:rPr>
            </w:pPr>
          </w:p>
        </w:tc>
      </w:tr>
      <w:tr w14:paraId="1F76F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5" w:hRule="atLeast"/>
          <w:jc w:val="center"/>
        </w:trPr>
        <w:tc>
          <w:tcPr>
            <w:tcW w:w="192" w:type="pct"/>
            <w:vMerge w:val="continue"/>
            <w:tcBorders>
              <w:top w:val="single" w:color="auto" w:sz="4" w:space="0"/>
              <w:left w:val="single" w:color="auto" w:sz="4" w:space="0"/>
              <w:bottom w:val="single" w:color="auto" w:sz="4" w:space="0"/>
            </w:tcBorders>
            <w:vAlign w:val="center"/>
          </w:tcPr>
          <w:p w14:paraId="4D49F734">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right w:val="single" w:color="auto" w:sz="4" w:space="0"/>
            </w:tcBorders>
            <w:vAlign w:val="center"/>
          </w:tcPr>
          <w:p w14:paraId="066C518A">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7FA0138D">
            <w:pPr>
              <w:pStyle w:val="23"/>
              <w:keepNext w:val="0"/>
              <w:keepLines w:val="0"/>
              <w:suppressLineNumbers w:val="0"/>
              <w:spacing w:before="223" w:line="307" w:lineRule="auto"/>
              <w:ind w:left="0" w:right="303" w:firstLine="0"/>
              <w:rPr>
                <w:b w:val="0"/>
                <w:bCs w:val="0"/>
                <w:highlight w:val="none"/>
              </w:rPr>
            </w:pPr>
            <w:r>
              <w:rPr>
                <w:b w:val="0"/>
                <w:bCs w:val="0"/>
                <w:spacing w:val="-3"/>
                <w:highlight w:val="none"/>
              </w:rPr>
              <w:t>系统功能</w:t>
            </w:r>
            <w:r>
              <w:rPr>
                <w:b w:val="0"/>
                <w:bCs w:val="0"/>
                <w:spacing w:val="7"/>
                <w:highlight w:val="none"/>
              </w:rPr>
              <w:t>（5分）</w:t>
            </w:r>
          </w:p>
        </w:tc>
        <w:tc>
          <w:tcPr>
            <w:tcW w:w="1731" w:type="pct"/>
            <w:vAlign w:val="center"/>
          </w:tcPr>
          <w:p w14:paraId="0918D62D">
            <w:pPr>
              <w:pStyle w:val="23"/>
              <w:keepNext w:val="0"/>
              <w:keepLines w:val="0"/>
              <w:suppressLineNumbers w:val="0"/>
              <w:spacing w:before="66" w:line="220" w:lineRule="auto"/>
              <w:ind w:left="112"/>
              <w:rPr>
                <w:b w:val="0"/>
                <w:bCs w:val="0"/>
                <w:highlight w:val="none"/>
              </w:rPr>
            </w:pPr>
            <w:r>
              <w:rPr>
                <w:b w:val="0"/>
                <w:bCs w:val="0"/>
                <w:spacing w:val="-3"/>
                <w:highlight w:val="none"/>
              </w:rPr>
              <w:t>a)控制器的基本功能；</w:t>
            </w:r>
          </w:p>
          <w:p w14:paraId="460D8F90">
            <w:pPr>
              <w:pStyle w:val="23"/>
              <w:keepNext w:val="0"/>
              <w:keepLines w:val="0"/>
              <w:suppressLineNumbers w:val="0"/>
              <w:spacing w:before="97" w:line="220" w:lineRule="auto"/>
              <w:ind w:left="108"/>
              <w:rPr>
                <w:b w:val="0"/>
                <w:bCs w:val="0"/>
                <w:highlight w:val="none"/>
              </w:rPr>
            </w:pPr>
            <w:r>
              <w:rPr>
                <w:b w:val="0"/>
                <w:bCs w:val="0"/>
                <w:spacing w:val="-3"/>
                <w:highlight w:val="none"/>
              </w:rPr>
              <w:t>b)系统的手动控制、自动控制、机械应急操作启动功能；</w:t>
            </w:r>
          </w:p>
          <w:p w14:paraId="4F663E4B">
            <w:pPr>
              <w:pStyle w:val="23"/>
              <w:keepNext w:val="0"/>
              <w:keepLines w:val="0"/>
              <w:suppressLineNumbers w:val="0"/>
              <w:spacing w:before="98" w:line="220" w:lineRule="auto"/>
              <w:ind w:left="115"/>
              <w:rPr>
                <w:b w:val="0"/>
                <w:bCs w:val="0"/>
                <w:highlight w:val="none"/>
              </w:rPr>
            </w:pPr>
            <w:r>
              <w:rPr>
                <w:b w:val="0"/>
                <w:bCs w:val="0"/>
                <w:spacing w:val="-1"/>
                <w:highlight w:val="none"/>
              </w:rPr>
              <w:t>c)防护区内除泄压口外开口的</w:t>
            </w:r>
            <w:r>
              <w:rPr>
                <w:rFonts w:hint="eastAsia"/>
                <w:b w:val="0"/>
                <w:bCs w:val="0"/>
                <w:spacing w:val="-1"/>
                <w:highlight w:val="none"/>
                <w:lang w:eastAsia="zh-CN"/>
              </w:rPr>
              <w:t>自动</w:t>
            </w:r>
            <w:r>
              <w:rPr>
                <w:b w:val="0"/>
                <w:bCs w:val="0"/>
                <w:spacing w:val="-1"/>
                <w:highlight w:val="none"/>
              </w:rPr>
              <w:t>关闭功能。</w:t>
            </w:r>
          </w:p>
        </w:tc>
        <w:tc>
          <w:tcPr>
            <w:tcW w:w="1179" w:type="pct"/>
            <w:vAlign w:val="center"/>
          </w:tcPr>
          <w:p w14:paraId="6C185CB1">
            <w:pPr>
              <w:pStyle w:val="23"/>
              <w:keepNext w:val="0"/>
              <w:keepLines w:val="0"/>
              <w:suppressLineNumbers w:val="0"/>
              <w:spacing w:before="222"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5</w:t>
            </w:r>
            <w:r>
              <w:rPr>
                <w:b w:val="0"/>
                <w:bCs w:val="0"/>
                <w:spacing w:val="-34"/>
                <w:highlight w:val="none"/>
              </w:rPr>
              <w:t xml:space="preserve"> </w:t>
            </w:r>
            <w:r>
              <w:rPr>
                <w:b w:val="0"/>
                <w:bCs w:val="0"/>
                <w:spacing w:val="-5"/>
                <w:highlight w:val="none"/>
              </w:rPr>
              <w:t>分，c)不符合要求扣</w:t>
            </w:r>
            <w:r>
              <w:rPr>
                <w:b w:val="0"/>
                <w:bCs w:val="0"/>
                <w:spacing w:val="-30"/>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分；扣完不得分。</w:t>
            </w:r>
          </w:p>
        </w:tc>
        <w:tc>
          <w:tcPr>
            <w:tcW w:w="367" w:type="pct"/>
            <w:vAlign w:val="center"/>
          </w:tcPr>
          <w:p w14:paraId="518C066A">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7651E3A4">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5E007D58">
            <w:pPr>
              <w:keepNext w:val="0"/>
              <w:keepLines w:val="0"/>
              <w:suppressLineNumbers w:val="0"/>
              <w:spacing w:before="0" w:beforeAutospacing="0" w:after="0" w:afterAutospacing="0"/>
              <w:ind w:left="0" w:right="0"/>
              <w:rPr>
                <w:rFonts w:hint="default" w:ascii="Arial"/>
                <w:b w:val="0"/>
                <w:bCs w:val="0"/>
                <w:sz w:val="21"/>
                <w:highlight w:val="none"/>
              </w:rPr>
            </w:pPr>
          </w:p>
        </w:tc>
      </w:tr>
      <w:tr w14:paraId="41BBA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3" w:hRule="atLeast"/>
          <w:jc w:val="center"/>
        </w:trPr>
        <w:tc>
          <w:tcPr>
            <w:tcW w:w="192" w:type="pct"/>
            <w:vMerge w:val="restart"/>
            <w:tcBorders>
              <w:top w:val="single" w:color="auto" w:sz="4" w:space="0"/>
              <w:bottom w:val="single" w:color="auto" w:sz="4" w:space="0"/>
            </w:tcBorders>
            <w:vAlign w:val="center"/>
          </w:tcPr>
          <w:p w14:paraId="5C7D094E">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14</w:t>
            </w:r>
          </w:p>
        </w:tc>
        <w:tc>
          <w:tcPr>
            <w:tcW w:w="493" w:type="pct"/>
            <w:vMerge w:val="restart"/>
            <w:tcBorders>
              <w:top w:val="single" w:color="auto" w:sz="4" w:space="0"/>
              <w:bottom w:val="single" w:color="auto" w:sz="4" w:space="0"/>
            </w:tcBorders>
            <w:vAlign w:val="center"/>
          </w:tcPr>
          <w:p w14:paraId="4D1183E1">
            <w:pPr>
              <w:pStyle w:val="23"/>
              <w:keepNext w:val="0"/>
              <w:keepLines w:val="0"/>
              <w:suppressLineNumbers w:val="0"/>
              <w:spacing w:before="58" w:line="307" w:lineRule="auto"/>
              <w:ind w:left="354" w:right="167" w:hanging="184"/>
              <w:rPr>
                <w:b w:val="0"/>
                <w:bCs w:val="0"/>
                <w:highlight w:val="none"/>
              </w:rPr>
            </w:pPr>
            <w:r>
              <w:rPr>
                <w:b w:val="0"/>
                <w:bCs w:val="0"/>
                <w:spacing w:val="-2"/>
                <w:highlight w:val="none"/>
              </w:rPr>
              <w:t>干粉灭火</w:t>
            </w:r>
            <w:r>
              <w:rPr>
                <w:b w:val="0"/>
                <w:bCs w:val="0"/>
                <w:spacing w:val="-3"/>
                <w:highlight w:val="none"/>
              </w:rPr>
              <w:t>系统</w:t>
            </w:r>
          </w:p>
          <w:p w14:paraId="6BB344ED">
            <w:pPr>
              <w:pStyle w:val="23"/>
              <w:keepNext w:val="0"/>
              <w:keepLines w:val="0"/>
              <w:suppressLineNumbers w:val="0"/>
              <w:spacing w:before="24" w:line="221" w:lineRule="auto"/>
              <w:ind w:left="151"/>
              <w:rPr>
                <w:b w:val="0"/>
                <w:bCs w:val="0"/>
                <w:highlight w:val="none"/>
              </w:rPr>
            </w:pP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7" w:type="pct"/>
            <w:vAlign w:val="center"/>
          </w:tcPr>
          <w:p w14:paraId="11768949">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31" w:type="pct"/>
            <w:vAlign w:val="center"/>
          </w:tcPr>
          <w:p w14:paraId="236840F5">
            <w:pPr>
              <w:pStyle w:val="23"/>
              <w:keepNext w:val="0"/>
              <w:keepLines w:val="0"/>
              <w:suppressLineNumbers w:val="0"/>
              <w:spacing w:before="58" w:line="220" w:lineRule="auto"/>
              <w:ind w:left="114"/>
              <w:rPr>
                <w:b w:val="0"/>
                <w:bCs w:val="0"/>
                <w:highlight w:val="none"/>
              </w:rPr>
            </w:pPr>
            <w:r>
              <w:rPr>
                <w:b w:val="0"/>
                <w:bCs w:val="0"/>
                <w:spacing w:val="-1"/>
                <w:highlight w:val="none"/>
              </w:rPr>
              <w:t>是否按规定设置干粉灭火系统。</w:t>
            </w:r>
          </w:p>
        </w:tc>
        <w:tc>
          <w:tcPr>
            <w:tcW w:w="1179" w:type="pct"/>
            <w:vAlign w:val="center"/>
          </w:tcPr>
          <w:p w14:paraId="5AE0EB53">
            <w:pPr>
              <w:pStyle w:val="23"/>
              <w:keepNext w:val="0"/>
              <w:keepLines w:val="0"/>
              <w:suppressLineNumbers w:val="0"/>
              <w:spacing w:before="194" w:line="306" w:lineRule="auto"/>
              <w:ind w:left="112" w:right="112" w:firstLine="2"/>
              <w:rPr>
                <w:b w:val="0"/>
                <w:bCs w:val="0"/>
                <w:highlight w:val="none"/>
              </w:rPr>
            </w:pPr>
            <w:r>
              <w:rPr>
                <w:b w:val="0"/>
                <w:bCs w:val="0"/>
                <w:spacing w:val="-5"/>
                <w:highlight w:val="none"/>
              </w:rPr>
              <w:t>按照规范应设但未设置干粉灭火系统，该</w:t>
            </w:r>
            <w:r>
              <w:rPr>
                <w:b w:val="0"/>
                <w:bCs w:val="0"/>
                <w:spacing w:val="-3"/>
                <w:highlight w:val="none"/>
              </w:rPr>
              <w:t>评估子项不得分。</w:t>
            </w:r>
          </w:p>
        </w:tc>
        <w:tc>
          <w:tcPr>
            <w:tcW w:w="367" w:type="pct"/>
            <w:vAlign w:val="center"/>
          </w:tcPr>
          <w:p w14:paraId="6DF95DF0">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24FEF6F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4CD94777">
            <w:pPr>
              <w:keepNext w:val="0"/>
              <w:keepLines w:val="0"/>
              <w:suppressLineNumbers w:val="0"/>
              <w:spacing w:before="0" w:beforeAutospacing="0" w:after="0" w:afterAutospacing="0"/>
              <w:ind w:left="0" w:right="0"/>
              <w:rPr>
                <w:rFonts w:hint="default" w:ascii="Arial"/>
                <w:b w:val="0"/>
                <w:bCs w:val="0"/>
                <w:sz w:val="21"/>
                <w:highlight w:val="none"/>
              </w:rPr>
            </w:pPr>
          </w:p>
        </w:tc>
      </w:tr>
      <w:tr w14:paraId="7353F0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8" w:hRule="atLeast"/>
          <w:jc w:val="center"/>
        </w:trPr>
        <w:tc>
          <w:tcPr>
            <w:tcW w:w="192" w:type="pct"/>
            <w:vMerge w:val="continue"/>
            <w:tcBorders>
              <w:top w:val="single" w:color="auto" w:sz="4" w:space="0"/>
              <w:bottom w:val="single" w:color="auto" w:sz="4" w:space="0"/>
            </w:tcBorders>
            <w:vAlign w:val="center"/>
          </w:tcPr>
          <w:p w14:paraId="7BDA1884">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tcBorders>
            <w:vAlign w:val="center"/>
          </w:tcPr>
          <w:p w14:paraId="382E1779">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3EBB6956">
            <w:pPr>
              <w:pStyle w:val="23"/>
              <w:keepNext w:val="0"/>
              <w:keepLines w:val="0"/>
              <w:suppressLineNumbers w:val="0"/>
              <w:spacing w:before="59" w:line="307" w:lineRule="auto"/>
              <w:ind w:left="0" w:right="358" w:firstLine="0"/>
              <w:rPr>
                <w:b w:val="0"/>
                <w:bCs w:val="0"/>
                <w:highlight w:val="none"/>
              </w:rPr>
            </w:pPr>
            <w:r>
              <w:rPr>
                <w:b w:val="0"/>
                <w:bCs w:val="0"/>
                <w:spacing w:val="-7"/>
                <w:highlight w:val="none"/>
              </w:rPr>
              <w:t>防护区</w:t>
            </w:r>
            <w:r>
              <w:rPr>
                <w:b w:val="0"/>
                <w:bCs w:val="0"/>
                <w:spacing w:val="5"/>
                <w:highlight w:val="none"/>
              </w:rPr>
              <w:t>（5分）</w:t>
            </w:r>
          </w:p>
        </w:tc>
        <w:tc>
          <w:tcPr>
            <w:tcW w:w="1731" w:type="pct"/>
            <w:vAlign w:val="center"/>
          </w:tcPr>
          <w:p w14:paraId="50D606B3">
            <w:pPr>
              <w:pStyle w:val="23"/>
              <w:keepNext w:val="0"/>
              <w:keepLines w:val="0"/>
              <w:suppressLineNumbers w:val="0"/>
              <w:spacing w:before="68" w:line="306" w:lineRule="auto"/>
              <w:ind w:left="112" w:right="104"/>
              <w:rPr>
                <w:b w:val="0"/>
                <w:bCs w:val="0"/>
                <w:highlight w:val="none"/>
              </w:rPr>
            </w:pPr>
            <w:r>
              <w:rPr>
                <w:b w:val="0"/>
                <w:bCs w:val="0"/>
                <w:spacing w:val="-1"/>
                <w:highlight w:val="none"/>
              </w:rPr>
              <w:t>a)防护区内的应急照明和疏散指示标志、声光报警装</w:t>
            </w:r>
            <w:r>
              <w:rPr>
                <w:b w:val="0"/>
                <w:bCs w:val="0"/>
                <w:spacing w:val="-2"/>
                <w:highlight w:val="none"/>
              </w:rPr>
              <w:t>置、安全</w:t>
            </w:r>
            <w:r>
              <w:rPr>
                <w:b w:val="0"/>
                <w:bCs w:val="0"/>
                <w:spacing w:val="-1"/>
                <w:highlight w:val="none"/>
              </w:rPr>
              <w:t>标志和灭火剂释放指示灯、系统紧急启动和停止按钮；</w:t>
            </w:r>
          </w:p>
          <w:p w14:paraId="4C02C698">
            <w:pPr>
              <w:pStyle w:val="23"/>
              <w:keepNext w:val="0"/>
              <w:keepLines w:val="0"/>
              <w:suppressLineNumbers w:val="0"/>
              <w:spacing w:before="26" w:line="221" w:lineRule="auto"/>
              <w:ind w:left="108"/>
              <w:rPr>
                <w:b w:val="0"/>
                <w:bCs w:val="0"/>
                <w:highlight w:val="none"/>
              </w:rPr>
            </w:pPr>
            <w:r>
              <w:rPr>
                <w:b w:val="0"/>
                <w:bCs w:val="0"/>
                <w:spacing w:val="-1"/>
                <w:highlight w:val="none"/>
              </w:rPr>
              <w:t>b)防护区开口的位置、总面积；</w:t>
            </w:r>
          </w:p>
          <w:p w14:paraId="4BCF666C">
            <w:pPr>
              <w:pStyle w:val="23"/>
              <w:keepNext w:val="0"/>
              <w:keepLines w:val="0"/>
              <w:suppressLineNumbers w:val="0"/>
              <w:spacing w:before="96" w:line="220" w:lineRule="auto"/>
              <w:ind w:left="115"/>
              <w:rPr>
                <w:b w:val="0"/>
                <w:bCs w:val="0"/>
                <w:highlight w:val="none"/>
              </w:rPr>
            </w:pPr>
            <w:r>
              <w:rPr>
                <w:b w:val="0"/>
                <w:bCs w:val="0"/>
                <w:spacing w:val="-1"/>
                <w:highlight w:val="none"/>
              </w:rPr>
              <w:t>c)防护区的泄压口、机械排风装置；</w:t>
            </w:r>
          </w:p>
          <w:p w14:paraId="03C3EED5">
            <w:pPr>
              <w:pStyle w:val="23"/>
              <w:keepNext w:val="0"/>
              <w:keepLines w:val="0"/>
              <w:suppressLineNumbers w:val="0"/>
              <w:spacing w:before="97" w:line="221" w:lineRule="auto"/>
              <w:ind w:left="115"/>
              <w:rPr>
                <w:b w:val="0"/>
                <w:bCs w:val="0"/>
                <w:highlight w:val="none"/>
              </w:rPr>
            </w:pPr>
            <w:r>
              <w:rPr>
                <w:b w:val="0"/>
                <w:bCs w:val="0"/>
                <w:spacing w:val="-2"/>
                <w:highlight w:val="none"/>
              </w:rPr>
              <w:t>d)防护区的门。</w:t>
            </w:r>
          </w:p>
        </w:tc>
        <w:tc>
          <w:tcPr>
            <w:tcW w:w="1179" w:type="pct"/>
            <w:vAlign w:val="center"/>
          </w:tcPr>
          <w:p w14:paraId="03077507">
            <w:pPr>
              <w:pStyle w:val="23"/>
              <w:keepNext w:val="0"/>
              <w:keepLines w:val="0"/>
              <w:suppressLineNumbers w:val="0"/>
              <w:spacing w:before="58" w:line="307" w:lineRule="auto"/>
              <w:ind w:left="115" w:right="101" w:hanging="2"/>
              <w:rPr>
                <w:b w:val="0"/>
                <w:bCs w:val="0"/>
                <w:highlight w:val="none"/>
              </w:rPr>
            </w:pPr>
            <w:r>
              <w:rPr>
                <w:b w:val="0"/>
                <w:bCs w:val="0"/>
                <w:spacing w:val="-5"/>
                <w:highlight w:val="none"/>
              </w:rPr>
              <w:t>每条检查内容不符合要求各扣</w:t>
            </w:r>
            <w:r>
              <w:rPr>
                <w:b w:val="0"/>
                <w:bCs w:val="0"/>
                <w:spacing w:val="-29"/>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w:t>
            </w:r>
            <w:r>
              <w:rPr>
                <w:b w:val="0"/>
                <w:bCs w:val="0"/>
                <w:spacing w:val="-6"/>
                <w:highlight w:val="none"/>
              </w:rPr>
              <w:t>不得分。</w:t>
            </w:r>
          </w:p>
        </w:tc>
        <w:tc>
          <w:tcPr>
            <w:tcW w:w="367" w:type="pct"/>
            <w:vAlign w:val="center"/>
          </w:tcPr>
          <w:p w14:paraId="0E7B9E78">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0FDDF6B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6CC813E">
            <w:pPr>
              <w:keepNext w:val="0"/>
              <w:keepLines w:val="0"/>
              <w:suppressLineNumbers w:val="0"/>
              <w:spacing w:before="0" w:beforeAutospacing="0" w:after="0" w:afterAutospacing="0"/>
              <w:ind w:left="0" w:right="0"/>
              <w:rPr>
                <w:rFonts w:hint="default" w:ascii="Arial"/>
                <w:b w:val="0"/>
                <w:bCs w:val="0"/>
                <w:sz w:val="21"/>
                <w:highlight w:val="none"/>
              </w:rPr>
            </w:pPr>
          </w:p>
        </w:tc>
      </w:tr>
      <w:tr w14:paraId="12DDC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8" w:hRule="atLeast"/>
          <w:jc w:val="center"/>
        </w:trPr>
        <w:tc>
          <w:tcPr>
            <w:tcW w:w="192" w:type="pct"/>
            <w:vMerge w:val="continue"/>
            <w:tcBorders>
              <w:top w:val="single" w:color="auto" w:sz="4" w:space="0"/>
              <w:bottom w:val="single" w:color="auto" w:sz="4" w:space="0"/>
            </w:tcBorders>
            <w:vAlign w:val="center"/>
          </w:tcPr>
          <w:p w14:paraId="3D6B6056">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tcBorders>
            <w:vAlign w:val="center"/>
          </w:tcPr>
          <w:p w14:paraId="446C63BD">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3602174A">
            <w:pPr>
              <w:pStyle w:val="23"/>
              <w:keepNext w:val="0"/>
              <w:keepLines w:val="0"/>
              <w:suppressLineNumbers w:val="0"/>
              <w:spacing w:before="227" w:line="307" w:lineRule="auto"/>
              <w:ind w:left="0" w:right="123" w:firstLine="0"/>
              <w:rPr>
                <w:b w:val="0"/>
                <w:bCs w:val="0"/>
                <w:highlight w:val="none"/>
              </w:rPr>
            </w:pPr>
            <w:r>
              <w:rPr>
                <w:b w:val="0"/>
                <w:bCs w:val="0"/>
                <w:spacing w:val="-2"/>
                <w:highlight w:val="none"/>
              </w:rPr>
              <w:t>储存装置间</w:t>
            </w:r>
            <w:r>
              <w:rPr>
                <w:b w:val="0"/>
                <w:bCs w:val="0"/>
                <w:spacing w:val="7"/>
                <w:highlight w:val="none"/>
              </w:rPr>
              <w:t>（5分）</w:t>
            </w:r>
          </w:p>
        </w:tc>
        <w:tc>
          <w:tcPr>
            <w:tcW w:w="1731" w:type="pct"/>
            <w:vAlign w:val="center"/>
          </w:tcPr>
          <w:p w14:paraId="593ADB89">
            <w:pPr>
              <w:pStyle w:val="23"/>
              <w:keepNext w:val="0"/>
              <w:keepLines w:val="0"/>
              <w:suppressLineNumbers w:val="0"/>
              <w:spacing w:before="71" w:line="221" w:lineRule="auto"/>
              <w:ind w:left="112"/>
              <w:rPr>
                <w:b w:val="0"/>
                <w:bCs w:val="0"/>
                <w:highlight w:val="none"/>
              </w:rPr>
            </w:pPr>
            <w:r>
              <w:rPr>
                <w:b w:val="0"/>
                <w:bCs w:val="0"/>
                <w:spacing w:val="-2"/>
                <w:highlight w:val="none"/>
              </w:rPr>
              <w:t>a)储瓶间标志；</w:t>
            </w:r>
          </w:p>
          <w:p w14:paraId="72064BEC">
            <w:pPr>
              <w:pStyle w:val="23"/>
              <w:keepNext w:val="0"/>
              <w:keepLines w:val="0"/>
              <w:suppressLineNumbers w:val="0"/>
              <w:spacing w:before="96" w:line="220" w:lineRule="auto"/>
              <w:ind w:left="108"/>
              <w:rPr>
                <w:b w:val="0"/>
                <w:bCs w:val="0"/>
                <w:highlight w:val="none"/>
              </w:rPr>
            </w:pPr>
            <w:r>
              <w:rPr>
                <w:b w:val="0"/>
                <w:bCs w:val="0"/>
                <w:spacing w:val="-1"/>
                <w:highlight w:val="none"/>
              </w:rPr>
              <w:t>b)储瓶间应急照明；</w:t>
            </w:r>
          </w:p>
          <w:p w14:paraId="700206AF">
            <w:pPr>
              <w:pStyle w:val="23"/>
              <w:keepNext w:val="0"/>
              <w:keepLines w:val="0"/>
              <w:suppressLineNumbers w:val="0"/>
              <w:spacing w:before="97" w:line="221" w:lineRule="auto"/>
              <w:ind w:left="115"/>
              <w:rPr>
                <w:b w:val="0"/>
                <w:bCs w:val="0"/>
                <w:highlight w:val="none"/>
              </w:rPr>
            </w:pPr>
            <w:r>
              <w:rPr>
                <w:b w:val="0"/>
                <w:bCs w:val="0"/>
                <w:spacing w:val="-2"/>
                <w:highlight w:val="none"/>
              </w:rPr>
              <w:t>c)储瓶间的排风装置。</w:t>
            </w:r>
          </w:p>
        </w:tc>
        <w:tc>
          <w:tcPr>
            <w:tcW w:w="1179" w:type="pct"/>
            <w:vAlign w:val="center"/>
          </w:tcPr>
          <w:p w14:paraId="2CAFBE0B">
            <w:pPr>
              <w:pStyle w:val="23"/>
              <w:keepNext w:val="0"/>
              <w:keepLines w:val="0"/>
              <w:suppressLineNumbers w:val="0"/>
              <w:spacing w:before="226" w:line="307" w:lineRule="auto"/>
              <w:ind w:left="116" w:right="101" w:hanging="2"/>
              <w:rPr>
                <w:b w:val="0"/>
                <w:bCs w:val="0"/>
                <w:highlight w:val="none"/>
              </w:rPr>
            </w:pPr>
            <w:r>
              <w:rPr>
                <w:b w:val="0"/>
                <w:bCs w:val="0"/>
                <w:spacing w:val="-5"/>
                <w:highlight w:val="none"/>
              </w:rPr>
              <w:t>a)不符合要求扣</w:t>
            </w:r>
            <w:r>
              <w:rPr>
                <w:b w:val="0"/>
                <w:bCs w:val="0"/>
                <w:spacing w:val="-26"/>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分，b)c)不符合要求各扣</w:t>
            </w:r>
            <w:r>
              <w:rPr>
                <w:b w:val="0"/>
                <w:bCs w:val="0"/>
                <w:spacing w:val="-30"/>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分；扣完不得分。</w:t>
            </w:r>
          </w:p>
        </w:tc>
        <w:tc>
          <w:tcPr>
            <w:tcW w:w="367" w:type="pct"/>
            <w:vAlign w:val="center"/>
          </w:tcPr>
          <w:p w14:paraId="11F26CBA">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740AD50D">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02981291">
            <w:pPr>
              <w:keepNext w:val="0"/>
              <w:keepLines w:val="0"/>
              <w:suppressLineNumbers w:val="0"/>
              <w:spacing w:before="0" w:beforeAutospacing="0" w:after="0" w:afterAutospacing="0"/>
              <w:ind w:left="0" w:right="0"/>
              <w:rPr>
                <w:rFonts w:hint="default" w:ascii="Arial"/>
                <w:b w:val="0"/>
                <w:bCs w:val="0"/>
                <w:sz w:val="21"/>
                <w:highlight w:val="none"/>
              </w:rPr>
            </w:pPr>
          </w:p>
        </w:tc>
      </w:tr>
      <w:tr w14:paraId="56978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2" w:hRule="atLeast"/>
          <w:jc w:val="center"/>
        </w:trPr>
        <w:tc>
          <w:tcPr>
            <w:tcW w:w="192" w:type="pct"/>
            <w:vMerge w:val="continue"/>
            <w:tcBorders>
              <w:top w:val="single" w:color="auto" w:sz="4" w:space="0"/>
              <w:bottom w:val="single" w:color="auto" w:sz="4" w:space="0"/>
            </w:tcBorders>
            <w:vAlign w:val="center"/>
          </w:tcPr>
          <w:p w14:paraId="666A4F0C">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bottom w:val="single" w:color="auto" w:sz="4" w:space="0"/>
            </w:tcBorders>
            <w:vAlign w:val="center"/>
          </w:tcPr>
          <w:p w14:paraId="0900D9E5">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788DC31B">
            <w:pPr>
              <w:pStyle w:val="23"/>
              <w:keepNext w:val="0"/>
              <w:keepLines w:val="0"/>
              <w:suppressLineNumbers w:val="0"/>
              <w:spacing w:before="59" w:line="307" w:lineRule="auto"/>
              <w:ind w:left="0" w:right="303" w:firstLine="0"/>
              <w:rPr>
                <w:b w:val="0"/>
                <w:bCs w:val="0"/>
                <w:highlight w:val="none"/>
              </w:rPr>
            </w:pPr>
            <w:r>
              <w:rPr>
                <w:b w:val="0"/>
                <w:bCs w:val="0"/>
                <w:spacing w:val="-3"/>
                <w:highlight w:val="none"/>
              </w:rPr>
              <w:t>系统组件</w:t>
            </w:r>
            <w:r>
              <w:rPr>
                <w:b w:val="0"/>
                <w:bCs w:val="0"/>
                <w:spacing w:val="7"/>
                <w:highlight w:val="none"/>
              </w:rPr>
              <w:t>（5分）</w:t>
            </w:r>
          </w:p>
        </w:tc>
        <w:tc>
          <w:tcPr>
            <w:tcW w:w="1731" w:type="pct"/>
            <w:vAlign w:val="center"/>
          </w:tcPr>
          <w:p w14:paraId="336A0C19">
            <w:pPr>
              <w:pStyle w:val="23"/>
              <w:keepNext w:val="0"/>
              <w:keepLines w:val="0"/>
              <w:suppressLineNumbers w:val="0"/>
              <w:spacing w:before="213" w:line="220" w:lineRule="auto"/>
              <w:ind w:left="112"/>
              <w:rPr>
                <w:b w:val="0"/>
                <w:bCs w:val="0"/>
                <w:highlight w:val="none"/>
              </w:rPr>
            </w:pPr>
            <w:r>
              <w:rPr>
                <w:b w:val="0"/>
                <w:bCs w:val="0"/>
                <w:spacing w:val="-1"/>
                <w:highlight w:val="none"/>
              </w:rPr>
              <w:t>a)储存装置的规格、灭火剂充装量、储存压力、备用量；</w:t>
            </w:r>
          </w:p>
          <w:p w14:paraId="69AEE2E2">
            <w:pPr>
              <w:pStyle w:val="23"/>
              <w:keepNext w:val="0"/>
              <w:keepLines w:val="0"/>
              <w:suppressLineNumbers w:val="0"/>
              <w:spacing w:before="98" w:line="220" w:lineRule="auto"/>
              <w:ind w:left="108"/>
              <w:rPr>
                <w:b w:val="0"/>
                <w:bCs w:val="0"/>
                <w:highlight w:val="none"/>
              </w:rPr>
            </w:pPr>
            <w:r>
              <w:rPr>
                <w:b w:val="0"/>
                <w:bCs w:val="0"/>
                <w:spacing w:val="-1"/>
                <w:highlight w:val="none"/>
              </w:rPr>
              <w:t>b)储存容器是否在有效检验周期内；</w:t>
            </w:r>
          </w:p>
          <w:p w14:paraId="4AE7EA66">
            <w:pPr>
              <w:pStyle w:val="23"/>
              <w:keepNext w:val="0"/>
              <w:keepLines w:val="0"/>
              <w:suppressLineNumbers w:val="0"/>
              <w:spacing w:before="96" w:line="307" w:lineRule="auto"/>
              <w:ind w:left="128" w:right="104" w:hanging="13"/>
              <w:rPr>
                <w:b w:val="0"/>
                <w:bCs w:val="0"/>
                <w:highlight w:val="none"/>
              </w:rPr>
            </w:pPr>
            <w:r>
              <w:rPr>
                <w:b w:val="0"/>
                <w:bCs w:val="0"/>
                <w:spacing w:val="-1"/>
                <w:highlight w:val="none"/>
              </w:rPr>
              <w:t>c)储存装置、驱动装置、集流管、选择阀、压</w:t>
            </w:r>
            <w:r>
              <w:rPr>
                <w:b w:val="0"/>
                <w:bCs w:val="0"/>
                <w:spacing w:val="-2"/>
                <w:highlight w:val="none"/>
              </w:rPr>
              <w:t>力</w:t>
            </w:r>
            <w:r>
              <w:rPr>
                <w:rFonts w:hint="eastAsia"/>
                <w:b w:val="0"/>
                <w:bCs w:val="0"/>
                <w:spacing w:val="-2"/>
                <w:highlight w:val="none"/>
                <w:lang w:eastAsia="zh-CN"/>
              </w:rPr>
              <w:t>信号器</w:t>
            </w:r>
            <w:r>
              <w:rPr>
                <w:b w:val="0"/>
                <w:bCs w:val="0"/>
                <w:spacing w:val="-2"/>
                <w:highlight w:val="none"/>
              </w:rPr>
              <w:t>、单向阀、喷头等组件的安装、外观及标识。</w:t>
            </w:r>
          </w:p>
        </w:tc>
        <w:tc>
          <w:tcPr>
            <w:tcW w:w="1179" w:type="pct"/>
            <w:vAlign w:val="center"/>
          </w:tcPr>
          <w:p w14:paraId="03F77912">
            <w:pPr>
              <w:pStyle w:val="23"/>
              <w:keepNext w:val="0"/>
              <w:keepLines w:val="0"/>
              <w:suppressLineNumbers w:val="0"/>
              <w:spacing w:before="59"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2</w:t>
            </w:r>
            <w:r>
              <w:rPr>
                <w:b w:val="0"/>
                <w:bCs w:val="0"/>
                <w:spacing w:val="-34"/>
                <w:highlight w:val="none"/>
              </w:rPr>
              <w:t xml:space="preserve"> </w:t>
            </w:r>
            <w:r>
              <w:rPr>
                <w:b w:val="0"/>
                <w:bCs w:val="0"/>
                <w:spacing w:val="-5"/>
                <w:highlight w:val="none"/>
              </w:rPr>
              <w:t>分，c)不符合要求</w:t>
            </w:r>
            <w:r>
              <w:rPr>
                <w:b w:val="0"/>
                <w:bCs w:val="0"/>
                <w:spacing w:val="-6"/>
                <w:highlight w:val="none"/>
              </w:rPr>
              <w:t>扣</w:t>
            </w:r>
            <w:r>
              <w:rPr>
                <w:b w:val="0"/>
                <w:bCs w:val="0"/>
                <w:spacing w:val="-20"/>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4EE6E666">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8" w:type="pct"/>
            <w:vAlign w:val="center"/>
          </w:tcPr>
          <w:p w14:paraId="4915FCE1">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3BD7BD3">
            <w:pPr>
              <w:keepNext w:val="0"/>
              <w:keepLines w:val="0"/>
              <w:suppressLineNumbers w:val="0"/>
              <w:spacing w:before="0" w:beforeAutospacing="0" w:after="0" w:afterAutospacing="0"/>
              <w:ind w:left="0" w:right="0"/>
              <w:rPr>
                <w:rFonts w:hint="default" w:ascii="Arial"/>
                <w:b w:val="0"/>
                <w:bCs w:val="0"/>
                <w:sz w:val="21"/>
                <w:highlight w:val="none"/>
              </w:rPr>
            </w:pPr>
          </w:p>
        </w:tc>
      </w:tr>
    </w:tbl>
    <w:p w14:paraId="7C2C57DB">
      <w:pPr>
        <w:rPr>
          <w:highlight w:val="none"/>
        </w:rPr>
      </w:pPr>
      <w:r>
        <w:rPr>
          <w:highlight w:val="none"/>
        </w:rPr>
        <w:br w:type="page"/>
      </w:r>
    </w:p>
    <w:tbl>
      <w:tblPr>
        <w:tblStyle w:val="24"/>
        <w:tblW w:w="498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5"/>
        <w:gridCol w:w="1479"/>
        <w:gridCol w:w="1102"/>
        <w:gridCol w:w="5199"/>
        <w:gridCol w:w="3539"/>
        <w:gridCol w:w="1102"/>
        <w:gridCol w:w="1015"/>
        <w:gridCol w:w="988"/>
      </w:tblGrid>
      <w:tr w14:paraId="52DC5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21" w:hRule="atLeast"/>
          <w:jc w:val="center"/>
        </w:trPr>
        <w:tc>
          <w:tcPr>
            <w:tcW w:w="192" w:type="pct"/>
            <w:vAlign w:val="center"/>
          </w:tcPr>
          <w:p w14:paraId="69E18978">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53F68914">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5E189D98">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2" w:type="pct"/>
            <w:vAlign w:val="center"/>
          </w:tcPr>
          <w:p w14:paraId="680FE504">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4C2DB930">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4F2A058B">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3ED7315B">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57C9EDE1">
            <w:pPr>
              <w:pStyle w:val="23"/>
              <w:keepNext w:val="0"/>
              <w:keepLines w:val="0"/>
              <w:suppressLineNumbers w:val="0"/>
              <w:spacing w:before="71" w:line="220" w:lineRule="auto"/>
              <w:ind w:left="295"/>
              <w:rPr>
                <w:highlight w:val="none"/>
              </w:rPr>
            </w:pPr>
            <w:r>
              <w:rPr>
                <w:b/>
                <w:bCs/>
                <w:spacing w:val="-4"/>
                <w:highlight w:val="none"/>
              </w:rPr>
              <w:t>得分</w:t>
            </w:r>
          </w:p>
        </w:tc>
      </w:tr>
      <w:tr w14:paraId="4EC234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jc w:val="center"/>
        </w:trPr>
        <w:tc>
          <w:tcPr>
            <w:tcW w:w="192" w:type="pct"/>
            <w:vMerge w:val="restart"/>
            <w:tcBorders>
              <w:bottom w:val="nil"/>
            </w:tcBorders>
            <w:vAlign w:val="center"/>
          </w:tcPr>
          <w:p w14:paraId="58815524">
            <w:pPr>
              <w:pStyle w:val="23"/>
              <w:keepNext w:val="0"/>
              <w:keepLines w:val="0"/>
              <w:suppressLineNumbers w:val="0"/>
              <w:spacing w:before="59" w:line="181" w:lineRule="auto"/>
              <w:ind w:left="224"/>
              <w:rPr>
                <w:rFonts w:hint="default" w:eastAsia="宋体"/>
                <w:b w:val="0"/>
                <w:bCs w:val="0"/>
                <w:highlight w:val="none"/>
                <w:lang w:val="en-US" w:eastAsia="zh-CN"/>
              </w:rPr>
            </w:pPr>
            <w:r>
              <w:rPr>
                <w:rFonts w:hint="eastAsia"/>
                <w:b w:val="0"/>
                <w:bCs w:val="0"/>
                <w:highlight w:val="none"/>
                <w:lang w:val="en-US" w:eastAsia="zh-CN"/>
              </w:rPr>
              <w:t>15</w:t>
            </w:r>
          </w:p>
        </w:tc>
        <w:tc>
          <w:tcPr>
            <w:tcW w:w="493" w:type="pct"/>
            <w:vMerge w:val="restart"/>
            <w:tcBorders>
              <w:bottom w:val="nil"/>
            </w:tcBorders>
            <w:vAlign w:val="center"/>
          </w:tcPr>
          <w:p w14:paraId="10A75A5B">
            <w:pPr>
              <w:pStyle w:val="23"/>
              <w:keepNext w:val="0"/>
              <w:keepLines w:val="0"/>
              <w:suppressLineNumbers w:val="0"/>
              <w:spacing w:before="58" w:line="307" w:lineRule="auto"/>
              <w:ind w:right="156"/>
              <w:jc w:val="center"/>
              <w:rPr>
                <w:b w:val="0"/>
                <w:bCs w:val="0"/>
                <w:spacing w:val="-4"/>
                <w:highlight w:val="none"/>
              </w:rPr>
            </w:pPr>
            <w:r>
              <w:rPr>
                <w:rFonts w:hint="eastAsia"/>
                <w:b w:val="0"/>
                <w:bCs w:val="0"/>
                <w:spacing w:val="-4"/>
                <w:highlight w:val="none"/>
                <w:lang w:eastAsia="zh-CN"/>
              </w:rPr>
              <w:t>灭</w:t>
            </w:r>
            <w:r>
              <w:rPr>
                <w:b w:val="0"/>
                <w:bCs w:val="0"/>
                <w:spacing w:val="-4"/>
                <w:highlight w:val="none"/>
              </w:rPr>
              <w:t>火器</w:t>
            </w:r>
          </w:p>
          <w:p w14:paraId="7EA5A9E3">
            <w:pPr>
              <w:pStyle w:val="23"/>
              <w:keepNext w:val="0"/>
              <w:keepLines w:val="0"/>
              <w:suppressLineNumbers w:val="0"/>
              <w:spacing w:before="58" w:line="307" w:lineRule="auto"/>
              <w:ind w:right="156"/>
              <w:jc w:val="center"/>
              <w:rPr>
                <w:b w:val="0"/>
                <w:bCs w:val="0"/>
                <w:highlight w:val="none"/>
              </w:rPr>
            </w:pPr>
            <w:r>
              <w:rPr>
                <w:b w:val="0"/>
                <w:bCs w:val="0"/>
                <w:spacing w:val="-8"/>
                <w:highlight w:val="none"/>
              </w:rPr>
              <w:t>（10</w:t>
            </w:r>
            <w:r>
              <w:rPr>
                <w:b w:val="0"/>
                <w:bCs w:val="0"/>
                <w:spacing w:val="-31"/>
                <w:highlight w:val="none"/>
              </w:rPr>
              <w:t xml:space="preserve"> </w:t>
            </w:r>
            <w:r>
              <w:rPr>
                <w:b w:val="0"/>
                <w:bCs w:val="0"/>
                <w:spacing w:val="-8"/>
                <w:highlight w:val="none"/>
              </w:rPr>
              <w:t>分）</w:t>
            </w:r>
          </w:p>
        </w:tc>
        <w:tc>
          <w:tcPr>
            <w:tcW w:w="367" w:type="pct"/>
            <w:vAlign w:val="center"/>
          </w:tcPr>
          <w:p w14:paraId="0F9009BF">
            <w:pPr>
              <w:pStyle w:val="23"/>
              <w:keepNext w:val="0"/>
              <w:keepLines w:val="0"/>
              <w:suppressLineNumbers w:val="0"/>
              <w:spacing w:before="58" w:line="221" w:lineRule="auto"/>
              <w:ind w:right="15"/>
              <w:jc w:val="both"/>
              <w:rPr>
                <w:b w:val="0"/>
                <w:bCs w:val="0"/>
                <w:highlight w:val="none"/>
              </w:rPr>
            </w:pPr>
            <w:r>
              <w:rPr>
                <w:b w:val="0"/>
                <w:bCs w:val="0"/>
                <w:spacing w:val="-9"/>
                <w:highlight w:val="none"/>
              </w:rPr>
              <w:t>外观（4</w:t>
            </w:r>
            <w:r>
              <w:rPr>
                <w:b w:val="0"/>
                <w:bCs w:val="0"/>
                <w:spacing w:val="-31"/>
                <w:highlight w:val="none"/>
              </w:rPr>
              <w:t xml:space="preserve"> </w:t>
            </w:r>
            <w:r>
              <w:rPr>
                <w:b w:val="0"/>
                <w:bCs w:val="0"/>
                <w:spacing w:val="-9"/>
                <w:highlight w:val="none"/>
              </w:rPr>
              <w:t>分）</w:t>
            </w:r>
          </w:p>
        </w:tc>
        <w:tc>
          <w:tcPr>
            <w:tcW w:w="1732" w:type="pct"/>
            <w:vAlign w:val="center"/>
          </w:tcPr>
          <w:p w14:paraId="280E8B1E">
            <w:pPr>
              <w:pStyle w:val="23"/>
              <w:keepNext w:val="0"/>
              <w:keepLines w:val="0"/>
              <w:suppressLineNumbers w:val="0"/>
              <w:spacing w:before="183" w:line="220" w:lineRule="auto"/>
              <w:ind w:left="111"/>
              <w:rPr>
                <w:b w:val="0"/>
                <w:bCs w:val="0"/>
                <w:highlight w:val="none"/>
              </w:rPr>
            </w:pPr>
            <w:r>
              <w:rPr>
                <w:b w:val="0"/>
                <w:bCs w:val="0"/>
                <w:spacing w:val="-4"/>
                <w:highlight w:val="none"/>
              </w:rPr>
              <w:t>a)灭火器的有效期；</w:t>
            </w:r>
          </w:p>
          <w:p w14:paraId="7FB7F205">
            <w:pPr>
              <w:pStyle w:val="23"/>
              <w:keepNext w:val="0"/>
              <w:keepLines w:val="0"/>
              <w:suppressLineNumbers w:val="0"/>
              <w:spacing w:before="97" w:line="220" w:lineRule="auto"/>
              <w:ind w:left="107"/>
              <w:rPr>
                <w:b w:val="0"/>
                <w:bCs w:val="0"/>
                <w:highlight w:val="none"/>
              </w:rPr>
            </w:pPr>
            <w:r>
              <w:rPr>
                <w:b w:val="0"/>
                <w:bCs w:val="0"/>
                <w:spacing w:val="-1"/>
                <w:highlight w:val="none"/>
              </w:rPr>
              <w:t>b)灭火器的外观、铭牌及维修标志情况。</w:t>
            </w:r>
          </w:p>
        </w:tc>
        <w:tc>
          <w:tcPr>
            <w:tcW w:w="1179" w:type="pct"/>
            <w:vAlign w:val="center"/>
          </w:tcPr>
          <w:p w14:paraId="03D4AB8C">
            <w:pPr>
              <w:pStyle w:val="23"/>
              <w:keepNext w:val="0"/>
              <w:keepLines w:val="0"/>
              <w:suppressLineNumbers w:val="0"/>
              <w:spacing w:before="182" w:line="307" w:lineRule="auto"/>
              <w:ind w:left="114" w:right="102" w:hanging="1"/>
              <w:rPr>
                <w:b w:val="0"/>
                <w:bCs w:val="0"/>
                <w:highlight w:val="none"/>
              </w:rPr>
            </w:pPr>
            <w:r>
              <w:rPr>
                <w:b w:val="0"/>
                <w:bCs w:val="0"/>
                <w:highlight w:val="none"/>
              </w:rPr>
              <w:t>a)b)不符合要求每发现一处扣</w:t>
            </w:r>
            <w:r>
              <w:rPr>
                <w:b w:val="0"/>
                <w:bCs w:val="0"/>
                <w:spacing w:val="33"/>
                <w:highlight w:val="none"/>
              </w:rPr>
              <w:t xml:space="preserve"> </w:t>
            </w:r>
            <w:r>
              <w:rPr>
                <w:b w:val="0"/>
                <w:bCs w:val="0"/>
                <w:highlight w:val="none"/>
              </w:rPr>
              <w:t xml:space="preserve">1 </w:t>
            </w:r>
            <w:r>
              <w:rPr>
                <w:b w:val="0"/>
                <w:bCs w:val="0"/>
                <w:spacing w:val="-3"/>
                <w:highlight w:val="none"/>
              </w:rPr>
              <w:t>分，扣完不得分。</w:t>
            </w:r>
          </w:p>
        </w:tc>
        <w:tc>
          <w:tcPr>
            <w:tcW w:w="367" w:type="pct"/>
            <w:vAlign w:val="center"/>
          </w:tcPr>
          <w:p w14:paraId="4D2BAEC5">
            <w:pPr>
              <w:pStyle w:val="23"/>
              <w:keepNext w:val="0"/>
              <w:keepLines w:val="0"/>
              <w:suppressLineNumbers w:val="0"/>
              <w:spacing w:before="68" w:line="282" w:lineRule="auto"/>
              <w:ind w:right="101" w:rightChars="0"/>
              <w:jc w:val="center"/>
              <w:rPr>
                <w:rFonts w:hint="eastAsia" w:ascii="宋体" w:hAnsi="宋体" w:eastAsia="宋体" w:cs="宋体"/>
                <w:b w:val="0"/>
                <w:bCs w:val="0"/>
                <w:color w:val="auto"/>
                <w:sz w:val="21"/>
                <w:highlight w:val="none"/>
                <w:lang w:val="en-US" w:eastAsia="zh-CN"/>
              </w:rPr>
            </w:pPr>
          </w:p>
        </w:tc>
        <w:tc>
          <w:tcPr>
            <w:tcW w:w="338" w:type="pct"/>
            <w:vAlign w:val="center"/>
          </w:tcPr>
          <w:p w14:paraId="7FBFBE94">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c>
          <w:tcPr>
            <w:tcW w:w="329" w:type="pct"/>
            <w:vAlign w:val="center"/>
          </w:tcPr>
          <w:p w14:paraId="1200AAA8">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00A564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5" w:hRule="atLeast"/>
          <w:jc w:val="center"/>
        </w:trPr>
        <w:tc>
          <w:tcPr>
            <w:tcW w:w="192" w:type="pct"/>
            <w:vMerge w:val="continue"/>
            <w:tcBorders>
              <w:top w:val="nil"/>
            </w:tcBorders>
            <w:vAlign w:val="center"/>
          </w:tcPr>
          <w:p w14:paraId="651C025F">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4129F860">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3758F0F1">
            <w:pPr>
              <w:pStyle w:val="23"/>
              <w:keepNext w:val="0"/>
              <w:keepLines w:val="0"/>
              <w:suppressLineNumbers w:val="0"/>
              <w:spacing w:before="59" w:line="221" w:lineRule="auto"/>
              <w:ind w:right="15"/>
              <w:jc w:val="both"/>
              <w:rPr>
                <w:b w:val="0"/>
                <w:bCs w:val="0"/>
                <w:highlight w:val="none"/>
              </w:rPr>
            </w:pPr>
            <w:r>
              <w:rPr>
                <w:b w:val="0"/>
                <w:bCs w:val="0"/>
                <w:spacing w:val="-9"/>
                <w:highlight w:val="none"/>
              </w:rPr>
              <w:t>设置（6</w:t>
            </w:r>
            <w:r>
              <w:rPr>
                <w:b w:val="0"/>
                <w:bCs w:val="0"/>
                <w:spacing w:val="-30"/>
                <w:highlight w:val="none"/>
              </w:rPr>
              <w:t xml:space="preserve"> </w:t>
            </w:r>
            <w:r>
              <w:rPr>
                <w:b w:val="0"/>
                <w:bCs w:val="0"/>
                <w:spacing w:val="-9"/>
                <w:highlight w:val="none"/>
              </w:rPr>
              <w:t>分）</w:t>
            </w:r>
          </w:p>
        </w:tc>
        <w:tc>
          <w:tcPr>
            <w:tcW w:w="1732" w:type="pct"/>
            <w:vAlign w:val="center"/>
          </w:tcPr>
          <w:p w14:paraId="1B01FD46">
            <w:pPr>
              <w:pStyle w:val="23"/>
              <w:keepNext w:val="0"/>
              <w:keepLines w:val="0"/>
              <w:suppressLineNumbers w:val="0"/>
              <w:spacing w:before="97" w:line="220" w:lineRule="auto"/>
              <w:ind w:left="107"/>
              <w:rPr>
                <w:b w:val="0"/>
                <w:bCs w:val="0"/>
                <w:highlight w:val="none"/>
              </w:rPr>
            </w:pPr>
            <w:r>
              <w:rPr>
                <w:b w:val="0"/>
                <w:bCs w:val="0"/>
                <w:spacing w:val="-1"/>
                <w:highlight w:val="none"/>
              </w:rPr>
              <w:t>a)灭火器的配置类型、设置位置、数量；</w:t>
            </w:r>
          </w:p>
          <w:p w14:paraId="5FBCCCF7">
            <w:pPr>
              <w:pStyle w:val="23"/>
              <w:keepNext w:val="0"/>
              <w:keepLines w:val="0"/>
              <w:suppressLineNumbers w:val="0"/>
              <w:spacing w:before="97" w:line="220" w:lineRule="auto"/>
              <w:ind w:left="107" w:right="0"/>
              <w:jc w:val="left"/>
              <w:rPr>
                <w:b w:val="0"/>
                <w:bCs w:val="0"/>
                <w:spacing w:val="-2"/>
                <w:highlight w:val="none"/>
              </w:rPr>
            </w:pPr>
            <w:r>
              <w:rPr>
                <w:b w:val="0"/>
                <w:bCs w:val="0"/>
                <w:spacing w:val="-1"/>
                <w:highlight w:val="none"/>
              </w:rPr>
              <w:t>b)灭火器的最大保护距离和最低配置基准；</w:t>
            </w:r>
          </w:p>
          <w:p w14:paraId="055B085F">
            <w:pPr>
              <w:pStyle w:val="23"/>
              <w:keepNext w:val="0"/>
              <w:keepLines w:val="0"/>
              <w:suppressLineNumbers w:val="0"/>
              <w:spacing w:before="97" w:line="220" w:lineRule="auto"/>
              <w:ind w:left="107" w:right="0"/>
              <w:jc w:val="left"/>
              <w:rPr>
                <w:b w:val="0"/>
                <w:bCs w:val="0"/>
                <w:spacing w:val="-2"/>
                <w:highlight w:val="none"/>
              </w:rPr>
            </w:pPr>
            <w:r>
              <w:rPr>
                <w:b w:val="0"/>
                <w:bCs w:val="0"/>
                <w:spacing w:val="-1"/>
                <w:highlight w:val="none"/>
              </w:rPr>
              <w:t>c)</w:t>
            </w:r>
            <w:r>
              <w:rPr>
                <w:b w:val="0"/>
                <w:bCs w:val="0"/>
                <w:spacing w:val="0"/>
                <w:highlight w:val="none"/>
              </w:rPr>
              <w:t>设置在有视线障碍的设置点时，应设置指示灭火器位置的醒目标志</w:t>
            </w:r>
            <w:r>
              <w:rPr>
                <w:b w:val="0"/>
                <w:bCs w:val="0"/>
                <w:spacing w:val="-2"/>
                <w:highlight w:val="none"/>
              </w:rPr>
              <w:t>。</w:t>
            </w:r>
          </w:p>
        </w:tc>
        <w:tc>
          <w:tcPr>
            <w:tcW w:w="1179" w:type="pct"/>
            <w:vAlign w:val="center"/>
          </w:tcPr>
          <w:p w14:paraId="27D0C091">
            <w:pPr>
              <w:pStyle w:val="23"/>
              <w:keepNext w:val="0"/>
              <w:keepLines w:val="0"/>
              <w:suppressLineNumbers w:val="0"/>
              <w:spacing w:before="227" w:line="220" w:lineRule="auto"/>
              <w:ind w:left="113"/>
              <w:rPr>
                <w:b w:val="0"/>
                <w:bCs w:val="0"/>
                <w:highlight w:val="none"/>
              </w:rPr>
            </w:pPr>
            <w:r>
              <w:rPr>
                <w:b w:val="0"/>
                <w:bCs w:val="0"/>
                <w:spacing w:val="1"/>
                <w:highlight w:val="none"/>
              </w:rPr>
              <w:t>a)b)c)不符合要求每发现一处扣</w:t>
            </w:r>
            <w:r>
              <w:rPr>
                <w:b w:val="0"/>
                <w:bCs w:val="0"/>
                <w:spacing w:val="-5"/>
                <w:highlight w:val="none"/>
              </w:rPr>
              <w:t>1</w:t>
            </w:r>
            <w:r>
              <w:rPr>
                <w:b w:val="0"/>
                <w:bCs w:val="0"/>
                <w:spacing w:val="-35"/>
                <w:highlight w:val="none"/>
              </w:rPr>
              <w:t xml:space="preserve"> </w:t>
            </w:r>
            <w:r>
              <w:rPr>
                <w:b w:val="0"/>
                <w:bCs w:val="0"/>
                <w:spacing w:val="-5"/>
                <w:highlight w:val="none"/>
              </w:rPr>
              <w:t>分，扣完不得分。</w:t>
            </w:r>
          </w:p>
        </w:tc>
        <w:tc>
          <w:tcPr>
            <w:tcW w:w="367" w:type="pct"/>
            <w:vAlign w:val="center"/>
          </w:tcPr>
          <w:p w14:paraId="5FA5C5CE">
            <w:pPr>
              <w:pStyle w:val="23"/>
              <w:keepNext w:val="0"/>
              <w:keepLines w:val="0"/>
              <w:suppressLineNumbers w:val="0"/>
              <w:spacing w:before="68" w:line="282" w:lineRule="auto"/>
              <w:ind w:right="101" w:rightChars="0"/>
              <w:jc w:val="center"/>
              <w:rPr>
                <w:rFonts w:hint="eastAsia" w:ascii="宋体" w:hAnsi="宋体" w:eastAsia="宋体" w:cs="宋体"/>
                <w:b w:val="0"/>
                <w:bCs w:val="0"/>
                <w:color w:val="auto"/>
                <w:sz w:val="21"/>
                <w:highlight w:val="none"/>
              </w:rPr>
            </w:pPr>
          </w:p>
        </w:tc>
        <w:tc>
          <w:tcPr>
            <w:tcW w:w="338" w:type="pct"/>
            <w:vAlign w:val="center"/>
          </w:tcPr>
          <w:p w14:paraId="4EC774B0">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rPr>
            </w:pPr>
          </w:p>
        </w:tc>
        <w:tc>
          <w:tcPr>
            <w:tcW w:w="329" w:type="pct"/>
            <w:vAlign w:val="center"/>
          </w:tcPr>
          <w:p w14:paraId="26A79875">
            <w:pPr>
              <w:keepNext w:val="0"/>
              <w:keepLines w:val="0"/>
              <w:suppressLineNumbers w:val="0"/>
              <w:spacing w:before="0" w:beforeAutospacing="0" w:after="0" w:afterAutospacing="0"/>
              <w:ind w:left="0" w:right="0"/>
              <w:rPr>
                <w:rFonts w:hint="eastAsia" w:ascii="宋体" w:hAnsi="宋体" w:eastAsia="宋体" w:cs="宋体"/>
                <w:b w:val="0"/>
                <w:bCs w:val="0"/>
                <w:color w:val="auto"/>
                <w:sz w:val="21"/>
                <w:highlight w:val="none"/>
                <w:lang w:val="en-US" w:eastAsia="zh-CN"/>
              </w:rPr>
            </w:pPr>
          </w:p>
        </w:tc>
      </w:tr>
      <w:tr w14:paraId="668AF3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192" w:type="pct"/>
            <w:vMerge w:val="restart"/>
            <w:tcBorders>
              <w:bottom w:val="nil"/>
            </w:tcBorders>
            <w:vAlign w:val="center"/>
          </w:tcPr>
          <w:p w14:paraId="566FCE2E">
            <w:pPr>
              <w:pStyle w:val="23"/>
              <w:keepNext w:val="0"/>
              <w:keepLines w:val="0"/>
              <w:suppressLineNumbers w:val="0"/>
              <w:spacing w:before="59" w:line="181" w:lineRule="auto"/>
              <w:ind w:left="224"/>
              <w:rPr>
                <w:rFonts w:hint="default" w:eastAsia="宋体"/>
                <w:b w:val="0"/>
                <w:bCs w:val="0"/>
                <w:highlight w:val="none"/>
                <w:lang w:val="en-US" w:eastAsia="zh-CN"/>
              </w:rPr>
            </w:pPr>
            <w:r>
              <w:rPr>
                <w:rFonts w:hint="eastAsia"/>
                <w:b w:val="0"/>
                <w:bCs w:val="0"/>
                <w:highlight w:val="none"/>
                <w:lang w:val="en-US" w:eastAsia="zh-CN"/>
              </w:rPr>
              <w:t>16</w:t>
            </w:r>
          </w:p>
        </w:tc>
        <w:tc>
          <w:tcPr>
            <w:tcW w:w="493" w:type="pct"/>
            <w:vMerge w:val="restart"/>
            <w:tcBorders>
              <w:bottom w:val="nil"/>
            </w:tcBorders>
            <w:vAlign w:val="center"/>
          </w:tcPr>
          <w:p w14:paraId="03316713">
            <w:pPr>
              <w:pStyle w:val="23"/>
              <w:keepNext w:val="0"/>
              <w:keepLines w:val="0"/>
              <w:suppressLineNumbers w:val="0"/>
              <w:spacing w:before="58" w:line="311" w:lineRule="auto"/>
              <w:ind w:left="172" w:right="168"/>
              <w:jc w:val="both"/>
              <w:rPr>
                <w:b w:val="0"/>
                <w:bCs w:val="0"/>
                <w:highlight w:val="none"/>
              </w:rPr>
            </w:pPr>
            <w:r>
              <w:rPr>
                <w:b w:val="0"/>
                <w:bCs w:val="0"/>
                <w:spacing w:val="-3"/>
                <w:highlight w:val="none"/>
              </w:rPr>
              <w:t>厨房设备灭火装置</w:t>
            </w:r>
            <w:r>
              <w:rPr>
                <w:b w:val="0"/>
                <w:bCs w:val="0"/>
                <w:spacing w:val="13"/>
                <w:highlight w:val="none"/>
              </w:rPr>
              <w:t>（5分）</w:t>
            </w:r>
          </w:p>
        </w:tc>
        <w:tc>
          <w:tcPr>
            <w:tcW w:w="367" w:type="pct"/>
            <w:vAlign w:val="center"/>
          </w:tcPr>
          <w:p w14:paraId="319DA1FF">
            <w:pPr>
              <w:pStyle w:val="23"/>
              <w:keepNext w:val="0"/>
              <w:keepLines w:val="0"/>
              <w:suppressLineNumbers w:val="0"/>
              <w:spacing w:before="267" w:line="222" w:lineRule="auto"/>
              <w:ind w:left="0"/>
              <w:rPr>
                <w:b w:val="0"/>
                <w:bCs w:val="0"/>
                <w:highlight w:val="none"/>
              </w:rPr>
            </w:pPr>
            <w:r>
              <w:rPr>
                <w:b w:val="0"/>
                <w:bCs w:val="0"/>
                <w:spacing w:val="-5"/>
                <w:highlight w:val="none"/>
              </w:rPr>
              <w:t>设置</w:t>
            </w:r>
          </w:p>
        </w:tc>
        <w:tc>
          <w:tcPr>
            <w:tcW w:w="1732" w:type="pct"/>
            <w:vAlign w:val="center"/>
          </w:tcPr>
          <w:p w14:paraId="26369057">
            <w:pPr>
              <w:pStyle w:val="23"/>
              <w:keepNext w:val="0"/>
              <w:keepLines w:val="0"/>
              <w:suppressLineNumbers w:val="0"/>
              <w:spacing w:before="268" w:line="220" w:lineRule="auto"/>
              <w:ind w:left="113"/>
              <w:rPr>
                <w:b w:val="0"/>
                <w:bCs w:val="0"/>
                <w:highlight w:val="none"/>
              </w:rPr>
            </w:pPr>
            <w:r>
              <w:rPr>
                <w:b w:val="0"/>
                <w:bCs w:val="0"/>
                <w:spacing w:val="-1"/>
                <w:highlight w:val="none"/>
              </w:rPr>
              <w:t>是否按规定设置厨房设备灭火装置。</w:t>
            </w:r>
          </w:p>
        </w:tc>
        <w:tc>
          <w:tcPr>
            <w:tcW w:w="1179" w:type="pct"/>
            <w:vAlign w:val="center"/>
          </w:tcPr>
          <w:p w14:paraId="18679D18">
            <w:pPr>
              <w:pStyle w:val="23"/>
              <w:keepNext w:val="0"/>
              <w:keepLines w:val="0"/>
              <w:suppressLineNumbers w:val="0"/>
              <w:spacing w:before="113" w:line="302" w:lineRule="auto"/>
              <w:ind w:left="115" w:right="103" w:hanging="1"/>
              <w:rPr>
                <w:b w:val="0"/>
                <w:bCs w:val="0"/>
                <w:highlight w:val="none"/>
              </w:rPr>
            </w:pPr>
            <w:r>
              <w:rPr>
                <w:b w:val="0"/>
                <w:bCs w:val="0"/>
                <w:spacing w:val="2"/>
                <w:highlight w:val="none"/>
              </w:rPr>
              <w:t>按照规范应设但未设置厨房设备</w:t>
            </w:r>
            <w:r>
              <w:rPr>
                <w:b w:val="0"/>
                <w:bCs w:val="0"/>
                <w:spacing w:val="-2"/>
                <w:highlight w:val="none"/>
              </w:rPr>
              <w:t>灭火装置，该评估子项不得分。</w:t>
            </w:r>
          </w:p>
        </w:tc>
        <w:tc>
          <w:tcPr>
            <w:tcW w:w="367" w:type="pct"/>
            <w:shd w:val="clear" w:color="auto" w:fill="auto"/>
            <w:vAlign w:val="center"/>
          </w:tcPr>
          <w:p w14:paraId="7D6D834F">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8" w:type="pct"/>
            <w:vAlign w:val="center"/>
          </w:tcPr>
          <w:p w14:paraId="29FE994C">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0CD5C745">
            <w:pPr>
              <w:keepNext w:val="0"/>
              <w:keepLines w:val="0"/>
              <w:suppressLineNumbers w:val="0"/>
              <w:spacing w:before="0" w:beforeAutospacing="0" w:after="0" w:afterAutospacing="0"/>
              <w:ind w:left="0" w:right="0"/>
              <w:rPr>
                <w:rFonts w:hint="default" w:ascii="Arial"/>
                <w:b w:val="0"/>
                <w:bCs w:val="0"/>
                <w:sz w:val="21"/>
                <w:highlight w:val="none"/>
              </w:rPr>
            </w:pPr>
          </w:p>
        </w:tc>
      </w:tr>
      <w:tr w14:paraId="42DD8B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1" w:hRule="atLeast"/>
          <w:jc w:val="center"/>
        </w:trPr>
        <w:tc>
          <w:tcPr>
            <w:tcW w:w="192" w:type="pct"/>
            <w:vMerge w:val="continue"/>
            <w:tcBorders>
              <w:top w:val="nil"/>
              <w:bottom w:val="single" w:color="auto" w:sz="4" w:space="0"/>
            </w:tcBorders>
            <w:vAlign w:val="center"/>
          </w:tcPr>
          <w:p w14:paraId="1CC1E3AB">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single" w:color="auto" w:sz="4" w:space="0"/>
            </w:tcBorders>
            <w:vAlign w:val="center"/>
          </w:tcPr>
          <w:p w14:paraId="40EB7FE1">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bottom w:val="single" w:color="auto" w:sz="4" w:space="0"/>
            </w:tcBorders>
            <w:vAlign w:val="center"/>
          </w:tcPr>
          <w:p w14:paraId="336A7F7C">
            <w:pPr>
              <w:pStyle w:val="23"/>
              <w:keepNext w:val="0"/>
              <w:keepLines w:val="0"/>
              <w:suppressLineNumbers w:val="0"/>
              <w:spacing w:before="58" w:line="307" w:lineRule="auto"/>
              <w:ind w:left="0" w:right="124" w:firstLine="0"/>
              <w:rPr>
                <w:b w:val="0"/>
                <w:bCs w:val="0"/>
                <w:highlight w:val="none"/>
              </w:rPr>
            </w:pPr>
            <w:r>
              <w:rPr>
                <w:b w:val="0"/>
                <w:bCs w:val="0"/>
                <w:spacing w:val="-3"/>
                <w:highlight w:val="none"/>
              </w:rPr>
              <w:t>安装及功能</w:t>
            </w:r>
            <w:r>
              <w:rPr>
                <w:b w:val="0"/>
                <w:bCs w:val="0"/>
                <w:spacing w:val="7"/>
                <w:highlight w:val="none"/>
              </w:rPr>
              <w:t>（5分）</w:t>
            </w:r>
          </w:p>
        </w:tc>
        <w:tc>
          <w:tcPr>
            <w:tcW w:w="1732" w:type="pct"/>
            <w:tcBorders>
              <w:bottom w:val="single" w:color="auto" w:sz="4" w:space="0"/>
            </w:tcBorders>
            <w:vAlign w:val="center"/>
          </w:tcPr>
          <w:p w14:paraId="013A1231">
            <w:pPr>
              <w:pStyle w:val="23"/>
              <w:keepNext w:val="0"/>
              <w:keepLines w:val="0"/>
              <w:suppressLineNumbers w:val="0"/>
              <w:spacing w:before="69" w:line="220" w:lineRule="auto"/>
              <w:ind w:left="111"/>
              <w:rPr>
                <w:b w:val="0"/>
                <w:bCs w:val="0"/>
                <w:highlight w:val="none"/>
              </w:rPr>
            </w:pPr>
            <w:r>
              <w:rPr>
                <w:b w:val="0"/>
                <w:bCs w:val="0"/>
                <w:spacing w:val="-2"/>
                <w:highlight w:val="none"/>
              </w:rPr>
              <w:t>a)厨房设备灭火装置的安装、组件、外观、标志情况；</w:t>
            </w:r>
          </w:p>
          <w:p w14:paraId="0B29ECCB">
            <w:pPr>
              <w:pStyle w:val="23"/>
              <w:keepNext w:val="0"/>
              <w:keepLines w:val="0"/>
              <w:suppressLineNumbers w:val="0"/>
              <w:spacing w:before="97" w:line="220" w:lineRule="auto"/>
              <w:ind w:left="107"/>
              <w:rPr>
                <w:b w:val="0"/>
                <w:bCs w:val="0"/>
                <w:highlight w:val="none"/>
              </w:rPr>
            </w:pPr>
            <w:r>
              <w:rPr>
                <w:b w:val="0"/>
                <w:bCs w:val="0"/>
                <w:spacing w:val="-2"/>
                <w:highlight w:val="none"/>
              </w:rPr>
              <w:t>b)控制盘的电源、报警功能、控制及显示功能；</w:t>
            </w:r>
          </w:p>
          <w:p w14:paraId="0541EB5F">
            <w:pPr>
              <w:pStyle w:val="23"/>
              <w:keepNext w:val="0"/>
              <w:keepLines w:val="0"/>
              <w:suppressLineNumbers w:val="0"/>
              <w:spacing w:before="97" w:line="307" w:lineRule="auto"/>
              <w:ind w:left="113" w:right="105"/>
              <w:rPr>
                <w:b w:val="0"/>
                <w:bCs w:val="0"/>
                <w:highlight w:val="none"/>
              </w:rPr>
            </w:pPr>
            <w:r>
              <w:rPr>
                <w:b w:val="0"/>
                <w:bCs w:val="0"/>
                <w:spacing w:val="1"/>
                <w:highlight w:val="none"/>
              </w:rPr>
              <w:t>c)厨房设备灭火装置的自动启动功能、手动启动功能、机械应急启动</w:t>
            </w:r>
            <w:r>
              <w:rPr>
                <w:b w:val="0"/>
                <w:bCs w:val="0"/>
                <w:spacing w:val="-11"/>
                <w:highlight w:val="none"/>
              </w:rPr>
              <w:t>功能；</w:t>
            </w:r>
          </w:p>
          <w:p w14:paraId="02865A7C">
            <w:pPr>
              <w:pStyle w:val="23"/>
              <w:keepNext w:val="0"/>
              <w:keepLines w:val="0"/>
              <w:suppressLineNumbers w:val="0"/>
              <w:spacing w:before="25" w:line="220" w:lineRule="auto"/>
              <w:ind w:left="114"/>
              <w:rPr>
                <w:b w:val="0"/>
                <w:bCs w:val="0"/>
                <w:highlight w:val="none"/>
              </w:rPr>
            </w:pPr>
            <w:r>
              <w:rPr>
                <w:b w:val="0"/>
                <w:bCs w:val="0"/>
                <w:spacing w:val="-2"/>
                <w:highlight w:val="none"/>
              </w:rPr>
              <w:t>d)厨房设备灭火装置的联动控制功能；</w:t>
            </w:r>
          </w:p>
          <w:p w14:paraId="4A5505D0">
            <w:pPr>
              <w:pStyle w:val="23"/>
              <w:keepNext w:val="0"/>
              <w:keepLines w:val="0"/>
              <w:suppressLineNumbers w:val="0"/>
              <w:spacing w:before="96" w:line="220" w:lineRule="auto"/>
              <w:ind w:left="114"/>
              <w:rPr>
                <w:b w:val="0"/>
                <w:bCs w:val="0"/>
                <w:highlight w:val="none"/>
              </w:rPr>
            </w:pPr>
            <w:r>
              <w:rPr>
                <w:b w:val="0"/>
                <w:bCs w:val="0"/>
                <w:spacing w:val="-1"/>
                <w:highlight w:val="none"/>
              </w:rPr>
              <w:t>e)当采用厨房设备专用灭火剂时，灭火剂的有效期。</w:t>
            </w:r>
          </w:p>
        </w:tc>
        <w:tc>
          <w:tcPr>
            <w:tcW w:w="1179" w:type="pct"/>
            <w:tcBorders>
              <w:bottom w:val="single" w:color="auto" w:sz="4" w:space="0"/>
            </w:tcBorders>
            <w:vAlign w:val="center"/>
          </w:tcPr>
          <w:p w14:paraId="52386657">
            <w:pPr>
              <w:pStyle w:val="23"/>
              <w:keepNext w:val="0"/>
              <w:keepLines w:val="0"/>
              <w:suppressLineNumbers w:val="0"/>
              <w:spacing w:before="227" w:line="220" w:lineRule="auto"/>
              <w:ind w:left="113"/>
              <w:rPr>
                <w:b w:val="0"/>
                <w:bCs w:val="0"/>
                <w:spacing w:val="1"/>
                <w:highlight w:val="none"/>
              </w:rPr>
            </w:pPr>
            <w:r>
              <w:rPr>
                <w:b w:val="0"/>
                <w:bCs w:val="0"/>
                <w:spacing w:val="1"/>
                <w:highlight w:val="none"/>
              </w:rPr>
              <w:t>a)每发现一处不符合要求扣 1分，</w:t>
            </w:r>
          </w:p>
          <w:p w14:paraId="4C586AB9">
            <w:pPr>
              <w:pStyle w:val="23"/>
              <w:keepNext w:val="0"/>
              <w:keepLines w:val="0"/>
              <w:suppressLineNumbers w:val="0"/>
              <w:spacing w:before="96" w:line="307" w:lineRule="auto"/>
              <w:ind w:left="114" w:right="145" w:hanging="5"/>
              <w:rPr>
                <w:b w:val="0"/>
                <w:bCs w:val="0"/>
                <w:highlight w:val="none"/>
              </w:rPr>
            </w:pPr>
            <w:r>
              <w:rPr>
                <w:b w:val="0"/>
                <w:bCs w:val="0"/>
                <w:spacing w:val="-6"/>
                <w:highlight w:val="none"/>
              </w:rPr>
              <w:t>b)c)d)e)不符合要求各扣 5 分；</w:t>
            </w:r>
            <w:r>
              <w:rPr>
                <w:b w:val="0"/>
                <w:bCs w:val="0"/>
                <w:spacing w:val="-4"/>
                <w:highlight w:val="none"/>
              </w:rPr>
              <w:t>扣完不得分。</w:t>
            </w:r>
          </w:p>
        </w:tc>
        <w:tc>
          <w:tcPr>
            <w:tcW w:w="367" w:type="pct"/>
            <w:tcBorders>
              <w:bottom w:val="single" w:color="auto" w:sz="4" w:space="0"/>
            </w:tcBorders>
            <w:vAlign w:val="center"/>
          </w:tcPr>
          <w:p w14:paraId="6E4A4416">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tcBorders>
              <w:bottom w:val="single" w:color="auto" w:sz="4" w:space="0"/>
            </w:tcBorders>
            <w:vAlign w:val="center"/>
          </w:tcPr>
          <w:p w14:paraId="3075F816">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bottom w:val="single" w:color="auto" w:sz="4" w:space="0"/>
            </w:tcBorders>
            <w:vAlign w:val="center"/>
          </w:tcPr>
          <w:p w14:paraId="2E92D655">
            <w:pPr>
              <w:keepNext w:val="0"/>
              <w:keepLines w:val="0"/>
              <w:suppressLineNumbers w:val="0"/>
              <w:spacing w:before="0" w:beforeAutospacing="0" w:after="0" w:afterAutospacing="0"/>
              <w:ind w:left="0" w:right="0"/>
              <w:rPr>
                <w:rFonts w:hint="default" w:ascii="Arial"/>
                <w:b w:val="0"/>
                <w:bCs w:val="0"/>
                <w:sz w:val="21"/>
                <w:highlight w:val="none"/>
              </w:rPr>
            </w:pPr>
          </w:p>
        </w:tc>
      </w:tr>
      <w:tr w14:paraId="4B327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3" w:hRule="atLeast"/>
          <w:jc w:val="center"/>
        </w:trPr>
        <w:tc>
          <w:tcPr>
            <w:tcW w:w="192" w:type="pct"/>
            <w:vMerge w:val="restart"/>
            <w:tcBorders>
              <w:top w:val="single" w:color="auto" w:sz="4" w:space="0"/>
              <w:left w:val="single" w:color="auto" w:sz="4" w:space="0"/>
              <w:bottom w:val="single" w:color="auto" w:sz="4" w:space="0"/>
              <w:right w:val="single" w:color="auto" w:sz="4" w:space="0"/>
            </w:tcBorders>
            <w:vAlign w:val="center"/>
          </w:tcPr>
          <w:p w14:paraId="50EBA0BA">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17</w:t>
            </w:r>
          </w:p>
        </w:tc>
        <w:tc>
          <w:tcPr>
            <w:tcW w:w="493" w:type="pct"/>
            <w:vMerge w:val="restart"/>
            <w:tcBorders>
              <w:top w:val="single" w:color="auto" w:sz="4" w:space="0"/>
              <w:left w:val="single" w:color="auto" w:sz="4" w:space="0"/>
              <w:bottom w:val="single" w:color="auto" w:sz="4" w:space="0"/>
              <w:right w:val="single" w:color="auto" w:sz="4" w:space="0"/>
            </w:tcBorders>
            <w:vAlign w:val="center"/>
          </w:tcPr>
          <w:p w14:paraId="70F0DAAB">
            <w:pPr>
              <w:pStyle w:val="23"/>
              <w:keepNext w:val="0"/>
              <w:keepLines w:val="0"/>
              <w:suppressLineNumbers w:val="0"/>
              <w:spacing w:before="59" w:line="307" w:lineRule="auto"/>
              <w:ind w:left="151" w:right="155" w:firstLine="30"/>
              <w:rPr>
                <w:b w:val="0"/>
                <w:bCs w:val="0"/>
                <w:highlight w:val="none"/>
              </w:rPr>
            </w:pPr>
            <w:r>
              <w:rPr>
                <w:b w:val="0"/>
                <w:bCs w:val="0"/>
                <w:spacing w:val="-5"/>
                <w:highlight w:val="none"/>
              </w:rPr>
              <w:t>防烟系统</w:t>
            </w:r>
            <w:r>
              <w:rPr>
                <w:b w:val="0"/>
                <w:bCs w:val="0"/>
                <w:spacing w:val="-8"/>
                <w:highlight w:val="none"/>
              </w:rPr>
              <w:t>（15分）</w:t>
            </w:r>
          </w:p>
        </w:tc>
        <w:tc>
          <w:tcPr>
            <w:tcW w:w="367" w:type="pct"/>
            <w:tcBorders>
              <w:top w:val="single" w:color="auto" w:sz="4" w:space="0"/>
              <w:left w:val="single" w:color="auto" w:sz="4" w:space="0"/>
              <w:bottom w:val="single" w:color="auto" w:sz="4" w:space="0"/>
              <w:right w:val="single" w:color="auto" w:sz="4" w:space="0"/>
            </w:tcBorders>
            <w:vAlign w:val="center"/>
          </w:tcPr>
          <w:p w14:paraId="3740EA5B">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32" w:type="pct"/>
            <w:tcBorders>
              <w:top w:val="single" w:color="auto" w:sz="4" w:space="0"/>
              <w:left w:val="single" w:color="auto" w:sz="4" w:space="0"/>
              <w:bottom w:val="single" w:color="auto" w:sz="4" w:space="0"/>
              <w:right w:val="single" w:color="auto" w:sz="4" w:space="0"/>
            </w:tcBorders>
            <w:vAlign w:val="center"/>
          </w:tcPr>
          <w:p w14:paraId="0E94D498">
            <w:pPr>
              <w:pStyle w:val="23"/>
              <w:keepNext w:val="0"/>
              <w:keepLines w:val="0"/>
              <w:suppressLineNumbers w:val="0"/>
              <w:spacing w:before="59" w:line="220" w:lineRule="auto"/>
              <w:ind w:left="114"/>
              <w:rPr>
                <w:b w:val="0"/>
                <w:bCs w:val="0"/>
                <w:highlight w:val="none"/>
              </w:rPr>
            </w:pPr>
            <w:r>
              <w:rPr>
                <w:b w:val="0"/>
                <w:bCs w:val="0"/>
                <w:spacing w:val="-1"/>
                <w:highlight w:val="none"/>
              </w:rPr>
              <w:t>是否按规定设置防烟系统。</w:t>
            </w:r>
          </w:p>
        </w:tc>
        <w:tc>
          <w:tcPr>
            <w:tcW w:w="1179" w:type="pct"/>
            <w:tcBorders>
              <w:top w:val="single" w:color="auto" w:sz="4" w:space="0"/>
              <w:left w:val="single" w:color="auto" w:sz="4" w:space="0"/>
              <w:bottom w:val="single" w:color="auto" w:sz="4" w:space="0"/>
              <w:right w:val="single" w:color="auto" w:sz="4" w:space="0"/>
            </w:tcBorders>
            <w:vAlign w:val="center"/>
          </w:tcPr>
          <w:p w14:paraId="7200055B">
            <w:pPr>
              <w:pStyle w:val="23"/>
              <w:keepNext w:val="0"/>
              <w:keepLines w:val="0"/>
              <w:suppressLineNumbers w:val="0"/>
              <w:spacing w:before="193" w:line="307" w:lineRule="auto"/>
              <w:ind w:left="114" w:right="103"/>
              <w:rPr>
                <w:b w:val="0"/>
                <w:bCs w:val="0"/>
                <w:highlight w:val="none"/>
              </w:rPr>
            </w:pPr>
            <w:r>
              <w:rPr>
                <w:b w:val="0"/>
                <w:bCs w:val="0"/>
                <w:spacing w:val="-4"/>
                <w:highlight w:val="none"/>
              </w:rPr>
              <w:t>按照规范应设但未设置防烟系统，该评估子项不得分。</w:t>
            </w:r>
          </w:p>
        </w:tc>
        <w:tc>
          <w:tcPr>
            <w:tcW w:w="367" w:type="pct"/>
            <w:tcBorders>
              <w:top w:val="single" w:color="auto" w:sz="4" w:space="0"/>
              <w:left w:val="single" w:color="auto" w:sz="4" w:space="0"/>
              <w:bottom w:val="single" w:color="auto" w:sz="4" w:space="0"/>
              <w:right w:val="single" w:color="auto" w:sz="4" w:space="0"/>
            </w:tcBorders>
            <w:vAlign w:val="center"/>
          </w:tcPr>
          <w:p w14:paraId="216FA12A">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tcBorders>
              <w:top w:val="single" w:color="auto" w:sz="4" w:space="0"/>
              <w:left w:val="single" w:color="auto" w:sz="4" w:space="0"/>
              <w:bottom w:val="single" w:color="auto" w:sz="4" w:space="0"/>
              <w:right w:val="single" w:color="auto" w:sz="4" w:space="0"/>
            </w:tcBorders>
            <w:vAlign w:val="center"/>
          </w:tcPr>
          <w:p w14:paraId="7B0682DF">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07AE6D63">
            <w:pPr>
              <w:keepNext w:val="0"/>
              <w:keepLines w:val="0"/>
              <w:suppressLineNumbers w:val="0"/>
              <w:spacing w:before="0" w:beforeAutospacing="0" w:after="0" w:afterAutospacing="0"/>
              <w:ind w:left="0" w:right="0"/>
              <w:rPr>
                <w:rFonts w:hint="default" w:ascii="Arial"/>
                <w:b w:val="0"/>
                <w:bCs w:val="0"/>
                <w:sz w:val="21"/>
                <w:highlight w:val="none"/>
              </w:rPr>
            </w:pPr>
          </w:p>
        </w:tc>
      </w:tr>
      <w:tr w14:paraId="77D63C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1" w:hRule="atLeast"/>
          <w:jc w:val="center"/>
        </w:trPr>
        <w:tc>
          <w:tcPr>
            <w:tcW w:w="192" w:type="pct"/>
            <w:vMerge w:val="continue"/>
            <w:tcBorders>
              <w:top w:val="single" w:color="auto" w:sz="4" w:space="0"/>
              <w:left w:val="single" w:color="auto" w:sz="4" w:space="0"/>
              <w:bottom w:val="single" w:color="auto" w:sz="4" w:space="0"/>
              <w:right w:val="single" w:color="auto" w:sz="4" w:space="0"/>
            </w:tcBorders>
            <w:vAlign w:val="center"/>
          </w:tcPr>
          <w:p w14:paraId="6EDF68CD">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73572B09">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top w:val="single" w:color="auto" w:sz="4" w:space="0"/>
              <w:left w:val="single" w:color="auto" w:sz="4" w:space="0"/>
              <w:bottom w:val="single" w:color="auto" w:sz="4" w:space="0"/>
              <w:right w:val="single" w:color="auto" w:sz="4" w:space="0"/>
            </w:tcBorders>
            <w:vAlign w:val="center"/>
          </w:tcPr>
          <w:p w14:paraId="17147298">
            <w:pPr>
              <w:pStyle w:val="23"/>
              <w:keepNext w:val="0"/>
              <w:keepLines w:val="0"/>
              <w:suppressLineNumbers w:val="0"/>
              <w:spacing w:before="223" w:line="307" w:lineRule="auto"/>
              <w:ind w:left="0" w:right="103" w:firstLine="0"/>
              <w:rPr>
                <w:b w:val="0"/>
                <w:bCs w:val="0"/>
                <w:highlight w:val="none"/>
              </w:rPr>
            </w:pPr>
            <w:r>
              <w:rPr>
                <w:b w:val="0"/>
                <w:bCs w:val="0"/>
                <w:spacing w:val="2"/>
                <w:highlight w:val="none"/>
              </w:rPr>
              <w:t>风机控制柜</w:t>
            </w:r>
            <w:r>
              <w:rPr>
                <w:b w:val="0"/>
                <w:bCs w:val="0"/>
                <w:spacing w:val="7"/>
                <w:highlight w:val="none"/>
              </w:rPr>
              <w:t>（3分）</w:t>
            </w:r>
          </w:p>
        </w:tc>
        <w:tc>
          <w:tcPr>
            <w:tcW w:w="1732" w:type="pct"/>
            <w:tcBorders>
              <w:top w:val="single" w:color="auto" w:sz="4" w:space="0"/>
              <w:left w:val="single" w:color="auto" w:sz="4" w:space="0"/>
              <w:bottom w:val="single" w:color="auto" w:sz="4" w:space="0"/>
              <w:right w:val="single" w:color="auto" w:sz="4" w:space="0"/>
            </w:tcBorders>
            <w:vAlign w:val="center"/>
          </w:tcPr>
          <w:p w14:paraId="090E67D1">
            <w:pPr>
              <w:pStyle w:val="23"/>
              <w:keepNext w:val="0"/>
              <w:keepLines w:val="0"/>
              <w:suppressLineNumbers w:val="0"/>
              <w:spacing w:before="67" w:line="220" w:lineRule="auto"/>
              <w:ind w:left="112"/>
              <w:rPr>
                <w:b w:val="0"/>
                <w:bCs w:val="0"/>
                <w:highlight w:val="none"/>
              </w:rPr>
            </w:pPr>
            <w:r>
              <w:rPr>
                <w:b w:val="0"/>
                <w:bCs w:val="0"/>
                <w:spacing w:val="-1"/>
                <w:highlight w:val="none"/>
              </w:rPr>
              <w:t>a)风机控制柜的设置、外观及标志；</w:t>
            </w:r>
          </w:p>
          <w:p w14:paraId="0DC5E50D">
            <w:pPr>
              <w:pStyle w:val="23"/>
              <w:keepNext w:val="0"/>
              <w:keepLines w:val="0"/>
              <w:suppressLineNumbers w:val="0"/>
              <w:spacing w:before="97" w:line="220" w:lineRule="auto"/>
              <w:ind w:left="108"/>
              <w:rPr>
                <w:b w:val="0"/>
                <w:bCs w:val="0"/>
                <w:highlight w:val="none"/>
              </w:rPr>
            </w:pPr>
            <w:r>
              <w:rPr>
                <w:b w:val="0"/>
                <w:bCs w:val="0"/>
                <w:spacing w:val="-1"/>
                <w:highlight w:val="none"/>
              </w:rPr>
              <w:t>b)风机控制柜的仪表、指示灯、开关及控制按钮；</w:t>
            </w:r>
          </w:p>
          <w:p w14:paraId="7CAD3024">
            <w:pPr>
              <w:pStyle w:val="23"/>
              <w:keepNext w:val="0"/>
              <w:keepLines w:val="0"/>
              <w:suppressLineNumbers w:val="0"/>
              <w:spacing w:before="97" w:line="220" w:lineRule="auto"/>
              <w:ind w:left="115"/>
              <w:rPr>
                <w:b w:val="0"/>
                <w:bCs w:val="0"/>
                <w:highlight w:val="none"/>
              </w:rPr>
            </w:pPr>
            <w:r>
              <w:rPr>
                <w:b w:val="0"/>
                <w:bCs w:val="0"/>
                <w:spacing w:val="-3"/>
                <w:highlight w:val="none"/>
              </w:rPr>
              <w:t>c)风机控制柜的手动、</w:t>
            </w:r>
            <w:r>
              <w:rPr>
                <w:b w:val="0"/>
                <w:bCs w:val="0"/>
                <w:spacing w:val="-52"/>
                <w:highlight w:val="none"/>
              </w:rPr>
              <w:t xml:space="preserve"> </w:t>
            </w:r>
            <w:r>
              <w:rPr>
                <w:b w:val="0"/>
                <w:bCs w:val="0"/>
                <w:spacing w:val="-3"/>
                <w:highlight w:val="none"/>
              </w:rPr>
              <w:t>自动切换功能。</w:t>
            </w:r>
          </w:p>
        </w:tc>
        <w:tc>
          <w:tcPr>
            <w:tcW w:w="1179" w:type="pct"/>
            <w:tcBorders>
              <w:top w:val="single" w:color="auto" w:sz="4" w:space="0"/>
              <w:left w:val="single" w:color="auto" w:sz="4" w:space="0"/>
              <w:bottom w:val="single" w:color="auto" w:sz="4" w:space="0"/>
              <w:right w:val="single" w:color="auto" w:sz="4" w:space="0"/>
            </w:tcBorders>
            <w:vAlign w:val="center"/>
          </w:tcPr>
          <w:p w14:paraId="0A2F746F">
            <w:pPr>
              <w:pStyle w:val="23"/>
              <w:keepNext w:val="0"/>
              <w:keepLines w:val="0"/>
              <w:suppressLineNumbers w:val="0"/>
              <w:spacing w:before="223"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tcBorders>
              <w:top w:val="single" w:color="auto" w:sz="4" w:space="0"/>
              <w:left w:val="single" w:color="auto" w:sz="4" w:space="0"/>
              <w:bottom w:val="single" w:color="auto" w:sz="4" w:space="0"/>
              <w:right w:val="single" w:color="auto" w:sz="4" w:space="0"/>
            </w:tcBorders>
            <w:vAlign w:val="center"/>
          </w:tcPr>
          <w:p w14:paraId="19B91225">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tcBorders>
              <w:top w:val="single" w:color="auto" w:sz="4" w:space="0"/>
              <w:left w:val="single" w:color="auto" w:sz="4" w:space="0"/>
              <w:bottom w:val="single" w:color="auto" w:sz="4" w:space="0"/>
              <w:right w:val="single" w:color="auto" w:sz="4" w:space="0"/>
            </w:tcBorders>
            <w:vAlign w:val="center"/>
          </w:tcPr>
          <w:p w14:paraId="501F7EEE">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226B07E7">
            <w:pPr>
              <w:keepNext w:val="0"/>
              <w:keepLines w:val="0"/>
              <w:suppressLineNumbers w:val="0"/>
              <w:spacing w:before="0" w:beforeAutospacing="0" w:after="0" w:afterAutospacing="0"/>
              <w:ind w:left="0" w:right="0"/>
              <w:rPr>
                <w:rFonts w:hint="default" w:ascii="Arial"/>
                <w:b w:val="0"/>
                <w:bCs w:val="0"/>
                <w:sz w:val="21"/>
                <w:highlight w:val="none"/>
              </w:rPr>
            </w:pPr>
          </w:p>
        </w:tc>
      </w:tr>
      <w:tr w14:paraId="7DB4B0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9" w:hRule="atLeast"/>
          <w:jc w:val="center"/>
        </w:trPr>
        <w:tc>
          <w:tcPr>
            <w:tcW w:w="192" w:type="pct"/>
            <w:vMerge w:val="continue"/>
            <w:tcBorders>
              <w:top w:val="single" w:color="auto" w:sz="4" w:space="0"/>
              <w:left w:val="single" w:color="auto" w:sz="4" w:space="0"/>
              <w:bottom w:val="single" w:color="auto" w:sz="4" w:space="0"/>
              <w:right w:val="single" w:color="auto" w:sz="4" w:space="0"/>
            </w:tcBorders>
            <w:vAlign w:val="center"/>
          </w:tcPr>
          <w:p w14:paraId="73DF51D9">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4D9DD7F">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top w:val="single" w:color="auto" w:sz="4" w:space="0"/>
              <w:left w:val="single" w:color="auto" w:sz="4" w:space="0"/>
              <w:bottom w:val="single" w:color="auto" w:sz="4" w:space="0"/>
              <w:right w:val="single" w:color="auto" w:sz="4" w:space="0"/>
            </w:tcBorders>
            <w:vAlign w:val="center"/>
          </w:tcPr>
          <w:p w14:paraId="70B61BAB">
            <w:pPr>
              <w:pStyle w:val="23"/>
              <w:keepNext w:val="0"/>
              <w:keepLines w:val="0"/>
              <w:suppressLineNumbers w:val="0"/>
              <w:spacing w:before="58" w:line="307" w:lineRule="auto"/>
              <w:ind w:left="0" w:right="107" w:firstLine="0"/>
              <w:rPr>
                <w:b w:val="0"/>
                <w:bCs w:val="0"/>
                <w:highlight w:val="none"/>
              </w:rPr>
            </w:pPr>
            <w:r>
              <w:rPr>
                <w:b w:val="0"/>
                <w:bCs w:val="0"/>
                <w:spacing w:val="7"/>
                <w:highlight w:val="none"/>
              </w:rPr>
              <w:t>送风机（</w:t>
            </w:r>
            <w:r>
              <w:rPr>
                <w:b w:val="0"/>
                <w:bCs w:val="0"/>
                <w:spacing w:val="-27"/>
                <w:highlight w:val="none"/>
              </w:rPr>
              <w:t xml:space="preserve"> </w:t>
            </w:r>
            <w:r>
              <w:rPr>
                <w:b w:val="0"/>
                <w:bCs w:val="0"/>
                <w:spacing w:val="7"/>
                <w:highlight w:val="none"/>
              </w:rPr>
              <w:t>3</w:t>
            </w:r>
            <w:r>
              <w:rPr>
                <w:b w:val="0"/>
                <w:bCs w:val="0"/>
                <w:highlight w:val="none"/>
              </w:rPr>
              <w:t xml:space="preserve"> </w:t>
            </w:r>
            <w:r>
              <w:rPr>
                <w:b w:val="0"/>
                <w:bCs w:val="0"/>
                <w:spacing w:val="-6"/>
                <w:highlight w:val="none"/>
              </w:rPr>
              <w:t>分）</w:t>
            </w:r>
          </w:p>
        </w:tc>
        <w:tc>
          <w:tcPr>
            <w:tcW w:w="1732" w:type="pct"/>
            <w:tcBorders>
              <w:top w:val="single" w:color="auto" w:sz="4" w:space="0"/>
              <w:left w:val="single" w:color="auto" w:sz="4" w:space="0"/>
              <w:bottom w:val="single" w:color="auto" w:sz="4" w:space="0"/>
              <w:right w:val="single" w:color="auto" w:sz="4" w:space="0"/>
            </w:tcBorders>
            <w:vAlign w:val="center"/>
          </w:tcPr>
          <w:p w14:paraId="316C2714">
            <w:pPr>
              <w:pStyle w:val="23"/>
              <w:keepNext w:val="0"/>
              <w:keepLines w:val="0"/>
              <w:suppressLineNumbers w:val="0"/>
              <w:spacing w:before="68" w:line="220" w:lineRule="auto"/>
              <w:ind w:left="112"/>
              <w:rPr>
                <w:b w:val="0"/>
                <w:bCs w:val="0"/>
                <w:highlight w:val="none"/>
              </w:rPr>
            </w:pPr>
            <w:r>
              <w:rPr>
                <w:b w:val="0"/>
                <w:bCs w:val="0"/>
                <w:spacing w:val="-1"/>
                <w:highlight w:val="none"/>
              </w:rPr>
              <w:t>a)送风机的铭牌、系统名称和编号的标志；</w:t>
            </w:r>
          </w:p>
          <w:p w14:paraId="0D66E2FF">
            <w:pPr>
              <w:pStyle w:val="23"/>
              <w:keepNext w:val="0"/>
              <w:keepLines w:val="0"/>
              <w:suppressLineNumbers w:val="0"/>
              <w:spacing w:before="97" w:line="220" w:lineRule="auto"/>
              <w:ind w:left="108"/>
              <w:rPr>
                <w:b w:val="0"/>
                <w:bCs w:val="0"/>
                <w:highlight w:val="none"/>
              </w:rPr>
            </w:pPr>
            <w:r>
              <w:rPr>
                <w:b w:val="0"/>
                <w:bCs w:val="0"/>
                <w:spacing w:val="-1"/>
                <w:highlight w:val="none"/>
              </w:rPr>
              <w:t>b)风机驱动装置的外露部位应装设防护罩；</w:t>
            </w:r>
          </w:p>
          <w:p w14:paraId="2D2F5494">
            <w:pPr>
              <w:pStyle w:val="23"/>
              <w:keepNext w:val="0"/>
              <w:keepLines w:val="0"/>
              <w:suppressLineNumbers w:val="0"/>
              <w:spacing w:before="97" w:line="307" w:lineRule="auto"/>
              <w:ind w:left="114" w:right="104"/>
              <w:rPr>
                <w:b w:val="0"/>
                <w:bCs w:val="0"/>
                <w:highlight w:val="none"/>
              </w:rPr>
            </w:pPr>
            <w:r>
              <w:rPr>
                <w:b w:val="0"/>
                <w:bCs w:val="0"/>
                <w:spacing w:val="-1"/>
                <w:highlight w:val="none"/>
              </w:rPr>
              <w:t>c)直通大气的进风口应装设防护网或采取其他</w:t>
            </w:r>
            <w:r>
              <w:rPr>
                <w:b w:val="0"/>
                <w:bCs w:val="0"/>
                <w:spacing w:val="-2"/>
                <w:highlight w:val="none"/>
              </w:rPr>
              <w:t>安全设施，并应设防雨措施；</w:t>
            </w:r>
          </w:p>
          <w:p w14:paraId="0B8E2512">
            <w:pPr>
              <w:pStyle w:val="23"/>
              <w:keepNext w:val="0"/>
              <w:keepLines w:val="0"/>
              <w:suppressLineNumbers w:val="0"/>
              <w:spacing w:before="24" w:line="307" w:lineRule="auto"/>
              <w:ind w:left="115" w:right="1206"/>
              <w:rPr>
                <w:b w:val="0"/>
                <w:bCs w:val="0"/>
                <w:spacing w:val="9"/>
                <w:highlight w:val="none"/>
              </w:rPr>
            </w:pPr>
            <w:r>
              <w:rPr>
                <w:b w:val="0"/>
                <w:bCs w:val="0"/>
                <w:spacing w:val="-3"/>
                <w:highlight w:val="none"/>
              </w:rPr>
              <w:t>d)现场手动启动和消防控制室手动启动的功能；</w:t>
            </w:r>
            <w:r>
              <w:rPr>
                <w:b w:val="0"/>
                <w:bCs w:val="0"/>
                <w:spacing w:val="9"/>
                <w:highlight w:val="none"/>
              </w:rPr>
              <w:t xml:space="preserve"> </w:t>
            </w:r>
          </w:p>
          <w:p w14:paraId="2E0F0C74">
            <w:pPr>
              <w:pStyle w:val="23"/>
              <w:keepNext w:val="0"/>
              <w:keepLines w:val="0"/>
              <w:suppressLineNumbers w:val="0"/>
              <w:spacing w:before="24" w:line="307" w:lineRule="auto"/>
              <w:ind w:left="115" w:right="1206"/>
              <w:rPr>
                <w:b w:val="0"/>
                <w:bCs w:val="0"/>
                <w:highlight w:val="none"/>
              </w:rPr>
            </w:pPr>
            <w:r>
              <w:rPr>
                <w:b w:val="0"/>
                <w:bCs w:val="0"/>
                <w:spacing w:val="-2"/>
                <w:highlight w:val="none"/>
              </w:rPr>
              <w:t>e)启动运转平稳无异常，旋转方向正确；</w:t>
            </w:r>
          </w:p>
          <w:p w14:paraId="2A6CA415">
            <w:pPr>
              <w:pStyle w:val="23"/>
              <w:keepNext w:val="0"/>
              <w:keepLines w:val="0"/>
              <w:suppressLineNumbers w:val="0"/>
              <w:spacing w:before="25" w:line="220" w:lineRule="auto"/>
              <w:ind w:left="114"/>
              <w:rPr>
                <w:b w:val="0"/>
                <w:bCs w:val="0"/>
                <w:highlight w:val="none"/>
              </w:rPr>
            </w:pPr>
            <w:r>
              <w:rPr>
                <w:b w:val="0"/>
                <w:bCs w:val="0"/>
                <w:spacing w:val="-1"/>
                <w:highlight w:val="none"/>
              </w:rPr>
              <w:t>f)送风机动作信号应在消防控制室显示。</w:t>
            </w:r>
          </w:p>
        </w:tc>
        <w:tc>
          <w:tcPr>
            <w:tcW w:w="1179" w:type="pct"/>
            <w:tcBorders>
              <w:top w:val="single" w:color="auto" w:sz="4" w:space="0"/>
              <w:left w:val="single" w:color="auto" w:sz="4" w:space="0"/>
              <w:bottom w:val="single" w:color="auto" w:sz="4" w:space="0"/>
              <w:right w:val="single" w:color="auto" w:sz="4" w:space="0"/>
            </w:tcBorders>
            <w:vAlign w:val="center"/>
          </w:tcPr>
          <w:p w14:paraId="30844FDD">
            <w:pPr>
              <w:pStyle w:val="23"/>
              <w:keepNext w:val="0"/>
              <w:keepLines w:val="0"/>
              <w:suppressLineNumbers w:val="0"/>
              <w:spacing w:before="58" w:line="307" w:lineRule="auto"/>
              <w:ind w:left="114" w:right="99"/>
              <w:rPr>
                <w:b w:val="0"/>
                <w:bCs w:val="0"/>
                <w:highlight w:val="none"/>
              </w:rPr>
            </w:pPr>
            <w:r>
              <w:rPr>
                <w:b w:val="0"/>
                <w:bCs w:val="0"/>
                <w:spacing w:val="-5"/>
                <w:highlight w:val="none"/>
              </w:rPr>
              <w:t>a)b)c)不符合要求各扣</w:t>
            </w:r>
            <w:r>
              <w:rPr>
                <w:b w:val="0"/>
                <w:bCs w:val="0"/>
                <w:spacing w:val="-20"/>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分，d)e)f)不符</w:t>
            </w:r>
            <w:r>
              <w:rPr>
                <w:b w:val="0"/>
                <w:bCs w:val="0"/>
                <w:spacing w:val="-3"/>
                <w:highlight w:val="none"/>
              </w:rPr>
              <w:t>合要求各扣</w:t>
            </w:r>
            <w:r>
              <w:rPr>
                <w:b w:val="0"/>
                <w:bCs w:val="0"/>
                <w:spacing w:val="-36"/>
                <w:highlight w:val="none"/>
              </w:rPr>
              <w:t xml:space="preserve"> </w:t>
            </w:r>
            <w:r>
              <w:rPr>
                <w:b w:val="0"/>
                <w:bCs w:val="0"/>
                <w:spacing w:val="-3"/>
                <w:highlight w:val="none"/>
              </w:rPr>
              <w:t>2</w:t>
            </w:r>
            <w:r>
              <w:rPr>
                <w:b w:val="0"/>
                <w:bCs w:val="0"/>
                <w:spacing w:val="-35"/>
                <w:highlight w:val="none"/>
              </w:rPr>
              <w:t xml:space="preserve"> </w:t>
            </w:r>
            <w:r>
              <w:rPr>
                <w:b w:val="0"/>
                <w:bCs w:val="0"/>
                <w:spacing w:val="-3"/>
                <w:highlight w:val="none"/>
              </w:rPr>
              <w:t>分；扣完不得分。</w:t>
            </w:r>
          </w:p>
        </w:tc>
        <w:tc>
          <w:tcPr>
            <w:tcW w:w="367" w:type="pct"/>
            <w:tcBorders>
              <w:top w:val="single" w:color="auto" w:sz="4" w:space="0"/>
              <w:left w:val="single" w:color="auto" w:sz="4" w:space="0"/>
              <w:bottom w:val="single" w:color="auto" w:sz="4" w:space="0"/>
              <w:right w:val="single" w:color="auto" w:sz="4" w:space="0"/>
            </w:tcBorders>
            <w:vAlign w:val="center"/>
          </w:tcPr>
          <w:p w14:paraId="71E1FFFC">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tcBorders>
              <w:top w:val="single" w:color="auto" w:sz="4" w:space="0"/>
              <w:left w:val="single" w:color="auto" w:sz="4" w:space="0"/>
              <w:bottom w:val="single" w:color="auto" w:sz="4" w:space="0"/>
              <w:right w:val="single" w:color="auto" w:sz="4" w:space="0"/>
            </w:tcBorders>
            <w:vAlign w:val="center"/>
          </w:tcPr>
          <w:p w14:paraId="628451DB">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4E4B8201">
            <w:pPr>
              <w:keepNext w:val="0"/>
              <w:keepLines w:val="0"/>
              <w:suppressLineNumbers w:val="0"/>
              <w:spacing w:before="0" w:beforeAutospacing="0" w:after="0" w:afterAutospacing="0"/>
              <w:ind w:left="0" w:right="0"/>
              <w:rPr>
                <w:rFonts w:hint="default" w:ascii="Arial"/>
                <w:b w:val="0"/>
                <w:bCs w:val="0"/>
                <w:sz w:val="21"/>
                <w:highlight w:val="none"/>
              </w:rPr>
            </w:pPr>
          </w:p>
        </w:tc>
      </w:tr>
    </w:tbl>
    <w:p w14:paraId="21C8142C">
      <w:pPr>
        <w:rPr>
          <w:highlight w:val="none"/>
        </w:rPr>
      </w:pPr>
      <w:r>
        <w:rPr>
          <w:highlight w:val="none"/>
        </w:rPr>
        <w:br w:type="page"/>
      </w:r>
    </w:p>
    <w:tbl>
      <w:tblPr>
        <w:tblStyle w:val="24"/>
        <w:tblW w:w="494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1"/>
        <w:gridCol w:w="1467"/>
        <w:gridCol w:w="1092"/>
        <w:gridCol w:w="5154"/>
        <w:gridCol w:w="3508"/>
        <w:gridCol w:w="1092"/>
        <w:gridCol w:w="1003"/>
        <w:gridCol w:w="982"/>
      </w:tblGrid>
      <w:tr w14:paraId="14034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jc w:val="center"/>
        </w:trPr>
        <w:tc>
          <w:tcPr>
            <w:tcW w:w="192" w:type="pct"/>
            <w:tcBorders>
              <w:top w:val="single" w:color="auto" w:sz="4" w:space="0"/>
              <w:left w:val="single" w:color="auto" w:sz="4" w:space="0"/>
              <w:bottom w:val="single" w:color="auto" w:sz="4" w:space="0"/>
              <w:right w:val="single" w:color="auto" w:sz="4" w:space="0"/>
            </w:tcBorders>
            <w:vAlign w:val="center"/>
          </w:tcPr>
          <w:p w14:paraId="269BEEE3">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tcBorders>
              <w:top w:val="single" w:color="auto" w:sz="4" w:space="0"/>
              <w:left w:val="single" w:color="auto" w:sz="4" w:space="0"/>
              <w:bottom w:val="single" w:color="auto" w:sz="4" w:space="0"/>
              <w:right w:val="single" w:color="auto" w:sz="4" w:space="0"/>
            </w:tcBorders>
            <w:vAlign w:val="center"/>
          </w:tcPr>
          <w:p w14:paraId="7660491E">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tcBorders>
              <w:left w:val="single" w:color="auto" w:sz="4" w:space="0"/>
            </w:tcBorders>
            <w:vAlign w:val="center"/>
          </w:tcPr>
          <w:p w14:paraId="27EC2644">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2" w:type="pct"/>
            <w:vAlign w:val="center"/>
          </w:tcPr>
          <w:p w14:paraId="083CA4C6">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53E8084F">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32F4EF47">
            <w:pPr>
              <w:pStyle w:val="23"/>
              <w:keepNext w:val="0"/>
              <w:keepLines w:val="0"/>
              <w:suppressLineNumbers w:val="0"/>
              <w:spacing w:before="70" w:line="219" w:lineRule="auto"/>
              <w:ind w:left="170"/>
              <w:rPr>
                <w:highlight w:val="none"/>
              </w:rPr>
            </w:pPr>
            <w:r>
              <w:rPr>
                <w:b/>
                <w:bCs/>
                <w:spacing w:val="-3"/>
                <w:highlight w:val="none"/>
              </w:rPr>
              <w:t>评估情况</w:t>
            </w:r>
          </w:p>
        </w:tc>
        <w:tc>
          <w:tcPr>
            <w:tcW w:w="337" w:type="pct"/>
            <w:vAlign w:val="center"/>
          </w:tcPr>
          <w:p w14:paraId="6E3CBB53">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5C11D221">
            <w:pPr>
              <w:pStyle w:val="23"/>
              <w:keepNext w:val="0"/>
              <w:keepLines w:val="0"/>
              <w:suppressLineNumbers w:val="0"/>
              <w:spacing w:before="71" w:line="220" w:lineRule="auto"/>
              <w:ind w:left="295"/>
              <w:rPr>
                <w:highlight w:val="none"/>
              </w:rPr>
            </w:pPr>
            <w:r>
              <w:rPr>
                <w:b/>
                <w:bCs/>
                <w:spacing w:val="-4"/>
                <w:highlight w:val="none"/>
              </w:rPr>
              <w:t>得分</w:t>
            </w:r>
          </w:p>
        </w:tc>
      </w:tr>
      <w:tr w14:paraId="17425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4" w:hRule="atLeast"/>
          <w:jc w:val="center"/>
        </w:trPr>
        <w:tc>
          <w:tcPr>
            <w:tcW w:w="192" w:type="pct"/>
            <w:vMerge w:val="restart"/>
            <w:tcBorders>
              <w:top w:val="single" w:color="auto" w:sz="4" w:space="0"/>
              <w:left w:val="single" w:color="auto" w:sz="4" w:space="0"/>
              <w:right w:val="single" w:color="auto" w:sz="4" w:space="0"/>
            </w:tcBorders>
            <w:vAlign w:val="center"/>
          </w:tcPr>
          <w:p w14:paraId="57B47965">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top w:val="single" w:color="auto" w:sz="4" w:space="0"/>
              <w:left w:val="single" w:color="auto" w:sz="4" w:space="0"/>
              <w:right w:val="single" w:color="auto" w:sz="4" w:space="0"/>
            </w:tcBorders>
            <w:vAlign w:val="center"/>
          </w:tcPr>
          <w:p w14:paraId="0A6ABD2E">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6C080550">
            <w:pPr>
              <w:pStyle w:val="23"/>
              <w:keepNext w:val="0"/>
              <w:keepLines w:val="0"/>
              <w:suppressLineNumbers w:val="0"/>
              <w:spacing w:before="58" w:line="220" w:lineRule="auto"/>
              <w:ind w:right="14"/>
              <w:jc w:val="both"/>
              <w:rPr>
                <w:b w:val="0"/>
                <w:bCs w:val="0"/>
                <w:highlight w:val="none"/>
              </w:rPr>
            </w:pPr>
            <w:r>
              <w:rPr>
                <w:b w:val="0"/>
                <w:bCs w:val="0"/>
                <w:spacing w:val="-9"/>
                <w:highlight w:val="none"/>
              </w:rPr>
              <w:t>管道（3</w:t>
            </w:r>
            <w:r>
              <w:rPr>
                <w:b w:val="0"/>
                <w:bCs w:val="0"/>
                <w:spacing w:val="-31"/>
                <w:highlight w:val="none"/>
              </w:rPr>
              <w:t xml:space="preserve"> </w:t>
            </w:r>
            <w:r>
              <w:rPr>
                <w:b w:val="0"/>
                <w:bCs w:val="0"/>
                <w:spacing w:val="-9"/>
                <w:highlight w:val="none"/>
              </w:rPr>
              <w:t>分）</w:t>
            </w:r>
          </w:p>
        </w:tc>
        <w:tc>
          <w:tcPr>
            <w:tcW w:w="1732" w:type="pct"/>
            <w:vAlign w:val="center"/>
          </w:tcPr>
          <w:p w14:paraId="002F3B76">
            <w:pPr>
              <w:pStyle w:val="23"/>
              <w:keepNext w:val="0"/>
              <w:keepLines w:val="0"/>
              <w:suppressLineNumbers w:val="0"/>
              <w:spacing w:before="72" w:line="220" w:lineRule="auto"/>
              <w:ind w:left="112"/>
              <w:rPr>
                <w:b w:val="0"/>
                <w:bCs w:val="0"/>
                <w:highlight w:val="none"/>
              </w:rPr>
            </w:pPr>
            <w:r>
              <w:rPr>
                <w:b w:val="0"/>
                <w:bCs w:val="0"/>
                <w:spacing w:val="-1"/>
                <w:highlight w:val="none"/>
              </w:rPr>
              <w:t>a)管道应采用不燃性材料，管道内表面应光滑；</w:t>
            </w:r>
          </w:p>
          <w:p w14:paraId="7019DF25">
            <w:pPr>
              <w:pStyle w:val="23"/>
              <w:keepNext w:val="0"/>
              <w:keepLines w:val="0"/>
              <w:suppressLineNumbers w:val="0"/>
              <w:spacing w:before="97" w:line="220" w:lineRule="auto"/>
              <w:ind w:left="108"/>
              <w:rPr>
                <w:b w:val="0"/>
                <w:bCs w:val="0"/>
                <w:highlight w:val="none"/>
              </w:rPr>
            </w:pPr>
            <w:r>
              <w:rPr>
                <w:b w:val="0"/>
                <w:bCs w:val="0"/>
                <w:spacing w:val="-1"/>
                <w:highlight w:val="none"/>
              </w:rPr>
              <w:t>b)风管的连接以及风管与风机的连接；</w:t>
            </w:r>
          </w:p>
          <w:p w14:paraId="6C3A0E29">
            <w:pPr>
              <w:pStyle w:val="23"/>
              <w:keepNext w:val="0"/>
              <w:keepLines w:val="0"/>
              <w:suppressLineNumbers w:val="0"/>
              <w:spacing w:before="98" w:line="220" w:lineRule="auto"/>
              <w:ind w:left="115"/>
              <w:rPr>
                <w:b w:val="0"/>
                <w:bCs w:val="0"/>
                <w:highlight w:val="none"/>
              </w:rPr>
            </w:pPr>
            <w:r>
              <w:rPr>
                <w:b w:val="0"/>
                <w:bCs w:val="0"/>
                <w:spacing w:val="-1"/>
                <w:highlight w:val="none"/>
              </w:rPr>
              <w:t>c)风管表面应平整、无损坏；</w:t>
            </w:r>
          </w:p>
          <w:p w14:paraId="6E9DABD5">
            <w:pPr>
              <w:pStyle w:val="23"/>
              <w:keepNext w:val="0"/>
              <w:keepLines w:val="0"/>
              <w:suppressLineNumbers w:val="0"/>
              <w:spacing w:before="97" w:line="220" w:lineRule="auto"/>
              <w:ind w:left="115"/>
              <w:rPr>
                <w:b w:val="0"/>
                <w:bCs w:val="0"/>
                <w:highlight w:val="none"/>
              </w:rPr>
            </w:pPr>
            <w:r>
              <w:rPr>
                <w:b w:val="0"/>
                <w:bCs w:val="0"/>
                <w:spacing w:val="-1"/>
                <w:highlight w:val="none"/>
              </w:rPr>
              <w:t>d)风管的支、吊架外观完好，应安装牢固。</w:t>
            </w:r>
          </w:p>
        </w:tc>
        <w:tc>
          <w:tcPr>
            <w:tcW w:w="1179" w:type="pct"/>
            <w:vAlign w:val="center"/>
          </w:tcPr>
          <w:p w14:paraId="5C4C5B7E">
            <w:pPr>
              <w:pStyle w:val="23"/>
              <w:keepNext w:val="0"/>
              <w:keepLines w:val="0"/>
              <w:suppressLineNumbers w:val="0"/>
              <w:spacing w:before="58" w:line="307" w:lineRule="auto"/>
              <w:ind w:left="114" w:right="101"/>
              <w:rPr>
                <w:b w:val="0"/>
                <w:bCs w:val="0"/>
                <w:highlight w:val="none"/>
              </w:rPr>
            </w:pPr>
            <w:r>
              <w:rPr>
                <w:b w:val="0"/>
                <w:bCs w:val="0"/>
                <w:spacing w:val="-5"/>
                <w:highlight w:val="none"/>
              </w:rPr>
              <w:t>a)b)c)不符合要求各扣</w:t>
            </w:r>
            <w:r>
              <w:rPr>
                <w:b w:val="0"/>
                <w:bCs w:val="0"/>
                <w:spacing w:val="-25"/>
                <w:highlight w:val="none"/>
              </w:rPr>
              <w:t xml:space="preserve"> </w:t>
            </w:r>
            <w:r>
              <w:rPr>
                <w:b w:val="0"/>
                <w:bCs w:val="0"/>
                <w:spacing w:val="-5"/>
                <w:highlight w:val="none"/>
              </w:rPr>
              <w:t>3</w:t>
            </w:r>
            <w:r>
              <w:rPr>
                <w:b w:val="0"/>
                <w:bCs w:val="0"/>
                <w:spacing w:val="-34"/>
                <w:highlight w:val="none"/>
              </w:rPr>
              <w:t xml:space="preserve"> </w:t>
            </w:r>
            <w:r>
              <w:rPr>
                <w:b w:val="0"/>
                <w:bCs w:val="0"/>
                <w:spacing w:val="-5"/>
                <w:highlight w:val="none"/>
              </w:rPr>
              <w:t>分，d)不符合要求扣</w:t>
            </w:r>
            <w:r>
              <w:rPr>
                <w:b w:val="0"/>
                <w:bCs w:val="0"/>
                <w:spacing w:val="-23"/>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分；扣完不得分。</w:t>
            </w:r>
          </w:p>
        </w:tc>
        <w:tc>
          <w:tcPr>
            <w:tcW w:w="367" w:type="pct"/>
            <w:vAlign w:val="center"/>
          </w:tcPr>
          <w:p w14:paraId="64BAAE6F">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7" w:type="pct"/>
            <w:vAlign w:val="center"/>
          </w:tcPr>
          <w:p w14:paraId="7B8C0D2E">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3D231F4C">
            <w:pPr>
              <w:keepNext w:val="0"/>
              <w:keepLines w:val="0"/>
              <w:suppressLineNumbers w:val="0"/>
              <w:spacing w:before="0" w:beforeAutospacing="0" w:after="0" w:afterAutospacing="0"/>
              <w:ind w:left="0" w:right="0"/>
              <w:rPr>
                <w:rFonts w:hint="default" w:ascii="Arial"/>
                <w:b w:val="0"/>
                <w:bCs w:val="0"/>
                <w:sz w:val="21"/>
                <w:highlight w:val="none"/>
              </w:rPr>
            </w:pPr>
          </w:p>
        </w:tc>
      </w:tr>
      <w:tr w14:paraId="05D92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3" w:hRule="atLeast"/>
          <w:jc w:val="center"/>
        </w:trPr>
        <w:tc>
          <w:tcPr>
            <w:tcW w:w="192" w:type="pct"/>
            <w:vMerge w:val="continue"/>
            <w:tcBorders>
              <w:left w:val="single" w:color="auto" w:sz="4" w:space="0"/>
              <w:right w:val="single" w:color="auto" w:sz="4" w:space="0"/>
            </w:tcBorders>
            <w:vAlign w:val="center"/>
          </w:tcPr>
          <w:p w14:paraId="288D43FE">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left w:val="single" w:color="auto" w:sz="4" w:space="0"/>
              <w:right w:val="single" w:color="auto" w:sz="4" w:space="0"/>
            </w:tcBorders>
            <w:vAlign w:val="center"/>
          </w:tcPr>
          <w:p w14:paraId="666E40E3">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left w:val="single" w:color="auto" w:sz="4" w:space="0"/>
            </w:tcBorders>
            <w:vAlign w:val="center"/>
          </w:tcPr>
          <w:p w14:paraId="15F57836">
            <w:pPr>
              <w:pStyle w:val="23"/>
              <w:keepNext w:val="0"/>
              <w:keepLines w:val="0"/>
              <w:suppressLineNumbers w:val="0"/>
              <w:spacing w:before="227" w:line="311" w:lineRule="auto"/>
              <w:ind w:left="0" w:right="103"/>
              <w:jc w:val="both"/>
              <w:rPr>
                <w:b w:val="0"/>
                <w:bCs w:val="0"/>
                <w:highlight w:val="none"/>
              </w:rPr>
            </w:pPr>
            <w:r>
              <w:rPr>
                <w:b w:val="0"/>
                <w:bCs w:val="0"/>
                <w:spacing w:val="2"/>
                <w:highlight w:val="none"/>
              </w:rPr>
              <w:t>通风口、送风口、防火</w:t>
            </w:r>
            <w:r>
              <w:rPr>
                <w:b w:val="0"/>
                <w:bCs w:val="0"/>
                <w:spacing w:val="7"/>
                <w:highlight w:val="none"/>
              </w:rPr>
              <w:t>阀（3分）</w:t>
            </w:r>
          </w:p>
        </w:tc>
        <w:tc>
          <w:tcPr>
            <w:tcW w:w="1732" w:type="pct"/>
            <w:vAlign w:val="center"/>
          </w:tcPr>
          <w:p w14:paraId="0C33D746">
            <w:pPr>
              <w:pStyle w:val="23"/>
              <w:keepNext w:val="0"/>
              <w:keepLines w:val="0"/>
              <w:suppressLineNumbers w:val="0"/>
              <w:spacing w:before="71" w:line="307" w:lineRule="auto"/>
              <w:ind w:left="112" w:right="104"/>
              <w:rPr>
                <w:b w:val="0"/>
                <w:bCs w:val="0"/>
                <w:highlight w:val="none"/>
              </w:rPr>
            </w:pPr>
            <w:r>
              <w:rPr>
                <w:b w:val="0"/>
                <w:bCs w:val="0"/>
                <w:spacing w:val="-1"/>
                <w:highlight w:val="none"/>
              </w:rPr>
              <w:t>a)通风口（窗）的设置位置、面积、开启方式、手动</w:t>
            </w:r>
            <w:r>
              <w:rPr>
                <w:b w:val="0"/>
                <w:bCs w:val="0"/>
                <w:spacing w:val="-2"/>
                <w:highlight w:val="none"/>
              </w:rPr>
              <w:t>开启装置</w:t>
            </w:r>
            <w:r>
              <w:rPr>
                <w:b w:val="0"/>
                <w:bCs w:val="0"/>
                <w:spacing w:val="-1"/>
                <w:highlight w:val="none"/>
              </w:rPr>
              <w:t>和自动开启设施；</w:t>
            </w:r>
          </w:p>
          <w:p w14:paraId="7198C7F3">
            <w:pPr>
              <w:pStyle w:val="23"/>
              <w:keepNext w:val="0"/>
              <w:keepLines w:val="0"/>
              <w:suppressLineNumbers w:val="0"/>
              <w:spacing w:before="25" w:line="220" w:lineRule="auto"/>
              <w:ind w:left="108"/>
              <w:rPr>
                <w:b w:val="0"/>
                <w:bCs w:val="0"/>
                <w:highlight w:val="none"/>
              </w:rPr>
            </w:pPr>
            <w:r>
              <w:rPr>
                <w:b w:val="0"/>
                <w:bCs w:val="0"/>
                <w:spacing w:val="-1"/>
                <w:highlight w:val="none"/>
              </w:rPr>
              <w:t>b)送风口、防火阀的设置位置、安装、外观及标识；</w:t>
            </w:r>
          </w:p>
          <w:p w14:paraId="64273B29">
            <w:pPr>
              <w:pStyle w:val="23"/>
              <w:keepNext w:val="0"/>
              <w:keepLines w:val="0"/>
              <w:suppressLineNumbers w:val="0"/>
              <w:spacing w:before="97" w:line="220" w:lineRule="auto"/>
              <w:ind w:left="115"/>
              <w:rPr>
                <w:b w:val="0"/>
                <w:bCs w:val="0"/>
                <w:highlight w:val="none"/>
              </w:rPr>
            </w:pPr>
            <w:r>
              <w:rPr>
                <w:b w:val="0"/>
                <w:bCs w:val="0"/>
                <w:spacing w:val="-1"/>
                <w:highlight w:val="none"/>
              </w:rPr>
              <w:t>c)送风口、防火阀的工作状态、开启与复位操作、动作信号。</w:t>
            </w:r>
          </w:p>
        </w:tc>
        <w:tc>
          <w:tcPr>
            <w:tcW w:w="1179" w:type="pct"/>
            <w:vAlign w:val="center"/>
          </w:tcPr>
          <w:p w14:paraId="7DD4E781">
            <w:pPr>
              <w:pStyle w:val="23"/>
              <w:keepNext w:val="0"/>
              <w:keepLines w:val="0"/>
              <w:suppressLineNumbers w:val="0"/>
              <w:spacing w:before="59"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1AAF9064">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7" w:type="pct"/>
            <w:vAlign w:val="center"/>
          </w:tcPr>
          <w:p w14:paraId="2758FCE5">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42853552">
            <w:pPr>
              <w:keepNext w:val="0"/>
              <w:keepLines w:val="0"/>
              <w:suppressLineNumbers w:val="0"/>
              <w:spacing w:before="0" w:beforeAutospacing="0" w:after="0" w:afterAutospacing="0"/>
              <w:ind w:left="0" w:right="0"/>
              <w:rPr>
                <w:rFonts w:hint="default" w:ascii="Arial"/>
                <w:b w:val="0"/>
                <w:bCs w:val="0"/>
                <w:sz w:val="21"/>
                <w:highlight w:val="none"/>
              </w:rPr>
            </w:pPr>
          </w:p>
        </w:tc>
      </w:tr>
      <w:tr w14:paraId="22DD6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4" w:hRule="atLeast"/>
          <w:jc w:val="center"/>
        </w:trPr>
        <w:tc>
          <w:tcPr>
            <w:tcW w:w="192" w:type="pct"/>
            <w:vMerge w:val="continue"/>
            <w:tcBorders>
              <w:left w:val="single" w:color="auto" w:sz="4" w:space="0"/>
              <w:right w:val="single" w:color="auto" w:sz="4" w:space="0"/>
            </w:tcBorders>
            <w:vAlign w:val="center"/>
          </w:tcPr>
          <w:p w14:paraId="73748195">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left w:val="single" w:color="auto" w:sz="4" w:space="0"/>
              <w:right w:val="single" w:color="auto" w:sz="4" w:space="0"/>
            </w:tcBorders>
            <w:vAlign w:val="center"/>
          </w:tcPr>
          <w:p w14:paraId="1052DE91">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4A6F6F27">
            <w:pPr>
              <w:pStyle w:val="23"/>
              <w:keepNext w:val="0"/>
              <w:keepLines w:val="0"/>
              <w:suppressLineNumbers w:val="0"/>
              <w:spacing w:before="58" w:line="222" w:lineRule="auto"/>
              <w:ind w:left="0"/>
              <w:rPr>
                <w:b w:val="0"/>
                <w:bCs w:val="0"/>
                <w:spacing w:val="-3"/>
                <w:highlight w:val="none"/>
              </w:rPr>
            </w:pPr>
            <w:r>
              <w:rPr>
                <w:b w:val="0"/>
                <w:bCs w:val="0"/>
                <w:spacing w:val="-3"/>
                <w:highlight w:val="none"/>
              </w:rPr>
              <w:t>系统功能（3 分）</w:t>
            </w:r>
          </w:p>
        </w:tc>
        <w:tc>
          <w:tcPr>
            <w:tcW w:w="1732" w:type="pct"/>
            <w:vAlign w:val="center"/>
          </w:tcPr>
          <w:p w14:paraId="66C27E8B">
            <w:pPr>
              <w:pStyle w:val="23"/>
              <w:keepNext w:val="0"/>
              <w:keepLines w:val="0"/>
              <w:suppressLineNumbers w:val="0"/>
              <w:spacing w:before="143" w:line="220" w:lineRule="auto"/>
              <w:ind w:left="112"/>
              <w:rPr>
                <w:b w:val="0"/>
                <w:bCs w:val="0"/>
                <w:highlight w:val="none"/>
              </w:rPr>
            </w:pPr>
            <w:r>
              <w:rPr>
                <w:b w:val="0"/>
                <w:bCs w:val="0"/>
                <w:spacing w:val="-2"/>
                <w:highlight w:val="none"/>
              </w:rPr>
              <w:t>a)机械加压送风系统的联动控制功能；</w:t>
            </w:r>
          </w:p>
          <w:p w14:paraId="5EDC25E6">
            <w:pPr>
              <w:pStyle w:val="23"/>
              <w:keepNext w:val="0"/>
              <w:keepLines w:val="0"/>
              <w:suppressLineNumbers w:val="0"/>
              <w:spacing w:before="97" w:line="220" w:lineRule="auto"/>
              <w:ind w:left="108"/>
              <w:rPr>
                <w:b w:val="0"/>
                <w:bCs w:val="0"/>
                <w:highlight w:val="none"/>
              </w:rPr>
            </w:pPr>
            <w:r>
              <w:rPr>
                <w:b w:val="0"/>
                <w:bCs w:val="0"/>
                <w:spacing w:val="-1"/>
                <w:highlight w:val="none"/>
              </w:rPr>
              <w:t>b)机械防烟系统的余压值；</w:t>
            </w:r>
          </w:p>
          <w:p w14:paraId="5F6577D3">
            <w:pPr>
              <w:pStyle w:val="23"/>
              <w:keepNext w:val="0"/>
              <w:keepLines w:val="0"/>
              <w:suppressLineNumbers w:val="0"/>
              <w:spacing w:before="97" w:line="220" w:lineRule="auto"/>
              <w:ind w:left="115"/>
              <w:rPr>
                <w:b w:val="0"/>
                <w:bCs w:val="0"/>
                <w:highlight w:val="none"/>
              </w:rPr>
            </w:pPr>
            <w:r>
              <w:rPr>
                <w:b w:val="0"/>
                <w:bCs w:val="0"/>
                <w:spacing w:val="-2"/>
                <w:highlight w:val="none"/>
              </w:rPr>
              <w:t>c)机械防烟系统的风速。</w:t>
            </w:r>
          </w:p>
        </w:tc>
        <w:tc>
          <w:tcPr>
            <w:tcW w:w="1179" w:type="pct"/>
            <w:vAlign w:val="center"/>
          </w:tcPr>
          <w:p w14:paraId="4DD7266F">
            <w:pPr>
              <w:pStyle w:val="23"/>
              <w:keepNext w:val="0"/>
              <w:keepLines w:val="0"/>
              <w:suppressLineNumbers w:val="0"/>
              <w:spacing w:before="298" w:line="307" w:lineRule="auto"/>
              <w:ind w:left="116" w:right="101" w:hanging="2"/>
              <w:rPr>
                <w:b w:val="0"/>
                <w:bCs w:val="0"/>
                <w:highlight w:val="none"/>
              </w:rPr>
            </w:pPr>
            <w:r>
              <w:rPr>
                <w:b w:val="0"/>
                <w:bCs w:val="0"/>
                <w:spacing w:val="-5"/>
                <w:highlight w:val="none"/>
              </w:rPr>
              <w:t>a)b)不符合要求各扣</w:t>
            </w:r>
            <w:r>
              <w:rPr>
                <w:b w:val="0"/>
                <w:bCs w:val="0"/>
                <w:spacing w:val="-26"/>
                <w:highlight w:val="none"/>
              </w:rPr>
              <w:t xml:space="preserve"> </w:t>
            </w:r>
            <w:r>
              <w:rPr>
                <w:b w:val="0"/>
                <w:bCs w:val="0"/>
                <w:spacing w:val="-5"/>
                <w:highlight w:val="none"/>
              </w:rPr>
              <w:t>3</w:t>
            </w:r>
            <w:r>
              <w:rPr>
                <w:b w:val="0"/>
                <w:bCs w:val="0"/>
                <w:spacing w:val="-34"/>
                <w:highlight w:val="none"/>
              </w:rPr>
              <w:t xml:space="preserve"> </w:t>
            </w:r>
            <w:r>
              <w:rPr>
                <w:b w:val="0"/>
                <w:bCs w:val="0"/>
                <w:spacing w:val="-5"/>
                <w:highlight w:val="none"/>
              </w:rPr>
              <w:t>分，c)不符合要求</w:t>
            </w:r>
            <w:r>
              <w:rPr>
                <w:b w:val="0"/>
                <w:bCs w:val="0"/>
                <w:spacing w:val="-6"/>
                <w:highlight w:val="none"/>
              </w:rPr>
              <w:t>扣</w:t>
            </w:r>
            <w:r>
              <w:rPr>
                <w:b w:val="0"/>
                <w:bCs w:val="0"/>
                <w:spacing w:val="-20"/>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分；扣完不得分。</w:t>
            </w:r>
          </w:p>
        </w:tc>
        <w:tc>
          <w:tcPr>
            <w:tcW w:w="367" w:type="pct"/>
            <w:vAlign w:val="center"/>
          </w:tcPr>
          <w:p w14:paraId="3C915A51">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7" w:type="pct"/>
            <w:vAlign w:val="center"/>
          </w:tcPr>
          <w:p w14:paraId="0CEA9F07">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07D9E391">
            <w:pPr>
              <w:keepNext w:val="0"/>
              <w:keepLines w:val="0"/>
              <w:suppressLineNumbers w:val="0"/>
              <w:spacing w:before="0" w:beforeAutospacing="0" w:after="0" w:afterAutospacing="0"/>
              <w:ind w:left="0" w:right="0"/>
              <w:rPr>
                <w:rFonts w:hint="default" w:ascii="Arial"/>
                <w:b w:val="0"/>
                <w:bCs w:val="0"/>
                <w:sz w:val="21"/>
                <w:highlight w:val="none"/>
              </w:rPr>
            </w:pPr>
          </w:p>
        </w:tc>
      </w:tr>
      <w:tr w14:paraId="57D2B1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192" w:type="pct"/>
            <w:vMerge w:val="restart"/>
            <w:tcBorders>
              <w:bottom w:val="nil"/>
            </w:tcBorders>
            <w:vAlign w:val="center"/>
          </w:tcPr>
          <w:p w14:paraId="593BC6B1">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18</w:t>
            </w:r>
          </w:p>
        </w:tc>
        <w:tc>
          <w:tcPr>
            <w:tcW w:w="493" w:type="pct"/>
            <w:vMerge w:val="restart"/>
            <w:tcBorders>
              <w:bottom w:val="nil"/>
            </w:tcBorders>
            <w:vAlign w:val="center"/>
          </w:tcPr>
          <w:p w14:paraId="39D26B5C">
            <w:pPr>
              <w:pStyle w:val="23"/>
              <w:keepNext w:val="0"/>
              <w:keepLines w:val="0"/>
              <w:suppressLineNumbers w:val="0"/>
              <w:spacing w:before="59" w:line="307" w:lineRule="auto"/>
              <w:ind w:left="151" w:right="155" w:firstLine="19"/>
              <w:rPr>
                <w:b w:val="0"/>
                <w:bCs w:val="0"/>
                <w:highlight w:val="none"/>
              </w:rPr>
            </w:pPr>
            <w:r>
              <w:rPr>
                <w:b w:val="0"/>
                <w:bCs w:val="0"/>
                <w:spacing w:val="-2"/>
                <w:highlight w:val="none"/>
              </w:rPr>
              <w:t>排烟系统</w:t>
            </w:r>
            <w:r>
              <w:rPr>
                <w:b w:val="0"/>
                <w:bCs w:val="0"/>
                <w:spacing w:val="-8"/>
                <w:highlight w:val="none"/>
              </w:rPr>
              <w:t>（20</w:t>
            </w:r>
            <w:r>
              <w:rPr>
                <w:b w:val="0"/>
                <w:bCs w:val="0"/>
                <w:spacing w:val="-31"/>
                <w:highlight w:val="none"/>
              </w:rPr>
              <w:t xml:space="preserve"> </w:t>
            </w:r>
            <w:r>
              <w:rPr>
                <w:b w:val="0"/>
                <w:bCs w:val="0"/>
                <w:spacing w:val="-8"/>
                <w:highlight w:val="none"/>
              </w:rPr>
              <w:t>分）</w:t>
            </w:r>
          </w:p>
        </w:tc>
        <w:tc>
          <w:tcPr>
            <w:tcW w:w="367" w:type="pct"/>
            <w:vAlign w:val="center"/>
          </w:tcPr>
          <w:p w14:paraId="743A289F">
            <w:pPr>
              <w:pStyle w:val="23"/>
              <w:keepNext w:val="0"/>
              <w:keepLines w:val="0"/>
              <w:suppressLineNumbers w:val="0"/>
              <w:spacing w:before="58" w:line="222" w:lineRule="auto"/>
              <w:ind w:left="0"/>
              <w:rPr>
                <w:b w:val="0"/>
                <w:bCs w:val="0"/>
                <w:spacing w:val="-3"/>
                <w:highlight w:val="none"/>
              </w:rPr>
            </w:pPr>
            <w:r>
              <w:rPr>
                <w:b w:val="0"/>
                <w:bCs w:val="0"/>
                <w:spacing w:val="-3"/>
                <w:highlight w:val="none"/>
              </w:rPr>
              <w:t>系统设置</w:t>
            </w:r>
          </w:p>
        </w:tc>
        <w:tc>
          <w:tcPr>
            <w:tcW w:w="1732" w:type="pct"/>
            <w:vAlign w:val="center"/>
          </w:tcPr>
          <w:p w14:paraId="47F5A09E">
            <w:pPr>
              <w:pStyle w:val="23"/>
              <w:keepNext w:val="0"/>
              <w:keepLines w:val="0"/>
              <w:suppressLineNumbers w:val="0"/>
              <w:spacing w:before="59" w:line="220" w:lineRule="auto"/>
              <w:ind w:left="114"/>
              <w:rPr>
                <w:b w:val="0"/>
                <w:bCs w:val="0"/>
                <w:spacing w:val="-1"/>
                <w:highlight w:val="none"/>
              </w:rPr>
            </w:pPr>
            <w:r>
              <w:rPr>
                <w:b w:val="0"/>
                <w:bCs w:val="0"/>
                <w:spacing w:val="-1"/>
                <w:highlight w:val="none"/>
              </w:rPr>
              <w:t>是否按规定设置排烟系统。</w:t>
            </w:r>
          </w:p>
        </w:tc>
        <w:tc>
          <w:tcPr>
            <w:tcW w:w="1179" w:type="pct"/>
            <w:vAlign w:val="center"/>
          </w:tcPr>
          <w:p w14:paraId="6C0537DC">
            <w:pPr>
              <w:pStyle w:val="23"/>
              <w:keepNext w:val="0"/>
              <w:keepLines w:val="0"/>
              <w:suppressLineNumbers w:val="0"/>
              <w:spacing w:before="59" w:line="220" w:lineRule="auto"/>
              <w:ind w:left="114"/>
              <w:rPr>
                <w:b w:val="0"/>
                <w:bCs w:val="0"/>
                <w:spacing w:val="-1"/>
                <w:highlight w:val="none"/>
              </w:rPr>
            </w:pPr>
            <w:r>
              <w:rPr>
                <w:b w:val="0"/>
                <w:bCs w:val="0"/>
                <w:spacing w:val="-1"/>
                <w:highlight w:val="none"/>
              </w:rPr>
              <w:t>按照规范应设但未设置排烟系统，该评估子项不得分。</w:t>
            </w:r>
          </w:p>
        </w:tc>
        <w:tc>
          <w:tcPr>
            <w:tcW w:w="367" w:type="pct"/>
            <w:vAlign w:val="center"/>
          </w:tcPr>
          <w:p w14:paraId="79FFE497">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7" w:type="pct"/>
            <w:vAlign w:val="center"/>
          </w:tcPr>
          <w:p w14:paraId="65B7E68B">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78EEFE14">
            <w:pPr>
              <w:keepNext w:val="0"/>
              <w:keepLines w:val="0"/>
              <w:suppressLineNumbers w:val="0"/>
              <w:spacing w:before="0" w:beforeAutospacing="0" w:after="0" w:afterAutospacing="0"/>
              <w:ind w:left="0" w:right="0"/>
              <w:rPr>
                <w:rFonts w:hint="default" w:ascii="Arial"/>
                <w:b w:val="0"/>
                <w:bCs w:val="0"/>
                <w:sz w:val="21"/>
                <w:highlight w:val="none"/>
              </w:rPr>
            </w:pPr>
          </w:p>
        </w:tc>
      </w:tr>
      <w:tr w14:paraId="16E75C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5" w:hRule="atLeast"/>
          <w:jc w:val="center"/>
        </w:trPr>
        <w:tc>
          <w:tcPr>
            <w:tcW w:w="192" w:type="pct"/>
            <w:vMerge w:val="continue"/>
            <w:tcBorders>
              <w:top w:val="nil"/>
              <w:bottom w:val="nil"/>
            </w:tcBorders>
            <w:vAlign w:val="center"/>
          </w:tcPr>
          <w:p w14:paraId="7CCCC970">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76D6999B">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17A8050E">
            <w:pPr>
              <w:pStyle w:val="23"/>
              <w:keepNext w:val="0"/>
              <w:keepLines w:val="0"/>
              <w:suppressLineNumbers w:val="0"/>
              <w:spacing w:before="288" w:line="307" w:lineRule="auto"/>
              <w:ind w:left="0" w:right="103" w:firstLine="0"/>
              <w:rPr>
                <w:b w:val="0"/>
                <w:bCs w:val="0"/>
                <w:highlight w:val="none"/>
              </w:rPr>
            </w:pPr>
            <w:r>
              <w:rPr>
                <w:b w:val="0"/>
                <w:bCs w:val="0"/>
                <w:spacing w:val="2"/>
                <w:highlight w:val="none"/>
              </w:rPr>
              <w:t>风机控制柜</w:t>
            </w:r>
            <w:r>
              <w:rPr>
                <w:b w:val="0"/>
                <w:bCs w:val="0"/>
                <w:spacing w:val="7"/>
                <w:highlight w:val="none"/>
              </w:rPr>
              <w:t>（3分）</w:t>
            </w:r>
          </w:p>
        </w:tc>
        <w:tc>
          <w:tcPr>
            <w:tcW w:w="1732" w:type="pct"/>
            <w:vAlign w:val="center"/>
          </w:tcPr>
          <w:p w14:paraId="0ADF419E">
            <w:pPr>
              <w:pStyle w:val="23"/>
              <w:keepNext w:val="0"/>
              <w:keepLines w:val="0"/>
              <w:suppressLineNumbers w:val="0"/>
              <w:spacing w:before="132" w:line="220" w:lineRule="auto"/>
              <w:ind w:left="112"/>
              <w:rPr>
                <w:b w:val="0"/>
                <w:bCs w:val="0"/>
                <w:highlight w:val="none"/>
              </w:rPr>
            </w:pPr>
            <w:r>
              <w:rPr>
                <w:b w:val="0"/>
                <w:bCs w:val="0"/>
                <w:spacing w:val="-1"/>
                <w:highlight w:val="none"/>
              </w:rPr>
              <w:t>a)风机控制柜的设置、外观及标志；</w:t>
            </w:r>
          </w:p>
          <w:p w14:paraId="2A99E75D">
            <w:pPr>
              <w:pStyle w:val="23"/>
              <w:keepNext w:val="0"/>
              <w:keepLines w:val="0"/>
              <w:suppressLineNumbers w:val="0"/>
              <w:spacing w:before="97" w:line="220" w:lineRule="auto"/>
              <w:ind w:left="108"/>
              <w:rPr>
                <w:b w:val="0"/>
                <w:bCs w:val="0"/>
                <w:highlight w:val="none"/>
              </w:rPr>
            </w:pPr>
            <w:r>
              <w:rPr>
                <w:b w:val="0"/>
                <w:bCs w:val="0"/>
                <w:spacing w:val="-1"/>
                <w:highlight w:val="none"/>
              </w:rPr>
              <w:t>b)风机控制柜的仪表、指示灯、开关及控制按钮；</w:t>
            </w:r>
          </w:p>
          <w:p w14:paraId="2D0FBA9B">
            <w:pPr>
              <w:pStyle w:val="23"/>
              <w:keepNext w:val="0"/>
              <w:keepLines w:val="0"/>
              <w:suppressLineNumbers w:val="0"/>
              <w:spacing w:before="97" w:line="220" w:lineRule="auto"/>
              <w:ind w:left="115"/>
              <w:rPr>
                <w:b w:val="0"/>
                <w:bCs w:val="0"/>
                <w:highlight w:val="none"/>
              </w:rPr>
            </w:pPr>
            <w:r>
              <w:rPr>
                <w:b w:val="0"/>
                <w:bCs w:val="0"/>
                <w:spacing w:val="-3"/>
                <w:highlight w:val="none"/>
              </w:rPr>
              <w:t>c)风机控制柜的手动、</w:t>
            </w:r>
            <w:r>
              <w:rPr>
                <w:b w:val="0"/>
                <w:bCs w:val="0"/>
                <w:spacing w:val="-52"/>
                <w:highlight w:val="none"/>
              </w:rPr>
              <w:t xml:space="preserve"> </w:t>
            </w:r>
            <w:r>
              <w:rPr>
                <w:b w:val="0"/>
                <w:bCs w:val="0"/>
                <w:spacing w:val="-3"/>
                <w:highlight w:val="none"/>
              </w:rPr>
              <w:t>自动切换功能。</w:t>
            </w:r>
          </w:p>
        </w:tc>
        <w:tc>
          <w:tcPr>
            <w:tcW w:w="1179" w:type="pct"/>
            <w:vAlign w:val="center"/>
          </w:tcPr>
          <w:p w14:paraId="5B726C84">
            <w:pPr>
              <w:pStyle w:val="23"/>
              <w:keepNext w:val="0"/>
              <w:keepLines w:val="0"/>
              <w:suppressLineNumbers w:val="0"/>
              <w:spacing w:before="287" w:line="307" w:lineRule="auto"/>
              <w:ind w:left="115" w:right="101" w:hanging="2"/>
              <w:rPr>
                <w:b w:val="0"/>
                <w:bCs w:val="0"/>
                <w:highlight w:val="none"/>
              </w:rPr>
            </w:pPr>
            <w:r>
              <w:rPr>
                <w:b w:val="0"/>
                <w:bCs w:val="0"/>
                <w:spacing w:val="-6"/>
                <w:highlight w:val="none"/>
              </w:rPr>
              <w:t>每条检查内容不符合要求各扣</w:t>
            </w:r>
            <w:r>
              <w:rPr>
                <w:b w:val="0"/>
                <w:bCs w:val="0"/>
                <w:spacing w:val="-11"/>
                <w:highlight w:val="none"/>
              </w:rPr>
              <w:t xml:space="preserve"> </w:t>
            </w:r>
            <w:r>
              <w:rPr>
                <w:b w:val="0"/>
                <w:bCs w:val="0"/>
                <w:spacing w:val="-6"/>
                <w:highlight w:val="none"/>
              </w:rPr>
              <w:t>1</w:t>
            </w:r>
            <w:r>
              <w:rPr>
                <w:b w:val="0"/>
                <w:bCs w:val="0"/>
                <w:spacing w:val="-34"/>
                <w:highlight w:val="none"/>
              </w:rPr>
              <w:t xml:space="preserve"> </w:t>
            </w:r>
            <w:r>
              <w:rPr>
                <w:b w:val="0"/>
                <w:bCs w:val="0"/>
                <w:spacing w:val="-6"/>
                <w:highlight w:val="none"/>
              </w:rPr>
              <w:t>分，扣完</w:t>
            </w:r>
            <w:r>
              <w:rPr>
                <w:b w:val="0"/>
                <w:bCs w:val="0"/>
                <w:highlight w:val="none"/>
              </w:rPr>
              <w:t xml:space="preserve"> </w:t>
            </w:r>
            <w:r>
              <w:rPr>
                <w:b w:val="0"/>
                <w:bCs w:val="0"/>
                <w:spacing w:val="-6"/>
                <w:highlight w:val="none"/>
              </w:rPr>
              <w:t>不得分。</w:t>
            </w:r>
          </w:p>
        </w:tc>
        <w:tc>
          <w:tcPr>
            <w:tcW w:w="367" w:type="pct"/>
            <w:vAlign w:val="center"/>
          </w:tcPr>
          <w:p w14:paraId="42453147">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7" w:type="pct"/>
            <w:vAlign w:val="center"/>
          </w:tcPr>
          <w:p w14:paraId="0AFFADA6">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58A7F7CD">
            <w:pPr>
              <w:keepNext w:val="0"/>
              <w:keepLines w:val="0"/>
              <w:suppressLineNumbers w:val="0"/>
              <w:spacing w:before="0" w:beforeAutospacing="0" w:after="0" w:afterAutospacing="0"/>
              <w:ind w:left="0" w:right="0"/>
              <w:rPr>
                <w:rFonts w:hint="default" w:ascii="Arial"/>
                <w:b w:val="0"/>
                <w:bCs w:val="0"/>
                <w:sz w:val="21"/>
                <w:highlight w:val="none"/>
              </w:rPr>
            </w:pPr>
          </w:p>
        </w:tc>
      </w:tr>
      <w:tr w14:paraId="60AA20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0" w:hRule="atLeast"/>
          <w:jc w:val="center"/>
        </w:trPr>
        <w:tc>
          <w:tcPr>
            <w:tcW w:w="192" w:type="pct"/>
            <w:vMerge w:val="continue"/>
            <w:tcBorders>
              <w:top w:val="nil"/>
              <w:bottom w:val="nil"/>
            </w:tcBorders>
            <w:vAlign w:val="center"/>
          </w:tcPr>
          <w:p w14:paraId="414614F3">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5AF9C9CE">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0E03EEC6">
            <w:pPr>
              <w:pStyle w:val="23"/>
              <w:keepNext w:val="0"/>
              <w:keepLines w:val="0"/>
              <w:suppressLineNumbers w:val="0"/>
              <w:spacing w:before="59" w:line="311" w:lineRule="auto"/>
              <w:ind w:left="0" w:right="107"/>
              <w:rPr>
                <w:b w:val="0"/>
                <w:bCs w:val="0"/>
                <w:highlight w:val="none"/>
              </w:rPr>
            </w:pPr>
            <w:r>
              <w:rPr>
                <w:b w:val="0"/>
                <w:bCs w:val="0"/>
                <w:spacing w:val="-3"/>
                <w:highlight w:val="none"/>
              </w:rPr>
              <w:t>排烟风机、</w:t>
            </w:r>
            <w:r>
              <w:rPr>
                <w:b w:val="0"/>
                <w:bCs w:val="0"/>
                <w:spacing w:val="6"/>
                <w:highlight w:val="none"/>
              </w:rPr>
              <w:t>补风机（</w:t>
            </w:r>
            <w:r>
              <w:rPr>
                <w:b w:val="0"/>
                <w:bCs w:val="0"/>
                <w:spacing w:val="-25"/>
                <w:highlight w:val="none"/>
              </w:rPr>
              <w:t xml:space="preserve"> </w:t>
            </w:r>
            <w:r>
              <w:rPr>
                <w:b w:val="0"/>
                <w:bCs w:val="0"/>
                <w:spacing w:val="6"/>
                <w:highlight w:val="none"/>
              </w:rPr>
              <w:t>3</w:t>
            </w:r>
            <w:r>
              <w:rPr>
                <w:b w:val="0"/>
                <w:bCs w:val="0"/>
                <w:highlight w:val="none"/>
              </w:rPr>
              <w:t xml:space="preserve"> </w:t>
            </w:r>
            <w:r>
              <w:rPr>
                <w:b w:val="0"/>
                <w:bCs w:val="0"/>
                <w:spacing w:val="-5"/>
                <w:highlight w:val="none"/>
              </w:rPr>
              <w:t>分）</w:t>
            </w:r>
          </w:p>
        </w:tc>
        <w:tc>
          <w:tcPr>
            <w:tcW w:w="1732" w:type="pct"/>
            <w:vAlign w:val="center"/>
          </w:tcPr>
          <w:p w14:paraId="7596F5C0">
            <w:pPr>
              <w:pStyle w:val="23"/>
              <w:keepNext w:val="0"/>
              <w:keepLines w:val="0"/>
              <w:suppressLineNumbers w:val="0"/>
              <w:spacing w:before="67" w:line="220" w:lineRule="auto"/>
              <w:ind w:left="112"/>
              <w:rPr>
                <w:b w:val="0"/>
                <w:bCs w:val="0"/>
                <w:highlight w:val="none"/>
              </w:rPr>
            </w:pPr>
            <w:r>
              <w:rPr>
                <w:b w:val="0"/>
                <w:bCs w:val="0"/>
                <w:spacing w:val="-1"/>
                <w:highlight w:val="none"/>
              </w:rPr>
              <w:t>a)排烟风机、补风机的铭牌、系统名称和编号的标志；</w:t>
            </w:r>
          </w:p>
          <w:p w14:paraId="56F3B29A">
            <w:pPr>
              <w:pStyle w:val="23"/>
              <w:keepNext w:val="0"/>
              <w:keepLines w:val="0"/>
              <w:suppressLineNumbers w:val="0"/>
              <w:spacing w:before="97" w:line="220" w:lineRule="auto"/>
              <w:ind w:left="108"/>
              <w:rPr>
                <w:b w:val="0"/>
                <w:bCs w:val="0"/>
                <w:highlight w:val="none"/>
              </w:rPr>
            </w:pPr>
            <w:r>
              <w:rPr>
                <w:b w:val="0"/>
                <w:bCs w:val="0"/>
                <w:spacing w:val="-1"/>
                <w:highlight w:val="none"/>
              </w:rPr>
              <w:t>b)风机驱动装置的外露部位应装设防护罩；</w:t>
            </w:r>
          </w:p>
          <w:p w14:paraId="05615D22">
            <w:pPr>
              <w:pStyle w:val="23"/>
              <w:keepNext w:val="0"/>
              <w:keepLines w:val="0"/>
              <w:suppressLineNumbers w:val="0"/>
              <w:spacing w:before="97" w:line="307" w:lineRule="auto"/>
              <w:ind w:left="115" w:right="124"/>
              <w:rPr>
                <w:b w:val="0"/>
                <w:bCs w:val="0"/>
                <w:highlight w:val="none"/>
              </w:rPr>
            </w:pPr>
            <w:r>
              <w:rPr>
                <w:b w:val="0"/>
                <w:bCs w:val="0"/>
                <w:spacing w:val="-2"/>
                <w:highlight w:val="none"/>
              </w:rPr>
              <w:t>c)直通大气的进、出风口应装设防护网或采取其他安全设施，并应设防雨措施；</w:t>
            </w:r>
          </w:p>
          <w:p w14:paraId="68F9A33D">
            <w:pPr>
              <w:pStyle w:val="23"/>
              <w:keepNext w:val="0"/>
              <w:keepLines w:val="0"/>
              <w:suppressLineNumbers w:val="0"/>
              <w:spacing w:before="25" w:line="307" w:lineRule="auto"/>
              <w:ind w:left="115" w:right="1206"/>
              <w:rPr>
                <w:b w:val="0"/>
                <w:bCs w:val="0"/>
                <w:highlight w:val="none"/>
              </w:rPr>
            </w:pPr>
            <w:r>
              <w:rPr>
                <w:b w:val="0"/>
                <w:bCs w:val="0"/>
                <w:spacing w:val="-3"/>
                <w:highlight w:val="none"/>
              </w:rPr>
              <w:t>d)现场手动启动和消防控制室手动启动的功能；</w:t>
            </w:r>
            <w:r>
              <w:rPr>
                <w:b w:val="0"/>
                <w:bCs w:val="0"/>
                <w:spacing w:val="9"/>
                <w:highlight w:val="none"/>
              </w:rPr>
              <w:t xml:space="preserve"> </w:t>
            </w:r>
            <w:r>
              <w:rPr>
                <w:b w:val="0"/>
                <w:bCs w:val="0"/>
                <w:spacing w:val="-2"/>
                <w:highlight w:val="none"/>
              </w:rPr>
              <w:t>e)启动运转平稳无异常，旋转方向正确；</w:t>
            </w:r>
          </w:p>
          <w:p w14:paraId="3B9CF696">
            <w:pPr>
              <w:pStyle w:val="23"/>
              <w:keepNext w:val="0"/>
              <w:keepLines w:val="0"/>
              <w:suppressLineNumbers w:val="0"/>
              <w:spacing w:before="25" w:line="220" w:lineRule="auto"/>
              <w:ind w:left="114"/>
              <w:rPr>
                <w:b w:val="0"/>
                <w:bCs w:val="0"/>
                <w:highlight w:val="none"/>
              </w:rPr>
            </w:pPr>
            <w:r>
              <w:rPr>
                <w:b w:val="0"/>
                <w:bCs w:val="0"/>
                <w:spacing w:val="-1"/>
                <w:highlight w:val="none"/>
              </w:rPr>
              <w:t>f)排烟风机、补风机动作信号应在消防控制室显示。</w:t>
            </w:r>
          </w:p>
        </w:tc>
        <w:tc>
          <w:tcPr>
            <w:tcW w:w="1179" w:type="pct"/>
            <w:vAlign w:val="center"/>
          </w:tcPr>
          <w:p w14:paraId="16A6DE5D">
            <w:pPr>
              <w:pStyle w:val="23"/>
              <w:keepNext w:val="0"/>
              <w:keepLines w:val="0"/>
              <w:suppressLineNumbers w:val="0"/>
              <w:spacing w:before="58" w:line="307" w:lineRule="auto"/>
              <w:ind w:left="114" w:right="99"/>
              <w:rPr>
                <w:b w:val="0"/>
                <w:bCs w:val="0"/>
                <w:highlight w:val="none"/>
              </w:rPr>
            </w:pPr>
            <w:r>
              <w:rPr>
                <w:b w:val="0"/>
                <w:bCs w:val="0"/>
                <w:spacing w:val="-5"/>
                <w:highlight w:val="none"/>
              </w:rPr>
              <w:t>a)b)c)不符合要求各扣</w:t>
            </w:r>
            <w:r>
              <w:rPr>
                <w:b w:val="0"/>
                <w:bCs w:val="0"/>
                <w:spacing w:val="-20"/>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分，d)e)f)不符</w:t>
            </w:r>
            <w:r>
              <w:rPr>
                <w:b w:val="0"/>
                <w:bCs w:val="0"/>
                <w:spacing w:val="-3"/>
                <w:highlight w:val="none"/>
              </w:rPr>
              <w:t>合要求各扣</w:t>
            </w:r>
            <w:r>
              <w:rPr>
                <w:b w:val="0"/>
                <w:bCs w:val="0"/>
                <w:spacing w:val="-36"/>
                <w:highlight w:val="none"/>
              </w:rPr>
              <w:t xml:space="preserve"> </w:t>
            </w:r>
            <w:r>
              <w:rPr>
                <w:b w:val="0"/>
                <w:bCs w:val="0"/>
                <w:spacing w:val="-3"/>
                <w:highlight w:val="none"/>
              </w:rPr>
              <w:t>2</w:t>
            </w:r>
            <w:r>
              <w:rPr>
                <w:b w:val="0"/>
                <w:bCs w:val="0"/>
                <w:spacing w:val="-35"/>
                <w:highlight w:val="none"/>
              </w:rPr>
              <w:t xml:space="preserve"> </w:t>
            </w:r>
            <w:r>
              <w:rPr>
                <w:b w:val="0"/>
                <w:bCs w:val="0"/>
                <w:spacing w:val="-3"/>
                <w:highlight w:val="none"/>
              </w:rPr>
              <w:t>分；扣完不得分。</w:t>
            </w:r>
          </w:p>
        </w:tc>
        <w:tc>
          <w:tcPr>
            <w:tcW w:w="367" w:type="pct"/>
            <w:vAlign w:val="center"/>
          </w:tcPr>
          <w:p w14:paraId="7388051A">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7" w:type="pct"/>
            <w:vAlign w:val="center"/>
          </w:tcPr>
          <w:p w14:paraId="66198D8F">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9FCCD78">
            <w:pPr>
              <w:keepNext w:val="0"/>
              <w:keepLines w:val="0"/>
              <w:suppressLineNumbers w:val="0"/>
              <w:spacing w:before="0" w:beforeAutospacing="0" w:after="0" w:afterAutospacing="0"/>
              <w:ind w:left="0" w:right="0"/>
              <w:rPr>
                <w:rFonts w:hint="default" w:ascii="Arial"/>
                <w:b w:val="0"/>
                <w:bCs w:val="0"/>
                <w:sz w:val="21"/>
                <w:highlight w:val="none"/>
              </w:rPr>
            </w:pPr>
          </w:p>
        </w:tc>
      </w:tr>
      <w:tr w14:paraId="146095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6" w:hRule="atLeast"/>
          <w:jc w:val="center"/>
        </w:trPr>
        <w:tc>
          <w:tcPr>
            <w:tcW w:w="192" w:type="pct"/>
            <w:vMerge w:val="continue"/>
            <w:tcBorders>
              <w:top w:val="nil"/>
            </w:tcBorders>
            <w:vAlign w:val="center"/>
          </w:tcPr>
          <w:p w14:paraId="57D9F2FA">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tcBorders>
            <w:vAlign w:val="center"/>
          </w:tcPr>
          <w:p w14:paraId="396810F8">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26FF0A94">
            <w:pPr>
              <w:pStyle w:val="23"/>
              <w:keepNext w:val="0"/>
              <w:keepLines w:val="0"/>
              <w:suppressLineNumbers w:val="0"/>
              <w:spacing w:before="59" w:line="220" w:lineRule="auto"/>
              <w:ind w:right="14"/>
              <w:jc w:val="both"/>
              <w:rPr>
                <w:b w:val="0"/>
                <w:bCs w:val="0"/>
                <w:highlight w:val="none"/>
              </w:rPr>
            </w:pPr>
            <w:r>
              <w:rPr>
                <w:b w:val="0"/>
                <w:bCs w:val="0"/>
                <w:spacing w:val="-9"/>
                <w:highlight w:val="none"/>
              </w:rPr>
              <w:t>管道（3</w:t>
            </w:r>
            <w:r>
              <w:rPr>
                <w:b w:val="0"/>
                <w:bCs w:val="0"/>
                <w:spacing w:val="-31"/>
                <w:highlight w:val="none"/>
              </w:rPr>
              <w:t xml:space="preserve"> </w:t>
            </w:r>
            <w:r>
              <w:rPr>
                <w:b w:val="0"/>
                <w:bCs w:val="0"/>
                <w:spacing w:val="-9"/>
                <w:highlight w:val="none"/>
              </w:rPr>
              <w:t>分）</w:t>
            </w:r>
          </w:p>
        </w:tc>
        <w:tc>
          <w:tcPr>
            <w:tcW w:w="1732" w:type="pct"/>
            <w:vAlign w:val="center"/>
          </w:tcPr>
          <w:p w14:paraId="407B799F">
            <w:pPr>
              <w:pStyle w:val="23"/>
              <w:keepNext w:val="0"/>
              <w:keepLines w:val="0"/>
              <w:suppressLineNumbers w:val="0"/>
              <w:spacing w:before="69" w:line="220" w:lineRule="auto"/>
              <w:ind w:left="112"/>
              <w:rPr>
                <w:b w:val="0"/>
                <w:bCs w:val="0"/>
                <w:highlight w:val="none"/>
              </w:rPr>
            </w:pPr>
            <w:r>
              <w:rPr>
                <w:b w:val="0"/>
                <w:bCs w:val="0"/>
                <w:spacing w:val="-1"/>
                <w:highlight w:val="none"/>
              </w:rPr>
              <w:t>a)管道应采用不燃性材料，管道内表面应光滑；</w:t>
            </w:r>
          </w:p>
          <w:p w14:paraId="2ECBA145">
            <w:pPr>
              <w:pStyle w:val="23"/>
              <w:keepNext w:val="0"/>
              <w:keepLines w:val="0"/>
              <w:suppressLineNumbers w:val="0"/>
              <w:spacing w:before="97" w:line="220" w:lineRule="auto"/>
              <w:ind w:left="108"/>
              <w:rPr>
                <w:b w:val="0"/>
                <w:bCs w:val="0"/>
                <w:highlight w:val="none"/>
              </w:rPr>
            </w:pPr>
            <w:r>
              <w:rPr>
                <w:b w:val="0"/>
                <w:bCs w:val="0"/>
                <w:spacing w:val="-1"/>
                <w:highlight w:val="none"/>
              </w:rPr>
              <w:t>b)风管的连接以及风管与风机的连接；</w:t>
            </w:r>
          </w:p>
          <w:p w14:paraId="0D27BA19">
            <w:pPr>
              <w:pStyle w:val="23"/>
              <w:keepNext w:val="0"/>
              <w:keepLines w:val="0"/>
              <w:suppressLineNumbers w:val="0"/>
              <w:spacing w:before="98" w:line="220" w:lineRule="auto"/>
              <w:ind w:left="115"/>
              <w:rPr>
                <w:b w:val="0"/>
                <w:bCs w:val="0"/>
                <w:highlight w:val="none"/>
              </w:rPr>
            </w:pPr>
            <w:r>
              <w:rPr>
                <w:b w:val="0"/>
                <w:bCs w:val="0"/>
                <w:spacing w:val="-1"/>
                <w:highlight w:val="none"/>
              </w:rPr>
              <w:t>c)风管表面应平整、无损坏；</w:t>
            </w:r>
          </w:p>
          <w:p w14:paraId="3F7D9DDF">
            <w:pPr>
              <w:pStyle w:val="23"/>
              <w:keepNext w:val="0"/>
              <w:keepLines w:val="0"/>
              <w:suppressLineNumbers w:val="0"/>
              <w:spacing w:before="97" w:line="220" w:lineRule="auto"/>
              <w:ind w:left="115"/>
              <w:rPr>
                <w:b w:val="0"/>
                <w:bCs w:val="0"/>
                <w:highlight w:val="none"/>
              </w:rPr>
            </w:pPr>
            <w:r>
              <w:rPr>
                <w:b w:val="0"/>
                <w:bCs w:val="0"/>
                <w:spacing w:val="-1"/>
                <w:highlight w:val="none"/>
              </w:rPr>
              <w:t>d)风管的支、吊架外观完好，应安装牢固。</w:t>
            </w:r>
          </w:p>
        </w:tc>
        <w:tc>
          <w:tcPr>
            <w:tcW w:w="1179" w:type="pct"/>
            <w:vAlign w:val="center"/>
          </w:tcPr>
          <w:p w14:paraId="2B02C9E3">
            <w:pPr>
              <w:pStyle w:val="23"/>
              <w:keepNext w:val="0"/>
              <w:keepLines w:val="0"/>
              <w:suppressLineNumbers w:val="0"/>
              <w:spacing w:before="59" w:line="307" w:lineRule="auto"/>
              <w:ind w:left="114" w:right="101"/>
              <w:rPr>
                <w:b w:val="0"/>
                <w:bCs w:val="0"/>
                <w:highlight w:val="none"/>
              </w:rPr>
            </w:pPr>
            <w:r>
              <w:rPr>
                <w:b w:val="0"/>
                <w:bCs w:val="0"/>
                <w:spacing w:val="-5"/>
                <w:highlight w:val="none"/>
              </w:rPr>
              <w:t>a)b)c)不符合要求各扣</w:t>
            </w:r>
            <w:r>
              <w:rPr>
                <w:b w:val="0"/>
                <w:bCs w:val="0"/>
                <w:spacing w:val="-25"/>
                <w:highlight w:val="none"/>
              </w:rPr>
              <w:t xml:space="preserve"> </w:t>
            </w:r>
            <w:r>
              <w:rPr>
                <w:b w:val="0"/>
                <w:bCs w:val="0"/>
                <w:spacing w:val="-5"/>
                <w:highlight w:val="none"/>
              </w:rPr>
              <w:t>3</w:t>
            </w:r>
            <w:r>
              <w:rPr>
                <w:b w:val="0"/>
                <w:bCs w:val="0"/>
                <w:spacing w:val="-34"/>
                <w:highlight w:val="none"/>
              </w:rPr>
              <w:t xml:space="preserve"> </w:t>
            </w:r>
            <w:r>
              <w:rPr>
                <w:b w:val="0"/>
                <w:bCs w:val="0"/>
                <w:spacing w:val="-5"/>
                <w:highlight w:val="none"/>
              </w:rPr>
              <w:t>分，d)不符合要求扣</w:t>
            </w:r>
            <w:r>
              <w:rPr>
                <w:b w:val="0"/>
                <w:bCs w:val="0"/>
                <w:spacing w:val="-23"/>
                <w:highlight w:val="none"/>
              </w:rPr>
              <w:t xml:space="preserve"> </w:t>
            </w:r>
            <w:r>
              <w:rPr>
                <w:b w:val="0"/>
                <w:bCs w:val="0"/>
                <w:spacing w:val="-5"/>
                <w:highlight w:val="none"/>
              </w:rPr>
              <w:t>1</w:t>
            </w:r>
            <w:r>
              <w:rPr>
                <w:b w:val="0"/>
                <w:bCs w:val="0"/>
                <w:spacing w:val="-34"/>
                <w:highlight w:val="none"/>
              </w:rPr>
              <w:t xml:space="preserve"> </w:t>
            </w:r>
            <w:r>
              <w:rPr>
                <w:b w:val="0"/>
                <w:bCs w:val="0"/>
                <w:spacing w:val="-5"/>
                <w:highlight w:val="none"/>
              </w:rPr>
              <w:t>分；扣完不得分。</w:t>
            </w:r>
          </w:p>
        </w:tc>
        <w:tc>
          <w:tcPr>
            <w:tcW w:w="367" w:type="pct"/>
            <w:vAlign w:val="center"/>
          </w:tcPr>
          <w:p w14:paraId="316B9E32">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7" w:type="pct"/>
            <w:vAlign w:val="center"/>
          </w:tcPr>
          <w:p w14:paraId="7FC1004F">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C6AB077">
            <w:pPr>
              <w:keepNext w:val="0"/>
              <w:keepLines w:val="0"/>
              <w:suppressLineNumbers w:val="0"/>
              <w:spacing w:before="0" w:beforeAutospacing="0" w:after="0" w:afterAutospacing="0"/>
              <w:ind w:left="0" w:right="0"/>
              <w:rPr>
                <w:rFonts w:hint="default" w:ascii="Arial"/>
                <w:b w:val="0"/>
                <w:bCs w:val="0"/>
                <w:sz w:val="21"/>
                <w:highlight w:val="none"/>
              </w:rPr>
            </w:pPr>
          </w:p>
        </w:tc>
      </w:tr>
    </w:tbl>
    <w:p w14:paraId="205FADD4">
      <w:pPr>
        <w:rPr>
          <w:highlight w:val="none"/>
        </w:rPr>
      </w:pPr>
      <w:r>
        <w:rPr>
          <w:highlight w:val="none"/>
        </w:rPr>
        <w:br w:type="page"/>
      </w:r>
    </w:p>
    <w:tbl>
      <w:tblPr>
        <w:tblStyle w:val="24"/>
        <w:tblW w:w="496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73"/>
        <w:gridCol w:w="1472"/>
        <w:gridCol w:w="1097"/>
        <w:gridCol w:w="5172"/>
        <w:gridCol w:w="3523"/>
        <w:gridCol w:w="1097"/>
        <w:gridCol w:w="1010"/>
        <w:gridCol w:w="986"/>
      </w:tblGrid>
      <w:tr w14:paraId="2F9D86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92" w:type="pct"/>
            <w:vAlign w:val="center"/>
          </w:tcPr>
          <w:p w14:paraId="6C16D774">
            <w:pPr>
              <w:pStyle w:val="23"/>
              <w:keepNext w:val="0"/>
              <w:keepLines w:val="0"/>
              <w:suppressLineNumbers w:val="0"/>
              <w:spacing w:before="70" w:line="222" w:lineRule="auto"/>
              <w:ind w:left="140"/>
              <w:rPr>
                <w:highlight w:val="none"/>
              </w:rPr>
            </w:pPr>
            <w:r>
              <w:rPr>
                <w:b/>
                <w:bCs/>
                <w:spacing w:val="-3"/>
                <w:highlight w:val="none"/>
              </w:rPr>
              <w:t>序号</w:t>
            </w:r>
          </w:p>
        </w:tc>
        <w:tc>
          <w:tcPr>
            <w:tcW w:w="493" w:type="pct"/>
            <w:vAlign w:val="center"/>
          </w:tcPr>
          <w:p w14:paraId="29E1C1DE">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6DDC5B0D">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1" w:type="pct"/>
            <w:vAlign w:val="center"/>
          </w:tcPr>
          <w:p w14:paraId="0C26613E">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27C8E906">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69D9126F">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3FABEFF4">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07D9D1DB">
            <w:pPr>
              <w:pStyle w:val="23"/>
              <w:keepNext w:val="0"/>
              <w:keepLines w:val="0"/>
              <w:suppressLineNumbers w:val="0"/>
              <w:spacing w:before="71" w:line="220" w:lineRule="auto"/>
              <w:ind w:left="295"/>
              <w:rPr>
                <w:highlight w:val="none"/>
              </w:rPr>
            </w:pPr>
            <w:r>
              <w:rPr>
                <w:b/>
                <w:bCs/>
                <w:spacing w:val="-4"/>
                <w:highlight w:val="none"/>
              </w:rPr>
              <w:t>得分</w:t>
            </w:r>
          </w:p>
        </w:tc>
      </w:tr>
      <w:tr w14:paraId="0E261D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7" w:hRule="atLeast"/>
          <w:jc w:val="center"/>
        </w:trPr>
        <w:tc>
          <w:tcPr>
            <w:tcW w:w="192" w:type="pct"/>
            <w:vMerge w:val="restart"/>
            <w:tcBorders>
              <w:bottom w:val="nil"/>
            </w:tcBorders>
            <w:vAlign w:val="center"/>
          </w:tcPr>
          <w:p w14:paraId="49DE5433">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restart"/>
            <w:tcBorders>
              <w:bottom w:val="nil"/>
            </w:tcBorders>
            <w:vAlign w:val="center"/>
          </w:tcPr>
          <w:p w14:paraId="4DABA212">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07CDD48C">
            <w:pPr>
              <w:pStyle w:val="23"/>
              <w:keepNext w:val="0"/>
              <w:keepLines w:val="0"/>
              <w:suppressLineNumbers w:val="0"/>
              <w:spacing w:before="220" w:line="316" w:lineRule="auto"/>
              <w:ind w:left="0" w:right="25"/>
              <w:jc w:val="both"/>
              <w:rPr>
                <w:b w:val="0"/>
                <w:bCs w:val="0"/>
                <w:highlight w:val="none"/>
              </w:rPr>
            </w:pPr>
            <w:r>
              <w:rPr>
                <w:b w:val="0"/>
                <w:bCs w:val="0"/>
                <w:spacing w:val="-6"/>
                <w:highlight w:val="none"/>
              </w:rPr>
              <w:t>排烟口、补</w:t>
            </w:r>
            <w:r>
              <w:rPr>
                <w:b w:val="0"/>
                <w:bCs w:val="0"/>
                <w:highlight w:val="none"/>
              </w:rPr>
              <w:t xml:space="preserve">  </w:t>
            </w:r>
            <w:r>
              <w:rPr>
                <w:b w:val="0"/>
                <w:bCs w:val="0"/>
                <w:spacing w:val="2"/>
                <w:highlight w:val="none"/>
              </w:rPr>
              <w:t>风口、排烟</w:t>
            </w:r>
            <w:r>
              <w:rPr>
                <w:b w:val="0"/>
                <w:bCs w:val="0"/>
                <w:highlight w:val="none"/>
              </w:rPr>
              <w:t xml:space="preserve">  </w:t>
            </w:r>
            <w:r>
              <w:rPr>
                <w:b w:val="0"/>
                <w:bCs w:val="0"/>
                <w:spacing w:val="2"/>
                <w:highlight w:val="none"/>
              </w:rPr>
              <w:t>阀、排烟防</w:t>
            </w:r>
            <w:r>
              <w:rPr>
                <w:b w:val="0"/>
                <w:bCs w:val="0"/>
                <w:highlight w:val="none"/>
              </w:rPr>
              <w:t xml:space="preserve">  </w:t>
            </w:r>
            <w:r>
              <w:rPr>
                <w:b w:val="0"/>
                <w:bCs w:val="0"/>
                <w:spacing w:val="2"/>
                <w:highlight w:val="none"/>
              </w:rPr>
              <w:t>火阀、防火</w:t>
            </w:r>
            <w:r>
              <w:rPr>
                <w:b w:val="0"/>
                <w:bCs w:val="0"/>
                <w:highlight w:val="none"/>
              </w:rPr>
              <w:t xml:space="preserve">  </w:t>
            </w:r>
            <w:r>
              <w:rPr>
                <w:b w:val="0"/>
                <w:bCs w:val="0"/>
                <w:spacing w:val="2"/>
                <w:highlight w:val="none"/>
              </w:rPr>
              <w:t>阀、电动排</w:t>
            </w:r>
            <w:r>
              <w:rPr>
                <w:b w:val="0"/>
                <w:bCs w:val="0"/>
                <w:highlight w:val="none"/>
              </w:rPr>
              <w:t xml:space="preserve">  </w:t>
            </w:r>
            <w:r>
              <w:rPr>
                <w:b w:val="0"/>
                <w:bCs w:val="0"/>
                <w:spacing w:val="-10"/>
                <w:highlight w:val="none"/>
              </w:rPr>
              <w:t>烟窗（4</w:t>
            </w:r>
            <w:r>
              <w:rPr>
                <w:b w:val="0"/>
                <w:bCs w:val="0"/>
                <w:spacing w:val="-33"/>
                <w:highlight w:val="none"/>
              </w:rPr>
              <w:t xml:space="preserve"> </w:t>
            </w:r>
            <w:r>
              <w:rPr>
                <w:b w:val="0"/>
                <w:bCs w:val="0"/>
                <w:spacing w:val="-10"/>
                <w:highlight w:val="none"/>
              </w:rPr>
              <w:t>分）</w:t>
            </w:r>
          </w:p>
        </w:tc>
        <w:tc>
          <w:tcPr>
            <w:tcW w:w="1731" w:type="pct"/>
            <w:vAlign w:val="center"/>
          </w:tcPr>
          <w:p w14:paraId="7A68D1CE">
            <w:pPr>
              <w:pStyle w:val="23"/>
              <w:keepNext w:val="0"/>
              <w:keepLines w:val="0"/>
              <w:suppressLineNumbers w:val="0"/>
              <w:spacing w:before="66" w:line="307" w:lineRule="auto"/>
              <w:ind w:left="111" w:right="105"/>
              <w:rPr>
                <w:b w:val="0"/>
                <w:bCs w:val="0"/>
                <w:highlight w:val="none"/>
              </w:rPr>
            </w:pPr>
            <w:r>
              <w:rPr>
                <w:b w:val="0"/>
                <w:bCs w:val="0"/>
                <w:highlight w:val="none"/>
              </w:rPr>
              <w:t>a)</w:t>
            </w:r>
            <w:r>
              <w:rPr>
                <w:b w:val="0"/>
                <w:bCs w:val="0"/>
                <w:spacing w:val="-48"/>
                <w:highlight w:val="none"/>
              </w:rPr>
              <w:t xml:space="preserve"> </w:t>
            </w:r>
            <w:r>
              <w:rPr>
                <w:b w:val="0"/>
                <w:bCs w:val="0"/>
                <w:highlight w:val="none"/>
              </w:rPr>
              <w:t>自然排烟口（窗）、补风口的面积、数量、位置、开启方式、手动</w:t>
            </w:r>
            <w:r>
              <w:rPr>
                <w:b w:val="0"/>
                <w:bCs w:val="0"/>
                <w:spacing w:val="-1"/>
                <w:highlight w:val="none"/>
              </w:rPr>
              <w:t>开启装置和自动开启设施；</w:t>
            </w:r>
          </w:p>
          <w:p w14:paraId="765D7942">
            <w:pPr>
              <w:pStyle w:val="23"/>
              <w:keepNext w:val="0"/>
              <w:keepLines w:val="0"/>
              <w:suppressLineNumbers w:val="0"/>
              <w:spacing w:before="25" w:line="307" w:lineRule="auto"/>
              <w:ind w:left="108" w:right="105" w:hanging="1"/>
              <w:rPr>
                <w:b w:val="0"/>
                <w:bCs w:val="0"/>
                <w:highlight w:val="none"/>
              </w:rPr>
            </w:pPr>
            <w:r>
              <w:rPr>
                <w:b w:val="0"/>
                <w:bCs w:val="0"/>
                <w:spacing w:val="1"/>
                <w:highlight w:val="none"/>
              </w:rPr>
              <w:t>b)排烟口、补风口、排烟阀、排烟防火阀、防火阀、电动排烟窗的设</w:t>
            </w:r>
            <w:r>
              <w:rPr>
                <w:b w:val="0"/>
                <w:bCs w:val="0"/>
                <w:spacing w:val="-1"/>
                <w:highlight w:val="none"/>
              </w:rPr>
              <w:t>置位置、安装、外观及标识；</w:t>
            </w:r>
          </w:p>
          <w:p w14:paraId="6A889581">
            <w:pPr>
              <w:pStyle w:val="23"/>
              <w:keepNext w:val="0"/>
              <w:keepLines w:val="0"/>
              <w:suppressLineNumbers w:val="0"/>
              <w:spacing w:before="24" w:line="307" w:lineRule="auto"/>
              <w:ind w:left="111" w:right="105" w:firstLine="2"/>
              <w:rPr>
                <w:b w:val="0"/>
                <w:bCs w:val="0"/>
                <w:highlight w:val="none"/>
              </w:rPr>
            </w:pPr>
            <w:r>
              <w:rPr>
                <w:b w:val="0"/>
                <w:bCs w:val="0"/>
                <w:spacing w:val="1"/>
                <w:highlight w:val="none"/>
              </w:rPr>
              <w:t>c)排烟口、补风口、排烟阀、排烟防火阀、防火阀、电动排烟窗的工</w:t>
            </w:r>
            <w:r>
              <w:rPr>
                <w:b w:val="0"/>
                <w:bCs w:val="0"/>
                <w:spacing w:val="-1"/>
                <w:highlight w:val="none"/>
              </w:rPr>
              <w:t>作状态、开启与复位操作、动作信号；</w:t>
            </w:r>
          </w:p>
          <w:p w14:paraId="29B48D85">
            <w:pPr>
              <w:pStyle w:val="23"/>
              <w:keepNext w:val="0"/>
              <w:keepLines w:val="0"/>
              <w:suppressLineNumbers w:val="0"/>
              <w:spacing w:before="25" w:line="220" w:lineRule="auto"/>
              <w:ind w:left="114"/>
              <w:rPr>
                <w:b w:val="0"/>
                <w:bCs w:val="0"/>
                <w:highlight w:val="none"/>
              </w:rPr>
            </w:pPr>
            <w:r>
              <w:rPr>
                <w:b w:val="0"/>
                <w:bCs w:val="0"/>
                <w:spacing w:val="-1"/>
                <w:highlight w:val="none"/>
              </w:rPr>
              <w:t>d)排烟防火阀联锁关闭相应排烟风机、补风机的功能。</w:t>
            </w:r>
          </w:p>
        </w:tc>
        <w:tc>
          <w:tcPr>
            <w:tcW w:w="1179" w:type="pct"/>
            <w:vAlign w:val="center"/>
          </w:tcPr>
          <w:p w14:paraId="2221FC73">
            <w:pPr>
              <w:pStyle w:val="23"/>
              <w:keepNext w:val="0"/>
              <w:keepLines w:val="0"/>
              <w:suppressLineNumbers w:val="0"/>
              <w:spacing w:before="59" w:line="307" w:lineRule="auto"/>
              <w:ind w:left="115" w:right="37" w:hanging="2"/>
              <w:rPr>
                <w:b w:val="0"/>
                <w:bCs w:val="0"/>
                <w:highlight w:val="none"/>
              </w:rPr>
            </w:pPr>
            <w:r>
              <w:rPr>
                <w:b w:val="0"/>
                <w:bCs w:val="0"/>
                <w:spacing w:val="-4"/>
                <w:highlight w:val="none"/>
              </w:rPr>
              <w:t>a)b)c)不符合要求各扣 1 分，d)</w:t>
            </w:r>
            <w:r>
              <w:rPr>
                <w:b w:val="0"/>
                <w:bCs w:val="0"/>
                <w:spacing w:val="-7"/>
                <w:highlight w:val="none"/>
              </w:rPr>
              <w:t>不符合要求扣</w:t>
            </w:r>
            <w:r>
              <w:rPr>
                <w:b w:val="0"/>
                <w:bCs w:val="0"/>
                <w:spacing w:val="-28"/>
                <w:highlight w:val="none"/>
              </w:rPr>
              <w:t xml:space="preserve"> </w:t>
            </w:r>
            <w:r>
              <w:rPr>
                <w:b w:val="0"/>
                <w:bCs w:val="0"/>
                <w:spacing w:val="-7"/>
                <w:highlight w:val="none"/>
              </w:rPr>
              <w:t>2</w:t>
            </w:r>
            <w:r>
              <w:rPr>
                <w:b w:val="0"/>
                <w:bCs w:val="0"/>
                <w:spacing w:val="-34"/>
                <w:highlight w:val="none"/>
              </w:rPr>
              <w:t xml:space="preserve"> </w:t>
            </w:r>
            <w:r>
              <w:rPr>
                <w:b w:val="0"/>
                <w:bCs w:val="0"/>
                <w:spacing w:val="-7"/>
                <w:highlight w:val="none"/>
              </w:rPr>
              <w:t>分；扣完不得分。</w:t>
            </w:r>
          </w:p>
        </w:tc>
        <w:tc>
          <w:tcPr>
            <w:tcW w:w="367" w:type="pct"/>
            <w:shd w:val="clear" w:color="auto" w:fill="auto"/>
            <w:vAlign w:val="center"/>
          </w:tcPr>
          <w:p w14:paraId="5C56B869">
            <w:pPr>
              <w:pStyle w:val="23"/>
              <w:keepNext w:val="0"/>
              <w:keepLines w:val="0"/>
              <w:suppressLineNumbers w:val="0"/>
              <w:spacing w:before="68" w:line="282" w:lineRule="auto"/>
              <w:ind w:right="101" w:rightChars="0"/>
              <w:jc w:val="center"/>
              <w:rPr>
                <w:rFonts w:hint="eastAsia" w:ascii="Arial" w:hAnsi="宋体" w:eastAsia="宋体" w:cs="宋体"/>
                <w:b w:val="0"/>
                <w:bCs w:val="0"/>
                <w:snapToGrid w:val="0"/>
                <w:color w:val="000000"/>
                <w:kern w:val="0"/>
                <w:sz w:val="21"/>
                <w:szCs w:val="18"/>
                <w:highlight w:val="none"/>
                <w:lang w:val="en-US" w:eastAsia="zh-CN" w:bidi="ar-SA"/>
              </w:rPr>
            </w:pPr>
          </w:p>
        </w:tc>
        <w:tc>
          <w:tcPr>
            <w:tcW w:w="338" w:type="pct"/>
            <w:vAlign w:val="center"/>
          </w:tcPr>
          <w:p w14:paraId="2487416A">
            <w:pPr>
              <w:keepNext w:val="0"/>
              <w:keepLines w:val="0"/>
              <w:suppressLineNumbers w:val="0"/>
              <w:spacing w:before="0" w:beforeAutospacing="0" w:after="0" w:afterAutospacing="0"/>
              <w:ind w:left="0" w:right="0" w:firstLine="418" w:firstLineChars="0"/>
              <w:rPr>
                <w:rFonts w:hint="eastAsia" w:ascii="宋体" w:hAnsi="宋体" w:eastAsia="宋体" w:cs="宋体"/>
                <w:b w:val="0"/>
                <w:bCs w:val="0"/>
                <w:sz w:val="21"/>
                <w:highlight w:val="none"/>
                <w:lang w:val="en-US" w:eastAsia="zh-CN"/>
              </w:rPr>
            </w:pPr>
          </w:p>
        </w:tc>
        <w:tc>
          <w:tcPr>
            <w:tcW w:w="330" w:type="pct"/>
            <w:vAlign w:val="center"/>
          </w:tcPr>
          <w:p w14:paraId="238F2A16">
            <w:pPr>
              <w:keepNext w:val="0"/>
              <w:keepLines w:val="0"/>
              <w:suppressLineNumbers w:val="0"/>
              <w:spacing w:before="0" w:beforeAutospacing="0" w:after="0" w:afterAutospacing="0"/>
              <w:ind w:left="0" w:right="0"/>
              <w:rPr>
                <w:rFonts w:hint="default" w:ascii="宋体" w:hAnsi="宋体" w:eastAsia="宋体" w:cs="宋体"/>
                <w:b w:val="0"/>
                <w:bCs w:val="0"/>
                <w:sz w:val="21"/>
                <w:highlight w:val="none"/>
                <w:lang w:val="en-US" w:eastAsia="zh-CN"/>
              </w:rPr>
            </w:pPr>
          </w:p>
        </w:tc>
      </w:tr>
      <w:tr w14:paraId="736F4A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1" w:hRule="atLeast"/>
          <w:jc w:val="center"/>
        </w:trPr>
        <w:tc>
          <w:tcPr>
            <w:tcW w:w="192" w:type="pct"/>
            <w:vMerge w:val="continue"/>
            <w:tcBorders>
              <w:top w:val="nil"/>
              <w:bottom w:val="nil"/>
            </w:tcBorders>
            <w:vAlign w:val="center"/>
          </w:tcPr>
          <w:p w14:paraId="1B12F20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nil"/>
            </w:tcBorders>
            <w:vAlign w:val="center"/>
          </w:tcPr>
          <w:p w14:paraId="6619A97C">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0FA3E001">
            <w:pPr>
              <w:pStyle w:val="23"/>
              <w:keepNext w:val="0"/>
              <w:keepLines w:val="0"/>
              <w:suppressLineNumbers w:val="0"/>
              <w:spacing w:before="58" w:line="307" w:lineRule="auto"/>
              <w:ind w:left="0" w:right="105" w:firstLine="0"/>
              <w:rPr>
                <w:b w:val="0"/>
                <w:bCs w:val="0"/>
                <w:highlight w:val="none"/>
              </w:rPr>
            </w:pPr>
            <w:r>
              <w:rPr>
                <w:b w:val="0"/>
                <w:bCs w:val="0"/>
                <w:spacing w:val="1"/>
                <w:highlight w:val="none"/>
              </w:rPr>
              <w:t>活动挡烟垂</w:t>
            </w:r>
            <w:r>
              <w:rPr>
                <w:b w:val="0"/>
                <w:bCs w:val="0"/>
                <w:spacing w:val="7"/>
                <w:highlight w:val="none"/>
              </w:rPr>
              <w:t>壁（3分）</w:t>
            </w:r>
          </w:p>
        </w:tc>
        <w:tc>
          <w:tcPr>
            <w:tcW w:w="1731" w:type="pct"/>
            <w:vAlign w:val="center"/>
          </w:tcPr>
          <w:p w14:paraId="35EA58E6">
            <w:pPr>
              <w:pStyle w:val="23"/>
              <w:keepNext w:val="0"/>
              <w:keepLines w:val="0"/>
              <w:suppressLineNumbers w:val="0"/>
              <w:spacing w:before="58" w:line="220" w:lineRule="auto"/>
              <w:ind w:left="111"/>
              <w:rPr>
                <w:b w:val="0"/>
                <w:bCs w:val="0"/>
                <w:highlight w:val="none"/>
              </w:rPr>
            </w:pPr>
            <w:r>
              <w:rPr>
                <w:b w:val="0"/>
                <w:bCs w:val="0"/>
                <w:spacing w:val="-1"/>
                <w:highlight w:val="none"/>
              </w:rPr>
              <w:t>a)活动挡烟垂壁安装、组件、外观；</w:t>
            </w:r>
          </w:p>
          <w:p w14:paraId="43AA9013">
            <w:pPr>
              <w:pStyle w:val="23"/>
              <w:keepNext w:val="0"/>
              <w:keepLines w:val="0"/>
              <w:suppressLineNumbers w:val="0"/>
              <w:spacing w:before="97" w:line="220" w:lineRule="auto"/>
              <w:ind w:left="107"/>
              <w:rPr>
                <w:b w:val="0"/>
                <w:bCs w:val="0"/>
                <w:highlight w:val="none"/>
              </w:rPr>
            </w:pPr>
            <w:r>
              <w:rPr>
                <w:b w:val="0"/>
                <w:bCs w:val="0"/>
                <w:spacing w:val="-1"/>
                <w:highlight w:val="none"/>
              </w:rPr>
              <w:t>b)活动挡烟垂壁的现场手动开启和消防控制室手动开启功</w:t>
            </w:r>
            <w:r>
              <w:rPr>
                <w:b w:val="0"/>
                <w:bCs w:val="0"/>
                <w:spacing w:val="-2"/>
                <w:highlight w:val="none"/>
              </w:rPr>
              <w:t>能；</w:t>
            </w:r>
          </w:p>
          <w:p w14:paraId="7C9F4D9D">
            <w:pPr>
              <w:pStyle w:val="23"/>
              <w:keepNext w:val="0"/>
              <w:keepLines w:val="0"/>
              <w:suppressLineNumbers w:val="0"/>
              <w:spacing w:before="97" w:line="220" w:lineRule="auto"/>
              <w:ind w:left="114"/>
              <w:rPr>
                <w:b w:val="0"/>
                <w:bCs w:val="0"/>
                <w:highlight w:val="none"/>
              </w:rPr>
            </w:pPr>
            <w:r>
              <w:rPr>
                <w:b w:val="0"/>
                <w:bCs w:val="0"/>
                <w:spacing w:val="-1"/>
                <w:highlight w:val="none"/>
              </w:rPr>
              <w:t>c)动作信号应在消防控制室显示。</w:t>
            </w:r>
          </w:p>
        </w:tc>
        <w:tc>
          <w:tcPr>
            <w:tcW w:w="1179" w:type="pct"/>
            <w:vAlign w:val="center"/>
          </w:tcPr>
          <w:p w14:paraId="649F70EF">
            <w:pPr>
              <w:pStyle w:val="23"/>
              <w:keepNext w:val="0"/>
              <w:keepLines w:val="0"/>
              <w:suppressLineNumbers w:val="0"/>
              <w:spacing w:before="58" w:line="307" w:lineRule="auto"/>
              <w:ind w:left="113" w:right="103"/>
              <w:rPr>
                <w:b w:val="0"/>
                <w:bCs w:val="0"/>
                <w:highlight w:val="none"/>
              </w:rPr>
            </w:pPr>
            <w:r>
              <w:rPr>
                <w:b w:val="0"/>
                <w:bCs w:val="0"/>
                <w:spacing w:val="-4"/>
                <w:highlight w:val="none"/>
              </w:rPr>
              <w:t>a)c)不符合要求各扣 1 分，b)不符合要求扣3</w:t>
            </w:r>
            <w:r>
              <w:rPr>
                <w:b w:val="0"/>
                <w:bCs w:val="0"/>
                <w:spacing w:val="-34"/>
                <w:highlight w:val="none"/>
              </w:rPr>
              <w:t xml:space="preserve"> </w:t>
            </w:r>
            <w:r>
              <w:rPr>
                <w:b w:val="0"/>
                <w:bCs w:val="0"/>
                <w:spacing w:val="-4"/>
                <w:highlight w:val="none"/>
              </w:rPr>
              <w:t>分；扣完不得分。</w:t>
            </w:r>
          </w:p>
        </w:tc>
        <w:tc>
          <w:tcPr>
            <w:tcW w:w="367" w:type="pct"/>
            <w:vAlign w:val="center"/>
          </w:tcPr>
          <w:p w14:paraId="411D0376">
            <w:pPr>
              <w:keepNext w:val="0"/>
              <w:keepLines w:val="0"/>
              <w:suppressLineNumbers w:val="0"/>
              <w:spacing w:before="0" w:beforeAutospacing="0" w:after="0" w:afterAutospacing="0"/>
              <w:ind w:left="0" w:right="0"/>
              <w:jc w:val="center"/>
              <w:rPr>
                <w:rFonts w:hint="default" w:ascii="Arial" w:eastAsia="宋体"/>
                <w:b w:val="0"/>
                <w:bCs w:val="0"/>
                <w:color w:val="auto"/>
                <w:sz w:val="21"/>
                <w:highlight w:val="none"/>
                <w:lang w:val="en-US" w:eastAsia="zh-CN"/>
              </w:rPr>
            </w:pPr>
          </w:p>
        </w:tc>
        <w:tc>
          <w:tcPr>
            <w:tcW w:w="338" w:type="pct"/>
            <w:vAlign w:val="center"/>
          </w:tcPr>
          <w:p w14:paraId="4F559BF9">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1645DE46">
            <w:pPr>
              <w:keepNext w:val="0"/>
              <w:keepLines w:val="0"/>
              <w:suppressLineNumbers w:val="0"/>
              <w:spacing w:before="0" w:beforeAutospacing="0" w:after="0" w:afterAutospacing="0"/>
              <w:ind w:left="0" w:right="0"/>
              <w:rPr>
                <w:rFonts w:hint="default" w:ascii="Arial"/>
                <w:b w:val="0"/>
                <w:bCs w:val="0"/>
                <w:sz w:val="21"/>
                <w:highlight w:val="none"/>
              </w:rPr>
            </w:pPr>
          </w:p>
        </w:tc>
      </w:tr>
      <w:tr w14:paraId="207B1A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0" w:hRule="atLeast"/>
          <w:jc w:val="center"/>
        </w:trPr>
        <w:tc>
          <w:tcPr>
            <w:tcW w:w="192" w:type="pct"/>
            <w:vMerge w:val="continue"/>
            <w:tcBorders>
              <w:top w:val="nil"/>
              <w:bottom w:val="single" w:color="auto" w:sz="4" w:space="0"/>
            </w:tcBorders>
            <w:vAlign w:val="center"/>
          </w:tcPr>
          <w:p w14:paraId="38ED3298">
            <w:pPr>
              <w:keepNext w:val="0"/>
              <w:keepLines w:val="0"/>
              <w:suppressLineNumbers w:val="0"/>
              <w:spacing w:before="0" w:beforeAutospacing="0" w:after="0" w:afterAutospacing="0"/>
              <w:ind w:left="0" w:right="0"/>
              <w:rPr>
                <w:rFonts w:hint="default" w:ascii="Arial"/>
                <w:b w:val="0"/>
                <w:bCs w:val="0"/>
                <w:sz w:val="21"/>
                <w:highlight w:val="none"/>
              </w:rPr>
            </w:pPr>
          </w:p>
        </w:tc>
        <w:tc>
          <w:tcPr>
            <w:tcW w:w="493" w:type="pct"/>
            <w:vMerge w:val="continue"/>
            <w:tcBorders>
              <w:top w:val="nil"/>
              <w:bottom w:val="single" w:color="auto" w:sz="4" w:space="0"/>
            </w:tcBorders>
            <w:vAlign w:val="center"/>
          </w:tcPr>
          <w:p w14:paraId="674EF981">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tcBorders>
              <w:bottom w:val="single" w:color="auto" w:sz="4" w:space="0"/>
            </w:tcBorders>
            <w:vAlign w:val="center"/>
          </w:tcPr>
          <w:p w14:paraId="371D26A0">
            <w:pPr>
              <w:pStyle w:val="23"/>
              <w:keepNext w:val="0"/>
              <w:keepLines w:val="0"/>
              <w:suppressLineNumbers w:val="0"/>
              <w:spacing w:before="58" w:line="307" w:lineRule="auto"/>
              <w:ind w:left="0" w:right="106" w:firstLine="0"/>
              <w:rPr>
                <w:b w:val="0"/>
                <w:bCs w:val="0"/>
                <w:highlight w:val="none"/>
              </w:rPr>
            </w:pPr>
            <w:r>
              <w:rPr>
                <w:b w:val="0"/>
                <w:bCs w:val="0"/>
                <w:spacing w:val="-15"/>
                <w:highlight w:val="none"/>
              </w:rPr>
              <w:t>系统功能（4</w:t>
            </w:r>
            <w:r>
              <w:rPr>
                <w:b w:val="0"/>
                <w:bCs w:val="0"/>
                <w:spacing w:val="4"/>
                <w:highlight w:val="none"/>
              </w:rPr>
              <w:t xml:space="preserve"> </w:t>
            </w:r>
            <w:r>
              <w:rPr>
                <w:b w:val="0"/>
                <w:bCs w:val="0"/>
                <w:spacing w:val="-6"/>
                <w:highlight w:val="none"/>
              </w:rPr>
              <w:t>分）</w:t>
            </w:r>
          </w:p>
        </w:tc>
        <w:tc>
          <w:tcPr>
            <w:tcW w:w="1731" w:type="pct"/>
            <w:tcBorders>
              <w:bottom w:val="single" w:color="auto" w:sz="4" w:space="0"/>
            </w:tcBorders>
            <w:vAlign w:val="center"/>
          </w:tcPr>
          <w:p w14:paraId="105996ED">
            <w:pPr>
              <w:pStyle w:val="23"/>
              <w:keepNext w:val="0"/>
              <w:keepLines w:val="0"/>
              <w:suppressLineNumbers w:val="0"/>
              <w:spacing w:before="95" w:line="307" w:lineRule="auto"/>
              <w:ind w:left="113" w:right="105"/>
              <w:rPr>
                <w:b w:val="0"/>
                <w:bCs w:val="0"/>
                <w:highlight w:val="none"/>
              </w:rPr>
            </w:pPr>
            <w:r>
              <w:rPr>
                <w:b w:val="0"/>
                <w:bCs w:val="0"/>
                <w:spacing w:val="-2"/>
                <w:highlight w:val="none"/>
              </w:rPr>
              <w:t>a)机械排烟系统的联动控制功能；</w:t>
            </w:r>
          </w:p>
          <w:p w14:paraId="43169A41">
            <w:pPr>
              <w:pStyle w:val="23"/>
              <w:keepNext w:val="0"/>
              <w:keepLines w:val="0"/>
              <w:suppressLineNumbers w:val="0"/>
              <w:spacing w:before="95" w:line="307" w:lineRule="auto"/>
              <w:ind w:left="113" w:right="105"/>
              <w:rPr>
                <w:b w:val="0"/>
                <w:bCs w:val="0"/>
                <w:highlight w:val="none"/>
              </w:rPr>
            </w:pPr>
            <w:r>
              <w:rPr>
                <w:b w:val="0"/>
                <w:bCs w:val="0"/>
                <w:spacing w:val="-2"/>
                <w:highlight w:val="none"/>
              </w:rPr>
              <w:t>b)电动排烟窗的直接启动或联动控制开启功能；</w:t>
            </w:r>
          </w:p>
          <w:p w14:paraId="676573E1">
            <w:pPr>
              <w:pStyle w:val="23"/>
              <w:keepNext w:val="0"/>
              <w:keepLines w:val="0"/>
              <w:suppressLineNumbers w:val="0"/>
              <w:spacing w:before="95" w:line="307" w:lineRule="auto"/>
              <w:ind w:left="113" w:right="105"/>
              <w:rPr>
                <w:b w:val="0"/>
                <w:bCs w:val="0"/>
                <w:spacing w:val="-5"/>
                <w:highlight w:val="none"/>
              </w:rPr>
            </w:pPr>
            <w:r>
              <w:rPr>
                <w:b w:val="0"/>
                <w:bCs w:val="0"/>
                <w:spacing w:val="1"/>
                <w:highlight w:val="none"/>
              </w:rPr>
              <w:t>c)当通风与排烟合用风机时，在火灾状态下是否能自动切换到高速运</w:t>
            </w:r>
            <w:r>
              <w:rPr>
                <w:b w:val="0"/>
                <w:bCs w:val="0"/>
                <w:spacing w:val="-3"/>
                <w:highlight w:val="none"/>
              </w:rPr>
              <w:t>行状态；</w:t>
            </w:r>
          </w:p>
          <w:p w14:paraId="684FD850">
            <w:pPr>
              <w:pStyle w:val="23"/>
              <w:keepNext w:val="0"/>
              <w:keepLines w:val="0"/>
              <w:numPr>
                <w:ilvl w:val="0"/>
                <w:numId w:val="0"/>
              </w:numPr>
              <w:suppressLineNumbers w:val="0"/>
              <w:spacing w:before="95" w:line="307" w:lineRule="auto"/>
              <w:ind w:left="107" w:right="105" w:firstLine="3"/>
              <w:rPr>
                <w:b w:val="0"/>
                <w:bCs w:val="0"/>
                <w:spacing w:val="10"/>
                <w:highlight w:val="none"/>
              </w:rPr>
            </w:pPr>
            <w:r>
              <w:rPr>
                <w:rFonts w:hint="eastAsia" w:ascii="宋体" w:hAnsi="宋体" w:eastAsia="宋体" w:cs="宋体"/>
                <w:b w:val="0"/>
                <w:bCs w:val="0"/>
                <w:snapToGrid/>
                <w:color w:val="000000"/>
                <w:spacing w:val="10"/>
                <w:kern w:val="0"/>
                <w:sz w:val="18"/>
                <w:szCs w:val="18"/>
                <w:highlight w:val="none"/>
                <w:lang w:val="en-US" w:eastAsia="zh-CN" w:bidi="ar"/>
              </w:rPr>
              <w:t>e)</w:t>
            </w:r>
            <w:r>
              <w:rPr>
                <w:b w:val="0"/>
                <w:bCs w:val="0"/>
                <w:spacing w:val="-5"/>
                <w:highlight w:val="none"/>
              </w:rPr>
              <w:t>排烟口、补风口的风速；</w:t>
            </w:r>
          </w:p>
          <w:p w14:paraId="1FBA45E9">
            <w:pPr>
              <w:pStyle w:val="23"/>
              <w:keepNext w:val="0"/>
              <w:keepLines w:val="0"/>
              <w:numPr>
                <w:ilvl w:val="0"/>
                <w:numId w:val="0"/>
              </w:numPr>
              <w:suppressLineNumbers w:val="0"/>
              <w:spacing w:before="95" w:line="307" w:lineRule="auto"/>
              <w:ind w:left="107" w:right="105" w:firstLine="3"/>
              <w:rPr>
                <w:b w:val="0"/>
                <w:bCs w:val="0"/>
                <w:highlight w:val="none"/>
              </w:rPr>
            </w:pPr>
            <w:r>
              <w:rPr>
                <w:rFonts w:hint="eastAsia" w:ascii="宋体" w:hAnsi="宋体" w:eastAsia="宋体" w:cs="宋体"/>
                <w:b w:val="0"/>
                <w:bCs w:val="0"/>
                <w:snapToGrid/>
                <w:color w:val="000000"/>
                <w:kern w:val="0"/>
                <w:sz w:val="18"/>
                <w:szCs w:val="18"/>
                <w:highlight w:val="none"/>
                <w:lang w:val="en-US" w:eastAsia="zh-CN" w:bidi="ar"/>
              </w:rPr>
              <w:t>f)</w:t>
            </w:r>
            <w:r>
              <w:rPr>
                <w:b w:val="0"/>
                <w:bCs w:val="0"/>
                <w:spacing w:val="-2"/>
                <w:highlight w:val="none"/>
              </w:rPr>
              <w:t>排烟量、补风量。</w:t>
            </w:r>
          </w:p>
        </w:tc>
        <w:tc>
          <w:tcPr>
            <w:tcW w:w="1179" w:type="pct"/>
            <w:tcBorders>
              <w:bottom w:val="single" w:color="auto" w:sz="4" w:space="0"/>
            </w:tcBorders>
            <w:vAlign w:val="center"/>
          </w:tcPr>
          <w:p w14:paraId="0FF6FC87">
            <w:pPr>
              <w:pStyle w:val="23"/>
              <w:keepNext w:val="0"/>
              <w:keepLines w:val="0"/>
              <w:suppressLineNumbers w:val="0"/>
              <w:spacing w:before="58" w:line="311" w:lineRule="auto"/>
              <w:ind w:left="114" w:right="103" w:hanging="1"/>
              <w:rPr>
                <w:b w:val="0"/>
                <w:bCs w:val="0"/>
                <w:highlight w:val="none"/>
              </w:rPr>
            </w:pPr>
            <w:r>
              <w:rPr>
                <w:b w:val="0"/>
                <w:bCs w:val="0"/>
                <w:spacing w:val="-3"/>
                <w:highlight w:val="none"/>
              </w:rPr>
              <w:t>a)b)c)e)不符合要求各扣 4</w:t>
            </w:r>
            <w:r>
              <w:rPr>
                <w:b w:val="0"/>
                <w:bCs w:val="0"/>
                <w:spacing w:val="-9"/>
                <w:highlight w:val="none"/>
              </w:rPr>
              <w:t xml:space="preserve"> </w:t>
            </w:r>
            <w:r>
              <w:rPr>
                <w:b w:val="0"/>
                <w:bCs w:val="0"/>
                <w:spacing w:val="-3"/>
                <w:highlight w:val="none"/>
              </w:rPr>
              <w:t>分，</w:t>
            </w:r>
            <w:r>
              <w:rPr>
                <w:b w:val="0"/>
                <w:bCs w:val="0"/>
                <w:highlight w:val="none"/>
              </w:rPr>
              <w:t xml:space="preserve"> </w:t>
            </w:r>
            <w:r>
              <w:rPr>
                <w:b w:val="0"/>
                <w:bCs w:val="0"/>
                <w:spacing w:val="-4"/>
                <w:highlight w:val="none"/>
              </w:rPr>
              <w:t>d)不符合要求扣 1 分；扣完不得</w:t>
            </w:r>
            <w:r>
              <w:rPr>
                <w:b w:val="0"/>
                <w:bCs w:val="0"/>
                <w:spacing w:val="-9"/>
                <w:highlight w:val="none"/>
              </w:rPr>
              <w:t>分。</w:t>
            </w:r>
          </w:p>
        </w:tc>
        <w:tc>
          <w:tcPr>
            <w:tcW w:w="367" w:type="pct"/>
            <w:tcBorders>
              <w:bottom w:val="single" w:color="auto" w:sz="4" w:space="0"/>
            </w:tcBorders>
            <w:shd w:val="clear" w:color="auto" w:fill="auto"/>
            <w:vAlign w:val="center"/>
          </w:tcPr>
          <w:p w14:paraId="5D5D88AE">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8" w:type="pct"/>
            <w:tcBorders>
              <w:bottom w:val="single" w:color="auto" w:sz="4" w:space="0"/>
            </w:tcBorders>
            <w:vAlign w:val="center"/>
          </w:tcPr>
          <w:p w14:paraId="28B93147">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tcBorders>
              <w:bottom w:val="single" w:color="auto" w:sz="4" w:space="0"/>
            </w:tcBorders>
            <w:vAlign w:val="center"/>
          </w:tcPr>
          <w:p w14:paraId="17024BB7">
            <w:pPr>
              <w:keepNext w:val="0"/>
              <w:keepLines w:val="0"/>
              <w:suppressLineNumbers w:val="0"/>
              <w:spacing w:before="0" w:beforeAutospacing="0" w:after="0" w:afterAutospacing="0"/>
              <w:ind w:left="0" w:right="0"/>
              <w:rPr>
                <w:rFonts w:hint="default" w:ascii="Arial"/>
                <w:b w:val="0"/>
                <w:bCs w:val="0"/>
                <w:sz w:val="21"/>
                <w:highlight w:val="none"/>
              </w:rPr>
            </w:pPr>
          </w:p>
        </w:tc>
      </w:tr>
      <w:tr w14:paraId="5E8166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0" w:hRule="atLeast"/>
          <w:jc w:val="center"/>
        </w:trPr>
        <w:tc>
          <w:tcPr>
            <w:tcW w:w="192" w:type="pct"/>
            <w:tcBorders>
              <w:top w:val="single" w:color="auto" w:sz="4" w:space="0"/>
              <w:left w:val="single" w:color="auto" w:sz="4" w:space="0"/>
              <w:bottom w:val="single" w:color="auto" w:sz="4" w:space="0"/>
              <w:right w:val="single" w:color="auto" w:sz="4" w:space="0"/>
            </w:tcBorders>
            <w:vAlign w:val="center"/>
          </w:tcPr>
          <w:p w14:paraId="25EEF812">
            <w:pPr>
              <w:pStyle w:val="23"/>
              <w:keepNext w:val="0"/>
              <w:keepLines w:val="0"/>
              <w:suppressLineNumbers w:val="0"/>
              <w:spacing w:before="59" w:line="182" w:lineRule="auto"/>
              <w:ind w:left="236"/>
              <w:rPr>
                <w:rFonts w:hint="default" w:eastAsia="宋体"/>
                <w:b w:val="0"/>
                <w:bCs w:val="0"/>
                <w:highlight w:val="none"/>
                <w:lang w:val="en-US" w:eastAsia="zh-CN"/>
              </w:rPr>
            </w:pPr>
            <w:r>
              <w:rPr>
                <w:rFonts w:hint="eastAsia"/>
                <w:b w:val="0"/>
                <w:bCs w:val="0"/>
                <w:highlight w:val="none"/>
                <w:lang w:val="en-US" w:eastAsia="zh-CN"/>
              </w:rPr>
              <w:t>19</w:t>
            </w:r>
          </w:p>
        </w:tc>
        <w:tc>
          <w:tcPr>
            <w:tcW w:w="493" w:type="pct"/>
            <w:tcBorders>
              <w:top w:val="single" w:color="auto" w:sz="4" w:space="0"/>
              <w:left w:val="single" w:color="auto" w:sz="4" w:space="0"/>
              <w:bottom w:val="single" w:color="auto" w:sz="4" w:space="0"/>
              <w:right w:val="single" w:color="auto" w:sz="4" w:space="0"/>
            </w:tcBorders>
            <w:vAlign w:val="center"/>
          </w:tcPr>
          <w:p w14:paraId="55C09EB5">
            <w:pPr>
              <w:pStyle w:val="23"/>
              <w:keepNext w:val="0"/>
              <w:keepLines w:val="0"/>
              <w:suppressLineNumbers w:val="0"/>
              <w:spacing w:before="58" w:line="311" w:lineRule="auto"/>
              <w:ind w:left="172" w:right="168"/>
              <w:jc w:val="both"/>
              <w:rPr>
                <w:b w:val="0"/>
                <w:bCs w:val="0"/>
                <w:highlight w:val="none"/>
              </w:rPr>
            </w:pPr>
            <w:r>
              <w:rPr>
                <w:b w:val="0"/>
                <w:bCs w:val="0"/>
                <w:spacing w:val="-3"/>
                <w:highlight w:val="none"/>
              </w:rPr>
              <w:t>消防应急照明和疏散指示</w:t>
            </w:r>
            <w:r>
              <w:rPr>
                <w:rFonts w:hint="eastAsia"/>
                <w:b w:val="0"/>
                <w:bCs w:val="0"/>
                <w:spacing w:val="-3"/>
                <w:highlight w:val="none"/>
                <w:lang w:eastAsia="zh-CN"/>
              </w:rPr>
              <w:t>系统</w:t>
            </w:r>
            <w:r>
              <w:rPr>
                <w:b w:val="0"/>
                <w:bCs w:val="0"/>
                <w:spacing w:val="-3"/>
                <w:highlight w:val="none"/>
              </w:rPr>
              <w:t>（15 分）</w:t>
            </w:r>
          </w:p>
        </w:tc>
        <w:tc>
          <w:tcPr>
            <w:tcW w:w="367" w:type="pct"/>
            <w:tcBorders>
              <w:top w:val="single" w:color="auto" w:sz="4" w:space="0"/>
              <w:left w:val="single" w:color="auto" w:sz="4" w:space="0"/>
              <w:bottom w:val="single" w:color="auto" w:sz="4" w:space="0"/>
              <w:right w:val="single" w:color="auto" w:sz="4" w:space="0"/>
            </w:tcBorders>
            <w:vAlign w:val="center"/>
          </w:tcPr>
          <w:p w14:paraId="0A523F12">
            <w:pPr>
              <w:pStyle w:val="23"/>
              <w:keepNext w:val="0"/>
              <w:keepLines w:val="0"/>
              <w:suppressLineNumbers w:val="0"/>
              <w:spacing w:before="59" w:line="307" w:lineRule="auto"/>
              <w:ind w:left="0" w:right="105" w:firstLine="0"/>
              <w:rPr>
                <w:b w:val="0"/>
                <w:bCs w:val="0"/>
                <w:highlight w:val="none"/>
              </w:rPr>
            </w:pPr>
            <w:r>
              <w:rPr>
                <w:b w:val="0"/>
                <w:bCs w:val="0"/>
                <w:spacing w:val="1"/>
                <w:highlight w:val="none"/>
              </w:rPr>
              <w:t>消防应急照</w:t>
            </w:r>
            <w:r>
              <w:rPr>
                <w:b w:val="0"/>
                <w:bCs w:val="0"/>
                <w:spacing w:val="3"/>
                <w:highlight w:val="none"/>
              </w:rPr>
              <w:t>明（5分）</w:t>
            </w:r>
          </w:p>
        </w:tc>
        <w:tc>
          <w:tcPr>
            <w:tcW w:w="1731" w:type="pct"/>
            <w:tcBorders>
              <w:top w:val="single" w:color="auto" w:sz="4" w:space="0"/>
              <w:left w:val="single" w:color="auto" w:sz="4" w:space="0"/>
              <w:bottom w:val="single" w:color="auto" w:sz="4" w:space="0"/>
              <w:right w:val="single" w:color="auto" w:sz="4" w:space="0"/>
            </w:tcBorders>
            <w:vAlign w:val="center"/>
          </w:tcPr>
          <w:p w14:paraId="20310467">
            <w:pPr>
              <w:pStyle w:val="23"/>
              <w:keepNext w:val="0"/>
              <w:keepLines w:val="0"/>
              <w:suppressLineNumbers w:val="0"/>
              <w:spacing w:before="67" w:line="220" w:lineRule="auto"/>
              <w:ind w:left="111"/>
              <w:rPr>
                <w:b w:val="0"/>
                <w:bCs w:val="0"/>
                <w:highlight w:val="none"/>
              </w:rPr>
            </w:pPr>
            <w:r>
              <w:rPr>
                <w:b w:val="0"/>
                <w:bCs w:val="0"/>
                <w:spacing w:val="-1"/>
                <w:highlight w:val="none"/>
              </w:rPr>
              <w:t>a)是否按规定设置消防应急照明系统；</w:t>
            </w:r>
          </w:p>
          <w:p w14:paraId="1C628C0D">
            <w:pPr>
              <w:pStyle w:val="23"/>
              <w:keepNext w:val="0"/>
              <w:keepLines w:val="0"/>
              <w:suppressLineNumbers w:val="0"/>
              <w:spacing w:before="97" w:line="220" w:lineRule="auto"/>
              <w:ind w:left="107"/>
              <w:rPr>
                <w:b w:val="0"/>
                <w:bCs w:val="0"/>
                <w:highlight w:val="none"/>
              </w:rPr>
            </w:pPr>
            <w:r>
              <w:rPr>
                <w:b w:val="0"/>
                <w:bCs w:val="0"/>
                <w:spacing w:val="-1"/>
                <w:highlight w:val="none"/>
              </w:rPr>
              <w:t>b)消防应急照明灯具的设置场所、类别、型号；</w:t>
            </w:r>
          </w:p>
          <w:p w14:paraId="29C49565">
            <w:pPr>
              <w:pStyle w:val="23"/>
              <w:keepNext w:val="0"/>
              <w:keepLines w:val="0"/>
              <w:suppressLineNumbers w:val="0"/>
              <w:spacing w:before="97" w:line="220" w:lineRule="auto"/>
              <w:ind w:left="114"/>
              <w:rPr>
                <w:b w:val="0"/>
                <w:bCs w:val="0"/>
                <w:highlight w:val="none"/>
              </w:rPr>
            </w:pPr>
            <w:r>
              <w:rPr>
                <w:b w:val="0"/>
                <w:bCs w:val="0"/>
                <w:spacing w:val="-2"/>
                <w:highlight w:val="none"/>
              </w:rPr>
              <w:t>c)消防应急照明灯具的安装、外观、状态指示灯、遮挡情况；</w:t>
            </w:r>
          </w:p>
          <w:p w14:paraId="4D296CAE">
            <w:pPr>
              <w:pStyle w:val="23"/>
              <w:keepNext w:val="0"/>
              <w:keepLines w:val="0"/>
              <w:suppressLineNumbers w:val="0"/>
              <w:spacing w:before="97" w:line="220" w:lineRule="auto"/>
              <w:ind w:left="114"/>
              <w:rPr>
                <w:b w:val="0"/>
                <w:bCs w:val="0"/>
                <w:highlight w:val="none"/>
              </w:rPr>
            </w:pPr>
            <w:r>
              <w:rPr>
                <w:b w:val="0"/>
                <w:bCs w:val="0"/>
                <w:spacing w:val="-1"/>
                <w:highlight w:val="none"/>
              </w:rPr>
              <w:t>d)灯具光源应急点亮的响应时间；</w:t>
            </w:r>
          </w:p>
          <w:p w14:paraId="0B902BDA">
            <w:pPr>
              <w:pStyle w:val="23"/>
              <w:keepNext w:val="0"/>
              <w:keepLines w:val="0"/>
              <w:suppressLineNumbers w:val="0"/>
              <w:spacing w:before="96" w:line="307" w:lineRule="auto"/>
              <w:ind w:left="109" w:right="105" w:firstLine="5"/>
              <w:rPr>
                <w:b w:val="0"/>
                <w:bCs w:val="0"/>
                <w:highlight w:val="none"/>
              </w:rPr>
            </w:pPr>
            <w:r>
              <w:rPr>
                <w:b w:val="0"/>
                <w:bCs w:val="0"/>
                <w:highlight w:val="none"/>
              </w:rPr>
              <w:t>e)消防控制室、消防水泵房、自备发电机房、配电室、防排</w:t>
            </w:r>
            <w:r>
              <w:rPr>
                <w:b w:val="0"/>
                <w:bCs w:val="0"/>
                <w:spacing w:val="1"/>
                <w:highlight w:val="none"/>
              </w:rPr>
              <w:t>烟机房以</w:t>
            </w:r>
            <w:r>
              <w:rPr>
                <w:b w:val="0"/>
                <w:bCs w:val="0"/>
                <w:highlight w:val="none"/>
              </w:rPr>
              <w:t>及发生火灾时仍需正常工作的消防设备房是</w:t>
            </w:r>
            <w:r>
              <w:rPr>
                <w:b w:val="0"/>
                <w:bCs w:val="0"/>
                <w:spacing w:val="-1"/>
                <w:highlight w:val="none"/>
              </w:rPr>
              <w:t>否设置备用照明；</w:t>
            </w:r>
          </w:p>
          <w:p w14:paraId="221B9436">
            <w:pPr>
              <w:pStyle w:val="23"/>
              <w:keepNext w:val="0"/>
              <w:keepLines w:val="0"/>
              <w:suppressLineNumbers w:val="0"/>
              <w:spacing w:before="26" w:line="282" w:lineRule="auto"/>
              <w:ind w:left="113" w:right="122"/>
              <w:rPr>
                <w:b w:val="0"/>
                <w:bCs w:val="0"/>
                <w:spacing w:val="6"/>
                <w:highlight w:val="none"/>
              </w:rPr>
            </w:pPr>
            <w:r>
              <w:rPr>
                <w:b w:val="0"/>
                <w:bCs w:val="0"/>
                <w:spacing w:val="-3"/>
                <w:highlight w:val="none"/>
              </w:rPr>
              <w:t>f)备用照明、疏散照明的地面最低水平照度；</w:t>
            </w:r>
          </w:p>
          <w:p w14:paraId="438B49DA">
            <w:pPr>
              <w:pStyle w:val="23"/>
              <w:keepNext w:val="0"/>
              <w:keepLines w:val="0"/>
              <w:suppressLineNumbers w:val="0"/>
              <w:spacing w:before="26" w:line="282" w:lineRule="auto"/>
              <w:ind w:left="113" w:right="122"/>
              <w:rPr>
                <w:b w:val="0"/>
                <w:bCs w:val="0"/>
                <w:highlight w:val="none"/>
              </w:rPr>
            </w:pPr>
            <w:r>
              <w:rPr>
                <w:b w:val="0"/>
                <w:bCs w:val="0"/>
                <w:spacing w:val="-1"/>
                <w:highlight w:val="none"/>
              </w:rPr>
              <w:t>g)消防应急照明备用电源的连续供电时间。</w:t>
            </w:r>
          </w:p>
        </w:tc>
        <w:tc>
          <w:tcPr>
            <w:tcW w:w="1179" w:type="pct"/>
            <w:tcBorders>
              <w:top w:val="single" w:color="auto" w:sz="4" w:space="0"/>
              <w:left w:val="single" w:color="auto" w:sz="4" w:space="0"/>
              <w:bottom w:val="single" w:color="auto" w:sz="4" w:space="0"/>
              <w:right w:val="single" w:color="auto" w:sz="4" w:space="0"/>
            </w:tcBorders>
            <w:vAlign w:val="center"/>
          </w:tcPr>
          <w:p w14:paraId="785F06D7">
            <w:pPr>
              <w:pStyle w:val="23"/>
              <w:keepNext w:val="0"/>
              <w:keepLines w:val="0"/>
              <w:suppressLineNumbers w:val="0"/>
              <w:spacing w:before="58" w:line="313" w:lineRule="auto"/>
              <w:ind w:left="113" w:right="103"/>
              <w:jc w:val="both"/>
              <w:rPr>
                <w:b w:val="0"/>
                <w:bCs w:val="0"/>
                <w:highlight w:val="none"/>
              </w:rPr>
            </w:pPr>
            <w:r>
              <w:rPr>
                <w:b w:val="0"/>
                <w:bCs w:val="0"/>
                <w:spacing w:val="-4"/>
                <w:highlight w:val="none"/>
              </w:rPr>
              <w:t>a）按照规范应设但未设置消防应急照明系统扣 5 分，其他每条检查内容不符合要求各扣 1 分；扣</w:t>
            </w:r>
            <w:r>
              <w:rPr>
                <w:b w:val="0"/>
                <w:bCs w:val="0"/>
                <w:spacing w:val="-5"/>
                <w:highlight w:val="none"/>
              </w:rPr>
              <w:t>完不得分。</w:t>
            </w:r>
          </w:p>
        </w:tc>
        <w:tc>
          <w:tcPr>
            <w:tcW w:w="367" w:type="pct"/>
            <w:tcBorders>
              <w:top w:val="single" w:color="auto" w:sz="4" w:space="0"/>
              <w:left w:val="single" w:color="auto" w:sz="4" w:space="0"/>
              <w:bottom w:val="single" w:color="auto" w:sz="4" w:space="0"/>
              <w:right w:val="single" w:color="auto" w:sz="4" w:space="0"/>
            </w:tcBorders>
            <w:vAlign w:val="center"/>
          </w:tcPr>
          <w:p w14:paraId="622A2684">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21"/>
                <w:highlight w:val="none"/>
                <w:lang w:val="en-US" w:eastAsia="zh-CN"/>
              </w:rPr>
            </w:pPr>
          </w:p>
        </w:tc>
        <w:tc>
          <w:tcPr>
            <w:tcW w:w="338" w:type="pct"/>
            <w:tcBorders>
              <w:top w:val="single" w:color="auto" w:sz="4" w:space="0"/>
              <w:left w:val="single" w:color="auto" w:sz="4" w:space="0"/>
              <w:bottom w:val="single" w:color="auto" w:sz="4" w:space="0"/>
              <w:right w:val="single" w:color="auto" w:sz="4" w:space="0"/>
            </w:tcBorders>
            <w:vAlign w:val="center"/>
          </w:tcPr>
          <w:p w14:paraId="7BBABD0B">
            <w:pPr>
              <w:keepNext w:val="0"/>
              <w:keepLines w:val="0"/>
              <w:suppressLineNumbers w:val="0"/>
              <w:spacing w:before="0" w:beforeAutospacing="0" w:after="0" w:afterAutospacing="0"/>
              <w:ind w:left="0" w:right="0" w:firstLine="330" w:firstLineChars="0"/>
              <w:rPr>
                <w:rFonts w:hint="eastAsia" w:ascii="宋体" w:hAnsi="宋体" w:eastAsia="宋体" w:cs="宋体"/>
                <w:b w:val="0"/>
                <w:bCs w:val="0"/>
                <w:color w:val="auto"/>
                <w:sz w:val="21"/>
                <w:highlight w:val="none"/>
                <w:lang w:val="en-US" w:eastAsia="zh-CN"/>
              </w:rPr>
            </w:pPr>
          </w:p>
        </w:tc>
        <w:tc>
          <w:tcPr>
            <w:tcW w:w="330" w:type="pct"/>
            <w:tcBorders>
              <w:top w:val="single" w:color="auto" w:sz="4" w:space="0"/>
              <w:left w:val="single" w:color="auto" w:sz="4" w:space="0"/>
              <w:bottom w:val="single" w:color="auto" w:sz="4" w:space="0"/>
              <w:right w:val="single" w:color="auto" w:sz="4" w:space="0"/>
            </w:tcBorders>
            <w:vAlign w:val="center"/>
          </w:tcPr>
          <w:p w14:paraId="7F966145">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bl>
    <w:p w14:paraId="2E272762">
      <w:pPr>
        <w:rPr>
          <w:highlight w:val="none"/>
        </w:rPr>
      </w:pPr>
      <w:r>
        <w:rPr>
          <w:highlight w:val="none"/>
        </w:rPr>
        <w:br w:type="page"/>
      </w:r>
    </w:p>
    <w:tbl>
      <w:tblPr>
        <w:tblStyle w:val="24"/>
        <w:tblW w:w="495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63"/>
        <w:gridCol w:w="1466"/>
        <w:gridCol w:w="1094"/>
        <w:gridCol w:w="5171"/>
        <w:gridCol w:w="3520"/>
        <w:gridCol w:w="1094"/>
        <w:gridCol w:w="1007"/>
        <w:gridCol w:w="979"/>
      </w:tblGrid>
      <w:tr w14:paraId="7FEE4D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189" w:type="pct"/>
            <w:vAlign w:val="center"/>
          </w:tcPr>
          <w:p w14:paraId="3F0A2905">
            <w:pPr>
              <w:pStyle w:val="23"/>
              <w:keepNext w:val="0"/>
              <w:keepLines w:val="0"/>
              <w:suppressLineNumbers w:val="0"/>
              <w:spacing w:before="70" w:line="222" w:lineRule="auto"/>
              <w:ind w:left="140"/>
              <w:rPr>
                <w:highlight w:val="none"/>
              </w:rPr>
            </w:pPr>
            <w:r>
              <w:rPr>
                <w:b/>
                <w:bCs/>
                <w:spacing w:val="-3"/>
                <w:highlight w:val="none"/>
              </w:rPr>
              <w:t>序号</w:t>
            </w:r>
          </w:p>
        </w:tc>
        <w:tc>
          <w:tcPr>
            <w:tcW w:w="492" w:type="pct"/>
            <w:vAlign w:val="center"/>
          </w:tcPr>
          <w:p w14:paraId="45CB7BE8">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7" w:type="pct"/>
            <w:vAlign w:val="center"/>
          </w:tcPr>
          <w:p w14:paraId="08BA9933">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5" w:type="pct"/>
            <w:vAlign w:val="center"/>
          </w:tcPr>
          <w:p w14:paraId="548B9073">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1" w:type="pct"/>
            <w:vAlign w:val="center"/>
          </w:tcPr>
          <w:p w14:paraId="02891C6F">
            <w:pPr>
              <w:pStyle w:val="23"/>
              <w:keepNext w:val="0"/>
              <w:keepLines w:val="0"/>
              <w:suppressLineNumbers w:val="0"/>
              <w:spacing w:before="70" w:line="221" w:lineRule="auto"/>
              <w:ind w:left="1299"/>
              <w:rPr>
                <w:highlight w:val="none"/>
              </w:rPr>
            </w:pPr>
            <w:r>
              <w:rPr>
                <w:b/>
                <w:bCs/>
                <w:spacing w:val="-3"/>
                <w:highlight w:val="none"/>
              </w:rPr>
              <w:t>评分标准</w:t>
            </w:r>
          </w:p>
        </w:tc>
        <w:tc>
          <w:tcPr>
            <w:tcW w:w="367" w:type="pct"/>
            <w:vAlign w:val="center"/>
          </w:tcPr>
          <w:p w14:paraId="19CEEBE9">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55A0F1D3">
            <w:pPr>
              <w:pStyle w:val="23"/>
              <w:keepNext w:val="0"/>
              <w:keepLines w:val="0"/>
              <w:suppressLineNumbers w:val="0"/>
              <w:spacing w:before="70" w:line="221" w:lineRule="auto"/>
              <w:ind w:left="316"/>
              <w:rPr>
                <w:highlight w:val="none"/>
              </w:rPr>
            </w:pPr>
            <w:r>
              <w:rPr>
                <w:b/>
                <w:bCs/>
                <w:spacing w:val="-4"/>
                <w:highlight w:val="none"/>
              </w:rPr>
              <w:t>扣分</w:t>
            </w:r>
          </w:p>
        </w:tc>
        <w:tc>
          <w:tcPr>
            <w:tcW w:w="328" w:type="pct"/>
            <w:vAlign w:val="center"/>
          </w:tcPr>
          <w:p w14:paraId="6EB67BF4">
            <w:pPr>
              <w:pStyle w:val="23"/>
              <w:keepNext w:val="0"/>
              <w:keepLines w:val="0"/>
              <w:suppressLineNumbers w:val="0"/>
              <w:spacing w:before="71" w:line="220" w:lineRule="auto"/>
              <w:ind w:left="295"/>
              <w:rPr>
                <w:highlight w:val="none"/>
              </w:rPr>
            </w:pPr>
            <w:r>
              <w:rPr>
                <w:b/>
                <w:bCs/>
                <w:spacing w:val="-4"/>
                <w:highlight w:val="none"/>
              </w:rPr>
              <w:t>得分</w:t>
            </w:r>
          </w:p>
        </w:tc>
      </w:tr>
      <w:tr w14:paraId="6CBE45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5" w:hRule="atLeast"/>
          <w:jc w:val="center"/>
        </w:trPr>
        <w:tc>
          <w:tcPr>
            <w:tcW w:w="189" w:type="pct"/>
            <w:vMerge w:val="restart"/>
            <w:tcBorders>
              <w:top w:val="nil"/>
            </w:tcBorders>
            <w:vAlign w:val="center"/>
          </w:tcPr>
          <w:p w14:paraId="729EE4CE">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restart"/>
            <w:tcBorders>
              <w:top w:val="nil"/>
            </w:tcBorders>
            <w:vAlign w:val="center"/>
          </w:tcPr>
          <w:p w14:paraId="5BB7B62B">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0969DE9B">
            <w:pPr>
              <w:pStyle w:val="23"/>
              <w:keepNext w:val="0"/>
              <w:keepLines w:val="0"/>
              <w:suppressLineNumbers w:val="0"/>
              <w:spacing w:before="59" w:line="311" w:lineRule="auto"/>
              <w:ind w:left="0" w:right="105" w:firstLine="0"/>
              <w:jc w:val="both"/>
              <w:rPr>
                <w:b w:val="0"/>
                <w:bCs w:val="0"/>
                <w:highlight w:val="none"/>
              </w:rPr>
            </w:pPr>
            <w:r>
              <w:rPr>
                <w:b w:val="0"/>
                <w:bCs w:val="0"/>
                <w:spacing w:val="1"/>
                <w:highlight w:val="none"/>
              </w:rPr>
              <w:t>消防疏散指</w:t>
            </w:r>
            <w:r>
              <w:rPr>
                <w:b w:val="0"/>
                <w:bCs w:val="0"/>
                <w:spacing w:val="6"/>
                <w:highlight w:val="none"/>
              </w:rPr>
              <w:t>示标志（</w:t>
            </w:r>
            <w:r>
              <w:rPr>
                <w:b w:val="0"/>
                <w:bCs w:val="0"/>
                <w:spacing w:val="-26"/>
                <w:highlight w:val="none"/>
              </w:rPr>
              <w:t xml:space="preserve"> </w:t>
            </w:r>
            <w:r>
              <w:rPr>
                <w:b w:val="0"/>
                <w:bCs w:val="0"/>
                <w:spacing w:val="6"/>
                <w:highlight w:val="none"/>
              </w:rPr>
              <w:t>5</w:t>
            </w:r>
            <w:r>
              <w:rPr>
                <w:b w:val="0"/>
                <w:bCs w:val="0"/>
                <w:highlight w:val="none"/>
              </w:rPr>
              <w:t xml:space="preserve"> </w:t>
            </w:r>
            <w:r>
              <w:rPr>
                <w:b w:val="0"/>
                <w:bCs w:val="0"/>
                <w:spacing w:val="-5"/>
                <w:highlight w:val="none"/>
              </w:rPr>
              <w:t>分）</w:t>
            </w:r>
          </w:p>
        </w:tc>
        <w:tc>
          <w:tcPr>
            <w:tcW w:w="1735" w:type="pct"/>
            <w:vAlign w:val="center"/>
          </w:tcPr>
          <w:p w14:paraId="51A24A87">
            <w:pPr>
              <w:pStyle w:val="23"/>
              <w:keepNext w:val="0"/>
              <w:keepLines w:val="0"/>
              <w:suppressLineNumbers w:val="0"/>
              <w:spacing w:before="68" w:line="220" w:lineRule="auto"/>
              <w:ind w:left="111"/>
              <w:rPr>
                <w:b w:val="0"/>
                <w:bCs w:val="0"/>
                <w:highlight w:val="none"/>
              </w:rPr>
            </w:pPr>
            <w:r>
              <w:rPr>
                <w:b w:val="0"/>
                <w:bCs w:val="0"/>
                <w:spacing w:val="-1"/>
                <w:highlight w:val="none"/>
              </w:rPr>
              <w:t>a)是否按规定设置消防疏散指示标志系统；</w:t>
            </w:r>
          </w:p>
          <w:p w14:paraId="6C0FB09A">
            <w:pPr>
              <w:pStyle w:val="23"/>
              <w:keepNext w:val="0"/>
              <w:keepLines w:val="0"/>
              <w:suppressLineNumbers w:val="0"/>
              <w:spacing w:before="97" w:line="220" w:lineRule="auto"/>
              <w:ind w:left="107"/>
              <w:rPr>
                <w:b w:val="0"/>
                <w:bCs w:val="0"/>
                <w:highlight w:val="none"/>
              </w:rPr>
            </w:pPr>
            <w:r>
              <w:rPr>
                <w:b w:val="0"/>
                <w:bCs w:val="0"/>
                <w:spacing w:val="-1"/>
                <w:highlight w:val="none"/>
              </w:rPr>
              <w:t>b)消防疏散指示标志的设置场所、类别、型号、间距；</w:t>
            </w:r>
          </w:p>
          <w:p w14:paraId="75132237">
            <w:pPr>
              <w:pStyle w:val="23"/>
              <w:keepNext w:val="0"/>
              <w:keepLines w:val="0"/>
              <w:suppressLineNumbers w:val="0"/>
              <w:spacing w:before="97" w:line="307" w:lineRule="auto"/>
              <w:ind w:left="112" w:right="105" w:firstLine="1"/>
              <w:rPr>
                <w:b w:val="0"/>
                <w:bCs w:val="0"/>
                <w:highlight w:val="none"/>
              </w:rPr>
            </w:pPr>
            <w:r>
              <w:rPr>
                <w:b w:val="0"/>
                <w:bCs w:val="0"/>
                <w:spacing w:val="1"/>
                <w:highlight w:val="none"/>
              </w:rPr>
              <w:t>c)消防疏散指示标志的安装、外观、状态指示、遮挡情况、疏散方向</w:t>
            </w:r>
            <w:r>
              <w:rPr>
                <w:b w:val="0"/>
                <w:bCs w:val="0"/>
                <w:spacing w:val="-4"/>
                <w:highlight w:val="none"/>
              </w:rPr>
              <w:t>指示；</w:t>
            </w:r>
          </w:p>
          <w:p w14:paraId="20654F7C">
            <w:pPr>
              <w:pStyle w:val="23"/>
              <w:keepNext w:val="0"/>
              <w:keepLines w:val="0"/>
              <w:suppressLineNumbers w:val="0"/>
              <w:spacing w:before="23" w:line="307" w:lineRule="auto"/>
              <w:ind w:left="114" w:right="127"/>
              <w:rPr>
                <w:b w:val="0"/>
                <w:bCs w:val="0"/>
                <w:spacing w:val="15"/>
                <w:highlight w:val="none"/>
              </w:rPr>
            </w:pPr>
            <w:r>
              <w:rPr>
                <w:b w:val="0"/>
                <w:bCs w:val="0"/>
                <w:spacing w:val="-4"/>
                <w:highlight w:val="none"/>
              </w:rPr>
              <w:t>d)消防应急疏散标志灯具的响应时间；</w:t>
            </w:r>
            <w:r>
              <w:rPr>
                <w:b w:val="0"/>
                <w:bCs w:val="0"/>
                <w:spacing w:val="15"/>
                <w:highlight w:val="none"/>
              </w:rPr>
              <w:t xml:space="preserve"> </w:t>
            </w:r>
          </w:p>
          <w:p w14:paraId="3BBB3C1D">
            <w:pPr>
              <w:pStyle w:val="23"/>
              <w:keepNext w:val="0"/>
              <w:keepLines w:val="0"/>
              <w:suppressLineNumbers w:val="0"/>
              <w:spacing w:before="23" w:line="307" w:lineRule="auto"/>
              <w:ind w:left="114" w:right="127"/>
              <w:rPr>
                <w:b w:val="0"/>
                <w:bCs w:val="0"/>
                <w:highlight w:val="none"/>
              </w:rPr>
            </w:pPr>
            <w:r>
              <w:rPr>
                <w:b w:val="0"/>
                <w:bCs w:val="0"/>
                <w:spacing w:val="-2"/>
                <w:highlight w:val="none"/>
              </w:rPr>
              <w:t>e)疏散指示标志照度；</w:t>
            </w:r>
          </w:p>
          <w:p w14:paraId="6A02EB16">
            <w:pPr>
              <w:pStyle w:val="23"/>
              <w:keepNext w:val="0"/>
              <w:keepLines w:val="0"/>
              <w:suppressLineNumbers w:val="0"/>
              <w:spacing w:before="27" w:line="281" w:lineRule="auto"/>
              <w:ind w:left="112" w:right="105"/>
              <w:rPr>
                <w:b w:val="0"/>
                <w:bCs w:val="0"/>
                <w:highlight w:val="none"/>
              </w:rPr>
            </w:pPr>
            <w:r>
              <w:rPr>
                <w:b w:val="0"/>
                <w:bCs w:val="0"/>
                <w:spacing w:val="1"/>
                <w:highlight w:val="none"/>
              </w:rPr>
              <w:t>f)消防应急疏散标志灯具的系统应急启动后，在蓄电池电源供电时的</w:t>
            </w:r>
            <w:r>
              <w:rPr>
                <w:b w:val="0"/>
                <w:bCs w:val="0"/>
                <w:spacing w:val="-2"/>
                <w:highlight w:val="none"/>
              </w:rPr>
              <w:t>持续工作时间。</w:t>
            </w:r>
          </w:p>
        </w:tc>
        <w:tc>
          <w:tcPr>
            <w:tcW w:w="1181" w:type="pct"/>
            <w:vAlign w:val="center"/>
          </w:tcPr>
          <w:p w14:paraId="5E316D04">
            <w:pPr>
              <w:pStyle w:val="23"/>
              <w:keepNext w:val="0"/>
              <w:keepLines w:val="0"/>
              <w:suppressLineNumbers w:val="0"/>
              <w:spacing w:before="58" w:line="313" w:lineRule="auto"/>
              <w:ind w:left="112" w:right="54" w:firstLine="1"/>
              <w:jc w:val="both"/>
              <w:rPr>
                <w:b w:val="0"/>
                <w:bCs w:val="0"/>
                <w:highlight w:val="none"/>
              </w:rPr>
            </w:pPr>
            <w:r>
              <w:rPr>
                <w:b w:val="0"/>
                <w:bCs w:val="0"/>
                <w:spacing w:val="-4"/>
                <w:highlight w:val="none"/>
              </w:rPr>
              <w:t>a）按照规范应设但未设置消防疏</w:t>
            </w:r>
            <w:r>
              <w:rPr>
                <w:b w:val="0"/>
                <w:bCs w:val="0"/>
                <w:spacing w:val="-3"/>
                <w:highlight w:val="none"/>
              </w:rPr>
              <w:t>散指示标志系统扣 5 分，其他每条检查内容不符合要求各扣</w:t>
            </w:r>
            <w:r>
              <w:rPr>
                <w:b w:val="0"/>
                <w:bCs w:val="0"/>
                <w:spacing w:val="-44"/>
                <w:highlight w:val="none"/>
              </w:rPr>
              <w:t xml:space="preserve"> </w:t>
            </w:r>
            <w:r>
              <w:rPr>
                <w:b w:val="0"/>
                <w:bCs w:val="0"/>
                <w:spacing w:val="-3"/>
                <w:highlight w:val="none"/>
              </w:rPr>
              <w:t>1分；</w:t>
            </w:r>
            <w:r>
              <w:rPr>
                <w:b w:val="0"/>
                <w:bCs w:val="0"/>
                <w:highlight w:val="none"/>
              </w:rPr>
              <w:t xml:space="preserve"> </w:t>
            </w:r>
            <w:r>
              <w:rPr>
                <w:b w:val="0"/>
                <w:bCs w:val="0"/>
                <w:spacing w:val="-4"/>
                <w:highlight w:val="none"/>
              </w:rPr>
              <w:t>扣完不得分。</w:t>
            </w:r>
          </w:p>
        </w:tc>
        <w:tc>
          <w:tcPr>
            <w:tcW w:w="367" w:type="pct"/>
            <w:vAlign w:val="center"/>
          </w:tcPr>
          <w:p w14:paraId="07FBE92A">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21"/>
                <w:highlight w:val="none"/>
                <w:lang w:val="en-US" w:eastAsia="zh-CN"/>
              </w:rPr>
            </w:pPr>
          </w:p>
        </w:tc>
        <w:tc>
          <w:tcPr>
            <w:tcW w:w="338" w:type="pct"/>
            <w:vAlign w:val="center"/>
          </w:tcPr>
          <w:p w14:paraId="0A81BC28">
            <w:pPr>
              <w:keepNext w:val="0"/>
              <w:keepLines w:val="0"/>
              <w:suppressLineNumbers w:val="0"/>
              <w:spacing w:before="0" w:beforeAutospacing="0" w:after="0" w:afterAutospacing="0"/>
              <w:ind w:left="0" w:right="0" w:firstLine="270" w:firstLineChars="0"/>
              <w:rPr>
                <w:rFonts w:hint="eastAsia" w:ascii="宋体" w:hAnsi="宋体" w:eastAsia="宋体" w:cs="宋体"/>
                <w:b w:val="0"/>
                <w:bCs w:val="0"/>
                <w:color w:val="auto"/>
                <w:sz w:val="21"/>
                <w:highlight w:val="none"/>
                <w:lang w:val="en-US" w:eastAsia="zh-CN"/>
              </w:rPr>
            </w:pPr>
          </w:p>
        </w:tc>
        <w:tc>
          <w:tcPr>
            <w:tcW w:w="328" w:type="pct"/>
            <w:vAlign w:val="center"/>
          </w:tcPr>
          <w:p w14:paraId="245C6D01">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r w14:paraId="29B8A8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8" w:hRule="atLeast"/>
          <w:jc w:val="center"/>
        </w:trPr>
        <w:tc>
          <w:tcPr>
            <w:tcW w:w="189" w:type="pct"/>
            <w:vMerge w:val="continue"/>
            <w:tcBorders>
              <w:top w:val="nil"/>
            </w:tcBorders>
            <w:vAlign w:val="center"/>
          </w:tcPr>
          <w:p w14:paraId="0C32DE55">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tcBorders>
              <w:top w:val="nil"/>
            </w:tcBorders>
            <w:vAlign w:val="center"/>
          </w:tcPr>
          <w:p w14:paraId="0C377974">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0FA34ED7">
            <w:pPr>
              <w:pStyle w:val="23"/>
              <w:keepNext w:val="0"/>
              <w:keepLines w:val="0"/>
              <w:suppressLineNumbers w:val="0"/>
              <w:spacing w:before="71" w:line="304" w:lineRule="auto"/>
              <w:ind w:left="0" w:right="104" w:firstLine="0"/>
              <w:jc w:val="both"/>
              <w:rPr>
                <w:b w:val="0"/>
                <w:bCs w:val="0"/>
                <w:highlight w:val="none"/>
              </w:rPr>
            </w:pPr>
            <w:r>
              <w:rPr>
                <w:b w:val="0"/>
                <w:bCs w:val="0"/>
                <w:spacing w:val="1"/>
                <w:highlight w:val="none"/>
              </w:rPr>
              <w:t>消防应急照</w:t>
            </w:r>
            <w:r>
              <w:rPr>
                <w:b w:val="0"/>
                <w:bCs w:val="0"/>
                <w:spacing w:val="2"/>
                <w:highlight w:val="none"/>
              </w:rPr>
              <w:t>明和疏散指示系统的启</w:t>
            </w:r>
            <w:r>
              <w:rPr>
                <w:b w:val="0"/>
                <w:bCs w:val="0"/>
                <w:spacing w:val="6"/>
                <w:highlight w:val="none"/>
              </w:rPr>
              <w:t>动功能（</w:t>
            </w:r>
            <w:r>
              <w:rPr>
                <w:b w:val="0"/>
                <w:bCs w:val="0"/>
                <w:spacing w:val="-26"/>
                <w:highlight w:val="none"/>
              </w:rPr>
              <w:t xml:space="preserve"> </w:t>
            </w:r>
            <w:r>
              <w:rPr>
                <w:b w:val="0"/>
                <w:bCs w:val="0"/>
                <w:spacing w:val="6"/>
                <w:highlight w:val="none"/>
              </w:rPr>
              <w:t>5</w:t>
            </w:r>
            <w:r>
              <w:rPr>
                <w:b w:val="0"/>
                <w:bCs w:val="0"/>
                <w:highlight w:val="none"/>
              </w:rPr>
              <w:t xml:space="preserve"> </w:t>
            </w:r>
            <w:r>
              <w:rPr>
                <w:b w:val="0"/>
                <w:bCs w:val="0"/>
                <w:spacing w:val="-5"/>
                <w:highlight w:val="none"/>
              </w:rPr>
              <w:t>分）</w:t>
            </w:r>
          </w:p>
        </w:tc>
        <w:tc>
          <w:tcPr>
            <w:tcW w:w="1735" w:type="pct"/>
            <w:vAlign w:val="center"/>
          </w:tcPr>
          <w:p w14:paraId="667FAAA3">
            <w:pPr>
              <w:pStyle w:val="23"/>
              <w:keepNext w:val="0"/>
              <w:keepLines w:val="0"/>
              <w:suppressLineNumbers w:val="0"/>
              <w:spacing w:before="59" w:line="220" w:lineRule="auto"/>
              <w:ind w:left="111"/>
              <w:rPr>
                <w:b w:val="0"/>
                <w:bCs w:val="0"/>
                <w:highlight w:val="none"/>
              </w:rPr>
            </w:pPr>
            <w:r>
              <w:rPr>
                <w:b w:val="0"/>
                <w:bCs w:val="0"/>
                <w:spacing w:val="-2"/>
                <w:highlight w:val="none"/>
              </w:rPr>
              <w:t>a)集中控制型系统手动应急启动功能；</w:t>
            </w:r>
          </w:p>
          <w:p w14:paraId="5E461F57">
            <w:pPr>
              <w:pStyle w:val="23"/>
              <w:keepNext w:val="0"/>
              <w:keepLines w:val="0"/>
              <w:suppressLineNumbers w:val="0"/>
              <w:spacing w:before="97" w:line="220" w:lineRule="auto"/>
              <w:ind w:left="107"/>
              <w:rPr>
                <w:b w:val="0"/>
                <w:bCs w:val="0"/>
                <w:highlight w:val="none"/>
              </w:rPr>
            </w:pPr>
            <w:r>
              <w:rPr>
                <w:b w:val="0"/>
                <w:bCs w:val="0"/>
                <w:spacing w:val="-2"/>
                <w:highlight w:val="none"/>
              </w:rPr>
              <w:t>b)非集中控制型系统手动应急启动功能；</w:t>
            </w:r>
          </w:p>
          <w:p w14:paraId="0B895C95">
            <w:pPr>
              <w:pStyle w:val="23"/>
              <w:keepNext w:val="0"/>
              <w:keepLines w:val="0"/>
              <w:suppressLineNumbers w:val="0"/>
              <w:spacing w:before="97" w:line="220" w:lineRule="auto"/>
              <w:ind w:left="114"/>
              <w:rPr>
                <w:b w:val="0"/>
                <w:bCs w:val="0"/>
                <w:highlight w:val="none"/>
              </w:rPr>
            </w:pPr>
            <w:r>
              <w:rPr>
                <w:b w:val="0"/>
                <w:bCs w:val="0"/>
                <w:spacing w:val="-1"/>
                <w:highlight w:val="none"/>
              </w:rPr>
              <w:t>c)消防应急照明和疏散指示系统的联动控制功能。</w:t>
            </w:r>
          </w:p>
        </w:tc>
        <w:tc>
          <w:tcPr>
            <w:tcW w:w="1181" w:type="pct"/>
            <w:vAlign w:val="center"/>
          </w:tcPr>
          <w:p w14:paraId="549D8051">
            <w:pPr>
              <w:pStyle w:val="23"/>
              <w:keepNext w:val="0"/>
              <w:keepLines w:val="0"/>
              <w:suppressLineNumbers w:val="0"/>
              <w:spacing w:before="59" w:line="307" w:lineRule="auto"/>
              <w:ind w:left="113" w:right="103"/>
              <w:rPr>
                <w:b w:val="0"/>
                <w:bCs w:val="0"/>
                <w:highlight w:val="none"/>
              </w:rPr>
            </w:pPr>
            <w:r>
              <w:rPr>
                <w:b w:val="0"/>
                <w:bCs w:val="0"/>
                <w:spacing w:val="-4"/>
                <w:highlight w:val="none"/>
              </w:rPr>
              <w:t>a)b)不符合要求各扣 2 分，c)不符合要求扣</w:t>
            </w:r>
            <w:r>
              <w:rPr>
                <w:b w:val="0"/>
                <w:bCs w:val="0"/>
                <w:spacing w:val="-23"/>
                <w:highlight w:val="none"/>
              </w:rPr>
              <w:t xml:space="preserve"> </w:t>
            </w:r>
            <w:r>
              <w:rPr>
                <w:b w:val="0"/>
                <w:bCs w:val="0"/>
                <w:spacing w:val="-4"/>
                <w:highlight w:val="none"/>
              </w:rPr>
              <w:t>3</w:t>
            </w:r>
            <w:r>
              <w:rPr>
                <w:b w:val="0"/>
                <w:bCs w:val="0"/>
                <w:spacing w:val="-34"/>
                <w:highlight w:val="none"/>
              </w:rPr>
              <w:t xml:space="preserve"> </w:t>
            </w:r>
            <w:r>
              <w:rPr>
                <w:b w:val="0"/>
                <w:bCs w:val="0"/>
                <w:spacing w:val="-4"/>
                <w:highlight w:val="none"/>
              </w:rPr>
              <w:t>分；扣完不得分。</w:t>
            </w:r>
          </w:p>
        </w:tc>
        <w:tc>
          <w:tcPr>
            <w:tcW w:w="367" w:type="pct"/>
            <w:vAlign w:val="center"/>
          </w:tcPr>
          <w:p w14:paraId="4DBEA888">
            <w:pPr>
              <w:pStyle w:val="23"/>
              <w:keepNext w:val="0"/>
              <w:keepLines w:val="0"/>
              <w:suppressLineNumbers w:val="0"/>
              <w:spacing w:before="68" w:line="282" w:lineRule="auto"/>
              <w:ind w:right="101" w:rightChars="0"/>
              <w:jc w:val="center"/>
              <w:rPr>
                <w:rFonts w:hint="default" w:ascii="Arial" w:eastAsia="宋体"/>
                <w:b w:val="0"/>
                <w:bCs w:val="0"/>
                <w:color w:val="auto"/>
                <w:sz w:val="21"/>
                <w:highlight w:val="none"/>
                <w:lang w:val="en-US" w:eastAsia="zh-CN"/>
              </w:rPr>
            </w:pPr>
          </w:p>
        </w:tc>
        <w:tc>
          <w:tcPr>
            <w:tcW w:w="338" w:type="pct"/>
            <w:vAlign w:val="center"/>
          </w:tcPr>
          <w:p w14:paraId="5386653F">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Align w:val="center"/>
          </w:tcPr>
          <w:p w14:paraId="6A42F067">
            <w:pPr>
              <w:keepNext w:val="0"/>
              <w:keepLines w:val="0"/>
              <w:suppressLineNumbers w:val="0"/>
              <w:spacing w:before="0" w:beforeAutospacing="0" w:after="0" w:afterAutospacing="0"/>
              <w:ind w:left="0" w:right="0"/>
              <w:rPr>
                <w:rFonts w:hint="default" w:ascii="宋体" w:hAnsi="宋体" w:eastAsia="宋体" w:cs="宋体"/>
                <w:b w:val="0"/>
                <w:bCs w:val="0"/>
                <w:sz w:val="21"/>
                <w:highlight w:val="none"/>
                <w:lang w:val="en-US" w:eastAsia="zh-CN"/>
              </w:rPr>
            </w:pPr>
          </w:p>
        </w:tc>
      </w:tr>
      <w:tr w14:paraId="70070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 w:hRule="atLeast"/>
          <w:jc w:val="center"/>
        </w:trPr>
        <w:tc>
          <w:tcPr>
            <w:tcW w:w="189" w:type="pct"/>
            <w:vMerge w:val="restart"/>
            <w:vAlign w:val="center"/>
          </w:tcPr>
          <w:p w14:paraId="26DBC2F0">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20</w:t>
            </w:r>
          </w:p>
        </w:tc>
        <w:tc>
          <w:tcPr>
            <w:tcW w:w="492" w:type="pct"/>
            <w:vMerge w:val="restart"/>
            <w:vAlign w:val="center"/>
          </w:tcPr>
          <w:p w14:paraId="4BFC9778">
            <w:pPr>
              <w:pStyle w:val="23"/>
              <w:keepNext w:val="0"/>
              <w:keepLines w:val="0"/>
              <w:suppressLineNumbers w:val="0"/>
              <w:spacing w:before="138" w:line="311" w:lineRule="auto"/>
              <w:ind w:left="150" w:right="156" w:firstLine="22"/>
              <w:jc w:val="both"/>
              <w:rPr>
                <w:b w:val="0"/>
                <w:bCs w:val="0"/>
                <w:highlight w:val="none"/>
              </w:rPr>
            </w:pPr>
            <w:r>
              <w:rPr>
                <w:b w:val="0"/>
                <w:bCs w:val="0"/>
                <w:spacing w:val="-3"/>
                <w:highlight w:val="none"/>
              </w:rPr>
              <w:t>消防应急</w:t>
            </w:r>
            <w:r>
              <w:rPr>
                <w:b w:val="0"/>
                <w:bCs w:val="0"/>
                <w:spacing w:val="3"/>
                <w:highlight w:val="none"/>
              </w:rPr>
              <w:t>广播系统</w:t>
            </w:r>
            <w:r>
              <w:rPr>
                <w:b w:val="0"/>
                <w:bCs w:val="0"/>
                <w:spacing w:val="-8"/>
                <w:highlight w:val="none"/>
              </w:rPr>
              <w:t>（10</w:t>
            </w:r>
            <w:r>
              <w:rPr>
                <w:b w:val="0"/>
                <w:bCs w:val="0"/>
                <w:spacing w:val="-31"/>
                <w:highlight w:val="none"/>
              </w:rPr>
              <w:t xml:space="preserve"> </w:t>
            </w:r>
            <w:r>
              <w:rPr>
                <w:b w:val="0"/>
                <w:bCs w:val="0"/>
                <w:spacing w:val="-8"/>
                <w:highlight w:val="none"/>
              </w:rPr>
              <w:t>分）</w:t>
            </w:r>
          </w:p>
        </w:tc>
        <w:tc>
          <w:tcPr>
            <w:tcW w:w="367" w:type="pct"/>
            <w:vAlign w:val="center"/>
          </w:tcPr>
          <w:p w14:paraId="6BECF347">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35" w:type="pct"/>
            <w:vAlign w:val="center"/>
          </w:tcPr>
          <w:p w14:paraId="173B3300">
            <w:pPr>
              <w:pStyle w:val="23"/>
              <w:keepNext w:val="0"/>
              <w:keepLines w:val="0"/>
              <w:suppressLineNumbers w:val="0"/>
              <w:spacing w:before="58" w:line="220" w:lineRule="auto"/>
              <w:ind w:left="113"/>
              <w:rPr>
                <w:b w:val="0"/>
                <w:bCs w:val="0"/>
                <w:highlight w:val="none"/>
              </w:rPr>
            </w:pPr>
            <w:r>
              <w:rPr>
                <w:b w:val="0"/>
                <w:bCs w:val="0"/>
                <w:spacing w:val="-1"/>
                <w:highlight w:val="none"/>
              </w:rPr>
              <w:t>是否按规定设置消防应急广播系统。</w:t>
            </w:r>
          </w:p>
        </w:tc>
        <w:tc>
          <w:tcPr>
            <w:tcW w:w="1181" w:type="pct"/>
            <w:vAlign w:val="center"/>
          </w:tcPr>
          <w:p w14:paraId="530B3325">
            <w:pPr>
              <w:pStyle w:val="23"/>
              <w:keepNext w:val="0"/>
              <w:keepLines w:val="0"/>
              <w:suppressLineNumbers w:val="0"/>
              <w:spacing w:before="293" w:line="306" w:lineRule="auto"/>
              <w:ind w:left="112" w:right="103" w:firstLine="1"/>
              <w:rPr>
                <w:b w:val="0"/>
                <w:bCs w:val="0"/>
                <w:highlight w:val="none"/>
              </w:rPr>
            </w:pPr>
            <w:r>
              <w:rPr>
                <w:b w:val="0"/>
                <w:bCs w:val="0"/>
                <w:spacing w:val="2"/>
                <w:highlight w:val="none"/>
              </w:rPr>
              <w:t>按照规范应设但未设置消防应急</w:t>
            </w:r>
            <w:r>
              <w:rPr>
                <w:b w:val="0"/>
                <w:bCs w:val="0"/>
                <w:spacing w:val="-2"/>
                <w:highlight w:val="none"/>
              </w:rPr>
              <w:t>广播系统，该评估子项不得分。</w:t>
            </w:r>
          </w:p>
        </w:tc>
        <w:tc>
          <w:tcPr>
            <w:tcW w:w="367" w:type="pct"/>
            <w:vAlign w:val="center"/>
          </w:tcPr>
          <w:p w14:paraId="720AF5AB">
            <w:pPr>
              <w:pStyle w:val="23"/>
              <w:keepNext w:val="0"/>
              <w:keepLines w:val="0"/>
              <w:suppressLineNumbers w:val="0"/>
              <w:spacing w:before="68" w:line="282" w:lineRule="auto"/>
              <w:ind w:right="101" w:rightChars="0"/>
              <w:jc w:val="center"/>
              <w:rPr>
                <w:rFonts w:hint="default" w:ascii="Arial" w:eastAsia="宋体"/>
                <w:b w:val="0"/>
                <w:bCs w:val="0"/>
                <w:color w:val="auto"/>
                <w:sz w:val="21"/>
                <w:highlight w:val="none"/>
                <w:lang w:val="en-US" w:eastAsia="zh-CN"/>
              </w:rPr>
            </w:pPr>
          </w:p>
        </w:tc>
        <w:tc>
          <w:tcPr>
            <w:tcW w:w="338" w:type="pct"/>
            <w:vAlign w:val="center"/>
          </w:tcPr>
          <w:p w14:paraId="49FBA57B">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Align w:val="center"/>
          </w:tcPr>
          <w:p w14:paraId="416CD286">
            <w:pPr>
              <w:keepNext w:val="0"/>
              <w:keepLines w:val="0"/>
              <w:suppressLineNumbers w:val="0"/>
              <w:spacing w:before="0" w:beforeAutospacing="0" w:after="0" w:afterAutospacing="0"/>
              <w:ind w:left="0" w:right="0"/>
              <w:rPr>
                <w:rFonts w:hint="eastAsia" w:ascii="宋体" w:hAnsi="宋体" w:eastAsia="宋体" w:cs="宋体"/>
                <w:b w:val="0"/>
                <w:bCs w:val="0"/>
                <w:sz w:val="21"/>
                <w:highlight w:val="none"/>
                <w:lang w:val="en-US" w:eastAsia="zh-CN"/>
              </w:rPr>
            </w:pPr>
          </w:p>
        </w:tc>
      </w:tr>
      <w:tr w14:paraId="0BC8EC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9" w:hRule="atLeast"/>
          <w:jc w:val="center"/>
        </w:trPr>
        <w:tc>
          <w:tcPr>
            <w:tcW w:w="189" w:type="pct"/>
            <w:vMerge w:val="continue"/>
            <w:vAlign w:val="center"/>
          </w:tcPr>
          <w:p w14:paraId="34E8E189">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vAlign w:val="center"/>
          </w:tcPr>
          <w:p w14:paraId="249FB0E5">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6E18FC1D">
            <w:pPr>
              <w:pStyle w:val="23"/>
              <w:keepNext w:val="0"/>
              <w:keepLines w:val="0"/>
              <w:suppressLineNumbers w:val="0"/>
              <w:spacing w:before="287" w:line="307" w:lineRule="auto"/>
              <w:ind w:left="0" w:right="105" w:firstLine="0"/>
              <w:rPr>
                <w:b w:val="0"/>
                <w:bCs w:val="0"/>
                <w:highlight w:val="none"/>
              </w:rPr>
            </w:pPr>
            <w:r>
              <w:rPr>
                <w:b w:val="0"/>
                <w:bCs w:val="0"/>
                <w:spacing w:val="2"/>
                <w:highlight w:val="none"/>
              </w:rPr>
              <w:t>控制设备功</w:t>
            </w:r>
            <w:r>
              <w:rPr>
                <w:b w:val="0"/>
                <w:bCs w:val="0"/>
                <w:spacing w:val="5"/>
                <w:highlight w:val="none"/>
              </w:rPr>
              <w:t>能（3分）</w:t>
            </w:r>
          </w:p>
        </w:tc>
        <w:tc>
          <w:tcPr>
            <w:tcW w:w="1735" w:type="pct"/>
            <w:vAlign w:val="center"/>
          </w:tcPr>
          <w:p w14:paraId="37FE1A83">
            <w:pPr>
              <w:pStyle w:val="23"/>
              <w:keepNext w:val="0"/>
              <w:keepLines w:val="0"/>
              <w:suppressLineNumbers w:val="0"/>
              <w:spacing w:before="287" w:line="220" w:lineRule="auto"/>
              <w:ind w:left="111"/>
              <w:rPr>
                <w:b w:val="0"/>
                <w:bCs w:val="0"/>
                <w:highlight w:val="none"/>
              </w:rPr>
            </w:pPr>
            <w:r>
              <w:rPr>
                <w:b w:val="0"/>
                <w:bCs w:val="0"/>
                <w:spacing w:val="-2"/>
                <w:highlight w:val="none"/>
              </w:rPr>
              <w:t>a)消防应急广播控制设备功能；</w:t>
            </w:r>
          </w:p>
          <w:p w14:paraId="38ABFA9E">
            <w:pPr>
              <w:pStyle w:val="23"/>
              <w:keepNext w:val="0"/>
              <w:keepLines w:val="0"/>
              <w:suppressLineNumbers w:val="0"/>
              <w:spacing w:before="96" w:line="220" w:lineRule="auto"/>
              <w:ind w:left="107"/>
              <w:rPr>
                <w:b w:val="0"/>
                <w:bCs w:val="0"/>
                <w:highlight w:val="none"/>
              </w:rPr>
            </w:pPr>
            <w:r>
              <w:rPr>
                <w:b w:val="0"/>
                <w:bCs w:val="0"/>
                <w:spacing w:val="-1"/>
                <w:highlight w:val="none"/>
              </w:rPr>
              <w:t>b)扩音机功能。</w:t>
            </w:r>
          </w:p>
        </w:tc>
        <w:tc>
          <w:tcPr>
            <w:tcW w:w="1181" w:type="pct"/>
            <w:vAlign w:val="center"/>
          </w:tcPr>
          <w:p w14:paraId="495BE0C4">
            <w:pPr>
              <w:pStyle w:val="23"/>
              <w:keepNext w:val="0"/>
              <w:keepLines w:val="0"/>
              <w:suppressLineNumbers w:val="0"/>
              <w:spacing w:before="286" w:line="307" w:lineRule="auto"/>
              <w:ind w:left="114" w:right="102" w:hanging="2"/>
              <w:rPr>
                <w:b w:val="0"/>
                <w:bCs w:val="0"/>
                <w:highlight w:val="none"/>
              </w:rPr>
            </w:pPr>
            <w:r>
              <w:rPr>
                <w:b w:val="0"/>
                <w:bCs w:val="0"/>
                <w:spacing w:val="2"/>
                <w:highlight w:val="none"/>
              </w:rPr>
              <w:t>每条检查内容不符合要求各扣 3</w:t>
            </w:r>
            <w:r>
              <w:rPr>
                <w:b w:val="0"/>
                <w:bCs w:val="0"/>
                <w:spacing w:val="11"/>
                <w:highlight w:val="none"/>
              </w:rPr>
              <w:t xml:space="preserve"> </w:t>
            </w:r>
            <w:r>
              <w:rPr>
                <w:b w:val="0"/>
                <w:bCs w:val="0"/>
                <w:spacing w:val="-3"/>
                <w:highlight w:val="none"/>
              </w:rPr>
              <w:t>分，扣完不得分。</w:t>
            </w:r>
          </w:p>
        </w:tc>
        <w:tc>
          <w:tcPr>
            <w:tcW w:w="367" w:type="pct"/>
            <w:vAlign w:val="center"/>
          </w:tcPr>
          <w:p w14:paraId="0CD2F4D0">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vAlign w:val="center"/>
          </w:tcPr>
          <w:p w14:paraId="0E7E7E6C">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Align w:val="center"/>
          </w:tcPr>
          <w:p w14:paraId="4B4E8C81">
            <w:pPr>
              <w:keepNext w:val="0"/>
              <w:keepLines w:val="0"/>
              <w:suppressLineNumbers w:val="0"/>
              <w:spacing w:before="0" w:beforeAutospacing="0" w:after="0" w:afterAutospacing="0"/>
              <w:ind w:left="0" w:right="0"/>
              <w:rPr>
                <w:rFonts w:hint="default" w:ascii="Arial"/>
                <w:b w:val="0"/>
                <w:bCs w:val="0"/>
                <w:sz w:val="21"/>
                <w:highlight w:val="none"/>
              </w:rPr>
            </w:pPr>
          </w:p>
        </w:tc>
      </w:tr>
      <w:tr w14:paraId="76047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7" w:hRule="atLeast"/>
          <w:jc w:val="center"/>
        </w:trPr>
        <w:tc>
          <w:tcPr>
            <w:tcW w:w="189" w:type="pct"/>
            <w:vMerge w:val="continue"/>
            <w:vAlign w:val="center"/>
          </w:tcPr>
          <w:p w14:paraId="7E3715A5">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vAlign w:val="center"/>
          </w:tcPr>
          <w:p w14:paraId="0D698F0C">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4A30A254">
            <w:pPr>
              <w:pStyle w:val="23"/>
              <w:keepNext w:val="0"/>
              <w:keepLines w:val="0"/>
              <w:suppressLineNumbers w:val="0"/>
              <w:spacing w:before="59" w:line="307" w:lineRule="auto"/>
              <w:ind w:left="0" w:right="108" w:firstLine="0"/>
              <w:rPr>
                <w:b w:val="0"/>
                <w:bCs w:val="0"/>
                <w:highlight w:val="none"/>
              </w:rPr>
            </w:pPr>
            <w:r>
              <w:rPr>
                <w:b w:val="0"/>
                <w:bCs w:val="0"/>
                <w:spacing w:val="6"/>
                <w:highlight w:val="none"/>
              </w:rPr>
              <w:t>扬声器（</w:t>
            </w:r>
            <w:r>
              <w:rPr>
                <w:b w:val="0"/>
                <w:bCs w:val="0"/>
                <w:spacing w:val="-24"/>
                <w:highlight w:val="none"/>
              </w:rPr>
              <w:t xml:space="preserve"> </w:t>
            </w:r>
            <w:r>
              <w:rPr>
                <w:b w:val="0"/>
                <w:bCs w:val="0"/>
                <w:spacing w:val="6"/>
                <w:highlight w:val="none"/>
              </w:rPr>
              <w:t>3</w:t>
            </w:r>
            <w:r>
              <w:rPr>
                <w:b w:val="0"/>
                <w:bCs w:val="0"/>
                <w:highlight w:val="none"/>
              </w:rPr>
              <w:t xml:space="preserve"> </w:t>
            </w:r>
            <w:r>
              <w:rPr>
                <w:b w:val="0"/>
                <w:bCs w:val="0"/>
                <w:spacing w:val="-6"/>
                <w:highlight w:val="none"/>
              </w:rPr>
              <w:t>分）</w:t>
            </w:r>
          </w:p>
        </w:tc>
        <w:tc>
          <w:tcPr>
            <w:tcW w:w="1735" w:type="pct"/>
            <w:vAlign w:val="center"/>
          </w:tcPr>
          <w:p w14:paraId="4B18DE58">
            <w:pPr>
              <w:pStyle w:val="23"/>
              <w:keepNext w:val="0"/>
              <w:keepLines w:val="0"/>
              <w:suppressLineNumbers w:val="0"/>
              <w:spacing w:before="71" w:line="220" w:lineRule="auto"/>
              <w:ind w:left="111"/>
              <w:rPr>
                <w:b w:val="0"/>
                <w:bCs w:val="0"/>
                <w:spacing w:val="-3"/>
                <w:highlight w:val="none"/>
              </w:rPr>
            </w:pPr>
            <w:r>
              <w:rPr>
                <w:b w:val="0"/>
                <w:bCs w:val="0"/>
                <w:spacing w:val="-2"/>
                <w:highlight w:val="none"/>
              </w:rPr>
              <w:t>a)</w:t>
            </w:r>
            <w:r>
              <w:rPr>
                <w:b w:val="0"/>
                <w:bCs w:val="0"/>
                <w:spacing w:val="-3"/>
                <w:highlight w:val="none"/>
              </w:rPr>
              <w:t>扬声器设置部位、安装、外观；</w:t>
            </w:r>
          </w:p>
          <w:p w14:paraId="6906DCF8">
            <w:pPr>
              <w:pStyle w:val="23"/>
              <w:keepNext w:val="0"/>
              <w:keepLines w:val="0"/>
              <w:suppressLineNumbers w:val="0"/>
              <w:spacing w:before="71" w:line="220" w:lineRule="auto"/>
              <w:ind w:left="111"/>
              <w:rPr>
                <w:b w:val="0"/>
                <w:bCs w:val="0"/>
                <w:spacing w:val="-3"/>
                <w:highlight w:val="none"/>
              </w:rPr>
            </w:pPr>
            <w:r>
              <w:rPr>
                <w:b w:val="0"/>
                <w:bCs w:val="0"/>
                <w:spacing w:val="-3"/>
                <w:highlight w:val="none"/>
              </w:rPr>
              <w:t>b)扬声器声压级是否满足要求；</w:t>
            </w:r>
          </w:p>
          <w:p w14:paraId="56E3E6F9">
            <w:pPr>
              <w:pStyle w:val="23"/>
              <w:keepNext w:val="0"/>
              <w:keepLines w:val="0"/>
              <w:suppressLineNumbers w:val="0"/>
              <w:spacing w:before="71" w:line="220" w:lineRule="auto"/>
              <w:ind w:left="111"/>
              <w:rPr>
                <w:b w:val="0"/>
                <w:bCs w:val="0"/>
                <w:spacing w:val="-3"/>
                <w:highlight w:val="none"/>
              </w:rPr>
            </w:pPr>
            <w:r>
              <w:rPr>
                <w:b w:val="0"/>
                <w:bCs w:val="0"/>
                <w:spacing w:val="-3"/>
                <w:highlight w:val="none"/>
              </w:rPr>
              <w:t>c)消防应急广播的语音是否清晰。</w:t>
            </w:r>
          </w:p>
        </w:tc>
        <w:tc>
          <w:tcPr>
            <w:tcW w:w="1181" w:type="pct"/>
            <w:vAlign w:val="center"/>
          </w:tcPr>
          <w:p w14:paraId="7850B408">
            <w:pPr>
              <w:pStyle w:val="23"/>
              <w:keepNext w:val="0"/>
              <w:keepLines w:val="0"/>
              <w:suppressLineNumbers w:val="0"/>
              <w:spacing w:before="68" w:line="301" w:lineRule="auto"/>
              <w:ind w:left="109" w:right="103" w:firstLine="3"/>
              <w:rPr>
                <w:b w:val="0"/>
                <w:bCs w:val="0"/>
                <w:highlight w:val="none"/>
              </w:rPr>
            </w:pPr>
            <w:r>
              <w:rPr>
                <w:b w:val="0"/>
                <w:bCs w:val="0"/>
                <w:highlight w:val="none"/>
              </w:rPr>
              <w:t>a)每发现一处扬声器设置部位、</w:t>
            </w:r>
            <w:r>
              <w:rPr>
                <w:b w:val="0"/>
                <w:bCs w:val="0"/>
                <w:spacing w:val="-3"/>
                <w:highlight w:val="none"/>
              </w:rPr>
              <w:t>安装、外观不符合要求扣 1 分，</w:t>
            </w:r>
            <w:r>
              <w:rPr>
                <w:b w:val="0"/>
                <w:bCs w:val="0"/>
                <w:spacing w:val="1"/>
                <w:highlight w:val="none"/>
              </w:rPr>
              <w:t xml:space="preserve"> </w:t>
            </w:r>
            <w:r>
              <w:rPr>
                <w:b w:val="0"/>
                <w:bCs w:val="0"/>
                <w:spacing w:val="-3"/>
                <w:highlight w:val="none"/>
              </w:rPr>
              <w:t>b)c)不符合要求各扣 3 分；扣完</w:t>
            </w:r>
            <w:r>
              <w:rPr>
                <w:b w:val="0"/>
                <w:bCs w:val="0"/>
                <w:spacing w:val="-5"/>
                <w:highlight w:val="none"/>
              </w:rPr>
              <w:t>不得分。</w:t>
            </w:r>
          </w:p>
        </w:tc>
        <w:tc>
          <w:tcPr>
            <w:tcW w:w="367" w:type="pct"/>
            <w:vAlign w:val="center"/>
          </w:tcPr>
          <w:p w14:paraId="3AF7B6D1">
            <w:pPr>
              <w:pStyle w:val="23"/>
              <w:keepNext w:val="0"/>
              <w:keepLines w:val="0"/>
              <w:suppressLineNumbers w:val="0"/>
              <w:spacing w:before="68" w:line="282" w:lineRule="auto"/>
              <w:ind w:right="101" w:rightChars="0"/>
              <w:jc w:val="center"/>
              <w:rPr>
                <w:rFonts w:hint="default" w:ascii="Arial" w:eastAsia="宋体"/>
                <w:b w:val="0"/>
                <w:bCs w:val="0"/>
                <w:color w:val="auto"/>
                <w:sz w:val="21"/>
                <w:highlight w:val="none"/>
                <w:lang w:val="en-US" w:eastAsia="zh-CN"/>
              </w:rPr>
            </w:pPr>
          </w:p>
        </w:tc>
        <w:tc>
          <w:tcPr>
            <w:tcW w:w="338" w:type="pct"/>
            <w:vAlign w:val="center"/>
          </w:tcPr>
          <w:p w14:paraId="0CC9C6D9">
            <w:pPr>
              <w:keepNext w:val="0"/>
              <w:keepLines w:val="0"/>
              <w:suppressLineNumbers w:val="0"/>
              <w:spacing w:before="0" w:beforeAutospacing="0" w:after="0" w:afterAutospacing="0"/>
              <w:ind w:left="0" w:right="0"/>
              <w:rPr>
                <w:rFonts w:hint="default" w:ascii="Arial"/>
                <w:b w:val="0"/>
                <w:bCs w:val="0"/>
                <w:color w:val="auto"/>
                <w:sz w:val="21"/>
                <w:highlight w:val="none"/>
              </w:rPr>
            </w:pPr>
          </w:p>
        </w:tc>
        <w:tc>
          <w:tcPr>
            <w:tcW w:w="328" w:type="pct"/>
            <w:vAlign w:val="center"/>
          </w:tcPr>
          <w:p w14:paraId="75F18F0A">
            <w:pPr>
              <w:keepNext w:val="0"/>
              <w:keepLines w:val="0"/>
              <w:suppressLineNumbers w:val="0"/>
              <w:spacing w:before="0" w:beforeAutospacing="0" w:after="0" w:afterAutospacing="0"/>
              <w:ind w:left="0" w:right="0"/>
              <w:rPr>
                <w:rFonts w:hint="default" w:ascii="Arial" w:eastAsia="宋体"/>
                <w:b w:val="0"/>
                <w:bCs w:val="0"/>
                <w:color w:val="auto"/>
                <w:sz w:val="21"/>
                <w:highlight w:val="none"/>
                <w:lang w:val="en-US" w:eastAsia="zh-CN"/>
              </w:rPr>
            </w:pPr>
          </w:p>
        </w:tc>
      </w:tr>
      <w:tr w14:paraId="429867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8" w:hRule="atLeast"/>
          <w:jc w:val="center"/>
        </w:trPr>
        <w:tc>
          <w:tcPr>
            <w:tcW w:w="189" w:type="pct"/>
            <w:vMerge w:val="continue"/>
            <w:vAlign w:val="center"/>
          </w:tcPr>
          <w:p w14:paraId="52C318E9">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vAlign w:val="center"/>
          </w:tcPr>
          <w:p w14:paraId="03F9E013">
            <w:pPr>
              <w:keepNext w:val="0"/>
              <w:keepLines w:val="0"/>
              <w:suppressLineNumbers w:val="0"/>
              <w:spacing w:before="0" w:beforeAutospacing="0" w:after="0" w:afterAutospacing="0"/>
              <w:ind w:left="0" w:right="0"/>
              <w:rPr>
                <w:rFonts w:hint="default" w:ascii="Arial"/>
                <w:b w:val="0"/>
                <w:bCs w:val="0"/>
                <w:sz w:val="21"/>
                <w:highlight w:val="none"/>
              </w:rPr>
            </w:pPr>
          </w:p>
        </w:tc>
        <w:tc>
          <w:tcPr>
            <w:tcW w:w="367" w:type="pct"/>
            <w:vAlign w:val="center"/>
          </w:tcPr>
          <w:p w14:paraId="1110D173">
            <w:pPr>
              <w:pStyle w:val="23"/>
              <w:keepNext w:val="0"/>
              <w:keepLines w:val="0"/>
              <w:suppressLineNumbers w:val="0"/>
              <w:spacing w:before="291" w:line="307" w:lineRule="auto"/>
              <w:ind w:left="0" w:right="104" w:firstLine="0"/>
              <w:rPr>
                <w:b w:val="0"/>
                <w:bCs w:val="0"/>
                <w:highlight w:val="none"/>
              </w:rPr>
            </w:pPr>
            <w:r>
              <w:rPr>
                <w:b w:val="0"/>
                <w:bCs w:val="0"/>
                <w:spacing w:val="2"/>
                <w:highlight w:val="none"/>
              </w:rPr>
              <w:t>联动控制功</w:t>
            </w:r>
            <w:r>
              <w:rPr>
                <w:b w:val="0"/>
                <w:bCs w:val="0"/>
                <w:spacing w:val="5"/>
                <w:highlight w:val="none"/>
              </w:rPr>
              <w:t>能（4分）</w:t>
            </w:r>
          </w:p>
        </w:tc>
        <w:tc>
          <w:tcPr>
            <w:tcW w:w="1735" w:type="pct"/>
            <w:vAlign w:val="center"/>
          </w:tcPr>
          <w:p w14:paraId="66FC208E">
            <w:pPr>
              <w:pStyle w:val="23"/>
              <w:keepNext w:val="0"/>
              <w:keepLines w:val="0"/>
              <w:suppressLineNumbers w:val="0"/>
              <w:spacing w:before="71" w:line="220" w:lineRule="auto"/>
              <w:ind w:left="111"/>
              <w:rPr>
                <w:b w:val="0"/>
                <w:bCs w:val="0"/>
                <w:spacing w:val="-3"/>
                <w:highlight w:val="none"/>
              </w:rPr>
            </w:pPr>
            <w:r>
              <w:rPr>
                <w:b w:val="0"/>
                <w:bCs w:val="0"/>
                <w:spacing w:val="-3"/>
                <w:highlight w:val="none"/>
              </w:rPr>
              <w:t>消防应急广播系统的联动控制功能。</w:t>
            </w:r>
          </w:p>
        </w:tc>
        <w:tc>
          <w:tcPr>
            <w:tcW w:w="1181" w:type="pct"/>
            <w:vAlign w:val="center"/>
          </w:tcPr>
          <w:p w14:paraId="374B238A">
            <w:pPr>
              <w:pStyle w:val="23"/>
              <w:keepNext w:val="0"/>
              <w:keepLines w:val="0"/>
              <w:suppressLineNumbers w:val="0"/>
              <w:spacing w:before="59" w:line="220" w:lineRule="auto"/>
              <w:ind w:left="115"/>
              <w:rPr>
                <w:b w:val="0"/>
                <w:bCs w:val="0"/>
                <w:highlight w:val="none"/>
              </w:rPr>
            </w:pPr>
            <w:r>
              <w:rPr>
                <w:b w:val="0"/>
                <w:bCs w:val="0"/>
                <w:spacing w:val="-2"/>
                <w:highlight w:val="none"/>
              </w:rPr>
              <w:t>不符合要求扣4</w:t>
            </w:r>
            <w:r>
              <w:rPr>
                <w:b w:val="0"/>
                <w:bCs w:val="0"/>
                <w:spacing w:val="-33"/>
                <w:highlight w:val="none"/>
              </w:rPr>
              <w:t xml:space="preserve"> </w:t>
            </w:r>
            <w:r>
              <w:rPr>
                <w:b w:val="0"/>
                <w:bCs w:val="0"/>
                <w:spacing w:val="-2"/>
                <w:highlight w:val="none"/>
              </w:rPr>
              <w:t>分，扣完不得分。</w:t>
            </w:r>
          </w:p>
        </w:tc>
        <w:tc>
          <w:tcPr>
            <w:tcW w:w="367" w:type="pct"/>
            <w:vAlign w:val="center"/>
          </w:tcPr>
          <w:p w14:paraId="4AD3FBA5">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vAlign w:val="center"/>
          </w:tcPr>
          <w:p w14:paraId="5F6347F8">
            <w:pPr>
              <w:keepNext w:val="0"/>
              <w:keepLines w:val="0"/>
              <w:suppressLineNumbers w:val="0"/>
              <w:spacing w:before="0" w:beforeAutospacing="0" w:after="0" w:afterAutospacing="0"/>
              <w:ind w:left="0" w:right="0"/>
              <w:rPr>
                <w:rFonts w:hint="default" w:ascii="Arial"/>
                <w:b w:val="0"/>
                <w:bCs w:val="0"/>
                <w:sz w:val="21"/>
                <w:highlight w:val="none"/>
              </w:rPr>
            </w:pPr>
          </w:p>
        </w:tc>
        <w:tc>
          <w:tcPr>
            <w:tcW w:w="328" w:type="pct"/>
            <w:vAlign w:val="center"/>
          </w:tcPr>
          <w:p w14:paraId="2E644088">
            <w:pPr>
              <w:keepNext w:val="0"/>
              <w:keepLines w:val="0"/>
              <w:suppressLineNumbers w:val="0"/>
              <w:spacing w:before="0" w:beforeAutospacing="0" w:after="0" w:afterAutospacing="0"/>
              <w:ind w:left="0" w:right="0"/>
              <w:rPr>
                <w:rFonts w:hint="default" w:ascii="Arial"/>
                <w:b w:val="0"/>
                <w:bCs w:val="0"/>
                <w:sz w:val="21"/>
                <w:highlight w:val="none"/>
              </w:rPr>
            </w:pPr>
          </w:p>
        </w:tc>
      </w:tr>
    </w:tbl>
    <w:p w14:paraId="009D964D">
      <w:pPr>
        <w:rPr>
          <w:highlight w:val="none"/>
        </w:rPr>
      </w:pPr>
      <w:r>
        <w:rPr>
          <w:highlight w:val="none"/>
        </w:rPr>
        <w:br w:type="page"/>
      </w:r>
    </w:p>
    <w:tbl>
      <w:tblPr>
        <w:tblStyle w:val="24"/>
        <w:tblW w:w="496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68"/>
        <w:gridCol w:w="1471"/>
        <w:gridCol w:w="1094"/>
        <w:gridCol w:w="5184"/>
        <w:gridCol w:w="3525"/>
        <w:gridCol w:w="1094"/>
        <w:gridCol w:w="1010"/>
        <w:gridCol w:w="984"/>
      </w:tblGrid>
      <w:tr w14:paraId="0968D2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jc w:val="center"/>
        </w:trPr>
        <w:tc>
          <w:tcPr>
            <w:tcW w:w="190" w:type="pct"/>
            <w:vAlign w:val="center"/>
          </w:tcPr>
          <w:p w14:paraId="7A6652AA">
            <w:pPr>
              <w:pStyle w:val="23"/>
              <w:keepNext w:val="0"/>
              <w:keepLines w:val="0"/>
              <w:suppressLineNumbers w:val="0"/>
              <w:spacing w:before="70" w:line="222" w:lineRule="auto"/>
              <w:ind w:left="140"/>
              <w:rPr>
                <w:highlight w:val="none"/>
              </w:rPr>
            </w:pPr>
            <w:r>
              <w:rPr>
                <w:b/>
                <w:bCs/>
                <w:spacing w:val="-3"/>
                <w:highlight w:val="none"/>
              </w:rPr>
              <w:t>序号</w:t>
            </w:r>
          </w:p>
        </w:tc>
        <w:tc>
          <w:tcPr>
            <w:tcW w:w="492" w:type="pct"/>
            <w:vAlign w:val="center"/>
          </w:tcPr>
          <w:p w14:paraId="307133DE">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vAlign w:val="center"/>
          </w:tcPr>
          <w:p w14:paraId="3356D6F7">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4" w:type="pct"/>
            <w:vAlign w:val="center"/>
          </w:tcPr>
          <w:p w14:paraId="74E5E993">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79" w:type="pct"/>
            <w:vAlign w:val="center"/>
          </w:tcPr>
          <w:p w14:paraId="1D7C5F6E">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450CADB6">
            <w:pPr>
              <w:pStyle w:val="23"/>
              <w:keepNext w:val="0"/>
              <w:keepLines w:val="0"/>
              <w:suppressLineNumbers w:val="0"/>
              <w:spacing w:before="70" w:line="219" w:lineRule="auto"/>
              <w:ind w:left="170"/>
              <w:rPr>
                <w:highlight w:val="none"/>
              </w:rPr>
            </w:pPr>
            <w:r>
              <w:rPr>
                <w:b/>
                <w:bCs/>
                <w:spacing w:val="-3"/>
                <w:highlight w:val="none"/>
              </w:rPr>
              <w:t>评估情况</w:t>
            </w:r>
          </w:p>
        </w:tc>
        <w:tc>
          <w:tcPr>
            <w:tcW w:w="338" w:type="pct"/>
            <w:vAlign w:val="center"/>
          </w:tcPr>
          <w:p w14:paraId="0E442B03">
            <w:pPr>
              <w:pStyle w:val="23"/>
              <w:keepNext w:val="0"/>
              <w:keepLines w:val="0"/>
              <w:suppressLineNumbers w:val="0"/>
              <w:spacing w:before="70" w:line="221" w:lineRule="auto"/>
              <w:ind w:left="316"/>
              <w:rPr>
                <w:highlight w:val="none"/>
              </w:rPr>
            </w:pPr>
            <w:r>
              <w:rPr>
                <w:b/>
                <w:bCs/>
                <w:spacing w:val="-4"/>
                <w:highlight w:val="none"/>
              </w:rPr>
              <w:t>扣分</w:t>
            </w:r>
          </w:p>
        </w:tc>
        <w:tc>
          <w:tcPr>
            <w:tcW w:w="329" w:type="pct"/>
            <w:vAlign w:val="center"/>
          </w:tcPr>
          <w:p w14:paraId="003A79AD">
            <w:pPr>
              <w:pStyle w:val="23"/>
              <w:keepNext w:val="0"/>
              <w:keepLines w:val="0"/>
              <w:suppressLineNumbers w:val="0"/>
              <w:spacing w:before="71" w:line="220" w:lineRule="auto"/>
              <w:ind w:left="295"/>
              <w:rPr>
                <w:highlight w:val="none"/>
              </w:rPr>
            </w:pPr>
            <w:r>
              <w:rPr>
                <w:b/>
                <w:bCs/>
                <w:spacing w:val="-4"/>
                <w:highlight w:val="none"/>
              </w:rPr>
              <w:t>得分</w:t>
            </w:r>
          </w:p>
        </w:tc>
      </w:tr>
      <w:tr w14:paraId="0EDBA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3" w:hRule="atLeast"/>
          <w:jc w:val="center"/>
        </w:trPr>
        <w:tc>
          <w:tcPr>
            <w:tcW w:w="190" w:type="pct"/>
            <w:vMerge w:val="restart"/>
            <w:vAlign w:val="center"/>
          </w:tcPr>
          <w:p w14:paraId="22EA2FA9">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21</w:t>
            </w:r>
          </w:p>
        </w:tc>
        <w:tc>
          <w:tcPr>
            <w:tcW w:w="492" w:type="pct"/>
            <w:vMerge w:val="restart"/>
            <w:vAlign w:val="center"/>
          </w:tcPr>
          <w:p w14:paraId="48F64377">
            <w:pPr>
              <w:pStyle w:val="23"/>
              <w:keepNext w:val="0"/>
              <w:keepLines w:val="0"/>
              <w:suppressLineNumbers w:val="0"/>
              <w:spacing w:before="58" w:line="308" w:lineRule="auto"/>
              <w:ind w:left="370" w:right="168" w:hanging="197"/>
              <w:rPr>
                <w:b w:val="0"/>
                <w:bCs w:val="0"/>
                <w:highlight w:val="none"/>
              </w:rPr>
            </w:pPr>
            <w:r>
              <w:rPr>
                <w:b w:val="0"/>
                <w:bCs w:val="0"/>
                <w:spacing w:val="-3"/>
                <w:highlight w:val="none"/>
              </w:rPr>
              <w:t>消防专用</w:t>
            </w:r>
            <w:r>
              <w:rPr>
                <w:b w:val="0"/>
                <w:bCs w:val="0"/>
                <w:spacing w:val="-15"/>
                <w:highlight w:val="none"/>
              </w:rPr>
              <w:t>电话</w:t>
            </w:r>
          </w:p>
          <w:p w14:paraId="593E68B6">
            <w:pPr>
              <w:pStyle w:val="23"/>
              <w:keepNext w:val="0"/>
              <w:keepLines w:val="0"/>
              <w:suppressLineNumbers w:val="0"/>
              <w:spacing w:before="24" w:line="221" w:lineRule="auto"/>
              <w:ind w:left="150"/>
              <w:rPr>
                <w:b w:val="0"/>
                <w:bCs w:val="0"/>
                <w:highlight w:val="none"/>
              </w:rPr>
            </w:pPr>
            <w:r>
              <w:rPr>
                <w:b w:val="0"/>
                <w:bCs w:val="0"/>
                <w:spacing w:val="-5"/>
                <w:highlight w:val="none"/>
              </w:rPr>
              <w:t>（10</w:t>
            </w:r>
            <w:r>
              <w:rPr>
                <w:b w:val="0"/>
                <w:bCs w:val="0"/>
                <w:spacing w:val="-35"/>
                <w:highlight w:val="none"/>
              </w:rPr>
              <w:t xml:space="preserve"> </w:t>
            </w:r>
            <w:r>
              <w:rPr>
                <w:b w:val="0"/>
                <w:bCs w:val="0"/>
                <w:spacing w:val="-5"/>
                <w:highlight w:val="none"/>
              </w:rPr>
              <w:t>分）</w:t>
            </w:r>
          </w:p>
        </w:tc>
        <w:tc>
          <w:tcPr>
            <w:tcW w:w="366" w:type="pct"/>
            <w:vAlign w:val="center"/>
          </w:tcPr>
          <w:p w14:paraId="2A49B586">
            <w:pPr>
              <w:pStyle w:val="23"/>
              <w:keepNext w:val="0"/>
              <w:keepLines w:val="0"/>
              <w:suppressLineNumbers w:val="0"/>
              <w:spacing w:before="59" w:line="222" w:lineRule="auto"/>
              <w:ind w:left="0"/>
              <w:rPr>
                <w:b w:val="0"/>
                <w:bCs w:val="0"/>
                <w:highlight w:val="none"/>
              </w:rPr>
            </w:pPr>
            <w:r>
              <w:rPr>
                <w:b w:val="0"/>
                <w:bCs w:val="0"/>
                <w:spacing w:val="-3"/>
                <w:highlight w:val="none"/>
              </w:rPr>
              <w:t>系统设置</w:t>
            </w:r>
          </w:p>
        </w:tc>
        <w:tc>
          <w:tcPr>
            <w:tcW w:w="1734" w:type="pct"/>
            <w:vAlign w:val="center"/>
          </w:tcPr>
          <w:p w14:paraId="1F2A932A">
            <w:pPr>
              <w:pStyle w:val="23"/>
              <w:keepNext w:val="0"/>
              <w:keepLines w:val="0"/>
              <w:suppressLineNumbers w:val="0"/>
              <w:spacing w:before="58" w:line="220" w:lineRule="auto"/>
              <w:ind w:left="113"/>
              <w:rPr>
                <w:b w:val="0"/>
                <w:bCs w:val="0"/>
                <w:highlight w:val="none"/>
              </w:rPr>
            </w:pPr>
            <w:r>
              <w:rPr>
                <w:b w:val="0"/>
                <w:bCs w:val="0"/>
                <w:spacing w:val="-1"/>
                <w:highlight w:val="none"/>
              </w:rPr>
              <w:t>是否按规定设置消防专用电话。</w:t>
            </w:r>
          </w:p>
        </w:tc>
        <w:tc>
          <w:tcPr>
            <w:tcW w:w="1179" w:type="pct"/>
            <w:vAlign w:val="center"/>
          </w:tcPr>
          <w:p w14:paraId="22543CFA">
            <w:pPr>
              <w:pStyle w:val="23"/>
              <w:keepNext w:val="0"/>
              <w:keepLines w:val="0"/>
              <w:suppressLineNumbers w:val="0"/>
              <w:spacing w:before="291" w:line="306" w:lineRule="auto"/>
              <w:ind w:left="133" w:right="103" w:hanging="19"/>
              <w:rPr>
                <w:b w:val="0"/>
                <w:bCs w:val="0"/>
                <w:highlight w:val="none"/>
              </w:rPr>
            </w:pPr>
            <w:r>
              <w:rPr>
                <w:b w:val="0"/>
                <w:bCs w:val="0"/>
                <w:spacing w:val="2"/>
                <w:highlight w:val="none"/>
              </w:rPr>
              <w:t>按照规范应设但未设置消防专用</w:t>
            </w:r>
            <w:r>
              <w:rPr>
                <w:b w:val="0"/>
                <w:bCs w:val="0"/>
                <w:spacing w:val="-4"/>
                <w:highlight w:val="none"/>
              </w:rPr>
              <w:t>电话，该评估子项不得分。</w:t>
            </w:r>
          </w:p>
        </w:tc>
        <w:tc>
          <w:tcPr>
            <w:tcW w:w="366" w:type="pct"/>
            <w:vAlign w:val="center"/>
          </w:tcPr>
          <w:p w14:paraId="773C376B">
            <w:pPr>
              <w:pStyle w:val="23"/>
              <w:keepNext w:val="0"/>
              <w:keepLines w:val="0"/>
              <w:suppressLineNumbers w:val="0"/>
              <w:spacing w:before="68" w:line="282" w:lineRule="auto"/>
              <w:ind w:right="101" w:rightChars="0"/>
              <w:jc w:val="center"/>
              <w:rPr>
                <w:rFonts w:hint="default" w:ascii="Arial" w:eastAsia="宋体"/>
                <w:b w:val="0"/>
                <w:bCs w:val="0"/>
                <w:sz w:val="21"/>
                <w:highlight w:val="none"/>
                <w:lang w:val="en-US" w:eastAsia="zh-CN"/>
              </w:rPr>
            </w:pPr>
          </w:p>
        </w:tc>
        <w:tc>
          <w:tcPr>
            <w:tcW w:w="338" w:type="pct"/>
            <w:vAlign w:val="center"/>
          </w:tcPr>
          <w:p w14:paraId="6991257C">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2EFE28CE">
            <w:pPr>
              <w:keepNext w:val="0"/>
              <w:keepLines w:val="0"/>
              <w:suppressLineNumbers w:val="0"/>
              <w:spacing w:before="0" w:beforeAutospacing="0" w:after="0" w:afterAutospacing="0"/>
              <w:ind w:left="0" w:right="0"/>
              <w:rPr>
                <w:rFonts w:hint="default" w:ascii="Arial"/>
                <w:b w:val="0"/>
                <w:bCs w:val="0"/>
                <w:sz w:val="21"/>
                <w:highlight w:val="none"/>
              </w:rPr>
            </w:pPr>
          </w:p>
        </w:tc>
      </w:tr>
      <w:tr w14:paraId="083141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1" w:hRule="atLeast"/>
          <w:jc w:val="center"/>
        </w:trPr>
        <w:tc>
          <w:tcPr>
            <w:tcW w:w="190" w:type="pct"/>
            <w:vMerge w:val="continue"/>
            <w:vAlign w:val="center"/>
          </w:tcPr>
          <w:p w14:paraId="040C88E5">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vAlign w:val="center"/>
          </w:tcPr>
          <w:p w14:paraId="7C2A5159">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1649EEEE">
            <w:pPr>
              <w:pStyle w:val="23"/>
              <w:keepNext w:val="0"/>
              <w:keepLines w:val="0"/>
              <w:suppressLineNumbers w:val="0"/>
              <w:spacing w:before="228" w:line="311" w:lineRule="auto"/>
              <w:ind w:left="0" w:right="105" w:firstLine="0"/>
              <w:jc w:val="both"/>
              <w:rPr>
                <w:b w:val="0"/>
                <w:bCs w:val="0"/>
                <w:highlight w:val="none"/>
              </w:rPr>
            </w:pPr>
            <w:r>
              <w:rPr>
                <w:b w:val="0"/>
                <w:bCs w:val="0"/>
                <w:spacing w:val="1"/>
                <w:highlight w:val="none"/>
              </w:rPr>
              <w:t>消防专用电</w:t>
            </w:r>
            <w:r>
              <w:rPr>
                <w:b w:val="0"/>
                <w:bCs w:val="0"/>
                <w:spacing w:val="7"/>
                <w:highlight w:val="none"/>
              </w:rPr>
              <w:t>话总机（</w:t>
            </w:r>
            <w:r>
              <w:rPr>
                <w:b w:val="0"/>
                <w:bCs w:val="0"/>
                <w:spacing w:val="-30"/>
                <w:highlight w:val="none"/>
              </w:rPr>
              <w:t xml:space="preserve"> </w:t>
            </w:r>
            <w:r>
              <w:rPr>
                <w:b w:val="0"/>
                <w:bCs w:val="0"/>
                <w:spacing w:val="7"/>
                <w:highlight w:val="none"/>
              </w:rPr>
              <w:t>4</w:t>
            </w:r>
            <w:r>
              <w:rPr>
                <w:b w:val="0"/>
                <w:bCs w:val="0"/>
                <w:highlight w:val="none"/>
              </w:rPr>
              <w:t xml:space="preserve"> </w:t>
            </w:r>
            <w:r>
              <w:rPr>
                <w:b w:val="0"/>
                <w:bCs w:val="0"/>
                <w:spacing w:val="-5"/>
                <w:highlight w:val="none"/>
              </w:rPr>
              <w:t>分）</w:t>
            </w:r>
          </w:p>
        </w:tc>
        <w:tc>
          <w:tcPr>
            <w:tcW w:w="1734" w:type="pct"/>
            <w:vAlign w:val="center"/>
          </w:tcPr>
          <w:p w14:paraId="4C96536E">
            <w:pPr>
              <w:pStyle w:val="23"/>
              <w:keepNext w:val="0"/>
              <w:keepLines w:val="0"/>
              <w:suppressLineNumbers w:val="0"/>
              <w:spacing w:before="71" w:line="220" w:lineRule="auto"/>
              <w:ind w:left="111"/>
              <w:rPr>
                <w:b w:val="0"/>
                <w:bCs w:val="0"/>
                <w:highlight w:val="none"/>
              </w:rPr>
            </w:pPr>
            <w:r>
              <w:rPr>
                <w:b w:val="0"/>
                <w:bCs w:val="0"/>
                <w:spacing w:val="-3"/>
                <w:highlight w:val="none"/>
              </w:rPr>
              <w:t>a)消防专用电话总机功能；</w:t>
            </w:r>
          </w:p>
          <w:p w14:paraId="4358940F">
            <w:pPr>
              <w:pStyle w:val="23"/>
              <w:keepNext w:val="0"/>
              <w:keepLines w:val="0"/>
              <w:suppressLineNumbers w:val="0"/>
              <w:spacing w:before="97" w:line="221" w:lineRule="auto"/>
              <w:ind w:left="107"/>
              <w:rPr>
                <w:b w:val="0"/>
                <w:bCs w:val="0"/>
                <w:highlight w:val="none"/>
              </w:rPr>
            </w:pPr>
            <w:r>
              <w:rPr>
                <w:b w:val="0"/>
                <w:bCs w:val="0"/>
                <w:spacing w:val="-1"/>
                <w:highlight w:val="none"/>
              </w:rPr>
              <w:t>b)消防控制室的外线电话；</w:t>
            </w:r>
          </w:p>
          <w:p w14:paraId="5108DCBC">
            <w:pPr>
              <w:pStyle w:val="23"/>
              <w:keepNext w:val="0"/>
              <w:keepLines w:val="0"/>
              <w:suppressLineNumbers w:val="0"/>
              <w:spacing w:before="97" w:line="281" w:lineRule="auto"/>
              <w:ind w:left="128" w:right="105" w:hanging="14"/>
              <w:rPr>
                <w:b w:val="0"/>
                <w:bCs w:val="0"/>
                <w:highlight w:val="none"/>
              </w:rPr>
            </w:pPr>
            <w:r>
              <w:rPr>
                <w:b w:val="0"/>
                <w:bCs w:val="0"/>
                <w:spacing w:val="1"/>
                <w:highlight w:val="none"/>
              </w:rPr>
              <w:t>c)消防电话的故障状态显示，并能将故障状态信息传输给消防控制室</w:t>
            </w:r>
            <w:r>
              <w:rPr>
                <w:b w:val="0"/>
                <w:bCs w:val="0"/>
                <w:spacing w:val="-4"/>
                <w:highlight w:val="none"/>
              </w:rPr>
              <w:t>图形显示装置。</w:t>
            </w:r>
          </w:p>
        </w:tc>
        <w:tc>
          <w:tcPr>
            <w:tcW w:w="1179" w:type="pct"/>
            <w:vAlign w:val="center"/>
          </w:tcPr>
          <w:p w14:paraId="1463EEBF">
            <w:pPr>
              <w:pStyle w:val="23"/>
              <w:keepNext w:val="0"/>
              <w:keepLines w:val="0"/>
              <w:suppressLineNumbers w:val="0"/>
              <w:spacing w:before="58" w:line="307" w:lineRule="auto"/>
              <w:ind w:left="113" w:right="103"/>
              <w:rPr>
                <w:b w:val="0"/>
                <w:bCs w:val="0"/>
                <w:highlight w:val="none"/>
              </w:rPr>
            </w:pPr>
            <w:r>
              <w:rPr>
                <w:b w:val="0"/>
                <w:bCs w:val="0"/>
                <w:spacing w:val="-3"/>
                <w:highlight w:val="none"/>
              </w:rPr>
              <w:t>a)不符合要求扣 4</w:t>
            </w:r>
            <w:r>
              <w:rPr>
                <w:b w:val="0"/>
                <w:bCs w:val="0"/>
                <w:spacing w:val="-8"/>
                <w:highlight w:val="none"/>
              </w:rPr>
              <w:t xml:space="preserve"> </w:t>
            </w:r>
            <w:r>
              <w:rPr>
                <w:b w:val="0"/>
                <w:bCs w:val="0"/>
                <w:spacing w:val="-3"/>
                <w:highlight w:val="none"/>
              </w:rPr>
              <w:t>分，b)c)不符合要求各扣</w:t>
            </w:r>
            <w:r>
              <w:rPr>
                <w:b w:val="0"/>
                <w:bCs w:val="0"/>
                <w:spacing w:val="-36"/>
                <w:highlight w:val="none"/>
              </w:rPr>
              <w:t xml:space="preserve"> </w:t>
            </w:r>
            <w:r>
              <w:rPr>
                <w:b w:val="0"/>
                <w:bCs w:val="0"/>
                <w:spacing w:val="-3"/>
                <w:highlight w:val="none"/>
              </w:rPr>
              <w:t>2</w:t>
            </w:r>
            <w:r>
              <w:rPr>
                <w:b w:val="0"/>
                <w:bCs w:val="0"/>
                <w:spacing w:val="-35"/>
                <w:highlight w:val="none"/>
              </w:rPr>
              <w:t xml:space="preserve"> </w:t>
            </w:r>
            <w:r>
              <w:rPr>
                <w:b w:val="0"/>
                <w:bCs w:val="0"/>
                <w:spacing w:val="-3"/>
                <w:highlight w:val="none"/>
              </w:rPr>
              <w:t>分；扣完不得分。</w:t>
            </w:r>
          </w:p>
        </w:tc>
        <w:tc>
          <w:tcPr>
            <w:tcW w:w="366" w:type="pct"/>
            <w:vAlign w:val="center"/>
          </w:tcPr>
          <w:p w14:paraId="5140B9BA">
            <w:pPr>
              <w:pStyle w:val="23"/>
              <w:keepNext w:val="0"/>
              <w:keepLines w:val="0"/>
              <w:suppressLineNumbers w:val="0"/>
              <w:spacing w:before="68" w:line="282" w:lineRule="auto"/>
              <w:ind w:left="113" w:leftChars="0" w:right="101" w:rightChars="0" w:firstLine="1" w:firstLineChars="0"/>
              <w:jc w:val="center"/>
              <w:rPr>
                <w:rFonts w:hint="default" w:ascii="Arial" w:eastAsia="宋体"/>
                <w:b w:val="0"/>
                <w:bCs w:val="0"/>
                <w:sz w:val="21"/>
                <w:highlight w:val="none"/>
                <w:lang w:val="en-US" w:eastAsia="zh-CN"/>
              </w:rPr>
            </w:pPr>
          </w:p>
        </w:tc>
        <w:tc>
          <w:tcPr>
            <w:tcW w:w="338" w:type="pct"/>
            <w:vAlign w:val="center"/>
          </w:tcPr>
          <w:p w14:paraId="480A40FC">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2306E0DD">
            <w:pPr>
              <w:keepNext w:val="0"/>
              <w:keepLines w:val="0"/>
              <w:suppressLineNumbers w:val="0"/>
              <w:spacing w:before="0" w:beforeAutospacing="0" w:after="0" w:afterAutospacing="0"/>
              <w:ind w:left="0" w:right="0"/>
              <w:rPr>
                <w:rFonts w:hint="default" w:ascii="Arial"/>
                <w:b w:val="0"/>
                <w:bCs w:val="0"/>
                <w:sz w:val="21"/>
                <w:highlight w:val="none"/>
              </w:rPr>
            </w:pPr>
          </w:p>
        </w:tc>
      </w:tr>
      <w:tr w14:paraId="3233F9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6" w:hRule="atLeast"/>
          <w:jc w:val="center"/>
        </w:trPr>
        <w:tc>
          <w:tcPr>
            <w:tcW w:w="190" w:type="pct"/>
            <w:vMerge w:val="continue"/>
            <w:vAlign w:val="center"/>
          </w:tcPr>
          <w:p w14:paraId="00197C08">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vAlign w:val="center"/>
          </w:tcPr>
          <w:p w14:paraId="53662E81">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4B48AFD5">
            <w:pPr>
              <w:pStyle w:val="23"/>
              <w:keepNext w:val="0"/>
              <w:keepLines w:val="0"/>
              <w:suppressLineNumbers w:val="0"/>
              <w:spacing w:before="243" w:line="311" w:lineRule="auto"/>
              <w:ind w:left="0" w:right="105" w:firstLine="0"/>
              <w:jc w:val="both"/>
              <w:rPr>
                <w:b w:val="0"/>
                <w:bCs w:val="0"/>
                <w:highlight w:val="none"/>
              </w:rPr>
            </w:pPr>
            <w:r>
              <w:rPr>
                <w:b w:val="0"/>
                <w:bCs w:val="0"/>
                <w:spacing w:val="1"/>
                <w:highlight w:val="none"/>
              </w:rPr>
              <w:t>消防专用电</w:t>
            </w:r>
            <w:r>
              <w:rPr>
                <w:b w:val="0"/>
                <w:bCs w:val="0"/>
                <w:spacing w:val="6"/>
                <w:highlight w:val="none"/>
              </w:rPr>
              <w:t>话分机（</w:t>
            </w:r>
            <w:r>
              <w:rPr>
                <w:b w:val="0"/>
                <w:bCs w:val="0"/>
                <w:spacing w:val="-25"/>
                <w:highlight w:val="none"/>
              </w:rPr>
              <w:t xml:space="preserve"> </w:t>
            </w:r>
            <w:r>
              <w:rPr>
                <w:b w:val="0"/>
                <w:bCs w:val="0"/>
                <w:spacing w:val="6"/>
                <w:highlight w:val="none"/>
              </w:rPr>
              <w:t>3</w:t>
            </w:r>
            <w:r>
              <w:rPr>
                <w:b w:val="0"/>
                <w:bCs w:val="0"/>
                <w:highlight w:val="none"/>
              </w:rPr>
              <w:t xml:space="preserve"> </w:t>
            </w:r>
            <w:r>
              <w:rPr>
                <w:b w:val="0"/>
                <w:bCs w:val="0"/>
                <w:spacing w:val="-5"/>
                <w:highlight w:val="none"/>
              </w:rPr>
              <w:t>分）</w:t>
            </w:r>
          </w:p>
        </w:tc>
        <w:tc>
          <w:tcPr>
            <w:tcW w:w="1734" w:type="pct"/>
            <w:vAlign w:val="center"/>
          </w:tcPr>
          <w:p w14:paraId="442D996E">
            <w:pPr>
              <w:pStyle w:val="23"/>
              <w:keepNext w:val="0"/>
              <w:keepLines w:val="0"/>
              <w:suppressLineNumbers w:val="0"/>
              <w:spacing w:before="242" w:line="220" w:lineRule="auto"/>
              <w:ind w:left="111"/>
              <w:rPr>
                <w:b w:val="0"/>
                <w:bCs w:val="0"/>
                <w:highlight w:val="none"/>
              </w:rPr>
            </w:pPr>
            <w:r>
              <w:rPr>
                <w:b w:val="0"/>
                <w:bCs w:val="0"/>
                <w:spacing w:val="-1"/>
                <w:highlight w:val="none"/>
              </w:rPr>
              <w:t>a)消防专用电话分机的设置、标志；</w:t>
            </w:r>
          </w:p>
          <w:p w14:paraId="629A4929">
            <w:pPr>
              <w:pStyle w:val="23"/>
              <w:keepNext w:val="0"/>
              <w:keepLines w:val="0"/>
              <w:suppressLineNumbers w:val="0"/>
              <w:spacing w:before="97" w:line="221" w:lineRule="auto"/>
              <w:ind w:left="107"/>
              <w:rPr>
                <w:b w:val="0"/>
                <w:bCs w:val="0"/>
                <w:highlight w:val="none"/>
              </w:rPr>
            </w:pPr>
            <w:r>
              <w:rPr>
                <w:b w:val="0"/>
                <w:bCs w:val="0"/>
                <w:spacing w:val="-1"/>
                <w:highlight w:val="none"/>
              </w:rPr>
              <w:t>b)语音是否清晰；</w:t>
            </w:r>
          </w:p>
          <w:p w14:paraId="3C75D7C7">
            <w:pPr>
              <w:pStyle w:val="23"/>
              <w:keepNext w:val="0"/>
              <w:keepLines w:val="0"/>
              <w:suppressLineNumbers w:val="0"/>
              <w:spacing w:before="96" w:line="220" w:lineRule="auto"/>
              <w:ind w:left="114"/>
              <w:rPr>
                <w:b w:val="0"/>
                <w:bCs w:val="0"/>
                <w:highlight w:val="none"/>
              </w:rPr>
            </w:pPr>
            <w:r>
              <w:rPr>
                <w:b w:val="0"/>
                <w:bCs w:val="0"/>
                <w:spacing w:val="-1"/>
                <w:highlight w:val="none"/>
              </w:rPr>
              <w:t>c)消防专用电话分机与消防专用电话总机互相呼叫与通话功能。</w:t>
            </w:r>
          </w:p>
        </w:tc>
        <w:tc>
          <w:tcPr>
            <w:tcW w:w="1179" w:type="pct"/>
            <w:vAlign w:val="center"/>
          </w:tcPr>
          <w:p w14:paraId="60276CDD">
            <w:pPr>
              <w:pStyle w:val="23"/>
              <w:keepNext w:val="0"/>
              <w:keepLines w:val="0"/>
              <w:suppressLineNumbers w:val="0"/>
              <w:spacing w:before="59" w:line="307" w:lineRule="auto"/>
              <w:ind w:left="113" w:right="103"/>
              <w:rPr>
                <w:b w:val="0"/>
                <w:bCs w:val="0"/>
                <w:highlight w:val="none"/>
              </w:rPr>
            </w:pPr>
            <w:r>
              <w:rPr>
                <w:b w:val="0"/>
                <w:bCs w:val="0"/>
                <w:spacing w:val="-4"/>
                <w:highlight w:val="none"/>
              </w:rPr>
              <w:t>a)b)不符合要求各扣 2 分，c)不符合要求扣</w:t>
            </w:r>
            <w:r>
              <w:rPr>
                <w:b w:val="0"/>
                <w:bCs w:val="0"/>
                <w:spacing w:val="-23"/>
                <w:highlight w:val="none"/>
              </w:rPr>
              <w:t xml:space="preserve"> </w:t>
            </w:r>
            <w:r>
              <w:rPr>
                <w:b w:val="0"/>
                <w:bCs w:val="0"/>
                <w:spacing w:val="-4"/>
                <w:highlight w:val="none"/>
              </w:rPr>
              <w:t>3</w:t>
            </w:r>
            <w:r>
              <w:rPr>
                <w:b w:val="0"/>
                <w:bCs w:val="0"/>
                <w:spacing w:val="-34"/>
                <w:highlight w:val="none"/>
              </w:rPr>
              <w:t xml:space="preserve"> </w:t>
            </w:r>
            <w:r>
              <w:rPr>
                <w:b w:val="0"/>
                <w:bCs w:val="0"/>
                <w:spacing w:val="-4"/>
                <w:highlight w:val="none"/>
              </w:rPr>
              <w:t>分；扣完不得分。</w:t>
            </w:r>
          </w:p>
        </w:tc>
        <w:tc>
          <w:tcPr>
            <w:tcW w:w="366" w:type="pct"/>
            <w:vAlign w:val="center"/>
          </w:tcPr>
          <w:p w14:paraId="0DDAEA04">
            <w:pPr>
              <w:pStyle w:val="23"/>
              <w:keepNext w:val="0"/>
              <w:keepLines w:val="0"/>
              <w:suppressLineNumbers w:val="0"/>
              <w:spacing w:before="68" w:line="282" w:lineRule="auto"/>
              <w:ind w:left="113" w:leftChars="0" w:right="101" w:rightChars="0" w:firstLine="1" w:firstLineChars="0"/>
              <w:jc w:val="center"/>
              <w:rPr>
                <w:rFonts w:hint="default" w:ascii="Arial" w:eastAsia="宋体"/>
                <w:b w:val="0"/>
                <w:bCs w:val="0"/>
                <w:sz w:val="21"/>
                <w:highlight w:val="none"/>
                <w:lang w:val="en-US" w:eastAsia="zh-CN"/>
              </w:rPr>
            </w:pPr>
          </w:p>
        </w:tc>
        <w:tc>
          <w:tcPr>
            <w:tcW w:w="338" w:type="pct"/>
            <w:vAlign w:val="center"/>
          </w:tcPr>
          <w:p w14:paraId="212ACC28">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vAlign w:val="center"/>
          </w:tcPr>
          <w:p w14:paraId="19DEEE66">
            <w:pPr>
              <w:keepNext w:val="0"/>
              <w:keepLines w:val="0"/>
              <w:suppressLineNumbers w:val="0"/>
              <w:spacing w:before="0" w:beforeAutospacing="0" w:after="0" w:afterAutospacing="0"/>
              <w:ind w:left="0" w:right="0"/>
              <w:rPr>
                <w:rFonts w:hint="default" w:ascii="Arial"/>
                <w:b w:val="0"/>
                <w:bCs w:val="0"/>
                <w:sz w:val="21"/>
                <w:highlight w:val="none"/>
              </w:rPr>
            </w:pPr>
          </w:p>
        </w:tc>
      </w:tr>
      <w:tr w14:paraId="0BFA3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9" w:hRule="atLeast"/>
          <w:jc w:val="center"/>
        </w:trPr>
        <w:tc>
          <w:tcPr>
            <w:tcW w:w="190" w:type="pct"/>
            <w:vMerge w:val="continue"/>
            <w:tcBorders>
              <w:bottom w:val="single" w:color="auto" w:sz="4" w:space="0"/>
            </w:tcBorders>
            <w:vAlign w:val="center"/>
          </w:tcPr>
          <w:p w14:paraId="220CA17D">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tcBorders>
              <w:bottom w:val="single" w:color="auto" w:sz="4" w:space="0"/>
            </w:tcBorders>
            <w:vAlign w:val="center"/>
          </w:tcPr>
          <w:p w14:paraId="6C039F42">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bottom w:val="single" w:color="auto" w:sz="4" w:space="0"/>
            </w:tcBorders>
            <w:vAlign w:val="center"/>
          </w:tcPr>
          <w:p w14:paraId="4AEF212C">
            <w:pPr>
              <w:pStyle w:val="23"/>
              <w:keepNext w:val="0"/>
              <w:keepLines w:val="0"/>
              <w:suppressLineNumbers w:val="0"/>
              <w:spacing w:before="97" w:line="283" w:lineRule="auto"/>
              <w:ind w:left="0" w:right="105" w:firstLine="0"/>
              <w:rPr>
                <w:b w:val="0"/>
                <w:bCs w:val="0"/>
                <w:spacing w:val="1"/>
                <w:highlight w:val="none"/>
              </w:rPr>
            </w:pPr>
            <w:r>
              <w:rPr>
                <w:b w:val="0"/>
                <w:bCs w:val="0"/>
                <w:spacing w:val="1"/>
                <w:highlight w:val="none"/>
              </w:rPr>
              <w:t>电话插孔（3 分）</w:t>
            </w:r>
          </w:p>
        </w:tc>
        <w:tc>
          <w:tcPr>
            <w:tcW w:w="1734" w:type="pct"/>
            <w:tcBorders>
              <w:bottom w:val="single" w:color="auto" w:sz="4" w:space="0"/>
            </w:tcBorders>
            <w:vAlign w:val="center"/>
          </w:tcPr>
          <w:p w14:paraId="59F72450">
            <w:pPr>
              <w:pStyle w:val="23"/>
              <w:keepNext w:val="0"/>
              <w:keepLines w:val="0"/>
              <w:suppressLineNumbers w:val="0"/>
              <w:spacing w:before="66" w:line="220" w:lineRule="auto"/>
              <w:ind w:left="111"/>
              <w:rPr>
                <w:b w:val="0"/>
                <w:bCs w:val="0"/>
                <w:highlight w:val="none"/>
              </w:rPr>
            </w:pPr>
            <w:r>
              <w:rPr>
                <w:b w:val="0"/>
                <w:bCs w:val="0"/>
                <w:spacing w:val="-1"/>
                <w:highlight w:val="none"/>
              </w:rPr>
              <w:t>a)电话插孔、带电话插孔的手动报警按钮的设置、标志；</w:t>
            </w:r>
          </w:p>
          <w:p w14:paraId="0135D344">
            <w:pPr>
              <w:pStyle w:val="23"/>
              <w:keepNext w:val="0"/>
              <w:keepLines w:val="0"/>
              <w:suppressLineNumbers w:val="0"/>
              <w:spacing w:before="97" w:line="283" w:lineRule="auto"/>
              <w:ind w:left="112" w:right="105" w:hanging="5"/>
              <w:rPr>
                <w:b w:val="0"/>
                <w:bCs w:val="0"/>
                <w:highlight w:val="none"/>
              </w:rPr>
            </w:pPr>
            <w:r>
              <w:rPr>
                <w:b w:val="0"/>
                <w:bCs w:val="0"/>
                <w:spacing w:val="1"/>
                <w:highlight w:val="none"/>
              </w:rPr>
              <w:t>b)消防专用电话总机与电话插孔互相呼叫与通话，呼叫音和通话语音</w:t>
            </w:r>
            <w:r>
              <w:rPr>
                <w:b w:val="0"/>
                <w:bCs w:val="0"/>
                <w:spacing w:val="-2"/>
                <w:highlight w:val="none"/>
              </w:rPr>
              <w:t>是否清晰。</w:t>
            </w:r>
          </w:p>
        </w:tc>
        <w:tc>
          <w:tcPr>
            <w:tcW w:w="1179" w:type="pct"/>
            <w:tcBorders>
              <w:bottom w:val="single" w:color="auto" w:sz="4" w:space="0"/>
            </w:tcBorders>
            <w:vAlign w:val="center"/>
          </w:tcPr>
          <w:p w14:paraId="36B8EB97">
            <w:pPr>
              <w:pStyle w:val="23"/>
              <w:keepNext w:val="0"/>
              <w:keepLines w:val="0"/>
              <w:suppressLineNumbers w:val="0"/>
              <w:spacing w:before="220" w:line="307" w:lineRule="auto"/>
              <w:ind w:left="113" w:right="103"/>
              <w:rPr>
                <w:b w:val="0"/>
                <w:bCs w:val="0"/>
                <w:highlight w:val="none"/>
              </w:rPr>
            </w:pPr>
            <w:r>
              <w:rPr>
                <w:b w:val="0"/>
                <w:bCs w:val="0"/>
                <w:spacing w:val="-4"/>
                <w:highlight w:val="none"/>
              </w:rPr>
              <w:t>a)不符合要求扣 1 分，b)不符合要求扣</w:t>
            </w:r>
            <w:r>
              <w:rPr>
                <w:b w:val="0"/>
                <w:bCs w:val="0"/>
                <w:spacing w:val="-29"/>
                <w:highlight w:val="none"/>
              </w:rPr>
              <w:t xml:space="preserve"> </w:t>
            </w:r>
            <w:r>
              <w:rPr>
                <w:b w:val="0"/>
                <w:bCs w:val="0"/>
                <w:spacing w:val="-4"/>
                <w:highlight w:val="none"/>
              </w:rPr>
              <w:t>3</w:t>
            </w:r>
            <w:r>
              <w:rPr>
                <w:b w:val="0"/>
                <w:bCs w:val="0"/>
                <w:spacing w:val="-34"/>
                <w:highlight w:val="none"/>
              </w:rPr>
              <w:t xml:space="preserve"> </w:t>
            </w:r>
            <w:r>
              <w:rPr>
                <w:b w:val="0"/>
                <w:bCs w:val="0"/>
                <w:spacing w:val="-4"/>
                <w:highlight w:val="none"/>
              </w:rPr>
              <w:t>分；扣完不得分。</w:t>
            </w:r>
          </w:p>
        </w:tc>
        <w:tc>
          <w:tcPr>
            <w:tcW w:w="366" w:type="pct"/>
            <w:tcBorders>
              <w:bottom w:val="single" w:color="auto" w:sz="4" w:space="0"/>
            </w:tcBorders>
            <w:shd w:val="clear" w:color="auto" w:fill="auto"/>
            <w:vAlign w:val="center"/>
          </w:tcPr>
          <w:p w14:paraId="0DA95416">
            <w:pPr>
              <w:pStyle w:val="23"/>
              <w:keepNext w:val="0"/>
              <w:keepLines w:val="0"/>
              <w:suppressLineNumbers w:val="0"/>
              <w:spacing w:before="68" w:line="282" w:lineRule="auto"/>
              <w:ind w:right="101" w:rightChars="0"/>
              <w:jc w:val="center"/>
              <w:rPr>
                <w:rFonts w:hint="default" w:ascii="Arial" w:hAnsi="宋体" w:eastAsia="宋体" w:cs="宋体"/>
                <w:b w:val="0"/>
                <w:bCs w:val="0"/>
                <w:snapToGrid w:val="0"/>
                <w:color w:val="000000"/>
                <w:kern w:val="0"/>
                <w:sz w:val="21"/>
                <w:szCs w:val="18"/>
                <w:highlight w:val="none"/>
                <w:lang w:val="en-US" w:eastAsia="zh-CN" w:bidi="ar-SA"/>
              </w:rPr>
            </w:pPr>
          </w:p>
        </w:tc>
        <w:tc>
          <w:tcPr>
            <w:tcW w:w="338" w:type="pct"/>
            <w:tcBorders>
              <w:bottom w:val="single" w:color="auto" w:sz="4" w:space="0"/>
            </w:tcBorders>
            <w:vAlign w:val="center"/>
          </w:tcPr>
          <w:p w14:paraId="3CC4BB05">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bottom w:val="single" w:color="auto" w:sz="4" w:space="0"/>
            </w:tcBorders>
            <w:vAlign w:val="center"/>
          </w:tcPr>
          <w:p w14:paraId="00FE25A8">
            <w:pPr>
              <w:keepNext w:val="0"/>
              <w:keepLines w:val="0"/>
              <w:suppressLineNumbers w:val="0"/>
              <w:spacing w:before="0" w:beforeAutospacing="0" w:after="0" w:afterAutospacing="0"/>
              <w:ind w:left="0" w:right="0"/>
              <w:rPr>
                <w:rFonts w:hint="default" w:ascii="Arial"/>
                <w:b w:val="0"/>
                <w:bCs w:val="0"/>
                <w:sz w:val="21"/>
                <w:highlight w:val="none"/>
              </w:rPr>
            </w:pPr>
          </w:p>
        </w:tc>
      </w:tr>
      <w:tr w14:paraId="0411F0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9" w:hRule="atLeast"/>
          <w:jc w:val="center"/>
        </w:trPr>
        <w:tc>
          <w:tcPr>
            <w:tcW w:w="190" w:type="pct"/>
            <w:vMerge w:val="restart"/>
            <w:tcBorders>
              <w:top w:val="single" w:color="auto" w:sz="4" w:space="0"/>
              <w:left w:val="single" w:color="auto" w:sz="4" w:space="0"/>
              <w:bottom w:val="single" w:color="auto" w:sz="4" w:space="0"/>
              <w:right w:val="single" w:color="auto" w:sz="4" w:space="0"/>
            </w:tcBorders>
            <w:vAlign w:val="center"/>
          </w:tcPr>
          <w:p w14:paraId="23C6D9D0">
            <w:pPr>
              <w:keepNext w:val="0"/>
              <w:keepLines w:val="0"/>
              <w:suppressLineNumbers w:val="0"/>
              <w:spacing w:before="0" w:beforeAutospacing="0" w:after="0" w:afterAutospacing="0" w:line="246" w:lineRule="auto"/>
              <w:ind w:left="0" w:right="0"/>
              <w:rPr>
                <w:rFonts w:hint="default" w:ascii="Arial"/>
                <w:b w:val="0"/>
                <w:bCs w:val="0"/>
                <w:sz w:val="21"/>
                <w:highlight w:val="none"/>
              </w:rPr>
            </w:pPr>
          </w:p>
          <w:p w14:paraId="08A1AC80">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22</w:t>
            </w:r>
          </w:p>
        </w:tc>
        <w:tc>
          <w:tcPr>
            <w:tcW w:w="492" w:type="pct"/>
            <w:vMerge w:val="restart"/>
            <w:tcBorders>
              <w:top w:val="single" w:color="auto" w:sz="4" w:space="0"/>
              <w:left w:val="single" w:color="auto" w:sz="4" w:space="0"/>
              <w:bottom w:val="single" w:color="auto" w:sz="4" w:space="0"/>
              <w:right w:val="single" w:color="auto" w:sz="4" w:space="0"/>
            </w:tcBorders>
            <w:vAlign w:val="center"/>
          </w:tcPr>
          <w:p w14:paraId="494688BE">
            <w:pPr>
              <w:pStyle w:val="23"/>
              <w:keepNext w:val="0"/>
              <w:keepLines w:val="0"/>
              <w:suppressLineNumbers w:val="0"/>
              <w:spacing w:before="58" w:line="307" w:lineRule="auto"/>
              <w:ind w:left="352" w:right="168" w:hanging="171"/>
              <w:rPr>
                <w:b w:val="0"/>
                <w:bCs w:val="0"/>
                <w:highlight w:val="none"/>
              </w:rPr>
            </w:pPr>
            <w:r>
              <w:rPr>
                <w:b w:val="0"/>
                <w:bCs w:val="0"/>
                <w:spacing w:val="-5"/>
                <w:highlight w:val="none"/>
              </w:rPr>
              <w:t>防火分隔</w:t>
            </w:r>
            <w:r>
              <w:rPr>
                <w:b w:val="0"/>
                <w:bCs w:val="0"/>
                <w:spacing w:val="-3"/>
                <w:highlight w:val="none"/>
              </w:rPr>
              <w:t>设施</w:t>
            </w:r>
          </w:p>
          <w:p w14:paraId="17E89B99">
            <w:pPr>
              <w:pStyle w:val="23"/>
              <w:keepNext w:val="0"/>
              <w:keepLines w:val="0"/>
              <w:suppressLineNumbers w:val="0"/>
              <w:spacing w:before="24" w:line="221" w:lineRule="auto"/>
              <w:ind w:left="150"/>
              <w:rPr>
                <w:b w:val="0"/>
                <w:bCs w:val="0"/>
                <w:highlight w:val="none"/>
              </w:rPr>
            </w:pPr>
            <w:r>
              <w:rPr>
                <w:b w:val="0"/>
                <w:bCs w:val="0"/>
                <w:spacing w:val="-5"/>
                <w:highlight w:val="none"/>
              </w:rPr>
              <w:t>（20</w:t>
            </w:r>
            <w:r>
              <w:rPr>
                <w:b w:val="0"/>
                <w:bCs w:val="0"/>
                <w:spacing w:val="-35"/>
                <w:highlight w:val="none"/>
              </w:rPr>
              <w:t xml:space="preserve"> </w:t>
            </w:r>
            <w:r>
              <w:rPr>
                <w:b w:val="0"/>
                <w:bCs w:val="0"/>
                <w:spacing w:val="-5"/>
                <w:highlight w:val="none"/>
              </w:rPr>
              <w:t>分）</w:t>
            </w:r>
          </w:p>
        </w:tc>
        <w:tc>
          <w:tcPr>
            <w:tcW w:w="366" w:type="pct"/>
            <w:tcBorders>
              <w:top w:val="single" w:color="auto" w:sz="4" w:space="0"/>
              <w:left w:val="single" w:color="auto" w:sz="4" w:space="0"/>
              <w:bottom w:val="single" w:color="auto" w:sz="4" w:space="0"/>
              <w:right w:val="single" w:color="auto" w:sz="4" w:space="0"/>
            </w:tcBorders>
            <w:vAlign w:val="center"/>
          </w:tcPr>
          <w:p w14:paraId="4D0F2795">
            <w:pPr>
              <w:pStyle w:val="23"/>
              <w:keepNext w:val="0"/>
              <w:keepLines w:val="0"/>
              <w:suppressLineNumbers w:val="0"/>
              <w:spacing w:before="97" w:line="283" w:lineRule="auto"/>
              <w:ind w:left="0" w:right="105" w:firstLine="0"/>
              <w:rPr>
                <w:b w:val="0"/>
                <w:bCs w:val="0"/>
                <w:spacing w:val="1"/>
                <w:highlight w:val="none"/>
              </w:rPr>
            </w:pPr>
            <w:r>
              <w:rPr>
                <w:b w:val="0"/>
                <w:bCs w:val="0"/>
                <w:spacing w:val="1"/>
                <w:highlight w:val="none"/>
              </w:rPr>
              <w:t>防火卷帘（8 分）</w:t>
            </w:r>
          </w:p>
        </w:tc>
        <w:tc>
          <w:tcPr>
            <w:tcW w:w="1734" w:type="pct"/>
            <w:tcBorders>
              <w:top w:val="single" w:color="auto" w:sz="4" w:space="0"/>
              <w:left w:val="single" w:color="auto" w:sz="4" w:space="0"/>
              <w:bottom w:val="single" w:color="auto" w:sz="4" w:space="0"/>
              <w:right w:val="single" w:color="auto" w:sz="4" w:space="0"/>
            </w:tcBorders>
            <w:vAlign w:val="center"/>
          </w:tcPr>
          <w:p w14:paraId="71BCD8F7">
            <w:pPr>
              <w:pStyle w:val="23"/>
              <w:keepNext w:val="0"/>
              <w:keepLines w:val="0"/>
              <w:suppressLineNumbers w:val="0"/>
              <w:spacing w:before="66" w:line="220" w:lineRule="auto"/>
              <w:ind w:left="111"/>
              <w:rPr>
                <w:b w:val="0"/>
                <w:bCs w:val="0"/>
                <w:highlight w:val="none"/>
              </w:rPr>
            </w:pPr>
            <w:r>
              <w:rPr>
                <w:b w:val="0"/>
                <w:bCs w:val="0"/>
                <w:spacing w:val="-2"/>
                <w:highlight w:val="none"/>
              </w:rPr>
              <w:t>a)防火卷帘的安装、外观、防火封堵、组件及标识情况；</w:t>
            </w:r>
          </w:p>
          <w:p w14:paraId="756FD53B">
            <w:pPr>
              <w:pStyle w:val="23"/>
              <w:keepNext w:val="0"/>
              <w:keepLines w:val="0"/>
              <w:suppressLineNumbers w:val="0"/>
              <w:spacing w:before="97" w:line="220" w:lineRule="auto"/>
              <w:ind w:left="107"/>
              <w:rPr>
                <w:b w:val="0"/>
                <w:bCs w:val="0"/>
                <w:highlight w:val="none"/>
              </w:rPr>
            </w:pPr>
            <w:r>
              <w:rPr>
                <w:b w:val="0"/>
                <w:bCs w:val="0"/>
                <w:spacing w:val="-2"/>
                <w:highlight w:val="none"/>
              </w:rPr>
              <w:t>b)防火卷帘控制装置的安装、功能；</w:t>
            </w:r>
          </w:p>
          <w:p w14:paraId="67C21E2D">
            <w:pPr>
              <w:pStyle w:val="23"/>
              <w:keepNext w:val="0"/>
              <w:keepLines w:val="0"/>
              <w:suppressLineNumbers w:val="0"/>
              <w:spacing w:before="96" w:line="307" w:lineRule="auto"/>
              <w:ind w:left="112" w:right="131" w:firstLine="1"/>
              <w:rPr>
                <w:b w:val="0"/>
                <w:bCs w:val="0"/>
                <w:highlight w:val="none"/>
              </w:rPr>
            </w:pPr>
            <w:r>
              <w:rPr>
                <w:b w:val="0"/>
                <w:bCs w:val="0"/>
                <w:highlight w:val="none"/>
              </w:rPr>
              <w:t>c)设有备用电源的防火卷帘，其控制器的主、备电源转换功能，主、</w:t>
            </w:r>
            <w:r>
              <w:rPr>
                <w:b w:val="0"/>
                <w:bCs w:val="0"/>
                <w:spacing w:val="-1"/>
                <w:highlight w:val="none"/>
              </w:rPr>
              <w:t>备电源的工作状态指示；</w:t>
            </w:r>
          </w:p>
          <w:p w14:paraId="50F6A793">
            <w:pPr>
              <w:pStyle w:val="23"/>
              <w:keepNext w:val="0"/>
              <w:keepLines w:val="0"/>
              <w:suppressLineNumbers w:val="0"/>
              <w:spacing w:before="26" w:line="220" w:lineRule="auto"/>
              <w:ind w:left="114"/>
              <w:rPr>
                <w:b w:val="0"/>
                <w:bCs w:val="0"/>
                <w:highlight w:val="none"/>
              </w:rPr>
            </w:pPr>
            <w:r>
              <w:rPr>
                <w:b w:val="0"/>
                <w:bCs w:val="0"/>
                <w:spacing w:val="-3"/>
                <w:highlight w:val="none"/>
              </w:rPr>
              <w:t>d)防火卷帘的运行功能；</w:t>
            </w:r>
          </w:p>
          <w:p w14:paraId="4B0B7DEF">
            <w:pPr>
              <w:pStyle w:val="23"/>
              <w:keepNext w:val="0"/>
              <w:keepLines w:val="0"/>
              <w:suppressLineNumbers w:val="0"/>
              <w:spacing w:before="97" w:line="220" w:lineRule="auto"/>
              <w:ind w:left="114"/>
              <w:rPr>
                <w:b w:val="0"/>
                <w:bCs w:val="0"/>
                <w:highlight w:val="none"/>
              </w:rPr>
            </w:pPr>
            <w:r>
              <w:rPr>
                <w:b w:val="0"/>
                <w:bCs w:val="0"/>
                <w:spacing w:val="-1"/>
                <w:highlight w:val="none"/>
              </w:rPr>
              <w:t>e)防火卷帘的联动控制功能。</w:t>
            </w:r>
          </w:p>
        </w:tc>
        <w:tc>
          <w:tcPr>
            <w:tcW w:w="1179" w:type="pct"/>
            <w:tcBorders>
              <w:top w:val="single" w:color="auto" w:sz="4" w:space="0"/>
              <w:left w:val="single" w:color="auto" w:sz="4" w:space="0"/>
              <w:bottom w:val="single" w:color="auto" w:sz="4" w:space="0"/>
              <w:right w:val="single" w:color="auto" w:sz="4" w:space="0"/>
            </w:tcBorders>
            <w:vAlign w:val="center"/>
          </w:tcPr>
          <w:p w14:paraId="71B3746D">
            <w:pPr>
              <w:pStyle w:val="23"/>
              <w:keepNext w:val="0"/>
              <w:keepLines w:val="0"/>
              <w:suppressLineNumbers w:val="0"/>
              <w:spacing w:before="58" w:line="307" w:lineRule="auto"/>
              <w:ind w:left="114" w:right="102" w:hanging="2"/>
              <w:rPr>
                <w:b w:val="0"/>
                <w:bCs w:val="0"/>
                <w:highlight w:val="none"/>
              </w:rPr>
            </w:pPr>
            <w:r>
              <w:rPr>
                <w:b w:val="0"/>
                <w:bCs w:val="0"/>
                <w:spacing w:val="2"/>
                <w:highlight w:val="none"/>
              </w:rPr>
              <w:t>每条检查内容不符合要求各扣 2</w:t>
            </w:r>
            <w:r>
              <w:rPr>
                <w:b w:val="0"/>
                <w:bCs w:val="0"/>
                <w:spacing w:val="11"/>
                <w:highlight w:val="none"/>
              </w:rPr>
              <w:t xml:space="preserve"> </w:t>
            </w:r>
            <w:r>
              <w:rPr>
                <w:b w:val="0"/>
                <w:bCs w:val="0"/>
                <w:spacing w:val="-3"/>
                <w:highlight w:val="none"/>
              </w:rPr>
              <w:t>分，扣完不得分。</w:t>
            </w:r>
          </w:p>
        </w:tc>
        <w:tc>
          <w:tcPr>
            <w:tcW w:w="366" w:type="pct"/>
            <w:tcBorders>
              <w:top w:val="single" w:color="auto" w:sz="4" w:space="0"/>
              <w:left w:val="single" w:color="auto" w:sz="4" w:space="0"/>
              <w:bottom w:val="single" w:color="auto" w:sz="4" w:space="0"/>
              <w:right w:val="single" w:color="auto" w:sz="4" w:space="0"/>
            </w:tcBorders>
            <w:vAlign w:val="center"/>
          </w:tcPr>
          <w:p w14:paraId="0CAE93B4">
            <w:pPr>
              <w:pStyle w:val="23"/>
              <w:keepNext w:val="0"/>
              <w:keepLines w:val="0"/>
              <w:suppressLineNumbers w:val="0"/>
              <w:spacing w:before="68" w:line="282" w:lineRule="auto"/>
              <w:ind w:left="113" w:leftChars="0" w:right="101" w:rightChars="0" w:firstLine="1" w:firstLineChars="0"/>
              <w:jc w:val="center"/>
              <w:rPr>
                <w:rFonts w:hint="default" w:ascii="Arial" w:eastAsia="宋体"/>
                <w:b w:val="0"/>
                <w:bCs w:val="0"/>
                <w:sz w:val="21"/>
                <w:highlight w:val="none"/>
                <w:lang w:val="en-US" w:eastAsia="zh-CN"/>
              </w:rPr>
            </w:pPr>
          </w:p>
        </w:tc>
        <w:tc>
          <w:tcPr>
            <w:tcW w:w="338" w:type="pct"/>
            <w:tcBorders>
              <w:top w:val="single" w:color="auto" w:sz="4" w:space="0"/>
              <w:left w:val="single" w:color="auto" w:sz="4" w:space="0"/>
              <w:bottom w:val="single" w:color="auto" w:sz="4" w:space="0"/>
              <w:right w:val="single" w:color="auto" w:sz="4" w:space="0"/>
            </w:tcBorders>
            <w:vAlign w:val="center"/>
          </w:tcPr>
          <w:p w14:paraId="328CBD46">
            <w:pPr>
              <w:keepNext w:val="0"/>
              <w:keepLines w:val="0"/>
              <w:suppressLineNumbers w:val="0"/>
              <w:spacing w:before="0" w:beforeAutospacing="0" w:after="0" w:afterAutospacing="0"/>
              <w:ind w:left="0" w:right="0"/>
              <w:rPr>
                <w:rFonts w:hint="default" w:ascii="Arial"/>
                <w:b w:val="0"/>
                <w:bCs w:val="0"/>
                <w:sz w:val="21"/>
                <w:highlight w:val="none"/>
              </w:rPr>
            </w:pPr>
          </w:p>
        </w:tc>
        <w:tc>
          <w:tcPr>
            <w:tcW w:w="329" w:type="pct"/>
            <w:tcBorders>
              <w:top w:val="single" w:color="auto" w:sz="4" w:space="0"/>
              <w:left w:val="single" w:color="auto" w:sz="4" w:space="0"/>
              <w:bottom w:val="single" w:color="auto" w:sz="4" w:space="0"/>
              <w:right w:val="single" w:color="auto" w:sz="4" w:space="0"/>
            </w:tcBorders>
            <w:vAlign w:val="center"/>
          </w:tcPr>
          <w:p w14:paraId="5BF06066">
            <w:pPr>
              <w:keepNext w:val="0"/>
              <w:keepLines w:val="0"/>
              <w:suppressLineNumbers w:val="0"/>
              <w:spacing w:before="0" w:beforeAutospacing="0" w:after="0" w:afterAutospacing="0"/>
              <w:ind w:left="0" w:right="0"/>
              <w:rPr>
                <w:rFonts w:hint="default" w:ascii="Arial"/>
                <w:b w:val="0"/>
                <w:bCs w:val="0"/>
                <w:sz w:val="21"/>
                <w:highlight w:val="none"/>
              </w:rPr>
            </w:pPr>
          </w:p>
        </w:tc>
      </w:tr>
      <w:tr w14:paraId="1FA645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0" w:hRule="atLeast"/>
          <w:jc w:val="center"/>
        </w:trPr>
        <w:tc>
          <w:tcPr>
            <w:tcW w:w="190" w:type="pct"/>
            <w:vMerge w:val="continue"/>
            <w:tcBorders>
              <w:top w:val="single" w:color="auto" w:sz="4" w:space="0"/>
              <w:left w:val="single" w:color="auto" w:sz="4" w:space="0"/>
              <w:bottom w:val="single" w:color="auto" w:sz="4" w:space="0"/>
              <w:right w:val="single" w:color="auto" w:sz="4" w:space="0"/>
            </w:tcBorders>
            <w:vAlign w:val="center"/>
          </w:tcPr>
          <w:p w14:paraId="3B12705F">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tcBorders>
              <w:top w:val="single" w:color="auto" w:sz="4" w:space="0"/>
              <w:left w:val="single" w:color="auto" w:sz="4" w:space="0"/>
              <w:bottom w:val="single" w:color="auto" w:sz="4" w:space="0"/>
              <w:right w:val="single" w:color="auto" w:sz="4" w:space="0"/>
            </w:tcBorders>
            <w:vAlign w:val="center"/>
          </w:tcPr>
          <w:p w14:paraId="17CA8E6C">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top w:val="single" w:color="auto" w:sz="4" w:space="0"/>
              <w:left w:val="single" w:color="auto" w:sz="4" w:space="0"/>
              <w:bottom w:val="single" w:color="auto" w:sz="4" w:space="0"/>
              <w:right w:val="single" w:color="auto" w:sz="4" w:space="0"/>
            </w:tcBorders>
            <w:vAlign w:val="center"/>
          </w:tcPr>
          <w:p w14:paraId="71D10202">
            <w:pPr>
              <w:pStyle w:val="23"/>
              <w:keepNext w:val="0"/>
              <w:keepLines w:val="0"/>
              <w:suppressLineNumbers w:val="0"/>
              <w:spacing w:before="58" w:line="307" w:lineRule="auto"/>
              <w:ind w:left="111" w:right="108" w:firstLine="9"/>
              <w:rPr>
                <w:b w:val="0"/>
                <w:bCs w:val="0"/>
                <w:highlight w:val="none"/>
              </w:rPr>
            </w:pPr>
            <w:r>
              <w:rPr>
                <w:b w:val="0"/>
                <w:bCs w:val="0"/>
                <w:spacing w:val="5"/>
                <w:highlight w:val="none"/>
              </w:rPr>
              <w:t>防火门（</w:t>
            </w:r>
            <w:r>
              <w:rPr>
                <w:b w:val="0"/>
                <w:bCs w:val="0"/>
                <w:spacing w:val="-30"/>
                <w:highlight w:val="none"/>
              </w:rPr>
              <w:t xml:space="preserve"> </w:t>
            </w:r>
            <w:r>
              <w:rPr>
                <w:b w:val="0"/>
                <w:bCs w:val="0"/>
                <w:spacing w:val="5"/>
                <w:highlight w:val="none"/>
              </w:rPr>
              <w:t>8</w:t>
            </w:r>
            <w:r>
              <w:rPr>
                <w:b w:val="0"/>
                <w:bCs w:val="0"/>
                <w:highlight w:val="none"/>
              </w:rPr>
              <w:t xml:space="preserve"> </w:t>
            </w:r>
            <w:r>
              <w:rPr>
                <w:b w:val="0"/>
                <w:bCs w:val="0"/>
                <w:spacing w:val="-6"/>
                <w:highlight w:val="none"/>
              </w:rPr>
              <w:t>分）</w:t>
            </w:r>
          </w:p>
        </w:tc>
        <w:tc>
          <w:tcPr>
            <w:tcW w:w="1734" w:type="pct"/>
            <w:tcBorders>
              <w:top w:val="single" w:color="auto" w:sz="4" w:space="0"/>
              <w:left w:val="single" w:color="auto" w:sz="4" w:space="0"/>
              <w:bottom w:val="single" w:color="auto" w:sz="4" w:space="0"/>
              <w:right w:val="single" w:color="auto" w:sz="4" w:space="0"/>
            </w:tcBorders>
            <w:vAlign w:val="center"/>
          </w:tcPr>
          <w:p w14:paraId="5F41608B">
            <w:pPr>
              <w:pStyle w:val="23"/>
              <w:keepNext w:val="0"/>
              <w:keepLines w:val="0"/>
              <w:suppressLineNumbers w:val="0"/>
              <w:spacing w:before="67" w:line="307" w:lineRule="auto"/>
              <w:ind w:left="109" w:right="105" w:firstLine="1"/>
              <w:rPr>
                <w:b w:val="0"/>
                <w:bCs w:val="0"/>
                <w:highlight w:val="none"/>
              </w:rPr>
            </w:pPr>
            <w:r>
              <w:rPr>
                <w:b w:val="0"/>
                <w:bCs w:val="0"/>
                <w:highlight w:val="none"/>
              </w:rPr>
              <w:t>a)防火门的外观、自闭功能、手动启闭、防火密封、防火插销、组件</w:t>
            </w:r>
            <w:r>
              <w:rPr>
                <w:b w:val="0"/>
                <w:bCs w:val="0"/>
                <w:spacing w:val="-6"/>
                <w:highlight w:val="none"/>
              </w:rPr>
              <w:t>及标识情况；</w:t>
            </w:r>
          </w:p>
          <w:p w14:paraId="3D887DD1">
            <w:pPr>
              <w:pStyle w:val="23"/>
              <w:keepNext w:val="0"/>
              <w:keepLines w:val="0"/>
              <w:suppressLineNumbers w:val="0"/>
              <w:spacing w:before="25" w:line="220" w:lineRule="auto"/>
              <w:ind w:left="107"/>
              <w:rPr>
                <w:b w:val="0"/>
                <w:bCs w:val="0"/>
                <w:highlight w:val="none"/>
              </w:rPr>
            </w:pPr>
            <w:r>
              <w:rPr>
                <w:b w:val="0"/>
                <w:bCs w:val="0"/>
                <w:spacing w:val="-2"/>
                <w:highlight w:val="none"/>
              </w:rPr>
              <w:t>b)常开防火门的手动控制功能；</w:t>
            </w:r>
          </w:p>
          <w:p w14:paraId="67B0AB8B">
            <w:pPr>
              <w:pStyle w:val="23"/>
              <w:keepNext w:val="0"/>
              <w:keepLines w:val="0"/>
              <w:suppressLineNumbers w:val="0"/>
              <w:spacing w:before="97" w:line="220" w:lineRule="auto"/>
              <w:ind w:left="114"/>
              <w:rPr>
                <w:b w:val="0"/>
                <w:bCs w:val="0"/>
                <w:highlight w:val="none"/>
              </w:rPr>
            </w:pPr>
            <w:r>
              <w:rPr>
                <w:b w:val="0"/>
                <w:bCs w:val="0"/>
                <w:spacing w:val="-2"/>
                <w:highlight w:val="none"/>
              </w:rPr>
              <w:t>c)未设置防火门监控系统的常开防火门联动控制功能；</w:t>
            </w:r>
          </w:p>
          <w:p w14:paraId="5F602088">
            <w:pPr>
              <w:pStyle w:val="23"/>
              <w:keepNext w:val="0"/>
              <w:keepLines w:val="0"/>
              <w:suppressLineNumbers w:val="0"/>
              <w:spacing w:before="97" w:line="220" w:lineRule="auto"/>
              <w:ind w:left="114"/>
              <w:rPr>
                <w:b w:val="0"/>
                <w:bCs w:val="0"/>
                <w:highlight w:val="none"/>
              </w:rPr>
            </w:pPr>
            <w:r>
              <w:rPr>
                <w:b w:val="0"/>
                <w:bCs w:val="0"/>
                <w:spacing w:val="-3"/>
                <w:highlight w:val="none"/>
              </w:rPr>
              <w:t>d)防火门监控器功能；</w:t>
            </w:r>
          </w:p>
          <w:p w14:paraId="198574F5">
            <w:pPr>
              <w:pStyle w:val="23"/>
              <w:keepNext w:val="0"/>
              <w:keepLines w:val="0"/>
              <w:suppressLineNumbers w:val="0"/>
              <w:spacing w:before="98" w:line="220" w:lineRule="auto"/>
              <w:ind w:left="114"/>
              <w:rPr>
                <w:b w:val="0"/>
                <w:bCs w:val="0"/>
                <w:highlight w:val="none"/>
              </w:rPr>
            </w:pPr>
            <w:r>
              <w:rPr>
                <w:b w:val="0"/>
                <w:bCs w:val="0"/>
                <w:spacing w:val="-1"/>
                <w:highlight w:val="none"/>
              </w:rPr>
              <w:t>e)防火门监控系统联动控制功能。</w:t>
            </w:r>
          </w:p>
        </w:tc>
        <w:tc>
          <w:tcPr>
            <w:tcW w:w="1179" w:type="pct"/>
            <w:tcBorders>
              <w:top w:val="single" w:color="auto" w:sz="4" w:space="0"/>
              <w:left w:val="single" w:color="auto" w:sz="4" w:space="0"/>
              <w:bottom w:val="single" w:color="auto" w:sz="4" w:space="0"/>
              <w:right w:val="single" w:color="auto" w:sz="4" w:space="0"/>
            </w:tcBorders>
            <w:vAlign w:val="center"/>
          </w:tcPr>
          <w:p w14:paraId="2F97C1EB">
            <w:pPr>
              <w:keepNext w:val="0"/>
              <w:keepLines w:val="0"/>
              <w:suppressLineNumbers w:val="0"/>
              <w:spacing w:before="0" w:beforeAutospacing="0" w:after="0" w:afterAutospacing="0" w:line="314" w:lineRule="auto"/>
              <w:ind w:left="0" w:right="0"/>
              <w:rPr>
                <w:rFonts w:hint="default" w:ascii="Arial"/>
                <w:b w:val="0"/>
                <w:bCs w:val="0"/>
                <w:sz w:val="21"/>
                <w:highlight w:val="none"/>
              </w:rPr>
            </w:pPr>
          </w:p>
          <w:p w14:paraId="144EB639">
            <w:pPr>
              <w:keepNext w:val="0"/>
              <w:keepLines w:val="0"/>
              <w:suppressLineNumbers w:val="0"/>
              <w:spacing w:before="0" w:beforeAutospacing="0" w:after="0" w:afterAutospacing="0" w:line="314" w:lineRule="auto"/>
              <w:ind w:left="0" w:right="0"/>
              <w:rPr>
                <w:rFonts w:hint="default" w:ascii="Arial"/>
                <w:b w:val="0"/>
                <w:bCs w:val="0"/>
                <w:sz w:val="21"/>
                <w:highlight w:val="none"/>
              </w:rPr>
            </w:pPr>
          </w:p>
          <w:p w14:paraId="32BE52A4">
            <w:pPr>
              <w:pStyle w:val="23"/>
              <w:keepNext w:val="0"/>
              <w:keepLines w:val="0"/>
              <w:suppressLineNumbers w:val="0"/>
              <w:spacing w:before="59" w:line="307" w:lineRule="auto"/>
              <w:ind w:left="114" w:right="102" w:hanging="2"/>
              <w:rPr>
                <w:b w:val="0"/>
                <w:bCs w:val="0"/>
                <w:highlight w:val="none"/>
              </w:rPr>
            </w:pPr>
            <w:r>
              <w:rPr>
                <w:b w:val="0"/>
                <w:bCs w:val="0"/>
                <w:spacing w:val="2"/>
                <w:highlight w:val="none"/>
              </w:rPr>
              <w:t>每条检查内容不符合要求各扣 2</w:t>
            </w:r>
            <w:r>
              <w:rPr>
                <w:b w:val="0"/>
                <w:bCs w:val="0"/>
                <w:spacing w:val="11"/>
                <w:highlight w:val="none"/>
              </w:rPr>
              <w:t xml:space="preserve"> </w:t>
            </w:r>
            <w:r>
              <w:rPr>
                <w:b w:val="0"/>
                <w:bCs w:val="0"/>
                <w:spacing w:val="-3"/>
                <w:highlight w:val="none"/>
              </w:rPr>
              <w:t>分，扣完不得分。</w:t>
            </w:r>
          </w:p>
        </w:tc>
        <w:tc>
          <w:tcPr>
            <w:tcW w:w="366" w:type="pct"/>
            <w:tcBorders>
              <w:top w:val="single" w:color="auto" w:sz="4" w:space="0"/>
              <w:left w:val="single" w:color="auto" w:sz="4" w:space="0"/>
              <w:bottom w:val="single" w:color="auto" w:sz="4" w:space="0"/>
              <w:right w:val="single" w:color="auto" w:sz="4" w:space="0"/>
            </w:tcBorders>
            <w:vAlign w:val="center"/>
          </w:tcPr>
          <w:p w14:paraId="0F0CBAFE">
            <w:pPr>
              <w:keepNext w:val="0"/>
              <w:keepLines w:val="0"/>
              <w:suppressLineNumbers w:val="0"/>
              <w:spacing w:before="0" w:beforeAutospacing="0" w:after="0" w:afterAutospacing="0"/>
              <w:ind w:left="0" w:right="0"/>
              <w:jc w:val="center"/>
              <w:rPr>
                <w:rFonts w:hint="eastAsia" w:ascii="宋体" w:hAnsi="宋体" w:eastAsia="宋体" w:cs="宋体"/>
                <w:b w:val="0"/>
                <w:bCs w:val="0"/>
                <w:color w:val="auto"/>
                <w:sz w:val="21"/>
                <w:highlight w:val="none"/>
                <w:lang w:val="en-US" w:eastAsia="zh-CN"/>
              </w:rPr>
            </w:pPr>
          </w:p>
        </w:tc>
        <w:tc>
          <w:tcPr>
            <w:tcW w:w="338" w:type="pct"/>
            <w:tcBorders>
              <w:top w:val="single" w:color="auto" w:sz="4" w:space="0"/>
              <w:left w:val="single" w:color="auto" w:sz="4" w:space="0"/>
              <w:bottom w:val="single" w:color="auto" w:sz="4" w:space="0"/>
              <w:right w:val="single" w:color="auto" w:sz="4" w:space="0"/>
            </w:tcBorders>
            <w:vAlign w:val="center"/>
          </w:tcPr>
          <w:p w14:paraId="5BDE168E">
            <w:pPr>
              <w:keepNext w:val="0"/>
              <w:keepLines w:val="0"/>
              <w:suppressLineNumbers w:val="0"/>
              <w:spacing w:before="0" w:beforeAutospacing="0" w:after="0" w:afterAutospacing="0"/>
              <w:ind w:left="0" w:right="0" w:firstLine="403" w:firstLineChars="0"/>
              <w:rPr>
                <w:rFonts w:hint="eastAsia" w:ascii="宋体" w:hAnsi="宋体" w:eastAsia="宋体" w:cs="宋体"/>
                <w:b w:val="0"/>
                <w:bCs w:val="0"/>
                <w:color w:val="auto"/>
                <w:sz w:val="21"/>
                <w:highlight w:val="none"/>
                <w:lang w:val="en-US" w:eastAsia="zh-CN"/>
              </w:rPr>
            </w:pPr>
          </w:p>
        </w:tc>
        <w:tc>
          <w:tcPr>
            <w:tcW w:w="329" w:type="pct"/>
            <w:tcBorders>
              <w:top w:val="single" w:color="auto" w:sz="4" w:space="0"/>
              <w:left w:val="single" w:color="auto" w:sz="4" w:space="0"/>
              <w:bottom w:val="single" w:color="auto" w:sz="4" w:space="0"/>
              <w:right w:val="single" w:color="auto" w:sz="4" w:space="0"/>
            </w:tcBorders>
            <w:vAlign w:val="center"/>
          </w:tcPr>
          <w:p w14:paraId="7CC1A5BE">
            <w:pPr>
              <w:keepNext w:val="0"/>
              <w:keepLines w:val="0"/>
              <w:suppressLineNumbers w:val="0"/>
              <w:spacing w:before="0" w:beforeAutospacing="0" w:after="0" w:afterAutospacing="0"/>
              <w:ind w:left="0" w:right="0"/>
              <w:rPr>
                <w:rFonts w:hint="default" w:ascii="宋体" w:hAnsi="宋体" w:eastAsia="宋体" w:cs="宋体"/>
                <w:b w:val="0"/>
                <w:bCs w:val="0"/>
                <w:color w:val="auto"/>
                <w:sz w:val="21"/>
                <w:highlight w:val="none"/>
                <w:lang w:val="en-US" w:eastAsia="zh-CN"/>
              </w:rPr>
            </w:pPr>
          </w:p>
        </w:tc>
      </w:tr>
    </w:tbl>
    <w:p w14:paraId="752E744E">
      <w:pPr>
        <w:rPr>
          <w:highlight w:val="none"/>
        </w:rPr>
      </w:pPr>
      <w:r>
        <w:rPr>
          <w:highlight w:val="none"/>
        </w:rPr>
        <w:br w:type="page"/>
      </w:r>
    </w:p>
    <w:tbl>
      <w:tblPr>
        <w:tblStyle w:val="24"/>
        <w:tblW w:w="4941"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61"/>
        <w:gridCol w:w="1464"/>
        <w:gridCol w:w="1089"/>
        <w:gridCol w:w="5164"/>
        <w:gridCol w:w="3513"/>
        <w:gridCol w:w="1089"/>
        <w:gridCol w:w="1003"/>
        <w:gridCol w:w="982"/>
      </w:tblGrid>
      <w:tr w14:paraId="181D3A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jc w:val="center"/>
        </w:trPr>
        <w:tc>
          <w:tcPr>
            <w:tcW w:w="189" w:type="pct"/>
            <w:tcBorders>
              <w:top w:val="single" w:color="auto" w:sz="4" w:space="0"/>
              <w:left w:val="single" w:color="auto" w:sz="4" w:space="0"/>
              <w:bottom w:val="single" w:color="auto" w:sz="4" w:space="0"/>
              <w:right w:val="single" w:color="auto" w:sz="4" w:space="0"/>
            </w:tcBorders>
            <w:vAlign w:val="center"/>
          </w:tcPr>
          <w:p w14:paraId="66853F8C">
            <w:pPr>
              <w:pStyle w:val="23"/>
              <w:keepNext w:val="0"/>
              <w:keepLines w:val="0"/>
              <w:suppressLineNumbers w:val="0"/>
              <w:spacing w:before="70" w:line="222" w:lineRule="auto"/>
              <w:ind w:left="140"/>
              <w:rPr>
                <w:highlight w:val="none"/>
              </w:rPr>
            </w:pPr>
            <w:r>
              <w:rPr>
                <w:b/>
                <w:bCs/>
                <w:spacing w:val="-3"/>
                <w:highlight w:val="none"/>
              </w:rPr>
              <w:t>序号</w:t>
            </w:r>
          </w:p>
        </w:tc>
        <w:tc>
          <w:tcPr>
            <w:tcW w:w="492" w:type="pct"/>
            <w:tcBorders>
              <w:top w:val="single" w:color="auto" w:sz="4" w:space="0"/>
              <w:left w:val="single" w:color="auto" w:sz="4" w:space="0"/>
              <w:bottom w:val="single" w:color="auto" w:sz="4" w:space="0"/>
              <w:right w:val="single" w:color="auto" w:sz="4" w:space="0"/>
            </w:tcBorders>
            <w:vAlign w:val="center"/>
          </w:tcPr>
          <w:p w14:paraId="3623213C">
            <w:pPr>
              <w:pStyle w:val="23"/>
              <w:keepNext w:val="0"/>
              <w:keepLines w:val="0"/>
              <w:suppressLineNumbers w:val="0"/>
              <w:spacing w:before="70" w:line="219" w:lineRule="auto"/>
              <w:ind w:left="334"/>
              <w:rPr>
                <w:rFonts w:hint="eastAsia" w:eastAsia="宋体"/>
                <w:highlight w:val="none"/>
                <w:lang w:eastAsia="zh-CN"/>
              </w:rPr>
            </w:pPr>
            <w:r>
              <w:rPr>
                <w:b/>
                <w:bCs/>
                <w:spacing w:val="-3"/>
                <w:highlight w:val="none"/>
              </w:rPr>
              <w:t>评估</w:t>
            </w:r>
            <w:r>
              <w:rPr>
                <w:rFonts w:hint="eastAsia"/>
                <w:b/>
                <w:bCs/>
                <w:spacing w:val="-3"/>
                <w:highlight w:val="none"/>
                <w:lang w:val="en-US" w:eastAsia="zh-CN"/>
              </w:rPr>
              <w:t>单项</w:t>
            </w:r>
          </w:p>
        </w:tc>
        <w:tc>
          <w:tcPr>
            <w:tcW w:w="366" w:type="pct"/>
            <w:tcBorders>
              <w:left w:val="single" w:color="auto" w:sz="4" w:space="0"/>
            </w:tcBorders>
            <w:vAlign w:val="center"/>
          </w:tcPr>
          <w:p w14:paraId="2C7CF579">
            <w:pPr>
              <w:pStyle w:val="23"/>
              <w:keepNext w:val="0"/>
              <w:keepLines w:val="0"/>
              <w:suppressLineNumbers w:val="0"/>
              <w:spacing w:before="70" w:line="219" w:lineRule="auto"/>
              <w:ind w:left="166"/>
              <w:rPr>
                <w:highlight w:val="none"/>
              </w:rPr>
            </w:pPr>
            <w:r>
              <w:rPr>
                <w:b/>
                <w:bCs/>
                <w:spacing w:val="-3"/>
                <w:highlight w:val="none"/>
              </w:rPr>
              <w:t>评估</w:t>
            </w:r>
            <w:r>
              <w:rPr>
                <w:rFonts w:hint="eastAsia"/>
                <w:b/>
                <w:bCs/>
                <w:spacing w:val="-3"/>
                <w:highlight w:val="none"/>
                <w:lang w:val="en-US" w:eastAsia="zh-CN"/>
              </w:rPr>
              <w:t>子</w:t>
            </w:r>
            <w:r>
              <w:rPr>
                <w:b/>
                <w:bCs/>
                <w:spacing w:val="-3"/>
                <w:highlight w:val="none"/>
              </w:rPr>
              <w:t>项</w:t>
            </w:r>
          </w:p>
        </w:tc>
        <w:tc>
          <w:tcPr>
            <w:tcW w:w="1736" w:type="pct"/>
            <w:vAlign w:val="center"/>
          </w:tcPr>
          <w:p w14:paraId="26DD65E0">
            <w:pPr>
              <w:pStyle w:val="23"/>
              <w:keepNext w:val="0"/>
              <w:keepLines w:val="0"/>
              <w:suppressLineNumbers w:val="0"/>
              <w:spacing w:before="71" w:line="220" w:lineRule="auto"/>
              <w:ind w:left="2037"/>
              <w:rPr>
                <w:rFonts w:hint="default" w:eastAsia="宋体"/>
                <w:highlight w:val="none"/>
                <w:lang w:val="en-US" w:eastAsia="zh-CN"/>
              </w:rPr>
            </w:pPr>
            <w:r>
              <w:rPr>
                <w:rFonts w:hint="eastAsia"/>
                <w:b/>
                <w:bCs/>
                <w:spacing w:val="-4"/>
                <w:highlight w:val="none"/>
                <w:lang w:val="en-US" w:eastAsia="zh-CN"/>
              </w:rPr>
              <w:t>评估要素</w:t>
            </w:r>
          </w:p>
        </w:tc>
        <w:tc>
          <w:tcPr>
            <w:tcW w:w="1181" w:type="pct"/>
            <w:vAlign w:val="center"/>
          </w:tcPr>
          <w:p w14:paraId="56C872ED">
            <w:pPr>
              <w:pStyle w:val="23"/>
              <w:keepNext w:val="0"/>
              <w:keepLines w:val="0"/>
              <w:suppressLineNumbers w:val="0"/>
              <w:spacing w:before="70" w:line="221" w:lineRule="auto"/>
              <w:ind w:left="1299"/>
              <w:rPr>
                <w:highlight w:val="none"/>
              </w:rPr>
            </w:pPr>
            <w:r>
              <w:rPr>
                <w:b/>
                <w:bCs/>
                <w:spacing w:val="-3"/>
                <w:highlight w:val="none"/>
              </w:rPr>
              <w:t>评分标准</w:t>
            </w:r>
          </w:p>
        </w:tc>
        <w:tc>
          <w:tcPr>
            <w:tcW w:w="366" w:type="pct"/>
            <w:vAlign w:val="center"/>
          </w:tcPr>
          <w:p w14:paraId="1B81B58B">
            <w:pPr>
              <w:pStyle w:val="23"/>
              <w:keepNext w:val="0"/>
              <w:keepLines w:val="0"/>
              <w:suppressLineNumbers w:val="0"/>
              <w:spacing w:before="70" w:line="219" w:lineRule="auto"/>
              <w:ind w:left="170"/>
              <w:rPr>
                <w:highlight w:val="none"/>
              </w:rPr>
            </w:pPr>
            <w:r>
              <w:rPr>
                <w:b/>
                <w:bCs/>
                <w:spacing w:val="-3"/>
                <w:highlight w:val="none"/>
              </w:rPr>
              <w:t>评估情况</w:t>
            </w:r>
          </w:p>
        </w:tc>
        <w:tc>
          <w:tcPr>
            <w:tcW w:w="337" w:type="pct"/>
            <w:vAlign w:val="center"/>
          </w:tcPr>
          <w:p w14:paraId="68AD1780">
            <w:pPr>
              <w:pStyle w:val="23"/>
              <w:keepNext w:val="0"/>
              <w:keepLines w:val="0"/>
              <w:suppressLineNumbers w:val="0"/>
              <w:spacing w:before="70" w:line="221" w:lineRule="auto"/>
              <w:ind w:left="316"/>
              <w:rPr>
                <w:highlight w:val="none"/>
              </w:rPr>
            </w:pPr>
            <w:r>
              <w:rPr>
                <w:b/>
                <w:bCs/>
                <w:spacing w:val="-4"/>
                <w:highlight w:val="none"/>
              </w:rPr>
              <w:t>扣分</w:t>
            </w:r>
          </w:p>
        </w:tc>
        <w:tc>
          <w:tcPr>
            <w:tcW w:w="330" w:type="pct"/>
            <w:vAlign w:val="center"/>
          </w:tcPr>
          <w:p w14:paraId="4B2C8170">
            <w:pPr>
              <w:pStyle w:val="23"/>
              <w:keepNext w:val="0"/>
              <w:keepLines w:val="0"/>
              <w:suppressLineNumbers w:val="0"/>
              <w:spacing w:before="71" w:line="220" w:lineRule="auto"/>
              <w:ind w:left="295"/>
              <w:rPr>
                <w:highlight w:val="none"/>
              </w:rPr>
            </w:pPr>
            <w:r>
              <w:rPr>
                <w:b/>
                <w:bCs/>
                <w:spacing w:val="-4"/>
                <w:highlight w:val="none"/>
              </w:rPr>
              <w:t>得分</w:t>
            </w:r>
          </w:p>
        </w:tc>
      </w:tr>
      <w:tr w14:paraId="0CF87A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jc w:val="center"/>
        </w:trPr>
        <w:tc>
          <w:tcPr>
            <w:tcW w:w="189" w:type="pct"/>
            <w:tcBorders>
              <w:top w:val="single" w:color="auto" w:sz="4" w:space="0"/>
              <w:left w:val="single" w:color="auto" w:sz="4" w:space="0"/>
              <w:bottom w:val="single" w:color="auto" w:sz="4" w:space="0"/>
              <w:right w:val="single" w:color="auto" w:sz="4" w:space="0"/>
            </w:tcBorders>
            <w:vAlign w:val="center"/>
          </w:tcPr>
          <w:p w14:paraId="4372B9FF">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tcBorders>
              <w:top w:val="single" w:color="auto" w:sz="4" w:space="0"/>
              <w:left w:val="single" w:color="auto" w:sz="4" w:space="0"/>
              <w:bottom w:val="single" w:color="auto" w:sz="4" w:space="0"/>
              <w:right w:val="single" w:color="auto" w:sz="4" w:space="0"/>
            </w:tcBorders>
            <w:vAlign w:val="center"/>
          </w:tcPr>
          <w:p w14:paraId="29B00ECB">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tcBorders>
              <w:left w:val="single" w:color="auto" w:sz="4" w:space="0"/>
            </w:tcBorders>
            <w:vAlign w:val="center"/>
          </w:tcPr>
          <w:p w14:paraId="4210765D">
            <w:pPr>
              <w:pStyle w:val="23"/>
              <w:keepNext w:val="0"/>
              <w:keepLines w:val="0"/>
              <w:suppressLineNumbers w:val="0"/>
              <w:spacing w:before="225" w:line="307" w:lineRule="auto"/>
              <w:ind w:left="0" w:right="108" w:firstLine="0"/>
              <w:rPr>
                <w:b w:val="0"/>
                <w:bCs w:val="0"/>
                <w:highlight w:val="none"/>
              </w:rPr>
            </w:pPr>
            <w:r>
              <w:rPr>
                <w:b w:val="0"/>
                <w:bCs w:val="0"/>
                <w:spacing w:val="5"/>
                <w:highlight w:val="none"/>
              </w:rPr>
              <w:t>防火窗（</w:t>
            </w:r>
            <w:r>
              <w:rPr>
                <w:b w:val="0"/>
                <w:bCs w:val="0"/>
                <w:spacing w:val="-31"/>
                <w:highlight w:val="none"/>
              </w:rPr>
              <w:t xml:space="preserve"> </w:t>
            </w:r>
            <w:r>
              <w:rPr>
                <w:b w:val="0"/>
                <w:bCs w:val="0"/>
                <w:spacing w:val="5"/>
                <w:highlight w:val="none"/>
              </w:rPr>
              <w:t>4</w:t>
            </w:r>
            <w:r>
              <w:rPr>
                <w:b w:val="0"/>
                <w:bCs w:val="0"/>
                <w:highlight w:val="none"/>
              </w:rPr>
              <w:t xml:space="preserve"> </w:t>
            </w:r>
            <w:r>
              <w:rPr>
                <w:b w:val="0"/>
                <w:bCs w:val="0"/>
                <w:spacing w:val="-6"/>
                <w:highlight w:val="none"/>
              </w:rPr>
              <w:t>分）</w:t>
            </w:r>
          </w:p>
        </w:tc>
        <w:tc>
          <w:tcPr>
            <w:tcW w:w="1736" w:type="pct"/>
            <w:vAlign w:val="center"/>
          </w:tcPr>
          <w:p w14:paraId="6A5C7051">
            <w:pPr>
              <w:pStyle w:val="23"/>
              <w:keepNext w:val="0"/>
              <w:keepLines w:val="0"/>
              <w:suppressLineNumbers w:val="0"/>
              <w:spacing w:before="69" w:line="220" w:lineRule="auto"/>
              <w:ind w:left="111"/>
              <w:rPr>
                <w:b w:val="0"/>
                <w:bCs w:val="0"/>
                <w:highlight w:val="none"/>
              </w:rPr>
            </w:pPr>
            <w:r>
              <w:rPr>
                <w:b w:val="0"/>
                <w:bCs w:val="0"/>
                <w:spacing w:val="-2"/>
                <w:highlight w:val="none"/>
              </w:rPr>
              <w:t>a)防火窗的安装、外观、防火密封及标识情况；</w:t>
            </w:r>
          </w:p>
          <w:p w14:paraId="2988BF31">
            <w:pPr>
              <w:pStyle w:val="23"/>
              <w:keepNext w:val="0"/>
              <w:keepLines w:val="0"/>
              <w:suppressLineNumbers w:val="0"/>
              <w:spacing w:before="97" w:line="220" w:lineRule="auto"/>
              <w:ind w:left="107"/>
              <w:rPr>
                <w:b w:val="0"/>
                <w:bCs w:val="0"/>
                <w:highlight w:val="none"/>
              </w:rPr>
            </w:pPr>
            <w:r>
              <w:rPr>
                <w:b w:val="0"/>
                <w:bCs w:val="0"/>
                <w:spacing w:val="-2"/>
                <w:highlight w:val="none"/>
              </w:rPr>
              <w:t>b)活动式防火窗的手动控制功能；</w:t>
            </w:r>
          </w:p>
          <w:p w14:paraId="107F63D4">
            <w:pPr>
              <w:pStyle w:val="23"/>
              <w:keepNext w:val="0"/>
              <w:keepLines w:val="0"/>
              <w:suppressLineNumbers w:val="0"/>
              <w:spacing w:before="97" w:line="220" w:lineRule="auto"/>
              <w:ind w:left="114"/>
              <w:rPr>
                <w:b w:val="0"/>
                <w:bCs w:val="0"/>
                <w:highlight w:val="none"/>
              </w:rPr>
            </w:pPr>
            <w:r>
              <w:rPr>
                <w:b w:val="0"/>
                <w:bCs w:val="0"/>
                <w:spacing w:val="-1"/>
                <w:highlight w:val="none"/>
              </w:rPr>
              <w:t>c)活动式防火窗的联动控制功能。</w:t>
            </w:r>
          </w:p>
        </w:tc>
        <w:tc>
          <w:tcPr>
            <w:tcW w:w="1181" w:type="pct"/>
            <w:vAlign w:val="center"/>
          </w:tcPr>
          <w:p w14:paraId="174F856F">
            <w:pPr>
              <w:pStyle w:val="23"/>
              <w:keepNext w:val="0"/>
              <w:keepLines w:val="0"/>
              <w:suppressLineNumbers w:val="0"/>
              <w:spacing w:before="224" w:line="307" w:lineRule="auto"/>
              <w:ind w:left="113" w:right="103"/>
              <w:rPr>
                <w:b w:val="0"/>
                <w:bCs w:val="0"/>
                <w:highlight w:val="none"/>
              </w:rPr>
            </w:pPr>
            <w:r>
              <w:rPr>
                <w:b w:val="0"/>
                <w:bCs w:val="0"/>
                <w:spacing w:val="-4"/>
                <w:highlight w:val="none"/>
              </w:rPr>
              <w:t>a)不符合要求扣 1 分，b)c)不符</w:t>
            </w:r>
            <w:r>
              <w:rPr>
                <w:b w:val="0"/>
                <w:bCs w:val="0"/>
                <w:spacing w:val="-3"/>
                <w:highlight w:val="none"/>
              </w:rPr>
              <w:t>合要求各扣</w:t>
            </w:r>
            <w:r>
              <w:rPr>
                <w:b w:val="0"/>
                <w:bCs w:val="0"/>
                <w:spacing w:val="-36"/>
                <w:highlight w:val="none"/>
              </w:rPr>
              <w:t xml:space="preserve"> </w:t>
            </w:r>
            <w:r>
              <w:rPr>
                <w:b w:val="0"/>
                <w:bCs w:val="0"/>
                <w:spacing w:val="-3"/>
                <w:highlight w:val="none"/>
              </w:rPr>
              <w:t>2</w:t>
            </w:r>
            <w:r>
              <w:rPr>
                <w:b w:val="0"/>
                <w:bCs w:val="0"/>
                <w:spacing w:val="-35"/>
                <w:highlight w:val="none"/>
              </w:rPr>
              <w:t xml:space="preserve"> </w:t>
            </w:r>
            <w:r>
              <w:rPr>
                <w:b w:val="0"/>
                <w:bCs w:val="0"/>
                <w:spacing w:val="-3"/>
                <w:highlight w:val="none"/>
              </w:rPr>
              <w:t>分；扣完不得分。</w:t>
            </w:r>
          </w:p>
        </w:tc>
        <w:tc>
          <w:tcPr>
            <w:tcW w:w="366" w:type="pct"/>
            <w:vAlign w:val="center"/>
          </w:tcPr>
          <w:p w14:paraId="239C1839">
            <w:pPr>
              <w:pStyle w:val="23"/>
              <w:keepNext w:val="0"/>
              <w:keepLines w:val="0"/>
              <w:suppressLineNumbers w:val="0"/>
              <w:spacing w:before="68" w:line="282" w:lineRule="auto"/>
              <w:ind w:left="113" w:leftChars="0" w:right="101" w:rightChars="0" w:firstLine="1" w:firstLineChars="0"/>
              <w:jc w:val="center"/>
              <w:rPr>
                <w:rFonts w:hint="default" w:ascii="Arial" w:eastAsia="宋体"/>
                <w:b w:val="0"/>
                <w:bCs w:val="0"/>
                <w:sz w:val="21"/>
                <w:highlight w:val="none"/>
                <w:lang w:val="en-US" w:eastAsia="zh-CN"/>
              </w:rPr>
            </w:pPr>
          </w:p>
        </w:tc>
        <w:tc>
          <w:tcPr>
            <w:tcW w:w="337" w:type="pct"/>
            <w:vAlign w:val="center"/>
          </w:tcPr>
          <w:p w14:paraId="632A83A6">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51F25749">
            <w:pPr>
              <w:keepNext w:val="0"/>
              <w:keepLines w:val="0"/>
              <w:suppressLineNumbers w:val="0"/>
              <w:spacing w:before="0" w:beforeAutospacing="0" w:after="0" w:afterAutospacing="0"/>
              <w:ind w:left="0" w:right="0"/>
              <w:rPr>
                <w:rFonts w:hint="default" w:ascii="Arial"/>
                <w:b w:val="0"/>
                <w:bCs w:val="0"/>
                <w:sz w:val="21"/>
                <w:highlight w:val="none"/>
              </w:rPr>
            </w:pPr>
          </w:p>
        </w:tc>
      </w:tr>
      <w:tr w14:paraId="1C99C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3" w:hRule="atLeast"/>
          <w:jc w:val="center"/>
        </w:trPr>
        <w:tc>
          <w:tcPr>
            <w:tcW w:w="189" w:type="pct"/>
            <w:vMerge w:val="restart"/>
            <w:tcBorders>
              <w:top w:val="single" w:color="auto" w:sz="4" w:space="0"/>
              <w:bottom w:val="single" w:color="auto" w:sz="4" w:space="0"/>
            </w:tcBorders>
            <w:vAlign w:val="center"/>
          </w:tcPr>
          <w:p w14:paraId="168A3FC1">
            <w:pPr>
              <w:pStyle w:val="23"/>
              <w:keepNext w:val="0"/>
              <w:keepLines w:val="0"/>
              <w:suppressLineNumbers w:val="0"/>
              <w:spacing w:before="58" w:line="182" w:lineRule="auto"/>
              <w:ind w:left="236"/>
              <w:rPr>
                <w:rFonts w:hint="default" w:eastAsia="宋体"/>
                <w:b w:val="0"/>
                <w:bCs w:val="0"/>
                <w:highlight w:val="none"/>
                <w:lang w:val="en-US" w:eastAsia="zh-CN"/>
              </w:rPr>
            </w:pPr>
            <w:r>
              <w:rPr>
                <w:rFonts w:hint="eastAsia"/>
                <w:b w:val="0"/>
                <w:bCs w:val="0"/>
                <w:highlight w:val="none"/>
                <w:lang w:val="en-US" w:eastAsia="zh-CN"/>
              </w:rPr>
              <w:t>23</w:t>
            </w:r>
          </w:p>
        </w:tc>
        <w:tc>
          <w:tcPr>
            <w:tcW w:w="492" w:type="pct"/>
            <w:vMerge w:val="restart"/>
            <w:tcBorders>
              <w:top w:val="single" w:color="auto" w:sz="4" w:space="0"/>
              <w:bottom w:val="single" w:color="auto" w:sz="4" w:space="0"/>
            </w:tcBorders>
            <w:vAlign w:val="center"/>
          </w:tcPr>
          <w:p w14:paraId="49D862DA">
            <w:pPr>
              <w:pStyle w:val="23"/>
              <w:keepNext w:val="0"/>
              <w:keepLines w:val="0"/>
              <w:suppressLineNumbers w:val="0"/>
              <w:spacing w:before="59" w:line="307" w:lineRule="auto"/>
              <w:ind w:left="150" w:right="156" w:firstLine="22"/>
              <w:rPr>
                <w:b w:val="0"/>
                <w:bCs w:val="0"/>
                <w:highlight w:val="none"/>
              </w:rPr>
            </w:pPr>
            <w:r>
              <w:rPr>
                <w:b w:val="0"/>
                <w:bCs w:val="0"/>
                <w:spacing w:val="-3"/>
                <w:highlight w:val="none"/>
              </w:rPr>
              <w:t>消防电梯</w:t>
            </w:r>
            <w:r>
              <w:rPr>
                <w:b w:val="0"/>
                <w:bCs w:val="0"/>
                <w:spacing w:val="-8"/>
                <w:highlight w:val="none"/>
              </w:rPr>
              <w:t>（10分）</w:t>
            </w:r>
          </w:p>
        </w:tc>
        <w:tc>
          <w:tcPr>
            <w:tcW w:w="366" w:type="pct"/>
            <w:vAlign w:val="center"/>
          </w:tcPr>
          <w:p w14:paraId="687F4379">
            <w:pPr>
              <w:pStyle w:val="23"/>
              <w:keepNext w:val="0"/>
              <w:keepLines w:val="0"/>
              <w:suppressLineNumbers w:val="0"/>
              <w:spacing w:before="59" w:line="307" w:lineRule="auto"/>
              <w:ind w:left="0" w:right="106" w:firstLine="0"/>
              <w:rPr>
                <w:b w:val="0"/>
                <w:bCs w:val="0"/>
                <w:highlight w:val="none"/>
              </w:rPr>
            </w:pPr>
            <w:r>
              <w:rPr>
                <w:b w:val="0"/>
                <w:bCs w:val="0"/>
                <w:spacing w:val="-14"/>
                <w:highlight w:val="none"/>
              </w:rPr>
              <w:t>基本功能（6</w:t>
            </w:r>
            <w:r>
              <w:rPr>
                <w:b w:val="0"/>
                <w:bCs w:val="0"/>
                <w:spacing w:val="2"/>
                <w:highlight w:val="none"/>
              </w:rPr>
              <w:t xml:space="preserve"> </w:t>
            </w:r>
            <w:r>
              <w:rPr>
                <w:b w:val="0"/>
                <w:bCs w:val="0"/>
                <w:spacing w:val="-6"/>
                <w:highlight w:val="none"/>
              </w:rPr>
              <w:t>分）</w:t>
            </w:r>
          </w:p>
        </w:tc>
        <w:tc>
          <w:tcPr>
            <w:tcW w:w="1736" w:type="pct"/>
            <w:vAlign w:val="center"/>
          </w:tcPr>
          <w:p w14:paraId="15A1AEEF">
            <w:pPr>
              <w:pStyle w:val="23"/>
              <w:keepNext w:val="0"/>
              <w:keepLines w:val="0"/>
              <w:suppressLineNumbers w:val="0"/>
              <w:spacing w:before="72" w:line="220" w:lineRule="auto"/>
              <w:ind w:left="111"/>
              <w:rPr>
                <w:b w:val="0"/>
                <w:bCs w:val="0"/>
                <w:highlight w:val="none"/>
              </w:rPr>
            </w:pPr>
            <w:r>
              <w:rPr>
                <w:b w:val="0"/>
                <w:bCs w:val="0"/>
                <w:spacing w:val="-2"/>
                <w:highlight w:val="none"/>
              </w:rPr>
              <w:t>a)消防电梯的迫降按钮安装及功能；</w:t>
            </w:r>
          </w:p>
          <w:p w14:paraId="6400744B">
            <w:pPr>
              <w:pStyle w:val="23"/>
              <w:keepNext w:val="0"/>
              <w:keepLines w:val="0"/>
              <w:suppressLineNumbers w:val="0"/>
              <w:tabs>
                <w:tab w:val="left" w:pos="5040"/>
              </w:tabs>
              <w:spacing w:before="96" w:line="307" w:lineRule="auto"/>
              <w:ind w:left="113" w:right="120" w:rightChars="50" w:hanging="6"/>
              <w:rPr>
                <w:b w:val="0"/>
                <w:bCs w:val="0"/>
                <w:spacing w:val="3"/>
                <w:highlight w:val="none"/>
              </w:rPr>
            </w:pPr>
            <w:r>
              <w:rPr>
                <w:b w:val="0"/>
                <w:bCs w:val="0"/>
                <w:spacing w:val="-3"/>
                <w:highlight w:val="none"/>
              </w:rPr>
              <w:t>b)对讲电话通话是否正常、音质清晰；</w:t>
            </w:r>
            <w:r>
              <w:rPr>
                <w:b w:val="0"/>
                <w:bCs w:val="0"/>
                <w:spacing w:val="3"/>
                <w:highlight w:val="none"/>
              </w:rPr>
              <w:t xml:space="preserve"> </w:t>
            </w:r>
          </w:p>
          <w:p w14:paraId="22B3D369">
            <w:pPr>
              <w:pStyle w:val="23"/>
              <w:keepNext w:val="0"/>
              <w:keepLines w:val="0"/>
              <w:suppressLineNumbers w:val="0"/>
              <w:tabs>
                <w:tab w:val="left" w:pos="5040"/>
              </w:tabs>
              <w:spacing w:before="96" w:line="307" w:lineRule="auto"/>
              <w:ind w:left="113" w:right="120" w:rightChars="50" w:hanging="6"/>
              <w:rPr>
                <w:b w:val="0"/>
                <w:bCs w:val="0"/>
                <w:highlight w:val="none"/>
              </w:rPr>
            </w:pPr>
            <w:r>
              <w:rPr>
                <w:b w:val="0"/>
                <w:bCs w:val="0"/>
                <w:spacing w:val="-1"/>
                <w:highlight w:val="none"/>
              </w:rPr>
              <w:t>c)电梯从首层至顶层的运行时间；</w:t>
            </w:r>
          </w:p>
          <w:p w14:paraId="096DD57B">
            <w:pPr>
              <w:pStyle w:val="23"/>
              <w:keepNext w:val="0"/>
              <w:keepLines w:val="0"/>
              <w:suppressLineNumbers w:val="0"/>
              <w:spacing w:before="26" w:line="220" w:lineRule="auto"/>
              <w:ind w:left="114" w:right="120" w:rightChars="50"/>
              <w:rPr>
                <w:b w:val="0"/>
                <w:bCs w:val="0"/>
                <w:highlight w:val="none"/>
              </w:rPr>
            </w:pPr>
            <w:r>
              <w:rPr>
                <w:b w:val="0"/>
                <w:bCs w:val="0"/>
                <w:spacing w:val="-2"/>
                <w:highlight w:val="none"/>
              </w:rPr>
              <w:t>d)消防电梯的排水设施。</w:t>
            </w:r>
          </w:p>
        </w:tc>
        <w:tc>
          <w:tcPr>
            <w:tcW w:w="1181" w:type="pct"/>
            <w:vAlign w:val="center"/>
          </w:tcPr>
          <w:p w14:paraId="7E74005F">
            <w:pPr>
              <w:keepNext w:val="0"/>
              <w:keepLines w:val="0"/>
              <w:suppressLineNumbers w:val="0"/>
              <w:spacing w:before="0" w:beforeAutospacing="0" w:after="0" w:afterAutospacing="0" w:line="323" w:lineRule="auto"/>
              <w:ind w:left="0" w:right="0"/>
              <w:rPr>
                <w:rFonts w:hint="default" w:ascii="Arial"/>
                <w:b w:val="0"/>
                <w:bCs w:val="0"/>
                <w:sz w:val="21"/>
                <w:highlight w:val="none"/>
              </w:rPr>
            </w:pPr>
          </w:p>
          <w:p w14:paraId="1E10CFB5">
            <w:pPr>
              <w:pStyle w:val="23"/>
              <w:keepNext w:val="0"/>
              <w:keepLines w:val="0"/>
              <w:suppressLineNumbers w:val="0"/>
              <w:spacing w:before="58" w:line="307" w:lineRule="auto"/>
              <w:ind w:left="114" w:right="102" w:hanging="2"/>
              <w:rPr>
                <w:b w:val="0"/>
                <w:bCs w:val="0"/>
                <w:highlight w:val="none"/>
              </w:rPr>
            </w:pPr>
            <w:r>
              <w:rPr>
                <w:b w:val="0"/>
                <w:bCs w:val="0"/>
                <w:spacing w:val="2"/>
                <w:highlight w:val="none"/>
              </w:rPr>
              <w:t>每条检查内容不符合要求各扣 2</w:t>
            </w:r>
            <w:r>
              <w:rPr>
                <w:b w:val="0"/>
                <w:bCs w:val="0"/>
                <w:spacing w:val="11"/>
                <w:highlight w:val="none"/>
              </w:rPr>
              <w:t xml:space="preserve"> </w:t>
            </w:r>
            <w:r>
              <w:rPr>
                <w:b w:val="0"/>
                <w:bCs w:val="0"/>
                <w:spacing w:val="-3"/>
                <w:highlight w:val="none"/>
              </w:rPr>
              <w:t>分，扣完不得分。</w:t>
            </w:r>
          </w:p>
        </w:tc>
        <w:tc>
          <w:tcPr>
            <w:tcW w:w="366" w:type="pct"/>
            <w:vAlign w:val="center"/>
          </w:tcPr>
          <w:p w14:paraId="4DA8E023">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0D646D2F">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7251E1E2">
            <w:pPr>
              <w:keepNext w:val="0"/>
              <w:keepLines w:val="0"/>
              <w:suppressLineNumbers w:val="0"/>
              <w:spacing w:before="0" w:beforeAutospacing="0" w:after="0" w:afterAutospacing="0"/>
              <w:ind w:left="0" w:right="0"/>
              <w:rPr>
                <w:rFonts w:hint="default" w:ascii="Arial"/>
                <w:b w:val="0"/>
                <w:bCs w:val="0"/>
                <w:sz w:val="21"/>
                <w:highlight w:val="none"/>
              </w:rPr>
            </w:pPr>
          </w:p>
        </w:tc>
      </w:tr>
      <w:tr w14:paraId="1E7E23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jc w:val="center"/>
        </w:trPr>
        <w:tc>
          <w:tcPr>
            <w:tcW w:w="189" w:type="pct"/>
            <w:vMerge w:val="continue"/>
            <w:tcBorders>
              <w:top w:val="single" w:color="auto" w:sz="4" w:space="0"/>
              <w:bottom w:val="single" w:color="auto" w:sz="4" w:space="0"/>
            </w:tcBorders>
            <w:vAlign w:val="center"/>
          </w:tcPr>
          <w:p w14:paraId="6053C3C9">
            <w:pPr>
              <w:keepNext w:val="0"/>
              <w:keepLines w:val="0"/>
              <w:suppressLineNumbers w:val="0"/>
              <w:spacing w:before="0" w:beforeAutospacing="0" w:after="0" w:afterAutospacing="0"/>
              <w:ind w:left="0" w:right="0"/>
              <w:rPr>
                <w:rFonts w:hint="default" w:ascii="Arial"/>
                <w:b w:val="0"/>
                <w:bCs w:val="0"/>
                <w:sz w:val="21"/>
                <w:highlight w:val="none"/>
              </w:rPr>
            </w:pPr>
          </w:p>
        </w:tc>
        <w:tc>
          <w:tcPr>
            <w:tcW w:w="492" w:type="pct"/>
            <w:vMerge w:val="continue"/>
            <w:tcBorders>
              <w:top w:val="single" w:color="auto" w:sz="4" w:space="0"/>
              <w:bottom w:val="single" w:color="auto" w:sz="4" w:space="0"/>
            </w:tcBorders>
            <w:vAlign w:val="center"/>
          </w:tcPr>
          <w:p w14:paraId="7CEF216E">
            <w:pPr>
              <w:keepNext w:val="0"/>
              <w:keepLines w:val="0"/>
              <w:suppressLineNumbers w:val="0"/>
              <w:spacing w:before="0" w:beforeAutospacing="0" w:after="0" w:afterAutospacing="0"/>
              <w:ind w:left="0" w:right="0"/>
              <w:rPr>
                <w:rFonts w:hint="default" w:ascii="Arial"/>
                <w:b w:val="0"/>
                <w:bCs w:val="0"/>
                <w:sz w:val="21"/>
                <w:highlight w:val="none"/>
              </w:rPr>
            </w:pPr>
          </w:p>
        </w:tc>
        <w:tc>
          <w:tcPr>
            <w:tcW w:w="366" w:type="pct"/>
            <w:vAlign w:val="center"/>
          </w:tcPr>
          <w:p w14:paraId="61E0ACA4">
            <w:pPr>
              <w:pStyle w:val="23"/>
              <w:keepNext w:val="0"/>
              <w:keepLines w:val="0"/>
              <w:suppressLineNumbers w:val="0"/>
              <w:spacing w:before="71" w:line="283" w:lineRule="auto"/>
              <w:ind w:left="0" w:right="106" w:firstLine="0"/>
              <w:rPr>
                <w:b w:val="0"/>
                <w:bCs w:val="0"/>
                <w:highlight w:val="none"/>
              </w:rPr>
            </w:pPr>
            <w:r>
              <w:rPr>
                <w:b w:val="0"/>
                <w:bCs w:val="0"/>
                <w:spacing w:val="-14"/>
                <w:highlight w:val="none"/>
              </w:rPr>
              <w:t>联动功能（4</w:t>
            </w:r>
            <w:r>
              <w:rPr>
                <w:b w:val="0"/>
                <w:bCs w:val="0"/>
                <w:spacing w:val="1"/>
                <w:highlight w:val="none"/>
              </w:rPr>
              <w:t xml:space="preserve"> </w:t>
            </w:r>
            <w:r>
              <w:rPr>
                <w:b w:val="0"/>
                <w:bCs w:val="0"/>
                <w:spacing w:val="-6"/>
                <w:highlight w:val="none"/>
              </w:rPr>
              <w:t>分）</w:t>
            </w:r>
          </w:p>
        </w:tc>
        <w:tc>
          <w:tcPr>
            <w:tcW w:w="1736" w:type="pct"/>
            <w:vAlign w:val="center"/>
          </w:tcPr>
          <w:p w14:paraId="1A845FFE">
            <w:pPr>
              <w:pStyle w:val="23"/>
              <w:keepNext w:val="0"/>
              <w:keepLines w:val="0"/>
              <w:suppressLineNumbers w:val="0"/>
              <w:spacing w:before="227" w:line="221" w:lineRule="auto"/>
              <w:ind w:left="114"/>
              <w:rPr>
                <w:b w:val="0"/>
                <w:bCs w:val="0"/>
                <w:highlight w:val="none"/>
              </w:rPr>
            </w:pPr>
            <w:r>
              <w:rPr>
                <w:b w:val="0"/>
                <w:bCs w:val="0"/>
                <w:spacing w:val="-1"/>
                <w:highlight w:val="none"/>
              </w:rPr>
              <w:t>消防电梯的联动控制功能。</w:t>
            </w:r>
          </w:p>
        </w:tc>
        <w:tc>
          <w:tcPr>
            <w:tcW w:w="1181" w:type="pct"/>
            <w:vAlign w:val="center"/>
          </w:tcPr>
          <w:p w14:paraId="4866D47F">
            <w:pPr>
              <w:pStyle w:val="23"/>
              <w:keepNext w:val="0"/>
              <w:keepLines w:val="0"/>
              <w:suppressLineNumbers w:val="0"/>
              <w:spacing w:before="227" w:line="220" w:lineRule="auto"/>
              <w:ind w:left="115"/>
              <w:rPr>
                <w:b w:val="0"/>
                <w:bCs w:val="0"/>
                <w:highlight w:val="none"/>
              </w:rPr>
            </w:pPr>
            <w:r>
              <w:rPr>
                <w:b w:val="0"/>
                <w:bCs w:val="0"/>
                <w:spacing w:val="-2"/>
                <w:highlight w:val="none"/>
              </w:rPr>
              <w:t>不符合要求扣4</w:t>
            </w:r>
            <w:r>
              <w:rPr>
                <w:b w:val="0"/>
                <w:bCs w:val="0"/>
                <w:spacing w:val="-33"/>
                <w:highlight w:val="none"/>
              </w:rPr>
              <w:t xml:space="preserve"> </w:t>
            </w:r>
            <w:r>
              <w:rPr>
                <w:b w:val="0"/>
                <w:bCs w:val="0"/>
                <w:spacing w:val="-2"/>
                <w:highlight w:val="none"/>
              </w:rPr>
              <w:t>分，扣完不得分。</w:t>
            </w:r>
          </w:p>
        </w:tc>
        <w:tc>
          <w:tcPr>
            <w:tcW w:w="366" w:type="pct"/>
            <w:vAlign w:val="center"/>
          </w:tcPr>
          <w:p w14:paraId="20CF8365">
            <w:pPr>
              <w:keepNext w:val="0"/>
              <w:keepLines w:val="0"/>
              <w:suppressLineNumbers w:val="0"/>
              <w:spacing w:before="0" w:beforeAutospacing="0" w:after="0" w:afterAutospacing="0"/>
              <w:ind w:left="0" w:right="0"/>
              <w:jc w:val="center"/>
              <w:rPr>
                <w:rFonts w:hint="default" w:ascii="Arial" w:eastAsia="宋体"/>
                <w:b w:val="0"/>
                <w:bCs w:val="0"/>
                <w:sz w:val="21"/>
                <w:highlight w:val="none"/>
                <w:lang w:val="en-US" w:eastAsia="zh-CN"/>
              </w:rPr>
            </w:pPr>
          </w:p>
        </w:tc>
        <w:tc>
          <w:tcPr>
            <w:tcW w:w="337" w:type="pct"/>
            <w:vAlign w:val="center"/>
          </w:tcPr>
          <w:p w14:paraId="3847B6A6">
            <w:pPr>
              <w:keepNext w:val="0"/>
              <w:keepLines w:val="0"/>
              <w:suppressLineNumbers w:val="0"/>
              <w:spacing w:before="0" w:beforeAutospacing="0" w:after="0" w:afterAutospacing="0"/>
              <w:ind w:left="0" w:right="0"/>
              <w:rPr>
                <w:rFonts w:hint="default" w:ascii="Arial"/>
                <w:b w:val="0"/>
                <w:bCs w:val="0"/>
                <w:sz w:val="21"/>
                <w:highlight w:val="none"/>
              </w:rPr>
            </w:pPr>
          </w:p>
        </w:tc>
        <w:tc>
          <w:tcPr>
            <w:tcW w:w="330" w:type="pct"/>
            <w:vAlign w:val="center"/>
          </w:tcPr>
          <w:p w14:paraId="45381DA5">
            <w:pPr>
              <w:keepNext w:val="0"/>
              <w:keepLines w:val="0"/>
              <w:suppressLineNumbers w:val="0"/>
              <w:spacing w:before="0" w:beforeAutospacing="0" w:after="0" w:afterAutospacing="0"/>
              <w:ind w:left="0" w:right="0"/>
              <w:rPr>
                <w:rFonts w:hint="default" w:ascii="Arial"/>
                <w:b w:val="0"/>
                <w:bCs w:val="0"/>
                <w:sz w:val="21"/>
                <w:highlight w:val="none"/>
              </w:rPr>
            </w:pPr>
          </w:p>
        </w:tc>
      </w:tr>
    </w:tbl>
    <w:p w14:paraId="1A8CBD49">
      <w:pPr>
        <w:rPr>
          <w:highlight w:val="none"/>
        </w:rPr>
      </w:pPr>
      <w:r>
        <w:rPr>
          <w:highlight w:val="none"/>
        </w:rPr>
        <w:br w:type="page"/>
      </w:r>
    </w:p>
    <w:p w14:paraId="757A7399">
      <w:pPr>
        <w:pStyle w:val="5"/>
        <w:spacing w:before="191" w:line="222" w:lineRule="auto"/>
        <w:outlineLvl w:val="9"/>
        <w:rPr>
          <w:b w:val="0"/>
          <w:bCs w:val="0"/>
          <w:spacing w:val="-2"/>
          <w:sz w:val="18"/>
          <w:szCs w:val="18"/>
          <w:highlight w:val="none"/>
        </w:rPr>
      </w:pPr>
    </w:p>
    <w:p w14:paraId="086E25FA">
      <w:pPr>
        <w:outlineLvl w:val="2"/>
        <w:rPr>
          <w:rFonts w:ascii="Times New Roman" w:hAnsi="Times New Roman" w:cs="Times New Roman"/>
          <w:highlight w:val="none"/>
        </w:rPr>
      </w:pPr>
      <w:r>
        <w:rPr>
          <w:rFonts w:hint="eastAsia" w:ascii="Times New Roman" w:hAnsi="Times New Roman" w:cs="Times New Roman"/>
          <w:b/>
          <w:bCs/>
          <w:highlight w:val="none"/>
        </w:rPr>
        <w:t>A.</w:t>
      </w:r>
      <w:r>
        <w:rPr>
          <w:rFonts w:ascii="Times New Roman" w:hAnsi="Times New Roman" w:cs="Times New Roman"/>
          <w:b/>
          <w:bCs/>
          <w:highlight w:val="none"/>
        </w:rPr>
        <w:t>0.</w:t>
      </w:r>
      <w:r>
        <w:rPr>
          <w:rFonts w:hint="eastAsia" w:ascii="Times New Roman" w:hAnsi="Times New Roman" w:cs="Times New Roman"/>
          <w:b/>
          <w:bCs/>
          <w:highlight w:val="none"/>
          <w:lang w:val="en-US" w:eastAsia="zh-CN"/>
        </w:rPr>
        <w:t>4</w:t>
      </w:r>
      <w:r>
        <w:rPr>
          <w:rFonts w:hint="eastAsia" w:ascii="Times New Roman" w:hAnsi="Times New Roman" w:cs="Times New Roman"/>
          <w:highlight w:val="none"/>
        </w:rPr>
        <w:t xml:space="preserve">  </w:t>
      </w:r>
      <w:r>
        <w:rPr>
          <w:rFonts w:hint="eastAsia" w:cs="Times New Roman"/>
          <w:highlight w:val="none"/>
          <w:lang w:val="en-US" w:eastAsia="zh-CN"/>
        </w:rPr>
        <w:t>安全评估加分项</w:t>
      </w:r>
      <w:r>
        <w:rPr>
          <w:rFonts w:hint="eastAsia" w:cs="Times New Roman"/>
          <w:highlight w:val="none"/>
        </w:rPr>
        <w:t>记录表</w:t>
      </w:r>
      <w:r>
        <w:rPr>
          <w:rFonts w:hint="eastAsia" w:cs="Times New Roman"/>
          <w:highlight w:val="none"/>
          <w:lang w:val="en-US" w:eastAsia="zh-CN"/>
        </w:rPr>
        <w:t>见</w:t>
      </w:r>
      <w:r>
        <w:rPr>
          <w:rFonts w:hint="eastAsia" w:cs="Times New Roman"/>
          <w:highlight w:val="none"/>
        </w:rPr>
        <w:t>表</w:t>
      </w:r>
    </w:p>
    <w:tbl>
      <w:tblPr>
        <w:tblStyle w:val="12"/>
        <w:tblW w:w="0" w:type="auto"/>
        <w:tblInd w:w="-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3"/>
        <w:gridCol w:w="6524"/>
        <w:gridCol w:w="4118"/>
        <w:gridCol w:w="2441"/>
      </w:tblGrid>
      <w:tr w14:paraId="6C8C6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exact"/>
        </w:trPr>
        <w:tc>
          <w:tcPr>
            <w:tcW w:w="813" w:type="dxa"/>
            <w:vAlign w:val="center"/>
          </w:tcPr>
          <w:p w14:paraId="0E66E914">
            <w:pPr>
              <w:pStyle w:val="22"/>
              <w:keepNext w:val="0"/>
              <w:keepLines w:val="0"/>
              <w:suppressLineNumbers w:val="0"/>
              <w:spacing w:before="10" w:beforeAutospacing="0" w:after="0" w:afterAutospacing="0"/>
              <w:ind w:left="141" w:right="141"/>
              <w:jc w:val="center"/>
              <w:rPr>
                <w:rFonts w:hint="default"/>
                <w:b/>
                <w:sz w:val="18"/>
                <w:highlight w:val="none"/>
              </w:rPr>
            </w:pPr>
            <w:r>
              <w:rPr>
                <w:rFonts w:hint="default"/>
                <w:b/>
                <w:sz w:val="18"/>
                <w:highlight w:val="none"/>
              </w:rPr>
              <w:t>序号</w:t>
            </w:r>
          </w:p>
        </w:tc>
        <w:tc>
          <w:tcPr>
            <w:tcW w:w="6524" w:type="dxa"/>
            <w:vAlign w:val="center"/>
          </w:tcPr>
          <w:p w14:paraId="39B03877">
            <w:pPr>
              <w:pStyle w:val="22"/>
              <w:keepNext w:val="0"/>
              <w:keepLines w:val="0"/>
              <w:suppressLineNumbers w:val="0"/>
              <w:spacing w:before="10" w:beforeAutospacing="0" w:after="0" w:afterAutospacing="0"/>
              <w:ind w:left="2265" w:right="2265"/>
              <w:jc w:val="center"/>
              <w:rPr>
                <w:rFonts w:hint="eastAsia" w:eastAsia="宋体"/>
                <w:b/>
                <w:sz w:val="18"/>
                <w:highlight w:val="none"/>
                <w:lang w:eastAsia="zh-CN"/>
              </w:rPr>
            </w:pPr>
            <w:r>
              <w:rPr>
                <w:rFonts w:hint="eastAsia"/>
                <w:b/>
                <w:sz w:val="18"/>
                <w:highlight w:val="none"/>
                <w:lang w:val="en-US" w:eastAsia="zh-CN"/>
              </w:rPr>
              <w:t>评估要素</w:t>
            </w:r>
          </w:p>
        </w:tc>
        <w:tc>
          <w:tcPr>
            <w:tcW w:w="4118" w:type="dxa"/>
            <w:vAlign w:val="center"/>
          </w:tcPr>
          <w:p w14:paraId="7B439A73">
            <w:pPr>
              <w:pStyle w:val="22"/>
              <w:keepNext w:val="0"/>
              <w:keepLines w:val="0"/>
              <w:suppressLineNumbers w:val="0"/>
              <w:spacing w:before="10" w:beforeAutospacing="0" w:after="0" w:afterAutospacing="0"/>
              <w:ind w:left="908" w:right="908"/>
              <w:jc w:val="center"/>
              <w:rPr>
                <w:rFonts w:hint="eastAsia" w:eastAsia="宋体"/>
                <w:b/>
                <w:sz w:val="18"/>
                <w:highlight w:val="none"/>
                <w:lang w:eastAsia="zh-CN"/>
              </w:rPr>
            </w:pPr>
            <w:r>
              <w:rPr>
                <w:rFonts w:hint="eastAsia"/>
                <w:b/>
                <w:sz w:val="18"/>
                <w:highlight w:val="none"/>
                <w:lang w:val="en-US" w:eastAsia="zh-CN"/>
              </w:rPr>
              <w:t>评估情况</w:t>
            </w:r>
          </w:p>
        </w:tc>
        <w:tc>
          <w:tcPr>
            <w:tcW w:w="2441" w:type="dxa"/>
            <w:vAlign w:val="center"/>
          </w:tcPr>
          <w:p w14:paraId="6EDE83B3">
            <w:pPr>
              <w:pStyle w:val="22"/>
              <w:keepNext w:val="0"/>
              <w:keepLines w:val="0"/>
              <w:suppressLineNumbers w:val="0"/>
              <w:spacing w:before="10" w:beforeAutospacing="0" w:after="0" w:afterAutospacing="0"/>
              <w:ind w:left="297" w:right="0"/>
              <w:rPr>
                <w:rFonts w:hint="default"/>
                <w:b/>
                <w:sz w:val="18"/>
                <w:highlight w:val="none"/>
              </w:rPr>
            </w:pPr>
            <w:r>
              <w:rPr>
                <w:rFonts w:hint="default"/>
                <w:b/>
                <w:sz w:val="18"/>
                <w:highlight w:val="none"/>
              </w:rPr>
              <w:t>得分</w:t>
            </w:r>
          </w:p>
        </w:tc>
      </w:tr>
      <w:tr w14:paraId="171926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1" w:hRule="exact"/>
        </w:trPr>
        <w:tc>
          <w:tcPr>
            <w:tcW w:w="813" w:type="dxa"/>
            <w:vAlign w:val="center"/>
          </w:tcPr>
          <w:p w14:paraId="5C77145B">
            <w:pPr>
              <w:pStyle w:val="22"/>
              <w:keepNext w:val="0"/>
              <w:keepLines w:val="0"/>
              <w:suppressLineNumbers w:val="0"/>
              <w:spacing w:before="13" w:beforeAutospacing="0" w:after="0" w:afterAutospacing="0"/>
              <w:ind w:right="6"/>
              <w:jc w:val="center"/>
              <w:rPr>
                <w:rFonts w:hint="default"/>
                <w:sz w:val="18"/>
                <w:highlight w:val="none"/>
              </w:rPr>
            </w:pPr>
            <w:r>
              <w:rPr>
                <w:rFonts w:hint="default"/>
                <w:sz w:val="18"/>
                <w:highlight w:val="none"/>
              </w:rPr>
              <w:t>1</w:t>
            </w:r>
          </w:p>
        </w:tc>
        <w:tc>
          <w:tcPr>
            <w:tcW w:w="6524" w:type="dxa"/>
            <w:vAlign w:val="center"/>
          </w:tcPr>
          <w:p w14:paraId="71C6E3A2">
            <w:pPr>
              <w:pStyle w:val="22"/>
              <w:keepNext w:val="0"/>
              <w:keepLines w:val="0"/>
              <w:suppressLineNumbers w:val="0"/>
              <w:spacing w:before="13" w:beforeAutospacing="0" w:after="0" w:afterAutospacing="0"/>
              <w:ind w:left="103" w:right="0"/>
              <w:rPr>
                <w:rFonts w:hint="default"/>
                <w:sz w:val="18"/>
                <w:highlight w:val="none"/>
              </w:rPr>
            </w:pPr>
            <w:r>
              <w:rPr>
                <w:rFonts w:hint="default"/>
                <w:sz w:val="18"/>
                <w:highlight w:val="none"/>
              </w:rPr>
              <w:t>单位投保火灾</w:t>
            </w:r>
            <w:r>
              <w:rPr>
                <w:rFonts w:hint="eastAsia"/>
                <w:sz w:val="18"/>
                <w:highlight w:val="none"/>
                <w:lang w:eastAsia="zh-CN"/>
              </w:rPr>
              <w:t>工</w:t>
            </w:r>
            <w:r>
              <w:rPr>
                <w:rFonts w:hint="default"/>
                <w:sz w:val="18"/>
                <w:highlight w:val="none"/>
              </w:rPr>
              <w:t>众责任险（加 1 分）。</w:t>
            </w:r>
          </w:p>
        </w:tc>
        <w:tc>
          <w:tcPr>
            <w:tcW w:w="4118" w:type="dxa"/>
            <w:vAlign w:val="center"/>
          </w:tcPr>
          <w:p w14:paraId="42E5B220">
            <w:pPr>
              <w:keepNext w:val="0"/>
              <w:keepLines w:val="0"/>
              <w:suppressLineNumbers w:val="0"/>
              <w:spacing w:before="0" w:beforeAutospacing="0" w:after="0" w:afterAutospacing="0"/>
              <w:ind w:left="0" w:right="0"/>
              <w:rPr>
                <w:rFonts w:hint="default"/>
                <w:highlight w:val="none"/>
              </w:rPr>
            </w:pPr>
          </w:p>
        </w:tc>
        <w:tc>
          <w:tcPr>
            <w:tcW w:w="2441" w:type="dxa"/>
            <w:vAlign w:val="center"/>
          </w:tcPr>
          <w:p w14:paraId="172E3046">
            <w:pPr>
              <w:keepNext w:val="0"/>
              <w:keepLines w:val="0"/>
              <w:suppressLineNumbers w:val="0"/>
              <w:spacing w:before="0" w:beforeAutospacing="0" w:after="0" w:afterAutospacing="0"/>
              <w:ind w:left="0" w:right="0"/>
              <w:rPr>
                <w:rFonts w:hint="default"/>
                <w:highlight w:val="none"/>
              </w:rPr>
            </w:pPr>
          </w:p>
        </w:tc>
      </w:tr>
      <w:tr w14:paraId="167CF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exact"/>
        </w:trPr>
        <w:tc>
          <w:tcPr>
            <w:tcW w:w="813" w:type="dxa"/>
            <w:vAlign w:val="center"/>
          </w:tcPr>
          <w:p w14:paraId="12E4921B">
            <w:pPr>
              <w:pStyle w:val="22"/>
              <w:keepNext w:val="0"/>
              <w:keepLines w:val="0"/>
              <w:suppressLineNumbers w:val="0"/>
              <w:spacing w:before="0" w:beforeAutospacing="0" w:after="0" w:afterAutospacing="0"/>
              <w:ind w:right="6"/>
              <w:jc w:val="center"/>
              <w:rPr>
                <w:rFonts w:hint="default"/>
                <w:sz w:val="18"/>
                <w:highlight w:val="none"/>
              </w:rPr>
            </w:pPr>
            <w:r>
              <w:rPr>
                <w:rFonts w:hint="default"/>
                <w:sz w:val="18"/>
                <w:highlight w:val="none"/>
              </w:rPr>
              <w:t>2</w:t>
            </w:r>
          </w:p>
        </w:tc>
        <w:tc>
          <w:tcPr>
            <w:tcW w:w="6524" w:type="dxa"/>
            <w:vAlign w:val="center"/>
          </w:tcPr>
          <w:p w14:paraId="7ADD16C7">
            <w:pPr>
              <w:pStyle w:val="22"/>
              <w:keepNext w:val="0"/>
              <w:keepLines w:val="0"/>
              <w:suppressLineNumbers w:val="0"/>
              <w:spacing w:before="10" w:beforeAutospacing="0" w:after="0" w:afterAutospacing="0" w:line="316" w:lineRule="auto"/>
              <w:ind w:left="103" w:right="149"/>
              <w:rPr>
                <w:rFonts w:hint="default"/>
                <w:sz w:val="18"/>
                <w:highlight w:val="none"/>
              </w:rPr>
            </w:pPr>
            <w:r>
              <w:rPr>
                <w:rFonts w:hint="default"/>
                <w:sz w:val="18"/>
                <w:highlight w:val="none"/>
              </w:rPr>
              <w:t>单位员工持有注册消防工程师证书且已在</w:t>
            </w:r>
            <w:r>
              <w:rPr>
                <w:rFonts w:hint="eastAsia"/>
                <w:sz w:val="18"/>
                <w:highlight w:val="none"/>
                <w:lang w:eastAsia="zh-CN"/>
              </w:rPr>
              <w:t>建筑或场所</w:t>
            </w:r>
            <w:r>
              <w:rPr>
                <w:rFonts w:hint="default"/>
                <w:sz w:val="18"/>
                <w:highlight w:val="none"/>
              </w:rPr>
              <w:t>注册从事消防安全相关工作的（加</w:t>
            </w:r>
            <w:r>
              <w:rPr>
                <w:rFonts w:hint="default"/>
                <w:spacing w:val="1"/>
                <w:sz w:val="18"/>
                <w:highlight w:val="none"/>
              </w:rPr>
              <w:t xml:space="preserve"> 0</w:t>
            </w:r>
            <w:r>
              <w:rPr>
                <w:rFonts w:hint="default"/>
                <w:spacing w:val="-2"/>
                <w:sz w:val="18"/>
                <w:highlight w:val="none"/>
              </w:rPr>
              <w:t>.</w:t>
            </w:r>
            <w:r>
              <w:rPr>
                <w:rFonts w:hint="default"/>
                <w:sz w:val="18"/>
                <w:highlight w:val="none"/>
              </w:rPr>
              <w:t>5</w:t>
            </w:r>
            <w:r>
              <w:rPr>
                <w:rFonts w:hint="default"/>
                <w:spacing w:val="-44"/>
                <w:sz w:val="18"/>
                <w:highlight w:val="none"/>
              </w:rPr>
              <w:t xml:space="preserve"> </w:t>
            </w:r>
            <w:r>
              <w:rPr>
                <w:rFonts w:hint="default"/>
                <w:sz w:val="18"/>
                <w:highlight w:val="none"/>
              </w:rPr>
              <w:t>分）。</w:t>
            </w:r>
          </w:p>
        </w:tc>
        <w:tc>
          <w:tcPr>
            <w:tcW w:w="4118" w:type="dxa"/>
            <w:vAlign w:val="center"/>
          </w:tcPr>
          <w:p w14:paraId="7EC197EF">
            <w:pPr>
              <w:keepNext w:val="0"/>
              <w:keepLines w:val="0"/>
              <w:suppressLineNumbers w:val="0"/>
              <w:spacing w:before="0" w:beforeAutospacing="0" w:after="0" w:afterAutospacing="0"/>
              <w:ind w:left="0" w:right="0"/>
              <w:rPr>
                <w:rFonts w:hint="default"/>
                <w:highlight w:val="none"/>
              </w:rPr>
            </w:pPr>
          </w:p>
        </w:tc>
        <w:tc>
          <w:tcPr>
            <w:tcW w:w="2441" w:type="dxa"/>
            <w:vAlign w:val="center"/>
          </w:tcPr>
          <w:p w14:paraId="574DC0E1">
            <w:pPr>
              <w:keepNext w:val="0"/>
              <w:keepLines w:val="0"/>
              <w:suppressLineNumbers w:val="0"/>
              <w:spacing w:before="0" w:beforeAutospacing="0" w:after="0" w:afterAutospacing="0"/>
              <w:ind w:left="0" w:right="0"/>
              <w:rPr>
                <w:rFonts w:hint="default"/>
                <w:highlight w:val="none"/>
              </w:rPr>
            </w:pPr>
          </w:p>
        </w:tc>
      </w:tr>
      <w:tr w14:paraId="7C4762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exact"/>
        </w:trPr>
        <w:tc>
          <w:tcPr>
            <w:tcW w:w="813" w:type="dxa"/>
            <w:vAlign w:val="center"/>
          </w:tcPr>
          <w:p w14:paraId="33EB6D3F">
            <w:pPr>
              <w:pStyle w:val="22"/>
              <w:keepNext w:val="0"/>
              <w:keepLines w:val="0"/>
              <w:suppressLineNumbers w:val="0"/>
              <w:spacing w:before="0" w:beforeAutospacing="0" w:after="0" w:afterAutospacing="0"/>
              <w:ind w:right="6"/>
              <w:jc w:val="center"/>
              <w:rPr>
                <w:rFonts w:hint="default"/>
                <w:sz w:val="18"/>
                <w:highlight w:val="none"/>
              </w:rPr>
            </w:pPr>
            <w:r>
              <w:rPr>
                <w:rFonts w:hint="default"/>
                <w:sz w:val="18"/>
                <w:highlight w:val="none"/>
              </w:rPr>
              <w:t>3</w:t>
            </w:r>
          </w:p>
        </w:tc>
        <w:tc>
          <w:tcPr>
            <w:tcW w:w="6524" w:type="dxa"/>
            <w:vAlign w:val="center"/>
          </w:tcPr>
          <w:p w14:paraId="2788128F">
            <w:pPr>
              <w:pStyle w:val="22"/>
              <w:keepNext w:val="0"/>
              <w:keepLines w:val="0"/>
              <w:suppressLineNumbers w:val="0"/>
              <w:spacing w:before="10" w:beforeAutospacing="0" w:after="0" w:afterAutospacing="0" w:line="316" w:lineRule="auto"/>
              <w:ind w:left="103" w:right="149"/>
              <w:rPr>
                <w:rFonts w:hint="default"/>
                <w:sz w:val="18"/>
                <w:highlight w:val="none"/>
              </w:rPr>
            </w:pPr>
            <w:r>
              <w:rPr>
                <w:rFonts w:hint="default"/>
                <w:sz w:val="18"/>
                <w:highlight w:val="none"/>
              </w:rPr>
              <w:t>单位员工持有消防设施操作员（维保方向）证书，且从事消防设备设施管理工作的（加</w:t>
            </w:r>
            <w:r>
              <w:rPr>
                <w:rFonts w:hint="default"/>
                <w:spacing w:val="-45"/>
                <w:sz w:val="18"/>
                <w:highlight w:val="none"/>
              </w:rPr>
              <w:t xml:space="preserve"> </w:t>
            </w:r>
            <w:r>
              <w:rPr>
                <w:rFonts w:hint="default"/>
                <w:spacing w:val="1"/>
                <w:sz w:val="18"/>
                <w:highlight w:val="none"/>
              </w:rPr>
              <w:t>0</w:t>
            </w:r>
            <w:r>
              <w:rPr>
                <w:rFonts w:hint="default"/>
                <w:spacing w:val="-2"/>
                <w:sz w:val="18"/>
                <w:highlight w:val="none"/>
              </w:rPr>
              <w:t>.</w:t>
            </w:r>
            <w:r>
              <w:rPr>
                <w:rFonts w:hint="default"/>
                <w:sz w:val="18"/>
                <w:highlight w:val="none"/>
              </w:rPr>
              <w:t>5</w:t>
            </w:r>
            <w:r>
              <w:rPr>
                <w:rFonts w:hint="default"/>
                <w:spacing w:val="-44"/>
                <w:sz w:val="18"/>
                <w:highlight w:val="none"/>
              </w:rPr>
              <w:t xml:space="preserve"> </w:t>
            </w:r>
            <w:r>
              <w:rPr>
                <w:rFonts w:hint="default"/>
                <w:spacing w:val="-3"/>
                <w:sz w:val="18"/>
                <w:highlight w:val="none"/>
              </w:rPr>
              <w:t>分</w:t>
            </w:r>
            <w:r>
              <w:rPr>
                <w:rFonts w:hint="default"/>
                <w:sz w:val="18"/>
                <w:highlight w:val="none"/>
              </w:rPr>
              <w:t>）。</w:t>
            </w:r>
          </w:p>
        </w:tc>
        <w:tc>
          <w:tcPr>
            <w:tcW w:w="4118" w:type="dxa"/>
            <w:vAlign w:val="center"/>
          </w:tcPr>
          <w:p w14:paraId="0C4F290C">
            <w:pPr>
              <w:keepNext w:val="0"/>
              <w:keepLines w:val="0"/>
              <w:suppressLineNumbers w:val="0"/>
              <w:spacing w:before="0" w:beforeAutospacing="0" w:after="0" w:afterAutospacing="0"/>
              <w:ind w:left="0" w:right="0"/>
              <w:rPr>
                <w:rFonts w:hint="default"/>
                <w:highlight w:val="none"/>
              </w:rPr>
            </w:pPr>
          </w:p>
        </w:tc>
        <w:tc>
          <w:tcPr>
            <w:tcW w:w="2441" w:type="dxa"/>
            <w:vAlign w:val="center"/>
          </w:tcPr>
          <w:p w14:paraId="7C0DF11A">
            <w:pPr>
              <w:keepNext w:val="0"/>
              <w:keepLines w:val="0"/>
              <w:suppressLineNumbers w:val="0"/>
              <w:spacing w:before="0" w:beforeAutospacing="0" w:after="0" w:afterAutospacing="0"/>
              <w:ind w:left="0" w:right="0"/>
              <w:rPr>
                <w:rFonts w:hint="default"/>
                <w:highlight w:val="none"/>
              </w:rPr>
            </w:pPr>
          </w:p>
        </w:tc>
      </w:tr>
      <w:tr w14:paraId="08645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exact"/>
        </w:trPr>
        <w:tc>
          <w:tcPr>
            <w:tcW w:w="813" w:type="dxa"/>
            <w:vAlign w:val="center"/>
          </w:tcPr>
          <w:p w14:paraId="4649117E">
            <w:pPr>
              <w:pStyle w:val="22"/>
              <w:keepNext w:val="0"/>
              <w:keepLines w:val="0"/>
              <w:suppressLineNumbers w:val="0"/>
              <w:spacing w:before="0" w:beforeAutospacing="0" w:after="0" w:afterAutospacing="0"/>
              <w:ind w:right="6"/>
              <w:jc w:val="center"/>
              <w:rPr>
                <w:rFonts w:hint="default"/>
                <w:sz w:val="18"/>
                <w:highlight w:val="none"/>
              </w:rPr>
            </w:pPr>
            <w:r>
              <w:rPr>
                <w:rFonts w:hint="default"/>
                <w:sz w:val="18"/>
                <w:highlight w:val="none"/>
              </w:rPr>
              <w:t>4</w:t>
            </w:r>
          </w:p>
        </w:tc>
        <w:tc>
          <w:tcPr>
            <w:tcW w:w="6524" w:type="dxa"/>
            <w:vAlign w:val="center"/>
          </w:tcPr>
          <w:p w14:paraId="41911260">
            <w:pPr>
              <w:pStyle w:val="22"/>
              <w:keepNext w:val="0"/>
              <w:keepLines w:val="0"/>
              <w:suppressLineNumbers w:val="0"/>
              <w:spacing w:before="10" w:beforeAutospacing="0" w:after="0" w:afterAutospacing="0" w:line="316" w:lineRule="auto"/>
              <w:ind w:left="103" w:right="101"/>
              <w:jc w:val="both"/>
              <w:rPr>
                <w:rFonts w:hint="default"/>
                <w:sz w:val="18"/>
                <w:highlight w:val="none"/>
              </w:rPr>
            </w:pPr>
            <w:r>
              <w:rPr>
                <w:rFonts w:hint="default"/>
                <w:sz w:val="18"/>
                <w:highlight w:val="none"/>
              </w:rPr>
              <w:t>单位在日常消防管理中采用了相应技防措施（智慧消防、消防设施维护保养监督系统、</w:t>
            </w:r>
            <w:r>
              <w:rPr>
                <w:rFonts w:hint="default"/>
                <w:spacing w:val="-42"/>
                <w:sz w:val="18"/>
                <w:highlight w:val="none"/>
              </w:rPr>
              <w:t xml:space="preserve"> </w:t>
            </w:r>
            <w:r>
              <w:rPr>
                <w:rFonts w:hint="default"/>
                <w:sz w:val="18"/>
                <w:highlight w:val="none"/>
              </w:rPr>
              <w:t>火灾自动报警系统与城市远程监控系统联网）且运行正常（加</w:t>
            </w:r>
            <w:r>
              <w:rPr>
                <w:rFonts w:hint="default"/>
                <w:spacing w:val="1"/>
                <w:sz w:val="18"/>
                <w:highlight w:val="none"/>
              </w:rPr>
              <w:t xml:space="preserve"> </w:t>
            </w:r>
            <w:r>
              <w:rPr>
                <w:rFonts w:hint="default"/>
                <w:sz w:val="18"/>
                <w:highlight w:val="none"/>
              </w:rPr>
              <w:t>1</w:t>
            </w:r>
            <w:r>
              <w:rPr>
                <w:rFonts w:hint="default"/>
                <w:spacing w:val="2"/>
                <w:sz w:val="18"/>
                <w:highlight w:val="none"/>
              </w:rPr>
              <w:t xml:space="preserve"> </w:t>
            </w:r>
            <w:r>
              <w:rPr>
                <w:rFonts w:hint="default"/>
                <w:sz w:val="18"/>
                <w:highlight w:val="none"/>
              </w:rPr>
              <w:t>分）。</w:t>
            </w:r>
          </w:p>
        </w:tc>
        <w:tc>
          <w:tcPr>
            <w:tcW w:w="4118" w:type="dxa"/>
            <w:vAlign w:val="center"/>
          </w:tcPr>
          <w:p w14:paraId="16543644">
            <w:pPr>
              <w:keepNext w:val="0"/>
              <w:keepLines w:val="0"/>
              <w:suppressLineNumbers w:val="0"/>
              <w:spacing w:before="0" w:beforeAutospacing="0" w:after="0" w:afterAutospacing="0"/>
              <w:ind w:left="0" w:right="0"/>
              <w:rPr>
                <w:rFonts w:hint="default"/>
                <w:highlight w:val="none"/>
              </w:rPr>
            </w:pPr>
          </w:p>
        </w:tc>
        <w:tc>
          <w:tcPr>
            <w:tcW w:w="2441" w:type="dxa"/>
            <w:vAlign w:val="center"/>
          </w:tcPr>
          <w:p w14:paraId="4EDB023C">
            <w:pPr>
              <w:keepNext w:val="0"/>
              <w:keepLines w:val="0"/>
              <w:suppressLineNumbers w:val="0"/>
              <w:spacing w:before="0" w:beforeAutospacing="0" w:after="0" w:afterAutospacing="0"/>
              <w:ind w:left="0" w:right="0"/>
              <w:rPr>
                <w:rFonts w:hint="default"/>
                <w:highlight w:val="none"/>
              </w:rPr>
            </w:pPr>
          </w:p>
        </w:tc>
      </w:tr>
      <w:tr w14:paraId="75AE3D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exact"/>
        </w:trPr>
        <w:tc>
          <w:tcPr>
            <w:tcW w:w="813" w:type="dxa"/>
            <w:vAlign w:val="center"/>
          </w:tcPr>
          <w:p w14:paraId="67AA886B">
            <w:pPr>
              <w:pStyle w:val="22"/>
              <w:keepNext w:val="0"/>
              <w:keepLines w:val="0"/>
              <w:suppressLineNumbers w:val="0"/>
              <w:spacing w:before="0" w:beforeAutospacing="0" w:after="0" w:afterAutospacing="0"/>
              <w:ind w:right="6"/>
              <w:jc w:val="center"/>
              <w:rPr>
                <w:rFonts w:hint="default"/>
                <w:sz w:val="18"/>
                <w:highlight w:val="none"/>
              </w:rPr>
            </w:pPr>
            <w:r>
              <w:rPr>
                <w:rFonts w:hint="default"/>
                <w:sz w:val="18"/>
                <w:highlight w:val="none"/>
              </w:rPr>
              <w:t>5</w:t>
            </w:r>
          </w:p>
        </w:tc>
        <w:tc>
          <w:tcPr>
            <w:tcW w:w="6524" w:type="dxa"/>
            <w:vAlign w:val="center"/>
          </w:tcPr>
          <w:p w14:paraId="6EE25370">
            <w:pPr>
              <w:pStyle w:val="22"/>
              <w:keepNext w:val="0"/>
              <w:keepLines w:val="0"/>
              <w:suppressLineNumbers w:val="0"/>
              <w:spacing w:before="10" w:beforeAutospacing="0" w:after="0" w:afterAutospacing="0"/>
              <w:ind w:left="103" w:right="0"/>
              <w:rPr>
                <w:rFonts w:hint="default"/>
                <w:sz w:val="18"/>
                <w:highlight w:val="none"/>
              </w:rPr>
            </w:pPr>
            <w:r>
              <w:rPr>
                <w:rFonts w:hint="default"/>
                <w:sz w:val="18"/>
                <w:highlight w:val="none"/>
              </w:rPr>
              <w:t>消防控制室和安防视频监控中心合并设置且能够辅助火警信息早期确认的（加 0.5 分）。</w:t>
            </w:r>
          </w:p>
        </w:tc>
        <w:tc>
          <w:tcPr>
            <w:tcW w:w="4118" w:type="dxa"/>
            <w:vAlign w:val="center"/>
          </w:tcPr>
          <w:p w14:paraId="7A66933E">
            <w:pPr>
              <w:keepNext w:val="0"/>
              <w:keepLines w:val="0"/>
              <w:suppressLineNumbers w:val="0"/>
              <w:spacing w:before="0" w:beforeAutospacing="0" w:after="0" w:afterAutospacing="0"/>
              <w:ind w:left="0" w:right="0"/>
              <w:rPr>
                <w:rFonts w:hint="default"/>
                <w:highlight w:val="none"/>
              </w:rPr>
            </w:pPr>
          </w:p>
        </w:tc>
        <w:tc>
          <w:tcPr>
            <w:tcW w:w="2441" w:type="dxa"/>
            <w:vAlign w:val="center"/>
          </w:tcPr>
          <w:p w14:paraId="424DD81B">
            <w:pPr>
              <w:keepNext w:val="0"/>
              <w:keepLines w:val="0"/>
              <w:suppressLineNumbers w:val="0"/>
              <w:spacing w:before="0" w:beforeAutospacing="0" w:after="0" w:afterAutospacing="0"/>
              <w:ind w:left="0" w:right="0"/>
              <w:rPr>
                <w:rFonts w:hint="default"/>
                <w:highlight w:val="none"/>
              </w:rPr>
            </w:pPr>
          </w:p>
        </w:tc>
      </w:tr>
    </w:tbl>
    <w:p w14:paraId="10653F81">
      <w:pPr>
        <w:autoSpaceDN/>
        <w:ind w:firstLine="480" w:firstLineChars="200"/>
        <w:jc w:val="both"/>
        <w:rPr>
          <w:rFonts w:ascii="Times New Roman" w:hAnsi="Times New Roman" w:cs="Times New Roman"/>
          <w:highlight w:val="none"/>
        </w:rPr>
      </w:pPr>
    </w:p>
    <w:p w14:paraId="08CAF47F">
      <w:pPr>
        <w:autoSpaceDN/>
        <w:ind w:firstLine="480" w:firstLineChars="200"/>
        <w:jc w:val="both"/>
        <w:rPr>
          <w:rFonts w:ascii="Times New Roman" w:hAnsi="Times New Roman" w:cs="Times New Roman"/>
          <w:highlight w:val="none"/>
        </w:rPr>
      </w:pPr>
    </w:p>
    <w:p w14:paraId="670906B4">
      <w:pPr>
        <w:autoSpaceDN/>
        <w:ind w:firstLine="480" w:firstLineChars="200"/>
        <w:jc w:val="both"/>
        <w:rPr>
          <w:rFonts w:ascii="Times New Roman" w:hAnsi="Times New Roman" w:cs="Times New Roman"/>
          <w:highlight w:val="none"/>
        </w:rPr>
      </w:pPr>
    </w:p>
    <w:p w14:paraId="00EE7587">
      <w:pPr>
        <w:autoSpaceDN/>
        <w:ind w:firstLine="482" w:firstLineChars="200"/>
        <w:jc w:val="both"/>
        <w:rPr>
          <w:rFonts w:ascii="Times New Roman" w:hAnsi="Times New Roman" w:cs="Times New Roman"/>
          <w:b/>
          <w:bCs/>
          <w:highlight w:val="none"/>
        </w:rPr>
        <w:sectPr>
          <w:headerReference r:id="rId8" w:type="default"/>
          <w:footerReference r:id="rId9" w:type="default"/>
          <w:pgSz w:w="16838" w:h="11906" w:orient="landscape"/>
          <w:pgMar w:top="669" w:right="873" w:bottom="669" w:left="930" w:header="567" w:footer="567" w:gutter="0"/>
          <w:pgBorders>
            <w:top w:val="none" w:sz="0" w:space="0"/>
            <w:left w:val="none" w:sz="0" w:space="0"/>
            <w:bottom w:val="none" w:sz="0" w:space="0"/>
            <w:right w:val="none" w:sz="0" w:space="0"/>
          </w:pgBorders>
          <w:cols w:space="720" w:num="1"/>
          <w:rtlGutter w:val="0"/>
          <w:docGrid w:type="lines" w:linePitch="332" w:charSpace="0"/>
        </w:sectPr>
      </w:pPr>
    </w:p>
    <w:p w14:paraId="67D3142C">
      <w:pPr>
        <w:pStyle w:val="18"/>
        <w:rPr>
          <w:b w:val="0"/>
          <w:highlight w:val="none"/>
        </w:rPr>
      </w:pPr>
      <w:bookmarkStart w:id="442" w:name="_Toc140390047"/>
      <w:bookmarkStart w:id="443" w:name="_Toc151384815"/>
      <w:bookmarkStart w:id="444" w:name="_Toc150876248"/>
      <w:bookmarkStart w:id="445" w:name="_Toc183531755"/>
      <w:bookmarkStart w:id="446" w:name="_Toc19807"/>
      <w:bookmarkStart w:id="447" w:name="_Toc28588"/>
      <w:bookmarkStart w:id="448" w:name="_Toc5058"/>
      <w:bookmarkStart w:id="449" w:name="_Toc26010"/>
      <w:bookmarkStart w:id="450" w:name="_Toc8440"/>
      <w:bookmarkStart w:id="451" w:name="_Toc26288"/>
      <w:bookmarkStart w:id="452" w:name="_Toc7099"/>
      <w:bookmarkStart w:id="453" w:name="_Toc28854"/>
      <w:bookmarkStart w:id="454" w:name="_Toc19597"/>
      <w:bookmarkStart w:id="455" w:name="_Toc17383"/>
      <w:r>
        <w:rPr>
          <w:rFonts w:eastAsia="宋体"/>
          <w:highlight w:val="none"/>
        </w:rPr>
        <w:t xml:space="preserve">附录B </w:t>
      </w:r>
      <w:bookmarkEnd w:id="442"/>
      <w:bookmarkEnd w:id="443"/>
      <w:bookmarkEnd w:id="444"/>
      <w:r>
        <w:rPr>
          <w:rFonts w:hint="eastAsia" w:ascii="宋体" w:hAnsi="宋体" w:eastAsia="宋体"/>
          <w:highlight w:val="none"/>
        </w:rPr>
        <w:t>建筑消防安全评估报告</w:t>
      </w:r>
      <w:bookmarkEnd w:id="445"/>
      <w:bookmarkStart w:id="456" w:name="_Toc24734"/>
      <w:bookmarkStart w:id="457" w:name="_Toc21877"/>
      <w:bookmarkStart w:id="458" w:name="_Toc18137"/>
      <w:bookmarkStart w:id="459" w:name="_Toc16538"/>
      <w:bookmarkStart w:id="460" w:name="_Toc7340"/>
      <w:bookmarkStart w:id="461" w:name="_Toc26908"/>
      <w:bookmarkStart w:id="462" w:name="_Toc16185"/>
      <w:bookmarkStart w:id="463" w:name="_Toc20095"/>
      <w:bookmarkStart w:id="464" w:name="_Toc10879"/>
      <w:bookmarkStart w:id="465" w:name="_Toc28891"/>
      <w:bookmarkStart w:id="466" w:name="_Toc6254"/>
      <w:r>
        <w:rPr>
          <w:highlight w:val="none"/>
        </w:rPr>
        <w:fldChar w:fldCharType="begin"/>
      </w:r>
      <w:r>
        <w:rPr>
          <w:rFonts w:ascii="宋体" w:hAnsi="宋体" w:eastAsia="宋体"/>
          <w:highlight w:val="none"/>
        </w:rPr>
        <w:instrText xml:space="preserve"> </w:instrText>
      </w:r>
      <w:r>
        <w:rPr>
          <w:rFonts w:hint="eastAsia" w:ascii="宋体" w:hAnsi="宋体" w:eastAsia="宋体"/>
          <w:highlight w:val="none"/>
        </w:rPr>
        <w:instrText xml:space="preserve">TC  "</w:instrText>
      </w:r>
      <w:r>
        <w:rPr>
          <w:rFonts w:hint="eastAsia"/>
          <w:highlight w:val="none"/>
        </w:rPr>
        <w:instrText xml:space="preserve"> </w:instrText>
      </w:r>
      <w:bookmarkStart w:id="467" w:name="_Toc183531872"/>
      <w:r>
        <w:rPr>
          <w:rFonts w:hint="eastAsia" w:eastAsia="宋体"/>
          <w:highlight w:val="none"/>
        </w:rPr>
        <w:instrText xml:space="preserve">Appendix B </w:instrText>
      </w:r>
      <w:r>
        <w:rPr>
          <w:rFonts w:hint="eastAsia" w:ascii="宋体" w:hAnsi="宋体" w:eastAsia="宋体"/>
          <w:highlight w:val="none"/>
        </w:rPr>
        <w:instrText xml:space="preserve">Building fire risk assessment report</w:instrText>
      </w:r>
      <w:bookmarkEnd w:id="467"/>
      <w:r>
        <w:rPr>
          <w:rFonts w:hint="eastAsia" w:ascii="宋体" w:hAnsi="宋体" w:eastAsia="宋体"/>
          <w:highlight w:val="none"/>
        </w:rPr>
        <w:instrText xml:space="preserve"> " \l 1</w:instrText>
      </w:r>
      <w:r>
        <w:rPr>
          <w:rFonts w:ascii="宋体" w:hAnsi="宋体" w:eastAsia="宋体"/>
          <w:highlight w:val="none"/>
        </w:rPr>
        <w:instrText xml:space="preserve"> </w:instrText>
      </w:r>
      <w:r>
        <w:rPr>
          <w:rFonts w:ascii="宋体" w:hAnsi="宋体" w:eastAsia="宋体"/>
          <w:highlight w:val="none"/>
        </w:rPr>
        <w:fldChar w:fldCharType="end"/>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p>
    <w:p w14:paraId="1DE5FA59">
      <w:pPr>
        <w:rPr>
          <w:rFonts w:hint="eastAsia" w:cs="Times New Roman"/>
          <w:highlight w:val="none"/>
        </w:rPr>
      </w:pPr>
      <w:r>
        <w:rPr>
          <w:rFonts w:hint="eastAsia" w:ascii="Times New Roman" w:hAnsi="Times New Roman" w:cs="Times New Roman"/>
          <w:b/>
          <w:bCs/>
          <w:highlight w:val="none"/>
        </w:rPr>
        <w:t>B.</w:t>
      </w:r>
      <w:r>
        <w:rPr>
          <w:rFonts w:ascii="Times New Roman" w:hAnsi="Times New Roman" w:cs="Times New Roman"/>
          <w:b/>
          <w:bCs/>
          <w:highlight w:val="none"/>
        </w:rPr>
        <w:t>0.1</w:t>
      </w:r>
      <w:r>
        <w:rPr>
          <w:rFonts w:hint="eastAsia" w:ascii="Times New Roman" w:hAnsi="Times New Roman" w:cs="Times New Roman"/>
          <w:highlight w:val="none"/>
        </w:rPr>
        <w:t xml:space="preserve">  </w:t>
      </w:r>
      <w:r>
        <w:rPr>
          <w:rFonts w:hint="eastAsia" w:cs="Times New Roman"/>
          <w:highlight w:val="none"/>
        </w:rPr>
        <w:t>报告封面</w:t>
      </w:r>
    </w:p>
    <w:tbl>
      <w:tblPr>
        <w:tblStyle w:val="12"/>
        <w:tblW w:w="4998"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83"/>
        <w:gridCol w:w="2045"/>
        <w:gridCol w:w="320"/>
        <w:gridCol w:w="4271"/>
      </w:tblGrid>
      <w:tr w14:paraId="7631D4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3928" w:type="dxa"/>
            <w:gridSpan w:val="2"/>
            <w:vAlign w:val="center"/>
          </w:tcPr>
          <w:p w14:paraId="2C4173A7">
            <w:pPr>
              <w:keepNext w:val="0"/>
              <w:keepLines w:val="0"/>
              <w:suppressLineNumbers w:val="0"/>
              <w:spacing w:before="0" w:beforeAutospacing="0" w:after="0" w:afterAutospacing="0" w:line="240" w:lineRule="auto"/>
              <w:ind w:left="0" w:right="0"/>
              <w:rPr>
                <w:rFonts w:hint="eastAsia"/>
                <w:bCs/>
                <w:sz w:val="21"/>
                <w:szCs w:val="21"/>
                <w:highlight w:val="none"/>
              </w:rPr>
            </w:pPr>
            <w:bookmarkStart w:id="468" w:name="OLE_LINK25"/>
            <w:r>
              <w:rPr>
                <w:rFonts w:hint="default"/>
                <w:sz w:val="21"/>
                <w:szCs w:val="21"/>
                <w:highlight w:val="none"/>
              </w:rPr>
              <w:br w:type="page"/>
            </w:r>
            <w:r>
              <w:rPr>
                <w:rFonts w:hint="eastAsia"/>
                <w:bCs/>
                <w:sz w:val="21"/>
                <w:szCs w:val="21"/>
                <w:highlight w:val="none"/>
                <w:lang w:bidi="ar"/>
              </w:rPr>
              <w:t>工程名称</w:t>
            </w:r>
            <w:r>
              <w:rPr>
                <w:rFonts w:hint="eastAsia"/>
                <w:bCs/>
                <w:sz w:val="21"/>
                <w:szCs w:val="21"/>
                <w:highlight w:val="none"/>
              </w:rPr>
              <w:t>资质编号/有效期/级别</w:t>
            </w:r>
          </w:p>
        </w:tc>
        <w:tc>
          <w:tcPr>
            <w:tcW w:w="4591" w:type="dxa"/>
            <w:gridSpan w:val="2"/>
            <w:vAlign w:val="center"/>
          </w:tcPr>
          <w:p w14:paraId="7624B1FF">
            <w:pPr>
              <w:keepNext w:val="0"/>
              <w:keepLines w:val="0"/>
              <w:suppressLineNumbers w:val="0"/>
              <w:spacing w:before="0" w:beforeAutospacing="0" w:after="0" w:afterAutospacing="0" w:line="240" w:lineRule="auto"/>
              <w:ind w:left="0" w:right="0"/>
              <w:jc w:val="right"/>
              <w:rPr>
                <w:rFonts w:hint="eastAsia"/>
                <w:bCs/>
                <w:sz w:val="21"/>
                <w:szCs w:val="21"/>
                <w:highlight w:val="none"/>
              </w:rPr>
            </w:pPr>
            <w:r>
              <w:rPr>
                <w:rFonts w:hint="eastAsia"/>
                <w:bCs/>
                <w:sz w:val="21"/>
                <w:szCs w:val="21"/>
                <w:highlight w:val="none"/>
              </w:rPr>
              <w:t>报告编号</w:t>
            </w:r>
            <w:r>
              <w:rPr>
                <w:rFonts w:hint="eastAsia"/>
                <w:bCs/>
                <w:sz w:val="21"/>
                <w:szCs w:val="21"/>
                <w:highlight w:val="none"/>
                <w:lang w:eastAsia="zh-CN"/>
              </w:rPr>
              <w:t>：</w:t>
            </w:r>
            <w:r>
              <w:rPr>
                <w:rFonts w:hint="eastAsia"/>
                <w:bCs/>
                <w:sz w:val="21"/>
                <w:szCs w:val="21"/>
                <w:highlight w:val="none"/>
              </w:rPr>
              <w:t>XXXX(年号)--</w:t>
            </w:r>
            <w:r>
              <w:rPr>
                <w:rFonts w:hint="eastAsia"/>
                <w:bCs/>
                <w:sz w:val="21"/>
                <w:szCs w:val="21"/>
                <w:highlight w:val="none"/>
                <w:lang w:val="en-US" w:eastAsia="zh-CN"/>
              </w:rPr>
              <w:t>XX</w:t>
            </w:r>
            <w:r>
              <w:rPr>
                <w:rFonts w:hint="eastAsia"/>
                <w:bCs/>
                <w:sz w:val="21"/>
                <w:szCs w:val="21"/>
                <w:highlight w:val="none"/>
              </w:rPr>
              <w:t>XXXX(自编号)</w:t>
            </w:r>
          </w:p>
        </w:tc>
      </w:tr>
      <w:tr w14:paraId="537BCD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75" w:hRule="atLeast"/>
          <w:jc w:val="center"/>
        </w:trPr>
        <w:tc>
          <w:tcPr>
            <w:tcW w:w="8519" w:type="dxa"/>
            <w:gridSpan w:val="4"/>
            <w:vAlign w:val="center"/>
          </w:tcPr>
          <w:p w14:paraId="63BAE3CE">
            <w:pPr>
              <w:keepNext w:val="0"/>
              <w:keepLines w:val="0"/>
              <w:suppressLineNumbers w:val="0"/>
              <w:spacing w:before="0" w:beforeAutospacing="0" w:after="0" w:afterAutospacing="0" w:line="240" w:lineRule="auto"/>
              <w:ind w:left="0" w:right="0"/>
              <w:jc w:val="center"/>
              <w:rPr>
                <w:rFonts w:hint="eastAsia" w:ascii="黑体" w:hAnsi="黑体" w:eastAsia="黑体" w:cs="Times New Roman"/>
                <w:bCs/>
                <w:sz w:val="32"/>
                <w:szCs w:val="32"/>
                <w:highlight w:val="none"/>
                <w:lang w:bidi="ar"/>
              </w:rPr>
            </w:pPr>
            <w:r>
              <w:rPr>
                <w:rFonts w:hint="eastAsia" w:ascii="黑体" w:hAnsi="黑体" w:eastAsia="黑体"/>
                <w:sz w:val="32"/>
                <w:szCs w:val="32"/>
                <w:highlight w:val="none"/>
              </w:rPr>
              <w:t>建筑消防安全评估报告</w:t>
            </w:r>
          </w:p>
        </w:tc>
      </w:tr>
      <w:tr w14:paraId="2666A9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883" w:type="dxa"/>
            <w:vAlign w:val="center"/>
          </w:tcPr>
          <w:p w14:paraId="7C336779">
            <w:pPr>
              <w:keepNext w:val="0"/>
              <w:keepLines w:val="0"/>
              <w:suppressLineNumbers w:val="0"/>
              <w:spacing w:before="0" w:beforeAutospacing="0" w:after="0" w:afterAutospacing="0" w:line="240" w:lineRule="auto"/>
              <w:ind w:left="0" w:right="0"/>
              <w:rPr>
                <w:rFonts w:hint="eastAsia" w:eastAsia="宋体"/>
                <w:bCs/>
                <w:szCs w:val="24"/>
                <w:highlight w:val="none"/>
                <w:lang w:eastAsia="zh-CN"/>
              </w:rPr>
            </w:pPr>
            <w:r>
              <w:rPr>
                <w:rFonts w:hint="eastAsia"/>
                <w:bCs/>
                <w:szCs w:val="24"/>
                <w:highlight w:val="none"/>
              </w:rPr>
              <w:t>委托单位</w:t>
            </w:r>
            <w:r>
              <w:rPr>
                <w:rFonts w:hint="eastAsia"/>
                <w:bCs/>
                <w:szCs w:val="24"/>
                <w:highlight w:val="none"/>
                <w:lang w:eastAsia="zh-CN"/>
              </w:rPr>
              <w:t>：</w:t>
            </w:r>
          </w:p>
        </w:tc>
        <w:tc>
          <w:tcPr>
            <w:tcW w:w="6636" w:type="dxa"/>
            <w:gridSpan w:val="3"/>
            <w:vAlign w:val="center"/>
          </w:tcPr>
          <w:p w14:paraId="323739FC">
            <w:pPr>
              <w:keepNext w:val="0"/>
              <w:keepLines w:val="0"/>
              <w:suppressLineNumbers w:val="0"/>
              <w:spacing w:before="0" w:beforeAutospacing="0" w:after="0" w:afterAutospacing="0" w:line="240" w:lineRule="auto"/>
              <w:ind w:left="0" w:right="0"/>
              <w:rPr>
                <w:rFonts w:hint="eastAsia"/>
                <w:bCs/>
                <w:sz w:val="21"/>
                <w:szCs w:val="21"/>
                <w:highlight w:val="none"/>
              </w:rPr>
            </w:pPr>
          </w:p>
        </w:tc>
      </w:tr>
      <w:tr w14:paraId="1AF7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83" w:type="dxa"/>
            <w:vAlign w:val="center"/>
          </w:tcPr>
          <w:p w14:paraId="27D2B68F">
            <w:pPr>
              <w:keepNext w:val="0"/>
              <w:keepLines w:val="0"/>
              <w:suppressLineNumbers w:val="0"/>
              <w:spacing w:before="0" w:beforeAutospacing="0" w:after="0" w:afterAutospacing="0" w:line="240" w:lineRule="auto"/>
              <w:ind w:left="0" w:right="0"/>
              <w:rPr>
                <w:rFonts w:hint="eastAsia" w:eastAsia="宋体"/>
                <w:bCs/>
                <w:szCs w:val="24"/>
                <w:highlight w:val="none"/>
                <w:lang w:eastAsia="zh-CN"/>
              </w:rPr>
            </w:pPr>
            <w:r>
              <w:rPr>
                <w:rFonts w:hint="eastAsia"/>
                <w:bCs/>
                <w:szCs w:val="24"/>
                <w:highlight w:val="none"/>
              </w:rPr>
              <w:t>项目名称</w:t>
            </w:r>
            <w:r>
              <w:rPr>
                <w:rFonts w:hint="eastAsia"/>
                <w:bCs/>
                <w:szCs w:val="24"/>
                <w:highlight w:val="none"/>
                <w:lang w:eastAsia="zh-CN"/>
              </w:rPr>
              <w:t>：</w:t>
            </w:r>
          </w:p>
        </w:tc>
        <w:tc>
          <w:tcPr>
            <w:tcW w:w="6636" w:type="dxa"/>
            <w:gridSpan w:val="3"/>
            <w:vAlign w:val="center"/>
          </w:tcPr>
          <w:p w14:paraId="437DFEEB">
            <w:pPr>
              <w:keepNext w:val="0"/>
              <w:keepLines w:val="0"/>
              <w:suppressLineNumbers w:val="0"/>
              <w:spacing w:before="0" w:beforeAutospacing="0" w:after="0" w:afterAutospacing="0" w:line="240" w:lineRule="auto"/>
              <w:ind w:left="0" w:right="0"/>
              <w:rPr>
                <w:rFonts w:hint="eastAsia"/>
                <w:bCs/>
                <w:sz w:val="21"/>
                <w:szCs w:val="21"/>
                <w:highlight w:val="none"/>
              </w:rPr>
            </w:pPr>
          </w:p>
        </w:tc>
      </w:tr>
      <w:tr w14:paraId="487037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1883" w:type="dxa"/>
            <w:vAlign w:val="center"/>
          </w:tcPr>
          <w:p w14:paraId="0D68A0BD">
            <w:pPr>
              <w:keepNext w:val="0"/>
              <w:keepLines w:val="0"/>
              <w:suppressLineNumbers w:val="0"/>
              <w:spacing w:before="0" w:beforeAutospacing="0" w:after="0" w:afterAutospacing="0" w:line="240" w:lineRule="auto"/>
              <w:ind w:left="0" w:right="0"/>
              <w:rPr>
                <w:rFonts w:hint="eastAsia" w:eastAsia="宋体"/>
                <w:bCs/>
                <w:szCs w:val="24"/>
                <w:highlight w:val="none"/>
                <w:lang w:eastAsia="zh-CN"/>
              </w:rPr>
            </w:pPr>
            <w:r>
              <w:rPr>
                <w:rFonts w:hint="eastAsia"/>
                <w:bCs/>
                <w:szCs w:val="24"/>
                <w:highlight w:val="none"/>
              </w:rPr>
              <w:t>项目地址</w:t>
            </w:r>
            <w:r>
              <w:rPr>
                <w:rFonts w:hint="eastAsia"/>
                <w:bCs/>
                <w:szCs w:val="24"/>
                <w:highlight w:val="none"/>
                <w:lang w:eastAsia="zh-CN"/>
              </w:rPr>
              <w:t>：</w:t>
            </w:r>
          </w:p>
        </w:tc>
        <w:tc>
          <w:tcPr>
            <w:tcW w:w="6636" w:type="dxa"/>
            <w:gridSpan w:val="3"/>
            <w:vAlign w:val="center"/>
          </w:tcPr>
          <w:p w14:paraId="245C12B4">
            <w:pPr>
              <w:keepNext w:val="0"/>
              <w:keepLines w:val="0"/>
              <w:suppressLineNumbers w:val="0"/>
              <w:spacing w:before="0" w:beforeAutospacing="0" w:after="0" w:afterAutospacing="0" w:line="240" w:lineRule="auto"/>
              <w:ind w:left="0" w:right="0"/>
              <w:rPr>
                <w:rFonts w:hint="eastAsia"/>
                <w:bCs/>
                <w:sz w:val="21"/>
                <w:szCs w:val="21"/>
                <w:highlight w:val="none"/>
              </w:rPr>
            </w:pPr>
          </w:p>
        </w:tc>
      </w:tr>
      <w:tr w14:paraId="723033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883" w:type="dxa"/>
            <w:vAlign w:val="center"/>
          </w:tcPr>
          <w:p w14:paraId="73F7CC91">
            <w:pPr>
              <w:keepNext w:val="0"/>
              <w:keepLines w:val="0"/>
              <w:suppressLineNumbers w:val="0"/>
              <w:spacing w:before="0" w:beforeAutospacing="0" w:after="0" w:afterAutospacing="0" w:line="240" w:lineRule="auto"/>
              <w:ind w:left="0" w:right="0"/>
              <w:rPr>
                <w:rFonts w:hint="eastAsia" w:eastAsia="宋体"/>
                <w:bCs/>
                <w:szCs w:val="24"/>
                <w:highlight w:val="none"/>
                <w:lang w:eastAsia="zh-CN"/>
              </w:rPr>
            </w:pPr>
            <w:r>
              <w:rPr>
                <w:rFonts w:hint="eastAsia"/>
                <w:bCs/>
                <w:szCs w:val="24"/>
                <w:highlight w:val="none"/>
              </w:rPr>
              <w:t>评估日期</w:t>
            </w:r>
            <w:r>
              <w:rPr>
                <w:rFonts w:hint="eastAsia"/>
                <w:bCs/>
                <w:szCs w:val="24"/>
                <w:highlight w:val="none"/>
                <w:lang w:eastAsia="zh-CN"/>
              </w:rPr>
              <w:t>：</w:t>
            </w:r>
          </w:p>
        </w:tc>
        <w:tc>
          <w:tcPr>
            <w:tcW w:w="6636" w:type="dxa"/>
            <w:gridSpan w:val="3"/>
            <w:vAlign w:val="center"/>
          </w:tcPr>
          <w:p w14:paraId="31E51FE8">
            <w:pPr>
              <w:keepNext w:val="0"/>
              <w:keepLines w:val="0"/>
              <w:suppressLineNumbers w:val="0"/>
              <w:spacing w:before="0" w:beforeAutospacing="0" w:after="0" w:afterAutospacing="0" w:line="240" w:lineRule="auto"/>
              <w:ind w:left="0" w:right="0"/>
              <w:rPr>
                <w:rFonts w:hint="eastAsia"/>
                <w:bCs/>
                <w:sz w:val="21"/>
                <w:szCs w:val="21"/>
                <w:highlight w:val="none"/>
              </w:rPr>
            </w:pPr>
          </w:p>
        </w:tc>
      </w:tr>
      <w:tr w14:paraId="09D3E0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72" w:hRule="atLeast"/>
          <w:jc w:val="center"/>
        </w:trPr>
        <w:tc>
          <w:tcPr>
            <w:tcW w:w="8519" w:type="dxa"/>
            <w:gridSpan w:val="4"/>
            <w:vAlign w:val="center"/>
          </w:tcPr>
          <w:p w14:paraId="292AE72D">
            <w:pPr>
              <w:keepNext w:val="0"/>
              <w:keepLines w:val="0"/>
              <w:suppressLineNumbers w:val="0"/>
              <w:spacing w:before="0" w:beforeAutospacing="0" w:after="0" w:afterAutospacing="0" w:line="240" w:lineRule="auto"/>
              <w:ind w:left="0" w:right="0"/>
              <w:jc w:val="center"/>
              <w:rPr>
                <w:rFonts w:hint="eastAsia"/>
                <w:bCs/>
                <w:szCs w:val="24"/>
                <w:highlight w:val="none"/>
              </w:rPr>
            </w:pPr>
            <w:r>
              <w:rPr>
                <w:rFonts w:hint="eastAsia"/>
                <w:bCs/>
                <w:szCs w:val="24"/>
                <w:highlight w:val="none"/>
              </w:rPr>
              <w:t>(评估机构)(盖章)</w:t>
            </w:r>
          </w:p>
        </w:tc>
      </w:tr>
      <w:tr w14:paraId="3BE459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1883" w:type="dxa"/>
            <w:vAlign w:val="center"/>
          </w:tcPr>
          <w:p w14:paraId="3E3E48BF">
            <w:pPr>
              <w:keepNext w:val="0"/>
              <w:keepLines w:val="0"/>
              <w:suppressLineNumbers w:val="0"/>
              <w:spacing w:before="0" w:beforeAutospacing="0" w:after="0" w:afterAutospacing="0" w:line="240" w:lineRule="auto"/>
              <w:ind w:left="0" w:right="0"/>
              <w:rPr>
                <w:rFonts w:hint="eastAsia" w:eastAsia="宋体"/>
                <w:bCs/>
                <w:szCs w:val="24"/>
                <w:highlight w:val="none"/>
                <w:lang w:eastAsia="zh-CN"/>
              </w:rPr>
            </w:pPr>
            <w:r>
              <w:rPr>
                <w:rFonts w:hint="eastAsia"/>
                <w:bCs/>
                <w:szCs w:val="24"/>
                <w:highlight w:val="none"/>
                <w:lang w:bidi="ar"/>
              </w:rPr>
              <w:t>评估机构地址</w:t>
            </w:r>
            <w:r>
              <w:rPr>
                <w:rFonts w:hint="eastAsia"/>
                <w:bCs/>
                <w:szCs w:val="24"/>
                <w:highlight w:val="none"/>
                <w:lang w:eastAsia="zh-CN" w:bidi="ar"/>
              </w:rPr>
              <w:t>：</w:t>
            </w:r>
          </w:p>
        </w:tc>
        <w:tc>
          <w:tcPr>
            <w:tcW w:w="6636" w:type="dxa"/>
            <w:gridSpan w:val="3"/>
            <w:vAlign w:val="center"/>
          </w:tcPr>
          <w:p w14:paraId="18238339">
            <w:pPr>
              <w:keepNext w:val="0"/>
              <w:keepLines w:val="0"/>
              <w:suppressLineNumbers w:val="0"/>
              <w:spacing w:before="0" w:beforeAutospacing="0" w:after="0" w:afterAutospacing="0" w:line="240" w:lineRule="auto"/>
              <w:ind w:left="0" w:right="0"/>
              <w:rPr>
                <w:rFonts w:hint="eastAsia"/>
                <w:bCs/>
                <w:sz w:val="21"/>
                <w:szCs w:val="21"/>
                <w:highlight w:val="none"/>
              </w:rPr>
            </w:pPr>
          </w:p>
        </w:tc>
      </w:tr>
      <w:tr w14:paraId="7B5E1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4248" w:type="dxa"/>
            <w:gridSpan w:val="3"/>
            <w:vAlign w:val="center"/>
          </w:tcPr>
          <w:p w14:paraId="14556A0A">
            <w:pPr>
              <w:keepNext w:val="0"/>
              <w:keepLines w:val="0"/>
              <w:suppressLineNumbers w:val="0"/>
              <w:spacing w:before="0" w:beforeAutospacing="0" w:after="0" w:afterAutospacing="0" w:line="240" w:lineRule="auto"/>
              <w:ind w:left="0" w:right="0"/>
              <w:rPr>
                <w:rFonts w:hint="eastAsia" w:eastAsia="宋体"/>
                <w:bCs/>
                <w:szCs w:val="24"/>
                <w:highlight w:val="none"/>
                <w:lang w:eastAsia="zh-CN"/>
              </w:rPr>
            </w:pPr>
            <w:r>
              <w:rPr>
                <w:rFonts w:hint="eastAsia"/>
                <w:bCs/>
                <w:szCs w:val="24"/>
                <w:highlight w:val="none"/>
              </w:rPr>
              <w:t>联系电话</w:t>
            </w:r>
            <w:r>
              <w:rPr>
                <w:rFonts w:hint="eastAsia"/>
                <w:bCs/>
                <w:szCs w:val="24"/>
                <w:highlight w:val="none"/>
                <w:lang w:eastAsia="zh-CN"/>
              </w:rPr>
              <w:t>：</w:t>
            </w:r>
          </w:p>
        </w:tc>
        <w:tc>
          <w:tcPr>
            <w:tcW w:w="4271" w:type="dxa"/>
            <w:vAlign w:val="center"/>
          </w:tcPr>
          <w:p w14:paraId="69E89EC7">
            <w:pPr>
              <w:keepNext w:val="0"/>
              <w:keepLines w:val="0"/>
              <w:suppressLineNumbers w:val="0"/>
              <w:spacing w:before="0" w:beforeAutospacing="0" w:after="0" w:afterAutospacing="0" w:line="240" w:lineRule="auto"/>
              <w:ind w:left="0" w:right="0"/>
              <w:rPr>
                <w:rFonts w:hint="eastAsia" w:eastAsia="宋体"/>
                <w:bCs/>
                <w:sz w:val="21"/>
                <w:szCs w:val="21"/>
                <w:highlight w:val="none"/>
                <w:lang w:eastAsia="zh-CN"/>
              </w:rPr>
            </w:pPr>
            <w:r>
              <w:rPr>
                <w:rFonts w:hint="eastAsia"/>
                <w:bCs/>
                <w:sz w:val="21"/>
                <w:szCs w:val="21"/>
                <w:highlight w:val="none"/>
              </w:rPr>
              <w:t>E-mail</w:t>
            </w:r>
            <w:r>
              <w:rPr>
                <w:rFonts w:hint="eastAsia"/>
                <w:bCs/>
                <w:sz w:val="21"/>
                <w:szCs w:val="21"/>
                <w:highlight w:val="none"/>
                <w:lang w:eastAsia="zh-CN"/>
              </w:rPr>
              <w:t>：</w:t>
            </w:r>
          </w:p>
        </w:tc>
      </w:tr>
      <w:bookmarkEnd w:id="468"/>
    </w:tbl>
    <w:p w14:paraId="3F933C31">
      <w:pPr>
        <w:widowControl/>
        <w:autoSpaceDE/>
        <w:autoSpaceDN/>
        <w:spacing w:line="240" w:lineRule="auto"/>
        <w:rPr>
          <w:rFonts w:hint="eastAsia" w:cs="Times New Roman"/>
          <w:highlight w:val="none"/>
        </w:rPr>
      </w:pPr>
      <w:r>
        <w:rPr>
          <w:rFonts w:hint="eastAsia" w:cs="Times New Roman"/>
          <w:highlight w:val="none"/>
        </w:rPr>
        <w:br w:type="page"/>
      </w:r>
    </w:p>
    <w:p w14:paraId="1C49D707">
      <w:pPr>
        <w:rPr>
          <w:rFonts w:hint="eastAsia" w:cs="Times New Roman"/>
          <w:highlight w:val="none"/>
        </w:rPr>
      </w:pPr>
      <w:bookmarkStart w:id="469" w:name="_Hlk183514482"/>
      <w:r>
        <w:rPr>
          <w:rFonts w:hint="eastAsia" w:ascii="Times New Roman" w:hAnsi="Times New Roman" w:cs="Times New Roman"/>
          <w:b/>
          <w:bCs/>
          <w:highlight w:val="none"/>
        </w:rPr>
        <w:t>B.</w:t>
      </w:r>
      <w:r>
        <w:rPr>
          <w:rFonts w:ascii="Times New Roman" w:hAnsi="Times New Roman" w:cs="Times New Roman"/>
          <w:b/>
          <w:bCs/>
          <w:highlight w:val="none"/>
        </w:rPr>
        <w:t>0.</w:t>
      </w:r>
      <w:r>
        <w:rPr>
          <w:rFonts w:hint="eastAsia" w:ascii="Times New Roman" w:hAnsi="Times New Roman" w:cs="Times New Roman"/>
          <w:b/>
          <w:bCs/>
          <w:highlight w:val="none"/>
        </w:rPr>
        <w:t>2</w:t>
      </w:r>
      <w:r>
        <w:rPr>
          <w:rFonts w:hint="eastAsia" w:ascii="Times New Roman" w:hAnsi="Times New Roman" w:cs="Times New Roman"/>
          <w:highlight w:val="none"/>
        </w:rPr>
        <w:t xml:space="preserve">  </w:t>
      </w:r>
      <w:r>
        <w:rPr>
          <w:rFonts w:hint="eastAsia" w:cs="Times New Roman"/>
          <w:highlight w:val="none"/>
        </w:rPr>
        <w:t>签字页</w:t>
      </w:r>
    </w:p>
    <w:bookmarkEnd w:id="469"/>
    <w:tbl>
      <w:tblPr>
        <w:tblStyle w:val="12"/>
        <w:tblW w:w="4998"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6"/>
        <w:gridCol w:w="1821"/>
        <w:gridCol w:w="1559"/>
        <w:gridCol w:w="2176"/>
        <w:gridCol w:w="2132"/>
        <w:gridCol w:w="105"/>
      </w:tblGrid>
      <w:tr w14:paraId="108BC4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519" w:type="dxa"/>
            <w:gridSpan w:val="6"/>
            <w:tcBorders>
              <w:top w:val="nil"/>
              <w:left w:val="nil"/>
              <w:bottom w:val="nil"/>
              <w:right w:val="nil"/>
            </w:tcBorders>
            <w:vAlign w:val="center"/>
          </w:tcPr>
          <w:p w14:paraId="6AE77A1A">
            <w:pPr>
              <w:keepNext w:val="0"/>
              <w:keepLines w:val="0"/>
              <w:suppressLineNumbers w:val="0"/>
              <w:spacing w:before="0" w:beforeAutospacing="0" w:after="0" w:afterAutospacing="0" w:line="240" w:lineRule="auto"/>
              <w:ind w:left="0" w:right="0"/>
              <w:jc w:val="center"/>
              <w:rPr>
                <w:rFonts w:hint="eastAsia" w:ascii="黑体" w:hAnsi="黑体" w:eastAsia="黑体"/>
                <w:sz w:val="32"/>
                <w:szCs w:val="32"/>
                <w:highlight w:val="none"/>
              </w:rPr>
            </w:pPr>
          </w:p>
          <w:p w14:paraId="0DD0BFDA">
            <w:pPr>
              <w:keepNext w:val="0"/>
              <w:keepLines w:val="0"/>
              <w:suppressLineNumbers w:val="0"/>
              <w:spacing w:before="0" w:beforeAutospacing="0" w:after="0" w:afterAutospacing="0" w:line="240" w:lineRule="auto"/>
              <w:ind w:left="0" w:right="0"/>
              <w:jc w:val="center"/>
              <w:rPr>
                <w:rFonts w:hint="eastAsia" w:ascii="黑体" w:hAnsi="黑体" w:eastAsia="黑体"/>
                <w:sz w:val="32"/>
                <w:szCs w:val="32"/>
                <w:highlight w:val="none"/>
              </w:rPr>
            </w:pPr>
            <w:r>
              <w:rPr>
                <w:rFonts w:hint="eastAsia" w:ascii="黑体" w:hAnsi="黑体" w:eastAsia="黑体"/>
                <w:sz w:val="32"/>
                <w:szCs w:val="32"/>
                <w:highlight w:val="none"/>
              </w:rPr>
              <w:t>建筑消防安全评估报告</w:t>
            </w:r>
          </w:p>
          <w:p w14:paraId="3728BAB6">
            <w:pPr>
              <w:keepNext w:val="0"/>
              <w:keepLines w:val="0"/>
              <w:suppressLineNumbers w:val="0"/>
              <w:spacing w:before="0" w:beforeAutospacing="0" w:after="0" w:afterAutospacing="0" w:line="240" w:lineRule="auto"/>
              <w:ind w:left="0" w:right="0"/>
              <w:jc w:val="right"/>
              <w:rPr>
                <w:rFonts w:hint="eastAsia"/>
                <w:bCs/>
                <w:sz w:val="21"/>
                <w:szCs w:val="21"/>
                <w:highlight w:val="none"/>
              </w:rPr>
            </w:pPr>
          </w:p>
        </w:tc>
      </w:tr>
      <w:tr w14:paraId="27DD9C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79" w:hRule="atLeast"/>
          <w:jc w:val="center"/>
        </w:trPr>
        <w:tc>
          <w:tcPr>
            <w:tcW w:w="8519" w:type="dxa"/>
            <w:gridSpan w:val="6"/>
            <w:tcBorders>
              <w:top w:val="nil"/>
              <w:left w:val="nil"/>
              <w:bottom w:val="nil"/>
              <w:right w:val="nil"/>
            </w:tcBorders>
            <w:vAlign w:val="center"/>
          </w:tcPr>
          <w:p w14:paraId="33E20F28">
            <w:pPr>
              <w:keepNext w:val="0"/>
              <w:keepLines w:val="0"/>
              <w:suppressLineNumbers w:val="0"/>
              <w:spacing w:before="0" w:beforeAutospacing="0" w:after="0" w:afterAutospacing="0" w:line="240" w:lineRule="auto"/>
              <w:ind w:left="0" w:right="0" w:firstLine="1920" w:firstLineChars="800"/>
              <w:rPr>
                <w:rFonts w:hint="eastAsia"/>
                <w:bCs/>
                <w:szCs w:val="24"/>
                <w:highlight w:val="none"/>
              </w:rPr>
            </w:pPr>
            <w:r>
              <w:rPr>
                <w:rFonts w:hint="eastAsia"/>
                <w:bCs/>
                <w:szCs w:val="24"/>
                <w:highlight w:val="none"/>
              </w:rPr>
              <w:t>报告编写人</w:t>
            </w:r>
            <w:r>
              <w:rPr>
                <w:rFonts w:hint="eastAsia"/>
                <w:bCs/>
                <w:szCs w:val="24"/>
                <w:highlight w:val="none"/>
                <w:lang w:eastAsia="zh-CN"/>
              </w:rPr>
              <w:t>：</w:t>
            </w:r>
            <w:r>
              <w:rPr>
                <w:rFonts w:hint="eastAsia"/>
                <w:bCs/>
                <w:szCs w:val="24"/>
                <w:highlight w:val="none"/>
              </w:rPr>
              <w:t xml:space="preserve"> </w:t>
            </w:r>
          </w:p>
          <w:p w14:paraId="211B23E0">
            <w:pPr>
              <w:keepNext w:val="0"/>
              <w:keepLines w:val="0"/>
              <w:suppressLineNumbers w:val="0"/>
              <w:spacing w:before="0" w:beforeAutospacing="0" w:after="0" w:afterAutospacing="0" w:line="240" w:lineRule="auto"/>
              <w:ind w:left="0" w:right="0" w:firstLine="1920" w:firstLineChars="800"/>
              <w:rPr>
                <w:rFonts w:hint="eastAsia" w:eastAsia="宋体"/>
                <w:bCs/>
                <w:szCs w:val="24"/>
                <w:highlight w:val="none"/>
                <w:lang w:eastAsia="zh-CN"/>
              </w:rPr>
            </w:pPr>
            <w:r>
              <w:rPr>
                <w:rFonts w:hint="eastAsia"/>
                <w:bCs/>
                <w:szCs w:val="24"/>
                <w:highlight w:val="none"/>
              </w:rPr>
              <w:t>项目负责人</w:t>
            </w:r>
            <w:r>
              <w:rPr>
                <w:rFonts w:hint="eastAsia"/>
                <w:bCs/>
                <w:szCs w:val="24"/>
                <w:highlight w:val="none"/>
                <w:lang w:eastAsia="zh-CN"/>
              </w:rPr>
              <w:t>：</w:t>
            </w:r>
          </w:p>
          <w:p w14:paraId="5D023DF5">
            <w:pPr>
              <w:keepNext w:val="0"/>
              <w:keepLines w:val="0"/>
              <w:suppressLineNumbers w:val="0"/>
              <w:spacing w:before="0" w:beforeAutospacing="0" w:after="0" w:afterAutospacing="0" w:line="240" w:lineRule="auto"/>
              <w:ind w:left="0" w:right="0" w:firstLine="1920" w:firstLineChars="800"/>
              <w:rPr>
                <w:rFonts w:hint="eastAsia" w:eastAsia="宋体"/>
                <w:bCs/>
                <w:szCs w:val="24"/>
                <w:highlight w:val="none"/>
                <w:lang w:eastAsia="zh-CN"/>
              </w:rPr>
            </w:pPr>
            <w:r>
              <w:rPr>
                <w:rFonts w:hint="eastAsia"/>
                <w:bCs/>
                <w:szCs w:val="24"/>
                <w:highlight w:val="none"/>
              </w:rPr>
              <w:t>报告审核人</w:t>
            </w:r>
            <w:r>
              <w:rPr>
                <w:rFonts w:hint="eastAsia"/>
                <w:bCs/>
                <w:szCs w:val="24"/>
                <w:highlight w:val="none"/>
                <w:lang w:eastAsia="zh-CN"/>
              </w:rPr>
              <w:t>：</w:t>
            </w:r>
          </w:p>
          <w:p w14:paraId="7A7CAF6A">
            <w:pPr>
              <w:keepNext w:val="0"/>
              <w:keepLines w:val="0"/>
              <w:suppressLineNumbers w:val="0"/>
              <w:spacing w:before="0" w:beforeAutospacing="0" w:after="0" w:afterAutospacing="0" w:line="240" w:lineRule="auto"/>
              <w:ind w:left="0" w:right="0" w:firstLine="1920" w:firstLineChars="800"/>
              <w:rPr>
                <w:rFonts w:hint="eastAsia" w:ascii="黑体" w:hAnsi="黑体" w:eastAsia="宋体" w:cs="Times New Roman"/>
                <w:bCs/>
                <w:sz w:val="32"/>
                <w:szCs w:val="32"/>
                <w:highlight w:val="none"/>
                <w:lang w:eastAsia="zh-CN" w:bidi="ar"/>
              </w:rPr>
            </w:pPr>
            <w:r>
              <w:rPr>
                <w:rFonts w:hint="eastAsia"/>
                <w:bCs/>
                <w:szCs w:val="24"/>
                <w:highlight w:val="none"/>
              </w:rPr>
              <w:t>报告批准人</w:t>
            </w:r>
            <w:r>
              <w:rPr>
                <w:rFonts w:hint="eastAsia"/>
                <w:bCs/>
                <w:szCs w:val="24"/>
                <w:highlight w:val="none"/>
                <w:lang w:eastAsia="zh-CN"/>
              </w:rPr>
              <w:t>：</w:t>
            </w:r>
          </w:p>
        </w:tc>
      </w:tr>
      <w:tr w14:paraId="366FD9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4" w:hRule="atLeast"/>
          <w:jc w:val="center"/>
        </w:trPr>
        <w:tc>
          <w:tcPr>
            <w:tcW w:w="8519" w:type="dxa"/>
            <w:gridSpan w:val="6"/>
            <w:tcBorders>
              <w:top w:val="nil"/>
              <w:left w:val="nil"/>
              <w:bottom w:val="single" w:color="auto" w:sz="4" w:space="0"/>
              <w:right w:val="nil"/>
            </w:tcBorders>
            <w:vAlign w:val="center"/>
          </w:tcPr>
          <w:p w14:paraId="60B79612">
            <w:pPr>
              <w:keepNext w:val="0"/>
              <w:keepLines w:val="0"/>
              <w:suppressLineNumbers w:val="0"/>
              <w:spacing w:before="0" w:beforeAutospacing="0" w:after="0" w:afterAutospacing="0" w:line="240" w:lineRule="auto"/>
              <w:ind w:left="0" w:right="0"/>
              <w:rPr>
                <w:rFonts w:hint="eastAsia"/>
                <w:bCs/>
                <w:sz w:val="21"/>
                <w:szCs w:val="21"/>
                <w:highlight w:val="none"/>
              </w:rPr>
            </w:pPr>
            <w:r>
              <w:rPr>
                <w:rFonts w:hint="eastAsia"/>
                <w:bCs/>
                <w:sz w:val="21"/>
                <w:szCs w:val="21"/>
                <w:highlight w:val="none"/>
              </w:rPr>
              <w:t>评估组成员</w:t>
            </w:r>
          </w:p>
        </w:tc>
      </w:tr>
      <w:tr w14:paraId="35DC2A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456" w:hRule="atLeast"/>
          <w:jc w:val="center"/>
        </w:trPr>
        <w:tc>
          <w:tcPr>
            <w:tcW w:w="726" w:type="dxa"/>
            <w:tcBorders>
              <w:top w:val="single" w:color="auto" w:sz="4" w:space="0"/>
              <w:bottom w:val="single" w:color="auto" w:sz="4" w:space="0"/>
              <w:right w:val="single" w:color="auto" w:sz="4" w:space="0"/>
            </w:tcBorders>
            <w:vAlign w:val="center"/>
          </w:tcPr>
          <w:p w14:paraId="3FC88DCF">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序号</w:t>
            </w:r>
          </w:p>
        </w:tc>
        <w:tc>
          <w:tcPr>
            <w:tcW w:w="1821" w:type="dxa"/>
            <w:tcBorders>
              <w:top w:val="single" w:color="auto" w:sz="4" w:space="0"/>
              <w:left w:val="single" w:color="auto" w:sz="4" w:space="0"/>
              <w:bottom w:val="single" w:color="auto" w:sz="4" w:space="0"/>
            </w:tcBorders>
            <w:vAlign w:val="center"/>
          </w:tcPr>
          <w:p w14:paraId="0429A3C6">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姓名</w:t>
            </w:r>
          </w:p>
        </w:tc>
        <w:tc>
          <w:tcPr>
            <w:tcW w:w="1559" w:type="dxa"/>
            <w:tcBorders>
              <w:top w:val="single" w:color="auto" w:sz="4" w:space="0"/>
              <w:left w:val="single" w:color="auto" w:sz="4" w:space="0"/>
              <w:bottom w:val="single" w:color="auto" w:sz="4" w:space="0"/>
            </w:tcBorders>
            <w:vAlign w:val="center"/>
          </w:tcPr>
          <w:p w14:paraId="0F9EB5E8">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职务/职称</w:t>
            </w:r>
          </w:p>
        </w:tc>
        <w:tc>
          <w:tcPr>
            <w:tcW w:w="2176" w:type="dxa"/>
            <w:tcBorders>
              <w:top w:val="single" w:color="auto" w:sz="4" w:space="0"/>
              <w:left w:val="single" w:color="auto" w:sz="4" w:space="0"/>
              <w:bottom w:val="single" w:color="auto" w:sz="4" w:space="0"/>
            </w:tcBorders>
            <w:vAlign w:val="center"/>
          </w:tcPr>
          <w:p w14:paraId="3592A157">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color w:val="000000" w:themeColor="text1"/>
                <w:sz w:val="21"/>
                <w:szCs w:val="21"/>
                <w:highlight w:val="none"/>
                <w:lang w:val="en-US" w:eastAsia="zh-CN"/>
                <w14:textFill>
                  <w14:solidFill>
                    <w14:schemeClr w14:val="tx1"/>
                  </w14:solidFill>
                </w14:textFill>
              </w:rPr>
              <w:t>注册证\</w:t>
            </w:r>
            <w:r>
              <w:rPr>
                <w:rFonts w:hint="eastAsia"/>
                <w:bCs/>
                <w:sz w:val="21"/>
                <w:szCs w:val="21"/>
                <w:highlight w:val="none"/>
              </w:rPr>
              <w:t>证书编号</w:t>
            </w:r>
          </w:p>
        </w:tc>
        <w:tc>
          <w:tcPr>
            <w:tcW w:w="2132" w:type="dxa"/>
            <w:tcBorders>
              <w:top w:val="single" w:color="auto" w:sz="4" w:space="0"/>
              <w:left w:val="single" w:color="auto" w:sz="4" w:space="0"/>
              <w:bottom w:val="single" w:color="auto" w:sz="4" w:space="0"/>
            </w:tcBorders>
            <w:vAlign w:val="center"/>
          </w:tcPr>
          <w:p w14:paraId="0D7530F2">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评估分工</w:t>
            </w:r>
          </w:p>
        </w:tc>
      </w:tr>
      <w:tr w14:paraId="31B0C2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624" w:hRule="atLeast"/>
          <w:jc w:val="center"/>
        </w:trPr>
        <w:tc>
          <w:tcPr>
            <w:tcW w:w="726" w:type="dxa"/>
            <w:tcBorders>
              <w:top w:val="single" w:color="auto" w:sz="4" w:space="0"/>
              <w:bottom w:val="single" w:color="auto" w:sz="4" w:space="0"/>
              <w:right w:val="single" w:color="auto" w:sz="4" w:space="0"/>
            </w:tcBorders>
            <w:vAlign w:val="center"/>
          </w:tcPr>
          <w:p w14:paraId="0AD19167">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1</w:t>
            </w:r>
          </w:p>
        </w:tc>
        <w:tc>
          <w:tcPr>
            <w:tcW w:w="1821" w:type="dxa"/>
            <w:tcBorders>
              <w:top w:val="single" w:color="auto" w:sz="4" w:space="0"/>
              <w:left w:val="single" w:color="auto" w:sz="4" w:space="0"/>
              <w:bottom w:val="single" w:color="auto" w:sz="4" w:space="0"/>
            </w:tcBorders>
            <w:vAlign w:val="center"/>
          </w:tcPr>
          <w:p w14:paraId="3AD237D5">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1559" w:type="dxa"/>
            <w:tcBorders>
              <w:top w:val="single" w:color="auto" w:sz="4" w:space="0"/>
              <w:left w:val="single" w:color="auto" w:sz="4" w:space="0"/>
              <w:bottom w:val="single" w:color="auto" w:sz="4" w:space="0"/>
            </w:tcBorders>
            <w:vAlign w:val="center"/>
          </w:tcPr>
          <w:p w14:paraId="2284D407">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76" w:type="dxa"/>
            <w:tcBorders>
              <w:top w:val="single" w:color="auto" w:sz="4" w:space="0"/>
              <w:left w:val="single" w:color="auto" w:sz="4" w:space="0"/>
              <w:bottom w:val="single" w:color="auto" w:sz="4" w:space="0"/>
            </w:tcBorders>
            <w:vAlign w:val="center"/>
          </w:tcPr>
          <w:p w14:paraId="505BF5AE">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32" w:type="dxa"/>
            <w:tcBorders>
              <w:top w:val="single" w:color="auto" w:sz="4" w:space="0"/>
              <w:left w:val="single" w:color="auto" w:sz="4" w:space="0"/>
              <w:bottom w:val="single" w:color="auto" w:sz="4" w:space="0"/>
            </w:tcBorders>
            <w:vAlign w:val="center"/>
          </w:tcPr>
          <w:p w14:paraId="4DD2DDE3">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r>
      <w:tr w14:paraId="3F2077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571" w:hRule="atLeast"/>
          <w:jc w:val="center"/>
        </w:trPr>
        <w:tc>
          <w:tcPr>
            <w:tcW w:w="726" w:type="dxa"/>
            <w:tcBorders>
              <w:top w:val="single" w:color="auto" w:sz="4" w:space="0"/>
              <w:bottom w:val="single" w:color="auto" w:sz="4" w:space="0"/>
              <w:right w:val="single" w:color="auto" w:sz="4" w:space="0"/>
            </w:tcBorders>
            <w:vAlign w:val="center"/>
          </w:tcPr>
          <w:p w14:paraId="55EC8B9E">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2</w:t>
            </w:r>
          </w:p>
        </w:tc>
        <w:tc>
          <w:tcPr>
            <w:tcW w:w="1821" w:type="dxa"/>
            <w:tcBorders>
              <w:top w:val="single" w:color="auto" w:sz="4" w:space="0"/>
              <w:left w:val="single" w:color="auto" w:sz="4" w:space="0"/>
              <w:bottom w:val="single" w:color="auto" w:sz="4" w:space="0"/>
            </w:tcBorders>
            <w:vAlign w:val="center"/>
          </w:tcPr>
          <w:p w14:paraId="6113AE15">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1559" w:type="dxa"/>
            <w:tcBorders>
              <w:top w:val="single" w:color="auto" w:sz="4" w:space="0"/>
              <w:left w:val="single" w:color="auto" w:sz="4" w:space="0"/>
              <w:bottom w:val="single" w:color="auto" w:sz="4" w:space="0"/>
            </w:tcBorders>
            <w:vAlign w:val="center"/>
          </w:tcPr>
          <w:p w14:paraId="070542DB">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76" w:type="dxa"/>
            <w:tcBorders>
              <w:top w:val="single" w:color="auto" w:sz="4" w:space="0"/>
              <w:left w:val="single" w:color="auto" w:sz="4" w:space="0"/>
              <w:bottom w:val="single" w:color="auto" w:sz="4" w:space="0"/>
            </w:tcBorders>
            <w:vAlign w:val="center"/>
          </w:tcPr>
          <w:p w14:paraId="12CBFEE2">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32" w:type="dxa"/>
            <w:tcBorders>
              <w:top w:val="single" w:color="auto" w:sz="4" w:space="0"/>
              <w:left w:val="single" w:color="auto" w:sz="4" w:space="0"/>
              <w:bottom w:val="single" w:color="auto" w:sz="4" w:space="0"/>
            </w:tcBorders>
            <w:vAlign w:val="center"/>
          </w:tcPr>
          <w:p w14:paraId="332AC32A">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r>
      <w:tr w14:paraId="2360CE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567" w:hRule="atLeast"/>
          <w:jc w:val="center"/>
        </w:trPr>
        <w:tc>
          <w:tcPr>
            <w:tcW w:w="726" w:type="dxa"/>
            <w:tcBorders>
              <w:top w:val="single" w:color="auto" w:sz="4" w:space="0"/>
              <w:bottom w:val="single" w:color="auto" w:sz="4" w:space="0"/>
              <w:right w:val="single" w:color="auto" w:sz="4" w:space="0"/>
            </w:tcBorders>
            <w:vAlign w:val="center"/>
          </w:tcPr>
          <w:p w14:paraId="739AB76F">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3</w:t>
            </w:r>
          </w:p>
        </w:tc>
        <w:tc>
          <w:tcPr>
            <w:tcW w:w="1821" w:type="dxa"/>
            <w:tcBorders>
              <w:top w:val="single" w:color="auto" w:sz="4" w:space="0"/>
              <w:left w:val="single" w:color="auto" w:sz="4" w:space="0"/>
              <w:bottom w:val="single" w:color="auto" w:sz="4" w:space="0"/>
            </w:tcBorders>
            <w:vAlign w:val="center"/>
          </w:tcPr>
          <w:p w14:paraId="0A7DDF23">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1559" w:type="dxa"/>
            <w:tcBorders>
              <w:top w:val="single" w:color="auto" w:sz="4" w:space="0"/>
              <w:left w:val="single" w:color="auto" w:sz="4" w:space="0"/>
              <w:bottom w:val="single" w:color="auto" w:sz="4" w:space="0"/>
            </w:tcBorders>
            <w:vAlign w:val="center"/>
          </w:tcPr>
          <w:p w14:paraId="178CD708">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76" w:type="dxa"/>
            <w:tcBorders>
              <w:top w:val="single" w:color="auto" w:sz="4" w:space="0"/>
              <w:left w:val="single" w:color="auto" w:sz="4" w:space="0"/>
              <w:bottom w:val="single" w:color="auto" w:sz="4" w:space="0"/>
            </w:tcBorders>
            <w:vAlign w:val="center"/>
          </w:tcPr>
          <w:p w14:paraId="6751D429">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32" w:type="dxa"/>
            <w:tcBorders>
              <w:top w:val="single" w:color="auto" w:sz="4" w:space="0"/>
              <w:left w:val="single" w:color="auto" w:sz="4" w:space="0"/>
              <w:bottom w:val="single" w:color="auto" w:sz="4" w:space="0"/>
            </w:tcBorders>
            <w:vAlign w:val="center"/>
          </w:tcPr>
          <w:p w14:paraId="0186218E">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r>
      <w:tr w14:paraId="2F70C1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567" w:hRule="atLeast"/>
          <w:jc w:val="center"/>
        </w:trPr>
        <w:tc>
          <w:tcPr>
            <w:tcW w:w="726" w:type="dxa"/>
            <w:tcBorders>
              <w:top w:val="single" w:color="auto" w:sz="4" w:space="0"/>
              <w:bottom w:val="single" w:color="auto" w:sz="4" w:space="0"/>
              <w:right w:val="single" w:color="auto" w:sz="4" w:space="0"/>
            </w:tcBorders>
            <w:vAlign w:val="center"/>
          </w:tcPr>
          <w:p w14:paraId="18541C1C">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4</w:t>
            </w:r>
          </w:p>
        </w:tc>
        <w:tc>
          <w:tcPr>
            <w:tcW w:w="1821" w:type="dxa"/>
            <w:tcBorders>
              <w:top w:val="single" w:color="auto" w:sz="4" w:space="0"/>
              <w:left w:val="single" w:color="auto" w:sz="4" w:space="0"/>
              <w:bottom w:val="single" w:color="auto" w:sz="4" w:space="0"/>
            </w:tcBorders>
            <w:vAlign w:val="center"/>
          </w:tcPr>
          <w:p w14:paraId="6377410A">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1559" w:type="dxa"/>
            <w:tcBorders>
              <w:top w:val="single" w:color="auto" w:sz="4" w:space="0"/>
              <w:left w:val="single" w:color="auto" w:sz="4" w:space="0"/>
              <w:bottom w:val="single" w:color="auto" w:sz="4" w:space="0"/>
            </w:tcBorders>
            <w:vAlign w:val="center"/>
          </w:tcPr>
          <w:p w14:paraId="3623F1CD">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76" w:type="dxa"/>
            <w:tcBorders>
              <w:top w:val="single" w:color="auto" w:sz="4" w:space="0"/>
              <w:left w:val="single" w:color="auto" w:sz="4" w:space="0"/>
              <w:bottom w:val="single" w:color="auto" w:sz="4" w:space="0"/>
            </w:tcBorders>
            <w:vAlign w:val="center"/>
          </w:tcPr>
          <w:p w14:paraId="56ACD490">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32" w:type="dxa"/>
            <w:tcBorders>
              <w:top w:val="single" w:color="auto" w:sz="4" w:space="0"/>
              <w:left w:val="single" w:color="auto" w:sz="4" w:space="0"/>
              <w:bottom w:val="single" w:color="auto" w:sz="4" w:space="0"/>
            </w:tcBorders>
            <w:vAlign w:val="center"/>
          </w:tcPr>
          <w:p w14:paraId="6FF7A119">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r>
      <w:tr w14:paraId="61E572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05" w:type="dxa"/>
          <w:trHeight w:val="567" w:hRule="atLeast"/>
          <w:jc w:val="center"/>
        </w:trPr>
        <w:tc>
          <w:tcPr>
            <w:tcW w:w="726" w:type="dxa"/>
            <w:tcBorders>
              <w:top w:val="single" w:color="auto" w:sz="4" w:space="0"/>
              <w:bottom w:val="single" w:color="auto" w:sz="4" w:space="0"/>
              <w:right w:val="single" w:color="auto" w:sz="4" w:space="0"/>
            </w:tcBorders>
            <w:vAlign w:val="center"/>
          </w:tcPr>
          <w:p w14:paraId="5FBA0447">
            <w:pPr>
              <w:keepNext w:val="0"/>
              <w:keepLines w:val="0"/>
              <w:suppressLineNumbers w:val="0"/>
              <w:spacing w:before="0" w:beforeAutospacing="0" w:after="0" w:afterAutospacing="0" w:line="240" w:lineRule="auto"/>
              <w:ind w:left="0" w:right="0"/>
              <w:jc w:val="center"/>
              <w:rPr>
                <w:rFonts w:hint="eastAsia"/>
                <w:bCs/>
                <w:sz w:val="21"/>
                <w:szCs w:val="21"/>
                <w:highlight w:val="none"/>
              </w:rPr>
            </w:pPr>
            <w:r>
              <w:rPr>
                <w:rFonts w:hint="eastAsia"/>
                <w:bCs/>
                <w:sz w:val="21"/>
                <w:szCs w:val="21"/>
                <w:highlight w:val="none"/>
              </w:rPr>
              <w:t>5</w:t>
            </w:r>
          </w:p>
        </w:tc>
        <w:tc>
          <w:tcPr>
            <w:tcW w:w="1821" w:type="dxa"/>
            <w:tcBorders>
              <w:top w:val="single" w:color="auto" w:sz="4" w:space="0"/>
              <w:left w:val="single" w:color="auto" w:sz="4" w:space="0"/>
              <w:bottom w:val="single" w:color="auto" w:sz="4" w:space="0"/>
            </w:tcBorders>
            <w:vAlign w:val="center"/>
          </w:tcPr>
          <w:p w14:paraId="3E80BBDB">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1559" w:type="dxa"/>
            <w:tcBorders>
              <w:top w:val="single" w:color="auto" w:sz="4" w:space="0"/>
              <w:left w:val="single" w:color="auto" w:sz="4" w:space="0"/>
              <w:bottom w:val="single" w:color="auto" w:sz="4" w:space="0"/>
            </w:tcBorders>
            <w:vAlign w:val="center"/>
          </w:tcPr>
          <w:p w14:paraId="17AA7361">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76" w:type="dxa"/>
            <w:tcBorders>
              <w:top w:val="single" w:color="auto" w:sz="4" w:space="0"/>
              <w:left w:val="single" w:color="auto" w:sz="4" w:space="0"/>
              <w:bottom w:val="single" w:color="auto" w:sz="4" w:space="0"/>
            </w:tcBorders>
            <w:vAlign w:val="center"/>
          </w:tcPr>
          <w:p w14:paraId="149E3EE1">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c>
          <w:tcPr>
            <w:tcW w:w="2132" w:type="dxa"/>
            <w:tcBorders>
              <w:top w:val="single" w:color="auto" w:sz="4" w:space="0"/>
              <w:left w:val="single" w:color="auto" w:sz="4" w:space="0"/>
              <w:bottom w:val="single" w:color="auto" w:sz="4" w:space="0"/>
            </w:tcBorders>
            <w:vAlign w:val="center"/>
          </w:tcPr>
          <w:p w14:paraId="65098A6E">
            <w:pPr>
              <w:keepNext w:val="0"/>
              <w:keepLines w:val="0"/>
              <w:suppressLineNumbers w:val="0"/>
              <w:spacing w:before="0" w:beforeAutospacing="0" w:after="0" w:afterAutospacing="0" w:line="240" w:lineRule="auto"/>
              <w:ind w:left="0" w:right="0"/>
              <w:jc w:val="center"/>
              <w:rPr>
                <w:rFonts w:hint="eastAsia"/>
                <w:bCs/>
                <w:sz w:val="21"/>
                <w:szCs w:val="21"/>
                <w:highlight w:val="none"/>
              </w:rPr>
            </w:pPr>
          </w:p>
        </w:tc>
      </w:tr>
    </w:tbl>
    <w:p w14:paraId="666F4E90">
      <w:pPr>
        <w:widowControl/>
        <w:autoSpaceDE/>
        <w:autoSpaceDN/>
        <w:spacing w:line="240" w:lineRule="auto"/>
        <w:rPr>
          <w:rFonts w:hint="eastAsia" w:cs="Times New Roman"/>
          <w:highlight w:val="none"/>
        </w:rPr>
      </w:pPr>
      <w:r>
        <w:rPr>
          <w:rFonts w:hint="eastAsia" w:cs="Times New Roman"/>
          <w:highlight w:val="none"/>
        </w:rPr>
        <w:br w:type="page"/>
      </w:r>
    </w:p>
    <w:p w14:paraId="5EE878F2">
      <w:pPr>
        <w:rPr>
          <w:rFonts w:hint="eastAsia" w:cs="Times New Roman"/>
          <w:highlight w:val="none"/>
        </w:rPr>
      </w:pPr>
      <w:r>
        <w:rPr>
          <w:rFonts w:hint="eastAsia" w:ascii="Times New Roman" w:hAnsi="Times New Roman" w:cs="Times New Roman"/>
          <w:b/>
          <w:bCs/>
          <w:highlight w:val="none"/>
        </w:rPr>
        <w:t>B.</w:t>
      </w:r>
      <w:r>
        <w:rPr>
          <w:rFonts w:ascii="Times New Roman" w:hAnsi="Times New Roman" w:cs="Times New Roman"/>
          <w:b/>
          <w:bCs/>
          <w:highlight w:val="none"/>
        </w:rPr>
        <w:t>0.</w:t>
      </w:r>
      <w:r>
        <w:rPr>
          <w:rFonts w:hint="eastAsia" w:ascii="Times New Roman" w:hAnsi="Times New Roman" w:cs="Times New Roman"/>
          <w:b/>
          <w:bCs/>
          <w:highlight w:val="none"/>
        </w:rPr>
        <w:t>2</w:t>
      </w:r>
      <w:r>
        <w:rPr>
          <w:rFonts w:hint="eastAsia" w:ascii="Times New Roman" w:hAnsi="Times New Roman" w:cs="Times New Roman"/>
          <w:highlight w:val="none"/>
        </w:rPr>
        <w:t xml:space="preserve">  </w:t>
      </w:r>
      <w:r>
        <w:rPr>
          <w:rFonts w:hint="eastAsia" w:cs="Times New Roman"/>
          <w:highlight w:val="none"/>
        </w:rPr>
        <w:t>检查设备</w:t>
      </w:r>
    </w:p>
    <w:tbl>
      <w:tblPr>
        <w:tblStyle w:val="12"/>
        <w:tblW w:w="5000" w:type="pct"/>
        <w:jc w:val="center"/>
        <w:tblLayout w:type="fixed"/>
        <w:tblCellMar>
          <w:top w:w="0" w:type="dxa"/>
          <w:left w:w="108" w:type="dxa"/>
          <w:bottom w:w="0" w:type="dxa"/>
          <w:right w:w="108" w:type="dxa"/>
        </w:tblCellMar>
      </w:tblPr>
      <w:tblGrid>
        <w:gridCol w:w="813"/>
        <w:gridCol w:w="1297"/>
        <w:gridCol w:w="1873"/>
        <w:gridCol w:w="2792"/>
        <w:gridCol w:w="1747"/>
      </w:tblGrid>
      <w:tr w14:paraId="390729DA">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7E14C473">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序号</w:t>
            </w:r>
          </w:p>
        </w:tc>
        <w:tc>
          <w:tcPr>
            <w:tcW w:w="1297" w:type="dxa"/>
            <w:tcBorders>
              <w:top w:val="single" w:color="000000" w:sz="4" w:space="0"/>
              <w:left w:val="single" w:color="000000" w:sz="4" w:space="0"/>
              <w:bottom w:val="single" w:color="000000" w:sz="4" w:space="0"/>
              <w:right w:val="single" w:color="000000" w:sz="4" w:space="0"/>
            </w:tcBorders>
            <w:vAlign w:val="center"/>
          </w:tcPr>
          <w:p w14:paraId="4654B14E">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设备名称</w:t>
            </w:r>
          </w:p>
        </w:tc>
        <w:tc>
          <w:tcPr>
            <w:tcW w:w="1873" w:type="dxa"/>
            <w:tcBorders>
              <w:top w:val="single" w:color="000000" w:sz="4" w:space="0"/>
              <w:left w:val="single" w:color="000000" w:sz="4" w:space="0"/>
              <w:bottom w:val="single" w:color="000000" w:sz="4" w:space="0"/>
              <w:right w:val="single" w:color="000000" w:sz="4" w:space="0"/>
            </w:tcBorders>
            <w:vAlign w:val="center"/>
          </w:tcPr>
          <w:p w14:paraId="2A42A971">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设备编号</w:t>
            </w:r>
          </w:p>
        </w:tc>
        <w:tc>
          <w:tcPr>
            <w:tcW w:w="2792" w:type="dxa"/>
            <w:tcBorders>
              <w:top w:val="single" w:color="000000" w:sz="4" w:space="0"/>
              <w:left w:val="single" w:color="000000" w:sz="4" w:space="0"/>
              <w:bottom w:val="single" w:color="000000" w:sz="4" w:space="0"/>
              <w:right w:val="single" w:color="000000" w:sz="4" w:space="0"/>
            </w:tcBorders>
            <w:vAlign w:val="center"/>
          </w:tcPr>
          <w:p w14:paraId="55B7C40F">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检定/校准证书编号</w:t>
            </w:r>
          </w:p>
        </w:tc>
        <w:tc>
          <w:tcPr>
            <w:tcW w:w="1747" w:type="dxa"/>
            <w:tcBorders>
              <w:top w:val="single" w:color="000000" w:sz="4" w:space="0"/>
              <w:left w:val="single" w:color="000000" w:sz="4" w:space="0"/>
              <w:bottom w:val="single" w:color="000000" w:sz="4" w:space="0"/>
              <w:right w:val="single" w:color="000000" w:sz="4" w:space="0"/>
            </w:tcBorders>
            <w:vAlign w:val="center"/>
          </w:tcPr>
          <w:p w14:paraId="2B17A1CA">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有效期</w:t>
            </w:r>
          </w:p>
        </w:tc>
      </w:tr>
      <w:tr w14:paraId="29BBABEC">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2CB5DF53">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w:t>
            </w:r>
          </w:p>
        </w:tc>
        <w:tc>
          <w:tcPr>
            <w:tcW w:w="1297" w:type="dxa"/>
            <w:tcBorders>
              <w:top w:val="single" w:color="000000" w:sz="4" w:space="0"/>
              <w:left w:val="single" w:color="000000" w:sz="4" w:space="0"/>
              <w:bottom w:val="single" w:color="000000" w:sz="4" w:space="0"/>
              <w:right w:val="single" w:color="000000" w:sz="4" w:space="0"/>
            </w:tcBorders>
            <w:vAlign w:val="center"/>
          </w:tcPr>
          <w:p w14:paraId="5915BE14">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6B1C648E">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5F2AD14E">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6FEF785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3FFBC802">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07A40293">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w:t>
            </w:r>
          </w:p>
        </w:tc>
        <w:tc>
          <w:tcPr>
            <w:tcW w:w="1297" w:type="dxa"/>
            <w:tcBorders>
              <w:top w:val="single" w:color="000000" w:sz="4" w:space="0"/>
              <w:left w:val="single" w:color="000000" w:sz="4" w:space="0"/>
              <w:bottom w:val="single" w:color="000000" w:sz="4" w:space="0"/>
              <w:right w:val="single" w:color="000000" w:sz="4" w:space="0"/>
            </w:tcBorders>
            <w:vAlign w:val="center"/>
          </w:tcPr>
          <w:p w14:paraId="44263074">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5193D1CB">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6B3A4680">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2B9278DF">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4634B198">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6D9F2CD8">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3</w:t>
            </w:r>
          </w:p>
        </w:tc>
        <w:tc>
          <w:tcPr>
            <w:tcW w:w="1297" w:type="dxa"/>
            <w:tcBorders>
              <w:top w:val="single" w:color="000000" w:sz="4" w:space="0"/>
              <w:left w:val="single" w:color="000000" w:sz="4" w:space="0"/>
              <w:bottom w:val="single" w:color="000000" w:sz="4" w:space="0"/>
              <w:right w:val="single" w:color="000000" w:sz="4" w:space="0"/>
            </w:tcBorders>
            <w:vAlign w:val="center"/>
          </w:tcPr>
          <w:p w14:paraId="1EC185C8">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3CC53DFA">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4755204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08D2285F">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62EF1497">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156D3BAD">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4</w:t>
            </w:r>
          </w:p>
        </w:tc>
        <w:tc>
          <w:tcPr>
            <w:tcW w:w="1297" w:type="dxa"/>
            <w:tcBorders>
              <w:top w:val="single" w:color="000000" w:sz="4" w:space="0"/>
              <w:left w:val="single" w:color="000000" w:sz="4" w:space="0"/>
              <w:bottom w:val="single" w:color="000000" w:sz="4" w:space="0"/>
              <w:right w:val="single" w:color="000000" w:sz="4" w:space="0"/>
            </w:tcBorders>
            <w:vAlign w:val="center"/>
          </w:tcPr>
          <w:p w14:paraId="573D435D">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1D1F9FD9">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40FA8026">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7C5BA07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47D0FEB4">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58E82B9D">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5</w:t>
            </w:r>
          </w:p>
        </w:tc>
        <w:tc>
          <w:tcPr>
            <w:tcW w:w="1297" w:type="dxa"/>
            <w:tcBorders>
              <w:top w:val="single" w:color="000000" w:sz="4" w:space="0"/>
              <w:left w:val="single" w:color="000000" w:sz="4" w:space="0"/>
              <w:bottom w:val="single" w:color="000000" w:sz="4" w:space="0"/>
              <w:right w:val="single" w:color="000000" w:sz="4" w:space="0"/>
            </w:tcBorders>
            <w:vAlign w:val="center"/>
          </w:tcPr>
          <w:p w14:paraId="5690B732">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01D2A52A">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3508022A">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5620DE33">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359357F2">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5901B63F">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6</w:t>
            </w:r>
          </w:p>
        </w:tc>
        <w:tc>
          <w:tcPr>
            <w:tcW w:w="1297" w:type="dxa"/>
            <w:tcBorders>
              <w:top w:val="single" w:color="000000" w:sz="4" w:space="0"/>
              <w:left w:val="single" w:color="000000" w:sz="4" w:space="0"/>
              <w:bottom w:val="single" w:color="000000" w:sz="4" w:space="0"/>
              <w:right w:val="single" w:color="000000" w:sz="4" w:space="0"/>
            </w:tcBorders>
            <w:vAlign w:val="center"/>
          </w:tcPr>
          <w:p w14:paraId="6CABC26D">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2D7C3FE5">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2510CCBF">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3EFF8BC2">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2E61131C">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73DF5528">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7</w:t>
            </w:r>
          </w:p>
        </w:tc>
        <w:tc>
          <w:tcPr>
            <w:tcW w:w="1297" w:type="dxa"/>
            <w:tcBorders>
              <w:top w:val="single" w:color="000000" w:sz="4" w:space="0"/>
              <w:left w:val="single" w:color="000000" w:sz="4" w:space="0"/>
              <w:bottom w:val="single" w:color="000000" w:sz="4" w:space="0"/>
              <w:right w:val="single" w:color="000000" w:sz="4" w:space="0"/>
            </w:tcBorders>
            <w:vAlign w:val="center"/>
          </w:tcPr>
          <w:p w14:paraId="1FD0BF0A">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14DD12FA">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7CD337D9">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045663CF">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0B385219">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77F586BA">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8</w:t>
            </w:r>
          </w:p>
        </w:tc>
        <w:tc>
          <w:tcPr>
            <w:tcW w:w="1297" w:type="dxa"/>
            <w:tcBorders>
              <w:top w:val="single" w:color="000000" w:sz="4" w:space="0"/>
              <w:left w:val="single" w:color="000000" w:sz="4" w:space="0"/>
              <w:bottom w:val="single" w:color="000000" w:sz="4" w:space="0"/>
              <w:right w:val="single" w:color="000000" w:sz="4" w:space="0"/>
            </w:tcBorders>
            <w:vAlign w:val="center"/>
          </w:tcPr>
          <w:p w14:paraId="654E85B8">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5E7B8EA9">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16FBFA0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6B1EEF5F">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79BE911E">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602E9694">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9</w:t>
            </w:r>
          </w:p>
        </w:tc>
        <w:tc>
          <w:tcPr>
            <w:tcW w:w="1297" w:type="dxa"/>
            <w:tcBorders>
              <w:top w:val="single" w:color="000000" w:sz="4" w:space="0"/>
              <w:left w:val="single" w:color="000000" w:sz="4" w:space="0"/>
              <w:bottom w:val="single" w:color="000000" w:sz="4" w:space="0"/>
              <w:right w:val="single" w:color="000000" w:sz="4" w:space="0"/>
            </w:tcBorders>
            <w:vAlign w:val="center"/>
          </w:tcPr>
          <w:p w14:paraId="0E151EFE">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2C16D45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41C7E11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188AE4B3">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77CD78DC">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7133A74D">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10</w:t>
            </w:r>
          </w:p>
        </w:tc>
        <w:tc>
          <w:tcPr>
            <w:tcW w:w="1297" w:type="dxa"/>
            <w:tcBorders>
              <w:top w:val="single" w:color="000000" w:sz="4" w:space="0"/>
              <w:left w:val="single" w:color="000000" w:sz="4" w:space="0"/>
              <w:bottom w:val="single" w:color="000000" w:sz="4" w:space="0"/>
              <w:right w:val="single" w:color="000000" w:sz="4" w:space="0"/>
            </w:tcBorders>
            <w:vAlign w:val="center"/>
          </w:tcPr>
          <w:p w14:paraId="3A996FA6">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0B1A73C7">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097F221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31F9741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6CE7F871">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1C539B61">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11</w:t>
            </w:r>
          </w:p>
        </w:tc>
        <w:tc>
          <w:tcPr>
            <w:tcW w:w="1297" w:type="dxa"/>
            <w:tcBorders>
              <w:top w:val="single" w:color="000000" w:sz="4" w:space="0"/>
              <w:left w:val="single" w:color="000000" w:sz="4" w:space="0"/>
              <w:bottom w:val="single" w:color="000000" w:sz="4" w:space="0"/>
              <w:right w:val="single" w:color="000000" w:sz="4" w:space="0"/>
            </w:tcBorders>
            <w:vAlign w:val="center"/>
          </w:tcPr>
          <w:p w14:paraId="21D7C0E3">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7969DB25">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642F88C4">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144872B8">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5DB749AD">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4DDFD376">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12</w:t>
            </w:r>
          </w:p>
        </w:tc>
        <w:tc>
          <w:tcPr>
            <w:tcW w:w="1297" w:type="dxa"/>
            <w:tcBorders>
              <w:top w:val="single" w:color="000000" w:sz="4" w:space="0"/>
              <w:left w:val="single" w:color="000000" w:sz="4" w:space="0"/>
              <w:bottom w:val="single" w:color="000000" w:sz="4" w:space="0"/>
              <w:right w:val="single" w:color="000000" w:sz="4" w:space="0"/>
            </w:tcBorders>
            <w:vAlign w:val="center"/>
          </w:tcPr>
          <w:p w14:paraId="1F516FBE">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3EC88AAC">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52A2777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2BDAACF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2CA1FC61">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621FE6E8">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13</w:t>
            </w:r>
          </w:p>
        </w:tc>
        <w:tc>
          <w:tcPr>
            <w:tcW w:w="1297" w:type="dxa"/>
            <w:tcBorders>
              <w:top w:val="single" w:color="000000" w:sz="4" w:space="0"/>
              <w:left w:val="single" w:color="000000" w:sz="4" w:space="0"/>
              <w:bottom w:val="single" w:color="000000" w:sz="4" w:space="0"/>
              <w:right w:val="single" w:color="000000" w:sz="4" w:space="0"/>
            </w:tcBorders>
            <w:vAlign w:val="center"/>
          </w:tcPr>
          <w:p w14:paraId="61585467">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744B8690">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2AFDBCC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0D653B4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5BF739BF">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3A9208FC">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14</w:t>
            </w:r>
          </w:p>
        </w:tc>
        <w:tc>
          <w:tcPr>
            <w:tcW w:w="1297" w:type="dxa"/>
            <w:tcBorders>
              <w:top w:val="single" w:color="000000" w:sz="4" w:space="0"/>
              <w:left w:val="single" w:color="000000" w:sz="4" w:space="0"/>
              <w:bottom w:val="single" w:color="000000" w:sz="4" w:space="0"/>
              <w:right w:val="single" w:color="000000" w:sz="4" w:space="0"/>
            </w:tcBorders>
            <w:vAlign w:val="center"/>
          </w:tcPr>
          <w:p w14:paraId="3152C634">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7820FA39">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431A76B2">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1914F2CB">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1C0B6621">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4E552B23">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15</w:t>
            </w:r>
          </w:p>
        </w:tc>
        <w:tc>
          <w:tcPr>
            <w:tcW w:w="1297" w:type="dxa"/>
            <w:tcBorders>
              <w:top w:val="single" w:color="000000" w:sz="4" w:space="0"/>
              <w:left w:val="single" w:color="000000" w:sz="4" w:space="0"/>
              <w:bottom w:val="single" w:color="000000" w:sz="4" w:space="0"/>
              <w:right w:val="single" w:color="000000" w:sz="4" w:space="0"/>
            </w:tcBorders>
            <w:vAlign w:val="center"/>
          </w:tcPr>
          <w:p w14:paraId="00BEE23A">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189228A6">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72ECC1B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21857F5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7EE2E08E">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115B4C7C">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16</w:t>
            </w:r>
          </w:p>
        </w:tc>
        <w:tc>
          <w:tcPr>
            <w:tcW w:w="1297" w:type="dxa"/>
            <w:tcBorders>
              <w:top w:val="single" w:color="000000" w:sz="4" w:space="0"/>
              <w:left w:val="single" w:color="000000" w:sz="4" w:space="0"/>
              <w:bottom w:val="single" w:color="000000" w:sz="4" w:space="0"/>
              <w:right w:val="single" w:color="000000" w:sz="4" w:space="0"/>
            </w:tcBorders>
            <w:vAlign w:val="center"/>
          </w:tcPr>
          <w:p w14:paraId="73C1468A">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293D1C12">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61EB73B8">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5B505779">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6C3DC55E">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7C23E9A5">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17</w:t>
            </w:r>
          </w:p>
        </w:tc>
        <w:tc>
          <w:tcPr>
            <w:tcW w:w="1297" w:type="dxa"/>
            <w:tcBorders>
              <w:top w:val="single" w:color="000000" w:sz="4" w:space="0"/>
              <w:left w:val="single" w:color="000000" w:sz="4" w:space="0"/>
              <w:bottom w:val="single" w:color="000000" w:sz="4" w:space="0"/>
              <w:right w:val="single" w:color="000000" w:sz="4" w:space="0"/>
            </w:tcBorders>
            <w:vAlign w:val="center"/>
          </w:tcPr>
          <w:p w14:paraId="5C39C909">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03A94456">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58546C2B">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1E3839F7">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64E3458F">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5CA32749">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18</w:t>
            </w:r>
          </w:p>
        </w:tc>
        <w:tc>
          <w:tcPr>
            <w:tcW w:w="1297" w:type="dxa"/>
            <w:tcBorders>
              <w:top w:val="single" w:color="000000" w:sz="4" w:space="0"/>
              <w:left w:val="single" w:color="000000" w:sz="4" w:space="0"/>
              <w:bottom w:val="single" w:color="000000" w:sz="4" w:space="0"/>
              <w:right w:val="single" w:color="000000" w:sz="4" w:space="0"/>
            </w:tcBorders>
            <w:vAlign w:val="center"/>
          </w:tcPr>
          <w:p w14:paraId="15524BEB">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24FBA765">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03B23B89">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5EDCEF79">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54D2258D">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413D3C6D">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19</w:t>
            </w:r>
          </w:p>
        </w:tc>
        <w:tc>
          <w:tcPr>
            <w:tcW w:w="1297" w:type="dxa"/>
            <w:tcBorders>
              <w:top w:val="single" w:color="000000" w:sz="4" w:space="0"/>
              <w:left w:val="single" w:color="000000" w:sz="4" w:space="0"/>
              <w:bottom w:val="single" w:color="000000" w:sz="4" w:space="0"/>
              <w:right w:val="single" w:color="000000" w:sz="4" w:space="0"/>
            </w:tcBorders>
            <w:vAlign w:val="center"/>
          </w:tcPr>
          <w:p w14:paraId="040B7520">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0F2238E4">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74CB9B7A">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4368C0A3">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690420A9">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29CBA03E">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20</w:t>
            </w:r>
          </w:p>
        </w:tc>
        <w:tc>
          <w:tcPr>
            <w:tcW w:w="1297" w:type="dxa"/>
            <w:tcBorders>
              <w:top w:val="single" w:color="000000" w:sz="4" w:space="0"/>
              <w:left w:val="single" w:color="000000" w:sz="4" w:space="0"/>
              <w:bottom w:val="single" w:color="000000" w:sz="4" w:space="0"/>
              <w:right w:val="single" w:color="000000" w:sz="4" w:space="0"/>
            </w:tcBorders>
            <w:vAlign w:val="center"/>
          </w:tcPr>
          <w:p w14:paraId="2EDD55DC">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7BBB0A37">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37A2B578">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44C0873E">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6ED89728">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10B7B4FD">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21</w:t>
            </w:r>
          </w:p>
        </w:tc>
        <w:tc>
          <w:tcPr>
            <w:tcW w:w="1297" w:type="dxa"/>
            <w:tcBorders>
              <w:top w:val="single" w:color="000000" w:sz="4" w:space="0"/>
              <w:left w:val="single" w:color="000000" w:sz="4" w:space="0"/>
              <w:bottom w:val="single" w:color="000000" w:sz="4" w:space="0"/>
              <w:right w:val="single" w:color="000000" w:sz="4" w:space="0"/>
            </w:tcBorders>
            <w:vAlign w:val="center"/>
          </w:tcPr>
          <w:p w14:paraId="79C60B46">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5BAC36B3">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51AD67CE">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32915CDA">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7F6CB4D6">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1B0AC890">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22</w:t>
            </w:r>
          </w:p>
        </w:tc>
        <w:tc>
          <w:tcPr>
            <w:tcW w:w="1297" w:type="dxa"/>
            <w:tcBorders>
              <w:top w:val="single" w:color="000000" w:sz="4" w:space="0"/>
              <w:left w:val="single" w:color="000000" w:sz="4" w:space="0"/>
              <w:bottom w:val="single" w:color="000000" w:sz="4" w:space="0"/>
              <w:right w:val="single" w:color="000000" w:sz="4" w:space="0"/>
            </w:tcBorders>
            <w:vAlign w:val="center"/>
          </w:tcPr>
          <w:p w14:paraId="13C46C2C">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024E14C2">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724D6606">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254777C5">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774C271E">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53BD192B">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23</w:t>
            </w:r>
          </w:p>
        </w:tc>
        <w:tc>
          <w:tcPr>
            <w:tcW w:w="1297" w:type="dxa"/>
            <w:tcBorders>
              <w:top w:val="single" w:color="000000" w:sz="4" w:space="0"/>
              <w:left w:val="single" w:color="000000" w:sz="4" w:space="0"/>
              <w:bottom w:val="single" w:color="000000" w:sz="4" w:space="0"/>
              <w:right w:val="single" w:color="000000" w:sz="4" w:space="0"/>
            </w:tcBorders>
            <w:vAlign w:val="center"/>
          </w:tcPr>
          <w:p w14:paraId="19966DD0">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300EED84">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2B7C7344">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66A6A1A3">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24563F83">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4F481980">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24</w:t>
            </w:r>
          </w:p>
        </w:tc>
        <w:tc>
          <w:tcPr>
            <w:tcW w:w="1297" w:type="dxa"/>
            <w:tcBorders>
              <w:top w:val="single" w:color="000000" w:sz="4" w:space="0"/>
              <w:left w:val="single" w:color="000000" w:sz="4" w:space="0"/>
              <w:bottom w:val="single" w:color="000000" w:sz="4" w:space="0"/>
              <w:right w:val="single" w:color="000000" w:sz="4" w:space="0"/>
            </w:tcBorders>
            <w:vAlign w:val="center"/>
          </w:tcPr>
          <w:p w14:paraId="19DEBEB8">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48E54E5E">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3738C1BC">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23FFFB0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54951A21">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795E539F">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25</w:t>
            </w:r>
          </w:p>
        </w:tc>
        <w:tc>
          <w:tcPr>
            <w:tcW w:w="1297" w:type="dxa"/>
            <w:tcBorders>
              <w:top w:val="single" w:color="000000" w:sz="4" w:space="0"/>
              <w:left w:val="single" w:color="000000" w:sz="4" w:space="0"/>
              <w:bottom w:val="single" w:color="000000" w:sz="4" w:space="0"/>
              <w:right w:val="single" w:color="000000" w:sz="4" w:space="0"/>
            </w:tcBorders>
            <w:vAlign w:val="center"/>
          </w:tcPr>
          <w:p w14:paraId="3BC7C95D">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34A24A0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6923CF04">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1AAA77E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4DF37986">
        <w:tblPrEx>
          <w:tblCellMar>
            <w:top w:w="0" w:type="dxa"/>
            <w:left w:w="108" w:type="dxa"/>
            <w:bottom w:w="0" w:type="dxa"/>
            <w:right w:w="108" w:type="dxa"/>
          </w:tblCellMar>
        </w:tblPrEx>
        <w:trPr>
          <w:trHeight w:val="454" w:hRule="atLeast"/>
          <w:jc w:val="center"/>
        </w:trPr>
        <w:tc>
          <w:tcPr>
            <w:tcW w:w="813" w:type="dxa"/>
            <w:tcBorders>
              <w:top w:val="single" w:color="000000" w:sz="4" w:space="0"/>
              <w:left w:val="single" w:color="000000" w:sz="4" w:space="0"/>
              <w:bottom w:val="single" w:color="000000" w:sz="4" w:space="0"/>
              <w:right w:val="single" w:color="000000" w:sz="4" w:space="0"/>
            </w:tcBorders>
            <w:vAlign w:val="center"/>
          </w:tcPr>
          <w:p w14:paraId="15D6087B">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26</w:t>
            </w:r>
          </w:p>
        </w:tc>
        <w:tc>
          <w:tcPr>
            <w:tcW w:w="1297" w:type="dxa"/>
            <w:tcBorders>
              <w:top w:val="single" w:color="000000" w:sz="4" w:space="0"/>
              <w:left w:val="single" w:color="000000" w:sz="4" w:space="0"/>
              <w:bottom w:val="single" w:color="000000" w:sz="4" w:space="0"/>
              <w:right w:val="single" w:color="000000" w:sz="4" w:space="0"/>
            </w:tcBorders>
            <w:vAlign w:val="center"/>
          </w:tcPr>
          <w:p w14:paraId="56E633B7">
            <w:pPr>
              <w:keepNext w:val="0"/>
              <w:keepLines w:val="0"/>
              <w:widowControl/>
              <w:suppressLineNumbers w:val="0"/>
              <w:autoSpaceDE/>
              <w:autoSpaceDN/>
              <w:spacing w:before="0" w:beforeAutospacing="0" w:after="0" w:afterAutospacing="0" w:line="240" w:lineRule="auto"/>
              <w:ind w:left="0" w:right="0"/>
              <w:jc w:val="right"/>
              <w:rPr>
                <w:rFonts w:hint="eastAsia"/>
                <w:color w:val="000000"/>
                <w:kern w:val="0"/>
                <w:szCs w:val="24"/>
                <w:highlight w:val="none"/>
              </w:rPr>
            </w:pPr>
          </w:p>
        </w:tc>
        <w:tc>
          <w:tcPr>
            <w:tcW w:w="1873" w:type="dxa"/>
            <w:tcBorders>
              <w:top w:val="single" w:color="000000" w:sz="4" w:space="0"/>
              <w:left w:val="single" w:color="000000" w:sz="4" w:space="0"/>
              <w:bottom w:val="single" w:color="000000" w:sz="4" w:space="0"/>
              <w:right w:val="single" w:color="000000" w:sz="4" w:space="0"/>
            </w:tcBorders>
            <w:vAlign w:val="center"/>
          </w:tcPr>
          <w:p w14:paraId="1A4747D2">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2792" w:type="dxa"/>
            <w:tcBorders>
              <w:top w:val="single" w:color="000000" w:sz="4" w:space="0"/>
              <w:left w:val="single" w:color="000000" w:sz="4" w:space="0"/>
              <w:bottom w:val="single" w:color="000000" w:sz="4" w:space="0"/>
              <w:right w:val="single" w:color="000000" w:sz="4" w:space="0"/>
            </w:tcBorders>
            <w:vAlign w:val="center"/>
          </w:tcPr>
          <w:p w14:paraId="48F7C258">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c>
          <w:tcPr>
            <w:tcW w:w="1747" w:type="dxa"/>
            <w:tcBorders>
              <w:top w:val="single" w:color="000000" w:sz="4" w:space="0"/>
              <w:left w:val="single" w:color="000000" w:sz="4" w:space="0"/>
              <w:bottom w:val="single" w:color="000000" w:sz="4" w:space="0"/>
              <w:right w:val="single" w:color="000000" w:sz="4" w:space="0"/>
            </w:tcBorders>
            <w:vAlign w:val="center"/>
          </w:tcPr>
          <w:p w14:paraId="2B7F656F">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bl>
    <w:p w14:paraId="7DB71C35">
      <w:pPr>
        <w:widowControl/>
        <w:autoSpaceDE/>
        <w:autoSpaceDN/>
        <w:spacing w:line="240" w:lineRule="auto"/>
        <w:rPr>
          <w:rFonts w:hint="eastAsia" w:cs="Times New Roman"/>
          <w:highlight w:val="none"/>
        </w:rPr>
      </w:pPr>
      <w:r>
        <w:rPr>
          <w:rFonts w:hint="eastAsia" w:cs="Times New Roman"/>
          <w:highlight w:val="none"/>
        </w:rPr>
        <w:br w:type="page"/>
      </w:r>
    </w:p>
    <w:p w14:paraId="054EC618">
      <w:pPr>
        <w:rPr>
          <w:rFonts w:hint="eastAsia" w:cs="Times New Roman"/>
          <w:highlight w:val="none"/>
        </w:rPr>
      </w:pPr>
      <w:bookmarkStart w:id="470" w:name="OLE_LINK26"/>
      <w:r>
        <w:rPr>
          <w:rFonts w:hint="eastAsia" w:ascii="Times New Roman" w:hAnsi="Times New Roman" w:cs="Times New Roman"/>
          <w:b/>
          <w:bCs/>
          <w:highlight w:val="none"/>
        </w:rPr>
        <w:t>B.</w:t>
      </w:r>
      <w:r>
        <w:rPr>
          <w:rFonts w:ascii="Times New Roman" w:hAnsi="Times New Roman" w:cs="Times New Roman"/>
          <w:b/>
          <w:bCs/>
          <w:highlight w:val="none"/>
        </w:rPr>
        <w:t>0.</w:t>
      </w:r>
      <w:r>
        <w:rPr>
          <w:rFonts w:hint="eastAsia" w:ascii="Times New Roman" w:hAnsi="Times New Roman" w:cs="Times New Roman"/>
          <w:b/>
          <w:bCs/>
          <w:highlight w:val="none"/>
        </w:rPr>
        <w:t>2</w:t>
      </w:r>
      <w:r>
        <w:rPr>
          <w:rFonts w:hint="eastAsia" w:ascii="Times New Roman" w:hAnsi="Times New Roman" w:cs="Times New Roman"/>
          <w:highlight w:val="none"/>
        </w:rPr>
        <w:t xml:space="preserve">  </w:t>
      </w:r>
      <w:r>
        <w:rPr>
          <w:rFonts w:hint="eastAsia" w:cs="Times New Roman"/>
          <w:highlight w:val="none"/>
        </w:rPr>
        <w:t>报告首页</w:t>
      </w:r>
    </w:p>
    <w:bookmarkEnd w:id="470"/>
    <w:p w14:paraId="53C4FF42">
      <w:pPr>
        <w:rPr>
          <w:rFonts w:hint="eastAsia" w:cs="Times New Roman"/>
          <w:highlight w:val="none"/>
        </w:rPr>
      </w:pPr>
    </w:p>
    <w:tbl>
      <w:tblPr>
        <w:tblStyle w:val="12"/>
        <w:tblW w:w="8799" w:type="dxa"/>
        <w:tblInd w:w="0" w:type="dxa"/>
        <w:tblLayout w:type="fixed"/>
        <w:tblCellMar>
          <w:top w:w="0" w:type="dxa"/>
          <w:left w:w="108" w:type="dxa"/>
          <w:bottom w:w="0" w:type="dxa"/>
          <w:right w:w="108" w:type="dxa"/>
        </w:tblCellMar>
      </w:tblPr>
      <w:tblGrid>
        <w:gridCol w:w="1907"/>
        <w:gridCol w:w="2424"/>
        <w:gridCol w:w="2345"/>
        <w:gridCol w:w="1901"/>
        <w:gridCol w:w="222"/>
      </w:tblGrid>
      <w:tr w14:paraId="64935C5D">
        <w:tblPrEx>
          <w:tblCellMar>
            <w:top w:w="0" w:type="dxa"/>
            <w:left w:w="108" w:type="dxa"/>
            <w:bottom w:w="0" w:type="dxa"/>
            <w:right w:w="108" w:type="dxa"/>
          </w:tblCellMar>
        </w:tblPrEx>
        <w:trPr>
          <w:trHeight w:val="766" w:hRule="atLeast"/>
        </w:trPr>
        <w:tc>
          <w:tcPr>
            <w:tcW w:w="8799" w:type="dxa"/>
            <w:gridSpan w:val="5"/>
            <w:tcBorders>
              <w:top w:val="nil"/>
              <w:left w:val="nil"/>
              <w:bottom w:val="single" w:color="auto" w:sz="4" w:space="0"/>
              <w:right w:val="nil"/>
            </w:tcBorders>
            <w:vAlign w:val="center"/>
          </w:tcPr>
          <w:p w14:paraId="376DACFD">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 w:val="22"/>
                <w:szCs w:val="22"/>
                <w:highlight w:val="none"/>
              </w:rPr>
            </w:pPr>
            <w:r>
              <w:rPr>
                <w:rFonts w:hint="eastAsia" w:ascii="黑体" w:hAnsi="黑体" w:eastAsia="黑体"/>
                <w:sz w:val="32"/>
                <w:szCs w:val="32"/>
                <w:highlight w:val="none"/>
              </w:rPr>
              <w:t>消防安全评估报告</w:t>
            </w:r>
          </w:p>
        </w:tc>
      </w:tr>
      <w:tr w14:paraId="2957C723">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61CC5D15">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委托单位</w:t>
            </w:r>
          </w:p>
        </w:tc>
        <w:tc>
          <w:tcPr>
            <w:tcW w:w="2424" w:type="dxa"/>
            <w:tcBorders>
              <w:top w:val="single" w:color="auto" w:sz="4" w:space="0"/>
              <w:left w:val="single" w:color="auto" w:sz="4" w:space="0"/>
              <w:bottom w:val="single" w:color="auto" w:sz="4" w:space="0"/>
              <w:right w:val="single" w:color="auto" w:sz="4" w:space="0"/>
            </w:tcBorders>
            <w:vAlign w:val="center"/>
          </w:tcPr>
          <w:p w14:paraId="3F0F3D43">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345" w:type="dxa"/>
            <w:tcBorders>
              <w:top w:val="single" w:color="auto" w:sz="4" w:space="0"/>
              <w:left w:val="single" w:color="auto" w:sz="4" w:space="0"/>
              <w:bottom w:val="single" w:color="auto" w:sz="4" w:space="0"/>
              <w:right w:val="single" w:color="auto" w:sz="4" w:space="0"/>
            </w:tcBorders>
            <w:vAlign w:val="center"/>
          </w:tcPr>
          <w:p w14:paraId="10E74153">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联系人</w:t>
            </w:r>
          </w:p>
        </w:tc>
        <w:tc>
          <w:tcPr>
            <w:tcW w:w="1901" w:type="dxa"/>
            <w:tcBorders>
              <w:top w:val="single" w:color="auto" w:sz="4" w:space="0"/>
              <w:left w:val="single" w:color="auto" w:sz="4" w:space="0"/>
              <w:bottom w:val="single" w:color="auto" w:sz="4" w:space="0"/>
              <w:right w:val="single" w:color="auto" w:sz="4" w:space="0"/>
            </w:tcBorders>
            <w:vAlign w:val="center"/>
          </w:tcPr>
          <w:p w14:paraId="069DA3B6">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22" w:type="dxa"/>
            <w:tcBorders>
              <w:top w:val="single" w:color="auto" w:sz="4" w:space="0"/>
              <w:left w:val="single" w:color="auto" w:sz="4" w:space="0"/>
              <w:bottom w:val="single" w:color="auto" w:sz="4" w:space="0"/>
              <w:right w:val="single" w:color="auto" w:sz="4" w:space="0"/>
            </w:tcBorders>
            <w:vAlign w:val="center"/>
          </w:tcPr>
          <w:p w14:paraId="38B4DC01">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4FE2ECFC">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17D31988">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地址</w:t>
            </w:r>
          </w:p>
        </w:tc>
        <w:tc>
          <w:tcPr>
            <w:tcW w:w="2424" w:type="dxa"/>
            <w:tcBorders>
              <w:top w:val="single" w:color="auto" w:sz="4" w:space="0"/>
              <w:left w:val="single" w:color="auto" w:sz="4" w:space="0"/>
              <w:bottom w:val="single" w:color="auto" w:sz="4" w:space="0"/>
              <w:right w:val="single" w:color="auto" w:sz="4" w:space="0"/>
            </w:tcBorders>
            <w:vAlign w:val="center"/>
          </w:tcPr>
          <w:p w14:paraId="6911344A">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345" w:type="dxa"/>
            <w:tcBorders>
              <w:top w:val="single" w:color="auto" w:sz="4" w:space="0"/>
              <w:left w:val="single" w:color="auto" w:sz="4" w:space="0"/>
              <w:bottom w:val="single" w:color="auto" w:sz="4" w:space="0"/>
              <w:right w:val="single" w:color="auto" w:sz="4" w:space="0"/>
            </w:tcBorders>
            <w:vAlign w:val="center"/>
          </w:tcPr>
          <w:p w14:paraId="7A9EF814">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联系电话</w:t>
            </w:r>
          </w:p>
        </w:tc>
        <w:tc>
          <w:tcPr>
            <w:tcW w:w="1901" w:type="dxa"/>
            <w:tcBorders>
              <w:top w:val="single" w:color="auto" w:sz="4" w:space="0"/>
              <w:left w:val="single" w:color="auto" w:sz="4" w:space="0"/>
              <w:bottom w:val="single" w:color="auto" w:sz="4" w:space="0"/>
              <w:right w:val="single" w:color="auto" w:sz="4" w:space="0"/>
            </w:tcBorders>
            <w:vAlign w:val="center"/>
          </w:tcPr>
          <w:p w14:paraId="56A39B31">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22" w:type="dxa"/>
            <w:tcBorders>
              <w:top w:val="single" w:color="auto" w:sz="4" w:space="0"/>
              <w:left w:val="single" w:color="auto" w:sz="4" w:space="0"/>
              <w:bottom w:val="single" w:color="auto" w:sz="4" w:space="0"/>
              <w:right w:val="single" w:color="auto" w:sz="4" w:space="0"/>
            </w:tcBorders>
            <w:vAlign w:val="center"/>
          </w:tcPr>
          <w:p w14:paraId="174086B5">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0DAD00F0">
        <w:tblPrEx>
          <w:tblCellMar>
            <w:top w:w="0" w:type="dxa"/>
            <w:left w:w="108" w:type="dxa"/>
            <w:bottom w:w="0" w:type="dxa"/>
            <w:right w:w="108" w:type="dxa"/>
          </w:tblCellMar>
        </w:tblPrEx>
        <w:trPr>
          <w:trHeight w:val="567"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14:paraId="05501599">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评估项目信息</w:t>
            </w:r>
          </w:p>
        </w:tc>
        <w:tc>
          <w:tcPr>
            <w:tcW w:w="222" w:type="dxa"/>
            <w:tcBorders>
              <w:top w:val="single" w:color="auto" w:sz="4" w:space="0"/>
              <w:left w:val="single" w:color="auto" w:sz="4" w:space="0"/>
              <w:bottom w:val="single" w:color="auto" w:sz="4" w:space="0"/>
              <w:right w:val="single" w:color="auto" w:sz="4" w:space="0"/>
            </w:tcBorders>
            <w:vAlign w:val="center"/>
          </w:tcPr>
          <w:p w14:paraId="11C62AED">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p>
        </w:tc>
      </w:tr>
      <w:tr w14:paraId="22D66CCE">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02D69C7E">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项目名称</w:t>
            </w:r>
          </w:p>
        </w:tc>
        <w:tc>
          <w:tcPr>
            <w:tcW w:w="6892" w:type="dxa"/>
            <w:gridSpan w:val="4"/>
            <w:tcBorders>
              <w:top w:val="single" w:color="auto" w:sz="4" w:space="0"/>
              <w:left w:val="single" w:color="auto" w:sz="4" w:space="0"/>
              <w:bottom w:val="single" w:color="auto" w:sz="4" w:space="0"/>
              <w:right w:val="single" w:color="auto" w:sz="4" w:space="0"/>
            </w:tcBorders>
            <w:vAlign w:val="center"/>
          </w:tcPr>
          <w:p w14:paraId="6132BD86">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r>
      <w:tr w14:paraId="6D3F47FE">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00AC4667">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项目地址</w:t>
            </w:r>
          </w:p>
        </w:tc>
        <w:tc>
          <w:tcPr>
            <w:tcW w:w="6892" w:type="dxa"/>
            <w:gridSpan w:val="4"/>
            <w:tcBorders>
              <w:top w:val="single" w:color="auto" w:sz="4" w:space="0"/>
              <w:left w:val="single" w:color="auto" w:sz="4" w:space="0"/>
              <w:bottom w:val="single" w:color="auto" w:sz="4" w:space="0"/>
              <w:right w:val="single" w:color="auto" w:sz="4" w:space="0"/>
            </w:tcBorders>
            <w:vAlign w:val="center"/>
          </w:tcPr>
          <w:p w14:paraId="613D19F2">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r>
      <w:tr w14:paraId="30941F0F">
        <w:tblPrEx>
          <w:tblCellMar>
            <w:top w:w="0" w:type="dxa"/>
            <w:left w:w="108" w:type="dxa"/>
            <w:bottom w:w="0" w:type="dxa"/>
            <w:right w:w="108" w:type="dxa"/>
          </w:tblCellMar>
        </w:tblPrEx>
        <w:trPr>
          <w:trHeight w:val="2337" w:hRule="atLeast"/>
        </w:trPr>
        <w:tc>
          <w:tcPr>
            <w:tcW w:w="1907" w:type="dxa"/>
            <w:tcBorders>
              <w:top w:val="single" w:color="auto" w:sz="4" w:space="0"/>
              <w:left w:val="single" w:color="auto" w:sz="4" w:space="0"/>
              <w:bottom w:val="single" w:color="auto" w:sz="4" w:space="0"/>
              <w:right w:val="single" w:color="auto" w:sz="4" w:space="0"/>
            </w:tcBorders>
            <w:vAlign w:val="center"/>
          </w:tcPr>
          <w:p w14:paraId="34F4909A">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建筑基本信息</w:t>
            </w:r>
          </w:p>
        </w:tc>
        <w:tc>
          <w:tcPr>
            <w:tcW w:w="6892" w:type="dxa"/>
            <w:gridSpan w:val="4"/>
            <w:tcBorders>
              <w:top w:val="single" w:color="auto" w:sz="4" w:space="0"/>
              <w:left w:val="single" w:color="auto" w:sz="4" w:space="0"/>
              <w:bottom w:val="single" w:color="auto" w:sz="4" w:space="0"/>
              <w:right w:val="single" w:color="auto" w:sz="4" w:space="0"/>
            </w:tcBorders>
            <w:vAlign w:val="center"/>
          </w:tcPr>
          <w:p w14:paraId="5AEDA898">
            <w:pPr>
              <w:keepNext w:val="0"/>
              <w:keepLines w:val="0"/>
              <w:widowControl/>
              <w:suppressLineNumbers w:val="0"/>
              <w:autoSpaceDE/>
              <w:autoSpaceDN/>
              <w:spacing w:before="0" w:beforeAutospacing="0" w:after="0" w:afterAutospacing="0" w:line="240" w:lineRule="auto"/>
              <w:ind w:left="0" w:right="0"/>
              <w:jc w:val="left"/>
              <w:rPr>
                <w:rFonts w:hint="eastAsia"/>
                <w:color w:val="000000"/>
                <w:kern w:val="0"/>
                <w:szCs w:val="24"/>
                <w:highlight w:val="none"/>
              </w:rPr>
            </w:pPr>
            <w:r>
              <w:rPr>
                <w:rFonts w:hint="eastAsia"/>
                <w:color w:val="000000"/>
                <w:kern w:val="0"/>
                <w:szCs w:val="24"/>
                <w:highlight w:val="none"/>
              </w:rPr>
              <w:t>包含评估范围内各单体建筑的性质、高度、层数、面积和其他必要信息。</w:t>
            </w:r>
          </w:p>
        </w:tc>
      </w:tr>
      <w:tr w14:paraId="4585C73C">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7AD1E01A">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管理单位</w:t>
            </w:r>
          </w:p>
        </w:tc>
        <w:tc>
          <w:tcPr>
            <w:tcW w:w="6892" w:type="dxa"/>
            <w:gridSpan w:val="4"/>
            <w:tcBorders>
              <w:top w:val="single" w:color="auto" w:sz="4" w:space="0"/>
              <w:left w:val="single" w:color="auto" w:sz="4" w:space="0"/>
              <w:bottom w:val="single" w:color="auto" w:sz="4" w:space="0"/>
              <w:right w:val="single" w:color="auto" w:sz="4" w:space="0"/>
            </w:tcBorders>
            <w:vAlign w:val="center"/>
          </w:tcPr>
          <w:p w14:paraId="0B02A8AB">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r>
      <w:tr w14:paraId="3226EBC1">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0BDAF771">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维保单位</w:t>
            </w:r>
          </w:p>
        </w:tc>
        <w:tc>
          <w:tcPr>
            <w:tcW w:w="6892" w:type="dxa"/>
            <w:gridSpan w:val="4"/>
            <w:tcBorders>
              <w:top w:val="single" w:color="auto" w:sz="4" w:space="0"/>
              <w:left w:val="single" w:color="auto" w:sz="4" w:space="0"/>
              <w:bottom w:val="single" w:color="auto" w:sz="4" w:space="0"/>
              <w:right w:val="single" w:color="auto" w:sz="4" w:space="0"/>
            </w:tcBorders>
            <w:vAlign w:val="center"/>
          </w:tcPr>
          <w:p w14:paraId="53E11421">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r>
      <w:tr w14:paraId="53646ACB">
        <w:tblPrEx>
          <w:tblCellMar>
            <w:top w:w="0" w:type="dxa"/>
            <w:left w:w="108" w:type="dxa"/>
            <w:bottom w:w="0" w:type="dxa"/>
            <w:right w:w="108" w:type="dxa"/>
          </w:tblCellMar>
        </w:tblPrEx>
        <w:trPr>
          <w:trHeight w:val="567"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14:paraId="5ED164B7">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评估结论</w:t>
            </w:r>
          </w:p>
        </w:tc>
        <w:tc>
          <w:tcPr>
            <w:tcW w:w="222" w:type="dxa"/>
            <w:tcBorders>
              <w:top w:val="single" w:color="auto" w:sz="4" w:space="0"/>
              <w:left w:val="single" w:color="auto" w:sz="4" w:space="0"/>
              <w:bottom w:val="single" w:color="auto" w:sz="4" w:space="0"/>
              <w:right w:val="single" w:color="auto" w:sz="4" w:space="0"/>
            </w:tcBorders>
            <w:vAlign w:val="center"/>
          </w:tcPr>
          <w:p w14:paraId="6A89BAF6">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p>
        </w:tc>
      </w:tr>
      <w:tr w14:paraId="7A164DA3">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2C598719">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综合评定得分</w:t>
            </w:r>
          </w:p>
        </w:tc>
        <w:tc>
          <w:tcPr>
            <w:tcW w:w="2424" w:type="dxa"/>
            <w:tcBorders>
              <w:top w:val="single" w:color="auto" w:sz="4" w:space="0"/>
              <w:left w:val="single" w:color="auto" w:sz="4" w:space="0"/>
              <w:bottom w:val="single" w:color="auto" w:sz="4" w:space="0"/>
              <w:right w:val="single" w:color="auto" w:sz="4" w:space="0"/>
            </w:tcBorders>
            <w:vAlign w:val="center"/>
          </w:tcPr>
          <w:p w14:paraId="068D23D7">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345" w:type="dxa"/>
            <w:tcBorders>
              <w:top w:val="single" w:color="auto" w:sz="4" w:space="0"/>
              <w:left w:val="single" w:color="auto" w:sz="4" w:space="0"/>
              <w:bottom w:val="single" w:color="auto" w:sz="4" w:space="0"/>
              <w:right w:val="single" w:color="auto" w:sz="4" w:space="0"/>
            </w:tcBorders>
            <w:vAlign w:val="center"/>
          </w:tcPr>
          <w:p w14:paraId="23BB9971">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消防安全等级</w:t>
            </w:r>
          </w:p>
        </w:tc>
        <w:tc>
          <w:tcPr>
            <w:tcW w:w="1901" w:type="dxa"/>
            <w:tcBorders>
              <w:top w:val="single" w:color="auto" w:sz="4" w:space="0"/>
              <w:left w:val="single" w:color="auto" w:sz="4" w:space="0"/>
              <w:bottom w:val="single" w:color="auto" w:sz="4" w:space="0"/>
              <w:right w:val="single" w:color="auto" w:sz="4" w:space="0"/>
            </w:tcBorders>
            <w:vAlign w:val="center"/>
          </w:tcPr>
          <w:p w14:paraId="54066B01">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22" w:type="dxa"/>
            <w:tcBorders>
              <w:top w:val="single" w:color="auto" w:sz="4" w:space="0"/>
              <w:left w:val="single" w:color="auto" w:sz="4" w:space="0"/>
              <w:bottom w:val="single" w:color="auto" w:sz="4" w:space="0"/>
              <w:right w:val="single" w:color="auto" w:sz="4" w:space="0"/>
            </w:tcBorders>
            <w:vAlign w:val="center"/>
          </w:tcPr>
          <w:p w14:paraId="1AC62E16">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13DAB5AB">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3A566A4C">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评估情况说明</w:t>
            </w:r>
          </w:p>
        </w:tc>
        <w:tc>
          <w:tcPr>
            <w:tcW w:w="6892" w:type="dxa"/>
            <w:gridSpan w:val="4"/>
            <w:tcBorders>
              <w:top w:val="single" w:color="auto" w:sz="4" w:space="0"/>
              <w:left w:val="single" w:color="auto" w:sz="4" w:space="0"/>
              <w:bottom w:val="single" w:color="auto" w:sz="4" w:space="0"/>
              <w:right w:val="single" w:color="auto" w:sz="4" w:space="0"/>
            </w:tcBorders>
            <w:vAlign w:val="center"/>
          </w:tcPr>
          <w:p w14:paraId="77375308">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r>
      <w:tr w14:paraId="47BDE963">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4FAEB712">
            <w:pPr>
              <w:keepNext w:val="0"/>
              <w:keepLines w:val="0"/>
              <w:widowControl/>
              <w:suppressLineNumbers w:val="0"/>
              <w:autoSpaceDE/>
              <w:autoSpaceDN/>
              <w:spacing w:before="0" w:beforeAutospacing="0" w:after="0" w:afterAutospacing="0" w:line="240" w:lineRule="auto"/>
              <w:ind w:left="0" w:right="0"/>
              <w:jc w:val="center"/>
              <w:rPr>
                <w:rFonts w:hint="default" w:ascii="Times New Roman" w:hAnsi="Times New Roman" w:eastAsia="Times New Roman" w:cs="Times New Roman"/>
                <w:kern w:val="0"/>
                <w:szCs w:val="24"/>
                <w:highlight w:val="none"/>
              </w:rPr>
            </w:pPr>
          </w:p>
        </w:tc>
        <w:tc>
          <w:tcPr>
            <w:tcW w:w="6892" w:type="dxa"/>
            <w:gridSpan w:val="4"/>
            <w:tcBorders>
              <w:top w:val="single" w:color="auto" w:sz="4" w:space="0"/>
              <w:left w:val="single" w:color="auto" w:sz="4" w:space="0"/>
              <w:bottom w:val="single" w:color="auto" w:sz="4" w:space="0"/>
              <w:right w:val="single" w:color="auto" w:sz="4" w:space="0"/>
            </w:tcBorders>
            <w:vAlign w:val="center"/>
          </w:tcPr>
          <w:p w14:paraId="5929438C">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综合评定得分与消防安全等级的对应关系</w:t>
            </w:r>
          </w:p>
        </w:tc>
      </w:tr>
      <w:tr w14:paraId="746E9591">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7FD77E51">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综合评定得分</w:t>
            </w:r>
          </w:p>
        </w:tc>
        <w:tc>
          <w:tcPr>
            <w:tcW w:w="6670" w:type="dxa"/>
            <w:gridSpan w:val="3"/>
            <w:tcBorders>
              <w:top w:val="single" w:color="auto" w:sz="4" w:space="0"/>
              <w:left w:val="single" w:color="auto" w:sz="4" w:space="0"/>
              <w:bottom w:val="single" w:color="auto" w:sz="4" w:space="0"/>
              <w:right w:val="single" w:color="auto" w:sz="4" w:space="0"/>
            </w:tcBorders>
            <w:vAlign w:val="center"/>
          </w:tcPr>
          <w:p w14:paraId="313ADFC0">
            <w:pPr>
              <w:keepNext w:val="0"/>
              <w:keepLines w:val="0"/>
              <w:widowControl/>
              <w:suppressLineNumbers w:val="0"/>
              <w:autoSpaceDE/>
              <w:autoSpaceDN/>
              <w:spacing w:before="0" w:beforeAutospacing="0" w:after="0" w:afterAutospacing="0" w:line="240" w:lineRule="auto"/>
              <w:ind w:left="0" w:right="0"/>
              <w:rPr>
                <w:rFonts w:hint="eastAsia"/>
                <w:color w:val="FF0000"/>
                <w:kern w:val="0"/>
                <w:szCs w:val="24"/>
                <w:highlight w:val="none"/>
              </w:rPr>
            </w:pPr>
          </w:p>
        </w:tc>
        <w:tc>
          <w:tcPr>
            <w:tcW w:w="222" w:type="dxa"/>
            <w:tcBorders>
              <w:top w:val="single" w:color="auto" w:sz="4" w:space="0"/>
              <w:left w:val="single" w:color="auto" w:sz="4" w:space="0"/>
              <w:bottom w:val="single" w:color="auto" w:sz="4" w:space="0"/>
              <w:right w:val="single" w:color="auto" w:sz="4" w:space="0"/>
            </w:tcBorders>
            <w:vAlign w:val="center"/>
          </w:tcPr>
          <w:p w14:paraId="1C68E60C">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r>
      <w:tr w14:paraId="11A4CB0C">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2709E453">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消防安全等级</w:t>
            </w:r>
          </w:p>
        </w:tc>
        <w:tc>
          <w:tcPr>
            <w:tcW w:w="2424" w:type="dxa"/>
            <w:tcBorders>
              <w:top w:val="single" w:color="auto" w:sz="4" w:space="0"/>
              <w:left w:val="single" w:color="auto" w:sz="4" w:space="0"/>
              <w:bottom w:val="single" w:color="auto" w:sz="4" w:space="0"/>
              <w:right w:val="single" w:color="auto" w:sz="4" w:space="0"/>
            </w:tcBorders>
            <w:vAlign w:val="center"/>
          </w:tcPr>
          <w:p w14:paraId="63136ECD">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良好</w:t>
            </w:r>
          </w:p>
        </w:tc>
        <w:tc>
          <w:tcPr>
            <w:tcW w:w="2345" w:type="dxa"/>
            <w:tcBorders>
              <w:top w:val="single" w:color="auto" w:sz="4" w:space="0"/>
              <w:left w:val="single" w:color="auto" w:sz="4" w:space="0"/>
              <w:bottom w:val="single" w:color="auto" w:sz="4" w:space="0"/>
              <w:right w:val="single" w:color="auto" w:sz="4" w:space="0"/>
            </w:tcBorders>
            <w:vAlign w:val="center"/>
          </w:tcPr>
          <w:p w14:paraId="01B704F2">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一般</w:t>
            </w:r>
          </w:p>
        </w:tc>
        <w:tc>
          <w:tcPr>
            <w:tcW w:w="1901" w:type="dxa"/>
            <w:tcBorders>
              <w:top w:val="single" w:color="auto" w:sz="4" w:space="0"/>
              <w:left w:val="single" w:color="auto" w:sz="4" w:space="0"/>
              <w:bottom w:val="single" w:color="auto" w:sz="4" w:space="0"/>
              <w:right w:val="single" w:color="auto" w:sz="4" w:space="0"/>
            </w:tcBorders>
            <w:vAlign w:val="center"/>
          </w:tcPr>
          <w:p w14:paraId="3AABBFD8">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不合格</w:t>
            </w:r>
          </w:p>
        </w:tc>
        <w:tc>
          <w:tcPr>
            <w:tcW w:w="222" w:type="dxa"/>
            <w:tcBorders>
              <w:top w:val="single" w:color="auto" w:sz="4" w:space="0"/>
              <w:left w:val="single" w:color="auto" w:sz="4" w:space="0"/>
              <w:bottom w:val="single" w:color="auto" w:sz="4" w:space="0"/>
              <w:right w:val="single" w:color="auto" w:sz="4" w:space="0"/>
            </w:tcBorders>
            <w:vAlign w:val="center"/>
          </w:tcPr>
          <w:p w14:paraId="41AC05CB">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r>
      <w:tr w14:paraId="1E9CC1E2">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0200D79C">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编写人：</w:t>
            </w:r>
          </w:p>
        </w:tc>
        <w:tc>
          <w:tcPr>
            <w:tcW w:w="2424" w:type="dxa"/>
            <w:tcBorders>
              <w:top w:val="single" w:color="auto" w:sz="4" w:space="0"/>
              <w:left w:val="single" w:color="auto" w:sz="4" w:space="0"/>
              <w:bottom w:val="single" w:color="auto" w:sz="4" w:space="0"/>
              <w:right w:val="single" w:color="auto" w:sz="4" w:space="0"/>
            </w:tcBorders>
            <w:vAlign w:val="center"/>
          </w:tcPr>
          <w:p w14:paraId="3D079D1B">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345" w:type="dxa"/>
            <w:tcBorders>
              <w:top w:val="single" w:color="auto" w:sz="4" w:space="0"/>
              <w:left w:val="single" w:color="auto" w:sz="4" w:space="0"/>
              <w:bottom w:val="single" w:color="auto" w:sz="4" w:space="0"/>
              <w:right w:val="single" w:color="auto" w:sz="4" w:space="0"/>
            </w:tcBorders>
            <w:vAlign w:val="center"/>
          </w:tcPr>
          <w:p w14:paraId="153771DE">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审核人</w:t>
            </w:r>
          </w:p>
        </w:tc>
        <w:tc>
          <w:tcPr>
            <w:tcW w:w="1901" w:type="dxa"/>
            <w:tcBorders>
              <w:top w:val="single" w:color="auto" w:sz="4" w:space="0"/>
              <w:left w:val="single" w:color="auto" w:sz="4" w:space="0"/>
              <w:bottom w:val="single" w:color="auto" w:sz="4" w:space="0"/>
              <w:right w:val="single" w:color="auto" w:sz="4" w:space="0"/>
            </w:tcBorders>
            <w:vAlign w:val="center"/>
          </w:tcPr>
          <w:p w14:paraId="43BD7856">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22" w:type="dxa"/>
            <w:tcBorders>
              <w:top w:val="single" w:color="auto" w:sz="4" w:space="0"/>
              <w:left w:val="single" w:color="auto" w:sz="4" w:space="0"/>
              <w:bottom w:val="single" w:color="auto" w:sz="4" w:space="0"/>
              <w:right w:val="single" w:color="auto" w:sz="4" w:space="0"/>
            </w:tcBorders>
            <w:vAlign w:val="center"/>
          </w:tcPr>
          <w:p w14:paraId="509869E7">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729C9A27">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3ECF4A18">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项目负责人：</w:t>
            </w:r>
          </w:p>
        </w:tc>
        <w:tc>
          <w:tcPr>
            <w:tcW w:w="2424" w:type="dxa"/>
            <w:tcBorders>
              <w:top w:val="single" w:color="auto" w:sz="4" w:space="0"/>
              <w:left w:val="single" w:color="auto" w:sz="4" w:space="0"/>
              <w:bottom w:val="single" w:color="auto" w:sz="4" w:space="0"/>
              <w:right w:val="single" w:color="auto" w:sz="4" w:space="0"/>
            </w:tcBorders>
            <w:vAlign w:val="center"/>
          </w:tcPr>
          <w:p w14:paraId="063ED8CC">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345" w:type="dxa"/>
            <w:tcBorders>
              <w:top w:val="single" w:color="auto" w:sz="4" w:space="0"/>
              <w:left w:val="single" w:color="auto" w:sz="4" w:space="0"/>
              <w:bottom w:val="single" w:color="auto" w:sz="4" w:space="0"/>
              <w:right w:val="single" w:color="auto" w:sz="4" w:space="0"/>
            </w:tcBorders>
            <w:vAlign w:val="center"/>
          </w:tcPr>
          <w:p w14:paraId="19E9EB36">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lang w:val="en-US" w:eastAsia="zh-CN"/>
              </w:rPr>
              <w:t>技术负责人</w:t>
            </w:r>
            <w:r>
              <w:rPr>
                <w:rFonts w:hint="eastAsia"/>
                <w:color w:val="000000"/>
                <w:kern w:val="0"/>
                <w:szCs w:val="24"/>
                <w:highlight w:val="none"/>
              </w:rPr>
              <w:t>：</w:t>
            </w:r>
          </w:p>
        </w:tc>
        <w:tc>
          <w:tcPr>
            <w:tcW w:w="1901" w:type="dxa"/>
            <w:tcBorders>
              <w:top w:val="single" w:color="auto" w:sz="4" w:space="0"/>
              <w:left w:val="single" w:color="auto" w:sz="4" w:space="0"/>
              <w:bottom w:val="single" w:color="auto" w:sz="4" w:space="0"/>
              <w:right w:val="single" w:color="auto" w:sz="4" w:space="0"/>
            </w:tcBorders>
            <w:vAlign w:val="center"/>
          </w:tcPr>
          <w:p w14:paraId="6009D064">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p>
        </w:tc>
        <w:tc>
          <w:tcPr>
            <w:tcW w:w="222" w:type="dxa"/>
            <w:tcBorders>
              <w:top w:val="single" w:color="auto" w:sz="4" w:space="0"/>
              <w:left w:val="single" w:color="auto" w:sz="4" w:space="0"/>
              <w:bottom w:val="single" w:color="auto" w:sz="4" w:space="0"/>
              <w:right w:val="single" w:color="auto" w:sz="4" w:space="0"/>
            </w:tcBorders>
            <w:vAlign w:val="center"/>
          </w:tcPr>
          <w:p w14:paraId="2685B8CD">
            <w:pPr>
              <w:keepNext w:val="0"/>
              <w:keepLines w:val="0"/>
              <w:widowControl/>
              <w:suppressLineNumbers w:val="0"/>
              <w:autoSpaceDE/>
              <w:autoSpaceDN/>
              <w:spacing w:before="0" w:beforeAutospacing="0" w:after="0" w:afterAutospacing="0" w:line="240" w:lineRule="auto"/>
              <w:ind w:left="0" w:right="0"/>
              <w:rPr>
                <w:rFonts w:hint="default" w:ascii="Times New Roman" w:hAnsi="Times New Roman" w:eastAsia="Times New Roman" w:cs="Times New Roman"/>
                <w:kern w:val="0"/>
                <w:szCs w:val="24"/>
                <w:highlight w:val="none"/>
              </w:rPr>
            </w:pPr>
          </w:p>
        </w:tc>
      </w:tr>
      <w:tr w14:paraId="3E5A602B">
        <w:tblPrEx>
          <w:tblCellMar>
            <w:top w:w="0" w:type="dxa"/>
            <w:left w:w="108" w:type="dxa"/>
            <w:bottom w:w="0" w:type="dxa"/>
            <w:right w:w="108" w:type="dxa"/>
          </w:tblCellMar>
        </w:tblPrEx>
        <w:trPr>
          <w:trHeight w:val="567" w:hRule="atLeast"/>
        </w:trPr>
        <w:tc>
          <w:tcPr>
            <w:tcW w:w="1907" w:type="dxa"/>
            <w:tcBorders>
              <w:top w:val="single" w:color="auto" w:sz="4" w:space="0"/>
              <w:left w:val="single" w:color="auto" w:sz="4" w:space="0"/>
              <w:bottom w:val="single" w:color="auto" w:sz="4" w:space="0"/>
              <w:right w:val="single" w:color="auto" w:sz="4" w:space="0"/>
            </w:tcBorders>
            <w:vAlign w:val="center"/>
          </w:tcPr>
          <w:p w14:paraId="06E00D50">
            <w:pPr>
              <w:keepNext w:val="0"/>
              <w:keepLines w:val="0"/>
              <w:widowControl/>
              <w:suppressLineNumbers w:val="0"/>
              <w:autoSpaceDE/>
              <w:autoSpaceDN/>
              <w:spacing w:before="0" w:beforeAutospacing="0" w:after="0" w:afterAutospacing="0" w:line="240" w:lineRule="auto"/>
              <w:ind w:left="0" w:right="0"/>
              <w:rPr>
                <w:rFonts w:hint="eastAsia"/>
                <w:color w:val="000000"/>
                <w:kern w:val="0"/>
                <w:szCs w:val="24"/>
                <w:highlight w:val="none"/>
              </w:rPr>
            </w:pPr>
            <w:r>
              <w:rPr>
                <w:rFonts w:hint="eastAsia"/>
                <w:color w:val="000000"/>
                <w:kern w:val="0"/>
                <w:szCs w:val="24"/>
                <w:highlight w:val="none"/>
              </w:rPr>
              <w:t>签发日期：</w:t>
            </w:r>
          </w:p>
        </w:tc>
        <w:tc>
          <w:tcPr>
            <w:tcW w:w="6670" w:type="dxa"/>
            <w:gridSpan w:val="3"/>
            <w:tcBorders>
              <w:top w:val="single" w:color="auto" w:sz="4" w:space="0"/>
              <w:left w:val="single" w:color="auto" w:sz="4" w:space="0"/>
              <w:bottom w:val="single" w:color="auto" w:sz="4" w:space="0"/>
              <w:right w:val="single" w:color="auto" w:sz="4" w:space="0"/>
            </w:tcBorders>
            <w:vAlign w:val="center"/>
          </w:tcPr>
          <w:p w14:paraId="0D28FF17">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r>
              <w:rPr>
                <w:rFonts w:hint="eastAsia"/>
                <w:color w:val="000000"/>
                <w:kern w:val="0"/>
                <w:szCs w:val="24"/>
                <w:highlight w:val="none"/>
              </w:rPr>
              <w:t xml:space="preserve">    年   月   日</w:t>
            </w:r>
          </w:p>
        </w:tc>
        <w:tc>
          <w:tcPr>
            <w:tcW w:w="222" w:type="dxa"/>
            <w:tcBorders>
              <w:top w:val="single" w:color="auto" w:sz="4" w:space="0"/>
              <w:left w:val="single" w:color="auto" w:sz="4" w:space="0"/>
              <w:bottom w:val="single" w:color="auto" w:sz="4" w:space="0"/>
              <w:right w:val="single" w:color="auto" w:sz="4" w:space="0"/>
            </w:tcBorders>
            <w:vAlign w:val="center"/>
          </w:tcPr>
          <w:p w14:paraId="4683866F">
            <w:pPr>
              <w:keepNext w:val="0"/>
              <w:keepLines w:val="0"/>
              <w:widowControl/>
              <w:suppressLineNumbers w:val="0"/>
              <w:autoSpaceDE/>
              <w:autoSpaceDN/>
              <w:spacing w:before="0" w:beforeAutospacing="0" w:after="0" w:afterAutospacing="0" w:line="240" w:lineRule="auto"/>
              <w:ind w:left="0" w:right="0"/>
              <w:jc w:val="center"/>
              <w:rPr>
                <w:rFonts w:hint="eastAsia"/>
                <w:color w:val="000000"/>
                <w:kern w:val="0"/>
                <w:szCs w:val="24"/>
                <w:highlight w:val="none"/>
              </w:rPr>
            </w:pPr>
          </w:p>
        </w:tc>
      </w:tr>
    </w:tbl>
    <w:p w14:paraId="14F72E1B">
      <w:pPr>
        <w:widowControl/>
        <w:autoSpaceDE/>
        <w:autoSpaceDN/>
        <w:spacing w:line="240" w:lineRule="auto"/>
        <w:rPr>
          <w:rFonts w:hint="eastAsia" w:cs="Times New Roman"/>
          <w:highlight w:val="none"/>
        </w:rPr>
      </w:pPr>
      <w:r>
        <w:rPr>
          <w:rFonts w:hint="eastAsia" w:cs="Times New Roman"/>
          <w:highlight w:val="none"/>
        </w:rPr>
        <w:br w:type="page"/>
      </w:r>
    </w:p>
    <w:p w14:paraId="42447208">
      <w:pPr>
        <w:rPr>
          <w:rFonts w:hint="eastAsia" w:cs="Times New Roman"/>
          <w:highlight w:val="none"/>
        </w:rPr>
      </w:pPr>
      <w:r>
        <w:rPr>
          <w:rFonts w:hint="eastAsia" w:ascii="Times New Roman" w:hAnsi="Times New Roman" w:cs="Times New Roman"/>
          <w:b/>
          <w:bCs/>
          <w:highlight w:val="none"/>
        </w:rPr>
        <w:t>B.</w:t>
      </w:r>
      <w:r>
        <w:rPr>
          <w:rFonts w:ascii="Times New Roman" w:hAnsi="Times New Roman" w:cs="Times New Roman"/>
          <w:b/>
          <w:bCs/>
          <w:highlight w:val="none"/>
        </w:rPr>
        <w:t>0.</w:t>
      </w:r>
      <w:r>
        <w:rPr>
          <w:rFonts w:hint="eastAsia" w:ascii="Times New Roman" w:hAnsi="Times New Roman" w:cs="Times New Roman"/>
          <w:b/>
          <w:bCs/>
          <w:highlight w:val="none"/>
        </w:rPr>
        <w:t>3</w:t>
      </w:r>
      <w:r>
        <w:rPr>
          <w:rFonts w:hint="eastAsia" w:ascii="Times New Roman" w:hAnsi="Times New Roman" w:cs="Times New Roman"/>
          <w:highlight w:val="none"/>
        </w:rPr>
        <w:t xml:space="preserve">  </w:t>
      </w:r>
      <w:r>
        <w:rPr>
          <w:rFonts w:hint="eastAsia" w:cs="Times New Roman"/>
          <w:highlight w:val="none"/>
        </w:rPr>
        <w:t>报告正文</w:t>
      </w:r>
    </w:p>
    <w:p w14:paraId="5685BE06">
      <w:pPr>
        <w:rPr>
          <w:rFonts w:hint="eastAsia" w:cs="Times New Roman"/>
          <w:highlight w:val="none"/>
        </w:rPr>
      </w:pPr>
    </w:p>
    <w:p w14:paraId="1C4F9012">
      <w:pPr>
        <w:rPr>
          <w:rFonts w:hint="eastAsia" w:ascii="黑体" w:hAnsi="黑体" w:eastAsia="黑体" w:cs="Times New Roman"/>
          <w:highlight w:val="none"/>
        </w:rPr>
      </w:pPr>
      <w:r>
        <w:rPr>
          <w:rFonts w:hint="eastAsia" w:ascii="黑体" w:hAnsi="黑体" w:eastAsia="黑体" w:cs="Times New Roman"/>
          <w:highlight w:val="none"/>
        </w:rPr>
        <w:t>一、评估范围</w:t>
      </w:r>
    </w:p>
    <w:p w14:paraId="540729A4">
      <w:pPr>
        <w:ind w:firstLine="480" w:firstLineChars="200"/>
        <w:rPr>
          <w:rFonts w:hint="eastAsia" w:cs="Times New Roman"/>
          <w:highlight w:val="none"/>
        </w:rPr>
      </w:pPr>
      <w:r>
        <w:rPr>
          <w:rFonts w:hint="eastAsia" w:cs="Times New Roman"/>
          <w:highlight w:val="none"/>
        </w:rPr>
        <w:t>本消防技术服务机构对xxxx建筑物的xxxxxxxx进行消防安全评估。</w:t>
      </w:r>
    </w:p>
    <w:p w14:paraId="581B8FF4">
      <w:pPr>
        <w:rPr>
          <w:rFonts w:hint="eastAsia" w:ascii="黑体" w:hAnsi="黑体" w:eastAsia="黑体" w:cs="Times New Roman"/>
          <w:highlight w:val="none"/>
        </w:rPr>
      </w:pPr>
      <w:r>
        <w:rPr>
          <w:rFonts w:hint="eastAsia" w:ascii="黑体" w:hAnsi="黑体" w:eastAsia="黑体" w:cs="Times New Roman"/>
          <w:highlight w:val="none"/>
        </w:rPr>
        <w:t>二、评估依据(可根据实际情况增减)</w:t>
      </w:r>
    </w:p>
    <w:p w14:paraId="2BDD5169">
      <w:pPr>
        <w:pStyle w:val="5"/>
        <w:snapToGrid w:val="0"/>
        <w:spacing w:line="500" w:lineRule="exact"/>
        <w:ind w:left="137" w:right="132" w:firstLine="559"/>
        <w:jc w:val="both"/>
        <w:rPr>
          <w:rFonts w:hint="eastAsia" w:ascii="宋体" w:hAnsi="宋体" w:cs="宋体"/>
          <w:b w:val="0"/>
          <w:bCs w:val="0"/>
          <w:color w:val="auto"/>
          <w:spacing w:val="-1"/>
          <w:highlight w:val="none"/>
        </w:rPr>
      </w:pPr>
      <w:r>
        <w:rPr>
          <w:rFonts w:hint="eastAsia" w:ascii="宋体" w:hAnsi="宋体" w:cs="宋体"/>
          <w:b w:val="0"/>
          <w:bCs w:val="0"/>
          <w:color w:val="auto"/>
          <w:spacing w:val="-1"/>
          <w:highlight w:val="none"/>
        </w:rPr>
        <w:t>《中华人民共和国消防法》（第十三届全国人民代表大会常务委员会第二十八次会议修正）</w:t>
      </w:r>
    </w:p>
    <w:p w14:paraId="73E63D25">
      <w:pPr>
        <w:rPr>
          <w:rFonts w:hint="eastAsia" w:ascii="黑体" w:hAnsi="黑体" w:eastAsia="黑体" w:cs="Times New Roman"/>
          <w:highlight w:val="none"/>
        </w:rPr>
      </w:pPr>
      <w:r>
        <w:rPr>
          <w:rFonts w:hint="eastAsia" w:ascii="黑体" w:hAnsi="黑体" w:eastAsia="黑体" w:cs="Times New Roman"/>
          <w:highlight w:val="none"/>
        </w:rPr>
        <w:t>三、被评估单位基本情况(可根据实际情况增减)</w:t>
      </w:r>
    </w:p>
    <w:p w14:paraId="4B66C368">
      <w:pPr>
        <w:ind w:firstLine="480" w:firstLineChars="200"/>
        <w:rPr>
          <w:rFonts w:hint="eastAsia" w:cs="Times New Roman"/>
          <w:highlight w:val="none"/>
        </w:rPr>
      </w:pPr>
      <w:r>
        <w:rPr>
          <w:rFonts w:hint="eastAsia" w:cs="Times New Roman"/>
          <w:highlight w:val="none"/>
        </w:rPr>
        <w:t>XXX单位位于广东省XX区(县)XX路XX号，属于XX类型(人员密集场所和地下公共建筑、高层公共建筑、易燃易爆场所、全国重点文物保护单位)。该单位(XX建筑或场所X层)于xx年x月消防设计审核合格，xx年x月通过消防验收。建筑的主要功能，建筑类别，耐火等级，火灾危险性分类，主要危险物质情况，总建筑面积xx平方米，地上x层，地下x层，建筑高度xx米</w:t>
      </w:r>
      <w:r>
        <w:rPr>
          <w:rFonts w:hint="eastAsia" w:cs="Times New Roman"/>
          <w:highlight w:val="none"/>
          <w:lang w:eastAsia="zh-CN"/>
        </w:rPr>
        <w:t>：</w:t>
      </w:r>
      <w:r>
        <w:rPr>
          <w:rFonts w:hint="eastAsia" w:cs="Times New Roman"/>
          <w:highlight w:val="none"/>
        </w:rPr>
        <w:t>地下X层为xx，X层至X层为XX，建筑面积xx平方米，X层、x层为xx建筑面积xx平方米</w:t>
      </w:r>
      <w:r>
        <w:rPr>
          <w:rFonts w:hint="eastAsia" w:cs="Times New Roman"/>
          <w:highlight w:val="none"/>
          <w:lang w:eastAsia="zh-CN"/>
        </w:rPr>
        <w:t>：</w:t>
      </w:r>
      <w:r>
        <w:rPr>
          <w:rFonts w:hint="eastAsia" w:cs="Times New Roman"/>
          <w:highlight w:val="none"/>
        </w:rPr>
        <w:t>竣工日期，竣工图纸提供情况，依法取得消防行政审批手续情况</w:t>
      </w:r>
      <w:r>
        <w:rPr>
          <w:rFonts w:hint="eastAsia" w:cs="Times New Roman"/>
          <w:highlight w:val="none"/>
          <w:lang w:eastAsia="zh-CN"/>
        </w:rPr>
        <w:t>：</w:t>
      </w:r>
      <w:r>
        <w:rPr>
          <w:rFonts w:hint="eastAsia" w:cs="Times New Roman"/>
          <w:highlight w:val="none"/>
        </w:rPr>
        <w:t>主要消防设施有火灾自动报警系统、自动喷水灭火系统、机械排烟系统火灾应急照明系统、消火栓系统等。近一年未发生火灾，未出现公安消防机构责令改正的消防违法行为。</w:t>
      </w:r>
    </w:p>
    <w:p w14:paraId="575D2062">
      <w:pPr>
        <w:rPr>
          <w:rFonts w:hint="eastAsia" w:ascii="黑体" w:hAnsi="黑体" w:eastAsia="黑体" w:cs="Times New Roman"/>
          <w:highlight w:val="none"/>
        </w:rPr>
      </w:pPr>
      <w:r>
        <w:rPr>
          <w:rFonts w:hint="eastAsia" w:ascii="黑体" w:hAnsi="黑体" w:eastAsia="黑体" w:cs="Times New Roman"/>
          <w:highlight w:val="none"/>
        </w:rPr>
        <w:t>四、评估结果</w:t>
      </w:r>
    </w:p>
    <w:p w14:paraId="37520B7F">
      <w:pPr>
        <w:ind w:firstLine="480" w:firstLineChars="200"/>
        <w:rPr>
          <w:rFonts w:hint="eastAsia" w:cs="Times New Roman"/>
          <w:highlight w:val="none"/>
        </w:rPr>
      </w:pPr>
      <w:r>
        <w:rPr>
          <w:rFonts w:hint="eastAsia" w:cs="Times New Roman"/>
          <w:highlight w:val="none"/>
        </w:rPr>
        <w:t>评估结果汇总见本报告附录A。</w:t>
      </w:r>
    </w:p>
    <w:p w14:paraId="38F84B37">
      <w:pPr>
        <w:rPr>
          <w:rFonts w:hint="eastAsia" w:ascii="黑体" w:hAnsi="黑体" w:eastAsia="黑体" w:cs="Times New Roman"/>
          <w:highlight w:val="none"/>
          <w:lang w:val="en-US" w:eastAsia="zh-CN"/>
        </w:rPr>
      </w:pPr>
      <w:r>
        <w:rPr>
          <w:rFonts w:hint="eastAsia" w:ascii="黑体" w:hAnsi="黑体" w:eastAsia="黑体" w:cs="Times New Roman"/>
          <w:highlight w:val="none"/>
        </w:rPr>
        <w:t>五、存在的消防安全问题</w:t>
      </w:r>
      <w:r>
        <w:rPr>
          <w:rFonts w:hint="eastAsia" w:ascii="黑体" w:hAnsi="黑体" w:eastAsia="黑体" w:cs="Times New Roman"/>
          <w:highlight w:val="none"/>
          <w:lang w:val="en-US" w:eastAsia="zh-CN"/>
        </w:rPr>
        <w:t>及整改意见</w:t>
      </w:r>
    </w:p>
    <w:p w14:paraId="28410656">
      <w:pPr>
        <w:tabs>
          <w:tab w:val="left" w:pos="1080"/>
        </w:tabs>
        <w:spacing w:line="500" w:lineRule="exact"/>
        <w:jc w:val="center"/>
        <w:rPr>
          <w:rFonts w:hint="eastAsia" w:ascii="宋体" w:hAnsi="宋体" w:cs="宋体"/>
          <w:bCs/>
          <w:color w:val="auto"/>
          <w:sz w:val="24"/>
          <w:szCs w:val="24"/>
          <w:highlight w:val="none"/>
        </w:rPr>
      </w:pPr>
      <w:r>
        <w:rPr>
          <w:rFonts w:hint="eastAsia" w:cs="宋体"/>
          <w:bCs/>
          <w:color w:val="auto"/>
          <w:sz w:val="24"/>
          <w:szCs w:val="24"/>
          <w:highlight w:val="none"/>
          <w:lang w:val="en-US" w:eastAsia="zh-CN"/>
        </w:rPr>
        <w:t>安全管理</w:t>
      </w:r>
      <w:r>
        <w:rPr>
          <w:rFonts w:hint="eastAsia" w:ascii="宋体" w:hAnsi="宋体" w:cs="宋体"/>
          <w:bCs/>
          <w:color w:val="auto"/>
          <w:sz w:val="24"/>
          <w:szCs w:val="24"/>
          <w:highlight w:val="none"/>
        </w:rPr>
        <w:t>存在的隐患问题及整改</w:t>
      </w:r>
      <w:r>
        <w:rPr>
          <w:rFonts w:hint="eastAsia" w:ascii="宋体" w:hAnsi="宋体" w:cs="宋体"/>
          <w:bCs/>
          <w:color w:val="auto"/>
          <w:sz w:val="24"/>
          <w:szCs w:val="24"/>
          <w:highlight w:val="none"/>
          <w:lang w:val="en-US" w:eastAsia="zh-CN"/>
        </w:rPr>
        <w:t>建议</w:t>
      </w:r>
      <w:r>
        <w:rPr>
          <w:rFonts w:hint="eastAsia" w:ascii="宋体" w:hAnsi="宋体" w:cs="宋体"/>
          <w:bCs/>
          <w:color w:val="auto"/>
          <w:sz w:val="24"/>
          <w:szCs w:val="24"/>
          <w:highlight w:val="none"/>
        </w:rPr>
        <w:t>汇总表</w:t>
      </w:r>
    </w:p>
    <w:tbl>
      <w:tblPr>
        <w:tblStyle w:val="12"/>
        <w:tblW w:w="4881" w:type="pct"/>
        <w:tblInd w:w="109" w:type="dxa"/>
        <w:tblLayout w:type="fixed"/>
        <w:tblCellMar>
          <w:top w:w="0" w:type="dxa"/>
          <w:left w:w="108" w:type="dxa"/>
          <w:bottom w:w="0" w:type="dxa"/>
          <w:right w:w="108" w:type="dxa"/>
        </w:tblCellMar>
      </w:tblPr>
      <w:tblGrid>
        <w:gridCol w:w="359"/>
        <w:gridCol w:w="2157"/>
        <w:gridCol w:w="2180"/>
        <w:gridCol w:w="1619"/>
        <w:gridCol w:w="2004"/>
      </w:tblGrid>
      <w:tr w14:paraId="6DB10B93">
        <w:tblPrEx>
          <w:tblCellMar>
            <w:top w:w="0" w:type="dxa"/>
            <w:left w:w="108" w:type="dxa"/>
            <w:bottom w:w="0" w:type="dxa"/>
            <w:right w:w="108" w:type="dxa"/>
          </w:tblCellMar>
        </w:tblPrEx>
        <w:trPr>
          <w:trHeight w:val="705"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59E714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1296" w:type="pct"/>
            <w:tcBorders>
              <w:top w:val="single" w:color="000000" w:sz="4" w:space="0"/>
              <w:left w:val="single" w:color="000000" w:sz="4" w:space="0"/>
              <w:bottom w:val="single" w:color="000000" w:sz="4" w:space="0"/>
              <w:right w:val="single" w:color="000000" w:sz="4" w:space="0"/>
            </w:tcBorders>
            <w:noWrap w:val="0"/>
            <w:vAlign w:val="center"/>
          </w:tcPr>
          <w:p w14:paraId="073F15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存在的问题</w:t>
            </w:r>
          </w:p>
        </w:tc>
        <w:tc>
          <w:tcPr>
            <w:tcW w:w="1309" w:type="pct"/>
            <w:tcBorders>
              <w:top w:val="single" w:color="000000" w:sz="4" w:space="0"/>
              <w:left w:val="single" w:color="000000" w:sz="4" w:space="0"/>
              <w:bottom w:val="single" w:color="000000" w:sz="4" w:space="0"/>
              <w:right w:val="single" w:color="000000" w:sz="4" w:space="0"/>
            </w:tcBorders>
            <w:noWrap w:val="0"/>
            <w:vAlign w:val="center"/>
          </w:tcPr>
          <w:p w14:paraId="310A86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kern w:val="0"/>
                <w:sz w:val="21"/>
                <w:szCs w:val="21"/>
                <w:highlight w:val="none"/>
                <w:lang w:bidi="ar"/>
              </w:rPr>
            </w:pPr>
            <w:r>
              <w:rPr>
                <w:rFonts w:hint="eastAsia" w:ascii="宋体" w:hAnsi="宋体" w:eastAsia="宋体" w:cs="宋体"/>
                <w:b/>
                <w:bCs/>
                <w:color w:val="auto"/>
                <w:kern w:val="0"/>
                <w:sz w:val="21"/>
                <w:szCs w:val="21"/>
                <w:highlight w:val="none"/>
                <w:lang w:bidi="ar"/>
              </w:rPr>
              <w:t>检查依据</w:t>
            </w:r>
          </w:p>
        </w:tc>
        <w:tc>
          <w:tcPr>
            <w:tcW w:w="973" w:type="pct"/>
            <w:tcBorders>
              <w:top w:val="single" w:color="000000" w:sz="4" w:space="0"/>
              <w:left w:val="single" w:color="000000" w:sz="4" w:space="0"/>
              <w:bottom w:val="single" w:color="000000" w:sz="4" w:space="0"/>
              <w:right w:val="single" w:color="000000" w:sz="4" w:space="0"/>
            </w:tcBorders>
            <w:noWrap w:val="0"/>
            <w:vAlign w:val="center"/>
          </w:tcPr>
          <w:p w14:paraId="2B0E1F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整改建议</w:t>
            </w:r>
          </w:p>
        </w:tc>
        <w:tc>
          <w:tcPr>
            <w:tcW w:w="1204" w:type="pct"/>
            <w:tcBorders>
              <w:top w:val="single" w:color="000000" w:sz="4" w:space="0"/>
              <w:left w:val="single" w:color="000000" w:sz="4" w:space="0"/>
              <w:bottom w:val="single" w:color="000000" w:sz="4" w:space="0"/>
              <w:right w:val="single" w:color="000000" w:sz="4" w:space="0"/>
            </w:tcBorders>
            <w:noWrap w:val="0"/>
            <w:vAlign w:val="center"/>
          </w:tcPr>
          <w:p w14:paraId="52EC1B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问题照片</w:t>
            </w:r>
          </w:p>
        </w:tc>
      </w:tr>
      <w:tr w14:paraId="622DCC0D">
        <w:tblPrEx>
          <w:tblCellMar>
            <w:top w:w="0" w:type="dxa"/>
            <w:left w:w="108" w:type="dxa"/>
            <w:bottom w:w="0" w:type="dxa"/>
            <w:right w:w="108" w:type="dxa"/>
          </w:tblCellMar>
        </w:tblPrEx>
        <w:trPr>
          <w:trHeight w:val="607"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6E9B86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1</w:t>
            </w:r>
          </w:p>
        </w:tc>
        <w:tc>
          <w:tcPr>
            <w:tcW w:w="1296" w:type="pct"/>
            <w:tcBorders>
              <w:top w:val="single" w:color="000000" w:sz="4" w:space="0"/>
              <w:left w:val="single" w:color="000000" w:sz="4" w:space="0"/>
              <w:bottom w:val="single" w:color="000000" w:sz="4" w:space="0"/>
              <w:right w:val="single" w:color="000000" w:sz="4" w:space="0"/>
            </w:tcBorders>
            <w:noWrap w:val="0"/>
            <w:vAlign w:val="top"/>
          </w:tcPr>
          <w:p w14:paraId="5653298F">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default" w:ascii="宋体" w:hAnsi="宋体" w:eastAsia="宋体" w:cs="宋体"/>
                <w:color w:val="auto"/>
                <w:kern w:val="2"/>
                <w:position w:val="-10"/>
                <w:sz w:val="21"/>
                <w:szCs w:val="21"/>
                <w:highlight w:val="none"/>
                <w:lang w:val="en-US" w:eastAsia="zh-CN" w:bidi="ar"/>
              </w:rPr>
            </w:pPr>
          </w:p>
        </w:tc>
        <w:tc>
          <w:tcPr>
            <w:tcW w:w="1309" w:type="pct"/>
            <w:tcBorders>
              <w:top w:val="single" w:color="000000" w:sz="4" w:space="0"/>
              <w:left w:val="single" w:color="000000" w:sz="4" w:space="0"/>
              <w:bottom w:val="single" w:color="000000" w:sz="4" w:space="0"/>
              <w:right w:val="single" w:color="000000" w:sz="4" w:space="0"/>
            </w:tcBorders>
            <w:noWrap w:val="0"/>
            <w:vAlign w:val="top"/>
          </w:tcPr>
          <w:p w14:paraId="5A498203">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eastAsia" w:ascii="宋体" w:hAnsi="宋体" w:eastAsia="宋体" w:cs="宋体"/>
                <w:color w:val="auto"/>
                <w:kern w:val="2"/>
                <w:position w:val="-10"/>
                <w:sz w:val="21"/>
                <w:szCs w:val="21"/>
                <w:highlight w:val="none"/>
                <w:lang w:val="en-US" w:eastAsia="en-US" w:bidi="ar"/>
              </w:rPr>
            </w:pPr>
          </w:p>
        </w:tc>
        <w:tc>
          <w:tcPr>
            <w:tcW w:w="973" w:type="pct"/>
            <w:tcBorders>
              <w:top w:val="single" w:color="000000" w:sz="4" w:space="0"/>
              <w:left w:val="single" w:color="000000" w:sz="4" w:space="0"/>
              <w:bottom w:val="single" w:color="000000" w:sz="4" w:space="0"/>
              <w:right w:val="single" w:color="000000" w:sz="4" w:space="0"/>
            </w:tcBorders>
            <w:noWrap w:val="0"/>
            <w:vAlign w:val="top"/>
          </w:tcPr>
          <w:p w14:paraId="0C13ADC3">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default" w:ascii="宋体" w:hAnsi="宋体" w:eastAsia="宋体" w:cs="宋体"/>
                <w:color w:val="auto"/>
                <w:kern w:val="2"/>
                <w:position w:val="-10"/>
                <w:sz w:val="21"/>
                <w:szCs w:val="21"/>
                <w:highlight w:val="none"/>
                <w:lang w:val="en-US" w:eastAsia="zh-CN" w:bidi="ar"/>
              </w:rPr>
            </w:pPr>
          </w:p>
        </w:tc>
        <w:tc>
          <w:tcPr>
            <w:tcW w:w="1204" w:type="pct"/>
            <w:tcBorders>
              <w:top w:val="single" w:color="000000" w:sz="4" w:space="0"/>
              <w:left w:val="single" w:color="000000" w:sz="4" w:space="0"/>
              <w:bottom w:val="single" w:color="000000" w:sz="4" w:space="0"/>
              <w:right w:val="single" w:color="000000" w:sz="4" w:space="0"/>
            </w:tcBorders>
            <w:noWrap w:val="0"/>
            <w:vAlign w:val="top"/>
          </w:tcPr>
          <w:p w14:paraId="5F151F4D">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center"/>
              <w:textAlignment w:val="baseline"/>
              <w:rPr>
                <w:rFonts w:hint="default" w:ascii="宋体" w:hAnsi="宋体" w:eastAsia="宋体" w:cs="宋体"/>
                <w:b w:val="0"/>
                <w:bCs w:val="0"/>
                <w:color w:val="auto"/>
                <w:spacing w:val="-1"/>
                <w:kern w:val="0"/>
                <w:sz w:val="21"/>
                <w:szCs w:val="21"/>
                <w:highlight w:val="none"/>
                <w:lang w:val="en-US" w:eastAsia="zh-CN" w:bidi="ar-SA"/>
              </w:rPr>
            </w:pPr>
          </w:p>
        </w:tc>
      </w:tr>
    </w:tbl>
    <w:p w14:paraId="76FCDECB">
      <w:pPr>
        <w:tabs>
          <w:tab w:val="left" w:pos="1080"/>
        </w:tabs>
        <w:spacing w:line="500" w:lineRule="exact"/>
        <w:jc w:val="center"/>
        <w:rPr>
          <w:rFonts w:hint="eastAsia" w:ascii="宋体" w:hAnsi="宋体" w:cs="宋体"/>
          <w:bCs/>
          <w:color w:val="auto"/>
          <w:sz w:val="24"/>
          <w:szCs w:val="24"/>
          <w:highlight w:val="none"/>
        </w:rPr>
      </w:pPr>
      <w:r>
        <w:rPr>
          <w:rFonts w:hint="eastAsia" w:ascii="宋体" w:hAnsi="宋体" w:cs="宋体"/>
          <w:bCs/>
          <w:color w:val="auto"/>
          <w:sz w:val="24"/>
          <w:szCs w:val="24"/>
          <w:highlight w:val="none"/>
        </w:rPr>
        <w:t>建筑防火存在的隐患问题及整改</w:t>
      </w:r>
      <w:r>
        <w:rPr>
          <w:rFonts w:hint="eastAsia" w:ascii="宋体" w:hAnsi="宋体" w:cs="宋体"/>
          <w:bCs/>
          <w:color w:val="auto"/>
          <w:sz w:val="24"/>
          <w:szCs w:val="24"/>
          <w:highlight w:val="none"/>
          <w:lang w:val="en-US" w:eastAsia="zh-CN"/>
        </w:rPr>
        <w:t>建议</w:t>
      </w:r>
      <w:r>
        <w:rPr>
          <w:rFonts w:hint="eastAsia" w:ascii="宋体" w:hAnsi="宋体" w:cs="宋体"/>
          <w:bCs/>
          <w:color w:val="auto"/>
          <w:sz w:val="24"/>
          <w:szCs w:val="24"/>
          <w:highlight w:val="none"/>
        </w:rPr>
        <w:t>汇总表</w:t>
      </w:r>
    </w:p>
    <w:tbl>
      <w:tblPr>
        <w:tblStyle w:val="12"/>
        <w:tblW w:w="4864" w:type="pct"/>
        <w:tblInd w:w="136" w:type="dxa"/>
        <w:tblLayout w:type="fixed"/>
        <w:tblCellMar>
          <w:top w:w="0" w:type="dxa"/>
          <w:left w:w="108" w:type="dxa"/>
          <w:bottom w:w="0" w:type="dxa"/>
          <w:right w:w="108" w:type="dxa"/>
        </w:tblCellMar>
      </w:tblPr>
      <w:tblGrid>
        <w:gridCol w:w="393"/>
        <w:gridCol w:w="2101"/>
        <w:gridCol w:w="2179"/>
        <w:gridCol w:w="1617"/>
        <w:gridCol w:w="2000"/>
      </w:tblGrid>
      <w:tr w14:paraId="7ECCF508">
        <w:tblPrEx>
          <w:tblCellMar>
            <w:top w:w="0" w:type="dxa"/>
            <w:left w:w="108" w:type="dxa"/>
            <w:bottom w:w="0" w:type="dxa"/>
            <w:right w:w="108" w:type="dxa"/>
          </w:tblCellMar>
        </w:tblPrEx>
        <w:trPr>
          <w:trHeight w:val="705" w:hRule="atLeast"/>
        </w:trPr>
        <w:tc>
          <w:tcPr>
            <w:tcW w:w="237" w:type="pct"/>
            <w:tcBorders>
              <w:top w:val="single" w:color="000000" w:sz="4" w:space="0"/>
              <w:left w:val="single" w:color="000000" w:sz="4" w:space="0"/>
              <w:bottom w:val="single" w:color="000000" w:sz="4" w:space="0"/>
              <w:right w:val="single" w:color="000000" w:sz="4" w:space="0"/>
            </w:tcBorders>
            <w:noWrap w:val="0"/>
            <w:vAlign w:val="center"/>
          </w:tcPr>
          <w:p w14:paraId="7D9C9200">
            <w:pPr>
              <w:keepNext w:val="0"/>
              <w:keepLines w:val="0"/>
              <w:suppressLineNumbers w:val="0"/>
              <w:spacing w:before="0" w:beforeAutospacing="0" w:after="0" w:afterAutospacing="0"/>
              <w:ind w:left="0" w:right="0"/>
              <w:jc w:val="center"/>
              <w:rPr>
                <w:rFonts w:hint="eastAsia" w:ascii="宋体" w:hAnsi="宋体" w:cs="宋体"/>
                <w:b/>
                <w:bCs/>
                <w:color w:val="auto"/>
                <w:highlight w:val="none"/>
              </w:rPr>
            </w:pPr>
            <w:r>
              <w:rPr>
                <w:rFonts w:hint="eastAsia" w:ascii="宋体" w:hAnsi="宋体" w:cs="宋体"/>
                <w:b/>
                <w:bCs/>
                <w:color w:val="auto"/>
                <w:highlight w:val="none"/>
              </w:rPr>
              <w:t>序号</w:t>
            </w:r>
          </w:p>
        </w:tc>
        <w:tc>
          <w:tcPr>
            <w:tcW w:w="1266" w:type="pct"/>
            <w:tcBorders>
              <w:top w:val="single" w:color="000000" w:sz="4" w:space="0"/>
              <w:left w:val="single" w:color="000000" w:sz="4" w:space="0"/>
              <w:bottom w:val="single" w:color="000000" w:sz="4" w:space="0"/>
              <w:right w:val="single" w:color="000000" w:sz="4" w:space="0"/>
            </w:tcBorders>
            <w:noWrap w:val="0"/>
            <w:vAlign w:val="center"/>
          </w:tcPr>
          <w:p w14:paraId="0029DB30">
            <w:pPr>
              <w:keepNext w:val="0"/>
              <w:keepLines w:val="0"/>
              <w:suppressLineNumbers w:val="0"/>
              <w:spacing w:before="0" w:beforeAutospacing="0" w:after="0" w:afterAutospacing="0"/>
              <w:ind w:left="0" w:right="0"/>
              <w:jc w:val="center"/>
              <w:rPr>
                <w:rFonts w:hint="eastAsia" w:ascii="宋体" w:hAnsi="宋体" w:cs="宋体"/>
                <w:b/>
                <w:bCs/>
                <w:color w:val="auto"/>
                <w:highlight w:val="none"/>
              </w:rPr>
            </w:pPr>
            <w:r>
              <w:rPr>
                <w:rFonts w:hint="eastAsia" w:ascii="宋体" w:hAnsi="宋体" w:cs="宋体"/>
                <w:b/>
                <w:bCs/>
                <w:color w:val="auto"/>
                <w:highlight w:val="none"/>
              </w:rPr>
              <w:t>存在的问题</w:t>
            </w:r>
          </w:p>
        </w:tc>
        <w:tc>
          <w:tcPr>
            <w:tcW w:w="1313" w:type="pct"/>
            <w:tcBorders>
              <w:top w:val="single" w:color="000000" w:sz="4" w:space="0"/>
              <w:left w:val="single" w:color="000000" w:sz="4" w:space="0"/>
              <w:bottom w:val="single" w:color="000000" w:sz="4" w:space="0"/>
              <w:right w:val="single" w:color="000000" w:sz="4" w:space="0"/>
            </w:tcBorders>
            <w:noWrap w:val="0"/>
            <w:vAlign w:val="center"/>
          </w:tcPr>
          <w:p w14:paraId="4074C841">
            <w:pPr>
              <w:keepNext w:val="0"/>
              <w:keepLines w:val="0"/>
              <w:suppressLineNumbers w:val="0"/>
              <w:spacing w:before="0" w:beforeAutospacing="0" w:after="0" w:afterAutospacing="0"/>
              <w:ind w:left="0" w:right="0"/>
              <w:jc w:val="center"/>
              <w:rPr>
                <w:rFonts w:hint="eastAsia" w:ascii="宋体" w:hAnsi="宋体" w:cs="宋体"/>
                <w:b/>
                <w:bCs/>
                <w:color w:val="auto"/>
                <w:highlight w:val="none"/>
              </w:rPr>
            </w:pPr>
            <w:r>
              <w:rPr>
                <w:rFonts w:hint="eastAsia" w:ascii="宋体" w:hAnsi="宋体" w:cs="宋体"/>
                <w:b/>
                <w:bCs/>
                <w:color w:val="auto"/>
                <w:highlight w:val="none"/>
              </w:rPr>
              <w:t>检查依据</w:t>
            </w:r>
          </w:p>
        </w:tc>
        <w:tc>
          <w:tcPr>
            <w:tcW w:w="976" w:type="pct"/>
            <w:tcBorders>
              <w:top w:val="single" w:color="000000" w:sz="4" w:space="0"/>
              <w:left w:val="single" w:color="000000" w:sz="4" w:space="0"/>
              <w:bottom w:val="single" w:color="000000" w:sz="4" w:space="0"/>
              <w:right w:val="single" w:color="000000" w:sz="4" w:space="0"/>
            </w:tcBorders>
            <w:noWrap w:val="0"/>
            <w:vAlign w:val="center"/>
          </w:tcPr>
          <w:p w14:paraId="24C5C7C3">
            <w:pPr>
              <w:keepNext w:val="0"/>
              <w:keepLines w:val="0"/>
              <w:suppressLineNumbers w:val="0"/>
              <w:spacing w:before="0" w:beforeAutospacing="0" w:after="0" w:afterAutospacing="0"/>
              <w:ind w:left="0" w:right="0"/>
              <w:jc w:val="center"/>
              <w:rPr>
                <w:rFonts w:hint="eastAsia" w:ascii="宋体" w:hAnsi="宋体" w:cs="宋体"/>
                <w:b/>
                <w:bCs/>
                <w:color w:val="auto"/>
                <w:highlight w:val="none"/>
              </w:rPr>
            </w:pPr>
            <w:r>
              <w:rPr>
                <w:rFonts w:hint="eastAsia" w:ascii="宋体" w:hAnsi="宋体" w:cs="宋体"/>
                <w:b/>
                <w:bCs/>
                <w:color w:val="auto"/>
                <w:highlight w:val="none"/>
              </w:rPr>
              <w:t>整改建议</w:t>
            </w:r>
          </w:p>
        </w:tc>
        <w:tc>
          <w:tcPr>
            <w:tcW w:w="1206" w:type="pct"/>
            <w:tcBorders>
              <w:top w:val="single" w:color="000000" w:sz="4" w:space="0"/>
              <w:left w:val="single" w:color="000000" w:sz="4" w:space="0"/>
              <w:bottom w:val="single" w:color="000000" w:sz="4" w:space="0"/>
              <w:right w:val="single" w:color="000000" w:sz="4" w:space="0"/>
            </w:tcBorders>
            <w:noWrap w:val="0"/>
            <w:vAlign w:val="center"/>
          </w:tcPr>
          <w:p w14:paraId="68ED1B0A">
            <w:pPr>
              <w:keepNext w:val="0"/>
              <w:keepLines w:val="0"/>
              <w:suppressLineNumbers w:val="0"/>
              <w:spacing w:before="0" w:beforeAutospacing="0" w:after="0" w:afterAutospacing="0"/>
              <w:ind w:left="0" w:right="0"/>
              <w:jc w:val="center"/>
              <w:rPr>
                <w:rFonts w:hint="eastAsia" w:ascii="宋体" w:hAnsi="宋体" w:cs="宋体"/>
                <w:b/>
                <w:bCs/>
                <w:color w:val="auto"/>
                <w:highlight w:val="none"/>
              </w:rPr>
            </w:pPr>
            <w:r>
              <w:rPr>
                <w:rFonts w:hint="eastAsia" w:ascii="宋体" w:hAnsi="宋体" w:cs="宋体"/>
                <w:b/>
                <w:bCs/>
                <w:color w:val="auto"/>
                <w:highlight w:val="none"/>
              </w:rPr>
              <w:t>问题照片</w:t>
            </w:r>
          </w:p>
        </w:tc>
      </w:tr>
      <w:tr w14:paraId="2BA6262E">
        <w:tblPrEx>
          <w:tblCellMar>
            <w:top w:w="0" w:type="dxa"/>
            <w:left w:w="108" w:type="dxa"/>
            <w:bottom w:w="0" w:type="dxa"/>
            <w:right w:w="108" w:type="dxa"/>
          </w:tblCellMar>
        </w:tblPrEx>
        <w:trPr>
          <w:trHeight w:val="607" w:hRule="atLeast"/>
        </w:trPr>
        <w:tc>
          <w:tcPr>
            <w:tcW w:w="237" w:type="pct"/>
            <w:tcBorders>
              <w:top w:val="single" w:color="000000" w:sz="4" w:space="0"/>
              <w:left w:val="single" w:color="000000" w:sz="4" w:space="0"/>
              <w:bottom w:val="single" w:color="000000" w:sz="4" w:space="0"/>
              <w:right w:val="single" w:color="000000" w:sz="4" w:space="0"/>
            </w:tcBorders>
            <w:noWrap w:val="0"/>
            <w:vAlign w:val="center"/>
          </w:tcPr>
          <w:p w14:paraId="289DDBBF">
            <w:pPr>
              <w:keepNext w:val="0"/>
              <w:keepLines w:val="0"/>
              <w:suppressLineNumbers w:val="0"/>
              <w:spacing w:before="0" w:beforeAutospacing="0" w:after="0" w:afterAutospacing="0"/>
              <w:ind w:left="0" w:right="0"/>
              <w:jc w:val="center"/>
              <w:rPr>
                <w:rFonts w:hint="eastAsia" w:ascii="宋体" w:hAnsi="宋体" w:cs="宋体"/>
                <w:color w:val="auto"/>
                <w:highlight w:val="none"/>
              </w:rPr>
            </w:pPr>
            <w:r>
              <w:rPr>
                <w:rFonts w:hint="eastAsia" w:ascii="宋体" w:hAnsi="宋体" w:cs="宋体"/>
                <w:color w:val="auto"/>
                <w:highlight w:val="none"/>
              </w:rPr>
              <w:t>1</w:t>
            </w:r>
          </w:p>
        </w:tc>
        <w:tc>
          <w:tcPr>
            <w:tcW w:w="1266" w:type="pct"/>
            <w:tcBorders>
              <w:top w:val="single" w:color="000000" w:sz="4" w:space="0"/>
              <w:left w:val="single" w:color="000000" w:sz="4" w:space="0"/>
              <w:bottom w:val="single" w:color="000000" w:sz="4" w:space="0"/>
              <w:right w:val="single" w:color="000000" w:sz="4" w:space="0"/>
            </w:tcBorders>
            <w:noWrap w:val="0"/>
            <w:vAlign w:val="top"/>
          </w:tcPr>
          <w:p w14:paraId="26EBF460">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default" w:ascii="宋体" w:hAnsi="宋体" w:cs="宋体"/>
                <w:color w:val="auto"/>
                <w:position w:val="-10"/>
                <w:highlight w:val="none"/>
                <w:lang w:bidi="ar"/>
              </w:rPr>
            </w:pPr>
          </w:p>
        </w:tc>
        <w:tc>
          <w:tcPr>
            <w:tcW w:w="1313" w:type="pct"/>
            <w:tcBorders>
              <w:top w:val="single" w:color="000000" w:sz="4" w:space="0"/>
              <w:left w:val="single" w:color="000000" w:sz="4" w:space="0"/>
              <w:bottom w:val="single" w:color="000000" w:sz="4" w:space="0"/>
              <w:right w:val="single" w:color="000000" w:sz="4" w:space="0"/>
            </w:tcBorders>
            <w:noWrap w:val="0"/>
            <w:vAlign w:val="top"/>
          </w:tcPr>
          <w:p w14:paraId="586AB90A">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eastAsia" w:ascii="宋体" w:hAnsi="宋体" w:cs="宋体"/>
                <w:color w:val="auto"/>
                <w:position w:val="-10"/>
                <w:highlight w:val="none"/>
                <w:lang w:bidi="ar"/>
              </w:rPr>
            </w:pPr>
          </w:p>
          <w:p w14:paraId="127F891A">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eastAsia" w:ascii="宋体" w:hAnsi="宋体" w:cs="宋体"/>
                <w:color w:val="auto"/>
                <w:position w:val="-10"/>
                <w:highlight w:val="none"/>
                <w:lang w:eastAsia="en-US" w:bidi="ar"/>
              </w:rPr>
            </w:pPr>
          </w:p>
        </w:tc>
        <w:tc>
          <w:tcPr>
            <w:tcW w:w="976" w:type="pct"/>
            <w:tcBorders>
              <w:top w:val="single" w:color="000000" w:sz="4" w:space="0"/>
              <w:left w:val="single" w:color="000000" w:sz="4" w:space="0"/>
              <w:bottom w:val="single" w:color="000000" w:sz="4" w:space="0"/>
              <w:right w:val="single" w:color="000000" w:sz="4" w:space="0"/>
            </w:tcBorders>
            <w:noWrap w:val="0"/>
            <w:vAlign w:val="top"/>
          </w:tcPr>
          <w:p w14:paraId="6B0B0B5E">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default" w:ascii="宋体" w:hAnsi="宋体" w:cs="宋体"/>
                <w:color w:val="auto"/>
                <w:position w:val="-10"/>
                <w:highlight w:val="none"/>
                <w:lang w:bidi="ar"/>
              </w:rPr>
            </w:pPr>
          </w:p>
        </w:tc>
        <w:tc>
          <w:tcPr>
            <w:tcW w:w="1206" w:type="pct"/>
            <w:tcBorders>
              <w:top w:val="single" w:color="000000" w:sz="4" w:space="0"/>
              <w:left w:val="single" w:color="000000" w:sz="4" w:space="0"/>
              <w:bottom w:val="single" w:color="000000" w:sz="4" w:space="0"/>
              <w:right w:val="single" w:color="000000" w:sz="4" w:space="0"/>
            </w:tcBorders>
            <w:noWrap w:val="0"/>
            <w:vAlign w:val="top"/>
          </w:tcPr>
          <w:p w14:paraId="35509F0F">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eastAsia" w:ascii="宋体" w:hAnsi="宋体" w:eastAsia="宋体" w:cs="宋体"/>
                <w:color w:val="auto"/>
                <w:spacing w:val="-1"/>
                <w:kern w:val="0"/>
                <w:highlight w:val="none"/>
                <w:lang w:eastAsia="zh-CN"/>
              </w:rPr>
            </w:pPr>
          </w:p>
        </w:tc>
      </w:tr>
    </w:tbl>
    <w:p w14:paraId="431BC35A">
      <w:pPr>
        <w:tabs>
          <w:tab w:val="left" w:pos="1080"/>
        </w:tabs>
        <w:spacing w:line="500" w:lineRule="exact"/>
        <w:jc w:val="center"/>
        <w:rPr>
          <w:rFonts w:hint="eastAsia" w:ascii="宋体" w:hAnsi="宋体" w:cs="宋体"/>
          <w:bCs/>
          <w:color w:val="auto"/>
          <w:sz w:val="24"/>
          <w:szCs w:val="24"/>
          <w:highlight w:val="none"/>
        </w:rPr>
      </w:pPr>
      <w:r>
        <w:rPr>
          <w:rFonts w:hint="eastAsia" w:ascii="宋体" w:hAnsi="宋体" w:cs="宋体"/>
          <w:bCs/>
          <w:color w:val="auto"/>
          <w:sz w:val="24"/>
          <w:szCs w:val="24"/>
          <w:highlight w:val="none"/>
        </w:rPr>
        <w:t>消防设施存在的隐患问题及整改</w:t>
      </w:r>
      <w:r>
        <w:rPr>
          <w:rFonts w:hint="eastAsia" w:ascii="宋体" w:hAnsi="宋体" w:cs="宋体"/>
          <w:bCs/>
          <w:color w:val="auto"/>
          <w:sz w:val="24"/>
          <w:szCs w:val="24"/>
          <w:highlight w:val="none"/>
          <w:lang w:val="en-US" w:eastAsia="zh-CN"/>
        </w:rPr>
        <w:t>建议</w:t>
      </w:r>
      <w:r>
        <w:rPr>
          <w:rFonts w:hint="eastAsia" w:ascii="宋体" w:hAnsi="宋体" w:cs="宋体"/>
          <w:bCs/>
          <w:color w:val="auto"/>
          <w:sz w:val="24"/>
          <w:szCs w:val="24"/>
          <w:highlight w:val="none"/>
        </w:rPr>
        <w:t>汇总表</w:t>
      </w:r>
    </w:p>
    <w:tbl>
      <w:tblPr>
        <w:tblStyle w:val="12"/>
        <w:tblW w:w="4881" w:type="pct"/>
        <w:tblInd w:w="109" w:type="dxa"/>
        <w:tblLayout w:type="fixed"/>
        <w:tblCellMar>
          <w:top w:w="0" w:type="dxa"/>
          <w:left w:w="108" w:type="dxa"/>
          <w:bottom w:w="0" w:type="dxa"/>
          <w:right w:w="108" w:type="dxa"/>
        </w:tblCellMar>
      </w:tblPr>
      <w:tblGrid>
        <w:gridCol w:w="359"/>
        <w:gridCol w:w="2157"/>
        <w:gridCol w:w="2180"/>
        <w:gridCol w:w="1619"/>
        <w:gridCol w:w="2004"/>
      </w:tblGrid>
      <w:tr w14:paraId="6E52AA54">
        <w:tblPrEx>
          <w:tblCellMar>
            <w:top w:w="0" w:type="dxa"/>
            <w:left w:w="108" w:type="dxa"/>
            <w:bottom w:w="0" w:type="dxa"/>
            <w:right w:w="108" w:type="dxa"/>
          </w:tblCellMar>
        </w:tblPrEx>
        <w:trPr>
          <w:trHeight w:val="705"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2CB5AA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1296" w:type="pct"/>
            <w:tcBorders>
              <w:top w:val="single" w:color="000000" w:sz="4" w:space="0"/>
              <w:left w:val="single" w:color="000000" w:sz="4" w:space="0"/>
              <w:bottom w:val="single" w:color="000000" w:sz="4" w:space="0"/>
              <w:right w:val="single" w:color="000000" w:sz="4" w:space="0"/>
            </w:tcBorders>
            <w:noWrap w:val="0"/>
            <w:vAlign w:val="center"/>
          </w:tcPr>
          <w:p w14:paraId="701309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存在的问题</w:t>
            </w:r>
          </w:p>
        </w:tc>
        <w:tc>
          <w:tcPr>
            <w:tcW w:w="1309" w:type="pct"/>
            <w:tcBorders>
              <w:top w:val="single" w:color="000000" w:sz="4" w:space="0"/>
              <w:left w:val="single" w:color="000000" w:sz="4" w:space="0"/>
              <w:bottom w:val="single" w:color="000000" w:sz="4" w:space="0"/>
              <w:right w:val="single" w:color="000000" w:sz="4" w:space="0"/>
            </w:tcBorders>
            <w:noWrap w:val="0"/>
            <w:vAlign w:val="center"/>
          </w:tcPr>
          <w:p w14:paraId="334534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kern w:val="0"/>
                <w:sz w:val="21"/>
                <w:szCs w:val="21"/>
                <w:highlight w:val="none"/>
                <w:lang w:bidi="ar"/>
              </w:rPr>
            </w:pPr>
            <w:r>
              <w:rPr>
                <w:rFonts w:hint="eastAsia" w:ascii="宋体" w:hAnsi="宋体" w:eastAsia="宋体" w:cs="宋体"/>
                <w:b/>
                <w:bCs/>
                <w:color w:val="auto"/>
                <w:kern w:val="0"/>
                <w:sz w:val="21"/>
                <w:szCs w:val="21"/>
                <w:highlight w:val="none"/>
                <w:lang w:bidi="ar"/>
              </w:rPr>
              <w:t>检查依据</w:t>
            </w:r>
          </w:p>
        </w:tc>
        <w:tc>
          <w:tcPr>
            <w:tcW w:w="973" w:type="pct"/>
            <w:tcBorders>
              <w:top w:val="single" w:color="000000" w:sz="4" w:space="0"/>
              <w:left w:val="single" w:color="000000" w:sz="4" w:space="0"/>
              <w:bottom w:val="single" w:color="000000" w:sz="4" w:space="0"/>
              <w:right w:val="single" w:color="000000" w:sz="4" w:space="0"/>
            </w:tcBorders>
            <w:noWrap w:val="0"/>
            <w:vAlign w:val="center"/>
          </w:tcPr>
          <w:p w14:paraId="4B5E76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整改建议</w:t>
            </w:r>
          </w:p>
        </w:tc>
        <w:tc>
          <w:tcPr>
            <w:tcW w:w="1204" w:type="pct"/>
            <w:tcBorders>
              <w:top w:val="single" w:color="000000" w:sz="4" w:space="0"/>
              <w:left w:val="single" w:color="000000" w:sz="4" w:space="0"/>
              <w:bottom w:val="single" w:color="000000" w:sz="4" w:space="0"/>
              <w:right w:val="single" w:color="000000" w:sz="4" w:space="0"/>
            </w:tcBorders>
            <w:noWrap w:val="0"/>
            <w:vAlign w:val="center"/>
          </w:tcPr>
          <w:p w14:paraId="662A87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问题照片</w:t>
            </w:r>
          </w:p>
        </w:tc>
      </w:tr>
      <w:tr w14:paraId="51268EA3">
        <w:tblPrEx>
          <w:tblCellMar>
            <w:top w:w="0" w:type="dxa"/>
            <w:left w:w="108" w:type="dxa"/>
            <w:bottom w:w="0" w:type="dxa"/>
            <w:right w:w="108" w:type="dxa"/>
          </w:tblCellMar>
        </w:tblPrEx>
        <w:trPr>
          <w:trHeight w:val="607" w:hRule="atLeast"/>
        </w:trPr>
        <w:tc>
          <w:tcPr>
            <w:tcW w:w="216" w:type="pct"/>
            <w:tcBorders>
              <w:top w:val="single" w:color="000000" w:sz="4" w:space="0"/>
              <w:left w:val="single" w:color="000000" w:sz="4" w:space="0"/>
              <w:bottom w:val="single" w:color="000000" w:sz="4" w:space="0"/>
              <w:right w:val="single" w:color="000000" w:sz="4" w:space="0"/>
            </w:tcBorders>
            <w:noWrap w:val="0"/>
            <w:vAlign w:val="center"/>
          </w:tcPr>
          <w:p w14:paraId="16CE62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lang w:bidi="ar"/>
              </w:rPr>
              <w:t>1</w:t>
            </w:r>
          </w:p>
        </w:tc>
        <w:tc>
          <w:tcPr>
            <w:tcW w:w="1296" w:type="pct"/>
            <w:tcBorders>
              <w:top w:val="single" w:color="000000" w:sz="4" w:space="0"/>
              <w:left w:val="single" w:color="000000" w:sz="4" w:space="0"/>
              <w:bottom w:val="single" w:color="000000" w:sz="4" w:space="0"/>
              <w:right w:val="single" w:color="000000" w:sz="4" w:space="0"/>
            </w:tcBorders>
            <w:noWrap w:val="0"/>
            <w:vAlign w:val="top"/>
          </w:tcPr>
          <w:p w14:paraId="670E44B8">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default" w:ascii="宋体" w:hAnsi="宋体" w:eastAsia="宋体" w:cs="宋体"/>
                <w:color w:val="auto"/>
                <w:kern w:val="2"/>
                <w:position w:val="-10"/>
                <w:sz w:val="21"/>
                <w:szCs w:val="21"/>
                <w:highlight w:val="none"/>
                <w:lang w:val="en-US" w:eastAsia="zh-CN" w:bidi="ar"/>
              </w:rPr>
            </w:pPr>
          </w:p>
        </w:tc>
        <w:tc>
          <w:tcPr>
            <w:tcW w:w="1309" w:type="pct"/>
            <w:tcBorders>
              <w:top w:val="single" w:color="000000" w:sz="4" w:space="0"/>
              <w:left w:val="single" w:color="000000" w:sz="4" w:space="0"/>
              <w:bottom w:val="single" w:color="000000" w:sz="4" w:space="0"/>
              <w:right w:val="single" w:color="000000" w:sz="4" w:space="0"/>
            </w:tcBorders>
            <w:noWrap w:val="0"/>
            <w:vAlign w:val="top"/>
          </w:tcPr>
          <w:p w14:paraId="2525C903">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eastAsia" w:ascii="宋体" w:hAnsi="宋体" w:eastAsia="宋体" w:cs="宋体"/>
                <w:color w:val="auto"/>
                <w:kern w:val="2"/>
                <w:position w:val="-10"/>
                <w:sz w:val="21"/>
                <w:szCs w:val="21"/>
                <w:highlight w:val="none"/>
                <w:lang w:val="en-US" w:eastAsia="en-US" w:bidi="ar"/>
              </w:rPr>
            </w:pPr>
          </w:p>
        </w:tc>
        <w:tc>
          <w:tcPr>
            <w:tcW w:w="973" w:type="pct"/>
            <w:tcBorders>
              <w:top w:val="single" w:color="000000" w:sz="4" w:space="0"/>
              <w:left w:val="single" w:color="000000" w:sz="4" w:space="0"/>
              <w:bottom w:val="single" w:color="000000" w:sz="4" w:space="0"/>
              <w:right w:val="single" w:color="000000" w:sz="4" w:space="0"/>
            </w:tcBorders>
            <w:noWrap w:val="0"/>
            <w:vAlign w:val="top"/>
          </w:tcPr>
          <w:p w14:paraId="5F96A71C">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left"/>
              <w:textAlignment w:val="baseline"/>
              <w:rPr>
                <w:rFonts w:hint="default" w:ascii="宋体" w:hAnsi="宋体" w:eastAsia="宋体" w:cs="宋体"/>
                <w:color w:val="auto"/>
                <w:kern w:val="2"/>
                <w:position w:val="-10"/>
                <w:sz w:val="21"/>
                <w:szCs w:val="21"/>
                <w:highlight w:val="none"/>
                <w:lang w:val="en-US" w:eastAsia="zh-CN" w:bidi="ar"/>
              </w:rPr>
            </w:pPr>
          </w:p>
        </w:tc>
        <w:tc>
          <w:tcPr>
            <w:tcW w:w="1204" w:type="pct"/>
            <w:tcBorders>
              <w:top w:val="single" w:color="000000" w:sz="4" w:space="0"/>
              <w:left w:val="single" w:color="000000" w:sz="4" w:space="0"/>
              <w:bottom w:val="single" w:color="000000" w:sz="4" w:space="0"/>
              <w:right w:val="single" w:color="000000" w:sz="4" w:space="0"/>
            </w:tcBorders>
            <w:noWrap w:val="0"/>
            <w:vAlign w:val="top"/>
          </w:tcPr>
          <w:p w14:paraId="0DF8E6FB">
            <w:pPr>
              <w:keepNext w:val="0"/>
              <w:keepLines w:val="0"/>
              <w:widowControl/>
              <w:suppressLineNumbers w:val="0"/>
              <w:kinsoku w:val="0"/>
              <w:autoSpaceDE w:val="0"/>
              <w:autoSpaceDN w:val="0"/>
              <w:adjustRightInd w:val="0"/>
              <w:snapToGrid w:val="0"/>
              <w:spacing w:before="112" w:beforeAutospacing="0" w:after="0" w:afterAutospacing="0" w:line="218" w:lineRule="auto"/>
              <w:ind w:left="0" w:right="0"/>
              <w:jc w:val="center"/>
              <w:textAlignment w:val="baseline"/>
              <w:rPr>
                <w:rFonts w:hint="default" w:ascii="宋体" w:hAnsi="宋体" w:eastAsia="宋体" w:cs="宋体"/>
                <w:b w:val="0"/>
                <w:bCs w:val="0"/>
                <w:color w:val="auto"/>
                <w:spacing w:val="-1"/>
                <w:kern w:val="0"/>
                <w:sz w:val="21"/>
                <w:szCs w:val="21"/>
                <w:highlight w:val="none"/>
                <w:lang w:val="en-US" w:eastAsia="zh-CN" w:bidi="ar-SA"/>
              </w:rPr>
            </w:pPr>
          </w:p>
        </w:tc>
      </w:tr>
    </w:tbl>
    <w:p w14:paraId="2823A8E2">
      <w:pPr>
        <w:rPr>
          <w:rFonts w:hint="eastAsia" w:cs="Times New Roman"/>
          <w:color w:val="auto"/>
          <w:highlight w:val="none"/>
        </w:rPr>
      </w:pPr>
    </w:p>
    <w:p w14:paraId="2BD6BF32">
      <w:pPr>
        <w:rPr>
          <w:rFonts w:hint="eastAsia" w:ascii="黑体" w:hAnsi="黑体" w:eastAsia="黑体" w:cs="Times New Roman"/>
          <w:highlight w:val="none"/>
        </w:rPr>
      </w:pPr>
      <w:r>
        <w:rPr>
          <w:rFonts w:hint="eastAsia" w:ascii="黑体" w:hAnsi="黑体" w:eastAsia="黑体" w:cs="Times New Roman"/>
          <w:highlight w:val="none"/>
        </w:rPr>
        <w:t>六、消防安全对策、措施及建议</w:t>
      </w:r>
    </w:p>
    <w:p w14:paraId="0AA5944F">
      <w:pPr>
        <w:ind w:firstLine="480" w:firstLineChars="200"/>
        <w:rPr>
          <w:rFonts w:hint="eastAsia" w:cs="Times New Roman"/>
          <w:highlight w:val="none"/>
        </w:rPr>
      </w:pPr>
      <w:r>
        <w:rPr>
          <w:rFonts w:hint="eastAsia" w:cs="Times New Roman"/>
          <w:highlight w:val="none"/>
        </w:rPr>
        <w:t>1.消防管理</w:t>
      </w:r>
    </w:p>
    <w:p w14:paraId="178663D3">
      <w:pPr>
        <w:ind w:firstLine="720" w:firstLineChars="300"/>
        <w:rPr>
          <w:rFonts w:hint="eastAsia" w:cs="Times New Roman"/>
          <w:highlight w:val="none"/>
        </w:rPr>
      </w:pPr>
      <w:r>
        <w:rPr>
          <w:rFonts w:hint="eastAsia" w:cs="Times New Roman"/>
          <w:highlight w:val="none"/>
        </w:rPr>
        <w:t>主要问题：</w:t>
      </w:r>
    </w:p>
    <w:p w14:paraId="29D69487">
      <w:pPr>
        <w:ind w:firstLine="720" w:firstLineChars="300"/>
        <w:rPr>
          <w:rFonts w:hint="eastAsia" w:cs="Times New Roman"/>
          <w:highlight w:val="none"/>
        </w:rPr>
      </w:pPr>
      <w:r>
        <w:rPr>
          <w:rFonts w:hint="eastAsia" w:cs="Times New Roman"/>
          <w:highlight w:val="none"/>
        </w:rPr>
        <w:t>对策、措施及建议：</w:t>
      </w:r>
    </w:p>
    <w:p w14:paraId="02D60B01">
      <w:pPr>
        <w:ind w:firstLine="480" w:firstLineChars="200"/>
        <w:rPr>
          <w:rFonts w:hint="eastAsia" w:cs="Times New Roman"/>
          <w:highlight w:val="none"/>
        </w:rPr>
      </w:pPr>
      <w:r>
        <w:rPr>
          <w:rFonts w:hint="eastAsia" w:cs="Times New Roman"/>
          <w:highlight w:val="none"/>
        </w:rPr>
        <w:t>2.建筑防火</w:t>
      </w:r>
    </w:p>
    <w:p w14:paraId="0FB9A77B">
      <w:pPr>
        <w:ind w:firstLine="720" w:firstLineChars="300"/>
        <w:rPr>
          <w:rFonts w:hint="eastAsia" w:cs="Times New Roman"/>
          <w:highlight w:val="none"/>
        </w:rPr>
      </w:pPr>
      <w:r>
        <w:rPr>
          <w:rFonts w:hint="eastAsia" w:cs="Times New Roman"/>
          <w:highlight w:val="none"/>
        </w:rPr>
        <w:t>主要问题：</w:t>
      </w:r>
    </w:p>
    <w:p w14:paraId="255F8185">
      <w:pPr>
        <w:ind w:firstLine="720" w:firstLineChars="300"/>
        <w:rPr>
          <w:rFonts w:hint="eastAsia" w:cs="Times New Roman"/>
          <w:highlight w:val="none"/>
        </w:rPr>
      </w:pPr>
      <w:r>
        <w:rPr>
          <w:rFonts w:hint="eastAsia" w:cs="Times New Roman"/>
          <w:highlight w:val="none"/>
        </w:rPr>
        <w:t>对策、措施及建议：</w:t>
      </w:r>
    </w:p>
    <w:p w14:paraId="1FA1B946">
      <w:pPr>
        <w:ind w:firstLine="480" w:firstLineChars="200"/>
        <w:rPr>
          <w:rFonts w:hint="default" w:eastAsia="宋体" w:cs="Times New Roman"/>
          <w:highlight w:val="none"/>
          <w:lang w:val="en-US" w:eastAsia="zh-CN"/>
        </w:rPr>
      </w:pPr>
      <w:r>
        <w:rPr>
          <w:rFonts w:hint="eastAsia" w:cs="Times New Roman"/>
          <w:highlight w:val="none"/>
        </w:rPr>
        <w:t>3.</w:t>
      </w:r>
      <w:r>
        <w:rPr>
          <w:rFonts w:hint="eastAsia" w:cs="Times New Roman"/>
          <w:highlight w:val="none"/>
          <w:lang w:val="en-US" w:eastAsia="zh-CN"/>
        </w:rPr>
        <w:t>消防设施</w:t>
      </w:r>
    </w:p>
    <w:p w14:paraId="730E9CED">
      <w:pPr>
        <w:ind w:firstLine="720" w:firstLineChars="300"/>
        <w:rPr>
          <w:rFonts w:hint="eastAsia" w:cs="Times New Roman"/>
          <w:highlight w:val="none"/>
        </w:rPr>
      </w:pPr>
      <w:r>
        <w:rPr>
          <w:rFonts w:hint="eastAsia" w:cs="Times New Roman"/>
          <w:highlight w:val="none"/>
        </w:rPr>
        <w:t>主要问题：</w:t>
      </w:r>
    </w:p>
    <w:p w14:paraId="2EDA0896">
      <w:pPr>
        <w:ind w:firstLine="720" w:firstLineChars="300"/>
        <w:rPr>
          <w:rFonts w:hint="eastAsia" w:cs="Times New Roman"/>
          <w:highlight w:val="none"/>
        </w:rPr>
      </w:pPr>
      <w:r>
        <w:rPr>
          <w:rFonts w:hint="eastAsia" w:cs="Times New Roman"/>
          <w:highlight w:val="none"/>
        </w:rPr>
        <w:t>对策、措施及建议：</w:t>
      </w:r>
    </w:p>
    <w:p w14:paraId="26988208">
      <w:pPr>
        <w:ind w:firstLine="480" w:firstLineChars="200"/>
        <w:rPr>
          <w:rFonts w:hint="eastAsia" w:cs="Times New Roman"/>
          <w:highlight w:val="none"/>
        </w:rPr>
      </w:pPr>
      <w:r>
        <w:rPr>
          <w:rFonts w:hint="eastAsia" w:cs="Times New Roman"/>
          <w:highlight w:val="none"/>
        </w:rPr>
        <w:t>4.火灾防护</w:t>
      </w:r>
    </w:p>
    <w:p w14:paraId="4024492C">
      <w:pPr>
        <w:ind w:firstLine="720" w:firstLineChars="300"/>
        <w:rPr>
          <w:rFonts w:hint="eastAsia" w:cs="Times New Roman"/>
          <w:highlight w:val="none"/>
        </w:rPr>
      </w:pPr>
      <w:r>
        <w:rPr>
          <w:rFonts w:hint="eastAsia" w:cs="Times New Roman"/>
          <w:highlight w:val="none"/>
        </w:rPr>
        <w:t>主要问题：</w:t>
      </w:r>
    </w:p>
    <w:p w14:paraId="7505144E">
      <w:pPr>
        <w:ind w:firstLine="720" w:firstLineChars="300"/>
        <w:rPr>
          <w:rFonts w:hint="eastAsia" w:cs="Times New Roman"/>
          <w:highlight w:val="none"/>
        </w:rPr>
      </w:pPr>
      <w:r>
        <w:rPr>
          <w:rFonts w:hint="eastAsia" w:cs="Times New Roman"/>
          <w:highlight w:val="none"/>
        </w:rPr>
        <w:t>对策、措施及建议：</w:t>
      </w:r>
    </w:p>
    <w:p w14:paraId="6222B0E3">
      <w:pPr>
        <w:rPr>
          <w:rFonts w:hint="eastAsia" w:ascii="黑体" w:hAnsi="黑体" w:eastAsia="黑体" w:cs="Times New Roman"/>
          <w:highlight w:val="none"/>
        </w:rPr>
      </w:pPr>
      <w:r>
        <w:rPr>
          <w:rFonts w:hint="eastAsia" w:ascii="黑体" w:hAnsi="黑体" w:eastAsia="黑体" w:cs="Times New Roman"/>
          <w:highlight w:val="none"/>
        </w:rPr>
        <w:t>七、综合评估得分</w:t>
      </w:r>
    </w:p>
    <w:p w14:paraId="2F87F5F3">
      <w:pPr>
        <w:ind w:firstLine="720" w:firstLineChars="300"/>
        <w:rPr>
          <w:rFonts w:hint="eastAsia" w:eastAsia="宋体" w:cs="Times New Roman"/>
          <w:color w:val="auto"/>
          <w:highlight w:val="none"/>
          <w:lang w:val="en-US" w:eastAsia="zh-CN"/>
        </w:rPr>
      </w:pPr>
      <w:r>
        <w:rPr>
          <w:rFonts w:hint="eastAsia" w:cs="Times New Roman"/>
          <w:highlight w:val="none"/>
        </w:rPr>
        <w:t>经综合评定，该单位消防安全综合评分为xx，等级为“x”。评分过程如</w:t>
      </w:r>
      <w:r>
        <w:rPr>
          <w:rFonts w:hint="eastAsia" w:cs="Times New Roman"/>
          <w:color w:val="auto"/>
          <w:highlight w:val="none"/>
        </w:rPr>
        <w:t>下表</w:t>
      </w:r>
      <w:r>
        <w:rPr>
          <w:rFonts w:hint="eastAsia" w:cs="Times New Roman"/>
          <w:color w:val="auto"/>
          <w:highlight w:val="none"/>
          <w:lang w:eastAsia="zh-CN"/>
        </w:rPr>
        <w:t>：</w:t>
      </w:r>
    </w:p>
    <w:p w14:paraId="41BFEEEB">
      <w:pPr>
        <w:spacing w:line="14" w:lineRule="exact"/>
        <w:rPr>
          <w:color w:val="auto"/>
          <w:highlight w:val="none"/>
        </w:rPr>
      </w:pPr>
    </w:p>
    <w:p w14:paraId="4EFA8767">
      <w:pPr>
        <w:spacing w:line="14" w:lineRule="exact"/>
        <w:rPr>
          <w:color w:val="auto"/>
          <w:highlight w:val="none"/>
        </w:rPr>
      </w:pPr>
    </w:p>
    <w:tbl>
      <w:tblPr>
        <w:tblStyle w:val="24"/>
        <w:tblW w:w="883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8"/>
        <w:gridCol w:w="2024"/>
        <w:gridCol w:w="1476"/>
        <w:gridCol w:w="1241"/>
        <w:gridCol w:w="972"/>
        <w:gridCol w:w="762"/>
        <w:gridCol w:w="1193"/>
      </w:tblGrid>
      <w:tr w14:paraId="1D6DF7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1168" w:type="dxa"/>
            <w:vAlign w:val="top"/>
          </w:tcPr>
          <w:p w14:paraId="4111E1B8">
            <w:pPr>
              <w:pStyle w:val="23"/>
              <w:keepNext w:val="0"/>
              <w:keepLines w:val="0"/>
              <w:suppressLineNumbers w:val="0"/>
              <w:spacing w:before="212" w:line="229"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判定项</w:t>
            </w:r>
          </w:p>
        </w:tc>
        <w:tc>
          <w:tcPr>
            <w:tcW w:w="6475" w:type="dxa"/>
            <w:gridSpan w:val="5"/>
            <w:vAlign w:val="top"/>
          </w:tcPr>
          <w:p w14:paraId="0367E65E">
            <w:pPr>
              <w:pStyle w:val="23"/>
              <w:keepNext w:val="0"/>
              <w:keepLines w:val="0"/>
              <w:suppressLineNumbers w:val="0"/>
              <w:spacing w:before="212" w:line="227" w:lineRule="auto"/>
              <w:ind w:left="2737"/>
              <w:rPr>
                <w:rFonts w:hint="eastAsia" w:ascii="宋体" w:hAnsi="宋体" w:eastAsia="宋体" w:cs="宋体"/>
                <w:color w:val="auto"/>
                <w:sz w:val="24"/>
                <w:szCs w:val="24"/>
                <w:highlight w:val="none"/>
              </w:rPr>
            </w:pPr>
            <w:r>
              <w:rPr>
                <w:rFonts w:hint="eastAsia" w:ascii="宋体" w:hAnsi="宋体" w:eastAsia="宋体" w:cs="宋体"/>
                <w:b/>
                <w:bCs/>
                <w:color w:val="auto"/>
                <w:spacing w:val="6"/>
                <w:sz w:val="24"/>
                <w:szCs w:val="24"/>
                <w:highlight w:val="none"/>
              </w:rPr>
              <w:t>评估内容</w:t>
            </w:r>
          </w:p>
        </w:tc>
        <w:tc>
          <w:tcPr>
            <w:tcW w:w="1193" w:type="dxa"/>
            <w:vAlign w:val="top"/>
          </w:tcPr>
          <w:p w14:paraId="4098C0D1">
            <w:pPr>
              <w:pStyle w:val="23"/>
              <w:keepNext w:val="0"/>
              <w:keepLines w:val="0"/>
              <w:suppressLineNumbers w:val="0"/>
              <w:spacing w:before="212" w:line="227"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6"/>
                <w:sz w:val="24"/>
                <w:szCs w:val="24"/>
                <w:highlight w:val="none"/>
              </w:rPr>
              <w:t>评估结果</w:t>
            </w:r>
          </w:p>
        </w:tc>
      </w:tr>
      <w:tr w14:paraId="4E3FF5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168" w:type="dxa"/>
            <w:vMerge w:val="restart"/>
            <w:tcBorders>
              <w:bottom w:val="nil"/>
            </w:tcBorders>
            <w:vAlign w:val="top"/>
          </w:tcPr>
          <w:p w14:paraId="5784D65F">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0712BBE8">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4728805F">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4705C753">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34222F45">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24A13409">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69E0BBC0">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19D78F43">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75DF5729">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3F4BD8A1">
            <w:pPr>
              <w:keepNext w:val="0"/>
              <w:keepLines w:val="0"/>
              <w:suppressLineNumbers w:val="0"/>
              <w:spacing w:before="0" w:beforeAutospacing="0" w:after="0" w:afterAutospacing="0" w:line="250" w:lineRule="auto"/>
              <w:ind w:left="0" w:right="0"/>
              <w:jc w:val="center"/>
              <w:rPr>
                <w:rFonts w:hint="eastAsia" w:ascii="宋体" w:hAnsi="宋体" w:eastAsia="宋体" w:cs="宋体"/>
                <w:color w:val="auto"/>
                <w:sz w:val="24"/>
                <w:szCs w:val="24"/>
                <w:highlight w:val="none"/>
              </w:rPr>
            </w:pPr>
          </w:p>
          <w:p w14:paraId="76F1C28F">
            <w:pPr>
              <w:keepNext w:val="0"/>
              <w:keepLines w:val="0"/>
              <w:suppressLineNumbers w:val="0"/>
              <w:spacing w:before="0" w:beforeAutospacing="0" w:after="0" w:afterAutospacing="0" w:line="251" w:lineRule="auto"/>
              <w:ind w:left="0" w:right="0"/>
              <w:jc w:val="center"/>
              <w:rPr>
                <w:rFonts w:hint="eastAsia" w:ascii="宋体" w:hAnsi="宋体" w:eastAsia="宋体" w:cs="宋体"/>
                <w:color w:val="auto"/>
                <w:sz w:val="24"/>
                <w:szCs w:val="24"/>
                <w:highlight w:val="none"/>
              </w:rPr>
            </w:pPr>
          </w:p>
          <w:p w14:paraId="49F141AC">
            <w:pPr>
              <w:keepNext w:val="0"/>
              <w:keepLines w:val="0"/>
              <w:suppressLineNumbers w:val="0"/>
              <w:spacing w:before="0" w:beforeAutospacing="0" w:after="0" w:afterAutospacing="0" w:line="251" w:lineRule="auto"/>
              <w:ind w:left="0" w:right="0"/>
              <w:jc w:val="center"/>
              <w:rPr>
                <w:rFonts w:hint="eastAsia" w:ascii="宋体" w:hAnsi="宋体" w:eastAsia="宋体" w:cs="宋体"/>
                <w:color w:val="auto"/>
                <w:sz w:val="24"/>
                <w:szCs w:val="24"/>
                <w:highlight w:val="none"/>
              </w:rPr>
            </w:pPr>
          </w:p>
          <w:p w14:paraId="171575A7">
            <w:pPr>
              <w:keepNext w:val="0"/>
              <w:keepLines w:val="0"/>
              <w:suppressLineNumbers w:val="0"/>
              <w:spacing w:before="0" w:beforeAutospacing="0" w:after="0" w:afterAutospacing="0" w:line="251" w:lineRule="auto"/>
              <w:ind w:left="0" w:right="0"/>
              <w:jc w:val="center"/>
              <w:rPr>
                <w:rFonts w:hint="eastAsia" w:ascii="宋体" w:hAnsi="宋体" w:eastAsia="宋体" w:cs="宋体"/>
                <w:color w:val="auto"/>
                <w:sz w:val="24"/>
                <w:szCs w:val="24"/>
                <w:highlight w:val="none"/>
              </w:rPr>
            </w:pPr>
          </w:p>
          <w:p w14:paraId="16E8A290">
            <w:pPr>
              <w:keepNext w:val="0"/>
              <w:keepLines w:val="0"/>
              <w:suppressLineNumbers w:val="0"/>
              <w:spacing w:before="0" w:beforeAutospacing="0" w:after="0" w:afterAutospacing="0" w:line="251" w:lineRule="auto"/>
              <w:ind w:left="0" w:right="0"/>
              <w:jc w:val="center"/>
              <w:rPr>
                <w:rFonts w:hint="eastAsia" w:ascii="宋体" w:hAnsi="宋体" w:eastAsia="宋体" w:cs="宋体"/>
                <w:color w:val="auto"/>
                <w:sz w:val="24"/>
                <w:szCs w:val="24"/>
                <w:highlight w:val="none"/>
              </w:rPr>
            </w:pPr>
          </w:p>
          <w:p w14:paraId="065D7EA3">
            <w:pPr>
              <w:keepNext w:val="0"/>
              <w:keepLines w:val="0"/>
              <w:suppressLineNumbers w:val="0"/>
              <w:spacing w:before="0" w:beforeAutospacing="0" w:after="0" w:afterAutospacing="0" w:line="251" w:lineRule="auto"/>
              <w:ind w:left="0" w:right="0"/>
              <w:jc w:val="center"/>
              <w:rPr>
                <w:rFonts w:hint="eastAsia" w:ascii="宋体" w:hAnsi="宋体" w:eastAsia="宋体" w:cs="宋体"/>
                <w:color w:val="auto"/>
                <w:sz w:val="24"/>
                <w:szCs w:val="24"/>
                <w:highlight w:val="none"/>
              </w:rPr>
            </w:pPr>
          </w:p>
          <w:p w14:paraId="20C548CD">
            <w:pPr>
              <w:keepNext w:val="0"/>
              <w:keepLines w:val="0"/>
              <w:suppressLineNumbers w:val="0"/>
              <w:spacing w:before="0" w:beforeAutospacing="0" w:after="0" w:afterAutospacing="0" w:line="251" w:lineRule="auto"/>
              <w:ind w:left="0" w:right="0"/>
              <w:jc w:val="center"/>
              <w:rPr>
                <w:rFonts w:hint="eastAsia" w:ascii="宋体" w:hAnsi="宋体" w:eastAsia="宋体" w:cs="宋体"/>
                <w:color w:val="auto"/>
                <w:sz w:val="24"/>
                <w:szCs w:val="24"/>
                <w:highlight w:val="none"/>
              </w:rPr>
            </w:pPr>
          </w:p>
          <w:p w14:paraId="65EDDD8E">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6"/>
                <w:sz w:val="24"/>
                <w:szCs w:val="24"/>
                <w:highlight w:val="none"/>
              </w:rPr>
              <w:t>直接判定</w:t>
            </w:r>
          </w:p>
        </w:tc>
        <w:tc>
          <w:tcPr>
            <w:tcW w:w="6475" w:type="dxa"/>
            <w:gridSpan w:val="5"/>
            <w:vAlign w:val="top"/>
          </w:tcPr>
          <w:p w14:paraId="4010FE3C">
            <w:pPr>
              <w:pStyle w:val="23"/>
              <w:keepNext w:val="0"/>
              <w:keepLines w:val="0"/>
              <w:suppressLineNumbers w:val="0"/>
              <w:spacing w:before="208" w:line="227" w:lineRule="auto"/>
              <w:ind w:left="2319"/>
              <w:rPr>
                <w:rFonts w:hint="eastAsia" w:ascii="宋体" w:hAnsi="宋体" w:eastAsia="宋体" w:cs="宋体"/>
                <w:color w:val="auto"/>
                <w:sz w:val="24"/>
                <w:szCs w:val="24"/>
                <w:highlight w:val="none"/>
              </w:rPr>
            </w:pPr>
            <w:r>
              <w:rPr>
                <w:rFonts w:hint="eastAsia" w:ascii="宋体" w:hAnsi="宋体" w:eastAsia="宋体" w:cs="宋体"/>
                <w:b/>
                <w:bCs/>
                <w:color w:val="auto"/>
                <w:spacing w:val="7"/>
                <w:sz w:val="24"/>
                <w:szCs w:val="24"/>
                <w:highlight w:val="none"/>
              </w:rPr>
              <w:t>直接判定评估内容</w:t>
            </w:r>
          </w:p>
        </w:tc>
        <w:tc>
          <w:tcPr>
            <w:tcW w:w="1193" w:type="dxa"/>
            <w:vAlign w:val="top"/>
          </w:tcPr>
          <w:p w14:paraId="42C3664A">
            <w:pPr>
              <w:pStyle w:val="23"/>
              <w:keepNext w:val="0"/>
              <w:keepLines w:val="0"/>
              <w:suppressLineNumbers w:val="0"/>
              <w:spacing w:before="208"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是否存在</w:t>
            </w:r>
          </w:p>
        </w:tc>
      </w:tr>
      <w:tr w14:paraId="1FC306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54A2B769">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788E5023">
            <w:pPr>
              <w:pStyle w:val="23"/>
              <w:keepNext w:val="0"/>
              <w:keepLines w:val="0"/>
              <w:suppressLineNumbers w:val="0"/>
              <w:spacing w:before="131" w:line="228" w:lineRule="auto"/>
              <w:ind w:left="115"/>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未依法确定消防安全管理人、自动消防系统操作</w:t>
            </w:r>
            <w:r>
              <w:rPr>
                <w:rFonts w:hint="eastAsia" w:ascii="宋体" w:hAnsi="宋体" w:eastAsia="宋体" w:cs="宋体"/>
                <w:color w:val="auto"/>
                <w:spacing w:val="6"/>
                <w:sz w:val="24"/>
                <w:szCs w:val="24"/>
                <w:highlight w:val="none"/>
              </w:rPr>
              <w:t>人员。</w:t>
            </w:r>
          </w:p>
        </w:tc>
        <w:tc>
          <w:tcPr>
            <w:tcW w:w="1193" w:type="dxa"/>
            <w:vAlign w:val="top"/>
          </w:tcPr>
          <w:p w14:paraId="4B5EC442">
            <w:pPr>
              <w:pStyle w:val="23"/>
              <w:keepNext w:val="0"/>
              <w:keepLines w:val="0"/>
              <w:suppressLineNumbers w:val="0"/>
              <w:spacing w:before="131" w:line="230" w:lineRule="auto"/>
              <w:jc w:val="center"/>
              <w:rPr>
                <w:rFonts w:hint="eastAsia" w:ascii="宋体" w:hAnsi="宋体" w:eastAsia="宋体" w:cs="宋体"/>
                <w:color w:val="auto"/>
                <w:sz w:val="24"/>
                <w:szCs w:val="24"/>
                <w:highlight w:val="none"/>
              </w:rPr>
            </w:pPr>
          </w:p>
        </w:tc>
      </w:tr>
      <w:tr w14:paraId="0991B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14C0265E">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12EC04CE">
            <w:pPr>
              <w:pStyle w:val="23"/>
              <w:keepNext w:val="0"/>
              <w:keepLines w:val="0"/>
              <w:suppressLineNumbers w:val="0"/>
              <w:spacing w:before="51" w:line="262" w:lineRule="auto"/>
              <w:ind w:left="114" w:right="112" w:firstLine="3"/>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公共娱乐场所、商店、地下人员密集场所的安全出口数量不足或其</w:t>
            </w:r>
            <w:r>
              <w:rPr>
                <w:rFonts w:hint="eastAsia" w:ascii="宋体" w:hAnsi="宋体" w:eastAsia="宋体" w:cs="宋体"/>
                <w:color w:val="auto"/>
                <w:spacing w:val="8"/>
                <w:sz w:val="24"/>
                <w:szCs w:val="24"/>
                <w:highlight w:val="none"/>
              </w:rPr>
              <w:t>总净宽度小于国家工程建设消防技术标准规定值的80%。</w:t>
            </w:r>
          </w:p>
        </w:tc>
        <w:tc>
          <w:tcPr>
            <w:tcW w:w="1193" w:type="dxa"/>
            <w:vAlign w:val="top"/>
          </w:tcPr>
          <w:p w14:paraId="1AE6166D">
            <w:pPr>
              <w:pStyle w:val="23"/>
              <w:keepNext w:val="0"/>
              <w:keepLines w:val="0"/>
              <w:suppressLineNumbers w:val="0"/>
              <w:spacing w:before="208" w:line="230" w:lineRule="auto"/>
              <w:jc w:val="center"/>
              <w:rPr>
                <w:rFonts w:hint="eastAsia" w:ascii="宋体" w:hAnsi="宋体" w:eastAsia="宋体" w:cs="宋体"/>
                <w:color w:val="auto"/>
                <w:sz w:val="24"/>
                <w:szCs w:val="24"/>
                <w:highlight w:val="none"/>
              </w:rPr>
            </w:pPr>
          </w:p>
        </w:tc>
      </w:tr>
      <w:tr w14:paraId="2F169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168" w:type="dxa"/>
            <w:vMerge w:val="continue"/>
            <w:tcBorders>
              <w:top w:val="nil"/>
              <w:bottom w:val="nil"/>
            </w:tcBorders>
            <w:vAlign w:val="top"/>
          </w:tcPr>
          <w:p w14:paraId="68AD70FA">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766D0EC1">
            <w:pPr>
              <w:pStyle w:val="23"/>
              <w:keepNext w:val="0"/>
              <w:keepLines w:val="0"/>
              <w:suppressLineNumbers w:val="0"/>
              <w:spacing w:before="54" w:line="260" w:lineRule="auto"/>
              <w:ind w:left="116" w:right="112" w:hanging="5"/>
              <w:rPr>
                <w:rFonts w:hint="eastAsia" w:ascii="宋体" w:hAnsi="宋体" w:eastAsia="宋体" w:cs="宋体"/>
                <w:color w:val="auto"/>
                <w:sz w:val="24"/>
                <w:szCs w:val="24"/>
                <w:highlight w:val="none"/>
              </w:rPr>
            </w:pPr>
            <w:r>
              <w:rPr>
                <w:rFonts w:hint="eastAsia" w:ascii="宋体" w:hAnsi="宋体" w:eastAsia="宋体" w:cs="宋体"/>
                <w:color w:val="auto"/>
                <w:spacing w:val="10"/>
                <w:sz w:val="24"/>
                <w:szCs w:val="24"/>
                <w:highlight w:val="none"/>
              </w:rPr>
              <w:t>旅馆、公共娱乐场所、商店、地下人员密集</w:t>
            </w:r>
            <w:r>
              <w:rPr>
                <w:rFonts w:hint="eastAsia" w:ascii="宋体" w:hAnsi="宋体" w:eastAsia="宋体" w:cs="宋体"/>
                <w:color w:val="auto"/>
                <w:spacing w:val="9"/>
                <w:sz w:val="24"/>
                <w:szCs w:val="24"/>
                <w:highlight w:val="none"/>
              </w:rPr>
              <w:t>场所未按国家工程建设消防技术标准的规定设置自动喷水灭火系统或火灾自动报警系统。</w:t>
            </w:r>
          </w:p>
        </w:tc>
        <w:tc>
          <w:tcPr>
            <w:tcW w:w="1193" w:type="dxa"/>
            <w:vAlign w:val="top"/>
          </w:tcPr>
          <w:p w14:paraId="0EAB1527">
            <w:pPr>
              <w:pStyle w:val="23"/>
              <w:keepNext w:val="0"/>
              <w:keepLines w:val="0"/>
              <w:suppressLineNumbers w:val="0"/>
              <w:spacing w:before="210" w:line="230" w:lineRule="auto"/>
              <w:jc w:val="center"/>
              <w:rPr>
                <w:rFonts w:hint="eastAsia" w:ascii="宋体" w:hAnsi="宋体" w:eastAsia="宋体" w:cs="宋体"/>
                <w:color w:val="auto"/>
                <w:sz w:val="24"/>
                <w:szCs w:val="24"/>
                <w:highlight w:val="none"/>
              </w:rPr>
            </w:pPr>
          </w:p>
        </w:tc>
      </w:tr>
      <w:tr w14:paraId="30DAE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10BC3E6D">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3AFC7D91">
            <w:pPr>
              <w:pStyle w:val="23"/>
              <w:keepNext w:val="0"/>
              <w:keepLines w:val="0"/>
              <w:suppressLineNumbers w:val="0"/>
              <w:spacing w:before="55" w:line="260" w:lineRule="auto"/>
              <w:ind w:left="114" w:right="32" w:firstLine="12"/>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易燃可燃液体、可燃气体储罐（区）未按国家工程建设消防技术标</w:t>
            </w:r>
            <w:r>
              <w:rPr>
                <w:rFonts w:hint="eastAsia" w:ascii="宋体" w:hAnsi="宋体" w:eastAsia="宋体" w:cs="宋体"/>
                <w:color w:val="auto"/>
                <w:spacing w:val="5"/>
                <w:sz w:val="24"/>
                <w:szCs w:val="24"/>
                <w:highlight w:val="none"/>
              </w:rPr>
              <w:t>准的规定设置固定灭火、冷却、可燃气体浓度报警、火灾报警设施。</w:t>
            </w:r>
          </w:p>
        </w:tc>
        <w:tc>
          <w:tcPr>
            <w:tcW w:w="1193" w:type="dxa"/>
            <w:vAlign w:val="top"/>
          </w:tcPr>
          <w:p w14:paraId="264DA68B">
            <w:pPr>
              <w:pStyle w:val="23"/>
              <w:keepNext w:val="0"/>
              <w:keepLines w:val="0"/>
              <w:suppressLineNumbers w:val="0"/>
              <w:spacing w:before="210" w:line="230" w:lineRule="auto"/>
              <w:jc w:val="center"/>
              <w:rPr>
                <w:rFonts w:hint="eastAsia" w:ascii="宋体" w:hAnsi="宋体" w:eastAsia="宋体" w:cs="宋体"/>
                <w:color w:val="auto"/>
                <w:sz w:val="24"/>
                <w:szCs w:val="24"/>
                <w:highlight w:val="none"/>
              </w:rPr>
            </w:pPr>
          </w:p>
        </w:tc>
      </w:tr>
      <w:tr w14:paraId="4B41C6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2C991C26">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48594990">
            <w:pPr>
              <w:pStyle w:val="23"/>
              <w:keepNext w:val="0"/>
              <w:keepLines w:val="0"/>
              <w:suppressLineNumbers w:val="0"/>
              <w:spacing w:before="131" w:line="228" w:lineRule="auto"/>
              <w:ind w:left="114"/>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建筑消防设施严重损坏，不再具备防火灭火功能。</w:t>
            </w:r>
          </w:p>
        </w:tc>
        <w:tc>
          <w:tcPr>
            <w:tcW w:w="1193" w:type="dxa"/>
            <w:vAlign w:val="top"/>
          </w:tcPr>
          <w:p w14:paraId="1874C25A">
            <w:pPr>
              <w:pStyle w:val="23"/>
              <w:keepNext w:val="0"/>
              <w:keepLines w:val="0"/>
              <w:suppressLineNumbers w:val="0"/>
              <w:spacing w:before="131" w:line="229" w:lineRule="auto"/>
              <w:jc w:val="center"/>
              <w:rPr>
                <w:rFonts w:hint="eastAsia" w:ascii="宋体" w:hAnsi="宋体" w:eastAsia="宋体" w:cs="宋体"/>
                <w:color w:val="auto"/>
                <w:sz w:val="24"/>
                <w:szCs w:val="24"/>
                <w:highlight w:val="none"/>
              </w:rPr>
            </w:pPr>
          </w:p>
        </w:tc>
      </w:tr>
      <w:tr w14:paraId="3500F0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0484054C">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7D7F7D57">
            <w:pPr>
              <w:pStyle w:val="23"/>
              <w:keepNext w:val="0"/>
              <w:keepLines w:val="0"/>
              <w:suppressLineNumbers w:val="0"/>
              <w:spacing w:before="133" w:line="227" w:lineRule="auto"/>
              <w:ind w:left="114"/>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人员密集场所违反消防安全规定，使用、储存易燃易爆危险品。</w:t>
            </w:r>
          </w:p>
        </w:tc>
        <w:tc>
          <w:tcPr>
            <w:tcW w:w="1193" w:type="dxa"/>
            <w:vAlign w:val="top"/>
          </w:tcPr>
          <w:p w14:paraId="4F2D43EF">
            <w:pPr>
              <w:pStyle w:val="23"/>
              <w:keepNext w:val="0"/>
              <w:keepLines w:val="0"/>
              <w:suppressLineNumbers w:val="0"/>
              <w:spacing w:before="133" w:line="230" w:lineRule="auto"/>
              <w:jc w:val="center"/>
              <w:rPr>
                <w:rFonts w:hint="eastAsia" w:ascii="宋体" w:hAnsi="宋体" w:eastAsia="宋体" w:cs="宋体"/>
                <w:color w:val="auto"/>
                <w:sz w:val="24"/>
                <w:szCs w:val="24"/>
                <w:highlight w:val="none"/>
              </w:rPr>
            </w:pPr>
          </w:p>
        </w:tc>
      </w:tr>
      <w:tr w14:paraId="510FE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5DDBA192">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14CBC1E7">
            <w:pPr>
              <w:pStyle w:val="23"/>
              <w:keepNext w:val="0"/>
              <w:keepLines w:val="0"/>
              <w:suppressLineNumbers w:val="0"/>
              <w:spacing w:before="53" w:line="261" w:lineRule="auto"/>
              <w:ind w:left="117" w:right="112"/>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公众聚集场所违反消防技术标准，采用易燃、可燃材料装修，可能</w:t>
            </w:r>
            <w:r>
              <w:rPr>
                <w:rFonts w:hint="eastAsia" w:ascii="宋体" w:hAnsi="宋体" w:eastAsia="宋体" w:cs="宋体"/>
                <w:color w:val="auto"/>
                <w:spacing w:val="7"/>
                <w:sz w:val="24"/>
                <w:szCs w:val="24"/>
                <w:highlight w:val="none"/>
              </w:rPr>
              <w:t>导致重大人员伤亡。</w:t>
            </w:r>
          </w:p>
        </w:tc>
        <w:tc>
          <w:tcPr>
            <w:tcW w:w="1193" w:type="dxa"/>
            <w:vAlign w:val="top"/>
          </w:tcPr>
          <w:p w14:paraId="09FC3605">
            <w:pPr>
              <w:pStyle w:val="23"/>
              <w:keepNext w:val="0"/>
              <w:keepLines w:val="0"/>
              <w:suppressLineNumbers w:val="0"/>
              <w:spacing w:before="209" w:line="230" w:lineRule="auto"/>
              <w:jc w:val="center"/>
              <w:rPr>
                <w:rFonts w:hint="eastAsia" w:ascii="宋体" w:hAnsi="宋体" w:eastAsia="宋体" w:cs="宋体"/>
                <w:color w:val="auto"/>
                <w:sz w:val="24"/>
                <w:szCs w:val="24"/>
                <w:highlight w:val="none"/>
              </w:rPr>
            </w:pPr>
          </w:p>
        </w:tc>
      </w:tr>
      <w:tr w14:paraId="67524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4617AB1D">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515F6FEE">
            <w:pPr>
              <w:pStyle w:val="23"/>
              <w:keepNext w:val="0"/>
              <w:keepLines w:val="0"/>
              <w:suppressLineNumbers w:val="0"/>
              <w:spacing w:before="53" w:line="261" w:lineRule="auto"/>
              <w:ind w:left="115" w:right="112" w:hanging="1"/>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生产、储存和装卸易燃易爆化学物品的工厂、仓库和专用车站、码头、储罐区，未设置在城市的边缘或相对独立的安全地带。</w:t>
            </w:r>
          </w:p>
        </w:tc>
        <w:tc>
          <w:tcPr>
            <w:tcW w:w="1193" w:type="dxa"/>
            <w:vAlign w:val="top"/>
          </w:tcPr>
          <w:p w14:paraId="0857767B">
            <w:pPr>
              <w:pStyle w:val="23"/>
              <w:keepNext w:val="0"/>
              <w:keepLines w:val="0"/>
              <w:suppressLineNumbers w:val="0"/>
              <w:spacing w:before="209" w:line="230" w:lineRule="auto"/>
              <w:jc w:val="center"/>
              <w:rPr>
                <w:rFonts w:hint="eastAsia" w:ascii="宋体" w:hAnsi="宋体" w:eastAsia="宋体" w:cs="宋体"/>
                <w:color w:val="auto"/>
                <w:sz w:val="24"/>
                <w:szCs w:val="24"/>
                <w:highlight w:val="none"/>
              </w:rPr>
            </w:pPr>
          </w:p>
        </w:tc>
      </w:tr>
      <w:tr w14:paraId="1A37FD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432FBA21">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629B0FB1">
            <w:pPr>
              <w:pStyle w:val="23"/>
              <w:keepNext w:val="0"/>
              <w:keepLines w:val="0"/>
              <w:suppressLineNumbers w:val="0"/>
              <w:spacing w:before="132" w:line="228" w:lineRule="auto"/>
              <w:ind w:left="139"/>
              <w:rPr>
                <w:rFonts w:hint="eastAsia" w:ascii="宋体" w:hAnsi="宋体" w:eastAsia="宋体" w:cs="宋体"/>
                <w:strike/>
                <w:color w:val="auto"/>
                <w:sz w:val="24"/>
                <w:szCs w:val="24"/>
                <w:highlight w:val="none"/>
              </w:rPr>
            </w:pPr>
            <w:r>
              <w:rPr>
                <w:rFonts w:hint="eastAsia" w:ascii="宋体" w:hAnsi="宋体" w:eastAsia="宋体" w:cs="宋体"/>
                <w:strike/>
                <w:color w:val="auto"/>
                <w:spacing w:val="8"/>
                <w:sz w:val="24"/>
                <w:szCs w:val="24"/>
                <w:highlight w:val="none"/>
              </w:rPr>
              <w:t>甲、乙类生产场所和仓库设置在建筑的地下、半地下室。</w:t>
            </w:r>
          </w:p>
        </w:tc>
        <w:tc>
          <w:tcPr>
            <w:tcW w:w="1193" w:type="dxa"/>
            <w:vAlign w:val="top"/>
          </w:tcPr>
          <w:p w14:paraId="41016B6E">
            <w:pPr>
              <w:pStyle w:val="23"/>
              <w:keepNext w:val="0"/>
              <w:keepLines w:val="0"/>
              <w:suppressLineNumbers w:val="0"/>
              <w:spacing w:before="131" w:line="230" w:lineRule="auto"/>
              <w:jc w:val="center"/>
              <w:rPr>
                <w:rFonts w:hint="eastAsia" w:ascii="宋体" w:hAnsi="宋体" w:eastAsia="宋体" w:cs="宋体"/>
                <w:strike/>
                <w:color w:val="auto"/>
                <w:sz w:val="24"/>
                <w:szCs w:val="24"/>
                <w:highlight w:val="none"/>
              </w:rPr>
            </w:pPr>
          </w:p>
        </w:tc>
      </w:tr>
      <w:tr w14:paraId="0DD58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168" w:type="dxa"/>
            <w:vMerge w:val="continue"/>
            <w:tcBorders>
              <w:top w:val="nil"/>
              <w:bottom w:val="nil"/>
            </w:tcBorders>
            <w:vAlign w:val="top"/>
          </w:tcPr>
          <w:p w14:paraId="1D35D7D8">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204111CF">
            <w:pPr>
              <w:pStyle w:val="23"/>
              <w:keepNext w:val="0"/>
              <w:keepLines w:val="0"/>
              <w:suppressLineNumbers w:val="0"/>
              <w:spacing w:before="55" w:line="269" w:lineRule="auto"/>
              <w:ind w:left="112" w:right="112" w:firstLine="1"/>
              <w:jc w:val="both"/>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生产、储存、经营易燃易爆危险品的场所与人员密集场所、居住场所设置在同一建筑物内，或与人员密集场所、居住场所的防火间距</w:t>
            </w:r>
            <w:r>
              <w:rPr>
                <w:rFonts w:hint="eastAsia" w:ascii="宋体" w:hAnsi="宋体" w:eastAsia="宋体" w:cs="宋体"/>
                <w:color w:val="auto"/>
                <w:spacing w:val="7"/>
                <w:sz w:val="24"/>
                <w:szCs w:val="24"/>
                <w:highlight w:val="none"/>
              </w:rPr>
              <w:t>小于国家工程建设消防技术标准规定值的75%。</w:t>
            </w:r>
          </w:p>
        </w:tc>
        <w:tc>
          <w:tcPr>
            <w:tcW w:w="1193" w:type="dxa"/>
            <w:vAlign w:val="top"/>
          </w:tcPr>
          <w:p w14:paraId="66FF79B6">
            <w:pPr>
              <w:pStyle w:val="23"/>
              <w:keepNext w:val="0"/>
              <w:keepLines w:val="0"/>
              <w:suppressLineNumbers w:val="0"/>
              <w:spacing w:before="65" w:line="230" w:lineRule="auto"/>
              <w:jc w:val="center"/>
              <w:rPr>
                <w:rFonts w:hint="eastAsia" w:ascii="宋体" w:hAnsi="宋体" w:eastAsia="宋体" w:cs="宋体"/>
                <w:color w:val="auto"/>
                <w:sz w:val="24"/>
                <w:szCs w:val="24"/>
                <w:highlight w:val="none"/>
              </w:rPr>
            </w:pPr>
          </w:p>
        </w:tc>
      </w:tr>
      <w:tr w14:paraId="355ED9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0C5D5697">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3DD62E62">
            <w:pPr>
              <w:pStyle w:val="23"/>
              <w:keepNext w:val="0"/>
              <w:keepLines w:val="0"/>
              <w:suppressLineNumbers w:val="0"/>
              <w:spacing w:before="131" w:line="228" w:lineRule="auto"/>
              <w:ind w:left="115"/>
              <w:rPr>
                <w:rFonts w:hint="eastAsia" w:ascii="宋体" w:hAnsi="宋体" w:eastAsia="宋体" w:cs="宋体"/>
                <w:color w:val="auto"/>
                <w:sz w:val="24"/>
                <w:szCs w:val="24"/>
                <w:highlight w:val="none"/>
              </w:rPr>
            </w:pPr>
            <w:r>
              <w:rPr>
                <w:rFonts w:hint="eastAsia" w:ascii="宋体" w:hAnsi="宋体" w:eastAsia="宋体" w:cs="宋体"/>
                <w:color w:val="auto"/>
                <w:spacing w:val="7"/>
                <w:sz w:val="24"/>
                <w:szCs w:val="24"/>
                <w:highlight w:val="none"/>
              </w:rPr>
              <w:t>未依法建立专职消防队。</w:t>
            </w:r>
          </w:p>
        </w:tc>
        <w:tc>
          <w:tcPr>
            <w:tcW w:w="1193" w:type="dxa"/>
            <w:vAlign w:val="top"/>
          </w:tcPr>
          <w:p w14:paraId="37E60A87">
            <w:pPr>
              <w:pStyle w:val="23"/>
              <w:keepNext w:val="0"/>
              <w:keepLines w:val="0"/>
              <w:suppressLineNumbers w:val="0"/>
              <w:spacing w:before="132" w:line="230" w:lineRule="auto"/>
              <w:jc w:val="center"/>
              <w:rPr>
                <w:rFonts w:hint="eastAsia" w:ascii="宋体" w:hAnsi="宋体" w:eastAsia="宋体" w:cs="宋体"/>
                <w:color w:val="auto"/>
                <w:sz w:val="24"/>
                <w:szCs w:val="24"/>
                <w:highlight w:val="none"/>
              </w:rPr>
            </w:pPr>
          </w:p>
        </w:tc>
      </w:tr>
      <w:tr w14:paraId="3A54CD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7E29417B">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4D43AFBE">
            <w:pPr>
              <w:pStyle w:val="23"/>
              <w:keepNext w:val="0"/>
              <w:keepLines w:val="0"/>
              <w:suppressLineNumbers w:val="0"/>
              <w:spacing w:before="55" w:line="260" w:lineRule="auto"/>
              <w:ind w:left="113" w:right="112" w:hanging="1"/>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托儿所、幼儿园的儿童用房以及老年人活动场所，所在楼层</w:t>
            </w:r>
            <w:r>
              <w:rPr>
                <w:rFonts w:hint="eastAsia" w:cs="宋体"/>
                <w:color w:val="auto"/>
                <w:spacing w:val="9"/>
                <w:sz w:val="24"/>
                <w:szCs w:val="24"/>
                <w:highlight w:val="none"/>
                <w:lang w:eastAsia="zh-CN"/>
              </w:rPr>
              <w:t>位置不</w:t>
            </w:r>
            <w:r>
              <w:rPr>
                <w:rFonts w:hint="eastAsia" w:ascii="宋体" w:hAnsi="宋体" w:eastAsia="宋体" w:cs="宋体"/>
                <w:color w:val="auto"/>
                <w:spacing w:val="8"/>
                <w:sz w:val="24"/>
                <w:szCs w:val="24"/>
                <w:highlight w:val="none"/>
              </w:rPr>
              <w:t>符合国家工程建设消防技术标准的规定。</w:t>
            </w:r>
          </w:p>
        </w:tc>
        <w:tc>
          <w:tcPr>
            <w:tcW w:w="1193" w:type="dxa"/>
            <w:vAlign w:val="top"/>
          </w:tcPr>
          <w:p w14:paraId="1EDF68B2">
            <w:pPr>
              <w:pStyle w:val="23"/>
              <w:keepNext w:val="0"/>
              <w:keepLines w:val="0"/>
              <w:suppressLineNumbers w:val="0"/>
              <w:spacing w:before="210" w:line="230" w:lineRule="auto"/>
              <w:jc w:val="center"/>
              <w:rPr>
                <w:rFonts w:hint="eastAsia" w:ascii="宋体" w:hAnsi="宋体" w:eastAsia="宋体" w:cs="宋体"/>
                <w:color w:val="auto"/>
                <w:sz w:val="24"/>
                <w:szCs w:val="24"/>
                <w:highlight w:val="none"/>
              </w:rPr>
            </w:pPr>
          </w:p>
        </w:tc>
      </w:tr>
      <w:tr w14:paraId="5FC23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168" w:type="dxa"/>
            <w:vMerge w:val="continue"/>
            <w:tcBorders>
              <w:top w:val="nil"/>
            </w:tcBorders>
            <w:vAlign w:val="top"/>
          </w:tcPr>
          <w:p w14:paraId="679B2EA6">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6475" w:type="dxa"/>
            <w:gridSpan w:val="5"/>
            <w:vAlign w:val="top"/>
          </w:tcPr>
          <w:p w14:paraId="3D4F3FA2">
            <w:pPr>
              <w:pStyle w:val="23"/>
              <w:keepNext w:val="0"/>
              <w:keepLines w:val="0"/>
              <w:suppressLineNumbers w:val="0"/>
              <w:spacing w:before="54" w:line="260" w:lineRule="auto"/>
              <w:ind w:left="129" w:right="112" w:hanging="15"/>
              <w:rPr>
                <w:rFonts w:hint="eastAsia" w:ascii="宋体" w:hAnsi="宋体" w:eastAsia="宋体" w:cs="宋体"/>
                <w:color w:val="auto"/>
                <w:sz w:val="24"/>
                <w:szCs w:val="24"/>
                <w:highlight w:val="none"/>
              </w:rPr>
            </w:pPr>
            <w:r>
              <w:rPr>
                <w:rFonts w:hint="eastAsia" w:ascii="宋体" w:hAnsi="宋体" w:eastAsia="宋体" w:cs="宋体"/>
                <w:color w:val="auto"/>
                <w:spacing w:val="9"/>
                <w:sz w:val="24"/>
                <w:szCs w:val="24"/>
                <w:highlight w:val="none"/>
              </w:rPr>
              <w:t>人员密集场所的居住场所采用彩钢夹芯板搭建，且彩钢夹芯板芯材</w:t>
            </w:r>
            <w:r>
              <w:rPr>
                <w:rFonts w:hint="eastAsia" w:ascii="宋体" w:hAnsi="宋体" w:eastAsia="宋体" w:cs="宋体"/>
                <w:color w:val="auto"/>
                <w:spacing w:val="5"/>
                <w:sz w:val="24"/>
                <w:szCs w:val="24"/>
                <w:highlight w:val="none"/>
              </w:rPr>
              <w:t>的燃烧性能等级低于</w:t>
            </w:r>
            <w:r>
              <w:rPr>
                <w:rFonts w:hint="eastAsia" w:ascii="宋体" w:hAnsi="宋体" w:eastAsia="宋体" w:cs="宋体"/>
                <w:color w:val="auto"/>
                <w:spacing w:val="-30"/>
                <w:sz w:val="24"/>
                <w:szCs w:val="24"/>
                <w:highlight w:val="none"/>
              </w:rPr>
              <w:t xml:space="preserve"> </w:t>
            </w:r>
            <w:r>
              <w:rPr>
                <w:rFonts w:hint="eastAsia" w:ascii="宋体" w:hAnsi="宋体" w:eastAsia="宋体" w:cs="宋体"/>
                <w:color w:val="auto"/>
                <w:sz w:val="24"/>
                <w:szCs w:val="24"/>
                <w:highlight w:val="none"/>
              </w:rPr>
              <w:t>GB</w:t>
            </w:r>
            <w:r>
              <w:rPr>
                <w:rFonts w:hint="eastAsia" w:ascii="宋体" w:hAnsi="宋体" w:eastAsia="宋体" w:cs="宋体"/>
                <w:color w:val="auto"/>
                <w:spacing w:val="5"/>
                <w:sz w:val="24"/>
                <w:szCs w:val="24"/>
                <w:highlight w:val="none"/>
              </w:rPr>
              <w:t>8624</w:t>
            </w:r>
            <w:r>
              <w:rPr>
                <w:rFonts w:hint="eastAsia" w:ascii="宋体" w:hAnsi="宋体" w:eastAsia="宋体" w:cs="宋体"/>
                <w:color w:val="auto"/>
                <w:spacing w:val="-37"/>
                <w:sz w:val="24"/>
                <w:szCs w:val="24"/>
                <w:highlight w:val="none"/>
              </w:rPr>
              <w:t xml:space="preserve"> </w:t>
            </w:r>
            <w:r>
              <w:rPr>
                <w:rFonts w:hint="eastAsia" w:ascii="宋体" w:hAnsi="宋体" w:eastAsia="宋体" w:cs="宋体"/>
                <w:color w:val="auto"/>
                <w:spacing w:val="5"/>
                <w:sz w:val="24"/>
                <w:szCs w:val="24"/>
                <w:highlight w:val="none"/>
              </w:rPr>
              <w:t>规定的</w:t>
            </w:r>
            <w:r>
              <w:rPr>
                <w:rFonts w:hint="eastAsia" w:ascii="宋体" w:hAnsi="宋体" w:eastAsia="宋体" w:cs="宋体"/>
                <w:color w:val="auto"/>
                <w:spacing w:val="-46"/>
                <w:sz w:val="24"/>
                <w:szCs w:val="24"/>
                <w:highlight w:val="none"/>
              </w:rPr>
              <w:t xml:space="preserve"> </w:t>
            </w:r>
            <w:r>
              <w:rPr>
                <w:rFonts w:hint="eastAsia" w:ascii="宋体" w:hAnsi="宋体" w:eastAsia="宋体" w:cs="宋体"/>
                <w:color w:val="auto"/>
                <w:spacing w:val="5"/>
                <w:sz w:val="24"/>
                <w:szCs w:val="24"/>
                <w:highlight w:val="none"/>
              </w:rPr>
              <w:t>A</w:t>
            </w:r>
            <w:r>
              <w:rPr>
                <w:rFonts w:hint="eastAsia" w:ascii="宋体" w:hAnsi="宋体" w:eastAsia="宋体" w:cs="宋体"/>
                <w:color w:val="auto"/>
                <w:spacing w:val="-34"/>
                <w:sz w:val="24"/>
                <w:szCs w:val="24"/>
                <w:highlight w:val="none"/>
              </w:rPr>
              <w:t xml:space="preserve"> </w:t>
            </w:r>
            <w:r>
              <w:rPr>
                <w:rFonts w:hint="eastAsia" w:ascii="宋体" w:hAnsi="宋体" w:eastAsia="宋体" w:cs="宋体"/>
                <w:color w:val="auto"/>
                <w:spacing w:val="5"/>
                <w:sz w:val="24"/>
                <w:szCs w:val="24"/>
                <w:highlight w:val="none"/>
              </w:rPr>
              <w:t>级。</w:t>
            </w:r>
          </w:p>
        </w:tc>
        <w:tc>
          <w:tcPr>
            <w:tcW w:w="1193" w:type="dxa"/>
            <w:vAlign w:val="top"/>
          </w:tcPr>
          <w:p w14:paraId="0D2BE62A">
            <w:pPr>
              <w:pStyle w:val="23"/>
              <w:keepNext w:val="0"/>
              <w:keepLines w:val="0"/>
              <w:suppressLineNumbers w:val="0"/>
              <w:spacing w:before="210" w:line="230" w:lineRule="auto"/>
              <w:jc w:val="center"/>
              <w:rPr>
                <w:rFonts w:hint="eastAsia" w:ascii="宋体" w:hAnsi="宋体" w:eastAsia="宋体" w:cs="宋体"/>
                <w:color w:val="auto"/>
                <w:sz w:val="24"/>
                <w:szCs w:val="24"/>
                <w:highlight w:val="none"/>
              </w:rPr>
            </w:pPr>
          </w:p>
        </w:tc>
      </w:tr>
      <w:tr w14:paraId="0CFC14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restart"/>
            <w:tcBorders>
              <w:bottom w:val="nil"/>
            </w:tcBorders>
            <w:vAlign w:val="top"/>
          </w:tcPr>
          <w:p w14:paraId="271354AE">
            <w:pPr>
              <w:keepNext w:val="0"/>
              <w:keepLines w:val="0"/>
              <w:suppressLineNumbers w:val="0"/>
              <w:spacing w:before="0" w:beforeAutospacing="0" w:after="0" w:afterAutospacing="0" w:line="259" w:lineRule="auto"/>
              <w:ind w:left="0" w:right="0"/>
              <w:jc w:val="center"/>
              <w:rPr>
                <w:rFonts w:hint="eastAsia" w:ascii="宋体" w:hAnsi="宋体" w:eastAsia="宋体" w:cs="宋体"/>
                <w:color w:val="auto"/>
                <w:sz w:val="24"/>
                <w:szCs w:val="24"/>
                <w:highlight w:val="none"/>
              </w:rPr>
            </w:pPr>
          </w:p>
          <w:p w14:paraId="65DF8837">
            <w:pPr>
              <w:keepNext w:val="0"/>
              <w:keepLines w:val="0"/>
              <w:suppressLineNumbers w:val="0"/>
              <w:spacing w:before="0" w:beforeAutospacing="0" w:after="0" w:afterAutospacing="0" w:line="259" w:lineRule="auto"/>
              <w:ind w:left="0" w:right="0"/>
              <w:jc w:val="center"/>
              <w:rPr>
                <w:rFonts w:hint="eastAsia" w:ascii="宋体" w:hAnsi="宋体" w:eastAsia="宋体" w:cs="宋体"/>
                <w:color w:val="auto"/>
                <w:sz w:val="24"/>
                <w:szCs w:val="24"/>
                <w:highlight w:val="none"/>
              </w:rPr>
            </w:pPr>
          </w:p>
          <w:p w14:paraId="2F8E4C08">
            <w:pPr>
              <w:keepNext w:val="0"/>
              <w:keepLines w:val="0"/>
              <w:suppressLineNumbers w:val="0"/>
              <w:spacing w:before="0" w:beforeAutospacing="0" w:after="0" w:afterAutospacing="0" w:line="259" w:lineRule="auto"/>
              <w:ind w:left="0" w:right="0"/>
              <w:jc w:val="center"/>
              <w:rPr>
                <w:rFonts w:hint="eastAsia" w:ascii="宋体" w:hAnsi="宋体" w:eastAsia="宋体" w:cs="宋体"/>
                <w:color w:val="auto"/>
                <w:sz w:val="24"/>
                <w:szCs w:val="24"/>
                <w:highlight w:val="none"/>
              </w:rPr>
            </w:pPr>
          </w:p>
          <w:p w14:paraId="2BE788B8">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综合判定</w:t>
            </w:r>
          </w:p>
        </w:tc>
        <w:tc>
          <w:tcPr>
            <w:tcW w:w="4741" w:type="dxa"/>
            <w:gridSpan w:val="3"/>
            <w:vAlign w:val="top"/>
          </w:tcPr>
          <w:p w14:paraId="62794E83">
            <w:pPr>
              <w:pStyle w:val="23"/>
              <w:keepNext w:val="0"/>
              <w:keepLines w:val="0"/>
              <w:suppressLineNumbers w:val="0"/>
              <w:spacing w:before="211" w:line="227"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7"/>
                <w:sz w:val="24"/>
                <w:szCs w:val="24"/>
                <w:highlight w:val="none"/>
              </w:rPr>
              <w:t>综合判定评估内容</w:t>
            </w:r>
          </w:p>
        </w:tc>
        <w:tc>
          <w:tcPr>
            <w:tcW w:w="972" w:type="dxa"/>
            <w:vAlign w:val="top"/>
          </w:tcPr>
          <w:p w14:paraId="675DCFCD">
            <w:pPr>
              <w:pStyle w:val="23"/>
              <w:keepNext w:val="0"/>
              <w:keepLines w:val="0"/>
              <w:suppressLineNumbers w:val="0"/>
              <w:spacing w:before="211"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分值</w:t>
            </w:r>
          </w:p>
        </w:tc>
        <w:tc>
          <w:tcPr>
            <w:tcW w:w="762" w:type="dxa"/>
            <w:vAlign w:val="top"/>
          </w:tcPr>
          <w:p w14:paraId="581D88B2">
            <w:pPr>
              <w:pStyle w:val="23"/>
              <w:keepNext w:val="0"/>
              <w:keepLines w:val="0"/>
              <w:suppressLineNumbers w:val="0"/>
              <w:spacing w:before="211"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应得分</w:t>
            </w:r>
          </w:p>
        </w:tc>
        <w:tc>
          <w:tcPr>
            <w:tcW w:w="1193" w:type="dxa"/>
            <w:vAlign w:val="top"/>
          </w:tcPr>
          <w:p w14:paraId="34CBD4AA">
            <w:pPr>
              <w:pStyle w:val="23"/>
              <w:keepNext w:val="0"/>
              <w:keepLines w:val="0"/>
              <w:suppressLineNumbers w:val="0"/>
              <w:spacing w:before="211"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3"/>
                <w:sz w:val="24"/>
                <w:szCs w:val="24"/>
                <w:highlight w:val="none"/>
              </w:rPr>
              <w:t>实得分</w:t>
            </w:r>
          </w:p>
        </w:tc>
      </w:tr>
      <w:tr w14:paraId="5C93E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168" w:type="dxa"/>
            <w:vMerge w:val="continue"/>
            <w:tcBorders>
              <w:top w:val="nil"/>
              <w:bottom w:val="nil"/>
            </w:tcBorders>
            <w:vAlign w:val="top"/>
          </w:tcPr>
          <w:p w14:paraId="6464CFCE">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4741" w:type="dxa"/>
            <w:gridSpan w:val="3"/>
            <w:vAlign w:val="top"/>
          </w:tcPr>
          <w:p w14:paraId="554789F0">
            <w:pPr>
              <w:pStyle w:val="23"/>
              <w:keepNext w:val="0"/>
              <w:keepLines w:val="0"/>
              <w:suppressLineNumbers w:val="0"/>
              <w:spacing w:before="213" w:line="228" w:lineRule="auto"/>
              <w:jc w:val="center"/>
              <w:rPr>
                <w:rFonts w:hint="eastAsia" w:ascii="宋体" w:hAnsi="宋体" w:eastAsia="宋体" w:cs="宋体"/>
                <w:color w:val="auto"/>
                <w:sz w:val="24"/>
                <w:szCs w:val="24"/>
                <w:highlight w:val="none"/>
                <w:lang w:eastAsia="zh-CN"/>
              </w:rPr>
            </w:pPr>
            <w:r>
              <w:rPr>
                <w:rFonts w:hint="eastAsia" w:cs="宋体"/>
                <w:color w:val="auto"/>
                <w:spacing w:val="6"/>
                <w:sz w:val="24"/>
                <w:szCs w:val="24"/>
                <w:highlight w:val="none"/>
                <w:lang w:val="en-US" w:eastAsia="zh-CN"/>
              </w:rPr>
              <w:t>消防管理</w:t>
            </w:r>
          </w:p>
        </w:tc>
        <w:tc>
          <w:tcPr>
            <w:tcW w:w="972" w:type="dxa"/>
            <w:vAlign w:val="top"/>
          </w:tcPr>
          <w:p w14:paraId="3A981EF9">
            <w:pPr>
              <w:pStyle w:val="23"/>
              <w:keepNext w:val="0"/>
              <w:keepLines w:val="0"/>
              <w:suppressLineNumbers w:val="0"/>
              <w:spacing w:before="213" w:line="229" w:lineRule="auto"/>
              <w:jc w:val="center"/>
              <w:rPr>
                <w:rFonts w:hint="eastAsia" w:ascii="宋体" w:hAnsi="宋体" w:eastAsia="宋体" w:cs="宋体"/>
                <w:color w:val="auto"/>
                <w:sz w:val="24"/>
                <w:szCs w:val="24"/>
                <w:highlight w:val="none"/>
              </w:rPr>
            </w:pPr>
          </w:p>
        </w:tc>
        <w:tc>
          <w:tcPr>
            <w:tcW w:w="762" w:type="dxa"/>
            <w:vAlign w:val="top"/>
          </w:tcPr>
          <w:p w14:paraId="1A27F6B9">
            <w:pPr>
              <w:pStyle w:val="23"/>
              <w:keepNext w:val="0"/>
              <w:keepLines w:val="0"/>
              <w:suppressLineNumbers w:val="0"/>
              <w:spacing w:before="213" w:line="229" w:lineRule="auto"/>
              <w:jc w:val="center"/>
              <w:rPr>
                <w:rFonts w:hint="eastAsia" w:ascii="宋体" w:hAnsi="宋体" w:eastAsia="宋体" w:cs="宋体"/>
                <w:color w:val="auto"/>
                <w:sz w:val="24"/>
                <w:szCs w:val="24"/>
                <w:highlight w:val="none"/>
              </w:rPr>
            </w:pPr>
          </w:p>
        </w:tc>
        <w:tc>
          <w:tcPr>
            <w:tcW w:w="1193" w:type="dxa"/>
            <w:vAlign w:val="top"/>
          </w:tcPr>
          <w:p w14:paraId="31818814">
            <w:pPr>
              <w:pStyle w:val="23"/>
              <w:keepNext w:val="0"/>
              <w:keepLines w:val="0"/>
              <w:suppressLineNumbers w:val="0"/>
              <w:spacing w:before="213" w:line="229" w:lineRule="auto"/>
              <w:jc w:val="center"/>
              <w:rPr>
                <w:rFonts w:hint="eastAsia" w:ascii="宋体" w:hAnsi="宋体" w:eastAsia="宋体" w:cs="宋体"/>
                <w:color w:val="auto"/>
                <w:sz w:val="24"/>
                <w:szCs w:val="24"/>
                <w:highlight w:val="none"/>
              </w:rPr>
            </w:pPr>
          </w:p>
        </w:tc>
      </w:tr>
      <w:tr w14:paraId="25F2A3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168" w:type="dxa"/>
            <w:vMerge w:val="continue"/>
            <w:tcBorders>
              <w:top w:val="nil"/>
            </w:tcBorders>
            <w:vAlign w:val="top"/>
          </w:tcPr>
          <w:p w14:paraId="2C6A682D">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4741" w:type="dxa"/>
            <w:gridSpan w:val="3"/>
            <w:vAlign w:val="top"/>
          </w:tcPr>
          <w:p w14:paraId="6D2009E7">
            <w:pPr>
              <w:pStyle w:val="23"/>
              <w:keepNext w:val="0"/>
              <w:keepLines w:val="0"/>
              <w:suppressLineNumbers w:val="0"/>
              <w:spacing w:before="212" w:line="229"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建筑防火</w:t>
            </w:r>
          </w:p>
        </w:tc>
        <w:tc>
          <w:tcPr>
            <w:tcW w:w="972" w:type="dxa"/>
            <w:vAlign w:val="top"/>
          </w:tcPr>
          <w:p w14:paraId="79FEEDF5">
            <w:pPr>
              <w:pStyle w:val="23"/>
              <w:keepNext w:val="0"/>
              <w:keepLines w:val="0"/>
              <w:suppressLineNumbers w:val="0"/>
              <w:spacing w:before="212" w:line="229" w:lineRule="auto"/>
              <w:jc w:val="center"/>
              <w:rPr>
                <w:rFonts w:hint="eastAsia" w:ascii="宋体" w:hAnsi="宋体" w:eastAsia="宋体" w:cs="宋体"/>
                <w:color w:val="auto"/>
                <w:spacing w:val="6"/>
                <w:sz w:val="24"/>
                <w:szCs w:val="24"/>
                <w:highlight w:val="none"/>
              </w:rPr>
            </w:pPr>
          </w:p>
        </w:tc>
        <w:tc>
          <w:tcPr>
            <w:tcW w:w="762" w:type="dxa"/>
            <w:vAlign w:val="top"/>
          </w:tcPr>
          <w:p w14:paraId="21338D08">
            <w:pPr>
              <w:pStyle w:val="23"/>
              <w:keepNext w:val="0"/>
              <w:keepLines w:val="0"/>
              <w:suppressLineNumbers w:val="0"/>
              <w:spacing w:before="212" w:line="229" w:lineRule="auto"/>
              <w:jc w:val="center"/>
              <w:rPr>
                <w:rFonts w:hint="eastAsia" w:ascii="宋体" w:hAnsi="宋体" w:eastAsia="宋体" w:cs="宋体"/>
                <w:color w:val="auto"/>
                <w:spacing w:val="6"/>
                <w:sz w:val="24"/>
                <w:szCs w:val="24"/>
                <w:highlight w:val="none"/>
              </w:rPr>
            </w:pPr>
          </w:p>
        </w:tc>
        <w:tc>
          <w:tcPr>
            <w:tcW w:w="1193" w:type="dxa"/>
            <w:vAlign w:val="top"/>
          </w:tcPr>
          <w:p w14:paraId="3645C567">
            <w:pPr>
              <w:pStyle w:val="23"/>
              <w:keepNext w:val="0"/>
              <w:keepLines w:val="0"/>
              <w:suppressLineNumbers w:val="0"/>
              <w:spacing w:before="212" w:line="229" w:lineRule="auto"/>
              <w:jc w:val="center"/>
              <w:rPr>
                <w:rFonts w:hint="eastAsia" w:ascii="宋体" w:hAnsi="宋体" w:eastAsia="宋体" w:cs="宋体"/>
                <w:color w:val="auto"/>
                <w:spacing w:val="6"/>
                <w:sz w:val="24"/>
                <w:szCs w:val="24"/>
                <w:highlight w:val="none"/>
              </w:rPr>
            </w:pPr>
          </w:p>
        </w:tc>
      </w:tr>
      <w:tr w14:paraId="3481B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168" w:type="dxa"/>
            <w:vMerge w:val="continue"/>
            <w:vAlign w:val="top"/>
          </w:tcPr>
          <w:p w14:paraId="333419F0">
            <w:pPr>
              <w:pStyle w:val="23"/>
              <w:keepNext w:val="0"/>
              <w:keepLines w:val="0"/>
              <w:suppressLineNumbers w:val="0"/>
              <w:spacing w:before="212" w:line="229" w:lineRule="auto"/>
              <w:jc w:val="center"/>
              <w:rPr>
                <w:color w:val="auto"/>
                <w:highlight w:val="none"/>
              </w:rPr>
            </w:pPr>
          </w:p>
        </w:tc>
        <w:tc>
          <w:tcPr>
            <w:tcW w:w="4741" w:type="dxa"/>
            <w:gridSpan w:val="3"/>
            <w:vAlign w:val="top"/>
          </w:tcPr>
          <w:p w14:paraId="6BCCDCEB">
            <w:pPr>
              <w:pStyle w:val="23"/>
              <w:keepNext w:val="0"/>
              <w:keepLines w:val="0"/>
              <w:suppressLineNumbers w:val="0"/>
              <w:spacing w:before="212" w:line="229" w:lineRule="auto"/>
              <w:jc w:val="center"/>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消防设施</w:t>
            </w:r>
          </w:p>
        </w:tc>
        <w:tc>
          <w:tcPr>
            <w:tcW w:w="972" w:type="dxa"/>
            <w:vAlign w:val="top"/>
          </w:tcPr>
          <w:p w14:paraId="4CA4C727">
            <w:pPr>
              <w:pStyle w:val="23"/>
              <w:keepNext w:val="0"/>
              <w:keepLines w:val="0"/>
              <w:suppressLineNumbers w:val="0"/>
              <w:spacing w:before="212" w:line="229" w:lineRule="auto"/>
              <w:jc w:val="center"/>
              <w:rPr>
                <w:rFonts w:hint="eastAsia" w:ascii="宋体" w:hAnsi="宋体" w:eastAsia="宋体" w:cs="宋体"/>
                <w:color w:val="auto"/>
                <w:spacing w:val="6"/>
                <w:sz w:val="24"/>
                <w:szCs w:val="24"/>
                <w:highlight w:val="none"/>
              </w:rPr>
            </w:pPr>
          </w:p>
        </w:tc>
        <w:tc>
          <w:tcPr>
            <w:tcW w:w="762" w:type="dxa"/>
            <w:vAlign w:val="top"/>
          </w:tcPr>
          <w:p w14:paraId="56FD1D88">
            <w:pPr>
              <w:pStyle w:val="23"/>
              <w:keepNext w:val="0"/>
              <w:keepLines w:val="0"/>
              <w:suppressLineNumbers w:val="0"/>
              <w:spacing w:before="212" w:line="229" w:lineRule="auto"/>
              <w:jc w:val="center"/>
              <w:rPr>
                <w:rFonts w:hint="eastAsia" w:ascii="宋体" w:hAnsi="宋体" w:eastAsia="宋体" w:cs="宋体"/>
                <w:color w:val="auto"/>
                <w:spacing w:val="6"/>
                <w:sz w:val="24"/>
                <w:szCs w:val="24"/>
                <w:highlight w:val="none"/>
              </w:rPr>
            </w:pPr>
          </w:p>
        </w:tc>
        <w:tc>
          <w:tcPr>
            <w:tcW w:w="1193" w:type="dxa"/>
            <w:vAlign w:val="top"/>
          </w:tcPr>
          <w:p w14:paraId="656EAF9F">
            <w:pPr>
              <w:pStyle w:val="23"/>
              <w:keepNext w:val="0"/>
              <w:keepLines w:val="0"/>
              <w:suppressLineNumbers w:val="0"/>
              <w:spacing w:before="212" w:line="229" w:lineRule="auto"/>
              <w:jc w:val="center"/>
              <w:rPr>
                <w:rFonts w:hint="eastAsia" w:ascii="宋体" w:hAnsi="宋体" w:eastAsia="宋体" w:cs="宋体"/>
                <w:color w:val="auto"/>
                <w:spacing w:val="6"/>
                <w:sz w:val="24"/>
                <w:szCs w:val="24"/>
                <w:highlight w:val="none"/>
              </w:rPr>
            </w:pPr>
          </w:p>
        </w:tc>
      </w:tr>
      <w:tr w14:paraId="537009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1168" w:type="dxa"/>
            <w:vMerge w:val="restart"/>
            <w:tcBorders>
              <w:bottom w:val="nil"/>
            </w:tcBorders>
            <w:vAlign w:val="top"/>
          </w:tcPr>
          <w:p w14:paraId="0DC1B223">
            <w:pPr>
              <w:keepNext w:val="0"/>
              <w:keepLines w:val="0"/>
              <w:suppressLineNumbers w:val="0"/>
              <w:spacing w:before="0" w:beforeAutospacing="0" w:after="0" w:afterAutospacing="0" w:line="259" w:lineRule="auto"/>
              <w:ind w:left="0" w:right="0"/>
              <w:jc w:val="center"/>
              <w:rPr>
                <w:rFonts w:hint="eastAsia" w:ascii="宋体" w:hAnsi="宋体" w:eastAsia="宋体" w:cs="宋体"/>
                <w:color w:val="auto"/>
                <w:sz w:val="24"/>
                <w:szCs w:val="24"/>
                <w:highlight w:val="none"/>
              </w:rPr>
            </w:pPr>
          </w:p>
          <w:p w14:paraId="11DFA758">
            <w:pPr>
              <w:keepNext w:val="0"/>
              <w:keepLines w:val="0"/>
              <w:suppressLineNumbers w:val="0"/>
              <w:spacing w:before="0" w:beforeAutospacing="0" w:after="0" w:afterAutospacing="0" w:line="259" w:lineRule="auto"/>
              <w:ind w:left="0" w:right="0"/>
              <w:jc w:val="center"/>
              <w:rPr>
                <w:rFonts w:hint="eastAsia" w:ascii="宋体" w:hAnsi="宋体" w:eastAsia="宋体" w:cs="宋体"/>
                <w:color w:val="auto"/>
                <w:sz w:val="24"/>
                <w:szCs w:val="24"/>
                <w:highlight w:val="none"/>
              </w:rPr>
            </w:pPr>
          </w:p>
          <w:p w14:paraId="0CC8D89A">
            <w:pPr>
              <w:keepNext w:val="0"/>
              <w:keepLines w:val="0"/>
              <w:suppressLineNumbers w:val="0"/>
              <w:spacing w:before="0" w:beforeAutospacing="0" w:after="0" w:afterAutospacing="0" w:line="259" w:lineRule="auto"/>
              <w:ind w:left="0" w:right="0"/>
              <w:jc w:val="center"/>
              <w:rPr>
                <w:rFonts w:hint="eastAsia" w:ascii="宋体" w:hAnsi="宋体" w:eastAsia="宋体" w:cs="宋体"/>
                <w:color w:val="auto"/>
                <w:sz w:val="24"/>
                <w:szCs w:val="24"/>
                <w:highlight w:val="none"/>
              </w:rPr>
            </w:pPr>
          </w:p>
          <w:p w14:paraId="179CC93B">
            <w:pPr>
              <w:keepNext w:val="0"/>
              <w:keepLines w:val="0"/>
              <w:suppressLineNumbers w:val="0"/>
              <w:spacing w:before="0" w:beforeAutospacing="0" w:after="0" w:afterAutospacing="0" w:line="260" w:lineRule="auto"/>
              <w:ind w:left="0" w:right="0"/>
              <w:jc w:val="center"/>
              <w:rPr>
                <w:rFonts w:hint="eastAsia" w:ascii="宋体" w:hAnsi="宋体" w:eastAsia="宋体" w:cs="宋体"/>
                <w:color w:val="auto"/>
                <w:sz w:val="24"/>
                <w:szCs w:val="24"/>
                <w:highlight w:val="none"/>
              </w:rPr>
            </w:pPr>
          </w:p>
          <w:p w14:paraId="71B4DF42">
            <w:pPr>
              <w:keepNext w:val="0"/>
              <w:keepLines w:val="0"/>
              <w:suppressLineNumbers w:val="0"/>
              <w:spacing w:before="0" w:beforeAutospacing="0" w:after="0" w:afterAutospacing="0" w:line="260" w:lineRule="auto"/>
              <w:ind w:left="0" w:right="0"/>
              <w:jc w:val="center"/>
              <w:rPr>
                <w:rFonts w:hint="eastAsia" w:ascii="宋体" w:hAnsi="宋体" w:eastAsia="宋体" w:cs="宋体"/>
                <w:color w:val="auto"/>
                <w:sz w:val="24"/>
                <w:szCs w:val="24"/>
                <w:highlight w:val="none"/>
              </w:rPr>
            </w:pPr>
          </w:p>
          <w:p w14:paraId="63CF40FE">
            <w:pPr>
              <w:keepNext w:val="0"/>
              <w:keepLines w:val="0"/>
              <w:suppressLineNumbers w:val="0"/>
              <w:spacing w:before="0" w:beforeAutospacing="0" w:after="0" w:afterAutospacing="0" w:line="260" w:lineRule="auto"/>
              <w:ind w:left="0" w:right="0"/>
              <w:jc w:val="center"/>
              <w:rPr>
                <w:rFonts w:hint="eastAsia" w:ascii="宋体" w:hAnsi="宋体" w:eastAsia="宋体" w:cs="宋体"/>
                <w:color w:val="auto"/>
                <w:sz w:val="24"/>
                <w:szCs w:val="24"/>
                <w:highlight w:val="none"/>
              </w:rPr>
            </w:pPr>
          </w:p>
          <w:p w14:paraId="329569DF">
            <w:pPr>
              <w:keepNext w:val="0"/>
              <w:keepLines w:val="0"/>
              <w:suppressLineNumbers w:val="0"/>
              <w:spacing w:before="0" w:beforeAutospacing="0" w:after="0" w:afterAutospacing="0" w:line="260" w:lineRule="auto"/>
              <w:ind w:left="0" w:right="0"/>
              <w:jc w:val="center"/>
              <w:rPr>
                <w:rFonts w:hint="eastAsia" w:ascii="宋体" w:hAnsi="宋体" w:eastAsia="宋体" w:cs="宋体"/>
                <w:color w:val="auto"/>
                <w:sz w:val="24"/>
                <w:szCs w:val="24"/>
                <w:highlight w:val="none"/>
              </w:rPr>
            </w:pPr>
          </w:p>
          <w:p w14:paraId="4F15281A">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加分项</w:t>
            </w:r>
          </w:p>
        </w:tc>
        <w:tc>
          <w:tcPr>
            <w:tcW w:w="5713" w:type="dxa"/>
            <w:gridSpan w:val="4"/>
            <w:vAlign w:val="top"/>
          </w:tcPr>
          <w:p w14:paraId="3B7C2683">
            <w:pPr>
              <w:pStyle w:val="23"/>
              <w:keepNext w:val="0"/>
              <w:keepLines w:val="0"/>
              <w:suppressLineNumbers w:val="0"/>
              <w:spacing w:before="230" w:line="227"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6"/>
                <w:sz w:val="24"/>
                <w:szCs w:val="24"/>
                <w:highlight w:val="none"/>
              </w:rPr>
              <w:t>加分评估内容</w:t>
            </w:r>
          </w:p>
        </w:tc>
        <w:tc>
          <w:tcPr>
            <w:tcW w:w="762" w:type="dxa"/>
            <w:vAlign w:val="top"/>
          </w:tcPr>
          <w:p w14:paraId="298F9C1C">
            <w:pPr>
              <w:pStyle w:val="23"/>
              <w:keepNext w:val="0"/>
              <w:keepLines w:val="0"/>
              <w:suppressLineNumbers w:val="0"/>
              <w:spacing w:before="230"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2"/>
                <w:sz w:val="24"/>
                <w:szCs w:val="24"/>
                <w:highlight w:val="none"/>
              </w:rPr>
              <w:t>分值</w:t>
            </w:r>
          </w:p>
        </w:tc>
        <w:tc>
          <w:tcPr>
            <w:tcW w:w="1193" w:type="dxa"/>
            <w:vAlign w:val="top"/>
          </w:tcPr>
          <w:p w14:paraId="142E2D25">
            <w:pPr>
              <w:pStyle w:val="23"/>
              <w:keepNext w:val="0"/>
              <w:keepLines w:val="0"/>
              <w:suppressLineNumbers w:val="0"/>
              <w:spacing w:before="230"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3"/>
                <w:sz w:val="24"/>
                <w:szCs w:val="24"/>
                <w:highlight w:val="none"/>
              </w:rPr>
              <w:t>得分</w:t>
            </w:r>
          </w:p>
        </w:tc>
      </w:tr>
      <w:tr w14:paraId="7C1324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4DC0EBAB">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5713" w:type="dxa"/>
            <w:gridSpan w:val="4"/>
            <w:vAlign w:val="top"/>
          </w:tcPr>
          <w:p w14:paraId="2F348EC9">
            <w:pPr>
              <w:pStyle w:val="23"/>
              <w:keepNext w:val="0"/>
              <w:keepLines w:val="0"/>
              <w:suppressLineNumbers w:val="0"/>
              <w:spacing w:before="131" w:line="228" w:lineRule="auto"/>
              <w:ind w:left="114"/>
              <w:rPr>
                <w:rFonts w:hint="eastAsia" w:ascii="宋体" w:hAnsi="宋体" w:eastAsia="宋体" w:cs="宋体"/>
                <w:color w:val="auto"/>
                <w:sz w:val="24"/>
                <w:szCs w:val="24"/>
                <w:highlight w:val="none"/>
              </w:rPr>
            </w:pPr>
            <w:r>
              <w:rPr>
                <w:rFonts w:hint="eastAsia" w:cs="宋体"/>
                <w:color w:val="auto"/>
                <w:spacing w:val="8"/>
                <w:sz w:val="24"/>
                <w:szCs w:val="24"/>
                <w:highlight w:val="none"/>
                <w:lang w:val="en-US" w:eastAsia="zh-CN"/>
              </w:rPr>
              <w:t>建筑</w:t>
            </w:r>
            <w:r>
              <w:rPr>
                <w:rFonts w:hint="eastAsia" w:ascii="宋体" w:hAnsi="宋体" w:eastAsia="宋体" w:cs="宋体"/>
                <w:color w:val="auto"/>
                <w:spacing w:val="8"/>
                <w:sz w:val="24"/>
                <w:szCs w:val="24"/>
                <w:highlight w:val="none"/>
              </w:rPr>
              <w:t>投保火灾</w:t>
            </w:r>
            <w:r>
              <w:rPr>
                <w:rFonts w:hint="eastAsia" w:cs="宋体"/>
                <w:color w:val="auto"/>
                <w:spacing w:val="8"/>
                <w:sz w:val="24"/>
                <w:szCs w:val="24"/>
                <w:highlight w:val="none"/>
                <w:lang w:eastAsia="zh-CN"/>
              </w:rPr>
              <w:t>工</w:t>
            </w:r>
            <w:r>
              <w:rPr>
                <w:rFonts w:hint="eastAsia" w:ascii="宋体" w:hAnsi="宋体" w:eastAsia="宋体" w:cs="宋体"/>
                <w:color w:val="auto"/>
                <w:spacing w:val="8"/>
                <w:sz w:val="24"/>
                <w:szCs w:val="24"/>
                <w:highlight w:val="none"/>
              </w:rPr>
              <w:t>众责任险。</w:t>
            </w:r>
          </w:p>
        </w:tc>
        <w:tc>
          <w:tcPr>
            <w:tcW w:w="762" w:type="dxa"/>
            <w:vAlign w:val="top"/>
          </w:tcPr>
          <w:p w14:paraId="40871D28">
            <w:pPr>
              <w:pStyle w:val="23"/>
              <w:keepNext w:val="0"/>
              <w:keepLines w:val="0"/>
              <w:suppressLineNumbers w:val="0"/>
              <w:spacing w:before="131" w:line="229"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1.0</w:t>
            </w:r>
            <w:r>
              <w:rPr>
                <w:rFonts w:hint="eastAsia" w:ascii="宋体" w:hAnsi="宋体" w:eastAsia="宋体" w:cs="宋体"/>
                <w:color w:val="auto"/>
                <w:spacing w:val="-38"/>
                <w:sz w:val="24"/>
                <w:szCs w:val="24"/>
                <w:highlight w:val="none"/>
              </w:rPr>
              <w:t xml:space="preserve"> </w:t>
            </w:r>
            <w:r>
              <w:rPr>
                <w:rFonts w:hint="eastAsia" w:ascii="宋体" w:hAnsi="宋体" w:eastAsia="宋体" w:cs="宋体"/>
                <w:color w:val="auto"/>
                <w:spacing w:val="-2"/>
                <w:sz w:val="24"/>
                <w:szCs w:val="24"/>
                <w:highlight w:val="none"/>
              </w:rPr>
              <w:t>分</w:t>
            </w:r>
          </w:p>
        </w:tc>
        <w:tc>
          <w:tcPr>
            <w:tcW w:w="1193" w:type="dxa"/>
            <w:vAlign w:val="top"/>
          </w:tcPr>
          <w:p w14:paraId="30BBFB6E">
            <w:pPr>
              <w:pStyle w:val="23"/>
              <w:keepNext w:val="0"/>
              <w:keepLines w:val="0"/>
              <w:suppressLineNumbers w:val="0"/>
              <w:spacing w:before="131" w:line="229" w:lineRule="auto"/>
              <w:jc w:val="center"/>
              <w:rPr>
                <w:rFonts w:hint="eastAsia" w:ascii="宋体" w:hAnsi="宋体" w:eastAsia="宋体" w:cs="宋体"/>
                <w:color w:val="auto"/>
                <w:sz w:val="24"/>
                <w:szCs w:val="24"/>
                <w:highlight w:val="none"/>
              </w:rPr>
            </w:pPr>
          </w:p>
        </w:tc>
      </w:tr>
      <w:tr w14:paraId="2A96AE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0BEDE4E5">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5713" w:type="dxa"/>
            <w:gridSpan w:val="4"/>
            <w:vAlign w:val="top"/>
          </w:tcPr>
          <w:p w14:paraId="430A7CF6">
            <w:pPr>
              <w:pStyle w:val="23"/>
              <w:keepNext w:val="0"/>
              <w:keepLines w:val="0"/>
              <w:suppressLineNumbers w:val="0"/>
              <w:spacing w:before="51" w:line="262" w:lineRule="auto"/>
              <w:ind w:left="114" w:right="105"/>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单位员工持有注册消防工程师证书且已在</w:t>
            </w:r>
            <w:r>
              <w:rPr>
                <w:rFonts w:hint="eastAsia" w:cs="宋体"/>
                <w:color w:val="auto"/>
                <w:spacing w:val="12"/>
                <w:sz w:val="24"/>
                <w:szCs w:val="24"/>
                <w:highlight w:val="none"/>
                <w:lang w:eastAsia="zh-CN"/>
              </w:rPr>
              <w:t>建筑或场所</w:t>
            </w:r>
            <w:r>
              <w:rPr>
                <w:rFonts w:hint="eastAsia" w:ascii="宋体" w:hAnsi="宋体" w:eastAsia="宋体" w:cs="宋体"/>
                <w:color w:val="auto"/>
                <w:spacing w:val="12"/>
                <w:sz w:val="24"/>
                <w:szCs w:val="24"/>
                <w:highlight w:val="none"/>
              </w:rPr>
              <w:t>注册</w:t>
            </w:r>
            <w:r>
              <w:rPr>
                <w:rFonts w:hint="eastAsia" w:ascii="宋体" w:hAnsi="宋体" w:eastAsia="宋体" w:cs="宋体"/>
                <w:color w:val="auto"/>
                <w:spacing w:val="8"/>
                <w:sz w:val="24"/>
                <w:szCs w:val="24"/>
                <w:highlight w:val="none"/>
              </w:rPr>
              <w:t>从事消防安全相关工作的。</w:t>
            </w:r>
          </w:p>
        </w:tc>
        <w:tc>
          <w:tcPr>
            <w:tcW w:w="762" w:type="dxa"/>
            <w:vAlign w:val="top"/>
          </w:tcPr>
          <w:p w14:paraId="439E7293">
            <w:pPr>
              <w:pStyle w:val="23"/>
              <w:keepNext w:val="0"/>
              <w:keepLines w:val="0"/>
              <w:suppressLineNumbers w:val="0"/>
              <w:spacing w:before="207" w:line="229"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0.5</w:t>
            </w:r>
            <w:r>
              <w:rPr>
                <w:rFonts w:hint="eastAsia" w:ascii="宋体" w:hAnsi="宋体" w:eastAsia="宋体" w:cs="宋体"/>
                <w:color w:val="auto"/>
                <w:spacing w:val="-37"/>
                <w:sz w:val="24"/>
                <w:szCs w:val="24"/>
                <w:highlight w:val="none"/>
              </w:rPr>
              <w:t xml:space="preserve"> </w:t>
            </w:r>
            <w:r>
              <w:rPr>
                <w:rFonts w:hint="eastAsia" w:ascii="宋体" w:hAnsi="宋体" w:eastAsia="宋体" w:cs="宋体"/>
                <w:color w:val="auto"/>
                <w:spacing w:val="1"/>
                <w:sz w:val="24"/>
                <w:szCs w:val="24"/>
                <w:highlight w:val="none"/>
              </w:rPr>
              <w:t>分</w:t>
            </w:r>
          </w:p>
        </w:tc>
        <w:tc>
          <w:tcPr>
            <w:tcW w:w="1193" w:type="dxa"/>
            <w:vAlign w:val="top"/>
          </w:tcPr>
          <w:p w14:paraId="58CC0F94">
            <w:pPr>
              <w:pStyle w:val="23"/>
              <w:keepNext w:val="0"/>
              <w:keepLines w:val="0"/>
              <w:suppressLineNumbers w:val="0"/>
              <w:spacing w:before="207" w:line="229" w:lineRule="auto"/>
              <w:jc w:val="center"/>
              <w:rPr>
                <w:rFonts w:hint="eastAsia" w:ascii="宋体" w:hAnsi="宋体" w:eastAsia="宋体" w:cs="宋体"/>
                <w:color w:val="auto"/>
                <w:sz w:val="24"/>
                <w:szCs w:val="24"/>
                <w:highlight w:val="none"/>
              </w:rPr>
            </w:pPr>
          </w:p>
        </w:tc>
      </w:tr>
      <w:tr w14:paraId="3506EC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168" w:type="dxa"/>
            <w:vMerge w:val="continue"/>
            <w:tcBorders>
              <w:top w:val="nil"/>
              <w:bottom w:val="nil"/>
            </w:tcBorders>
            <w:vAlign w:val="top"/>
          </w:tcPr>
          <w:p w14:paraId="16006F6B">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5713" w:type="dxa"/>
            <w:gridSpan w:val="4"/>
            <w:vAlign w:val="top"/>
          </w:tcPr>
          <w:p w14:paraId="7778A3CE">
            <w:pPr>
              <w:pStyle w:val="23"/>
              <w:keepNext w:val="0"/>
              <w:keepLines w:val="0"/>
              <w:suppressLineNumbers w:val="0"/>
              <w:spacing w:before="50" w:line="262" w:lineRule="auto"/>
              <w:ind w:left="114" w:right="105"/>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单位员工持有消防设施操作员（维保方向）证书，且</w:t>
            </w:r>
            <w:r>
              <w:rPr>
                <w:rFonts w:hint="eastAsia" w:ascii="宋体" w:hAnsi="宋体" w:eastAsia="宋体" w:cs="宋体"/>
                <w:color w:val="auto"/>
                <w:spacing w:val="8"/>
                <w:sz w:val="24"/>
                <w:szCs w:val="24"/>
                <w:highlight w:val="none"/>
              </w:rPr>
              <w:t>从事消防设备设施管理工作的。</w:t>
            </w:r>
          </w:p>
        </w:tc>
        <w:tc>
          <w:tcPr>
            <w:tcW w:w="762" w:type="dxa"/>
            <w:vAlign w:val="top"/>
          </w:tcPr>
          <w:p w14:paraId="76D14B76">
            <w:pPr>
              <w:pStyle w:val="23"/>
              <w:keepNext w:val="0"/>
              <w:keepLines w:val="0"/>
              <w:suppressLineNumbers w:val="0"/>
              <w:spacing w:before="207" w:line="229"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0.5</w:t>
            </w:r>
            <w:r>
              <w:rPr>
                <w:rFonts w:hint="eastAsia" w:ascii="宋体" w:hAnsi="宋体" w:eastAsia="宋体" w:cs="宋体"/>
                <w:color w:val="auto"/>
                <w:spacing w:val="-37"/>
                <w:sz w:val="24"/>
                <w:szCs w:val="24"/>
                <w:highlight w:val="none"/>
              </w:rPr>
              <w:t xml:space="preserve"> </w:t>
            </w:r>
            <w:r>
              <w:rPr>
                <w:rFonts w:hint="eastAsia" w:ascii="宋体" w:hAnsi="宋体" w:eastAsia="宋体" w:cs="宋体"/>
                <w:color w:val="auto"/>
                <w:spacing w:val="1"/>
                <w:sz w:val="24"/>
                <w:szCs w:val="24"/>
                <w:highlight w:val="none"/>
              </w:rPr>
              <w:t>分</w:t>
            </w:r>
          </w:p>
        </w:tc>
        <w:tc>
          <w:tcPr>
            <w:tcW w:w="1193" w:type="dxa"/>
            <w:vAlign w:val="top"/>
          </w:tcPr>
          <w:p w14:paraId="78597EF3">
            <w:pPr>
              <w:pStyle w:val="23"/>
              <w:keepNext w:val="0"/>
              <w:keepLines w:val="0"/>
              <w:suppressLineNumbers w:val="0"/>
              <w:spacing w:before="207" w:line="229" w:lineRule="auto"/>
              <w:jc w:val="center"/>
              <w:rPr>
                <w:rFonts w:hint="eastAsia" w:ascii="宋体" w:hAnsi="宋体" w:eastAsia="宋体" w:cs="宋体"/>
                <w:color w:val="auto"/>
                <w:sz w:val="24"/>
                <w:szCs w:val="24"/>
                <w:highlight w:val="none"/>
              </w:rPr>
            </w:pPr>
          </w:p>
        </w:tc>
      </w:tr>
      <w:tr w14:paraId="347E1D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168" w:type="dxa"/>
            <w:vMerge w:val="continue"/>
            <w:tcBorders>
              <w:top w:val="nil"/>
              <w:bottom w:val="nil"/>
            </w:tcBorders>
            <w:vAlign w:val="top"/>
          </w:tcPr>
          <w:p w14:paraId="6CAD21B9">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5713" w:type="dxa"/>
            <w:gridSpan w:val="4"/>
            <w:vAlign w:val="top"/>
          </w:tcPr>
          <w:p w14:paraId="047DA142">
            <w:pPr>
              <w:pStyle w:val="23"/>
              <w:keepNext w:val="0"/>
              <w:keepLines w:val="0"/>
              <w:suppressLineNumbers w:val="0"/>
              <w:spacing w:before="52" w:line="270" w:lineRule="auto"/>
              <w:ind w:left="116" w:right="105" w:hanging="2"/>
              <w:jc w:val="both"/>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在日常消防管理中采用了相应技防措施（智慧消</w:t>
            </w:r>
            <w:r>
              <w:rPr>
                <w:rFonts w:hint="eastAsia" w:ascii="宋体" w:hAnsi="宋体" w:eastAsia="宋体" w:cs="宋体"/>
                <w:color w:val="auto"/>
                <w:spacing w:val="8"/>
                <w:sz w:val="24"/>
                <w:szCs w:val="24"/>
                <w:highlight w:val="none"/>
              </w:rPr>
              <w:t>防、消防设施维护保养监督系统、火灾自动报警</w:t>
            </w:r>
            <w:r>
              <w:rPr>
                <w:rFonts w:hint="eastAsia" w:ascii="宋体" w:hAnsi="宋体" w:eastAsia="宋体" w:cs="宋体"/>
                <w:color w:val="auto"/>
                <w:spacing w:val="7"/>
                <w:sz w:val="24"/>
                <w:szCs w:val="24"/>
                <w:highlight w:val="none"/>
              </w:rPr>
              <w:t>系统</w:t>
            </w:r>
            <w:r>
              <w:rPr>
                <w:rFonts w:hint="eastAsia" w:ascii="宋体" w:hAnsi="宋体" w:eastAsia="宋体" w:cs="宋体"/>
                <w:color w:val="auto"/>
                <w:spacing w:val="8"/>
                <w:sz w:val="24"/>
                <w:szCs w:val="24"/>
                <w:highlight w:val="none"/>
              </w:rPr>
              <w:t>与城市远程监控系统联网）且运行正常。</w:t>
            </w:r>
          </w:p>
        </w:tc>
        <w:tc>
          <w:tcPr>
            <w:tcW w:w="762" w:type="dxa"/>
            <w:vAlign w:val="top"/>
          </w:tcPr>
          <w:p w14:paraId="25A01F96">
            <w:pPr>
              <w:keepNext w:val="0"/>
              <w:keepLines w:val="0"/>
              <w:suppressLineNumbers w:val="0"/>
              <w:spacing w:before="0" w:beforeAutospacing="0" w:after="0" w:afterAutospacing="0" w:line="299" w:lineRule="auto"/>
              <w:ind w:left="0" w:right="0"/>
              <w:jc w:val="center"/>
              <w:rPr>
                <w:rFonts w:hint="eastAsia" w:ascii="宋体" w:hAnsi="宋体" w:eastAsia="宋体" w:cs="宋体"/>
                <w:color w:val="auto"/>
                <w:sz w:val="24"/>
                <w:szCs w:val="24"/>
                <w:highlight w:val="none"/>
              </w:rPr>
            </w:pPr>
          </w:p>
          <w:p w14:paraId="5E29C3E3">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1.0</w:t>
            </w:r>
            <w:r>
              <w:rPr>
                <w:rFonts w:hint="eastAsia" w:ascii="宋体" w:hAnsi="宋体" w:eastAsia="宋体" w:cs="宋体"/>
                <w:color w:val="auto"/>
                <w:spacing w:val="-38"/>
                <w:sz w:val="24"/>
                <w:szCs w:val="24"/>
                <w:highlight w:val="none"/>
              </w:rPr>
              <w:t xml:space="preserve"> </w:t>
            </w:r>
            <w:r>
              <w:rPr>
                <w:rFonts w:hint="eastAsia" w:ascii="宋体" w:hAnsi="宋体" w:eastAsia="宋体" w:cs="宋体"/>
                <w:color w:val="auto"/>
                <w:spacing w:val="-2"/>
                <w:sz w:val="24"/>
                <w:szCs w:val="24"/>
                <w:highlight w:val="none"/>
              </w:rPr>
              <w:t>分</w:t>
            </w:r>
          </w:p>
        </w:tc>
        <w:tc>
          <w:tcPr>
            <w:tcW w:w="1193" w:type="dxa"/>
            <w:vAlign w:val="top"/>
          </w:tcPr>
          <w:p w14:paraId="65C9E74F">
            <w:pPr>
              <w:keepNext w:val="0"/>
              <w:keepLines w:val="0"/>
              <w:suppressLineNumbers w:val="0"/>
              <w:spacing w:before="0" w:beforeAutospacing="0" w:after="0" w:afterAutospacing="0" w:line="299" w:lineRule="auto"/>
              <w:ind w:left="0" w:right="0"/>
              <w:jc w:val="center"/>
              <w:rPr>
                <w:rFonts w:hint="eastAsia" w:ascii="宋体" w:hAnsi="宋体" w:eastAsia="宋体" w:cs="宋体"/>
                <w:color w:val="auto"/>
                <w:sz w:val="24"/>
                <w:szCs w:val="24"/>
                <w:highlight w:val="none"/>
              </w:rPr>
            </w:pPr>
          </w:p>
          <w:p w14:paraId="7280396A">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p>
        </w:tc>
      </w:tr>
      <w:tr w14:paraId="4022C2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tcBorders>
            <w:vAlign w:val="top"/>
          </w:tcPr>
          <w:p w14:paraId="18C05AA9">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5713" w:type="dxa"/>
            <w:gridSpan w:val="4"/>
            <w:vAlign w:val="top"/>
          </w:tcPr>
          <w:p w14:paraId="149EB683">
            <w:pPr>
              <w:pStyle w:val="23"/>
              <w:keepNext w:val="0"/>
              <w:keepLines w:val="0"/>
              <w:suppressLineNumbers w:val="0"/>
              <w:spacing w:before="55" w:line="260" w:lineRule="auto"/>
              <w:ind w:left="114" w:right="105" w:firstLine="2"/>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消防控制室和安防视频监控中心合并设置且能够辅助</w:t>
            </w:r>
            <w:r>
              <w:rPr>
                <w:rFonts w:hint="eastAsia" w:ascii="宋体" w:hAnsi="宋体" w:eastAsia="宋体" w:cs="宋体"/>
                <w:color w:val="auto"/>
                <w:spacing w:val="7"/>
                <w:sz w:val="24"/>
                <w:szCs w:val="24"/>
                <w:highlight w:val="none"/>
              </w:rPr>
              <w:t>火警信息早期确认的。</w:t>
            </w:r>
          </w:p>
        </w:tc>
        <w:tc>
          <w:tcPr>
            <w:tcW w:w="762" w:type="dxa"/>
            <w:vAlign w:val="top"/>
          </w:tcPr>
          <w:p w14:paraId="53D8D5E7">
            <w:pPr>
              <w:pStyle w:val="23"/>
              <w:keepNext w:val="0"/>
              <w:keepLines w:val="0"/>
              <w:suppressLineNumbers w:val="0"/>
              <w:spacing w:before="210" w:line="229" w:lineRule="auto"/>
              <w:jc w:val="center"/>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0.5</w:t>
            </w:r>
            <w:r>
              <w:rPr>
                <w:rFonts w:hint="eastAsia" w:ascii="宋体" w:hAnsi="宋体" w:eastAsia="宋体" w:cs="宋体"/>
                <w:color w:val="auto"/>
                <w:spacing w:val="-37"/>
                <w:sz w:val="24"/>
                <w:szCs w:val="24"/>
                <w:highlight w:val="none"/>
              </w:rPr>
              <w:t xml:space="preserve"> </w:t>
            </w:r>
            <w:r>
              <w:rPr>
                <w:rFonts w:hint="eastAsia" w:ascii="宋体" w:hAnsi="宋体" w:eastAsia="宋体" w:cs="宋体"/>
                <w:color w:val="auto"/>
                <w:spacing w:val="1"/>
                <w:sz w:val="24"/>
                <w:szCs w:val="24"/>
                <w:highlight w:val="none"/>
              </w:rPr>
              <w:t>分</w:t>
            </w:r>
          </w:p>
        </w:tc>
        <w:tc>
          <w:tcPr>
            <w:tcW w:w="1193" w:type="dxa"/>
            <w:vAlign w:val="top"/>
          </w:tcPr>
          <w:p w14:paraId="2A4C339A">
            <w:pPr>
              <w:pStyle w:val="23"/>
              <w:keepNext w:val="0"/>
              <w:keepLines w:val="0"/>
              <w:suppressLineNumbers w:val="0"/>
              <w:spacing w:before="210" w:line="229" w:lineRule="auto"/>
              <w:jc w:val="center"/>
              <w:rPr>
                <w:rFonts w:hint="eastAsia" w:ascii="宋体" w:hAnsi="宋体" w:eastAsia="宋体" w:cs="宋体"/>
                <w:color w:val="auto"/>
                <w:sz w:val="24"/>
                <w:szCs w:val="24"/>
                <w:highlight w:val="none"/>
              </w:rPr>
            </w:pPr>
          </w:p>
        </w:tc>
      </w:tr>
      <w:tr w14:paraId="4FEEB1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restart"/>
            <w:tcBorders>
              <w:bottom w:val="nil"/>
            </w:tcBorders>
            <w:vAlign w:val="top"/>
          </w:tcPr>
          <w:p w14:paraId="6F697753">
            <w:pPr>
              <w:keepNext w:val="0"/>
              <w:keepLines w:val="0"/>
              <w:suppressLineNumbers w:val="0"/>
              <w:spacing w:before="0" w:beforeAutospacing="0" w:after="0" w:afterAutospacing="0" w:line="271" w:lineRule="auto"/>
              <w:ind w:left="0" w:right="0"/>
              <w:jc w:val="center"/>
              <w:rPr>
                <w:rFonts w:hint="eastAsia" w:ascii="宋体" w:hAnsi="宋体" w:eastAsia="宋体" w:cs="宋体"/>
                <w:color w:val="auto"/>
                <w:sz w:val="24"/>
                <w:szCs w:val="24"/>
                <w:highlight w:val="none"/>
              </w:rPr>
            </w:pPr>
          </w:p>
          <w:p w14:paraId="5C6ED55C">
            <w:pPr>
              <w:keepNext w:val="0"/>
              <w:keepLines w:val="0"/>
              <w:suppressLineNumbers w:val="0"/>
              <w:spacing w:before="0" w:beforeAutospacing="0" w:after="0" w:afterAutospacing="0" w:line="272" w:lineRule="auto"/>
              <w:ind w:left="0" w:right="0"/>
              <w:jc w:val="center"/>
              <w:rPr>
                <w:rFonts w:hint="eastAsia" w:ascii="宋体" w:hAnsi="宋体" w:eastAsia="宋体" w:cs="宋体"/>
                <w:color w:val="auto"/>
                <w:sz w:val="24"/>
                <w:szCs w:val="24"/>
                <w:highlight w:val="none"/>
              </w:rPr>
            </w:pPr>
          </w:p>
          <w:p w14:paraId="34E80C25">
            <w:pPr>
              <w:pStyle w:val="23"/>
              <w:keepNext w:val="0"/>
              <w:keepLines w:val="0"/>
              <w:suppressLineNumbers w:val="0"/>
              <w:spacing w:before="65"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3"/>
                <w:sz w:val="24"/>
                <w:szCs w:val="24"/>
                <w:highlight w:val="none"/>
              </w:rPr>
              <w:t>得分</w:t>
            </w:r>
          </w:p>
        </w:tc>
        <w:tc>
          <w:tcPr>
            <w:tcW w:w="5713" w:type="dxa"/>
            <w:gridSpan w:val="4"/>
            <w:vAlign w:val="top"/>
          </w:tcPr>
          <w:p w14:paraId="2902AFB3">
            <w:pPr>
              <w:pStyle w:val="23"/>
              <w:keepNext w:val="0"/>
              <w:keepLines w:val="0"/>
              <w:suppressLineNumbers w:val="0"/>
              <w:spacing w:before="131" w:line="227" w:lineRule="auto"/>
              <w:ind w:left="1619"/>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所有评估小项应得分</w:t>
            </w:r>
          </w:p>
        </w:tc>
        <w:tc>
          <w:tcPr>
            <w:tcW w:w="1955" w:type="dxa"/>
            <w:gridSpan w:val="2"/>
            <w:vAlign w:val="top"/>
          </w:tcPr>
          <w:p w14:paraId="53F8B5A7">
            <w:pPr>
              <w:pStyle w:val="23"/>
              <w:keepNext w:val="0"/>
              <w:keepLines w:val="0"/>
              <w:suppressLineNumbers w:val="0"/>
              <w:spacing w:before="131" w:line="229" w:lineRule="auto"/>
              <w:jc w:val="center"/>
              <w:rPr>
                <w:rFonts w:hint="eastAsia" w:ascii="宋体" w:hAnsi="宋体" w:eastAsia="宋体" w:cs="宋体"/>
                <w:color w:val="auto"/>
                <w:sz w:val="24"/>
                <w:szCs w:val="24"/>
                <w:highlight w:val="none"/>
              </w:rPr>
            </w:pPr>
          </w:p>
        </w:tc>
      </w:tr>
      <w:tr w14:paraId="5882E5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0F543656">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5713" w:type="dxa"/>
            <w:gridSpan w:val="4"/>
            <w:vAlign w:val="top"/>
          </w:tcPr>
          <w:p w14:paraId="2BDEB34C">
            <w:pPr>
              <w:pStyle w:val="23"/>
              <w:keepNext w:val="0"/>
              <w:keepLines w:val="0"/>
              <w:suppressLineNumbers w:val="0"/>
              <w:spacing w:before="133" w:line="227" w:lineRule="auto"/>
              <w:ind w:left="1619"/>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所有评估小项实得分</w:t>
            </w:r>
          </w:p>
        </w:tc>
        <w:tc>
          <w:tcPr>
            <w:tcW w:w="1955" w:type="dxa"/>
            <w:gridSpan w:val="2"/>
            <w:vAlign w:val="top"/>
          </w:tcPr>
          <w:p w14:paraId="5BCB3C96">
            <w:pPr>
              <w:pStyle w:val="23"/>
              <w:keepNext w:val="0"/>
              <w:keepLines w:val="0"/>
              <w:suppressLineNumbers w:val="0"/>
              <w:spacing w:before="133" w:line="229" w:lineRule="auto"/>
              <w:jc w:val="center"/>
              <w:rPr>
                <w:rFonts w:hint="eastAsia" w:ascii="宋体" w:hAnsi="宋体" w:eastAsia="宋体" w:cs="宋体"/>
                <w:color w:val="auto"/>
                <w:sz w:val="24"/>
                <w:szCs w:val="24"/>
                <w:highlight w:val="none"/>
              </w:rPr>
            </w:pPr>
          </w:p>
        </w:tc>
      </w:tr>
      <w:tr w14:paraId="64849A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tcBorders>
            <w:vAlign w:val="top"/>
          </w:tcPr>
          <w:p w14:paraId="6B3598E3">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5713" w:type="dxa"/>
            <w:gridSpan w:val="4"/>
            <w:vAlign w:val="top"/>
          </w:tcPr>
          <w:p w14:paraId="47BE4FA1">
            <w:pPr>
              <w:pStyle w:val="23"/>
              <w:keepNext w:val="0"/>
              <w:keepLines w:val="0"/>
              <w:suppressLineNumbers w:val="0"/>
              <w:spacing w:before="133" w:line="228" w:lineRule="auto"/>
              <w:ind w:left="2039"/>
              <w:rPr>
                <w:rFonts w:hint="eastAsia" w:ascii="宋体" w:hAnsi="宋体" w:eastAsia="宋体" w:cs="宋体"/>
                <w:color w:val="auto"/>
                <w:sz w:val="24"/>
                <w:szCs w:val="24"/>
                <w:highlight w:val="none"/>
              </w:rPr>
            </w:pPr>
            <w:r>
              <w:rPr>
                <w:rFonts w:hint="eastAsia" w:ascii="宋体" w:hAnsi="宋体" w:eastAsia="宋体" w:cs="宋体"/>
                <w:color w:val="auto"/>
                <w:spacing w:val="8"/>
                <w:sz w:val="24"/>
                <w:szCs w:val="24"/>
                <w:highlight w:val="none"/>
              </w:rPr>
              <w:t>加分项得分</w:t>
            </w:r>
          </w:p>
        </w:tc>
        <w:tc>
          <w:tcPr>
            <w:tcW w:w="1955" w:type="dxa"/>
            <w:gridSpan w:val="2"/>
            <w:vAlign w:val="top"/>
          </w:tcPr>
          <w:p w14:paraId="782C4A30">
            <w:pPr>
              <w:pStyle w:val="23"/>
              <w:keepNext w:val="0"/>
              <w:keepLines w:val="0"/>
              <w:suppressLineNumbers w:val="0"/>
              <w:spacing w:before="132" w:line="229" w:lineRule="auto"/>
              <w:jc w:val="center"/>
              <w:rPr>
                <w:rFonts w:hint="eastAsia" w:ascii="宋体" w:hAnsi="宋体" w:eastAsia="宋体" w:cs="宋体"/>
                <w:color w:val="auto"/>
                <w:sz w:val="24"/>
                <w:szCs w:val="24"/>
                <w:highlight w:val="none"/>
              </w:rPr>
            </w:pPr>
          </w:p>
        </w:tc>
      </w:tr>
      <w:tr w14:paraId="7E89AA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168" w:type="dxa"/>
            <w:vAlign w:val="top"/>
          </w:tcPr>
          <w:p w14:paraId="0E31B1B7">
            <w:pPr>
              <w:keepNext w:val="0"/>
              <w:keepLines w:val="0"/>
              <w:suppressLineNumbers w:val="0"/>
              <w:spacing w:before="0" w:beforeAutospacing="0" w:after="0" w:afterAutospacing="0" w:line="298" w:lineRule="auto"/>
              <w:ind w:left="0" w:right="0"/>
              <w:jc w:val="center"/>
              <w:rPr>
                <w:rFonts w:hint="eastAsia" w:ascii="宋体" w:hAnsi="宋体" w:eastAsia="宋体" w:cs="宋体"/>
                <w:color w:val="auto"/>
                <w:sz w:val="24"/>
                <w:szCs w:val="24"/>
                <w:highlight w:val="none"/>
              </w:rPr>
            </w:pPr>
          </w:p>
          <w:p w14:paraId="17AB2175">
            <w:pPr>
              <w:pStyle w:val="23"/>
              <w:keepNext w:val="0"/>
              <w:keepLines w:val="0"/>
              <w:suppressLineNumbers w:val="0"/>
              <w:spacing w:before="65"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综合得分</w:t>
            </w:r>
          </w:p>
        </w:tc>
        <w:tc>
          <w:tcPr>
            <w:tcW w:w="3500" w:type="dxa"/>
            <w:gridSpan w:val="2"/>
            <w:vAlign w:val="top"/>
          </w:tcPr>
          <w:p w14:paraId="048F22E9">
            <w:pPr>
              <w:keepNext w:val="0"/>
              <w:keepLines w:val="0"/>
              <w:suppressLineNumbers w:val="0"/>
              <w:spacing w:before="34" w:beforeAutospacing="0" w:after="0" w:afterAutospacing="0" w:line="857" w:lineRule="exact"/>
              <w:ind w:left="0" w:right="0" w:firstLine="600"/>
              <w:jc w:val="center"/>
              <w:rPr>
                <w:rFonts w:hint="eastAsia" w:ascii="宋体" w:hAnsi="宋体" w:eastAsia="宋体" w:cs="宋体"/>
                <w:color w:val="auto"/>
                <w:sz w:val="24"/>
                <w:szCs w:val="24"/>
                <w:highlight w:val="none"/>
              </w:rPr>
            </w:pPr>
            <w:r>
              <w:rPr>
                <w:rFonts w:hint="eastAsia" w:ascii="宋体" w:hAnsi="宋体" w:eastAsia="宋体" w:cs="宋体"/>
                <w:color w:val="auto"/>
                <w:position w:val="-17"/>
                <w:sz w:val="24"/>
                <w:szCs w:val="24"/>
                <w:highlight w:val="none"/>
              </w:rPr>
              <w:drawing>
                <wp:inline distT="0" distB="0" distL="0" distR="0">
                  <wp:extent cx="1212850" cy="543560"/>
                  <wp:effectExtent l="0" t="0" r="6350" b="8890"/>
                  <wp:docPr id="44" name="IM 12"/>
                  <wp:cNvGraphicFramePr/>
                  <a:graphic xmlns:a="http://schemas.openxmlformats.org/drawingml/2006/main">
                    <a:graphicData uri="http://schemas.openxmlformats.org/drawingml/2006/picture">
                      <pic:pic xmlns:pic="http://schemas.openxmlformats.org/drawingml/2006/picture">
                        <pic:nvPicPr>
                          <pic:cNvPr id="44" name="IM 12"/>
                          <pic:cNvPicPr/>
                        </pic:nvPicPr>
                        <pic:blipFill>
                          <a:blip r:embed="rId15"/>
                          <a:stretch>
                            <a:fillRect/>
                          </a:stretch>
                        </pic:blipFill>
                        <pic:spPr>
                          <a:xfrm>
                            <a:off x="0" y="0"/>
                            <a:ext cx="1213103" cy="544067"/>
                          </a:xfrm>
                          <a:prstGeom prst="rect">
                            <a:avLst/>
                          </a:prstGeom>
                        </pic:spPr>
                      </pic:pic>
                    </a:graphicData>
                  </a:graphic>
                </wp:inline>
              </w:drawing>
            </w:r>
          </w:p>
        </w:tc>
        <w:tc>
          <w:tcPr>
            <w:tcW w:w="2975" w:type="dxa"/>
            <w:gridSpan w:val="3"/>
            <w:vAlign w:val="top"/>
          </w:tcPr>
          <w:p w14:paraId="5C65D752">
            <w:pPr>
              <w:pStyle w:val="23"/>
              <w:keepNext w:val="0"/>
              <w:keepLines w:val="0"/>
              <w:suppressLineNumbers w:val="0"/>
              <w:spacing w:before="65" w:line="261" w:lineRule="auto"/>
              <w:ind w:left="110" w:right="779"/>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M——评估综合得分；</w:t>
            </w:r>
            <w:r>
              <w:rPr>
                <w:rFonts w:hint="eastAsia" w:ascii="Times New Roman" w:hAnsi="Times New Roman" w:cs="Times New Roman"/>
                <w:color w:val="auto"/>
                <w:sz w:val="24"/>
                <w:szCs w:val="24"/>
                <w:highlight w:val="none"/>
                <w:lang w:val="en-US" w:eastAsia="zh-CN"/>
              </w:rPr>
              <w:t xml:space="preserve">         </w:t>
            </w:r>
          </w:p>
          <w:p w14:paraId="6C9A67A2">
            <w:pPr>
              <w:pStyle w:val="23"/>
              <w:keepNext w:val="0"/>
              <w:keepLines w:val="0"/>
              <w:pageBreakBefore w:val="0"/>
              <w:widowControl w:val="0"/>
              <w:suppressLineNumbers w:val="0"/>
              <w:kinsoku/>
              <w:wordWrap/>
              <w:overflowPunct/>
              <w:topLinePunct w:val="0"/>
              <w:autoSpaceDE/>
              <w:autoSpaceDN/>
              <w:bidi w:val="0"/>
              <w:adjustRightInd/>
              <w:snapToGrid/>
              <w:spacing w:before="65" w:line="240" w:lineRule="auto"/>
              <w:ind w:left="108" w:right="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P</w:t>
            </w:r>
            <w:r>
              <w:rPr>
                <w:rFonts w:hint="default" w:ascii="Times New Roman" w:hAnsi="Times New Roman" w:eastAsia="宋体" w:cs="Times New Roman"/>
                <w:color w:val="auto"/>
                <w:sz w:val="24"/>
                <w:szCs w:val="24"/>
                <w:highlight w:val="none"/>
                <w:vertAlign w:val="subscript"/>
              </w:rPr>
              <w:t>y</w:t>
            </w:r>
            <w:r>
              <w:rPr>
                <w:rFonts w:hint="default" w:ascii="Times New Roman" w:hAnsi="Times New Roman" w:eastAsia="宋体" w:cs="Times New Roman"/>
                <w:color w:val="auto"/>
                <w:sz w:val="24"/>
                <w:szCs w:val="24"/>
                <w:highlight w:val="none"/>
              </w:rPr>
              <w:t>——所有评估小项实得</w:t>
            </w:r>
            <w:r>
              <w:rPr>
                <w:rFonts w:hint="default" w:ascii="Times New Roman" w:hAnsi="Times New Roman" w:eastAsia="宋体" w:cs="Times New Roman"/>
                <w:color w:val="auto"/>
                <w:sz w:val="24"/>
                <w:szCs w:val="24"/>
                <w:highlight w:val="none"/>
                <w:lang w:val="en-US" w:eastAsia="zh-CN"/>
              </w:rPr>
              <w:t>总</w:t>
            </w:r>
            <w:r>
              <w:rPr>
                <w:rFonts w:hint="default" w:ascii="Times New Roman" w:hAnsi="Times New Roman" w:eastAsia="宋体" w:cs="Times New Roman"/>
                <w:color w:val="auto"/>
                <w:sz w:val="24"/>
                <w:szCs w:val="24"/>
                <w:highlight w:val="none"/>
              </w:rPr>
              <w:t>分；</w:t>
            </w:r>
          </w:p>
          <w:p w14:paraId="768447B3">
            <w:pPr>
              <w:pStyle w:val="23"/>
              <w:keepNext w:val="0"/>
              <w:keepLines w:val="0"/>
              <w:pageBreakBefore w:val="0"/>
              <w:widowControl w:val="0"/>
              <w:suppressLineNumbers w:val="0"/>
              <w:kinsoku/>
              <w:wordWrap/>
              <w:overflowPunct/>
              <w:topLinePunct w:val="0"/>
              <w:autoSpaceDE/>
              <w:autoSpaceDN/>
              <w:bidi w:val="0"/>
              <w:adjustRightInd/>
              <w:snapToGrid/>
              <w:spacing w:before="65" w:line="262" w:lineRule="auto"/>
              <w:ind w:left="108" w:right="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P</w:t>
            </w:r>
            <w:r>
              <w:rPr>
                <w:rFonts w:hint="default" w:ascii="Times New Roman" w:hAnsi="Times New Roman" w:eastAsia="宋体" w:cs="Times New Roman"/>
                <w:color w:val="auto"/>
                <w:sz w:val="24"/>
                <w:szCs w:val="24"/>
                <w:highlight w:val="none"/>
                <w:vertAlign w:val="subscript"/>
              </w:rPr>
              <w:t>z</w:t>
            </w:r>
            <w:r>
              <w:rPr>
                <w:rFonts w:hint="default" w:ascii="Times New Roman" w:hAnsi="Times New Roman" w:eastAsia="宋体" w:cs="Times New Roman"/>
                <w:color w:val="auto"/>
                <w:sz w:val="24"/>
                <w:szCs w:val="24"/>
                <w:highlight w:val="none"/>
              </w:rPr>
              <w:t>——所有评估小项应得总分（所有评估小项应得总分=所有评估小项总分-所有不参与评分项总分）。</w:t>
            </w:r>
          </w:p>
        </w:tc>
        <w:tc>
          <w:tcPr>
            <w:tcW w:w="1193" w:type="dxa"/>
            <w:vAlign w:val="top"/>
          </w:tcPr>
          <w:p w14:paraId="52BDF051">
            <w:pPr>
              <w:keepNext w:val="0"/>
              <w:keepLines w:val="0"/>
              <w:suppressLineNumbers w:val="0"/>
              <w:spacing w:before="0" w:beforeAutospacing="0" w:after="0" w:afterAutospacing="0" w:line="298" w:lineRule="auto"/>
              <w:ind w:left="0" w:right="0"/>
              <w:jc w:val="center"/>
              <w:rPr>
                <w:rFonts w:hint="eastAsia" w:ascii="宋体" w:hAnsi="宋体" w:eastAsia="宋体" w:cs="宋体"/>
                <w:color w:val="auto"/>
                <w:sz w:val="24"/>
                <w:szCs w:val="24"/>
                <w:highlight w:val="none"/>
              </w:rPr>
            </w:pPr>
          </w:p>
          <w:p w14:paraId="0D1AAB72">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p>
        </w:tc>
      </w:tr>
      <w:tr w14:paraId="0DC45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1168" w:type="dxa"/>
            <w:vAlign w:val="top"/>
          </w:tcPr>
          <w:p w14:paraId="3566C8BF">
            <w:pPr>
              <w:keepNext w:val="0"/>
              <w:keepLines w:val="0"/>
              <w:suppressLineNumbers w:val="0"/>
              <w:spacing w:before="0" w:beforeAutospacing="0" w:after="0" w:afterAutospacing="0" w:line="456" w:lineRule="auto"/>
              <w:ind w:left="0" w:right="0"/>
              <w:jc w:val="center"/>
              <w:rPr>
                <w:rFonts w:hint="eastAsia" w:ascii="宋体" w:hAnsi="宋体" w:eastAsia="宋体" w:cs="宋体"/>
                <w:color w:val="auto"/>
                <w:sz w:val="24"/>
                <w:szCs w:val="24"/>
                <w:highlight w:val="none"/>
              </w:rPr>
            </w:pPr>
          </w:p>
          <w:p w14:paraId="46FF6813">
            <w:pPr>
              <w:pStyle w:val="23"/>
              <w:keepNext w:val="0"/>
              <w:keepLines w:val="0"/>
              <w:suppressLineNumbers w:val="0"/>
              <w:spacing w:before="65" w:line="228"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最终得分</w:t>
            </w:r>
          </w:p>
        </w:tc>
        <w:tc>
          <w:tcPr>
            <w:tcW w:w="3500" w:type="dxa"/>
            <w:gridSpan w:val="2"/>
            <w:vAlign w:val="top"/>
          </w:tcPr>
          <w:p w14:paraId="68FA5D57">
            <w:pPr>
              <w:keepNext w:val="0"/>
              <w:keepLines w:val="0"/>
              <w:suppressLineNumbers w:val="0"/>
              <w:spacing w:before="116" w:beforeAutospacing="0" w:after="0" w:afterAutospacing="0" w:line="994" w:lineRule="exact"/>
              <w:ind w:left="0" w:right="0" w:firstLine="449"/>
              <w:jc w:val="center"/>
              <w:rPr>
                <w:rFonts w:hint="eastAsia" w:ascii="宋体" w:hAnsi="宋体" w:eastAsia="宋体" w:cs="宋体"/>
                <w:color w:val="auto"/>
                <w:sz w:val="24"/>
                <w:szCs w:val="24"/>
                <w:highlight w:val="none"/>
              </w:rPr>
            </w:pPr>
            <w:r>
              <w:rPr>
                <w:rFonts w:hint="eastAsia" w:ascii="宋体" w:hAnsi="宋体" w:eastAsia="宋体" w:cs="宋体"/>
                <w:color w:val="auto"/>
                <w:position w:val="-19"/>
                <w:sz w:val="24"/>
                <w:szCs w:val="24"/>
                <w:highlight w:val="none"/>
              </w:rPr>
              <w:drawing>
                <wp:inline distT="0" distB="0" distL="0" distR="0">
                  <wp:extent cx="1406525" cy="630555"/>
                  <wp:effectExtent l="0" t="0" r="3175" b="17145"/>
                  <wp:docPr id="45" name="IM 14"/>
                  <wp:cNvGraphicFramePr/>
                  <a:graphic xmlns:a="http://schemas.openxmlformats.org/drawingml/2006/main">
                    <a:graphicData uri="http://schemas.openxmlformats.org/drawingml/2006/picture">
                      <pic:pic xmlns:pic="http://schemas.openxmlformats.org/drawingml/2006/picture">
                        <pic:nvPicPr>
                          <pic:cNvPr id="45" name="IM 14"/>
                          <pic:cNvPicPr/>
                        </pic:nvPicPr>
                        <pic:blipFill>
                          <a:blip r:embed="rId16"/>
                          <a:stretch>
                            <a:fillRect/>
                          </a:stretch>
                        </pic:blipFill>
                        <pic:spPr>
                          <a:xfrm>
                            <a:off x="0" y="0"/>
                            <a:ext cx="1406651" cy="630935"/>
                          </a:xfrm>
                          <a:prstGeom prst="rect">
                            <a:avLst/>
                          </a:prstGeom>
                        </pic:spPr>
                      </pic:pic>
                    </a:graphicData>
                  </a:graphic>
                </wp:inline>
              </w:drawing>
            </w:r>
          </w:p>
        </w:tc>
        <w:tc>
          <w:tcPr>
            <w:tcW w:w="2975" w:type="dxa"/>
            <w:gridSpan w:val="3"/>
            <w:vAlign w:val="top"/>
          </w:tcPr>
          <w:p w14:paraId="0391740F">
            <w:pPr>
              <w:pStyle w:val="23"/>
              <w:keepNext w:val="0"/>
              <w:keepLines w:val="0"/>
              <w:pageBreakBefore w:val="0"/>
              <w:widowControl w:val="0"/>
              <w:suppressLineNumbers w:val="0"/>
              <w:kinsoku/>
              <w:wordWrap/>
              <w:overflowPunct/>
              <w:topLinePunct w:val="0"/>
              <w:autoSpaceDE/>
              <w:autoSpaceDN/>
              <w:bidi w:val="0"/>
              <w:adjustRightInd/>
              <w:snapToGrid/>
              <w:spacing w:before="65" w:line="262" w:lineRule="auto"/>
              <w:ind w:left="108" w:right="0"/>
              <w:jc w:val="left"/>
              <w:textAlignment w:val="auto"/>
              <w:rPr>
                <w:rFonts w:hint="default" w:ascii="Times New Roman" w:hAnsi="Times New Roman" w:eastAsia="宋体" w:cs="Times New Roman"/>
                <w:color w:val="auto"/>
                <w:spacing w:val="1"/>
                <w:sz w:val="24"/>
                <w:szCs w:val="24"/>
                <w:highlight w:val="none"/>
              </w:rPr>
            </w:pPr>
            <w:r>
              <w:rPr>
                <w:rFonts w:hint="default" w:ascii="Times New Roman" w:hAnsi="Times New Roman" w:eastAsia="宋体" w:cs="Times New Roman"/>
                <w:color w:val="auto"/>
                <w:spacing w:val="8"/>
                <w:sz w:val="24"/>
                <w:szCs w:val="24"/>
                <w:highlight w:val="none"/>
              </w:rPr>
              <w:t>N—最终得分</w:t>
            </w:r>
          </w:p>
          <w:p w14:paraId="53EF0BA3">
            <w:pPr>
              <w:pStyle w:val="23"/>
              <w:keepNext w:val="0"/>
              <w:keepLines w:val="0"/>
              <w:pageBreakBefore w:val="0"/>
              <w:widowControl w:val="0"/>
              <w:suppressLineNumbers w:val="0"/>
              <w:kinsoku/>
              <w:wordWrap/>
              <w:overflowPunct/>
              <w:topLinePunct w:val="0"/>
              <w:autoSpaceDE/>
              <w:autoSpaceDN/>
              <w:bidi w:val="0"/>
              <w:adjustRightInd/>
              <w:snapToGrid/>
              <w:spacing w:before="65" w:line="262" w:lineRule="auto"/>
              <w:ind w:left="108" w:right="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8"/>
                <w:sz w:val="24"/>
                <w:szCs w:val="24"/>
                <w:highlight w:val="none"/>
              </w:rPr>
              <w:t>M—得分</w:t>
            </w:r>
          </w:p>
          <w:p w14:paraId="3E3872E1">
            <w:pPr>
              <w:pStyle w:val="23"/>
              <w:keepNext w:val="0"/>
              <w:keepLines w:val="0"/>
              <w:pageBreakBefore w:val="0"/>
              <w:widowControl w:val="0"/>
              <w:suppressLineNumbers w:val="0"/>
              <w:kinsoku/>
              <w:wordWrap/>
              <w:overflowPunct/>
              <w:topLinePunct w:val="0"/>
              <w:autoSpaceDE/>
              <w:autoSpaceDN/>
              <w:bidi w:val="0"/>
              <w:adjustRightInd/>
              <w:snapToGrid/>
              <w:spacing w:before="65" w:line="262" w:lineRule="auto"/>
              <w:ind w:left="108" w:right="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bscript"/>
              </w:rPr>
              <w:t>i</w:t>
            </w:r>
            <w:r>
              <w:rPr>
                <w:rFonts w:hint="default" w:ascii="Times New Roman" w:hAnsi="Times New Roman" w:eastAsia="宋体" w:cs="Times New Roman"/>
                <w:color w:val="auto"/>
                <w:spacing w:val="5"/>
                <w:sz w:val="24"/>
                <w:szCs w:val="24"/>
                <w:highlight w:val="none"/>
              </w:rPr>
              <w:t>—第</w:t>
            </w:r>
            <w:r>
              <w:rPr>
                <w:rFonts w:hint="default" w:ascii="Times New Roman" w:hAnsi="Times New Roman" w:eastAsia="宋体" w:cs="Times New Roman"/>
                <w:color w:val="auto"/>
                <w:spacing w:val="-26"/>
                <w:sz w:val="24"/>
                <w:szCs w:val="24"/>
                <w:highlight w:val="none"/>
              </w:rPr>
              <w:t xml:space="preserve"> </w:t>
            </w:r>
            <w:r>
              <w:rPr>
                <w:rFonts w:hint="default" w:ascii="Times New Roman" w:hAnsi="Times New Roman" w:eastAsia="宋体" w:cs="Times New Roman"/>
                <w:color w:val="auto"/>
                <w:spacing w:val="5"/>
                <w:sz w:val="24"/>
                <w:szCs w:val="24"/>
                <w:highlight w:val="none"/>
              </w:rPr>
              <w:t>i</w:t>
            </w:r>
            <w:r>
              <w:rPr>
                <w:rFonts w:hint="default" w:ascii="Times New Roman" w:hAnsi="Times New Roman" w:eastAsia="宋体" w:cs="Times New Roman"/>
                <w:color w:val="auto"/>
                <w:spacing w:val="-38"/>
                <w:sz w:val="24"/>
                <w:szCs w:val="24"/>
                <w:highlight w:val="none"/>
              </w:rPr>
              <w:t xml:space="preserve"> </w:t>
            </w:r>
            <w:r>
              <w:rPr>
                <w:rFonts w:hint="default" w:ascii="Times New Roman" w:hAnsi="Times New Roman" w:eastAsia="宋体" w:cs="Times New Roman"/>
                <w:color w:val="auto"/>
                <w:spacing w:val="5"/>
                <w:sz w:val="24"/>
                <w:szCs w:val="24"/>
                <w:highlight w:val="none"/>
              </w:rPr>
              <w:t>个加分项</w:t>
            </w:r>
          </w:p>
          <w:p w14:paraId="0D590E81">
            <w:pPr>
              <w:pStyle w:val="23"/>
              <w:keepNext w:val="0"/>
              <w:keepLines w:val="0"/>
              <w:pageBreakBefore w:val="0"/>
              <w:widowControl w:val="0"/>
              <w:suppressLineNumbers w:val="0"/>
              <w:kinsoku/>
              <w:wordWrap/>
              <w:overflowPunct/>
              <w:topLinePunct w:val="0"/>
              <w:autoSpaceDE/>
              <w:autoSpaceDN/>
              <w:bidi w:val="0"/>
              <w:adjustRightInd/>
              <w:snapToGrid/>
              <w:spacing w:before="65" w:line="262" w:lineRule="auto"/>
              <w:ind w:left="108" w:right="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8"/>
                <w:sz w:val="24"/>
                <w:szCs w:val="24"/>
                <w:highlight w:val="none"/>
              </w:rPr>
              <w:t>n—加分项数量</w:t>
            </w:r>
          </w:p>
        </w:tc>
        <w:tc>
          <w:tcPr>
            <w:tcW w:w="1193" w:type="dxa"/>
            <w:vAlign w:val="top"/>
          </w:tcPr>
          <w:p w14:paraId="3D761397">
            <w:pPr>
              <w:keepNext w:val="0"/>
              <w:keepLines w:val="0"/>
              <w:suppressLineNumbers w:val="0"/>
              <w:spacing w:before="0" w:beforeAutospacing="0" w:after="0" w:afterAutospacing="0" w:line="456" w:lineRule="auto"/>
              <w:ind w:left="0" w:right="0"/>
              <w:jc w:val="center"/>
              <w:rPr>
                <w:rFonts w:hint="eastAsia" w:ascii="宋体" w:hAnsi="宋体" w:eastAsia="宋体" w:cs="宋体"/>
                <w:color w:val="auto"/>
                <w:sz w:val="24"/>
                <w:szCs w:val="24"/>
                <w:highlight w:val="none"/>
              </w:rPr>
            </w:pPr>
          </w:p>
          <w:p w14:paraId="4DB39CC2">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p>
        </w:tc>
      </w:tr>
      <w:tr w14:paraId="74427D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restart"/>
            <w:tcBorders>
              <w:bottom w:val="nil"/>
            </w:tcBorders>
            <w:vAlign w:val="top"/>
          </w:tcPr>
          <w:p w14:paraId="46FD30D0">
            <w:pPr>
              <w:keepNext w:val="0"/>
              <w:keepLines w:val="0"/>
              <w:suppressLineNumbers w:val="0"/>
              <w:spacing w:before="0" w:beforeAutospacing="0" w:after="0" w:afterAutospacing="0" w:line="266" w:lineRule="auto"/>
              <w:ind w:left="0" w:right="0"/>
              <w:jc w:val="center"/>
              <w:rPr>
                <w:rFonts w:hint="eastAsia" w:ascii="宋体" w:hAnsi="宋体" w:eastAsia="宋体" w:cs="宋体"/>
                <w:color w:val="auto"/>
                <w:sz w:val="24"/>
                <w:szCs w:val="24"/>
                <w:highlight w:val="none"/>
              </w:rPr>
            </w:pPr>
          </w:p>
          <w:p w14:paraId="1E282953">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6A62A8E0">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5E965731">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545DDA3F">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69B427C1">
            <w:pPr>
              <w:pStyle w:val="23"/>
              <w:keepNext w:val="0"/>
              <w:keepLines w:val="0"/>
              <w:suppressLineNumbers w:val="0"/>
              <w:spacing w:before="65" w:line="229"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综合判定</w:t>
            </w:r>
          </w:p>
        </w:tc>
        <w:tc>
          <w:tcPr>
            <w:tcW w:w="7668" w:type="dxa"/>
            <w:gridSpan w:val="6"/>
            <w:vAlign w:val="top"/>
          </w:tcPr>
          <w:p w14:paraId="2C0A18B3">
            <w:pPr>
              <w:pStyle w:val="23"/>
              <w:keepNext w:val="0"/>
              <w:keepLines w:val="0"/>
              <w:suppressLineNumbers w:val="0"/>
              <w:spacing w:before="133" w:line="227" w:lineRule="auto"/>
              <w:ind w:left="2972"/>
              <w:rPr>
                <w:rFonts w:hint="eastAsia" w:ascii="宋体" w:hAnsi="宋体" w:eastAsia="宋体" w:cs="宋体"/>
                <w:color w:val="auto"/>
                <w:sz w:val="24"/>
                <w:szCs w:val="24"/>
                <w:highlight w:val="none"/>
              </w:rPr>
            </w:pPr>
            <w:r>
              <w:rPr>
                <w:rFonts w:hint="eastAsia" w:ascii="宋体" w:hAnsi="宋体" w:eastAsia="宋体" w:cs="宋体"/>
                <w:b/>
                <w:bCs/>
                <w:color w:val="auto"/>
                <w:spacing w:val="7"/>
                <w:sz w:val="24"/>
                <w:szCs w:val="24"/>
                <w:highlight w:val="none"/>
              </w:rPr>
              <w:t>评估结果综合判定标准</w:t>
            </w:r>
          </w:p>
        </w:tc>
      </w:tr>
      <w:tr w14:paraId="7175A8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73122722">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3500" w:type="dxa"/>
            <w:gridSpan w:val="2"/>
            <w:vAlign w:val="top"/>
          </w:tcPr>
          <w:p w14:paraId="66D242FB">
            <w:pPr>
              <w:pStyle w:val="23"/>
              <w:keepNext w:val="0"/>
              <w:keepLines w:val="0"/>
              <w:suppressLineNumbers w:val="0"/>
              <w:spacing w:before="133" w:line="227" w:lineRule="auto"/>
              <w:ind w:left="1145"/>
              <w:rPr>
                <w:rFonts w:hint="eastAsia" w:ascii="宋体" w:hAnsi="宋体" w:eastAsia="宋体" w:cs="宋体"/>
                <w:color w:val="auto"/>
                <w:sz w:val="24"/>
                <w:szCs w:val="24"/>
                <w:highlight w:val="none"/>
              </w:rPr>
            </w:pPr>
            <w:r>
              <w:rPr>
                <w:rFonts w:hint="eastAsia" w:ascii="宋体" w:hAnsi="宋体" w:eastAsia="宋体" w:cs="宋体"/>
                <w:b/>
                <w:bCs/>
                <w:color w:val="auto"/>
                <w:spacing w:val="6"/>
                <w:sz w:val="24"/>
                <w:szCs w:val="24"/>
                <w:highlight w:val="none"/>
              </w:rPr>
              <w:t>评估结果</w:t>
            </w:r>
          </w:p>
        </w:tc>
        <w:tc>
          <w:tcPr>
            <w:tcW w:w="4168" w:type="dxa"/>
            <w:gridSpan w:val="4"/>
            <w:vAlign w:val="top"/>
          </w:tcPr>
          <w:p w14:paraId="0EB12BDC">
            <w:pPr>
              <w:pStyle w:val="23"/>
              <w:keepNext w:val="0"/>
              <w:keepLines w:val="0"/>
              <w:suppressLineNumbers w:val="0"/>
              <w:spacing w:before="133" w:line="228" w:lineRule="auto"/>
              <w:ind w:left="2045"/>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最终得分</w:t>
            </w:r>
          </w:p>
        </w:tc>
      </w:tr>
      <w:tr w14:paraId="2297D5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47784275">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17690770">
            <w:pPr>
              <w:keepNext w:val="0"/>
              <w:keepLines w:val="0"/>
              <w:suppressLineNumbers w:val="0"/>
              <w:spacing w:before="135" w:beforeAutospacing="0" w:after="0" w:afterAutospacing="0" w:line="225" w:lineRule="auto"/>
              <w:ind w:left="693" w:right="0"/>
              <w:rPr>
                <w:rFonts w:hint="eastAsia" w:ascii="宋体" w:hAnsi="宋体" w:eastAsia="宋体" w:cs="宋体"/>
                <w:color w:val="auto"/>
                <w:sz w:val="24"/>
                <w:szCs w:val="24"/>
                <w:highlight w:val="none"/>
              </w:rPr>
            </w:pPr>
            <w:r>
              <w:rPr>
                <w:rFonts w:hint="eastAsia" w:cs="宋体"/>
                <w:color w:val="auto"/>
                <w:kern w:val="2"/>
                <w:sz w:val="24"/>
                <w:szCs w:val="24"/>
                <w:highlight w:val="none"/>
                <w:lang w:eastAsia="zh-CN"/>
              </w:rPr>
              <w:t>□</w:t>
            </w:r>
          </w:p>
        </w:tc>
        <w:tc>
          <w:tcPr>
            <w:tcW w:w="1476" w:type="dxa"/>
            <w:vAlign w:val="top"/>
          </w:tcPr>
          <w:p w14:paraId="6ADEDC3F">
            <w:pPr>
              <w:pStyle w:val="23"/>
              <w:keepNext w:val="0"/>
              <w:keepLines w:val="0"/>
              <w:suppressLineNumbers w:val="0"/>
              <w:spacing w:before="135" w:line="228" w:lineRule="auto"/>
              <w:ind w:left="68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好</w:t>
            </w:r>
          </w:p>
        </w:tc>
        <w:tc>
          <w:tcPr>
            <w:tcW w:w="4168" w:type="dxa"/>
            <w:gridSpan w:val="4"/>
            <w:vAlign w:val="top"/>
          </w:tcPr>
          <w:p w14:paraId="34048D0A">
            <w:pPr>
              <w:pStyle w:val="23"/>
              <w:keepNext w:val="0"/>
              <w:keepLines w:val="0"/>
              <w:suppressLineNumbers w:val="0"/>
              <w:spacing w:before="135" w:line="229" w:lineRule="auto"/>
              <w:ind w:left="2065"/>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N≥90</w:t>
            </w:r>
            <w:r>
              <w:rPr>
                <w:rFonts w:hint="eastAsia" w:ascii="宋体" w:hAnsi="宋体" w:eastAsia="宋体" w:cs="宋体"/>
                <w:color w:val="auto"/>
                <w:spacing w:val="-37"/>
                <w:sz w:val="24"/>
                <w:szCs w:val="24"/>
                <w:highlight w:val="none"/>
              </w:rPr>
              <w:t xml:space="preserve"> </w:t>
            </w:r>
            <w:r>
              <w:rPr>
                <w:rFonts w:hint="eastAsia" w:ascii="宋体" w:hAnsi="宋体" w:eastAsia="宋体" w:cs="宋体"/>
                <w:color w:val="auto"/>
                <w:spacing w:val="4"/>
                <w:sz w:val="24"/>
                <w:szCs w:val="24"/>
                <w:highlight w:val="none"/>
              </w:rPr>
              <w:t>分</w:t>
            </w:r>
          </w:p>
        </w:tc>
      </w:tr>
      <w:tr w14:paraId="65C7E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496DB80B">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1697501A">
            <w:pPr>
              <w:keepNext w:val="0"/>
              <w:keepLines w:val="0"/>
              <w:suppressLineNumbers w:val="0"/>
              <w:spacing w:before="135" w:beforeAutospacing="0" w:after="0" w:afterAutospacing="0" w:line="225" w:lineRule="auto"/>
              <w:ind w:left="693" w:right="0"/>
              <w:rPr>
                <w:rFonts w:hint="eastAsia" w:ascii="宋体" w:hAnsi="宋体" w:eastAsia="宋体" w:cs="宋体"/>
                <w:color w:val="auto"/>
                <w:sz w:val="24"/>
                <w:szCs w:val="24"/>
                <w:highlight w:val="none"/>
              </w:rPr>
            </w:pPr>
            <w:r>
              <w:rPr>
                <w:rFonts w:hint="eastAsia" w:ascii="宋体" w:hAnsi="宋体" w:cs="宋体"/>
                <w:color w:val="auto"/>
                <w:kern w:val="2"/>
                <w:sz w:val="24"/>
                <w:szCs w:val="24"/>
                <w:highlight w:val="none"/>
                <w:lang w:eastAsia="zh-CN"/>
              </w:rPr>
              <w:t>□</w:t>
            </w:r>
          </w:p>
        </w:tc>
        <w:tc>
          <w:tcPr>
            <w:tcW w:w="1476" w:type="dxa"/>
            <w:vAlign w:val="top"/>
          </w:tcPr>
          <w:p w14:paraId="19459D26">
            <w:pPr>
              <w:pStyle w:val="23"/>
              <w:keepNext w:val="0"/>
              <w:keepLines w:val="0"/>
              <w:suppressLineNumbers w:val="0"/>
              <w:spacing w:before="135" w:line="228" w:lineRule="auto"/>
              <w:ind w:left="581"/>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较好</w:t>
            </w:r>
          </w:p>
        </w:tc>
        <w:tc>
          <w:tcPr>
            <w:tcW w:w="4168" w:type="dxa"/>
            <w:gridSpan w:val="4"/>
            <w:vAlign w:val="top"/>
          </w:tcPr>
          <w:p w14:paraId="04FF2303">
            <w:pPr>
              <w:pStyle w:val="23"/>
              <w:keepNext w:val="0"/>
              <w:keepLines w:val="0"/>
              <w:suppressLineNumbers w:val="0"/>
              <w:spacing w:before="134" w:line="266" w:lineRule="exact"/>
              <w:ind w:left="1993"/>
              <w:rPr>
                <w:rFonts w:hint="eastAsia" w:ascii="宋体" w:hAnsi="宋体" w:eastAsia="宋体" w:cs="宋体"/>
                <w:color w:val="auto"/>
                <w:sz w:val="24"/>
                <w:szCs w:val="24"/>
                <w:highlight w:val="none"/>
              </w:rPr>
            </w:pPr>
            <w:r>
              <w:rPr>
                <w:rFonts w:hint="eastAsia" w:ascii="宋体" w:hAnsi="宋体" w:eastAsia="宋体" w:cs="宋体"/>
                <w:color w:val="auto"/>
                <w:spacing w:val="5"/>
                <w:position w:val="1"/>
                <w:sz w:val="24"/>
                <w:szCs w:val="24"/>
                <w:highlight w:val="none"/>
              </w:rPr>
              <w:t>80≤N＜90</w:t>
            </w:r>
          </w:p>
        </w:tc>
      </w:tr>
      <w:tr w14:paraId="25AACE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33FDE7F1">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77C1C525">
            <w:pPr>
              <w:keepNext w:val="0"/>
              <w:keepLines w:val="0"/>
              <w:suppressLineNumbers w:val="0"/>
              <w:spacing w:before="218" w:beforeAutospacing="0" w:after="0" w:afterAutospacing="0" w:line="264" w:lineRule="exact"/>
              <w:ind w:left="682" w:right="0"/>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eastAsia="zh-CN"/>
              </w:rPr>
              <w:t>□</w:t>
            </w:r>
          </w:p>
        </w:tc>
        <w:tc>
          <w:tcPr>
            <w:tcW w:w="1476" w:type="dxa"/>
            <w:vAlign w:val="top"/>
          </w:tcPr>
          <w:p w14:paraId="6314E837">
            <w:pPr>
              <w:pStyle w:val="23"/>
              <w:keepNext w:val="0"/>
              <w:keepLines w:val="0"/>
              <w:suppressLineNumbers w:val="0"/>
              <w:spacing w:before="210" w:line="230" w:lineRule="auto"/>
              <w:ind w:left="584"/>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2"/>
                <w:sz w:val="24"/>
                <w:szCs w:val="24"/>
                <w:highlight w:val="none"/>
              </w:rPr>
              <w:t>一般</w:t>
            </w:r>
          </w:p>
        </w:tc>
        <w:tc>
          <w:tcPr>
            <w:tcW w:w="4168" w:type="dxa"/>
            <w:gridSpan w:val="4"/>
            <w:vAlign w:val="top"/>
          </w:tcPr>
          <w:p w14:paraId="15AC629D">
            <w:pPr>
              <w:pStyle w:val="23"/>
              <w:keepNext w:val="0"/>
              <w:keepLines w:val="0"/>
              <w:suppressLineNumbers w:val="0"/>
              <w:spacing w:before="211" w:line="265" w:lineRule="exact"/>
              <w:ind w:left="1997"/>
              <w:rPr>
                <w:rFonts w:hint="eastAsia" w:ascii="宋体" w:hAnsi="宋体" w:eastAsia="宋体" w:cs="宋体"/>
                <w:color w:val="auto"/>
                <w:sz w:val="24"/>
                <w:szCs w:val="24"/>
                <w:highlight w:val="none"/>
              </w:rPr>
            </w:pPr>
            <w:r>
              <w:rPr>
                <w:rFonts w:hint="eastAsia" w:ascii="宋体" w:hAnsi="宋体" w:eastAsia="宋体" w:cs="宋体"/>
                <w:color w:val="auto"/>
                <w:spacing w:val="4"/>
                <w:position w:val="1"/>
                <w:sz w:val="24"/>
                <w:szCs w:val="24"/>
                <w:highlight w:val="none"/>
              </w:rPr>
              <w:t>70≤N＜80</w:t>
            </w:r>
          </w:p>
        </w:tc>
      </w:tr>
      <w:tr w14:paraId="03702E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tcBorders>
            <w:vAlign w:val="top"/>
          </w:tcPr>
          <w:p w14:paraId="630FCA0B">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71E6C6E9">
            <w:pPr>
              <w:keepNext w:val="0"/>
              <w:keepLines w:val="0"/>
              <w:suppressLineNumbers w:val="0"/>
              <w:spacing w:before="134" w:beforeAutospacing="0" w:after="0" w:afterAutospacing="0" w:line="225" w:lineRule="auto"/>
              <w:ind w:left="693" w:right="0"/>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eastAsia="zh-CN"/>
              </w:rPr>
              <w:t>□</w:t>
            </w:r>
          </w:p>
        </w:tc>
        <w:tc>
          <w:tcPr>
            <w:tcW w:w="1476" w:type="dxa"/>
            <w:vAlign w:val="top"/>
          </w:tcPr>
          <w:p w14:paraId="4A36ED42">
            <w:pPr>
              <w:pStyle w:val="23"/>
              <w:keepNext w:val="0"/>
              <w:keepLines w:val="0"/>
              <w:suppressLineNumbers w:val="0"/>
              <w:spacing w:before="133" w:line="236" w:lineRule="auto"/>
              <w:ind w:left="68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差</w:t>
            </w:r>
          </w:p>
        </w:tc>
        <w:tc>
          <w:tcPr>
            <w:tcW w:w="4168" w:type="dxa"/>
            <w:gridSpan w:val="4"/>
            <w:vAlign w:val="top"/>
          </w:tcPr>
          <w:p w14:paraId="5E357335">
            <w:pPr>
              <w:pStyle w:val="23"/>
              <w:keepNext w:val="0"/>
              <w:keepLines w:val="0"/>
              <w:suppressLineNumbers w:val="0"/>
              <w:spacing w:before="133" w:line="270" w:lineRule="exact"/>
              <w:ind w:left="2197"/>
              <w:rPr>
                <w:rFonts w:hint="eastAsia" w:ascii="宋体" w:hAnsi="宋体" w:eastAsia="宋体" w:cs="宋体"/>
                <w:color w:val="auto"/>
                <w:sz w:val="24"/>
                <w:szCs w:val="24"/>
                <w:highlight w:val="none"/>
              </w:rPr>
            </w:pPr>
            <w:r>
              <w:rPr>
                <w:rFonts w:hint="eastAsia" w:ascii="宋体" w:hAnsi="宋体" w:eastAsia="宋体" w:cs="宋体"/>
                <w:color w:val="auto"/>
                <w:spacing w:val="5"/>
                <w:position w:val="1"/>
                <w:sz w:val="24"/>
                <w:szCs w:val="24"/>
                <w:highlight w:val="none"/>
              </w:rPr>
              <w:t>N＜70</w:t>
            </w:r>
          </w:p>
        </w:tc>
      </w:tr>
      <w:tr w14:paraId="4B613B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restart"/>
            <w:tcBorders>
              <w:bottom w:val="nil"/>
            </w:tcBorders>
            <w:vAlign w:val="top"/>
          </w:tcPr>
          <w:p w14:paraId="2399C274">
            <w:pPr>
              <w:keepNext w:val="0"/>
              <w:keepLines w:val="0"/>
              <w:suppressLineNumbers w:val="0"/>
              <w:spacing w:before="0" w:beforeAutospacing="0" w:after="0" w:afterAutospacing="0" w:line="266" w:lineRule="auto"/>
              <w:ind w:left="0" w:right="0"/>
              <w:jc w:val="center"/>
              <w:rPr>
                <w:rFonts w:hint="eastAsia" w:ascii="宋体" w:hAnsi="宋体" w:eastAsia="宋体" w:cs="宋体"/>
                <w:color w:val="auto"/>
                <w:sz w:val="24"/>
                <w:szCs w:val="24"/>
                <w:highlight w:val="none"/>
              </w:rPr>
            </w:pPr>
          </w:p>
          <w:p w14:paraId="3F4C2C5D">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013FCE9F">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1AFB75B9">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42A0C913">
            <w:pPr>
              <w:keepNext w:val="0"/>
              <w:keepLines w:val="0"/>
              <w:suppressLineNumbers w:val="0"/>
              <w:spacing w:before="0" w:beforeAutospacing="0" w:after="0" w:afterAutospacing="0" w:line="267" w:lineRule="auto"/>
              <w:ind w:left="0" w:right="0"/>
              <w:jc w:val="center"/>
              <w:rPr>
                <w:rFonts w:hint="eastAsia" w:ascii="宋体" w:hAnsi="宋体" w:eastAsia="宋体" w:cs="宋体"/>
                <w:color w:val="auto"/>
                <w:sz w:val="24"/>
                <w:szCs w:val="24"/>
                <w:highlight w:val="none"/>
              </w:rPr>
            </w:pPr>
          </w:p>
          <w:p w14:paraId="20576F74">
            <w:pPr>
              <w:pStyle w:val="23"/>
              <w:keepNext w:val="0"/>
              <w:keepLines w:val="0"/>
              <w:suppressLineNumbers w:val="0"/>
              <w:spacing w:before="65" w:line="227"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spacing w:val="6"/>
                <w:sz w:val="24"/>
                <w:szCs w:val="24"/>
                <w:highlight w:val="none"/>
              </w:rPr>
              <w:t>评估结论</w:t>
            </w:r>
          </w:p>
        </w:tc>
        <w:tc>
          <w:tcPr>
            <w:tcW w:w="7668" w:type="dxa"/>
            <w:gridSpan w:val="6"/>
            <w:vAlign w:val="top"/>
          </w:tcPr>
          <w:p w14:paraId="787473B0">
            <w:pPr>
              <w:pStyle w:val="23"/>
              <w:keepNext w:val="0"/>
              <w:keepLines w:val="0"/>
              <w:suppressLineNumbers w:val="0"/>
              <w:spacing w:before="133" w:line="227" w:lineRule="auto"/>
              <w:ind w:left="3394"/>
              <w:rPr>
                <w:rFonts w:hint="eastAsia" w:ascii="宋体" w:hAnsi="宋体" w:eastAsia="宋体" w:cs="宋体"/>
                <w:color w:val="auto"/>
                <w:sz w:val="24"/>
                <w:szCs w:val="24"/>
                <w:highlight w:val="none"/>
              </w:rPr>
            </w:pPr>
            <w:r>
              <w:rPr>
                <w:rFonts w:hint="eastAsia" w:ascii="宋体" w:hAnsi="宋体" w:eastAsia="宋体" w:cs="宋体"/>
                <w:b/>
                <w:bCs/>
                <w:color w:val="auto"/>
                <w:spacing w:val="7"/>
                <w:sz w:val="24"/>
                <w:szCs w:val="24"/>
                <w:highlight w:val="none"/>
              </w:rPr>
              <w:t>评估结论分级</w:t>
            </w:r>
          </w:p>
        </w:tc>
      </w:tr>
      <w:tr w14:paraId="3411DB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05BB5F69">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3500" w:type="dxa"/>
            <w:gridSpan w:val="2"/>
            <w:vAlign w:val="top"/>
          </w:tcPr>
          <w:p w14:paraId="1030671E">
            <w:pPr>
              <w:pStyle w:val="23"/>
              <w:keepNext w:val="0"/>
              <w:keepLines w:val="0"/>
              <w:suppressLineNumbers w:val="0"/>
              <w:spacing w:before="133" w:line="228" w:lineRule="auto"/>
              <w:ind w:left="1359"/>
              <w:rPr>
                <w:rFonts w:hint="eastAsia" w:ascii="宋体" w:hAnsi="宋体" w:eastAsia="宋体" w:cs="宋体"/>
                <w:color w:val="auto"/>
                <w:sz w:val="24"/>
                <w:szCs w:val="24"/>
                <w:highlight w:val="none"/>
              </w:rPr>
            </w:pPr>
            <w:r>
              <w:rPr>
                <w:rFonts w:hint="eastAsia" w:ascii="宋体" w:hAnsi="宋体" w:eastAsia="宋体" w:cs="宋体"/>
                <w:b/>
                <w:bCs/>
                <w:color w:val="auto"/>
                <w:spacing w:val="3"/>
                <w:sz w:val="24"/>
                <w:szCs w:val="24"/>
                <w:highlight w:val="none"/>
              </w:rPr>
              <w:t>等级</w:t>
            </w:r>
          </w:p>
        </w:tc>
        <w:tc>
          <w:tcPr>
            <w:tcW w:w="4168" w:type="dxa"/>
            <w:gridSpan w:val="4"/>
            <w:vAlign w:val="top"/>
          </w:tcPr>
          <w:p w14:paraId="20BFDDB6">
            <w:pPr>
              <w:pStyle w:val="23"/>
              <w:keepNext w:val="0"/>
              <w:keepLines w:val="0"/>
              <w:suppressLineNumbers w:val="0"/>
              <w:spacing w:before="133" w:line="229" w:lineRule="auto"/>
              <w:ind w:left="2045"/>
              <w:rPr>
                <w:rFonts w:hint="eastAsia" w:ascii="宋体" w:hAnsi="宋体" w:eastAsia="宋体" w:cs="宋体"/>
                <w:color w:val="auto"/>
                <w:sz w:val="24"/>
                <w:szCs w:val="24"/>
                <w:highlight w:val="none"/>
              </w:rPr>
            </w:pPr>
            <w:r>
              <w:rPr>
                <w:rFonts w:hint="eastAsia" w:ascii="宋体" w:hAnsi="宋体" w:eastAsia="宋体" w:cs="宋体"/>
                <w:b/>
                <w:bCs/>
                <w:color w:val="auto"/>
                <w:spacing w:val="5"/>
                <w:sz w:val="24"/>
                <w:szCs w:val="24"/>
                <w:highlight w:val="none"/>
              </w:rPr>
              <w:t>分级标准</w:t>
            </w:r>
          </w:p>
        </w:tc>
      </w:tr>
      <w:tr w14:paraId="755308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50E7DB8C">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0AF8C249">
            <w:pPr>
              <w:keepNext w:val="0"/>
              <w:keepLines w:val="0"/>
              <w:suppressLineNumbers w:val="0"/>
              <w:spacing w:before="135" w:beforeAutospacing="0" w:after="0" w:afterAutospacing="0" w:line="225" w:lineRule="auto"/>
              <w:ind w:left="693" w:right="0"/>
              <w:rPr>
                <w:rFonts w:hint="eastAsia" w:ascii="宋体" w:hAnsi="宋体" w:eastAsia="宋体" w:cs="宋体"/>
                <w:color w:val="auto"/>
                <w:sz w:val="24"/>
                <w:szCs w:val="24"/>
                <w:highlight w:val="none"/>
              </w:rPr>
            </w:pPr>
            <w:r>
              <w:rPr>
                <w:rFonts w:hint="eastAsia" w:cs="宋体"/>
                <w:color w:val="auto"/>
                <w:kern w:val="2"/>
                <w:sz w:val="24"/>
                <w:szCs w:val="24"/>
                <w:highlight w:val="none"/>
                <w:lang w:eastAsia="zh-CN"/>
              </w:rPr>
              <w:t>□</w:t>
            </w:r>
          </w:p>
        </w:tc>
        <w:tc>
          <w:tcPr>
            <w:tcW w:w="1476" w:type="dxa"/>
            <w:vAlign w:val="top"/>
          </w:tcPr>
          <w:p w14:paraId="32C69641">
            <w:pPr>
              <w:pStyle w:val="23"/>
              <w:keepNext w:val="0"/>
              <w:keepLines w:val="0"/>
              <w:suppressLineNumbers w:val="0"/>
              <w:spacing w:before="135" w:line="228" w:lineRule="auto"/>
              <w:ind w:left="686"/>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好</w:t>
            </w:r>
          </w:p>
        </w:tc>
        <w:tc>
          <w:tcPr>
            <w:tcW w:w="4168" w:type="dxa"/>
            <w:gridSpan w:val="4"/>
            <w:vAlign w:val="top"/>
          </w:tcPr>
          <w:p w14:paraId="42CD799E">
            <w:pPr>
              <w:pStyle w:val="23"/>
              <w:keepNext w:val="0"/>
              <w:keepLines w:val="0"/>
              <w:suppressLineNumbers w:val="0"/>
              <w:spacing w:before="135" w:line="228" w:lineRule="auto"/>
              <w:rPr>
                <w:rFonts w:hint="eastAsia" w:ascii="宋体" w:hAnsi="宋体" w:eastAsia="宋体" w:cs="宋体"/>
                <w:color w:val="auto"/>
                <w:sz w:val="24"/>
                <w:szCs w:val="24"/>
                <w:highlight w:val="none"/>
              </w:rPr>
            </w:pPr>
            <w:r>
              <w:rPr>
                <w:rFonts w:hint="eastAsia" w:ascii="宋体" w:hAnsi="宋体" w:eastAsia="宋体" w:cs="宋体"/>
                <w:color w:val="auto"/>
                <w:spacing w:val="13"/>
                <w:sz w:val="24"/>
                <w:szCs w:val="24"/>
                <w:highlight w:val="none"/>
              </w:rPr>
              <w:t>不存在直接判定项且综合判定结果为“好</w:t>
            </w:r>
            <w:r>
              <w:rPr>
                <w:rFonts w:hint="eastAsia" w:ascii="宋体" w:hAnsi="宋体" w:eastAsia="宋体" w:cs="宋体"/>
                <w:color w:val="auto"/>
                <w:spacing w:val="-71"/>
                <w:sz w:val="24"/>
                <w:szCs w:val="24"/>
                <w:highlight w:val="none"/>
              </w:rPr>
              <w:t xml:space="preserve"> </w:t>
            </w:r>
            <w:r>
              <w:rPr>
                <w:rFonts w:hint="eastAsia" w:ascii="宋体" w:hAnsi="宋体" w:eastAsia="宋体" w:cs="宋体"/>
                <w:color w:val="auto"/>
                <w:spacing w:val="13"/>
                <w:sz w:val="24"/>
                <w:szCs w:val="24"/>
                <w:highlight w:val="none"/>
              </w:rPr>
              <w:t>”</w:t>
            </w:r>
          </w:p>
        </w:tc>
      </w:tr>
      <w:tr w14:paraId="1319AB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168" w:type="dxa"/>
            <w:vMerge w:val="continue"/>
            <w:tcBorders>
              <w:top w:val="nil"/>
              <w:bottom w:val="nil"/>
            </w:tcBorders>
            <w:vAlign w:val="top"/>
          </w:tcPr>
          <w:p w14:paraId="166D12A9">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296FEB85">
            <w:pPr>
              <w:keepNext w:val="0"/>
              <w:keepLines w:val="0"/>
              <w:suppressLineNumbers w:val="0"/>
              <w:spacing w:before="135" w:beforeAutospacing="0" w:after="0" w:afterAutospacing="0" w:line="225" w:lineRule="auto"/>
              <w:ind w:left="693" w:right="0"/>
              <w:rPr>
                <w:rFonts w:hint="eastAsia" w:ascii="宋体" w:hAnsi="宋体" w:eastAsia="宋体" w:cs="宋体"/>
                <w:color w:val="auto"/>
                <w:sz w:val="24"/>
                <w:szCs w:val="24"/>
                <w:highlight w:val="none"/>
              </w:rPr>
            </w:pPr>
            <w:r>
              <w:rPr>
                <w:rFonts w:hint="eastAsia" w:ascii="宋体" w:hAnsi="宋体" w:cs="宋体"/>
                <w:color w:val="auto"/>
                <w:kern w:val="2"/>
                <w:sz w:val="24"/>
                <w:szCs w:val="24"/>
                <w:highlight w:val="none"/>
                <w:lang w:eastAsia="zh-CN"/>
              </w:rPr>
              <w:t>□</w:t>
            </w:r>
          </w:p>
        </w:tc>
        <w:tc>
          <w:tcPr>
            <w:tcW w:w="1476" w:type="dxa"/>
            <w:vAlign w:val="top"/>
          </w:tcPr>
          <w:p w14:paraId="6FB49667">
            <w:pPr>
              <w:pStyle w:val="23"/>
              <w:keepNext w:val="0"/>
              <w:keepLines w:val="0"/>
              <w:suppressLineNumbers w:val="0"/>
              <w:spacing w:before="135" w:line="228" w:lineRule="auto"/>
              <w:ind w:left="581"/>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rPr>
              <w:t>较好</w:t>
            </w:r>
          </w:p>
        </w:tc>
        <w:tc>
          <w:tcPr>
            <w:tcW w:w="4168" w:type="dxa"/>
            <w:gridSpan w:val="4"/>
            <w:vAlign w:val="top"/>
          </w:tcPr>
          <w:p w14:paraId="2ABC9027">
            <w:pPr>
              <w:pStyle w:val="23"/>
              <w:keepNext w:val="0"/>
              <w:keepLines w:val="0"/>
              <w:suppressLineNumbers w:val="0"/>
              <w:spacing w:before="135" w:line="228" w:lineRule="auto"/>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不存在直接判定项且综合判定结果为“较好</w:t>
            </w:r>
            <w:r>
              <w:rPr>
                <w:rFonts w:hint="eastAsia" w:ascii="宋体" w:hAnsi="宋体" w:eastAsia="宋体" w:cs="宋体"/>
                <w:color w:val="auto"/>
                <w:spacing w:val="-53"/>
                <w:sz w:val="24"/>
                <w:szCs w:val="24"/>
                <w:highlight w:val="none"/>
              </w:rPr>
              <w:t xml:space="preserve"> </w:t>
            </w:r>
            <w:r>
              <w:rPr>
                <w:rFonts w:hint="eastAsia" w:ascii="宋体" w:hAnsi="宋体" w:eastAsia="宋体" w:cs="宋体"/>
                <w:color w:val="auto"/>
                <w:spacing w:val="12"/>
                <w:sz w:val="24"/>
                <w:szCs w:val="24"/>
                <w:highlight w:val="none"/>
              </w:rPr>
              <w:t>”</w:t>
            </w:r>
          </w:p>
        </w:tc>
      </w:tr>
      <w:tr w14:paraId="0F848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168" w:type="dxa"/>
            <w:vMerge w:val="continue"/>
            <w:tcBorders>
              <w:top w:val="nil"/>
              <w:bottom w:val="nil"/>
            </w:tcBorders>
            <w:vAlign w:val="top"/>
          </w:tcPr>
          <w:p w14:paraId="34A1FDB5">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59524474">
            <w:pPr>
              <w:keepNext w:val="0"/>
              <w:keepLines w:val="0"/>
              <w:suppressLineNumbers w:val="0"/>
              <w:spacing w:before="218" w:beforeAutospacing="0" w:after="0" w:afterAutospacing="0" w:line="264" w:lineRule="exact"/>
              <w:ind w:left="682" w:right="0"/>
              <w:rPr>
                <w:rFonts w:hint="eastAsia" w:ascii="宋体" w:hAnsi="宋体" w:eastAsia="宋体" w:cs="宋体"/>
                <w:color w:val="auto"/>
                <w:sz w:val="24"/>
                <w:szCs w:val="24"/>
                <w:highlight w:val="none"/>
                <w:lang w:eastAsia="zh-CN"/>
              </w:rPr>
            </w:pPr>
            <w:r>
              <w:rPr>
                <w:rFonts w:hint="eastAsia" w:ascii="宋体" w:hAnsi="宋体" w:eastAsia="宋体" w:cs="宋体"/>
                <w:color w:val="auto"/>
                <w:kern w:val="2"/>
                <w:sz w:val="24"/>
                <w:szCs w:val="24"/>
                <w:highlight w:val="none"/>
                <w:lang w:eastAsia="zh-CN"/>
              </w:rPr>
              <w:t>□</w:t>
            </w:r>
          </w:p>
        </w:tc>
        <w:tc>
          <w:tcPr>
            <w:tcW w:w="1476" w:type="dxa"/>
            <w:vAlign w:val="top"/>
          </w:tcPr>
          <w:p w14:paraId="3FC778CE">
            <w:pPr>
              <w:pStyle w:val="23"/>
              <w:keepNext w:val="0"/>
              <w:keepLines w:val="0"/>
              <w:suppressLineNumbers w:val="0"/>
              <w:spacing w:before="210" w:line="230" w:lineRule="auto"/>
              <w:ind w:left="584"/>
              <w:rPr>
                <w:rFonts w:hint="eastAsia" w:ascii="宋体" w:hAnsi="宋体" w:eastAsia="宋体" w:cs="宋体"/>
                <w:color w:val="auto"/>
                <w:sz w:val="24"/>
                <w:szCs w:val="24"/>
                <w:highlight w:val="none"/>
              </w:rPr>
            </w:pPr>
            <w:r>
              <w:rPr>
                <w:rFonts w:hint="eastAsia" w:ascii="宋体" w:hAnsi="宋体" w:eastAsia="宋体" w:cs="宋体"/>
                <w:b w:val="0"/>
                <w:bCs w:val="0"/>
                <w:color w:val="auto"/>
                <w:spacing w:val="2"/>
                <w:sz w:val="24"/>
                <w:szCs w:val="24"/>
                <w:highlight w:val="none"/>
              </w:rPr>
              <w:t>一般</w:t>
            </w:r>
          </w:p>
        </w:tc>
        <w:tc>
          <w:tcPr>
            <w:tcW w:w="4168" w:type="dxa"/>
            <w:gridSpan w:val="4"/>
            <w:vAlign w:val="top"/>
          </w:tcPr>
          <w:p w14:paraId="351C6BB5">
            <w:pPr>
              <w:pStyle w:val="23"/>
              <w:keepNext w:val="0"/>
              <w:keepLines w:val="0"/>
              <w:suppressLineNumbers w:val="0"/>
              <w:spacing w:before="211" w:line="228" w:lineRule="auto"/>
              <w:rPr>
                <w:rFonts w:hint="eastAsia" w:ascii="宋体" w:hAnsi="宋体" w:eastAsia="宋体" w:cs="宋体"/>
                <w:color w:val="auto"/>
                <w:sz w:val="24"/>
                <w:szCs w:val="24"/>
                <w:highlight w:val="none"/>
              </w:rPr>
            </w:pPr>
            <w:r>
              <w:rPr>
                <w:rFonts w:hint="eastAsia" w:ascii="宋体" w:hAnsi="宋体" w:eastAsia="宋体" w:cs="宋体"/>
                <w:color w:val="auto"/>
                <w:spacing w:val="12"/>
                <w:sz w:val="24"/>
                <w:szCs w:val="24"/>
                <w:highlight w:val="none"/>
              </w:rPr>
              <w:t>不存在直接判定项且综合判定结果为“一般</w:t>
            </w:r>
            <w:r>
              <w:rPr>
                <w:rFonts w:hint="eastAsia" w:ascii="宋体" w:hAnsi="宋体" w:eastAsia="宋体" w:cs="宋体"/>
                <w:color w:val="auto"/>
                <w:spacing w:val="-53"/>
                <w:sz w:val="24"/>
                <w:szCs w:val="24"/>
                <w:highlight w:val="none"/>
              </w:rPr>
              <w:t xml:space="preserve"> </w:t>
            </w:r>
            <w:r>
              <w:rPr>
                <w:rFonts w:hint="eastAsia" w:ascii="宋体" w:hAnsi="宋体" w:eastAsia="宋体" w:cs="宋体"/>
                <w:color w:val="auto"/>
                <w:spacing w:val="12"/>
                <w:sz w:val="24"/>
                <w:szCs w:val="24"/>
                <w:highlight w:val="none"/>
              </w:rPr>
              <w:t>”</w:t>
            </w:r>
          </w:p>
        </w:tc>
      </w:tr>
      <w:tr w14:paraId="412CA8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1168" w:type="dxa"/>
            <w:vMerge w:val="continue"/>
            <w:tcBorders>
              <w:top w:val="nil"/>
            </w:tcBorders>
            <w:vAlign w:val="top"/>
          </w:tcPr>
          <w:p w14:paraId="75016513">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highlight w:val="none"/>
              </w:rPr>
            </w:pPr>
          </w:p>
        </w:tc>
        <w:tc>
          <w:tcPr>
            <w:tcW w:w="2024" w:type="dxa"/>
            <w:vAlign w:val="top"/>
          </w:tcPr>
          <w:p w14:paraId="42A228A7">
            <w:pPr>
              <w:keepNext w:val="0"/>
              <w:keepLines w:val="0"/>
              <w:suppressLineNumbers w:val="0"/>
              <w:spacing w:before="134" w:beforeAutospacing="0" w:after="0" w:afterAutospacing="0" w:line="225" w:lineRule="auto"/>
              <w:ind w:left="693" w:right="0"/>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eastAsia="zh-CN"/>
              </w:rPr>
              <w:t>□</w:t>
            </w:r>
          </w:p>
        </w:tc>
        <w:tc>
          <w:tcPr>
            <w:tcW w:w="1476" w:type="dxa"/>
            <w:vAlign w:val="top"/>
          </w:tcPr>
          <w:p w14:paraId="0BA25761">
            <w:pPr>
              <w:pStyle w:val="23"/>
              <w:keepNext w:val="0"/>
              <w:keepLines w:val="0"/>
              <w:suppressLineNumbers w:val="0"/>
              <w:spacing w:before="133" w:line="236" w:lineRule="auto"/>
              <w:ind w:left="68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差</w:t>
            </w:r>
          </w:p>
        </w:tc>
        <w:tc>
          <w:tcPr>
            <w:tcW w:w="4168" w:type="dxa"/>
            <w:gridSpan w:val="4"/>
            <w:vAlign w:val="top"/>
          </w:tcPr>
          <w:p w14:paraId="47269459">
            <w:pPr>
              <w:pStyle w:val="23"/>
              <w:keepNext w:val="0"/>
              <w:keepLines w:val="0"/>
              <w:suppressLineNumbers w:val="0"/>
              <w:spacing w:before="134" w:line="228" w:lineRule="auto"/>
              <w:rPr>
                <w:rFonts w:hint="eastAsia" w:ascii="宋体" w:hAnsi="宋体" w:eastAsia="宋体" w:cs="宋体"/>
                <w:color w:val="auto"/>
                <w:sz w:val="24"/>
                <w:szCs w:val="24"/>
                <w:highlight w:val="none"/>
              </w:rPr>
            </w:pPr>
            <w:r>
              <w:rPr>
                <w:rFonts w:hint="eastAsia" w:ascii="宋体" w:hAnsi="宋体" w:eastAsia="宋体" w:cs="宋体"/>
                <w:color w:val="auto"/>
                <w:spacing w:val="13"/>
                <w:sz w:val="24"/>
                <w:szCs w:val="24"/>
                <w:highlight w:val="none"/>
              </w:rPr>
              <w:t>存在直接判定项或综合判定结果为“差</w:t>
            </w:r>
            <w:r>
              <w:rPr>
                <w:rFonts w:hint="eastAsia" w:ascii="宋体" w:hAnsi="宋体" w:eastAsia="宋体" w:cs="宋体"/>
                <w:color w:val="auto"/>
                <w:spacing w:val="-65"/>
                <w:sz w:val="24"/>
                <w:szCs w:val="24"/>
                <w:highlight w:val="none"/>
              </w:rPr>
              <w:t xml:space="preserve"> </w:t>
            </w:r>
            <w:r>
              <w:rPr>
                <w:rFonts w:hint="eastAsia" w:ascii="宋体" w:hAnsi="宋体" w:eastAsia="宋体" w:cs="宋体"/>
                <w:color w:val="auto"/>
                <w:spacing w:val="13"/>
                <w:sz w:val="24"/>
                <w:szCs w:val="24"/>
                <w:highlight w:val="none"/>
              </w:rPr>
              <w:t>”</w:t>
            </w:r>
          </w:p>
        </w:tc>
      </w:tr>
    </w:tbl>
    <w:p w14:paraId="21248A65">
      <w:pPr>
        <w:rPr>
          <w:rFonts w:hint="eastAsia" w:ascii="黑体" w:hAnsi="黑体" w:eastAsia="黑体" w:cs="Times New Roman"/>
          <w:highlight w:val="none"/>
        </w:rPr>
      </w:pPr>
    </w:p>
    <w:p w14:paraId="05CEAD83">
      <w:pPr>
        <w:rPr>
          <w:rFonts w:hint="eastAsia" w:ascii="黑体" w:hAnsi="黑体" w:eastAsia="黑体" w:cs="Times New Roman"/>
          <w:highlight w:val="none"/>
        </w:rPr>
      </w:pPr>
      <w:r>
        <w:rPr>
          <w:rFonts w:hint="eastAsia" w:ascii="黑体" w:hAnsi="黑体" w:eastAsia="黑体" w:cs="Times New Roman"/>
          <w:highlight w:val="none"/>
        </w:rPr>
        <w:t>八、附件(用以支持评估报告的原始证明材料)</w:t>
      </w:r>
    </w:p>
    <w:p w14:paraId="0535E804">
      <w:pPr>
        <w:ind w:firstLine="720" w:firstLineChars="3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1.《消防安全评估检查记录表》评分情况;</w:t>
      </w:r>
    </w:p>
    <w:p w14:paraId="68A3237C">
      <w:pPr>
        <w:ind w:firstLine="720" w:firstLineChars="300"/>
        <w:rPr>
          <w:rFonts w:hint="eastAsia" w:ascii="Times New Roman" w:hAnsi="Times New Roman" w:eastAsia="宋体" w:cs="Times New Roman"/>
          <w:sz w:val="24"/>
          <w:szCs w:val="24"/>
          <w:highlight w:val="none"/>
          <w:lang w:eastAsia="zh-CN"/>
        </w:rPr>
      </w:pPr>
      <w:r>
        <w:rPr>
          <w:rFonts w:hint="default" w:ascii="Times New Roman" w:hAnsi="Times New Roman" w:cs="Times New Roman"/>
          <w:sz w:val="24"/>
          <w:szCs w:val="24"/>
          <w:highlight w:val="none"/>
        </w:rPr>
        <w:t>2.评估对象的图纸资料和有关消防安全评估得分的相关证明文件，如消防设计文件、消防验收或备案等行政许可文件、消防安全管理制度文件、消防安全教育和培训记录、消防安全宣传情况、消防产品质量合格证明文件、火灾隐患巡查和检查记录、防火材料和消防设施检测报告、消防设施维护保养合同等</w:t>
      </w:r>
      <w:r>
        <w:rPr>
          <w:rFonts w:hint="eastAsia" w:ascii="Times New Roman" w:hAnsi="Times New Roman" w:cs="Times New Roman"/>
          <w:sz w:val="24"/>
          <w:szCs w:val="24"/>
          <w:highlight w:val="none"/>
          <w:lang w:eastAsia="zh-CN"/>
        </w:rPr>
        <w:t>：</w:t>
      </w:r>
    </w:p>
    <w:p w14:paraId="7947B7FA">
      <w:pPr>
        <w:ind w:firstLine="720" w:firstLineChars="300"/>
        <w:rPr>
          <w:rFonts w:hint="eastAsia" w:ascii="Times New Roman" w:hAnsi="Times New Roman" w:eastAsia="宋体" w:cs="Times New Roman"/>
          <w:sz w:val="24"/>
          <w:szCs w:val="24"/>
          <w:highlight w:val="none"/>
          <w:lang w:eastAsia="zh-CN"/>
        </w:rPr>
      </w:pPr>
      <w:r>
        <w:rPr>
          <w:rFonts w:hint="default" w:ascii="Times New Roman" w:hAnsi="Times New Roman" w:cs="Times New Roman"/>
          <w:sz w:val="24"/>
          <w:szCs w:val="24"/>
          <w:highlight w:val="none"/>
        </w:rPr>
        <w:t>3.项目负责人，报告审核人以及报告批准人的注册证书、资格证书影印件</w:t>
      </w:r>
      <w:r>
        <w:rPr>
          <w:rFonts w:hint="eastAsia" w:ascii="Times New Roman" w:hAnsi="Times New Roman" w:cs="Times New Roman"/>
          <w:sz w:val="24"/>
          <w:szCs w:val="24"/>
          <w:highlight w:val="none"/>
          <w:lang w:eastAsia="zh-CN"/>
        </w:rPr>
        <w:t>：</w:t>
      </w:r>
    </w:p>
    <w:p w14:paraId="2F8D4553">
      <w:pPr>
        <w:ind w:firstLine="720" w:firstLineChars="3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4.其他需要说明的事项。</w:t>
      </w:r>
    </w:p>
    <w:p w14:paraId="28A7CE9C">
      <w:pPr>
        <w:rPr>
          <w:rFonts w:hint="eastAsia" w:ascii="黑体" w:hAnsi="黑体" w:eastAsia="黑体"/>
          <w:sz w:val="24"/>
          <w:szCs w:val="24"/>
          <w:highlight w:val="none"/>
        </w:rPr>
      </w:pPr>
      <w:r>
        <w:rPr>
          <w:rFonts w:ascii="黑体" w:hAnsi="黑体" w:eastAsia="黑体"/>
          <w:sz w:val="24"/>
          <w:szCs w:val="24"/>
          <w:highlight w:val="none"/>
        </w:rPr>
        <w:br w:type="page"/>
      </w:r>
      <w:bookmarkStart w:id="471" w:name="_Toc150876250"/>
      <w:bookmarkStart w:id="472" w:name="_Toc151384817"/>
    </w:p>
    <w:p w14:paraId="02AAC093">
      <w:pPr>
        <w:jc w:val="center"/>
        <w:outlineLvl w:val="0"/>
        <w:rPr>
          <w:rFonts w:hint="eastAsia"/>
          <w:b/>
          <w:bCs/>
          <w:highlight w:val="none"/>
        </w:rPr>
      </w:pPr>
      <w:bookmarkStart w:id="473" w:name="_Toc183531756"/>
      <w:bookmarkStart w:id="474" w:name="_Toc11059"/>
      <w:bookmarkStart w:id="475" w:name="_Toc31688"/>
      <w:bookmarkStart w:id="476" w:name="_Toc8134"/>
      <w:bookmarkStart w:id="477" w:name="_Toc31675"/>
      <w:bookmarkStart w:id="478" w:name="_Toc14825"/>
      <w:bookmarkStart w:id="479" w:name="_Toc26644"/>
      <w:bookmarkStart w:id="480" w:name="_Toc6777"/>
      <w:bookmarkStart w:id="481" w:name="_Toc9824"/>
      <w:bookmarkStart w:id="482" w:name="_Toc1669"/>
      <w:bookmarkStart w:id="483" w:name="_Toc31956"/>
      <w:r>
        <w:rPr>
          <w:rFonts w:hint="eastAsia" w:ascii="黑体" w:hAnsi="黑体" w:eastAsia="黑体"/>
          <w:sz w:val="32"/>
          <w:szCs w:val="32"/>
          <w:highlight w:val="none"/>
        </w:rPr>
        <w:t>用词说明</w:t>
      </w:r>
      <w:bookmarkEnd w:id="471"/>
      <w:bookmarkEnd w:id="472"/>
      <w:bookmarkEnd w:id="473"/>
      <w:bookmarkStart w:id="484" w:name="_Toc4719"/>
      <w:bookmarkStart w:id="485" w:name="_Toc23392"/>
      <w:bookmarkStart w:id="486" w:name="_Toc15575"/>
      <w:bookmarkStart w:id="487" w:name="_Toc17163"/>
      <w:bookmarkStart w:id="488" w:name="_Toc6616"/>
      <w:bookmarkStart w:id="489" w:name="_Toc7140"/>
      <w:bookmarkStart w:id="490" w:name="_Toc14853"/>
      <w:bookmarkStart w:id="491" w:name="_Toc32487"/>
      <w:bookmarkStart w:id="492" w:name="_Toc31024"/>
      <w:bookmarkStart w:id="493" w:name="_Toc20559"/>
      <w:bookmarkStart w:id="494" w:name="_Toc16443"/>
      <w:r>
        <w:rPr>
          <w:highlight w:val="none"/>
        </w:rPr>
        <w:fldChar w:fldCharType="begin"/>
      </w:r>
      <w:r>
        <w:rPr>
          <w:rFonts w:ascii="黑体" w:hAnsi="黑体" w:eastAsia="黑体"/>
          <w:sz w:val="32"/>
          <w:szCs w:val="32"/>
          <w:highlight w:val="none"/>
        </w:rPr>
        <w:instrText xml:space="preserve"> </w:instrText>
      </w:r>
      <w:r>
        <w:rPr>
          <w:rFonts w:hint="eastAsia" w:ascii="黑体" w:hAnsi="黑体" w:eastAsia="黑体"/>
          <w:sz w:val="32"/>
          <w:szCs w:val="32"/>
          <w:highlight w:val="none"/>
        </w:rPr>
        <w:instrText xml:space="preserve">TC  "</w:instrText>
      </w:r>
      <w:bookmarkStart w:id="495" w:name="_Toc183531873"/>
      <w:bookmarkStart w:id="496" w:name="_Toc143762787"/>
      <w:bookmarkStart w:id="497" w:name="_Toc143762847"/>
      <w:bookmarkStart w:id="498" w:name="_Toc143720337"/>
      <w:r>
        <w:rPr>
          <w:rFonts w:hint="eastAsia" w:ascii="黑体" w:hAnsi="黑体" w:eastAsia="黑体"/>
          <w:sz w:val="32"/>
          <w:szCs w:val="32"/>
          <w:highlight w:val="none"/>
        </w:rPr>
        <w:instrText xml:space="preserve">Explation of wording</w:instrText>
      </w:r>
      <w:bookmarkEnd w:id="495"/>
      <w:bookmarkEnd w:id="496"/>
      <w:bookmarkEnd w:id="497"/>
      <w:bookmarkEnd w:id="498"/>
      <w:r>
        <w:rPr>
          <w:rFonts w:hint="eastAsia" w:ascii="黑体" w:hAnsi="黑体" w:eastAsia="黑体"/>
          <w:sz w:val="32"/>
          <w:szCs w:val="32"/>
          <w:highlight w:val="none"/>
        </w:rPr>
        <w:instrText xml:space="preserve">" \l 1</w:instrText>
      </w:r>
      <w:r>
        <w:rPr>
          <w:rFonts w:ascii="黑体" w:hAnsi="黑体" w:eastAsia="黑体"/>
          <w:sz w:val="32"/>
          <w:szCs w:val="32"/>
          <w:highlight w:val="none"/>
        </w:rPr>
        <w:instrText xml:space="preserve"> </w:instrText>
      </w:r>
      <w:r>
        <w:rPr>
          <w:rFonts w:ascii="黑体" w:hAnsi="黑体" w:eastAsia="黑体"/>
          <w:sz w:val="32"/>
          <w:szCs w:val="32"/>
          <w:highlight w:val="none"/>
        </w:rPr>
        <w:fldChar w:fldCharType="end"/>
      </w:r>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p>
    <w:p w14:paraId="6312DAFA">
      <w:pPr>
        <w:ind w:firstLine="480" w:firstLineChars="200"/>
        <w:rPr>
          <w:rFonts w:hint="eastAsia"/>
          <w:highlight w:val="none"/>
        </w:rPr>
      </w:pPr>
      <w:r>
        <w:rPr>
          <w:rFonts w:hint="eastAsia"/>
          <w:highlight w:val="none"/>
        </w:rPr>
        <w:t>为便于在执行</w:t>
      </w:r>
      <w:r>
        <w:rPr>
          <w:rFonts w:hint="eastAsia"/>
          <w:highlight w:val="none"/>
          <w:lang w:eastAsia="zh-CN"/>
        </w:rPr>
        <w:t>本标准</w:t>
      </w:r>
      <w:r>
        <w:rPr>
          <w:rFonts w:hint="eastAsia"/>
          <w:highlight w:val="none"/>
        </w:rPr>
        <w:t>条文时区别对待，对要求严格程度不同的用词说明如下：</w:t>
      </w:r>
    </w:p>
    <w:p w14:paraId="0F23F51F">
      <w:pPr>
        <w:numPr>
          <w:ilvl w:val="0"/>
          <w:numId w:val="1"/>
        </w:numPr>
        <w:ind w:left="943" w:leftChars="200" w:hanging="463" w:hangingChars="193"/>
        <w:rPr>
          <w:rFonts w:hint="eastAsia"/>
          <w:highlight w:val="none"/>
        </w:rPr>
      </w:pPr>
      <w:r>
        <w:rPr>
          <w:rFonts w:hint="eastAsia"/>
          <w:highlight w:val="none"/>
        </w:rPr>
        <w:t>表示很严格，非这样做不可的用词：</w:t>
      </w:r>
    </w:p>
    <w:p w14:paraId="3FA0D87C">
      <w:pPr>
        <w:ind w:left="17" w:leftChars="7" w:firstLine="720" w:firstLineChars="300"/>
        <w:rPr>
          <w:rFonts w:hint="eastAsia"/>
          <w:highlight w:val="none"/>
        </w:rPr>
      </w:pPr>
      <w:r>
        <w:rPr>
          <w:rFonts w:hint="eastAsia"/>
          <w:highlight w:val="none"/>
        </w:rPr>
        <w:t>正面词采用“必须”，反面词采用“严禁”；</w:t>
      </w:r>
    </w:p>
    <w:p w14:paraId="34C0D554">
      <w:pPr>
        <w:numPr>
          <w:ilvl w:val="0"/>
          <w:numId w:val="1"/>
        </w:numPr>
        <w:ind w:left="943" w:leftChars="200" w:hanging="463" w:hangingChars="193"/>
        <w:rPr>
          <w:rFonts w:hint="eastAsia"/>
          <w:highlight w:val="none"/>
        </w:rPr>
      </w:pPr>
      <w:r>
        <w:rPr>
          <w:rFonts w:hint="eastAsia"/>
          <w:highlight w:val="none"/>
        </w:rPr>
        <w:t>表示严格，在正常情况下均应这样做的用词：</w:t>
      </w:r>
    </w:p>
    <w:p w14:paraId="6B7F390B">
      <w:pPr>
        <w:ind w:left="17" w:leftChars="7" w:firstLine="720" w:firstLineChars="300"/>
        <w:rPr>
          <w:rFonts w:hint="eastAsia"/>
          <w:highlight w:val="none"/>
        </w:rPr>
      </w:pPr>
      <w:r>
        <w:rPr>
          <w:rFonts w:hint="eastAsia"/>
          <w:highlight w:val="none"/>
        </w:rPr>
        <w:t>正面词采用“应”，反面词采用“不应”或“不得”；</w:t>
      </w:r>
    </w:p>
    <w:p w14:paraId="6BF8C261">
      <w:pPr>
        <w:numPr>
          <w:ilvl w:val="0"/>
          <w:numId w:val="1"/>
        </w:numPr>
        <w:ind w:left="943" w:leftChars="200" w:hanging="463" w:hangingChars="193"/>
        <w:rPr>
          <w:rFonts w:hint="eastAsia"/>
          <w:highlight w:val="none"/>
        </w:rPr>
      </w:pPr>
      <w:r>
        <w:rPr>
          <w:rFonts w:hint="eastAsia"/>
          <w:highlight w:val="none"/>
        </w:rPr>
        <w:t>表示允许稍有选择，在条件许可时首先应这样做的用词：</w:t>
      </w:r>
    </w:p>
    <w:p w14:paraId="37B5B80A">
      <w:pPr>
        <w:ind w:left="17" w:leftChars="7" w:firstLine="720" w:firstLineChars="300"/>
        <w:rPr>
          <w:rFonts w:hint="eastAsia"/>
          <w:highlight w:val="none"/>
        </w:rPr>
      </w:pPr>
      <w:r>
        <w:rPr>
          <w:rFonts w:hint="eastAsia"/>
          <w:highlight w:val="none"/>
        </w:rPr>
        <w:t>正面词采用“宜”，反面词采用“不宜”；</w:t>
      </w:r>
    </w:p>
    <w:p w14:paraId="080AEFEC">
      <w:pPr>
        <w:numPr>
          <w:ilvl w:val="0"/>
          <w:numId w:val="1"/>
        </w:numPr>
        <w:ind w:left="943" w:leftChars="200" w:hanging="463" w:hangingChars="193"/>
        <w:rPr>
          <w:rFonts w:hint="eastAsia"/>
          <w:highlight w:val="none"/>
        </w:rPr>
      </w:pPr>
      <w:r>
        <w:rPr>
          <w:rFonts w:hint="eastAsia"/>
          <w:highlight w:val="none"/>
        </w:rPr>
        <w:t>表示有选择，在一定条件下可以这样做的用词，采用“可”。</w:t>
      </w:r>
    </w:p>
    <w:p w14:paraId="38B779FD">
      <w:pPr>
        <w:jc w:val="center"/>
        <w:outlineLvl w:val="0"/>
        <w:rPr>
          <w:rFonts w:hint="eastAsia" w:ascii="黑体" w:hAnsi="黑体" w:eastAsia="黑体"/>
          <w:sz w:val="32"/>
          <w:szCs w:val="32"/>
          <w:highlight w:val="none"/>
        </w:rPr>
      </w:pPr>
      <w:r>
        <w:rPr>
          <w:rFonts w:ascii="Times New Roman" w:hAnsi="Times New Roman" w:cs="Times New Roman"/>
          <w:highlight w:val="none"/>
        </w:rPr>
        <w:br w:type="page"/>
      </w:r>
      <w:bookmarkStart w:id="499" w:name="_Toc151384818"/>
      <w:bookmarkStart w:id="500" w:name="_Toc150876251"/>
      <w:bookmarkStart w:id="501" w:name="_Toc140390051"/>
      <w:bookmarkStart w:id="502" w:name="_Toc140420301"/>
      <w:bookmarkStart w:id="503" w:name="_Toc183531757"/>
      <w:bookmarkStart w:id="504" w:name="_Toc14868"/>
      <w:bookmarkStart w:id="505" w:name="_Toc8730"/>
      <w:bookmarkStart w:id="506" w:name="_Toc3557"/>
      <w:bookmarkStart w:id="507" w:name="_Toc10724"/>
      <w:bookmarkStart w:id="508" w:name="_Toc19724"/>
      <w:bookmarkStart w:id="509" w:name="_Toc17635"/>
      <w:bookmarkStart w:id="510" w:name="_Toc14061"/>
      <w:bookmarkStart w:id="511" w:name="_Toc23753"/>
      <w:bookmarkStart w:id="512" w:name="_Toc16233"/>
      <w:bookmarkStart w:id="513" w:name="_Toc16313"/>
      <w:r>
        <w:rPr>
          <w:rFonts w:hint="eastAsia" w:ascii="黑体" w:hAnsi="黑体" w:eastAsia="黑体"/>
          <w:sz w:val="32"/>
          <w:szCs w:val="32"/>
          <w:highlight w:val="none"/>
        </w:rPr>
        <w:t>引用标准名录</w:t>
      </w:r>
      <w:bookmarkEnd w:id="499"/>
      <w:bookmarkEnd w:id="500"/>
      <w:bookmarkEnd w:id="501"/>
      <w:bookmarkEnd w:id="502"/>
      <w:bookmarkEnd w:id="503"/>
      <w:bookmarkStart w:id="514" w:name="_Toc30173"/>
      <w:bookmarkStart w:id="515" w:name="_Toc21228"/>
      <w:bookmarkStart w:id="516" w:name="_Toc32315"/>
      <w:bookmarkStart w:id="517" w:name="_Toc32231"/>
      <w:bookmarkStart w:id="518" w:name="_Toc24074"/>
      <w:bookmarkStart w:id="519" w:name="_Toc21535"/>
      <w:bookmarkStart w:id="520" w:name="_Toc4904"/>
      <w:bookmarkStart w:id="521" w:name="_Toc9878"/>
      <w:bookmarkStart w:id="522" w:name="_Toc32292"/>
      <w:bookmarkStart w:id="523" w:name="_Toc939"/>
      <w:bookmarkStart w:id="524" w:name="_Toc25110"/>
      <w:r>
        <w:rPr>
          <w:highlight w:val="none"/>
        </w:rPr>
        <w:fldChar w:fldCharType="begin"/>
      </w:r>
      <w:r>
        <w:rPr>
          <w:rFonts w:ascii="黑体" w:hAnsi="黑体" w:eastAsia="黑体"/>
          <w:sz w:val="32"/>
          <w:szCs w:val="32"/>
          <w:highlight w:val="none"/>
        </w:rPr>
        <w:instrText xml:space="preserve"> </w:instrText>
      </w:r>
      <w:r>
        <w:rPr>
          <w:rFonts w:hint="eastAsia" w:ascii="黑体" w:hAnsi="黑体" w:eastAsia="黑体"/>
          <w:sz w:val="32"/>
          <w:szCs w:val="32"/>
          <w:highlight w:val="none"/>
        </w:rPr>
        <w:instrText xml:space="preserve">TC  "</w:instrText>
      </w:r>
      <w:bookmarkStart w:id="525" w:name="_Toc143720338"/>
      <w:bookmarkStart w:id="526" w:name="_Toc143762788"/>
      <w:bookmarkStart w:id="527" w:name="_Toc143762848"/>
      <w:bookmarkStart w:id="528" w:name="_Toc183531874"/>
      <w:r>
        <w:rPr>
          <w:rFonts w:hint="eastAsia" w:ascii="黑体" w:hAnsi="黑体" w:eastAsia="黑体"/>
          <w:sz w:val="32"/>
          <w:szCs w:val="32"/>
          <w:highlight w:val="none"/>
        </w:rPr>
        <w:instrText xml:space="preserve">List of quoted standards</w:instrText>
      </w:r>
      <w:bookmarkEnd w:id="525"/>
      <w:bookmarkEnd w:id="526"/>
      <w:bookmarkEnd w:id="527"/>
      <w:bookmarkEnd w:id="528"/>
      <w:r>
        <w:rPr>
          <w:rFonts w:hint="eastAsia" w:ascii="黑体" w:hAnsi="黑体" w:eastAsia="黑体"/>
          <w:sz w:val="32"/>
          <w:szCs w:val="32"/>
          <w:highlight w:val="none"/>
        </w:rPr>
        <w:instrText xml:space="preserve">" \l 1</w:instrText>
      </w:r>
      <w:r>
        <w:rPr>
          <w:rFonts w:ascii="黑体" w:hAnsi="黑体" w:eastAsia="黑体"/>
          <w:sz w:val="32"/>
          <w:szCs w:val="32"/>
          <w:highlight w:val="none"/>
        </w:rPr>
        <w:instrText xml:space="preserve"> </w:instrText>
      </w:r>
      <w:r>
        <w:rPr>
          <w:rFonts w:ascii="黑体" w:hAnsi="黑体" w:eastAsia="黑体"/>
          <w:sz w:val="32"/>
          <w:szCs w:val="32"/>
          <w:highlight w:val="none"/>
        </w:rPr>
        <w:fldChar w:fldCharType="end"/>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p>
    <w:p w14:paraId="4402A943">
      <w:pPr>
        <w:ind w:firstLine="480" w:firstLineChars="200"/>
        <w:rPr>
          <w:rFonts w:hint="eastAsia"/>
          <w:highlight w:val="none"/>
        </w:rPr>
      </w:pPr>
      <w:r>
        <w:rPr>
          <w:rFonts w:hint="eastAsia"/>
          <w:highlight w:val="none"/>
          <w:lang w:eastAsia="zh-CN"/>
        </w:rPr>
        <w:t>本标准</w:t>
      </w:r>
      <w:r>
        <w:rPr>
          <w:rFonts w:hint="eastAsia"/>
          <w:highlight w:val="none"/>
        </w:rPr>
        <w:t>引用下列标准。其中注日期的，仅对该日期对应的版本使用</w:t>
      </w:r>
      <w:r>
        <w:rPr>
          <w:rFonts w:hint="eastAsia"/>
          <w:highlight w:val="none"/>
          <w:lang w:eastAsia="zh-CN"/>
        </w:rPr>
        <w:t>本标准</w:t>
      </w:r>
      <w:r>
        <w:rPr>
          <w:rFonts w:hint="eastAsia"/>
          <w:highlight w:val="none"/>
        </w:rPr>
        <w:t>；不注日期的，其最新版适用于</w:t>
      </w:r>
      <w:r>
        <w:rPr>
          <w:rFonts w:hint="eastAsia"/>
          <w:highlight w:val="none"/>
          <w:lang w:eastAsia="zh-CN"/>
        </w:rPr>
        <w:t>本标准</w:t>
      </w:r>
      <w:r>
        <w:rPr>
          <w:rFonts w:hint="eastAsia"/>
          <w:highlight w:val="none"/>
        </w:rPr>
        <w:t>。</w:t>
      </w:r>
    </w:p>
    <w:p w14:paraId="2E363689">
      <w:pPr>
        <w:ind w:firstLine="480" w:firstLineChars="200"/>
        <w:rPr>
          <w:rFonts w:hint="eastAsia" w:ascii="Times New Roman" w:hAnsi="Times New Roman" w:eastAsia="宋体" w:cs="Times New Roman"/>
          <w:highlight w:val="none"/>
          <w:lang w:eastAsia="zh-CN"/>
        </w:rPr>
      </w:pPr>
      <w:r>
        <w:rPr>
          <w:rFonts w:hint="eastAsia" w:ascii="Times New Roman" w:hAnsi="Times New Roman" w:cs="Times New Roman"/>
          <w:highlight w:val="none"/>
        </w:rPr>
        <w:t>《建筑设计防火规范》GB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lang w:eastAsia="zh-CN"/>
        </w:rPr>
        <w:t>50016</w:t>
      </w:r>
    </w:p>
    <w:p w14:paraId="740DED71">
      <w:pPr>
        <w:ind w:firstLine="48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rPr>
        <w:t>《建筑防火通用规范》</w:t>
      </w:r>
      <w:r>
        <w:rPr>
          <w:rFonts w:hint="eastAsia" w:ascii="Times New Roman" w:hAnsi="Times New Roman" w:cs="Times New Roman"/>
          <w:highlight w:val="none"/>
        </w:rPr>
        <w:fldChar w:fldCharType="begin"/>
      </w:r>
      <w:r>
        <w:rPr>
          <w:rFonts w:hint="eastAsia" w:ascii="Times New Roman" w:hAnsi="Times New Roman" w:cs="Times New Roman"/>
          <w:highlight w:val="none"/>
        </w:rPr>
        <w:instrText xml:space="preserve">HYPERLINK "https://gf.cabr-fire.com/m/list-1538.htm"</w:instrText>
      </w:r>
      <w:r>
        <w:rPr>
          <w:rFonts w:hint="eastAsia" w:ascii="Times New Roman" w:hAnsi="Times New Roman" w:cs="Times New Roman"/>
          <w:highlight w:val="none"/>
        </w:rPr>
        <w:fldChar w:fldCharType="separate"/>
      </w:r>
      <w:r>
        <w:rPr>
          <w:rFonts w:hint="eastAsia" w:ascii="Times New Roman" w:hAnsi="Times New Roman" w:cs="Times New Roman"/>
          <w:highlight w:val="none"/>
        </w:rPr>
        <w:t>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5503</w:t>
      </w:r>
      <w:r>
        <w:rPr>
          <w:rFonts w:hint="eastAsia" w:ascii="Times New Roman" w:hAnsi="Times New Roman" w:cs="Times New Roman"/>
          <w:highlight w:val="none"/>
        </w:rPr>
        <w:fldChar w:fldCharType="end"/>
      </w:r>
      <w:r>
        <w:rPr>
          <w:rFonts w:hint="eastAsia" w:ascii="Times New Roman" w:hAnsi="Times New Roman" w:cs="Times New Roman"/>
          <w:highlight w:val="none"/>
        </w:rPr>
        <w:t>7</w:t>
      </w:r>
    </w:p>
    <w:p w14:paraId="2FBD28C7">
      <w:pPr>
        <w:ind w:firstLine="48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rPr>
        <w:t>《汽车库、修车库、停车场设计防火规范》GB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50067</w:t>
      </w:r>
    </w:p>
    <w:p w14:paraId="189414AD">
      <w:pPr>
        <w:ind w:firstLine="480" w:firstLineChars="200"/>
        <w:rPr>
          <w:rFonts w:hint="default" w:ascii="Times New Roman" w:hAnsi="Times New Roman" w:cs="Times New Roman"/>
          <w:highlight w:val="none"/>
          <w:lang w:val="en-US" w:eastAsia="zh-CN"/>
        </w:rPr>
      </w:pPr>
      <w:r>
        <w:rPr>
          <w:rFonts w:hint="eastAsia" w:ascii="Times New Roman" w:hAnsi="Times New Roman" w:cs="Times New Roman"/>
          <w:highlight w:val="none"/>
        </w:rPr>
        <w:t>《人民防空工程设计防火规范》GB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500</w:t>
      </w:r>
      <w:r>
        <w:rPr>
          <w:rFonts w:hint="eastAsia" w:ascii="Times New Roman" w:hAnsi="Times New Roman" w:cs="Times New Roman"/>
          <w:highlight w:val="none"/>
          <w:lang w:val="en-US" w:eastAsia="zh-CN"/>
        </w:rPr>
        <w:t>98</w:t>
      </w:r>
    </w:p>
    <w:p w14:paraId="40063947">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《建筑防火封堵应用技术标准》GB/T 51410</w:t>
      </w:r>
    </w:p>
    <w:p w14:paraId="67942FA6">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《建筑内部装修设计防火规范》GB 50222</w:t>
      </w:r>
    </w:p>
    <w:p w14:paraId="4C30751D">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《综合医院建筑设计规范》GB 510394</w:t>
      </w:r>
    </w:p>
    <w:p w14:paraId="76B4C9EB">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《消防安全标志》GB 13495</w:t>
      </w:r>
    </w:p>
    <w:p w14:paraId="3FBCE143">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《消防安全标志 第1部分：标志》</w:t>
      </w:r>
      <w:r>
        <w:rPr>
          <w:rFonts w:hint="eastAsia" w:ascii="Times New Roman" w:hAnsi="Times New Roman" w:cs="Times New Roman"/>
          <w:color w:val="auto"/>
          <w:highlight w:val="none"/>
        </w:rPr>
        <w:fldChar w:fldCharType="begin"/>
      </w:r>
      <w:r>
        <w:rPr>
          <w:rFonts w:hint="eastAsia" w:ascii="Times New Roman" w:hAnsi="Times New Roman" w:cs="Times New Roman"/>
          <w:color w:val="auto"/>
          <w:highlight w:val="none"/>
        </w:rPr>
        <w:instrText xml:space="preserve"> HYPERLINK "http://www.csres.com/detail/269305.html" \h </w:instrText>
      </w:r>
      <w:r>
        <w:rPr>
          <w:rFonts w:hint="eastAsia" w:ascii="Times New Roman" w:hAnsi="Times New Roman" w:cs="Times New Roman"/>
          <w:color w:val="auto"/>
          <w:highlight w:val="none"/>
        </w:rPr>
        <w:fldChar w:fldCharType="separate"/>
      </w:r>
      <w:r>
        <w:rPr>
          <w:rFonts w:hint="eastAsia" w:ascii="Times New Roman" w:hAnsi="Times New Roman" w:cs="Times New Roman"/>
          <w:color w:val="auto"/>
          <w:highlight w:val="none"/>
        </w:rPr>
        <w:t>GB 13495.1</w:t>
      </w:r>
      <w:r>
        <w:rPr>
          <w:rFonts w:hint="eastAsia" w:ascii="Times New Roman" w:hAnsi="Times New Roman" w:cs="Times New Roman"/>
          <w:color w:val="auto"/>
          <w:highlight w:val="none"/>
        </w:rPr>
        <w:fldChar w:fldCharType="end"/>
      </w:r>
    </w:p>
    <w:p w14:paraId="26F52669">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《防火卷帘、防火门、防火窗施工及验收规范》GB 50877</w:t>
      </w:r>
    </w:p>
    <w:p w14:paraId="1EA1721D">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《防火门》GB 12955</w:t>
      </w:r>
    </w:p>
    <w:p w14:paraId="5997303B">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w:t>
      </w:r>
      <w:r>
        <w:rPr>
          <w:rFonts w:hint="eastAsia" w:ascii="Times New Roman" w:hAnsi="Times New Roman" w:cs="Times New Roman"/>
          <w:color w:val="auto"/>
          <w:highlight w:val="none"/>
        </w:rPr>
        <w:fldChar w:fldCharType="begin"/>
      </w:r>
      <w:r>
        <w:rPr>
          <w:rFonts w:hint="eastAsia" w:ascii="Times New Roman" w:hAnsi="Times New Roman" w:cs="Times New Roman"/>
          <w:color w:val="auto"/>
          <w:highlight w:val="none"/>
        </w:rPr>
        <w:instrText xml:space="preserve"> HYPERLINK "https://gf.1190119.com/list-134.htm" \h </w:instrText>
      </w:r>
      <w:r>
        <w:rPr>
          <w:rFonts w:hint="eastAsia" w:ascii="Times New Roman" w:hAnsi="Times New Roman" w:cs="Times New Roman"/>
          <w:color w:val="auto"/>
          <w:highlight w:val="none"/>
        </w:rPr>
        <w:fldChar w:fldCharType="separate"/>
      </w:r>
      <w:r>
        <w:rPr>
          <w:rFonts w:hint="eastAsia" w:ascii="Times New Roman" w:hAnsi="Times New Roman" w:cs="Times New Roman"/>
          <w:color w:val="auto"/>
          <w:highlight w:val="none"/>
        </w:rPr>
        <w:t>防火门闭门器</w:t>
      </w:r>
      <w:r>
        <w:rPr>
          <w:rFonts w:hint="eastAsia" w:ascii="Times New Roman" w:hAnsi="Times New Roman" w:cs="Times New Roman"/>
          <w:color w:val="auto"/>
          <w:highlight w:val="none"/>
        </w:rPr>
        <w:fldChar w:fldCharType="end"/>
      </w:r>
      <w:r>
        <w:rPr>
          <w:rFonts w:hint="eastAsia" w:ascii="Times New Roman" w:hAnsi="Times New Roman" w:cs="Times New Roman"/>
          <w:color w:val="auto"/>
          <w:highlight w:val="none"/>
        </w:rPr>
        <w:t>》</w:t>
      </w:r>
      <w:r>
        <w:rPr>
          <w:rFonts w:hint="eastAsia" w:ascii="Times New Roman" w:hAnsi="Times New Roman" w:cs="Times New Roman"/>
          <w:color w:val="auto"/>
          <w:highlight w:val="none"/>
        </w:rPr>
        <w:fldChar w:fldCharType="begin"/>
      </w:r>
      <w:r>
        <w:rPr>
          <w:rFonts w:hint="eastAsia" w:ascii="Times New Roman" w:hAnsi="Times New Roman" w:cs="Times New Roman"/>
          <w:color w:val="auto"/>
          <w:highlight w:val="none"/>
        </w:rPr>
        <w:instrText xml:space="preserve"> HYPERLINK "https://gf.1190119.com/list-991.htm" \h </w:instrText>
      </w:r>
      <w:r>
        <w:rPr>
          <w:rFonts w:hint="eastAsia" w:ascii="Times New Roman" w:hAnsi="Times New Roman" w:cs="Times New Roman"/>
          <w:color w:val="auto"/>
          <w:highlight w:val="none"/>
        </w:rPr>
        <w:fldChar w:fldCharType="separate"/>
      </w:r>
      <w:r>
        <w:rPr>
          <w:rFonts w:hint="eastAsia" w:ascii="Times New Roman" w:hAnsi="Times New Roman" w:cs="Times New Roman"/>
          <w:color w:val="auto"/>
          <w:highlight w:val="none"/>
        </w:rPr>
        <w:t>XF 93</w:t>
      </w:r>
      <w:r>
        <w:rPr>
          <w:rFonts w:hint="eastAsia" w:ascii="Times New Roman" w:hAnsi="Times New Roman" w:cs="Times New Roman"/>
          <w:color w:val="auto"/>
          <w:highlight w:val="none"/>
        </w:rPr>
        <w:fldChar w:fldCharType="end"/>
      </w:r>
    </w:p>
    <w:p w14:paraId="7DAA81B9">
      <w:pPr>
        <w:ind w:firstLine="48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rPr>
        <w:t>《</w:t>
      </w:r>
      <w:r>
        <w:rPr>
          <w:rFonts w:hint="eastAsia" w:ascii="Times New Roman" w:hAnsi="Times New Roman" w:cs="Times New Roman"/>
          <w:highlight w:val="none"/>
        </w:rPr>
        <w:fldChar w:fldCharType="begin"/>
      </w:r>
      <w:r>
        <w:rPr>
          <w:rFonts w:hint="eastAsia" w:ascii="Times New Roman" w:hAnsi="Times New Roman" w:cs="Times New Roman"/>
          <w:highlight w:val="none"/>
        </w:rPr>
        <w:instrText xml:space="preserve">HYPERLINK "https://gf.cabr-fire.com/m/list-1534.htm"</w:instrText>
      </w:r>
      <w:r>
        <w:rPr>
          <w:rFonts w:hint="eastAsia" w:ascii="Times New Roman" w:hAnsi="Times New Roman" w:cs="Times New Roman"/>
          <w:highlight w:val="none"/>
        </w:rPr>
        <w:fldChar w:fldCharType="separate"/>
      </w:r>
      <w:r>
        <w:rPr>
          <w:rFonts w:hint="eastAsia" w:ascii="Times New Roman" w:hAnsi="Times New Roman" w:cs="Times New Roman"/>
          <w:highlight w:val="none"/>
        </w:rPr>
        <w:t xml:space="preserve">消防设施通用规范 </w:t>
      </w:r>
      <w:r>
        <w:rPr>
          <w:rFonts w:hint="eastAsia" w:ascii="Times New Roman" w:hAnsi="Times New Roman" w:cs="Times New Roman"/>
          <w:highlight w:val="none"/>
        </w:rPr>
        <w:fldChar w:fldCharType="end"/>
      </w:r>
      <w:r>
        <w:rPr>
          <w:rFonts w:hint="eastAsia" w:ascii="Times New Roman" w:hAnsi="Times New Roman" w:cs="Times New Roman"/>
          <w:highlight w:val="none"/>
        </w:rPr>
        <w:t>》GB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55036</w:t>
      </w:r>
    </w:p>
    <w:p w14:paraId="1A818210">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《建筑消防设施检测技术规程》XF 503</w:t>
      </w:r>
    </w:p>
    <w:p w14:paraId="66A980FB">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《建筑消防设施检测服务规范》DB11/T 3034</w:t>
      </w:r>
    </w:p>
    <w:p w14:paraId="584BCDEE">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《建筑消防设施维护保养技术规范》DB11/T 3035</w:t>
      </w:r>
    </w:p>
    <w:p w14:paraId="298A91D8">
      <w:pPr>
        <w:ind w:firstLine="48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rPr>
        <w:t>《建筑防烟排烟系统技术标准》GB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51251</w:t>
      </w:r>
    </w:p>
    <w:p w14:paraId="28CFCF3D">
      <w:pPr>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rPr>
        <w:t>《消防给水及消火栓系统技术规范》GB 50974</w:t>
      </w:r>
    </w:p>
    <w:p w14:paraId="3791E77F">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《建筑灭火器配置设计规范》GB 50140</w:t>
      </w:r>
    </w:p>
    <w:p w14:paraId="4FE6574F">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《建筑灭火器配置验收及检查规范》GB 50444</w:t>
      </w:r>
    </w:p>
    <w:p w14:paraId="6895810A">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《建筑给水排水设计规范》GB</w:t>
      </w:r>
      <w:r>
        <w:rPr>
          <w:rFonts w:hint="eastAsia" w:ascii="Times New Roman" w:hAnsi="Times New Roman" w:cs="Times New Roman"/>
          <w:color w:val="auto"/>
          <w:highlight w:val="none"/>
          <w:lang w:val="en-US" w:eastAsia="zh-CN"/>
        </w:rPr>
        <w:t xml:space="preserve"> 50015</w:t>
      </w:r>
    </w:p>
    <w:p w14:paraId="6B487739">
      <w:pPr>
        <w:ind w:firstLine="480" w:firstLineChars="200"/>
        <w:rPr>
          <w:rFonts w:hint="eastAsia" w:ascii="宋体" w:hAnsi="宋体" w:cs="宋体"/>
          <w:b w:val="0"/>
          <w:bCs w:val="0"/>
          <w:color w:val="auto"/>
          <w:spacing w:val="-1"/>
          <w:highlight w:val="none"/>
        </w:rPr>
      </w:pPr>
      <w:r>
        <w:rPr>
          <w:rFonts w:hint="eastAsia" w:ascii="Times New Roman" w:hAnsi="Times New Roman" w:cs="Times New Roman"/>
          <w:color w:val="auto"/>
          <w:highlight w:val="none"/>
        </w:rPr>
        <w:t>《自动喷水灭火系统设计规范》GB</w:t>
      </w:r>
      <w:r>
        <w:rPr>
          <w:rFonts w:hint="eastAsia" w:ascii="Times New Roman" w:hAnsi="Times New Roman" w:cs="Times New Roman"/>
          <w:color w:val="auto"/>
          <w:highlight w:val="none"/>
          <w:lang w:val="en-US" w:eastAsia="zh-CN"/>
        </w:rPr>
        <w:t xml:space="preserve"> 50084</w:t>
      </w:r>
    </w:p>
    <w:p w14:paraId="6499D225">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《医用气体工程技术规范》GB 50751</w:t>
      </w:r>
    </w:p>
    <w:p w14:paraId="33D5E99E">
      <w:pPr>
        <w:ind w:firstLine="48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rPr>
        <w:t>《供配电系统设计规范》GB50052</w:t>
      </w:r>
    </w:p>
    <w:p w14:paraId="7C55AAB1">
      <w:pPr>
        <w:ind w:firstLine="48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rPr>
        <w:t>《民用建筑电气设计标准》GB51348</w:t>
      </w:r>
    </w:p>
    <w:p w14:paraId="284CF3BF">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《低压配电设计规范》GB 50054</w:t>
      </w:r>
    </w:p>
    <w:p w14:paraId="2828CDD9">
      <w:pPr>
        <w:ind w:firstLine="480" w:firstLineChars="200"/>
        <w:rPr>
          <w:rFonts w:hint="default" w:ascii="Times New Roman" w:hAnsi="Times New Roman" w:eastAsia="宋体" w:cs="Times New Roman"/>
          <w:highlight w:val="none"/>
          <w:lang w:val="en-US" w:eastAsia="zh-CN"/>
        </w:rPr>
      </w:pPr>
      <w:r>
        <w:rPr>
          <w:rFonts w:hint="eastAsia" w:ascii="Times New Roman" w:hAnsi="Times New Roman" w:cs="Times New Roman"/>
          <w:highlight w:val="none"/>
        </w:rPr>
        <w:t>《</w:t>
      </w:r>
      <w:r>
        <w:rPr>
          <w:rFonts w:hint="eastAsia" w:ascii="Times New Roman" w:hAnsi="Times New Roman" w:cs="Times New Roman"/>
          <w:highlight w:val="none"/>
        </w:rPr>
        <w:fldChar w:fldCharType="begin"/>
      </w:r>
      <w:r>
        <w:rPr>
          <w:rFonts w:hint="eastAsia" w:ascii="Times New Roman" w:hAnsi="Times New Roman" w:cs="Times New Roman"/>
          <w:highlight w:val="none"/>
        </w:rPr>
        <w:instrText xml:space="preserve">HYPERLINK "https://gf.cabr-fire.com/m/list-64.htm"</w:instrText>
      </w:r>
      <w:r>
        <w:rPr>
          <w:rFonts w:hint="eastAsia" w:ascii="Times New Roman" w:hAnsi="Times New Roman" w:cs="Times New Roman"/>
          <w:highlight w:val="none"/>
        </w:rPr>
        <w:fldChar w:fldCharType="separate"/>
      </w:r>
      <w:r>
        <w:rPr>
          <w:rFonts w:hint="eastAsia" w:ascii="Times New Roman" w:hAnsi="Times New Roman" w:cs="Times New Roman"/>
          <w:highlight w:val="none"/>
        </w:rPr>
        <w:t>火灾自动报警系统设计规范</w:t>
      </w:r>
      <w:r>
        <w:rPr>
          <w:rFonts w:hint="eastAsia" w:ascii="Times New Roman" w:hAnsi="Times New Roman" w:cs="Times New Roman"/>
          <w:highlight w:val="none"/>
        </w:rPr>
        <w:fldChar w:fldCharType="end"/>
      </w:r>
      <w:r>
        <w:rPr>
          <w:rFonts w:hint="eastAsia" w:ascii="Times New Roman" w:hAnsi="Times New Roman" w:cs="Times New Roman"/>
          <w:highlight w:val="none"/>
        </w:rPr>
        <w:t>》GB</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50116</w:t>
      </w:r>
    </w:p>
    <w:p w14:paraId="6F626C74">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《火灾自动报警系统施工及验收标准》GB 50166</w:t>
      </w:r>
    </w:p>
    <w:p w14:paraId="4382819E">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w:t>
      </w:r>
      <w:r>
        <w:rPr>
          <w:rFonts w:hint="eastAsia" w:ascii="Times New Roman" w:hAnsi="Times New Roman" w:cs="Times New Roman"/>
          <w:color w:val="auto"/>
          <w:highlight w:val="none"/>
        </w:rPr>
        <w:fldChar w:fldCharType="begin"/>
      </w:r>
      <w:r>
        <w:rPr>
          <w:rFonts w:hint="eastAsia" w:ascii="Times New Roman" w:hAnsi="Times New Roman" w:cs="Times New Roman"/>
          <w:color w:val="auto"/>
          <w:highlight w:val="none"/>
        </w:rPr>
        <w:instrText xml:space="preserve"> HYPERLINK "https://gf.1190119.com/list-1021.htm" \h </w:instrText>
      </w:r>
      <w:r>
        <w:rPr>
          <w:rFonts w:hint="eastAsia" w:ascii="Times New Roman" w:hAnsi="Times New Roman" w:cs="Times New Roman"/>
          <w:color w:val="auto"/>
          <w:highlight w:val="none"/>
        </w:rPr>
        <w:fldChar w:fldCharType="separate"/>
      </w:r>
      <w:r>
        <w:rPr>
          <w:rFonts w:hint="eastAsia" w:ascii="Times New Roman" w:hAnsi="Times New Roman" w:cs="Times New Roman"/>
          <w:color w:val="auto"/>
          <w:highlight w:val="none"/>
        </w:rPr>
        <w:t>消防应急照明和疏散指示系统技术标准</w:t>
      </w:r>
      <w:r>
        <w:rPr>
          <w:rFonts w:hint="eastAsia" w:ascii="Times New Roman" w:hAnsi="Times New Roman" w:cs="Times New Roman"/>
          <w:color w:val="auto"/>
          <w:highlight w:val="none"/>
        </w:rPr>
        <w:fldChar w:fldCharType="end"/>
      </w:r>
      <w:r>
        <w:rPr>
          <w:rFonts w:hint="eastAsia" w:ascii="Times New Roman" w:hAnsi="Times New Roman" w:cs="Times New Roman"/>
          <w:color w:val="auto"/>
          <w:highlight w:val="none"/>
        </w:rPr>
        <w:t>》GB 51309</w:t>
      </w:r>
    </w:p>
    <w:p w14:paraId="3F0984E6">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《医疗建筑电气设计规范》JGJ 31</w:t>
      </w:r>
    </w:p>
    <w:p w14:paraId="627F4207">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《配电室安全管理规范》DB11/T 527</w:t>
      </w:r>
    </w:p>
    <w:p w14:paraId="79589A1A">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《电气防火检测技术规范》DB11/T 065</w:t>
      </w:r>
    </w:p>
    <w:p w14:paraId="5979207E">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《人员密集场所消防安全评估导则》XF/T 1369</w:t>
      </w:r>
    </w:p>
    <w:p w14:paraId="54B97493">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《人员密集场所消防安全管理》GB/T 40248</w:t>
      </w:r>
    </w:p>
    <w:p w14:paraId="2EA965F6">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《人员密集场所应急疏散演练导则》DB11/T 1479</w:t>
      </w:r>
    </w:p>
    <w:p w14:paraId="4BE3034B">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《重大火灾隐患判定方法》GB 35181</w:t>
      </w:r>
    </w:p>
    <w:p w14:paraId="45DFD016">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《单位消防安全评估》XF/T 3005</w:t>
      </w:r>
    </w:p>
    <w:p w14:paraId="1F7A8F34">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《安全生产等级评定技术规范 第2部分：安全生产通用要求》DB11/T 1322.2</w:t>
      </w:r>
    </w:p>
    <w:p w14:paraId="17CD6E14">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《消防控制室火警处置规范》DB11/T 2104</w:t>
      </w:r>
    </w:p>
    <w:p w14:paraId="3CF95116">
      <w:pPr>
        <w:ind w:firstLine="48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《医疗机构危险化学品安全管理规范》DB11/T 1578</w:t>
      </w:r>
    </w:p>
    <w:p w14:paraId="4B6DBA90">
      <w:pPr>
        <w:rPr>
          <w:rFonts w:hint="eastAsia"/>
          <w:highlight w:val="none"/>
        </w:rPr>
      </w:pPr>
    </w:p>
    <w:p w14:paraId="1061E41D">
      <w:pPr>
        <w:rPr>
          <w:highlight w:val="none"/>
        </w:rPr>
      </w:pPr>
    </w:p>
    <w:p w14:paraId="03148FBD">
      <w:pPr>
        <w:rPr>
          <w:highlight w:val="none"/>
        </w:rPr>
      </w:pPr>
    </w:p>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70646">
    <w:pPr>
      <w:pStyle w:val="7"/>
      <w:jc w:val="center"/>
    </w:pPr>
  </w:p>
  <w:p w14:paraId="507407B6">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09E7D">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AFB170A">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uUsyAgAAYwQAAA4AAABkcnMvZTJvRG9jLnhtbK1UzY7TMBC+I/EO&#10;lu80bRGlqp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f65SzICAABjBAAADgAAAAAAAAABACAAAAAfAQAAZHJzL2Uyb0RvYy54bWxQSwUG&#10;AAAAAAYABgBZAQAAwwUAAAAA&#10;">
              <v:fill on="f" focussize="0,0"/>
              <v:stroke on="f" weight="0.5pt"/>
              <v:imagedata o:title=""/>
              <o:lock v:ext="edit" aspectratio="f"/>
              <v:textbox inset="0mm,0mm,0mm,0mm" style="mso-fit-shape-to-text:t;">
                <w:txbxContent>
                  <w:p w14:paraId="5AFB170A">
                    <w:pPr>
                      <w:pStyle w:val="7"/>
                    </w:pPr>
                    <w:r>
                      <w:fldChar w:fldCharType="begin"/>
                    </w:r>
                    <w:r>
                      <w:instrText xml:space="preserve"> PAGE  \* MERGEFORMAT </w:instrText>
                    </w:r>
                    <w:r>
                      <w:fldChar w:fldCharType="separate"/>
                    </w:r>
                    <w:r>
                      <w:t>4</w:t>
                    </w:r>
                    <w:r>
                      <w:fldChar w:fldCharType="end"/>
                    </w:r>
                  </w:p>
                </w:txbxContent>
              </v:textbox>
            </v:shape>
          </w:pict>
        </mc:Fallback>
      </mc:AlternateContent>
    </w:r>
  </w:p>
  <w:p w14:paraId="2B91E2F0">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907F9">
    <w:pPr>
      <w:pStyle w:val="7"/>
      <w:jc w:val="center"/>
    </w:pPr>
    <w:r>
      <w:fldChar w:fldCharType="begin"/>
    </w:r>
    <w:r>
      <w:instrText xml:space="preserve">PAGE   \* MERGEFORMAT</w:instrText>
    </w:r>
    <w:r>
      <w:fldChar w:fldCharType="separate"/>
    </w:r>
    <w:r>
      <w:rPr>
        <w:lang w:val="zh-CN"/>
      </w:rPr>
      <w:t>47</w:t>
    </w:r>
    <w:r>
      <w:fldChar w:fldCharType="end"/>
    </w:r>
  </w:p>
  <w:p w14:paraId="70EACEC8">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1B257">
    <w:pPr>
      <w:spacing w:line="170" w:lineRule="auto"/>
      <w:ind w:left="237"/>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842E85">
                          <w:pPr>
                            <w:pStyle w:val="7"/>
                            <w:tabs>
                              <w:tab w:val="center" w:pos="4153"/>
                              <w:tab w:val="right" w:pos="8306"/>
                            </w:tabs>
                          </w:pPr>
                          <w:r>
                            <w:t xml:space="preserve">第 </w:t>
                          </w:r>
                          <w:r>
                            <w:fldChar w:fldCharType="begin"/>
                          </w:r>
                          <w:r>
                            <w:instrText xml:space="preserve"> PAGE  \* MERGEFORMAT </w:instrText>
                          </w:r>
                          <w:r>
                            <w:fldChar w:fldCharType="separate"/>
                          </w:r>
                          <w:r>
                            <w:t>36</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41842E85">
                    <w:pPr>
                      <w:pStyle w:val="7"/>
                      <w:tabs>
                        <w:tab w:val="center" w:pos="4153"/>
                        <w:tab w:val="right" w:pos="8306"/>
                      </w:tabs>
                    </w:pPr>
                    <w:r>
                      <w:t xml:space="preserve">第 </w:t>
                    </w:r>
                    <w:r>
                      <w:fldChar w:fldCharType="begin"/>
                    </w:r>
                    <w:r>
                      <w:instrText xml:space="preserve"> PAGE  \* MERGEFORMAT </w:instrText>
                    </w:r>
                    <w:r>
                      <w:fldChar w:fldCharType="separate"/>
                    </w:r>
                    <w:r>
                      <w:t>36</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6B91F">
    <w:pPr>
      <w:pStyle w:val="7"/>
      <w:jc w:val="center"/>
    </w:pPr>
    <w:r>
      <w:fldChar w:fldCharType="begin"/>
    </w:r>
    <w:r>
      <w:instrText xml:space="preserve">PAGE   \* MERGEFORMAT</w:instrText>
    </w:r>
    <w:r>
      <w:fldChar w:fldCharType="separate"/>
    </w:r>
    <w:r>
      <w:rPr>
        <w:lang w:val="zh-CN"/>
      </w:rPr>
      <w:t>47</w:t>
    </w:r>
    <w:r>
      <w:fldChar w:fldCharType="end"/>
    </w:r>
  </w:p>
  <w:p w14:paraId="3C904B4D">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97281">
    <w:pPr>
      <w:pStyle w:val="8"/>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C43C7E"/>
    <w:multiLevelType w:val="multilevel"/>
    <w:tmpl w:val="67C43C7E"/>
    <w:lvl w:ilvl="0" w:tentative="0">
      <w:start w:val="1"/>
      <w:numFmt w:val="decimal"/>
      <w:lvlText w:val="%1"/>
      <w:lvlJc w:val="left"/>
      <w:pPr>
        <w:tabs>
          <w:tab w:val="left" w:pos="420"/>
        </w:tabs>
        <w:ind w:left="425" w:hanging="425"/>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kOWZmNjg0ZWI0YzQzNDhjZDUyMzI5ZTk3ZTE5NDkifQ=="/>
  </w:docVars>
  <w:rsids>
    <w:rsidRoot w:val="00000000"/>
    <w:rsid w:val="002905CD"/>
    <w:rsid w:val="0076297A"/>
    <w:rsid w:val="00894872"/>
    <w:rsid w:val="00B80C1D"/>
    <w:rsid w:val="011934D7"/>
    <w:rsid w:val="01301849"/>
    <w:rsid w:val="01325A8F"/>
    <w:rsid w:val="016C2D4F"/>
    <w:rsid w:val="016D7739"/>
    <w:rsid w:val="02544165"/>
    <w:rsid w:val="027D1CD2"/>
    <w:rsid w:val="02CB0C3C"/>
    <w:rsid w:val="03CC630D"/>
    <w:rsid w:val="04A86794"/>
    <w:rsid w:val="055464B2"/>
    <w:rsid w:val="05A96F35"/>
    <w:rsid w:val="05BD626F"/>
    <w:rsid w:val="0642368D"/>
    <w:rsid w:val="06C673A5"/>
    <w:rsid w:val="0825042F"/>
    <w:rsid w:val="084C2256"/>
    <w:rsid w:val="087D7F38"/>
    <w:rsid w:val="08D15660"/>
    <w:rsid w:val="0966277A"/>
    <w:rsid w:val="096B4234"/>
    <w:rsid w:val="096C2DE1"/>
    <w:rsid w:val="09B344A3"/>
    <w:rsid w:val="09DE7C9B"/>
    <w:rsid w:val="09F74201"/>
    <w:rsid w:val="0A23066B"/>
    <w:rsid w:val="0AFD2C6A"/>
    <w:rsid w:val="0B264E3C"/>
    <w:rsid w:val="0B4D095A"/>
    <w:rsid w:val="0B586302"/>
    <w:rsid w:val="0B9F4D5C"/>
    <w:rsid w:val="0C1B44BD"/>
    <w:rsid w:val="0C2976C7"/>
    <w:rsid w:val="0C4125F7"/>
    <w:rsid w:val="0C475EF7"/>
    <w:rsid w:val="0C9246AC"/>
    <w:rsid w:val="0D337107"/>
    <w:rsid w:val="0E2E40B0"/>
    <w:rsid w:val="0E80412A"/>
    <w:rsid w:val="0E903DF5"/>
    <w:rsid w:val="0EC22AC3"/>
    <w:rsid w:val="0F53AB28"/>
    <w:rsid w:val="0F60669D"/>
    <w:rsid w:val="0FAC610D"/>
    <w:rsid w:val="10371F5E"/>
    <w:rsid w:val="10606125"/>
    <w:rsid w:val="108C64EF"/>
    <w:rsid w:val="10AE765C"/>
    <w:rsid w:val="11457119"/>
    <w:rsid w:val="122076CB"/>
    <w:rsid w:val="12347659"/>
    <w:rsid w:val="129739A4"/>
    <w:rsid w:val="13736E9F"/>
    <w:rsid w:val="13BA3DEE"/>
    <w:rsid w:val="13F871E5"/>
    <w:rsid w:val="14806675"/>
    <w:rsid w:val="155362A8"/>
    <w:rsid w:val="15704FA4"/>
    <w:rsid w:val="15877D00"/>
    <w:rsid w:val="15C3681A"/>
    <w:rsid w:val="15FB42AF"/>
    <w:rsid w:val="16D70206"/>
    <w:rsid w:val="16F94C2D"/>
    <w:rsid w:val="17266BF2"/>
    <w:rsid w:val="1805279D"/>
    <w:rsid w:val="18253F4C"/>
    <w:rsid w:val="186E6948"/>
    <w:rsid w:val="18C17E54"/>
    <w:rsid w:val="1A83782D"/>
    <w:rsid w:val="1A864A2A"/>
    <w:rsid w:val="1B4A3CA9"/>
    <w:rsid w:val="1BB17F7C"/>
    <w:rsid w:val="1BC040E1"/>
    <w:rsid w:val="1BDE316F"/>
    <w:rsid w:val="1BE5050A"/>
    <w:rsid w:val="1C176F9D"/>
    <w:rsid w:val="1C37408A"/>
    <w:rsid w:val="1C433841"/>
    <w:rsid w:val="1C7836C6"/>
    <w:rsid w:val="1CB27ED2"/>
    <w:rsid w:val="1CD46655"/>
    <w:rsid w:val="1CEA426B"/>
    <w:rsid w:val="1D935435"/>
    <w:rsid w:val="1D9D1235"/>
    <w:rsid w:val="1DD9160B"/>
    <w:rsid w:val="1E110AAE"/>
    <w:rsid w:val="1EA935DA"/>
    <w:rsid w:val="1F884DA0"/>
    <w:rsid w:val="1FC76ED8"/>
    <w:rsid w:val="202C6073"/>
    <w:rsid w:val="20823715"/>
    <w:rsid w:val="209B2847"/>
    <w:rsid w:val="211865F8"/>
    <w:rsid w:val="213253A9"/>
    <w:rsid w:val="21692886"/>
    <w:rsid w:val="2188552B"/>
    <w:rsid w:val="21943F1B"/>
    <w:rsid w:val="21C11AD4"/>
    <w:rsid w:val="21E169EA"/>
    <w:rsid w:val="21F22A6B"/>
    <w:rsid w:val="220B2304"/>
    <w:rsid w:val="22890CC6"/>
    <w:rsid w:val="230C7A96"/>
    <w:rsid w:val="23991BA4"/>
    <w:rsid w:val="23E40457"/>
    <w:rsid w:val="246857A2"/>
    <w:rsid w:val="247A0F48"/>
    <w:rsid w:val="24855D52"/>
    <w:rsid w:val="24F23BF7"/>
    <w:rsid w:val="2543373D"/>
    <w:rsid w:val="2553182C"/>
    <w:rsid w:val="255554AE"/>
    <w:rsid w:val="255F61BF"/>
    <w:rsid w:val="25FA7055"/>
    <w:rsid w:val="268A1DC5"/>
    <w:rsid w:val="271C4339"/>
    <w:rsid w:val="289F315B"/>
    <w:rsid w:val="28D56B7C"/>
    <w:rsid w:val="28FA5C20"/>
    <w:rsid w:val="29140A23"/>
    <w:rsid w:val="293763B0"/>
    <w:rsid w:val="29AD336D"/>
    <w:rsid w:val="2A6A02B5"/>
    <w:rsid w:val="2B0771A6"/>
    <w:rsid w:val="2B2E3A34"/>
    <w:rsid w:val="2B8523CD"/>
    <w:rsid w:val="2BDBB834"/>
    <w:rsid w:val="2C786A3D"/>
    <w:rsid w:val="2CA86A82"/>
    <w:rsid w:val="2CF55A3F"/>
    <w:rsid w:val="2D517119"/>
    <w:rsid w:val="2D5C2B7A"/>
    <w:rsid w:val="2D753A52"/>
    <w:rsid w:val="2D965448"/>
    <w:rsid w:val="2DBF016E"/>
    <w:rsid w:val="2DFFA4E4"/>
    <w:rsid w:val="2E133E62"/>
    <w:rsid w:val="2E4822E7"/>
    <w:rsid w:val="2F8F3F5D"/>
    <w:rsid w:val="2FCE66EF"/>
    <w:rsid w:val="30325E30"/>
    <w:rsid w:val="30A707F0"/>
    <w:rsid w:val="31CB36EE"/>
    <w:rsid w:val="328C6E6B"/>
    <w:rsid w:val="330632B8"/>
    <w:rsid w:val="331B3537"/>
    <w:rsid w:val="346F594D"/>
    <w:rsid w:val="347D4AA7"/>
    <w:rsid w:val="350C2AEE"/>
    <w:rsid w:val="355A3716"/>
    <w:rsid w:val="3766499D"/>
    <w:rsid w:val="379C1207"/>
    <w:rsid w:val="38AC7E04"/>
    <w:rsid w:val="39744115"/>
    <w:rsid w:val="39F7212B"/>
    <w:rsid w:val="3A3A548E"/>
    <w:rsid w:val="3A8221F6"/>
    <w:rsid w:val="3AA6541B"/>
    <w:rsid w:val="3AA70C85"/>
    <w:rsid w:val="3B132A10"/>
    <w:rsid w:val="3B4A3E62"/>
    <w:rsid w:val="3B697D24"/>
    <w:rsid w:val="3B972B03"/>
    <w:rsid w:val="3BFEAC1B"/>
    <w:rsid w:val="3C3FDD9A"/>
    <w:rsid w:val="3C5827A7"/>
    <w:rsid w:val="3CA67FBB"/>
    <w:rsid w:val="3CBC3E83"/>
    <w:rsid w:val="3CD92C87"/>
    <w:rsid w:val="3D2E5DFC"/>
    <w:rsid w:val="3D555EEF"/>
    <w:rsid w:val="3DA52B6A"/>
    <w:rsid w:val="3DBD36B4"/>
    <w:rsid w:val="3DCC6348"/>
    <w:rsid w:val="3DDDE984"/>
    <w:rsid w:val="3DFFA223"/>
    <w:rsid w:val="3E529CCC"/>
    <w:rsid w:val="3EAD5185"/>
    <w:rsid w:val="3ECD2378"/>
    <w:rsid w:val="3EDC4D13"/>
    <w:rsid w:val="3EFFE6C9"/>
    <w:rsid w:val="3F65E939"/>
    <w:rsid w:val="3FA94B93"/>
    <w:rsid w:val="3FBC5C71"/>
    <w:rsid w:val="3FCE63A8"/>
    <w:rsid w:val="3FDFBF6D"/>
    <w:rsid w:val="3FF760EB"/>
    <w:rsid w:val="404B3E9C"/>
    <w:rsid w:val="405A48CE"/>
    <w:rsid w:val="40836FAF"/>
    <w:rsid w:val="40901D8A"/>
    <w:rsid w:val="409D31D9"/>
    <w:rsid w:val="40EA1849"/>
    <w:rsid w:val="411942F3"/>
    <w:rsid w:val="41445D30"/>
    <w:rsid w:val="41836469"/>
    <w:rsid w:val="418628EB"/>
    <w:rsid w:val="4205335D"/>
    <w:rsid w:val="43802FF3"/>
    <w:rsid w:val="43CC0D56"/>
    <w:rsid w:val="43CD6976"/>
    <w:rsid w:val="43E9A614"/>
    <w:rsid w:val="43FB34E3"/>
    <w:rsid w:val="45512B16"/>
    <w:rsid w:val="45921C25"/>
    <w:rsid w:val="45B60B5E"/>
    <w:rsid w:val="46880841"/>
    <w:rsid w:val="469943E1"/>
    <w:rsid w:val="473F3213"/>
    <w:rsid w:val="47AB458B"/>
    <w:rsid w:val="47C6205A"/>
    <w:rsid w:val="482C6361"/>
    <w:rsid w:val="48435459"/>
    <w:rsid w:val="485951B1"/>
    <w:rsid w:val="48B52416"/>
    <w:rsid w:val="49405861"/>
    <w:rsid w:val="494C343D"/>
    <w:rsid w:val="49C820BA"/>
    <w:rsid w:val="4A0769B5"/>
    <w:rsid w:val="4A980A36"/>
    <w:rsid w:val="4AE178D7"/>
    <w:rsid w:val="4AE253FD"/>
    <w:rsid w:val="4BCB3B7D"/>
    <w:rsid w:val="4C174D62"/>
    <w:rsid w:val="4C2343F8"/>
    <w:rsid w:val="4C536D07"/>
    <w:rsid w:val="4C675DE6"/>
    <w:rsid w:val="4C83676C"/>
    <w:rsid w:val="4C8C0A87"/>
    <w:rsid w:val="4D190A3B"/>
    <w:rsid w:val="4DC94B5A"/>
    <w:rsid w:val="4E1857AC"/>
    <w:rsid w:val="4E4412E8"/>
    <w:rsid w:val="4E45469F"/>
    <w:rsid w:val="4FD86BDB"/>
    <w:rsid w:val="501923D5"/>
    <w:rsid w:val="505E1082"/>
    <w:rsid w:val="506F21C5"/>
    <w:rsid w:val="50B25872"/>
    <w:rsid w:val="51412E90"/>
    <w:rsid w:val="51E871E4"/>
    <w:rsid w:val="51F51121"/>
    <w:rsid w:val="526C7ABA"/>
    <w:rsid w:val="52BF552E"/>
    <w:rsid w:val="53004672"/>
    <w:rsid w:val="5327249B"/>
    <w:rsid w:val="5334413E"/>
    <w:rsid w:val="536A3A41"/>
    <w:rsid w:val="53A796BC"/>
    <w:rsid w:val="54837309"/>
    <w:rsid w:val="548B440F"/>
    <w:rsid w:val="54DC110F"/>
    <w:rsid w:val="55227EE5"/>
    <w:rsid w:val="55444E1B"/>
    <w:rsid w:val="55517407"/>
    <w:rsid w:val="557828EC"/>
    <w:rsid w:val="557B1573"/>
    <w:rsid w:val="557C3C25"/>
    <w:rsid w:val="55801090"/>
    <w:rsid w:val="55FD28B1"/>
    <w:rsid w:val="563058B8"/>
    <w:rsid w:val="56905D0D"/>
    <w:rsid w:val="570A3D11"/>
    <w:rsid w:val="57686C8A"/>
    <w:rsid w:val="579D4B86"/>
    <w:rsid w:val="57BE82CD"/>
    <w:rsid w:val="57CA524F"/>
    <w:rsid w:val="58F10CF8"/>
    <w:rsid w:val="59662975"/>
    <w:rsid w:val="59C157D4"/>
    <w:rsid w:val="5A7D47FA"/>
    <w:rsid w:val="5A980500"/>
    <w:rsid w:val="5AA325DD"/>
    <w:rsid w:val="5B6D5EF1"/>
    <w:rsid w:val="5BAD0A8C"/>
    <w:rsid w:val="5BE30182"/>
    <w:rsid w:val="5BF63A6F"/>
    <w:rsid w:val="5C4E7937"/>
    <w:rsid w:val="5C9B70BC"/>
    <w:rsid w:val="5CD86660"/>
    <w:rsid w:val="5CFE122A"/>
    <w:rsid w:val="5D0F673A"/>
    <w:rsid w:val="5D682CC6"/>
    <w:rsid w:val="5D752439"/>
    <w:rsid w:val="5D76129E"/>
    <w:rsid w:val="5DC11C82"/>
    <w:rsid w:val="5DDA407C"/>
    <w:rsid w:val="5DF67719"/>
    <w:rsid w:val="5E1C7EE6"/>
    <w:rsid w:val="5E804366"/>
    <w:rsid w:val="5E8D739D"/>
    <w:rsid w:val="5F335DCF"/>
    <w:rsid w:val="5F661D01"/>
    <w:rsid w:val="5FFF1B51"/>
    <w:rsid w:val="605D5D04"/>
    <w:rsid w:val="60F16697"/>
    <w:rsid w:val="6232236E"/>
    <w:rsid w:val="625978FB"/>
    <w:rsid w:val="637E30A8"/>
    <w:rsid w:val="65343CF6"/>
    <w:rsid w:val="656A7E04"/>
    <w:rsid w:val="660C015C"/>
    <w:rsid w:val="66401463"/>
    <w:rsid w:val="6664360E"/>
    <w:rsid w:val="668D4238"/>
    <w:rsid w:val="66C352A8"/>
    <w:rsid w:val="66FBDA0C"/>
    <w:rsid w:val="677521B0"/>
    <w:rsid w:val="67812874"/>
    <w:rsid w:val="68191ED1"/>
    <w:rsid w:val="684D3A5E"/>
    <w:rsid w:val="68B31721"/>
    <w:rsid w:val="68B61F9F"/>
    <w:rsid w:val="68D1318B"/>
    <w:rsid w:val="690540BF"/>
    <w:rsid w:val="69CFD600"/>
    <w:rsid w:val="6A671D72"/>
    <w:rsid w:val="6ADD7165"/>
    <w:rsid w:val="6B030D4C"/>
    <w:rsid w:val="6B2F4D14"/>
    <w:rsid w:val="6B705001"/>
    <w:rsid w:val="6BA51E03"/>
    <w:rsid w:val="6BB34F40"/>
    <w:rsid w:val="6BBF1752"/>
    <w:rsid w:val="6C030941"/>
    <w:rsid w:val="6C133210"/>
    <w:rsid w:val="6EEC7F45"/>
    <w:rsid w:val="6F3874AF"/>
    <w:rsid w:val="6FD9536A"/>
    <w:rsid w:val="700E441B"/>
    <w:rsid w:val="708F6BDE"/>
    <w:rsid w:val="70C15D8C"/>
    <w:rsid w:val="71AC120D"/>
    <w:rsid w:val="71B96ADF"/>
    <w:rsid w:val="71FF0E89"/>
    <w:rsid w:val="720508E3"/>
    <w:rsid w:val="72B95C2A"/>
    <w:rsid w:val="737BA562"/>
    <w:rsid w:val="743F3744"/>
    <w:rsid w:val="745F1A7B"/>
    <w:rsid w:val="749849E3"/>
    <w:rsid w:val="74B16002"/>
    <w:rsid w:val="74DE086D"/>
    <w:rsid w:val="750202C6"/>
    <w:rsid w:val="7543257F"/>
    <w:rsid w:val="75AA6994"/>
    <w:rsid w:val="75B07D22"/>
    <w:rsid w:val="761A7B66"/>
    <w:rsid w:val="76BC5572"/>
    <w:rsid w:val="76FC4082"/>
    <w:rsid w:val="76FC5EB9"/>
    <w:rsid w:val="77071C57"/>
    <w:rsid w:val="7745231C"/>
    <w:rsid w:val="77B5E849"/>
    <w:rsid w:val="77DD04D4"/>
    <w:rsid w:val="77F21B2B"/>
    <w:rsid w:val="77F7BD4A"/>
    <w:rsid w:val="78175E36"/>
    <w:rsid w:val="782663FA"/>
    <w:rsid w:val="78343695"/>
    <w:rsid w:val="78361943"/>
    <w:rsid w:val="78E46821"/>
    <w:rsid w:val="79BB626E"/>
    <w:rsid w:val="7A2605B3"/>
    <w:rsid w:val="7A462A03"/>
    <w:rsid w:val="7AAD0D88"/>
    <w:rsid w:val="7B03371C"/>
    <w:rsid w:val="7B2E3BC3"/>
    <w:rsid w:val="7BDC3D38"/>
    <w:rsid w:val="7BFDD0E2"/>
    <w:rsid w:val="7C0F3E9F"/>
    <w:rsid w:val="7C311B06"/>
    <w:rsid w:val="7C650C76"/>
    <w:rsid w:val="7C7575D0"/>
    <w:rsid w:val="7CB77B9E"/>
    <w:rsid w:val="7CBD0324"/>
    <w:rsid w:val="7CC63900"/>
    <w:rsid w:val="7CF162D3"/>
    <w:rsid w:val="7CF5259A"/>
    <w:rsid w:val="7D0613F0"/>
    <w:rsid w:val="7D451493"/>
    <w:rsid w:val="7D7DABF3"/>
    <w:rsid w:val="7D8C697F"/>
    <w:rsid w:val="7DF2FF7E"/>
    <w:rsid w:val="7E512183"/>
    <w:rsid w:val="7EC55BAB"/>
    <w:rsid w:val="7F4FA508"/>
    <w:rsid w:val="7FD63909"/>
    <w:rsid w:val="7FEF9751"/>
    <w:rsid w:val="7FFF1A57"/>
    <w:rsid w:val="97ABBB8B"/>
    <w:rsid w:val="9BEFAE36"/>
    <w:rsid w:val="A78CB67B"/>
    <w:rsid w:val="BCBDA2DE"/>
    <w:rsid w:val="BCF91C78"/>
    <w:rsid w:val="BFDF62B7"/>
    <w:rsid w:val="C7872285"/>
    <w:rsid w:val="D67FE54E"/>
    <w:rsid w:val="D6EF1224"/>
    <w:rsid w:val="DBFABF58"/>
    <w:rsid w:val="DBFFA1AC"/>
    <w:rsid w:val="DEFD1251"/>
    <w:rsid w:val="DFF77AEA"/>
    <w:rsid w:val="DFFF22CF"/>
    <w:rsid w:val="E3CF56A4"/>
    <w:rsid w:val="EFFD87B6"/>
    <w:rsid w:val="F1DA2E71"/>
    <w:rsid w:val="F37E8116"/>
    <w:rsid w:val="F5DDA683"/>
    <w:rsid w:val="F5FD7FC4"/>
    <w:rsid w:val="FBF68885"/>
    <w:rsid w:val="FCFD6088"/>
    <w:rsid w:val="FE6F2996"/>
    <w:rsid w:val="FEFF3230"/>
    <w:rsid w:val="FF63A925"/>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line="360" w:lineRule="auto"/>
    </w:pPr>
    <w:rPr>
      <w:rFonts w:ascii="宋体" w:hAnsi="宋体" w:eastAsia="宋体" w:cs="宋体"/>
      <w:kern w:val="2"/>
      <w:sz w:val="24"/>
      <w:szCs w:val="28"/>
      <w:lang w:val="en-US" w:eastAsia="zh-CN" w:bidi="ar-SA"/>
    </w:rPr>
  </w:style>
  <w:style w:type="paragraph" w:styleId="2">
    <w:name w:val="heading 1"/>
    <w:basedOn w:val="1"/>
    <w:next w:val="1"/>
    <w:qFormat/>
    <w:uiPriority w:val="99"/>
    <w:pPr>
      <w:spacing w:beforeLines="50" w:afterLines="100"/>
      <w:jc w:val="center"/>
      <w:outlineLvl w:val="0"/>
    </w:pPr>
    <w:rPr>
      <w:rFonts w:ascii="黑体" w:hAnsi="黑体" w:eastAsia="黑体"/>
      <w:sz w:val="32"/>
      <w:szCs w:val="32"/>
    </w:rPr>
  </w:style>
  <w:style w:type="paragraph" w:styleId="3">
    <w:name w:val="heading 3"/>
    <w:basedOn w:val="1"/>
    <w:next w:val="1"/>
    <w:qFormat/>
    <w:uiPriority w:val="0"/>
    <w:pPr>
      <w:keepNext/>
      <w:snapToGrid w:val="0"/>
      <w:spacing w:line="500" w:lineRule="exact"/>
      <w:jc w:val="left"/>
      <w:outlineLvl w:val="2"/>
    </w:pPr>
    <w:rPr>
      <w:rFonts w:ascii="Times New Roman" w:hAnsi="Times New Roman" w:eastAsia="宋体"/>
      <w:b/>
      <w:bCs/>
      <w:sz w:val="28"/>
      <w:szCs w:val="28"/>
    </w:rPr>
  </w:style>
  <w:style w:type="character" w:default="1" w:styleId="13">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annotation text"/>
    <w:basedOn w:val="1"/>
    <w:unhideWhenUsed/>
    <w:qFormat/>
    <w:uiPriority w:val="99"/>
  </w:style>
  <w:style w:type="paragraph" w:styleId="5">
    <w:name w:val="Body Text"/>
    <w:basedOn w:val="1"/>
    <w:unhideWhenUsed/>
    <w:qFormat/>
    <w:uiPriority w:val="99"/>
    <w:pPr>
      <w:widowControl w:val="0"/>
      <w:autoSpaceDE w:val="0"/>
      <w:autoSpaceDN w:val="0"/>
      <w:spacing w:line="360" w:lineRule="auto"/>
    </w:pPr>
    <w:rPr>
      <w:rFonts w:ascii="宋体" w:hAnsi="宋体" w:eastAsia="宋体" w:cs="宋体"/>
      <w:kern w:val="2"/>
      <w:sz w:val="24"/>
      <w:szCs w:val="24"/>
      <w:lang w:val="en-US" w:eastAsia="zh-CN" w:bidi="ar-SA"/>
    </w:rPr>
  </w:style>
  <w:style w:type="paragraph" w:styleId="6">
    <w:name w:val="Date"/>
    <w:basedOn w:val="1"/>
    <w:next w:val="1"/>
    <w:unhideWhenUsed/>
    <w:qFormat/>
    <w:uiPriority w:val="0"/>
    <w:pPr>
      <w:autoSpaceDE/>
      <w:autoSpaceDN/>
      <w:spacing w:line="240" w:lineRule="auto"/>
      <w:ind w:left="100" w:leftChars="2500"/>
      <w:jc w:val="both"/>
    </w:pPr>
    <w:rPr>
      <w:rFonts w:ascii="Times New Roman" w:hAnsi="Times New Roman" w:cs="Times New Roman"/>
      <w:sz w:val="21"/>
      <w:szCs w:val="24"/>
    </w:rPr>
  </w:style>
  <w:style w:type="paragraph" w:styleId="7">
    <w:name w:val="footer"/>
    <w:basedOn w:val="1"/>
    <w:unhideWhenUsed/>
    <w:qFormat/>
    <w:uiPriority w:val="99"/>
    <w:pPr>
      <w:snapToGrid w:val="0"/>
    </w:pPr>
    <w:rPr>
      <w:rFonts w:ascii="Calibri" w:hAnsi="Calibri"/>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nhideWhenUsed/>
    <w:qFormat/>
    <w:uiPriority w:val="39"/>
    <w:pPr>
      <w:tabs>
        <w:tab w:val="right" w:leader="dot" w:pos="8640"/>
      </w:tabs>
      <w:spacing w:line="520" w:lineRule="exact"/>
      <w:contextualSpacing/>
    </w:pPr>
    <w:rPr>
      <w:rFonts w:ascii="Times New Roman" w:hAnsi="Times New Roman"/>
      <w:b/>
      <w:bCs/>
    </w:rPr>
  </w:style>
  <w:style w:type="paragraph" w:styleId="10">
    <w:name w:val="toc 2"/>
    <w:basedOn w:val="1"/>
    <w:next w:val="1"/>
    <w:unhideWhenUsed/>
    <w:qFormat/>
    <w:uiPriority w:val="39"/>
    <w:pPr>
      <w:spacing w:line="400" w:lineRule="exact"/>
      <w:ind w:left="238"/>
      <w:contextualSpacing/>
    </w:pPr>
    <w:rPr>
      <w:rFonts w:ascii="Times New Roman" w:hAnsi="Times New Roman"/>
      <w:sz w:val="21"/>
      <w:szCs w:val="20"/>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Strong"/>
    <w:basedOn w:val="13"/>
    <w:qFormat/>
    <w:uiPriority w:val="0"/>
    <w:rPr>
      <w:b/>
    </w:rPr>
  </w:style>
  <w:style w:type="character" w:styleId="15">
    <w:name w:val="Hyperlink"/>
    <w:basedOn w:val="13"/>
    <w:unhideWhenUsed/>
    <w:qFormat/>
    <w:uiPriority w:val="99"/>
    <w:rPr>
      <w:color w:val="0563C1"/>
      <w:u w:val="single"/>
    </w:rPr>
  </w:style>
  <w:style w:type="character" w:styleId="16">
    <w:name w:val="annotation reference"/>
    <w:basedOn w:val="13"/>
    <w:unhideWhenUsed/>
    <w:qFormat/>
    <w:uiPriority w:val="99"/>
    <w:rPr>
      <w:sz w:val="21"/>
      <w:szCs w:val="21"/>
    </w:rPr>
  </w:style>
  <w:style w:type="paragraph" w:customStyle="1" w:styleId="17">
    <w:name w:val="TOC 标题1"/>
    <w:basedOn w:val="2"/>
    <w:next w:val="1"/>
    <w:unhideWhenUsed/>
    <w:qFormat/>
    <w:uiPriority w:val="39"/>
    <w:pPr>
      <w:keepNext/>
      <w:keepLines/>
      <w:widowControl/>
      <w:autoSpaceDE/>
      <w:autoSpaceDN/>
      <w:spacing w:before="240" w:beforeLines="0" w:afterLines="0" w:line="259" w:lineRule="auto"/>
      <w:jc w:val="left"/>
      <w:outlineLvl w:val="9"/>
    </w:pPr>
    <w:rPr>
      <w:rFonts w:ascii="Calibri Light" w:hAnsi="Calibri Light" w:eastAsia="宋体" w:cs="Times New Roman"/>
      <w:color w:val="2E75B5"/>
      <w:kern w:val="0"/>
    </w:rPr>
  </w:style>
  <w:style w:type="paragraph" w:customStyle="1" w:styleId="18">
    <w:name w:val="章名alt+1"/>
    <w:basedOn w:val="1"/>
    <w:qFormat/>
    <w:uiPriority w:val="0"/>
    <w:pPr>
      <w:autoSpaceDN/>
      <w:spacing w:line="240" w:lineRule="auto"/>
      <w:ind w:hanging="142"/>
      <w:jc w:val="center"/>
      <w:outlineLvl w:val="0"/>
    </w:pPr>
    <w:rPr>
      <w:rFonts w:ascii="Times New Roman" w:hAnsi="Times New Roman" w:eastAsia="黑体" w:cs="Times New Roman"/>
      <w:b/>
      <w:sz w:val="30"/>
      <w:szCs w:val="30"/>
    </w:rPr>
  </w:style>
  <w:style w:type="paragraph" w:customStyle="1" w:styleId="19">
    <w:name w:val="条名alt+3"/>
    <w:basedOn w:val="5"/>
    <w:qFormat/>
    <w:uiPriority w:val="0"/>
    <w:pPr>
      <w:autoSpaceDE/>
      <w:autoSpaceDN/>
      <w:spacing w:line="400" w:lineRule="atLeast"/>
      <w:jc w:val="both"/>
    </w:pPr>
    <w:rPr>
      <w:rFonts w:ascii="Times New Roman" w:hAnsi="Times New Roman" w:cs="Times New Roman"/>
      <w:bCs/>
    </w:rPr>
  </w:style>
  <w:style w:type="paragraph" w:customStyle="1" w:styleId="20">
    <w:name w:val="节名alt+2"/>
    <w:basedOn w:val="1"/>
    <w:qFormat/>
    <w:uiPriority w:val="0"/>
    <w:pPr>
      <w:autoSpaceDE/>
      <w:autoSpaceDN/>
      <w:spacing w:line="400" w:lineRule="atLeast"/>
      <w:jc w:val="center"/>
      <w:outlineLvl w:val="1"/>
    </w:pPr>
    <w:rPr>
      <w:rFonts w:ascii="Times New Roman" w:hAnsi="Times New Roman" w:eastAsia="黑体" w:cs="Times New Roman"/>
      <w:b/>
      <w:kern w:val="0"/>
      <w:sz w:val="28"/>
    </w:rPr>
  </w:style>
  <w:style w:type="paragraph" w:customStyle="1" w:styleId="21">
    <w:name w:val="款名alt+4"/>
    <w:basedOn w:val="1"/>
    <w:qFormat/>
    <w:uiPriority w:val="0"/>
    <w:pPr>
      <w:autoSpaceDN/>
      <w:spacing w:line="400" w:lineRule="atLeast"/>
      <w:ind w:firstLine="200" w:firstLineChars="200"/>
      <w:jc w:val="both"/>
    </w:pPr>
    <w:rPr>
      <w:rFonts w:ascii="Times New Roman" w:hAnsi="Times New Roman" w:cs="Times New Roman"/>
    </w:rPr>
  </w:style>
  <w:style w:type="paragraph" w:customStyle="1" w:styleId="22">
    <w:name w:val="Table Paragraph"/>
    <w:basedOn w:val="1"/>
    <w:qFormat/>
    <w:uiPriority w:val="1"/>
    <w:pPr>
      <w:ind w:left="103"/>
    </w:pPr>
    <w:rPr>
      <w:rFonts w:ascii="宋体" w:hAnsi="宋体" w:eastAsia="宋体" w:cs="宋体"/>
    </w:rPr>
  </w:style>
  <w:style w:type="paragraph" w:customStyle="1" w:styleId="23">
    <w:name w:val="Table Text"/>
    <w:basedOn w:val="1"/>
    <w:hidden/>
    <w:qFormat/>
    <w:uiPriority w:val="0"/>
    <w:pPr>
      <w:kinsoku w:val="0"/>
      <w:autoSpaceDE w:val="0"/>
      <w:autoSpaceDN w:val="0"/>
      <w:adjustRightInd w:val="0"/>
      <w:snapToGrid w:val="0"/>
      <w:spacing w:before="0" w:beforeAutospacing="0" w:after="0" w:afterAutospacing="0"/>
      <w:ind w:left="0" w:right="0"/>
      <w:jc w:val="left"/>
      <w:textAlignment w:val="baseline"/>
    </w:pPr>
    <w:rPr>
      <w:rFonts w:hint="eastAsia" w:ascii="宋体" w:hAnsi="宋体" w:eastAsia="宋体" w:cs="宋体"/>
      <w:snapToGrid/>
      <w:color w:val="000000"/>
      <w:kern w:val="0"/>
      <w:sz w:val="18"/>
      <w:szCs w:val="18"/>
      <w:lang w:val="en-US" w:eastAsia="zh-CN" w:bidi="ar"/>
    </w:rPr>
  </w:style>
  <w:style w:type="table" w:customStyle="1" w:styleId="24">
    <w:name w:val="Table Normal"/>
    <w:basedOn w:val="12"/>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0" w:type="dxa"/>
        <w:bottom w:w="0" w:type="dxa"/>
        <w:right w:w="0" w:type="dxa"/>
      </w:tblCellMar>
    </w:tblPr>
  </w:style>
  <w:style w:type="paragraph" w:customStyle="1" w:styleId="25">
    <w:name w:val="List Paragraph"/>
    <w:basedOn w:val="1"/>
    <w:qFormat/>
    <w:uiPriority w:val="0"/>
    <w:pPr>
      <w:keepNext w:val="0"/>
      <w:keepLines w:val="0"/>
      <w:widowControl w:val="0"/>
      <w:suppressLineNumbers w:val="0"/>
      <w:autoSpaceDE w:val="0"/>
      <w:autoSpaceDN w:val="0"/>
      <w:spacing w:before="21" w:beforeAutospacing="0" w:after="0" w:afterAutospacing="0"/>
      <w:ind w:left="855" w:right="0" w:hanging="737"/>
      <w:jc w:val="left"/>
    </w:pPr>
    <w:rPr>
      <w:rFonts w:hint="eastAsia" w:ascii="宋体" w:hAnsi="宋体" w:eastAsia="宋体" w:cs="宋体"/>
      <w:kern w:val="0"/>
      <w:sz w:val="22"/>
      <w:szCs w:val="22"/>
      <w:lang w:val="en-US" w:eastAsia="zh-CN" w:bidi="ar"/>
    </w:rPr>
  </w:style>
  <w:style w:type="paragraph" w:customStyle="1" w:styleId="26">
    <w:name w:val="Default"/>
    <w:qFormat/>
    <w:uiPriority w:val="0"/>
    <w:pPr>
      <w:widowControl w:val="0"/>
      <w:autoSpaceDE w:val="0"/>
      <w:autoSpaceDN w:val="0"/>
      <w:adjustRightInd w:val="0"/>
      <w:spacing w:line="360" w:lineRule="auto"/>
    </w:pPr>
    <w:rPr>
      <w:rFonts w:ascii="黑体" w:hAnsi="黑体" w:eastAsia="宋体" w:cs="黑体"/>
      <w:color w:val="000000"/>
      <w:sz w:val="24"/>
      <w:szCs w:val="24"/>
      <w:lang w:val="en-US" w:eastAsia="zh-CN" w:bidi="ar-SA"/>
    </w:rPr>
  </w:style>
  <w:style w:type="character" w:customStyle="1" w:styleId="27">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109</Pages>
  <Words>13394</Words>
  <Characters>14782</Characters>
  <Lines>1</Lines>
  <Paragraphs>1</Paragraphs>
  <TotalTime>93</TotalTime>
  <ScaleCrop>false</ScaleCrop>
  <LinksUpToDate>false</LinksUpToDate>
  <CharactersWithSpaces>15553</CharactersWithSpaces>
  <Application>WPS Office_12.8.2.21549_F1E327BC-269C-435d-A152-05C5408002CA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2025-02-20T16:23:00Z</dcterms:created>
  <dc:creator>Administrator</dc:creator>
  <cp:lastModifiedBy>78164</cp:lastModifiedBy>
  <dcterms:modified xsi:type="dcterms:W3CDTF">2026-01-16T07:30:06Z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2052-12.8.2.21549</vt:lpwstr>
  </property>
  <property fmtid="{D5CDD505-2E9C-101B-9397-08002B2CF9AE}" pid="3" name="KSOTemplateDocerSaveRecord">
    <vt:lpwstr>eyJoZGlkIjoiNDkzMzA5MDFmYTFhMTdiYzNjNGNjN2U2MDEzODg1MjAiLCJ1c2VySWQiOiIxNDg5Mzg4MTYyIn0=</vt:lpwstr>
  </property>
  <property fmtid="{D5CDD505-2E9C-101B-9397-08002B2CF9AE}" pid="4" name="ICV">
    <vt:lpwstr>E0F4951329A4476FBA5A67DCC4B8910A_13</vt:lpwstr>
  </property>
</Properties>
</file>