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708D4">
      <w:pPr>
        <w:overflowPunct w:val="0"/>
        <w:ind w:firstLine="480"/>
        <w:rPr>
          <w:rFonts w:ascii="Times New Roman" w:hAnsi="Times New Roman" w:eastAsia="宋体" w:cs="Times New Roman"/>
          <w:sz w:val="28"/>
          <w:szCs w:val="32"/>
        </w:rPr>
      </w:pPr>
      <w:bookmarkStart w:id="0" w:name="_Hlk194864200"/>
      <w:bookmarkEnd w:id="0"/>
      <w:r>
        <w:rPr>
          <w:rFonts w:ascii="Times New Roman" w:hAnsi="Times New Roman" w:eastAsia="仿宋" w:cs="Times New Roman"/>
          <w:sz w:val="32"/>
          <w:szCs w:val="32"/>
        </w:rPr>
        <w:t xml:space="preserve">  </w:t>
      </w:r>
      <w:bookmarkStart w:id="1" w:name="_MON_1803933186"/>
      <w:bookmarkEnd w:id="1"/>
      <w:r>
        <w:rPr>
          <w:rFonts w:ascii="Times New Roman" w:hAnsi="Times New Roman" w:eastAsia="仿宋" w:cs="Times New Roman"/>
          <w:sz w:val="32"/>
          <w:szCs w:val="32"/>
        </w:rPr>
        <w:object>
          <v:shape id="_x0000_i1025" o:spt="75" type="#_x0000_t75" style="height:52.15pt;width:75.45pt;" o:ole="t" filled="f" o:preferrelative="t" stroked="f" coordsize="21600,21600">
            <v:path/>
            <v:fill on="f" focussize="0,0"/>
            <v:stroke on="f" joinstyle="miter"/>
            <v:imagedata r:id="rId14" o:title=""/>
            <o:lock v:ext="edit" aspectratio="t"/>
            <w10:wrap type="none"/>
            <w10:anchorlock/>
          </v:shape>
          <o:OLEObject Type="Embed" ProgID="Word.Document.12" ShapeID="_x0000_i1025" DrawAspect="Icon" ObjectID="_1468075725" r:id="rId13">
            <o:LockedField>false</o:LockedField>
          </o:OLEObject>
        </w:object>
      </w:r>
      <w:r>
        <w:rPr>
          <w:rFonts w:ascii="Times New Roman" w:hAnsi="Times New Roman" w:eastAsia="宋体" w:cs="Times New Roman"/>
          <w:sz w:val="28"/>
          <w:szCs w:val="32"/>
        </w:rPr>
        <w:drawing>
          <wp:anchor distT="0" distB="0" distL="114300" distR="114300" simplePos="0" relativeHeight="251659264" behindDoc="0" locked="0" layoutInCell="1" allowOverlap="1">
            <wp:simplePos x="0" y="0"/>
            <wp:positionH relativeFrom="column">
              <wp:posOffset>-8255</wp:posOffset>
            </wp:positionH>
            <wp:positionV relativeFrom="paragraph">
              <wp:posOffset>37465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pic:spPr>
                </pic:pic>
              </a:graphicData>
            </a:graphic>
          </wp:anchor>
        </w:drawing>
      </w:r>
    </w:p>
    <w:p w14:paraId="66BA6C54">
      <w:pPr>
        <w:overflowPunct w:val="0"/>
        <w:snapToGrid w:val="0"/>
        <w:ind w:firstLine="482"/>
        <w:jc w:val="left"/>
        <w:rPr>
          <w:rFonts w:ascii="Times New Roman" w:hAnsi="Times New Roman" w:eastAsia="宋体" w:cs="Times New Roman"/>
          <w:b/>
          <w:sz w:val="28"/>
          <w:szCs w:val="32"/>
        </w:rPr>
      </w:pPr>
    </w:p>
    <w:p w14:paraId="6C270E19">
      <w:pPr>
        <w:overflowPunct w:val="0"/>
        <w:snapToGrid w:val="0"/>
        <w:ind w:firstLine="1820" w:firstLineChars="650"/>
        <w:jc w:val="right"/>
        <w:rPr>
          <w:rFonts w:ascii="Times New Roman" w:hAnsi="Times New Roman" w:eastAsia="宋体" w:cs="Times New Roman"/>
          <w:sz w:val="28"/>
          <w:szCs w:val="36"/>
        </w:rPr>
      </w:pPr>
      <w:r>
        <w:rPr>
          <w:rFonts w:ascii="Times New Roman" w:hAnsi="Times New Roman" w:eastAsia="宋体" w:cs="Times New Roman"/>
          <w:sz w:val="28"/>
          <w:szCs w:val="36"/>
        </w:rPr>
        <w:t>T/CECS XXX -202X</w:t>
      </w:r>
    </w:p>
    <w:p w14:paraId="3154B3DE">
      <w:pPr>
        <w:overflowPunct w:val="0"/>
        <w:snapToGrid w:val="0"/>
        <w:ind w:firstLine="1365" w:firstLineChars="650"/>
        <w:jc w:val="right"/>
        <w:rPr>
          <w:rFonts w:ascii="Times New Roman" w:hAnsi="Times New Roman" w:eastAsia="宋体" w:cs="Times New Roman"/>
          <w:sz w:val="28"/>
          <w:szCs w:val="24"/>
        </w:rPr>
      </w:pP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-163830</wp:posOffset>
                </wp:positionH>
                <wp:positionV relativeFrom="paragraph">
                  <wp:posOffset>97155</wp:posOffset>
                </wp:positionV>
                <wp:extent cx="5600700" cy="0"/>
                <wp:effectExtent l="0" t="0" r="0" b="0"/>
                <wp:wrapNone/>
                <wp:docPr id="1" name="直线连接符 1"/>
                <wp:cNvGraphicFramePr/>
                <a:graphic xmlns:a="http://schemas.openxmlformats.org/drawingml/2006/main">
                  <a:graphicData uri="http://schemas.microsoft.com/office/word/2010/wordprocessingShape">
                    <wps:wsp>
                      <wps:cNvCnPr/>
                      <wps:spPr bwMode="auto">
                        <a:xfrm>
                          <a:off x="0" y="0"/>
                          <a:ext cx="5600700" cy="0"/>
                        </a:xfrm>
                        <a:prstGeom prst="line">
                          <a:avLst/>
                        </a:prstGeom>
                        <a:noFill/>
                        <a:ln w="12700">
                          <a:solidFill>
                            <a:srgbClr val="000000"/>
                          </a:solidFill>
                          <a:round/>
                        </a:ln>
                        <a:effectLst/>
                      </wps:spPr>
                      <wps:bodyPr/>
                    </wps:wsp>
                  </a:graphicData>
                </a:graphic>
              </wp:anchor>
            </w:drawing>
          </mc:Choice>
          <mc:Fallback>
            <w:pict>
              <v:line id="直线连接符 1" o:spid="_x0000_s1026" o:spt="20" style="position:absolute;left:0pt;margin-left:-12.9pt;margin-top:7.65pt;height:0pt;width:441pt;z-index:251660288;mso-width-relative:page;mso-height-relative:page;" filled="f" stroked="t" coordsize="21600,21600" o:gfxdata="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etPCI9gAAAAJAQAADwAAAAAAAAABACAAAAAiAAAA&#10;ZHJzL2Rvd25yZXYueG1sUEsBAhQAFAAAAAgAh07iQG4PMmDOAQAAhwMAAA4AAAAAAAAAAQAgAAAA&#10;JwEAAGRycy9lMm9Eb2MueG1sUEsFBgAAAAAGAAYAWQEAAGcFAAAAAA==&#10;">
                <v:fill on="f" focussize="0,0"/>
                <v:stroke weight="1pt" color="#000000" joinstyle="round"/>
                <v:imagedata o:title=""/>
                <o:lock v:ext="edit" aspectratio="f"/>
              </v:line>
            </w:pict>
          </mc:Fallback>
        </mc:AlternateContent>
      </w:r>
    </w:p>
    <w:p w14:paraId="19851CF3">
      <w:pPr>
        <w:tabs>
          <w:tab w:val="left" w:pos="7147"/>
        </w:tabs>
        <w:overflowPunct w:val="0"/>
        <w:snapToGrid w:val="0"/>
        <w:jc w:val="left"/>
        <w:rPr>
          <w:rFonts w:ascii="Times New Roman" w:hAnsi="Times New Roman" w:eastAsia="宋体" w:cs="Times New Roman"/>
          <w:b/>
          <w:sz w:val="44"/>
          <w:szCs w:val="44"/>
        </w:rPr>
      </w:pPr>
    </w:p>
    <w:p w14:paraId="251BE7EE">
      <w:pPr>
        <w:overflowPunct w:val="0"/>
        <w:snapToGrid w:val="0"/>
        <w:jc w:val="center"/>
        <w:rPr>
          <w:rFonts w:ascii="Times New Roman" w:hAnsi="Times New Roman" w:eastAsia="宋体" w:cs="Times New Roman"/>
          <w:b/>
          <w:sz w:val="30"/>
          <w:szCs w:val="30"/>
        </w:rPr>
      </w:pPr>
      <w:r>
        <w:rPr>
          <w:rFonts w:ascii="Times New Roman" w:hAnsi="Times New Roman" w:eastAsia="宋体" w:cs="Times New Roman"/>
          <w:b/>
          <w:sz w:val="30"/>
          <w:szCs w:val="30"/>
        </w:rPr>
        <w:t>中国工程建设标准化协会标准</w:t>
      </w:r>
    </w:p>
    <w:p w14:paraId="3A45CB7C">
      <w:pPr>
        <w:overflowPunct w:val="0"/>
        <w:snapToGrid w:val="0"/>
        <w:jc w:val="center"/>
        <w:rPr>
          <w:rFonts w:hint="eastAsia" w:ascii="Times New Roman" w:hAnsi="Times New Roman" w:eastAsia="宋体" w:cs="Times New Roman"/>
          <w:b/>
          <w:sz w:val="30"/>
          <w:szCs w:val="30"/>
        </w:rPr>
      </w:pPr>
    </w:p>
    <w:p w14:paraId="10C7322F">
      <w:pPr>
        <w:overflowPunct w:val="0"/>
        <w:snapToGrid w:val="0"/>
        <w:jc w:val="center"/>
        <w:rPr>
          <w:rFonts w:hint="eastAsia" w:ascii="Times New Roman" w:hAnsi="Times New Roman" w:eastAsia="宋体" w:cs="Times New Roman"/>
          <w:b/>
          <w:sz w:val="48"/>
          <w:szCs w:val="48"/>
        </w:rPr>
      </w:pPr>
      <w:r>
        <w:rPr>
          <w:rFonts w:hint="eastAsia" w:ascii="Times New Roman" w:hAnsi="Times New Roman" w:eastAsia="宋体" w:cs="Times New Roman"/>
          <w:b/>
          <w:sz w:val="48"/>
          <w:szCs w:val="48"/>
        </w:rPr>
        <w:t>高强度片区使用效能评估与优化指标标准</w:t>
      </w:r>
    </w:p>
    <w:p w14:paraId="7BFB1A2C">
      <w:pPr>
        <w:keepNext w:val="0"/>
        <w:keepLines w:val="0"/>
        <w:pageBreakBefore w:val="0"/>
        <w:widowControl w:val="0"/>
        <w:kinsoku/>
        <w:wordWrap/>
        <w:overflowPunct w:val="0"/>
        <w:topLinePunct w:val="0"/>
        <w:autoSpaceDE/>
        <w:autoSpaceDN/>
        <w:bidi w:val="0"/>
        <w:adjustRightInd/>
        <w:snapToGrid w:val="0"/>
        <w:spacing w:line="360" w:lineRule="auto"/>
        <w:jc w:val="center"/>
        <w:rPr>
          <w:rFonts w:hint="eastAsia" w:ascii="Times New Roman" w:hAnsi="Times New Roman" w:eastAsia="黑体" w:cs="Times New Roman"/>
          <w:sz w:val="48"/>
          <w:szCs w:val="72"/>
        </w:rPr>
      </w:pPr>
      <w:r>
        <w:rPr>
          <w:rFonts w:hint="eastAsia" w:ascii="Times New Roman" w:hAnsi="Times New Roman" w:eastAsia="宋体" w:cs="Times New Roman"/>
          <w:sz w:val="28"/>
          <w:szCs w:val="72"/>
        </w:rPr>
        <w:t>拟更改名称：城市高强度片区使用效能评估标准</w:t>
      </w:r>
    </w:p>
    <w:p w14:paraId="254D8526">
      <w:pPr>
        <w:keepNext w:val="0"/>
        <w:keepLines w:val="0"/>
        <w:pageBreakBefore w:val="0"/>
        <w:widowControl w:val="0"/>
        <w:kinsoku/>
        <w:wordWrap/>
        <w:overflowPunct w:val="0"/>
        <w:topLinePunct w:val="0"/>
        <w:autoSpaceDE/>
        <w:autoSpaceDN/>
        <w:bidi w:val="0"/>
        <w:adjustRightInd/>
        <w:snapToGrid w:val="0"/>
        <w:spacing w:line="360" w:lineRule="auto"/>
        <w:jc w:val="center"/>
        <w:textAlignment w:val="bottom"/>
        <w:rPr>
          <w:rFonts w:ascii="Times New Roman" w:hAnsi="Times New Roman" w:eastAsia="宋体" w:cs="Times New Roman"/>
          <w:sz w:val="28"/>
          <w:szCs w:val="72"/>
        </w:rPr>
      </w:pPr>
      <w:r>
        <w:rPr>
          <w:rFonts w:hint="eastAsia" w:ascii="Times New Roman" w:hAnsi="Times New Roman" w:eastAsia="宋体" w:cs="Times New Roman"/>
          <w:sz w:val="28"/>
          <w:szCs w:val="72"/>
        </w:rPr>
        <w:t xml:space="preserve">Standard for utilization efficiency evaluation </w:t>
      </w:r>
    </w:p>
    <w:p w14:paraId="2DB4F9C1">
      <w:pPr>
        <w:keepNext w:val="0"/>
        <w:keepLines w:val="0"/>
        <w:pageBreakBefore w:val="0"/>
        <w:widowControl w:val="0"/>
        <w:kinsoku/>
        <w:wordWrap/>
        <w:overflowPunct w:val="0"/>
        <w:topLinePunct w:val="0"/>
        <w:autoSpaceDE/>
        <w:autoSpaceDN/>
        <w:bidi w:val="0"/>
        <w:adjustRightInd/>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sz w:val="28"/>
          <w:szCs w:val="72"/>
        </w:rPr>
        <w:t>in urban high-intensity districts</w:t>
      </w:r>
    </w:p>
    <w:p w14:paraId="0F984C72">
      <w:pPr>
        <w:overflowPunct w:val="0"/>
        <w:snapToGrid w:val="0"/>
        <w:jc w:val="center"/>
        <w:rPr>
          <w:rFonts w:ascii="Times New Roman" w:hAnsi="Times New Roman" w:eastAsia="宋体" w:cs="Times New Roman"/>
          <w:sz w:val="28"/>
          <w:szCs w:val="72"/>
        </w:rPr>
      </w:pPr>
    </w:p>
    <w:p w14:paraId="658B72D4">
      <w:pPr>
        <w:overflowPunct w:val="0"/>
        <w:snapToGrid w:val="0"/>
        <w:spacing w:line="300" w:lineRule="auto"/>
        <w:jc w:val="center"/>
        <w:textAlignment w:val="bottom"/>
        <w:rPr>
          <w:rFonts w:ascii="Times New Roman" w:hAnsi="Times New Roman" w:eastAsia="宋体" w:cs="Times New Roman"/>
          <w:sz w:val="32"/>
          <w:szCs w:val="72"/>
        </w:rPr>
      </w:pPr>
      <w:r>
        <w:rPr>
          <w:rFonts w:ascii="Times New Roman" w:hAnsi="Times New Roman" w:eastAsia="宋体" w:cs="Times New Roman"/>
          <w:sz w:val="32"/>
          <w:szCs w:val="72"/>
        </w:rPr>
        <w:t>（</w:t>
      </w:r>
      <w:r>
        <w:rPr>
          <w:rFonts w:hint="eastAsia" w:ascii="Times New Roman" w:hAnsi="Times New Roman" w:eastAsia="宋体" w:cs="Times New Roman"/>
          <w:sz w:val="32"/>
          <w:szCs w:val="72"/>
        </w:rPr>
        <w:t>征求意见</w:t>
      </w:r>
      <w:r>
        <w:rPr>
          <w:rFonts w:ascii="Times New Roman" w:hAnsi="Times New Roman" w:eastAsia="宋体" w:cs="Times New Roman"/>
          <w:sz w:val="32"/>
          <w:szCs w:val="72"/>
        </w:rPr>
        <w:t>稿）</w:t>
      </w:r>
    </w:p>
    <w:p w14:paraId="6138E90E">
      <w:pPr>
        <w:overflowPunct w:val="0"/>
        <w:snapToGrid w:val="0"/>
        <w:spacing w:line="300" w:lineRule="auto"/>
        <w:jc w:val="center"/>
        <w:textAlignment w:val="bottom"/>
        <w:rPr>
          <w:rFonts w:ascii="Times New Roman" w:hAnsi="Times New Roman" w:eastAsia="宋体" w:cs="Times New Roman"/>
          <w:b/>
          <w:sz w:val="28"/>
          <w:szCs w:val="28"/>
        </w:rPr>
      </w:pPr>
    </w:p>
    <w:p w14:paraId="5F51B991">
      <w:pPr>
        <w:overflowPunct w:val="0"/>
        <w:snapToGrid w:val="0"/>
        <w:spacing w:line="300" w:lineRule="auto"/>
        <w:jc w:val="center"/>
        <w:textAlignment w:val="bottom"/>
        <w:rPr>
          <w:rFonts w:ascii="Times New Roman" w:hAnsi="Times New Roman" w:eastAsia="宋体" w:cs="Times New Roman"/>
          <w:b/>
          <w:sz w:val="28"/>
          <w:szCs w:val="28"/>
        </w:rPr>
      </w:pPr>
    </w:p>
    <w:p w14:paraId="5D48D6B3">
      <w:pPr>
        <w:overflowPunct w:val="0"/>
        <w:snapToGrid w:val="0"/>
        <w:spacing w:line="300" w:lineRule="auto"/>
        <w:jc w:val="center"/>
        <w:textAlignment w:val="bottom"/>
        <w:rPr>
          <w:rFonts w:ascii="Times New Roman" w:hAnsi="Times New Roman" w:eastAsia="宋体" w:cs="Times New Roman"/>
          <w:b/>
          <w:sz w:val="28"/>
          <w:szCs w:val="28"/>
        </w:rPr>
      </w:pPr>
    </w:p>
    <w:p w14:paraId="4E6187DD">
      <w:pPr>
        <w:overflowPunct w:val="0"/>
        <w:snapToGrid w:val="0"/>
        <w:spacing w:line="300" w:lineRule="auto"/>
        <w:jc w:val="center"/>
        <w:textAlignment w:val="bottom"/>
        <w:rPr>
          <w:rFonts w:ascii="Times New Roman" w:hAnsi="Times New Roman" w:eastAsia="宋体" w:cs="Times New Roman"/>
          <w:b/>
          <w:sz w:val="28"/>
          <w:szCs w:val="28"/>
        </w:rPr>
      </w:pPr>
    </w:p>
    <w:p w14:paraId="0EA60646">
      <w:pPr>
        <w:overflowPunct w:val="0"/>
        <w:snapToGrid w:val="0"/>
        <w:spacing w:line="300" w:lineRule="auto"/>
        <w:jc w:val="center"/>
        <w:textAlignment w:val="bottom"/>
        <w:rPr>
          <w:rFonts w:ascii="Times New Roman" w:hAnsi="Times New Roman" w:eastAsia="宋体" w:cs="Times New Roman"/>
          <w:b/>
          <w:sz w:val="28"/>
          <w:szCs w:val="28"/>
        </w:rPr>
      </w:pPr>
    </w:p>
    <w:p w14:paraId="124B6EDE">
      <w:pPr>
        <w:overflowPunct w:val="0"/>
        <w:snapToGrid w:val="0"/>
        <w:spacing w:line="300" w:lineRule="auto"/>
        <w:jc w:val="center"/>
        <w:textAlignment w:val="bottom"/>
        <w:rPr>
          <w:rFonts w:ascii="Times New Roman" w:hAnsi="Times New Roman" w:eastAsia="宋体" w:cs="Times New Roman"/>
          <w:b/>
          <w:sz w:val="28"/>
          <w:szCs w:val="28"/>
        </w:rPr>
      </w:pPr>
    </w:p>
    <w:p w14:paraId="6FC173BD">
      <w:pPr>
        <w:overflowPunct w:val="0"/>
        <w:snapToGrid w:val="0"/>
        <w:spacing w:line="300" w:lineRule="auto"/>
        <w:jc w:val="center"/>
        <w:textAlignment w:val="bottom"/>
        <w:rPr>
          <w:rFonts w:ascii="Times New Roman" w:hAnsi="Times New Roman" w:eastAsia="宋体" w:cs="Times New Roman"/>
          <w:b/>
          <w:sz w:val="28"/>
          <w:szCs w:val="28"/>
        </w:rPr>
      </w:pPr>
    </w:p>
    <w:p w14:paraId="5C6CA8D3">
      <w:pPr>
        <w:overflowPunct w:val="0"/>
        <w:snapToGrid w:val="0"/>
        <w:spacing w:line="300" w:lineRule="auto"/>
        <w:jc w:val="center"/>
        <w:textAlignment w:val="bottom"/>
        <w:rPr>
          <w:rFonts w:ascii="Times New Roman" w:hAnsi="Times New Roman" w:eastAsia="宋体" w:cs="Times New Roman"/>
          <w:b/>
          <w:sz w:val="28"/>
          <w:szCs w:val="28"/>
        </w:rPr>
      </w:pPr>
    </w:p>
    <w:p w14:paraId="0FF5666E">
      <w:pPr>
        <w:overflowPunct w:val="0"/>
        <w:snapToGrid w:val="0"/>
        <w:spacing w:line="300" w:lineRule="auto"/>
        <w:jc w:val="both"/>
        <w:textAlignment w:val="bottom"/>
        <w:rPr>
          <w:rFonts w:ascii="Times New Roman" w:hAnsi="Times New Roman" w:eastAsia="宋体" w:cs="Times New Roman"/>
          <w:b/>
          <w:sz w:val="28"/>
          <w:szCs w:val="28"/>
        </w:rPr>
      </w:pPr>
    </w:p>
    <w:p w14:paraId="35CFEB34">
      <w:pPr>
        <w:overflowPunct w:val="0"/>
        <w:snapToGrid w:val="0"/>
        <w:spacing w:line="300" w:lineRule="auto"/>
        <w:jc w:val="center"/>
        <w:textAlignment w:val="bottom"/>
        <w:rPr>
          <w:rFonts w:ascii="Times New Roman" w:hAnsi="Times New Roman" w:eastAsia="宋体" w:cs="Times New Roman"/>
          <w:b/>
          <w:sz w:val="28"/>
          <w:szCs w:val="28"/>
        </w:rPr>
      </w:pPr>
    </w:p>
    <w:p w14:paraId="2A2A9096">
      <w:pPr>
        <w:overflowPunct w:val="0"/>
        <w:snapToGrid w:val="0"/>
        <w:spacing w:line="300" w:lineRule="auto"/>
        <w:jc w:val="center"/>
        <w:textAlignment w:val="bottom"/>
        <w:rPr>
          <w:rFonts w:ascii="Times New Roman" w:hAnsi="Times New Roman" w:eastAsia="宋体" w:cs="Times New Roman"/>
          <w:b/>
          <w:sz w:val="28"/>
          <w:szCs w:val="28"/>
        </w:rPr>
      </w:pPr>
    </w:p>
    <w:p w14:paraId="5E8A4BBD">
      <w:pPr>
        <w:keepNext w:val="0"/>
        <w:keepLines w:val="0"/>
        <w:widowControl/>
        <w:suppressLineNumbers w:val="0"/>
        <w:jc w:val="center"/>
      </w:pPr>
      <w:r>
        <w:rPr>
          <w:rFonts w:ascii="黑体" w:hAnsi="宋体" w:eastAsia="黑体" w:cs="黑体"/>
          <w:color w:val="000000"/>
          <w:kern w:val="0"/>
          <w:sz w:val="30"/>
          <w:szCs w:val="30"/>
          <w:lang w:val="en-US" w:eastAsia="zh-CN" w:bidi="ar"/>
        </w:rPr>
        <w:t>中国工程建设标准化协会</w:t>
      </w:r>
    </w:p>
    <w:p w14:paraId="6C787E8A">
      <w:pPr>
        <w:overflowPunct w:val="0"/>
        <w:snapToGrid w:val="0"/>
        <w:spacing w:line="300" w:lineRule="auto"/>
        <w:jc w:val="center"/>
        <w:textAlignment w:val="bottom"/>
        <w:rPr>
          <w:rFonts w:ascii="Times New Roman" w:hAnsi="Times New Roman" w:eastAsia="宋体" w:cs="Times New Roman"/>
          <w:b/>
          <w:sz w:val="28"/>
          <w:szCs w:val="28"/>
        </w:rPr>
      </w:pPr>
    </w:p>
    <w:p w14:paraId="286486C2">
      <w:pPr>
        <w:overflowPunct w:val="0"/>
        <w:snapToGrid w:val="0"/>
        <w:spacing w:line="300" w:lineRule="auto"/>
        <w:jc w:val="center"/>
        <w:textAlignment w:val="bottom"/>
        <w:rPr>
          <w:rFonts w:ascii="Times New Roman" w:hAnsi="Times New Roman" w:eastAsia="宋体" w:cs="Times New Roman"/>
          <w:b/>
          <w:sz w:val="28"/>
          <w:szCs w:val="28"/>
        </w:rPr>
      </w:pPr>
    </w:p>
    <w:p w14:paraId="7950BF1F">
      <w:pPr>
        <w:overflowPunct w:val="0"/>
        <w:snapToGrid w:val="0"/>
        <w:spacing w:line="300" w:lineRule="auto"/>
        <w:jc w:val="center"/>
        <w:textAlignment w:val="bottom"/>
        <w:rPr>
          <w:rFonts w:ascii="Times New Roman" w:hAnsi="Times New Roman" w:eastAsia="宋体" w:cs="Times New Roman"/>
          <w:b/>
          <w:sz w:val="28"/>
          <w:szCs w:val="28"/>
        </w:rPr>
      </w:pPr>
    </w:p>
    <w:p w14:paraId="5A6E5253">
      <w:pPr>
        <w:widowControl/>
        <w:overflowPunct w:val="0"/>
        <w:jc w:val="left"/>
        <w:rPr>
          <w:rFonts w:ascii="Times New Roman" w:hAnsi="Times New Roman" w:eastAsia="宋体" w:cs="Times New Roman"/>
          <w:szCs w:val="24"/>
        </w:rPr>
      </w:pPr>
      <w:r>
        <w:rPr>
          <w:rFonts w:ascii="Times New Roman" w:hAnsi="Times New Roman" w:eastAsia="仿宋" w:cs="Times New Roman"/>
          <w:sz w:val="32"/>
          <w:szCs w:val="32"/>
        </w:rPr>
        <w:br w:type="page"/>
      </w:r>
    </w:p>
    <w:p w14:paraId="3A586096">
      <w:pPr>
        <w:widowControl/>
        <w:overflowPunct w:val="0"/>
        <w:jc w:val="left"/>
        <w:rPr>
          <w:rFonts w:ascii="Times New Roman" w:hAnsi="Times New Roman" w:eastAsia="宋体" w:cs="Times New Roman"/>
          <w:szCs w:val="24"/>
        </w:rPr>
      </w:pPr>
    </w:p>
    <w:p w14:paraId="0A034E10">
      <w:pPr>
        <w:overflowPunct w:val="0"/>
        <w:snapToGrid w:val="0"/>
        <w:jc w:val="center"/>
        <w:rPr>
          <w:rFonts w:ascii="Times New Roman" w:hAnsi="Times New Roman" w:eastAsia="宋体" w:cs="Times New Roman"/>
          <w:b/>
          <w:sz w:val="48"/>
          <w:szCs w:val="48"/>
        </w:rPr>
      </w:pPr>
    </w:p>
    <w:p w14:paraId="1B8A7C48">
      <w:pPr>
        <w:overflowPunct w:val="0"/>
        <w:snapToGrid w:val="0"/>
        <w:jc w:val="center"/>
        <w:rPr>
          <w:rFonts w:ascii="Times New Roman" w:hAnsi="Times New Roman" w:eastAsia="宋体" w:cs="Times New Roman"/>
          <w:b/>
          <w:sz w:val="48"/>
          <w:szCs w:val="48"/>
        </w:rPr>
      </w:pPr>
    </w:p>
    <w:p w14:paraId="2ACE85AA">
      <w:pPr>
        <w:overflowPunct w:val="0"/>
        <w:snapToGrid w:val="0"/>
        <w:jc w:val="center"/>
        <w:rPr>
          <w:rFonts w:ascii="Times New Roman" w:hAnsi="Times New Roman" w:eastAsia="宋体" w:cs="Times New Roman"/>
          <w:b/>
          <w:sz w:val="48"/>
          <w:szCs w:val="48"/>
        </w:rPr>
      </w:pPr>
    </w:p>
    <w:p w14:paraId="4B63A890">
      <w:pPr>
        <w:overflowPunct w:val="0"/>
        <w:snapToGrid w:val="0"/>
        <w:jc w:val="center"/>
        <w:rPr>
          <w:rFonts w:ascii="Times New Roman" w:hAnsi="Times New Roman" w:eastAsia="宋体" w:cs="Times New Roman"/>
          <w:b/>
          <w:sz w:val="30"/>
          <w:szCs w:val="30"/>
        </w:rPr>
      </w:pPr>
      <w:r>
        <w:rPr>
          <w:rFonts w:ascii="Times New Roman" w:hAnsi="Times New Roman" w:eastAsia="宋体" w:cs="Times New Roman"/>
          <w:b/>
          <w:sz w:val="30"/>
          <w:szCs w:val="30"/>
        </w:rPr>
        <w:t>中国工程建设标准化协会标准</w:t>
      </w:r>
    </w:p>
    <w:p w14:paraId="49466D4F">
      <w:pPr>
        <w:overflowPunct w:val="0"/>
        <w:snapToGrid w:val="0"/>
        <w:jc w:val="center"/>
        <w:rPr>
          <w:rFonts w:ascii="Times New Roman" w:hAnsi="Times New Roman" w:eastAsia="宋体" w:cs="Times New Roman"/>
          <w:sz w:val="36"/>
          <w:szCs w:val="36"/>
        </w:rPr>
      </w:pPr>
    </w:p>
    <w:p w14:paraId="694B6B01">
      <w:pPr>
        <w:overflowPunct w:val="0"/>
        <w:snapToGrid w:val="0"/>
        <w:jc w:val="center"/>
        <w:rPr>
          <w:rFonts w:hint="eastAsia" w:ascii="Times New Roman" w:hAnsi="Times New Roman" w:eastAsia="宋体" w:cs="Times New Roman"/>
          <w:b/>
          <w:sz w:val="48"/>
          <w:szCs w:val="48"/>
        </w:rPr>
      </w:pPr>
      <w:r>
        <w:rPr>
          <w:rFonts w:hint="eastAsia" w:ascii="Times New Roman" w:hAnsi="Times New Roman" w:eastAsia="宋体" w:cs="Times New Roman"/>
          <w:b/>
          <w:sz w:val="48"/>
          <w:szCs w:val="48"/>
        </w:rPr>
        <w:t>高强度片区使用效能评估与优化指标标准</w:t>
      </w:r>
    </w:p>
    <w:p w14:paraId="2AC9D3A1">
      <w:pPr>
        <w:keepNext w:val="0"/>
        <w:keepLines w:val="0"/>
        <w:pageBreakBefore w:val="0"/>
        <w:widowControl w:val="0"/>
        <w:kinsoku/>
        <w:wordWrap/>
        <w:overflowPunct w:val="0"/>
        <w:topLinePunct w:val="0"/>
        <w:autoSpaceDE/>
        <w:autoSpaceDN/>
        <w:bidi w:val="0"/>
        <w:adjustRightInd/>
        <w:snapToGrid w:val="0"/>
        <w:spacing w:line="360" w:lineRule="auto"/>
        <w:jc w:val="center"/>
        <w:rPr>
          <w:rFonts w:ascii="Times New Roman" w:hAnsi="Times New Roman" w:eastAsia="宋体" w:cs="Times New Roman"/>
          <w:sz w:val="28"/>
          <w:szCs w:val="72"/>
        </w:rPr>
      </w:pPr>
      <w:r>
        <w:rPr>
          <w:rFonts w:hint="eastAsia" w:ascii="Times New Roman" w:hAnsi="Times New Roman" w:eastAsia="宋体" w:cs="Times New Roman"/>
          <w:sz w:val="28"/>
          <w:szCs w:val="72"/>
        </w:rPr>
        <w:t>拟更改名称：城市高强度片区使用效能评估标准</w:t>
      </w:r>
    </w:p>
    <w:p w14:paraId="0B3FDE74">
      <w:pPr>
        <w:keepNext w:val="0"/>
        <w:keepLines w:val="0"/>
        <w:pageBreakBefore w:val="0"/>
        <w:widowControl w:val="0"/>
        <w:kinsoku/>
        <w:wordWrap/>
        <w:overflowPunct w:val="0"/>
        <w:topLinePunct w:val="0"/>
        <w:autoSpaceDE/>
        <w:autoSpaceDN/>
        <w:bidi w:val="0"/>
        <w:adjustRightInd/>
        <w:snapToGrid w:val="0"/>
        <w:spacing w:line="360" w:lineRule="auto"/>
        <w:jc w:val="center"/>
        <w:textAlignment w:val="bottom"/>
        <w:rPr>
          <w:rFonts w:ascii="Times New Roman" w:hAnsi="Times New Roman" w:eastAsia="宋体" w:cs="Times New Roman"/>
          <w:sz w:val="28"/>
          <w:szCs w:val="72"/>
        </w:rPr>
      </w:pPr>
      <w:bookmarkStart w:id="2" w:name="_Toc7027037"/>
      <w:r>
        <w:rPr>
          <w:rFonts w:hint="eastAsia" w:ascii="Times New Roman" w:hAnsi="Times New Roman" w:eastAsia="宋体" w:cs="Times New Roman"/>
          <w:sz w:val="28"/>
          <w:szCs w:val="72"/>
        </w:rPr>
        <w:t xml:space="preserve">Standard for utilization efficiency evaluation </w:t>
      </w:r>
    </w:p>
    <w:p w14:paraId="1652BE74">
      <w:pPr>
        <w:keepNext w:val="0"/>
        <w:keepLines w:val="0"/>
        <w:pageBreakBefore w:val="0"/>
        <w:widowControl w:val="0"/>
        <w:kinsoku/>
        <w:wordWrap/>
        <w:overflowPunct w:val="0"/>
        <w:topLinePunct w:val="0"/>
        <w:autoSpaceDE/>
        <w:autoSpaceDN/>
        <w:bidi w:val="0"/>
        <w:adjustRightInd/>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sz w:val="28"/>
          <w:szCs w:val="72"/>
        </w:rPr>
        <w:t>in urban high-intensity districts</w:t>
      </w:r>
    </w:p>
    <w:p w14:paraId="35F6BAC6">
      <w:pPr>
        <w:overflowPunct w:val="0"/>
        <w:spacing w:line="400" w:lineRule="atLeast"/>
        <w:jc w:val="center"/>
        <w:rPr>
          <w:rFonts w:ascii="Times New Roman" w:hAnsi="Times New Roman" w:eastAsia="宋体" w:cs="Times New Roman"/>
          <w:b/>
          <w:sz w:val="24"/>
          <w:szCs w:val="28"/>
        </w:rPr>
      </w:pPr>
      <w:r>
        <w:rPr>
          <w:rFonts w:ascii="Times New Roman" w:hAnsi="Times New Roman" w:eastAsia="宋体" w:cs="Times New Roman"/>
          <w:b/>
          <w:sz w:val="24"/>
          <w:szCs w:val="28"/>
        </w:rPr>
        <w:t>T/CECS *** -202X</w:t>
      </w:r>
      <w:bookmarkEnd w:id="2"/>
    </w:p>
    <w:p w14:paraId="55680FFA">
      <w:pPr>
        <w:overflowPunct w:val="0"/>
        <w:ind w:firstLine="426"/>
        <w:jc w:val="center"/>
        <w:rPr>
          <w:rFonts w:ascii="Times New Roman" w:hAnsi="Times New Roman" w:eastAsia="宋体" w:cs="Times New Roman"/>
          <w:szCs w:val="24"/>
        </w:rPr>
      </w:pPr>
    </w:p>
    <w:p w14:paraId="0E7195D6">
      <w:pPr>
        <w:overflowPunct w:val="0"/>
        <w:ind w:firstLine="426"/>
        <w:jc w:val="center"/>
        <w:rPr>
          <w:rFonts w:ascii="Times New Roman" w:hAnsi="Times New Roman" w:eastAsia="宋体" w:cs="Times New Roman"/>
          <w:szCs w:val="24"/>
        </w:rPr>
      </w:pPr>
    </w:p>
    <w:p w14:paraId="56AFA03A">
      <w:pPr>
        <w:overflowPunct w:val="0"/>
        <w:snapToGrid w:val="0"/>
        <w:spacing w:line="360" w:lineRule="auto"/>
        <w:ind w:left="1890" w:leftChars="900"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主编单位：</w:t>
      </w:r>
      <w:r>
        <w:rPr>
          <w:rFonts w:hint="eastAsia" w:ascii="Times New Roman" w:hAnsi="Times New Roman" w:eastAsia="宋体" w:cs="Times New Roman"/>
          <w:sz w:val="24"/>
          <w:szCs w:val="24"/>
        </w:rPr>
        <w:t>东南大学</w:t>
      </w:r>
    </w:p>
    <w:p w14:paraId="24E8B4B1">
      <w:pPr>
        <w:overflowPunct w:val="0"/>
        <w:snapToGrid w:val="0"/>
        <w:spacing w:line="360" w:lineRule="auto"/>
        <w:ind w:left="1890" w:leftChars="900"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批准单位：中国工程建设标准化协会</w:t>
      </w:r>
    </w:p>
    <w:p w14:paraId="7BF6CD53">
      <w:pPr>
        <w:overflowPunct w:val="0"/>
        <w:snapToGrid w:val="0"/>
        <w:spacing w:line="360" w:lineRule="auto"/>
        <w:ind w:left="1890" w:leftChars="900"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施行日期：</w:t>
      </w:r>
      <w:r>
        <w:rPr>
          <w:rFonts w:ascii="Times New Roman" w:hAnsi="Times New Roman" w:eastAsia="宋体" w:cs="Times New Roman"/>
          <w:sz w:val="24"/>
          <w:szCs w:val="24"/>
        </w:rPr>
        <w:t xml:space="preserve">202X </w:t>
      </w:r>
      <w:r>
        <w:rPr>
          <w:rFonts w:hint="eastAsia" w:ascii="Times New Roman" w:hAnsi="Times New Roman" w:eastAsia="宋体" w:cs="Times New Roman"/>
          <w:sz w:val="24"/>
          <w:szCs w:val="24"/>
        </w:rPr>
        <w:t>年</w:t>
      </w:r>
      <w:r>
        <w:rPr>
          <w:rFonts w:ascii="Times New Roman" w:hAnsi="Times New Roman" w:eastAsia="宋体" w:cs="Times New Roman"/>
          <w:sz w:val="24"/>
          <w:szCs w:val="24"/>
        </w:rPr>
        <w:t>××</w:t>
      </w:r>
      <w:r>
        <w:rPr>
          <w:rFonts w:hint="eastAsia" w:ascii="Times New Roman" w:hAnsi="Times New Roman" w:eastAsia="宋体" w:cs="Times New Roman"/>
          <w:sz w:val="24"/>
          <w:szCs w:val="24"/>
        </w:rPr>
        <w:t>月</w:t>
      </w:r>
      <w:r>
        <w:rPr>
          <w:rFonts w:ascii="Times New Roman" w:hAnsi="Times New Roman" w:eastAsia="宋体" w:cs="Times New Roman"/>
          <w:sz w:val="24"/>
          <w:szCs w:val="24"/>
        </w:rPr>
        <w:t>××</w:t>
      </w:r>
      <w:r>
        <w:rPr>
          <w:rFonts w:hint="eastAsia" w:ascii="Times New Roman" w:hAnsi="Times New Roman" w:eastAsia="宋体" w:cs="Times New Roman"/>
          <w:sz w:val="24"/>
          <w:szCs w:val="24"/>
        </w:rPr>
        <w:t>日</w:t>
      </w:r>
    </w:p>
    <w:p w14:paraId="1439BFB1">
      <w:pPr>
        <w:overflowPunct w:val="0"/>
        <w:ind w:firstLine="426"/>
        <w:jc w:val="center"/>
        <w:rPr>
          <w:rFonts w:ascii="Times New Roman" w:hAnsi="Times New Roman" w:eastAsia="宋体" w:cs="Times New Roman"/>
          <w:szCs w:val="24"/>
        </w:rPr>
      </w:pPr>
    </w:p>
    <w:p w14:paraId="067BA2ED">
      <w:pPr>
        <w:overflowPunct w:val="0"/>
        <w:ind w:firstLine="426"/>
        <w:jc w:val="center"/>
        <w:rPr>
          <w:rFonts w:ascii="Times New Roman" w:hAnsi="Times New Roman" w:eastAsia="宋体" w:cs="Times New Roman"/>
          <w:szCs w:val="24"/>
        </w:rPr>
      </w:pPr>
    </w:p>
    <w:p w14:paraId="5026055C">
      <w:pPr>
        <w:overflowPunct w:val="0"/>
        <w:ind w:firstLine="426"/>
        <w:jc w:val="center"/>
        <w:rPr>
          <w:rFonts w:ascii="Times New Roman" w:hAnsi="Times New Roman" w:eastAsia="宋体" w:cs="Times New Roman"/>
          <w:szCs w:val="24"/>
        </w:rPr>
      </w:pPr>
    </w:p>
    <w:p w14:paraId="5DA87B27">
      <w:pPr>
        <w:overflowPunct w:val="0"/>
        <w:ind w:firstLine="426"/>
        <w:jc w:val="center"/>
        <w:rPr>
          <w:rFonts w:ascii="Times New Roman" w:hAnsi="Times New Roman" w:eastAsia="宋体" w:cs="Times New Roman"/>
          <w:szCs w:val="24"/>
        </w:rPr>
      </w:pPr>
    </w:p>
    <w:p w14:paraId="2389741E">
      <w:pPr>
        <w:overflowPunct w:val="0"/>
        <w:jc w:val="center"/>
        <w:rPr>
          <w:rFonts w:ascii="Times New Roman" w:hAnsi="Times New Roman" w:eastAsia="宋体" w:cs="Times New Roman"/>
          <w:szCs w:val="24"/>
        </w:rPr>
      </w:pPr>
    </w:p>
    <w:p w14:paraId="6B385A6B">
      <w:pPr>
        <w:overflowPunct w:val="0"/>
        <w:jc w:val="center"/>
        <w:rPr>
          <w:rFonts w:ascii="Times New Roman" w:hAnsi="Times New Roman" w:eastAsia="宋体" w:cs="Times New Roman"/>
          <w:szCs w:val="24"/>
        </w:rPr>
      </w:pPr>
    </w:p>
    <w:p w14:paraId="6BF1AB90">
      <w:pPr>
        <w:overflowPunct w:val="0"/>
        <w:jc w:val="center"/>
        <w:rPr>
          <w:rFonts w:ascii="Times New Roman" w:hAnsi="Times New Roman" w:eastAsia="宋体" w:cs="Times New Roman"/>
          <w:sz w:val="24"/>
          <w:szCs w:val="24"/>
        </w:rPr>
      </w:pPr>
    </w:p>
    <w:p w14:paraId="314F9459">
      <w:pPr>
        <w:overflowPunct w:val="0"/>
        <w:snapToGrid w:val="0"/>
        <w:spacing w:line="360" w:lineRule="auto"/>
        <w:jc w:val="center"/>
        <w:textAlignment w:val="bottom"/>
        <w:rPr>
          <w:rFonts w:hint="eastAsia" w:ascii="黑体" w:hAnsi="黑体" w:eastAsia="黑体" w:cs="Times New Roman"/>
          <w:sz w:val="24"/>
          <w:szCs w:val="24"/>
        </w:rPr>
      </w:pPr>
    </w:p>
    <w:p w14:paraId="36ED7A82">
      <w:pPr>
        <w:overflowPunct w:val="0"/>
        <w:snapToGrid w:val="0"/>
        <w:spacing w:line="360" w:lineRule="auto"/>
        <w:jc w:val="center"/>
        <w:textAlignment w:val="bottom"/>
        <w:rPr>
          <w:rFonts w:hint="eastAsia" w:ascii="黑体" w:hAnsi="黑体" w:eastAsia="黑体" w:cs="Times New Roman"/>
          <w:sz w:val="24"/>
          <w:szCs w:val="24"/>
        </w:rPr>
      </w:pPr>
    </w:p>
    <w:p w14:paraId="2303AEF2">
      <w:pPr>
        <w:overflowPunct w:val="0"/>
        <w:snapToGrid w:val="0"/>
        <w:spacing w:line="360" w:lineRule="auto"/>
        <w:jc w:val="center"/>
        <w:textAlignment w:val="bottom"/>
        <w:rPr>
          <w:rFonts w:hint="eastAsia" w:ascii="黑体" w:hAnsi="黑体" w:eastAsia="黑体" w:cs="Times New Roman"/>
          <w:sz w:val="24"/>
          <w:szCs w:val="24"/>
        </w:rPr>
      </w:pPr>
    </w:p>
    <w:p w14:paraId="55B038A4">
      <w:pPr>
        <w:overflowPunct w:val="0"/>
        <w:spacing w:line="400" w:lineRule="atLeast"/>
        <w:jc w:val="center"/>
        <w:rPr>
          <w:rFonts w:ascii="Times New Roman" w:hAnsi="Times New Roman" w:eastAsia="黑体" w:cs="Times New Roman"/>
          <w:bCs/>
          <w:sz w:val="30"/>
          <w:szCs w:val="30"/>
        </w:rPr>
      </w:pPr>
      <w:r>
        <w:rPr>
          <w:rFonts w:ascii="Times New Roman" w:hAnsi="Times New Roman" w:eastAsia="黑体" w:cs="Times New Roman"/>
          <w:bCs/>
          <w:sz w:val="30"/>
          <w:szCs w:val="30"/>
        </w:rPr>
        <w:t>中国工程建设标准化协会</w:t>
      </w:r>
    </w:p>
    <w:p w14:paraId="4D050C28">
      <w:pPr>
        <w:overflowPunct w:val="0"/>
        <w:spacing w:line="400" w:lineRule="atLeast"/>
        <w:jc w:val="center"/>
        <w:rPr>
          <w:rFonts w:ascii="Times New Roman" w:hAnsi="Times New Roman" w:eastAsia="黑体" w:cs="Times New Roman"/>
          <w:bCs/>
          <w:sz w:val="30"/>
          <w:szCs w:val="30"/>
        </w:rPr>
      </w:pPr>
      <w:r>
        <w:rPr>
          <w:rFonts w:hint="eastAsia" w:ascii="Times New Roman" w:hAnsi="Times New Roman" w:eastAsia="黑体" w:cs="Times New Roman"/>
          <w:bCs/>
          <w:sz w:val="30"/>
          <w:szCs w:val="30"/>
        </w:rPr>
        <w:t>202* 南京</w:t>
      </w:r>
    </w:p>
    <w:p w14:paraId="674CCE15">
      <w:pPr>
        <w:rPr>
          <w:rFonts w:ascii="Times New Roman" w:hAnsi="Times New Roman" w:eastAsia="宋体" w:cs="Times New Roman"/>
          <w:sz w:val="24"/>
          <w:szCs w:val="24"/>
        </w:rPr>
      </w:pPr>
      <w:bookmarkStart w:id="81" w:name="_GoBack"/>
      <w:bookmarkEnd w:id="81"/>
    </w:p>
    <w:p w14:paraId="1304FE7F">
      <w:pPr>
        <w:widowControl/>
        <w:overflowPunct w:val="0"/>
        <w:jc w:val="left"/>
        <w:rPr>
          <w:rFonts w:ascii="Times New Roman" w:hAnsi="Times New Roman" w:eastAsia="宋体" w:cs="Times New Roman"/>
          <w:sz w:val="24"/>
          <w:szCs w:val="24"/>
        </w:rPr>
      </w:pPr>
    </w:p>
    <w:p w14:paraId="53CFAFE0">
      <w:pPr>
        <w:overflowPunct w:val="0"/>
        <w:spacing w:line="360" w:lineRule="auto"/>
        <w:jc w:val="center"/>
        <w:rPr>
          <w:rFonts w:ascii="Times New Roman" w:hAnsi="Times New Roman" w:eastAsia="黑体" w:cs="Times New Roman"/>
          <w:bCs/>
          <w:sz w:val="32"/>
          <w:szCs w:val="32"/>
        </w:rPr>
      </w:pPr>
      <w:r>
        <w:rPr>
          <w:rFonts w:ascii="Times New Roman" w:hAnsi="Times New Roman" w:eastAsia="黑体" w:cs="Times New Roman"/>
          <w:bCs/>
          <w:sz w:val="32"/>
          <w:szCs w:val="32"/>
        </w:rPr>
        <w:t>前　　言</w:t>
      </w:r>
    </w:p>
    <w:p w14:paraId="619AF466">
      <w:pPr>
        <w:overflowPunct w:val="0"/>
        <w:spacing w:line="360" w:lineRule="auto"/>
        <w:ind w:firstLine="480" w:firstLineChars="200"/>
        <w:rPr>
          <w:rFonts w:ascii="Times New Roman" w:hAnsi="Times New Roman" w:eastAsia="宋体" w:cs="Times New Roman"/>
          <w:sz w:val="24"/>
          <w:szCs w:val="24"/>
        </w:rPr>
      </w:pPr>
    </w:p>
    <w:p w14:paraId="109EC699">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根据中国工程建设标准化协会《关于印发&lt;2021年第二批协会标准制订、修订计划&gt;的通知》（建标协字〔2021〕20号）的要求，编制组经</w:t>
      </w:r>
      <w:r>
        <w:rPr>
          <w:rFonts w:hint="eastAsia" w:ascii="Times New Roman" w:hAnsi="Times New Roman" w:eastAsia="宋体" w:cs="Times New Roman"/>
          <w:sz w:val="24"/>
          <w:szCs w:val="24"/>
        </w:rPr>
        <w:t>深入</w:t>
      </w:r>
      <w:r>
        <w:rPr>
          <w:rFonts w:ascii="Times New Roman" w:hAnsi="Times New Roman" w:eastAsia="宋体" w:cs="Times New Roman"/>
          <w:sz w:val="24"/>
          <w:szCs w:val="24"/>
        </w:rPr>
        <w:t>调查研究，认真总结实践经验，并在广泛征求意见的基础上，制定本标准。</w:t>
      </w:r>
    </w:p>
    <w:p w14:paraId="36359162">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本标准共分</w:t>
      </w:r>
      <w:r>
        <w:rPr>
          <w:rFonts w:hint="eastAsia" w:ascii="Times New Roman" w:hAnsi="Times New Roman" w:eastAsia="宋体" w:cs="Times New Roman"/>
          <w:sz w:val="24"/>
          <w:szCs w:val="24"/>
          <w:lang w:val="en-US" w:eastAsia="zh-CN"/>
        </w:rPr>
        <w:t>8</w:t>
      </w:r>
      <w:r>
        <w:rPr>
          <w:rFonts w:ascii="Times New Roman" w:hAnsi="Times New Roman" w:eastAsia="宋体" w:cs="Times New Roman"/>
          <w:sz w:val="24"/>
          <w:szCs w:val="24"/>
        </w:rPr>
        <w:t>章，主要技术内容包括：</w:t>
      </w:r>
      <w:r>
        <w:rPr>
          <w:rFonts w:hint="eastAsia" w:ascii="Times New Roman" w:hAnsi="Times New Roman" w:eastAsia="宋体" w:cs="Times New Roman"/>
          <w:sz w:val="24"/>
          <w:szCs w:val="24"/>
        </w:rPr>
        <w:t>总则、术语、</w:t>
      </w:r>
      <w:r>
        <w:rPr>
          <w:rFonts w:hint="eastAsia" w:ascii="Times New Roman" w:hAnsi="Times New Roman" w:eastAsia="宋体" w:cs="Times New Roman"/>
          <w:sz w:val="24"/>
          <w:szCs w:val="24"/>
          <w:lang w:val="en-US" w:eastAsia="zh-CN"/>
        </w:rPr>
        <w:t>评估流程、</w:t>
      </w:r>
      <w:r>
        <w:rPr>
          <w:rFonts w:hint="eastAsia" w:ascii="Times New Roman" w:hAnsi="Times New Roman" w:eastAsia="宋体" w:cs="Times New Roman"/>
          <w:sz w:val="24"/>
          <w:szCs w:val="24"/>
        </w:rPr>
        <w:t>基本规定、空间集约效能、交通衔接效能、功能利用效能</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评估报告</w:t>
      </w:r>
      <w:r>
        <w:rPr>
          <w:rFonts w:hint="eastAsia" w:ascii="Times New Roman" w:hAnsi="Times New Roman" w:eastAsia="宋体" w:cs="Times New Roman"/>
          <w:sz w:val="24"/>
          <w:szCs w:val="24"/>
        </w:rPr>
        <w:t>。</w:t>
      </w:r>
    </w:p>
    <w:p w14:paraId="4017201D">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本标准的某些内容可能直接或间接涉及专利，本标准的发布机构不承担识别这些专利的责任。</w:t>
      </w:r>
    </w:p>
    <w:p w14:paraId="5237C543">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本标准由中国工程建设标准化协会建筑产业化分会归口管理，由</w:t>
      </w:r>
      <w:r>
        <w:rPr>
          <w:rFonts w:hint="eastAsia" w:ascii="Times New Roman" w:hAnsi="Times New Roman" w:eastAsia="宋体" w:cs="Times New Roman"/>
          <w:sz w:val="24"/>
          <w:szCs w:val="24"/>
        </w:rPr>
        <w:t>东南</w:t>
      </w:r>
      <w:r>
        <w:rPr>
          <w:rFonts w:ascii="Times New Roman" w:hAnsi="Times New Roman" w:eastAsia="宋体" w:cs="Times New Roman"/>
          <w:sz w:val="24"/>
          <w:szCs w:val="24"/>
        </w:rPr>
        <w:t>大学负责具体技术内容的解释。</w:t>
      </w:r>
      <w:r>
        <w:rPr>
          <w:rFonts w:hint="eastAsia" w:ascii="Times New Roman" w:hAnsi="Times New Roman" w:eastAsia="宋体" w:cs="Times New Roman"/>
          <w:sz w:val="24"/>
          <w:szCs w:val="24"/>
        </w:rPr>
        <w:t>实施</w:t>
      </w:r>
      <w:r>
        <w:rPr>
          <w:rFonts w:ascii="Times New Roman" w:hAnsi="Times New Roman" w:eastAsia="宋体" w:cs="Times New Roman"/>
          <w:sz w:val="24"/>
          <w:szCs w:val="24"/>
        </w:rPr>
        <w:t>过程中如有意见或建议，请寄送</w:t>
      </w:r>
      <w:r>
        <w:rPr>
          <w:rFonts w:hint="eastAsia" w:ascii="Times New Roman" w:hAnsi="Times New Roman" w:eastAsia="宋体" w:cs="Times New Roman"/>
          <w:sz w:val="24"/>
          <w:szCs w:val="24"/>
        </w:rPr>
        <w:t>至东南</w:t>
      </w:r>
      <w:r>
        <w:rPr>
          <w:rFonts w:ascii="Times New Roman" w:hAnsi="Times New Roman" w:eastAsia="宋体" w:cs="Times New Roman"/>
          <w:sz w:val="24"/>
          <w:szCs w:val="24"/>
        </w:rPr>
        <w:t>大学建筑学院（地址：</w:t>
      </w:r>
      <w:r>
        <w:rPr>
          <w:rFonts w:hint="eastAsia" w:ascii="Times New Roman" w:hAnsi="Times New Roman" w:eastAsia="宋体" w:cs="Times New Roman"/>
          <w:sz w:val="24"/>
          <w:szCs w:val="24"/>
        </w:rPr>
        <w:t>南京市玄武区四牌楼</w:t>
      </w:r>
      <w:r>
        <w:rPr>
          <w:rFonts w:ascii="Times New Roman" w:hAnsi="Times New Roman" w:eastAsia="宋体" w:cs="Times New Roman"/>
          <w:sz w:val="24"/>
          <w:szCs w:val="24"/>
        </w:rPr>
        <w:t>2号‌，邮编：</w:t>
      </w:r>
      <w:r>
        <w:rPr>
          <w:rFonts w:hint="eastAsia" w:ascii="Times New Roman" w:hAnsi="Times New Roman" w:eastAsia="宋体" w:cs="Times New Roman"/>
          <w:sz w:val="24"/>
          <w:szCs w:val="24"/>
        </w:rPr>
        <w:t>210096）</w:t>
      </w:r>
      <w:r>
        <w:rPr>
          <w:rFonts w:ascii="Times New Roman" w:hAnsi="Times New Roman" w:eastAsia="宋体" w:cs="Times New Roman"/>
          <w:sz w:val="24"/>
          <w:szCs w:val="24"/>
        </w:rPr>
        <w:t>。</w:t>
      </w:r>
    </w:p>
    <w:p w14:paraId="4097752E">
      <w:pPr>
        <w:overflowPunct w:val="0"/>
        <w:snapToGrid w:val="0"/>
        <w:spacing w:line="360" w:lineRule="auto"/>
        <w:ind w:firstLine="560" w:firstLineChars="200"/>
        <w:rPr>
          <w:rFonts w:ascii="Times New Roman" w:hAnsi="Times New Roman" w:eastAsia="宋体" w:cs="Times New Roman"/>
          <w:sz w:val="24"/>
          <w:szCs w:val="24"/>
        </w:rPr>
      </w:pPr>
      <w:r>
        <w:rPr>
          <w:rFonts w:ascii="Times New Roman" w:hAnsi="Times New Roman" w:eastAsia="黑体" w:cs="Times New Roman"/>
          <w:spacing w:val="20"/>
          <w:sz w:val="24"/>
          <w:szCs w:val="24"/>
        </w:rPr>
        <w:t>主编单位：</w:t>
      </w:r>
      <w:r>
        <w:rPr>
          <w:rFonts w:hint="eastAsia" w:ascii="Times New Roman" w:hAnsi="Times New Roman" w:eastAsia="宋体" w:cs="Times New Roman"/>
          <w:sz w:val="24"/>
          <w:szCs w:val="24"/>
        </w:rPr>
        <w:t>东南</w:t>
      </w:r>
      <w:r>
        <w:rPr>
          <w:rFonts w:ascii="Times New Roman" w:hAnsi="Times New Roman" w:eastAsia="宋体" w:cs="Times New Roman"/>
          <w:sz w:val="24"/>
          <w:szCs w:val="24"/>
        </w:rPr>
        <w:t>大学</w:t>
      </w:r>
    </w:p>
    <w:p w14:paraId="0D773763">
      <w:pPr>
        <w:overflowPunct w:val="0"/>
        <w:snapToGrid w:val="0"/>
        <w:spacing w:line="360" w:lineRule="auto"/>
        <w:ind w:firstLine="560" w:firstLineChars="200"/>
        <w:rPr>
          <w:rFonts w:ascii="Times New Roman" w:hAnsi="Times New Roman" w:eastAsia="宋体" w:cs="Times New Roman"/>
          <w:sz w:val="24"/>
          <w:szCs w:val="24"/>
        </w:rPr>
      </w:pPr>
      <w:r>
        <w:rPr>
          <w:rFonts w:ascii="Times New Roman" w:hAnsi="Times New Roman" w:eastAsia="黑体" w:cs="Times New Roman"/>
          <w:spacing w:val="20"/>
          <w:sz w:val="24"/>
          <w:szCs w:val="24"/>
        </w:rPr>
        <w:t>参编单位：</w:t>
      </w:r>
      <w:r>
        <w:rPr>
          <w:rFonts w:hint="eastAsia" w:ascii="Times New Roman" w:hAnsi="Times New Roman" w:eastAsia="宋体" w:cs="Times New Roman"/>
          <w:sz w:val="24"/>
          <w:szCs w:val="24"/>
        </w:rPr>
        <w:t>深圳大学</w:t>
      </w:r>
    </w:p>
    <w:p w14:paraId="319483FE">
      <w:pPr>
        <w:overflowPunct w:val="0"/>
        <w:snapToGrid w:val="0"/>
        <w:spacing w:line="360" w:lineRule="auto"/>
        <w:ind w:firstLine="1800" w:firstLineChars="750"/>
        <w:rPr>
          <w:rFonts w:ascii="Times New Roman" w:hAnsi="Times New Roman" w:eastAsia="宋体" w:cs="Times New Roman"/>
          <w:sz w:val="24"/>
          <w:szCs w:val="24"/>
        </w:rPr>
      </w:pPr>
      <w:r>
        <w:rPr>
          <w:rFonts w:hint="eastAsia" w:ascii="Times New Roman" w:hAnsi="Times New Roman" w:eastAsia="宋体" w:cs="Times New Roman"/>
          <w:sz w:val="24"/>
          <w:szCs w:val="24"/>
        </w:rPr>
        <w:t>深圳市建筑设计研究总院有限公司</w:t>
      </w:r>
    </w:p>
    <w:p w14:paraId="29987580">
      <w:pPr>
        <w:overflowPunct w:val="0"/>
        <w:snapToGrid w:val="0"/>
        <w:spacing w:line="360" w:lineRule="auto"/>
        <w:ind w:firstLine="1800" w:firstLineChars="750"/>
        <w:rPr>
          <w:rFonts w:ascii="Times New Roman" w:hAnsi="Times New Roman" w:eastAsia="宋体" w:cs="Times New Roman"/>
          <w:sz w:val="24"/>
          <w:szCs w:val="24"/>
        </w:rPr>
      </w:pPr>
      <w:r>
        <w:rPr>
          <w:rFonts w:hint="eastAsia" w:ascii="Times New Roman" w:hAnsi="Times New Roman" w:eastAsia="宋体" w:cs="Times New Roman"/>
          <w:sz w:val="24"/>
          <w:szCs w:val="24"/>
        </w:rPr>
        <w:t>北京建筑大学</w:t>
      </w:r>
    </w:p>
    <w:p w14:paraId="305A628C">
      <w:pPr>
        <w:overflowPunct w:val="0"/>
        <w:snapToGrid w:val="0"/>
        <w:spacing w:line="360" w:lineRule="auto"/>
        <w:ind w:firstLine="1800" w:firstLineChars="750"/>
        <w:rPr>
          <w:rFonts w:ascii="Times New Roman" w:hAnsi="Times New Roman" w:eastAsia="宋体" w:cs="Times New Roman"/>
          <w:sz w:val="24"/>
          <w:szCs w:val="24"/>
        </w:rPr>
      </w:pPr>
      <w:r>
        <w:rPr>
          <w:rFonts w:hint="eastAsia" w:ascii="Times New Roman" w:hAnsi="Times New Roman" w:eastAsia="宋体" w:cs="Times New Roman"/>
          <w:sz w:val="24"/>
          <w:szCs w:val="24"/>
        </w:rPr>
        <w:t>广州市城市规划勘测设计研究院</w:t>
      </w:r>
    </w:p>
    <w:p w14:paraId="0792980D">
      <w:pPr>
        <w:overflowPunct w:val="0"/>
        <w:snapToGrid w:val="0"/>
        <w:spacing w:line="360" w:lineRule="auto"/>
        <w:ind w:firstLine="1800" w:firstLineChars="750"/>
        <w:rPr>
          <w:rFonts w:ascii="Times New Roman" w:hAnsi="Times New Roman" w:eastAsia="宋体" w:cs="Times New Roman"/>
          <w:sz w:val="24"/>
          <w:szCs w:val="24"/>
        </w:rPr>
      </w:pPr>
      <w:r>
        <w:rPr>
          <w:rFonts w:hint="eastAsia" w:ascii="Times New Roman" w:hAnsi="Times New Roman" w:eastAsia="宋体" w:cs="Times New Roman"/>
          <w:sz w:val="24"/>
          <w:szCs w:val="24"/>
        </w:rPr>
        <w:t>中国城市规划设计研究院上海分院</w:t>
      </w:r>
    </w:p>
    <w:p w14:paraId="415C9D1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pPr>
      <w:r>
        <w:rPr>
          <w:rFonts w:ascii="黑体" w:hAnsi="宋体" w:eastAsia="黑体" w:cs="黑体"/>
          <w:color w:val="000000"/>
          <w:kern w:val="0"/>
          <w:sz w:val="24"/>
          <w:szCs w:val="24"/>
          <w:lang w:val="en-US" w:eastAsia="zh-CN" w:bidi="ar"/>
        </w:rPr>
        <w:t xml:space="preserve">主要起草人： </w:t>
      </w:r>
      <w:r>
        <w:rPr>
          <w:rFonts w:hint="default" w:ascii="Times New Roman" w:hAnsi="Times New Roman" w:eastAsia="宋体" w:cs="Times New Roman"/>
          <w:b w:val="0"/>
          <w:bCs w:val="0"/>
          <w:color w:val="000000"/>
          <w:kern w:val="0"/>
          <w:sz w:val="24"/>
          <w:szCs w:val="24"/>
          <w:lang w:val="en-US" w:eastAsia="zh-CN" w:bidi="ar"/>
        </w:rPr>
        <w:t xml:space="preserve">XXXX </w:t>
      </w:r>
    </w:p>
    <w:p w14:paraId="102894E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pPr>
      <w:r>
        <w:rPr>
          <w:rFonts w:hint="eastAsia" w:ascii="黑体" w:hAnsi="宋体" w:eastAsia="黑体" w:cs="黑体"/>
          <w:color w:val="000000"/>
          <w:kern w:val="0"/>
          <w:sz w:val="24"/>
          <w:szCs w:val="24"/>
          <w:lang w:val="en-US" w:eastAsia="zh-CN" w:bidi="ar"/>
        </w:rPr>
        <w:t xml:space="preserve">主要审查人： </w:t>
      </w:r>
      <w:r>
        <w:rPr>
          <w:rFonts w:hint="default" w:ascii="Times New Roman" w:hAnsi="Times New Roman" w:eastAsia="宋体" w:cs="Times New Roman"/>
          <w:color w:val="000000"/>
          <w:kern w:val="0"/>
          <w:sz w:val="24"/>
          <w:szCs w:val="24"/>
          <w:lang w:val="en-US" w:eastAsia="zh-CN" w:bidi="ar"/>
        </w:rPr>
        <w:t>XXXX</w:t>
      </w:r>
    </w:p>
    <w:p w14:paraId="5885FC2E">
      <w:pPr>
        <w:overflowPunct w:val="0"/>
        <w:snapToGrid w:val="0"/>
        <w:spacing w:line="360" w:lineRule="auto"/>
        <w:ind w:left="1823" w:leftChars="868" w:right="1785" w:rightChars="850" w:firstLine="120" w:firstLineChars="50"/>
        <w:rPr>
          <w:rFonts w:ascii="Times New Roman" w:hAnsi="Times New Roman" w:eastAsia="黑体" w:cs="Times New Roman"/>
          <w:spacing w:val="20"/>
          <w:sz w:val="24"/>
          <w:szCs w:val="24"/>
        </w:rPr>
      </w:pPr>
      <w:r>
        <w:rPr>
          <w:rFonts w:ascii="Times New Roman" w:hAnsi="Times New Roman" w:eastAsia="宋体" w:cs="Times New Roman"/>
          <w:sz w:val="24"/>
          <w:szCs w:val="24"/>
        </w:rPr>
        <w:t>　</w:t>
      </w:r>
    </w:p>
    <w:p w14:paraId="2728465B">
      <w:pPr>
        <w:widowControl/>
        <w:overflowPunct w:val="0"/>
        <w:jc w:val="left"/>
        <w:rPr>
          <w:rFonts w:ascii="Times New Roman" w:hAnsi="Times New Roman" w:eastAsia="宋体" w:cs="Times New Roman"/>
          <w:sz w:val="24"/>
          <w:szCs w:val="24"/>
        </w:rPr>
      </w:pPr>
    </w:p>
    <w:p w14:paraId="4F1FDC23">
      <w:pPr>
        <w:overflowPunct w:val="0"/>
        <w:spacing w:line="360" w:lineRule="auto"/>
        <w:ind w:firstLine="480" w:firstLineChars="200"/>
        <w:rPr>
          <w:rFonts w:ascii="Times New Roman" w:hAnsi="Times New Roman" w:eastAsia="宋体" w:cs="Times New Roman"/>
          <w:sz w:val="24"/>
          <w:szCs w:val="24"/>
        </w:rPr>
        <w:sectPr>
          <w:footerReference r:id="rId5" w:type="first"/>
          <w:footerReference r:id="rId3" w:type="default"/>
          <w:footerReference r:id="rId4" w:type="even"/>
          <w:pgSz w:w="11906" w:h="16838"/>
          <w:pgMar w:top="1440" w:right="1800" w:bottom="1440" w:left="1800" w:header="851" w:footer="992" w:gutter="0"/>
          <w:pgNumType w:fmt="upperRoman" w:start="1"/>
          <w:cols w:space="425" w:num="1"/>
          <w:titlePg/>
          <w:docGrid w:type="lines" w:linePitch="312" w:charSpace="0"/>
        </w:sectPr>
      </w:pPr>
    </w:p>
    <w:p w14:paraId="69BA4CFF">
      <w:pPr>
        <w:keepNext/>
        <w:keepLines/>
        <w:tabs>
          <w:tab w:val="left" w:pos="-376"/>
        </w:tabs>
        <w:overflowPunct w:val="0"/>
        <w:spacing w:before="156" w:beforeLines="50" w:after="156" w:afterLines="50" w:line="360" w:lineRule="auto"/>
        <w:ind w:left="425" w:hanging="425"/>
        <w:jc w:val="center"/>
        <w:outlineLvl w:val="9"/>
        <w:rPr>
          <w:rFonts w:ascii="Times New Roman" w:hAnsi="Times New Roman" w:eastAsia="宋体" w:cs="Times New Roman"/>
          <w:b/>
          <w:kern w:val="44"/>
          <w:sz w:val="32"/>
          <w:szCs w:val="32"/>
          <w:lang w:bidi="zh-CN"/>
        </w:rPr>
      </w:pPr>
      <w:bookmarkStart w:id="3" w:name="_Toc4138"/>
      <w:r>
        <w:rPr>
          <w:rFonts w:ascii="Times New Roman" w:hAnsi="Times New Roman" w:eastAsia="宋体" w:cs="Times New Roman"/>
          <w:b/>
          <w:kern w:val="44"/>
          <w:sz w:val="32"/>
          <w:szCs w:val="32"/>
          <w:lang w:bidi="zh-CN"/>
        </w:rPr>
        <w:t>目　　次</w:t>
      </w:r>
      <w:bookmarkEnd w:id="3"/>
    </w:p>
    <w:sdt>
      <w:sdtPr>
        <w:rPr>
          <w:rFonts w:ascii="宋体" w:hAnsi="宋体" w:eastAsia="宋体" w:cstheme="minorBidi"/>
          <w:kern w:val="2"/>
          <w:sz w:val="21"/>
          <w:szCs w:val="22"/>
          <w:lang w:val="en-US" w:eastAsia="zh-CN" w:bidi="ar-SA"/>
        </w:rPr>
        <w:id w:val="147463178"/>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5D4F8B2D">
          <w:pPr>
            <w:spacing w:before="0" w:beforeLines="0" w:after="0" w:afterLines="0" w:line="240" w:lineRule="auto"/>
            <w:ind w:left="0" w:leftChars="0" w:right="0" w:rightChars="0" w:firstLine="0" w:firstLineChars="0"/>
            <w:jc w:val="center"/>
            <w:rPr>
              <w:rFonts w:asciiTheme="minorHAnsi" w:hAnsiTheme="minorHAnsi" w:eastAsiaTheme="minorEastAsia" w:cstheme="minorBidi"/>
              <w:kern w:val="2"/>
              <w:sz w:val="21"/>
              <w:szCs w:val="22"/>
              <w:lang w:val="en-US" w:eastAsia="zh-CN" w:bidi="ar-SA"/>
            </w:rPr>
          </w:pPr>
          <w:r>
            <w:fldChar w:fldCharType="begin"/>
          </w:r>
          <w:r>
            <w:instrText xml:space="preserve">TOC \o "1-2" \h \u </w:instrText>
          </w:r>
          <w:r>
            <w:fldChar w:fldCharType="separate"/>
          </w:r>
        </w:p>
        <w:p w14:paraId="52821EFC">
          <w:pPr>
            <w:pStyle w:val="18"/>
            <w:tabs>
              <w:tab w:val="right" w:leader="dot" w:pos="8406"/>
              <w:tab w:val="clear" w:pos="440"/>
              <w:tab w:val="clear" w:pos="8296"/>
            </w:tabs>
            <w:rPr>
              <w:b/>
              <w:bCs/>
            </w:rPr>
          </w:pPr>
          <w:r>
            <w:rPr>
              <w:b/>
              <w:bCs/>
            </w:rPr>
            <w:fldChar w:fldCharType="begin"/>
          </w:r>
          <w:r>
            <w:rPr>
              <w:b/>
              <w:bCs/>
            </w:rPr>
            <w:instrText xml:space="preserve"> HYPERLINK \l _Toc13384 </w:instrText>
          </w:r>
          <w:r>
            <w:rPr>
              <w:b/>
              <w:bCs/>
            </w:rPr>
            <w:fldChar w:fldCharType="separate"/>
          </w:r>
          <w:r>
            <w:rPr>
              <w:rFonts w:ascii="Times New Roman" w:hAnsi="Times New Roman" w:eastAsia="宋体" w:cs="Times New Roman"/>
              <w:b/>
              <w:bCs/>
              <w:kern w:val="44"/>
              <w:szCs w:val="32"/>
              <w:lang w:bidi="zh-CN"/>
            </w:rPr>
            <w:t>1　总　　则</w:t>
          </w:r>
          <w:r>
            <w:rPr>
              <w:b/>
              <w:bCs/>
            </w:rPr>
            <w:tab/>
          </w:r>
          <w:r>
            <w:rPr>
              <w:b/>
              <w:bCs/>
            </w:rPr>
            <w:fldChar w:fldCharType="begin"/>
          </w:r>
          <w:r>
            <w:rPr>
              <w:b/>
              <w:bCs/>
            </w:rPr>
            <w:instrText xml:space="preserve"> PAGEREF _Toc13384 \h </w:instrText>
          </w:r>
          <w:r>
            <w:rPr>
              <w:b/>
              <w:bCs/>
            </w:rPr>
            <w:fldChar w:fldCharType="separate"/>
          </w:r>
          <w:r>
            <w:rPr>
              <w:b/>
              <w:bCs/>
            </w:rPr>
            <w:t>1</w:t>
          </w:r>
          <w:r>
            <w:rPr>
              <w:b/>
              <w:bCs/>
            </w:rPr>
            <w:fldChar w:fldCharType="end"/>
          </w:r>
          <w:r>
            <w:rPr>
              <w:b/>
              <w:bCs/>
            </w:rPr>
            <w:fldChar w:fldCharType="end"/>
          </w:r>
        </w:p>
        <w:p w14:paraId="029925AD">
          <w:pPr>
            <w:pStyle w:val="18"/>
            <w:tabs>
              <w:tab w:val="right" w:leader="dot" w:pos="8406"/>
              <w:tab w:val="clear" w:pos="440"/>
              <w:tab w:val="clear" w:pos="8296"/>
            </w:tabs>
            <w:rPr>
              <w:b/>
              <w:bCs/>
            </w:rPr>
          </w:pPr>
          <w:r>
            <w:rPr>
              <w:b/>
              <w:bCs/>
            </w:rPr>
            <w:fldChar w:fldCharType="begin"/>
          </w:r>
          <w:r>
            <w:rPr>
              <w:b/>
              <w:bCs/>
            </w:rPr>
            <w:instrText xml:space="preserve"> HYPERLINK \l _Toc18895 </w:instrText>
          </w:r>
          <w:r>
            <w:rPr>
              <w:b/>
              <w:bCs/>
            </w:rPr>
            <w:fldChar w:fldCharType="separate"/>
          </w:r>
          <w:r>
            <w:rPr>
              <w:rFonts w:ascii="Times New Roman" w:hAnsi="Times New Roman" w:eastAsia="宋体" w:cs="Times New Roman"/>
              <w:b/>
              <w:bCs/>
              <w:kern w:val="44"/>
              <w:szCs w:val="32"/>
              <w:lang w:bidi="zh-CN"/>
            </w:rPr>
            <w:t>2　术　　语</w:t>
          </w:r>
          <w:r>
            <w:rPr>
              <w:b/>
              <w:bCs/>
            </w:rPr>
            <w:tab/>
          </w:r>
          <w:r>
            <w:rPr>
              <w:b/>
              <w:bCs/>
            </w:rPr>
            <w:fldChar w:fldCharType="begin"/>
          </w:r>
          <w:r>
            <w:rPr>
              <w:b/>
              <w:bCs/>
            </w:rPr>
            <w:instrText xml:space="preserve"> PAGEREF _Toc18895 \h </w:instrText>
          </w:r>
          <w:r>
            <w:rPr>
              <w:b/>
              <w:bCs/>
            </w:rPr>
            <w:fldChar w:fldCharType="separate"/>
          </w:r>
          <w:r>
            <w:rPr>
              <w:b/>
              <w:bCs/>
            </w:rPr>
            <w:t>2</w:t>
          </w:r>
          <w:r>
            <w:rPr>
              <w:b/>
              <w:bCs/>
            </w:rPr>
            <w:fldChar w:fldCharType="end"/>
          </w:r>
          <w:r>
            <w:rPr>
              <w:b/>
              <w:bCs/>
            </w:rPr>
            <w:fldChar w:fldCharType="end"/>
          </w:r>
        </w:p>
        <w:p w14:paraId="7D760517">
          <w:pPr>
            <w:pStyle w:val="18"/>
            <w:tabs>
              <w:tab w:val="right" w:leader="dot" w:pos="8406"/>
              <w:tab w:val="clear" w:pos="440"/>
              <w:tab w:val="clear" w:pos="8296"/>
            </w:tabs>
            <w:rPr>
              <w:b/>
              <w:bCs/>
            </w:rPr>
          </w:pPr>
          <w:r>
            <w:rPr>
              <w:b/>
              <w:bCs/>
            </w:rPr>
            <w:fldChar w:fldCharType="begin"/>
          </w:r>
          <w:r>
            <w:rPr>
              <w:b/>
              <w:bCs/>
            </w:rPr>
            <w:instrText xml:space="preserve"> HYPERLINK \l _Toc19591 </w:instrText>
          </w:r>
          <w:r>
            <w:rPr>
              <w:b/>
              <w:bCs/>
            </w:rPr>
            <w:fldChar w:fldCharType="separate"/>
          </w:r>
          <w:r>
            <w:rPr>
              <w:rFonts w:ascii="Times New Roman" w:hAnsi="Times New Roman" w:eastAsia="宋体" w:cs="Times New Roman"/>
              <w:b/>
              <w:bCs/>
              <w:kern w:val="44"/>
              <w:szCs w:val="32"/>
              <w:lang w:val="en-US" w:eastAsia="zh-CN" w:bidi="zh-CN"/>
            </w:rPr>
            <w:t>3　</w:t>
          </w:r>
          <w:r>
            <w:rPr>
              <w:rFonts w:hint="eastAsia" w:ascii="Times New Roman" w:hAnsi="Times New Roman" w:eastAsia="宋体" w:cs="Times New Roman"/>
              <w:b/>
              <w:bCs/>
              <w:kern w:val="44"/>
              <w:szCs w:val="32"/>
              <w:lang w:val="en-US" w:bidi="zh-CN"/>
            </w:rPr>
            <w:t>评估流程</w:t>
          </w:r>
          <w:r>
            <w:rPr>
              <w:b/>
              <w:bCs/>
            </w:rPr>
            <w:tab/>
          </w:r>
          <w:r>
            <w:rPr>
              <w:b/>
              <w:bCs/>
            </w:rPr>
            <w:fldChar w:fldCharType="begin"/>
          </w:r>
          <w:r>
            <w:rPr>
              <w:b/>
              <w:bCs/>
            </w:rPr>
            <w:instrText xml:space="preserve"> PAGEREF _Toc19591 \h </w:instrText>
          </w:r>
          <w:r>
            <w:rPr>
              <w:b/>
              <w:bCs/>
            </w:rPr>
            <w:fldChar w:fldCharType="separate"/>
          </w:r>
          <w:r>
            <w:rPr>
              <w:b/>
              <w:bCs/>
            </w:rPr>
            <w:t>3</w:t>
          </w:r>
          <w:r>
            <w:rPr>
              <w:b/>
              <w:bCs/>
            </w:rPr>
            <w:fldChar w:fldCharType="end"/>
          </w:r>
          <w:r>
            <w:rPr>
              <w:b/>
              <w:bCs/>
            </w:rPr>
            <w:fldChar w:fldCharType="end"/>
          </w:r>
        </w:p>
        <w:p w14:paraId="7C90DE66">
          <w:pPr>
            <w:pStyle w:val="18"/>
            <w:tabs>
              <w:tab w:val="right" w:leader="dot" w:pos="8406"/>
              <w:tab w:val="clear" w:pos="440"/>
              <w:tab w:val="clear" w:pos="8296"/>
            </w:tabs>
            <w:rPr>
              <w:b/>
              <w:bCs/>
            </w:rPr>
          </w:pPr>
          <w:r>
            <w:rPr>
              <w:b/>
              <w:bCs/>
            </w:rPr>
            <w:fldChar w:fldCharType="begin"/>
          </w:r>
          <w:r>
            <w:rPr>
              <w:b/>
              <w:bCs/>
            </w:rPr>
            <w:instrText xml:space="preserve"> HYPERLINK \l _Toc26923 </w:instrText>
          </w:r>
          <w:r>
            <w:rPr>
              <w:b/>
              <w:bCs/>
            </w:rPr>
            <w:fldChar w:fldCharType="separate"/>
          </w:r>
          <w:r>
            <w:rPr>
              <w:rFonts w:hint="eastAsia" w:ascii="Times New Roman" w:hAnsi="Times New Roman" w:eastAsia="宋体" w:cs="Times New Roman"/>
              <w:b/>
              <w:bCs/>
              <w:kern w:val="44"/>
              <w:szCs w:val="32"/>
              <w:lang w:val="en-US" w:bidi="zh-CN"/>
            </w:rPr>
            <w:t>4</w:t>
          </w:r>
          <w:r>
            <w:rPr>
              <w:rFonts w:ascii="Times New Roman" w:hAnsi="Times New Roman" w:eastAsia="宋体" w:cs="Times New Roman"/>
              <w:b/>
              <w:bCs/>
              <w:kern w:val="44"/>
              <w:szCs w:val="32"/>
              <w:lang w:bidi="zh-CN"/>
            </w:rPr>
            <w:t>　基本规定</w:t>
          </w:r>
          <w:r>
            <w:rPr>
              <w:b/>
              <w:bCs/>
            </w:rPr>
            <w:tab/>
          </w:r>
          <w:r>
            <w:rPr>
              <w:b/>
              <w:bCs/>
            </w:rPr>
            <w:fldChar w:fldCharType="begin"/>
          </w:r>
          <w:r>
            <w:rPr>
              <w:b/>
              <w:bCs/>
            </w:rPr>
            <w:instrText xml:space="preserve"> PAGEREF _Toc26923 \h </w:instrText>
          </w:r>
          <w:r>
            <w:rPr>
              <w:b/>
              <w:bCs/>
            </w:rPr>
            <w:fldChar w:fldCharType="separate"/>
          </w:r>
          <w:r>
            <w:rPr>
              <w:b/>
              <w:bCs/>
            </w:rPr>
            <w:t>5</w:t>
          </w:r>
          <w:r>
            <w:rPr>
              <w:b/>
              <w:bCs/>
            </w:rPr>
            <w:fldChar w:fldCharType="end"/>
          </w:r>
          <w:r>
            <w:rPr>
              <w:b/>
              <w:bCs/>
            </w:rPr>
            <w:fldChar w:fldCharType="end"/>
          </w:r>
        </w:p>
        <w:p w14:paraId="0B33EF48">
          <w:pPr>
            <w:pStyle w:val="22"/>
            <w:tabs>
              <w:tab w:val="right" w:leader="dot" w:pos="8406"/>
              <w:tab w:val="clear" w:pos="8296"/>
            </w:tabs>
          </w:pPr>
          <w:r>
            <w:fldChar w:fldCharType="begin"/>
          </w:r>
          <w:r>
            <w:instrText xml:space="preserve"> HYPERLINK \l _Toc6345 </w:instrText>
          </w:r>
          <w:r>
            <w:fldChar w:fldCharType="separate"/>
          </w:r>
          <w:r>
            <w:rPr>
              <w:rFonts w:hint="eastAsia" w:ascii="Times New Roman" w:hAnsi="Times New Roman" w:eastAsia="宋体" w:cs="Times New Roman"/>
              <w:bCs/>
              <w:kern w:val="0"/>
              <w:szCs w:val="24"/>
              <w:lang w:val="en-US" w:bidi="zh-CN"/>
            </w:rPr>
            <w:t>4</w:t>
          </w:r>
          <w:r>
            <w:rPr>
              <w:rFonts w:ascii="Times New Roman" w:hAnsi="Times New Roman" w:eastAsia="宋体" w:cs="Times New Roman"/>
              <w:bCs/>
              <w:kern w:val="0"/>
              <w:szCs w:val="24"/>
              <w:lang w:bidi="zh-CN"/>
            </w:rPr>
            <w:t>.1　</w:t>
          </w:r>
          <w:r>
            <w:rPr>
              <w:rFonts w:ascii="Times New Roman" w:hAnsi="Times New Roman" w:eastAsia="黑体" w:cs="Times New Roman"/>
              <w:bCs/>
              <w:kern w:val="0"/>
              <w:szCs w:val="24"/>
              <w:lang w:bidi="zh-CN"/>
            </w:rPr>
            <w:t>评</w:t>
          </w:r>
          <w:r>
            <w:rPr>
              <w:rFonts w:hint="eastAsia" w:ascii="Times New Roman" w:hAnsi="Times New Roman" w:eastAsia="黑体" w:cs="Times New Roman"/>
              <w:bCs/>
              <w:kern w:val="0"/>
              <w:szCs w:val="24"/>
              <w:lang w:bidi="zh-CN"/>
            </w:rPr>
            <w:t>估要求</w:t>
          </w:r>
          <w:r>
            <w:tab/>
          </w:r>
          <w:r>
            <w:fldChar w:fldCharType="begin"/>
          </w:r>
          <w:r>
            <w:instrText xml:space="preserve"> PAGEREF _Toc6345 \h </w:instrText>
          </w:r>
          <w:r>
            <w:fldChar w:fldCharType="separate"/>
          </w:r>
          <w:r>
            <w:t>5</w:t>
          </w:r>
          <w:r>
            <w:fldChar w:fldCharType="end"/>
          </w:r>
          <w:r>
            <w:fldChar w:fldCharType="end"/>
          </w:r>
        </w:p>
        <w:p w14:paraId="30F8AA41">
          <w:pPr>
            <w:pStyle w:val="22"/>
            <w:tabs>
              <w:tab w:val="right" w:leader="dot" w:pos="8406"/>
              <w:tab w:val="clear" w:pos="8296"/>
            </w:tabs>
          </w:pPr>
          <w:r>
            <w:fldChar w:fldCharType="begin"/>
          </w:r>
          <w:r>
            <w:instrText xml:space="preserve"> HYPERLINK \l _Toc23933 </w:instrText>
          </w:r>
          <w:r>
            <w:fldChar w:fldCharType="separate"/>
          </w:r>
          <w:r>
            <w:rPr>
              <w:rFonts w:hint="eastAsia" w:ascii="Times New Roman" w:hAnsi="Times New Roman" w:eastAsia="宋体" w:cs="Times New Roman"/>
              <w:bCs/>
              <w:kern w:val="0"/>
              <w:szCs w:val="24"/>
              <w:lang w:val="en-US" w:bidi="zh-CN"/>
            </w:rPr>
            <w:t>4</w:t>
          </w:r>
          <w:r>
            <w:rPr>
              <w:rFonts w:ascii="Times New Roman" w:hAnsi="Times New Roman" w:eastAsia="宋体" w:cs="Times New Roman"/>
              <w:bCs/>
              <w:kern w:val="0"/>
              <w:szCs w:val="24"/>
              <w:lang w:bidi="zh-CN"/>
            </w:rPr>
            <w:t>.</w:t>
          </w:r>
          <w:r>
            <w:rPr>
              <w:rFonts w:hint="eastAsia" w:ascii="Times New Roman" w:hAnsi="Times New Roman" w:eastAsia="宋体" w:cs="Times New Roman"/>
              <w:bCs/>
              <w:kern w:val="0"/>
              <w:szCs w:val="24"/>
              <w:lang w:bidi="zh-CN"/>
            </w:rPr>
            <w:t>2</w:t>
          </w:r>
          <w:r>
            <w:rPr>
              <w:rFonts w:ascii="Times New Roman" w:hAnsi="Times New Roman" w:eastAsia="宋体" w:cs="Times New Roman"/>
              <w:bCs/>
              <w:kern w:val="0"/>
              <w:szCs w:val="24"/>
              <w:lang w:bidi="zh-CN"/>
            </w:rPr>
            <w:t>　</w:t>
          </w:r>
          <w:r>
            <w:rPr>
              <w:rFonts w:hint="eastAsia" w:ascii="Times New Roman" w:hAnsi="Times New Roman" w:eastAsia="黑体" w:cs="Times New Roman"/>
              <w:bCs/>
              <w:kern w:val="0"/>
              <w:szCs w:val="24"/>
              <w:lang w:bidi="zh-CN"/>
            </w:rPr>
            <w:t>指标体系</w:t>
          </w:r>
          <w:r>
            <w:tab/>
          </w:r>
          <w:r>
            <w:fldChar w:fldCharType="begin"/>
          </w:r>
          <w:r>
            <w:instrText xml:space="preserve"> PAGEREF _Toc23933 \h </w:instrText>
          </w:r>
          <w:r>
            <w:fldChar w:fldCharType="separate"/>
          </w:r>
          <w:r>
            <w:t>5</w:t>
          </w:r>
          <w:r>
            <w:fldChar w:fldCharType="end"/>
          </w:r>
          <w:r>
            <w:fldChar w:fldCharType="end"/>
          </w:r>
        </w:p>
        <w:p w14:paraId="364F4248">
          <w:pPr>
            <w:pStyle w:val="18"/>
            <w:tabs>
              <w:tab w:val="right" w:leader="dot" w:pos="8406"/>
              <w:tab w:val="clear" w:pos="440"/>
              <w:tab w:val="clear" w:pos="8296"/>
            </w:tabs>
            <w:rPr>
              <w:b/>
              <w:bCs/>
            </w:rPr>
          </w:pPr>
          <w:r>
            <w:rPr>
              <w:b/>
              <w:bCs/>
            </w:rPr>
            <w:fldChar w:fldCharType="begin"/>
          </w:r>
          <w:r>
            <w:rPr>
              <w:b/>
              <w:bCs/>
            </w:rPr>
            <w:instrText xml:space="preserve"> HYPERLINK \l _Toc10278 </w:instrText>
          </w:r>
          <w:r>
            <w:rPr>
              <w:b/>
              <w:bCs/>
            </w:rPr>
            <w:fldChar w:fldCharType="separate"/>
          </w:r>
          <w:r>
            <w:rPr>
              <w:rFonts w:hint="eastAsia" w:ascii="Times New Roman" w:hAnsi="Times New Roman" w:eastAsia="宋体" w:cs="Times New Roman"/>
              <w:b/>
              <w:bCs/>
              <w:kern w:val="44"/>
              <w:szCs w:val="32"/>
              <w:lang w:val="en-US" w:bidi="zh-CN"/>
            </w:rPr>
            <w:t>5</w:t>
          </w:r>
          <w:r>
            <w:rPr>
              <w:rFonts w:ascii="Times New Roman" w:hAnsi="Times New Roman" w:eastAsia="宋体" w:cs="Times New Roman"/>
              <w:b/>
              <w:bCs/>
              <w:kern w:val="44"/>
              <w:szCs w:val="32"/>
              <w:lang w:bidi="zh-CN"/>
            </w:rPr>
            <w:t>　</w:t>
          </w:r>
          <w:r>
            <w:rPr>
              <w:rFonts w:hint="eastAsia" w:ascii="Times New Roman" w:hAnsi="Times New Roman" w:eastAsia="宋体" w:cs="Times New Roman"/>
              <w:b/>
              <w:bCs/>
              <w:kern w:val="44"/>
              <w:szCs w:val="32"/>
              <w:lang w:bidi="zh-CN"/>
            </w:rPr>
            <w:t>空间集约效能</w:t>
          </w:r>
          <w:r>
            <w:rPr>
              <w:b/>
              <w:bCs/>
            </w:rPr>
            <w:tab/>
          </w:r>
          <w:r>
            <w:rPr>
              <w:b/>
              <w:bCs/>
            </w:rPr>
            <w:fldChar w:fldCharType="begin"/>
          </w:r>
          <w:r>
            <w:rPr>
              <w:b/>
              <w:bCs/>
            </w:rPr>
            <w:instrText xml:space="preserve"> PAGEREF _Toc10278 \h </w:instrText>
          </w:r>
          <w:r>
            <w:rPr>
              <w:b/>
              <w:bCs/>
            </w:rPr>
            <w:fldChar w:fldCharType="separate"/>
          </w:r>
          <w:r>
            <w:rPr>
              <w:b/>
              <w:bCs/>
            </w:rPr>
            <w:t>7</w:t>
          </w:r>
          <w:r>
            <w:rPr>
              <w:b/>
              <w:bCs/>
            </w:rPr>
            <w:fldChar w:fldCharType="end"/>
          </w:r>
          <w:r>
            <w:rPr>
              <w:b/>
              <w:bCs/>
            </w:rPr>
            <w:fldChar w:fldCharType="end"/>
          </w:r>
        </w:p>
        <w:p w14:paraId="39AD35F8">
          <w:pPr>
            <w:pStyle w:val="22"/>
            <w:tabs>
              <w:tab w:val="right" w:leader="dot" w:pos="8406"/>
              <w:tab w:val="clear" w:pos="8296"/>
            </w:tabs>
          </w:pPr>
          <w:r>
            <w:fldChar w:fldCharType="begin"/>
          </w:r>
          <w:r>
            <w:instrText xml:space="preserve"> HYPERLINK \l _Toc906 </w:instrText>
          </w:r>
          <w:r>
            <w:fldChar w:fldCharType="separate"/>
          </w:r>
          <w:r>
            <w:rPr>
              <w:rFonts w:hint="eastAsia" w:ascii="Times New Roman" w:hAnsi="Times New Roman" w:eastAsia="宋体" w:cs="Times New Roman"/>
              <w:bCs/>
              <w:kern w:val="0"/>
              <w:szCs w:val="24"/>
              <w:lang w:val="en-US" w:bidi="zh-CN"/>
            </w:rPr>
            <w:t>5</w:t>
          </w:r>
          <w:r>
            <w:rPr>
              <w:rFonts w:hint="eastAsia" w:ascii="Times New Roman" w:hAnsi="Times New Roman" w:eastAsia="宋体" w:cs="Times New Roman"/>
              <w:bCs/>
              <w:kern w:val="0"/>
              <w:szCs w:val="24"/>
              <w:lang w:bidi="zh-CN"/>
            </w:rPr>
            <w:t xml:space="preserve">.1 </w:t>
          </w:r>
          <w:r>
            <w:rPr>
              <w:rFonts w:hint="eastAsia" w:ascii="黑体" w:hAnsi="黑体" w:eastAsia="黑体" w:cs="Times New Roman"/>
              <w:bCs/>
              <w:kern w:val="0"/>
              <w:szCs w:val="24"/>
              <w:lang w:bidi="zh-CN"/>
            </w:rPr>
            <w:t>市政设施复合布局率</w:t>
          </w:r>
          <w:r>
            <w:tab/>
          </w:r>
          <w:r>
            <w:fldChar w:fldCharType="begin"/>
          </w:r>
          <w:r>
            <w:instrText xml:space="preserve"> PAGEREF _Toc906 \h </w:instrText>
          </w:r>
          <w:r>
            <w:fldChar w:fldCharType="separate"/>
          </w:r>
          <w:r>
            <w:t>7</w:t>
          </w:r>
          <w:r>
            <w:fldChar w:fldCharType="end"/>
          </w:r>
          <w:r>
            <w:fldChar w:fldCharType="end"/>
          </w:r>
        </w:p>
        <w:p w14:paraId="7F042064">
          <w:pPr>
            <w:pStyle w:val="22"/>
            <w:tabs>
              <w:tab w:val="right" w:leader="dot" w:pos="8406"/>
              <w:tab w:val="clear" w:pos="8296"/>
            </w:tabs>
          </w:pPr>
          <w:r>
            <w:fldChar w:fldCharType="begin"/>
          </w:r>
          <w:r>
            <w:instrText xml:space="preserve"> HYPERLINK \l _Toc28209 </w:instrText>
          </w:r>
          <w:r>
            <w:fldChar w:fldCharType="separate"/>
          </w:r>
          <w:r>
            <w:rPr>
              <w:rFonts w:hint="eastAsia" w:ascii="Times New Roman" w:hAnsi="Times New Roman" w:eastAsia="宋体" w:cs="Times New Roman"/>
              <w:bCs/>
              <w:kern w:val="0"/>
              <w:szCs w:val="24"/>
              <w:lang w:val="en-US" w:bidi="zh-CN"/>
            </w:rPr>
            <w:t>5</w:t>
          </w:r>
          <w:r>
            <w:rPr>
              <w:rFonts w:hint="eastAsia" w:ascii="Times New Roman" w:hAnsi="Times New Roman" w:eastAsia="宋体" w:cs="Times New Roman"/>
              <w:bCs/>
              <w:kern w:val="0"/>
              <w:szCs w:val="24"/>
              <w:lang w:bidi="zh-CN"/>
            </w:rPr>
            <w:t xml:space="preserve">.2 </w:t>
          </w:r>
          <w:r>
            <w:rPr>
              <w:rFonts w:hint="eastAsia" w:ascii="黑体" w:hAnsi="黑体" w:eastAsia="黑体" w:cs="Times New Roman"/>
              <w:bCs/>
              <w:kern w:val="0"/>
              <w:szCs w:val="24"/>
              <w:lang w:bidi="zh-CN"/>
            </w:rPr>
            <w:t>环卫设施复合布局率</w:t>
          </w:r>
          <w:r>
            <w:tab/>
          </w:r>
          <w:r>
            <w:fldChar w:fldCharType="begin"/>
          </w:r>
          <w:r>
            <w:instrText xml:space="preserve"> PAGEREF _Toc28209 \h </w:instrText>
          </w:r>
          <w:r>
            <w:fldChar w:fldCharType="separate"/>
          </w:r>
          <w:r>
            <w:t>8</w:t>
          </w:r>
          <w:r>
            <w:fldChar w:fldCharType="end"/>
          </w:r>
          <w:r>
            <w:fldChar w:fldCharType="end"/>
          </w:r>
        </w:p>
        <w:p w14:paraId="0367FD7B">
          <w:pPr>
            <w:pStyle w:val="22"/>
            <w:tabs>
              <w:tab w:val="right" w:leader="dot" w:pos="8406"/>
              <w:tab w:val="clear" w:pos="8296"/>
            </w:tabs>
          </w:pPr>
          <w:r>
            <w:fldChar w:fldCharType="begin"/>
          </w:r>
          <w:r>
            <w:instrText xml:space="preserve"> HYPERLINK \l _Toc27380 </w:instrText>
          </w:r>
          <w:r>
            <w:fldChar w:fldCharType="separate"/>
          </w:r>
          <w:r>
            <w:rPr>
              <w:rFonts w:hint="eastAsia" w:ascii="Times New Roman" w:hAnsi="Times New Roman" w:eastAsia="宋体" w:cs="Times New Roman"/>
              <w:bCs/>
              <w:kern w:val="0"/>
              <w:szCs w:val="24"/>
              <w:lang w:val="en-US" w:bidi="zh-CN"/>
            </w:rPr>
            <w:t>5</w:t>
          </w:r>
          <w:r>
            <w:rPr>
              <w:rFonts w:hint="eastAsia" w:ascii="Times New Roman" w:hAnsi="Times New Roman" w:eastAsia="宋体" w:cs="Times New Roman"/>
              <w:bCs/>
              <w:kern w:val="0"/>
              <w:szCs w:val="24"/>
              <w:lang w:bidi="zh-CN"/>
            </w:rPr>
            <w:t xml:space="preserve">.3 </w:t>
          </w:r>
          <w:r>
            <w:rPr>
              <w:rFonts w:ascii="Times New Roman" w:hAnsi="Times New Roman" w:eastAsia="黑体" w:cs="Times New Roman"/>
              <w:bCs/>
              <w:kern w:val="0"/>
              <w:szCs w:val="24"/>
              <w:lang w:bidi="zh-CN"/>
            </w:rPr>
            <w:t>TOD</w:t>
          </w:r>
          <w:r>
            <w:rPr>
              <w:rFonts w:hint="eastAsia" w:ascii="黑体" w:hAnsi="黑体" w:eastAsia="黑体" w:cs="Times New Roman"/>
              <w:bCs/>
              <w:kern w:val="0"/>
              <w:szCs w:val="24"/>
              <w:lang w:bidi="zh-CN"/>
            </w:rPr>
            <w:t>建设占比</w:t>
          </w:r>
          <w:r>
            <w:tab/>
          </w:r>
          <w:r>
            <w:fldChar w:fldCharType="begin"/>
          </w:r>
          <w:r>
            <w:instrText xml:space="preserve"> PAGEREF _Toc27380 \h </w:instrText>
          </w:r>
          <w:r>
            <w:fldChar w:fldCharType="separate"/>
          </w:r>
          <w:r>
            <w:t>9</w:t>
          </w:r>
          <w:r>
            <w:fldChar w:fldCharType="end"/>
          </w:r>
          <w:r>
            <w:fldChar w:fldCharType="end"/>
          </w:r>
        </w:p>
        <w:p w14:paraId="096429FC">
          <w:pPr>
            <w:pStyle w:val="18"/>
            <w:tabs>
              <w:tab w:val="right" w:leader="dot" w:pos="8406"/>
              <w:tab w:val="clear" w:pos="440"/>
              <w:tab w:val="clear" w:pos="8296"/>
            </w:tabs>
            <w:rPr>
              <w:b/>
              <w:bCs/>
            </w:rPr>
          </w:pPr>
          <w:r>
            <w:rPr>
              <w:b/>
              <w:bCs/>
            </w:rPr>
            <w:fldChar w:fldCharType="begin"/>
          </w:r>
          <w:r>
            <w:rPr>
              <w:b/>
              <w:bCs/>
            </w:rPr>
            <w:instrText xml:space="preserve"> HYPERLINK \l _Toc25847 </w:instrText>
          </w:r>
          <w:r>
            <w:rPr>
              <w:b/>
              <w:bCs/>
            </w:rPr>
            <w:fldChar w:fldCharType="separate"/>
          </w:r>
          <w:r>
            <w:rPr>
              <w:rFonts w:hint="eastAsia" w:ascii="Times New Roman" w:hAnsi="Times New Roman" w:eastAsia="宋体" w:cs="Times New Roman"/>
              <w:b/>
              <w:bCs/>
              <w:kern w:val="44"/>
              <w:szCs w:val="32"/>
              <w:lang w:val="en-US" w:bidi="zh-CN"/>
            </w:rPr>
            <w:t>6</w:t>
          </w:r>
          <w:r>
            <w:rPr>
              <w:rFonts w:ascii="Times New Roman" w:hAnsi="Times New Roman" w:eastAsia="宋体" w:cs="Times New Roman"/>
              <w:b/>
              <w:bCs/>
              <w:kern w:val="44"/>
              <w:szCs w:val="32"/>
              <w:lang w:bidi="zh-CN"/>
            </w:rPr>
            <w:t>　</w:t>
          </w:r>
          <w:r>
            <w:rPr>
              <w:rFonts w:hint="eastAsia" w:ascii="Times New Roman" w:hAnsi="Times New Roman" w:eastAsia="宋体" w:cs="Times New Roman"/>
              <w:b/>
              <w:bCs/>
              <w:kern w:val="44"/>
              <w:szCs w:val="32"/>
              <w:lang w:bidi="zh-CN"/>
            </w:rPr>
            <w:t>交通衔接效能</w:t>
          </w:r>
          <w:r>
            <w:rPr>
              <w:b/>
              <w:bCs/>
            </w:rPr>
            <w:tab/>
          </w:r>
          <w:r>
            <w:rPr>
              <w:b/>
              <w:bCs/>
            </w:rPr>
            <w:fldChar w:fldCharType="begin"/>
          </w:r>
          <w:r>
            <w:rPr>
              <w:b/>
              <w:bCs/>
            </w:rPr>
            <w:instrText xml:space="preserve"> PAGEREF _Toc25847 \h </w:instrText>
          </w:r>
          <w:r>
            <w:rPr>
              <w:b/>
              <w:bCs/>
            </w:rPr>
            <w:fldChar w:fldCharType="separate"/>
          </w:r>
          <w:r>
            <w:rPr>
              <w:b/>
              <w:bCs/>
            </w:rPr>
            <w:t>10</w:t>
          </w:r>
          <w:r>
            <w:rPr>
              <w:b/>
              <w:bCs/>
            </w:rPr>
            <w:fldChar w:fldCharType="end"/>
          </w:r>
          <w:r>
            <w:rPr>
              <w:b/>
              <w:bCs/>
            </w:rPr>
            <w:fldChar w:fldCharType="end"/>
          </w:r>
        </w:p>
        <w:p w14:paraId="51419FB4">
          <w:pPr>
            <w:pStyle w:val="22"/>
            <w:tabs>
              <w:tab w:val="right" w:leader="dot" w:pos="8406"/>
              <w:tab w:val="clear" w:pos="8296"/>
            </w:tabs>
          </w:pPr>
          <w:r>
            <w:fldChar w:fldCharType="begin"/>
          </w:r>
          <w:r>
            <w:instrText xml:space="preserve"> HYPERLINK \l _Toc29372 </w:instrText>
          </w:r>
          <w:r>
            <w:fldChar w:fldCharType="separate"/>
          </w:r>
          <w:r>
            <w:rPr>
              <w:rFonts w:hint="eastAsia" w:ascii="Times New Roman" w:hAnsi="Times New Roman" w:eastAsia="宋体" w:cs="Times New Roman"/>
              <w:bCs/>
              <w:kern w:val="0"/>
              <w:szCs w:val="24"/>
              <w:lang w:val="en-US" w:bidi="zh-CN"/>
            </w:rPr>
            <w:t>6</w:t>
          </w:r>
          <w:r>
            <w:rPr>
              <w:rFonts w:hint="eastAsia" w:ascii="Times New Roman" w:hAnsi="Times New Roman" w:eastAsia="宋体" w:cs="Times New Roman"/>
              <w:bCs/>
              <w:kern w:val="0"/>
              <w:szCs w:val="24"/>
              <w:lang w:bidi="zh-CN"/>
            </w:rPr>
            <w:t xml:space="preserve">.1 </w:t>
          </w:r>
          <w:r>
            <w:rPr>
              <w:rFonts w:hint="eastAsia" w:ascii="Times New Roman" w:hAnsi="Times New Roman" w:eastAsia="黑体" w:cs="Times New Roman"/>
              <w:bCs/>
              <w:kern w:val="0"/>
              <w:szCs w:val="24"/>
              <w:lang w:bidi="zh-CN"/>
            </w:rPr>
            <w:t>交通设施适配度</w:t>
          </w:r>
          <w:r>
            <w:tab/>
          </w:r>
          <w:r>
            <w:fldChar w:fldCharType="begin"/>
          </w:r>
          <w:r>
            <w:instrText xml:space="preserve"> PAGEREF _Toc29372 \h </w:instrText>
          </w:r>
          <w:r>
            <w:fldChar w:fldCharType="separate"/>
          </w:r>
          <w:r>
            <w:t>10</w:t>
          </w:r>
          <w:r>
            <w:fldChar w:fldCharType="end"/>
          </w:r>
          <w:r>
            <w:fldChar w:fldCharType="end"/>
          </w:r>
        </w:p>
        <w:p w14:paraId="3A35C8E2">
          <w:pPr>
            <w:pStyle w:val="22"/>
            <w:tabs>
              <w:tab w:val="right" w:leader="dot" w:pos="8406"/>
              <w:tab w:val="clear" w:pos="8296"/>
            </w:tabs>
          </w:pPr>
          <w:r>
            <w:fldChar w:fldCharType="begin"/>
          </w:r>
          <w:r>
            <w:instrText xml:space="preserve"> HYPERLINK \l _Toc12274 </w:instrText>
          </w:r>
          <w:r>
            <w:fldChar w:fldCharType="separate"/>
          </w:r>
          <w:r>
            <w:rPr>
              <w:rFonts w:hint="eastAsia" w:ascii="Times New Roman" w:hAnsi="Times New Roman" w:eastAsia="宋体" w:cs="Times New Roman"/>
              <w:bCs/>
              <w:kern w:val="0"/>
              <w:szCs w:val="24"/>
              <w:lang w:val="en-US" w:bidi="zh-CN"/>
            </w:rPr>
            <w:t>6</w:t>
          </w:r>
          <w:r>
            <w:rPr>
              <w:rFonts w:hint="eastAsia" w:ascii="Times New Roman" w:hAnsi="Times New Roman" w:eastAsia="宋体" w:cs="Times New Roman"/>
              <w:bCs/>
              <w:kern w:val="0"/>
              <w:szCs w:val="24"/>
              <w:lang w:bidi="zh-CN"/>
            </w:rPr>
            <w:t xml:space="preserve">.2 </w:t>
          </w:r>
          <w:r>
            <w:rPr>
              <w:rFonts w:hint="eastAsia" w:ascii="Times New Roman" w:hAnsi="Times New Roman" w:eastAsia="黑体" w:cs="Times New Roman"/>
              <w:bCs/>
              <w:kern w:val="0"/>
              <w:szCs w:val="24"/>
              <w:lang w:bidi="zh-CN"/>
            </w:rPr>
            <w:t>公交换乘便捷度</w:t>
          </w:r>
          <w:r>
            <w:tab/>
          </w:r>
          <w:r>
            <w:fldChar w:fldCharType="begin"/>
          </w:r>
          <w:r>
            <w:instrText xml:space="preserve"> PAGEREF _Toc12274 \h </w:instrText>
          </w:r>
          <w:r>
            <w:fldChar w:fldCharType="separate"/>
          </w:r>
          <w:r>
            <w:t>11</w:t>
          </w:r>
          <w:r>
            <w:fldChar w:fldCharType="end"/>
          </w:r>
          <w:r>
            <w:fldChar w:fldCharType="end"/>
          </w:r>
        </w:p>
        <w:p w14:paraId="4CDB85EC">
          <w:pPr>
            <w:pStyle w:val="22"/>
            <w:tabs>
              <w:tab w:val="right" w:leader="dot" w:pos="8406"/>
              <w:tab w:val="clear" w:pos="8296"/>
            </w:tabs>
          </w:pPr>
          <w:r>
            <w:fldChar w:fldCharType="begin"/>
          </w:r>
          <w:r>
            <w:instrText xml:space="preserve"> HYPERLINK \l _Toc30443 </w:instrText>
          </w:r>
          <w:r>
            <w:fldChar w:fldCharType="separate"/>
          </w:r>
          <w:r>
            <w:rPr>
              <w:rFonts w:hint="eastAsia" w:ascii="Times New Roman" w:hAnsi="Times New Roman" w:eastAsia="宋体" w:cs="Times New Roman"/>
              <w:bCs/>
              <w:kern w:val="0"/>
              <w:szCs w:val="24"/>
              <w:lang w:val="en-US" w:bidi="zh-CN"/>
            </w:rPr>
            <w:t>6</w:t>
          </w:r>
          <w:r>
            <w:rPr>
              <w:rFonts w:hint="eastAsia" w:ascii="Times New Roman" w:hAnsi="Times New Roman" w:eastAsia="宋体" w:cs="Times New Roman"/>
              <w:bCs/>
              <w:kern w:val="0"/>
              <w:szCs w:val="24"/>
              <w:lang w:bidi="zh-CN"/>
            </w:rPr>
            <w:t xml:space="preserve">.3 </w:t>
          </w:r>
          <w:r>
            <w:rPr>
              <w:rFonts w:hint="eastAsia" w:ascii="Times New Roman" w:hAnsi="Times New Roman" w:eastAsia="黑体" w:cs="Times New Roman"/>
              <w:bCs/>
              <w:kern w:val="0"/>
              <w:szCs w:val="24"/>
              <w:lang w:bidi="zh-CN"/>
            </w:rPr>
            <w:t>道路网络连通度</w:t>
          </w:r>
          <w:r>
            <w:tab/>
          </w:r>
          <w:r>
            <w:fldChar w:fldCharType="begin"/>
          </w:r>
          <w:r>
            <w:instrText xml:space="preserve"> PAGEREF _Toc30443 \h </w:instrText>
          </w:r>
          <w:r>
            <w:fldChar w:fldCharType="separate"/>
          </w:r>
          <w:r>
            <w:t>12</w:t>
          </w:r>
          <w:r>
            <w:fldChar w:fldCharType="end"/>
          </w:r>
          <w:r>
            <w:fldChar w:fldCharType="end"/>
          </w:r>
        </w:p>
        <w:p w14:paraId="00F3BF9D">
          <w:pPr>
            <w:pStyle w:val="22"/>
            <w:tabs>
              <w:tab w:val="right" w:leader="dot" w:pos="8406"/>
              <w:tab w:val="clear" w:pos="8296"/>
            </w:tabs>
          </w:pPr>
          <w:r>
            <w:fldChar w:fldCharType="begin"/>
          </w:r>
          <w:r>
            <w:instrText xml:space="preserve"> HYPERLINK \l _Toc20383 </w:instrText>
          </w:r>
          <w:r>
            <w:fldChar w:fldCharType="separate"/>
          </w:r>
          <w:r>
            <w:rPr>
              <w:rFonts w:hint="eastAsia" w:ascii="Times New Roman" w:hAnsi="Times New Roman" w:eastAsia="宋体" w:cs="Times New Roman"/>
              <w:bCs/>
              <w:kern w:val="0"/>
              <w:szCs w:val="24"/>
              <w:lang w:val="en-US" w:bidi="zh-CN"/>
            </w:rPr>
            <w:t>6</w:t>
          </w:r>
          <w:r>
            <w:rPr>
              <w:rFonts w:hint="eastAsia" w:ascii="Times New Roman" w:hAnsi="Times New Roman" w:eastAsia="宋体" w:cs="Times New Roman"/>
              <w:bCs/>
              <w:kern w:val="0"/>
              <w:szCs w:val="24"/>
              <w:lang w:bidi="zh-CN"/>
            </w:rPr>
            <w:t xml:space="preserve">.4 </w:t>
          </w:r>
          <w:r>
            <w:rPr>
              <w:rFonts w:hint="eastAsia" w:ascii="Times New Roman" w:hAnsi="Times New Roman" w:eastAsia="黑体" w:cs="Times New Roman"/>
              <w:bCs/>
              <w:kern w:val="0"/>
              <w:szCs w:val="24"/>
              <w:lang w:bidi="zh-CN"/>
            </w:rPr>
            <w:t>步行网络连通度</w:t>
          </w:r>
          <w:r>
            <w:tab/>
          </w:r>
          <w:r>
            <w:fldChar w:fldCharType="begin"/>
          </w:r>
          <w:r>
            <w:instrText xml:space="preserve"> PAGEREF _Toc20383 \h </w:instrText>
          </w:r>
          <w:r>
            <w:fldChar w:fldCharType="separate"/>
          </w:r>
          <w:r>
            <w:t>13</w:t>
          </w:r>
          <w:r>
            <w:fldChar w:fldCharType="end"/>
          </w:r>
          <w:r>
            <w:fldChar w:fldCharType="end"/>
          </w:r>
        </w:p>
        <w:p w14:paraId="02FE3F5F">
          <w:pPr>
            <w:pStyle w:val="18"/>
            <w:tabs>
              <w:tab w:val="right" w:leader="dot" w:pos="8406"/>
              <w:tab w:val="clear" w:pos="440"/>
              <w:tab w:val="clear" w:pos="8296"/>
            </w:tabs>
            <w:rPr>
              <w:b/>
              <w:bCs/>
            </w:rPr>
          </w:pPr>
          <w:r>
            <w:rPr>
              <w:b/>
              <w:bCs/>
            </w:rPr>
            <w:fldChar w:fldCharType="begin"/>
          </w:r>
          <w:r>
            <w:rPr>
              <w:b/>
              <w:bCs/>
            </w:rPr>
            <w:instrText xml:space="preserve"> HYPERLINK \l _Toc92 </w:instrText>
          </w:r>
          <w:r>
            <w:rPr>
              <w:b/>
              <w:bCs/>
            </w:rPr>
            <w:fldChar w:fldCharType="separate"/>
          </w:r>
          <w:r>
            <w:rPr>
              <w:rFonts w:hint="eastAsia" w:ascii="Times New Roman" w:hAnsi="Times New Roman" w:eastAsia="宋体" w:cs="Times New Roman"/>
              <w:b/>
              <w:bCs/>
              <w:kern w:val="44"/>
              <w:szCs w:val="32"/>
              <w:lang w:val="en-US" w:bidi="zh-CN"/>
            </w:rPr>
            <w:t>7</w:t>
          </w:r>
          <w:r>
            <w:rPr>
              <w:rFonts w:ascii="Times New Roman" w:hAnsi="Times New Roman" w:eastAsia="宋体" w:cs="Times New Roman"/>
              <w:b/>
              <w:bCs/>
              <w:kern w:val="44"/>
              <w:szCs w:val="32"/>
              <w:lang w:bidi="zh-CN"/>
            </w:rPr>
            <w:t>　</w:t>
          </w:r>
          <w:r>
            <w:rPr>
              <w:rFonts w:hint="eastAsia" w:ascii="Times New Roman" w:hAnsi="Times New Roman" w:eastAsia="宋体" w:cs="Times New Roman"/>
              <w:b/>
              <w:bCs/>
              <w:kern w:val="44"/>
              <w:szCs w:val="32"/>
              <w:lang w:bidi="zh-CN"/>
            </w:rPr>
            <w:t>功能利用效能</w:t>
          </w:r>
          <w:r>
            <w:rPr>
              <w:b/>
              <w:bCs/>
            </w:rPr>
            <w:tab/>
          </w:r>
          <w:r>
            <w:rPr>
              <w:b/>
              <w:bCs/>
            </w:rPr>
            <w:fldChar w:fldCharType="begin"/>
          </w:r>
          <w:r>
            <w:rPr>
              <w:b/>
              <w:bCs/>
            </w:rPr>
            <w:instrText xml:space="preserve"> PAGEREF _Toc92 \h </w:instrText>
          </w:r>
          <w:r>
            <w:rPr>
              <w:b/>
              <w:bCs/>
            </w:rPr>
            <w:fldChar w:fldCharType="separate"/>
          </w:r>
          <w:r>
            <w:rPr>
              <w:b/>
              <w:bCs/>
            </w:rPr>
            <w:t>14</w:t>
          </w:r>
          <w:r>
            <w:rPr>
              <w:b/>
              <w:bCs/>
            </w:rPr>
            <w:fldChar w:fldCharType="end"/>
          </w:r>
          <w:r>
            <w:rPr>
              <w:b/>
              <w:bCs/>
            </w:rPr>
            <w:fldChar w:fldCharType="end"/>
          </w:r>
        </w:p>
        <w:p w14:paraId="276C7EA6">
          <w:pPr>
            <w:pStyle w:val="22"/>
            <w:tabs>
              <w:tab w:val="right" w:leader="dot" w:pos="8406"/>
              <w:tab w:val="clear" w:pos="8296"/>
            </w:tabs>
          </w:pPr>
          <w:r>
            <w:fldChar w:fldCharType="begin"/>
          </w:r>
          <w:r>
            <w:instrText xml:space="preserve"> HYPERLINK \l _Toc12937 </w:instrText>
          </w:r>
          <w:r>
            <w:fldChar w:fldCharType="separate"/>
          </w:r>
          <w:r>
            <w:rPr>
              <w:rFonts w:hint="eastAsia" w:ascii="Times New Roman" w:hAnsi="Times New Roman" w:eastAsia="宋体" w:cs="Times New Roman"/>
              <w:bCs/>
              <w:kern w:val="0"/>
              <w:szCs w:val="24"/>
              <w:lang w:val="en-US" w:bidi="zh-CN"/>
            </w:rPr>
            <w:t>7</w:t>
          </w:r>
          <w:r>
            <w:rPr>
              <w:rFonts w:hint="eastAsia" w:ascii="Times New Roman" w:hAnsi="Times New Roman" w:eastAsia="宋体" w:cs="Times New Roman"/>
              <w:bCs/>
              <w:kern w:val="0"/>
              <w:szCs w:val="24"/>
              <w:lang w:bidi="zh-CN"/>
            </w:rPr>
            <w:t xml:space="preserve">.1 </w:t>
          </w:r>
          <w:r>
            <w:rPr>
              <w:rFonts w:hint="eastAsia" w:ascii="Times New Roman" w:hAnsi="Times New Roman" w:eastAsia="黑体" w:cs="Times New Roman"/>
              <w:bCs/>
              <w:kern w:val="0"/>
              <w:szCs w:val="24"/>
              <w:lang w:bidi="zh-CN"/>
            </w:rPr>
            <w:t>屋顶空间利用度</w:t>
          </w:r>
          <w:r>
            <w:tab/>
          </w:r>
          <w:r>
            <w:fldChar w:fldCharType="begin"/>
          </w:r>
          <w:r>
            <w:instrText xml:space="preserve"> PAGEREF _Toc12937 \h </w:instrText>
          </w:r>
          <w:r>
            <w:fldChar w:fldCharType="separate"/>
          </w:r>
          <w:r>
            <w:t>14</w:t>
          </w:r>
          <w:r>
            <w:fldChar w:fldCharType="end"/>
          </w:r>
          <w:r>
            <w:fldChar w:fldCharType="end"/>
          </w:r>
        </w:p>
        <w:p w14:paraId="216A8D7C">
          <w:pPr>
            <w:pStyle w:val="22"/>
            <w:tabs>
              <w:tab w:val="right" w:leader="dot" w:pos="8406"/>
              <w:tab w:val="clear" w:pos="8296"/>
            </w:tabs>
          </w:pPr>
          <w:r>
            <w:fldChar w:fldCharType="begin"/>
          </w:r>
          <w:r>
            <w:instrText xml:space="preserve"> HYPERLINK \l _Toc12287 </w:instrText>
          </w:r>
          <w:r>
            <w:fldChar w:fldCharType="separate"/>
          </w:r>
          <w:r>
            <w:rPr>
              <w:rFonts w:hint="eastAsia" w:ascii="Times New Roman" w:hAnsi="Times New Roman" w:eastAsia="宋体" w:cs="Times New Roman"/>
              <w:bCs/>
              <w:kern w:val="0"/>
              <w:szCs w:val="24"/>
              <w:lang w:val="en-US" w:bidi="zh-CN"/>
            </w:rPr>
            <w:t>7</w:t>
          </w:r>
          <w:r>
            <w:rPr>
              <w:rFonts w:hint="eastAsia" w:ascii="Times New Roman" w:hAnsi="Times New Roman" w:eastAsia="宋体" w:cs="Times New Roman"/>
              <w:bCs/>
              <w:kern w:val="0"/>
              <w:szCs w:val="24"/>
              <w:lang w:bidi="zh-CN"/>
            </w:rPr>
            <w:t xml:space="preserve">.2 </w:t>
          </w:r>
          <w:r>
            <w:rPr>
              <w:rFonts w:hint="eastAsia" w:ascii="Times New Roman" w:hAnsi="Times New Roman" w:eastAsia="黑体" w:cs="Times New Roman"/>
              <w:bCs/>
              <w:kern w:val="0"/>
              <w:szCs w:val="24"/>
              <w:lang w:bidi="zh-CN"/>
            </w:rPr>
            <w:t>地面畸零空间利用度</w:t>
          </w:r>
          <w:r>
            <w:tab/>
          </w:r>
          <w:r>
            <w:fldChar w:fldCharType="begin"/>
          </w:r>
          <w:r>
            <w:instrText xml:space="preserve"> PAGEREF _Toc12287 \h </w:instrText>
          </w:r>
          <w:r>
            <w:fldChar w:fldCharType="separate"/>
          </w:r>
          <w:r>
            <w:t>15</w:t>
          </w:r>
          <w:r>
            <w:fldChar w:fldCharType="end"/>
          </w:r>
          <w:r>
            <w:fldChar w:fldCharType="end"/>
          </w:r>
        </w:p>
        <w:p w14:paraId="0D16A779">
          <w:pPr>
            <w:pStyle w:val="22"/>
            <w:tabs>
              <w:tab w:val="right" w:leader="dot" w:pos="8406"/>
              <w:tab w:val="clear" w:pos="8296"/>
            </w:tabs>
          </w:pPr>
          <w:r>
            <w:fldChar w:fldCharType="begin"/>
          </w:r>
          <w:r>
            <w:instrText xml:space="preserve"> HYPERLINK \l _Toc6168 </w:instrText>
          </w:r>
          <w:r>
            <w:fldChar w:fldCharType="separate"/>
          </w:r>
          <w:r>
            <w:rPr>
              <w:rFonts w:hint="eastAsia" w:ascii="Times New Roman" w:hAnsi="Times New Roman" w:eastAsia="宋体" w:cs="Times New Roman"/>
              <w:bCs/>
              <w:kern w:val="0"/>
              <w:szCs w:val="24"/>
              <w:lang w:val="en-US" w:bidi="zh-CN"/>
            </w:rPr>
            <w:t>7</w:t>
          </w:r>
          <w:r>
            <w:rPr>
              <w:rFonts w:hint="eastAsia" w:ascii="Times New Roman" w:hAnsi="Times New Roman" w:eastAsia="宋体" w:cs="Times New Roman"/>
              <w:bCs/>
              <w:kern w:val="0"/>
              <w:szCs w:val="24"/>
              <w:lang w:bidi="zh-CN"/>
            </w:rPr>
            <w:t xml:space="preserve">.3 </w:t>
          </w:r>
          <w:r>
            <w:rPr>
              <w:rFonts w:hint="eastAsia" w:ascii="Times New Roman" w:hAnsi="Times New Roman" w:eastAsia="黑体" w:cs="Times New Roman"/>
              <w:bCs/>
              <w:kern w:val="0"/>
              <w:szCs w:val="24"/>
              <w:lang w:bidi="zh-CN"/>
            </w:rPr>
            <w:t>城市支路分时利用率</w:t>
          </w:r>
          <w:r>
            <w:tab/>
          </w:r>
          <w:r>
            <w:fldChar w:fldCharType="begin"/>
          </w:r>
          <w:r>
            <w:instrText xml:space="preserve"> PAGEREF _Toc6168 \h </w:instrText>
          </w:r>
          <w:r>
            <w:fldChar w:fldCharType="separate"/>
          </w:r>
          <w:r>
            <w:t>16</w:t>
          </w:r>
          <w:r>
            <w:fldChar w:fldCharType="end"/>
          </w:r>
          <w:r>
            <w:fldChar w:fldCharType="end"/>
          </w:r>
        </w:p>
        <w:p w14:paraId="2C45AE7B">
          <w:pPr>
            <w:pStyle w:val="18"/>
            <w:tabs>
              <w:tab w:val="right" w:leader="dot" w:pos="8406"/>
              <w:tab w:val="clear" w:pos="440"/>
              <w:tab w:val="clear" w:pos="8296"/>
            </w:tabs>
            <w:rPr>
              <w:b/>
              <w:bCs/>
            </w:rPr>
          </w:pPr>
          <w:r>
            <w:rPr>
              <w:b/>
              <w:bCs/>
            </w:rPr>
            <w:fldChar w:fldCharType="begin"/>
          </w:r>
          <w:r>
            <w:rPr>
              <w:b/>
              <w:bCs/>
            </w:rPr>
            <w:instrText xml:space="preserve"> HYPERLINK \l _Toc10510 </w:instrText>
          </w:r>
          <w:r>
            <w:rPr>
              <w:b/>
              <w:bCs/>
            </w:rPr>
            <w:fldChar w:fldCharType="separate"/>
          </w:r>
          <w:r>
            <w:rPr>
              <w:rFonts w:hint="eastAsia" w:ascii="Times New Roman" w:hAnsi="Times New Roman" w:eastAsia="宋体" w:cs="Times New Roman"/>
              <w:b/>
              <w:bCs/>
              <w:kern w:val="44"/>
              <w:szCs w:val="32"/>
              <w:lang w:bidi="zh-CN"/>
            </w:rPr>
            <w:t>8</w:t>
          </w:r>
          <w:r>
            <w:rPr>
              <w:rFonts w:ascii="Times New Roman" w:hAnsi="Times New Roman" w:eastAsia="宋体" w:cs="Times New Roman"/>
              <w:b/>
              <w:bCs/>
              <w:kern w:val="44"/>
              <w:szCs w:val="32"/>
              <w:lang w:bidi="zh-CN"/>
            </w:rPr>
            <w:t>　</w:t>
          </w:r>
          <w:r>
            <w:rPr>
              <w:rFonts w:hint="eastAsia" w:ascii="Times New Roman" w:hAnsi="Times New Roman" w:eastAsia="宋体" w:cs="Times New Roman"/>
              <w:b/>
              <w:bCs/>
              <w:kern w:val="44"/>
              <w:szCs w:val="32"/>
              <w:lang w:bidi="zh-CN"/>
            </w:rPr>
            <w:t>评估报告</w:t>
          </w:r>
          <w:r>
            <w:rPr>
              <w:b/>
              <w:bCs/>
            </w:rPr>
            <w:tab/>
          </w:r>
          <w:r>
            <w:rPr>
              <w:b/>
              <w:bCs/>
            </w:rPr>
            <w:fldChar w:fldCharType="begin"/>
          </w:r>
          <w:r>
            <w:rPr>
              <w:b/>
              <w:bCs/>
            </w:rPr>
            <w:instrText xml:space="preserve"> PAGEREF _Toc10510 \h </w:instrText>
          </w:r>
          <w:r>
            <w:rPr>
              <w:b/>
              <w:bCs/>
            </w:rPr>
            <w:fldChar w:fldCharType="separate"/>
          </w:r>
          <w:r>
            <w:rPr>
              <w:b/>
              <w:bCs/>
            </w:rPr>
            <w:t>18</w:t>
          </w:r>
          <w:r>
            <w:rPr>
              <w:b/>
              <w:bCs/>
            </w:rPr>
            <w:fldChar w:fldCharType="end"/>
          </w:r>
          <w:r>
            <w:rPr>
              <w:b/>
              <w:bCs/>
            </w:rPr>
            <w:fldChar w:fldCharType="end"/>
          </w:r>
        </w:p>
        <w:p w14:paraId="12780554">
          <w:pPr>
            <w:pStyle w:val="22"/>
            <w:tabs>
              <w:tab w:val="right" w:leader="dot" w:pos="8406"/>
              <w:tab w:val="clear" w:pos="8296"/>
            </w:tabs>
          </w:pPr>
          <w:r>
            <w:fldChar w:fldCharType="begin"/>
          </w:r>
          <w:r>
            <w:instrText xml:space="preserve"> HYPERLINK \l _Toc6750 </w:instrText>
          </w:r>
          <w:r>
            <w:fldChar w:fldCharType="separate"/>
          </w:r>
          <w:r>
            <w:rPr>
              <w:rFonts w:hint="default" w:ascii="Times New Roman" w:hAnsi="Times New Roman" w:eastAsia="黑体" w:cs="Times New Roman"/>
              <w:bCs w:val="0"/>
              <w:kern w:val="0"/>
              <w:szCs w:val="28"/>
              <w:lang w:bidi="zh-CN"/>
            </w:rPr>
            <w:t>8.1</w:t>
          </w:r>
          <w:r>
            <w:rPr>
              <w:rFonts w:hint="eastAsia" w:ascii="黑体" w:hAnsi="黑体" w:eastAsia="黑体" w:cs="黑体"/>
              <w:bCs w:val="0"/>
              <w:kern w:val="0"/>
              <w:szCs w:val="28"/>
              <w:lang w:bidi="zh-CN"/>
            </w:rPr>
            <w:t xml:space="preserve"> 一般规定</w:t>
          </w:r>
          <w:r>
            <w:tab/>
          </w:r>
          <w:r>
            <w:fldChar w:fldCharType="begin"/>
          </w:r>
          <w:r>
            <w:instrText xml:space="preserve"> PAGEREF _Toc6750 \h </w:instrText>
          </w:r>
          <w:r>
            <w:fldChar w:fldCharType="separate"/>
          </w:r>
          <w:r>
            <w:t>18</w:t>
          </w:r>
          <w:r>
            <w:fldChar w:fldCharType="end"/>
          </w:r>
          <w:r>
            <w:fldChar w:fldCharType="end"/>
          </w:r>
        </w:p>
        <w:p w14:paraId="6F216B09">
          <w:pPr>
            <w:pStyle w:val="22"/>
            <w:tabs>
              <w:tab w:val="right" w:leader="dot" w:pos="8406"/>
              <w:tab w:val="clear" w:pos="8296"/>
            </w:tabs>
          </w:pPr>
          <w:r>
            <w:fldChar w:fldCharType="begin"/>
          </w:r>
          <w:r>
            <w:instrText xml:space="preserve"> HYPERLINK \l _Toc6662 </w:instrText>
          </w:r>
          <w:r>
            <w:fldChar w:fldCharType="separate"/>
          </w:r>
          <w:r>
            <w:rPr>
              <w:rFonts w:hint="eastAsia" w:ascii="Times New Roman" w:hAnsi="Times New Roman" w:eastAsia="黑体" w:cs="Times New Roman"/>
              <w:bCs w:val="0"/>
              <w:kern w:val="0"/>
              <w:szCs w:val="28"/>
              <w:lang w:bidi="zh-CN"/>
            </w:rPr>
            <w:t>8.2</w:t>
          </w:r>
          <w:r>
            <w:rPr>
              <w:rFonts w:hint="eastAsia" w:ascii="黑体" w:hAnsi="黑体" w:eastAsia="黑体" w:cs="黑体"/>
              <w:bCs w:val="0"/>
              <w:kern w:val="0"/>
              <w:szCs w:val="28"/>
              <w:lang w:bidi="zh-CN"/>
            </w:rPr>
            <w:t xml:space="preserve"> 报告内容</w:t>
          </w:r>
          <w:r>
            <w:tab/>
          </w:r>
          <w:r>
            <w:fldChar w:fldCharType="begin"/>
          </w:r>
          <w:r>
            <w:instrText xml:space="preserve"> PAGEREF _Toc6662 \h </w:instrText>
          </w:r>
          <w:r>
            <w:fldChar w:fldCharType="separate"/>
          </w:r>
          <w:r>
            <w:t>18</w:t>
          </w:r>
          <w:r>
            <w:fldChar w:fldCharType="end"/>
          </w:r>
          <w:r>
            <w:fldChar w:fldCharType="end"/>
          </w:r>
        </w:p>
        <w:p w14:paraId="31347498">
          <w:pPr>
            <w:pStyle w:val="22"/>
            <w:tabs>
              <w:tab w:val="right" w:leader="dot" w:pos="8406"/>
              <w:tab w:val="clear" w:pos="8296"/>
            </w:tabs>
          </w:pPr>
          <w:r>
            <w:fldChar w:fldCharType="begin"/>
          </w:r>
          <w:r>
            <w:instrText xml:space="preserve"> HYPERLINK \l _Toc8116 </w:instrText>
          </w:r>
          <w:r>
            <w:fldChar w:fldCharType="separate"/>
          </w:r>
          <w:r>
            <w:rPr>
              <w:rFonts w:hint="eastAsia" w:ascii="Times New Roman" w:hAnsi="Times New Roman" w:eastAsia="黑体" w:cs="Times New Roman"/>
              <w:bCs w:val="0"/>
              <w:kern w:val="0"/>
              <w:szCs w:val="28"/>
              <w:lang w:bidi="zh-CN"/>
            </w:rPr>
            <w:t>8.3</w:t>
          </w:r>
          <w:r>
            <w:rPr>
              <w:rFonts w:hint="eastAsia" w:ascii="黑体" w:hAnsi="黑体" w:eastAsia="黑体" w:cs="黑体"/>
              <w:bCs w:val="0"/>
              <w:kern w:val="0"/>
              <w:szCs w:val="28"/>
              <w:lang w:bidi="zh-CN"/>
            </w:rPr>
            <w:t xml:space="preserve"> 附件</w:t>
          </w:r>
          <w:r>
            <w:tab/>
          </w:r>
          <w:r>
            <w:fldChar w:fldCharType="begin"/>
          </w:r>
          <w:r>
            <w:instrText xml:space="preserve"> PAGEREF _Toc8116 \h </w:instrText>
          </w:r>
          <w:r>
            <w:fldChar w:fldCharType="separate"/>
          </w:r>
          <w:r>
            <w:t>18</w:t>
          </w:r>
          <w:r>
            <w:fldChar w:fldCharType="end"/>
          </w:r>
          <w:r>
            <w:fldChar w:fldCharType="end"/>
          </w:r>
        </w:p>
        <w:p w14:paraId="1B6B59D0">
          <w:pPr>
            <w:pStyle w:val="18"/>
            <w:tabs>
              <w:tab w:val="right" w:leader="dot" w:pos="8406"/>
              <w:tab w:val="clear" w:pos="440"/>
              <w:tab w:val="clear" w:pos="8296"/>
            </w:tabs>
            <w:rPr>
              <w:b/>
              <w:bCs/>
            </w:rPr>
          </w:pPr>
          <w:r>
            <w:rPr>
              <w:b/>
              <w:bCs/>
            </w:rPr>
            <w:fldChar w:fldCharType="begin"/>
          </w:r>
          <w:r>
            <w:rPr>
              <w:b/>
              <w:bCs/>
            </w:rPr>
            <w:instrText xml:space="preserve"> HYPERLINK \l _Toc17005 </w:instrText>
          </w:r>
          <w:r>
            <w:rPr>
              <w:b/>
              <w:bCs/>
            </w:rPr>
            <w:fldChar w:fldCharType="separate"/>
          </w:r>
          <w:r>
            <w:rPr>
              <w:rFonts w:hint="eastAsia" w:ascii="Times New Roman" w:hAnsi="Times New Roman" w:eastAsia="宋体" w:cs="Times New Roman"/>
              <w:b/>
              <w:bCs/>
              <w:kern w:val="44"/>
              <w:szCs w:val="32"/>
              <w:lang w:bidi="zh-CN"/>
            </w:rPr>
            <w:t>用词说明</w:t>
          </w:r>
          <w:r>
            <w:rPr>
              <w:b/>
              <w:bCs/>
            </w:rPr>
            <w:tab/>
          </w:r>
          <w:r>
            <w:rPr>
              <w:b/>
              <w:bCs/>
            </w:rPr>
            <w:fldChar w:fldCharType="begin"/>
          </w:r>
          <w:r>
            <w:rPr>
              <w:b/>
              <w:bCs/>
            </w:rPr>
            <w:instrText xml:space="preserve"> PAGEREF _Toc17005 \h </w:instrText>
          </w:r>
          <w:r>
            <w:rPr>
              <w:b/>
              <w:bCs/>
            </w:rPr>
            <w:fldChar w:fldCharType="separate"/>
          </w:r>
          <w:r>
            <w:rPr>
              <w:b/>
              <w:bCs/>
            </w:rPr>
            <w:t>20</w:t>
          </w:r>
          <w:r>
            <w:rPr>
              <w:b/>
              <w:bCs/>
            </w:rPr>
            <w:fldChar w:fldCharType="end"/>
          </w:r>
          <w:r>
            <w:rPr>
              <w:b/>
              <w:bCs/>
            </w:rPr>
            <w:fldChar w:fldCharType="end"/>
          </w:r>
        </w:p>
        <w:p w14:paraId="5C3FD903">
          <w:pPr>
            <w:pStyle w:val="18"/>
            <w:tabs>
              <w:tab w:val="right" w:leader="dot" w:pos="8406"/>
              <w:tab w:val="clear" w:pos="440"/>
              <w:tab w:val="clear" w:pos="8296"/>
            </w:tabs>
            <w:rPr>
              <w:b/>
              <w:bCs/>
            </w:rPr>
          </w:pPr>
          <w:r>
            <w:rPr>
              <w:b/>
              <w:bCs/>
            </w:rPr>
            <w:fldChar w:fldCharType="begin"/>
          </w:r>
          <w:r>
            <w:rPr>
              <w:b/>
              <w:bCs/>
            </w:rPr>
            <w:instrText xml:space="preserve"> HYPERLINK \l _Toc14828 </w:instrText>
          </w:r>
          <w:r>
            <w:rPr>
              <w:b/>
              <w:bCs/>
            </w:rPr>
            <w:fldChar w:fldCharType="separate"/>
          </w:r>
          <w:r>
            <w:rPr>
              <w:rFonts w:hint="eastAsia" w:ascii="Times New Roman" w:hAnsi="Times New Roman" w:eastAsia="宋体" w:cs="Times New Roman"/>
              <w:b/>
              <w:bCs/>
              <w:kern w:val="44"/>
              <w:szCs w:val="32"/>
              <w:lang w:bidi="zh-CN"/>
            </w:rPr>
            <w:t>引用标准目录</w:t>
          </w:r>
          <w:r>
            <w:rPr>
              <w:b/>
              <w:bCs/>
            </w:rPr>
            <w:tab/>
          </w:r>
          <w:r>
            <w:rPr>
              <w:b/>
              <w:bCs/>
            </w:rPr>
            <w:fldChar w:fldCharType="begin"/>
          </w:r>
          <w:r>
            <w:rPr>
              <w:b/>
              <w:bCs/>
            </w:rPr>
            <w:instrText xml:space="preserve"> PAGEREF _Toc14828 \h </w:instrText>
          </w:r>
          <w:r>
            <w:rPr>
              <w:b/>
              <w:bCs/>
            </w:rPr>
            <w:fldChar w:fldCharType="separate"/>
          </w:r>
          <w:r>
            <w:rPr>
              <w:b/>
              <w:bCs/>
            </w:rPr>
            <w:t>21</w:t>
          </w:r>
          <w:r>
            <w:rPr>
              <w:b/>
              <w:bCs/>
            </w:rPr>
            <w:fldChar w:fldCharType="end"/>
          </w:r>
          <w:r>
            <w:rPr>
              <w:b/>
              <w:bCs/>
            </w:rPr>
            <w:fldChar w:fldCharType="end"/>
          </w:r>
        </w:p>
        <w:p w14:paraId="6DEA7C5A">
          <w:pPr>
            <w:spacing w:before="0" w:beforeLines="0" w:after="0" w:afterLines="0" w:line="240" w:lineRule="auto"/>
            <w:ind w:left="0" w:leftChars="0" w:right="0" w:rightChars="0" w:firstLine="0" w:firstLineChars="0"/>
            <w:jc w:val="center"/>
          </w:pPr>
          <w:r>
            <w:fldChar w:fldCharType="end"/>
          </w:r>
        </w:p>
      </w:sdtContent>
    </w:sdt>
    <w:p w14:paraId="39DC1857">
      <w:pPr>
        <w:keepNext/>
        <w:keepLines/>
        <w:tabs>
          <w:tab w:val="left" w:pos="-376"/>
        </w:tabs>
        <w:overflowPunct w:val="0"/>
        <w:spacing w:before="156" w:beforeLines="50" w:after="156" w:afterLines="50" w:line="360" w:lineRule="auto"/>
        <w:ind w:left="425" w:hanging="425"/>
        <w:jc w:val="center"/>
        <w:outlineLvl w:val="9"/>
        <w:rPr>
          <w:rFonts w:ascii="Times New Roman" w:hAnsi="Times New Roman" w:eastAsia="宋体" w:cs="Times New Roman"/>
          <w:b/>
          <w:kern w:val="44"/>
          <w:sz w:val="32"/>
          <w:szCs w:val="32"/>
          <w:lang w:val="en-US" w:eastAsia="zh-CN" w:bidi="zh-CN"/>
        </w:rPr>
        <w:sectPr>
          <w:footerReference r:id="rId6" w:type="default"/>
          <w:footerReference r:id="rId7" w:type="even"/>
          <w:pgSz w:w="11906" w:h="16838"/>
          <w:pgMar w:top="1440" w:right="1700" w:bottom="1440" w:left="1800" w:header="851" w:footer="992" w:gutter="0"/>
          <w:cols w:space="425" w:num="1"/>
          <w:docGrid w:type="lines" w:linePitch="312" w:charSpace="0"/>
        </w:sectPr>
      </w:pPr>
      <w:bookmarkStart w:id="4" w:name="_Toc195281683"/>
      <w:bookmarkStart w:id="5" w:name="_Toc94165780"/>
      <w:bookmarkStart w:id="6" w:name="_Toc193834321"/>
      <w:bookmarkStart w:id="7" w:name="_Toc14812"/>
    </w:p>
    <w:sdt>
      <w:sdtPr>
        <w:rPr>
          <w:rFonts w:ascii="Times New Roman" w:hAnsi="Times New Roman" w:eastAsia="宋体" w:cs="Times New Roman"/>
          <w:b/>
          <w:kern w:val="44"/>
          <w:sz w:val="32"/>
          <w:szCs w:val="32"/>
          <w:lang w:val="en-US" w:eastAsia="zh-CN" w:bidi="zh-CN"/>
        </w:rPr>
        <w:id w:val="-1197618236"/>
        <w:docPartObj>
          <w:docPartGallery w:val="Table of Contents"/>
          <w:docPartUnique/>
        </w:docPartObj>
      </w:sdtPr>
      <w:sdtEndPr>
        <w:rPr>
          <w:rFonts w:ascii="Times New Roman" w:hAnsi="Times New Roman" w:eastAsia="仿宋" w:cs="Times New Roman"/>
          <w:b/>
          <w:bCs/>
          <w:kern w:val="2"/>
          <w:sz w:val="21"/>
          <w:szCs w:val="22"/>
          <w:lang w:val="zh-CN" w:eastAsia="zh-CN" w:bidi="ar-SA"/>
        </w:rPr>
      </w:sdtEndPr>
      <w:sdtContent>
        <w:p w14:paraId="17A7C177">
          <w:pPr>
            <w:keepNext/>
            <w:keepLines/>
            <w:tabs>
              <w:tab w:val="left" w:pos="-376"/>
            </w:tabs>
            <w:overflowPunct w:val="0"/>
            <w:spacing w:before="156" w:beforeLines="50" w:after="156" w:afterLines="50" w:line="360" w:lineRule="auto"/>
            <w:ind w:left="425" w:hanging="425"/>
            <w:jc w:val="center"/>
            <w:outlineLvl w:val="9"/>
            <w:rPr>
              <w:rFonts w:ascii="Times New Roman" w:hAnsi="Times New Roman" w:eastAsia="宋体" w:cs="Times New Roman"/>
              <w:b/>
              <w:kern w:val="44"/>
              <w:sz w:val="32"/>
              <w:szCs w:val="32"/>
              <w:lang w:bidi="zh-CN"/>
            </w:rPr>
          </w:pPr>
          <w:r>
            <w:rPr>
              <w:rFonts w:ascii="Times New Roman" w:hAnsi="Times New Roman" w:eastAsia="宋体" w:cs="Times New Roman"/>
              <w:b/>
              <w:kern w:val="44"/>
              <w:sz w:val="32"/>
              <w:szCs w:val="32"/>
              <w:lang w:bidi="zh-CN"/>
            </w:rPr>
            <w:t>Contents</w:t>
          </w:r>
        </w:p>
      </w:sdtContent>
    </w:sdt>
    <w:p w14:paraId="19B5AD0D">
      <w:pPr>
        <w:tabs>
          <w:tab w:val="right" w:leader="dot" w:pos="8296"/>
        </w:tabs>
        <w:overflowPunct w:val="0"/>
        <w:adjustRightInd w:val="0"/>
        <w:snapToGrid w:val="0"/>
        <w:spacing w:line="360" w:lineRule="auto"/>
        <w:contextualSpacing/>
        <w:rPr>
          <w:rFonts w:ascii="Times New Roman" w:hAnsi="Times New Roman" w:eastAsia="宋体" w:cs="Times New Roman"/>
          <w:b/>
          <w:bCs/>
          <w:sz w:val="24"/>
          <w:szCs w:val="24"/>
        </w:rPr>
      </w:pPr>
      <w:r>
        <w:rPr>
          <w:b/>
          <w:bCs/>
        </w:rPr>
        <w:fldChar w:fldCharType="begin"/>
      </w:r>
      <w:r>
        <w:rPr>
          <w:b/>
          <w:bCs/>
        </w:rPr>
        <w:instrText xml:space="preserve"> HYPERLINK \l "_Toc80719905" </w:instrText>
      </w:r>
      <w:r>
        <w:rPr>
          <w:b/>
          <w:bCs/>
        </w:rPr>
        <w:fldChar w:fldCharType="separate"/>
      </w:r>
      <w:r>
        <w:rPr>
          <w:rFonts w:ascii="Times New Roman" w:hAnsi="Times New Roman" w:eastAsia="宋体" w:cs="Times New Roman"/>
          <w:b/>
          <w:bCs/>
          <w:kern w:val="44"/>
          <w:sz w:val="24"/>
          <w:szCs w:val="24"/>
        </w:rPr>
        <w:t xml:space="preserve">1　General </w:t>
      </w:r>
      <w:r>
        <w:rPr>
          <w:rFonts w:hint="eastAsia" w:ascii="Times New Roman" w:hAnsi="Times New Roman" w:eastAsia="宋体" w:cs="Times New Roman"/>
          <w:b/>
          <w:bCs/>
          <w:kern w:val="44"/>
          <w:sz w:val="24"/>
          <w:szCs w:val="24"/>
          <w:lang w:val="en-US" w:eastAsia="zh-CN"/>
        </w:rPr>
        <w:t>P</w:t>
      </w:r>
      <w:r>
        <w:rPr>
          <w:rFonts w:ascii="Times New Roman" w:hAnsi="Times New Roman" w:eastAsia="宋体" w:cs="Times New Roman"/>
          <w:b/>
          <w:bCs/>
          <w:kern w:val="44"/>
          <w:sz w:val="24"/>
          <w:szCs w:val="24"/>
        </w:rPr>
        <w:t>rovisions</w:t>
      </w:r>
      <w:r>
        <w:rPr>
          <w:rFonts w:ascii="Times New Roman" w:hAnsi="Times New Roman" w:eastAsia="宋体" w:cs="Times New Roman"/>
          <w:b/>
          <w:bCs/>
          <w:kern w:val="44"/>
          <w:sz w:val="24"/>
          <w:szCs w:val="24"/>
        </w:rPr>
        <w:tab/>
      </w:r>
      <w:r>
        <w:rPr>
          <w:rFonts w:ascii="Times New Roman" w:hAnsi="Times New Roman" w:eastAsia="宋体" w:cs="Times New Roman"/>
          <w:b/>
          <w:bCs/>
          <w:kern w:val="44"/>
          <w:sz w:val="24"/>
          <w:szCs w:val="24"/>
        </w:rPr>
        <w:t>1</w:t>
      </w:r>
      <w:r>
        <w:rPr>
          <w:rFonts w:ascii="Times New Roman" w:hAnsi="Times New Roman" w:eastAsia="宋体" w:cs="Times New Roman"/>
          <w:b/>
          <w:bCs/>
          <w:kern w:val="44"/>
          <w:sz w:val="24"/>
          <w:szCs w:val="24"/>
        </w:rPr>
        <w:fldChar w:fldCharType="end"/>
      </w:r>
    </w:p>
    <w:p w14:paraId="69BC95C0">
      <w:pPr>
        <w:tabs>
          <w:tab w:val="right" w:leader="dot" w:pos="8296"/>
        </w:tabs>
        <w:overflowPunct w:val="0"/>
        <w:adjustRightInd w:val="0"/>
        <w:snapToGrid w:val="0"/>
        <w:spacing w:line="360" w:lineRule="auto"/>
        <w:contextualSpacing/>
        <w:rPr>
          <w:rFonts w:ascii="Times New Roman" w:hAnsi="Times New Roman" w:eastAsia="宋体" w:cs="Times New Roman"/>
          <w:b/>
          <w:bCs/>
          <w:kern w:val="44"/>
          <w:sz w:val="24"/>
          <w:szCs w:val="24"/>
        </w:rPr>
      </w:pPr>
      <w:r>
        <w:rPr>
          <w:b/>
          <w:bCs/>
        </w:rPr>
        <w:fldChar w:fldCharType="begin"/>
      </w:r>
      <w:r>
        <w:rPr>
          <w:b/>
          <w:bCs/>
        </w:rPr>
        <w:instrText xml:space="preserve"> HYPERLINK \l "_Toc80719906" </w:instrText>
      </w:r>
      <w:r>
        <w:rPr>
          <w:b/>
          <w:bCs/>
        </w:rPr>
        <w:fldChar w:fldCharType="separate"/>
      </w:r>
      <w:r>
        <w:rPr>
          <w:rFonts w:ascii="Times New Roman" w:hAnsi="Times New Roman" w:eastAsia="宋体" w:cs="Times New Roman"/>
          <w:b/>
          <w:bCs/>
          <w:kern w:val="44"/>
          <w:sz w:val="24"/>
          <w:szCs w:val="24"/>
        </w:rPr>
        <w:t>2　Terms</w:t>
      </w:r>
      <w:r>
        <w:rPr>
          <w:rFonts w:ascii="Times New Roman" w:hAnsi="Times New Roman" w:eastAsia="宋体" w:cs="Times New Roman"/>
          <w:b/>
          <w:bCs/>
          <w:kern w:val="44"/>
          <w:sz w:val="24"/>
          <w:szCs w:val="24"/>
        </w:rPr>
        <w:tab/>
      </w:r>
      <w:r>
        <w:rPr>
          <w:rFonts w:ascii="Times New Roman" w:hAnsi="Times New Roman" w:eastAsia="宋体" w:cs="Times New Roman"/>
          <w:b/>
          <w:bCs/>
          <w:kern w:val="44"/>
          <w:sz w:val="24"/>
          <w:szCs w:val="24"/>
        </w:rPr>
        <w:t>.2</w:t>
      </w:r>
      <w:r>
        <w:rPr>
          <w:rFonts w:ascii="Times New Roman" w:hAnsi="Times New Roman" w:eastAsia="宋体" w:cs="Times New Roman"/>
          <w:b/>
          <w:bCs/>
          <w:kern w:val="44"/>
          <w:sz w:val="24"/>
          <w:szCs w:val="24"/>
        </w:rPr>
        <w:fldChar w:fldCharType="end"/>
      </w:r>
    </w:p>
    <w:p w14:paraId="53133600">
      <w:pPr>
        <w:tabs>
          <w:tab w:val="right" w:leader="dot" w:pos="8296"/>
        </w:tabs>
        <w:overflowPunct w:val="0"/>
        <w:adjustRightInd w:val="0"/>
        <w:snapToGrid w:val="0"/>
        <w:spacing w:line="360" w:lineRule="auto"/>
        <w:contextualSpacing/>
        <w:rPr>
          <w:rFonts w:ascii="Times New Roman" w:hAnsi="Times New Roman" w:eastAsia="宋体" w:cs="Times New Roman"/>
          <w:b/>
          <w:bCs/>
          <w:sz w:val="24"/>
          <w:szCs w:val="24"/>
        </w:rPr>
      </w:pPr>
      <w:r>
        <w:rPr>
          <w:b/>
          <w:bCs/>
        </w:rPr>
        <w:fldChar w:fldCharType="begin"/>
      </w:r>
      <w:r>
        <w:rPr>
          <w:b/>
          <w:bCs/>
        </w:rPr>
        <w:instrText xml:space="preserve"> HYPERLINK \l "_Toc80719907" </w:instrText>
      </w:r>
      <w:r>
        <w:rPr>
          <w:b/>
          <w:bCs/>
        </w:rPr>
        <w:fldChar w:fldCharType="separate"/>
      </w:r>
      <w:r>
        <w:rPr>
          <w:rFonts w:ascii="Times New Roman" w:hAnsi="Times New Roman" w:eastAsia="宋体" w:cs="Times New Roman"/>
          <w:b/>
          <w:bCs/>
          <w:kern w:val="44"/>
          <w:sz w:val="24"/>
          <w:szCs w:val="24"/>
        </w:rPr>
        <w:t>3　Evaluation Procedure</w:t>
      </w:r>
      <w:r>
        <w:rPr>
          <w:rFonts w:ascii="Times New Roman" w:hAnsi="Times New Roman" w:eastAsia="宋体" w:cs="Times New Roman"/>
          <w:b/>
          <w:bCs/>
          <w:kern w:val="44"/>
          <w:sz w:val="24"/>
          <w:szCs w:val="24"/>
        </w:rPr>
        <w:tab/>
      </w:r>
      <w:r>
        <w:rPr>
          <w:rFonts w:ascii="Times New Roman" w:hAnsi="Times New Roman" w:eastAsia="宋体" w:cs="Times New Roman"/>
          <w:b/>
          <w:bCs/>
          <w:kern w:val="44"/>
          <w:sz w:val="24"/>
          <w:szCs w:val="24"/>
        </w:rPr>
        <w:t>3</w:t>
      </w:r>
      <w:r>
        <w:rPr>
          <w:rFonts w:ascii="Times New Roman" w:hAnsi="Times New Roman" w:eastAsia="宋体" w:cs="Times New Roman"/>
          <w:b/>
          <w:bCs/>
          <w:kern w:val="44"/>
          <w:sz w:val="24"/>
          <w:szCs w:val="24"/>
        </w:rPr>
        <w:fldChar w:fldCharType="end"/>
      </w:r>
    </w:p>
    <w:p w14:paraId="02C9D247">
      <w:pPr>
        <w:tabs>
          <w:tab w:val="right" w:leader="dot" w:pos="8296"/>
        </w:tabs>
        <w:overflowPunct w:val="0"/>
        <w:adjustRightInd w:val="0"/>
        <w:snapToGrid w:val="0"/>
        <w:spacing w:line="360" w:lineRule="auto"/>
        <w:contextualSpacing/>
        <w:rPr>
          <w:rFonts w:ascii="Times New Roman" w:hAnsi="Times New Roman" w:eastAsia="宋体" w:cs="Times New Roman"/>
          <w:b/>
          <w:bCs/>
          <w:sz w:val="24"/>
          <w:szCs w:val="24"/>
        </w:rPr>
      </w:pPr>
      <w:r>
        <w:rPr>
          <w:b/>
          <w:bCs/>
        </w:rPr>
        <w:fldChar w:fldCharType="begin"/>
      </w:r>
      <w:r>
        <w:rPr>
          <w:b/>
          <w:bCs/>
        </w:rPr>
        <w:instrText xml:space="preserve"> HYPERLINK \l "_Toc80719907" </w:instrText>
      </w:r>
      <w:r>
        <w:rPr>
          <w:b/>
          <w:bCs/>
        </w:rPr>
        <w:fldChar w:fldCharType="separate"/>
      </w:r>
      <w:r>
        <w:rPr>
          <w:rFonts w:hint="eastAsia" w:ascii="Times New Roman" w:hAnsi="Times New Roman" w:eastAsia="宋体" w:cs="Times New Roman"/>
          <w:b/>
          <w:bCs/>
          <w:kern w:val="44"/>
          <w:sz w:val="24"/>
          <w:szCs w:val="24"/>
          <w:lang w:val="en-US" w:eastAsia="zh-CN"/>
        </w:rPr>
        <w:t>4</w:t>
      </w:r>
      <w:r>
        <w:rPr>
          <w:rFonts w:ascii="Times New Roman" w:hAnsi="Times New Roman" w:eastAsia="宋体" w:cs="Times New Roman"/>
          <w:b/>
          <w:bCs/>
          <w:kern w:val="44"/>
          <w:sz w:val="24"/>
          <w:szCs w:val="24"/>
        </w:rPr>
        <w:t xml:space="preserve">　Basic </w:t>
      </w:r>
      <w:r>
        <w:rPr>
          <w:rFonts w:hint="eastAsia" w:ascii="Times New Roman" w:hAnsi="Times New Roman" w:eastAsia="宋体" w:cs="Times New Roman"/>
          <w:b/>
          <w:bCs/>
          <w:kern w:val="44"/>
          <w:sz w:val="24"/>
          <w:szCs w:val="24"/>
          <w:lang w:val="en-US" w:eastAsia="zh-CN"/>
        </w:rPr>
        <w:t>R</w:t>
      </w:r>
      <w:r>
        <w:rPr>
          <w:rFonts w:ascii="Times New Roman" w:hAnsi="Times New Roman" w:eastAsia="宋体" w:cs="Times New Roman"/>
          <w:b/>
          <w:bCs/>
          <w:kern w:val="44"/>
          <w:sz w:val="24"/>
          <w:szCs w:val="24"/>
        </w:rPr>
        <w:t>equirements</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lang w:val="en-US" w:eastAsia="zh-CN"/>
        </w:rPr>
        <w:t>5</w:t>
      </w:r>
      <w:r>
        <w:rPr>
          <w:rFonts w:ascii="Times New Roman" w:hAnsi="Times New Roman" w:eastAsia="宋体" w:cs="Times New Roman"/>
          <w:b/>
          <w:bCs/>
          <w:kern w:val="44"/>
          <w:sz w:val="24"/>
          <w:szCs w:val="24"/>
        </w:rPr>
        <w:fldChar w:fldCharType="end"/>
      </w:r>
    </w:p>
    <w:p w14:paraId="13949402">
      <w:pPr>
        <w:tabs>
          <w:tab w:val="right" w:leader="dot" w:pos="8296"/>
        </w:tabs>
        <w:overflowPunct w:val="0"/>
        <w:adjustRightInd w:val="0"/>
        <w:snapToGrid w:val="0"/>
        <w:spacing w:line="360" w:lineRule="auto"/>
        <w:ind w:left="420" w:leftChars="200"/>
        <w:rPr>
          <w:rFonts w:hint="eastAsia"/>
        </w:rPr>
      </w:pPr>
      <w:r>
        <w:fldChar w:fldCharType="begin"/>
      </w:r>
      <w:r>
        <w:instrText xml:space="preserve"> HYPERLINK \l "_Toc80719908" </w:instrText>
      </w:r>
      <w:r>
        <w:fldChar w:fldCharType="separate"/>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 xml:space="preserve">.1　Evaluation </w:t>
      </w:r>
      <w:r>
        <w:rPr>
          <w:rFonts w:hint="eastAsia" w:ascii="Times New Roman" w:hAnsi="Times New Roman" w:eastAsia="宋体" w:cs="Times New Roman"/>
          <w:sz w:val="24"/>
          <w:szCs w:val="24"/>
          <w:lang w:val="en-US" w:eastAsia="zh-CN"/>
        </w:rPr>
        <w:t>R</w:t>
      </w:r>
      <w:r>
        <w:rPr>
          <w:rFonts w:hint="eastAsia" w:ascii="Times New Roman" w:hAnsi="Times New Roman" w:eastAsia="宋体" w:cs="Times New Roman"/>
          <w:sz w:val="24"/>
          <w:szCs w:val="24"/>
        </w:rPr>
        <w:t>equirements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rPr>
        <w:fldChar w:fldCharType="end"/>
      </w:r>
    </w:p>
    <w:p w14:paraId="1CD5E1D1">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rPr>
        <w:t>.2</w:t>
      </w:r>
      <w:r>
        <w:rPr>
          <w:rFonts w:ascii="Times New Roman" w:hAnsi="Times New Roman" w:eastAsia="宋体" w:cs="Times New Roman"/>
          <w:sz w:val="24"/>
          <w:szCs w:val="24"/>
        </w:rPr>
        <w:t>　</w:t>
      </w:r>
      <w:r>
        <w:rPr>
          <w:rFonts w:hint="eastAsia" w:ascii="Times New Roman" w:hAnsi="Times New Roman" w:eastAsia="宋体" w:cs="Times New Roman"/>
          <w:sz w:val="24"/>
          <w:szCs w:val="24"/>
        </w:rPr>
        <w:t xml:space="preserve">Evaluation </w:t>
      </w:r>
      <w:r>
        <w:rPr>
          <w:rFonts w:hint="eastAsia" w:ascii="Times New Roman" w:hAnsi="Times New Roman" w:eastAsia="宋体" w:cs="Times New Roman"/>
          <w:sz w:val="24"/>
          <w:szCs w:val="24"/>
          <w:lang w:val="en-US" w:eastAsia="zh-CN"/>
        </w:rPr>
        <w:t>I</w:t>
      </w:r>
      <w:r>
        <w:rPr>
          <w:rFonts w:hint="eastAsia" w:ascii="Times New Roman" w:hAnsi="Times New Roman" w:eastAsia="宋体" w:cs="Times New Roman"/>
          <w:sz w:val="24"/>
          <w:szCs w:val="24"/>
        </w:rPr>
        <w:t xml:space="preserve">ndicator </w:t>
      </w:r>
      <w:r>
        <w:rPr>
          <w:rFonts w:hint="eastAsia" w:ascii="Times New Roman" w:hAnsi="Times New Roman" w:eastAsia="宋体" w:cs="Times New Roman"/>
          <w:sz w:val="24"/>
          <w:szCs w:val="24"/>
          <w:lang w:val="en-US" w:eastAsia="zh-CN"/>
        </w:rPr>
        <w:t>S</w:t>
      </w:r>
      <w:r>
        <w:rPr>
          <w:rFonts w:hint="eastAsia" w:ascii="Times New Roman" w:hAnsi="Times New Roman" w:eastAsia="宋体" w:cs="Times New Roman"/>
          <w:sz w:val="24"/>
          <w:szCs w:val="24"/>
        </w:rPr>
        <w:t>ystem</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5</w:t>
      </w:r>
    </w:p>
    <w:p w14:paraId="5D62FD67">
      <w:pPr>
        <w:tabs>
          <w:tab w:val="right" w:leader="dot" w:pos="8296"/>
        </w:tabs>
        <w:overflowPunct w:val="0"/>
        <w:adjustRightInd w:val="0"/>
        <w:snapToGrid w:val="0"/>
        <w:spacing w:line="360" w:lineRule="auto"/>
        <w:contextualSpacing/>
        <w:rPr>
          <w:rFonts w:hint="eastAsia" w:ascii="Times New Roman" w:hAnsi="Times New Roman" w:eastAsia="宋体" w:cs="Times New Roman"/>
          <w:b/>
          <w:bCs/>
          <w:kern w:val="44"/>
          <w:sz w:val="24"/>
          <w:szCs w:val="24"/>
        </w:rPr>
      </w:pPr>
      <w:r>
        <w:rPr>
          <w:b/>
          <w:bCs/>
        </w:rPr>
        <w:fldChar w:fldCharType="begin"/>
      </w:r>
      <w:r>
        <w:rPr>
          <w:b/>
          <w:bCs/>
        </w:rPr>
        <w:instrText xml:space="preserve"> HYPERLINK \l "_Toc80719910" </w:instrText>
      </w:r>
      <w:r>
        <w:rPr>
          <w:b/>
          <w:bCs/>
        </w:rPr>
        <w:fldChar w:fldCharType="separate"/>
      </w:r>
      <w:r>
        <w:rPr>
          <w:rFonts w:hint="eastAsia" w:ascii="Times New Roman" w:hAnsi="Times New Roman" w:eastAsia="宋体" w:cs="Times New Roman"/>
          <w:b/>
          <w:bCs/>
          <w:kern w:val="44"/>
          <w:sz w:val="24"/>
          <w:szCs w:val="24"/>
          <w:lang w:val="en-US" w:eastAsia="zh-CN"/>
        </w:rPr>
        <w:t>5</w:t>
      </w:r>
      <w:r>
        <w:rPr>
          <w:rFonts w:ascii="Times New Roman" w:hAnsi="Times New Roman" w:eastAsia="宋体" w:cs="Times New Roman"/>
          <w:b/>
          <w:bCs/>
          <w:kern w:val="44"/>
          <w:sz w:val="24"/>
          <w:szCs w:val="24"/>
        </w:rPr>
        <w:t>　</w:t>
      </w:r>
      <w:r>
        <w:rPr>
          <w:rFonts w:hint="eastAsia" w:ascii="Times New Roman" w:hAnsi="Times New Roman" w:eastAsia="宋体" w:cs="Times New Roman"/>
          <w:b/>
          <w:bCs/>
          <w:kern w:val="44"/>
          <w:sz w:val="24"/>
          <w:szCs w:val="24"/>
        </w:rPr>
        <w:t xml:space="preserve">Spatial </w:t>
      </w:r>
      <w:r>
        <w:rPr>
          <w:rFonts w:hint="eastAsia" w:ascii="Times New Roman" w:hAnsi="Times New Roman" w:eastAsia="宋体" w:cs="Times New Roman"/>
          <w:b/>
          <w:bCs/>
          <w:kern w:val="44"/>
          <w:sz w:val="24"/>
          <w:szCs w:val="24"/>
          <w:lang w:val="en-US" w:eastAsia="zh-CN"/>
        </w:rPr>
        <w:t>I</w:t>
      </w:r>
      <w:r>
        <w:rPr>
          <w:rFonts w:hint="eastAsia" w:ascii="Times New Roman" w:hAnsi="Times New Roman" w:eastAsia="宋体" w:cs="Times New Roman"/>
          <w:b/>
          <w:bCs/>
          <w:kern w:val="44"/>
          <w:sz w:val="24"/>
          <w:szCs w:val="24"/>
        </w:rPr>
        <w:t xml:space="preserve">ntensification </w:t>
      </w:r>
      <w:r>
        <w:rPr>
          <w:rFonts w:hint="eastAsia" w:ascii="Times New Roman" w:hAnsi="Times New Roman" w:eastAsia="宋体" w:cs="Times New Roman"/>
          <w:b/>
          <w:bCs/>
          <w:kern w:val="44"/>
          <w:sz w:val="24"/>
          <w:szCs w:val="24"/>
          <w:lang w:val="en-US" w:eastAsia="zh-CN"/>
        </w:rPr>
        <w:t>E</w:t>
      </w:r>
      <w:r>
        <w:rPr>
          <w:rFonts w:hint="eastAsia" w:ascii="Times New Roman" w:hAnsi="Times New Roman" w:eastAsia="宋体" w:cs="Times New Roman"/>
          <w:b/>
          <w:bCs/>
          <w:kern w:val="44"/>
          <w:sz w:val="24"/>
          <w:szCs w:val="24"/>
        </w:rPr>
        <w:t>fficiency</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lang w:val="en-US" w:eastAsia="zh-CN"/>
        </w:rPr>
        <w:t>7</w:t>
      </w:r>
      <w:r>
        <w:rPr>
          <w:rFonts w:hint="eastAsia" w:ascii="Times New Roman" w:hAnsi="Times New Roman" w:eastAsia="宋体" w:cs="Times New Roman"/>
          <w:b/>
          <w:bCs/>
          <w:kern w:val="44"/>
          <w:sz w:val="24"/>
          <w:szCs w:val="24"/>
        </w:rPr>
        <w:fldChar w:fldCharType="end"/>
      </w:r>
    </w:p>
    <w:p w14:paraId="0C850480">
      <w:pPr>
        <w:tabs>
          <w:tab w:val="right" w:leader="dot" w:pos="8296"/>
        </w:tabs>
        <w:overflowPunct w:val="0"/>
        <w:adjustRightInd w:val="0"/>
        <w:snapToGrid w:val="0"/>
        <w:spacing w:line="360" w:lineRule="auto"/>
        <w:ind w:left="420" w:leftChars="200"/>
        <w:rPr>
          <w:rFonts w:hint="eastAsia"/>
        </w:rPr>
      </w:pPr>
      <w:r>
        <w:fldChar w:fldCharType="begin"/>
      </w:r>
      <w:r>
        <w:instrText xml:space="preserve"> HYPERLINK \l "_Toc80719908" </w:instrText>
      </w:r>
      <w:r>
        <w:fldChar w:fldCharType="separate"/>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rPr>
        <w:t>.1　</w:t>
      </w:r>
      <w:r>
        <w:rPr>
          <w:rFonts w:hint="eastAsia" w:ascii="Times New Roman" w:hAnsi="Times New Roman" w:eastAsia="宋体" w:cs="Times New Roman"/>
          <w:sz w:val="24"/>
          <w:szCs w:val="24"/>
        </w:rPr>
        <w:t>Integrated Layout Ratio of Municipal Facilities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fldChar w:fldCharType="end"/>
      </w:r>
    </w:p>
    <w:p w14:paraId="3C4D9435">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.2</w:t>
      </w:r>
      <w:r>
        <w:rPr>
          <w:rFonts w:ascii="Times New Roman" w:hAnsi="Times New Roman" w:eastAsia="宋体" w:cs="Times New Roman"/>
          <w:sz w:val="24"/>
          <w:szCs w:val="24"/>
        </w:rPr>
        <w:t>　</w:t>
      </w:r>
      <w:r>
        <w:rPr>
          <w:rFonts w:hint="eastAsia" w:ascii="Times New Roman" w:hAnsi="Times New Roman" w:eastAsia="宋体" w:cs="Times New Roman"/>
          <w:sz w:val="24"/>
          <w:szCs w:val="24"/>
        </w:rPr>
        <w:t>Integrated Layout Ratio of Sanitation Facilities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8</w:t>
      </w:r>
    </w:p>
    <w:p w14:paraId="1D003FDD">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kern w:val="44"/>
          <w:sz w:val="24"/>
          <w:szCs w:val="24"/>
        </w:rPr>
      </w:pPr>
      <w:r>
        <w:fldChar w:fldCharType="begin"/>
      </w:r>
      <w:r>
        <w:instrText xml:space="preserve"> HYPERLINK \l "_Toc80719909" </w:instrText>
      </w:r>
      <w:r>
        <w:fldChar w:fldCharType="separate"/>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w:t>
      </w:r>
      <w:r>
        <w:rPr>
          <w:rFonts w:hint="eastAsia" w:ascii="Times New Roman" w:hAnsi="Times New Roman" w:eastAsia="宋体" w:cs="Times New Roman"/>
          <w:sz w:val="24"/>
          <w:szCs w:val="24"/>
        </w:rPr>
        <w:t>Proportion of TOD Development</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9</w:t>
      </w:r>
      <w:r>
        <w:rPr>
          <w:rFonts w:hint="eastAsia" w:ascii="Times New Roman" w:hAnsi="Times New Roman" w:eastAsia="宋体" w:cs="Times New Roman"/>
          <w:sz w:val="24"/>
          <w:szCs w:val="24"/>
        </w:rPr>
        <w:fldChar w:fldCharType="end"/>
      </w:r>
    </w:p>
    <w:p w14:paraId="2C19D9B2">
      <w:pPr>
        <w:tabs>
          <w:tab w:val="right" w:leader="dot" w:pos="8296"/>
        </w:tabs>
        <w:overflowPunct w:val="0"/>
        <w:adjustRightInd w:val="0"/>
        <w:snapToGrid w:val="0"/>
        <w:spacing w:line="360" w:lineRule="auto"/>
        <w:contextualSpacing/>
        <w:rPr>
          <w:rFonts w:ascii="Times New Roman" w:hAnsi="Times New Roman" w:eastAsia="宋体" w:cs="Times New Roman"/>
          <w:b/>
          <w:bCs/>
          <w:sz w:val="24"/>
          <w:szCs w:val="24"/>
        </w:rPr>
      </w:pPr>
      <w:r>
        <w:rPr>
          <w:b/>
          <w:bCs/>
        </w:rPr>
        <w:fldChar w:fldCharType="begin"/>
      </w:r>
      <w:r>
        <w:rPr>
          <w:b/>
          <w:bCs/>
        </w:rPr>
        <w:instrText xml:space="preserve"> HYPERLINK \l "_Toc80719913" </w:instrText>
      </w:r>
      <w:r>
        <w:rPr>
          <w:b/>
          <w:bCs/>
        </w:rPr>
        <w:fldChar w:fldCharType="separate"/>
      </w:r>
      <w:r>
        <w:rPr>
          <w:rFonts w:hint="eastAsia" w:ascii="Times New Roman" w:hAnsi="Times New Roman" w:eastAsia="宋体" w:cs="Times New Roman"/>
          <w:b/>
          <w:bCs/>
          <w:kern w:val="44"/>
          <w:sz w:val="24"/>
          <w:szCs w:val="24"/>
          <w:lang w:val="en-US" w:eastAsia="zh-CN"/>
        </w:rPr>
        <w:t>6</w:t>
      </w:r>
      <w:r>
        <w:rPr>
          <w:rFonts w:ascii="Times New Roman" w:hAnsi="Times New Roman" w:eastAsia="宋体" w:cs="Times New Roman"/>
          <w:b/>
          <w:bCs/>
          <w:kern w:val="44"/>
          <w:sz w:val="24"/>
          <w:szCs w:val="24"/>
        </w:rPr>
        <w:t>　</w:t>
      </w:r>
      <w:r>
        <w:rPr>
          <w:rFonts w:hint="eastAsia" w:ascii="Times New Roman" w:hAnsi="Times New Roman" w:eastAsia="宋体" w:cs="Times New Roman"/>
          <w:b/>
          <w:bCs/>
          <w:kern w:val="44"/>
          <w:sz w:val="24"/>
          <w:szCs w:val="24"/>
        </w:rPr>
        <w:t xml:space="preserve">Traffic connection </w:t>
      </w:r>
      <w:r>
        <w:rPr>
          <w:rFonts w:hint="eastAsia" w:ascii="Times New Roman" w:hAnsi="Times New Roman" w:eastAsia="宋体" w:cs="Times New Roman"/>
          <w:b/>
          <w:bCs/>
          <w:kern w:val="0"/>
          <w:sz w:val="24"/>
          <w:szCs w:val="24"/>
          <w:lang w:val="en-US" w:bidi="zh-CN"/>
        </w:rPr>
        <w:t>E</w:t>
      </w:r>
      <w:r>
        <w:rPr>
          <w:rFonts w:hint="eastAsia" w:ascii="Times New Roman" w:hAnsi="Times New Roman" w:eastAsia="宋体" w:cs="Times New Roman"/>
          <w:b/>
          <w:bCs/>
          <w:kern w:val="0"/>
          <w:sz w:val="24"/>
          <w:szCs w:val="24"/>
          <w:lang w:bidi="zh-CN"/>
        </w:rPr>
        <w:t>fficiency</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lang w:val="en-US" w:eastAsia="zh-CN"/>
        </w:rPr>
        <w:t>1</w:t>
      </w:r>
      <w:r>
        <w:rPr>
          <w:rFonts w:hint="eastAsia" w:ascii="Times New Roman" w:hAnsi="Times New Roman" w:eastAsia="宋体" w:cs="Times New Roman"/>
          <w:b/>
          <w:bCs/>
          <w:kern w:val="44"/>
          <w:sz w:val="24"/>
          <w:szCs w:val="24"/>
        </w:rPr>
        <w:fldChar w:fldCharType="end"/>
      </w:r>
      <w:r>
        <w:rPr>
          <w:rFonts w:hint="eastAsia" w:ascii="Times New Roman" w:hAnsi="Times New Roman" w:eastAsia="宋体" w:cs="Times New Roman"/>
          <w:b/>
          <w:bCs/>
          <w:kern w:val="44"/>
          <w:sz w:val="24"/>
          <w:szCs w:val="24"/>
          <w:lang w:val="en-US" w:eastAsia="zh-CN"/>
        </w:rPr>
        <w:t>0</w:t>
      </w:r>
      <w:r>
        <w:rPr>
          <w:rFonts w:ascii="Times New Roman" w:hAnsi="Times New Roman" w:eastAsia="宋体" w:cs="Times New Roman"/>
          <w:b/>
          <w:bCs/>
          <w:sz w:val="24"/>
          <w:szCs w:val="24"/>
        </w:rPr>
        <w:t xml:space="preserve"> </w:t>
      </w:r>
    </w:p>
    <w:p w14:paraId="586DB0AF">
      <w:pPr>
        <w:tabs>
          <w:tab w:val="right" w:leader="dot" w:pos="8296"/>
        </w:tabs>
        <w:overflowPunct w:val="0"/>
        <w:adjustRightInd w:val="0"/>
        <w:snapToGrid w:val="0"/>
        <w:spacing w:line="360" w:lineRule="auto"/>
        <w:ind w:left="420" w:leftChars="200"/>
        <w:rPr>
          <w:rFonts w:hint="eastAsia" w:eastAsia="宋体"/>
          <w:lang w:val="en-US" w:eastAsia="zh-CN"/>
        </w:rPr>
      </w:pPr>
      <w:r>
        <w:fldChar w:fldCharType="begin"/>
      </w:r>
      <w:r>
        <w:instrText xml:space="preserve"> HYPERLINK \l "_Toc80719908" </w:instrText>
      </w:r>
      <w:r>
        <w:fldChar w:fldCharType="separate"/>
      </w:r>
      <w:r>
        <w:rPr>
          <w:rFonts w:hint="eastAsia" w:ascii="Times New Roman" w:hAnsi="Times New Roman" w:eastAsia="宋体" w:cs="Times New Roman"/>
          <w:sz w:val="24"/>
          <w:szCs w:val="24"/>
          <w:lang w:val="en-US" w:eastAsia="zh-CN"/>
        </w:rPr>
        <w:t>6</w:t>
      </w:r>
      <w:r>
        <w:rPr>
          <w:rFonts w:ascii="Times New Roman" w:hAnsi="Times New Roman" w:eastAsia="宋体" w:cs="Times New Roman"/>
          <w:sz w:val="24"/>
          <w:szCs w:val="24"/>
        </w:rPr>
        <w:t>.1　Compatibility of Transport Facilities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0</w:t>
      </w:r>
    </w:p>
    <w:p w14:paraId="26B3D2DC">
      <w:pPr>
        <w:tabs>
          <w:tab w:val="right" w:leader="dot" w:pos="8296"/>
        </w:tabs>
        <w:overflowPunct w:val="0"/>
        <w:adjustRightInd w:val="0"/>
        <w:snapToGrid w:val="0"/>
        <w:spacing w:line="360" w:lineRule="auto"/>
        <w:ind w:left="420" w:left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rPr>
        <w:t>.2</w:t>
      </w:r>
      <w:r>
        <w:rPr>
          <w:rFonts w:ascii="Times New Roman" w:hAnsi="Times New Roman" w:eastAsia="宋体" w:cs="Times New Roman"/>
          <w:sz w:val="24"/>
          <w:szCs w:val="24"/>
        </w:rPr>
        <w:t>　Convenience of Public Transport Transfers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11</w:t>
      </w:r>
    </w:p>
    <w:p w14:paraId="08EB66C5">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sz w:val="24"/>
          <w:szCs w:val="24"/>
          <w:lang w:val="en-US" w:eastAsia="zh-CN"/>
        </w:rPr>
      </w:pPr>
      <w:r>
        <w:fldChar w:fldCharType="begin"/>
      </w:r>
      <w:r>
        <w:instrText xml:space="preserve"> HYPERLINK \l "_Toc80719909" </w:instrText>
      </w:r>
      <w:r>
        <w:fldChar w:fldCharType="separate"/>
      </w:r>
      <w:r>
        <w:rPr>
          <w:rFonts w:hint="eastAsia" w:ascii="Times New Roman" w:hAnsi="Times New Roman" w:eastAsia="宋体" w:cs="Times New Roman"/>
          <w:sz w:val="24"/>
          <w:szCs w:val="24"/>
          <w:lang w:val="en-US" w:eastAsia="zh-CN"/>
        </w:rPr>
        <w:t>6</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Road Network Connectivity</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2</w:t>
      </w:r>
    </w:p>
    <w:p w14:paraId="478798D3">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sz w:val="24"/>
          <w:szCs w:val="24"/>
          <w:lang w:val="en-US" w:eastAsia="zh-CN"/>
        </w:rPr>
      </w:pPr>
      <w:r>
        <w:fldChar w:fldCharType="begin"/>
      </w:r>
      <w:r>
        <w:instrText xml:space="preserve"> HYPERLINK \l "_Toc80719909" </w:instrText>
      </w:r>
      <w:r>
        <w:fldChar w:fldCharType="separate"/>
      </w:r>
      <w:r>
        <w:rPr>
          <w:rFonts w:hint="eastAsia" w:ascii="Times New Roman" w:hAnsi="Times New Roman" w:eastAsia="宋体" w:cs="Times New Roman"/>
          <w:sz w:val="24"/>
          <w:szCs w:val="24"/>
          <w:lang w:val="en-US" w:eastAsia="zh-CN"/>
        </w:rPr>
        <w:t>6</w:t>
      </w: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　Pedestrian Network Connectivity</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3</w:t>
      </w:r>
    </w:p>
    <w:p w14:paraId="543AF62C">
      <w:pPr>
        <w:tabs>
          <w:tab w:val="right" w:leader="dot" w:pos="8296"/>
        </w:tabs>
        <w:overflowPunct w:val="0"/>
        <w:adjustRightInd w:val="0"/>
        <w:snapToGrid w:val="0"/>
        <w:spacing w:line="360" w:lineRule="auto"/>
        <w:contextualSpacing/>
        <w:rPr>
          <w:rFonts w:hint="eastAsia" w:ascii="Times New Roman" w:hAnsi="Times New Roman" w:eastAsia="宋体" w:cs="Times New Roman"/>
          <w:b/>
          <w:bCs/>
          <w:kern w:val="44"/>
          <w:sz w:val="24"/>
          <w:szCs w:val="24"/>
        </w:rPr>
      </w:pPr>
      <w:r>
        <w:rPr>
          <w:b/>
          <w:bCs/>
        </w:rPr>
        <w:fldChar w:fldCharType="begin"/>
      </w:r>
      <w:r>
        <w:rPr>
          <w:b/>
          <w:bCs/>
        </w:rPr>
        <w:instrText xml:space="preserve"> HYPERLINK \l "_Toc80719916" </w:instrText>
      </w:r>
      <w:r>
        <w:rPr>
          <w:b/>
          <w:bCs/>
        </w:rPr>
        <w:fldChar w:fldCharType="separate"/>
      </w:r>
      <w:r>
        <w:rPr>
          <w:rFonts w:hint="eastAsia" w:ascii="Times New Roman" w:hAnsi="Times New Roman" w:eastAsia="宋体" w:cs="Times New Roman"/>
          <w:b/>
          <w:bCs/>
          <w:kern w:val="44"/>
          <w:sz w:val="24"/>
          <w:szCs w:val="24"/>
          <w:lang w:val="en-US" w:eastAsia="zh-CN"/>
        </w:rPr>
        <w:t>7</w:t>
      </w:r>
      <w:r>
        <w:rPr>
          <w:rFonts w:ascii="Times New Roman" w:hAnsi="Times New Roman" w:eastAsia="宋体" w:cs="Times New Roman"/>
          <w:b/>
          <w:bCs/>
          <w:kern w:val="44"/>
          <w:sz w:val="24"/>
          <w:szCs w:val="24"/>
        </w:rPr>
        <w:t>　</w:t>
      </w:r>
      <w:r>
        <w:rPr>
          <w:rFonts w:hint="eastAsia" w:ascii="Times New Roman" w:hAnsi="Times New Roman" w:eastAsia="宋体" w:cs="Times New Roman"/>
          <w:b/>
          <w:bCs/>
          <w:kern w:val="44"/>
          <w:sz w:val="24"/>
          <w:szCs w:val="24"/>
        </w:rPr>
        <w:t xml:space="preserve">Functional utilization </w:t>
      </w:r>
      <w:r>
        <w:rPr>
          <w:rFonts w:hint="eastAsia" w:ascii="Times New Roman" w:hAnsi="Times New Roman" w:eastAsia="宋体" w:cs="Times New Roman"/>
          <w:b/>
          <w:bCs/>
          <w:kern w:val="0"/>
          <w:sz w:val="24"/>
          <w:szCs w:val="24"/>
          <w:lang w:val="en-US" w:bidi="zh-CN"/>
        </w:rPr>
        <w:t>E</w:t>
      </w:r>
      <w:r>
        <w:rPr>
          <w:rFonts w:hint="eastAsia" w:ascii="Times New Roman" w:hAnsi="Times New Roman" w:eastAsia="宋体" w:cs="Times New Roman"/>
          <w:b/>
          <w:bCs/>
          <w:kern w:val="0"/>
          <w:sz w:val="24"/>
          <w:szCs w:val="24"/>
          <w:lang w:bidi="zh-CN"/>
        </w:rPr>
        <w:t>fficiency</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rPr>
        <w:t>1</w:t>
      </w:r>
      <w:r>
        <w:rPr>
          <w:rFonts w:hint="eastAsia" w:ascii="Times New Roman" w:hAnsi="Times New Roman" w:eastAsia="宋体" w:cs="Times New Roman"/>
          <w:b/>
          <w:bCs/>
          <w:kern w:val="44"/>
          <w:sz w:val="24"/>
          <w:szCs w:val="24"/>
          <w:lang w:val="en-US" w:eastAsia="zh-CN"/>
        </w:rPr>
        <w:t>4</w:t>
      </w:r>
      <w:r>
        <w:rPr>
          <w:rFonts w:hint="eastAsia" w:ascii="Times New Roman" w:hAnsi="Times New Roman" w:eastAsia="宋体" w:cs="Times New Roman"/>
          <w:b/>
          <w:bCs/>
          <w:kern w:val="44"/>
          <w:sz w:val="24"/>
          <w:szCs w:val="24"/>
        </w:rPr>
        <w:fldChar w:fldCharType="end"/>
      </w:r>
    </w:p>
    <w:p w14:paraId="585C77B8">
      <w:pPr>
        <w:tabs>
          <w:tab w:val="right" w:leader="dot" w:pos="8296"/>
        </w:tabs>
        <w:overflowPunct w:val="0"/>
        <w:adjustRightInd w:val="0"/>
        <w:snapToGrid w:val="0"/>
        <w:spacing w:line="360" w:lineRule="auto"/>
        <w:ind w:left="420" w:leftChars="200"/>
        <w:rPr>
          <w:rFonts w:hint="eastAsia" w:eastAsia="宋体"/>
          <w:lang w:val="en-US" w:eastAsia="zh-CN"/>
        </w:rPr>
      </w:pPr>
      <w:r>
        <w:fldChar w:fldCharType="begin"/>
      </w:r>
      <w:r>
        <w:instrText xml:space="preserve"> HYPERLINK \l "_Toc80719908" </w:instrText>
      </w:r>
      <w:r>
        <w:fldChar w:fldCharType="separate"/>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t>.1　</w:t>
      </w:r>
      <w:r>
        <w:rPr>
          <w:rFonts w:hint="eastAsia" w:ascii="Times New Roman" w:hAnsi="Times New Roman" w:eastAsia="宋体" w:cs="Times New Roman"/>
          <w:sz w:val="24"/>
          <w:szCs w:val="24"/>
        </w:rPr>
        <w:t>Utilization Degree of Rooftop Space</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4</w:t>
      </w:r>
    </w:p>
    <w:p w14:paraId="5E4D9B20">
      <w:pPr>
        <w:tabs>
          <w:tab w:val="right" w:leader="dot" w:pos="8296"/>
        </w:tabs>
        <w:overflowPunct w:val="0"/>
        <w:adjustRightInd w:val="0"/>
        <w:snapToGrid w:val="0"/>
        <w:spacing w:line="360" w:lineRule="auto"/>
        <w:ind w:left="420" w:left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rPr>
        <w:t>.2</w:t>
      </w:r>
      <w:r>
        <w:rPr>
          <w:rFonts w:ascii="Times New Roman" w:hAnsi="Times New Roman" w:eastAsia="宋体" w:cs="Times New Roman"/>
          <w:sz w:val="24"/>
          <w:szCs w:val="24"/>
        </w:rPr>
        <w:t>　</w:t>
      </w:r>
      <w:r>
        <w:rPr>
          <w:rFonts w:hint="eastAsia" w:ascii="Times New Roman" w:hAnsi="Times New Roman" w:eastAsia="宋体" w:cs="Times New Roman"/>
          <w:sz w:val="24"/>
          <w:szCs w:val="24"/>
        </w:rPr>
        <w:t>Utilization Degree of Irregular Ground-level Space</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15</w:t>
      </w:r>
    </w:p>
    <w:p w14:paraId="1F9885BE">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sz w:val="24"/>
          <w:szCs w:val="24"/>
          <w:lang w:val="en-US" w:eastAsia="zh-CN"/>
        </w:rPr>
      </w:pPr>
      <w:r>
        <w:fldChar w:fldCharType="begin"/>
      </w:r>
      <w:r>
        <w:instrText xml:space="preserve"> HYPERLINK \l "_Toc80719909" </w:instrText>
      </w:r>
      <w:r>
        <w:fldChar w:fldCharType="separate"/>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w:t>
      </w:r>
      <w:r>
        <w:rPr>
          <w:rFonts w:hint="eastAsia" w:ascii="Times New Roman" w:hAnsi="Times New Roman" w:eastAsia="宋体" w:cs="Times New Roman"/>
          <w:sz w:val="24"/>
          <w:szCs w:val="24"/>
        </w:rPr>
        <w:t>Time-sharing Utilization Rate of Urban Local Streets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6</w:t>
      </w:r>
    </w:p>
    <w:p w14:paraId="4F6A9637">
      <w:pPr>
        <w:tabs>
          <w:tab w:val="right" w:leader="dot" w:pos="8296"/>
        </w:tabs>
        <w:overflowPunct w:val="0"/>
        <w:adjustRightInd w:val="0"/>
        <w:snapToGrid w:val="0"/>
        <w:spacing w:line="360" w:lineRule="auto"/>
        <w:contextualSpacing/>
        <w:rPr>
          <w:rFonts w:hint="eastAsia" w:ascii="Times New Roman" w:hAnsi="Times New Roman" w:eastAsia="宋体" w:cs="Times New Roman"/>
          <w:b/>
          <w:bCs/>
          <w:kern w:val="44"/>
          <w:sz w:val="24"/>
          <w:szCs w:val="24"/>
        </w:rPr>
      </w:pPr>
      <w:r>
        <w:rPr>
          <w:b/>
          <w:bCs/>
        </w:rPr>
        <w:fldChar w:fldCharType="begin"/>
      </w:r>
      <w:r>
        <w:rPr>
          <w:b/>
          <w:bCs/>
        </w:rPr>
        <w:instrText xml:space="preserve"> HYPERLINK \l "_Toc80719916" </w:instrText>
      </w:r>
      <w:r>
        <w:rPr>
          <w:b/>
          <w:bCs/>
        </w:rPr>
        <w:fldChar w:fldCharType="separate"/>
      </w:r>
      <w:r>
        <w:rPr>
          <w:rFonts w:hint="eastAsia" w:ascii="Times New Roman" w:hAnsi="Times New Roman" w:eastAsia="宋体" w:cs="Times New Roman"/>
          <w:b/>
          <w:bCs/>
          <w:kern w:val="44"/>
          <w:sz w:val="24"/>
          <w:szCs w:val="24"/>
          <w:lang w:val="en-US" w:eastAsia="zh-CN"/>
        </w:rPr>
        <w:t>8</w:t>
      </w:r>
      <w:r>
        <w:rPr>
          <w:rFonts w:ascii="Times New Roman" w:hAnsi="Times New Roman" w:eastAsia="宋体" w:cs="Times New Roman"/>
          <w:b/>
          <w:bCs/>
          <w:kern w:val="44"/>
          <w:sz w:val="24"/>
          <w:szCs w:val="24"/>
        </w:rPr>
        <w:t>　</w:t>
      </w:r>
      <w:r>
        <w:rPr>
          <w:rFonts w:hint="eastAsia" w:ascii="Times New Roman" w:hAnsi="Times New Roman" w:eastAsia="宋体" w:cs="Times New Roman"/>
          <w:b/>
          <w:bCs/>
          <w:kern w:val="44"/>
          <w:sz w:val="24"/>
          <w:szCs w:val="24"/>
        </w:rPr>
        <w:t>Evaluation Report</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rPr>
        <w:t>1</w:t>
      </w:r>
      <w:r>
        <w:rPr>
          <w:rFonts w:hint="eastAsia" w:ascii="Times New Roman" w:hAnsi="Times New Roman" w:eastAsia="宋体" w:cs="Times New Roman"/>
          <w:b/>
          <w:bCs/>
          <w:kern w:val="44"/>
          <w:sz w:val="24"/>
          <w:szCs w:val="24"/>
          <w:lang w:val="en-US" w:eastAsia="zh-CN"/>
        </w:rPr>
        <w:t>8</w:t>
      </w:r>
      <w:r>
        <w:rPr>
          <w:rFonts w:hint="eastAsia" w:ascii="Times New Roman" w:hAnsi="Times New Roman" w:eastAsia="宋体" w:cs="Times New Roman"/>
          <w:b/>
          <w:bCs/>
          <w:kern w:val="44"/>
          <w:sz w:val="24"/>
          <w:szCs w:val="24"/>
        </w:rPr>
        <w:fldChar w:fldCharType="end"/>
      </w:r>
    </w:p>
    <w:p w14:paraId="62201B41">
      <w:pPr>
        <w:tabs>
          <w:tab w:val="right" w:leader="dot" w:pos="8296"/>
        </w:tabs>
        <w:overflowPunct w:val="0"/>
        <w:adjustRightInd w:val="0"/>
        <w:snapToGrid w:val="0"/>
        <w:spacing w:line="360" w:lineRule="auto"/>
        <w:ind w:left="420" w:leftChars="200"/>
        <w:rPr>
          <w:rFonts w:hint="eastAsia" w:eastAsia="宋体"/>
          <w:lang w:val="en-US" w:eastAsia="zh-CN"/>
        </w:rPr>
      </w:pPr>
      <w:r>
        <w:fldChar w:fldCharType="begin"/>
      </w:r>
      <w:r>
        <w:instrText xml:space="preserve"> HYPERLINK \l "_Toc80719908" </w:instrText>
      </w:r>
      <w:r>
        <w:fldChar w:fldCharType="separate"/>
      </w:r>
      <w:r>
        <w:rPr>
          <w:rFonts w:hint="eastAsia" w:ascii="Times New Roman" w:hAnsi="Times New Roman" w:eastAsia="宋体" w:cs="Times New Roman"/>
          <w:sz w:val="24"/>
          <w:szCs w:val="24"/>
          <w:lang w:val="en-US" w:eastAsia="zh-CN"/>
        </w:rPr>
        <w:t>8</w:t>
      </w:r>
      <w:r>
        <w:rPr>
          <w:rFonts w:ascii="Times New Roman" w:hAnsi="Times New Roman" w:eastAsia="宋体" w:cs="Times New Roman"/>
          <w:sz w:val="24"/>
          <w:szCs w:val="24"/>
        </w:rPr>
        <w:t>.1　</w:t>
      </w:r>
      <w:r>
        <w:rPr>
          <w:rFonts w:hint="eastAsia" w:ascii="Times New Roman" w:hAnsi="Times New Roman" w:eastAsia="宋体" w:cs="Times New Roman"/>
          <w:sz w:val="24"/>
          <w:szCs w:val="24"/>
        </w:rPr>
        <w:t>General Provisions</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8</w:t>
      </w:r>
    </w:p>
    <w:p w14:paraId="4B9F8879">
      <w:pPr>
        <w:tabs>
          <w:tab w:val="right" w:leader="dot" w:pos="8296"/>
        </w:tabs>
        <w:overflowPunct w:val="0"/>
        <w:adjustRightInd w:val="0"/>
        <w:snapToGrid w:val="0"/>
        <w:spacing w:line="360" w:lineRule="auto"/>
        <w:ind w:left="420" w:left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8</w:t>
      </w:r>
      <w:r>
        <w:rPr>
          <w:rFonts w:hint="eastAsia" w:ascii="Times New Roman" w:hAnsi="Times New Roman" w:eastAsia="宋体" w:cs="Times New Roman"/>
          <w:sz w:val="24"/>
          <w:szCs w:val="24"/>
        </w:rPr>
        <w:t>.2</w:t>
      </w:r>
      <w:r>
        <w:rPr>
          <w:rFonts w:ascii="Times New Roman" w:hAnsi="Times New Roman" w:eastAsia="宋体" w:cs="Times New Roman"/>
          <w:sz w:val="24"/>
          <w:szCs w:val="24"/>
        </w:rPr>
        <w:t>　</w:t>
      </w:r>
      <w:r>
        <w:rPr>
          <w:rFonts w:hint="eastAsia" w:ascii="Times New Roman" w:hAnsi="Times New Roman" w:eastAsia="宋体" w:cs="Times New Roman"/>
          <w:sz w:val="24"/>
          <w:szCs w:val="24"/>
        </w:rPr>
        <w:t>Report Content</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18</w:t>
      </w:r>
    </w:p>
    <w:p w14:paraId="07FF3B3A">
      <w:pPr>
        <w:tabs>
          <w:tab w:val="right" w:leader="dot" w:pos="8296"/>
        </w:tabs>
        <w:overflowPunct w:val="0"/>
        <w:adjustRightInd w:val="0"/>
        <w:snapToGrid w:val="0"/>
        <w:spacing w:line="360" w:lineRule="auto"/>
        <w:ind w:left="420" w:leftChars="200"/>
        <w:rPr>
          <w:rFonts w:hint="eastAsia" w:ascii="Times New Roman" w:hAnsi="Times New Roman" w:eastAsia="宋体" w:cs="Times New Roman"/>
          <w:sz w:val="24"/>
          <w:szCs w:val="24"/>
          <w:lang w:val="en-US" w:eastAsia="zh-CN"/>
        </w:rPr>
      </w:pPr>
      <w:r>
        <w:fldChar w:fldCharType="begin"/>
      </w:r>
      <w:r>
        <w:instrText xml:space="preserve"> HYPERLINK \l "_Toc80719909" </w:instrText>
      </w:r>
      <w:r>
        <w:fldChar w:fldCharType="separate"/>
      </w:r>
      <w:r>
        <w:rPr>
          <w:rFonts w:hint="eastAsia" w:ascii="Times New Roman" w:hAnsi="Times New Roman" w:eastAsia="宋体" w:cs="Times New Roman"/>
          <w:sz w:val="24"/>
          <w:szCs w:val="24"/>
          <w:lang w:val="en-US" w:eastAsia="zh-CN"/>
        </w:rPr>
        <w:t>8</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w:t>
      </w:r>
      <w:r>
        <w:rPr>
          <w:rFonts w:hint="eastAsia" w:ascii="Times New Roman" w:hAnsi="Times New Roman" w:eastAsia="宋体" w:cs="Times New Roman"/>
          <w:sz w:val="24"/>
          <w:szCs w:val="24"/>
        </w:rPr>
        <w:t>Attachment</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8</w:t>
      </w:r>
    </w:p>
    <w:p w14:paraId="5AE7148A">
      <w:pPr>
        <w:tabs>
          <w:tab w:val="right" w:leader="dot" w:pos="8296"/>
        </w:tabs>
        <w:overflowPunct w:val="0"/>
        <w:adjustRightInd w:val="0"/>
        <w:snapToGrid w:val="0"/>
        <w:spacing w:line="360" w:lineRule="auto"/>
        <w:contextualSpacing/>
        <w:rPr>
          <w:rFonts w:hint="eastAsia" w:ascii="Times New Roman" w:hAnsi="Times New Roman" w:eastAsia="宋体" w:cs="Times New Roman"/>
          <w:b/>
          <w:bCs/>
          <w:kern w:val="44"/>
          <w:sz w:val="24"/>
          <w:szCs w:val="24"/>
          <w:lang w:val="en-US" w:eastAsia="zh-CN"/>
        </w:rPr>
      </w:pPr>
      <w:r>
        <w:rPr>
          <w:b/>
          <w:bCs/>
        </w:rPr>
        <w:fldChar w:fldCharType="begin"/>
      </w:r>
      <w:r>
        <w:rPr>
          <w:b/>
          <w:bCs/>
        </w:rPr>
        <w:instrText xml:space="preserve"> HYPERLINK \l "_Toc80719935" </w:instrText>
      </w:r>
      <w:r>
        <w:rPr>
          <w:b/>
          <w:bCs/>
        </w:rPr>
        <w:fldChar w:fldCharType="separate"/>
      </w:r>
      <w:r>
        <w:rPr>
          <w:rFonts w:hint="eastAsia" w:ascii="Times New Roman" w:hAnsi="Times New Roman" w:eastAsia="宋体" w:cs="Times New Roman"/>
          <w:b/>
          <w:bCs/>
          <w:kern w:val="44"/>
          <w:sz w:val="24"/>
          <w:szCs w:val="24"/>
        </w:rPr>
        <w:t>Glossary</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lang w:val="en-US" w:eastAsia="zh-CN"/>
        </w:rPr>
        <w:t>2</w:t>
      </w:r>
      <w:r>
        <w:rPr>
          <w:rFonts w:hint="eastAsia" w:ascii="Times New Roman" w:hAnsi="Times New Roman" w:eastAsia="宋体" w:cs="Times New Roman"/>
          <w:b/>
          <w:bCs/>
          <w:kern w:val="44"/>
          <w:sz w:val="24"/>
          <w:szCs w:val="24"/>
        </w:rPr>
        <w:fldChar w:fldCharType="end"/>
      </w:r>
      <w:r>
        <w:rPr>
          <w:rFonts w:hint="eastAsia" w:ascii="Times New Roman" w:hAnsi="Times New Roman" w:eastAsia="宋体" w:cs="Times New Roman"/>
          <w:b/>
          <w:bCs/>
          <w:kern w:val="44"/>
          <w:sz w:val="24"/>
          <w:szCs w:val="24"/>
          <w:lang w:val="en-US" w:eastAsia="zh-CN"/>
        </w:rPr>
        <w:t>0</w:t>
      </w:r>
    </w:p>
    <w:p w14:paraId="6E0BCF0B">
      <w:pPr>
        <w:tabs>
          <w:tab w:val="right" w:leader="dot" w:pos="8296"/>
        </w:tabs>
        <w:overflowPunct w:val="0"/>
        <w:adjustRightInd w:val="0"/>
        <w:snapToGrid w:val="0"/>
        <w:spacing w:line="360" w:lineRule="auto"/>
        <w:contextualSpacing/>
        <w:rPr>
          <w:rFonts w:hint="eastAsia" w:ascii="Times New Roman" w:hAnsi="Times New Roman" w:eastAsia="宋体" w:cs="Times New Roman"/>
          <w:b/>
          <w:bCs/>
          <w:kern w:val="44"/>
          <w:sz w:val="24"/>
          <w:szCs w:val="24"/>
          <w:lang w:val="en-US" w:eastAsia="zh-CN"/>
        </w:rPr>
      </w:pPr>
      <w:r>
        <w:rPr>
          <w:b/>
          <w:bCs/>
        </w:rPr>
        <w:fldChar w:fldCharType="begin"/>
      </w:r>
      <w:r>
        <w:rPr>
          <w:b/>
          <w:bCs/>
        </w:rPr>
        <w:instrText xml:space="preserve"> HYPERLINK \l "_Toc80719936" </w:instrText>
      </w:r>
      <w:r>
        <w:rPr>
          <w:b/>
          <w:bCs/>
        </w:rPr>
        <w:fldChar w:fldCharType="separate"/>
      </w:r>
      <w:r>
        <w:rPr>
          <w:rFonts w:hint="eastAsia" w:ascii="Times New Roman" w:hAnsi="Times New Roman" w:eastAsia="宋体" w:cs="Times New Roman"/>
          <w:b/>
          <w:bCs/>
          <w:kern w:val="44"/>
          <w:sz w:val="24"/>
          <w:szCs w:val="24"/>
          <w:lang w:val="en-US" w:eastAsia="zh-CN"/>
        </w:rPr>
        <w:t>List of Cited Standards</w:t>
      </w:r>
      <w:r>
        <w:rPr>
          <w:rFonts w:ascii="Times New Roman" w:hAnsi="Times New Roman" w:eastAsia="宋体" w:cs="Times New Roman"/>
          <w:b/>
          <w:bCs/>
          <w:kern w:val="44"/>
          <w:sz w:val="24"/>
          <w:szCs w:val="24"/>
        </w:rPr>
        <w:tab/>
      </w:r>
      <w:r>
        <w:rPr>
          <w:rFonts w:hint="eastAsia" w:ascii="Times New Roman" w:hAnsi="Times New Roman" w:eastAsia="宋体" w:cs="Times New Roman"/>
          <w:b/>
          <w:bCs/>
          <w:kern w:val="44"/>
          <w:sz w:val="24"/>
          <w:szCs w:val="24"/>
          <w:lang w:val="en-US" w:eastAsia="zh-CN"/>
        </w:rPr>
        <w:t>2</w:t>
      </w:r>
      <w:r>
        <w:rPr>
          <w:rFonts w:hint="eastAsia" w:ascii="Times New Roman" w:hAnsi="Times New Roman" w:eastAsia="宋体" w:cs="Times New Roman"/>
          <w:b/>
          <w:bCs/>
          <w:kern w:val="44"/>
          <w:sz w:val="24"/>
          <w:szCs w:val="24"/>
        </w:rPr>
        <w:fldChar w:fldCharType="end"/>
      </w:r>
      <w:r>
        <w:rPr>
          <w:rFonts w:hint="eastAsia" w:ascii="Times New Roman" w:hAnsi="Times New Roman" w:eastAsia="宋体" w:cs="Times New Roman"/>
          <w:b/>
          <w:bCs/>
          <w:kern w:val="44"/>
          <w:sz w:val="24"/>
          <w:szCs w:val="24"/>
          <w:lang w:val="en-US" w:eastAsia="zh-CN"/>
        </w:rPr>
        <w:t>1</w:t>
      </w:r>
    </w:p>
    <w:p w14:paraId="3CF3F315">
      <w:pPr>
        <w:keepNext/>
        <w:keepLines/>
        <w:tabs>
          <w:tab w:val="left" w:pos="-376"/>
        </w:tabs>
        <w:overflowPunct w:val="0"/>
        <w:spacing w:before="156" w:beforeLines="50" w:after="156" w:afterLines="50" w:line="360" w:lineRule="auto"/>
        <w:ind w:left="425" w:hanging="425"/>
        <w:jc w:val="center"/>
        <w:outlineLvl w:val="9"/>
        <w:rPr>
          <w:rFonts w:ascii="Times New Roman" w:hAnsi="Times New Roman" w:eastAsia="宋体" w:cs="Times New Roman"/>
          <w:b/>
          <w:kern w:val="44"/>
          <w:sz w:val="32"/>
          <w:szCs w:val="32"/>
          <w:lang w:bidi="zh-CN"/>
        </w:rPr>
      </w:pPr>
    </w:p>
    <w:p w14:paraId="51B47F76">
      <w:pPr>
        <w:keepNext/>
        <w:keepLines/>
        <w:tabs>
          <w:tab w:val="left" w:pos="-376"/>
        </w:tabs>
        <w:overflowPunct w:val="0"/>
        <w:spacing w:before="156" w:beforeLines="50" w:after="156" w:afterLines="50" w:line="360" w:lineRule="auto"/>
        <w:ind w:left="425" w:hanging="425"/>
        <w:jc w:val="center"/>
        <w:outlineLvl w:val="1"/>
        <w:rPr>
          <w:rFonts w:ascii="Times New Roman" w:hAnsi="Times New Roman" w:eastAsia="宋体" w:cs="Times New Roman"/>
          <w:b/>
          <w:kern w:val="44"/>
          <w:sz w:val="32"/>
          <w:szCs w:val="32"/>
          <w:lang w:bidi="zh-CN"/>
        </w:rPr>
        <w:sectPr>
          <w:footerReference r:id="rId8" w:type="default"/>
          <w:footerReference r:id="rId9" w:type="even"/>
          <w:pgSz w:w="11906" w:h="16838"/>
          <w:pgMar w:top="1440" w:right="1700" w:bottom="1440" w:left="1800" w:header="851" w:footer="992" w:gutter="0"/>
          <w:cols w:space="425" w:num="1"/>
          <w:docGrid w:type="lines" w:linePitch="312" w:charSpace="0"/>
        </w:sectPr>
      </w:pPr>
    </w:p>
    <w:p w14:paraId="5FFDADE4">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8" w:name="_Toc13384"/>
      <w:r>
        <w:rPr>
          <w:rFonts w:ascii="Times New Roman" w:hAnsi="Times New Roman" w:eastAsia="宋体" w:cs="Times New Roman"/>
          <w:b/>
          <w:kern w:val="44"/>
          <w:sz w:val="32"/>
          <w:szCs w:val="32"/>
          <w:lang w:bidi="zh-CN"/>
        </w:rPr>
        <w:t>1　总　　则</w:t>
      </w:r>
      <w:bookmarkEnd w:id="4"/>
      <w:bookmarkEnd w:id="5"/>
      <w:bookmarkEnd w:id="6"/>
      <w:bookmarkEnd w:id="7"/>
      <w:bookmarkEnd w:id="8"/>
    </w:p>
    <w:p w14:paraId="34433D1B">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1.0.1　</w:t>
      </w:r>
      <w:r>
        <w:rPr>
          <w:rFonts w:hint="eastAsia" w:ascii="Times New Roman" w:hAnsi="Times New Roman" w:eastAsia="宋体" w:cs="Times New Roman"/>
          <w:kern w:val="0"/>
          <w:sz w:val="24"/>
          <w:szCs w:val="24"/>
          <w:lang w:bidi="zh-CN"/>
        </w:rPr>
        <w:t>为高质量推进新型城镇化，实施城市更新行动，建设宜居宜业城市，提供城市高强度片区使用效能的评估方法，提高城市高强度片区对空间资源的组织能力与利用效率，制定本标准。</w:t>
      </w:r>
    </w:p>
    <w:p w14:paraId="1E7A4BE9">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1.0.2　</w:t>
      </w:r>
      <w:r>
        <w:rPr>
          <w:rFonts w:hint="eastAsia" w:ascii="Times New Roman" w:hAnsi="Times New Roman" w:eastAsia="宋体" w:cs="Times New Roman"/>
          <w:kern w:val="0"/>
          <w:sz w:val="24"/>
          <w:szCs w:val="24"/>
          <w:lang w:bidi="zh-CN"/>
        </w:rPr>
        <w:t>本标准适用于城市高强度片区使用效能的系统评估，针对已建成片区更新改造阶段的使用效能评估与优化指引，以及新建片区设计与建设阶段的方案编制与实施引导。</w:t>
      </w:r>
    </w:p>
    <w:p w14:paraId="0A16B1E4">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1.0.3　</w:t>
      </w:r>
      <w:r>
        <w:rPr>
          <w:rFonts w:hint="eastAsia" w:ascii="Times New Roman" w:hAnsi="Times New Roman" w:eastAsia="宋体" w:cs="Times New Roman"/>
          <w:kern w:val="0"/>
          <w:sz w:val="24"/>
          <w:szCs w:val="24"/>
          <w:lang w:bidi="zh-CN"/>
        </w:rPr>
        <w:t>城市高强度片区的使用效能</w:t>
      </w:r>
      <w:r>
        <w:rPr>
          <w:rFonts w:hint="eastAsia" w:ascii="Times New Roman" w:hAnsi="Times New Roman" w:eastAsia="宋体" w:cs="Times New Roman"/>
          <w:kern w:val="0"/>
          <w:sz w:val="24"/>
          <w:szCs w:val="24"/>
          <w:lang w:val="en-US" w:bidi="zh-CN"/>
        </w:rPr>
        <w:t>评估</w:t>
      </w:r>
      <w:r>
        <w:rPr>
          <w:rFonts w:ascii="Times New Roman" w:hAnsi="Times New Roman" w:eastAsia="宋体" w:cs="Times New Roman"/>
          <w:kern w:val="0"/>
          <w:sz w:val="24"/>
          <w:szCs w:val="24"/>
          <w:lang w:bidi="zh-CN"/>
        </w:rPr>
        <w:t>除应符合本标准规定外，尚应符合国家现行有关标准和现行中国工程建设标准化协会有关标准的规定。</w:t>
      </w:r>
    </w:p>
    <w:p w14:paraId="23B331AD">
      <w:pPr>
        <w:widowControl/>
        <w:overflowPunct w:val="0"/>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2C857604">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9" w:name="_Toc28200"/>
      <w:bookmarkStart w:id="10" w:name="_Toc18895"/>
      <w:bookmarkStart w:id="11" w:name="_Toc193834322"/>
      <w:bookmarkStart w:id="12" w:name="_Toc12655"/>
      <w:bookmarkStart w:id="13" w:name="_Toc94165781"/>
      <w:bookmarkStart w:id="14" w:name="_Toc195281684"/>
      <w:r>
        <w:rPr>
          <w:rFonts w:ascii="Times New Roman" w:hAnsi="Times New Roman" w:eastAsia="宋体" w:cs="Times New Roman"/>
          <w:b/>
          <w:kern w:val="44"/>
          <w:sz w:val="32"/>
          <w:szCs w:val="32"/>
          <w:lang w:bidi="zh-CN"/>
        </w:rPr>
        <w:t>2　术　　语</w:t>
      </w:r>
      <w:bookmarkEnd w:id="9"/>
      <w:bookmarkEnd w:id="10"/>
      <w:bookmarkEnd w:id="11"/>
      <w:bookmarkEnd w:id="12"/>
      <w:bookmarkEnd w:id="13"/>
      <w:bookmarkEnd w:id="14"/>
    </w:p>
    <w:p w14:paraId="170D4BD3">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2.0.1</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城市高强度片区</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 xml:space="preserve">urban high-intensity district </w:t>
      </w:r>
    </w:p>
    <w:p w14:paraId="7422A55B">
      <w:pPr>
        <w:widowControl/>
        <w:overflowPunct w:val="0"/>
        <w:spacing w:line="360" w:lineRule="auto"/>
        <w:ind w:firstLine="480" w:firstLineChars="200"/>
        <w:rPr>
          <w:rFonts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通常位于城市功能与结构的核心或城市空间的战略性增长极，是以公共交通为支撑的城市地上地下空间高强度开发建设和公共性服务功能的高强度集聚区。</w:t>
      </w:r>
    </w:p>
    <w:p w14:paraId="702E8DBD">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2.0.2</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使用效能</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utilization efficiency</w:t>
      </w:r>
    </w:p>
    <w:p w14:paraId="18535C66">
      <w:pPr>
        <w:widowControl/>
        <w:overflowPunct w:val="0"/>
        <w:spacing w:line="360" w:lineRule="auto"/>
        <w:ind w:firstLine="480" w:firstLineChars="200"/>
        <w:rPr>
          <w:rFonts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指将一定空间范围内各空间、要素及系统利用充分，使其内部与相互之间的衔接便捷高效的能力。</w:t>
      </w:r>
    </w:p>
    <w:p w14:paraId="137F8730">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2.0.</w:t>
      </w:r>
      <w:r>
        <w:rPr>
          <w:rFonts w:hint="eastAsia" w:ascii="Times New Roman" w:hAnsi="Times New Roman" w:eastAsia="宋体" w:cs="Times New Roman"/>
          <w:b/>
          <w:bCs/>
          <w:kern w:val="0"/>
          <w:sz w:val="24"/>
          <w:szCs w:val="24"/>
          <w:lang w:bidi="zh-CN"/>
        </w:rPr>
        <w:t>3</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空间集约效能</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spatial intensification efficiency</w:t>
      </w:r>
    </w:p>
    <w:p w14:paraId="1E71FE60">
      <w:pPr>
        <w:widowControl/>
        <w:overflowPunct w:val="0"/>
        <w:spacing w:line="360" w:lineRule="auto"/>
        <w:ind w:firstLine="480" w:firstLineChars="200"/>
        <w:rPr>
          <w:rFonts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通过立体开发、紧凑形态设计和优化资源配置，以有限空间资源承载更多功能需求的能力。</w:t>
      </w:r>
    </w:p>
    <w:p w14:paraId="16387CB9">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2.0.</w:t>
      </w:r>
      <w:r>
        <w:rPr>
          <w:rFonts w:hint="eastAsia" w:ascii="Times New Roman" w:hAnsi="Times New Roman" w:eastAsia="宋体" w:cs="Times New Roman"/>
          <w:b/>
          <w:bCs/>
          <w:kern w:val="0"/>
          <w:sz w:val="24"/>
          <w:szCs w:val="24"/>
          <w:lang w:bidi="zh-CN"/>
        </w:rPr>
        <w:t>4</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交通衔接效能</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traffic connection efficiency</w:t>
      </w:r>
    </w:p>
    <w:p w14:paraId="10158280">
      <w:pPr>
        <w:widowControl/>
        <w:overflowPunct w:val="0"/>
        <w:spacing w:line="360" w:lineRule="auto"/>
        <w:ind w:firstLine="480" w:firstLineChars="200"/>
        <w:rPr>
          <w:rFonts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通过优化多模式交通（人行、车行、公共交通）的节点布局、设施配置与换乘组织，实现交通系统高效衔接的能力。</w:t>
      </w:r>
    </w:p>
    <w:p w14:paraId="243C324E">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2.0.</w:t>
      </w:r>
      <w:r>
        <w:rPr>
          <w:rFonts w:hint="eastAsia" w:ascii="Times New Roman" w:hAnsi="Times New Roman" w:eastAsia="宋体" w:cs="Times New Roman"/>
          <w:b/>
          <w:bCs/>
          <w:kern w:val="0"/>
          <w:sz w:val="24"/>
          <w:szCs w:val="24"/>
          <w:lang w:bidi="zh-CN"/>
        </w:rPr>
        <w:t>5</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功能利用效能</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functional utilization efficiency</w:t>
      </w:r>
    </w:p>
    <w:p w14:paraId="76365A79">
      <w:pPr>
        <w:overflowPunct w:val="0"/>
        <w:spacing w:line="360" w:lineRule="auto"/>
        <w:ind w:firstLine="480" w:firstLineChars="200"/>
        <w:rPr>
          <w:rFonts w:hint="eastAsia"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通过功能混合、动态调整与复合开发，以实现空间资源高效利用的能力。</w:t>
      </w:r>
    </w:p>
    <w:p w14:paraId="22872C22">
      <w:pPr>
        <w:rPr>
          <w:rFonts w:ascii="Times New Roman" w:hAnsi="Times New Roman" w:eastAsia="仿宋" w:cs="Times New Roman"/>
          <w:sz w:val="24"/>
          <w:szCs w:val="24"/>
        </w:rPr>
      </w:pPr>
      <w:r>
        <w:rPr>
          <w:rFonts w:ascii="Times New Roman" w:hAnsi="Times New Roman" w:eastAsia="仿宋" w:cs="Times New Roman"/>
          <w:sz w:val="24"/>
          <w:szCs w:val="24"/>
        </w:rPr>
        <w:br w:type="page"/>
      </w:r>
    </w:p>
    <w:p w14:paraId="384821D6">
      <w:pPr>
        <w:numPr>
          <w:ilvl w:val="0"/>
          <w:numId w:val="0"/>
        </w:numPr>
        <w:jc w:val="center"/>
        <w:outlineLvl w:val="0"/>
        <w:rPr>
          <w:rFonts w:hint="default" w:ascii="Times New Roman" w:hAnsi="Times New Roman" w:eastAsia="宋体" w:cs="Times New Roman"/>
          <w:b/>
          <w:kern w:val="44"/>
          <w:sz w:val="32"/>
          <w:szCs w:val="32"/>
          <w:lang w:val="en-US" w:bidi="zh-CN"/>
        </w:rPr>
      </w:pPr>
      <w:bookmarkStart w:id="15" w:name="_Toc19591"/>
      <w:r>
        <w:rPr>
          <w:rFonts w:ascii="Times New Roman" w:hAnsi="Times New Roman" w:eastAsia="宋体" w:cs="Times New Roman"/>
          <w:b/>
          <w:kern w:val="44"/>
          <w:sz w:val="32"/>
          <w:szCs w:val="32"/>
          <w:lang w:val="en-US" w:eastAsia="zh-CN" w:bidi="zh-CN"/>
        </w:rPr>
        <w:t>3　</w:t>
      </w:r>
      <w:r>
        <w:rPr>
          <w:rFonts w:hint="eastAsia" w:ascii="Times New Roman" w:hAnsi="Times New Roman" w:eastAsia="宋体" w:cs="Times New Roman"/>
          <w:b/>
          <w:kern w:val="44"/>
          <w:sz w:val="32"/>
          <w:szCs w:val="32"/>
          <w:lang w:val="en-US" w:bidi="zh-CN"/>
        </w:rPr>
        <w:t>评估流程</w:t>
      </w:r>
      <w:bookmarkEnd w:id="15"/>
    </w:p>
    <w:p w14:paraId="2C8AA63B">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3</w:t>
      </w:r>
      <w:r>
        <w:rPr>
          <w:rFonts w:ascii="Times New Roman" w:hAnsi="Times New Roman" w:eastAsia="宋体" w:cs="Times New Roman"/>
          <w:b/>
          <w:bCs/>
          <w:kern w:val="0"/>
          <w:sz w:val="24"/>
          <w:szCs w:val="24"/>
          <w:lang w:bidi="zh-CN"/>
        </w:rPr>
        <w:t>.0.1</w:t>
      </w:r>
      <w:r>
        <w:rPr>
          <w:rFonts w:hint="eastAsia" w:ascii="Times New Roman" w:hAnsi="Times New Roman" w:eastAsia="宋体" w:cs="Times New Roman"/>
          <w:kern w:val="0"/>
          <w:sz w:val="24"/>
          <w:szCs w:val="24"/>
          <w:lang w:bidi="zh-CN"/>
        </w:rPr>
        <w:t xml:space="preserve">  城市高强度片区使用效能评估流程应按图3.0.1执行，主要包括确定评估对象及阶段、评估准备、开展定量评估、作出评估结论及形成评估报告五个阶段。</w:t>
      </w:r>
    </w:p>
    <w:p w14:paraId="7A8DE330">
      <w:pPr>
        <w:numPr>
          <w:ilvl w:val="0"/>
          <w:numId w:val="0"/>
        </w:numPr>
        <w:jc w:val="center"/>
        <w:rPr>
          <w:rFonts w:hint="eastAsia" w:eastAsiaTheme="minorEastAsia"/>
          <w:lang w:eastAsia="zh-CN"/>
        </w:rPr>
      </w:pPr>
      <w:r>
        <w:rPr>
          <w:rFonts w:hint="eastAsia" w:eastAsiaTheme="minorEastAsia"/>
          <w:lang w:eastAsia="zh-CN"/>
        </w:rPr>
        <w:drawing>
          <wp:inline distT="0" distB="0" distL="114300" distR="114300">
            <wp:extent cx="3834765" cy="3247390"/>
            <wp:effectExtent l="0" t="0" r="8255" b="1905"/>
            <wp:docPr id="3" name="图片 3" descr="评估流程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评估流程0204"/>
                    <pic:cNvPicPr>
                      <a:picLocks noChangeAspect="1"/>
                    </pic:cNvPicPr>
                  </pic:nvPicPr>
                  <pic:blipFill>
                    <a:blip r:embed="rId16"/>
                    <a:stretch>
                      <a:fillRect/>
                    </a:stretch>
                  </pic:blipFill>
                  <pic:spPr>
                    <a:xfrm>
                      <a:off x="0" y="0"/>
                      <a:ext cx="3834765" cy="3247390"/>
                    </a:xfrm>
                    <a:prstGeom prst="rect">
                      <a:avLst/>
                    </a:prstGeom>
                  </pic:spPr>
                </pic:pic>
              </a:graphicData>
            </a:graphic>
          </wp:inline>
        </w:drawing>
      </w:r>
    </w:p>
    <w:p w14:paraId="557BF607">
      <w:pPr>
        <w:jc w:val="center"/>
        <w:rPr>
          <w:rFonts w:ascii="Times New Roman" w:hAnsi="Times New Roman" w:eastAsia="宋体" w:cs="Times New Roman"/>
          <w:kern w:val="0"/>
          <w:sz w:val="22"/>
          <w:lang w:bidi="zh-CN"/>
        </w:rPr>
      </w:pPr>
      <w:r>
        <w:rPr>
          <w:rFonts w:hint="eastAsia" w:ascii="Times New Roman" w:hAnsi="Times New Roman" w:eastAsia="宋体" w:cs="Times New Roman"/>
          <w:b/>
          <w:kern w:val="44"/>
          <w:sz w:val="18"/>
          <w:szCs w:val="18"/>
          <w:lang w:bidi="zh-CN"/>
        </w:rPr>
        <w:t>图 3.0.1 城市高强度片区使用效能评估流程</w:t>
      </w:r>
    </w:p>
    <w:p w14:paraId="1E6F7AF3">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3.</w:t>
      </w:r>
      <w:r>
        <w:rPr>
          <w:rFonts w:hint="eastAsia" w:ascii="Times New Roman" w:hAnsi="Times New Roman" w:eastAsia="宋体" w:cs="Times New Roman"/>
          <w:b/>
          <w:bCs/>
          <w:kern w:val="0"/>
          <w:sz w:val="24"/>
          <w:szCs w:val="24"/>
          <w:lang w:val="en-US" w:bidi="zh-CN"/>
        </w:rPr>
        <w:t>0</w:t>
      </w:r>
      <w:r>
        <w:rPr>
          <w:rFonts w:hint="eastAsia" w:ascii="Times New Roman" w:hAnsi="Times New Roman" w:eastAsia="宋体" w:cs="Times New Roman"/>
          <w:b/>
          <w:bCs/>
          <w:kern w:val="0"/>
          <w:sz w:val="24"/>
          <w:szCs w:val="24"/>
          <w:lang w:bidi="zh-CN"/>
        </w:rPr>
        <w:t xml:space="preserve">.2   </w:t>
      </w:r>
      <w:r>
        <w:rPr>
          <w:rFonts w:hint="eastAsia" w:ascii="Times New Roman" w:hAnsi="Times New Roman" w:eastAsia="宋体" w:cs="Times New Roman"/>
          <w:kern w:val="0"/>
          <w:sz w:val="24"/>
          <w:szCs w:val="24"/>
          <w:lang w:bidi="zh-CN"/>
        </w:rPr>
        <w:t>评估工作启动前，应进行以下界定工作：</w:t>
      </w:r>
    </w:p>
    <w:p w14:paraId="35A57949">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 xml:space="preserve">     1 </w:t>
      </w:r>
      <w:r>
        <w:rPr>
          <w:rFonts w:hint="eastAsia" w:ascii="Times New Roman" w:hAnsi="Times New Roman" w:eastAsia="宋体" w:cs="Times New Roman"/>
          <w:kern w:val="0"/>
          <w:sz w:val="24"/>
          <w:szCs w:val="24"/>
          <w:lang w:bidi="zh-CN"/>
        </w:rPr>
        <w:t>应依据控制性详细规划或城市设计导则，明确评估对象的用地红线范围及周边相邻影响区域。</w:t>
      </w:r>
    </w:p>
    <w:p w14:paraId="65D23E4A">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 xml:space="preserve">     </w:t>
      </w:r>
      <w:r>
        <w:rPr>
          <w:rFonts w:hint="eastAsia" w:ascii="Times New Roman" w:hAnsi="Times New Roman" w:eastAsia="宋体" w:cs="Times New Roman"/>
          <w:b/>
          <w:bCs/>
          <w:kern w:val="0"/>
          <w:sz w:val="24"/>
          <w:szCs w:val="24"/>
          <w:lang w:val="en-US" w:bidi="zh-CN"/>
        </w:rPr>
        <w:t>2</w:t>
      </w:r>
      <w:r>
        <w:rPr>
          <w:rFonts w:hint="eastAsia" w:ascii="Times New Roman" w:hAnsi="Times New Roman" w:eastAsia="宋体" w:cs="Times New Roman"/>
          <w:kern w:val="0"/>
          <w:sz w:val="24"/>
          <w:szCs w:val="24"/>
          <w:lang w:bidi="zh-CN"/>
        </w:rPr>
        <w:t xml:space="preserve"> 应明确评估工作是处于规划设计阶段还是实施运管阶段，以确定数据采集的方式与深度。</w:t>
      </w:r>
    </w:p>
    <w:p w14:paraId="2C3632DA">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3.</w:t>
      </w:r>
      <w:r>
        <w:rPr>
          <w:rFonts w:hint="eastAsia" w:ascii="Times New Roman" w:hAnsi="Times New Roman" w:eastAsia="宋体" w:cs="Times New Roman"/>
          <w:b/>
          <w:bCs/>
          <w:kern w:val="0"/>
          <w:sz w:val="24"/>
          <w:szCs w:val="24"/>
          <w:lang w:val="en-US" w:bidi="zh-CN"/>
        </w:rPr>
        <w:t>0</w:t>
      </w:r>
      <w:r>
        <w:rPr>
          <w:rFonts w:hint="eastAsia" w:ascii="Times New Roman" w:hAnsi="Times New Roman" w:eastAsia="宋体" w:cs="Times New Roman"/>
          <w:b/>
          <w:bCs/>
          <w:kern w:val="0"/>
          <w:sz w:val="24"/>
          <w:szCs w:val="24"/>
          <w:lang w:bidi="zh-CN"/>
        </w:rPr>
        <w:t>.3</w:t>
      </w:r>
      <w:r>
        <w:rPr>
          <w:rFonts w:hint="eastAsia" w:ascii="Times New Roman" w:hAnsi="Times New Roman" w:eastAsia="宋体" w:cs="Times New Roman"/>
          <w:kern w:val="0"/>
          <w:sz w:val="24"/>
          <w:szCs w:val="24"/>
          <w:lang w:bidi="zh-CN"/>
        </w:rPr>
        <w:t xml:space="preserve">   评估准备评估组应做好以下准备工作:</w:t>
      </w:r>
    </w:p>
    <w:p w14:paraId="4433191D">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 xml:space="preserve">     </w:t>
      </w:r>
      <w:r>
        <w:rPr>
          <w:rFonts w:hint="eastAsia" w:ascii="Times New Roman" w:hAnsi="Times New Roman" w:eastAsia="宋体" w:cs="Times New Roman"/>
          <w:b/>
          <w:bCs/>
          <w:kern w:val="0"/>
          <w:sz w:val="24"/>
          <w:szCs w:val="24"/>
          <w:lang w:val="en-US" w:bidi="zh-CN"/>
        </w:rPr>
        <w:t>1</w:t>
      </w:r>
      <w:r>
        <w:rPr>
          <w:rFonts w:hint="eastAsia" w:ascii="Times New Roman" w:hAnsi="Times New Roman" w:eastAsia="宋体" w:cs="Times New Roman"/>
          <w:kern w:val="0"/>
          <w:sz w:val="24"/>
          <w:szCs w:val="24"/>
          <w:lang w:bidi="zh-CN"/>
        </w:rPr>
        <w:t xml:space="preserve"> 规划设计阶段应收集总平面图、</w:t>
      </w:r>
      <w:r>
        <w:rPr>
          <w:rFonts w:hint="eastAsia" w:ascii="Times New Roman" w:hAnsi="Times New Roman" w:eastAsia="宋体" w:cs="Times New Roman"/>
          <w:kern w:val="0"/>
          <w:sz w:val="24"/>
          <w:szCs w:val="24"/>
          <w:lang w:val="en-US" w:bidi="zh-CN"/>
        </w:rPr>
        <w:t>控制性详细规划图、</w:t>
      </w:r>
      <w:r>
        <w:rPr>
          <w:rFonts w:hint="eastAsia" w:ascii="Times New Roman" w:hAnsi="Times New Roman" w:eastAsia="宋体" w:cs="Times New Roman"/>
          <w:kern w:val="0"/>
          <w:sz w:val="24"/>
          <w:szCs w:val="24"/>
          <w:lang w:bidi="zh-CN"/>
        </w:rPr>
        <w:t>景观方案图及交通组织方案等设计文件。</w:t>
      </w:r>
    </w:p>
    <w:p w14:paraId="0C241EA7">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kern w:val="0"/>
          <w:sz w:val="24"/>
          <w:szCs w:val="24"/>
          <w:lang w:bidi="zh-CN"/>
        </w:rPr>
        <w:t xml:space="preserve">     </w:t>
      </w:r>
      <w:r>
        <w:rPr>
          <w:rFonts w:hint="eastAsia" w:ascii="Times New Roman" w:hAnsi="Times New Roman" w:eastAsia="宋体" w:cs="Times New Roman"/>
          <w:b/>
          <w:bCs/>
          <w:kern w:val="0"/>
          <w:sz w:val="24"/>
          <w:szCs w:val="24"/>
          <w:lang w:val="en-US" w:bidi="zh-CN"/>
        </w:rPr>
        <w:t>2</w:t>
      </w:r>
      <w:r>
        <w:rPr>
          <w:rFonts w:hint="eastAsia" w:ascii="Times New Roman" w:hAnsi="Times New Roman" w:eastAsia="宋体" w:cs="Times New Roman"/>
          <w:kern w:val="0"/>
          <w:sz w:val="24"/>
          <w:szCs w:val="24"/>
          <w:lang w:bidi="zh-CN"/>
        </w:rPr>
        <w:t xml:space="preserve"> 实施运管阶段除竣工图纸外，尚应收集运营维护记录，并结合现场踏勘获取实测数据。</w:t>
      </w:r>
    </w:p>
    <w:p w14:paraId="2FA6C658">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3.</w:t>
      </w:r>
      <w:r>
        <w:rPr>
          <w:rFonts w:hint="eastAsia" w:ascii="Times New Roman" w:hAnsi="Times New Roman" w:eastAsia="宋体" w:cs="Times New Roman"/>
          <w:b/>
          <w:bCs/>
          <w:kern w:val="0"/>
          <w:sz w:val="24"/>
          <w:szCs w:val="24"/>
          <w:lang w:val="en-US" w:bidi="zh-CN"/>
        </w:rPr>
        <w:t>0</w:t>
      </w:r>
      <w:r>
        <w:rPr>
          <w:rFonts w:hint="eastAsia" w:ascii="Times New Roman" w:hAnsi="Times New Roman" w:eastAsia="宋体" w:cs="Times New Roman"/>
          <w:b/>
          <w:bCs/>
          <w:kern w:val="0"/>
          <w:sz w:val="24"/>
          <w:szCs w:val="24"/>
          <w:lang w:bidi="zh-CN"/>
        </w:rPr>
        <w:t xml:space="preserve">.4   </w:t>
      </w:r>
      <w:r>
        <w:rPr>
          <w:rFonts w:ascii="Times New Roman" w:hAnsi="Times New Roman" w:eastAsia="宋体" w:cs="Times New Roman"/>
          <w:kern w:val="0"/>
          <w:sz w:val="24"/>
          <w:szCs w:val="24"/>
          <w:lang w:bidi="zh-CN"/>
        </w:rPr>
        <w:t>依据本标准第</w:t>
      </w:r>
      <w:r>
        <w:rPr>
          <w:rFonts w:hint="eastAsia" w:ascii="Times New Roman" w:hAnsi="Times New Roman" w:eastAsia="宋体" w:cs="Times New Roman"/>
          <w:kern w:val="0"/>
          <w:sz w:val="24"/>
          <w:szCs w:val="24"/>
          <w:lang w:bidi="zh-CN"/>
        </w:rPr>
        <w:t>5</w:t>
      </w:r>
      <w:r>
        <w:rPr>
          <w:rFonts w:ascii="Times New Roman" w:hAnsi="Times New Roman" w:eastAsia="宋体" w:cs="Times New Roman"/>
          <w:kern w:val="0"/>
          <w:sz w:val="24"/>
          <w:szCs w:val="24"/>
          <w:lang w:bidi="zh-CN"/>
        </w:rPr>
        <w:t>~</w:t>
      </w:r>
      <w:r>
        <w:rPr>
          <w:rFonts w:hint="eastAsia" w:ascii="Times New Roman" w:hAnsi="Times New Roman" w:eastAsia="宋体" w:cs="Times New Roman"/>
          <w:kern w:val="0"/>
          <w:sz w:val="24"/>
          <w:szCs w:val="24"/>
          <w:lang w:bidi="zh-CN"/>
        </w:rPr>
        <w:t>7</w:t>
      </w:r>
      <w:r>
        <w:rPr>
          <w:rFonts w:ascii="Times New Roman" w:hAnsi="Times New Roman" w:eastAsia="宋体" w:cs="Times New Roman"/>
          <w:kern w:val="0"/>
          <w:sz w:val="24"/>
          <w:szCs w:val="24"/>
          <w:lang w:bidi="zh-CN"/>
        </w:rPr>
        <w:t>章规定的计算公式，逐项判定评级项的等级</w:t>
      </w:r>
      <w:r>
        <w:rPr>
          <w:rFonts w:hint="eastAsia" w:ascii="Times New Roman" w:hAnsi="Times New Roman" w:eastAsia="宋体" w:cs="Times New Roman"/>
          <w:kern w:val="0"/>
          <w:sz w:val="24"/>
          <w:szCs w:val="24"/>
          <w:lang w:bidi="zh-CN"/>
        </w:rPr>
        <w:t>。</w:t>
      </w:r>
      <w:r>
        <w:rPr>
          <w:rFonts w:ascii="Times New Roman" w:hAnsi="Times New Roman" w:eastAsia="宋体" w:cs="Times New Roman"/>
          <w:kern w:val="0"/>
          <w:sz w:val="24"/>
          <w:szCs w:val="24"/>
          <w:lang w:bidi="zh-CN"/>
        </w:rPr>
        <w:t>统计评估指标体系中获得A级、B级及C级的指标数量</w:t>
      </w:r>
      <w:r>
        <w:rPr>
          <w:rFonts w:hint="eastAsia" w:ascii="Times New Roman" w:hAnsi="Times New Roman" w:eastAsia="宋体" w:cs="Times New Roman"/>
          <w:kern w:val="0"/>
          <w:sz w:val="24"/>
          <w:szCs w:val="24"/>
          <w:lang w:bidi="zh-CN"/>
        </w:rPr>
        <w:t>。</w:t>
      </w:r>
    </w:p>
    <w:p w14:paraId="72403C67">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bidi="zh-CN"/>
        </w:rPr>
        <w:t>3.</w:t>
      </w:r>
      <w:r>
        <w:rPr>
          <w:rFonts w:hint="eastAsia" w:ascii="Times New Roman" w:hAnsi="Times New Roman" w:eastAsia="宋体" w:cs="Times New Roman"/>
          <w:b/>
          <w:bCs/>
          <w:kern w:val="0"/>
          <w:sz w:val="24"/>
          <w:szCs w:val="24"/>
          <w:lang w:val="en-US" w:bidi="zh-CN"/>
        </w:rPr>
        <w:t>0</w:t>
      </w:r>
      <w:r>
        <w:rPr>
          <w:rFonts w:hint="eastAsia" w:ascii="Times New Roman" w:hAnsi="Times New Roman" w:eastAsia="宋体" w:cs="Times New Roman"/>
          <w:b/>
          <w:bCs/>
          <w:kern w:val="0"/>
          <w:sz w:val="24"/>
          <w:szCs w:val="24"/>
          <w:lang w:bidi="zh-CN"/>
        </w:rPr>
        <w:t xml:space="preserve">.5   </w:t>
      </w:r>
      <w:r>
        <w:rPr>
          <w:rFonts w:hint="eastAsia" w:ascii="Times New Roman" w:hAnsi="Times New Roman" w:eastAsia="宋体" w:cs="Times New Roman"/>
          <w:kern w:val="0"/>
          <w:sz w:val="24"/>
          <w:szCs w:val="24"/>
          <w:lang w:bidi="zh-CN"/>
        </w:rPr>
        <w:t>根据计算结果，对片区</w:t>
      </w:r>
      <w:r>
        <w:rPr>
          <w:rFonts w:hint="eastAsia" w:ascii="Times New Roman" w:hAnsi="Times New Roman" w:eastAsia="宋体" w:cs="Times New Roman"/>
          <w:kern w:val="0"/>
          <w:sz w:val="24"/>
          <w:szCs w:val="24"/>
          <w:lang w:val="en-US" w:bidi="zh-CN"/>
        </w:rPr>
        <w:t>使用效能</w:t>
      </w:r>
      <w:r>
        <w:rPr>
          <w:rFonts w:hint="eastAsia" w:ascii="Times New Roman" w:hAnsi="Times New Roman" w:eastAsia="宋体" w:cs="Times New Roman"/>
          <w:kern w:val="0"/>
          <w:sz w:val="24"/>
          <w:szCs w:val="24"/>
          <w:lang w:bidi="zh-CN"/>
        </w:rPr>
        <w:t>进行</w:t>
      </w:r>
      <w:r>
        <w:rPr>
          <w:rFonts w:hint="eastAsia" w:ascii="Times New Roman" w:hAnsi="Times New Roman" w:eastAsia="宋体" w:cs="Times New Roman"/>
          <w:kern w:val="0"/>
          <w:sz w:val="24"/>
          <w:szCs w:val="24"/>
          <w:lang w:val="en-US" w:bidi="zh-CN"/>
        </w:rPr>
        <w:t>使用效能</w:t>
      </w:r>
      <w:r>
        <w:rPr>
          <w:rFonts w:hint="eastAsia" w:ascii="Times New Roman" w:hAnsi="Times New Roman" w:eastAsia="宋体" w:cs="Times New Roman"/>
          <w:kern w:val="0"/>
          <w:sz w:val="24"/>
          <w:szCs w:val="24"/>
          <w:lang w:bidi="zh-CN"/>
        </w:rPr>
        <w:t>评估结论类型。对照本标准4.2.2条规定的</w:t>
      </w:r>
      <w:r>
        <w:rPr>
          <w:rFonts w:hint="eastAsia" w:ascii="Times New Roman" w:hAnsi="Times New Roman" w:eastAsia="宋体" w:cs="Times New Roman"/>
          <w:kern w:val="0"/>
          <w:sz w:val="24"/>
          <w:szCs w:val="24"/>
          <w:lang w:val="en-US" w:bidi="zh-CN"/>
        </w:rPr>
        <w:t>使用效能</w:t>
      </w:r>
      <w:r>
        <w:rPr>
          <w:rFonts w:hint="eastAsia" w:ascii="Times New Roman" w:hAnsi="Times New Roman" w:eastAsia="宋体" w:cs="Times New Roman"/>
          <w:kern w:val="0"/>
          <w:sz w:val="24"/>
          <w:szCs w:val="24"/>
          <w:lang w:bidi="zh-CN"/>
        </w:rPr>
        <w:t>评估结论判定表，依据A级与C级评级项的数量特征，确定该高强度片区的</w:t>
      </w:r>
      <w:r>
        <w:rPr>
          <w:rFonts w:hint="eastAsia" w:ascii="Times New Roman" w:hAnsi="Times New Roman" w:eastAsia="宋体" w:cs="Times New Roman"/>
          <w:kern w:val="0"/>
          <w:sz w:val="24"/>
          <w:szCs w:val="24"/>
          <w:lang w:val="en-US" w:bidi="zh-CN"/>
        </w:rPr>
        <w:t>使用效能</w:t>
      </w:r>
      <w:r>
        <w:rPr>
          <w:rFonts w:hint="eastAsia" w:ascii="Times New Roman" w:hAnsi="Times New Roman" w:eastAsia="宋体" w:cs="Times New Roman"/>
          <w:kern w:val="0"/>
          <w:sz w:val="24"/>
          <w:szCs w:val="24"/>
          <w:lang w:bidi="zh-CN"/>
        </w:rPr>
        <w:t>评估结论类型。梳理得分较低的短板指标，识别片区在</w:t>
      </w:r>
      <w:r>
        <w:rPr>
          <w:rFonts w:hint="eastAsia" w:ascii="Times New Roman" w:hAnsi="Times New Roman" w:eastAsia="宋体" w:cs="Times New Roman"/>
          <w:kern w:val="0"/>
          <w:sz w:val="24"/>
          <w:szCs w:val="24"/>
          <w:lang w:val="en-US" w:bidi="zh-CN"/>
        </w:rPr>
        <w:t>空间集约</w:t>
      </w:r>
      <w:r>
        <w:rPr>
          <w:rFonts w:hint="eastAsia" w:ascii="Times New Roman" w:hAnsi="Times New Roman" w:eastAsia="宋体" w:cs="Times New Roman"/>
          <w:kern w:val="0"/>
          <w:sz w:val="24"/>
          <w:szCs w:val="24"/>
          <w:lang w:bidi="zh-CN"/>
        </w:rPr>
        <w:t>、</w:t>
      </w:r>
      <w:r>
        <w:rPr>
          <w:rFonts w:hint="eastAsia" w:ascii="Times New Roman" w:hAnsi="Times New Roman" w:eastAsia="宋体" w:cs="Times New Roman"/>
          <w:kern w:val="0"/>
          <w:sz w:val="24"/>
          <w:szCs w:val="24"/>
          <w:lang w:val="en-US" w:bidi="zh-CN"/>
        </w:rPr>
        <w:t>交通衔接</w:t>
      </w:r>
      <w:r>
        <w:rPr>
          <w:rFonts w:hint="eastAsia" w:ascii="Times New Roman" w:hAnsi="Times New Roman" w:eastAsia="宋体" w:cs="Times New Roman"/>
          <w:kern w:val="0"/>
          <w:sz w:val="24"/>
          <w:szCs w:val="24"/>
          <w:lang w:bidi="zh-CN"/>
        </w:rPr>
        <w:t>或</w:t>
      </w:r>
      <w:r>
        <w:rPr>
          <w:rFonts w:hint="eastAsia" w:ascii="Times New Roman" w:hAnsi="Times New Roman" w:eastAsia="宋体" w:cs="Times New Roman"/>
          <w:kern w:val="0"/>
          <w:sz w:val="24"/>
          <w:szCs w:val="24"/>
          <w:lang w:val="en-US" w:bidi="zh-CN"/>
        </w:rPr>
        <w:t>功能利用</w:t>
      </w:r>
      <w:r>
        <w:rPr>
          <w:rFonts w:hint="eastAsia" w:ascii="Times New Roman" w:hAnsi="Times New Roman" w:eastAsia="宋体" w:cs="Times New Roman"/>
          <w:kern w:val="0"/>
          <w:sz w:val="24"/>
          <w:szCs w:val="24"/>
          <w:lang w:bidi="zh-CN"/>
        </w:rPr>
        <w:t>方面存在的具体缺陷。</w:t>
      </w:r>
    </w:p>
    <w:p w14:paraId="5F649EFB">
      <w:pPr>
        <w:widowControl/>
        <w:overflowPunct w:val="0"/>
        <w:spacing w:line="360" w:lineRule="auto"/>
        <w:rPr>
          <w:rFonts w:ascii="Times New Roman" w:hAnsi="Times New Roman" w:eastAsia="宋体" w:cs="Times New Roman"/>
          <w:b/>
          <w:bCs/>
          <w:kern w:val="0"/>
          <w:sz w:val="24"/>
          <w:szCs w:val="24"/>
          <w:lang w:bidi="zh-CN"/>
        </w:rPr>
      </w:pPr>
      <w:r>
        <w:rPr>
          <w:rFonts w:hint="eastAsia" w:ascii="Times New Roman" w:hAnsi="Times New Roman" w:eastAsia="宋体" w:cs="Times New Roman"/>
          <w:b/>
          <w:bCs/>
          <w:kern w:val="0"/>
          <w:sz w:val="24"/>
          <w:szCs w:val="24"/>
          <w:lang w:bidi="zh-CN"/>
        </w:rPr>
        <w:t>3.</w:t>
      </w:r>
      <w:r>
        <w:rPr>
          <w:rFonts w:hint="eastAsia" w:ascii="Times New Roman" w:hAnsi="Times New Roman" w:eastAsia="宋体" w:cs="Times New Roman"/>
          <w:b/>
          <w:bCs/>
          <w:kern w:val="0"/>
          <w:sz w:val="24"/>
          <w:szCs w:val="24"/>
          <w:lang w:val="en-US" w:bidi="zh-CN"/>
        </w:rPr>
        <w:t>0</w:t>
      </w:r>
      <w:r>
        <w:rPr>
          <w:rFonts w:hint="eastAsia" w:ascii="Times New Roman" w:hAnsi="Times New Roman" w:eastAsia="宋体" w:cs="Times New Roman"/>
          <w:b/>
          <w:bCs/>
          <w:kern w:val="0"/>
          <w:sz w:val="24"/>
          <w:szCs w:val="24"/>
          <w:lang w:bidi="zh-CN"/>
        </w:rPr>
        <w:t xml:space="preserve">.6   </w:t>
      </w:r>
      <w:r>
        <w:rPr>
          <w:rFonts w:hint="eastAsia" w:ascii="Times New Roman" w:hAnsi="Times New Roman" w:eastAsia="宋体" w:cs="Times New Roman"/>
          <w:kern w:val="0"/>
          <w:sz w:val="24"/>
          <w:szCs w:val="24"/>
          <w:lang w:bidi="zh-CN"/>
        </w:rPr>
        <w:t>评估工作结束后应编制评估报告，报告内容应包括：评估对象概况、评估依据、评估过程简述、</w:t>
      </w:r>
      <w:r>
        <w:rPr>
          <w:rFonts w:ascii="Times New Roman" w:hAnsi="Times New Roman" w:eastAsia="宋体" w:cs="Times New Roman"/>
          <w:kern w:val="0"/>
          <w:sz w:val="24"/>
          <w:szCs w:val="24"/>
          <w:lang w:bidi="zh-CN"/>
        </w:rPr>
        <w:t>分项评估结果</w:t>
      </w:r>
      <w:r>
        <w:rPr>
          <w:rFonts w:hint="eastAsia" w:ascii="Times New Roman" w:hAnsi="Times New Roman" w:eastAsia="宋体" w:cs="Times New Roman"/>
          <w:kern w:val="0"/>
          <w:sz w:val="24"/>
          <w:szCs w:val="24"/>
          <w:lang w:bidi="zh-CN"/>
        </w:rPr>
        <w:t>、综合评估结论以及优化建议。</w:t>
      </w:r>
    </w:p>
    <w:p w14:paraId="3462B0F4">
      <w:pPr>
        <w:numPr>
          <w:ilvl w:val="0"/>
          <w:numId w:val="0"/>
        </w:numPr>
        <w:jc w:val="center"/>
        <w:rPr>
          <w:rFonts w:ascii="Times New Roman" w:hAnsi="Times New Roman" w:eastAsia="仿宋" w:cs="Times New Roman"/>
          <w:sz w:val="24"/>
          <w:szCs w:val="24"/>
        </w:rPr>
      </w:pPr>
      <w:r>
        <w:rPr>
          <w:rFonts w:ascii="Times New Roman" w:hAnsi="Times New Roman" w:eastAsia="仿宋" w:cs="Times New Roman"/>
          <w:sz w:val="24"/>
          <w:szCs w:val="24"/>
        </w:rPr>
        <w:br w:type="page"/>
      </w:r>
    </w:p>
    <w:p w14:paraId="492B5995">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16" w:name="_Toc195281685"/>
      <w:bookmarkStart w:id="17" w:name="_Toc27363"/>
      <w:bookmarkStart w:id="18" w:name="_Toc193834323"/>
      <w:bookmarkStart w:id="19" w:name="_Toc94165782"/>
      <w:bookmarkStart w:id="20" w:name="_Toc23600"/>
      <w:bookmarkStart w:id="21" w:name="_Toc26923"/>
      <w:r>
        <w:rPr>
          <w:rFonts w:hint="eastAsia" w:ascii="Times New Roman" w:hAnsi="Times New Roman" w:eastAsia="宋体" w:cs="Times New Roman"/>
          <w:b/>
          <w:kern w:val="44"/>
          <w:sz w:val="32"/>
          <w:szCs w:val="32"/>
          <w:lang w:val="en-US" w:bidi="zh-CN"/>
        </w:rPr>
        <w:t>4</w:t>
      </w:r>
      <w:r>
        <w:rPr>
          <w:rFonts w:ascii="Times New Roman" w:hAnsi="Times New Roman" w:eastAsia="宋体" w:cs="Times New Roman"/>
          <w:b/>
          <w:kern w:val="44"/>
          <w:sz w:val="32"/>
          <w:szCs w:val="32"/>
          <w:lang w:bidi="zh-CN"/>
        </w:rPr>
        <w:t>　基本规定</w:t>
      </w:r>
      <w:bookmarkEnd w:id="16"/>
      <w:bookmarkEnd w:id="17"/>
      <w:bookmarkEnd w:id="18"/>
      <w:bookmarkEnd w:id="19"/>
      <w:bookmarkEnd w:id="20"/>
      <w:bookmarkEnd w:id="21"/>
    </w:p>
    <w:p w14:paraId="6F67CD8E">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黑体" w:cs="Times New Roman"/>
          <w:bCs/>
          <w:kern w:val="0"/>
          <w:sz w:val="28"/>
          <w:szCs w:val="24"/>
          <w:lang w:bidi="zh-CN"/>
        </w:rPr>
      </w:pPr>
      <w:bookmarkStart w:id="22" w:name="评价范围和要求"/>
      <w:bookmarkEnd w:id="22"/>
      <w:bookmarkStart w:id="23" w:name="_Toc94165783"/>
      <w:bookmarkStart w:id="24" w:name="_Toc193834324"/>
      <w:bookmarkStart w:id="25" w:name="_Toc6345"/>
      <w:bookmarkStart w:id="26" w:name="_Toc195281686"/>
      <w:r>
        <w:rPr>
          <w:rFonts w:hint="eastAsia" w:ascii="Times New Roman" w:hAnsi="Times New Roman" w:eastAsia="宋体" w:cs="Times New Roman"/>
          <w:bCs/>
          <w:kern w:val="0"/>
          <w:sz w:val="28"/>
          <w:szCs w:val="24"/>
          <w:lang w:val="en-US" w:bidi="zh-CN"/>
        </w:rPr>
        <w:t>4</w:t>
      </w:r>
      <w:r>
        <w:rPr>
          <w:rFonts w:ascii="Times New Roman" w:hAnsi="Times New Roman" w:eastAsia="宋体" w:cs="Times New Roman"/>
          <w:bCs/>
          <w:kern w:val="0"/>
          <w:sz w:val="28"/>
          <w:szCs w:val="24"/>
          <w:lang w:bidi="zh-CN"/>
        </w:rPr>
        <w:t>.1　</w:t>
      </w:r>
      <w:r>
        <w:rPr>
          <w:rFonts w:ascii="Times New Roman" w:hAnsi="Times New Roman" w:eastAsia="黑体" w:cs="Times New Roman"/>
          <w:bCs/>
          <w:kern w:val="0"/>
          <w:sz w:val="28"/>
          <w:szCs w:val="24"/>
          <w:lang w:bidi="zh-CN"/>
        </w:rPr>
        <w:t>评</w:t>
      </w:r>
      <w:bookmarkEnd w:id="23"/>
      <w:r>
        <w:rPr>
          <w:rFonts w:hint="eastAsia" w:ascii="Times New Roman" w:hAnsi="Times New Roman" w:eastAsia="黑体" w:cs="Times New Roman"/>
          <w:bCs/>
          <w:kern w:val="0"/>
          <w:sz w:val="28"/>
          <w:szCs w:val="24"/>
          <w:lang w:bidi="zh-CN"/>
        </w:rPr>
        <w:t>估</w:t>
      </w:r>
      <w:bookmarkEnd w:id="24"/>
      <w:r>
        <w:rPr>
          <w:rFonts w:hint="eastAsia" w:ascii="Times New Roman" w:hAnsi="Times New Roman" w:eastAsia="黑体" w:cs="Times New Roman"/>
          <w:bCs/>
          <w:kern w:val="0"/>
          <w:sz w:val="28"/>
          <w:szCs w:val="24"/>
          <w:lang w:bidi="zh-CN"/>
        </w:rPr>
        <w:t>要求</w:t>
      </w:r>
      <w:bookmarkEnd w:id="25"/>
      <w:bookmarkEnd w:id="26"/>
    </w:p>
    <w:p w14:paraId="56BB3456">
      <w:pPr>
        <w:widowControl/>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val="en-US" w:bidi="zh-CN"/>
        </w:rPr>
        <w:t>4</w:t>
      </w:r>
      <w:r>
        <w:rPr>
          <w:rFonts w:ascii="Times New Roman" w:hAnsi="Times New Roman" w:eastAsia="宋体" w:cs="Times New Roman"/>
          <w:b/>
          <w:bCs/>
          <w:kern w:val="0"/>
          <w:sz w:val="24"/>
          <w:szCs w:val="24"/>
          <w:lang w:bidi="zh-CN"/>
        </w:rPr>
        <w:t>.1.1</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城市高强度片区使用效能评估与优化应以提升城市高强度片区空间使用效能为目的，遵循便捷易算，科学有效、以评促优的原则，统筹空间集约效能、交通衔接效能与功能利用效能三个维度，开展城市高强度片区使用效能评估。</w:t>
      </w:r>
    </w:p>
    <w:p w14:paraId="267819E1">
      <w:pPr>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val="en-US" w:bidi="zh-CN"/>
        </w:rPr>
        <w:t>4</w:t>
      </w:r>
      <w:r>
        <w:rPr>
          <w:rFonts w:ascii="Times New Roman" w:hAnsi="Times New Roman" w:eastAsia="宋体" w:cs="Times New Roman"/>
          <w:b/>
          <w:bCs/>
          <w:kern w:val="0"/>
          <w:sz w:val="24"/>
          <w:szCs w:val="24"/>
          <w:lang w:bidi="zh-CN"/>
        </w:rPr>
        <w:t>.1.</w:t>
      </w:r>
      <w:r>
        <w:rPr>
          <w:rFonts w:hint="eastAsia" w:ascii="Times New Roman" w:hAnsi="Times New Roman" w:eastAsia="宋体" w:cs="Times New Roman"/>
          <w:b/>
          <w:bCs/>
          <w:kern w:val="0"/>
          <w:sz w:val="24"/>
          <w:szCs w:val="24"/>
          <w:lang w:bidi="zh-CN"/>
        </w:rPr>
        <w:t>2</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城市高强度片区使用效能评估应以城市高强度片区范围内的建筑空间、外部空间、道路交通设施、市政设施、公共服务设施作为评估对象。</w:t>
      </w:r>
    </w:p>
    <w:p w14:paraId="731163CF">
      <w:pPr>
        <w:widowControl/>
        <w:overflowPunct w:val="0"/>
        <w:spacing w:line="360" w:lineRule="auto"/>
        <w:rPr>
          <w:rFonts w:ascii="Times New Roman" w:hAnsi="Times New Roman" w:eastAsia="宋体" w:cs="Times New Roman"/>
          <w:sz w:val="24"/>
          <w:szCs w:val="24"/>
        </w:rPr>
      </w:pPr>
      <w:r>
        <w:rPr>
          <w:rFonts w:hint="eastAsia" w:ascii="Times New Roman" w:hAnsi="Times New Roman" w:eastAsia="宋体" w:cs="Times New Roman"/>
          <w:b/>
          <w:bCs/>
          <w:kern w:val="0"/>
          <w:sz w:val="24"/>
          <w:szCs w:val="24"/>
          <w:lang w:val="en-US" w:bidi="zh-CN"/>
        </w:rPr>
        <w:t>4</w:t>
      </w:r>
      <w:r>
        <w:rPr>
          <w:rFonts w:ascii="Times New Roman" w:hAnsi="Times New Roman" w:eastAsia="宋体" w:cs="Times New Roman"/>
          <w:b/>
          <w:bCs/>
          <w:kern w:val="0"/>
          <w:sz w:val="24"/>
          <w:szCs w:val="24"/>
          <w:lang w:bidi="zh-CN"/>
        </w:rPr>
        <w:t>.1.</w:t>
      </w:r>
      <w:r>
        <w:rPr>
          <w:rFonts w:hint="eastAsia" w:ascii="Times New Roman" w:hAnsi="Times New Roman" w:eastAsia="宋体" w:cs="Times New Roman"/>
          <w:b/>
          <w:bCs/>
          <w:kern w:val="0"/>
          <w:sz w:val="24"/>
          <w:szCs w:val="24"/>
          <w:lang w:bidi="zh-CN"/>
        </w:rPr>
        <w:t>3</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评估主体应对参评城市高强度片区的建筑空间、外部空间、道路交通设施、市政设施、公共服务设施等空间要素进行详细调查，并应根据城市高强度片区使用效能评估体系进行评估。</w:t>
      </w:r>
    </w:p>
    <w:p w14:paraId="2B4A429C">
      <w:pPr>
        <w:overflowPunct w:val="0"/>
        <w:spacing w:line="360" w:lineRule="auto"/>
        <w:rPr>
          <w:rFonts w:ascii="Times New Roman" w:hAnsi="Times New Roman" w:eastAsia="宋体" w:cs="Times New Roman"/>
          <w:kern w:val="0"/>
          <w:sz w:val="24"/>
          <w:szCs w:val="24"/>
          <w:lang w:bidi="zh-CN"/>
        </w:rPr>
      </w:pPr>
      <w:r>
        <w:rPr>
          <w:rFonts w:hint="eastAsia" w:ascii="Times New Roman" w:hAnsi="Times New Roman" w:eastAsia="宋体" w:cs="Times New Roman"/>
          <w:b/>
          <w:bCs/>
          <w:kern w:val="0"/>
          <w:sz w:val="24"/>
          <w:szCs w:val="24"/>
          <w:lang w:val="en-US" w:bidi="zh-CN"/>
        </w:rPr>
        <w:t>4</w:t>
      </w:r>
      <w:r>
        <w:rPr>
          <w:rFonts w:ascii="Times New Roman" w:hAnsi="Times New Roman" w:eastAsia="宋体" w:cs="Times New Roman"/>
          <w:b/>
          <w:bCs/>
          <w:kern w:val="0"/>
          <w:sz w:val="24"/>
          <w:szCs w:val="24"/>
          <w:lang w:bidi="zh-CN"/>
        </w:rPr>
        <w:t>.1.</w:t>
      </w:r>
      <w:r>
        <w:rPr>
          <w:rFonts w:hint="eastAsia" w:ascii="Times New Roman" w:hAnsi="Times New Roman" w:eastAsia="宋体" w:cs="Times New Roman"/>
          <w:b/>
          <w:bCs/>
          <w:kern w:val="0"/>
          <w:sz w:val="24"/>
          <w:szCs w:val="24"/>
          <w:lang w:bidi="zh-CN"/>
        </w:rPr>
        <w:t>4</w:t>
      </w:r>
      <w:r>
        <w:rPr>
          <w:rFonts w:ascii="Times New Roman" w:hAnsi="Times New Roman" w:eastAsia="宋体" w:cs="Times New Roman"/>
          <w:kern w:val="0"/>
          <w:sz w:val="24"/>
          <w:szCs w:val="24"/>
          <w:lang w:bidi="zh-CN"/>
        </w:rPr>
        <w:t>　</w:t>
      </w:r>
      <w:r>
        <w:rPr>
          <w:rFonts w:hint="eastAsia" w:ascii="Times New Roman" w:hAnsi="Times New Roman" w:eastAsia="宋体" w:cs="Times New Roman"/>
          <w:kern w:val="0"/>
          <w:sz w:val="24"/>
          <w:szCs w:val="24"/>
          <w:lang w:bidi="zh-CN"/>
        </w:rPr>
        <w:t>城市高强度片区使用效能评估适用于已建成的城市新建片区、城市老旧片区，也适用于城市设计方案。</w:t>
      </w:r>
    </w:p>
    <w:p w14:paraId="245A2EB8">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黑体" w:cs="Times New Roman"/>
          <w:bCs/>
          <w:kern w:val="0"/>
          <w:sz w:val="28"/>
          <w:szCs w:val="24"/>
          <w:lang w:bidi="zh-CN"/>
        </w:rPr>
      </w:pPr>
      <w:bookmarkStart w:id="27" w:name="_Toc195281687"/>
      <w:bookmarkStart w:id="28" w:name="_Toc23933"/>
      <w:r>
        <w:rPr>
          <w:rFonts w:hint="eastAsia" w:ascii="Times New Roman" w:hAnsi="Times New Roman" w:eastAsia="宋体" w:cs="Times New Roman"/>
          <w:bCs/>
          <w:kern w:val="0"/>
          <w:sz w:val="28"/>
          <w:szCs w:val="24"/>
          <w:lang w:val="en-US" w:bidi="zh-CN"/>
        </w:rPr>
        <w:t>4</w:t>
      </w:r>
      <w:r>
        <w:rPr>
          <w:rFonts w:ascii="Times New Roman" w:hAnsi="Times New Roman" w:eastAsia="宋体" w:cs="Times New Roman"/>
          <w:bCs/>
          <w:kern w:val="0"/>
          <w:sz w:val="28"/>
          <w:szCs w:val="24"/>
          <w:lang w:bidi="zh-CN"/>
        </w:rPr>
        <w:t>.</w:t>
      </w:r>
      <w:r>
        <w:rPr>
          <w:rFonts w:hint="eastAsia" w:ascii="Times New Roman" w:hAnsi="Times New Roman" w:eastAsia="宋体" w:cs="Times New Roman"/>
          <w:bCs/>
          <w:kern w:val="0"/>
          <w:sz w:val="28"/>
          <w:szCs w:val="24"/>
          <w:lang w:bidi="zh-CN"/>
        </w:rPr>
        <w:t>2</w:t>
      </w:r>
      <w:r>
        <w:rPr>
          <w:rFonts w:ascii="Times New Roman" w:hAnsi="Times New Roman" w:eastAsia="宋体" w:cs="Times New Roman"/>
          <w:bCs/>
          <w:kern w:val="0"/>
          <w:sz w:val="28"/>
          <w:szCs w:val="24"/>
          <w:lang w:bidi="zh-CN"/>
        </w:rPr>
        <w:t>　</w:t>
      </w:r>
      <w:r>
        <w:rPr>
          <w:rFonts w:hint="eastAsia" w:ascii="Times New Roman" w:hAnsi="Times New Roman" w:eastAsia="黑体" w:cs="Times New Roman"/>
          <w:bCs/>
          <w:kern w:val="0"/>
          <w:sz w:val="28"/>
          <w:szCs w:val="24"/>
          <w:lang w:bidi="zh-CN"/>
        </w:rPr>
        <w:t>指标体系</w:t>
      </w:r>
      <w:bookmarkEnd w:id="27"/>
      <w:bookmarkEnd w:id="28"/>
    </w:p>
    <w:p w14:paraId="764ECFE6">
      <w:pPr>
        <w:overflowPunct w:val="0"/>
        <w:spacing w:line="360" w:lineRule="auto"/>
        <w:rPr>
          <w:rFonts w:ascii="宋体" w:hAnsi="宋体" w:eastAsia="宋体" w:cs="宋体"/>
          <w:sz w:val="24"/>
          <w:szCs w:val="24"/>
        </w:rPr>
      </w:pPr>
      <w:r>
        <w:rPr>
          <w:rFonts w:hint="eastAsia" w:ascii="Times New Roman" w:hAnsi="Times New Roman" w:eastAsia="宋体" w:cs="Times New Roman"/>
          <w:b/>
          <w:bCs/>
          <w:kern w:val="0"/>
          <w:sz w:val="24"/>
          <w:szCs w:val="24"/>
          <w:lang w:val="en-US" w:bidi="zh-CN"/>
        </w:rPr>
        <w:t>4</w:t>
      </w:r>
      <w:r>
        <w:rPr>
          <w:rFonts w:ascii="Times New Roman" w:hAnsi="Times New Roman" w:eastAsia="宋体" w:cs="Times New Roman"/>
          <w:b/>
          <w:bCs/>
          <w:kern w:val="0"/>
          <w:sz w:val="24"/>
          <w:szCs w:val="24"/>
          <w:lang w:bidi="zh-CN"/>
        </w:rPr>
        <w:t>.</w:t>
      </w:r>
      <w:r>
        <w:rPr>
          <w:rFonts w:hint="eastAsia" w:ascii="Times New Roman" w:hAnsi="Times New Roman" w:eastAsia="宋体" w:cs="Times New Roman"/>
          <w:b/>
          <w:bCs/>
          <w:kern w:val="0"/>
          <w:sz w:val="24"/>
          <w:szCs w:val="24"/>
          <w:lang w:bidi="zh-CN"/>
        </w:rPr>
        <w:t>2</w:t>
      </w:r>
      <w:r>
        <w:rPr>
          <w:rFonts w:ascii="Times New Roman" w:hAnsi="Times New Roman" w:eastAsia="宋体" w:cs="Times New Roman"/>
          <w:b/>
          <w:bCs/>
          <w:kern w:val="0"/>
          <w:sz w:val="24"/>
          <w:szCs w:val="24"/>
          <w:lang w:bidi="zh-CN"/>
        </w:rPr>
        <w:t>.</w:t>
      </w:r>
      <w:r>
        <w:rPr>
          <w:rFonts w:hint="eastAsia" w:ascii="Times New Roman" w:hAnsi="Times New Roman" w:eastAsia="宋体" w:cs="Times New Roman"/>
          <w:b/>
          <w:bCs/>
          <w:kern w:val="0"/>
          <w:sz w:val="24"/>
          <w:szCs w:val="24"/>
          <w:lang w:val="en-US" w:bidi="zh-CN"/>
        </w:rPr>
        <w:t>1</w:t>
      </w:r>
      <w:r>
        <w:rPr>
          <w:rFonts w:ascii="Times New Roman" w:hAnsi="Times New Roman" w:eastAsia="宋体" w:cs="Times New Roman"/>
          <w:kern w:val="0"/>
          <w:sz w:val="24"/>
          <w:szCs w:val="24"/>
          <w:lang w:bidi="zh-CN"/>
        </w:rPr>
        <w:t>　</w:t>
      </w:r>
      <w:r>
        <w:rPr>
          <w:rFonts w:ascii="宋体" w:hAnsi="宋体" w:eastAsia="宋体" w:cs="宋体"/>
          <w:sz w:val="24"/>
          <w:szCs w:val="24"/>
        </w:rPr>
        <w:t>城市高强度片区使用效能评估指标体系应由空间集约效能、交通衔接效能和功能利用效能</w:t>
      </w:r>
      <w:r>
        <w:rPr>
          <w:rFonts w:hint="eastAsia" w:ascii="宋体" w:hAnsi="宋体" w:eastAsia="宋体" w:cs="宋体"/>
          <w:sz w:val="24"/>
          <w:szCs w:val="24"/>
          <w:lang w:val="en-US" w:eastAsia="zh-CN"/>
        </w:rPr>
        <w:t>3个维度组成，每个维度中包含若干评级项</w:t>
      </w:r>
      <w:r>
        <w:rPr>
          <w:rFonts w:ascii="宋体" w:hAnsi="宋体" w:eastAsia="宋体" w:cs="宋体"/>
          <w:sz w:val="24"/>
          <w:szCs w:val="24"/>
        </w:rPr>
        <w:t>。</w:t>
      </w:r>
    </w:p>
    <w:p w14:paraId="3073DDCE">
      <w:pPr>
        <w:overflowPunct w:val="0"/>
        <w:spacing w:line="360" w:lineRule="auto"/>
        <w:jc w:val="center"/>
        <w:rPr>
          <w:rFonts w:hint="eastAsia"/>
        </w:rPr>
      </w:pPr>
      <w:r>
        <w:rPr>
          <w:rFonts w:hint="eastAsia" w:ascii="Times New Roman" w:hAnsi="Times New Roman" w:eastAsia="宋体" w:cs="Times New Roman"/>
          <w:b/>
          <w:bCs/>
          <w:szCs w:val="21"/>
          <w:lang w:val="en-US" w:eastAsia="zh-CN"/>
        </w:rPr>
        <w:t>表</w:t>
      </w:r>
      <w:r>
        <w:rPr>
          <w:rFonts w:hint="eastAsia" w:ascii="Times New Roman" w:hAnsi="Times New Roman" w:eastAsia="宋体" w:cs="Times New Roman"/>
          <w:b/>
          <w:bCs/>
          <w:szCs w:val="21"/>
        </w:rPr>
        <w:t>4</w:t>
      </w:r>
      <w:r>
        <w:rPr>
          <w:rFonts w:ascii="Times New Roman" w:hAnsi="Times New Roman" w:eastAsia="宋体" w:cs="Times New Roman"/>
          <w:b/>
          <w:bCs/>
          <w:szCs w:val="21"/>
        </w:rPr>
        <w:t xml:space="preserve">.2.1 </w:t>
      </w:r>
      <w:r>
        <w:rPr>
          <w:rFonts w:hint="eastAsia" w:ascii="Times New Roman" w:hAnsi="Times New Roman" w:eastAsia="宋体" w:cs="Times New Roman"/>
          <w:b/>
          <w:bCs/>
          <w:szCs w:val="21"/>
        </w:rPr>
        <w:t>城市高强度片区</w:t>
      </w:r>
      <w:r>
        <w:rPr>
          <w:rFonts w:hint="eastAsia" w:ascii="Times New Roman" w:hAnsi="Times New Roman" w:eastAsia="宋体" w:cs="Times New Roman"/>
          <w:b/>
          <w:bCs/>
          <w:szCs w:val="21"/>
          <w:lang w:val="en-US" w:eastAsia="zh-CN"/>
        </w:rPr>
        <w:t>使用效能</w:t>
      </w:r>
      <w:r>
        <w:rPr>
          <w:rFonts w:hint="eastAsia" w:ascii="Times New Roman" w:hAnsi="Times New Roman" w:eastAsia="宋体" w:cs="Times New Roman"/>
          <w:b/>
          <w:bCs/>
          <w:szCs w:val="21"/>
        </w:rPr>
        <w:t>评估指标体系</w:t>
      </w:r>
    </w:p>
    <w:tbl>
      <w:tblPr>
        <w:tblStyle w:val="28"/>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06"/>
        <w:gridCol w:w="2799"/>
        <w:gridCol w:w="1283"/>
        <w:gridCol w:w="3732"/>
      </w:tblGrid>
      <w:tr w14:paraId="5ED491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2091" w:type="pct"/>
            <w:gridSpan w:val="2"/>
            <w:tcBorders>
              <w:top w:val="single" w:color="auto" w:sz="12" w:space="0"/>
              <w:left w:val="single" w:color="auto" w:sz="12" w:space="0"/>
              <w:bottom w:val="single" w:color="auto" w:sz="4" w:space="0"/>
              <w:right w:val="single" w:color="auto" w:sz="4" w:space="0"/>
            </w:tcBorders>
            <w:shd w:val="clear" w:color="auto" w:fill="auto"/>
            <w:vAlign w:val="center"/>
          </w:tcPr>
          <w:p w14:paraId="1217E09A">
            <w:pPr>
              <w:overflowPunct w:val="0"/>
              <w:spacing w:line="360" w:lineRule="auto"/>
              <w:jc w:val="center"/>
              <w:rPr>
                <w:rFonts w:hint="eastAsia" w:ascii="宋体" w:hAnsi="宋体" w:eastAsia="宋体" w:cs="宋体"/>
                <w:kern w:val="2"/>
                <w:sz w:val="20"/>
                <w:szCs w:val="21"/>
                <w:vertAlign w:val="baseline"/>
                <w:lang w:val="en-US" w:eastAsia="zh-CN" w:bidi="ar-SA"/>
              </w:rPr>
            </w:pPr>
            <w:r>
              <w:rPr>
                <w:rFonts w:hint="eastAsia" w:ascii="宋体" w:hAnsi="宋体" w:eastAsia="宋体" w:cs="宋体"/>
                <w:sz w:val="20"/>
                <w:szCs w:val="21"/>
                <w:vertAlign w:val="baseline"/>
                <w:lang w:val="en-US" w:eastAsia="zh-CN"/>
              </w:rPr>
              <w:t>维度</w:t>
            </w:r>
          </w:p>
        </w:tc>
        <w:tc>
          <w:tcPr>
            <w:tcW w:w="2908" w:type="pct"/>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0AD6B14D">
            <w:pPr>
              <w:overflowPunct w:val="0"/>
              <w:spacing w:line="360" w:lineRule="auto"/>
              <w:jc w:val="center"/>
              <w:rPr>
                <w:rFonts w:hint="default" w:ascii="宋体" w:hAnsi="宋体" w:eastAsia="宋体" w:cs="宋体"/>
                <w:kern w:val="2"/>
                <w:sz w:val="20"/>
                <w:szCs w:val="21"/>
                <w:vertAlign w:val="baseline"/>
                <w:lang w:val="en-US" w:eastAsia="zh-CN" w:bidi="ar-SA"/>
              </w:rPr>
            </w:pPr>
            <w:r>
              <w:rPr>
                <w:rFonts w:hint="eastAsia" w:ascii="宋体" w:hAnsi="宋体" w:eastAsia="宋体" w:cs="宋体"/>
                <w:sz w:val="20"/>
                <w:szCs w:val="21"/>
                <w:vertAlign w:val="baseline"/>
                <w:lang w:val="en-US" w:eastAsia="zh-CN"/>
              </w:rPr>
              <w:t>评级项</w:t>
            </w:r>
          </w:p>
        </w:tc>
      </w:tr>
      <w:tr w14:paraId="0649FE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tcBorders>
              <w:top w:val="single" w:color="auto" w:sz="4" w:space="0"/>
              <w:left w:val="single" w:color="auto" w:sz="12" w:space="0"/>
              <w:bottom w:val="single" w:color="auto" w:sz="4" w:space="0"/>
              <w:right w:val="single" w:color="auto" w:sz="4" w:space="0"/>
            </w:tcBorders>
            <w:shd w:val="clear" w:color="auto" w:fill="auto"/>
            <w:vAlign w:val="center"/>
          </w:tcPr>
          <w:p w14:paraId="5F7D3DDD">
            <w:pPr>
              <w:overflowPunct w:val="0"/>
              <w:spacing w:line="360" w:lineRule="auto"/>
              <w:jc w:val="center"/>
              <w:rPr>
                <w:rFonts w:hint="eastAsia" w:ascii="宋体" w:hAnsi="宋体" w:eastAsia="宋体" w:cs="宋体"/>
                <w:kern w:val="2"/>
                <w:sz w:val="20"/>
                <w:szCs w:val="21"/>
                <w:vertAlign w:val="baseline"/>
                <w:lang w:val="en-US" w:eastAsia="zh-CN" w:bidi="ar-SA"/>
              </w:rPr>
            </w:pPr>
            <w:r>
              <w:rPr>
                <w:rFonts w:hint="eastAsia" w:ascii="宋体" w:hAnsi="宋体" w:eastAsia="宋体" w:cs="宋体"/>
                <w:sz w:val="20"/>
                <w:szCs w:val="21"/>
                <w:vertAlign w:val="baseline"/>
                <w:lang w:val="en-US" w:eastAsia="zh-CN"/>
              </w:rPr>
              <w:t>编号</w:t>
            </w:r>
          </w:p>
        </w:tc>
        <w:tc>
          <w:tcPr>
            <w:tcW w:w="1623" w:type="pct"/>
            <w:tcBorders>
              <w:top w:val="single" w:color="auto" w:sz="4" w:space="0"/>
              <w:left w:val="single" w:color="auto" w:sz="4" w:space="0"/>
              <w:bottom w:val="single" w:color="auto" w:sz="4" w:space="0"/>
              <w:right w:val="single" w:color="auto" w:sz="4" w:space="0"/>
            </w:tcBorders>
            <w:shd w:val="clear" w:color="auto" w:fill="auto"/>
            <w:vAlign w:val="center"/>
          </w:tcPr>
          <w:p w14:paraId="313E2F67">
            <w:pPr>
              <w:overflowPunct w:val="0"/>
              <w:spacing w:line="360" w:lineRule="auto"/>
              <w:jc w:val="center"/>
              <w:rPr>
                <w:rFonts w:hint="eastAsia" w:ascii="宋体" w:hAnsi="宋体" w:eastAsia="宋体" w:cs="宋体"/>
                <w:kern w:val="2"/>
                <w:sz w:val="20"/>
                <w:szCs w:val="21"/>
                <w:vertAlign w:val="baseline"/>
                <w:lang w:val="en-US" w:eastAsia="zh-CN" w:bidi="ar-SA"/>
              </w:rPr>
            </w:pPr>
            <w:r>
              <w:rPr>
                <w:rFonts w:hint="eastAsia" w:ascii="宋体" w:hAnsi="宋体" w:eastAsia="宋体" w:cs="宋体"/>
                <w:sz w:val="20"/>
                <w:szCs w:val="21"/>
                <w:vertAlign w:val="baseline"/>
                <w:lang w:val="en-US" w:eastAsia="zh-CN"/>
              </w:rPr>
              <w:t>名称</w:t>
            </w:r>
          </w:p>
        </w:tc>
        <w:tc>
          <w:tcPr>
            <w:tcW w:w="744" w:type="pct"/>
            <w:tcBorders>
              <w:top w:val="single" w:color="auto" w:sz="4" w:space="0"/>
              <w:left w:val="single" w:color="auto" w:sz="4" w:space="0"/>
              <w:bottom w:val="single" w:color="auto" w:sz="4" w:space="0"/>
              <w:right w:val="single" w:color="auto" w:sz="4" w:space="0"/>
            </w:tcBorders>
            <w:shd w:val="clear" w:color="auto" w:fill="auto"/>
            <w:vAlign w:val="center"/>
          </w:tcPr>
          <w:p w14:paraId="5F23AE1A">
            <w:pPr>
              <w:overflowPunct w:val="0"/>
              <w:spacing w:line="360" w:lineRule="auto"/>
              <w:jc w:val="center"/>
              <w:rPr>
                <w:rFonts w:hint="eastAsia" w:ascii="宋体" w:hAnsi="宋体" w:eastAsia="宋体" w:cs="宋体"/>
                <w:kern w:val="2"/>
                <w:sz w:val="20"/>
                <w:szCs w:val="21"/>
                <w:vertAlign w:val="baseline"/>
                <w:lang w:val="en-US" w:eastAsia="zh-CN" w:bidi="ar-SA"/>
              </w:rPr>
            </w:pPr>
            <w:r>
              <w:rPr>
                <w:rFonts w:hint="eastAsia" w:ascii="宋体" w:hAnsi="宋体" w:eastAsia="宋体" w:cs="宋体"/>
                <w:sz w:val="20"/>
                <w:szCs w:val="21"/>
                <w:vertAlign w:val="baseline"/>
                <w:lang w:val="en-US" w:eastAsia="zh-CN"/>
              </w:rPr>
              <w:t>编号</w:t>
            </w:r>
          </w:p>
        </w:tc>
        <w:tc>
          <w:tcPr>
            <w:tcW w:w="2163" w:type="pct"/>
            <w:tcBorders>
              <w:top w:val="single" w:color="auto" w:sz="4" w:space="0"/>
              <w:left w:val="single" w:color="auto" w:sz="4" w:space="0"/>
              <w:bottom w:val="single" w:color="auto" w:sz="4" w:space="0"/>
              <w:right w:val="single" w:color="auto" w:sz="12" w:space="0"/>
            </w:tcBorders>
            <w:shd w:val="clear" w:color="auto" w:fill="auto"/>
            <w:vAlign w:val="center"/>
          </w:tcPr>
          <w:p w14:paraId="71F4A1E0">
            <w:pPr>
              <w:overflowPunct w:val="0"/>
              <w:spacing w:line="360" w:lineRule="auto"/>
              <w:jc w:val="center"/>
              <w:rPr>
                <w:rFonts w:hint="eastAsia" w:ascii="宋体" w:hAnsi="宋体" w:eastAsia="宋体" w:cs="宋体"/>
                <w:kern w:val="2"/>
                <w:sz w:val="20"/>
                <w:szCs w:val="21"/>
                <w:vertAlign w:val="baseline"/>
                <w:lang w:val="en-US" w:eastAsia="zh-CN" w:bidi="ar-SA"/>
              </w:rPr>
            </w:pPr>
            <w:r>
              <w:rPr>
                <w:rFonts w:hint="eastAsia" w:ascii="宋体" w:hAnsi="宋体" w:eastAsia="宋体" w:cs="宋体"/>
                <w:sz w:val="20"/>
                <w:szCs w:val="21"/>
                <w:vertAlign w:val="baseline"/>
                <w:lang w:val="en-US" w:eastAsia="zh-CN"/>
              </w:rPr>
              <w:t>名称</w:t>
            </w:r>
          </w:p>
        </w:tc>
      </w:tr>
      <w:tr w14:paraId="2720B0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restart"/>
            <w:tcBorders>
              <w:top w:val="single" w:color="auto" w:sz="4" w:space="0"/>
              <w:left w:val="single" w:color="auto" w:sz="12" w:space="0"/>
              <w:bottom w:val="single" w:color="auto" w:sz="4" w:space="0"/>
              <w:right w:val="single" w:color="auto" w:sz="4" w:space="0"/>
            </w:tcBorders>
            <w:vAlign w:val="center"/>
          </w:tcPr>
          <w:p w14:paraId="07ED6412">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1</w:t>
            </w:r>
          </w:p>
        </w:tc>
        <w:tc>
          <w:tcPr>
            <w:tcW w:w="1623" w:type="pct"/>
            <w:vMerge w:val="restart"/>
            <w:tcBorders>
              <w:top w:val="single" w:color="auto" w:sz="4" w:space="0"/>
              <w:left w:val="single" w:color="auto" w:sz="4" w:space="0"/>
              <w:bottom w:val="single" w:color="auto" w:sz="4" w:space="0"/>
              <w:right w:val="single" w:color="auto" w:sz="4" w:space="0"/>
            </w:tcBorders>
            <w:vAlign w:val="center"/>
          </w:tcPr>
          <w:p w14:paraId="5C3630C1">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lang w:val="en-US" w:eastAsia="zh-CN"/>
              </w:rPr>
              <w:t>空间集约效能</w:t>
            </w:r>
          </w:p>
        </w:tc>
        <w:tc>
          <w:tcPr>
            <w:tcW w:w="744" w:type="pct"/>
            <w:tcBorders>
              <w:top w:val="single" w:color="auto" w:sz="4" w:space="0"/>
              <w:left w:val="single" w:color="auto" w:sz="4" w:space="0"/>
              <w:bottom w:val="single" w:color="auto" w:sz="4" w:space="0"/>
              <w:right w:val="single" w:color="auto" w:sz="4" w:space="0"/>
            </w:tcBorders>
            <w:vAlign w:val="center"/>
          </w:tcPr>
          <w:p w14:paraId="54503110">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1.1</w:t>
            </w:r>
          </w:p>
        </w:tc>
        <w:tc>
          <w:tcPr>
            <w:tcW w:w="2163" w:type="pct"/>
            <w:tcBorders>
              <w:top w:val="single" w:color="auto" w:sz="4" w:space="0"/>
              <w:left w:val="single" w:color="auto" w:sz="4" w:space="0"/>
              <w:bottom w:val="single" w:color="auto" w:sz="4" w:space="0"/>
              <w:right w:val="single" w:color="auto" w:sz="12" w:space="0"/>
            </w:tcBorders>
            <w:vAlign w:val="center"/>
          </w:tcPr>
          <w:p w14:paraId="249077D1">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市政设施复合布局率</w:t>
            </w:r>
          </w:p>
        </w:tc>
      </w:tr>
      <w:tr w14:paraId="48D22B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4" w:space="0"/>
              <w:right w:val="single" w:color="auto" w:sz="4" w:space="0"/>
            </w:tcBorders>
            <w:vAlign w:val="center"/>
          </w:tcPr>
          <w:p w14:paraId="466AA0CE">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4" w:space="0"/>
              <w:right w:val="single" w:color="auto" w:sz="4" w:space="0"/>
            </w:tcBorders>
            <w:vAlign w:val="center"/>
          </w:tcPr>
          <w:p w14:paraId="5B21F30B">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4" w:space="0"/>
              <w:right w:val="single" w:color="auto" w:sz="4" w:space="0"/>
            </w:tcBorders>
            <w:vAlign w:val="center"/>
          </w:tcPr>
          <w:p w14:paraId="410732F5">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1.2</w:t>
            </w:r>
          </w:p>
        </w:tc>
        <w:tc>
          <w:tcPr>
            <w:tcW w:w="2163" w:type="pct"/>
            <w:tcBorders>
              <w:top w:val="single" w:color="auto" w:sz="4" w:space="0"/>
              <w:left w:val="single" w:color="auto" w:sz="4" w:space="0"/>
              <w:bottom w:val="single" w:color="auto" w:sz="4" w:space="0"/>
              <w:right w:val="single" w:color="auto" w:sz="12" w:space="0"/>
            </w:tcBorders>
            <w:vAlign w:val="center"/>
          </w:tcPr>
          <w:p w14:paraId="1ADB425F">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环卫设施复合布局率</w:t>
            </w:r>
          </w:p>
        </w:tc>
      </w:tr>
      <w:tr w14:paraId="0ADE82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4" w:space="0"/>
              <w:right w:val="single" w:color="auto" w:sz="4" w:space="0"/>
            </w:tcBorders>
            <w:vAlign w:val="center"/>
          </w:tcPr>
          <w:p w14:paraId="66FCAD3E">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4" w:space="0"/>
              <w:right w:val="single" w:color="auto" w:sz="4" w:space="0"/>
            </w:tcBorders>
            <w:vAlign w:val="center"/>
          </w:tcPr>
          <w:p w14:paraId="03B7B677">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4" w:space="0"/>
              <w:right w:val="single" w:color="auto" w:sz="4" w:space="0"/>
            </w:tcBorders>
            <w:vAlign w:val="center"/>
          </w:tcPr>
          <w:p w14:paraId="6E6201C1">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1.3</w:t>
            </w:r>
          </w:p>
        </w:tc>
        <w:tc>
          <w:tcPr>
            <w:tcW w:w="2163" w:type="pct"/>
            <w:tcBorders>
              <w:top w:val="single" w:color="auto" w:sz="4" w:space="0"/>
              <w:left w:val="single" w:color="auto" w:sz="4" w:space="0"/>
              <w:bottom w:val="single" w:color="auto" w:sz="4" w:space="0"/>
              <w:right w:val="single" w:color="auto" w:sz="12" w:space="0"/>
            </w:tcBorders>
            <w:vAlign w:val="center"/>
          </w:tcPr>
          <w:p w14:paraId="779472C9">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TOD建设占比</w:t>
            </w:r>
          </w:p>
        </w:tc>
      </w:tr>
      <w:tr w14:paraId="04200D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restart"/>
            <w:tcBorders>
              <w:top w:val="single" w:color="auto" w:sz="4" w:space="0"/>
              <w:left w:val="single" w:color="auto" w:sz="12" w:space="0"/>
              <w:bottom w:val="single" w:color="auto" w:sz="4" w:space="0"/>
              <w:right w:val="single" w:color="auto" w:sz="4" w:space="0"/>
            </w:tcBorders>
            <w:vAlign w:val="center"/>
          </w:tcPr>
          <w:p w14:paraId="2E060742">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2</w:t>
            </w:r>
          </w:p>
        </w:tc>
        <w:tc>
          <w:tcPr>
            <w:tcW w:w="1623" w:type="pct"/>
            <w:vMerge w:val="restart"/>
            <w:tcBorders>
              <w:top w:val="single" w:color="auto" w:sz="4" w:space="0"/>
              <w:left w:val="single" w:color="auto" w:sz="4" w:space="0"/>
              <w:bottom w:val="single" w:color="auto" w:sz="4" w:space="0"/>
              <w:right w:val="single" w:color="auto" w:sz="4" w:space="0"/>
            </w:tcBorders>
            <w:vAlign w:val="center"/>
          </w:tcPr>
          <w:p w14:paraId="234DBE9E">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lang w:val="en-US" w:eastAsia="zh-CN"/>
              </w:rPr>
              <w:t>交通衔接效能</w:t>
            </w:r>
          </w:p>
        </w:tc>
        <w:tc>
          <w:tcPr>
            <w:tcW w:w="744" w:type="pct"/>
            <w:tcBorders>
              <w:top w:val="single" w:color="auto" w:sz="4" w:space="0"/>
              <w:left w:val="single" w:color="auto" w:sz="4" w:space="0"/>
              <w:bottom w:val="single" w:color="auto" w:sz="4" w:space="0"/>
              <w:right w:val="single" w:color="auto" w:sz="4" w:space="0"/>
            </w:tcBorders>
            <w:vAlign w:val="center"/>
          </w:tcPr>
          <w:p w14:paraId="57006A16">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2.1</w:t>
            </w:r>
          </w:p>
        </w:tc>
        <w:tc>
          <w:tcPr>
            <w:tcW w:w="2163" w:type="pct"/>
            <w:tcBorders>
              <w:top w:val="single" w:color="auto" w:sz="4" w:space="0"/>
              <w:left w:val="single" w:color="auto" w:sz="4" w:space="0"/>
              <w:bottom w:val="single" w:color="auto" w:sz="4" w:space="0"/>
              <w:right w:val="single" w:color="auto" w:sz="12" w:space="0"/>
            </w:tcBorders>
            <w:vAlign w:val="center"/>
          </w:tcPr>
          <w:p w14:paraId="7AADE6D7">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交通设施适配度</w:t>
            </w:r>
          </w:p>
        </w:tc>
      </w:tr>
      <w:tr w14:paraId="2EF376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4" w:space="0"/>
              <w:right w:val="single" w:color="auto" w:sz="4" w:space="0"/>
            </w:tcBorders>
            <w:vAlign w:val="center"/>
          </w:tcPr>
          <w:p w14:paraId="2E5EA088">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4" w:space="0"/>
              <w:right w:val="single" w:color="auto" w:sz="4" w:space="0"/>
            </w:tcBorders>
            <w:vAlign w:val="center"/>
          </w:tcPr>
          <w:p w14:paraId="44DEB96E">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4" w:space="0"/>
              <w:right w:val="single" w:color="auto" w:sz="4" w:space="0"/>
            </w:tcBorders>
            <w:vAlign w:val="center"/>
          </w:tcPr>
          <w:p w14:paraId="0000CC51">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2.2</w:t>
            </w:r>
          </w:p>
        </w:tc>
        <w:tc>
          <w:tcPr>
            <w:tcW w:w="2163" w:type="pct"/>
            <w:tcBorders>
              <w:top w:val="single" w:color="auto" w:sz="4" w:space="0"/>
              <w:left w:val="single" w:color="auto" w:sz="4" w:space="0"/>
              <w:bottom w:val="single" w:color="auto" w:sz="4" w:space="0"/>
              <w:right w:val="single" w:color="auto" w:sz="12" w:space="0"/>
            </w:tcBorders>
            <w:vAlign w:val="center"/>
          </w:tcPr>
          <w:p w14:paraId="7F3E6CFF">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公交换乘便捷度</w:t>
            </w:r>
          </w:p>
        </w:tc>
      </w:tr>
      <w:tr w14:paraId="32A33A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4" w:space="0"/>
              <w:right w:val="single" w:color="auto" w:sz="4" w:space="0"/>
            </w:tcBorders>
            <w:vAlign w:val="center"/>
          </w:tcPr>
          <w:p w14:paraId="4C6D8E52">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4" w:space="0"/>
              <w:right w:val="single" w:color="auto" w:sz="4" w:space="0"/>
            </w:tcBorders>
            <w:vAlign w:val="center"/>
          </w:tcPr>
          <w:p w14:paraId="27E08BD1">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4" w:space="0"/>
              <w:right w:val="single" w:color="auto" w:sz="4" w:space="0"/>
            </w:tcBorders>
            <w:vAlign w:val="center"/>
          </w:tcPr>
          <w:p w14:paraId="4A1CCEB7">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2.3</w:t>
            </w:r>
          </w:p>
        </w:tc>
        <w:tc>
          <w:tcPr>
            <w:tcW w:w="2163" w:type="pct"/>
            <w:tcBorders>
              <w:top w:val="single" w:color="auto" w:sz="4" w:space="0"/>
              <w:left w:val="single" w:color="auto" w:sz="4" w:space="0"/>
              <w:bottom w:val="single" w:color="auto" w:sz="4" w:space="0"/>
              <w:right w:val="single" w:color="auto" w:sz="12" w:space="0"/>
            </w:tcBorders>
            <w:vAlign w:val="center"/>
          </w:tcPr>
          <w:p w14:paraId="00C18E48">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道路网络连通度</w:t>
            </w:r>
          </w:p>
        </w:tc>
      </w:tr>
      <w:tr w14:paraId="7357F8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4" w:space="0"/>
              <w:right w:val="single" w:color="auto" w:sz="4" w:space="0"/>
            </w:tcBorders>
            <w:vAlign w:val="center"/>
          </w:tcPr>
          <w:p w14:paraId="6E8507CD">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4" w:space="0"/>
              <w:right w:val="single" w:color="auto" w:sz="4" w:space="0"/>
            </w:tcBorders>
            <w:vAlign w:val="center"/>
          </w:tcPr>
          <w:p w14:paraId="739B4297">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4" w:space="0"/>
              <w:right w:val="single" w:color="auto" w:sz="4" w:space="0"/>
            </w:tcBorders>
            <w:vAlign w:val="center"/>
          </w:tcPr>
          <w:p w14:paraId="2C990AAF">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2.4</w:t>
            </w:r>
          </w:p>
        </w:tc>
        <w:tc>
          <w:tcPr>
            <w:tcW w:w="2163" w:type="pct"/>
            <w:tcBorders>
              <w:top w:val="single" w:color="auto" w:sz="4" w:space="0"/>
              <w:left w:val="single" w:color="auto" w:sz="4" w:space="0"/>
              <w:bottom w:val="single" w:color="auto" w:sz="4" w:space="0"/>
              <w:right w:val="single" w:color="auto" w:sz="12" w:space="0"/>
            </w:tcBorders>
            <w:vAlign w:val="center"/>
          </w:tcPr>
          <w:p w14:paraId="7B654EEB">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步行网络连通度</w:t>
            </w:r>
          </w:p>
        </w:tc>
      </w:tr>
      <w:tr w14:paraId="573E5D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restart"/>
            <w:tcBorders>
              <w:top w:val="single" w:color="auto" w:sz="4" w:space="0"/>
              <w:left w:val="single" w:color="auto" w:sz="12" w:space="0"/>
              <w:bottom w:val="single" w:color="auto" w:sz="4" w:space="0"/>
              <w:right w:val="single" w:color="auto" w:sz="4" w:space="0"/>
            </w:tcBorders>
            <w:vAlign w:val="center"/>
          </w:tcPr>
          <w:p w14:paraId="28CC0ED9">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3</w:t>
            </w:r>
          </w:p>
        </w:tc>
        <w:tc>
          <w:tcPr>
            <w:tcW w:w="1623" w:type="pct"/>
            <w:vMerge w:val="restart"/>
            <w:tcBorders>
              <w:top w:val="single" w:color="auto" w:sz="4" w:space="0"/>
              <w:left w:val="single" w:color="auto" w:sz="4" w:space="0"/>
              <w:bottom w:val="single" w:color="auto" w:sz="4" w:space="0"/>
              <w:right w:val="single" w:color="auto" w:sz="4" w:space="0"/>
            </w:tcBorders>
            <w:vAlign w:val="center"/>
          </w:tcPr>
          <w:p w14:paraId="3F726DAD">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lang w:val="en-US" w:eastAsia="zh-CN"/>
              </w:rPr>
              <w:t>功能利用效能</w:t>
            </w:r>
          </w:p>
        </w:tc>
        <w:tc>
          <w:tcPr>
            <w:tcW w:w="744" w:type="pct"/>
            <w:tcBorders>
              <w:top w:val="single" w:color="auto" w:sz="4" w:space="0"/>
              <w:left w:val="single" w:color="auto" w:sz="4" w:space="0"/>
              <w:bottom w:val="single" w:color="auto" w:sz="4" w:space="0"/>
              <w:right w:val="single" w:color="auto" w:sz="4" w:space="0"/>
            </w:tcBorders>
            <w:vAlign w:val="center"/>
          </w:tcPr>
          <w:p w14:paraId="22FE627A">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3.1</w:t>
            </w:r>
          </w:p>
        </w:tc>
        <w:tc>
          <w:tcPr>
            <w:tcW w:w="2163" w:type="pct"/>
            <w:tcBorders>
              <w:top w:val="single" w:color="auto" w:sz="4" w:space="0"/>
              <w:left w:val="single" w:color="auto" w:sz="4" w:space="0"/>
              <w:bottom w:val="single" w:color="auto" w:sz="4" w:space="0"/>
              <w:right w:val="single" w:color="auto" w:sz="12" w:space="0"/>
            </w:tcBorders>
            <w:vAlign w:val="center"/>
          </w:tcPr>
          <w:p w14:paraId="2621AA90">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屋顶空间利用度</w:t>
            </w:r>
          </w:p>
        </w:tc>
      </w:tr>
      <w:tr w14:paraId="4F10BE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4" w:space="0"/>
              <w:right w:val="single" w:color="auto" w:sz="4" w:space="0"/>
            </w:tcBorders>
            <w:vAlign w:val="center"/>
          </w:tcPr>
          <w:p w14:paraId="6FFC7472">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4" w:space="0"/>
              <w:right w:val="single" w:color="auto" w:sz="4" w:space="0"/>
            </w:tcBorders>
            <w:vAlign w:val="center"/>
          </w:tcPr>
          <w:p w14:paraId="256B7E9D">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4" w:space="0"/>
              <w:right w:val="single" w:color="auto" w:sz="4" w:space="0"/>
            </w:tcBorders>
            <w:vAlign w:val="center"/>
          </w:tcPr>
          <w:p w14:paraId="5AE707EA">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3.2</w:t>
            </w:r>
          </w:p>
        </w:tc>
        <w:tc>
          <w:tcPr>
            <w:tcW w:w="2163" w:type="pct"/>
            <w:tcBorders>
              <w:top w:val="single" w:color="auto" w:sz="4" w:space="0"/>
              <w:left w:val="single" w:color="auto" w:sz="4" w:space="0"/>
              <w:bottom w:val="single" w:color="auto" w:sz="4" w:space="0"/>
              <w:right w:val="single" w:color="auto" w:sz="12" w:space="0"/>
            </w:tcBorders>
            <w:vAlign w:val="center"/>
          </w:tcPr>
          <w:p w14:paraId="58954CC9">
            <w:pPr>
              <w:overflowPunct w:val="0"/>
              <w:spacing w:line="360" w:lineRule="auto"/>
              <w:jc w:val="center"/>
              <w:rPr>
                <w:rFonts w:hint="eastAsia" w:ascii="Times New Roman" w:hAnsi="Times New Roman" w:eastAsia="宋体" w:cs="Times New Roman"/>
                <w:kern w:val="0"/>
                <w:sz w:val="24"/>
                <w:szCs w:val="24"/>
                <w:vertAlign w:val="baseline"/>
                <w:lang w:bidi="zh-CN"/>
              </w:rPr>
            </w:pPr>
            <w:r>
              <w:rPr>
                <w:rFonts w:hint="eastAsia" w:ascii="宋体" w:hAnsi="宋体" w:eastAsia="宋体" w:cs="宋体"/>
                <w:sz w:val="20"/>
                <w:szCs w:val="21"/>
                <w:vertAlign w:val="baseline"/>
              </w:rPr>
              <w:t>畸零空间利用度</w:t>
            </w:r>
          </w:p>
        </w:tc>
      </w:tr>
      <w:tr w14:paraId="42E9B5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 w:hRule="exact"/>
          <w:jc w:val="center"/>
        </w:trPr>
        <w:tc>
          <w:tcPr>
            <w:tcW w:w="468" w:type="pct"/>
            <w:vMerge w:val="continue"/>
            <w:tcBorders>
              <w:top w:val="single" w:color="auto" w:sz="4" w:space="0"/>
              <w:left w:val="single" w:color="auto" w:sz="12" w:space="0"/>
              <w:bottom w:val="single" w:color="auto" w:sz="12" w:space="0"/>
              <w:right w:val="single" w:color="auto" w:sz="4" w:space="0"/>
            </w:tcBorders>
            <w:vAlign w:val="center"/>
          </w:tcPr>
          <w:p w14:paraId="2BC114BD">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1623" w:type="pct"/>
            <w:vMerge w:val="continue"/>
            <w:tcBorders>
              <w:top w:val="single" w:color="auto" w:sz="4" w:space="0"/>
              <w:left w:val="single" w:color="auto" w:sz="4" w:space="0"/>
              <w:bottom w:val="single" w:color="auto" w:sz="12" w:space="0"/>
              <w:right w:val="single" w:color="auto" w:sz="4" w:space="0"/>
            </w:tcBorders>
            <w:vAlign w:val="center"/>
          </w:tcPr>
          <w:p w14:paraId="6C2DF835">
            <w:pPr>
              <w:overflowPunct w:val="0"/>
              <w:spacing w:line="360" w:lineRule="auto"/>
              <w:jc w:val="center"/>
              <w:rPr>
                <w:rFonts w:hint="eastAsia" w:ascii="Times New Roman" w:hAnsi="Times New Roman" w:eastAsia="宋体" w:cs="Times New Roman"/>
                <w:kern w:val="0"/>
                <w:sz w:val="24"/>
                <w:szCs w:val="24"/>
                <w:vertAlign w:val="baseline"/>
                <w:lang w:bidi="zh-CN"/>
              </w:rPr>
            </w:pPr>
          </w:p>
        </w:tc>
        <w:tc>
          <w:tcPr>
            <w:tcW w:w="744" w:type="pct"/>
            <w:tcBorders>
              <w:top w:val="single" w:color="auto" w:sz="4" w:space="0"/>
              <w:left w:val="single" w:color="auto" w:sz="4" w:space="0"/>
              <w:bottom w:val="single" w:color="auto" w:sz="12" w:space="0"/>
              <w:right w:val="single" w:color="auto" w:sz="4" w:space="0"/>
            </w:tcBorders>
            <w:vAlign w:val="center"/>
          </w:tcPr>
          <w:p w14:paraId="71486DB5">
            <w:pPr>
              <w:overflowPunct w:val="0"/>
              <w:spacing w:line="360" w:lineRule="auto"/>
              <w:jc w:val="center"/>
              <w:rPr>
                <w:rFonts w:hint="default" w:ascii="Times New Roman" w:hAnsi="Times New Roman" w:eastAsia="宋体" w:cs="Times New Roman"/>
                <w:kern w:val="0"/>
                <w:sz w:val="24"/>
                <w:szCs w:val="24"/>
                <w:vertAlign w:val="baseline"/>
                <w:lang w:val="en-US" w:bidi="zh-CN"/>
              </w:rPr>
            </w:pPr>
            <w:r>
              <w:rPr>
                <w:rFonts w:hint="eastAsia" w:ascii="Times New Roman" w:hAnsi="Times New Roman" w:eastAsia="宋体" w:cs="Times New Roman"/>
                <w:kern w:val="0"/>
                <w:sz w:val="24"/>
                <w:szCs w:val="24"/>
                <w:vertAlign w:val="baseline"/>
                <w:lang w:val="en-US" w:bidi="zh-CN"/>
              </w:rPr>
              <w:t>3.3</w:t>
            </w:r>
          </w:p>
        </w:tc>
        <w:tc>
          <w:tcPr>
            <w:tcW w:w="2163" w:type="pct"/>
            <w:tcBorders>
              <w:top w:val="single" w:color="auto" w:sz="4" w:space="0"/>
              <w:left w:val="single" w:color="auto" w:sz="4" w:space="0"/>
              <w:bottom w:val="single" w:color="auto" w:sz="12" w:space="0"/>
              <w:right w:val="single" w:color="auto" w:sz="12" w:space="0"/>
            </w:tcBorders>
            <w:vAlign w:val="center"/>
          </w:tcPr>
          <w:p w14:paraId="48508083">
            <w:pPr>
              <w:overflowPunct w:val="0"/>
              <w:spacing w:line="360" w:lineRule="auto"/>
              <w:jc w:val="center"/>
              <w:rPr>
                <w:rFonts w:hint="eastAsia" w:ascii="Times New Roman" w:hAnsi="Times New Roman" w:eastAsia="宋体" w:cs="Times New Roman"/>
                <w:kern w:val="0"/>
                <w:sz w:val="24"/>
                <w:szCs w:val="24"/>
                <w:vertAlign w:val="baseline"/>
                <w:lang w:val="en-US" w:eastAsia="zh-CN" w:bidi="zh-CN"/>
              </w:rPr>
            </w:pPr>
            <w:r>
              <w:rPr>
                <w:rFonts w:hint="eastAsia" w:ascii="宋体" w:hAnsi="宋体" w:eastAsia="宋体" w:cs="宋体"/>
                <w:sz w:val="20"/>
                <w:szCs w:val="21"/>
                <w:vertAlign w:val="baseline"/>
              </w:rPr>
              <w:t>城市支路分时利用</w:t>
            </w:r>
            <w:r>
              <w:rPr>
                <w:rFonts w:hint="eastAsia" w:ascii="宋体" w:hAnsi="宋体" w:eastAsia="宋体" w:cs="宋体"/>
                <w:sz w:val="20"/>
                <w:szCs w:val="21"/>
                <w:vertAlign w:val="baseline"/>
                <w:lang w:val="en-US" w:eastAsia="zh-CN"/>
              </w:rPr>
              <w:t>率</w:t>
            </w:r>
          </w:p>
        </w:tc>
      </w:tr>
    </w:tbl>
    <w:p w14:paraId="2CDAABD0">
      <w:pPr>
        <w:overflowPunct w:val="0"/>
        <w:spacing w:line="360" w:lineRule="auto"/>
        <w:jc w:val="center"/>
      </w:pPr>
    </w:p>
    <w:p w14:paraId="47958195">
      <w:pPr>
        <w:overflowPunct w:val="0"/>
        <w:spacing w:line="360" w:lineRule="auto"/>
        <w:rPr>
          <w:rFonts w:ascii="Times New Roman" w:hAnsi="Times New Roman" w:eastAsia="宋体" w:cs="Times New Roman"/>
          <w:kern w:val="0"/>
          <w:sz w:val="24"/>
          <w:szCs w:val="24"/>
          <w:lang w:bidi="zh-CN"/>
        </w:rPr>
      </w:pPr>
      <w:bookmarkStart w:id="29" w:name="_Toc124329055"/>
      <w:r>
        <w:rPr>
          <w:rFonts w:hint="eastAsia" w:ascii="Times New Roman" w:hAnsi="Times New Roman" w:eastAsia="宋体" w:cs="Times New Roman"/>
          <w:b/>
          <w:bCs/>
          <w:kern w:val="0"/>
          <w:sz w:val="24"/>
          <w:szCs w:val="24"/>
          <w:lang w:bidi="zh-CN"/>
        </w:rPr>
        <w:t>4.</w:t>
      </w:r>
      <w:r>
        <w:rPr>
          <w:rFonts w:hint="eastAsia" w:ascii="Times New Roman" w:hAnsi="Times New Roman" w:eastAsia="宋体" w:cs="Times New Roman"/>
          <w:b/>
          <w:bCs/>
          <w:kern w:val="0"/>
          <w:sz w:val="24"/>
          <w:szCs w:val="24"/>
          <w:lang w:val="en-US" w:bidi="zh-CN"/>
        </w:rPr>
        <w:t>2</w:t>
      </w:r>
      <w:r>
        <w:rPr>
          <w:rFonts w:hint="eastAsia" w:ascii="Times New Roman" w:hAnsi="Times New Roman" w:eastAsia="宋体" w:cs="Times New Roman"/>
          <w:b/>
          <w:bCs/>
          <w:kern w:val="0"/>
          <w:sz w:val="24"/>
          <w:szCs w:val="24"/>
          <w:lang w:bidi="zh-CN"/>
        </w:rPr>
        <w:t>.</w:t>
      </w:r>
      <w:r>
        <w:rPr>
          <w:rFonts w:hint="eastAsia" w:ascii="Times New Roman" w:hAnsi="Times New Roman" w:eastAsia="宋体" w:cs="Times New Roman"/>
          <w:b/>
          <w:bCs/>
          <w:kern w:val="0"/>
          <w:sz w:val="24"/>
          <w:szCs w:val="24"/>
          <w:lang w:val="en-US" w:bidi="zh-CN"/>
        </w:rPr>
        <w:t>2</w:t>
      </w:r>
      <w:r>
        <w:rPr>
          <w:rFonts w:hint="eastAsia" w:ascii="Times New Roman" w:hAnsi="Times New Roman" w:eastAsia="宋体" w:cs="Times New Roman"/>
          <w:b/>
          <w:bCs/>
          <w:kern w:val="0"/>
          <w:sz w:val="24"/>
          <w:szCs w:val="24"/>
          <w:lang w:bidi="zh-CN"/>
        </w:rPr>
        <w:t xml:space="preserve">   </w:t>
      </w:r>
      <w:r>
        <w:rPr>
          <w:rFonts w:hint="eastAsia" w:ascii="Times New Roman" w:hAnsi="Times New Roman" w:eastAsia="宋体" w:cs="Times New Roman"/>
          <w:b w:val="0"/>
          <w:bCs w:val="0"/>
          <w:kern w:val="0"/>
          <w:sz w:val="24"/>
          <w:szCs w:val="24"/>
          <w:lang w:bidi="zh-CN"/>
        </w:rPr>
        <w:t>城市高强度片区</w:t>
      </w:r>
      <w:r>
        <w:rPr>
          <w:rFonts w:hint="eastAsia" w:ascii="Times New Roman" w:hAnsi="Times New Roman" w:eastAsia="宋体" w:cs="Times New Roman"/>
          <w:b w:val="0"/>
          <w:bCs w:val="0"/>
          <w:kern w:val="0"/>
          <w:sz w:val="24"/>
          <w:szCs w:val="24"/>
          <w:lang w:val="en-US" w:bidi="zh-CN"/>
        </w:rPr>
        <w:t>使用效能</w:t>
      </w:r>
      <w:r>
        <w:rPr>
          <w:rFonts w:hint="eastAsia" w:ascii="Times New Roman" w:hAnsi="Times New Roman" w:eastAsia="宋体" w:cs="Times New Roman"/>
          <w:b w:val="0"/>
          <w:bCs w:val="0"/>
          <w:kern w:val="0"/>
          <w:sz w:val="24"/>
          <w:szCs w:val="24"/>
          <w:lang w:bidi="zh-CN"/>
        </w:rPr>
        <w:t>评估结论判定，应统计评级项中获得A级、B级及C级的数量。评估结论划分为卓越型、优质型、良好型、薄弱型及失衡型五个等级，各等级符合表4.2.2的规定。</w:t>
      </w:r>
      <w:r>
        <w:rPr>
          <w:rFonts w:hint="eastAsia" w:ascii="Times New Roman" w:hAnsi="Times New Roman" w:eastAsia="宋体" w:cs="Times New Roman"/>
          <w:kern w:val="0"/>
          <w:sz w:val="24"/>
          <w:szCs w:val="24"/>
          <w:lang w:bidi="zh-CN"/>
        </w:rPr>
        <w:t>。</w:t>
      </w:r>
    </w:p>
    <w:p w14:paraId="6477B6C9">
      <w:pPr>
        <w:jc w:val="center"/>
        <w:rPr>
          <w:rFonts w:hint="default" w:ascii="Times New Roman" w:hAnsi="Times New Roman" w:eastAsia="宋体" w:cs="Times New Roman"/>
          <w:b/>
          <w:kern w:val="44"/>
          <w:sz w:val="18"/>
          <w:szCs w:val="18"/>
          <w:lang w:val="en-US" w:bidi="zh-CN"/>
        </w:rPr>
      </w:pPr>
      <w:r>
        <w:rPr>
          <w:rFonts w:hint="eastAsia" w:ascii="Times New Roman" w:hAnsi="Times New Roman" w:eastAsia="宋体" w:cs="Times New Roman"/>
          <w:b/>
          <w:kern w:val="44"/>
          <w:sz w:val="18"/>
          <w:szCs w:val="18"/>
          <w:lang w:bidi="zh-CN"/>
        </w:rPr>
        <w:t>表4.2.</w:t>
      </w:r>
      <w:r>
        <w:rPr>
          <w:rFonts w:hint="eastAsia" w:ascii="Times New Roman" w:hAnsi="Times New Roman" w:eastAsia="宋体" w:cs="Times New Roman"/>
          <w:b/>
          <w:kern w:val="44"/>
          <w:sz w:val="18"/>
          <w:szCs w:val="18"/>
          <w:lang w:val="en-US" w:bidi="zh-CN"/>
        </w:rPr>
        <w:t>2</w:t>
      </w:r>
      <w:r>
        <w:rPr>
          <w:rFonts w:hint="eastAsia" w:ascii="Times New Roman" w:hAnsi="Times New Roman" w:eastAsia="宋体" w:cs="Times New Roman"/>
          <w:b/>
          <w:kern w:val="44"/>
          <w:sz w:val="18"/>
          <w:szCs w:val="18"/>
          <w:lang w:bidi="zh-CN"/>
        </w:rPr>
        <w:t>　</w:t>
      </w:r>
      <w:r>
        <w:rPr>
          <w:rFonts w:hint="eastAsia" w:ascii="Times New Roman" w:hAnsi="Times New Roman" w:eastAsia="宋体" w:cs="Times New Roman"/>
          <w:b/>
          <w:kern w:val="44"/>
          <w:sz w:val="18"/>
          <w:szCs w:val="18"/>
          <w:lang w:val="en-US" w:bidi="zh-CN"/>
        </w:rPr>
        <w:t>使用效能</w:t>
      </w:r>
      <w:r>
        <w:rPr>
          <w:rFonts w:hint="eastAsia" w:ascii="Times New Roman" w:hAnsi="Times New Roman" w:eastAsia="宋体" w:cs="Times New Roman"/>
          <w:b/>
          <w:kern w:val="44"/>
          <w:sz w:val="18"/>
          <w:szCs w:val="18"/>
          <w:lang w:bidi="zh-CN"/>
        </w:rPr>
        <w:t>综合等级评定标准</w:t>
      </w:r>
    </w:p>
    <w:tbl>
      <w:tblPr>
        <w:tblStyle w:val="28"/>
        <w:tblW w:w="510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585"/>
        <w:gridCol w:w="2342"/>
        <w:gridCol w:w="2342"/>
        <w:gridCol w:w="2346"/>
      </w:tblGrid>
      <w:tr w14:paraId="644702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920" w:type="pct"/>
            <w:vAlign w:val="center"/>
          </w:tcPr>
          <w:p w14:paraId="563FCD2F">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评估结论</w:t>
            </w:r>
          </w:p>
        </w:tc>
        <w:tc>
          <w:tcPr>
            <w:tcW w:w="1359" w:type="pct"/>
            <w:vAlign w:val="center"/>
          </w:tcPr>
          <w:p w14:paraId="68AF701E">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评级项</w:t>
            </w:r>
            <w:r>
              <w:rPr>
                <w:rFonts w:hint="eastAsia" w:ascii="Times New Roman" w:hAnsi="Times New Roman" w:eastAsia="宋体" w:cs="Times New Roman"/>
                <w:kern w:val="0"/>
                <w:szCs w:val="21"/>
                <w:lang w:bidi="zh-CN"/>
              </w:rPr>
              <w:t>A级</w:t>
            </w:r>
            <w:r>
              <w:rPr>
                <w:rFonts w:hint="eastAsia" w:ascii="Times New Roman" w:hAnsi="Times New Roman" w:eastAsia="宋体" w:cs="Times New Roman"/>
                <w:kern w:val="0"/>
                <w:szCs w:val="21"/>
                <w:lang w:val="zh-CN" w:bidi="zh-CN"/>
              </w:rPr>
              <w:t>数量</w:t>
            </w:r>
          </w:p>
        </w:tc>
        <w:tc>
          <w:tcPr>
            <w:tcW w:w="1359" w:type="pct"/>
            <w:vAlign w:val="center"/>
          </w:tcPr>
          <w:p w14:paraId="2D6D2C41">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评级项</w:t>
            </w:r>
            <w:r>
              <w:rPr>
                <w:rFonts w:hint="eastAsia" w:ascii="Times New Roman" w:hAnsi="Times New Roman" w:eastAsia="宋体" w:cs="Times New Roman"/>
                <w:kern w:val="0"/>
                <w:szCs w:val="21"/>
                <w:lang w:bidi="zh-CN"/>
              </w:rPr>
              <w:t>B级</w:t>
            </w:r>
            <w:r>
              <w:rPr>
                <w:rFonts w:hint="eastAsia" w:ascii="Times New Roman" w:hAnsi="Times New Roman" w:eastAsia="宋体" w:cs="Times New Roman"/>
                <w:kern w:val="0"/>
                <w:szCs w:val="21"/>
                <w:lang w:val="zh-CN" w:bidi="zh-CN"/>
              </w:rPr>
              <w:t>数量</w:t>
            </w:r>
          </w:p>
        </w:tc>
        <w:tc>
          <w:tcPr>
            <w:tcW w:w="1360" w:type="pct"/>
            <w:vAlign w:val="center"/>
          </w:tcPr>
          <w:p w14:paraId="50478F08">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评级项</w:t>
            </w:r>
            <w:r>
              <w:rPr>
                <w:rFonts w:hint="eastAsia" w:ascii="Times New Roman" w:hAnsi="Times New Roman" w:eastAsia="宋体" w:cs="Times New Roman"/>
                <w:kern w:val="0"/>
                <w:szCs w:val="21"/>
                <w:lang w:bidi="zh-CN"/>
              </w:rPr>
              <w:t>C级</w:t>
            </w:r>
            <w:r>
              <w:rPr>
                <w:rFonts w:hint="eastAsia" w:ascii="Times New Roman" w:hAnsi="Times New Roman" w:eastAsia="宋体" w:cs="Times New Roman"/>
                <w:kern w:val="0"/>
                <w:szCs w:val="21"/>
                <w:lang w:val="zh-CN" w:bidi="zh-CN"/>
              </w:rPr>
              <w:t>数量</w:t>
            </w:r>
          </w:p>
        </w:tc>
      </w:tr>
      <w:tr w14:paraId="581A6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20" w:type="pct"/>
            <w:vAlign w:val="center"/>
          </w:tcPr>
          <w:p w14:paraId="13358F68">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卓越型</w:t>
            </w:r>
          </w:p>
        </w:tc>
        <w:tc>
          <w:tcPr>
            <w:tcW w:w="1359" w:type="pct"/>
            <w:vAlign w:val="center"/>
          </w:tcPr>
          <w:p w14:paraId="08CB40E8">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≥1</w:t>
            </w:r>
            <w:r>
              <w:rPr>
                <w:rFonts w:hint="eastAsia" w:ascii="Times New Roman" w:hAnsi="Times New Roman" w:eastAsia="宋体" w:cs="Times New Roman"/>
                <w:kern w:val="0"/>
                <w:szCs w:val="21"/>
                <w:lang w:bidi="zh-CN"/>
              </w:rPr>
              <w:t>3</w:t>
            </w:r>
            <w:r>
              <w:rPr>
                <w:rFonts w:hint="eastAsia" w:ascii="Times New Roman" w:hAnsi="Times New Roman" w:eastAsia="宋体" w:cs="Times New Roman"/>
                <w:kern w:val="0"/>
                <w:szCs w:val="21"/>
                <w:lang w:val="zh-CN" w:bidi="zh-CN"/>
              </w:rPr>
              <w:t>项</w:t>
            </w:r>
          </w:p>
        </w:tc>
        <w:tc>
          <w:tcPr>
            <w:tcW w:w="1359" w:type="pct"/>
            <w:vAlign w:val="center"/>
          </w:tcPr>
          <w:p w14:paraId="7885B9A1">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不作要求</w:t>
            </w:r>
          </w:p>
        </w:tc>
        <w:tc>
          <w:tcPr>
            <w:tcW w:w="1360" w:type="pct"/>
            <w:vAlign w:val="center"/>
          </w:tcPr>
          <w:p w14:paraId="3D2F3BEA">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0项</w:t>
            </w:r>
          </w:p>
        </w:tc>
      </w:tr>
      <w:tr w14:paraId="7A14A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20" w:type="pct"/>
            <w:vAlign w:val="center"/>
          </w:tcPr>
          <w:p w14:paraId="45AB47E6">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优质型</w:t>
            </w:r>
          </w:p>
        </w:tc>
        <w:tc>
          <w:tcPr>
            <w:tcW w:w="1359" w:type="pct"/>
            <w:vAlign w:val="center"/>
          </w:tcPr>
          <w:p w14:paraId="56F20EC1">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≥1</w:t>
            </w:r>
            <w:r>
              <w:rPr>
                <w:rFonts w:hint="eastAsia" w:ascii="Times New Roman" w:hAnsi="Times New Roman" w:eastAsia="宋体" w:cs="Times New Roman"/>
                <w:kern w:val="0"/>
                <w:szCs w:val="21"/>
                <w:lang w:bidi="zh-CN"/>
              </w:rPr>
              <w:t>0</w:t>
            </w:r>
            <w:r>
              <w:rPr>
                <w:rFonts w:hint="eastAsia" w:ascii="Times New Roman" w:hAnsi="Times New Roman" w:eastAsia="宋体" w:cs="Times New Roman"/>
                <w:kern w:val="0"/>
                <w:szCs w:val="21"/>
                <w:lang w:val="zh-CN" w:bidi="zh-CN"/>
              </w:rPr>
              <w:t>项</w:t>
            </w:r>
          </w:p>
        </w:tc>
        <w:tc>
          <w:tcPr>
            <w:tcW w:w="1359" w:type="pct"/>
            <w:vAlign w:val="center"/>
          </w:tcPr>
          <w:p w14:paraId="1F2CF7E7">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不作要求</w:t>
            </w:r>
          </w:p>
        </w:tc>
        <w:tc>
          <w:tcPr>
            <w:tcW w:w="1360" w:type="pct"/>
            <w:vAlign w:val="center"/>
          </w:tcPr>
          <w:p w14:paraId="1B2F2114">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≤1项</w:t>
            </w:r>
          </w:p>
        </w:tc>
      </w:tr>
      <w:tr w14:paraId="4916E1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20" w:type="pct"/>
            <w:vAlign w:val="center"/>
          </w:tcPr>
          <w:p w14:paraId="2FA1C8F1">
            <w:pPr>
              <w:overflowPunct w:val="0"/>
              <w:jc w:val="center"/>
              <w:rPr>
                <w:rFonts w:ascii="Times New Roman" w:hAnsi="Times New Roman" w:eastAsia="宋体" w:cs="Times New Roman"/>
                <w:kern w:val="0"/>
                <w:szCs w:val="21"/>
                <w:lang w:val="zh-CN" w:bidi="zh-CN"/>
              </w:rPr>
            </w:pPr>
            <w:r>
              <w:rPr>
                <w:rFonts w:ascii="Times New Roman" w:hAnsi="Times New Roman" w:eastAsia="宋体" w:cs="Times New Roman"/>
                <w:kern w:val="0"/>
                <w:szCs w:val="21"/>
                <w:lang w:bidi="zh-CN"/>
              </w:rPr>
              <w:t>良好型</w:t>
            </w:r>
          </w:p>
        </w:tc>
        <w:tc>
          <w:tcPr>
            <w:tcW w:w="1359" w:type="pct"/>
            <w:vAlign w:val="center"/>
          </w:tcPr>
          <w:p w14:paraId="6CA6A2D6">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≥7项</w:t>
            </w:r>
          </w:p>
        </w:tc>
        <w:tc>
          <w:tcPr>
            <w:tcW w:w="1359" w:type="pct"/>
            <w:vAlign w:val="center"/>
          </w:tcPr>
          <w:p w14:paraId="4FC1CB0D">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不作要求</w:t>
            </w:r>
          </w:p>
        </w:tc>
        <w:tc>
          <w:tcPr>
            <w:tcW w:w="1360" w:type="pct"/>
            <w:vAlign w:val="center"/>
          </w:tcPr>
          <w:p w14:paraId="58978D5C">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≤2项</w:t>
            </w:r>
          </w:p>
        </w:tc>
      </w:tr>
      <w:tr w14:paraId="108B4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20" w:type="pct"/>
            <w:vAlign w:val="center"/>
          </w:tcPr>
          <w:p w14:paraId="07B61755">
            <w:pPr>
              <w:overflowPunct w:val="0"/>
              <w:jc w:val="center"/>
              <w:rPr>
                <w:rFonts w:ascii="Times New Roman" w:hAnsi="Times New Roman" w:eastAsia="宋体" w:cs="Times New Roman"/>
                <w:kern w:val="0"/>
                <w:szCs w:val="21"/>
                <w:lang w:val="zh-CN" w:bidi="zh-CN"/>
              </w:rPr>
            </w:pPr>
            <w:r>
              <w:rPr>
                <w:rFonts w:ascii="Times New Roman" w:hAnsi="Times New Roman" w:eastAsia="宋体" w:cs="Times New Roman"/>
                <w:kern w:val="0"/>
                <w:szCs w:val="21"/>
                <w:lang w:bidi="zh-CN"/>
              </w:rPr>
              <w:t>薄弱型</w:t>
            </w:r>
          </w:p>
        </w:tc>
        <w:tc>
          <w:tcPr>
            <w:tcW w:w="1359" w:type="pct"/>
            <w:vAlign w:val="center"/>
          </w:tcPr>
          <w:p w14:paraId="6FA9D432">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w:t>
            </w:r>
            <w:r>
              <w:rPr>
                <w:rFonts w:hint="eastAsia" w:ascii="Times New Roman" w:hAnsi="Times New Roman" w:eastAsia="宋体" w:cs="Times New Roman"/>
                <w:kern w:val="0"/>
                <w:szCs w:val="21"/>
                <w:lang w:bidi="zh-CN"/>
              </w:rPr>
              <w:t>4</w:t>
            </w:r>
            <w:r>
              <w:rPr>
                <w:rFonts w:hint="eastAsia" w:ascii="Times New Roman" w:hAnsi="Times New Roman" w:eastAsia="宋体" w:cs="Times New Roman"/>
                <w:kern w:val="0"/>
                <w:szCs w:val="21"/>
                <w:lang w:val="zh-CN" w:bidi="zh-CN"/>
              </w:rPr>
              <w:t>项</w:t>
            </w:r>
          </w:p>
        </w:tc>
        <w:tc>
          <w:tcPr>
            <w:tcW w:w="1359" w:type="pct"/>
            <w:vAlign w:val="center"/>
          </w:tcPr>
          <w:p w14:paraId="613E6478">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不作要求</w:t>
            </w:r>
          </w:p>
        </w:tc>
        <w:tc>
          <w:tcPr>
            <w:tcW w:w="1360" w:type="pct"/>
            <w:vAlign w:val="center"/>
          </w:tcPr>
          <w:p w14:paraId="31A1356C">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≤4项</w:t>
            </w:r>
          </w:p>
        </w:tc>
      </w:tr>
      <w:tr w14:paraId="6E7966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20" w:type="pct"/>
            <w:vAlign w:val="center"/>
          </w:tcPr>
          <w:p w14:paraId="49C83688">
            <w:pPr>
              <w:overflowPunct w:val="0"/>
              <w:jc w:val="center"/>
              <w:rPr>
                <w:rFonts w:ascii="Times New Roman" w:hAnsi="Times New Roman" w:eastAsia="宋体" w:cs="Times New Roman"/>
                <w:kern w:val="0"/>
                <w:szCs w:val="21"/>
                <w:lang w:val="zh-CN" w:bidi="zh-CN"/>
              </w:rPr>
            </w:pPr>
            <w:r>
              <w:rPr>
                <w:rFonts w:ascii="Times New Roman" w:hAnsi="Times New Roman" w:eastAsia="宋体" w:cs="Times New Roman"/>
                <w:kern w:val="0"/>
                <w:szCs w:val="21"/>
                <w:lang w:bidi="zh-CN"/>
              </w:rPr>
              <w:t>失衡型</w:t>
            </w:r>
          </w:p>
        </w:tc>
        <w:tc>
          <w:tcPr>
            <w:tcW w:w="4079" w:type="pct"/>
            <w:gridSpan w:val="3"/>
            <w:vAlign w:val="center"/>
          </w:tcPr>
          <w:p w14:paraId="20E0E337">
            <w:pPr>
              <w:overflowPunct w:val="0"/>
              <w:jc w:val="center"/>
              <w:rPr>
                <w:rFonts w:ascii="Times New Roman" w:hAnsi="Times New Roman" w:eastAsia="宋体" w:cs="Times New Roman"/>
                <w:kern w:val="0"/>
                <w:szCs w:val="21"/>
                <w:lang w:val="zh-CN" w:bidi="zh-CN"/>
              </w:rPr>
            </w:pPr>
            <w:r>
              <w:rPr>
                <w:rFonts w:hint="eastAsia" w:ascii="Times New Roman" w:hAnsi="Times New Roman" w:eastAsia="宋体" w:cs="Times New Roman"/>
                <w:kern w:val="0"/>
                <w:szCs w:val="21"/>
                <w:lang w:val="zh-CN" w:bidi="zh-CN"/>
              </w:rPr>
              <w:t>不满足上述条件</w:t>
            </w:r>
          </w:p>
        </w:tc>
      </w:tr>
    </w:tbl>
    <w:p w14:paraId="4FF7A870">
      <w:pPr>
        <w:overflowPunct w:val="0"/>
        <w:spacing w:line="360" w:lineRule="auto"/>
        <w:jc w:val="center"/>
        <w:rPr>
          <w:rFonts w:hint="eastAsia"/>
        </w:rPr>
      </w:pPr>
    </w:p>
    <w:p w14:paraId="01972795">
      <w:pPr>
        <w:widowControl/>
        <w:overflowPunct w:val="0"/>
        <w:jc w:val="left"/>
        <w:rPr>
          <w:rFonts w:ascii="Times New Roman" w:hAnsi="Times New Roman" w:eastAsia="宋体" w:cs="Times New Roman"/>
          <w:b/>
          <w:bCs/>
          <w:kern w:val="44"/>
          <w:sz w:val="30"/>
          <w:szCs w:val="30"/>
        </w:rPr>
      </w:pPr>
      <w:r>
        <w:rPr>
          <w:rFonts w:ascii="Times New Roman" w:hAnsi="Times New Roman" w:cs="Times New Roman"/>
          <w:kern w:val="44"/>
          <w:sz w:val="30"/>
          <w:szCs w:val="30"/>
        </w:rPr>
        <w:br w:type="page"/>
      </w:r>
    </w:p>
    <w:bookmarkEnd w:id="29"/>
    <w:p w14:paraId="598CD5E9">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30" w:name="_Toc195281689"/>
      <w:bookmarkStart w:id="31" w:name="_Toc193834326"/>
      <w:bookmarkStart w:id="32" w:name="_Toc10278"/>
      <w:r>
        <w:rPr>
          <w:rFonts w:hint="eastAsia" w:ascii="Times New Roman" w:hAnsi="Times New Roman" w:eastAsia="宋体" w:cs="Times New Roman"/>
          <w:b/>
          <w:kern w:val="44"/>
          <w:sz w:val="32"/>
          <w:szCs w:val="32"/>
          <w:lang w:val="en-US" w:bidi="zh-CN"/>
        </w:rPr>
        <w:t>5</w:t>
      </w:r>
      <w:r>
        <w:rPr>
          <w:rFonts w:ascii="Times New Roman" w:hAnsi="Times New Roman" w:eastAsia="宋体" w:cs="Times New Roman"/>
          <w:b/>
          <w:kern w:val="44"/>
          <w:sz w:val="32"/>
          <w:szCs w:val="32"/>
          <w:lang w:bidi="zh-CN"/>
        </w:rPr>
        <w:t>　</w:t>
      </w:r>
      <w:r>
        <w:rPr>
          <w:rFonts w:hint="eastAsia" w:ascii="Times New Roman" w:hAnsi="Times New Roman" w:eastAsia="宋体" w:cs="Times New Roman"/>
          <w:b/>
          <w:kern w:val="44"/>
          <w:sz w:val="32"/>
          <w:szCs w:val="32"/>
          <w:lang w:bidi="zh-CN"/>
        </w:rPr>
        <w:t>空间集约</w:t>
      </w:r>
      <w:bookmarkEnd w:id="30"/>
      <w:bookmarkEnd w:id="31"/>
      <w:r>
        <w:rPr>
          <w:rFonts w:hint="eastAsia" w:ascii="Times New Roman" w:hAnsi="Times New Roman" w:eastAsia="宋体" w:cs="Times New Roman"/>
          <w:b/>
          <w:kern w:val="44"/>
          <w:sz w:val="32"/>
          <w:szCs w:val="32"/>
          <w:lang w:bidi="zh-CN"/>
        </w:rPr>
        <w:t>效能</w:t>
      </w:r>
      <w:bookmarkEnd w:id="32"/>
    </w:p>
    <w:p w14:paraId="414126BD">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33" w:name="_Toc906"/>
      <w:r>
        <w:rPr>
          <w:rFonts w:hint="eastAsia" w:ascii="Times New Roman" w:hAnsi="Times New Roman" w:eastAsia="宋体" w:cs="Times New Roman"/>
          <w:bCs/>
          <w:kern w:val="0"/>
          <w:sz w:val="28"/>
          <w:szCs w:val="24"/>
          <w:lang w:val="en-US" w:bidi="zh-CN"/>
        </w:rPr>
        <w:t>5</w:t>
      </w:r>
      <w:r>
        <w:rPr>
          <w:rFonts w:hint="eastAsia" w:ascii="Times New Roman" w:hAnsi="Times New Roman" w:eastAsia="宋体" w:cs="Times New Roman"/>
          <w:bCs/>
          <w:kern w:val="0"/>
          <w:sz w:val="28"/>
          <w:szCs w:val="24"/>
          <w:lang w:bidi="zh-CN"/>
        </w:rPr>
        <w:t xml:space="preserve">.1 </w:t>
      </w:r>
      <w:r>
        <w:rPr>
          <w:rFonts w:hint="eastAsia" w:ascii="黑体" w:hAnsi="黑体" w:eastAsia="黑体" w:cs="Times New Roman"/>
          <w:bCs/>
          <w:kern w:val="0"/>
          <w:sz w:val="28"/>
          <w:szCs w:val="24"/>
          <w:lang w:bidi="zh-CN"/>
        </w:rPr>
        <w:t>市政设施复合布局率</w:t>
      </w:r>
      <w:bookmarkEnd w:id="33"/>
    </w:p>
    <w:p w14:paraId="5D5BD2DF">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市政设施复合布局率指</w:t>
      </w:r>
      <w:r>
        <w:rPr>
          <w:rFonts w:hint="eastAsia" w:ascii="Times New Roman" w:hAnsi="Times New Roman"/>
          <w:kern w:val="0"/>
        </w:rPr>
        <w:t>城市高强度片区内市政设施非独立占地的比例，用于衡量市政设施与其他功能设施的复合利用程度。</w:t>
      </w:r>
    </w:p>
    <w:p w14:paraId="09ADF1B1">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1312" behindDoc="0" locked="0" layoutInCell="1" allowOverlap="1">
                <wp:simplePos x="0" y="0"/>
                <wp:positionH relativeFrom="margin">
                  <wp:posOffset>4599940</wp:posOffset>
                </wp:positionH>
                <wp:positionV relativeFrom="paragraph">
                  <wp:posOffset>335280</wp:posOffset>
                </wp:positionV>
                <wp:extent cx="733425" cy="1404620"/>
                <wp:effectExtent l="0" t="0" r="9525" b="6350"/>
                <wp:wrapNone/>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33425" cy="1404620"/>
                        </a:xfrm>
                        <a:prstGeom prst="rect">
                          <a:avLst/>
                        </a:prstGeom>
                        <a:solidFill>
                          <a:srgbClr val="FFFFFF"/>
                        </a:solidFill>
                        <a:ln w="9525">
                          <a:noFill/>
                          <a:miter lim="800000"/>
                        </a:ln>
                      </wps:spPr>
                      <wps:txbx>
                        <w:txbxContent>
                          <w:p w14:paraId="3E0CBCA6">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5</w:t>
                            </w:r>
                            <w:r>
                              <w:rPr>
                                <w:rFonts w:hint="eastAsia" w:ascii="Times New Roman" w:hAnsi="Times New Roman" w:cs="Times New Roman"/>
                                <w:szCs w:val="24"/>
                              </w:rPr>
                              <w:t>.</w:t>
                            </w:r>
                            <w:r>
                              <w:rPr>
                                <w:rFonts w:hint="eastAsia" w:ascii="Times New Roman" w:hAnsi="Times New Roman" w:cs="Times New Roman"/>
                                <w:szCs w:val="24"/>
                                <w:lang w:val="en-US" w:eastAsia="zh-CN"/>
                              </w:rPr>
                              <w:t>1</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2.2pt;margin-top:26.4pt;height:110.6pt;width:57.75pt;mso-position-horizontal-relative:margin;z-index:251661312;mso-width-relative:page;mso-height-relative:margin;mso-height-percent:200;" fillcolor="#FFFFFF" filled="t" stroked="f" coordsize="21600,21600" o:gfxdata="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MwSBw2QAAAAoBAAAPAAAAAAAAAAEAIAAAACIAAABkcnMv&#10;ZG93bnJldi54bWxQSwECFAAUAAAACACHTuJAR7C9nTsCAABUBAAADgAAAAAAAAABACAAAAAoAQAA&#10;ZHJzL2Uyb0RvYy54bWxQSwUGAAAAAAYABgBZAQAA1QUAAAAA&#10;">
                <v:fill on="t" focussize="0,0"/>
                <v:stroke on="f" miterlimit="8" joinstyle="miter"/>
                <v:imagedata o:title=""/>
                <o:lock v:ext="edit" aspectratio="f"/>
                <v:textbox style="mso-fit-shape-to-text:t;">
                  <w:txbxContent>
                    <w:p w14:paraId="3E0CBCA6">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5</w:t>
                      </w:r>
                      <w:r>
                        <w:rPr>
                          <w:rFonts w:hint="eastAsia" w:ascii="Times New Roman" w:hAnsi="Times New Roman" w:cs="Times New Roman"/>
                          <w:szCs w:val="24"/>
                        </w:rPr>
                        <w:t>.</w:t>
                      </w:r>
                      <w:r>
                        <w:rPr>
                          <w:rFonts w:hint="eastAsia" w:ascii="Times New Roman" w:hAnsi="Times New Roman" w:cs="Times New Roman"/>
                          <w:szCs w:val="24"/>
                          <w:lang w:val="en-US" w:eastAsia="zh-CN"/>
                        </w:rPr>
                        <w:t>1</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hint="eastAsia"/>
          <w:kern w:val="0"/>
          <w:lang w:bidi="zh-CN"/>
        </w:rPr>
        <w:t>市政设施复合布局率</w:t>
      </w:r>
      <w:r>
        <w:rPr>
          <w:rFonts w:hint="eastAsia"/>
          <w:kern w:val="0"/>
        </w:rPr>
        <w:t>按下式计算</w:t>
      </w:r>
      <w:r>
        <w:rPr>
          <w:kern w:val="0"/>
        </w:rPr>
        <w:t>：</w:t>
      </w:r>
    </w:p>
    <w:p w14:paraId="711DCE6B">
      <w:pPr>
        <w:pStyle w:val="58"/>
        <w:numPr>
          <w:ilvl w:val="0"/>
          <w:numId w:val="0"/>
        </w:numPr>
        <w:overflowPunct w:val="0"/>
        <w:spacing w:line="360" w:lineRule="auto"/>
        <w:ind w:left="820"/>
        <w:jc w:val="center"/>
        <w:rPr>
          <w:sz w:val="21"/>
          <w:szCs w:val="21"/>
        </w:rPr>
      </w:pPr>
      <m:oMathPara>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cs</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cs</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cs</m:t>
                  </m:r>
                  <m:ctrlPr>
                    <w:rPr>
                      <w:rFonts w:ascii="Cambria Math" w:hAnsi="Cambria Math"/>
                      <w:kern w:val="0"/>
                      <w:sz w:val="21"/>
                      <w:szCs w:val="21"/>
                    </w:rPr>
                  </m:ctrlPr>
                </m:sub>
              </m:sSub>
              <m:r>
                <m:rPr>
                  <m:sty m:val="p"/>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is</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 w:val="21"/>
              <w:szCs w:val="21"/>
            </w:rPr>
            <w:br w:type="textWrapping"/>
          </m:r>
        </m:oMath>
      </m:oMathPara>
      <w:r>
        <w:rPr>
          <w:rFonts w:hint="eastAsia"/>
          <w:kern w:val="0"/>
          <w:sz w:val="21"/>
          <w:szCs w:val="21"/>
        </w:rPr>
        <w:t xml:space="preserve">                                                                                        </w:t>
      </w:r>
    </w:p>
    <w:p w14:paraId="1F84C4C7">
      <w:pPr>
        <w:pStyle w:val="20"/>
        <w:overflowPunct w:val="0"/>
        <w:spacing w:line="360" w:lineRule="auto"/>
        <w:ind w:left="420" w:right="210" w:firstLine="0" w:firstLineChars="0"/>
        <w:rPr>
          <w:kern w:val="0"/>
          <w:sz w:val="24"/>
          <w:szCs w:val="24"/>
        </w:rPr>
      </w:pPr>
      <w:r>
        <w:rPr>
          <w:rFonts w:hint="eastAsia"/>
          <w:kern w:val="0"/>
          <w:sz w:val="24"/>
          <w:szCs w:val="24"/>
        </w:rPr>
        <w:t>式中：</w:t>
      </w:r>
    </w:p>
    <w:p w14:paraId="437DBAF8">
      <w:pPr>
        <w:pStyle w:val="20"/>
        <w:overflowPunct w:val="0"/>
        <w:spacing w:line="360" w:lineRule="auto"/>
        <w:ind w:left="420" w:right="210" w:firstLine="0" w:firstLineChars="0"/>
        <w:rPr>
          <w:kern w:val="0"/>
          <w:sz w:val="24"/>
          <w:szCs w:val="24"/>
        </w:rPr>
      </w:p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cs</m:t>
            </m:r>
            <m:ctrlPr>
              <w:rPr>
                <w:rFonts w:ascii="Cambria Math" w:hAnsi="Cambria Math"/>
                <w:kern w:val="0"/>
                <w:sz w:val="21"/>
                <w:szCs w:val="21"/>
              </w:rPr>
            </m:ctrlPr>
          </m:sub>
        </m:sSub>
      </m:oMath>
      <w:r>
        <w:rPr>
          <w:rFonts w:hint="eastAsia"/>
          <w:kern w:val="0"/>
          <w:sz w:val="24"/>
          <w:szCs w:val="24"/>
        </w:rPr>
        <w:t>——市政设施复合布局率；</w:t>
      </w:r>
    </w:p>
    <w:p w14:paraId="497A8A2B">
      <w:pPr>
        <w:pStyle w:val="20"/>
        <w:overflowPunct w:val="0"/>
        <w:spacing w:line="360" w:lineRule="auto"/>
        <w:ind w:left="420" w:right="210" w:firstLine="0" w:firstLineChars="0"/>
        <w:rPr>
          <w:kern w:val="0"/>
          <w:sz w:val="24"/>
          <w:szCs w:val="24"/>
        </w:rPr>
      </w:pPr>
      <w:r>
        <w:rPr>
          <w:rFonts w:hint="eastAsia"/>
          <w:kern w:val="0"/>
          <w:sz w:val="24"/>
          <w:szCs w:val="24"/>
        </w:rPr>
        <w:t>S</w:t>
      </w:r>
      <w:r>
        <w:rPr>
          <w:rFonts w:hint="eastAsia"/>
          <w:i/>
          <w:iCs/>
          <w:kern w:val="0"/>
          <w:sz w:val="24"/>
          <w:szCs w:val="24"/>
          <w:vertAlign w:val="subscript"/>
        </w:rPr>
        <w:t>cs</w:t>
      </w:r>
      <w:r>
        <w:rPr>
          <w:rFonts w:hint="eastAsia"/>
          <w:kern w:val="0"/>
          <w:sz w:val="24"/>
          <w:szCs w:val="24"/>
        </w:rPr>
        <w:t xml:space="preserve">——非独立占地市政设施面积（m </w:t>
      </w:r>
      <w:r>
        <w:rPr>
          <w:rFonts w:hint="eastAsia"/>
          <w:kern w:val="0"/>
          <w:sz w:val="24"/>
          <w:szCs w:val="24"/>
          <w:vertAlign w:val="superscript"/>
        </w:rPr>
        <w:t xml:space="preserve">2 </w:t>
      </w:r>
      <w:r>
        <w:rPr>
          <w:rFonts w:hint="eastAsia"/>
          <w:kern w:val="0"/>
          <w:sz w:val="24"/>
          <w:szCs w:val="24"/>
        </w:rPr>
        <w:t>）；</w:t>
      </w:r>
    </w:p>
    <w:p w14:paraId="7D1377CC">
      <w:pPr>
        <w:pStyle w:val="20"/>
        <w:overflowPunct w:val="0"/>
        <w:spacing w:line="360" w:lineRule="auto"/>
        <w:ind w:left="420" w:right="210" w:firstLine="0" w:firstLineChars="0"/>
        <w:rPr>
          <w:kern w:val="0"/>
          <w:sz w:val="24"/>
          <w:szCs w:val="24"/>
        </w:rPr>
      </w:pPr>
      <w:r>
        <w:rPr>
          <w:rFonts w:hint="eastAsia"/>
          <w:kern w:val="0"/>
          <w:sz w:val="24"/>
          <w:szCs w:val="24"/>
        </w:rPr>
        <w:t>S</w:t>
      </w:r>
      <w:r>
        <w:rPr>
          <w:rFonts w:hint="eastAsia"/>
          <w:i/>
          <w:iCs/>
          <w:kern w:val="0"/>
          <w:sz w:val="24"/>
          <w:szCs w:val="24"/>
          <w:vertAlign w:val="subscript"/>
        </w:rPr>
        <w:t>is</w:t>
      </w:r>
      <w:r>
        <w:rPr>
          <w:rFonts w:hint="eastAsia"/>
          <w:kern w:val="0"/>
          <w:sz w:val="24"/>
          <w:szCs w:val="24"/>
        </w:rPr>
        <w:t xml:space="preserve">——独立占地市政设施面积（m </w:t>
      </w:r>
      <w:r>
        <w:rPr>
          <w:rFonts w:hint="eastAsia"/>
          <w:kern w:val="0"/>
          <w:sz w:val="24"/>
          <w:szCs w:val="24"/>
          <w:vertAlign w:val="superscript"/>
        </w:rPr>
        <w:t xml:space="preserve">2 </w:t>
      </w:r>
      <w:r>
        <w:rPr>
          <w:rFonts w:hint="eastAsia"/>
          <w:kern w:val="0"/>
          <w:sz w:val="24"/>
          <w:szCs w:val="24"/>
        </w:rPr>
        <w:t>）；</w:t>
      </w:r>
    </w:p>
    <w:p w14:paraId="6EE7C7B1">
      <w:pPr>
        <w:pStyle w:val="20"/>
        <w:overflowPunct w:val="0"/>
        <w:spacing w:line="360" w:lineRule="auto"/>
        <w:ind w:left="420" w:right="210" w:firstLine="0" w:firstLineChars="0"/>
        <w:rPr>
          <w:kern w:val="0"/>
          <w:sz w:val="24"/>
          <w:szCs w:val="24"/>
        </w:rPr>
      </w:pPr>
      <w:r>
        <w:rPr>
          <w:kern w:val="0"/>
          <w:sz w:val="24"/>
          <w:szCs w:val="24"/>
        </w:rPr>
        <w:t>注：</w:t>
      </w:r>
      <w:r>
        <w:rPr>
          <w:rFonts w:hint="eastAsia"/>
          <w:kern w:val="0"/>
          <w:sz w:val="24"/>
          <w:szCs w:val="24"/>
        </w:rPr>
        <w:t>市政设施包括供水、供电、供气、通讯、供热、污水处理设施。</w:t>
      </w:r>
    </w:p>
    <w:p w14:paraId="4F265BD3">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lang w:val="zh-CN" w:bidi="zh-CN"/>
        </w:rPr>
        <w:t>市政设施复合布局率的</w:t>
      </w:r>
      <w:r>
        <w:rPr>
          <w:rFonts w:hint="eastAsia" w:ascii="Times New Roman" w:hAnsi="Times New Roman"/>
          <w:kern w:val="0"/>
          <w:lang w:val="en-US" w:bidi="zh-CN"/>
        </w:rPr>
        <w:t>评估</w:t>
      </w:r>
      <w:r>
        <w:rPr>
          <w:rFonts w:hint="eastAsia" w:ascii="Times New Roman" w:hAnsi="Times New Roman"/>
          <w:kern w:val="0"/>
          <w:lang w:val="zh-CN" w:bidi="zh-CN"/>
        </w:rPr>
        <w:t>方式符合表</w:t>
      </w:r>
      <w:r>
        <w:rPr>
          <w:rFonts w:hint="eastAsia" w:ascii="Times New Roman" w:hAnsi="Times New Roman"/>
          <w:kern w:val="0"/>
          <w:lang w:val="en-US" w:bidi="zh-CN"/>
        </w:rPr>
        <w:t>5</w:t>
      </w:r>
      <w:r>
        <w:rPr>
          <w:rFonts w:hint="eastAsia" w:ascii="Times New Roman" w:hAnsi="Times New Roman"/>
          <w:kern w:val="0"/>
          <w:lang w:val="zh-CN" w:bidi="zh-CN"/>
        </w:rPr>
        <w:t>.1.3的规定。</w:t>
      </w:r>
    </w:p>
    <w:p w14:paraId="5FC4BD1F">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5</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1</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市政设施复合布局率</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11699C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9983764">
            <w:pPr>
              <w:overflowPunct w:val="0"/>
              <w:spacing w:line="360" w:lineRule="auto"/>
              <w:jc w:val="center"/>
              <w:rPr>
                <w:rFonts w:hint="default" w:ascii="宋体" w:hAnsi="宋体" w:eastAsia="宋体" w:cs="Times New Roman"/>
                <w:bCs/>
                <w:kern w:val="0"/>
                <w:szCs w:val="21"/>
                <w:lang w:val="en-US"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902" w:type="pct"/>
            <w:vAlign w:val="center"/>
          </w:tcPr>
          <w:p w14:paraId="7F91A4BB">
            <w:pPr>
              <w:overflowPunct w:val="0"/>
              <w:spacing w:line="360" w:lineRule="auto"/>
              <w:jc w:val="center"/>
              <w:rPr>
                <w:rFonts w:hint="default" w:ascii="宋体" w:hAnsi="宋体" w:eastAsia="宋体" w:cs="Times New Roman"/>
                <w:bCs/>
                <w:kern w:val="0"/>
                <w:szCs w:val="21"/>
                <w:lang w:val="en-US" w:bidi="zh-CN"/>
              </w:rPr>
            </w:pPr>
            <w:r>
              <w:rPr>
                <w:rFonts w:hint="eastAsia" w:ascii="宋体" w:hAnsi="宋体" w:eastAsia="宋体" w:cs="Times New Roman"/>
                <w:bCs/>
                <w:kern w:val="0"/>
                <w:szCs w:val="21"/>
                <w:lang w:val="en-US" w:bidi="zh-CN"/>
              </w:rPr>
              <w:t>评估分级</w:t>
            </w:r>
          </w:p>
        </w:tc>
      </w:tr>
      <w:tr w14:paraId="481BE7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BB83D8D">
            <w:pPr>
              <w:overflowPunct w:val="0"/>
              <w:spacing w:line="360" w:lineRule="auto"/>
              <w:jc w:val="center"/>
              <w:rPr>
                <w:rFonts w:hint="eastAsia" w:ascii="宋体" w:hAnsi="宋体" w:eastAsia="宋体" w:cs="Times New Roman"/>
                <w:bCs/>
                <w:kern w:val="0"/>
                <w:szCs w:val="21"/>
                <w:lang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cs</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0.8</w:t>
            </w:r>
          </w:p>
        </w:tc>
        <w:tc>
          <w:tcPr>
            <w:tcW w:w="902" w:type="pct"/>
            <w:vAlign w:val="center"/>
          </w:tcPr>
          <w:p w14:paraId="061E0113">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32094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719B827E">
            <w:pPr>
              <w:overflowPunct w:val="0"/>
              <w:spacing w:line="360" w:lineRule="auto"/>
              <w:jc w:val="center"/>
              <w:rPr>
                <w:rFonts w:hint="eastAsia" w:ascii="宋体" w:hAnsi="宋体" w:eastAsia="宋体" w:cs="Times New Roman"/>
                <w:bCs/>
                <w:kern w:val="0"/>
                <w:szCs w:val="21"/>
                <w:lang w:val="zh-CN" w:bidi="zh-CN"/>
              </w:rPr>
            </w:pPr>
            <w:r>
              <w:rPr>
                <w:rFonts w:hint="eastAsia" w:ascii="宋体" w:hAnsi="宋体" w:eastAsia="宋体" w:cs="Times New Roman"/>
                <w:bCs/>
                <w:kern w:val="0"/>
                <w:szCs w:val="21"/>
                <w:lang w:bidi="zh-CN"/>
              </w:rPr>
              <w:t>0.4</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cs</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0.8</w:t>
            </w:r>
          </w:p>
        </w:tc>
        <w:tc>
          <w:tcPr>
            <w:tcW w:w="902" w:type="pct"/>
            <w:vAlign w:val="center"/>
          </w:tcPr>
          <w:p w14:paraId="75EA2138">
            <w:pPr>
              <w:overflowPunct w:val="0"/>
              <w:spacing w:line="360" w:lineRule="auto"/>
              <w:jc w:val="center"/>
              <w:rPr>
                <w:rFonts w:hint="default" w:ascii="Times New Roman" w:hAnsi="Times New Roman" w:eastAsia="宋体" w:cs="Times New Roman"/>
                <w:bCs/>
                <w:kern w:val="0"/>
                <w:szCs w:val="21"/>
                <w:lang w:val="en-US" w:bidi="zh-CN"/>
              </w:rPr>
            </w:pPr>
            <w:r>
              <w:rPr>
                <w:rFonts w:hint="eastAsia" w:ascii="Times New Roman" w:hAnsi="Times New Roman" w:eastAsia="宋体" w:cs="Times New Roman"/>
                <w:bCs/>
                <w:kern w:val="0"/>
                <w:szCs w:val="21"/>
                <w:lang w:val="en-US" w:bidi="zh-CN"/>
              </w:rPr>
              <w:t>B</w:t>
            </w:r>
          </w:p>
        </w:tc>
      </w:tr>
      <w:tr w14:paraId="158AE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4772E679">
            <w:pPr>
              <w:overflowPunct w:val="0"/>
              <w:spacing w:line="360" w:lineRule="auto"/>
              <w:jc w:val="center"/>
              <w:rPr>
                <w:rFonts w:hint="eastAsia" w:ascii="宋体" w:hAnsi="宋体" w:eastAsia="宋体" w:cs="Times New Roman"/>
                <w:bCs/>
                <w:kern w:val="0"/>
                <w:szCs w:val="21"/>
                <w:lang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cs</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0.4</w:t>
            </w:r>
          </w:p>
        </w:tc>
        <w:tc>
          <w:tcPr>
            <w:tcW w:w="902" w:type="pct"/>
            <w:vAlign w:val="center"/>
          </w:tcPr>
          <w:p w14:paraId="1E0088C0">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7A254C21">
      <w:pPr>
        <w:pStyle w:val="56"/>
        <w:numPr>
          <w:ilvl w:val="0"/>
          <w:numId w:val="0"/>
        </w:numPr>
        <w:overflowPunct w:val="0"/>
        <w:spacing w:line="360" w:lineRule="auto"/>
        <w:ind w:right="6" w:rightChars="3"/>
        <w:jc w:val="both"/>
        <w:rPr>
          <w:rFonts w:hint="eastAsia"/>
          <w:kern w:val="0"/>
        </w:rPr>
      </w:pPr>
    </w:p>
    <w:p w14:paraId="75DBCF6A">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条文说明：</w:t>
      </w:r>
    </w:p>
    <w:p w14:paraId="36B18F3A">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城市高强度片区内市政设施非独立占地的比例提出要求。国家发展改革委发布的《城市社区嵌入式服务设施建设工程实施方案》（2023年11月）提出推动城市社区公共服务设施有机嵌入，提升服务水平。《广州市市政公用设施城市设计导则》规定市政设施（如变电站、垃圾站）必须 ≥40% 的面积用于复合公共功能，中小型设施（如箱变、弱电箱）100% 采用嵌入式设计，与建筑立面或铺装一体化。</w:t>
      </w:r>
    </w:p>
    <w:p w14:paraId="54D07F8F">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高强度片区的土地资源紧张，若市政设施独立占地，将进一步加剧空间供需矛盾。通过推动市政设施与公共空间、建筑功能的复合利用，不仅能够提高土地利用效率，还可以改善城市空间品质，减少设施对环境的割裂效应，增强片区整体的空间整合性与功能多样性。</w:t>
      </w:r>
    </w:p>
    <w:p w14:paraId="5DBA6278">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市政设施的用地性质及布局情况，可取自实地调研和相关规划部门提供的规划图纸。</w:t>
      </w:r>
    </w:p>
    <w:p w14:paraId="52608769">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本条的评估方法为：实地调研、相关部门统计数据。</w:t>
      </w:r>
    </w:p>
    <w:p w14:paraId="28B1590A">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34" w:name="_Toc28209"/>
      <w:r>
        <w:rPr>
          <w:rFonts w:hint="eastAsia" w:ascii="Times New Roman" w:hAnsi="Times New Roman" w:eastAsia="宋体" w:cs="Times New Roman"/>
          <w:bCs/>
          <w:kern w:val="0"/>
          <w:sz w:val="28"/>
          <w:szCs w:val="24"/>
          <w:lang w:val="en-US" w:bidi="zh-CN"/>
        </w:rPr>
        <w:t>5</w:t>
      </w:r>
      <w:r>
        <w:rPr>
          <w:rFonts w:hint="eastAsia" w:ascii="Times New Roman" w:hAnsi="Times New Roman" w:eastAsia="宋体" w:cs="Times New Roman"/>
          <w:bCs/>
          <w:kern w:val="0"/>
          <w:sz w:val="28"/>
          <w:szCs w:val="24"/>
          <w:lang w:bidi="zh-CN"/>
        </w:rPr>
        <w:t xml:space="preserve">.2 </w:t>
      </w:r>
      <w:r>
        <w:rPr>
          <w:rFonts w:hint="eastAsia" w:ascii="黑体" w:hAnsi="黑体" w:eastAsia="黑体" w:cs="Times New Roman"/>
          <w:bCs/>
          <w:kern w:val="0"/>
          <w:sz w:val="28"/>
          <w:szCs w:val="24"/>
          <w:lang w:bidi="zh-CN"/>
        </w:rPr>
        <w:t>环卫设施复合布局率</w:t>
      </w:r>
      <w:bookmarkEnd w:id="34"/>
    </w:p>
    <w:p w14:paraId="7D44CB70">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环卫设施复合布局率指城市高强度片区内环卫设施非独立占地的比例，用于衡量环卫设施与其他功能设施的复合利用程度。</w:t>
      </w:r>
    </w:p>
    <w:p w14:paraId="553C0284">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3360" behindDoc="0" locked="0" layoutInCell="1" allowOverlap="1">
                <wp:simplePos x="0" y="0"/>
                <wp:positionH relativeFrom="margin">
                  <wp:posOffset>4648200</wp:posOffset>
                </wp:positionH>
                <wp:positionV relativeFrom="paragraph">
                  <wp:posOffset>301625</wp:posOffset>
                </wp:positionV>
                <wp:extent cx="748030" cy="1404620"/>
                <wp:effectExtent l="0" t="0" r="0" b="6350"/>
                <wp:wrapNone/>
                <wp:docPr id="69907822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47713" cy="1404620"/>
                        </a:xfrm>
                        <a:prstGeom prst="rect">
                          <a:avLst/>
                        </a:prstGeom>
                        <a:solidFill>
                          <a:srgbClr val="FFFFFF"/>
                        </a:solidFill>
                        <a:ln w="9525">
                          <a:noFill/>
                          <a:miter lim="800000"/>
                        </a:ln>
                      </wps:spPr>
                      <wps:txbx>
                        <w:txbxContent>
                          <w:p w14:paraId="17A0B3A8">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5</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hint="eastAsia" w:ascii="Times New Roman" w:hAnsi="Times New Roman" w:cs="Times New Roman"/>
                                <w:szCs w:val="24"/>
                              </w:rPr>
                              <w:t>.</w:t>
                            </w:r>
                            <w:r>
                              <w:rPr>
                                <w:rFonts w:ascii="Times New Roman" w:hAnsi="Times New Roman" w:cs="Times New Roman"/>
                                <w:szCs w:val="24"/>
                              </w:rPr>
                              <w:t>2）</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6pt;margin-top:23.75pt;height:110.6pt;width:58.9pt;mso-position-horizontal-relative:margin;z-index:251663360;mso-width-relative:page;mso-height-relative:margin;mso-height-percent:200;" fillcolor="#FFFFFF" filled="t" stroked="f" coordsize="21600,21600" o:gfxdata="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0uKc52gAAAAoBAAAPAAAAAAAAAAEAIAAAACIA&#10;AABkcnMvZG93bnJldi54bWxQSwECFAAUAAAACACHTuJAHnAW7UACAABaBAAADgAAAAAAAAABACAA&#10;AAApAQAAZHJzL2Uyb0RvYy54bWxQSwUGAAAAAAYABgBZAQAA2wUAAAAA&#10;">
                <v:fill on="t" focussize="0,0"/>
                <v:stroke on="f" miterlimit="8" joinstyle="miter"/>
                <v:imagedata o:title=""/>
                <o:lock v:ext="edit" aspectratio="f"/>
                <v:textbox style="mso-fit-shape-to-text:t;">
                  <w:txbxContent>
                    <w:p w14:paraId="17A0B3A8">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5</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hint="eastAsia" w:ascii="Times New Roman" w:hAnsi="Times New Roman" w:cs="Times New Roman"/>
                          <w:szCs w:val="24"/>
                        </w:rPr>
                        <w:t>.</w:t>
                      </w:r>
                      <w:r>
                        <w:rPr>
                          <w:rFonts w:ascii="Times New Roman" w:hAnsi="Times New Roman" w:cs="Times New Roman"/>
                          <w:szCs w:val="24"/>
                        </w:rPr>
                        <w:t>2）</w:t>
                      </w:r>
                    </w:p>
                  </w:txbxContent>
                </v:textbox>
              </v:shape>
            </w:pict>
          </mc:Fallback>
        </mc:AlternateContent>
      </w:r>
      <w:r>
        <w:rPr>
          <w:rFonts w:hint="eastAsia"/>
          <w:kern w:val="0"/>
          <w:lang w:bidi="zh-CN"/>
        </w:rPr>
        <w:t>环卫设施复合布局率</w:t>
      </w:r>
      <w:r>
        <w:rPr>
          <w:kern w:val="0"/>
        </w:rPr>
        <w:t>按下式计算：</w:t>
      </w:r>
      <w:r>
        <w:rPr>
          <w:kern w:val="0"/>
        </w:rPr>
        <mc:AlternateContent>
          <mc:Choice Requires="wps">
            <w:drawing>
              <wp:anchor distT="45720" distB="45720" distL="114300" distR="114300" simplePos="0" relativeHeight="251662336" behindDoc="0" locked="0" layoutInCell="1" allowOverlap="1">
                <wp:simplePos x="0" y="0"/>
                <wp:positionH relativeFrom="margin">
                  <wp:posOffset>4881245</wp:posOffset>
                </wp:positionH>
                <wp:positionV relativeFrom="paragraph">
                  <wp:posOffset>248920</wp:posOffset>
                </wp:positionV>
                <wp:extent cx="528955" cy="1404620"/>
                <wp:effectExtent l="0" t="0" r="4445" b="6350"/>
                <wp:wrapNone/>
                <wp:docPr id="36134750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28955" cy="1404620"/>
                        </a:xfrm>
                        <a:prstGeom prst="rect">
                          <a:avLst/>
                        </a:prstGeom>
                        <a:solidFill>
                          <a:srgbClr val="FFFFFF"/>
                        </a:solidFill>
                        <a:ln w="9525">
                          <a:noFill/>
                          <a:miter lim="800000"/>
                        </a:ln>
                      </wps:spPr>
                      <wps:txbx>
                        <w:txbxContent>
                          <w:p w14:paraId="0B18E5FE">
                            <w:pPr>
                              <w:rPr>
                                <w:rFonts w:ascii="Times New Roman" w:hAnsi="Times New Roman" w:cs="Times New Roman"/>
                              </w:rPr>
                            </w:pPr>
                            <w:r>
                              <w:rPr>
                                <w:rFonts w:ascii="Times New Roman" w:hAnsi="Times New Roman" w:cs="Times New Roman"/>
                                <w:szCs w:val="24"/>
                              </w:rPr>
                              <w:t>（2）</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84.35pt;margin-top:19.6pt;height:110.6pt;width:41.65pt;mso-position-horizontal-relative:margin;z-index:251662336;mso-width-relative:page;mso-height-relative:margin;mso-height-percent:200;" fillcolor="#FFFFFF" filled="t" stroked="f" coordsize="21600,21600" o:gfxdata="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y+K1r2QAAAAoBAAAPAAAAAAAAAAEAIAAAACIA&#10;AABkcnMvZG93bnJldi54bWxQSwECFAAUAAAACACHTuJAvMZHjUECAABaBAAADgAAAAAAAAABACAA&#10;AAAoAQAAZHJzL2Uyb0RvYy54bWxQSwUGAAAAAAYABgBZAQAA2wUAAAAA&#10;">
                <v:fill on="t" focussize="0,0"/>
                <v:stroke on="f" miterlimit="8" joinstyle="miter"/>
                <v:imagedata o:title=""/>
                <o:lock v:ext="edit" aspectratio="f"/>
                <v:textbox style="mso-fit-shape-to-text:t;">
                  <w:txbxContent>
                    <w:p w14:paraId="0B18E5FE">
                      <w:pPr>
                        <w:rPr>
                          <w:rFonts w:ascii="Times New Roman" w:hAnsi="Times New Roman" w:cs="Times New Roman"/>
                        </w:rPr>
                      </w:pPr>
                      <w:r>
                        <w:rPr>
                          <w:rFonts w:ascii="Times New Roman" w:hAnsi="Times New Roman" w:cs="Times New Roman"/>
                          <w:szCs w:val="24"/>
                        </w:rPr>
                        <w:t>（2）</w:t>
                      </w:r>
                    </w:p>
                  </w:txbxContent>
                </v:textbox>
              </v:shape>
            </w:pict>
          </mc:Fallback>
        </mc:AlternateContent>
      </w:r>
    </w:p>
    <w:p w14:paraId="7A396BA8">
      <w:pPr>
        <w:pStyle w:val="20"/>
        <w:overflowPunct w:val="0"/>
        <w:spacing w:line="360" w:lineRule="auto"/>
        <w:ind w:left="420" w:right="210" w:firstLine="0" w:firstLineChars="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ch</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ch</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ch</m:t>
                  </m:r>
                  <m:ctrlPr>
                    <w:rPr>
                      <w:rFonts w:ascii="Cambria Math" w:hAnsi="Cambria Math"/>
                      <w:kern w:val="0"/>
                      <w:sz w:val="21"/>
                      <w:szCs w:val="21"/>
                    </w:rPr>
                  </m:ctrlPr>
                </m:sub>
              </m:sSub>
              <m:r>
                <m:rPr>
                  <m:sty m:val="p"/>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ih</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式中：</w:t>
      </w:r>
    </w:p>
    <w:p w14:paraId="07E3F90E">
      <w:pPr>
        <w:pStyle w:val="20"/>
        <w:overflowPunct w:val="0"/>
        <w:spacing w:line="360" w:lineRule="auto"/>
        <w:ind w:left="420" w:right="210" w:firstLine="0" w:firstLineChars="0"/>
        <w:rPr>
          <w:kern w:val="0"/>
          <w:sz w:val="24"/>
          <w:szCs w:val="24"/>
        </w:rPr>
      </w:p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ch</m:t>
            </m:r>
            <m:ctrlPr>
              <w:rPr>
                <w:rFonts w:ascii="Cambria Math" w:hAnsi="Cambria Math"/>
                <w:kern w:val="0"/>
                <w:sz w:val="21"/>
                <w:szCs w:val="21"/>
              </w:rPr>
            </m:ctrlPr>
          </m:sub>
        </m:sSub>
      </m:oMath>
      <w:r>
        <w:rPr>
          <w:rFonts w:hint="eastAsia"/>
          <w:kern w:val="0"/>
          <w:sz w:val="24"/>
          <w:szCs w:val="24"/>
        </w:rPr>
        <w:t>——环卫设施复合布局率；</w:t>
      </w:r>
    </w:p>
    <w:p w14:paraId="4FD64CA7">
      <w:pPr>
        <w:pStyle w:val="20"/>
        <w:overflowPunct w:val="0"/>
        <w:spacing w:line="360" w:lineRule="auto"/>
        <w:ind w:left="420" w:right="210" w:firstLine="0" w:firstLineChars="0"/>
        <w:rPr>
          <w:kern w:val="0"/>
          <w:sz w:val="24"/>
          <w:szCs w:val="24"/>
        </w:rPr>
      </w:pPr>
      <w:r>
        <w:rPr>
          <w:rFonts w:hint="eastAsia"/>
          <w:kern w:val="0"/>
          <w:sz w:val="24"/>
          <w:szCs w:val="24"/>
        </w:rPr>
        <w:t>S</w:t>
      </w:r>
      <w:r>
        <w:rPr>
          <w:rFonts w:hint="eastAsia"/>
          <w:i/>
          <w:iCs/>
          <w:kern w:val="0"/>
          <w:sz w:val="24"/>
          <w:szCs w:val="24"/>
          <w:vertAlign w:val="subscript"/>
        </w:rPr>
        <w:t>ch</w:t>
      </w:r>
      <w:r>
        <w:rPr>
          <w:rFonts w:hint="eastAsia"/>
          <w:kern w:val="0"/>
          <w:sz w:val="24"/>
          <w:szCs w:val="24"/>
        </w:rPr>
        <w:t xml:space="preserve">——非独立占地环卫设施面积（m </w:t>
      </w:r>
      <w:r>
        <w:rPr>
          <w:rFonts w:hint="eastAsia"/>
          <w:kern w:val="0"/>
          <w:sz w:val="24"/>
          <w:szCs w:val="24"/>
          <w:vertAlign w:val="superscript"/>
        </w:rPr>
        <w:t xml:space="preserve">2 </w:t>
      </w:r>
      <w:r>
        <w:rPr>
          <w:rFonts w:hint="eastAsia"/>
          <w:kern w:val="0"/>
          <w:sz w:val="24"/>
          <w:szCs w:val="24"/>
        </w:rPr>
        <w:t>）；</w:t>
      </w:r>
    </w:p>
    <w:p w14:paraId="6B476FD7">
      <w:pPr>
        <w:pStyle w:val="20"/>
        <w:overflowPunct w:val="0"/>
        <w:spacing w:line="360" w:lineRule="auto"/>
        <w:ind w:left="420" w:right="210" w:firstLine="0" w:firstLineChars="0"/>
        <w:rPr>
          <w:kern w:val="0"/>
          <w:sz w:val="24"/>
          <w:szCs w:val="24"/>
        </w:rPr>
      </w:pPr>
      <w:r>
        <w:rPr>
          <w:rFonts w:hint="eastAsia"/>
          <w:kern w:val="0"/>
          <w:sz w:val="24"/>
          <w:szCs w:val="24"/>
        </w:rPr>
        <w:t>S</w:t>
      </w:r>
      <w:r>
        <w:rPr>
          <w:rFonts w:hint="eastAsia"/>
          <w:i/>
          <w:iCs/>
          <w:kern w:val="0"/>
          <w:sz w:val="24"/>
          <w:szCs w:val="24"/>
          <w:vertAlign w:val="subscript"/>
        </w:rPr>
        <w:t>ih</w:t>
      </w:r>
      <w:r>
        <w:rPr>
          <w:rFonts w:hint="eastAsia"/>
          <w:kern w:val="0"/>
          <w:sz w:val="24"/>
          <w:szCs w:val="24"/>
        </w:rPr>
        <w:t xml:space="preserve">——独立占地环卫设施面积（m </w:t>
      </w:r>
      <w:r>
        <w:rPr>
          <w:rFonts w:hint="eastAsia"/>
          <w:kern w:val="0"/>
          <w:sz w:val="24"/>
          <w:szCs w:val="24"/>
          <w:vertAlign w:val="superscript"/>
        </w:rPr>
        <w:t xml:space="preserve">2 </w:t>
      </w:r>
      <w:r>
        <w:rPr>
          <w:rFonts w:hint="eastAsia"/>
          <w:kern w:val="0"/>
          <w:sz w:val="24"/>
          <w:szCs w:val="24"/>
        </w:rPr>
        <w:t>）；</w:t>
      </w:r>
    </w:p>
    <w:p w14:paraId="2B8A3CCC">
      <w:pPr>
        <w:pStyle w:val="20"/>
        <w:overflowPunct w:val="0"/>
        <w:spacing w:line="360" w:lineRule="auto"/>
        <w:ind w:left="420" w:right="210" w:firstLine="0" w:firstLineChars="0"/>
        <w:rPr>
          <w:kern w:val="0"/>
          <w:sz w:val="24"/>
          <w:szCs w:val="24"/>
        </w:rPr>
      </w:pPr>
      <w:r>
        <w:rPr>
          <w:kern w:val="0"/>
          <w:sz w:val="24"/>
          <w:szCs w:val="24"/>
        </w:rPr>
        <w:t>注：</w:t>
      </w:r>
      <w:r>
        <w:rPr>
          <w:rFonts w:hint="eastAsia"/>
          <w:kern w:val="0"/>
          <w:sz w:val="24"/>
          <w:szCs w:val="24"/>
        </w:rPr>
        <w:t>环卫设施包括垃圾分类与处理设施、公共卫生间、环卫工人休息室。</w:t>
      </w:r>
    </w:p>
    <w:p w14:paraId="0D568F94">
      <w:pPr>
        <w:pStyle w:val="56"/>
        <w:numPr>
          <w:ilvl w:val="0"/>
          <w:numId w:val="0"/>
        </w:numPr>
        <w:overflowPunct w:val="0"/>
        <w:spacing w:line="360" w:lineRule="auto"/>
        <w:ind w:right="84" w:rightChars="40"/>
        <w:jc w:val="both"/>
        <w:rPr>
          <w:rFonts w:ascii="Times New Roman" w:hAnsi="Times New Roman"/>
          <w:b/>
          <w:bCs/>
          <w:kern w:val="0"/>
          <w:lang w:val="zh-CN" w:bidi="zh-CN"/>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5</w:t>
      </w:r>
      <w:r>
        <w:rPr>
          <w:rFonts w:ascii="Times New Roman" w:hAnsi="Times New Roman"/>
          <w:kern w:val="0"/>
        </w:rPr>
        <w:t>.</w:t>
      </w:r>
      <w:r>
        <w:rPr>
          <w:rFonts w:hint="eastAsia" w:ascii="Times New Roman" w:hAnsi="Times New Roman"/>
          <w:kern w:val="0"/>
        </w:rPr>
        <w:t>2</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4CCEE9BF">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5</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2</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环卫设施复合布局率</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75AFB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38EA1B14">
            <w:pPr>
              <w:overflowPunct w:val="0"/>
              <w:spacing w:line="360" w:lineRule="auto"/>
              <w:jc w:val="center"/>
              <w:rPr>
                <w:rFonts w:hint="default" w:ascii="宋体" w:hAnsi="宋体" w:eastAsia="宋体" w:cs="Times New Roman"/>
                <w:bCs/>
                <w:kern w:val="0"/>
                <w:szCs w:val="21"/>
                <w:lang w:val="en-US"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081DAE2D">
            <w:pPr>
              <w:overflowPunct w:val="0"/>
              <w:spacing w:line="360" w:lineRule="auto"/>
              <w:jc w:val="center"/>
              <w:rPr>
                <w:rFonts w:hint="eastAsia" w:ascii="宋体" w:hAnsi="宋体"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60F74E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71A5FA37">
            <w:pPr>
              <w:overflowPunct w:val="0"/>
              <w:spacing w:line="360" w:lineRule="auto"/>
              <w:jc w:val="center"/>
              <w:rPr>
                <w:rFonts w:hint="eastAsia" w:ascii="宋体" w:hAnsi="宋体" w:eastAsia="宋体" w:cs="Times New Roman"/>
                <w:bCs/>
                <w:kern w:val="0"/>
                <w:szCs w:val="21"/>
                <w:lang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ch</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0.9</w:t>
            </w:r>
          </w:p>
        </w:tc>
        <w:tc>
          <w:tcPr>
            <w:tcW w:w="1555" w:type="dxa"/>
            <w:vAlign w:val="center"/>
          </w:tcPr>
          <w:p w14:paraId="077CFCB5">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5C4302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0A894914">
            <w:pPr>
              <w:overflowPunct w:val="0"/>
              <w:spacing w:line="360" w:lineRule="auto"/>
              <w:jc w:val="center"/>
              <w:rPr>
                <w:rFonts w:hint="eastAsia" w:ascii="宋体" w:hAnsi="宋体" w:eastAsia="宋体" w:cs="Times New Roman"/>
                <w:bCs/>
                <w:kern w:val="0"/>
                <w:szCs w:val="21"/>
                <w:lang w:bidi="zh-CN"/>
              </w:rPr>
            </w:pPr>
            <w:r>
              <w:rPr>
                <w:rFonts w:hint="eastAsia" w:ascii="宋体" w:hAnsi="宋体" w:eastAsia="宋体" w:cs="Times New Roman"/>
                <w:bCs/>
                <w:kern w:val="0"/>
                <w:szCs w:val="21"/>
                <w:lang w:bidi="zh-CN"/>
              </w:rPr>
              <w:t>0.7</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ch</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0.9</w:t>
            </w:r>
          </w:p>
        </w:tc>
        <w:tc>
          <w:tcPr>
            <w:tcW w:w="1555" w:type="dxa"/>
            <w:vAlign w:val="center"/>
          </w:tcPr>
          <w:p w14:paraId="4FC539B0">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6CDA22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1BD5837">
            <w:pPr>
              <w:overflowPunct w:val="0"/>
              <w:spacing w:line="360" w:lineRule="auto"/>
              <w:jc w:val="center"/>
              <w:rPr>
                <w:rFonts w:hint="eastAsia" w:ascii="宋体" w:hAnsi="宋体" w:eastAsia="宋体" w:cs="Times New Roman"/>
                <w:bCs/>
                <w:kern w:val="0"/>
                <w:szCs w:val="21"/>
                <w:lang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ch</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0.7</w:t>
            </w:r>
          </w:p>
        </w:tc>
        <w:tc>
          <w:tcPr>
            <w:tcW w:w="1555" w:type="dxa"/>
            <w:vAlign w:val="center"/>
          </w:tcPr>
          <w:p w14:paraId="27EDE796">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4498215D">
      <w:pPr>
        <w:pStyle w:val="56"/>
        <w:numPr>
          <w:ilvl w:val="0"/>
          <w:numId w:val="0"/>
        </w:numPr>
        <w:overflowPunct w:val="0"/>
        <w:spacing w:line="360" w:lineRule="auto"/>
        <w:ind w:left="142" w:right="6" w:rightChars="3" w:firstLine="480" w:firstLineChars="200"/>
        <w:jc w:val="both"/>
        <w:rPr>
          <w:rFonts w:hint="eastAsia"/>
          <w:kern w:val="0"/>
        </w:rPr>
      </w:pPr>
    </w:p>
    <w:p w14:paraId="1F06CEFC">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条文说明：</w:t>
      </w:r>
    </w:p>
    <w:p w14:paraId="14485C1A">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本条对城市高强度片区内环卫设施非独立占地的比例提出要求。国家标准《城市环境卫生设施规划标准》GB/T 50337-2018第2.0.5条规定，环境卫生设施应集约建设。环境卫生处理及处置设施宜集中布局，条件允许时可形成综合处理园区；其他环境卫生设施在满足卫生及防疫要求的条件下，可结合城市其他建设项目设置。根据《深圳市城市规划标准与准则》（2023修订版）的规定，公共厕所应有不低于70%为附属式布局，即设置在建筑地面层或依附于建筑内。</w:t>
      </w:r>
    </w:p>
    <w:p w14:paraId="37021D33">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在高强度片区中，独立占地的环卫设施容易造成空间割裂和土地资源浪费。通过推动环卫设施的附属式建设，不仅能够缓解片区土地紧张问题，还能提升使用便捷性和环境协调性。该指标有助于推动环卫设施与公共服务、商业等功能的复合布置，促进公共空间的整体品质提升。</w:t>
      </w:r>
    </w:p>
    <w:p w14:paraId="6726F981">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环卫设施的布置类型及比例可通过规划图纸、环卫部门统计数据或实地调研获取。</w:t>
      </w:r>
    </w:p>
    <w:p w14:paraId="17E6D383">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本条的评估方法为：实地调研、相关部门统计数据。</w:t>
      </w:r>
    </w:p>
    <w:p w14:paraId="5D3EAABE">
      <w:pPr>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br w:type="page"/>
      </w:r>
    </w:p>
    <w:p w14:paraId="41592760">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35" w:name="_Toc27380"/>
      <w:r>
        <w:rPr>
          <w:rFonts w:hint="eastAsia" w:ascii="Times New Roman" w:hAnsi="Times New Roman" w:eastAsia="宋体" w:cs="Times New Roman"/>
          <w:bCs/>
          <w:kern w:val="0"/>
          <w:sz w:val="28"/>
          <w:szCs w:val="24"/>
          <w:lang w:val="en-US" w:bidi="zh-CN"/>
        </w:rPr>
        <w:t>5</w:t>
      </w:r>
      <w:r>
        <w:rPr>
          <w:rFonts w:hint="eastAsia" w:ascii="Times New Roman" w:hAnsi="Times New Roman" w:eastAsia="宋体" w:cs="Times New Roman"/>
          <w:bCs/>
          <w:kern w:val="0"/>
          <w:sz w:val="28"/>
          <w:szCs w:val="24"/>
          <w:lang w:bidi="zh-CN"/>
        </w:rPr>
        <w:t xml:space="preserve">.3 </w:t>
      </w:r>
      <w:r>
        <w:rPr>
          <w:rFonts w:ascii="Times New Roman" w:hAnsi="Times New Roman" w:eastAsia="黑体" w:cs="Times New Roman"/>
          <w:bCs/>
          <w:kern w:val="0"/>
          <w:sz w:val="28"/>
          <w:szCs w:val="24"/>
          <w:lang w:bidi="zh-CN"/>
        </w:rPr>
        <w:t>TOD</w:t>
      </w:r>
      <w:r>
        <w:rPr>
          <w:rFonts w:hint="eastAsia" w:ascii="黑体" w:hAnsi="黑体" w:eastAsia="黑体" w:cs="Times New Roman"/>
          <w:bCs/>
          <w:kern w:val="0"/>
          <w:sz w:val="28"/>
          <w:szCs w:val="24"/>
          <w:lang w:bidi="zh-CN"/>
        </w:rPr>
        <w:t>建设占比</w:t>
      </w:r>
      <w:bookmarkEnd w:id="35"/>
    </w:p>
    <w:p w14:paraId="6FEAB63B">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TOD建设占比指轨交站点250米半径内建筑面积与城市高强度片区总建筑面积的比值，用于衡量站点周边开发强度的集中度。</w:t>
      </w:r>
    </w:p>
    <w:p w14:paraId="24DDE271">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rFonts w:ascii="Times New Roman" w:hAnsi="Times New Roman"/>
          <w:kern w:val="0"/>
        </w:rPr>
        <mc:AlternateContent>
          <mc:Choice Requires="wps">
            <w:drawing>
              <wp:anchor distT="45720" distB="45720" distL="114300" distR="114300" simplePos="0" relativeHeight="251664384" behindDoc="0" locked="0" layoutInCell="1" allowOverlap="1">
                <wp:simplePos x="0" y="0"/>
                <wp:positionH relativeFrom="margin">
                  <wp:posOffset>4605020</wp:posOffset>
                </wp:positionH>
                <wp:positionV relativeFrom="paragraph">
                  <wp:posOffset>351155</wp:posOffset>
                </wp:positionV>
                <wp:extent cx="728980" cy="1404620"/>
                <wp:effectExtent l="0" t="0" r="0" b="6350"/>
                <wp:wrapNone/>
                <wp:docPr id="137746765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28980" cy="1404620"/>
                        </a:xfrm>
                        <a:prstGeom prst="rect">
                          <a:avLst/>
                        </a:prstGeom>
                        <a:solidFill>
                          <a:srgbClr val="FFFFFF"/>
                        </a:solidFill>
                        <a:ln w="9525">
                          <a:noFill/>
                          <a:miter lim="800000"/>
                        </a:ln>
                      </wps:spPr>
                      <wps:txbx>
                        <w:txbxContent>
                          <w:p w14:paraId="275FE4EB">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5</w:t>
                            </w:r>
                            <w:r>
                              <w:rPr>
                                <w:rFonts w:hint="eastAsia" w:ascii="Times New Roman" w:hAnsi="Times New Roman" w:cs="Times New Roman"/>
                                <w:szCs w:val="24"/>
                              </w:rPr>
                              <w:t>.</w:t>
                            </w:r>
                            <w:r>
                              <w:rPr>
                                <w:rFonts w:hint="eastAsia" w:ascii="Times New Roman" w:hAnsi="Times New Roman" w:cs="Times New Roman"/>
                                <w:szCs w:val="24"/>
                                <w:lang w:val="en-US" w:eastAsia="zh-CN"/>
                              </w:rPr>
                              <w:t>3</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2.6pt;margin-top:27.65pt;height:110.6pt;width:57.4pt;mso-position-horizontal-relative:margin;z-index:251664384;mso-width-relative:page;mso-height-relative:margin;mso-height-percent:200;" fillcolor="#FFFFFF" filled="t" stroked="f" coordsize="21600,21600" o:gfxdata="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qTR2DZAAAACgEAAA8AAAAAAAAAAQAgAAAAIgAA&#10;AGRycy9kb3ducmV2LnhtbFBLAQIUABQAAAAIAIdO4kBa32WJQAIAAFsEAAAOAAAAAAAAAAEAIAAA&#10;ACgBAABkcnMvZTJvRG9jLnhtbFBLBQYAAAAABgAGAFkBAADaBQAAAAA=&#10;">
                <v:fill on="t" focussize="0,0"/>
                <v:stroke on="f" miterlimit="8" joinstyle="miter"/>
                <v:imagedata o:title=""/>
                <o:lock v:ext="edit" aspectratio="f"/>
                <v:textbox style="mso-fit-shape-to-text:t;">
                  <w:txbxContent>
                    <w:p w14:paraId="275FE4EB">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5</w:t>
                      </w:r>
                      <w:r>
                        <w:rPr>
                          <w:rFonts w:hint="eastAsia" w:ascii="Times New Roman" w:hAnsi="Times New Roman" w:cs="Times New Roman"/>
                          <w:szCs w:val="24"/>
                        </w:rPr>
                        <w:t>.</w:t>
                      </w:r>
                      <w:r>
                        <w:rPr>
                          <w:rFonts w:hint="eastAsia" w:ascii="Times New Roman" w:hAnsi="Times New Roman" w:cs="Times New Roman"/>
                          <w:szCs w:val="24"/>
                          <w:lang w:val="en-US" w:eastAsia="zh-CN"/>
                        </w:rPr>
                        <w:t>3</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ascii="Times New Roman" w:hAnsi="Times New Roman"/>
          <w:kern w:val="0"/>
          <w:lang w:bidi="zh-CN"/>
        </w:rPr>
        <w:t>TOD</w:t>
      </w:r>
      <w:r>
        <w:rPr>
          <w:rFonts w:hint="eastAsia"/>
          <w:kern w:val="0"/>
          <w:lang w:bidi="zh-CN"/>
        </w:rPr>
        <w:t>建设占比</w:t>
      </w:r>
      <w:r>
        <w:rPr>
          <w:kern w:val="0"/>
        </w:rPr>
        <w:t>按下式计算：</w:t>
      </w:r>
    </w:p>
    <w:p w14:paraId="6F44BF12">
      <w:pPr>
        <w:pStyle w:val="58"/>
        <w:keepNext w:val="0"/>
        <w:keepLines w:val="0"/>
        <w:pageBreakBefore w:val="0"/>
        <w:widowControl w:val="0"/>
        <w:numPr>
          <w:ilvl w:val="0"/>
          <w:numId w:val="0"/>
        </w:numPr>
        <w:kinsoku/>
        <w:wordWrap/>
        <w:overflowPunct w:val="0"/>
        <w:topLinePunct w:val="0"/>
        <w:autoSpaceDE/>
        <w:autoSpaceDN/>
        <w:bidi w:val="0"/>
        <w:adjustRightInd/>
        <w:snapToGrid w:val="0"/>
        <w:spacing w:line="360" w:lineRule="auto"/>
        <w:ind w:left="0" w:right="0" w:firstLine="0" w:firstLineChars="0"/>
        <w:textAlignment w:val="auto"/>
        <w:rPr>
          <w:kern w:val="0"/>
          <w:szCs w:val="24"/>
        </w:rPr>
      </w:pPr>
      <m:oMathPara>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hint="eastAsia" w:ascii="Cambria Math" w:hAnsi="Cambria Math"/>
                  <w:kern w:val="0"/>
                  <w:sz w:val="21"/>
                  <w:szCs w:val="21"/>
                </w:rPr>
                <m:t>TOD</m:t>
              </m:r>
              <m:ctrlPr>
                <w:rPr>
                  <w:rFonts w:ascii="Cambria Math" w:hAnsi="Cambria Math"/>
                  <w:kern w:val="0"/>
                  <w:sz w:val="21"/>
                  <w:szCs w:val="21"/>
                </w:rPr>
              </m:ctrlPr>
            </m:sub>
          </m:sSub>
          <m:r>
            <m:rPr>
              <m:sty m:val="p"/>
            </m:rPr>
            <w:rPr>
              <w:rFonts w:ascii="Cambria Math" w:hAnsi="Cambria Math"/>
              <w:kern w:val="0"/>
              <w:szCs w:val="24"/>
            </w:rPr>
            <m:t>=</m:t>
          </m:r>
          <m:f>
            <m:fPr>
              <m:ctrlPr>
                <w:rPr>
                  <w:rFonts w:ascii="Cambria Math" w:hAnsi="Cambria Math"/>
                  <w:kern w:val="0"/>
                  <w:szCs w:val="24"/>
                </w:rPr>
              </m:ctrlPr>
            </m:fPr>
            <m:num>
              <m:sSub>
                <m:sSubPr>
                  <m:ctrlPr>
                    <w:rPr>
                      <w:rFonts w:ascii="Cambria Math" w:hAnsi="Cambria Math"/>
                      <w:kern w:val="0"/>
                      <w:szCs w:val="24"/>
                    </w:rPr>
                  </m:ctrlPr>
                </m:sSubPr>
                <m:e>
                  <m:r>
                    <m:rPr>
                      <m:sty m:val="p"/>
                    </m:rPr>
                    <w:rPr>
                      <w:rFonts w:ascii="Cambria Math" w:hAnsi="Cambria Math"/>
                      <w:kern w:val="0"/>
                      <w:szCs w:val="24"/>
                    </w:rPr>
                    <m:t>S</m:t>
                  </m:r>
                  <m:ctrlPr>
                    <w:rPr>
                      <w:rFonts w:ascii="Cambria Math" w:hAnsi="Cambria Math"/>
                      <w:kern w:val="0"/>
                      <w:szCs w:val="24"/>
                    </w:rPr>
                  </m:ctrlPr>
                </m:e>
                <m:sub>
                  <m:r>
                    <m:rPr/>
                    <w:rPr>
                      <w:rFonts w:ascii="Cambria Math" w:hAnsi="Cambria Math"/>
                      <w:kern w:val="0"/>
                      <w:szCs w:val="24"/>
                    </w:rPr>
                    <m:t>g</m:t>
                  </m:r>
                  <m:ctrlPr>
                    <w:rPr>
                      <w:rFonts w:ascii="Cambria Math" w:hAnsi="Cambria Math"/>
                      <w:kern w:val="0"/>
                      <w:szCs w:val="24"/>
                    </w:rPr>
                  </m:ctrlPr>
                </m:sub>
              </m:sSub>
              <m:ctrlPr>
                <w:rPr>
                  <w:rFonts w:ascii="Cambria Math" w:hAnsi="Cambria Math"/>
                  <w:kern w:val="0"/>
                  <w:szCs w:val="24"/>
                </w:rPr>
              </m:ctrlPr>
            </m:num>
            <m:den>
              <m:sSub>
                <m:sSubPr>
                  <m:ctrlPr>
                    <w:rPr>
                      <w:rFonts w:ascii="Cambria Math" w:hAnsi="Cambria Math"/>
                      <w:kern w:val="0"/>
                      <w:szCs w:val="24"/>
                    </w:rPr>
                  </m:ctrlPr>
                </m:sSubPr>
                <m:e>
                  <m:r>
                    <m:rPr>
                      <m:sty m:val="p"/>
                    </m:rPr>
                    <w:rPr>
                      <w:rFonts w:ascii="Cambria Math" w:hAnsi="Cambria Math"/>
                      <w:kern w:val="0"/>
                      <w:szCs w:val="24"/>
                    </w:rPr>
                    <m:t>S</m:t>
                  </m:r>
                  <m:ctrlPr>
                    <w:rPr>
                      <w:rFonts w:ascii="Cambria Math" w:hAnsi="Cambria Math"/>
                      <w:kern w:val="0"/>
                      <w:szCs w:val="24"/>
                    </w:rPr>
                  </m:ctrlPr>
                </m:e>
                <m:sub>
                  <m:r>
                    <m:rPr/>
                    <w:rPr>
                      <w:rFonts w:ascii="Cambria Math" w:hAnsi="Cambria Math"/>
                      <w:kern w:val="0"/>
                      <w:szCs w:val="24"/>
                    </w:rPr>
                    <m:t>zb</m:t>
                  </m:r>
                  <m:ctrlPr>
                    <w:rPr>
                      <w:rFonts w:ascii="Cambria Math" w:hAnsi="Cambria Math"/>
                      <w:kern w:val="0"/>
                      <w:szCs w:val="24"/>
                    </w:rPr>
                  </m:ctrlPr>
                </m:sub>
              </m:sSub>
              <m:ctrlPr>
                <w:rPr>
                  <w:rFonts w:ascii="Cambria Math" w:hAnsi="Cambria Math"/>
                  <w:kern w:val="0"/>
                  <w:szCs w:val="24"/>
                </w:rPr>
              </m:ctrlPr>
            </m:den>
          </m:f>
          <m:r>
            <m:rPr>
              <m:sty m:val="p"/>
            </m:rPr>
            <w:rPr>
              <w:kern w:val="0"/>
              <w:szCs w:val="24"/>
            </w:rPr>
            <w:br w:type="textWrapping"/>
          </m:r>
        </m:oMath>
      </m:oMathPara>
      <w:r>
        <w:rPr>
          <w:rFonts w:hint="eastAsia"/>
          <w:kern w:val="0"/>
          <w:sz w:val="24"/>
          <w:szCs w:val="24"/>
        </w:rPr>
        <w:t>式中：</w:t>
      </w:r>
    </w:p>
    <w:p w14:paraId="3B631451">
      <w:pPr>
        <w:pStyle w:val="20"/>
        <w:overflowPunct w:val="0"/>
        <w:spacing w:line="360" w:lineRule="auto"/>
        <w:ind w:right="210" w:firstLine="420"/>
        <w:rPr>
          <w:kern w:val="0"/>
          <w:sz w:val="24"/>
          <w:szCs w:val="24"/>
        </w:rPr>
      </w:p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hint="eastAsia" w:ascii="Cambria Math" w:hAnsi="Cambria Math"/>
                <w:kern w:val="0"/>
                <w:sz w:val="21"/>
                <w:szCs w:val="21"/>
              </w:rPr>
              <m:t>TOD</m:t>
            </m:r>
            <m:ctrlPr>
              <w:rPr>
                <w:rFonts w:ascii="Cambria Math" w:hAnsi="Cambria Math"/>
                <w:kern w:val="0"/>
                <w:sz w:val="21"/>
                <w:szCs w:val="21"/>
              </w:rPr>
            </m:ctrlPr>
          </m:sub>
        </m:sSub>
      </m:oMath>
      <w:r>
        <w:rPr>
          <w:rFonts w:hint="eastAsia"/>
          <w:kern w:val="0"/>
          <w:sz w:val="24"/>
          <w:szCs w:val="24"/>
        </w:rPr>
        <w:t>——TOD建设占比；</w:t>
      </w:r>
    </w:p>
    <w:p w14:paraId="630F4E27">
      <w:pPr>
        <w:pStyle w:val="20"/>
        <w:overflowPunct w:val="0"/>
        <w:spacing w:line="360" w:lineRule="auto"/>
        <w:ind w:right="210"/>
        <w:rPr>
          <w:kern w:val="0"/>
          <w:sz w:val="24"/>
          <w:szCs w:val="24"/>
        </w:rPr>
      </w:pPr>
      <w:r>
        <w:rPr>
          <w:rFonts w:hint="eastAsia"/>
          <w:kern w:val="0"/>
          <w:sz w:val="24"/>
          <w:szCs w:val="24"/>
        </w:rPr>
        <w:t>S</w:t>
      </w:r>
      <w:r>
        <w:rPr>
          <w:rFonts w:hint="eastAsia"/>
          <w:i/>
          <w:iCs/>
          <w:kern w:val="0"/>
          <w:sz w:val="24"/>
          <w:szCs w:val="24"/>
          <w:vertAlign w:val="subscript"/>
        </w:rPr>
        <w:t>g</w:t>
      </w:r>
      <w:r>
        <w:rPr>
          <w:rFonts w:hint="eastAsia"/>
          <w:kern w:val="0"/>
          <w:sz w:val="24"/>
          <w:szCs w:val="24"/>
        </w:rPr>
        <w:t xml:space="preserve">——轨交站点250米半径内建筑面积（m </w:t>
      </w:r>
      <w:r>
        <w:rPr>
          <w:rFonts w:hint="eastAsia"/>
          <w:kern w:val="0"/>
          <w:sz w:val="24"/>
          <w:szCs w:val="24"/>
          <w:vertAlign w:val="superscript"/>
        </w:rPr>
        <w:t xml:space="preserve">2 </w:t>
      </w:r>
      <w:r>
        <w:rPr>
          <w:rFonts w:hint="eastAsia"/>
          <w:kern w:val="0"/>
          <w:sz w:val="24"/>
          <w:szCs w:val="24"/>
        </w:rPr>
        <w:t>）；</w:t>
      </w:r>
    </w:p>
    <w:p w14:paraId="00923970">
      <w:pPr>
        <w:pStyle w:val="20"/>
        <w:overflowPunct w:val="0"/>
        <w:spacing w:line="360" w:lineRule="auto"/>
        <w:ind w:right="210"/>
        <w:rPr>
          <w:kern w:val="0"/>
          <w:sz w:val="24"/>
          <w:szCs w:val="24"/>
        </w:rPr>
      </w:pPr>
      <w:r>
        <w:rPr>
          <w:rFonts w:hint="eastAsia"/>
          <w:kern w:val="0"/>
          <w:sz w:val="24"/>
          <w:szCs w:val="24"/>
        </w:rPr>
        <w:t>S</w:t>
      </w:r>
      <w:r>
        <w:rPr>
          <w:rFonts w:hint="eastAsia"/>
          <w:i/>
          <w:iCs/>
          <w:kern w:val="0"/>
          <w:sz w:val="24"/>
          <w:szCs w:val="24"/>
          <w:vertAlign w:val="subscript"/>
        </w:rPr>
        <w:t>zb</w:t>
      </w:r>
      <w:r>
        <w:rPr>
          <w:rFonts w:hint="eastAsia"/>
          <w:kern w:val="0"/>
          <w:sz w:val="24"/>
          <w:szCs w:val="24"/>
        </w:rPr>
        <w:t xml:space="preserve">——城市高强度片区总建筑面积（m </w:t>
      </w:r>
      <w:r>
        <w:rPr>
          <w:rFonts w:hint="eastAsia"/>
          <w:kern w:val="0"/>
          <w:sz w:val="24"/>
          <w:szCs w:val="24"/>
          <w:vertAlign w:val="superscript"/>
        </w:rPr>
        <w:t xml:space="preserve">2 </w:t>
      </w:r>
      <w:r>
        <w:rPr>
          <w:rFonts w:hint="eastAsia"/>
          <w:kern w:val="0"/>
          <w:sz w:val="24"/>
          <w:szCs w:val="24"/>
        </w:rPr>
        <w:t>）。</w:t>
      </w:r>
    </w:p>
    <w:p w14:paraId="666C20C4">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5</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5</w:t>
      </w:r>
      <w:r>
        <w:rPr>
          <w:rFonts w:ascii="Times New Roman" w:hAnsi="Times New Roman"/>
          <w:kern w:val="0"/>
        </w:rPr>
        <w:t>.</w:t>
      </w:r>
      <w:r>
        <w:rPr>
          <w:rFonts w:hint="eastAsia" w:ascii="Times New Roman" w:hAnsi="Times New Roman"/>
          <w:kern w:val="0"/>
        </w:rPr>
        <w:t>3</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5D31E481">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5</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TOD建设</w:t>
      </w:r>
      <w:r>
        <w:rPr>
          <w:rFonts w:hint="eastAsia" w:ascii="Times New Roman" w:hAnsi="Times New Roman" w:eastAsia="宋体" w:cs="Times New Roman"/>
          <w:b/>
          <w:bCs/>
          <w:kern w:val="0"/>
          <w:szCs w:val="21"/>
          <w:lang w:val="zh-CN" w:bidi="zh-CN"/>
        </w:rPr>
        <w:t xml:space="preserve">占比评估规则 </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7A63FF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5E1818E1">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5D7F5EC8">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5C2801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695AA522">
            <w:pPr>
              <w:overflowPunct w:val="0"/>
              <w:spacing w:line="360" w:lineRule="auto"/>
              <w:jc w:val="center"/>
              <w:rPr>
                <w:rFonts w:ascii="Times New Roman" w:hAnsi="Times New Roman" w:eastAsia="宋体" w:cs="Times New Roman"/>
                <w:bCs/>
                <w:kern w:val="0"/>
                <w:szCs w:val="21"/>
                <w:lang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hint="eastAsia" w:ascii="Cambria Math" w:hAnsi="Cambria Math"/>
                      <w:kern w:val="0"/>
                      <w:szCs w:val="21"/>
                    </w:rPr>
                    <m:t>TOD</m:t>
                  </m:r>
                  <m:ctrlPr>
                    <w:rPr>
                      <w:rFonts w:ascii="Cambria Math" w:hAnsi="Cambria Math"/>
                      <w:kern w:val="0"/>
                      <w:szCs w:val="21"/>
                    </w:rPr>
                  </m:ctrlPr>
                </m:sub>
              </m:sSub>
            </m:oMath>
            <w:r>
              <w:rPr>
                <w:rFonts w:hint="eastAsia" w:ascii="Times New Roman" w:hAnsi="Times New Roman" w:eastAsia="宋体" w:cs="Times New Roman"/>
                <w:bCs/>
                <w:kern w:val="0"/>
                <w:szCs w:val="21"/>
                <w:lang w:val="zh-CN" w:bidi="zh-CN"/>
              </w:rPr>
              <w:t>=</w:t>
            </w:r>
            <w:r>
              <w:rPr>
                <w:rFonts w:hint="eastAsia" w:ascii="宋体" w:hAnsi="宋体" w:eastAsia="宋体" w:cs="Times New Roman"/>
                <w:bCs/>
                <w:kern w:val="0"/>
                <w:szCs w:val="21"/>
                <w:lang w:bidi="zh-CN"/>
              </w:rPr>
              <w:t>1</w:t>
            </w:r>
          </w:p>
        </w:tc>
        <w:tc>
          <w:tcPr>
            <w:tcW w:w="1555" w:type="dxa"/>
            <w:vAlign w:val="center"/>
          </w:tcPr>
          <w:p w14:paraId="557DF4DF">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456A0B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05DFB98C">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bidi="zh-CN"/>
              </w:rPr>
              <w:t>0</w:t>
            </w:r>
            <w:r>
              <w:rPr>
                <w:rFonts w:hint="eastAsia" w:ascii="宋体" w:hAnsi="宋体" w:eastAsia="宋体" w:cs="Times New Roman"/>
                <w:bCs/>
                <w:kern w:val="0"/>
                <w:szCs w:val="21"/>
                <w:lang w:bidi="zh-CN"/>
              </w:rPr>
              <w:t>.7</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hint="eastAsia" w:ascii="Cambria Math" w:hAnsi="Cambria Math"/>
                      <w:kern w:val="0"/>
                      <w:szCs w:val="21"/>
                    </w:rPr>
                    <m:t>TOD</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1</w:t>
            </w:r>
          </w:p>
        </w:tc>
        <w:tc>
          <w:tcPr>
            <w:tcW w:w="1555" w:type="dxa"/>
            <w:vAlign w:val="center"/>
          </w:tcPr>
          <w:p w14:paraId="72DDE368">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4899C3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052F35E">
            <w:pPr>
              <w:overflowPunct w:val="0"/>
              <w:spacing w:line="360" w:lineRule="auto"/>
              <w:jc w:val="center"/>
              <w:rPr>
                <w:rFonts w:ascii="Times New Roman" w:hAnsi="Times New Roman" w:eastAsia="宋体" w:cs="Times New Roman"/>
                <w:bCs/>
                <w:kern w:val="0"/>
                <w:szCs w:val="21"/>
                <w:lang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hint="eastAsia" w:ascii="Cambria Math" w:hAnsi="Cambria Math"/>
                      <w:kern w:val="0"/>
                      <w:szCs w:val="21"/>
                    </w:rPr>
                    <m:t>TOD</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bidi="zh-CN"/>
              </w:rPr>
              <w:t>0.7</w:t>
            </w:r>
          </w:p>
        </w:tc>
        <w:tc>
          <w:tcPr>
            <w:tcW w:w="1555" w:type="dxa"/>
            <w:vAlign w:val="center"/>
          </w:tcPr>
          <w:p w14:paraId="594F0C5A">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255D4593">
      <w:pPr>
        <w:pStyle w:val="56"/>
        <w:numPr>
          <w:ilvl w:val="0"/>
          <w:numId w:val="0"/>
        </w:numPr>
        <w:overflowPunct w:val="0"/>
        <w:spacing w:line="360" w:lineRule="auto"/>
        <w:ind w:right="42" w:rightChars="20" w:firstLine="480" w:firstLineChars="200"/>
        <w:rPr>
          <w:rFonts w:hint="eastAsia"/>
          <w:kern w:val="0"/>
        </w:rPr>
      </w:pPr>
    </w:p>
    <w:p w14:paraId="486C8C5A">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条文说明：</w:t>
      </w:r>
    </w:p>
    <w:p w14:paraId="69B128E2">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轨道交通站点250m半径内建筑面积与城市高强度片区总建筑面积的比值提出要求。根据国家标准《城市轨道交通线网规划标准》GB/T50546-2018第3.0.8条，城市轨道交通线网规划应与城市总体规划用地布局协同、相反馈，实现城市轨道交通建设与沿线用地及地下空间使用功能、开发强度相匹配，促进城市集约节约发展。依据北京市《市域（郊）轨道交通设计规范》（DB11/T1980-2022），在中心区范围内，轨交站点300米服务半径应实现全覆盖。按比例推算，轨交站点250米服务半径内应覆盖至少70%的中心区。</w:t>
      </w:r>
    </w:p>
    <w:p w14:paraId="4C7A5A64">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轨交站点周边开发强度直接关系到土地利用效率与公共交通系统的可达性。在高强度片区，通过提高轨交站点覆盖范围内建筑面积的集中度，有助于促进公共交通导向型发展（TOD），缓解地面车行交通压力，并提升片区整体的空间组织合理性和发展可持续性。</w:t>
      </w:r>
    </w:p>
    <w:p w14:paraId="0CEA8493">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轨交站点位置可来源于城市轨道交通规划图纸，建筑面积数据则可通过规划管理部门提供的规划图纸结合地理信息处理分析获取。</w:t>
      </w:r>
    </w:p>
    <w:p w14:paraId="38B8C05B">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本条的评估方法为：相关部门统计数据、现场核查、数据计算。</w:t>
      </w:r>
    </w:p>
    <w:p w14:paraId="35056D96">
      <w:pPr>
        <w:widowControl/>
        <w:jc w:val="left"/>
        <w:rPr>
          <w:rFonts w:ascii="Times New Roman" w:hAnsi="Times New Roman" w:eastAsia="宋体" w:cs="Times New Roman"/>
          <w:b/>
          <w:kern w:val="44"/>
          <w:sz w:val="32"/>
          <w:szCs w:val="32"/>
          <w:lang w:bidi="zh-CN"/>
        </w:rPr>
      </w:pPr>
      <w:bookmarkStart w:id="36" w:name="_Toc193834327"/>
      <w:bookmarkStart w:id="37" w:name="_Toc195281690"/>
      <w:bookmarkStart w:id="38" w:name="_Hlk126698642"/>
      <w:bookmarkStart w:id="39" w:name="_Toc174313124"/>
      <w:r>
        <w:rPr>
          <w:rFonts w:ascii="Times New Roman" w:hAnsi="Times New Roman" w:eastAsia="宋体" w:cs="Times New Roman"/>
          <w:b/>
          <w:kern w:val="44"/>
          <w:sz w:val="32"/>
          <w:szCs w:val="32"/>
          <w:lang w:bidi="zh-CN"/>
        </w:rPr>
        <w:br w:type="page"/>
      </w:r>
    </w:p>
    <w:p w14:paraId="6A486242">
      <w:pPr>
        <w:keepNext/>
        <w:keepLines/>
        <w:tabs>
          <w:tab w:val="left" w:pos="-376"/>
        </w:tabs>
        <w:overflowPunct w:val="0"/>
        <w:spacing w:before="156" w:beforeLines="50" w:after="156" w:afterLines="50" w:line="360" w:lineRule="auto"/>
        <w:jc w:val="center"/>
        <w:outlineLvl w:val="0"/>
        <w:rPr>
          <w:rFonts w:ascii="Times New Roman" w:hAnsi="Times New Roman" w:eastAsia="宋体" w:cs="Times New Roman"/>
          <w:b/>
          <w:kern w:val="44"/>
          <w:sz w:val="32"/>
          <w:szCs w:val="32"/>
          <w:lang w:bidi="zh-CN"/>
        </w:rPr>
      </w:pPr>
      <w:bookmarkStart w:id="40" w:name="_Toc25847"/>
      <w:r>
        <w:rPr>
          <w:rFonts w:hint="eastAsia" w:ascii="Times New Roman" w:hAnsi="Times New Roman" w:eastAsia="宋体" w:cs="Times New Roman"/>
          <w:b/>
          <w:kern w:val="44"/>
          <w:sz w:val="32"/>
          <w:szCs w:val="32"/>
          <w:lang w:val="en-US" w:bidi="zh-CN"/>
        </w:rPr>
        <w:t>6</w:t>
      </w:r>
      <w:r>
        <w:rPr>
          <w:rFonts w:ascii="Times New Roman" w:hAnsi="Times New Roman" w:eastAsia="宋体" w:cs="Times New Roman"/>
          <w:b/>
          <w:kern w:val="44"/>
          <w:sz w:val="32"/>
          <w:szCs w:val="32"/>
          <w:lang w:bidi="zh-CN"/>
        </w:rPr>
        <w:t>　</w:t>
      </w:r>
      <w:r>
        <w:rPr>
          <w:rFonts w:hint="eastAsia" w:ascii="Times New Roman" w:hAnsi="Times New Roman" w:eastAsia="宋体" w:cs="Times New Roman"/>
          <w:b/>
          <w:kern w:val="44"/>
          <w:sz w:val="32"/>
          <w:szCs w:val="32"/>
          <w:lang w:bidi="zh-CN"/>
        </w:rPr>
        <w:t>交通衔接</w:t>
      </w:r>
      <w:bookmarkEnd w:id="36"/>
      <w:bookmarkEnd w:id="37"/>
      <w:r>
        <w:rPr>
          <w:rFonts w:hint="eastAsia" w:ascii="Times New Roman" w:hAnsi="Times New Roman" w:eastAsia="宋体" w:cs="Times New Roman"/>
          <w:b/>
          <w:kern w:val="44"/>
          <w:sz w:val="32"/>
          <w:szCs w:val="32"/>
          <w:lang w:bidi="zh-CN"/>
        </w:rPr>
        <w:t>效能</w:t>
      </w:r>
      <w:bookmarkEnd w:id="40"/>
    </w:p>
    <w:p w14:paraId="09A0A83C">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41" w:name="_Toc29372"/>
      <w:r>
        <w:rPr>
          <w:rFonts w:hint="eastAsia" w:ascii="Times New Roman" w:hAnsi="Times New Roman" w:eastAsia="宋体" w:cs="Times New Roman"/>
          <w:bCs/>
          <w:kern w:val="0"/>
          <w:sz w:val="28"/>
          <w:szCs w:val="24"/>
          <w:lang w:val="en-US" w:bidi="zh-CN"/>
        </w:rPr>
        <w:t>6</w:t>
      </w:r>
      <w:r>
        <w:rPr>
          <w:rFonts w:hint="eastAsia" w:ascii="Times New Roman" w:hAnsi="Times New Roman" w:eastAsia="宋体" w:cs="Times New Roman"/>
          <w:bCs/>
          <w:kern w:val="0"/>
          <w:sz w:val="28"/>
          <w:szCs w:val="24"/>
          <w:lang w:bidi="zh-CN"/>
        </w:rPr>
        <w:t xml:space="preserve">.1 </w:t>
      </w:r>
      <w:r>
        <w:rPr>
          <w:rFonts w:hint="eastAsia" w:ascii="Times New Roman" w:hAnsi="Times New Roman" w:eastAsia="黑体" w:cs="Times New Roman"/>
          <w:bCs/>
          <w:kern w:val="0"/>
          <w:sz w:val="28"/>
          <w:szCs w:val="24"/>
          <w:lang w:bidi="zh-CN"/>
        </w:rPr>
        <w:t>交通设施适配度</w:t>
      </w:r>
      <w:bookmarkEnd w:id="41"/>
    </w:p>
    <w:p w14:paraId="3F055853">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交通设施适配度指城市高强度片区内公共交通站点需保证一定比例的覆盖率，保证城市高强度片区内公共交通覆盖率的能力。</w:t>
      </w:r>
    </w:p>
    <w:p w14:paraId="011D40CB">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5408" behindDoc="0" locked="0" layoutInCell="1" allowOverlap="1">
                <wp:simplePos x="0" y="0"/>
                <wp:positionH relativeFrom="margin">
                  <wp:posOffset>4738370</wp:posOffset>
                </wp:positionH>
                <wp:positionV relativeFrom="paragraph">
                  <wp:posOffset>302260</wp:posOffset>
                </wp:positionV>
                <wp:extent cx="728980" cy="1404620"/>
                <wp:effectExtent l="0" t="0" r="0" b="6350"/>
                <wp:wrapNone/>
                <wp:docPr id="113363987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28980" cy="1404620"/>
                        </a:xfrm>
                        <a:prstGeom prst="rect">
                          <a:avLst/>
                        </a:prstGeom>
                        <a:solidFill>
                          <a:srgbClr val="FFFFFF"/>
                        </a:solidFill>
                        <a:ln w="9525">
                          <a:noFill/>
                          <a:miter lim="800000"/>
                        </a:ln>
                      </wps:spPr>
                      <wps:txbx>
                        <w:txbxContent>
                          <w:p w14:paraId="5FC0C39D">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1</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73.1pt;margin-top:23.8pt;height:110.6pt;width:57.4pt;mso-position-horizontal-relative:margin;z-index:251665408;mso-width-relative:page;mso-height-relative:margin;mso-height-percent:200;" fillcolor="#FFFFFF" filled="t" stroked="f" coordsize="21600,21600" o:gfxdata="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7y/4bYAAAACgEAAA8AAAAAAAAAAQAgAAAAIgAA&#10;AGRycy9kb3ducmV2LnhtbFBLAQIUABQAAAAIAIdO4kBF3FTJQQIAAFsEAAAOAAAAAAAAAAEAIAAA&#10;ACcBAABkcnMvZTJvRG9jLnhtbFBLBQYAAAAABgAGAFkBAADaBQAAAAA=&#10;">
                <v:fill on="t" focussize="0,0"/>
                <v:stroke on="f" miterlimit="8" joinstyle="miter"/>
                <v:imagedata o:title=""/>
                <o:lock v:ext="edit" aspectratio="f"/>
                <v:textbox style="mso-fit-shape-to-text:t;">
                  <w:txbxContent>
                    <w:p w14:paraId="5FC0C39D">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1</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hint="eastAsia"/>
          <w:kern w:val="0"/>
        </w:rPr>
        <w:t>交通设施适配度按下式计算</w:t>
      </w:r>
      <w:r>
        <w:rPr>
          <w:kern w:val="0"/>
        </w:rPr>
        <w:t>：</w:t>
      </w:r>
    </w:p>
    <w:p w14:paraId="5A4B6EA8">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tc</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u</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z</m:t>
                  </m:r>
                  <m:ctrlPr>
                    <w:rPr>
                      <w:rFonts w:ascii="Cambria Math" w:hAnsi="Cambria Math"/>
                      <w:kern w:val="0"/>
                      <w:sz w:val="21"/>
                      <w:szCs w:val="21"/>
                    </w:rPr>
                  </m:ctrlPr>
                </m:sub>
              </m:sSub>
              <m:ctrlPr>
                <w:rPr>
                  <w:rFonts w:ascii="Cambria Math" w:hAnsi="Cambria Math"/>
                  <w:kern w:val="0"/>
                  <w:sz w:val="21"/>
                  <w:szCs w:val="21"/>
                </w:rPr>
              </m:ctrlPr>
            </m:den>
          </m:f>
          <m:r>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b</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z</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式中：</w:t>
      </w:r>
    </w:p>
    <w:p w14:paraId="1AE104BE">
      <w:pPr>
        <w:pStyle w:val="20"/>
        <w:overflowPunct w:val="0"/>
        <w:spacing w:line="360" w:lineRule="auto"/>
        <w:ind w:right="210"/>
        <w:rPr>
          <w:kern w:val="0"/>
          <w:sz w:val="24"/>
          <w:szCs w:val="24"/>
        </w:rPr>
      </w:pPr>
      <w:r>
        <w:rPr>
          <w:rFonts w:hint="eastAsia"/>
          <w:kern w:val="0"/>
          <w:sz w:val="24"/>
          <w:szCs w:val="24"/>
        </w:rPr>
        <w:t>L</w:t>
      </w:r>
      <w:r>
        <w:rPr>
          <w:rFonts w:hint="eastAsia"/>
          <w:i/>
          <w:iCs/>
          <w:kern w:val="0"/>
          <w:sz w:val="24"/>
          <w:szCs w:val="24"/>
          <w:vertAlign w:val="subscript"/>
        </w:rPr>
        <w:t>tc</w:t>
      </w:r>
      <w:r>
        <w:rPr>
          <w:rFonts w:hint="eastAsia"/>
          <w:kern w:val="0"/>
          <w:sz w:val="24"/>
          <w:szCs w:val="24"/>
        </w:rPr>
        <w:t>——交通设施适配度；</w:t>
      </w:r>
    </w:p>
    <w:p w14:paraId="457FA692">
      <w:pPr>
        <w:pStyle w:val="20"/>
        <w:overflowPunct w:val="0"/>
        <w:spacing w:line="360" w:lineRule="auto"/>
        <w:ind w:right="210"/>
        <w:rPr>
          <w:kern w:val="0"/>
          <w:sz w:val="24"/>
          <w:szCs w:val="24"/>
        </w:rPr>
      </w:pPr>
      <w:r>
        <w:rPr>
          <w:rFonts w:hint="eastAsia"/>
          <w:kern w:val="0"/>
          <w:sz w:val="24"/>
          <w:szCs w:val="24"/>
        </w:rPr>
        <w:t>S</w:t>
      </w:r>
      <w:r>
        <w:rPr>
          <w:rFonts w:hint="eastAsia"/>
          <w:i/>
          <w:iCs/>
          <w:kern w:val="0"/>
          <w:sz w:val="24"/>
          <w:szCs w:val="24"/>
          <w:vertAlign w:val="subscript"/>
        </w:rPr>
        <w:t>z</w:t>
      </w:r>
      <w:r>
        <w:rPr>
          <w:rFonts w:hint="eastAsia"/>
          <w:kern w:val="0"/>
          <w:sz w:val="24"/>
          <w:szCs w:val="24"/>
        </w:rPr>
        <w:t xml:space="preserve">——城市高强度片区总面积（m </w:t>
      </w:r>
      <w:r>
        <w:rPr>
          <w:rFonts w:hint="eastAsia"/>
          <w:kern w:val="0"/>
          <w:sz w:val="24"/>
          <w:szCs w:val="24"/>
          <w:vertAlign w:val="superscript"/>
        </w:rPr>
        <w:t xml:space="preserve">2 </w:t>
      </w:r>
      <w:r>
        <w:rPr>
          <w:rFonts w:hint="eastAsia"/>
          <w:kern w:val="0"/>
          <w:sz w:val="24"/>
          <w:szCs w:val="24"/>
        </w:rPr>
        <w:t>）；</w:t>
      </w:r>
    </w:p>
    <w:p w14:paraId="4D25F5B2">
      <w:pPr>
        <w:pStyle w:val="20"/>
        <w:overflowPunct w:val="0"/>
        <w:spacing w:line="360" w:lineRule="auto"/>
        <w:ind w:right="210"/>
        <w:rPr>
          <w:kern w:val="0"/>
          <w:sz w:val="24"/>
          <w:szCs w:val="24"/>
        </w:rPr>
      </w:pPr>
      <w:r>
        <w:rPr>
          <w:rFonts w:hint="eastAsia"/>
          <w:kern w:val="0"/>
          <w:sz w:val="24"/>
          <w:szCs w:val="24"/>
        </w:rPr>
        <w:t>S</w:t>
      </w:r>
      <w:r>
        <w:rPr>
          <w:rFonts w:hint="eastAsia"/>
          <w:i/>
          <w:iCs/>
          <w:kern w:val="0"/>
          <w:sz w:val="24"/>
          <w:szCs w:val="24"/>
          <w:vertAlign w:val="subscript"/>
        </w:rPr>
        <w:t>u</w:t>
      </w:r>
      <w:r>
        <w:rPr>
          <w:rFonts w:hint="eastAsia"/>
          <w:kern w:val="0"/>
          <w:sz w:val="24"/>
          <w:szCs w:val="24"/>
        </w:rPr>
        <w:t xml:space="preserve">——轨道交通站点800m半径范围内面积（m </w:t>
      </w:r>
      <w:r>
        <w:rPr>
          <w:rFonts w:hint="eastAsia"/>
          <w:kern w:val="0"/>
          <w:sz w:val="24"/>
          <w:szCs w:val="24"/>
          <w:vertAlign w:val="superscript"/>
        </w:rPr>
        <w:t xml:space="preserve">2 </w:t>
      </w:r>
      <w:r>
        <w:rPr>
          <w:rFonts w:hint="eastAsia"/>
          <w:kern w:val="0"/>
          <w:sz w:val="24"/>
          <w:szCs w:val="24"/>
        </w:rPr>
        <w:t>）；</w:t>
      </w:r>
    </w:p>
    <w:p w14:paraId="444F9285">
      <w:pPr>
        <w:pStyle w:val="20"/>
        <w:overflowPunct w:val="0"/>
        <w:spacing w:line="360" w:lineRule="auto"/>
        <w:ind w:right="210"/>
        <w:rPr>
          <w:kern w:val="0"/>
          <w:sz w:val="24"/>
          <w:szCs w:val="24"/>
        </w:rPr>
      </w:pPr>
      <w:r>
        <w:rPr>
          <w:rFonts w:hint="eastAsia"/>
          <w:kern w:val="0"/>
          <w:sz w:val="24"/>
          <w:szCs w:val="24"/>
        </w:rPr>
        <w:t>S</w:t>
      </w:r>
      <w:r>
        <w:rPr>
          <w:rFonts w:hint="eastAsia"/>
          <w:i/>
          <w:iCs/>
          <w:kern w:val="0"/>
          <w:sz w:val="24"/>
          <w:szCs w:val="24"/>
          <w:vertAlign w:val="subscript"/>
        </w:rPr>
        <w:t>b</w:t>
      </w:r>
      <w:r>
        <w:rPr>
          <w:rFonts w:hint="eastAsia"/>
          <w:kern w:val="0"/>
          <w:sz w:val="24"/>
          <w:szCs w:val="24"/>
        </w:rPr>
        <w:t xml:space="preserve">——公交交通站点300m半径范围内面积（m </w:t>
      </w:r>
      <w:r>
        <w:rPr>
          <w:rFonts w:hint="eastAsia"/>
          <w:kern w:val="0"/>
          <w:sz w:val="24"/>
          <w:szCs w:val="24"/>
          <w:vertAlign w:val="superscript"/>
        </w:rPr>
        <w:t xml:space="preserve">2 </w:t>
      </w:r>
      <w:r>
        <w:rPr>
          <w:rFonts w:hint="eastAsia"/>
          <w:kern w:val="0"/>
          <w:sz w:val="24"/>
          <w:szCs w:val="24"/>
        </w:rPr>
        <w:t>）。</w:t>
      </w:r>
    </w:p>
    <w:p w14:paraId="6E9D64A4">
      <w:pPr>
        <w:pStyle w:val="56"/>
        <w:numPr>
          <w:ilvl w:val="0"/>
          <w:numId w:val="0"/>
        </w:numPr>
        <w:overflowPunct w:val="0"/>
        <w:spacing w:line="360" w:lineRule="auto"/>
        <w:ind w:right="84" w:rightChars="40"/>
        <w:jc w:val="both"/>
        <w:rPr>
          <w:rFonts w:hint="eastAsia"/>
          <w:kern w:val="0"/>
        </w:rPr>
      </w:pPr>
    </w:p>
    <w:p w14:paraId="60140EEE">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6</w:t>
      </w:r>
      <w:r>
        <w:rPr>
          <w:rFonts w:ascii="Times New Roman" w:hAnsi="Times New Roman"/>
          <w:kern w:val="0"/>
        </w:rPr>
        <w:t>.</w:t>
      </w:r>
      <w:r>
        <w:rPr>
          <w:rFonts w:hint="eastAsia" w:ascii="Times New Roman" w:hAnsi="Times New Roman"/>
          <w:kern w:val="0"/>
        </w:rPr>
        <w:t>1</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5424792A">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6</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1</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宋体" w:hAnsi="宋体" w:eastAsia="宋体"/>
          <w:b/>
          <w:bCs/>
          <w:kern w:val="0"/>
          <w:szCs w:val="21"/>
          <w:lang w:bidi="zh-CN"/>
        </w:rPr>
        <w:t>交通设施适配度</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5E426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16492C62">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10386334">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45A93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555B790">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tc</m:t>
                  </m:r>
                  <m:ctrlPr>
                    <w:rPr>
                      <w:rFonts w:ascii="Cambria Math" w:hAnsi="Cambria Math"/>
                      <w:kern w:val="0"/>
                      <w:szCs w:val="21"/>
                    </w:rPr>
                  </m:ctrlPr>
                </m:sub>
              </m:sSub>
            </m:oMath>
            <w:r>
              <w:rPr>
                <w:rFonts w:hint="eastAsia" w:ascii="宋体" w:hAnsi="宋体" w:eastAsia="宋体" w:cs="Times New Roman"/>
                <w:bCs/>
                <w:kern w:val="0"/>
                <w:szCs w:val="21"/>
                <w:lang w:val="zh-CN" w:bidi="zh-CN"/>
              </w:rPr>
              <w:t>=2</w:t>
            </w:r>
          </w:p>
        </w:tc>
        <w:tc>
          <w:tcPr>
            <w:tcW w:w="1555" w:type="dxa"/>
            <w:vAlign w:val="center"/>
          </w:tcPr>
          <w:p w14:paraId="346FF225">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72454C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08EF0A61">
            <w:pPr>
              <w:overflowPunct w:val="0"/>
              <w:spacing w:line="360" w:lineRule="auto"/>
              <w:jc w:val="center"/>
              <w:rPr>
                <w:rFonts w:hint="eastAsia" w:ascii="宋体" w:hAnsi="宋体" w:eastAsia="宋体" w:cs="Times New Roman"/>
                <w:bCs/>
                <w:kern w:val="0"/>
                <w:szCs w:val="21"/>
                <w:lang w:val="zh-CN" w:bidi="zh-CN"/>
              </w:rPr>
            </w:pPr>
            <w:r>
              <w:rPr>
                <w:rFonts w:hint="eastAsia" w:ascii="宋体" w:hAnsi="宋体" w:eastAsia="宋体" w:cs="Times New Roman"/>
                <w:bCs/>
                <w:kern w:val="0"/>
                <w:szCs w:val="21"/>
                <w:lang w:val="zh-CN" w:bidi="zh-CN"/>
              </w:rPr>
              <w:t>1.8</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tc</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2</w:t>
            </w:r>
          </w:p>
        </w:tc>
        <w:tc>
          <w:tcPr>
            <w:tcW w:w="1555" w:type="dxa"/>
            <w:vAlign w:val="center"/>
          </w:tcPr>
          <w:p w14:paraId="556DD9B1">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31F025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67A0CEE2">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tc</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1.8</w:t>
            </w:r>
          </w:p>
        </w:tc>
        <w:tc>
          <w:tcPr>
            <w:tcW w:w="1555" w:type="dxa"/>
            <w:vAlign w:val="center"/>
          </w:tcPr>
          <w:p w14:paraId="1F2D8FBE">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5BA1A05F">
      <w:pPr>
        <w:pStyle w:val="58"/>
        <w:numPr>
          <w:ilvl w:val="0"/>
          <w:numId w:val="0"/>
        </w:numPr>
        <w:overflowPunct w:val="0"/>
        <w:spacing w:line="360" w:lineRule="auto"/>
        <w:ind w:firstLine="480" w:firstLineChars="200"/>
        <w:jc w:val="both"/>
        <w:rPr>
          <w:kern w:val="0"/>
          <w:szCs w:val="24"/>
        </w:rPr>
      </w:pPr>
    </w:p>
    <w:p w14:paraId="4E8C2AE7">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条文说明：</w:t>
      </w:r>
    </w:p>
    <w:p w14:paraId="36F6CDE1">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公共交通设施在高强度片区的适配度提出要求。根据国家标准《城市综合交通体系规划标准》GB/T51328-2018，轨道交通的站点服务区域半径设定为800m；公交汽电车的车站服务区域半径设定为300m。轨道交通和公共汽电车交通站点服务区实现高强度片区全覆盖率时，其各自适配度的值均为1，交通设施适配度为2，当二者覆盖率各为90%时，交通设施适配度为1.8。</w:t>
      </w:r>
    </w:p>
    <w:p w14:paraId="35450E2D">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合理的交通设施配置是促进土地利用与公共交通系统协调适配的基础，使公共交通系统能够高效、便捷、绿色支撑高强度片区的高密度人流与多样化功能，提升土地利用效益，推动城市紧凑发展。</w:t>
      </w:r>
    </w:p>
    <w:p w14:paraId="2A3A2EBA">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本条的评估方法为：实地调研、数据统计。</w:t>
      </w:r>
    </w:p>
    <w:p w14:paraId="353D9B3B">
      <w:pPr>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br w:type="page"/>
      </w:r>
    </w:p>
    <w:p w14:paraId="64AD9B9A">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42" w:name="_Toc12274"/>
      <w:r>
        <w:rPr>
          <w:rFonts w:hint="eastAsia" w:ascii="Times New Roman" w:hAnsi="Times New Roman" w:eastAsia="宋体" w:cs="Times New Roman"/>
          <w:bCs/>
          <w:kern w:val="0"/>
          <w:sz w:val="28"/>
          <w:szCs w:val="24"/>
          <w:lang w:val="en-US" w:bidi="zh-CN"/>
        </w:rPr>
        <w:t>6</w:t>
      </w:r>
      <w:r>
        <w:rPr>
          <w:rFonts w:hint="eastAsia" w:ascii="Times New Roman" w:hAnsi="Times New Roman" w:eastAsia="宋体" w:cs="Times New Roman"/>
          <w:bCs/>
          <w:kern w:val="0"/>
          <w:sz w:val="28"/>
          <w:szCs w:val="24"/>
          <w:lang w:bidi="zh-CN"/>
        </w:rPr>
        <w:t xml:space="preserve">.2 </w:t>
      </w:r>
      <w:r>
        <w:rPr>
          <w:rFonts w:hint="eastAsia" w:ascii="Times New Roman" w:hAnsi="Times New Roman" w:eastAsia="黑体" w:cs="Times New Roman"/>
          <w:bCs/>
          <w:kern w:val="0"/>
          <w:sz w:val="28"/>
          <w:szCs w:val="24"/>
          <w:lang w:bidi="zh-CN"/>
        </w:rPr>
        <w:t>公交换乘便捷度</w:t>
      </w:r>
      <w:bookmarkEnd w:id="42"/>
    </w:p>
    <w:p w14:paraId="5B68A51A">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公交换乘便捷度指城市高强度片区内各类公共交通的换乘时间应在一定区间内，确保公共交通出行的连续性的能力，既包括轨道交通与公交巴士的换乘，也包括轨道交通内部的换乘。</w:t>
      </w:r>
    </w:p>
    <w:p w14:paraId="29027D0C">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6432" behindDoc="0" locked="0" layoutInCell="1" allowOverlap="1">
                <wp:simplePos x="0" y="0"/>
                <wp:positionH relativeFrom="margin">
                  <wp:align>right</wp:align>
                </wp:positionH>
                <wp:positionV relativeFrom="paragraph">
                  <wp:posOffset>337185</wp:posOffset>
                </wp:positionV>
                <wp:extent cx="742950" cy="1404620"/>
                <wp:effectExtent l="0" t="0" r="0" b="6350"/>
                <wp:wrapNone/>
                <wp:docPr id="32972692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43267" cy="1404620"/>
                        </a:xfrm>
                        <a:prstGeom prst="rect">
                          <a:avLst/>
                        </a:prstGeom>
                        <a:solidFill>
                          <a:srgbClr val="FFFFFF"/>
                        </a:solidFill>
                        <a:ln w="9525">
                          <a:noFill/>
                          <a:miter lim="800000"/>
                        </a:ln>
                      </wps:spPr>
                      <wps:txbx>
                        <w:txbxContent>
                          <w:p w14:paraId="61B2F233">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hint="eastAsia" w:ascii="Times New Roman" w:hAnsi="Times New Roman" w:cs="Times New Roman"/>
                                <w:szCs w:val="24"/>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26.55pt;height:110.6pt;width:58.5pt;mso-position-horizontal:right;mso-position-horizontal-relative:margin;z-index:251666432;mso-width-relative:page;mso-height-relative:margin;mso-height-percent:200;" fillcolor="#FFFFFF" filled="t" stroked="f" coordsize="21600,21600" o:gfxdata="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&#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XMzGrWAAAABwEAAA8AAAAAAAAAAQAgAAAAIgAAAGRy&#10;cy9kb3ducmV2LnhtbFBLAQIUABQAAAAIAIdO4kCRMlEHQAIAAFoEAAAOAAAAAAAAAAEAIAAAACUB&#10;AABkcnMvZTJvRG9jLnhtbFBLBQYAAAAABgAGAFkBAADXBQAAAAA=&#10;">
                <v:fill on="t" focussize="0,0"/>
                <v:stroke on="f" miterlimit="8" joinstyle="miter"/>
                <v:imagedata o:title=""/>
                <o:lock v:ext="edit" aspectratio="f"/>
                <v:textbox style="mso-fit-shape-to-text:t;">
                  <w:txbxContent>
                    <w:p w14:paraId="61B2F233">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hint="eastAsia" w:ascii="Times New Roman" w:hAnsi="Times New Roman" w:cs="Times New Roman"/>
                          <w:szCs w:val="24"/>
                        </w:rPr>
                        <w:t>.2</w:t>
                      </w:r>
                      <w:r>
                        <w:rPr>
                          <w:rFonts w:ascii="Times New Roman" w:hAnsi="Times New Roman" w:cs="Times New Roman"/>
                          <w:szCs w:val="24"/>
                        </w:rPr>
                        <w:t>）</w:t>
                      </w:r>
                    </w:p>
                  </w:txbxContent>
                </v:textbox>
              </v:shape>
            </w:pict>
          </mc:Fallback>
        </mc:AlternateContent>
      </w:r>
      <w:r>
        <w:rPr>
          <w:rFonts w:hint="eastAsia"/>
          <w:kern w:val="0"/>
        </w:rPr>
        <w:t>公交换乘便捷度按下式计算</w:t>
      </w:r>
      <w:r>
        <w:rPr>
          <w:kern w:val="0"/>
        </w:rPr>
        <w:t>：</w:t>
      </w:r>
    </w:p>
    <w:p w14:paraId="5F840C20">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tv</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Sup>
                <m:sSubSupPr>
                  <m:ctrlPr>
                    <w:rPr>
                      <w:rFonts w:ascii="Cambria Math" w:hAnsi="Cambria Math"/>
                      <w:i/>
                      <w:iCs/>
                      <w:kern w:val="0"/>
                      <w:szCs w:val="18"/>
                    </w:rPr>
                  </m:ctrlPr>
                </m:sSubSupPr>
                <m:e>
                  <m:r>
                    <m:rPr/>
                    <w:rPr>
                      <w:rFonts w:ascii="Cambria Math" w:hAnsi="Cambria Math"/>
                      <w:kern w:val="0"/>
                      <w:szCs w:val="18"/>
                    </w:rPr>
                    <m:t>Σ</m:t>
                  </m:r>
                  <m:ctrlPr>
                    <w:rPr>
                      <w:rFonts w:ascii="Cambria Math" w:hAnsi="Cambria Math"/>
                      <w:i/>
                      <w:iCs/>
                      <w:kern w:val="0"/>
                      <w:szCs w:val="18"/>
                    </w:rPr>
                  </m:ctrlPr>
                </m:e>
                <m:sub>
                  <m:r>
                    <m:rPr/>
                    <w:rPr>
                      <w:rFonts w:ascii="Cambria Math" w:hAnsi="Cambria Math"/>
                      <w:kern w:val="0"/>
                      <w:szCs w:val="18"/>
                    </w:rPr>
                    <m:t>ⅈ=1</m:t>
                  </m:r>
                  <m:ctrlPr>
                    <w:rPr>
                      <w:rFonts w:ascii="Cambria Math" w:hAnsi="Cambria Math"/>
                      <w:i/>
                      <w:iCs/>
                      <w:kern w:val="0"/>
                      <w:szCs w:val="18"/>
                    </w:rPr>
                  </m:ctrlPr>
                </m:sub>
                <m:sup>
                  <m:r>
                    <m:rPr/>
                    <w:rPr>
                      <w:rFonts w:ascii="Cambria Math" w:hAnsi="Cambria Math"/>
                      <w:kern w:val="0"/>
                      <w:szCs w:val="18"/>
                    </w:rPr>
                    <m:t>n</m:t>
                  </m:r>
                  <m:ctrlPr>
                    <w:rPr>
                      <w:rFonts w:ascii="Cambria Math" w:hAnsi="Cambria Math"/>
                      <w:i/>
                      <w:iCs/>
                      <w:kern w:val="0"/>
                      <w:szCs w:val="18"/>
                    </w:rPr>
                  </m:ctrlPr>
                </m:sup>
              </m:sSubSup>
              <m:sSub>
                <m:sSubPr>
                  <m:ctrlPr>
                    <w:rPr>
                      <w:rFonts w:ascii="Cambria Math" w:hAnsi="Cambria Math"/>
                      <w:kern w:val="0"/>
                      <w:sz w:val="21"/>
                      <w:szCs w:val="21"/>
                    </w:rPr>
                  </m:ctrlPr>
                </m:sSubPr>
                <m:e>
                  <m:r>
                    <m:rPr>
                      <m:sty m:val="p"/>
                    </m:rPr>
                    <w:rPr>
                      <w:rFonts w:ascii="Cambria Math" w:hAnsi="Cambria Math"/>
                      <w:kern w:val="0"/>
                      <w:sz w:val="21"/>
                      <w:szCs w:val="21"/>
                    </w:rPr>
                    <m:t>T</m:t>
                  </m:r>
                  <m:ctrlPr>
                    <w:rPr>
                      <w:rFonts w:ascii="Cambria Math" w:hAnsi="Cambria Math"/>
                      <w:kern w:val="0"/>
                      <w:sz w:val="21"/>
                      <w:szCs w:val="21"/>
                    </w:rPr>
                  </m:ctrlPr>
                </m:e>
                <m:sub>
                  <m:r>
                    <m:rPr/>
                    <w:rPr>
                      <w:rFonts w:ascii="Cambria Math" w:hAnsi="Cambria Math"/>
                      <w:kern w:val="0"/>
                      <w:sz w:val="21"/>
                      <w:szCs w:val="21"/>
                    </w:rPr>
                    <m:t>vi</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N</m:t>
                  </m:r>
                  <m:ctrlPr>
                    <w:rPr>
                      <w:rFonts w:ascii="Cambria Math" w:hAnsi="Cambria Math"/>
                      <w:kern w:val="0"/>
                      <w:sz w:val="21"/>
                      <w:szCs w:val="21"/>
                    </w:rPr>
                  </m:ctrlPr>
                </m:e>
                <m:sub>
                  <m:r>
                    <m:rPr/>
                    <w:rPr>
                      <w:rFonts w:ascii="Cambria Math" w:hAnsi="Cambria Math"/>
                      <w:kern w:val="0"/>
                      <w:sz w:val="21"/>
                      <w:szCs w:val="21"/>
                    </w:rPr>
                    <m:t>b</m:t>
                  </m:r>
                  <m:ctrlPr>
                    <w:rPr>
                      <w:rFonts w:ascii="Cambria Math" w:hAnsi="Cambria Math"/>
                      <w:kern w:val="0"/>
                      <w:sz w:val="21"/>
                      <w:szCs w:val="21"/>
                    </w:rPr>
                  </m:ctrlPr>
                </m:sub>
              </m:sSub>
              <m:ctrlPr>
                <w:rPr>
                  <w:rFonts w:ascii="Cambria Math" w:hAnsi="Cambria Math"/>
                  <w:kern w:val="0"/>
                  <w:sz w:val="21"/>
                  <w:szCs w:val="21"/>
                </w:rPr>
              </m:ctrlPr>
            </m:den>
          </m:f>
          <m:r>
            <m:rPr/>
            <w:rPr>
              <w:rFonts w:ascii="Cambria Math" w:hAnsi="Cambria Math"/>
              <w:kern w:val="0"/>
              <w:sz w:val="21"/>
              <w:szCs w:val="21"/>
            </w:rPr>
            <m:t>+</m:t>
          </m:r>
          <m:f>
            <m:fPr>
              <m:ctrlPr>
                <w:rPr>
                  <w:rFonts w:ascii="Cambria Math" w:hAnsi="Cambria Math"/>
                  <w:kern w:val="0"/>
                  <w:sz w:val="21"/>
                  <w:szCs w:val="21"/>
                </w:rPr>
              </m:ctrlPr>
            </m:fPr>
            <m:num>
              <m:sSubSup>
                <m:sSubSupPr>
                  <m:ctrlPr>
                    <w:rPr>
                      <w:rFonts w:ascii="Cambria Math" w:hAnsi="Cambria Math"/>
                      <w:i/>
                      <w:iCs/>
                      <w:kern w:val="0"/>
                      <w:szCs w:val="18"/>
                    </w:rPr>
                  </m:ctrlPr>
                </m:sSubSupPr>
                <m:e>
                  <m:r>
                    <m:rPr/>
                    <w:rPr>
                      <w:rFonts w:ascii="Cambria Math" w:hAnsi="Cambria Math"/>
                      <w:kern w:val="0"/>
                      <w:szCs w:val="18"/>
                    </w:rPr>
                    <m:t>Σ</m:t>
                  </m:r>
                  <m:ctrlPr>
                    <w:rPr>
                      <w:rFonts w:ascii="Cambria Math" w:hAnsi="Cambria Math"/>
                      <w:i/>
                      <w:iCs/>
                      <w:kern w:val="0"/>
                      <w:szCs w:val="18"/>
                    </w:rPr>
                  </m:ctrlPr>
                </m:e>
                <m:sub>
                  <m:r>
                    <m:rPr/>
                    <w:rPr>
                      <w:rFonts w:ascii="Cambria Math" w:hAnsi="Cambria Math"/>
                      <w:kern w:val="0"/>
                      <w:szCs w:val="18"/>
                    </w:rPr>
                    <m:t>ⅈ=1</m:t>
                  </m:r>
                  <m:ctrlPr>
                    <w:rPr>
                      <w:rFonts w:ascii="Cambria Math" w:hAnsi="Cambria Math"/>
                      <w:i/>
                      <w:iCs/>
                      <w:kern w:val="0"/>
                      <w:szCs w:val="18"/>
                    </w:rPr>
                  </m:ctrlPr>
                </m:sub>
                <m:sup>
                  <m:r>
                    <m:rPr/>
                    <w:rPr>
                      <w:rFonts w:ascii="Cambria Math" w:hAnsi="Cambria Math"/>
                      <w:kern w:val="0"/>
                      <w:szCs w:val="18"/>
                    </w:rPr>
                    <m:t>n</m:t>
                  </m:r>
                  <m:ctrlPr>
                    <w:rPr>
                      <w:rFonts w:ascii="Cambria Math" w:hAnsi="Cambria Math"/>
                      <w:i/>
                      <w:iCs/>
                      <w:kern w:val="0"/>
                      <w:szCs w:val="18"/>
                    </w:rPr>
                  </m:ctrlPr>
                </m:sup>
              </m:sSubSup>
              <m:sSub>
                <m:sSubPr>
                  <m:ctrlPr>
                    <w:rPr>
                      <w:rFonts w:ascii="Cambria Math" w:hAnsi="Cambria Math"/>
                      <w:kern w:val="0"/>
                      <w:sz w:val="21"/>
                      <w:szCs w:val="21"/>
                    </w:rPr>
                  </m:ctrlPr>
                </m:sSubPr>
                <m:e>
                  <m:r>
                    <m:rPr>
                      <m:sty m:val="p"/>
                    </m:rPr>
                    <w:rPr>
                      <w:rFonts w:ascii="Cambria Math" w:hAnsi="Cambria Math"/>
                      <w:kern w:val="0"/>
                      <w:sz w:val="21"/>
                      <w:szCs w:val="21"/>
                    </w:rPr>
                    <m:t>T</m:t>
                  </m:r>
                  <m:ctrlPr>
                    <w:rPr>
                      <w:rFonts w:ascii="Cambria Math" w:hAnsi="Cambria Math"/>
                      <w:kern w:val="0"/>
                      <w:sz w:val="21"/>
                      <w:szCs w:val="21"/>
                    </w:rPr>
                  </m:ctrlPr>
                </m:e>
                <m:sub>
                  <m:r>
                    <m:rPr/>
                    <w:rPr>
                      <w:rFonts w:ascii="Cambria Math" w:hAnsi="Cambria Math"/>
                      <w:kern w:val="0"/>
                      <w:sz w:val="21"/>
                      <w:szCs w:val="21"/>
                    </w:rPr>
                    <m:t>hi</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N</m:t>
                  </m:r>
                  <m:ctrlPr>
                    <w:rPr>
                      <w:rFonts w:ascii="Cambria Math" w:hAnsi="Cambria Math"/>
                      <w:kern w:val="0"/>
                      <w:sz w:val="21"/>
                      <w:szCs w:val="21"/>
                    </w:rPr>
                  </m:ctrlPr>
                </m:e>
                <m:sub>
                  <m:r>
                    <m:rPr/>
                    <w:rPr>
                      <w:rFonts w:ascii="Cambria Math" w:hAnsi="Cambria Math"/>
                      <w:kern w:val="0"/>
                      <w:sz w:val="21"/>
                      <w:szCs w:val="21"/>
                    </w:rPr>
                    <m:t>b</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 xml:space="preserve"> 式中：</w:t>
      </w:r>
    </w:p>
    <w:p w14:paraId="67D20E80">
      <w:pPr>
        <w:pStyle w:val="20"/>
        <w:overflowPunct w:val="0"/>
        <w:spacing w:line="360" w:lineRule="auto"/>
        <w:ind w:right="210"/>
        <w:rPr>
          <w:kern w:val="0"/>
          <w:sz w:val="24"/>
          <w:szCs w:val="24"/>
        </w:rPr>
      </w:pPr>
      <w:r>
        <w:rPr>
          <w:rFonts w:hint="eastAsia"/>
          <w:kern w:val="0"/>
          <w:sz w:val="24"/>
          <w:szCs w:val="24"/>
        </w:rPr>
        <w:t>L</w:t>
      </w:r>
      <w:r>
        <w:rPr>
          <w:rFonts w:hint="eastAsia"/>
          <w:i/>
          <w:iCs/>
          <w:kern w:val="0"/>
          <w:sz w:val="24"/>
          <w:szCs w:val="24"/>
          <w:vertAlign w:val="subscript"/>
        </w:rPr>
        <w:t>tv</w:t>
      </w:r>
      <w:r>
        <w:rPr>
          <w:rFonts w:hint="eastAsia"/>
          <w:kern w:val="0"/>
          <w:sz w:val="24"/>
          <w:szCs w:val="24"/>
        </w:rPr>
        <w:t>——公交换乘便捷度（min）；</w:t>
      </w:r>
    </w:p>
    <w:p w14:paraId="00832D67">
      <w:pPr>
        <w:pStyle w:val="20"/>
        <w:overflowPunct w:val="0"/>
        <w:spacing w:line="360" w:lineRule="auto"/>
        <w:ind w:right="210"/>
        <w:rPr>
          <w:kern w:val="0"/>
          <w:sz w:val="24"/>
          <w:szCs w:val="24"/>
        </w:rPr>
      </w:pPr>
      <w:r>
        <w:rPr>
          <w:rFonts w:hint="eastAsia"/>
          <w:kern w:val="0"/>
          <w:sz w:val="24"/>
          <w:szCs w:val="24"/>
        </w:rPr>
        <w:t>N</w:t>
      </w:r>
      <w:r>
        <w:rPr>
          <w:rFonts w:hint="eastAsia"/>
          <w:kern w:val="0"/>
          <w:sz w:val="24"/>
          <w:szCs w:val="24"/>
          <w:vertAlign w:val="subscript"/>
        </w:rPr>
        <w:t>b</w:t>
      </w:r>
      <w:r>
        <w:rPr>
          <w:rFonts w:hint="eastAsia"/>
          <w:kern w:val="0"/>
          <w:sz w:val="24"/>
          <w:szCs w:val="24"/>
        </w:rPr>
        <w:t>——轨道交通站点周边50m范围内公交巴士站点的数量；</w:t>
      </w:r>
    </w:p>
    <w:p w14:paraId="43718748">
      <w:pPr>
        <w:pStyle w:val="20"/>
        <w:overflowPunct w:val="0"/>
        <w:spacing w:line="360" w:lineRule="auto"/>
        <w:ind w:right="210"/>
        <w:rPr>
          <w:kern w:val="0"/>
          <w:sz w:val="24"/>
          <w:szCs w:val="24"/>
        </w:rPr>
      </w:pPr>
      <w:r>
        <w:rPr>
          <w:rFonts w:hint="eastAsia"/>
          <w:kern w:val="0"/>
          <w:sz w:val="24"/>
          <w:szCs w:val="24"/>
        </w:rPr>
        <w:t>T</w:t>
      </w:r>
      <w:r>
        <w:rPr>
          <w:rFonts w:hint="eastAsia"/>
          <w:kern w:val="0"/>
          <w:sz w:val="24"/>
          <w:szCs w:val="24"/>
          <w:vertAlign w:val="subscript"/>
        </w:rPr>
        <w:t>vi</w:t>
      </w:r>
      <w:r>
        <w:rPr>
          <w:rFonts w:hint="eastAsia"/>
          <w:kern w:val="0"/>
          <w:sz w:val="24"/>
          <w:szCs w:val="24"/>
        </w:rPr>
        <w:t>——第i次换乘起始站点到换乘目的站点的垂直换乘时间（min）；</w:t>
      </w:r>
    </w:p>
    <w:p w14:paraId="755FBE34">
      <w:pPr>
        <w:pStyle w:val="20"/>
        <w:overflowPunct w:val="0"/>
        <w:spacing w:line="360" w:lineRule="auto"/>
        <w:ind w:right="210"/>
        <w:rPr>
          <w:kern w:val="0"/>
          <w:sz w:val="24"/>
          <w:szCs w:val="24"/>
        </w:rPr>
      </w:pPr>
      <w:r>
        <w:rPr>
          <w:rFonts w:hint="eastAsia"/>
          <w:kern w:val="0"/>
          <w:sz w:val="24"/>
          <w:szCs w:val="24"/>
        </w:rPr>
        <w:t>T</w:t>
      </w:r>
      <w:r>
        <w:rPr>
          <w:rFonts w:hint="eastAsia"/>
          <w:kern w:val="0"/>
          <w:sz w:val="24"/>
          <w:szCs w:val="24"/>
          <w:vertAlign w:val="subscript"/>
        </w:rPr>
        <w:t>hi</w:t>
      </w:r>
      <w:r>
        <w:rPr>
          <w:rFonts w:hint="eastAsia"/>
          <w:kern w:val="0"/>
          <w:sz w:val="24"/>
          <w:szCs w:val="24"/>
        </w:rPr>
        <w:t>——第i次换乘起始站点到换乘目的站点的水平换乘时间（min）。</w:t>
      </w:r>
    </w:p>
    <w:p w14:paraId="18755549">
      <w:pPr>
        <w:pStyle w:val="56"/>
        <w:numPr>
          <w:ilvl w:val="0"/>
          <w:numId w:val="0"/>
        </w:numPr>
        <w:overflowPunct w:val="0"/>
        <w:spacing w:line="360" w:lineRule="auto"/>
        <w:ind w:right="84" w:rightChars="40"/>
        <w:jc w:val="both"/>
        <w:rPr>
          <w:rFonts w:hint="eastAsia"/>
          <w:kern w:val="0"/>
        </w:rPr>
      </w:pPr>
    </w:p>
    <w:p w14:paraId="27AD9A1D">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6</w:t>
      </w:r>
      <w:r>
        <w:rPr>
          <w:rFonts w:ascii="Times New Roman" w:hAnsi="Times New Roman"/>
          <w:kern w:val="0"/>
        </w:rPr>
        <w:t>.</w:t>
      </w:r>
      <w:r>
        <w:rPr>
          <w:rFonts w:hint="eastAsia" w:ascii="Times New Roman" w:hAnsi="Times New Roman"/>
          <w:kern w:val="0"/>
        </w:rPr>
        <w:t>2</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21BFCE2D">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6</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2</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宋体" w:hAnsi="宋体" w:eastAsia="宋体"/>
          <w:b/>
          <w:bCs/>
          <w:kern w:val="0"/>
          <w:szCs w:val="21"/>
        </w:rPr>
        <w:t>公交换乘便捷度</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0EC0B8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5655584E">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23299EE0">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0759E6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2726755">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tv</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5</w:t>
            </w:r>
            <w:r>
              <w:rPr>
                <w:rFonts w:hint="eastAsia" w:ascii="Times New Roman" w:hAnsi="Times New Roman" w:eastAsia="宋体" w:cs="Times New Roman"/>
                <w:kern w:val="0"/>
                <w:sz w:val="24"/>
                <w:szCs w:val="24"/>
              </w:rPr>
              <w:t>min</w:t>
            </w:r>
          </w:p>
        </w:tc>
        <w:tc>
          <w:tcPr>
            <w:tcW w:w="1555" w:type="dxa"/>
            <w:vAlign w:val="center"/>
          </w:tcPr>
          <w:p w14:paraId="49F2EC23">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237773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EF69DD5">
            <w:pPr>
              <w:overflowPunct w:val="0"/>
              <w:spacing w:line="360" w:lineRule="auto"/>
              <w:jc w:val="center"/>
              <w:rPr>
                <w:rFonts w:hint="eastAsia" w:ascii="宋体" w:hAnsi="宋体" w:eastAsia="宋体" w:cs="Times New Roman"/>
                <w:bCs/>
                <w:kern w:val="0"/>
                <w:szCs w:val="21"/>
                <w:lang w:bidi="zh-CN"/>
              </w:rPr>
            </w:pPr>
            <w:r>
              <w:rPr>
                <w:rFonts w:hint="eastAsia" w:ascii="宋体" w:hAnsi="宋体" w:eastAsia="宋体" w:cs="Times New Roman"/>
                <w:bCs/>
                <w:kern w:val="0"/>
                <w:szCs w:val="21"/>
                <w:lang w:bidi="zh-CN"/>
              </w:rPr>
              <w:t>5</w:t>
            </w:r>
            <w:r>
              <w:rPr>
                <w:rFonts w:hint="eastAsia" w:ascii="Times New Roman" w:hAnsi="Times New Roman" w:eastAsia="宋体" w:cs="Times New Roman"/>
                <w:kern w:val="0"/>
                <w:sz w:val="24"/>
                <w:szCs w:val="24"/>
              </w:rPr>
              <w:t xml:space="preserve"> min</w:t>
            </w:r>
            <w:r>
              <w:rPr>
                <w:rFonts w:hint="eastAsia" w:ascii="宋体" w:hAnsi="宋体" w:eastAsia="宋体" w:cs="Times New Roman"/>
                <w:bCs/>
                <w:kern w:val="0"/>
                <w:szCs w:val="21"/>
                <w:lang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tv</m:t>
                  </m:r>
                  <m:ctrlPr>
                    <w:rPr>
                      <w:rFonts w:ascii="Cambria Math" w:hAnsi="Cambria Math"/>
                      <w:kern w:val="0"/>
                      <w:szCs w:val="21"/>
                    </w:rPr>
                  </m:ctrlPr>
                </m:sub>
              </m:sSub>
            </m:oMath>
            <w:r>
              <w:rPr>
                <w:rFonts w:ascii="宋体" w:hAnsi="宋体" w:eastAsia="宋体" w:cs="Times New Roman"/>
                <w:bCs/>
                <w:kern w:val="0"/>
                <w:szCs w:val="21"/>
                <w:lang w:bidi="zh-CN"/>
              </w:rPr>
              <w:t>≤</w:t>
            </w:r>
            <w:r>
              <w:rPr>
                <w:rFonts w:hint="eastAsia" w:ascii="宋体" w:hAnsi="宋体" w:eastAsia="宋体" w:cs="Times New Roman"/>
                <w:bCs/>
                <w:kern w:val="0"/>
                <w:szCs w:val="21"/>
                <w:lang w:bidi="zh-CN"/>
              </w:rPr>
              <w:t>10</w:t>
            </w:r>
            <w:r>
              <w:rPr>
                <w:rFonts w:hint="eastAsia" w:ascii="Times New Roman" w:hAnsi="Times New Roman" w:eastAsia="宋体" w:cs="Times New Roman"/>
                <w:kern w:val="0"/>
                <w:sz w:val="24"/>
                <w:szCs w:val="24"/>
              </w:rPr>
              <w:t>min</w:t>
            </w:r>
          </w:p>
        </w:tc>
        <w:tc>
          <w:tcPr>
            <w:tcW w:w="1555" w:type="dxa"/>
            <w:vAlign w:val="center"/>
          </w:tcPr>
          <w:p w14:paraId="7611C9CB">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390AF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89C675F">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tv</m:t>
                  </m:r>
                  <m:ctrlPr>
                    <w:rPr>
                      <w:rFonts w:ascii="Cambria Math" w:hAnsi="Cambria Math"/>
                      <w:kern w:val="0"/>
                      <w:szCs w:val="21"/>
                    </w:rPr>
                  </m:ctrlPr>
                </m:sub>
              </m:sSub>
            </m:oMath>
            <w:r>
              <w:rPr>
                <w:rFonts w:hint="eastAsia" w:ascii="宋体" w:hAnsi="宋体" w:eastAsia="宋体" w:cs="Times New Roman"/>
                <w:bCs/>
                <w:kern w:val="0"/>
                <w:szCs w:val="21"/>
                <w:lang w:val="zh-CN" w:bidi="zh-CN"/>
              </w:rPr>
              <w:t>＞10</w:t>
            </w:r>
            <w:r>
              <w:rPr>
                <w:rFonts w:hint="eastAsia" w:ascii="Times New Roman" w:hAnsi="Times New Roman" w:eastAsia="宋体" w:cs="Times New Roman"/>
                <w:kern w:val="0"/>
                <w:sz w:val="24"/>
                <w:szCs w:val="24"/>
              </w:rPr>
              <w:t>min</w:t>
            </w:r>
          </w:p>
        </w:tc>
        <w:tc>
          <w:tcPr>
            <w:tcW w:w="1555" w:type="dxa"/>
            <w:vAlign w:val="center"/>
          </w:tcPr>
          <w:p w14:paraId="63366699">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1A2F5BF7">
      <w:pPr>
        <w:pStyle w:val="56"/>
        <w:numPr>
          <w:ilvl w:val="0"/>
          <w:numId w:val="0"/>
        </w:numPr>
        <w:overflowPunct w:val="0"/>
        <w:spacing w:line="360" w:lineRule="auto"/>
        <w:ind w:right="84" w:rightChars="40"/>
        <w:jc w:val="both"/>
        <w:rPr>
          <w:rFonts w:ascii="Times New Roman" w:hAnsi="Times New Roman"/>
          <w:b/>
          <w:bCs/>
          <w:kern w:val="0"/>
          <w:lang w:val="zh-CN" w:bidi="zh-CN"/>
        </w:rPr>
      </w:pPr>
    </w:p>
    <w:p w14:paraId="286D4797">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zh-CN" w:eastAsia="zh-CN" w:bidi="ar"/>
        </w:rPr>
      </w:pPr>
      <w:r>
        <w:rPr>
          <w:rFonts w:hint="eastAsia" w:ascii="楷体" w:hAnsi="楷体" w:eastAsia="楷体" w:cs="楷体"/>
          <w:b/>
          <w:bCs/>
          <w:color w:val="000000"/>
          <w:kern w:val="0"/>
          <w:sz w:val="20"/>
          <w:szCs w:val="20"/>
          <w:lang w:val="en-US" w:eastAsia="zh-CN" w:bidi="ar"/>
        </w:rPr>
        <w:t>条文</w:t>
      </w:r>
      <w:r>
        <w:rPr>
          <w:rFonts w:hint="eastAsia" w:ascii="楷体" w:hAnsi="楷体" w:eastAsia="楷体" w:cs="楷体"/>
          <w:b/>
          <w:bCs/>
          <w:color w:val="000000"/>
          <w:kern w:val="0"/>
          <w:sz w:val="20"/>
          <w:szCs w:val="20"/>
          <w:lang w:val="zh-CN" w:eastAsia="zh-CN" w:bidi="ar"/>
        </w:rPr>
        <w:t>说明：</w:t>
      </w:r>
    </w:p>
    <w:p w14:paraId="2C854488">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本条对高强度片区内轨道交通与公共汽电车之间的换乘时间提出要求。根据现行国家标准《城市综合交通体系规划标准》GB/T51328-2018中的要求，换乘时间应不大于10min。</w:t>
      </w:r>
    </w:p>
    <w:p w14:paraId="0FA2EBA7">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轨道交通与公共汽电车交通之间的换乘时间与高强度片区公共交通系统整体效率关系密切，缩短换乘时间能够提升市民换乘体验，提高公共交通系统运行效率，是实现可持续交通目标的有效手段。</w:t>
      </w:r>
    </w:p>
    <w:p w14:paraId="78371BC3">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将国家标准《城市综合交通体系规划标准》GB/T51328-2018中要求的换乘时间不大于10min作为B评估的底线，并在此基础上对城市高强度片区中轨道交通站点与其周边多个公交站点的平均换乘时间提出要求。由于行人在进行垂直交通时步行行为和步行方式与水平交通不同，因此将换乘时间划分为垂直换乘时间和水平换乘时间，其中垂直换乘时间为乘客在换乘路径上垂直交通（如自动扶梯、楼梯等）中花费的时间，水平换乘时间为乘客在换乘路径上非垂直交通中花费的时间。</w:t>
      </w:r>
    </w:p>
    <w:p w14:paraId="75310D95">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本条的评估方法为：实地调研、数据统计。</w:t>
      </w:r>
    </w:p>
    <w:p w14:paraId="6F946F78">
      <w:pPr>
        <w:pStyle w:val="56"/>
        <w:numPr>
          <w:ilvl w:val="0"/>
          <w:numId w:val="0"/>
        </w:numPr>
        <w:overflowPunct w:val="0"/>
        <w:spacing w:line="360" w:lineRule="auto"/>
        <w:ind w:right="84" w:rightChars="40"/>
        <w:jc w:val="both"/>
        <w:rPr>
          <w:rFonts w:ascii="Times New Roman" w:hAnsi="Times New Roman"/>
          <w:b/>
          <w:bCs/>
          <w:kern w:val="0"/>
          <w:lang w:val="zh-CN" w:bidi="zh-CN"/>
        </w:rPr>
      </w:pPr>
    </w:p>
    <w:p w14:paraId="3ACF1C9A">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43" w:name="_Toc30443"/>
      <w:r>
        <w:rPr>
          <w:rFonts w:hint="eastAsia" w:ascii="Times New Roman" w:hAnsi="Times New Roman" w:eastAsia="宋体" w:cs="Times New Roman"/>
          <w:bCs/>
          <w:kern w:val="0"/>
          <w:sz w:val="28"/>
          <w:szCs w:val="24"/>
          <w:lang w:val="en-US" w:bidi="zh-CN"/>
        </w:rPr>
        <w:t>6</w:t>
      </w:r>
      <w:r>
        <w:rPr>
          <w:rFonts w:hint="eastAsia" w:ascii="Times New Roman" w:hAnsi="Times New Roman" w:eastAsia="宋体" w:cs="Times New Roman"/>
          <w:bCs/>
          <w:kern w:val="0"/>
          <w:sz w:val="28"/>
          <w:szCs w:val="24"/>
          <w:lang w:bidi="zh-CN"/>
        </w:rPr>
        <w:t xml:space="preserve">.3 </w:t>
      </w:r>
      <w:r>
        <w:rPr>
          <w:rFonts w:hint="eastAsia" w:ascii="Times New Roman" w:hAnsi="Times New Roman" w:eastAsia="黑体" w:cs="Times New Roman"/>
          <w:bCs/>
          <w:kern w:val="0"/>
          <w:sz w:val="28"/>
          <w:szCs w:val="24"/>
          <w:lang w:bidi="zh-CN"/>
        </w:rPr>
        <w:t>道路网络连通度</w:t>
      </w:r>
      <w:bookmarkEnd w:id="43"/>
    </w:p>
    <w:p w14:paraId="6BF9CA0C">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道路网络连通度指</w:t>
      </w:r>
      <w:r>
        <w:rPr>
          <w:rFonts w:hint="eastAsia" w:ascii="Times New Roman" w:hAnsi="Times New Roman"/>
          <w:kern w:val="0"/>
        </w:rPr>
        <w:t>城市高强度片区内机动车道路保持一定的连通度，确保城市高强度片区内机动车能够快速、通畅地完成出行的程度。</w:t>
      </w:r>
    </w:p>
    <w:p w14:paraId="32367313">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7456" behindDoc="0" locked="0" layoutInCell="1" allowOverlap="1">
                <wp:simplePos x="0" y="0"/>
                <wp:positionH relativeFrom="margin">
                  <wp:posOffset>4605020</wp:posOffset>
                </wp:positionH>
                <wp:positionV relativeFrom="paragraph">
                  <wp:posOffset>297180</wp:posOffset>
                </wp:positionV>
                <wp:extent cx="728980" cy="1404620"/>
                <wp:effectExtent l="0" t="0" r="0" b="6350"/>
                <wp:wrapNone/>
                <wp:docPr id="30859619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28980" cy="1404620"/>
                        </a:xfrm>
                        <a:prstGeom prst="rect">
                          <a:avLst/>
                        </a:prstGeom>
                        <a:solidFill>
                          <a:srgbClr val="FFFFFF"/>
                        </a:solidFill>
                        <a:ln w="9525">
                          <a:noFill/>
                          <a:miter lim="800000"/>
                        </a:ln>
                      </wps:spPr>
                      <wps:txbx>
                        <w:txbxContent>
                          <w:p w14:paraId="0B6EBC32">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3</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2.6pt;margin-top:23.4pt;height:110.6pt;width:57.4pt;mso-position-horizontal-relative:margin;z-index:251667456;mso-width-relative:page;mso-height-relative:margin;mso-height-percent:200;" fillcolor="#FFFFFF" filled="t" stroked="f" coordsize="21600,21600" o:gfxdata="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U9JXdgAAAAKAQAADwAAAAAAAAABACAAAAAiAAAA&#10;ZHJzL2Rvd25yZXYueG1sUEsBAhQAFAAAAAgAh07iQEyxYZtAAgAAWgQAAA4AAAAAAAAAAQAgAAAA&#10;JwEAAGRycy9lMm9Eb2MueG1sUEsFBgAAAAAGAAYAWQEAANkFAAAAAA==&#10;">
                <v:fill on="t" focussize="0,0"/>
                <v:stroke on="f" miterlimit="8" joinstyle="miter"/>
                <v:imagedata o:title=""/>
                <o:lock v:ext="edit" aspectratio="f"/>
                <v:textbox style="mso-fit-shape-to-text:t;">
                  <w:txbxContent>
                    <w:p w14:paraId="0B6EBC32">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3</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hint="eastAsia"/>
          <w:kern w:val="0"/>
        </w:rPr>
        <w:t>道路网络连通度按下式计算</w:t>
      </w:r>
      <w:r>
        <w:rPr>
          <w:kern w:val="0"/>
        </w:rPr>
        <w:t>：</w:t>
      </w:r>
    </w:p>
    <w:p w14:paraId="6DE9807C">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hint="eastAsia" w:ascii="Cambria Math" w:hAnsi="Cambria Math"/>
                  <w:kern w:val="0"/>
                  <w:sz w:val="21"/>
                  <w:szCs w:val="21"/>
                </w:rPr>
                <m:t>rn</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2</m:t>
                  </m:r>
                  <m:r>
                    <m:rPr>
                      <m:sty m:val="p"/>
                    </m:rPr>
                    <w:rPr>
                      <w:rFonts w:hint="eastAsia" w:ascii="Cambria Math" w:hAnsi="Cambria Math"/>
                      <w:kern w:val="0"/>
                      <w:sz w:val="21"/>
                      <w:szCs w:val="21"/>
                    </w:rPr>
                    <m:t>×</m:t>
                  </m:r>
                  <m:r>
                    <m:rPr>
                      <m:sty m:val="p"/>
                    </m:rPr>
                    <w:rPr>
                      <w:rFonts w:ascii="Cambria Math" w:hAnsi="Cambria Math"/>
                      <w:kern w:val="0"/>
                      <w:sz w:val="21"/>
                      <w:szCs w:val="21"/>
                    </w:rPr>
                    <m:t>N</m:t>
                  </m:r>
                  <m:ctrlPr>
                    <w:rPr>
                      <w:rFonts w:ascii="Cambria Math" w:hAnsi="Cambria Math"/>
                      <w:kern w:val="0"/>
                      <w:sz w:val="21"/>
                      <w:szCs w:val="21"/>
                    </w:rPr>
                  </m:ctrlPr>
                </m:e>
                <m:sub>
                  <m:r>
                    <m:rPr/>
                    <w:rPr>
                      <w:rFonts w:ascii="Cambria Math" w:hAnsi="Cambria Math"/>
                      <w:kern w:val="0"/>
                      <w:sz w:val="21"/>
                      <w:szCs w:val="21"/>
                    </w:rPr>
                    <m:t>r</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N</m:t>
                  </m:r>
                  <m:ctrlPr>
                    <w:rPr>
                      <w:rFonts w:ascii="Cambria Math" w:hAnsi="Cambria Math"/>
                      <w:kern w:val="0"/>
                      <w:sz w:val="21"/>
                      <w:szCs w:val="21"/>
                    </w:rPr>
                  </m:ctrlPr>
                </m:e>
                <m:sub>
                  <m:r>
                    <m:rPr/>
                    <w:rPr>
                      <w:rFonts w:ascii="Cambria Math" w:hAnsi="Cambria Math"/>
                      <w:kern w:val="0"/>
                      <w:sz w:val="21"/>
                      <w:szCs w:val="21"/>
                    </w:rPr>
                    <m:t>p</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 xml:space="preserve"> 式中：</w:t>
      </w:r>
    </w:p>
    <w:p w14:paraId="31F2F40F">
      <w:pPr>
        <w:pStyle w:val="20"/>
        <w:overflowPunct w:val="0"/>
        <w:spacing w:line="360" w:lineRule="auto"/>
        <w:ind w:right="210"/>
        <w:rPr>
          <w:kern w:val="0"/>
          <w:sz w:val="24"/>
          <w:szCs w:val="24"/>
        </w:rPr>
      </w:pPr>
      <w:r>
        <w:rPr>
          <w:rFonts w:hint="eastAsia"/>
          <w:kern w:val="0"/>
          <w:sz w:val="24"/>
          <w:szCs w:val="24"/>
        </w:rPr>
        <w:t>L</w:t>
      </w:r>
      <w:r>
        <w:rPr>
          <w:rFonts w:hint="eastAsia"/>
          <w:i/>
          <w:iCs/>
          <w:kern w:val="0"/>
          <w:sz w:val="24"/>
          <w:szCs w:val="24"/>
          <w:vertAlign w:val="subscript"/>
        </w:rPr>
        <w:t>rn</w:t>
      </w:r>
      <w:r>
        <w:rPr>
          <w:rFonts w:hint="eastAsia"/>
          <w:kern w:val="0"/>
          <w:sz w:val="24"/>
          <w:szCs w:val="24"/>
        </w:rPr>
        <w:t>——道路网络连通度；</w:t>
      </w:r>
    </w:p>
    <w:p w14:paraId="5089A336">
      <w:pPr>
        <w:pStyle w:val="20"/>
        <w:overflowPunct w:val="0"/>
        <w:spacing w:line="360" w:lineRule="auto"/>
        <w:ind w:right="210"/>
        <w:rPr>
          <w:kern w:val="0"/>
          <w:sz w:val="24"/>
          <w:szCs w:val="24"/>
        </w:rPr>
      </w:pPr>
      <w:r>
        <w:rPr>
          <w:rFonts w:hint="eastAsia"/>
          <w:kern w:val="0"/>
          <w:sz w:val="24"/>
          <w:szCs w:val="24"/>
        </w:rPr>
        <w:t>N</w:t>
      </w:r>
      <w:r>
        <w:rPr>
          <w:rFonts w:hint="eastAsia"/>
          <w:kern w:val="0"/>
          <w:sz w:val="24"/>
          <w:szCs w:val="24"/>
          <w:vertAlign w:val="subscript"/>
        </w:rPr>
        <w:t>r</w:t>
      </w:r>
      <w:r>
        <w:rPr>
          <w:rFonts w:hint="eastAsia"/>
          <w:kern w:val="0"/>
          <w:sz w:val="24"/>
          <w:szCs w:val="24"/>
        </w:rPr>
        <w:t>——城市高强度片区路段数；</w:t>
      </w:r>
    </w:p>
    <w:p w14:paraId="4B473E8F">
      <w:pPr>
        <w:pStyle w:val="20"/>
        <w:overflowPunct w:val="0"/>
        <w:spacing w:line="360" w:lineRule="auto"/>
        <w:ind w:right="210"/>
        <w:rPr>
          <w:kern w:val="0"/>
          <w:sz w:val="24"/>
          <w:szCs w:val="24"/>
        </w:rPr>
      </w:pPr>
      <w:r>
        <w:rPr>
          <w:rFonts w:hint="eastAsia"/>
          <w:kern w:val="0"/>
          <w:sz w:val="24"/>
          <w:szCs w:val="24"/>
        </w:rPr>
        <w:t>N</w:t>
      </w:r>
      <w:r>
        <w:rPr>
          <w:rFonts w:hint="eastAsia"/>
          <w:kern w:val="0"/>
          <w:sz w:val="24"/>
          <w:szCs w:val="24"/>
          <w:vertAlign w:val="subscript"/>
        </w:rPr>
        <w:t>p</w:t>
      </w:r>
      <w:r>
        <w:rPr>
          <w:rFonts w:hint="eastAsia"/>
          <w:kern w:val="0"/>
          <w:sz w:val="24"/>
          <w:szCs w:val="24"/>
        </w:rPr>
        <w:t>——道路网总节点数。</w:t>
      </w:r>
    </w:p>
    <w:p w14:paraId="47F13443">
      <w:pPr>
        <w:pStyle w:val="56"/>
        <w:numPr>
          <w:ilvl w:val="0"/>
          <w:numId w:val="0"/>
        </w:numPr>
        <w:overflowPunct w:val="0"/>
        <w:spacing w:line="360" w:lineRule="auto"/>
        <w:ind w:right="84" w:rightChars="40"/>
        <w:jc w:val="both"/>
        <w:rPr>
          <w:rFonts w:hint="eastAsia"/>
          <w:kern w:val="0"/>
        </w:rPr>
      </w:pPr>
    </w:p>
    <w:p w14:paraId="7513E391">
      <w:pPr>
        <w:pStyle w:val="56"/>
        <w:numPr>
          <w:ilvl w:val="0"/>
          <w:numId w:val="0"/>
        </w:numPr>
        <w:overflowPunct w:val="0"/>
        <w:spacing w:line="360" w:lineRule="auto"/>
        <w:ind w:right="84" w:rightChars="40"/>
        <w:jc w:val="both"/>
        <w:rPr>
          <w:rFonts w:ascii="Times New Roman" w:hAnsi="Times New Roman"/>
          <w:b/>
          <w:bCs/>
          <w:kern w:val="0"/>
          <w:lang w:val="zh-CN" w:bidi="zh-CN"/>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6</w:t>
      </w:r>
      <w:r>
        <w:rPr>
          <w:rFonts w:ascii="Times New Roman" w:hAnsi="Times New Roman"/>
          <w:kern w:val="0"/>
        </w:rPr>
        <w:t>.</w:t>
      </w:r>
      <w:r>
        <w:rPr>
          <w:rFonts w:hint="eastAsia" w:ascii="Times New Roman" w:hAnsi="Times New Roman"/>
          <w:kern w:val="0"/>
        </w:rPr>
        <w:t>3</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170E39F9">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6</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道路网络连通度</w:t>
      </w:r>
      <w:r>
        <w:rPr>
          <w:rFonts w:hint="eastAsia" w:ascii="Times New Roman" w:hAnsi="Times New Roman" w:eastAsia="宋体" w:cs="Times New Roman"/>
          <w:b/>
          <w:bCs/>
          <w:kern w:val="0"/>
          <w:szCs w:val="21"/>
          <w:lang w:val="zh-CN" w:bidi="zh-CN"/>
        </w:rPr>
        <w:t xml:space="preserve">评估规则    </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5B573C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17D2C885">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0C635F9A">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5FC90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CC3BA72">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hint="eastAsia" w:ascii="Cambria Math" w:hAnsi="Cambria Math"/>
                      <w:kern w:val="0"/>
                      <w:szCs w:val="21"/>
                    </w:rPr>
                    <m:t>rn</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3.9</w:t>
            </w:r>
          </w:p>
        </w:tc>
        <w:tc>
          <w:tcPr>
            <w:tcW w:w="1555" w:type="dxa"/>
            <w:vAlign w:val="center"/>
          </w:tcPr>
          <w:p w14:paraId="3BD46F92">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3D2C70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EB067B6">
            <w:pPr>
              <w:overflowPunct w:val="0"/>
              <w:spacing w:line="360" w:lineRule="auto"/>
              <w:jc w:val="center"/>
              <w:rPr>
                <w:rFonts w:hint="eastAsia" w:ascii="宋体" w:hAnsi="宋体" w:eastAsia="宋体" w:cs="Times New Roman"/>
                <w:bCs/>
                <w:kern w:val="0"/>
                <w:szCs w:val="21"/>
                <w:lang w:val="zh-CN" w:bidi="zh-CN"/>
              </w:rPr>
            </w:pPr>
            <w:r>
              <w:rPr>
                <w:rFonts w:hint="eastAsia" w:ascii="宋体" w:hAnsi="宋体" w:eastAsia="宋体" w:cs="Times New Roman"/>
                <w:bCs/>
                <w:kern w:val="0"/>
                <w:szCs w:val="21"/>
                <w:lang w:val="zh-CN" w:bidi="zh-CN"/>
              </w:rPr>
              <w:t>3.6</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hint="eastAsia" w:ascii="Cambria Math" w:hAnsi="Cambria Math"/>
                      <w:kern w:val="0"/>
                      <w:szCs w:val="21"/>
                    </w:rPr>
                    <m:t>rn</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3.9</w:t>
            </w:r>
          </w:p>
        </w:tc>
        <w:tc>
          <w:tcPr>
            <w:tcW w:w="1555" w:type="dxa"/>
            <w:vAlign w:val="center"/>
          </w:tcPr>
          <w:p w14:paraId="10879A05">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2D4E6C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6CEBAC42">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hint="eastAsia" w:ascii="Cambria Math" w:hAnsi="Cambria Math"/>
                      <w:kern w:val="0"/>
                      <w:szCs w:val="21"/>
                    </w:rPr>
                    <m:t>rn</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3.6</w:t>
            </w:r>
          </w:p>
        </w:tc>
        <w:tc>
          <w:tcPr>
            <w:tcW w:w="1555" w:type="dxa"/>
            <w:vAlign w:val="center"/>
          </w:tcPr>
          <w:p w14:paraId="283C5325">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0E0B273B">
      <w:pPr>
        <w:pStyle w:val="56"/>
        <w:numPr>
          <w:ilvl w:val="0"/>
          <w:numId w:val="0"/>
        </w:numPr>
        <w:overflowPunct w:val="0"/>
        <w:spacing w:line="360" w:lineRule="auto"/>
        <w:ind w:right="84" w:rightChars="40"/>
        <w:jc w:val="both"/>
        <w:rPr>
          <w:rFonts w:ascii="Times New Roman" w:hAnsi="Times New Roman"/>
          <w:b/>
          <w:bCs/>
          <w:kern w:val="0"/>
          <w:lang w:val="zh-CN" w:bidi="zh-CN"/>
        </w:rPr>
      </w:pPr>
    </w:p>
    <w:p w14:paraId="302DD659">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zh-CN" w:eastAsia="zh-CN" w:bidi="ar"/>
        </w:rPr>
      </w:pPr>
      <w:r>
        <w:rPr>
          <w:rFonts w:hint="eastAsia" w:ascii="楷体" w:hAnsi="楷体" w:eastAsia="楷体" w:cs="楷体"/>
          <w:b/>
          <w:bCs/>
          <w:color w:val="000000"/>
          <w:kern w:val="0"/>
          <w:sz w:val="20"/>
          <w:szCs w:val="20"/>
          <w:lang w:val="en-US" w:eastAsia="zh-CN" w:bidi="ar"/>
        </w:rPr>
        <w:t>条文</w:t>
      </w:r>
      <w:r>
        <w:rPr>
          <w:rFonts w:hint="eastAsia" w:ascii="楷体" w:hAnsi="楷体" w:eastAsia="楷体" w:cs="楷体"/>
          <w:b/>
          <w:bCs/>
          <w:color w:val="000000"/>
          <w:kern w:val="0"/>
          <w:sz w:val="20"/>
          <w:szCs w:val="20"/>
          <w:lang w:val="zh-CN" w:eastAsia="zh-CN" w:bidi="ar"/>
        </w:rPr>
        <w:t>说明：</w:t>
      </w:r>
    </w:p>
    <w:p w14:paraId="391BB013">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本条对高强度片区内机动车道路的连通度提出要求。根据《城市交通规划理论及其应用》（东南大学出版社出版），我国大城市车行路网连通度指标不宜低于3.6 ~ 3.9。《城市综合交通体系规划标准》GB/T51328-2018提出路网格式应规划为高密度、细网格的型式，建议中心城区道路网密度不应低于8km/km²，高密度路网是实现高连通度的物理基础。</w:t>
      </w:r>
    </w:p>
    <w:p w14:paraId="763E93E7">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提高道路网的连通性能够保证道路具有更合理的结构，提供更多直达的道路从而缩短到目的地的距离，从而减少单条城市道路的交通量，缓解城市交通拥堵，提升道路网平均速度。</w:t>
      </w:r>
    </w:p>
    <w:p w14:paraId="59BCFE4D">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道路网连通度指的是城市道路网中交叉口的密度和道路连接的直接程度，在一定的道路网密度基础上，表征道路之间相互连通情况的指标，为高强度片区路段数与道路网总节点的比值。</w:t>
      </w:r>
    </w:p>
    <w:p w14:paraId="1BDED916">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本条的评估方法为：实地调研、数据统计。</w:t>
      </w:r>
    </w:p>
    <w:p w14:paraId="4274B3B4">
      <w:pPr>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br w:type="page"/>
      </w:r>
    </w:p>
    <w:p w14:paraId="31175EA8">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44" w:name="_Toc20383"/>
      <w:r>
        <w:rPr>
          <w:rFonts w:hint="eastAsia" w:ascii="Times New Roman" w:hAnsi="Times New Roman" w:eastAsia="宋体" w:cs="Times New Roman"/>
          <w:bCs/>
          <w:kern w:val="0"/>
          <w:sz w:val="28"/>
          <w:szCs w:val="24"/>
          <w:lang w:val="en-US" w:bidi="zh-CN"/>
        </w:rPr>
        <w:t>6</w:t>
      </w:r>
      <w:r>
        <w:rPr>
          <w:rFonts w:hint="eastAsia" w:ascii="Times New Roman" w:hAnsi="Times New Roman" w:eastAsia="宋体" w:cs="Times New Roman"/>
          <w:bCs/>
          <w:kern w:val="0"/>
          <w:sz w:val="28"/>
          <w:szCs w:val="24"/>
          <w:lang w:bidi="zh-CN"/>
        </w:rPr>
        <w:t xml:space="preserve">.4 </w:t>
      </w:r>
      <w:r>
        <w:rPr>
          <w:rFonts w:hint="eastAsia" w:ascii="Times New Roman" w:hAnsi="Times New Roman" w:eastAsia="黑体" w:cs="Times New Roman"/>
          <w:bCs/>
          <w:kern w:val="0"/>
          <w:sz w:val="28"/>
          <w:szCs w:val="24"/>
          <w:lang w:bidi="zh-CN"/>
        </w:rPr>
        <w:t>步行网络连通度</w:t>
      </w:r>
      <w:bookmarkEnd w:id="44"/>
    </w:p>
    <w:p w14:paraId="27680F83">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4</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步行网络连通度指</w:t>
      </w:r>
      <w:r>
        <w:rPr>
          <w:rFonts w:hint="eastAsia" w:ascii="Times New Roman" w:hAnsi="Times New Roman"/>
          <w:kern w:val="0"/>
        </w:rPr>
        <w:t>城市高强度片区内步行网络保持一定的连通度，确保步行网络能够使行人在更短的时间内完成出行的程度。</w:t>
      </w:r>
    </w:p>
    <w:p w14:paraId="0CC2631B">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4</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8480" behindDoc="0" locked="0" layoutInCell="1" allowOverlap="1">
                <wp:simplePos x="0" y="0"/>
                <wp:positionH relativeFrom="margin">
                  <wp:posOffset>4605020</wp:posOffset>
                </wp:positionH>
                <wp:positionV relativeFrom="paragraph">
                  <wp:posOffset>314325</wp:posOffset>
                </wp:positionV>
                <wp:extent cx="728980" cy="1404620"/>
                <wp:effectExtent l="0" t="0" r="0" b="6350"/>
                <wp:wrapNone/>
                <wp:docPr id="100988682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28980" cy="1404620"/>
                        </a:xfrm>
                        <a:prstGeom prst="rect">
                          <a:avLst/>
                        </a:prstGeom>
                        <a:solidFill>
                          <a:srgbClr val="FFFFFF"/>
                        </a:solidFill>
                        <a:ln w="9525">
                          <a:noFill/>
                          <a:miter lim="800000"/>
                        </a:ln>
                      </wps:spPr>
                      <wps:txbx>
                        <w:txbxContent>
                          <w:p w14:paraId="3AD9CD0C">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4</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2.6pt;margin-top:24.75pt;height:110.6pt;width:57.4pt;mso-position-horizontal-relative:margin;z-index:251668480;mso-width-relative:page;mso-height-relative:margin;mso-height-percent:200;" fillcolor="#FFFFFF" filled="t" stroked="f" coordsize="21600,21600" o:gfxdata="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npKhtkAAAAKAQAADwAAAAAAAAABACAAAAAiAAAA&#10;ZHJzL2Rvd25yZXYueG1sUEsBAhQAFAAAAAgAh07iQB0UAzw/AgAAWwQAAA4AAAAAAAAAAQAgAAAA&#10;KAEAAGRycy9lMm9Eb2MueG1sUEsFBgAAAAAGAAYAWQEAANkFAAAAAA==&#10;">
                <v:fill on="t" focussize="0,0"/>
                <v:stroke on="f" miterlimit="8" joinstyle="miter"/>
                <v:imagedata o:title=""/>
                <o:lock v:ext="edit" aspectratio="f"/>
                <v:textbox style="mso-fit-shape-to-text:t;">
                  <w:txbxContent>
                    <w:p w14:paraId="3AD9CD0C">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6</w:t>
                      </w:r>
                      <w:r>
                        <w:rPr>
                          <w:rFonts w:hint="eastAsia" w:ascii="Times New Roman" w:hAnsi="Times New Roman" w:cs="Times New Roman"/>
                          <w:szCs w:val="24"/>
                        </w:rPr>
                        <w:t>.</w:t>
                      </w:r>
                      <w:r>
                        <w:rPr>
                          <w:rFonts w:hint="eastAsia" w:ascii="Times New Roman" w:hAnsi="Times New Roman" w:cs="Times New Roman"/>
                          <w:szCs w:val="24"/>
                          <w:lang w:val="en-US" w:eastAsia="zh-CN"/>
                        </w:rPr>
                        <w:t>4</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hint="eastAsia"/>
          <w:kern w:val="0"/>
        </w:rPr>
        <w:t>步行网络连通度按下式计算</w:t>
      </w:r>
      <w:r>
        <w:rPr>
          <w:kern w:val="0"/>
        </w:rPr>
        <w:t>：</w:t>
      </w:r>
      <w:r>
        <w:rPr>
          <w:rFonts w:hint="eastAsia"/>
          <w:kern w:val="0"/>
        </w:rPr>
        <w:t xml:space="preserve"> </w:t>
      </w:r>
    </w:p>
    <w:p w14:paraId="1860AE58">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w</m:t>
              </m:r>
              <m:r>
                <m:rPr/>
                <w:rPr>
                  <w:rFonts w:hint="eastAsia" w:ascii="Cambria Math" w:hAnsi="Cambria Math"/>
                  <w:kern w:val="0"/>
                  <w:sz w:val="21"/>
                  <w:szCs w:val="21"/>
                </w:rPr>
                <m:t>n</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2</m:t>
                  </m:r>
                  <m:r>
                    <m:rPr>
                      <m:sty m:val="p"/>
                    </m:rPr>
                    <w:rPr>
                      <w:rFonts w:hint="eastAsia" w:ascii="Cambria Math" w:hAnsi="Cambria Math"/>
                      <w:kern w:val="0"/>
                      <w:sz w:val="21"/>
                      <w:szCs w:val="21"/>
                    </w:rPr>
                    <m:t>×</m:t>
                  </m:r>
                  <m:r>
                    <m:rPr>
                      <m:sty m:val="p"/>
                    </m:rPr>
                    <w:rPr>
                      <w:rFonts w:ascii="Cambria Math" w:hAnsi="Cambria Math"/>
                      <w:kern w:val="0"/>
                      <w:sz w:val="21"/>
                      <w:szCs w:val="21"/>
                    </w:rPr>
                    <m:t>(W</m:t>
                  </m:r>
                  <m:ctrlPr>
                    <w:rPr>
                      <w:rFonts w:ascii="Cambria Math" w:hAnsi="Cambria Math"/>
                      <w:kern w:val="0"/>
                      <w:sz w:val="21"/>
                      <w:szCs w:val="21"/>
                    </w:rPr>
                  </m:ctrlPr>
                </m:e>
                <m:sub>
                  <m:r>
                    <m:rPr/>
                    <w:rPr>
                      <w:rFonts w:ascii="Cambria Math" w:hAnsi="Cambria Math"/>
                      <w:kern w:val="0"/>
                      <w:sz w:val="21"/>
                      <w:szCs w:val="21"/>
                    </w:rPr>
                    <m:t>r</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U</m:t>
                  </m:r>
                  <m:ctrlPr>
                    <w:rPr>
                      <w:rFonts w:ascii="Cambria Math" w:hAnsi="Cambria Math"/>
                      <w:kern w:val="0"/>
                      <w:sz w:val="21"/>
                      <w:szCs w:val="21"/>
                    </w:rPr>
                  </m:ctrlPr>
                </m:e>
                <m:sub>
                  <m:r>
                    <m:rPr/>
                    <w:rPr>
                      <w:rFonts w:ascii="Cambria Math" w:hAnsi="Cambria Math"/>
                      <w:kern w:val="0"/>
                      <w:sz w:val="21"/>
                      <w:szCs w:val="21"/>
                    </w:rPr>
                    <m:t>r</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V</m:t>
                  </m:r>
                  <m:ctrlPr>
                    <w:rPr>
                      <w:rFonts w:ascii="Cambria Math" w:hAnsi="Cambria Math"/>
                      <w:kern w:val="0"/>
                      <w:sz w:val="21"/>
                      <w:szCs w:val="21"/>
                    </w:rPr>
                  </m:ctrlPr>
                </m:e>
                <m:sub>
                  <m:r>
                    <m:rPr/>
                    <w:rPr>
                      <w:rFonts w:ascii="Cambria Math" w:hAnsi="Cambria Math"/>
                      <w:kern w:val="0"/>
                      <w:sz w:val="21"/>
                      <w:szCs w:val="21"/>
                    </w:rPr>
                    <m:t>r</m:t>
                  </m:r>
                  <m:ctrlPr>
                    <w:rPr>
                      <w:rFonts w:ascii="Cambria Math" w:hAnsi="Cambria Math"/>
                      <w:kern w:val="0"/>
                      <w:sz w:val="21"/>
                      <w:szCs w:val="21"/>
                    </w:rPr>
                  </m:ctrlPr>
                </m:sub>
              </m:sSub>
              <m:r>
                <m:rPr/>
                <w:rPr>
                  <w:rFonts w:ascii="Cambria Math" w:hAnsi="Cambria Math"/>
                  <w:kern w:val="0"/>
                  <w:sz w:val="21"/>
                  <w:szCs w:val="21"/>
                </w:rPr>
                <m:t>)</m:t>
              </m:r>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W</m:t>
                  </m:r>
                  <m:ctrlPr>
                    <w:rPr>
                      <w:rFonts w:ascii="Cambria Math" w:hAnsi="Cambria Math"/>
                      <w:kern w:val="0"/>
                      <w:sz w:val="21"/>
                      <w:szCs w:val="21"/>
                    </w:rPr>
                  </m:ctrlPr>
                </m:e>
                <m:sub>
                  <m:r>
                    <m:rPr/>
                    <w:rPr>
                      <w:rFonts w:ascii="Cambria Math" w:hAnsi="Cambria Math"/>
                      <w:kern w:val="0"/>
                      <w:sz w:val="21"/>
                      <w:szCs w:val="21"/>
                    </w:rPr>
                    <m:t>p</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U</m:t>
                  </m:r>
                  <m:ctrlPr>
                    <w:rPr>
                      <w:rFonts w:ascii="Cambria Math" w:hAnsi="Cambria Math"/>
                      <w:kern w:val="0"/>
                      <w:sz w:val="21"/>
                      <w:szCs w:val="21"/>
                    </w:rPr>
                  </m:ctrlPr>
                </m:e>
                <m:sub>
                  <m:r>
                    <m:rPr/>
                    <w:rPr>
                      <w:rFonts w:ascii="Cambria Math" w:hAnsi="Cambria Math"/>
                      <w:kern w:val="0"/>
                      <w:sz w:val="21"/>
                      <w:szCs w:val="21"/>
                    </w:rPr>
                    <m:t>p</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V</m:t>
                  </m:r>
                  <m:ctrlPr>
                    <w:rPr>
                      <w:rFonts w:ascii="Cambria Math" w:hAnsi="Cambria Math"/>
                      <w:kern w:val="0"/>
                      <w:sz w:val="21"/>
                      <w:szCs w:val="21"/>
                    </w:rPr>
                  </m:ctrlPr>
                </m:e>
                <m:sub>
                  <m:r>
                    <m:rPr/>
                    <w:rPr>
                      <w:rFonts w:ascii="Cambria Math" w:hAnsi="Cambria Math"/>
                      <w:kern w:val="0"/>
                      <w:sz w:val="21"/>
                      <w:szCs w:val="21"/>
                    </w:rPr>
                    <m:t>p</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 xml:space="preserve"> 式中：</w:t>
      </w:r>
    </w:p>
    <w:p w14:paraId="500D2DE6">
      <w:pPr>
        <w:pStyle w:val="20"/>
        <w:overflowPunct w:val="0"/>
        <w:spacing w:line="360" w:lineRule="auto"/>
        <w:ind w:right="210"/>
        <w:rPr>
          <w:kern w:val="0"/>
          <w:sz w:val="24"/>
          <w:szCs w:val="24"/>
        </w:rPr>
      </w:pPr>
      <w:r>
        <w:rPr>
          <w:rFonts w:hint="eastAsia"/>
          <w:kern w:val="0"/>
          <w:sz w:val="24"/>
          <w:szCs w:val="24"/>
        </w:rPr>
        <w:t>L</w:t>
      </w:r>
      <w:r>
        <w:rPr>
          <w:rFonts w:hint="eastAsia"/>
          <w:i/>
          <w:iCs/>
          <w:kern w:val="0"/>
          <w:sz w:val="24"/>
          <w:szCs w:val="24"/>
          <w:vertAlign w:val="subscript"/>
        </w:rPr>
        <w:t>wn</w:t>
      </w:r>
      <w:r>
        <w:rPr>
          <w:rFonts w:hint="eastAsia"/>
          <w:kern w:val="0"/>
          <w:sz w:val="24"/>
          <w:szCs w:val="24"/>
        </w:rPr>
        <w:t>——步行网络连通度；</w:t>
      </w:r>
    </w:p>
    <w:p w14:paraId="24A6B8C8">
      <w:pPr>
        <w:pStyle w:val="20"/>
        <w:overflowPunct w:val="0"/>
        <w:spacing w:line="360" w:lineRule="auto"/>
        <w:ind w:right="210"/>
        <w:rPr>
          <w:kern w:val="0"/>
          <w:sz w:val="24"/>
          <w:szCs w:val="24"/>
        </w:rPr>
      </w:pPr>
      <w:r>
        <w:rPr>
          <w:rFonts w:hint="eastAsia"/>
          <w:kern w:val="0"/>
          <w:sz w:val="24"/>
          <w:szCs w:val="24"/>
        </w:rPr>
        <w:t>W</w:t>
      </w:r>
      <w:r>
        <w:rPr>
          <w:rFonts w:hint="eastAsia"/>
          <w:kern w:val="0"/>
          <w:sz w:val="24"/>
          <w:szCs w:val="24"/>
          <w:vertAlign w:val="subscript"/>
        </w:rPr>
        <w:t>r</w:t>
      </w:r>
      <w:r>
        <w:rPr>
          <w:rFonts w:hint="eastAsia"/>
          <w:kern w:val="0"/>
          <w:sz w:val="24"/>
          <w:szCs w:val="24"/>
        </w:rPr>
        <w:t>——地上步行道路路段数；</w:t>
      </w:r>
    </w:p>
    <w:p w14:paraId="2B0B9D89">
      <w:pPr>
        <w:pStyle w:val="20"/>
        <w:overflowPunct w:val="0"/>
        <w:spacing w:line="360" w:lineRule="auto"/>
        <w:ind w:right="210"/>
        <w:rPr>
          <w:kern w:val="0"/>
          <w:sz w:val="24"/>
          <w:szCs w:val="24"/>
        </w:rPr>
      </w:pPr>
      <w:r>
        <w:rPr>
          <w:rFonts w:hint="eastAsia"/>
          <w:kern w:val="0"/>
          <w:sz w:val="24"/>
          <w:szCs w:val="24"/>
        </w:rPr>
        <w:t>U</w:t>
      </w:r>
      <w:r>
        <w:rPr>
          <w:rFonts w:hint="eastAsia"/>
          <w:kern w:val="0"/>
          <w:sz w:val="24"/>
          <w:szCs w:val="24"/>
          <w:vertAlign w:val="subscript"/>
        </w:rPr>
        <w:t>r</w:t>
      </w:r>
      <w:r>
        <w:rPr>
          <w:rFonts w:hint="eastAsia"/>
          <w:kern w:val="0"/>
          <w:sz w:val="24"/>
          <w:szCs w:val="24"/>
        </w:rPr>
        <w:t>——地下步行道路路段数；</w:t>
      </w:r>
    </w:p>
    <w:p w14:paraId="77A7522E">
      <w:pPr>
        <w:pStyle w:val="20"/>
        <w:overflowPunct w:val="0"/>
        <w:spacing w:line="360" w:lineRule="auto"/>
        <w:ind w:right="210"/>
        <w:rPr>
          <w:kern w:val="0"/>
          <w:sz w:val="24"/>
          <w:szCs w:val="24"/>
        </w:rPr>
      </w:pPr>
      <w:r>
        <w:rPr>
          <w:rFonts w:hint="eastAsia"/>
          <w:kern w:val="0"/>
          <w:sz w:val="24"/>
          <w:szCs w:val="24"/>
        </w:rPr>
        <w:t>V</w:t>
      </w:r>
      <w:r>
        <w:rPr>
          <w:rFonts w:hint="eastAsia"/>
          <w:kern w:val="0"/>
          <w:sz w:val="24"/>
          <w:szCs w:val="24"/>
          <w:vertAlign w:val="subscript"/>
        </w:rPr>
        <w:t>r</w:t>
      </w:r>
      <w:r>
        <w:rPr>
          <w:rFonts w:hint="eastAsia"/>
          <w:kern w:val="0"/>
          <w:sz w:val="24"/>
          <w:szCs w:val="24"/>
        </w:rPr>
        <w:t>——垂直衔接路段数；</w:t>
      </w:r>
    </w:p>
    <w:p w14:paraId="69089E80">
      <w:pPr>
        <w:pStyle w:val="20"/>
        <w:overflowPunct w:val="0"/>
        <w:spacing w:line="360" w:lineRule="auto"/>
        <w:ind w:right="210"/>
        <w:rPr>
          <w:kern w:val="0"/>
          <w:sz w:val="24"/>
          <w:szCs w:val="24"/>
        </w:rPr>
      </w:pPr>
      <w:r>
        <w:rPr>
          <w:rFonts w:hint="eastAsia"/>
          <w:kern w:val="0"/>
          <w:sz w:val="24"/>
          <w:szCs w:val="24"/>
        </w:rPr>
        <w:t>W</w:t>
      </w:r>
      <w:r>
        <w:rPr>
          <w:rFonts w:hint="eastAsia"/>
          <w:kern w:val="0"/>
          <w:sz w:val="24"/>
          <w:szCs w:val="24"/>
          <w:vertAlign w:val="subscript"/>
        </w:rPr>
        <w:t>p</w:t>
      </w:r>
      <w:r>
        <w:rPr>
          <w:rFonts w:hint="eastAsia"/>
          <w:kern w:val="0"/>
          <w:sz w:val="24"/>
          <w:szCs w:val="24"/>
        </w:rPr>
        <w:t>——地上步行道路网总节点数；</w:t>
      </w:r>
    </w:p>
    <w:p w14:paraId="0AB59501">
      <w:pPr>
        <w:pStyle w:val="20"/>
        <w:overflowPunct w:val="0"/>
        <w:spacing w:line="360" w:lineRule="auto"/>
        <w:ind w:right="210"/>
        <w:rPr>
          <w:kern w:val="0"/>
          <w:sz w:val="24"/>
          <w:szCs w:val="24"/>
        </w:rPr>
      </w:pPr>
      <w:r>
        <w:rPr>
          <w:rFonts w:hint="eastAsia"/>
          <w:kern w:val="0"/>
          <w:sz w:val="24"/>
          <w:szCs w:val="24"/>
        </w:rPr>
        <w:t>U</w:t>
      </w:r>
      <w:r>
        <w:rPr>
          <w:rFonts w:hint="eastAsia"/>
          <w:kern w:val="0"/>
          <w:sz w:val="24"/>
          <w:szCs w:val="24"/>
          <w:vertAlign w:val="subscript"/>
        </w:rPr>
        <w:t>p</w:t>
      </w:r>
      <w:r>
        <w:rPr>
          <w:rFonts w:hint="eastAsia"/>
          <w:kern w:val="0"/>
          <w:sz w:val="24"/>
          <w:szCs w:val="24"/>
        </w:rPr>
        <w:t>——地下步行道路网总节点数；</w:t>
      </w:r>
    </w:p>
    <w:p w14:paraId="73220E8B">
      <w:pPr>
        <w:pStyle w:val="20"/>
        <w:overflowPunct w:val="0"/>
        <w:spacing w:line="360" w:lineRule="auto"/>
        <w:ind w:right="210"/>
        <w:rPr>
          <w:kern w:val="0"/>
          <w:sz w:val="24"/>
          <w:szCs w:val="24"/>
        </w:rPr>
      </w:pPr>
      <w:r>
        <w:rPr>
          <w:rFonts w:hint="eastAsia"/>
          <w:kern w:val="0"/>
          <w:sz w:val="24"/>
          <w:szCs w:val="24"/>
        </w:rPr>
        <w:t>V</w:t>
      </w:r>
      <w:r>
        <w:rPr>
          <w:rFonts w:hint="eastAsia"/>
          <w:kern w:val="0"/>
          <w:sz w:val="24"/>
          <w:szCs w:val="24"/>
          <w:vertAlign w:val="subscript"/>
        </w:rPr>
        <w:t>p</w:t>
      </w:r>
      <w:r>
        <w:rPr>
          <w:rFonts w:hint="eastAsia"/>
          <w:kern w:val="0"/>
          <w:sz w:val="24"/>
          <w:szCs w:val="24"/>
        </w:rPr>
        <w:t>——垂直衔接总节点数。</w:t>
      </w:r>
    </w:p>
    <w:p w14:paraId="7F214826">
      <w:pPr>
        <w:pStyle w:val="20"/>
        <w:overflowPunct w:val="0"/>
        <w:spacing w:line="360" w:lineRule="auto"/>
        <w:ind w:right="210"/>
        <w:rPr>
          <w:kern w:val="0"/>
          <w:sz w:val="24"/>
          <w:szCs w:val="24"/>
        </w:rPr>
      </w:pPr>
      <w:r>
        <w:rPr>
          <w:rFonts w:hint="eastAsia"/>
          <w:kern w:val="0"/>
          <w:sz w:val="24"/>
          <w:szCs w:val="24"/>
        </w:rPr>
        <w:t>注：地上步行道路既包括地面人行道路，也包括空中公共过街步道。地下步行道路、垂直衔接路段只考虑位于公共空间的部分（如地铁站所衔接的地下步行道路、地下过街通道）。</w:t>
      </w:r>
    </w:p>
    <w:p w14:paraId="3891B612">
      <w:pPr>
        <w:pStyle w:val="56"/>
        <w:numPr>
          <w:ilvl w:val="0"/>
          <w:numId w:val="0"/>
        </w:numPr>
        <w:overflowPunct w:val="0"/>
        <w:spacing w:line="360" w:lineRule="auto"/>
        <w:ind w:right="84" w:rightChars="40"/>
        <w:jc w:val="both"/>
        <w:rPr>
          <w:rFonts w:ascii="Times New Roman" w:hAnsi="Times New Roman"/>
          <w:b/>
          <w:bCs/>
          <w:kern w:val="0"/>
          <w:lang w:val="zh-CN" w:bidi="zh-CN"/>
        </w:rPr>
      </w:pPr>
      <w:r>
        <w:rPr>
          <w:rFonts w:hint="eastAsia" w:ascii="Times New Roman" w:hAnsi="Times New Roman"/>
          <w:b/>
          <w:bCs/>
          <w:kern w:val="0"/>
          <w:lang w:val="en-US" w:bidi="zh-CN"/>
        </w:rPr>
        <w:t>6</w:t>
      </w:r>
      <w:r>
        <w:rPr>
          <w:rFonts w:ascii="Times New Roman" w:hAnsi="Times New Roman"/>
          <w:b/>
          <w:bCs/>
          <w:kern w:val="0"/>
          <w:lang w:val="zh-CN" w:bidi="zh-CN"/>
        </w:rPr>
        <w:t>.</w:t>
      </w:r>
      <w:r>
        <w:rPr>
          <w:rFonts w:hint="eastAsia" w:ascii="Times New Roman" w:hAnsi="Times New Roman"/>
          <w:b/>
          <w:bCs/>
          <w:kern w:val="0"/>
          <w:lang w:val="zh-CN" w:bidi="zh-CN"/>
        </w:rPr>
        <w:t>4</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6</w:t>
      </w:r>
      <w:r>
        <w:rPr>
          <w:rFonts w:ascii="Times New Roman" w:hAnsi="Times New Roman"/>
          <w:kern w:val="0"/>
        </w:rPr>
        <w:t>.</w:t>
      </w:r>
      <w:r>
        <w:rPr>
          <w:rFonts w:hint="eastAsia" w:ascii="Times New Roman" w:hAnsi="Times New Roman"/>
          <w:kern w:val="0"/>
        </w:rPr>
        <w:t>3</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68D0F31B">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6</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步行网络连通度</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680F74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330B4440">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5246253D">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682686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3FF7AB7">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w</m:t>
                  </m:r>
                  <m:r>
                    <m:rPr/>
                    <w:rPr>
                      <w:rFonts w:hint="eastAsia" w:ascii="Cambria Math" w:hAnsi="Cambria Math"/>
                      <w:kern w:val="0"/>
                      <w:szCs w:val="21"/>
                    </w:rPr>
                    <m:t>n</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4.2</w:t>
            </w:r>
          </w:p>
        </w:tc>
        <w:tc>
          <w:tcPr>
            <w:tcW w:w="1555" w:type="dxa"/>
            <w:vAlign w:val="center"/>
          </w:tcPr>
          <w:p w14:paraId="6B138D74">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7E0915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28F7B530">
            <w:pPr>
              <w:overflowPunct w:val="0"/>
              <w:spacing w:line="360" w:lineRule="auto"/>
              <w:jc w:val="center"/>
              <w:rPr>
                <w:rFonts w:hint="eastAsia" w:ascii="宋体" w:hAnsi="宋体" w:eastAsia="宋体" w:cs="Times New Roman"/>
                <w:bCs/>
                <w:kern w:val="0"/>
                <w:szCs w:val="21"/>
                <w:lang w:val="zh-CN" w:bidi="zh-CN"/>
              </w:rPr>
            </w:pPr>
            <w:r>
              <w:rPr>
                <w:rFonts w:hint="eastAsia" w:ascii="宋体" w:hAnsi="宋体" w:eastAsia="宋体" w:cs="Times New Roman"/>
                <w:bCs/>
                <w:kern w:val="0"/>
                <w:szCs w:val="21"/>
                <w:lang w:val="zh-CN" w:bidi="zh-CN"/>
              </w:rPr>
              <w:t>3.9</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w</m:t>
                  </m:r>
                  <m:r>
                    <m:rPr/>
                    <w:rPr>
                      <w:rFonts w:hint="eastAsia" w:ascii="Cambria Math" w:hAnsi="Cambria Math"/>
                      <w:kern w:val="0"/>
                      <w:szCs w:val="21"/>
                    </w:rPr>
                    <m:t>n</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4.2</w:t>
            </w:r>
          </w:p>
        </w:tc>
        <w:tc>
          <w:tcPr>
            <w:tcW w:w="1555" w:type="dxa"/>
            <w:vAlign w:val="center"/>
          </w:tcPr>
          <w:p w14:paraId="41EEB7AC">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3E180A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D789BB0">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w</m:t>
                  </m:r>
                  <m:r>
                    <m:rPr/>
                    <w:rPr>
                      <w:rFonts w:hint="eastAsia" w:ascii="Cambria Math" w:hAnsi="Cambria Math"/>
                      <w:kern w:val="0"/>
                      <w:szCs w:val="21"/>
                    </w:rPr>
                    <m:t>n</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3.9</w:t>
            </w:r>
          </w:p>
        </w:tc>
        <w:tc>
          <w:tcPr>
            <w:tcW w:w="1555" w:type="dxa"/>
            <w:vAlign w:val="center"/>
          </w:tcPr>
          <w:p w14:paraId="56F98960">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bookmarkEnd w:id="38"/>
      <w:bookmarkEnd w:id="39"/>
    </w:tbl>
    <w:p w14:paraId="196E7CA1">
      <w:pPr>
        <w:pStyle w:val="56"/>
        <w:numPr>
          <w:ilvl w:val="0"/>
          <w:numId w:val="0"/>
        </w:numPr>
        <w:overflowPunct w:val="0"/>
        <w:spacing w:line="360" w:lineRule="auto"/>
        <w:ind w:right="84" w:rightChars="40"/>
        <w:jc w:val="both"/>
        <w:rPr>
          <w:rFonts w:ascii="Times New Roman" w:hAnsi="Times New Roman"/>
          <w:b/>
          <w:bCs/>
          <w:kern w:val="0"/>
          <w:lang w:val="zh-CN" w:bidi="zh-CN"/>
        </w:rPr>
      </w:pPr>
      <w:bookmarkStart w:id="45" w:name="_Toc193834328"/>
      <w:bookmarkStart w:id="46" w:name="_Toc195281691"/>
      <w:bookmarkStart w:id="47" w:name="_Toc120713088"/>
      <w:bookmarkStart w:id="48" w:name="_Toc174313127"/>
    </w:p>
    <w:p w14:paraId="1E44FC71">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条文说明：</w:t>
      </w:r>
    </w:p>
    <w:p w14:paraId="4A628E45">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高强度片区内步行道路网络的连通性提出要求。高强度片区中步行道路网络相比车行道路网络拥有更多的路段和节点数，因此步行道路网络的连通度标准应高于道路网络连通度。《城市步行和自行车交通系统规划标准》GB/T 51439-2021中要求步行网络应保证连续、安全、通畅，明确规定商业、服务业、公共交通枢纽等人员活动密集区域，步行网络密度不宜小于14 km/km²。该密度要求为本标准的步行网络连通度指标评估阈值提供直接依据。</w:t>
      </w:r>
    </w:p>
    <w:p w14:paraId="271ED344">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在高强度片区中，步行是高效的短距离出行方式，高连通度的步行道路网络能够提升步行的可达性和连续性，提升人流集散效率，充分连接高强度片区中的交通、商业、绿地空间，提升公共空间活力，促进城市高强度片区空间集约利用。</w:t>
      </w:r>
    </w:p>
    <w:p w14:paraId="649B8F5F">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步行道路网络主要包含三个部分，即地上步行道路、地下步行道路，以及地上与地下的垂直衔接路段。</w:t>
      </w:r>
    </w:p>
    <w:p w14:paraId="3ED82E24">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本条的评估方法为：实地调研、数据统计。</w:t>
      </w:r>
    </w:p>
    <w:p w14:paraId="12D63B55">
      <w:pPr>
        <w:keepNext/>
        <w:keepLines/>
        <w:tabs>
          <w:tab w:val="left" w:pos="-376"/>
        </w:tabs>
        <w:overflowPunct w:val="0"/>
        <w:spacing w:before="156" w:beforeLines="50" w:after="156" w:afterLines="50" w:line="360" w:lineRule="auto"/>
        <w:jc w:val="center"/>
        <w:outlineLvl w:val="0"/>
        <w:rPr>
          <w:rFonts w:ascii="Times New Roman" w:hAnsi="Times New Roman" w:eastAsia="宋体" w:cs="Times New Roman"/>
          <w:b/>
          <w:kern w:val="44"/>
          <w:sz w:val="32"/>
          <w:szCs w:val="32"/>
          <w:lang w:bidi="zh-CN"/>
        </w:rPr>
      </w:pPr>
      <w:bookmarkStart w:id="49" w:name="_Toc92"/>
      <w:r>
        <w:rPr>
          <w:rFonts w:hint="eastAsia" w:ascii="Times New Roman" w:hAnsi="Times New Roman" w:eastAsia="宋体" w:cs="Times New Roman"/>
          <w:b/>
          <w:kern w:val="44"/>
          <w:sz w:val="32"/>
          <w:szCs w:val="32"/>
          <w:lang w:val="en-US" w:bidi="zh-CN"/>
        </w:rPr>
        <w:t>7</w:t>
      </w:r>
      <w:r>
        <w:rPr>
          <w:rFonts w:ascii="Times New Roman" w:hAnsi="Times New Roman" w:eastAsia="宋体" w:cs="Times New Roman"/>
          <w:b/>
          <w:kern w:val="44"/>
          <w:sz w:val="32"/>
          <w:szCs w:val="32"/>
          <w:lang w:bidi="zh-CN"/>
        </w:rPr>
        <w:t>　</w:t>
      </w:r>
      <w:r>
        <w:rPr>
          <w:rFonts w:hint="eastAsia" w:ascii="Times New Roman" w:hAnsi="Times New Roman" w:eastAsia="宋体" w:cs="Times New Roman"/>
          <w:b/>
          <w:kern w:val="44"/>
          <w:sz w:val="32"/>
          <w:szCs w:val="32"/>
          <w:lang w:bidi="zh-CN"/>
        </w:rPr>
        <w:t>功能利用</w:t>
      </w:r>
      <w:bookmarkEnd w:id="45"/>
      <w:bookmarkEnd w:id="46"/>
      <w:r>
        <w:rPr>
          <w:rFonts w:hint="eastAsia" w:ascii="Times New Roman" w:hAnsi="Times New Roman" w:eastAsia="宋体" w:cs="Times New Roman"/>
          <w:b/>
          <w:kern w:val="44"/>
          <w:sz w:val="32"/>
          <w:szCs w:val="32"/>
          <w:lang w:bidi="zh-CN"/>
        </w:rPr>
        <w:t>效能</w:t>
      </w:r>
      <w:bookmarkEnd w:id="49"/>
    </w:p>
    <w:p w14:paraId="0B0809C1">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50" w:name="_Toc12937"/>
      <w:r>
        <w:rPr>
          <w:rFonts w:hint="eastAsia" w:ascii="Times New Roman" w:hAnsi="Times New Roman" w:eastAsia="宋体" w:cs="Times New Roman"/>
          <w:bCs/>
          <w:kern w:val="0"/>
          <w:sz w:val="28"/>
          <w:szCs w:val="24"/>
          <w:lang w:val="en-US" w:bidi="zh-CN"/>
        </w:rPr>
        <w:t>7</w:t>
      </w:r>
      <w:r>
        <w:rPr>
          <w:rFonts w:hint="eastAsia" w:ascii="Times New Roman" w:hAnsi="Times New Roman" w:eastAsia="宋体" w:cs="Times New Roman"/>
          <w:bCs/>
          <w:kern w:val="0"/>
          <w:sz w:val="28"/>
          <w:szCs w:val="24"/>
          <w:lang w:bidi="zh-CN"/>
        </w:rPr>
        <w:t xml:space="preserve">.1 </w:t>
      </w:r>
      <w:r>
        <w:rPr>
          <w:rFonts w:hint="eastAsia" w:ascii="Times New Roman" w:hAnsi="Times New Roman" w:eastAsia="黑体" w:cs="Times New Roman"/>
          <w:bCs/>
          <w:kern w:val="0"/>
          <w:sz w:val="28"/>
          <w:szCs w:val="24"/>
          <w:lang w:bidi="zh-CN"/>
        </w:rPr>
        <w:t>屋顶空间利用度</w:t>
      </w:r>
      <w:bookmarkEnd w:id="50"/>
    </w:p>
    <w:p w14:paraId="6E608755">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屋顶空间利用度指城市高强度片区建筑有一定比例可以被利用的屋顶，用于屋顶活动、屋顶绿化或设置屋顶设备的程度。</w:t>
      </w:r>
    </w:p>
    <w:p w14:paraId="0E85C702">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69504" behindDoc="0" locked="0" layoutInCell="1" allowOverlap="1">
                <wp:simplePos x="0" y="0"/>
                <wp:positionH relativeFrom="margin">
                  <wp:posOffset>4591050</wp:posOffset>
                </wp:positionH>
                <wp:positionV relativeFrom="paragraph">
                  <wp:posOffset>297180</wp:posOffset>
                </wp:positionV>
                <wp:extent cx="742950" cy="1404620"/>
                <wp:effectExtent l="0" t="0" r="0" b="6350"/>
                <wp:wrapNone/>
                <wp:docPr id="19622379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42950" cy="1404620"/>
                        </a:xfrm>
                        <a:prstGeom prst="rect">
                          <a:avLst/>
                        </a:prstGeom>
                        <a:solidFill>
                          <a:srgbClr val="FFFFFF"/>
                        </a:solidFill>
                        <a:ln w="9525">
                          <a:noFill/>
                          <a:miter lim="800000"/>
                        </a:ln>
                      </wps:spPr>
                      <wps:txbx>
                        <w:txbxContent>
                          <w:p w14:paraId="488E19EF">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7</w:t>
                            </w:r>
                            <w:r>
                              <w:rPr>
                                <w:rFonts w:hint="eastAsia" w:ascii="Times New Roman" w:hAnsi="Times New Roman" w:cs="Times New Roman"/>
                                <w:szCs w:val="24"/>
                              </w:rPr>
                              <w:t>.</w:t>
                            </w:r>
                            <w:r>
                              <w:rPr>
                                <w:rFonts w:hint="eastAsia" w:ascii="Times New Roman" w:hAnsi="Times New Roman" w:cs="Times New Roman"/>
                                <w:szCs w:val="24"/>
                                <w:lang w:val="en-US" w:eastAsia="zh-CN"/>
                              </w:rPr>
                              <w:t>1</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1.5pt;margin-top:23.4pt;height:110.6pt;width:58.5pt;mso-position-horizontal-relative:margin;z-index:251669504;mso-width-relative:page;mso-height-relative:margin;mso-height-percent:200;" fillcolor="#FFFFFF" filled="t" stroked="f" coordsize="21600,21600" o:gfxdata="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&#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bRtAa2AAAAAoBAAAPAAAAAAAAAAEAIAAAACIAAABk&#10;cnMvZG93bnJldi54bWxQSwECFAAUAAAACACHTuJApPFVYj8CAABaBAAADgAAAAAAAAABACAAAAAn&#10;AQAAZHJzL2Uyb0RvYy54bWxQSwUGAAAAAAYABgBZAQAA2AUAAAAA&#10;">
                <v:fill on="t" focussize="0,0"/>
                <v:stroke on="f" miterlimit="8" joinstyle="miter"/>
                <v:imagedata o:title=""/>
                <o:lock v:ext="edit" aspectratio="f"/>
                <v:textbox style="mso-fit-shape-to-text:t;">
                  <w:txbxContent>
                    <w:p w14:paraId="488E19EF">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7</w:t>
                      </w:r>
                      <w:r>
                        <w:rPr>
                          <w:rFonts w:hint="eastAsia" w:ascii="Times New Roman" w:hAnsi="Times New Roman" w:cs="Times New Roman"/>
                          <w:szCs w:val="24"/>
                        </w:rPr>
                        <w:t>.</w:t>
                      </w:r>
                      <w:r>
                        <w:rPr>
                          <w:rFonts w:hint="eastAsia" w:ascii="Times New Roman" w:hAnsi="Times New Roman" w:cs="Times New Roman"/>
                          <w:szCs w:val="24"/>
                          <w:lang w:val="en-US" w:eastAsia="zh-CN"/>
                        </w:rPr>
                        <w:t>1</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hint="eastAsia"/>
          <w:kern w:val="0"/>
          <w:lang w:bidi="zh-CN"/>
        </w:rPr>
        <w:t>屋顶空间利用度按下式计算：</w:t>
      </w:r>
    </w:p>
    <w:p w14:paraId="3D3061C2">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rv</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sSubSup>
                    <m:sSubSupPr>
                      <m:ctrlPr>
                        <w:rPr>
                          <w:rFonts w:ascii="Cambria Math" w:hAnsi="Cambria Math"/>
                          <w:i/>
                          <w:iCs/>
                          <w:kern w:val="0"/>
                          <w:szCs w:val="18"/>
                        </w:rPr>
                      </m:ctrlPr>
                    </m:sSubSupPr>
                    <m:e>
                      <m:r>
                        <m:rPr/>
                        <w:rPr>
                          <w:rFonts w:ascii="Cambria Math" w:hAnsi="Cambria Math"/>
                          <w:kern w:val="0"/>
                          <w:szCs w:val="18"/>
                        </w:rPr>
                        <m:t>Σ</m:t>
                      </m:r>
                      <m:ctrlPr>
                        <w:rPr>
                          <w:rFonts w:ascii="Cambria Math" w:hAnsi="Cambria Math"/>
                          <w:i/>
                          <w:iCs/>
                          <w:kern w:val="0"/>
                          <w:szCs w:val="18"/>
                        </w:rPr>
                      </m:ctrlPr>
                    </m:e>
                    <m:sub>
                      <m:r>
                        <m:rPr/>
                        <w:rPr>
                          <w:rFonts w:ascii="Cambria Math" w:hAnsi="Cambria Math"/>
                          <w:kern w:val="0"/>
                          <w:szCs w:val="18"/>
                        </w:rPr>
                        <m:t>ⅈ=1</m:t>
                      </m:r>
                      <m:ctrlPr>
                        <w:rPr>
                          <w:rFonts w:ascii="Cambria Math" w:hAnsi="Cambria Math"/>
                          <w:i/>
                          <w:iCs/>
                          <w:kern w:val="0"/>
                          <w:szCs w:val="18"/>
                        </w:rPr>
                      </m:ctrlPr>
                    </m:sub>
                    <m:sup>
                      <m:r>
                        <m:rPr/>
                        <w:rPr>
                          <w:rFonts w:ascii="Cambria Math" w:hAnsi="Cambria Math"/>
                          <w:kern w:val="0"/>
                          <w:szCs w:val="18"/>
                        </w:rPr>
                        <m:t>n</m:t>
                      </m:r>
                      <m:ctrlPr>
                        <w:rPr>
                          <w:rFonts w:ascii="Cambria Math" w:hAnsi="Cambria Math"/>
                          <w:i/>
                          <w:iCs/>
                          <w:kern w:val="0"/>
                          <w:szCs w:val="18"/>
                        </w:rPr>
                      </m:ctrlPr>
                    </m:sup>
                  </m:sSubSup>
                  <m:r>
                    <m:rPr>
                      <m:sty m:val="p"/>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ri</m:t>
                      </m:r>
                      <m:ctrlPr>
                        <w:rPr>
                          <w:rFonts w:ascii="Cambria Math" w:hAnsi="Cambria Math"/>
                          <w:kern w:val="0"/>
                          <w:sz w:val="21"/>
                          <w:szCs w:val="21"/>
                        </w:rPr>
                      </m:ctrlPr>
                    </m:sub>
                  </m:sSub>
                  <m:r>
                    <m:rPr>
                      <m:sty m:val="p"/>
                    </m:rPr>
                    <w:rPr>
                      <w:rFonts w:hint="eastAsia" w:ascii="Cambria Math" w:hAnsi="Cambria Math"/>
                      <w:kern w:val="0"/>
                      <w:sz w:val="21"/>
                      <w:szCs w:val="21"/>
                    </w:rPr>
                    <m:t>×</m:t>
                  </m:r>
                  <m:r>
                    <m:rPr>
                      <m:sty m:val="p"/>
                    </m:rPr>
                    <w:rPr>
                      <w:rFonts w:ascii="Cambria Math" w:hAnsi="Cambria Math"/>
                      <w:kern w:val="0"/>
                      <w:sz w:val="21"/>
                      <w:szCs w:val="21"/>
                    </w:rPr>
                    <m:t>W</m:t>
                  </m:r>
                  <m:ctrlPr>
                    <w:rPr>
                      <w:rFonts w:ascii="Cambria Math" w:hAnsi="Cambria Math"/>
                      <w:kern w:val="0"/>
                      <w:sz w:val="21"/>
                      <w:szCs w:val="21"/>
                    </w:rPr>
                  </m:ctrlPr>
                </m:e>
                <m:sub>
                  <m:r>
                    <m:rPr/>
                    <w:rPr>
                      <w:rFonts w:ascii="Cambria Math" w:hAnsi="Cambria Math"/>
                      <w:kern w:val="0"/>
                      <w:sz w:val="21"/>
                      <w:szCs w:val="21"/>
                    </w:rPr>
                    <m:t>r</m:t>
                  </m:r>
                  <m:ctrlPr>
                    <w:rPr>
                      <w:rFonts w:ascii="Cambria Math" w:hAnsi="Cambria Math"/>
                      <w:kern w:val="0"/>
                      <w:sz w:val="21"/>
                      <w:szCs w:val="21"/>
                    </w:rPr>
                  </m:ctrlPr>
                </m:sub>
              </m:sSub>
              <m:r>
                <m:rPr/>
                <w:rPr>
                  <w:rFonts w:ascii="Cambria Math" w:hAnsi="Cambria Math"/>
                  <w:kern w:val="0"/>
                  <w:sz w:val="21"/>
                  <w:szCs w:val="21"/>
                </w:rPr>
                <m:t>)</m:t>
              </m:r>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rz</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 xml:space="preserve"> 式中：</w:t>
      </w:r>
    </w:p>
    <w:p w14:paraId="042314A4">
      <w:pPr>
        <w:pStyle w:val="20"/>
        <w:overflowPunct w:val="0"/>
        <w:spacing w:line="360" w:lineRule="auto"/>
        <w:ind w:right="210"/>
        <w:rPr>
          <w:kern w:val="0"/>
          <w:sz w:val="24"/>
          <w:szCs w:val="24"/>
        </w:rPr>
      </w:pPr>
      <w:r>
        <w:rPr>
          <w:rFonts w:hint="eastAsia"/>
          <w:kern w:val="0"/>
          <w:sz w:val="24"/>
          <w:szCs w:val="24"/>
        </w:rPr>
        <w:t>L</w:t>
      </w:r>
      <w:r>
        <w:rPr>
          <w:rFonts w:hint="eastAsia"/>
          <w:i/>
          <w:iCs/>
          <w:kern w:val="0"/>
          <w:sz w:val="24"/>
          <w:szCs w:val="24"/>
          <w:vertAlign w:val="subscript"/>
        </w:rPr>
        <w:t>rv</w:t>
      </w:r>
      <w:r>
        <w:rPr>
          <w:rFonts w:hint="eastAsia"/>
          <w:kern w:val="0"/>
          <w:sz w:val="24"/>
          <w:szCs w:val="24"/>
        </w:rPr>
        <w:t>——屋顶空间利用度；</w:t>
      </w:r>
    </w:p>
    <w:p w14:paraId="50DB7DCA">
      <w:pPr>
        <w:pStyle w:val="20"/>
        <w:overflowPunct w:val="0"/>
        <w:spacing w:line="360" w:lineRule="auto"/>
        <w:ind w:right="210"/>
        <w:rPr>
          <w:kern w:val="0"/>
          <w:sz w:val="24"/>
          <w:szCs w:val="24"/>
        </w:rPr>
      </w:pPr>
      <w:r>
        <w:rPr>
          <w:rFonts w:hint="eastAsia"/>
          <w:kern w:val="0"/>
          <w:sz w:val="24"/>
          <w:szCs w:val="24"/>
        </w:rPr>
        <w:t>S</w:t>
      </w:r>
      <w:r>
        <w:rPr>
          <w:rFonts w:hint="eastAsia"/>
          <w:kern w:val="0"/>
          <w:sz w:val="24"/>
          <w:szCs w:val="24"/>
          <w:vertAlign w:val="subscript"/>
        </w:rPr>
        <w:t>ri</w:t>
      </w:r>
      <w:r>
        <w:rPr>
          <w:rFonts w:hint="eastAsia"/>
          <w:kern w:val="0"/>
          <w:sz w:val="24"/>
          <w:szCs w:val="24"/>
        </w:rPr>
        <w:t>——第i个可使用屋顶的面积（m</w:t>
      </w:r>
      <w:r>
        <w:rPr>
          <w:rFonts w:hint="eastAsia"/>
          <w:kern w:val="0"/>
          <w:sz w:val="24"/>
          <w:szCs w:val="24"/>
          <w:vertAlign w:val="superscript"/>
        </w:rPr>
        <w:t>2</w:t>
      </w:r>
      <w:r>
        <w:rPr>
          <w:rFonts w:hint="eastAsia"/>
          <w:kern w:val="0"/>
          <w:sz w:val="24"/>
          <w:szCs w:val="24"/>
        </w:rPr>
        <w:t>）；</w:t>
      </w:r>
    </w:p>
    <w:p w14:paraId="0F75A0A7">
      <w:pPr>
        <w:pStyle w:val="20"/>
        <w:overflowPunct w:val="0"/>
        <w:spacing w:line="360" w:lineRule="auto"/>
        <w:ind w:right="210"/>
        <w:rPr>
          <w:kern w:val="0"/>
          <w:sz w:val="24"/>
          <w:szCs w:val="24"/>
        </w:rPr>
      </w:pPr>
      <w:r>
        <w:rPr>
          <w:rFonts w:hint="eastAsia"/>
          <w:kern w:val="0"/>
          <w:sz w:val="24"/>
          <w:szCs w:val="24"/>
        </w:rPr>
        <w:t>W</w:t>
      </w:r>
      <w:r>
        <w:rPr>
          <w:rFonts w:hint="eastAsia"/>
          <w:kern w:val="0"/>
          <w:sz w:val="24"/>
          <w:szCs w:val="24"/>
          <w:vertAlign w:val="subscript"/>
        </w:rPr>
        <w:t>r</w:t>
      </w:r>
      <w:r>
        <w:rPr>
          <w:rFonts w:hint="eastAsia"/>
          <w:kern w:val="0"/>
          <w:sz w:val="24"/>
          <w:szCs w:val="24"/>
        </w:rPr>
        <w:t>——根据使用用途所赋予的权重；</w:t>
      </w:r>
    </w:p>
    <w:p w14:paraId="2EA0DA38">
      <w:pPr>
        <w:pStyle w:val="20"/>
        <w:overflowPunct w:val="0"/>
        <w:spacing w:line="360" w:lineRule="auto"/>
        <w:ind w:right="210"/>
        <w:rPr>
          <w:kern w:val="0"/>
          <w:sz w:val="24"/>
          <w:szCs w:val="24"/>
        </w:rPr>
      </w:pPr>
      <w:r>
        <w:rPr>
          <w:rFonts w:hint="eastAsia"/>
          <w:kern w:val="0"/>
          <w:sz w:val="24"/>
          <w:szCs w:val="24"/>
        </w:rPr>
        <w:t>S</w:t>
      </w:r>
      <w:r>
        <w:rPr>
          <w:rFonts w:hint="eastAsia"/>
          <w:kern w:val="0"/>
          <w:sz w:val="24"/>
          <w:szCs w:val="24"/>
          <w:vertAlign w:val="subscript"/>
        </w:rPr>
        <w:t>rz</w:t>
      </w:r>
      <w:r>
        <w:rPr>
          <w:rFonts w:hint="eastAsia"/>
          <w:kern w:val="0"/>
          <w:sz w:val="24"/>
          <w:szCs w:val="24"/>
        </w:rPr>
        <w:t>——屋顶总面积（m</w:t>
      </w:r>
      <w:r>
        <w:rPr>
          <w:rFonts w:hint="eastAsia"/>
          <w:kern w:val="0"/>
          <w:sz w:val="24"/>
          <w:szCs w:val="24"/>
          <w:vertAlign w:val="superscript"/>
        </w:rPr>
        <w:t>2</w:t>
      </w:r>
      <w:r>
        <w:rPr>
          <w:rFonts w:hint="eastAsia"/>
          <w:kern w:val="0"/>
          <w:sz w:val="24"/>
          <w:szCs w:val="24"/>
        </w:rPr>
        <w:t>）；</w:t>
      </w:r>
    </w:p>
    <w:p w14:paraId="2D08E035">
      <w:pPr>
        <w:pStyle w:val="56"/>
        <w:numPr>
          <w:ilvl w:val="0"/>
          <w:numId w:val="0"/>
        </w:numPr>
        <w:spacing w:line="360" w:lineRule="auto"/>
        <w:ind w:firstLine="420"/>
        <w:rPr>
          <w:rFonts w:hint="eastAsia"/>
          <w:lang w:bidi="zh-CN"/>
        </w:rPr>
      </w:pPr>
      <w:r>
        <w:rPr>
          <w:rFonts w:hint="eastAsia"/>
          <w:lang w:bidi="zh-CN"/>
        </w:rPr>
        <w:t>注：权重系数根据</w:t>
      </w:r>
      <w:r>
        <w:rPr>
          <w:rFonts w:hint="eastAsia"/>
        </w:rPr>
        <w:t>利用方式确定</w:t>
      </w:r>
      <w:r>
        <w:rPr>
          <w:rFonts w:hint="eastAsia"/>
          <w:lang w:bidi="zh-CN"/>
        </w:rPr>
        <w:t>，屋顶活动、</w:t>
      </w:r>
      <w:r>
        <w:rPr>
          <w:rFonts w:hint="eastAsia"/>
        </w:rPr>
        <w:t>屋顶绿地、屋顶光伏设备为1</w:t>
      </w:r>
      <w:r>
        <w:t>.0</w:t>
      </w:r>
      <w:r>
        <w:rPr>
          <w:rFonts w:hint="eastAsia"/>
        </w:rPr>
        <w:t>，其他屋顶设备为0</w:t>
      </w:r>
      <w:r>
        <w:t>.3</w:t>
      </w:r>
      <w:r>
        <w:rPr>
          <w:rFonts w:hint="eastAsia"/>
        </w:rPr>
        <w:t>，空置为0</w:t>
      </w:r>
      <w:r>
        <w:rPr>
          <w:rFonts w:hint="eastAsia"/>
          <w:lang w:bidi="zh-CN"/>
        </w:rPr>
        <w:t>。</w:t>
      </w:r>
    </w:p>
    <w:p w14:paraId="20059A57">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7</w:t>
      </w:r>
      <w:r>
        <w:rPr>
          <w:rFonts w:ascii="Times New Roman" w:hAnsi="Times New Roman"/>
          <w:kern w:val="0"/>
        </w:rPr>
        <w:t>.</w:t>
      </w:r>
      <w:r>
        <w:rPr>
          <w:rFonts w:hint="eastAsia" w:ascii="Times New Roman" w:hAnsi="Times New Roman"/>
          <w:kern w:val="0"/>
        </w:rPr>
        <w:t>1</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11FEB83A">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7</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1</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屋顶空间利用度</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059C47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73EE3A85">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1547FC07">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390C1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577C34BB">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rv</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 xml:space="preserve">6   </w:t>
            </w:r>
          </w:p>
        </w:tc>
        <w:tc>
          <w:tcPr>
            <w:tcW w:w="1555" w:type="dxa"/>
            <w:vAlign w:val="center"/>
          </w:tcPr>
          <w:p w14:paraId="52FFC3EC">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43E97C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F75451E">
            <w:pPr>
              <w:overflowPunct w:val="0"/>
              <w:spacing w:line="360" w:lineRule="auto"/>
              <w:jc w:val="center"/>
              <w:rPr>
                <w:rFonts w:hint="eastAsia" w:ascii="宋体" w:hAnsi="宋体" w:eastAsia="宋体" w:cs="Times New Roman"/>
                <w:bCs/>
                <w:kern w:val="0"/>
                <w:szCs w:val="21"/>
                <w:lang w:val="zh-CN" w:bidi="zh-CN"/>
              </w:rPr>
            </w:pPr>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3</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rv</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6</w:t>
            </w:r>
          </w:p>
        </w:tc>
        <w:tc>
          <w:tcPr>
            <w:tcW w:w="1555" w:type="dxa"/>
            <w:vAlign w:val="center"/>
          </w:tcPr>
          <w:p w14:paraId="70E95EDF">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33BB1A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6F4A2132">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rv</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3</w:t>
            </w:r>
          </w:p>
        </w:tc>
        <w:tc>
          <w:tcPr>
            <w:tcW w:w="1555" w:type="dxa"/>
            <w:vAlign w:val="center"/>
          </w:tcPr>
          <w:p w14:paraId="09E866C4">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40ACAD7C">
      <w:pPr>
        <w:pStyle w:val="56"/>
        <w:numPr>
          <w:ilvl w:val="0"/>
          <w:numId w:val="0"/>
        </w:numPr>
        <w:overflowPunct w:val="0"/>
        <w:spacing w:line="360" w:lineRule="auto"/>
        <w:ind w:right="84" w:rightChars="40"/>
        <w:jc w:val="both"/>
        <w:rPr>
          <w:rFonts w:ascii="Times New Roman" w:hAnsi="Times New Roman"/>
          <w:b/>
          <w:bCs/>
          <w:kern w:val="0"/>
          <w:lang w:val="zh-CN" w:bidi="zh-CN"/>
        </w:rPr>
      </w:pPr>
    </w:p>
    <w:p w14:paraId="5A811FCF">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zh-CN" w:eastAsia="zh-CN" w:bidi="ar"/>
        </w:rPr>
      </w:pPr>
      <w:r>
        <w:rPr>
          <w:rFonts w:hint="eastAsia" w:ascii="楷体" w:hAnsi="楷体" w:eastAsia="楷体" w:cs="楷体"/>
          <w:b/>
          <w:bCs/>
          <w:color w:val="000000"/>
          <w:kern w:val="0"/>
          <w:sz w:val="20"/>
          <w:szCs w:val="20"/>
          <w:lang w:val="en-US" w:eastAsia="zh-CN" w:bidi="ar"/>
        </w:rPr>
        <w:t>条文</w:t>
      </w:r>
      <w:r>
        <w:rPr>
          <w:rFonts w:hint="eastAsia" w:ascii="楷体" w:hAnsi="楷体" w:eastAsia="楷体" w:cs="楷体"/>
          <w:b/>
          <w:bCs/>
          <w:color w:val="000000"/>
          <w:kern w:val="0"/>
          <w:sz w:val="20"/>
          <w:szCs w:val="20"/>
          <w:lang w:val="zh-CN" w:eastAsia="zh-CN" w:bidi="ar"/>
        </w:rPr>
        <w:t>说明：</w:t>
      </w:r>
    </w:p>
    <w:p w14:paraId="1DC0C49C">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本条对屋顶空间的利用提出要求。根据深圳市工程建设地方标准《城市第六立面设计标准》SJG 195 – 2025，建筑屋顶空间应划分屋顶活动区、屋顶绿化区、屋顶设备区等。其中，建筑屋顶活动可包含休闲游憩、体育活动、商业文娱；建筑屋顶绿化可分为花园式屋顶绿化及简单式屋顶绿化，当屋顶坡度为 10%~30%时宜选用简单式屋顶绿化，当屋顶坡度为 2%~10%时可选用花园式屋顶绿化或简单式屋顶绿化；屋顶设备与屋面相关附属设施应结合屋顶功能布局、屋顶造型、屋顶绿化进行整体设计，建筑屋顶安装太阳能系统时宜采用太阳能光伏发电系统。相对其他屋顶设备，鼓励屋顶光伏设备的布局使用。</w:t>
      </w:r>
    </w:p>
    <w:p w14:paraId="07435B1C">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增强对屋顶空间的利用，增设屋顶活动、屋顶绿化、屋顶光伏设备，有利于拓展居民活动空间，美化城市风貌景观，推进绿色建筑发展。</w:t>
      </w:r>
    </w:p>
    <w:p w14:paraId="3E0AEAC2">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屋顶空间利用情况数据可通过现场测量统计，或从有关部门调取规划设计方案图纸进行获取。</w:t>
      </w:r>
    </w:p>
    <w:p w14:paraId="43DCE70C">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本条的评估方法为：实地调研、现场核查、从相关部门获取资料。</w:t>
      </w:r>
    </w:p>
    <w:p w14:paraId="036D9383">
      <w:pPr>
        <w:pStyle w:val="56"/>
        <w:numPr>
          <w:ilvl w:val="0"/>
          <w:numId w:val="0"/>
        </w:numPr>
        <w:overflowPunct w:val="0"/>
        <w:spacing w:line="360" w:lineRule="auto"/>
        <w:ind w:right="84" w:rightChars="40"/>
        <w:jc w:val="both"/>
        <w:rPr>
          <w:rFonts w:ascii="Times New Roman" w:hAnsi="Times New Roman"/>
          <w:b/>
          <w:bCs/>
          <w:kern w:val="0"/>
          <w:lang w:bidi="zh-CN"/>
        </w:rPr>
      </w:pPr>
    </w:p>
    <w:p w14:paraId="1C740037">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宋体" w:cs="Times New Roman"/>
          <w:bCs/>
          <w:kern w:val="0"/>
          <w:sz w:val="28"/>
          <w:szCs w:val="24"/>
          <w:lang w:bidi="zh-CN"/>
        </w:rPr>
      </w:pPr>
      <w:bookmarkStart w:id="51" w:name="_Toc12287"/>
      <w:r>
        <w:rPr>
          <w:rFonts w:hint="eastAsia" w:ascii="Times New Roman" w:hAnsi="Times New Roman" w:eastAsia="宋体" w:cs="Times New Roman"/>
          <w:bCs/>
          <w:kern w:val="0"/>
          <w:sz w:val="28"/>
          <w:szCs w:val="24"/>
          <w:lang w:val="en-US" w:bidi="zh-CN"/>
        </w:rPr>
        <w:t>7</w:t>
      </w:r>
      <w:r>
        <w:rPr>
          <w:rFonts w:hint="eastAsia" w:ascii="Times New Roman" w:hAnsi="Times New Roman" w:eastAsia="宋体" w:cs="Times New Roman"/>
          <w:bCs/>
          <w:kern w:val="0"/>
          <w:sz w:val="28"/>
          <w:szCs w:val="24"/>
          <w:lang w:bidi="zh-CN"/>
        </w:rPr>
        <w:t xml:space="preserve">.2 </w:t>
      </w:r>
      <w:r>
        <w:rPr>
          <w:rFonts w:hint="eastAsia" w:ascii="Times New Roman" w:hAnsi="Times New Roman" w:eastAsia="黑体" w:cs="Times New Roman"/>
          <w:bCs/>
          <w:kern w:val="0"/>
          <w:sz w:val="28"/>
          <w:szCs w:val="24"/>
          <w:lang w:bidi="zh-CN"/>
        </w:rPr>
        <w:t>地面畸零空间利用度</w:t>
      </w:r>
      <w:bookmarkEnd w:id="51"/>
    </w:p>
    <w:p w14:paraId="4E708A6B">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地面畸零空间利用度指城市高强度片区内地面畸零空间进行合理改造利用的程度，包括改造为活动场地、绿地、停车场功能。</w:t>
      </w:r>
    </w:p>
    <w:p w14:paraId="4DE02127">
      <w:pPr>
        <w:pStyle w:val="56"/>
        <w:numPr>
          <w:ilvl w:val="0"/>
          <w:numId w:val="0"/>
        </w:numPr>
        <w:overflowPunct w:val="0"/>
        <w:spacing w:line="360" w:lineRule="auto"/>
        <w:ind w:right="84" w:rightChars="40"/>
        <w:jc w:val="both"/>
        <w:rPr>
          <w:rFonts w:ascii="Times New Roman" w:hAnsi="Times New Roman"/>
          <w:kern w:val="0"/>
          <w:lang w:val="zh-CN" w:bidi="zh-CN"/>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70528" behindDoc="0" locked="0" layoutInCell="1" allowOverlap="1">
                <wp:simplePos x="0" y="0"/>
                <wp:positionH relativeFrom="margin">
                  <wp:align>right</wp:align>
                </wp:positionH>
                <wp:positionV relativeFrom="paragraph">
                  <wp:posOffset>306705</wp:posOffset>
                </wp:positionV>
                <wp:extent cx="737870" cy="1404620"/>
                <wp:effectExtent l="0" t="0" r="5080" b="6350"/>
                <wp:wrapNone/>
                <wp:docPr id="174142398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38187" cy="1404620"/>
                        </a:xfrm>
                        <a:prstGeom prst="rect">
                          <a:avLst/>
                        </a:prstGeom>
                        <a:solidFill>
                          <a:srgbClr val="FFFFFF"/>
                        </a:solidFill>
                        <a:ln w="9525">
                          <a:noFill/>
                          <a:miter lim="800000"/>
                        </a:ln>
                      </wps:spPr>
                      <wps:txbx>
                        <w:txbxContent>
                          <w:p w14:paraId="6EEE7A8B">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7</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hint="eastAsia" w:ascii="Times New Roman" w:hAnsi="Times New Roman" w:cs="Times New Roman"/>
                                <w:szCs w:val="24"/>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24.15pt;height:110.6pt;width:58.1pt;mso-position-horizontal:right;mso-position-horizontal-relative:margin;z-index:251670528;mso-width-relative:page;mso-height-relative:margin;mso-height-percent:200;" fillcolor="#FFFFFF" filled="t" stroked="f" coordsize="21600,21600" o:gfxdata="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&#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y4ZtDVAAAABwEAAA8AAAAAAAAAAQAgAAAAIgAAAGRy&#10;cy9kb3ducmV2LnhtbFBLAQIUABQAAAAIAIdO4kAenpnsQQIAAFsEAAAOAAAAAAAAAAEAIAAAACQB&#10;AABkcnMvZTJvRG9jLnhtbFBLBQYAAAAABgAGAFkBAADXBQAAAAA=&#10;">
                <v:fill on="t" focussize="0,0"/>
                <v:stroke on="f" miterlimit="8" joinstyle="miter"/>
                <v:imagedata o:title=""/>
                <o:lock v:ext="edit" aspectratio="f"/>
                <v:textbox style="mso-fit-shape-to-text:t;">
                  <w:txbxContent>
                    <w:p w14:paraId="6EEE7A8B">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7</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hint="eastAsia" w:ascii="Times New Roman" w:hAnsi="Times New Roman" w:cs="Times New Roman"/>
                          <w:szCs w:val="24"/>
                        </w:rPr>
                        <w:t>.2</w:t>
                      </w:r>
                      <w:r>
                        <w:rPr>
                          <w:rFonts w:ascii="Times New Roman" w:hAnsi="Times New Roman" w:cs="Times New Roman"/>
                          <w:szCs w:val="24"/>
                        </w:rPr>
                        <w:t>）</w:t>
                      </w:r>
                    </w:p>
                  </w:txbxContent>
                </v:textbox>
              </v:shape>
            </w:pict>
          </mc:Fallback>
        </mc:AlternateContent>
      </w:r>
      <w:r>
        <w:rPr>
          <w:rFonts w:hint="eastAsia"/>
          <w:kern w:val="0"/>
        </w:rPr>
        <w:t>地面畸零空间利用度按下式计算：</w:t>
      </w:r>
    </w:p>
    <w:p w14:paraId="2A64BC59">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gv</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sSubSup>
                    <m:sSubSupPr>
                      <m:ctrlPr>
                        <w:rPr>
                          <w:rFonts w:ascii="Cambria Math" w:hAnsi="Cambria Math"/>
                          <w:i/>
                          <w:iCs/>
                          <w:kern w:val="0"/>
                          <w:szCs w:val="18"/>
                        </w:rPr>
                      </m:ctrlPr>
                    </m:sSubSupPr>
                    <m:e>
                      <m:r>
                        <m:rPr/>
                        <w:rPr>
                          <w:rFonts w:ascii="Cambria Math" w:hAnsi="Cambria Math"/>
                          <w:kern w:val="0"/>
                          <w:szCs w:val="18"/>
                        </w:rPr>
                        <m:t>Σ</m:t>
                      </m:r>
                      <m:ctrlPr>
                        <w:rPr>
                          <w:rFonts w:ascii="Cambria Math" w:hAnsi="Cambria Math"/>
                          <w:i/>
                          <w:iCs/>
                          <w:kern w:val="0"/>
                          <w:szCs w:val="18"/>
                        </w:rPr>
                      </m:ctrlPr>
                    </m:e>
                    <m:sub>
                      <m:r>
                        <m:rPr/>
                        <w:rPr>
                          <w:rFonts w:ascii="Cambria Math" w:hAnsi="Cambria Math"/>
                          <w:kern w:val="0"/>
                          <w:szCs w:val="18"/>
                        </w:rPr>
                        <m:t>ⅈ=1</m:t>
                      </m:r>
                      <m:ctrlPr>
                        <w:rPr>
                          <w:rFonts w:ascii="Cambria Math" w:hAnsi="Cambria Math"/>
                          <w:i/>
                          <w:iCs/>
                          <w:kern w:val="0"/>
                          <w:szCs w:val="18"/>
                        </w:rPr>
                      </m:ctrlPr>
                    </m:sub>
                    <m:sup>
                      <m:r>
                        <m:rPr/>
                        <w:rPr>
                          <w:rFonts w:ascii="Cambria Math" w:hAnsi="Cambria Math"/>
                          <w:kern w:val="0"/>
                          <w:szCs w:val="18"/>
                        </w:rPr>
                        <m:t>n</m:t>
                      </m:r>
                      <m:ctrlPr>
                        <w:rPr>
                          <w:rFonts w:ascii="Cambria Math" w:hAnsi="Cambria Math"/>
                          <w:i/>
                          <w:iCs/>
                          <w:kern w:val="0"/>
                          <w:szCs w:val="18"/>
                        </w:rPr>
                      </m:ctrlPr>
                    </m:sup>
                  </m:sSubSup>
                  <m:r>
                    <m:rPr>
                      <m:sty m:val="p"/>
                    </m:rPr>
                    <w:rPr>
                      <w:rFonts w:ascii="Cambria Math" w:hAnsi="Cambria Math"/>
                      <w:kern w:val="0"/>
                      <w:sz w:val="21"/>
                      <w:szCs w:val="21"/>
                    </w:rPr>
                    <m:t>(</m:t>
                  </m:r>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gi</m:t>
                      </m:r>
                      <m:ctrlPr>
                        <w:rPr>
                          <w:rFonts w:ascii="Cambria Math" w:hAnsi="Cambria Math"/>
                          <w:kern w:val="0"/>
                          <w:sz w:val="21"/>
                          <w:szCs w:val="21"/>
                        </w:rPr>
                      </m:ctrlPr>
                    </m:sub>
                  </m:sSub>
                  <m:r>
                    <m:rPr>
                      <m:sty m:val="p"/>
                    </m:rPr>
                    <w:rPr>
                      <w:rFonts w:hint="eastAsia" w:ascii="Cambria Math" w:hAnsi="Cambria Math"/>
                      <w:kern w:val="0"/>
                      <w:sz w:val="21"/>
                      <w:szCs w:val="21"/>
                    </w:rPr>
                    <m:t>×</m:t>
                  </m:r>
                  <m:r>
                    <m:rPr>
                      <m:sty m:val="p"/>
                    </m:rPr>
                    <w:rPr>
                      <w:rFonts w:ascii="Cambria Math" w:hAnsi="Cambria Math"/>
                      <w:kern w:val="0"/>
                      <w:sz w:val="21"/>
                      <w:szCs w:val="21"/>
                    </w:rPr>
                    <m:t>W</m:t>
                  </m:r>
                  <m:ctrlPr>
                    <w:rPr>
                      <w:rFonts w:ascii="Cambria Math" w:hAnsi="Cambria Math"/>
                      <w:kern w:val="0"/>
                      <w:sz w:val="21"/>
                      <w:szCs w:val="21"/>
                    </w:rPr>
                  </m:ctrlPr>
                </m:e>
                <m:sub>
                  <m:r>
                    <m:rPr/>
                    <w:rPr>
                      <w:rFonts w:ascii="Cambria Math" w:hAnsi="Cambria Math"/>
                      <w:kern w:val="0"/>
                      <w:sz w:val="21"/>
                      <w:szCs w:val="21"/>
                    </w:rPr>
                    <m:t>g</m:t>
                  </m:r>
                  <m:ctrlPr>
                    <w:rPr>
                      <w:rFonts w:ascii="Cambria Math" w:hAnsi="Cambria Math"/>
                      <w:kern w:val="0"/>
                      <w:sz w:val="21"/>
                      <w:szCs w:val="21"/>
                    </w:rPr>
                  </m:ctrlPr>
                </m:sub>
              </m:sSub>
              <m:r>
                <m:rPr/>
                <w:rPr>
                  <w:rFonts w:ascii="Cambria Math" w:hAnsi="Cambria Math"/>
                  <w:kern w:val="0"/>
                  <w:sz w:val="21"/>
                  <w:szCs w:val="21"/>
                </w:rPr>
                <m:t>)</m:t>
              </m:r>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S</m:t>
                  </m:r>
                  <m:ctrlPr>
                    <w:rPr>
                      <w:rFonts w:ascii="Cambria Math" w:hAnsi="Cambria Math"/>
                      <w:kern w:val="0"/>
                      <w:sz w:val="21"/>
                      <w:szCs w:val="21"/>
                    </w:rPr>
                  </m:ctrlPr>
                </m:e>
                <m:sub>
                  <m:r>
                    <m:rPr/>
                    <w:rPr>
                      <w:rFonts w:ascii="Cambria Math" w:hAnsi="Cambria Math"/>
                      <w:kern w:val="0"/>
                      <w:sz w:val="21"/>
                      <w:szCs w:val="21"/>
                    </w:rPr>
                    <m:t>gz</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 xml:space="preserve"> 式中：</w:t>
      </w:r>
    </w:p>
    <w:p w14:paraId="759A5A60">
      <w:pPr>
        <w:pStyle w:val="20"/>
        <w:overflowPunct w:val="0"/>
        <w:spacing w:line="360" w:lineRule="auto"/>
        <w:ind w:right="210"/>
        <w:rPr>
          <w:kern w:val="0"/>
          <w:sz w:val="24"/>
          <w:szCs w:val="24"/>
        </w:rPr>
      </w:pPr>
      <w:r>
        <w:rPr>
          <w:rFonts w:hint="eastAsia"/>
          <w:kern w:val="0"/>
          <w:sz w:val="24"/>
          <w:szCs w:val="24"/>
        </w:rPr>
        <w:t>L</w:t>
      </w:r>
      <w:r>
        <w:rPr>
          <w:rFonts w:hint="eastAsia"/>
          <w:i/>
          <w:iCs/>
          <w:kern w:val="0"/>
          <w:sz w:val="24"/>
          <w:szCs w:val="24"/>
          <w:vertAlign w:val="subscript"/>
        </w:rPr>
        <w:t>gv</w:t>
      </w:r>
      <w:r>
        <w:rPr>
          <w:rFonts w:hint="eastAsia"/>
          <w:kern w:val="0"/>
          <w:sz w:val="24"/>
          <w:szCs w:val="24"/>
        </w:rPr>
        <w:t>——地面畸零空间利用度；</w:t>
      </w:r>
    </w:p>
    <w:p w14:paraId="3D8A0FFC">
      <w:pPr>
        <w:pStyle w:val="20"/>
        <w:overflowPunct w:val="0"/>
        <w:spacing w:line="360" w:lineRule="auto"/>
        <w:ind w:right="210"/>
        <w:rPr>
          <w:kern w:val="0"/>
          <w:sz w:val="24"/>
          <w:szCs w:val="24"/>
        </w:rPr>
      </w:pPr>
      <w:r>
        <w:rPr>
          <w:rFonts w:hint="eastAsia"/>
          <w:kern w:val="0"/>
          <w:sz w:val="24"/>
          <w:szCs w:val="24"/>
        </w:rPr>
        <w:t>S</w:t>
      </w:r>
      <w:r>
        <w:rPr>
          <w:rFonts w:hint="eastAsia"/>
          <w:kern w:val="0"/>
          <w:sz w:val="24"/>
          <w:szCs w:val="24"/>
          <w:vertAlign w:val="subscript"/>
        </w:rPr>
        <w:t>gi</w:t>
      </w:r>
      <w:r>
        <w:rPr>
          <w:rFonts w:hint="eastAsia"/>
          <w:kern w:val="0"/>
          <w:sz w:val="24"/>
          <w:szCs w:val="24"/>
        </w:rPr>
        <w:t>——第i个可使用地面畸零空间的面积（m</w:t>
      </w:r>
      <w:r>
        <w:rPr>
          <w:rFonts w:hint="eastAsia"/>
          <w:kern w:val="0"/>
          <w:sz w:val="24"/>
          <w:szCs w:val="24"/>
          <w:vertAlign w:val="superscript"/>
        </w:rPr>
        <w:t>2</w:t>
      </w:r>
      <w:r>
        <w:rPr>
          <w:rFonts w:hint="eastAsia"/>
          <w:kern w:val="0"/>
          <w:sz w:val="24"/>
          <w:szCs w:val="24"/>
        </w:rPr>
        <w:t>）；</w:t>
      </w:r>
    </w:p>
    <w:p w14:paraId="7493FACE">
      <w:pPr>
        <w:pStyle w:val="20"/>
        <w:overflowPunct w:val="0"/>
        <w:spacing w:line="360" w:lineRule="auto"/>
        <w:ind w:right="210"/>
        <w:rPr>
          <w:kern w:val="0"/>
          <w:sz w:val="24"/>
          <w:szCs w:val="24"/>
        </w:rPr>
      </w:pPr>
      <w:r>
        <w:rPr>
          <w:rFonts w:hint="eastAsia"/>
          <w:kern w:val="0"/>
          <w:sz w:val="24"/>
          <w:szCs w:val="24"/>
        </w:rPr>
        <w:t>W</w:t>
      </w:r>
      <w:r>
        <w:rPr>
          <w:rFonts w:hint="eastAsia"/>
          <w:kern w:val="0"/>
          <w:sz w:val="24"/>
          <w:szCs w:val="24"/>
          <w:vertAlign w:val="subscript"/>
        </w:rPr>
        <w:t>g</w:t>
      </w:r>
      <w:r>
        <w:rPr>
          <w:rFonts w:hint="eastAsia"/>
          <w:kern w:val="0"/>
          <w:sz w:val="24"/>
          <w:szCs w:val="24"/>
        </w:rPr>
        <w:t>——根据使用用途所赋予的权重；</w:t>
      </w:r>
    </w:p>
    <w:p w14:paraId="6C099CE1">
      <w:pPr>
        <w:pStyle w:val="20"/>
        <w:overflowPunct w:val="0"/>
        <w:spacing w:line="360" w:lineRule="auto"/>
        <w:ind w:right="210"/>
        <w:rPr>
          <w:kern w:val="0"/>
          <w:sz w:val="24"/>
          <w:szCs w:val="24"/>
        </w:rPr>
      </w:pPr>
      <w:r>
        <w:rPr>
          <w:rFonts w:hint="eastAsia"/>
          <w:kern w:val="0"/>
          <w:sz w:val="24"/>
          <w:szCs w:val="24"/>
        </w:rPr>
        <w:t>S</w:t>
      </w:r>
      <w:r>
        <w:rPr>
          <w:rFonts w:hint="eastAsia"/>
          <w:kern w:val="0"/>
          <w:sz w:val="24"/>
          <w:szCs w:val="24"/>
          <w:vertAlign w:val="subscript"/>
        </w:rPr>
        <w:t>gz</w:t>
      </w:r>
      <w:r>
        <w:rPr>
          <w:rFonts w:hint="eastAsia"/>
          <w:kern w:val="0"/>
          <w:sz w:val="24"/>
          <w:szCs w:val="24"/>
        </w:rPr>
        <w:t>——地面畸零空间总面积（m</w:t>
      </w:r>
      <w:r>
        <w:rPr>
          <w:rFonts w:hint="eastAsia"/>
          <w:kern w:val="0"/>
          <w:sz w:val="24"/>
          <w:szCs w:val="24"/>
          <w:vertAlign w:val="superscript"/>
        </w:rPr>
        <w:t>2</w:t>
      </w:r>
      <w:r>
        <w:rPr>
          <w:rFonts w:hint="eastAsia"/>
          <w:kern w:val="0"/>
          <w:sz w:val="24"/>
          <w:szCs w:val="24"/>
        </w:rPr>
        <w:t>）；</w:t>
      </w:r>
    </w:p>
    <w:p w14:paraId="47D4613E">
      <w:pPr>
        <w:pStyle w:val="56"/>
        <w:numPr>
          <w:ilvl w:val="0"/>
          <w:numId w:val="0"/>
        </w:numPr>
        <w:spacing w:line="360" w:lineRule="auto"/>
        <w:ind w:firstLine="420"/>
        <w:rPr>
          <w:rFonts w:hint="eastAsia"/>
        </w:rPr>
      </w:pPr>
      <w:r>
        <w:rPr>
          <w:rFonts w:hint="eastAsia"/>
        </w:rPr>
        <w:t>注：权重系数根据利用方式确定，开放绿地景观、活动空间、停车空间为1</w:t>
      </w:r>
      <w:r>
        <w:t>.0</w:t>
      </w:r>
      <w:r>
        <w:rPr>
          <w:rFonts w:hint="eastAsia"/>
        </w:rPr>
        <w:t>，不可进入绿地为0</w:t>
      </w:r>
      <w:r>
        <w:t>.3</w:t>
      </w:r>
      <w:r>
        <w:rPr>
          <w:rFonts w:hint="eastAsia"/>
        </w:rPr>
        <w:t>，空置为0。</w:t>
      </w:r>
    </w:p>
    <w:p w14:paraId="4B7BFEE5">
      <w:pPr>
        <w:pStyle w:val="56"/>
        <w:numPr>
          <w:ilvl w:val="0"/>
          <w:numId w:val="0"/>
        </w:numPr>
        <w:overflowPunct w:val="0"/>
        <w:spacing w:line="360" w:lineRule="auto"/>
        <w:ind w:right="84" w:rightChars="40"/>
        <w:jc w:val="both"/>
        <w:rPr>
          <w:rFonts w:hint="eastAsia"/>
          <w:kern w:val="0"/>
        </w:rPr>
      </w:pPr>
    </w:p>
    <w:p w14:paraId="3AFD13B2">
      <w:pPr>
        <w:pStyle w:val="56"/>
        <w:numPr>
          <w:ilvl w:val="0"/>
          <w:numId w:val="0"/>
        </w:numPr>
        <w:overflowPunct w:val="0"/>
        <w:spacing w:line="360" w:lineRule="auto"/>
        <w:ind w:right="84" w:rightChars="40"/>
        <w:jc w:val="both"/>
        <w:rPr>
          <w:rFonts w:ascii="Times New Roman" w:hAnsi="Times New Roman"/>
          <w:kern w:val="0"/>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7</w:t>
      </w:r>
      <w:r>
        <w:rPr>
          <w:rFonts w:ascii="Times New Roman" w:hAnsi="Times New Roman"/>
          <w:kern w:val="0"/>
        </w:rPr>
        <w:t>.</w:t>
      </w:r>
      <w:r>
        <w:rPr>
          <w:rFonts w:hint="eastAsia" w:ascii="Times New Roman" w:hAnsi="Times New Roman"/>
          <w:kern w:val="0"/>
        </w:rPr>
        <w:t>2</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19E961F7">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7</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2</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地面畸零空间利用度</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06B3E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29601374">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65D710FF">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0220F2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ED40D30">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gv</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0.75</w:t>
            </w:r>
            <w:r>
              <w:rPr>
                <w:rFonts w:ascii="宋体" w:hAnsi="宋体" w:eastAsia="宋体" w:cs="Times New Roman"/>
                <w:bCs/>
                <w:kern w:val="0"/>
                <w:szCs w:val="21"/>
                <w:lang w:val="zh-CN" w:bidi="zh-CN"/>
              </w:rPr>
              <w:t xml:space="preserve"> </w:t>
            </w:r>
          </w:p>
        </w:tc>
        <w:tc>
          <w:tcPr>
            <w:tcW w:w="1555" w:type="dxa"/>
            <w:vAlign w:val="center"/>
          </w:tcPr>
          <w:p w14:paraId="680AD1D6">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6A2F7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44F2F1D4">
            <w:pPr>
              <w:overflowPunct w:val="0"/>
              <w:spacing w:line="360" w:lineRule="auto"/>
              <w:jc w:val="center"/>
              <w:rPr>
                <w:rFonts w:hint="eastAsia" w:ascii="宋体" w:hAnsi="宋体" w:eastAsia="宋体" w:cs="Times New Roman"/>
                <w:bCs/>
                <w:kern w:val="0"/>
                <w:szCs w:val="21"/>
                <w:lang w:val="zh-CN" w:bidi="zh-CN"/>
              </w:rPr>
            </w:pPr>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5</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gv</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75</w:t>
            </w:r>
          </w:p>
        </w:tc>
        <w:tc>
          <w:tcPr>
            <w:tcW w:w="1555" w:type="dxa"/>
            <w:vAlign w:val="center"/>
          </w:tcPr>
          <w:p w14:paraId="37343DB1">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3E7DA1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3A799519">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m:sty m:val="p"/>
                    </m:rPr>
                    <w:rPr>
                      <w:rFonts w:ascii="Cambria Math" w:hAnsi="Cambria Math"/>
                      <w:kern w:val="0"/>
                      <w:szCs w:val="21"/>
                    </w:rPr>
                    <m:t>L</m:t>
                  </m:r>
                  <m:ctrlPr>
                    <w:rPr>
                      <w:rFonts w:ascii="Cambria Math" w:hAnsi="Cambria Math"/>
                      <w:kern w:val="0"/>
                      <w:szCs w:val="21"/>
                    </w:rPr>
                  </m:ctrlPr>
                </m:e>
                <m:sub>
                  <m:r>
                    <m:rPr/>
                    <w:rPr>
                      <w:rFonts w:ascii="Cambria Math" w:hAnsi="Cambria Math"/>
                      <w:kern w:val="0"/>
                      <w:szCs w:val="21"/>
                    </w:rPr>
                    <m:t>gv</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5</w:t>
            </w:r>
          </w:p>
        </w:tc>
        <w:tc>
          <w:tcPr>
            <w:tcW w:w="1555" w:type="dxa"/>
            <w:vAlign w:val="center"/>
          </w:tcPr>
          <w:p w14:paraId="6559BB91">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3FEF79C4">
      <w:pPr>
        <w:pStyle w:val="56"/>
        <w:numPr>
          <w:ilvl w:val="0"/>
          <w:numId w:val="0"/>
        </w:numPr>
        <w:overflowPunct w:val="0"/>
        <w:spacing w:line="360" w:lineRule="auto"/>
        <w:ind w:right="84" w:rightChars="40"/>
        <w:jc w:val="both"/>
        <w:rPr>
          <w:rFonts w:ascii="Times New Roman" w:hAnsi="Times New Roman"/>
          <w:b/>
          <w:bCs/>
          <w:kern w:val="0"/>
          <w:lang w:val="zh-CN" w:bidi="zh-CN"/>
        </w:rPr>
      </w:pPr>
    </w:p>
    <w:p w14:paraId="6FA0A688">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zh-CN" w:eastAsia="zh-CN" w:bidi="ar"/>
        </w:rPr>
      </w:pPr>
      <w:r>
        <w:rPr>
          <w:rFonts w:hint="eastAsia" w:ascii="楷体" w:hAnsi="楷体" w:eastAsia="楷体" w:cs="楷体"/>
          <w:b/>
          <w:bCs/>
          <w:color w:val="000000"/>
          <w:kern w:val="0"/>
          <w:sz w:val="20"/>
          <w:szCs w:val="20"/>
          <w:lang w:val="en-US" w:eastAsia="zh-CN" w:bidi="ar"/>
        </w:rPr>
        <w:t>条文</w:t>
      </w:r>
      <w:r>
        <w:rPr>
          <w:rFonts w:hint="eastAsia" w:ascii="楷体" w:hAnsi="楷体" w:eastAsia="楷体" w:cs="楷体"/>
          <w:b/>
          <w:bCs/>
          <w:color w:val="000000"/>
          <w:kern w:val="0"/>
          <w:sz w:val="20"/>
          <w:szCs w:val="20"/>
          <w:lang w:val="zh-CN" w:eastAsia="zh-CN" w:bidi="ar"/>
        </w:rPr>
        <w:t>说明：</w:t>
      </w:r>
    </w:p>
    <w:p w14:paraId="33DDB3C4">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地面畸零空间的利用提出要求。根据《住房城乡建设部关于扎实有序推进城市更新工作的通知》建科〔2023〕30号提出，创新城市更新可持续实施模式，加强存量资源统筹利用，盘活闲置低效存量资产。住房城乡建设部办公厅《口袋公园建设指南（试行）》中提出小型口袋公园的绿化覆盖率需大于50%，并鼓励设置活动空间，包含休闲游憩、儿童游戏、运动健身、文化展示和科普教育等功能。《广东省城市绿化条例》中提出应当完善边角地、空闲土地绿化激励政策，利用边角地、空闲土地等改造建设口袋公园。中共北京市委生态文明建设委员会《花园式城市边角空间及城市家具建设指引》中提出结合背街小巷精细化整治与城市公共空间更新改造等项目，利用闲置低效边角空间，打造重点地区金角银边花园场景。</w:t>
      </w:r>
    </w:p>
    <w:p w14:paraId="5B462597">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地面畸零空间也被称作地面消极空间，是指在城市发展过程中未能被合理规划、利用而暂时被闲置的地面零碎地块。地面畸零空间具体包含立交桥下空间、建筑转角和侧后方空间、建筑物之间的狭窄不规则地块、交通设施边缘空地。</w:t>
      </w:r>
    </w:p>
    <w:p w14:paraId="2D1D0552">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地面畸零空间利用情况数据可通过现场测量统计，或从有关部门调取规划设计方案图纸进行获取。</w:t>
      </w:r>
    </w:p>
    <w:p w14:paraId="4D61F11B">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本条的评估方法为：实地调研、现场核查、从相关部门获取资料。</w:t>
      </w:r>
    </w:p>
    <w:p w14:paraId="54B8329C">
      <w:pPr>
        <w:pStyle w:val="56"/>
        <w:numPr>
          <w:ilvl w:val="0"/>
          <w:numId w:val="0"/>
        </w:numPr>
        <w:spacing w:line="360" w:lineRule="auto"/>
        <w:ind w:firstLine="420"/>
        <w:rPr>
          <w:rFonts w:hint="eastAsia"/>
        </w:rPr>
      </w:pPr>
    </w:p>
    <w:p w14:paraId="376C4DCC">
      <w:pPr>
        <w:keepNext/>
        <w:keepLines/>
        <w:tabs>
          <w:tab w:val="left" w:pos="-376"/>
        </w:tabs>
        <w:overflowPunct w:val="0"/>
        <w:spacing w:before="78" w:beforeLines="25" w:after="78" w:afterLines="25" w:line="360" w:lineRule="auto"/>
        <w:ind w:left="567" w:hanging="567"/>
        <w:jc w:val="center"/>
        <w:outlineLvl w:val="1"/>
        <w:rPr>
          <w:rFonts w:ascii="Times New Roman" w:hAnsi="Times New Roman" w:eastAsia="黑体" w:cs="Times New Roman"/>
          <w:bCs/>
          <w:kern w:val="0"/>
          <w:sz w:val="28"/>
          <w:szCs w:val="24"/>
          <w:lang w:bidi="zh-CN"/>
        </w:rPr>
      </w:pPr>
      <w:bookmarkStart w:id="52" w:name="_Toc6168"/>
      <w:r>
        <w:rPr>
          <w:rFonts w:hint="eastAsia" w:ascii="Times New Roman" w:hAnsi="Times New Roman" w:eastAsia="宋体" w:cs="Times New Roman"/>
          <w:bCs/>
          <w:kern w:val="0"/>
          <w:sz w:val="28"/>
          <w:szCs w:val="24"/>
          <w:lang w:val="en-US" w:bidi="zh-CN"/>
        </w:rPr>
        <w:t>7</w:t>
      </w:r>
      <w:r>
        <w:rPr>
          <w:rFonts w:hint="eastAsia" w:ascii="Times New Roman" w:hAnsi="Times New Roman" w:eastAsia="宋体" w:cs="Times New Roman"/>
          <w:bCs/>
          <w:kern w:val="0"/>
          <w:sz w:val="28"/>
          <w:szCs w:val="24"/>
          <w:lang w:bidi="zh-CN"/>
        </w:rPr>
        <w:t xml:space="preserve">.3 </w:t>
      </w:r>
      <w:r>
        <w:rPr>
          <w:rFonts w:hint="eastAsia" w:ascii="Times New Roman" w:hAnsi="Times New Roman" w:eastAsia="黑体" w:cs="Times New Roman"/>
          <w:bCs/>
          <w:kern w:val="0"/>
          <w:sz w:val="28"/>
          <w:szCs w:val="24"/>
          <w:lang w:bidi="zh-CN"/>
        </w:rPr>
        <w:t>城市支路分时利用率</w:t>
      </w:r>
      <w:bookmarkEnd w:id="52"/>
    </w:p>
    <w:p w14:paraId="26125F92">
      <w:pPr>
        <w:pStyle w:val="56"/>
        <w:numPr>
          <w:ilvl w:val="0"/>
          <w:numId w:val="0"/>
        </w:numPr>
        <w:overflowPunct w:val="0"/>
        <w:spacing w:line="360" w:lineRule="auto"/>
        <w:ind w:left="142" w:right="84" w:rightChars="40"/>
        <w:jc w:val="both"/>
        <w:rPr>
          <w:rFonts w:ascii="Times New Roman" w:hAnsi="Times New Roman"/>
          <w:b/>
          <w:bCs/>
          <w:kern w:val="0"/>
          <w:lang w:val="zh-CN" w:bidi="zh-CN"/>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1</w:t>
      </w:r>
      <w:r>
        <w:rPr>
          <w:rFonts w:ascii="Times New Roman" w:hAnsi="Times New Roman"/>
          <w:kern w:val="0"/>
          <w:lang w:val="zh-CN" w:bidi="zh-CN"/>
        </w:rPr>
        <w:t>　</w:t>
      </w:r>
      <w:r>
        <w:rPr>
          <w:rFonts w:hint="eastAsia" w:ascii="Times New Roman" w:hAnsi="Times New Roman"/>
          <w:kern w:val="0"/>
          <w:lang w:val="zh-CN" w:bidi="zh-CN"/>
        </w:rPr>
        <w:t>城市支路分时利用率指城市高强度片区内城市支路进行分时利用设计，以提升道路空间利用效率的路段比例</w:t>
      </w:r>
      <w:r>
        <w:rPr>
          <w:rFonts w:hint="eastAsia" w:ascii="Times New Roman" w:hAnsi="Times New Roman"/>
          <w:kern w:val="0"/>
        </w:rPr>
        <w:t>。</w:t>
      </w:r>
    </w:p>
    <w:p w14:paraId="54E827C6">
      <w:pPr>
        <w:pStyle w:val="56"/>
        <w:numPr>
          <w:ilvl w:val="0"/>
          <w:numId w:val="0"/>
        </w:numPr>
        <w:overflowPunct w:val="0"/>
        <w:spacing w:line="360" w:lineRule="auto"/>
        <w:ind w:left="142" w:right="84" w:rightChars="40"/>
        <w:jc w:val="both"/>
        <w:rPr>
          <w:rFonts w:ascii="Times New Roman" w:hAnsi="Times New Roman"/>
          <w:kern w:val="0"/>
          <w:lang w:val="zh-CN" w:bidi="zh-CN"/>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2</w:t>
      </w:r>
      <w:r>
        <w:rPr>
          <w:rFonts w:ascii="Times New Roman" w:hAnsi="Times New Roman"/>
          <w:kern w:val="0"/>
          <w:lang w:val="zh-CN" w:bidi="zh-CN"/>
        </w:rPr>
        <w:t>　</w:t>
      </w:r>
      <w:r>
        <w:rPr>
          <w:kern w:val="0"/>
        </w:rPr>
        <mc:AlternateContent>
          <mc:Choice Requires="wps">
            <w:drawing>
              <wp:anchor distT="45720" distB="45720" distL="114300" distR="114300" simplePos="0" relativeHeight="251671552" behindDoc="0" locked="0" layoutInCell="1" allowOverlap="1">
                <wp:simplePos x="0" y="0"/>
                <wp:positionH relativeFrom="margin">
                  <wp:posOffset>4600575</wp:posOffset>
                </wp:positionH>
                <wp:positionV relativeFrom="paragraph">
                  <wp:posOffset>318135</wp:posOffset>
                </wp:positionV>
                <wp:extent cx="730885" cy="1404620"/>
                <wp:effectExtent l="0" t="0" r="0" b="6350"/>
                <wp:wrapNone/>
                <wp:docPr id="37573817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30885" cy="1404620"/>
                        </a:xfrm>
                        <a:prstGeom prst="rect">
                          <a:avLst/>
                        </a:prstGeom>
                        <a:solidFill>
                          <a:srgbClr val="FFFFFF"/>
                        </a:solidFill>
                        <a:ln w="9525">
                          <a:noFill/>
                          <a:miter lim="800000"/>
                        </a:ln>
                      </wps:spPr>
                      <wps:txbx>
                        <w:txbxContent>
                          <w:p w14:paraId="223135C2">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7</w:t>
                            </w:r>
                            <w:r>
                              <w:rPr>
                                <w:rFonts w:hint="eastAsia" w:ascii="Times New Roman" w:hAnsi="Times New Roman" w:cs="Times New Roman"/>
                                <w:szCs w:val="24"/>
                              </w:rPr>
                              <w:t>.</w:t>
                            </w:r>
                            <w:r>
                              <w:rPr>
                                <w:rFonts w:hint="eastAsia" w:ascii="Times New Roman" w:hAnsi="Times New Roman" w:cs="Times New Roman"/>
                                <w:szCs w:val="24"/>
                                <w:lang w:val="en-US" w:eastAsia="zh-CN"/>
                              </w:rPr>
                              <w:t>3</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62.25pt;margin-top:25.05pt;height:110.6pt;width:57.55pt;mso-position-horizontal-relative:margin;z-index:251671552;mso-width-relative:page;mso-height-relative:margin;mso-height-percent:200;" fillcolor="#FFFFFF" filled="t" stroked="f" coordsize="21600,21600" o:gfxdata="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p4/rO2QAAAAoBAAAPAAAAAAAAAAEAIAAAACIA&#10;AABkcnMvZG93bnJldi54bWxQSwECFAAUAAAACACHTuJAgVM9y0ECAABaBAAADgAAAAAAAAABACAA&#10;AAAoAQAAZHJzL2Uyb0RvYy54bWxQSwUGAAAAAAYABgBZAQAA2wUAAAAA&#10;">
                <v:fill on="t" focussize="0,0"/>
                <v:stroke on="f" miterlimit="8" joinstyle="miter"/>
                <v:imagedata o:title=""/>
                <o:lock v:ext="edit" aspectratio="f"/>
                <v:textbox style="mso-fit-shape-to-text:t;">
                  <w:txbxContent>
                    <w:p w14:paraId="223135C2">
                      <w:pPr>
                        <w:rPr>
                          <w:rFonts w:ascii="Times New Roman" w:hAnsi="Times New Roman" w:cs="Times New Roman"/>
                        </w:rPr>
                      </w:pPr>
                      <w:r>
                        <w:rPr>
                          <w:rFonts w:ascii="Times New Roman" w:hAnsi="Times New Roman" w:cs="Times New Roman"/>
                          <w:szCs w:val="24"/>
                        </w:rPr>
                        <w:t>（</w:t>
                      </w:r>
                      <w:r>
                        <w:rPr>
                          <w:rFonts w:hint="eastAsia" w:ascii="Times New Roman" w:hAnsi="Times New Roman" w:cs="Times New Roman"/>
                          <w:szCs w:val="24"/>
                          <w:lang w:val="en-US" w:eastAsia="zh-CN"/>
                        </w:rPr>
                        <w:t>7</w:t>
                      </w:r>
                      <w:r>
                        <w:rPr>
                          <w:rFonts w:hint="eastAsia" w:ascii="Times New Roman" w:hAnsi="Times New Roman" w:cs="Times New Roman"/>
                          <w:szCs w:val="24"/>
                        </w:rPr>
                        <w:t>.</w:t>
                      </w:r>
                      <w:r>
                        <w:rPr>
                          <w:rFonts w:hint="eastAsia" w:ascii="Times New Roman" w:hAnsi="Times New Roman" w:cs="Times New Roman"/>
                          <w:szCs w:val="24"/>
                          <w:lang w:val="en-US" w:eastAsia="zh-CN"/>
                        </w:rPr>
                        <w:t>3</w:t>
                      </w:r>
                      <w:r>
                        <w:rPr>
                          <w:rFonts w:hint="eastAsia" w:ascii="Times New Roman" w:hAnsi="Times New Roman" w:cs="Times New Roman"/>
                          <w:szCs w:val="24"/>
                        </w:rPr>
                        <w:t>.</w:t>
                      </w:r>
                      <w:r>
                        <w:rPr>
                          <w:rFonts w:hint="eastAsia" w:ascii="Times New Roman" w:hAnsi="Times New Roman" w:cs="Times New Roman"/>
                          <w:szCs w:val="24"/>
                          <w:lang w:val="en-US" w:eastAsia="zh-CN"/>
                        </w:rPr>
                        <w:t>2</w:t>
                      </w:r>
                      <w:r>
                        <w:rPr>
                          <w:rFonts w:ascii="Times New Roman" w:hAnsi="Times New Roman" w:cs="Times New Roman"/>
                          <w:szCs w:val="24"/>
                        </w:rPr>
                        <w:t>）</w:t>
                      </w:r>
                    </w:p>
                  </w:txbxContent>
                </v:textbox>
              </v:shape>
            </w:pict>
          </mc:Fallback>
        </mc:AlternateContent>
      </w:r>
      <w:r>
        <w:rPr>
          <w:rFonts w:hint="eastAsia"/>
          <w:bCs/>
          <w:kern w:val="0"/>
          <w:lang w:bidi="zh-CN"/>
        </w:rPr>
        <w:t xml:space="preserve">城市支路分时利用率按下式计算： </w:t>
      </w:r>
    </w:p>
    <w:p w14:paraId="694AAEAB">
      <w:pPr>
        <w:pStyle w:val="20"/>
        <w:overflowPunct w:val="0"/>
        <w:spacing w:line="360" w:lineRule="auto"/>
        <w:ind w:left="420" w:right="210" w:firstLine="420"/>
        <w:rPr>
          <w:kern w:val="0"/>
          <w:sz w:val="24"/>
          <w:szCs w:val="24"/>
        </w:rPr>
      </w:pPr>
      <m:oMathPara>
        <m:oMathParaPr>
          <m:jc m:val="center"/>
        </m:oMathParaPr>
        <m:oMath>
          <m:sSub>
            <m:sSubPr>
              <m:ctrlPr>
                <w:rPr>
                  <w:rFonts w:ascii="Cambria Math" w:hAnsi="Cambria Math"/>
                  <w:kern w:val="0"/>
                  <w:sz w:val="21"/>
                  <w:szCs w:val="21"/>
                </w:rPr>
              </m:ctrlPr>
            </m:sSubPr>
            <m:e>
              <m:r>
                <m:rPr>
                  <m:sty m:val="p"/>
                </m:rPr>
                <w:rPr>
                  <w:rFonts w:hint="eastAsia" w:ascii="Cambria Math" w:hAnsi="Cambria Math"/>
                  <w:kern w:val="0"/>
                  <w:sz w:val="21"/>
                  <w:szCs w:val="21"/>
                </w:rPr>
                <m:t>R</m:t>
              </m:r>
              <m:ctrlPr>
                <w:rPr>
                  <w:rFonts w:ascii="Cambria Math" w:hAnsi="Cambria Math"/>
                  <w:kern w:val="0"/>
                  <w:sz w:val="21"/>
                  <w:szCs w:val="21"/>
                </w:rPr>
              </m:ctrlPr>
            </m:e>
            <m:sub>
              <m:r>
                <m:rPr/>
                <w:rPr>
                  <w:rFonts w:ascii="Cambria Math" w:hAnsi="Cambria Math"/>
                  <w:kern w:val="0"/>
                  <w:sz w:val="21"/>
                  <w:szCs w:val="21"/>
                </w:rPr>
                <m:t>p</m:t>
              </m:r>
              <m:ctrlPr>
                <w:rPr>
                  <w:rFonts w:ascii="Cambria Math" w:hAnsi="Cambria Math"/>
                  <w:kern w:val="0"/>
                  <w:sz w:val="21"/>
                  <w:szCs w:val="21"/>
                </w:rPr>
              </m:ctrlPr>
            </m:sub>
          </m:sSub>
          <m:r>
            <m:rPr>
              <m:sty m:val="p"/>
            </m:rPr>
            <w:rPr>
              <w:rFonts w:ascii="Cambria Math" w:hAnsi="Cambria Math"/>
              <w:kern w:val="0"/>
              <w:sz w:val="21"/>
              <w:szCs w:val="21"/>
            </w:rPr>
            <m:t>=</m:t>
          </m:r>
          <m:f>
            <m:fPr>
              <m:ctrlPr>
                <w:rPr>
                  <w:rFonts w:ascii="Cambria Math" w:hAnsi="Cambria Math"/>
                  <w:kern w:val="0"/>
                  <w:sz w:val="21"/>
                  <w:szCs w:val="21"/>
                </w:rPr>
              </m:ctrlPr>
            </m:fPr>
            <m:num>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1</m:t>
                  </m:r>
                  <m:ctrlPr>
                    <w:rPr>
                      <w:rFonts w:ascii="Cambria Math" w:hAnsi="Cambria Math"/>
                      <w:kern w:val="0"/>
                      <w:sz w:val="21"/>
                      <w:szCs w:val="21"/>
                    </w:rPr>
                  </m:ctrlPr>
                </m:sub>
              </m:sSub>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2</m:t>
                  </m:r>
                  <m:ctrlPr>
                    <w:rPr>
                      <w:rFonts w:ascii="Cambria Math" w:hAnsi="Cambria Math"/>
                      <w:kern w:val="0"/>
                      <w:sz w:val="21"/>
                      <w:szCs w:val="21"/>
                    </w:rPr>
                  </m:ctrlPr>
                </m:sub>
              </m:sSub>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3</m:t>
                  </m:r>
                  <m:ctrlPr>
                    <w:rPr>
                      <w:rFonts w:ascii="Cambria Math" w:hAnsi="Cambria Math"/>
                      <w:kern w:val="0"/>
                      <w:sz w:val="21"/>
                      <w:szCs w:val="21"/>
                    </w:rPr>
                  </m:ctrlPr>
                </m:sub>
              </m:sSub>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4</m:t>
                  </m:r>
                  <m:ctrlPr>
                    <w:rPr>
                      <w:rFonts w:ascii="Cambria Math" w:hAnsi="Cambria Math"/>
                      <w:kern w:val="0"/>
                      <w:sz w:val="21"/>
                      <w:szCs w:val="21"/>
                    </w:rPr>
                  </m:ctrlPr>
                </m:sub>
              </m:sSub>
              <m:ctrlPr>
                <w:rPr>
                  <w:rFonts w:ascii="Cambria Math" w:hAnsi="Cambria Math"/>
                  <w:kern w:val="0"/>
                  <w:sz w:val="21"/>
                  <w:szCs w:val="21"/>
                </w:rPr>
              </m:ctrlPr>
            </m:num>
            <m:den>
              <m:sSub>
                <m:sSubPr>
                  <m:ctrlPr>
                    <w:rPr>
                      <w:rFonts w:ascii="Cambria Math" w:hAnsi="Cambria Math"/>
                      <w:kern w:val="0"/>
                      <w:sz w:val="21"/>
                      <w:szCs w:val="21"/>
                    </w:rPr>
                  </m:ctrlPr>
                </m:sSubPr>
                <m:e>
                  <m:r>
                    <m:rPr>
                      <m:sty m:val="p"/>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z</m:t>
                  </m:r>
                  <m:ctrlPr>
                    <w:rPr>
                      <w:rFonts w:ascii="Cambria Math" w:hAnsi="Cambria Math"/>
                      <w:kern w:val="0"/>
                      <w:sz w:val="21"/>
                      <w:szCs w:val="21"/>
                    </w:rPr>
                  </m:ctrlPr>
                </m:sub>
              </m:sSub>
              <m:ctrlPr>
                <w:rPr>
                  <w:rFonts w:ascii="Cambria Math" w:hAnsi="Cambria Math"/>
                  <w:kern w:val="0"/>
                  <w:sz w:val="21"/>
                  <w:szCs w:val="21"/>
                </w:rPr>
              </m:ctrlPr>
            </m:den>
          </m:f>
          <m:r>
            <m:rPr>
              <m:sty m:val="p"/>
            </m:rPr>
            <w:rPr>
              <w:kern w:val="0"/>
              <w:szCs w:val="24"/>
            </w:rPr>
            <w:br w:type="textWrapping"/>
          </m:r>
        </m:oMath>
      </m:oMathPara>
      <w:r>
        <w:rPr>
          <w:rFonts w:hint="eastAsia"/>
          <w:kern w:val="0"/>
          <w:sz w:val="24"/>
          <w:szCs w:val="24"/>
        </w:rPr>
        <w:t xml:space="preserve"> 式中：</w:t>
      </w:r>
    </w:p>
    <w:p w14:paraId="711BCADB">
      <w:pPr>
        <w:pStyle w:val="20"/>
        <w:overflowPunct w:val="0"/>
        <w:spacing w:line="360" w:lineRule="auto"/>
        <w:ind w:right="210"/>
        <w:rPr>
          <w:kern w:val="0"/>
          <w:sz w:val="24"/>
          <w:szCs w:val="24"/>
        </w:rPr>
      </w:pPr>
      <w:r>
        <w:rPr>
          <w:rFonts w:hint="eastAsia"/>
          <w:kern w:val="0"/>
          <w:sz w:val="24"/>
          <w:szCs w:val="24"/>
        </w:rPr>
        <w:t>R</w:t>
      </w:r>
      <w:r>
        <w:rPr>
          <w:rFonts w:hint="eastAsia"/>
          <w:i/>
          <w:iCs/>
          <w:kern w:val="0"/>
          <w:sz w:val="24"/>
          <w:szCs w:val="24"/>
          <w:vertAlign w:val="subscript"/>
        </w:rPr>
        <w:t>p</w:t>
      </w:r>
      <w:r>
        <w:rPr>
          <w:rFonts w:hint="eastAsia"/>
          <w:kern w:val="0"/>
          <w:sz w:val="24"/>
          <w:szCs w:val="24"/>
        </w:rPr>
        <w:t>——城市支路分时利用率；</w:t>
      </w:r>
    </w:p>
    <w:p w14:paraId="5242339C">
      <w:pPr>
        <w:pStyle w:val="20"/>
        <w:overflowPunct w:val="0"/>
        <w:spacing w:line="360" w:lineRule="auto"/>
        <w:ind w:right="210"/>
        <w:rPr>
          <w:kern w:val="0"/>
          <w:sz w:val="24"/>
          <w:szCs w:val="24"/>
        </w:rPr>
      </w:pPr>
      <w:r>
        <w:rPr>
          <w:rFonts w:hint="eastAsia"/>
          <w:kern w:val="0"/>
          <w:sz w:val="24"/>
          <w:szCs w:val="24"/>
        </w:rPr>
        <w:t>L</w:t>
      </w:r>
      <w:r>
        <w:rPr>
          <w:rFonts w:hint="eastAsia"/>
          <w:kern w:val="0"/>
          <w:sz w:val="24"/>
          <w:szCs w:val="24"/>
          <w:vertAlign w:val="subscript"/>
        </w:rPr>
        <w:t>1</w:t>
      </w:r>
      <w:r>
        <w:rPr>
          <w:rFonts w:hint="eastAsia"/>
          <w:kern w:val="0"/>
          <w:sz w:val="24"/>
          <w:szCs w:val="24"/>
        </w:rPr>
        <w:t>——用于潮汐车道的道路总长度（m）；</w:t>
      </w:r>
      <w:r>
        <w:rPr>
          <w:kern w:val="0"/>
          <w:sz w:val="24"/>
          <w:szCs w:val="24"/>
        </w:rPr>
        <w:t xml:space="preserve"> </w:t>
      </w:r>
    </w:p>
    <w:p w14:paraId="45E3D3C3">
      <w:pPr>
        <w:pStyle w:val="20"/>
        <w:overflowPunct w:val="0"/>
        <w:spacing w:line="360" w:lineRule="auto"/>
        <w:ind w:right="210"/>
        <w:rPr>
          <w:kern w:val="0"/>
          <w:sz w:val="24"/>
          <w:szCs w:val="24"/>
        </w:rPr>
      </w:pPr>
      <w:r>
        <w:rPr>
          <w:rFonts w:hint="eastAsia"/>
          <w:kern w:val="0"/>
          <w:sz w:val="24"/>
          <w:szCs w:val="24"/>
        </w:rPr>
        <w:t>L</w:t>
      </w:r>
      <w:r>
        <w:rPr>
          <w:rFonts w:hint="eastAsia"/>
          <w:kern w:val="0"/>
          <w:sz w:val="24"/>
          <w:szCs w:val="24"/>
          <w:vertAlign w:val="subscript"/>
        </w:rPr>
        <w:t>2</w:t>
      </w:r>
      <w:r>
        <w:rPr>
          <w:rFonts w:hint="eastAsia"/>
          <w:kern w:val="0"/>
          <w:sz w:val="24"/>
          <w:szCs w:val="24"/>
        </w:rPr>
        <w:t>——用于潮汐车位的道路总长度（m）；</w:t>
      </w:r>
      <w:r>
        <w:rPr>
          <w:kern w:val="0"/>
          <w:sz w:val="24"/>
          <w:szCs w:val="24"/>
        </w:rPr>
        <w:t xml:space="preserve"> </w:t>
      </w:r>
    </w:p>
    <w:p w14:paraId="503FC511">
      <w:pPr>
        <w:pStyle w:val="20"/>
        <w:overflowPunct w:val="0"/>
        <w:spacing w:line="360" w:lineRule="auto"/>
        <w:ind w:right="210"/>
        <w:rPr>
          <w:kern w:val="0"/>
          <w:sz w:val="24"/>
          <w:szCs w:val="24"/>
        </w:rPr>
      </w:pPr>
      <w:r>
        <w:rPr>
          <w:rFonts w:hint="eastAsia"/>
          <w:kern w:val="0"/>
          <w:sz w:val="24"/>
          <w:szCs w:val="24"/>
        </w:rPr>
        <w:t>L</w:t>
      </w:r>
      <w:r>
        <w:rPr>
          <w:rFonts w:hint="eastAsia"/>
          <w:kern w:val="0"/>
          <w:sz w:val="24"/>
          <w:szCs w:val="24"/>
          <w:vertAlign w:val="subscript"/>
        </w:rPr>
        <w:t>3</w:t>
      </w:r>
      <w:r>
        <w:rPr>
          <w:rFonts w:hint="eastAsia"/>
          <w:kern w:val="0"/>
          <w:sz w:val="24"/>
          <w:szCs w:val="24"/>
        </w:rPr>
        <w:t>——用于限时步行街的道路总长度（m）；</w:t>
      </w:r>
      <w:r>
        <w:rPr>
          <w:kern w:val="0"/>
          <w:sz w:val="24"/>
          <w:szCs w:val="24"/>
        </w:rPr>
        <w:t xml:space="preserve"> </w:t>
      </w:r>
    </w:p>
    <w:p w14:paraId="78829D92">
      <w:pPr>
        <w:pStyle w:val="20"/>
        <w:overflowPunct w:val="0"/>
        <w:spacing w:line="360" w:lineRule="auto"/>
        <w:ind w:right="210"/>
        <w:rPr>
          <w:kern w:val="0"/>
          <w:sz w:val="24"/>
          <w:szCs w:val="24"/>
        </w:rPr>
      </w:pPr>
      <w:r>
        <w:rPr>
          <w:rFonts w:hint="eastAsia"/>
          <w:kern w:val="0"/>
          <w:sz w:val="24"/>
          <w:szCs w:val="24"/>
        </w:rPr>
        <w:t>L</w:t>
      </w:r>
      <w:r>
        <w:rPr>
          <w:rFonts w:hint="eastAsia"/>
          <w:kern w:val="0"/>
          <w:sz w:val="24"/>
          <w:szCs w:val="24"/>
          <w:vertAlign w:val="subscript"/>
        </w:rPr>
        <w:t>4</w:t>
      </w:r>
      <w:r>
        <w:rPr>
          <w:rFonts w:hint="eastAsia"/>
          <w:kern w:val="0"/>
          <w:sz w:val="24"/>
          <w:szCs w:val="24"/>
        </w:rPr>
        <w:t>——用于限时市集的道路总长度（m）；</w:t>
      </w:r>
      <w:r>
        <w:rPr>
          <w:kern w:val="0"/>
          <w:sz w:val="24"/>
          <w:szCs w:val="24"/>
        </w:rPr>
        <w:t xml:space="preserve"> </w:t>
      </w:r>
    </w:p>
    <w:p w14:paraId="50C2D1D8">
      <w:pPr>
        <w:pStyle w:val="20"/>
        <w:overflowPunct w:val="0"/>
        <w:spacing w:line="360" w:lineRule="auto"/>
        <w:ind w:right="210"/>
        <w:rPr>
          <w:kern w:val="0"/>
          <w:sz w:val="24"/>
          <w:szCs w:val="24"/>
        </w:rPr>
      </w:pPr>
      <w:r>
        <w:rPr>
          <w:rFonts w:hint="eastAsia"/>
          <w:kern w:val="0"/>
          <w:sz w:val="24"/>
          <w:szCs w:val="24"/>
        </w:rPr>
        <w:t>L</w:t>
      </w:r>
      <w:r>
        <w:rPr>
          <w:rFonts w:hint="eastAsia"/>
          <w:kern w:val="0"/>
          <w:sz w:val="24"/>
          <w:szCs w:val="24"/>
          <w:vertAlign w:val="subscript"/>
        </w:rPr>
        <w:t>z</w:t>
      </w:r>
      <w:r>
        <w:rPr>
          <w:rFonts w:hint="eastAsia"/>
          <w:kern w:val="0"/>
          <w:sz w:val="24"/>
          <w:szCs w:val="24"/>
        </w:rPr>
        <w:t>——城市高强度片区内城市支路的总长度（m）；</w:t>
      </w:r>
    </w:p>
    <w:p w14:paraId="044FBF40">
      <w:pPr>
        <w:pStyle w:val="20"/>
        <w:overflowPunct w:val="0"/>
        <w:spacing w:line="360" w:lineRule="auto"/>
        <w:ind w:right="210"/>
        <w:rPr>
          <w:kern w:val="0"/>
          <w:sz w:val="24"/>
          <w:szCs w:val="24"/>
        </w:rPr>
      </w:pPr>
      <w:r>
        <w:rPr>
          <w:rFonts w:hint="eastAsia"/>
          <w:kern w:val="0"/>
          <w:sz w:val="24"/>
          <w:szCs w:val="24"/>
        </w:rPr>
        <w:t>注：分时利用具体包含潮汐车道、潮汐车位、限时步行街、限时市集，利用功能所在路段发生重叠时，重叠部分不进行重复计算。</w:t>
      </w:r>
    </w:p>
    <w:p w14:paraId="74ABDCC3">
      <w:pPr>
        <w:pStyle w:val="56"/>
        <w:numPr>
          <w:ilvl w:val="0"/>
          <w:numId w:val="0"/>
        </w:numPr>
        <w:overflowPunct w:val="0"/>
        <w:spacing w:line="360" w:lineRule="auto"/>
        <w:ind w:left="142" w:right="84" w:rightChars="40"/>
        <w:jc w:val="both"/>
        <w:rPr>
          <w:rFonts w:ascii="Times New Roman" w:hAnsi="Times New Roman"/>
          <w:kern w:val="0"/>
        </w:rPr>
      </w:pPr>
      <w:r>
        <w:rPr>
          <w:rFonts w:hint="eastAsia" w:ascii="Times New Roman" w:hAnsi="Times New Roman"/>
          <w:b/>
          <w:bCs/>
          <w:kern w:val="0"/>
          <w:lang w:val="en-US" w:bidi="zh-CN"/>
        </w:rPr>
        <w:t>7</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b/>
          <w:bCs/>
          <w:kern w:val="0"/>
          <w:lang w:val="zh-CN" w:bidi="zh-CN"/>
        </w:rPr>
        <w:t>.</w:t>
      </w:r>
      <w:r>
        <w:rPr>
          <w:rFonts w:hint="eastAsia" w:ascii="Times New Roman" w:hAnsi="Times New Roman"/>
          <w:b/>
          <w:bCs/>
          <w:kern w:val="0"/>
          <w:lang w:val="zh-CN" w:bidi="zh-CN"/>
        </w:rPr>
        <w:t>3</w:t>
      </w:r>
      <w:r>
        <w:rPr>
          <w:rFonts w:ascii="Times New Roman" w:hAnsi="Times New Roman"/>
          <w:kern w:val="0"/>
          <w:lang w:val="zh-CN" w:bidi="zh-CN"/>
        </w:rPr>
        <w:t>　</w:t>
      </w:r>
      <w:r>
        <w:rPr>
          <w:rFonts w:hint="eastAsia" w:ascii="Times New Roman" w:hAnsi="Times New Roman"/>
          <w:kern w:val="0"/>
        </w:rPr>
        <w:t>评估方式</w:t>
      </w:r>
      <w:r>
        <w:rPr>
          <w:rFonts w:ascii="Times New Roman" w:hAnsi="Times New Roman"/>
          <w:kern w:val="0"/>
        </w:rPr>
        <w:t>符合表</w:t>
      </w:r>
      <w:r>
        <w:rPr>
          <w:rFonts w:hint="eastAsia" w:ascii="Times New Roman" w:hAnsi="Times New Roman"/>
          <w:kern w:val="0"/>
          <w:lang w:val="en-US" w:eastAsia="zh-CN"/>
        </w:rPr>
        <w:t>7</w:t>
      </w:r>
      <w:r>
        <w:rPr>
          <w:rFonts w:ascii="Times New Roman" w:hAnsi="Times New Roman"/>
          <w:kern w:val="0"/>
        </w:rPr>
        <w:t>.</w:t>
      </w:r>
      <w:r>
        <w:rPr>
          <w:rFonts w:hint="eastAsia" w:ascii="Times New Roman" w:hAnsi="Times New Roman"/>
          <w:kern w:val="0"/>
        </w:rPr>
        <w:t>3</w:t>
      </w:r>
      <w:r>
        <w:rPr>
          <w:rFonts w:ascii="Times New Roman" w:hAnsi="Times New Roman"/>
          <w:kern w:val="0"/>
        </w:rPr>
        <w:t>.</w:t>
      </w:r>
      <w:r>
        <w:rPr>
          <w:rFonts w:hint="eastAsia" w:ascii="Times New Roman" w:hAnsi="Times New Roman"/>
          <w:kern w:val="0"/>
        </w:rPr>
        <w:t>3</w:t>
      </w:r>
      <w:r>
        <w:rPr>
          <w:rFonts w:ascii="Times New Roman" w:hAnsi="Times New Roman"/>
          <w:kern w:val="0"/>
        </w:rPr>
        <w:t>的规定</w:t>
      </w:r>
      <w:r>
        <w:rPr>
          <w:rFonts w:hint="eastAsia" w:ascii="Times New Roman" w:hAnsi="Times New Roman"/>
          <w:kern w:val="0"/>
        </w:rPr>
        <w:t>。</w:t>
      </w:r>
    </w:p>
    <w:p w14:paraId="004121AD">
      <w:pPr>
        <w:pStyle w:val="35"/>
        <w:numPr>
          <w:ilvl w:val="255"/>
          <w:numId w:val="0"/>
        </w:numPr>
        <w:overflowPunct w:val="0"/>
        <w:spacing w:line="360" w:lineRule="auto"/>
        <w:jc w:val="center"/>
        <w:rPr>
          <w:rFonts w:ascii="Times New Roman" w:hAnsi="Times New Roman" w:eastAsia="宋体" w:cs="Times New Roman"/>
          <w:b/>
          <w:bCs/>
          <w:kern w:val="0"/>
          <w:szCs w:val="21"/>
          <w:lang w:val="zh-CN" w:bidi="zh-CN"/>
        </w:rPr>
      </w:pPr>
      <w:r>
        <w:rPr>
          <w:rFonts w:ascii="Times New Roman" w:hAnsi="Times New Roman" w:eastAsia="宋体" w:cs="Times New Roman"/>
          <w:b/>
          <w:kern w:val="0"/>
          <w:szCs w:val="21"/>
          <w:lang w:val="zh-CN" w:bidi="zh-CN"/>
        </w:rPr>
        <w:t>表</w:t>
      </w:r>
      <w:r>
        <w:rPr>
          <w:rFonts w:hint="eastAsia" w:ascii="Times New Roman" w:hAnsi="Times New Roman" w:eastAsia="宋体" w:cs="Times New Roman"/>
          <w:b/>
          <w:kern w:val="0"/>
          <w:szCs w:val="21"/>
          <w:lang w:val="en-US" w:bidi="zh-CN"/>
        </w:rPr>
        <w:t>7</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w:t>
      </w:r>
      <w:r>
        <w:rPr>
          <w:rFonts w:hint="eastAsia" w:ascii="Times New Roman" w:hAnsi="Times New Roman" w:eastAsia="宋体" w:cs="Times New Roman"/>
          <w:b/>
          <w:kern w:val="0"/>
          <w:szCs w:val="21"/>
          <w:lang w:val="zh-CN" w:bidi="zh-CN"/>
        </w:rPr>
        <w:t>3</w:t>
      </w:r>
      <w:r>
        <w:rPr>
          <w:rFonts w:ascii="Times New Roman" w:hAnsi="Times New Roman" w:eastAsia="宋体" w:cs="Times New Roman"/>
          <w:b/>
          <w:kern w:val="0"/>
          <w:szCs w:val="21"/>
          <w:lang w:val="zh-CN" w:bidi="zh-CN"/>
        </w:rPr>
        <w:t>　</w:t>
      </w:r>
      <w:r>
        <w:rPr>
          <w:rFonts w:hint="eastAsia" w:ascii="Times New Roman" w:hAnsi="Times New Roman" w:eastAsia="宋体" w:cs="Times New Roman"/>
          <w:b/>
          <w:kern w:val="0"/>
          <w:szCs w:val="21"/>
          <w:lang w:val="zh-CN" w:bidi="zh-CN"/>
        </w:rPr>
        <w:t>城市支路分时利用率</w:t>
      </w:r>
      <w:r>
        <w:rPr>
          <w:rFonts w:hint="eastAsia" w:ascii="Times New Roman" w:hAnsi="Times New Roman" w:eastAsia="宋体" w:cs="Times New Roman"/>
          <w:b/>
          <w:bCs/>
          <w:kern w:val="0"/>
          <w:szCs w:val="21"/>
          <w:lang w:val="zh-CN" w:bidi="zh-CN"/>
        </w:rPr>
        <w:t>评估规则</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7"/>
        <w:gridCol w:w="1555"/>
      </w:tblGrid>
      <w:tr w14:paraId="109755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067" w:type="dxa"/>
            <w:vAlign w:val="center"/>
          </w:tcPr>
          <w:p w14:paraId="5DB58EA3">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kern w:val="0"/>
                <w:szCs w:val="21"/>
                <w:lang w:val="en-US" w:bidi="zh-CN"/>
              </w:rPr>
              <w:t>评估</w:t>
            </w:r>
            <w:r>
              <w:rPr>
                <w:rFonts w:hint="eastAsia" w:ascii="Times New Roman" w:hAnsi="Times New Roman" w:eastAsia="宋体" w:cs="Times New Roman"/>
                <w:kern w:val="0"/>
                <w:szCs w:val="21"/>
                <w:lang w:val="zh-CN" w:bidi="zh-CN"/>
              </w:rPr>
              <w:t>区间</w:t>
            </w:r>
          </w:p>
        </w:tc>
        <w:tc>
          <w:tcPr>
            <w:tcW w:w="1555" w:type="dxa"/>
            <w:vAlign w:val="center"/>
          </w:tcPr>
          <w:p w14:paraId="192DE42D">
            <w:pPr>
              <w:overflowPunct w:val="0"/>
              <w:spacing w:line="360" w:lineRule="auto"/>
              <w:jc w:val="center"/>
              <w:rPr>
                <w:rFonts w:ascii="Times New Roman" w:hAnsi="Times New Roman" w:eastAsia="宋体" w:cs="Times New Roman"/>
                <w:bCs/>
                <w:kern w:val="0"/>
                <w:szCs w:val="21"/>
                <w:lang w:val="zh-CN" w:bidi="zh-CN"/>
              </w:rPr>
            </w:pPr>
            <w:r>
              <w:rPr>
                <w:rFonts w:hint="eastAsia" w:ascii="宋体" w:hAnsi="宋体" w:eastAsia="宋体" w:cs="Times New Roman"/>
                <w:bCs/>
                <w:kern w:val="0"/>
                <w:szCs w:val="21"/>
                <w:lang w:val="en-US" w:bidi="zh-CN"/>
              </w:rPr>
              <w:t>评估分级</w:t>
            </w:r>
          </w:p>
        </w:tc>
      </w:tr>
      <w:tr w14:paraId="0A627C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18C5A5A7">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w:rPr>
                      <w:rFonts w:hint="eastAsia" w:ascii="Cambria Math" w:hAnsi="Cambria Math"/>
                      <w:kern w:val="0"/>
                      <w:szCs w:val="21"/>
                    </w:rPr>
                    <m:t>R</m:t>
                  </m:r>
                  <m:ctrlPr>
                    <w:rPr>
                      <w:rFonts w:ascii="Cambria Math" w:hAnsi="Cambria Math"/>
                      <w:kern w:val="0"/>
                      <w:szCs w:val="21"/>
                    </w:rPr>
                  </m:ctrlPr>
                </m:e>
                <m:sub>
                  <m:r>
                    <m:rPr/>
                    <w:rPr>
                      <w:rFonts w:ascii="Cambria Math" w:hAnsi="Cambria Math"/>
                      <w:kern w:val="0"/>
                      <w:szCs w:val="21"/>
                    </w:rPr>
                    <m:t>p</m:t>
                  </m:r>
                  <m:ctrlPr>
                    <w:rPr>
                      <w:rFonts w:ascii="Cambria Math" w:hAnsi="Cambria Math"/>
                      <w:kern w:val="0"/>
                      <w:szCs w:val="21"/>
                    </w:rPr>
                  </m:ctrlPr>
                </m:sub>
              </m:sSub>
            </m:oMath>
            <w:r>
              <w:rPr>
                <w:rFonts w:ascii="宋体" w:hAnsi="宋体" w:eastAsia="宋体" w:cs="Times New Roman"/>
                <w:bCs/>
                <w:kern w:val="0"/>
                <w:szCs w:val="21"/>
                <w:lang w:val="zh-CN" w:bidi="zh-CN"/>
              </w:rPr>
              <w:t>≥</w:t>
            </w:r>
            <w:r>
              <w:rPr>
                <w:rFonts w:hint="eastAsia" w:ascii="宋体" w:hAnsi="宋体" w:eastAsia="宋体" w:cs="Times New Roman"/>
                <w:bCs/>
                <w:kern w:val="0"/>
                <w:szCs w:val="21"/>
                <w:lang w:val="zh-CN" w:bidi="zh-CN"/>
              </w:rPr>
              <w:t xml:space="preserve">0.4 </w:t>
            </w:r>
          </w:p>
        </w:tc>
        <w:tc>
          <w:tcPr>
            <w:tcW w:w="1555" w:type="dxa"/>
            <w:vAlign w:val="center"/>
          </w:tcPr>
          <w:p w14:paraId="7170AB24">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A</w:t>
            </w:r>
          </w:p>
        </w:tc>
      </w:tr>
      <w:tr w14:paraId="5DD8B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7F403E12">
            <w:pPr>
              <w:overflowPunct w:val="0"/>
              <w:spacing w:line="360" w:lineRule="auto"/>
              <w:jc w:val="center"/>
              <w:rPr>
                <w:rFonts w:hint="eastAsia" w:ascii="宋体" w:hAnsi="宋体" w:eastAsia="宋体" w:cs="Times New Roman"/>
                <w:bCs/>
                <w:kern w:val="0"/>
                <w:szCs w:val="21"/>
                <w:lang w:val="zh-CN" w:bidi="zh-CN"/>
              </w:rPr>
            </w:pPr>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2</w:t>
            </w:r>
            <w:r>
              <w:rPr>
                <w:rFonts w:ascii="宋体" w:hAnsi="宋体" w:eastAsia="宋体" w:cs="Times New Roman"/>
                <w:bCs/>
                <w:kern w:val="0"/>
                <w:szCs w:val="21"/>
                <w:lang w:val="zh-CN" w:bidi="zh-CN"/>
              </w:rPr>
              <w:t>≤</w:t>
            </w:r>
            <m:oMath>
              <m:sSub>
                <m:sSubPr>
                  <m:ctrlPr>
                    <w:rPr>
                      <w:rFonts w:ascii="Cambria Math" w:hAnsi="Cambria Math"/>
                      <w:kern w:val="0"/>
                      <w:szCs w:val="21"/>
                    </w:rPr>
                  </m:ctrlPr>
                </m:sSubPr>
                <m:e>
                  <m:r>
                    <m:rPr/>
                    <w:rPr>
                      <w:rFonts w:hint="eastAsia" w:ascii="Cambria Math" w:hAnsi="Cambria Math"/>
                      <w:kern w:val="0"/>
                      <w:szCs w:val="21"/>
                    </w:rPr>
                    <m:t>R</m:t>
                  </m:r>
                  <m:ctrlPr>
                    <w:rPr>
                      <w:rFonts w:ascii="Cambria Math" w:hAnsi="Cambria Math"/>
                      <w:kern w:val="0"/>
                      <w:szCs w:val="21"/>
                    </w:rPr>
                  </m:ctrlPr>
                </m:e>
                <m:sub>
                  <m:r>
                    <m:rPr/>
                    <w:rPr>
                      <w:rFonts w:ascii="Cambria Math" w:hAnsi="Cambria Math"/>
                      <w:kern w:val="0"/>
                      <w:szCs w:val="21"/>
                    </w:rPr>
                    <m:t>p</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4</w:t>
            </w:r>
          </w:p>
        </w:tc>
        <w:tc>
          <w:tcPr>
            <w:tcW w:w="1555" w:type="dxa"/>
            <w:vAlign w:val="center"/>
          </w:tcPr>
          <w:p w14:paraId="5E9A3B10">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B</w:t>
            </w:r>
          </w:p>
        </w:tc>
      </w:tr>
      <w:tr w14:paraId="03E3C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098" w:type="pct"/>
            <w:vAlign w:val="center"/>
          </w:tcPr>
          <w:p w14:paraId="5F1DF267">
            <w:pPr>
              <w:overflowPunct w:val="0"/>
              <w:spacing w:line="360" w:lineRule="auto"/>
              <w:jc w:val="center"/>
              <w:rPr>
                <w:rFonts w:hint="eastAsia" w:ascii="宋体" w:hAnsi="宋体" w:eastAsia="宋体" w:cs="Times New Roman"/>
                <w:bCs/>
                <w:kern w:val="0"/>
                <w:szCs w:val="21"/>
                <w:lang w:val="zh-CN" w:bidi="zh-CN"/>
              </w:rPr>
            </w:pPr>
            <m:oMath>
              <m:sSub>
                <m:sSubPr>
                  <m:ctrlPr>
                    <w:rPr>
                      <w:rFonts w:ascii="Cambria Math" w:hAnsi="Cambria Math"/>
                      <w:kern w:val="0"/>
                      <w:szCs w:val="21"/>
                    </w:rPr>
                  </m:ctrlPr>
                </m:sSubPr>
                <m:e>
                  <m:r>
                    <m:rPr/>
                    <w:rPr>
                      <w:rFonts w:hint="eastAsia" w:ascii="Cambria Math" w:hAnsi="Cambria Math"/>
                      <w:kern w:val="0"/>
                      <w:szCs w:val="21"/>
                    </w:rPr>
                    <m:t>R</m:t>
                  </m:r>
                  <m:ctrlPr>
                    <w:rPr>
                      <w:rFonts w:ascii="Cambria Math" w:hAnsi="Cambria Math"/>
                      <w:kern w:val="0"/>
                      <w:szCs w:val="21"/>
                    </w:rPr>
                  </m:ctrlPr>
                </m:e>
                <m:sub>
                  <m:r>
                    <m:rPr/>
                    <w:rPr>
                      <w:rFonts w:ascii="Cambria Math" w:hAnsi="Cambria Math"/>
                      <w:kern w:val="0"/>
                      <w:szCs w:val="21"/>
                    </w:rPr>
                    <m:t>p</m:t>
                  </m:r>
                  <m:ctrlPr>
                    <w:rPr>
                      <w:rFonts w:ascii="Cambria Math" w:hAnsi="Cambria Math"/>
                      <w:kern w:val="0"/>
                      <w:szCs w:val="21"/>
                    </w:rPr>
                  </m:ctrlPr>
                </m:sub>
              </m:sSub>
            </m:oMath>
            <w:r>
              <w:rPr>
                <w:rFonts w:ascii="宋体" w:hAnsi="宋体" w:eastAsia="宋体" w:cs="Times New Roman"/>
                <w:bCs/>
                <w:kern w:val="0"/>
                <w:szCs w:val="21"/>
                <w:lang w:val="zh-CN" w:bidi="zh-CN"/>
              </w:rPr>
              <w:t>＜0.</w:t>
            </w:r>
            <w:r>
              <w:rPr>
                <w:rFonts w:hint="eastAsia" w:ascii="宋体" w:hAnsi="宋体" w:eastAsia="宋体" w:cs="Times New Roman"/>
                <w:bCs/>
                <w:kern w:val="0"/>
                <w:szCs w:val="21"/>
                <w:lang w:val="zh-CN" w:bidi="zh-CN"/>
              </w:rPr>
              <w:t>2</w:t>
            </w:r>
          </w:p>
        </w:tc>
        <w:tc>
          <w:tcPr>
            <w:tcW w:w="1555" w:type="dxa"/>
            <w:vAlign w:val="center"/>
          </w:tcPr>
          <w:p w14:paraId="1AE95161">
            <w:pPr>
              <w:overflowPunct w:val="0"/>
              <w:spacing w:line="360" w:lineRule="auto"/>
              <w:jc w:val="center"/>
              <w:rPr>
                <w:rFonts w:ascii="Times New Roman" w:hAnsi="Times New Roman" w:eastAsia="宋体" w:cs="Times New Roman"/>
                <w:bCs/>
                <w:kern w:val="0"/>
                <w:szCs w:val="21"/>
                <w:lang w:val="zh-CN" w:bidi="zh-CN"/>
              </w:rPr>
            </w:pPr>
            <w:r>
              <w:rPr>
                <w:rFonts w:hint="eastAsia" w:ascii="Times New Roman" w:hAnsi="Times New Roman" w:eastAsia="宋体" w:cs="Times New Roman"/>
                <w:bCs/>
                <w:kern w:val="0"/>
                <w:szCs w:val="21"/>
                <w:lang w:val="en-US" w:bidi="zh-CN"/>
              </w:rPr>
              <w:t>C</w:t>
            </w:r>
          </w:p>
        </w:tc>
      </w:tr>
    </w:tbl>
    <w:p w14:paraId="54DC8B33">
      <w:pPr>
        <w:pStyle w:val="60"/>
        <w:numPr>
          <w:ilvl w:val="0"/>
          <w:numId w:val="0"/>
        </w:numPr>
        <w:overflowPunct w:val="0"/>
        <w:spacing w:line="360" w:lineRule="auto"/>
        <w:ind w:firstLine="643" w:firstLineChars="200"/>
        <w:rPr>
          <w:b/>
          <w:kern w:val="44"/>
          <w:sz w:val="32"/>
          <w:szCs w:val="32"/>
          <w:lang w:bidi="zh-CN"/>
        </w:rPr>
      </w:pPr>
    </w:p>
    <w:p w14:paraId="40D9EC45">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p>
    <w:p w14:paraId="0BC837D8">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p>
    <w:p w14:paraId="538C1819">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条文说明：</w:t>
      </w:r>
    </w:p>
    <w:p w14:paraId="5D2A33FA">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对城市支路分时利用率提出要求。分时利用具体包含潮汐车道、潮汐车位、限时步行街、限时市集。《关于推动城市停车设施发展意见的通知》国办函〔2021〕46号提出，结合公共交通发展情况和周边区域交通条件，区分不同时长停车需要，综合采取资源共享、价格调节、临时停车等措施，合理确定停车设施规模。根据长沙市地方标准《潮汐停车服务规范》（征求意见稿）的3.1条，潮汐停车是拥有停车泊位产权或使用权的组织、个人或委托第三方，根据停车需求的周期性变化，在空闲时面向社会为他人提供临时停车位，提高停车资源利用率、缓解停车难的一种模式。上海市《关于进一步规范设摊经营活动的指导意见（试行）》（沪绿容规〔2025〕1号）提出，应根据商业服务网点布局和市民实际需求，形成以基本商业服务为主体、设摊经营为补充的服务格局，其中市民集市、分时步行街等搭建临时性设施的，应可拆卸、可移动，定期更新，确保设施安全、整洁，与周边环境相协调。并明确管理要求，规定区人民政府应当组织制定具体方案，明确允许设摊经营的区域范围、时段、业态以及管理要求，并向社会公布。</w:t>
      </w:r>
    </w:p>
    <w:p w14:paraId="4DE18B80">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城市支路分时利用率情况可通过现场调研，或从有关部门调取城市设计方案进行获取。</w:t>
      </w:r>
    </w:p>
    <w:p w14:paraId="60B17F9F">
      <w:pPr>
        <w:keepNext w:val="0"/>
        <w:keepLines w:val="0"/>
        <w:pageBreakBefore w:val="0"/>
        <w:widowControl/>
        <w:suppressLineNumbers w:val="0"/>
        <w:kinsoku/>
        <w:wordWrap/>
        <w:overflowPunct/>
        <w:topLinePunct w:val="0"/>
        <w:autoSpaceDE/>
        <w:autoSpaceDN/>
        <w:bidi w:val="0"/>
        <w:adjustRightInd/>
        <w:snapToGrid/>
        <w:ind w:firstLine="402" w:firstLineChars="200"/>
        <w:jc w:val="left"/>
        <w:textAlignment w:val="auto"/>
        <w:rPr>
          <w:rFonts w:hint="eastAsia" w:ascii="楷体" w:hAnsi="楷体" w:eastAsia="楷体" w:cs="楷体"/>
          <w:b/>
          <w:bCs/>
          <w:color w:val="000000"/>
          <w:kern w:val="0"/>
          <w:sz w:val="20"/>
          <w:szCs w:val="20"/>
          <w:lang w:val="en-US" w:eastAsia="zh-CN" w:bidi="ar"/>
        </w:rPr>
      </w:pPr>
      <w:r>
        <w:rPr>
          <w:rFonts w:hint="eastAsia" w:ascii="楷体" w:hAnsi="楷体" w:eastAsia="楷体" w:cs="楷体"/>
          <w:b/>
          <w:bCs/>
          <w:color w:val="000000"/>
          <w:kern w:val="0"/>
          <w:sz w:val="20"/>
          <w:szCs w:val="20"/>
          <w:lang w:val="en-US" w:eastAsia="zh-CN" w:bidi="ar"/>
        </w:rPr>
        <w:t>本条的评估方法为：实地调研、现场核查、从相关部门获取资料。</w:t>
      </w:r>
    </w:p>
    <w:p w14:paraId="5495CDBD">
      <w:pPr>
        <w:widowControl/>
        <w:jc w:val="left"/>
        <w:rPr>
          <w:rFonts w:ascii="Times New Roman" w:hAnsi="Times New Roman" w:eastAsia="宋体" w:cs="Times New Roman"/>
          <w:b/>
          <w:kern w:val="44"/>
          <w:sz w:val="32"/>
          <w:szCs w:val="32"/>
          <w:lang w:bidi="zh-CN"/>
        </w:rPr>
      </w:pPr>
      <w:r>
        <w:rPr>
          <w:rFonts w:ascii="Times New Roman" w:hAnsi="Times New Roman" w:eastAsia="宋体" w:cs="Times New Roman"/>
          <w:b/>
          <w:kern w:val="44"/>
          <w:sz w:val="32"/>
          <w:szCs w:val="32"/>
          <w:lang w:bidi="zh-CN"/>
        </w:rPr>
        <w:br w:type="page"/>
      </w:r>
    </w:p>
    <w:p w14:paraId="626D0CE6">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53" w:name="_Toc221098652"/>
      <w:bookmarkStart w:id="54" w:name="_Toc10510"/>
      <w:r>
        <w:rPr>
          <w:rFonts w:hint="eastAsia" w:ascii="Times New Roman" w:hAnsi="Times New Roman" w:eastAsia="宋体" w:cs="Times New Roman"/>
          <w:b/>
          <w:kern w:val="44"/>
          <w:sz w:val="32"/>
          <w:szCs w:val="32"/>
          <w:lang w:bidi="zh-CN"/>
        </w:rPr>
        <w:t>8</w:t>
      </w:r>
      <w:r>
        <w:rPr>
          <w:rFonts w:ascii="Times New Roman" w:hAnsi="Times New Roman" w:eastAsia="宋体" w:cs="Times New Roman"/>
          <w:b/>
          <w:kern w:val="44"/>
          <w:sz w:val="32"/>
          <w:szCs w:val="32"/>
          <w:lang w:bidi="zh-CN"/>
        </w:rPr>
        <w:t>　</w:t>
      </w:r>
      <w:r>
        <w:rPr>
          <w:rFonts w:hint="eastAsia" w:ascii="Times New Roman" w:hAnsi="Times New Roman" w:eastAsia="宋体" w:cs="Times New Roman"/>
          <w:b/>
          <w:kern w:val="44"/>
          <w:sz w:val="32"/>
          <w:szCs w:val="32"/>
          <w:lang w:bidi="zh-CN"/>
        </w:rPr>
        <w:t>评估报告</w:t>
      </w:r>
      <w:bookmarkEnd w:id="53"/>
      <w:bookmarkEnd w:id="54"/>
    </w:p>
    <w:p w14:paraId="0C94BA49">
      <w:pPr>
        <w:overflowPunct w:val="0"/>
        <w:snapToGrid w:val="0"/>
        <w:spacing w:line="360" w:lineRule="auto"/>
        <w:ind w:right="84" w:rightChars="40"/>
        <w:jc w:val="center"/>
        <w:outlineLvl w:val="1"/>
        <w:rPr>
          <w:rFonts w:hint="eastAsia"/>
          <w:b w:val="0"/>
          <w:bCs w:val="0"/>
        </w:rPr>
      </w:pPr>
      <w:bookmarkStart w:id="55" w:name="_Toc221098653"/>
      <w:bookmarkStart w:id="56" w:name="_Toc6750"/>
      <w:r>
        <w:rPr>
          <w:rFonts w:hint="default" w:ascii="Times New Roman" w:hAnsi="Times New Roman" w:eastAsia="黑体" w:cs="Times New Roman"/>
          <w:b w:val="0"/>
          <w:bCs w:val="0"/>
          <w:kern w:val="0"/>
          <w:sz w:val="28"/>
          <w:szCs w:val="28"/>
          <w:lang w:bidi="zh-CN"/>
        </w:rPr>
        <w:t>8.1</w:t>
      </w:r>
      <w:r>
        <w:rPr>
          <w:rFonts w:hint="eastAsia" w:ascii="黑体" w:hAnsi="黑体" w:eastAsia="黑体" w:cs="黑体"/>
          <w:b w:val="0"/>
          <w:bCs w:val="0"/>
          <w:kern w:val="0"/>
          <w:sz w:val="28"/>
          <w:szCs w:val="28"/>
          <w:lang w:bidi="zh-CN"/>
        </w:rPr>
        <w:t xml:space="preserve"> 一般规定</w:t>
      </w:r>
      <w:bookmarkEnd w:id="55"/>
      <w:bookmarkEnd w:id="56"/>
    </w:p>
    <w:p w14:paraId="40BB371F">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b/>
          <w:bCs/>
          <w:kern w:val="0"/>
          <w:sz w:val="24"/>
          <w:szCs w:val="24"/>
          <w14:ligatures w14:val="standardContextual"/>
        </w:rPr>
        <w:t>8</w:t>
      </w:r>
      <w:r>
        <w:rPr>
          <w:rFonts w:ascii="Times New Roman" w:hAnsi="Times New Roman" w:eastAsia="宋体" w:cs="Times New Roman"/>
          <w:b/>
          <w:bCs/>
          <w:kern w:val="0"/>
          <w:sz w:val="24"/>
          <w:szCs w:val="24"/>
          <w14:ligatures w14:val="standardContextual"/>
        </w:rPr>
        <w:t>.1.1</w:t>
      </w:r>
      <w:r>
        <w:rPr>
          <w:rFonts w:hint="eastAsia" w:ascii="Times New Roman" w:hAnsi="Times New Roman" w:eastAsia="宋体" w:cs="Times New Roman"/>
          <w:kern w:val="0"/>
          <w:sz w:val="24"/>
          <w:szCs w:val="24"/>
          <w14:ligatures w14:val="standardContextual"/>
        </w:rPr>
        <w:t xml:space="preserve">  评估报告是城市高强度片区</w:t>
      </w:r>
      <w:r>
        <w:rPr>
          <w:rFonts w:hint="eastAsia" w:ascii="Times New Roman" w:hAnsi="Times New Roman" w:eastAsia="宋体" w:cs="Times New Roman"/>
          <w:kern w:val="0"/>
          <w:sz w:val="24"/>
          <w:szCs w:val="24"/>
          <w:lang w:val="en-US" w:eastAsia="zh-CN"/>
          <w14:ligatures w14:val="standardContextual"/>
        </w:rPr>
        <w:t>使用效能</w:t>
      </w:r>
      <w:r>
        <w:rPr>
          <w:rFonts w:hint="eastAsia" w:ascii="Times New Roman" w:hAnsi="Times New Roman" w:eastAsia="宋体" w:cs="Times New Roman"/>
          <w:kern w:val="0"/>
          <w:sz w:val="24"/>
          <w:szCs w:val="24"/>
          <w14:ligatures w14:val="standardContextual"/>
        </w:rPr>
        <w:t>评估工作的最终成果，应全面、客观、真实地反映评估对象的现状性能水平或设计方案预评估结果。</w:t>
      </w:r>
    </w:p>
    <w:p w14:paraId="0F7C8CB1">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b/>
          <w:bCs/>
          <w:kern w:val="0"/>
          <w:sz w:val="24"/>
          <w:szCs w:val="24"/>
          <w14:ligatures w14:val="standardContextual"/>
        </w:rPr>
        <w:t>8.1.2</w:t>
      </w:r>
      <w:r>
        <w:rPr>
          <w:rFonts w:hint="eastAsia" w:ascii="Times New Roman" w:hAnsi="Times New Roman" w:eastAsia="宋体" w:cs="Times New Roman"/>
          <w:kern w:val="0"/>
          <w:sz w:val="24"/>
          <w:szCs w:val="24"/>
          <w14:ligatures w14:val="standardContextual"/>
        </w:rPr>
        <w:t xml:space="preserve">  评估报告的编制应做到逻辑严谨、数据详实、结论准确、用词规范。报告中引用的术语、符号及计量单位应符合国家现行有关标准的规定。</w:t>
      </w:r>
    </w:p>
    <w:p w14:paraId="5D7608E6">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b/>
          <w:bCs/>
          <w:kern w:val="0"/>
          <w:sz w:val="24"/>
          <w:szCs w:val="24"/>
          <w14:ligatures w14:val="standardContextual"/>
        </w:rPr>
        <w:t>8.1.3</w:t>
      </w:r>
      <w:r>
        <w:rPr>
          <w:rFonts w:hint="eastAsia" w:ascii="Times New Roman" w:hAnsi="Times New Roman" w:eastAsia="宋体" w:cs="Times New Roman"/>
          <w:kern w:val="0"/>
          <w:sz w:val="24"/>
          <w:szCs w:val="24"/>
          <w14:ligatures w14:val="standardContextual"/>
        </w:rPr>
        <w:t xml:space="preserve">  评估报告应经评估机构技术负责人审核签字，并加盖评估机构公章或评估专用章后方可生效。</w:t>
      </w:r>
    </w:p>
    <w:p w14:paraId="5D86646F">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p>
    <w:p w14:paraId="02CC1C7E">
      <w:pPr>
        <w:overflowPunct w:val="0"/>
        <w:snapToGrid w:val="0"/>
        <w:spacing w:line="360" w:lineRule="auto"/>
        <w:ind w:right="84" w:rightChars="40"/>
        <w:jc w:val="center"/>
        <w:outlineLvl w:val="1"/>
        <w:rPr>
          <w:rFonts w:hint="eastAsia" w:ascii="黑体" w:hAnsi="黑体" w:eastAsia="黑体" w:cs="黑体"/>
          <w:b w:val="0"/>
          <w:bCs w:val="0"/>
          <w:kern w:val="0"/>
          <w:sz w:val="28"/>
          <w:szCs w:val="28"/>
          <w:lang w:bidi="zh-CN"/>
        </w:rPr>
      </w:pPr>
      <w:bookmarkStart w:id="57" w:name="_Toc221098654"/>
      <w:bookmarkStart w:id="58" w:name="_Toc6662"/>
      <w:r>
        <w:rPr>
          <w:rFonts w:hint="eastAsia" w:ascii="Times New Roman" w:hAnsi="Times New Roman" w:eastAsia="黑体" w:cs="Times New Roman"/>
          <w:b w:val="0"/>
          <w:bCs w:val="0"/>
          <w:kern w:val="0"/>
          <w:sz w:val="28"/>
          <w:szCs w:val="28"/>
          <w:lang w:bidi="zh-CN"/>
        </w:rPr>
        <w:t>8.2</w:t>
      </w:r>
      <w:r>
        <w:rPr>
          <w:rFonts w:hint="eastAsia" w:ascii="黑体" w:hAnsi="黑体" w:eastAsia="黑体" w:cs="黑体"/>
          <w:b w:val="0"/>
          <w:bCs w:val="0"/>
          <w:kern w:val="0"/>
          <w:sz w:val="28"/>
          <w:szCs w:val="28"/>
          <w:lang w:bidi="zh-CN"/>
        </w:rPr>
        <w:t xml:space="preserve"> 报告内容</w:t>
      </w:r>
      <w:bookmarkEnd w:id="57"/>
      <w:bookmarkEnd w:id="58"/>
    </w:p>
    <w:p w14:paraId="6AF4F8EF">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b/>
          <w:bCs/>
          <w:kern w:val="0"/>
          <w:sz w:val="24"/>
          <w:szCs w:val="24"/>
          <w14:ligatures w14:val="standardContextual"/>
        </w:rPr>
        <w:t>8.2.1</w:t>
      </w:r>
      <w:r>
        <w:rPr>
          <w:rFonts w:hint="eastAsia" w:ascii="Times New Roman" w:hAnsi="Times New Roman" w:eastAsia="宋体" w:cs="Times New Roman"/>
          <w:kern w:val="0"/>
          <w:sz w:val="24"/>
          <w:szCs w:val="24"/>
          <w14:ligatures w14:val="standardContextual"/>
        </w:rPr>
        <w:t xml:space="preserve">  高强度片区</w:t>
      </w:r>
      <w:r>
        <w:rPr>
          <w:rFonts w:hint="eastAsia" w:ascii="Times New Roman" w:hAnsi="Times New Roman" w:eastAsia="宋体" w:cs="Times New Roman"/>
          <w:kern w:val="0"/>
          <w:sz w:val="24"/>
          <w:szCs w:val="24"/>
          <w:lang w:val="en-US" w:eastAsia="zh-CN"/>
          <w14:ligatures w14:val="standardContextual"/>
        </w:rPr>
        <w:t>使用效能</w:t>
      </w:r>
      <w:r>
        <w:rPr>
          <w:rFonts w:hint="eastAsia" w:ascii="Times New Roman" w:hAnsi="Times New Roman" w:eastAsia="宋体" w:cs="Times New Roman"/>
          <w:kern w:val="0"/>
          <w:sz w:val="24"/>
          <w:szCs w:val="24"/>
          <w14:ligatures w14:val="standardContextual"/>
        </w:rPr>
        <w:t>评估报告应包括但不限于以下内容：</w:t>
      </w:r>
    </w:p>
    <w:p w14:paraId="1BE42A20">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1</w:t>
      </w:r>
      <w:r>
        <w:rPr>
          <w:rFonts w:hint="eastAsia" w:ascii="Times New Roman" w:hAnsi="Times New Roman" w:eastAsia="宋体" w:cs="Times New Roman"/>
          <w:kern w:val="0"/>
          <w:sz w:val="24"/>
          <w:szCs w:val="24"/>
          <w14:ligatures w14:val="standardContextual"/>
        </w:rPr>
        <w:t xml:space="preserve"> 项目概况。片区名称、地理位置、所属城市及行政区划；评估范围界定；片区功能定位、建设规模、人口密度及主要用地构成。</w:t>
      </w:r>
    </w:p>
    <w:p w14:paraId="55F9DCFF">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2</w:t>
      </w:r>
      <w:r>
        <w:rPr>
          <w:rFonts w:hint="eastAsia" w:ascii="Times New Roman" w:hAnsi="Times New Roman" w:eastAsia="宋体" w:cs="Times New Roman"/>
          <w:kern w:val="0"/>
          <w:sz w:val="24"/>
          <w:szCs w:val="24"/>
          <w14:ligatures w14:val="standardContextual"/>
        </w:rPr>
        <w:t xml:space="preserve"> 评估依据：本标准及相关引用的国家、行业标准；片区相关的法定规划文件；项目设计文件或现状基础数据资料。</w:t>
      </w:r>
    </w:p>
    <w:p w14:paraId="6C6D25BA">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 xml:space="preserve"> 3</w:t>
      </w:r>
      <w:r>
        <w:rPr>
          <w:rFonts w:hint="eastAsia" w:ascii="Times New Roman" w:hAnsi="Times New Roman" w:eastAsia="宋体" w:cs="Times New Roman"/>
          <w:kern w:val="0"/>
          <w:sz w:val="24"/>
          <w:szCs w:val="24"/>
          <w14:ligatures w14:val="standardContextual"/>
        </w:rPr>
        <w:t xml:space="preserve"> 评估过程简述：评估工作起止日期；评估小组人员构成；主要调查方法及使用的软硬件工具。</w:t>
      </w:r>
    </w:p>
    <w:p w14:paraId="2B26D1C4">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4</w:t>
      </w:r>
      <w:r>
        <w:rPr>
          <w:rFonts w:hint="eastAsia" w:ascii="Times New Roman" w:hAnsi="Times New Roman" w:eastAsia="宋体" w:cs="Times New Roman"/>
          <w:kern w:val="0"/>
          <w:sz w:val="24"/>
          <w:szCs w:val="24"/>
          <w14:ligatures w14:val="standardContextual"/>
        </w:rPr>
        <w:t xml:space="preserve"> 分项评估结果：列出全部评级项的原始计算数值；列出各评级项对应的评定等级；明确被评定为C级的指标名称及其具体缺陷。</w:t>
      </w:r>
    </w:p>
    <w:p w14:paraId="00EAE759">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 xml:space="preserve"> 5</w:t>
      </w:r>
      <w:r>
        <w:rPr>
          <w:rFonts w:hint="eastAsia" w:ascii="Times New Roman" w:hAnsi="Times New Roman" w:eastAsia="宋体" w:cs="Times New Roman"/>
          <w:kern w:val="0"/>
          <w:sz w:val="24"/>
          <w:szCs w:val="24"/>
          <w14:ligatures w14:val="standardContextual"/>
        </w:rPr>
        <w:t xml:space="preserve"> 综合评估结论：统计获得A级、B级及C级的评级项数量；依据本标准第4章分级规定，明确片区的</w:t>
      </w:r>
      <w:r>
        <w:rPr>
          <w:rFonts w:hint="eastAsia" w:ascii="Times New Roman" w:hAnsi="Times New Roman" w:eastAsia="宋体" w:cs="Times New Roman"/>
          <w:kern w:val="0"/>
          <w:sz w:val="24"/>
          <w:szCs w:val="24"/>
          <w:lang w:val="en-US" w:eastAsia="zh-CN"/>
          <w14:ligatures w14:val="standardContextual"/>
        </w:rPr>
        <w:t>使用效能</w:t>
      </w:r>
      <w:r>
        <w:rPr>
          <w:rFonts w:hint="eastAsia" w:ascii="Times New Roman" w:hAnsi="Times New Roman" w:eastAsia="宋体" w:cs="Times New Roman"/>
          <w:kern w:val="0"/>
          <w:sz w:val="24"/>
          <w:szCs w:val="24"/>
          <w14:ligatures w14:val="standardContextual"/>
        </w:rPr>
        <w:t>评估结论。</w:t>
      </w:r>
    </w:p>
    <w:p w14:paraId="320D375E">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6</w:t>
      </w:r>
      <w:r>
        <w:rPr>
          <w:rFonts w:hint="eastAsia" w:ascii="Times New Roman" w:hAnsi="Times New Roman" w:eastAsia="宋体" w:cs="Times New Roman"/>
          <w:kern w:val="0"/>
          <w:sz w:val="24"/>
          <w:szCs w:val="24"/>
          <w14:ligatures w14:val="standardContextual"/>
        </w:rPr>
        <w:t xml:space="preserve"> 优化建议：针对评级为B级及C级的评级项，分析问题成因。结合片区实际条件，提出具体的空间优化、设施增补或管理提升建议。</w:t>
      </w:r>
    </w:p>
    <w:p w14:paraId="4011D4CF">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p>
    <w:p w14:paraId="071DE3DE">
      <w:pPr>
        <w:overflowPunct w:val="0"/>
        <w:snapToGrid w:val="0"/>
        <w:spacing w:line="360" w:lineRule="auto"/>
        <w:ind w:right="84" w:rightChars="40"/>
        <w:jc w:val="center"/>
        <w:outlineLvl w:val="1"/>
        <w:rPr>
          <w:rFonts w:hint="eastAsia" w:ascii="黑体" w:hAnsi="黑体" w:eastAsia="黑体" w:cs="黑体"/>
          <w:b w:val="0"/>
          <w:bCs w:val="0"/>
          <w:kern w:val="0"/>
          <w:sz w:val="28"/>
          <w:szCs w:val="28"/>
          <w:lang w:bidi="zh-CN"/>
        </w:rPr>
      </w:pPr>
      <w:bookmarkStart w:id="59" w:name="_Toc8116"/>
      <w:bookmarkStart w:id="60" w:name="_Toc221098655"/>
      <w:r>
        <w:rPr>
          <w:rFonts w:hint="eastAsia" w:ascii="Times New Roman" w:hAnsi="Times New Roman" w:eastAsia="黑体" w:cs="Times New Roman"/>
          <w:b w:val="0"/>
          <w:bCs w:val="0"/>
          <w:kern w:val="0"/>
          <w:sz w:val="28"/>
          <w:szCs w:val="28"/>
          <w:lang w:bidi="zh-CN"/>
        </w:rPr>
        <w:t>8.3</w:t>
      </w:r>
      <w:r>
        <w:rPr>
          <w:rFonts w:hint="eastAsia" w:ascii="黑体" w:hAnsi="黑体" w:eastAsia="黑体" w:cs="黑体"/>
          <w:b w:val="0"/>
          <w:bCs w:val="0"/>
          <w:kern w:val="0"/>
          <w:sz w:val="28"/>
          <w:szCs w:val="28"/>
          <w:lang w:bidi="zh-CN"/>
        </w:rPr>
        <w:t xml:space="preserve"> 附件</w:t>
      </w:r>
      <w:bookmarkEnd w:id="59"/>
      <w:bookmarkEnd w:id="60"/>
    </w:p>
    <w:p w14:paraId="20BB66E2">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p>
    <w:p w14:paraId="10A7ED07">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b/>
          <w:bCs/>
          <w:kern w:val="0"/>
          <w:sz w:val="24"/>
          <w:szCs w:val="24"/>
          <w14:ligatures w14:val="standardContextual"/>
        </w:rPr>
        <w:t>8.3.1</w:t>
      </w:r>
      <w:r>
        <w:rPr>
          <w:rFonts w:hint="eastAsia" w:ascii="Times New Roman" w:hAnsi="Times New Roman" w:eastAsia="宋体" w:cs="Times New Roman"/>
          <w:kern w:val="0"/>
          <w:sz w:val="24"/>
          <w:szCs w:val="24"/>
          <w14:ligatures w14:val="standardContextual"/>
        </w:rPr>
        <w:t xml:space="preserve"> 评估报告应附带必要的证明材料与图纸，包括：</w:t>
      </w:r>
    </w:p>
    <w:p w14:paraId="5DF35D3B">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1</w:t>
      </w:r>
      <w:r>
        <w:rPr>
          <w:rFonts w:hint="eastAsia" w:ascii="Times New Roman" w:hAnsi="Times New Roman" w:eastAsia="宋体" w:cs="Times New Roman"/>
          <w:kern w:val="0"/>
          <w:sz w:val="24"/>
          <w:szCs w:val="24"/>
          <w14:ligatures w14:val="standardContextual"/>
        </w:rPr>
        <w:t xml:space="preserve"> 评估对象范围图：标明用地红线及周边环境关系的图纸；</w:t>
      </w:r>
    </w:p>
    <w:p w14:paraId="5C4C95EB">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2</w:t>
      </w:r>
      <w:r>
        <w:rPr>
          <w:rFonts w:hint="eastAsia" w:ascii="Times New Roman" w:hAnsi="Times New Roman" w:eastAsia="宋体" w:cs="Times New Roman"/>
          <w:kern w:val="0"/>
          <w:sz w:val="24"/>
          <w:szCs w:val="24"/>
          <w14:ligatures w14:val="standardContextual"/>
        </w:rPr>
        <w:t xml:space="preserve"> 评级项分析图：反映服务设施分布、步行网络结构、</w:t>
      </w:r>
      <w:r>
        <w:rPr>
          <w:rFonts w:hint="eastAsia" w:ascii="Times New Roman" w:hAnsi="Times New Roman" w:eastAsia="宋体" w:cs="Times New Roman"/>
          <w:kern w:val="0"/>
          <w:sz w:val="24"/>
          <w:szCs w:val="24"/>
          <w:lang w:val="en-US" w:eastAsia="zh-CN"/>
          <w14:ligatures w14:val="standardContextual"/>
        </w:rPr>
        <w:t>连通度计算</w:t>
      </w:r>
      <w:r>
        <w:rPr>
          <w:rFonts w:hint="eastAsia" w:ascii="Times New Roman" w:hAnsi="Times New Roman" w:eastAsia="宋体" w:cs="Times New Roman"/>
          <w:kern w:val="0"/>
          <w:sz w:val="24"/>
          <w:szCs w:val="24"/>
          <w14:ligatures w14:val="standardContextual"/>
        </w:rPr>
        <w:t>结果等分析图纸；</w:t>
      </w:r>
    </w:p>
    <w:p w14:paraId="4FDEDD7D">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3</w:t>
      </w:r>
      <w:r>
        <w:rPr>
          <w:rFonts w:hint="eastAsia" w:ascii="Times New Roman" w:hAnsi="Times New Roman" w:eastAsia="宋体" w:cs="Times New Roman"/>
          <w:kern w:val="0"/>
          <w:sz w:val="24"/>
          <w:szCs w:val="24"/>
          <w14:ligatures w14:val="standardContextual"/>
        </w:rPr>
        <w:t xml:space="preserve"> 现状影像资料：反映片区典型空间特征、设施现状或主要问题的现场照片；</w:t>
      </w:r>
    </w:p>
    <w:p w14:paraId="1C40C35C">
      <w:pPr>
        <w:overflowPunct w:val="0"/>
        <w:snapToGrid w:val="0"/>
        <w:spacing w:line="360" w:lineRule="auto"/>
        <w:ind w:right="210" w:rightChars="100"/>
        <w:jc w:val="left"/>
        <w:rPr>
          <w:rFonts w:ascii="Times New Roman" w:hAnsi="Times New Roman" w:eastAsia="宋体" w:cs="Times New Roman"/>
          <w:kern w:val="0"/>
          <w:sz w:val="24"/>
          <w:szCs w:val="24"/>
          <w14:ligatures w14:val="standardContextual"/>
        </w:rPr>
      </w:pPr>
      <w:r>
        <w:rPr>
          <w:rFonts w:hint="eastAsia" w:ascii="Times New Roman" w:hAnsi="Times New Roman" w:eastAsia="宋体" w:cs="Times New Roman"/>
          <w:kern w:val="0"/>
          <w:sz w:val="24"/>
          <w:szCs w:val="24"/>
          <w14:ligatures w14:val="standardContextual"/>
        </w:rPr>
        <w:t xml:space="preserve">   </w:t>
      </w:r>
      <w:r>
        <w:rPr>
          <w:rFonts w:hint="eastAsia" w:ascii="Times New Roman" w:hAnsi="Times New Roman" w:eastAsia="宋体" w:cs="Times New Roman"/>
          <w:b/>
          <w:bCs/>
          <w:kern w:val="0"/>
          <w:sz w:val="24"/>
          <w:szCs w:val="24"/>
          <w14:ligatures w14:val="standardContextual"/>
        </w:rPr>
        <w:t xml:space="preserve"> 4 </w:t>
      </w:r>
      <w:r>
        <w:rPr>
          <w:rFonts w:hint="eastAsia" w:ascii="Times New Roman" w:hAnsi="Times New Roman" w:eastAsia="宋体" w:cs="Times New Roman"/>
          <w:kern w:val="0"/>
          <w:sz w:val="24"/>
          <w:szCs w:val="24"/>
          <w14:ligatures w14:val="standardContextual"/>
        </w:rPr>
        <w:t>计算书：各评级项原始数据的采集来源、计算过程及支撑材料。</w:t>
      </w:r>
    </w:p>
    <w:p w14:paraId="5EB7578E">
      <w:pPr>
        <w:widowControl/>
        <w:jc w:val="left"/>
        <w:rPr>
          <w:rFonts w:ascii="Times New Roman" w:hAnsi="Times New Roman" w:eastAsia="宋体" w:cs="Times New Roman"/>
          <w:b/>
          <w:kern w:val="44"/>
          <w:sz w:val="32"/>
          <w:szCs w:val="32"/>
          <w:lang w:bidi="zh-CN"/>
        </w:rPr>
      </w:pPr>
      <w:r>
        <w:rPr>
          <w:rFonts w:ascii="Times New Roman" w:hAnsi="Times New Roman"/>
          <w:b/>
          <w:kern w:val="44"/>
          <w:sz w:val="32"/>
          <w:szCs w:val="32"/>
          <w:lang w:bidi="zh-CN"/>
        </w:rPr>
        <w:br w:type="page"/>
      </w:r>
    </w:p>
    <w:p w14:paraId="06D7DABB">
      <w:pPr>
        <w:widowControl/>
        <w:jc w:val="left"/>
        <w:rPr>
          <w:rFonts w:ascii="Times New Roman" w:hAnsi="Times New Roman" w:eastAsia="宋体" w:cs="Times New Roman"/>
          <w:b/>
          <w:kern w:val="44"/>
          <w:sz w:val="32"/>
          <w:szCs w:val="32"/>
          <w:lang w:bidi="zh-CN"/>
        </w:rPr>
      </w:pPr>
    </w:p>
    <w:bookmarkEnd w:id="47"/>
    <w:bookmarkEnd w:id="48"/>
    <w:p w14:paraId="12E4BFAE">
      <w:pPr>
        <w:keepNext/>
        <w:keepLines/>
        <w:tabs>
          <w:tab w:val="left" w:pos="-376"/>
        </w:tabs>
        <w:overflowPunct w:val="0"/>
        <w:spacing w:before="156" w:beforeLines="50" w:after="156" w:afterLines="50" w:line="360" w:lineRule="auto"/>
        <w:jc w:val="center"/>
        <w:outlineLvl w:val="0"/>
        <w:rPr>
          <w:rFonts w:ascii="Times New Roman" w:hAnsi="Times New Roman" w:eastAsia="宋体" w:cs="Times New Roman"/>
          <w:b/>
          <w:kern w:val="44"/>
          <w:sz w:val="32"/>
          <w:szCs w:val="32"/>
          <w:lang w:bidi="zh-CN"/>
        </w:rPr>
      </w:pPr>
      <w:bookmarkStart w:id="61" w:name="_Toc193834329"/>
      <w:bookmarkStart w:id="62" w:name="_Toc195281692"/>
      <w:bookmarkStart w:id="63" w:name="_Toc17005"/>
      <w:bookmarkStart w:id="64" w:name="_Toc120115627"/>
      <w:bookmarkStart w:id="65" w:name="_Toc124329062"/>
      <w:bookmarkStart w:id="66" w:name="_Toc174313131"/>
      <w:bookmarkStart w:id="67" w:name="_Toc120126871"/>
      <w:bookmarkStart w:id="68" w:name="_Toc120115955"/>
      <w:bookmarkStart w:id="69" w:name="_Toc120713095"/>
      <w:r>
        <w:rPr>
          <w:rFonts w:hint="eastAsia" w:ascii="Times New Roman" w:hAnsi="Times New Roman" w:eastAsia="宋体" w:cs="Times New Roman"/>
          <w:b/>
          <w:kern w:val="44"/>
          <w:sz w:val="32"/>
          <w:szCs w:val="32"/>
          <w:lang w:bidi="zh-CN"/>
        </w:rPr>
        <w:t>用词说明</w:t>
      </w:r>
      <w:bookmarkEnd w:id="61"/>
      <w:bookmarkEnd w:id="62"/>
      <w:bookmarkEnd w:id="63"/>
    </w:p>
    <w:bookmarkEnd w:id="64"/>
    <w:bookmarkEnd w:id="65"/>
    <w:bookmarkEnd w:id="66"/>
    <w:bookmarkEnd w:id="67"/>
    <w:bookmarkEnd w:id="68"/>
    <w:bookmarkEnd w:id="69"/>
    <w:p w14:paraId="41943DCB">
      <w:pPr>
        <w:widowControl/>
        <w:overflowPunct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为便于在执行本标准条款时区别对待，对要求严格程度不同的用词说明如下：</w:t>
      </w:r>
    </w:p>
    <w:p w14:paraId="6F137A6C">
      <w:pPr>
        <w:overflowPunct w:val="0"/>
        <w:spacing w:line="360" w:lineRule="auto"/>
        <w:ind w:left="947" w:leftChars="451"/>
        <w:jc w:val="left"/>
        <w:rPr>
          <w:rFonts w:ascii="Times New Roman" w:hAnsi="Times New Roman" w:eastAsia="宋体" w:cs="Times New Roman"/>
          <w:kern w:val="0"/>
          <w:sz w:val="24"/>
          <w:szCs w:val="24"/>
        </w:rPr>
      </w:pPr>
      <w:r>
        <w:rPr>
          <w:rFonts w:ascii="Times New Roman" w:hAnsi="Times New Roman" w:eastAsia="宋体" w:cs="Times New Roman"/>
          <w:b/>
          <w:bCs/>
          <w:kern w:val="0"/>
          <w:sz w:val="24"/>
          <w:szCs w:val="24"/>
          <w:lang w:bidi="zh-CN"/>
        </w:rPr>
        <w:t>1</w:t>
      </w:r>
      <w:r>
        <w:rPr>
          <w:rFonts w:ascii="Times New Roman" w:hAnsi="Times New Roman" w:eastAsia="宋体" w:cs="Times New Roman"/>
          <w:kern w:val="0"/>
          <w:sz w:val="24"/>
          <w:szCs w:val="24"/>
          <w:lang w:bidi="zh-CN"/>
        </w:rPr>
        <w:t>　</w:t>
      </w:r>
      <w:r>
        <w:rPr>
          <w:rFonts w:ascii="Times New Roman" w:hAnsi="Times New Roman" w:eastAsia="宋体" w:cs="Times New Roman"/>
          <w:kern w:val="0"/>
          <w:sz w:val="24"/>
          <w:szCs w:val="24"/>
        </w:rPr>
        <w:t>表示很严格，非这样做不可的：</w:t>
      </w:r>
    </w:p>
    <w:p w14:paraId="594C6DBB">
      <w:pPr>
        <w:overflowPunct w:val="0"/>
        <w:spacing w:line="360" w:lineRule="auto"/>
        <w:ind w:left="947" w:leftChars="451" w:firstLine="324" w:firstLineChars="135"/>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正面词采用“必须”，反面词采用“严禁”；</w:t>
      </w:r>
    </w:p>
    <w:p w14:paraId="641A795F">
      <w:pPr>
        <w:overflowPunct w:val="0"/>
        <w:spacing w:line="360" w:lineRule="auto"/>
        <w:ind w:left="947" w:leftChars="451"/>
        <w:jc w:val="left"/>
        <w:rPr>
          <w:rFonts w:ascii="Times New Roman" w:hAnsi="Times New Roman" w:eastAsia="宋体" w:cs="Times New Roman"/>
          <w:kern w:val="0"/>
          <w:sz w:val="24"/>
          <w:szCs w:val="24"/>
        </w:rPr>
      </w:pPr>
      <w:bookmarkStart w:id="70" w:name="_Toc17839"/>
      <w:r>
        <w:rPr>
          <w:rFonts w:ascii="Times New Roman" w:hAnsi="Times New Roman" w:eastAsia="宋体" w:cs="Times New Roman"/>
          <w:b/>
          <w:bCs/>
          <w:kern w:val="0"/>
          <w:sz w:val="24"/>
          <w:szCs w:val="24"/>
          <w:lang w:bidi="zh-CN"/>
        </w:rPr>
        <w:t>2</w:t>
      </w:r>
      <w:r>
        <w:rPr>
          <w:rFonts w:ascii="Times New Roman" w:hAnsi="Times New Roman" w:eastAsia="宋体" w:cs="Times New Roman"/>
          <w:kern w:val="0"/>
          <w:sz w:val="24"/>
          <w:szCs w:val="24"/>
          <w:lang w:bidi="zh-CN"/>
        </w:rPr>
        <w:t>　</w:t>
      </w:r>
      <w:r>
        <w:rPr>
          <w:rFonts w:ascii="Times New Roman" w:hAnsi="Times New Roman" w:eastAsia="宋体" w:cs="Times New Roman"/>
          <w:kern w:val="0"/>
          <w:sz w:val="24"/>
          <w:szCs w:val="24"/>
        </w:rPr>
        <w:t>表示严格，在正常情况下均应这样做的：</w:t>
      </w:r>
      <w:bookmarkEnd w:id="70"/>
    </w:p>
    <w:p w14:paraId="66AF1491">
      <w:pPr>
        <w:overflowPunct w:val="0"/>
        <w:spacing w:line="360" w:lineRule="auto"/>
        <w:ind w:left="947" w:leftChars="451" w:firstLine="324" w:firstLineChars="135"/>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正面词采用“应”，反面词采用“不应”或“不得”；</w:t>
      </w:r>
    </w:p>
    <w:p w14:paraId="65B4DD75">
      <w:pPr>
        <w:overflowPunct w:val="0"/>
        <w:spacing w:line="360" w:lineRule="auto"/>
        <w:ind w:left="947" w:leftChars="451"/>
        <w:jc w:val="left"/>
        <w:rPr>
          <w:rFonts w:ascii="Times New Roman" w:hAnsi="Times New Roman" w:eastAsia="宋体" w:cs="Times New Roman"/>
          <w:kern w:val="0"/>
          <w:sz w:val="24"/>
          <w:szCs w:val="24"/>
        </w:rPr>
      </w:pPr>
      <w:r>
        <w:rPr>
          <w:rFonts w:ascii="Times New Roman" w:hAnsi="Times New Roman" w:eastAsia="宋体" w:cs="Times New Roman"/>
          <w:b/>
          <w:bCs/>
          <w:kern w:val="0"/>
          <w:sz w:val="24"/>
          <w:szCs w:val="24"/>
          <w:lang w:bidi="zh-CN"/>
        </w:rPr>
        <w:t>3</w:t>
      </w:r>
      <w:bookmarkStart w:id="71" w:name="_Toc31416"/>
      <w:r>
        <w:rPr>
          <w:rFonts w:ascii="Times New Roman" w:hAnsi="Times New Roman" w:eastAsia="宋体" w:cs="Times New Roman"/>
          <w:kern w:val="0"/>
          <w:sz w:val="24"/>
          <w:szCs w:val="24"/>
          <w:lang w:bidi="zh-CN"/>
        </w:rPr>
        <w:t>　</w:t>
      </w:r>
      <w:r>
        <w:rPr>
          <w:rFonts w:ascii="Times New Roman" w:hAnsi="Times New Roman" w:eastAsia="宋体" w:cs="Times New Roman"/>
          <w:kern w:val="0"/>
          <w:sz w:val="24"/>
          <w:szCs w:val="24"/>
        </w:rPr>
        <w:t>表示允许稍有选择，在条件许可时首先应这样做的：</w:t>
      </w:r>
      <w:bookmarkEnd w:id="71"/>
    </w:p>
    <w:p w14:paraId="66A0C916">
      <w:pPr>
        <w:overflowPunct w:val="0"/>
        <w:spacing w:line="360" w:lineRule="auto"/>
        <w:ind w:left="947" w:leftChars="451" w:firstLine="324" w:firstLineChars="135"/>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正面词采用“宜”，反面词采用“不宜”；</w:t>
      </w:r>
    </w:p>
    <w:p w14:paraId="414F4D4C">
      <w:pPr>
        <w:overflowPunct w:val="0"/>
        <w:spacing w:line="360" w:lineRule="auto"/>
        <w:ind w:left="947" w:leftChars="451"/>
        <w:jc w:val="left"/>
        <w:rPr>
          <w:rFonts w:ascii="Times New Roman" w:hAnsi="Times New Roman" w:eastAsia="宋体" w:cs="Times New Roman"/>
          <w:kern w:val="0"/>
          <w:sz w:val="24"/>
          <w:szCs w:val="24"/>
        </w:rPr>
      </w:pPr>
      <w:bookmarkStart w:id="72" w:name="_Toc3284"/>
      <w:r>
        <w:rPr>
          <w:rFonts w:ascii="Times New Roman" w:hAnsi="Times New Roman" w:eastAsia="宋体" w:cs="Times New Roman"/>
          <w:b/>
          <w:bCs/>
          <w:kern w:val="0"/>
          <w:sz w:val="24"/>
          <w:szCs w:val="24"/>
          <w:lang w:bidi="zh-CN"/>
        </w:rPr>
        <w:t>4</w:t>
      </w:r>
      <w:r>
        <w:rPr>
          <w:rFonts w:ascii="Times New Roman" w:hAnsi="Times New Roman" w:eastAsia="宋体" w:cs="Times New Roman"/>
          <w:kern w:val="0"/>
          <w:sz w:val="24"/>
          <w:szCs w:val="24"/>
          <w:lang w:bidi="zh-CN"/>
        </w:rPr>
        <w:t>　</w:t>
      </w:r>
      <w:r>
        <w:rPr>
          <w:rFonts w:ascii="Times New Roman" w:hAnsi="Times New Roman" w:eastAsia="宋体" w:cs="Times New Roman"/>
          <w:kern w:val="0"/>
          <w:sz w:val="24"/>
          <w:szCs w:val="24"/>
        </w:rPr>
        <w:t>表示有选择，在一定条件下可以这样做的，采用“可”。</w:t>
      </w:r>
      <w:bookmarkEnd w:id="72"/>
    </w:p>
    <w:p w14:paraId="1A554390">
      <w:pPr>
        <w:pStyle w:val="35"/>
        <w:widowControl/>
        <w:overflowPunct w:val="0"/>
        <w:spacing w:line="360" w:lineRule="auto"/>
        <w:ind w:left="840" w:firstLine="0" w:firstLineChars="0"/>
        <w:rPr>
          <w:rFonts w:ascii="Times New Roman" w:hAnsi="Times New Roman" w:eastAsia="宋体" w:cs="Times New Roman"/>
          <w:kern w:val="0"/>
          <w:sz w:val="22"/>
        </w:rPr>
      </w:pPr>
    </w:p>
    <w:p w14:paraId="1FC99DAE">
      <w:pPr>
        <w:keepNext/>
        <w:keepLines/>
        <w:tabs>
          <w:tab w:val="left" w:pos="-376"/>
        </w:tabs>
        <w:overflowPunct w:val="0"/>
        <w:spacing w:before="156" w:beforeLines="50" w:after="156" w:afterLines="50" w:line="360" w:lineRule="auto"/>
        <w:jc w:val="center"/>
        <w:outlineLvl w:val="0"/>
        <w:rPr>
          <w:rFonts w:ascii="Times New Roman" w:hAnsi="Times New Roman" w:eastAsia="宋体" w:cs="Times New Roman"/>
          <w:b/>
          <w:kern w:val="44"/>
          <w:sz w:val="32"/>
          <w:szCs w:val="32"/>
          <w:lang w:bidi="zh-CN"/>
        </w:rPr>
      </w:pPr>
      <w:r>
        <w:rPr>
          <w:rFonts w:ascii="Times New Roman" w:hAnsi="Times New Roman" w:cs="Times New Roman"/>
        </w:rPr>
        <w:br w:type="page"/>
      </w:r>
      <w:bookmarkStart w:id="73" w:name="_Toc193834330"/>
      <w:bookmarkStart w:id="74" w:name="_Toc14828"/>
      <w:bookmarkStart w:id="75" w:name="_Toc195281693"/>
      <w:bookmarkStart w:id="76" w:name="_Toc174313132"/>
      <w:bookmarkStart w:id="77" w:name="_Toc120713096"/>
      <w:bookmarkStart w:id="78" w:name="_Toc124329063"/>
      <w:r>
        <w:rPr>
          <w:rFonts w:hint="eastAsia" w:ascii="Times New Roman" w:hAnsi="Times New Roman" w:eastAsia="宋体" w:cs="Times New Roman"/>
          <w:b/>
          <w:kern w:val="44"/>
          <w:sz w:val="32"/>
          <w:szCs w:val="32"/>
          <w:lang w:bidi="zh-CN"/>
        </w:rPr>
        <w:t>引用标准目录</w:t>
      </w:r>
      <w:bookmarkEnd w:id="73"/>
      <w:bookmarkEnd w:id="74"/>
      <w:bookmarkEnd w:id="75"/>
    </w:p>
    <w:bookmarkEnd w:id="76"/>
    <w:bookmarkEnd w:id="77"/>
    <w:bookmarkEnd w:id="78"/>
    <w:p w14:paraId="203BF66D">
      <w:pPr>
        <w:overflowPunct w:val="0"/>
        <w:spacing w:line="360" w:lineRule="auto"/>
        <w:ind w:firstLine="480"/>
        <w:jc w:val="left"/>
        <w:rPr>
          <w:rFonts w:hint="eastAsia" w:ascii="宋体" w:hAnsi="宋体" w:eastAsia="宋体" w:cs="Times New Roman"/>
          <w:sz w:val="24"/>
          <w:szCs w:val="24"/>
        </w:rPr>
      </w:pPr>
      <w:bookmarkStart w:id="79" w:name="_Hlk115291725"/>
      <w:r>
        <w:rPr>
          <w:rFonts w:hint="eastAsia" w:ascii="宋体" w:hAnsi="宋体" w:eastAsia="宋体" w:cs="Times New Roman"/>
          <w:sz w:val="24"/>
          <w:szCs w:val="24"/>
        </w:rPr>
        <w:t>本标准引用下列标准。其中，注日期的，仅该日期对应的版本适用本标准；不注日期的，其最新版适用于本标准。</w:t>
      </w:r>
    </w:p>
    <w:bookmarkEnd w:id="79"/>
    <w:p w14:paraId="48C52464">
      <w:pPr>
        <w:widowControl/>
        <w:overflowPunct w:val="0"/>
        <w:spacing w:line="360" w:lineRule="auto"/>
        <w:ind w:firstLine="420"/>
        <w:jc w:val="left"/>
        <w:rPr>
          <w:rFonts w:ascii="Times New Roman" w:hAnsi="Times New Roman" w:eastAsia="宋体" w:cs="Times New Roman"/>
          <w:kern w:val="0"/>
          <w:sz w:val="24"/>
          <w:szCs w:val="24"/>
        </w:rPr>
      </w:pPr>
      <w:bookmarkStart w:id="80" w:name="_Toc120126872"/>
      <w:r>
        <w:rPr>
          <w:rFonts w:hint="eastAsia" w:ascii="Times New Roman" w:hAnsi="Times New Roman" w:eastAsia="宋体" w:cs="Times New Roman"/>
          <w:kern w:val="0"/>
          <w:sz w:val="24"/>
          <w:szCs w:val="24"/>
        </w:rPr>
        <w:t>《城市环境卫生设施规划标准》GB 50337</w:t>
      </w:r>
    </w:p>
    <w:p w14:paraId="4E11F050">
      <w:pPr>
        <w:widowControl/>
        <w:overflowPunct w:val="0"/>
        <w:spacing w:line="360" w:lineRule="auto"/>
        <w:ind w:firstLine="420"/>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《城市轨道交通线网规划标准》GB 50546</w:t>
      </w:r>
    </w:p>
    <w:p w14:paraId="213CFAB1">
      <w:pPr>
        <w:widowControl/>
        <w:overflowPunct w:val="0"/>
        <w:spacing w:line="360" w:lineRule="auto"/>
        <w:ind w:firstLine="420"/>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《城市综合交通体系规划标准》GB 51328</w:t>
      </w:r>
    </w:p>
    <w:p w14:paraId="06DA971B">
      <w:pPr>
        <w:keepNext w:val="0"/>
        <w:keepLines w:val="0"/>
        <w:pageBreakBefore w:val="0"/>
        <w:widowControl/>
        <w:kinsoku/>
        <w:wordWrap/>
        <w:overflowPunct w:val="0"/>
        <w:topLinePunct w:val="0"/>
        <w:autoSpaceDE/>
        <w:autoSpaceDN/>
        <w:bidi w:val="0"/>
        <w:adjustRightInd/>
        <w:snapToGrid/>
        <w:spacing w:line="360" w:lineRule="auto"/>
        <w:ind w:firstLine="420" w:firstLineChars="0"/>
        <w:jc w:val="left"/>
        <w:textAlignment w:val="auto"/>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北京市地方标准《市域（郊）轨道交通设计规范》DB11/T1980-2022</w:t>
      </w:r>
    </w:p>
    <w:p w14:paraId="2C6894C8">
      <w:pPr>
        <w:keepNext w:val="0"/>
        <w:keepLines w:val="0"/>
        <w:pageBreakBefore w:val="0"/>
        <w:widowControl/>
        <w:kinsoku/>
        <w:wordWrap/>
        <w:overflowPunct w:val="0"/>
        <w:topLinePunct w:val="0"/>
        <w:autoSpaceDE/>
        <w:autoSpaceDN/>
        <w:bidi w:val="0"/>
        <w:adjustRightInd/>
        <w:snapToGrid/>
        <w:spacing w:line="360" w:lineRule="auto"/>
        <w:ind w:firstLine="420" w:firstLineChars="0"/>
        <w:jc w:val="left"/>
        <w:textAlignment w:val="auto"/>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《城市步行和自行车交通系统规划标准》 GB  51439-2021</w:t>
      </w:r>
    </w:p>
    <w:p w14:paraId="2C07EFB2">
      <w:pPr>
        <w:keepNext w:val="0"/>
        <w:keepLines w:val="0"/>
        <w:pageBreakBefore w:val="0"/>
        <w:widowControl/>
        <w:kinsoku/>
        <w:wordWrap/>
        <w:overflowPunct w:val="0"/>
        <w:topLinePunct w:val="0"/>
        <w:autoSpaceDE/>
        <w:autoSpaceDN/>
        <w:bidi w:val="0"/>
        <w:adjustRightInd/>
        <w:snapToGrid/>
        <w:spacing w:line="360" w:lineRule="auto"/>
        <w:ind w:firstLine="420" w:firstLineChars="0"/>
        <w:jc w:val="left"/>
        <w:textAlignment w:val="auto"/>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《城市第六立面设计标准》SJG 195</w:t>
      </w:r>
      <w:r>
        <w:rPr>
          <w:rFonts w:hint="eastAsia" w:ascii="Times New Roman" w:hAnsi="Times New Roman" w:eastAsia="宋体" w:cs="Times New Roman"/>
          <w:kern w:val="0"/>
          <w:sz w:val="24"/>
          <w:szCs w:val="24"/>
        </w:rPr>
        <w:t>-</w:t>
      </w:r>
      <w:r>
        <w:rPr>
          <w:rFonts w:hint="eastAsia" w:ascii="Times New Roman" w:hAnsi="Times New Roman" w:eastAsia="宋体" w:cs="Times New Roman"/>
          <w:kern w:val="0"/>
          <w:sz w:val="24"/>
          <w:szCs w:val="21"/>
        </w:rPr>
        <w:t>2025（深圳市地方标准）</w:t>
      </w:r>
    </w:p>
    <w:p w14:paraId="054D8E40">
      <w:pPr>
        <w:keepNext w:val="0"/>
        <w:keepLines w:val="0"/>
        <w:pageBreakBefore w:val="0"/>
        <w:widowControl/>
        <w:kinsoku/>
        <w:wordWrap/>
        <w:overflowPunct w:val="0"/>
        <w:topLinePunct w:val="0"/>
        <w:autoSpaceDE/>
        <w:autoSpaceDN/>
        <w:bidi w:val="0"/>
        <w:adjustRightInd/>
        <w:snapToGrid/>
        <w:spacing w:line="360" w:lineRule="auto"/>
        <w:ind w:firstLine="420" w:firstLineChars="0"/>
        <w:jc w:val="left"/>
        <w:textAlignment w:val="auto"/>
        <w:rPr>
          <w:rFonts w:ascii="Times New Roman" w:hAnsi="Times New Roman" w:cs="Times New Roman"/>
          <w:sz w:val="32"/>
          <w:szCs w:val="32"/>
        </w:rPr>
      </w:pPr>
      <w:r>
        <w:rPr>
          <w:rFonts w:hint="eastAsia" w:ascii="Times New Roman" w:hAnsi="Times New Roman" w:eastAsia="宋体" w:cs="Times New Roman"/>
          <w:kern w:val="0"/>
          <w:sz w:val="24"/>
          <w:szCs w:val="21"/>
        </w:rPr>
        <w:t>《潮汐停车服务规范》DB4301/T 11</w:t>
      </w:r>
      <w:r>
        <w:rPr>
          <w:rFonts w:hint="eastAsia" w:ascii="Times New Roman" w:hAnsi="Times New Roman" w:eastAsia="宋体" w:cs="Times New Roman"/>
          <w:kern w:val="0"/>
          <w:sz w:val="24"/>
          <w:szCs w:val="24"/>
        </w:rPr>
        <w:t>-</w:t>
      </w:r>
      <w:r>
        <w:rPr>
          <w:rFonts w:hint="eastAsia" w:ascii="Times New Roman" w:hAnsi="Times New Roman" w:eastAsia="宋体" w:cs="Times New Roman"/>
          <w:kern w:val="0"/>
          <w:sz w:val="24"/>
          <w:szCs w:val="21"/>
        </w:rPr>
        <w:t>2025（长沙市地方标准）</w:t>
      </w:r>
      <w:bookmarkEnd w:id="80"/>
    </w:p>
    <w:sectPr>
      <w:footerReference r:id="rId10" w:type="default"/>
      <w:footerReference r:id="rId11" w:type="even"/>
      <w:pgSz w:w="11906" w:h="16838"/>
      <w:pgMar w:top="1440" w:right="17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93A17">
    <w:pPr>
      <w:pStyle w:val="1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1DB83">
    <w:pPr>
      <w:pStyle w:val="16"/>
      <w:rPr>
        <w:rFonts w:ascii="Times New Roman" w:hAnsi="Times New Roman" w:cs="Times New Roman"/>
      </w:rPr>
    </w:pPr>
  </w:p>
  <w:p w14:paraId="17919651">
    <w:pPr>
      <w:pStyle w:val="16"/>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FF314">
    <w:pPr>
      <w:pStyle w:val="16"/>
      <w:framePr w:wrap="auto" w:vAnchor="text" w:hAnchor="margin" w:xAlign="right" w:y="1"/>
      <w:rPr>
        <w:rStyle w:val="30"/>
        <w:rFonts w:hint="eastAsia"/>
      </w:rPr>
    </w:pPr>
  </w:p>
  <w:p w14:paraId="166D30F7">
    <w:pPr>
      <w:pStyle w:val="16"/>
      <w:ind w:right="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D495A">
    <w:pPr>
      <w:pStyle w:val="16"/>
      <w:ind w:right="360"/>
      <w:rPr>
        <w:rFonts w:ascii="Times New Roman" w:hAnsi="Times New Roman" w:cs="Times New Roman"/>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1AB6F">
    <w:pPr>
      <w:pStyle w:val="16"/>
      <w:ind w:right="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26D75">
    <w:pPr>
      <w:pStyle w:val="16"/>
      <w:ind w:right="360"/>
      <w:rPr>
        <w:rFonts w:ascii="Times New Roman" w:hAnsi="Times New Roman" w:cs="Times New Roman"/>
        <w:sz w:val="21"/>
        <w:szCs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13A79">
    <w:pPr>
      <w:pStyle w:val="16"/>
      <w:ind w:right="360"/>
      <w:rPr>
        <w:rFonts w:hint="eastAsi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30"/>
      </w:rPr>
      <w:id w:val="147463488"/>
      <w:docPartObj>
        <w:docPartGallery w:val="autotext"/>
      </w:docPartObj>
    </w:sdtPr>
    <w:sdtEndPr>
      <w:rPr>
        <w:rStyle w:val="30"/>
        <w:rFonts w:ascii="Times New Roman" w:hAnsi="Times New Roman" w:cs="Times New Roman"/>
        <w:sz w:val="21"/>
        <w:szCs w:val="21"/>
      </w:rPr>
    </w:sdtEndPr>
    <w:sdtContent>
      <w:p w14:paraId="04EFEE95">
        <w:pPr>
          <w:pStyle w:val="16"/>
          <w:framePr w:w="292" w:wrap="auto" w:vAnchor="text" w:hAnchor="page" w:x="9805" w:y="6"/>
          <w:rPr>
            <w:rStyle w:val="30"/>
            <w:rFonts w:ascii="Times New Roman" w:hAnsi="Times New Roman" w:cs="Times New Roman"/>
            <w:sz w:val="21"/>
            <w:szCs w:val="21"/>
          </w:rPr>
        </w:pPr>
        <w:r>
          <w:rPr>
            <w:rStyle w:val="30"/>
            <w:rFonts w:ascii="Times New Roman" w:hAnsi="Times New Roman" w:cs="Times New Roman"/>
            <w:sz w:val="21"/>
            <w:szCs w:val="21"/>
          </w:rPr>
          <w:fldChar w:fldCharType="begin"/>
        </w:r>
        <w:r>
          <w:rPr>
            <w:rStyle w:val="30"/>
            <w:rFonts w:ascii="Times New Roman" w:hAnsi="Times New Roman" w:cs="Times New Roman"/>
            <w:sz w:val="21"/>
            <w:szCs w:val="21"/>
          </w:rPr>
          <w:instrText xml:space="preserve"> PAGE </w:instrText>
        </w:r>
        <w:r>
          <w:rPr>
            <w:rStyle w:val="30"/>
            <w:rFonts w:ascii="Times New Roman" w:hAnsi="Times New Roman" w:cs="Times New Roman"/>
            <w:sz w:val="21"/>
            <w:szCs w:val="21"/>
          </w:rPr>
          <w:fldChar w:fldCharType="separate"/>
        </w:r>
        <w:r>
          <w:rPr>
            <w:rStyle w:val="30"/>
            <w:rFonts w:ascii="Times New Roman" w:hAnsi="Times New Roman" w:cs="Times New Roman"/>
            <w:sz w:val="21"/>
            <w:szCs w:val="21"/>
          </w:rPr>
          <w:t>32</w:t>
        </w:r>
        <w:r>
          <w:rPr>
            <w:rStyle w:val="30"/>
            <w:rFonts w:ascii="Times New Roman" w:hAnsi="Times New Roman" w:cs="Times New Roman"/>
            <w:sz w:val="21"/>
            <w:szCs w:val="21"/>
          </w:rPr>
          <w:fldChar w:fldCharType="end"/>
        </w:r>
      </w:p>
    </w:sdtContent>
  </w:sdt>
  <w:p w14:paraId="33EEB4A5">
    <w:pPr>
      <w:pStyle w:val="16"/>
      <w:framePr w:w="292" w:wrap="auto" w:vAnchor="text" w:hAnchor="page" w:x="9805" w:y="6"/>
      <w:ind w:right="360"/>
      <w:rPr>
        <w:rStyle w:val="30"/>
        <w:rFonts w:ascii="Times New Roman" w:hAnsi="Times New Roman" w:cs="Times New Roman"/>
        <w:sz w:val="21"/>
        <w:szCs w:val="21"/>
      </w:rPr>
    </w:pPr>
  </w:p>
  <w:p w14:paraId="1328350F">
    <w:pPr>
      <w:pStyle w:val="16"/>
      <w:ind w:right="360"/>
      <w:rPr>
        <w:rFonts w:ascii="Times New Roman" w:hAnsi="Times New Roman" w:cs="Times New Roman"/>
        <w:sz w:val="21"/>
        <w:szCs w:val="2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1714"/>
      <w:docPartObj>
        <w:docPartGallery w:val="autotext"/>
      </w:docPartObj>
    </w:sdtPr>
    <w:sdtEndPr>
      <w:rPr>
        <w:rFonts w:ascii="Times New Roman" w:hAnsi="Times New Roman" w:cs="Times New Roman"/>
        <w:sz w:val="21"/>
        <w:szCs w:val="21"/>
      </w:rPr>
    </w:sdtEndPr>
    <w:sdtContent>
      <w:p w14:paraId="4D64510C">
        <w:pPr>
          <w:pStyle w:val="16"/>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p w14:paraId="2A89FC81">
    <w:pPr>
      <w:pStyle w:val="16"/>
      <w:ind w:right="360"/>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741C60"/>
    <w:multiLevelType w:val="multilevel"/>
    <w:tmpl w:val="16741C60"/>
    <w:lvl w:ilvl="0" w:tentative="0">
      <w:start w:val="1"/>
      <w:numFmt w:val="decimal"/>
      <w:pStyle w:val="70"/>
      <w:lvlText w:val="4.6.%1"/>
      <w:lvlJc w:val="left"/>
      <w:rPr>
        <w:rFonts w:hint="default" w:ascii="Times New Roman" w:hAnsi="Times New Roman" w:cs="Times New Roman"/>
        <w:b/>
        <w:bCs w:val="0"/>
        <w:i w:val="0"/>
        <w:iCs w:val="0"/>
        <w:caps w:val="0"/>
        <w:smallCaps w:val="0"/>
        <w:strike w:val="0"/>
        <w:dstrike w:val="0"/>
        <w:vanish w:val="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97A4B7D"/>
    <w:multiLevelType w:val="multilevel"/>
    <w:tmpl w:val="397A4B7D"/>
    <w:lvl w:ilvl="0" w:tentative="0">
      <w:start w:val="1"/>
      <w:numFmt w:val="upperRoman"/>
      <w:pStyle w:val="55"/>
      <w:lvlText w:val="%1."/>
      <w:lvlJc w:val="left"/>
      <w:pPr>
        <w:ind w:left="420" w:hanging="420"/>
      </w:pPr>
      <w:rPr>
        <w:rFonts w:hint="eastAsia"/>
      </w:rPr>
    </w:lvl>
    <w:lvl w:ilvl="1" w:tentative="0">
      <w:start w:val="1"/>
      <w:numFmt w:val="decimal"/>
      <w:isLgl/>
      <w:lvlText w:val="%1.%2"/>
      <w:lvlJc w:val="left"/>
      <w:pPr>
        <w:ind w:left="580" w:hanging="58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
    <w:nsid w:val="3AF8068D"/>
    <w:multiLevelType w:val="multilevel"/>
    <w:tmpl w:val="3AF8068D"/>
    <w:lvl w:ilvl="0" w:tentative="0">
      <w:start w:val="1"/>
      <w:numFmt w:val="decimal"/>
      <w:pStyle w:val="66"/>
      <w:lvlText w:val="4.6.%1"/>
      <w:lvlJc w:val="left"/>
      <w:pPr>
        <w:ind w:left="0" w:firstLine="0"/>
      </w:pPr>
      <w:rPr>
        <w:rFonts w:hint="default" w:ascii="Times New Roman" w:hAnsi="Times New Roman"/>
        <w:b/>
        <w:i w:val="0"/>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
    <w:nsid w:val="4A75316F"/>
    <w:multiLevelType w:val="multilevel"/>
    <w:tmpl w:val="4A75316F"/>
    <w:lvl w:ilvl="0" w:tentative="0">
      <w:start w:val="1"/>
      <w:numFmt w:val="decimal"/>
      <w:pStyle w:val="62"/>
      <w:lvlText w:val="4.4.%1"/>
      <w:lvlJc w:val="left"/>
      <w:pPr>
        <w:ind w:left="420" w:hanging="420"/>
      </w:pPr>
      <w:rPr>
        <w:rFonts w:hint="default" w:ascii="Times New Roman" w:hAnsi="Times New Roman"/>
        <w:b/>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4">
    <w:nsid w:val="4BD853CD"/>
    <w:multiLevelType w:val="multilevel"/>
    <w:tmpl w:val="4BD853CD"/>
    <w:lvl w:ilvl="0" w:tentative="0">
      <w:start w:val="1"/>
      <w:numFmt w:val="decimal"/>
      <w:pStyle w:val="58"/>
      <w:lvlText w:val="4.2.%1"/>
      <w:lvlJc w:val="left"/>
      <w:pPr>
        <w:ind w:left="0" w:firstLine="0"/>
      </w:pPr>
      <w:rPr>
        <w:rFonts w:hint="default" w:ascii="Times New Roman" w:hAnsi="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0EB12C0"/>
    <w:multiLevelType w:val="multilevel"/>
    <w:tmpl w:val="50EB12C0"/>
    <w:lvl w:ilvl="0" w:tentative="0">
      <w:start w:val="1"/>
      <w:numFmt w:val="decimal"/>
      <w:pStyle w:val="56"/>
      <w:lvlText w:val="4.1.%1"/>
      <w:lvlJc w:val="left"/>
      <w:pPr>
        <w:ind w:left="142" w:firstLine="0"/>
      </w:pPr>
      <w:rPr>
        <w:rFonts w:hint="default" w:ascii="Times New Roman" w:hAnsi="Times New Roman"/>
        <w:b/>
      </w:rPr>
    </w:lvl>
    <w:lvl w:ilvl="1" w:tentative="0">
      <w:start w:val="1"/>
      <w:numFmt w:val="lowerLetter"/>
      <w:lvlText w:val="%2)"/>
      <w:lvlJc w:val="left"/>
      <w:pPr>
        <w:ind w:left="-294" w:hanging="420"/>
      </w:pPr>
    </w:lvl>
    <w:lvl w:ilvl="2" w:tentative="0">
      <w:start w:val="1"/>
      <w:numFmt w:val="lowerRoman"/>
      <w:lvlText w:val="%3."/>
      <w:lvlJc w:val="right"/>
      <w:pPr>
        <w:ind w:left="126" w:hanging="420"/>
      </w:pPr>
    </w:lvl>
    <w:lvl w:ilvl="3" w:tentative="0">
      <w:start w:val="1"/>
      <w:numFmt w:val="decimal"/>
      <w:lvlText w:val="%4."/>
      <w:lvlJc w:val="left"/>
      <w:pPr>
        <w:ind w:left="546" w:hanging="420"/>
      </w:pPr>
    </w:lvl>
    <w:lvl w:ilvl="4" w:tentative="0">
      <w:start w:val="1"/>
      <w:numFmt w:val="lowerLetter"/>
      <w:lvlText w:val="%5)"/>
      <w:lvlJc w:val="left"/>
      <w:pPr>
        <w:ind w:left="966" w:hanging="420"/>
      </w:pPr>
    </w:lvl>
    <w:lvl w:ilvl="5" w:tentative="0">
      <w:start w:val="1"/>
      <w:numFmt w:val="lowerRoman"/>
      <w:lvlText w:val="%6."/>
      <w:lvlJc w:val="right"/>
      <w:pPr>
        <w:ind w:left="1386" w:hanging="420"/>
      </w:pPr>
    </w:lvl>
    <w:lvl w:ilvl="6" w:tentative="0">
      <w:start w:val="1"/>
      <w:numFmt w:val="decimal"/>
      <w:lvlText w:val="%7."/>
      <w:lvlJc w:val="left"/>
      <w:pPr>
        <w:ind w:left="1806" w:hanging="420"/>
      </w:pPr>
    </w:lvl>
    <w:lvl w:ilvl="7" w:tentative="0">
      <w:start w:val="1"/>
      <w:numFmt w:val="lowerLetter"/>
      <w:lvlText w:val="%8)"/>
      <w:lvlJc w:val="left"/>
      <w:pPr>
        <w:ind w:left="2226" w:hanging="420"/>
      </w:pPr>
    </w:lvl>
    <w:lvl w:ilvl="8" w:tentative="0">
      <w:start w:val="1"/>
      <w:numFmt w:val="lowerRoman"/>
      <w:lvlText w:val="%9."/>
      <w:lvlJc w:val="right"/>
      <w:pPr>
        <w:ind w:left="2646" w:hanging="420"/>
      </w:pPr>
    </w:lvl>
  </w:abstractNum>
  <w:abstractNum w:abstractNumId="6">
    <w:nsid w:val="65874972"/>
    <w:multiLevelType w:val="multilevel"/>
    <w:tmpl w:val="65874972"/>
    <w:lvl w:ilvl="0" w:tentative="0">
      <w:start w:val="1"/>
      <w:numFmt w:val="decimal"/>
      <w:pStyle w:val="69"/>
      <w:lvlText w:val="4.7.%1"/>
      <w:lvlJc w:val="left"/>
      <w:pPr>
        <w:ind w:left="0" w:firstLine="0"/>
      </w:pPr>
      <w:rPr>
        <w:rFonts w:hint="default" w:ascii="Times New Roman" w:hAnsi="Times New Roman"/>
        <w:b/>
        <w:i w:val="0"/>
      </w:rPr>
    </w:lvl>
    <w:lvl w:ilvl="1" w:tentative="0">
      <w:start w:val="1"/>
      <w:numFmt w:val="lowerLetter"/>
      <w:lvlText w:val="%2)"/>
      <w:lvlJc w:val="left"/>
      <w:pPr>
        <w:ind w:left="850" w:hanging="420"/>
      </w:pPr>
    </w:lvl>
    <w:lvl w:ilvl="2" w:tentative="0">
      <w:start w:val="1"/>
      <w:numFmt w:val="lowerRoman"/>
      <w:lvlText w:val="%3."/>
      <w:lvlJc w:val="right"/>
      <w:pPr>
        <w:ind w:left="1270" w:hanging="420"/>
      </w:pPr>
    </w:lvl>
    <w:lvl w:ilvl="3" w:tentative="0">
      <w:start w:val="1"/>
      <w:numFmt w:val="decimal"/>
      <w:lvlText w:val="%4."/>
      <w:lvlJc w:val="left"/>
      <w:pPr>
        <w:ind w:left="1690" w:hanging="420"/>
      </w:pPr>
    </w:lvl>
    <w:lvl w:ilvl="4" w:tentative="0">
      <w:start w:val="1"/>
      <w:numFmt w:val="lowerLetter"/>
      <w:lvlText w:val="%5)"/>
      <w:lvlJc w:val="left"/>
      <w:pPr>
        <w:ind w:left="2110" w:hanging="420"/>
      </w:pPr>
    </w:lvl>
    <w:lvl w:ilvl="5" w:tentative="0">
      <w:start w:val="1"/>
      <w:numFmt w:val="lowerRoman"/>
      <w:lvlText w:val="%6."/>
      <w:lvlJc w:val="right"/>
      <w:pPr>
        <w:ind w:left="2530" w:hanging="420"/>
      </w:pPr>
    </w:lvl>
    <w:lvl w:ilvl="6" w:tentative="0">
      <w:start w:val="1"/>
      <w:numFmt w:val="decimal"/>
      <w:lvlText w:val="%7."/>
      <w:lvlJc w:val="left"/>
      <w:pPr>
        <w:ind w:left="2950" w:hanging="420"/>
      </w:pPr>
    </w:lvl>
    <w:lvl w:ilvl="7" w:tentative="0">
      <w:start w:val="1"/>
      <w:numFmt w:val="lowerLetter"/>
      <w:lvlText w:val="%8)"/>
      <w:lvlJc w:val="left"/>
      <w:pPr>
        <w:ind w:left="3370" w:hanging="420"/>
      </w:pPr>
    </w:lvl>
    <w:lvl w:ilvl="8" w:tentative="0">
      <w:start w:val="1"/>
      <w:numFmt w:val="lowerRoman"/>
      <w:lvlText w:val="%9."/>
      <w:lvlJc w:val="right"/>
      <w:pPr>
        <w:ind w:left="3790" w:hanging="420"/>
      </w:pPr>
    </w:lvl>
  </w:abstractNum>
  <w:abstractNum w:abstractNumId="7">
    <w:nsid w:val="6FC36B3D"/>
    <w:multiLevelType w:val="multilevel"/>
    <w:tmpl w:val="6FC36B3D"/>
    <w:lvl w:ilvl="0" w:tentative="0">
      <w:start w:val="1"/>
      <w:numFmt w:val="decimal"/>
      <w:pStyle w:val="64"/>
      <w:lvlText w:val="4.5.%1"/>
      <w:lvlJc w:val="left"/>
      <w:rPr>
        <w:rFonts w:hint="default" w:ascii="Times New Roman" w:hAnsi="Times New Roman" w:cs="Times New Roman"/>
        <w:b/>
        <w:bCs w:val="0"/>
        <w:i w:val="0"/>
        <w:iCs w:val="0"/>
        <w:caps w:val="0"/>
        <w:smallCaps w:val="0"/>
        <w:strike w:val="0"/>
        <w:dstrike w:val="0"/>
        <w:vanish w:val="0"/>
        <w:spacing w:val="0"/>
        <w:position w:val="0"/>
        <w:u w:val="none"/>
        <w:vertAlign w:val="baseline"/>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8">
    <w:nsid w:val="724B78EF"/>
    <w:multiLevelType w:val="multilevel"/>
    <w:tmpl w:val="724B78EF"/>
    <w:lvl w:ilvl="0" w:tentative="0">
      <w:start w:val="1"/>
      <w:numFmt w:val="decimal"/>
      <w:pStyle w:val="2"/>
      <w:lvlText w:val="%1"/>
      <w:lvlJc w:val="left"/>
      <w:pPr>
        <w:ind w:left="170" w:hanging="170"/>
      </w:pPr>
      <w:rPr>
        <w:rFonts w:hint="eastAsia"/>
      </w:rPr>
    </w:lvl>
    <w:lvl w:ilvl="1" w:tentative="0">
      <w:start w:val="1"/>
      <w:numFmt w:val="decimal"/>
      <w:pStyle w:val="3"/>
      <w:lvlText w:val="%1.%2"/>
      <w:lvlJc w:val="left"/>
      <w:pPr>
        <w:ind w:left="453" w:hanging="170"/>
      </w:pPr>
      <w:rPr>
        <w:rFonts w:hint="eastAsia"/>
      </w:rPr>
    </w:lvl>
    <w:lvl w:ilvl="2" w:tentative="0">
      <w:start w:val="1"/>
      <w:numFmt w:val="decimal"/>
      <w:lvlText w:val="%1.%2.%3"/>
      <w:lvlJc w:val="left"/>
      <w:pPr>
        <w:ind w:left="284" w:hanging="170"/>
      </w:pPr>
      <w:rPr>
        <w:rFonts w:hint="eastAsia"/>
      </w:rPr>
    </w:lvl>
    <w:lvl w:ilvl="3" w:tentative="0">
      <w:start w:val="1"/>
      <w:numFmt w:val="decimal"/>
      <w:lvlText w:val="%1.%2.%3.%4"/>
      <w:lvlJc w:val="left"/>
      <w:pPr>
        <w:ind w:left="341" w:hanging="170"/>
      </w:pPr>
      <w:rPr>
        <w:rFonts w:hint="eastAsia"/>
      </w:rPr>
    </w:lvl>
    <w:lvl w:ilvl="4" w:tentative="0">
      <w:start w:val="1"/>
      <w:numFmt w:val="decimal"/>
      <w:lvlText w:val="%1.%2.%3.%4.%5"/>
      <w:lvlJc w:val="left"/>
      <w:pPr>
        <w:ind w:left="398" w:hanging="170"/>
      </w:pPr>
      <w:rPr>
        <w:rFonts w:hint="eastAsia"/>
      </w:rPr>
    </w:lvl>
    <w:lvl w:ilvl="5" w:tentative="0">
      <w:start w:val="1"/>
      <w:numFmt w:val="decimal"/>
      <w:lvlText w:val="%1.%2.%3.%4.%5.%6"/>
      <w:lvlJc w:val="left"/>
      <w:pPr>
        <w:ind w:left="455" w:hanging="170"/>
      </w:pPr>
      <w:rPr>
        <w:rFonts w:hint="eastAsia"/>
      </w:rPr>
    </w:lvl>
    <w:lvl w:ilvl="6" w:tentative="0">
      <w:start w:val="1"/>
      <w:numFmt w:val="decimal"/>
      <w:lvlText w:val="%1.%2.%3.%4.%5.%6.%7"/>
      <w:lvlJc w:val="left"/>
      <w:pPr>
        <w:ind w:left="512" w:hanging="170"/>
      </w:pPr>
      <w:rPr>
        <w:rFonts w:hint="eastAsia"/>
      </w:rPr>
    </w:lvl>
    <w:lvl w:ilvl="7" w:tentative="0">
      <w:start w:val="1"/>
      <w:numFmt w:val="decimal"/>
      <w:lvlText w:val="%1.%2.%3.%4.%5.%6.%7.%8"/>
      <w:lvlJc w:val="left"/>
      <w:pPr>
        <w:ind w:left="569" w:hanging="170"/>
      </w:pPr>
      <w:rPr>
        <w:rFonts w:hint="eastAsia"/>
      </w:rPr>
    </w:lvl>
    <w:lvl w:ilvl="8" w:tentative="0">
      <w:start w:val="1"/>
      <w:numFmt w:val="decimal"/>
      <w:lvlText w:val="%1.%2.%3.%4.%5.%6.%7.%8.%9"/>
      <w:lvlJc w:val="left"/>
      <w:pPr>
        <w:ind w:left="626" w:hanging="170"/>
      </w:pPr>
      <w:rPr>
        <w:rFonts w:hint="eastAsia"/>
      </w:rPr>
    </w:lvl>
  </w:abstractNum>
  <w:abstractNum w:abstractNumId="9">
    <w:nsid w:val="77B53F95"/>
    <w:multiLevelType w:val="multilevel"/>
    <w:tmpl w:val="77B53F95"/>
    <w:lvl w:ilvl="0" w:tentative="0">
      <w:start w:val="1"/>
      <w:numFmt w:val="decimal"/>
      <w:pStyle w:val="72"/>
      <w:lvlText w:val="4.9.%1"/>
      <w:lvlJc w:val="left"/>
      <w:pPr>
        <w:ind w:left="0" w:firstLine="0"/>
      </w:pPr>
      <w:rPr>
        <w:rFonts w:hint="default" w:ascii="Times New Roman" w:hAnsi="Times New Roman"/>
        <w:b/>
        <w:i w:val="0"/>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10">
    <w:nsid w:val="79674140"/>
    <w:multiLevelType w:val="multilevel"/>
    <w:tmpl w:val="79674140"/>
    <w:lvl w:ilvl="0" w:tentative="0">
      <w:start w:val="1"/>
      <w:numFmt w:val="decimal"/>
      <w:pStyle w:val="60"/>
      <w:lvlText w:val="4.3.%1"/>
      <w:lvlJc w:val="left"/>
      <w:pPr>
        <w:ind w:left="0" w:firstLine="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1"/>
  </w:num>
  <w:num w:numId="3">
    <w:abstractNumId w:val="5"/>
  </w:num>
  <w:num w:numId="4">
    <w:abstractNumId w:val="4"/>
  </w:num>
  <w:num w:numId="5">
    <w:abstractNumId w:val="10"/>
  </w:num>
  <w:num w:numId="6">
    <w:abstractNumId w:val="3"/>
  </w:num>
  <w:num w:numId="7">
    <w:abstractNumId w:val="7"/>
  </w:num>
  <w:num w:numId="8">
    <w:abstractNumId w:val="2"/>
  </w:num>
  <w:num w:numId="9">
    <w:abstractNumId w:val="6"/>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doNotCompress"/>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C77"/>
    <w:rsid w:val="000001D6"/>
    <w:rsid w:val="00001884"/>
    <w:rsid w:val="00001FD6"/>
    <w:rsid w:val="000031CD"/>
    <w:rsid w:val="00004679"/>
    <w:rsid w:val="0000590F"/>
    <w:rsid w:val="00006C99"/>
    <w:rsid w:val="00006D3E"/>
    <w:rsid w:val="00010719"/>
    <w:rsid w:val="00014BE2"/>
    <w:rsid w:val="00014DE0"/>
    <w:rsid w:val="00015437"/>
    <w:rsid w:val="00015F01"/>
    <w:rsid w:val="00020ADC"/>
    <w:rsid w:val="0002103D"/>
    <w:rsid w:val="00021CC0"/>
    <w:rsid w:val="00022382"/>
    <w:rsid w:val="00023F0A"/>
    <w:rsid w:val="0002418F"/>
    <w:rsid w:val="000308D7"/>
    <w:rsid w:val="0003137B"/>
    <w:rsid w:val="00032657"/>
    <w:rsid w:val="000329B5"/>
    <w:rsid w:val="0004151D"/>
    <w:rsid w:val="00042066"/>
    <w:rsid w:val="00042DFB"/>
    <w:rsid w:val="000450C0"/>
    <w:rsid w:val="00045469"/>
    <w:rsid w:val="00045B92"/>
    <w:rsid w:val="00046FDA"/>
    <w:rsid w:val="000476EC"/>
    <w:rsid w:val="00047B22"/>
    <w:rsid w:val="00050696"/>
    <w:rsid w:val="00050B91"/>
    <w:rsid w:val="00050CD9"/>
    <w:rsid w:val="00051C21"/>
    <w:rsid w:val="00053344"/>
    <w:rsid w:val="00054A17"/>
    <w:rsid w:val="00057891"/>
    <w:rsid w:val="00057E24"/>
    <w:rsid w:val="00061326"/>
    <w:rsid w:val="000614FD"/>
    <w:rsid w:val="00061B7D"/>
    <w:rsid w:val="00061C6A"/>
    <w:rsid w:val="000633A4"/>
    <w:rsid w:val="00064982"/>
    <w:rsid w:val="0006562A"/>
    <w:rsid w:val="000665B7"/>
    <w:rsid w:val="00067093"/>
    <w:rsid w:val="000724E9"/>
    <w:rsid w:val="0007528D"/>
    <w:rsid w:val="000754DE"/>
    <w:rsid w:val="00076739"/>
    <w:rsid w:val="000768B6"/>
    <w:rsid w:val="0007707A"/>
    <w:rsid w:val="0007778E"/>
    <w:rsid w:val="000777C6"/>
    <w:rsid w:val="00077A57"/>
    <w:rsid w:val="00077B37"/>
    <w:rsid w:val="000804EB"/>
    <w:rsid w:val="00081957"/>
    <w:rsid w:val="00081A07"/>
    <w:rsid w:val="00081F04"/>
    <w:rsid w:val="00083698"/>
    <w:rsid w:val="00085415"/>
    <w:rsid w:val="00085687"/>
    <w:rsid w:val="00085956"/>
    <w:rsid w:val="000862CA"/>
    <w:rsid w:val="0008786F"/>
    <w:rsid w:val="00087BA3"/>
    <w:rsid w:val="000916CA"/>
    <w:rsid w:val="0009188E"/>
    <w:rsid w:val="000920C6"/>
    <w:rsid w:val="00092229"/>
    <w:rsid w:val="00093A1C"/>
    <w:rsid w:val="00093F4C"/>
    <w:rsid w:val="000952BE"/>
    <w:rsid w:val="00095890"/>
    <w:rsid w:val="0009612A"/>
    <w:rsid w:val="00096483"/>
    <w:rsid w:val="0009688A"/>
    <w:rsid w:val="00097890"/>
    <w:rsid w:val="000A0ABD"/>
    <w:rsid w:val="000A0E34"/>
    <w:rsid w:val="000A1D31"/>
    <w:rsid w:val="000A3787"/>
    <w:rsid w:val="000A3E65"/>
    <w:rsid w:val="000A49F5"/>
    <w:rsid w:val="000A4C3B"/>
    <w:rsid w:val="000A5495"/>
    <w:rsid w:val="000A6D98"/>
    <w:rsid w:val="000B1F67"/>
    <w:rsid w:val="000B2380"/>
    <w:rsid w:val="000B501B"/>
    <w:rsid w:val="000B524F"/>
    <w:rsid w:val="000B5ED5"/>
    <w:rsid w:val="000B663D"/>
    <w:rsid w:val="000B6BA2"/>
    <w:rsid w:val="000C0A65"/>
    <w:rsid w:val="000C0BB2"/>
    <w:rsid w:val="000C19C6"/>
    <w:rsid w:val="000C2447"/>
    <w:rsid w:val="000C252D"/>
    <w:rsid w:val="000C3AEB"/>
    <w:rsid w:val="000C4433"/>
    <w:rsid w:val="000C4C51"/>
    <w:rsid w:val="000C5816"/>
    <w:rsid w:val="000C616A"/>
    <w:rsid w:val="000C6736"/>
    <w:rsid w:val="000C6A96"/>
    <w:rsid w:val="000C6BC1"/>
    <w:rsid w:val="000D0020"/>
    <w:rsid w:val="000D0D17"/>
    <w:rsid w:val="000D1CA3"/>
    <w:rsid w:val="000D1F48"/>
    <w:rsid w:val="000D26F7"/>
    <w:rsid w:val="000D4028"/>
    <w:rsid w:val="000D41EF"/>
    <w:rsid w:val="000D45AF"/>
    <w:rsid w:val="000D6860"/>
    <w:rsid w:val="000D7C8C"/>
    <w:rsid w:val="000E08FD"/>
    <w:rsid w:val="000E0B17"/>
    <w:rsid w:val="000E220F"/>
    <w:rsid w:val="000E3E99"/>
    <w:rsid w:val="000E499A"/>
    <w:rsid w:val="000E5703"/>
    <w:rsid w:val="000E6A7F"/>
    <w:rsid w:val="000E7E47"/>
    <w:rsid w:val="000F09E6"/>
    <w:rsid w:val="000F1392"/>
    <w:rsid w:val="000F18C1"/>
    <w:rsid w:val="000F1C18"/>
    <w:rsid w:val="000F236B"/>
    <w:rsid w:val="000F26E2"/>
    <w:rsid w:val="000F4D41"/>
    <w:rsid w:val="000F5DFC"/>
    <w:rsid w:val="000F6A5A"/>
    <w:rsid w:val="000F6EDA"/>
    <w:rsid w:val="000F74DB"/>
    <w:rsid w:val="00100298"/>
    <w:rsid w:val="00101841"/>
    <w:rsid w:val="001020DE"/>
    <w:rsid w:val="001039E9"/>
    <w:rsid w:val="00103CF8"/>
    <w:rsid w:val="00104AC3"/>
    <w:rsid w:val="00105E09"/>
    <w:rsid w:val="00105EB9"/>
    <w:rsid w:val="001076EB"/>
    <w:rsid w:val="00107C53"/>
    <w:rsid w:val="001127D9"/>
    <w:rsid w:val="001129B3"/>
    <w:rsid w:val="00113C13"/>
    <w:rsid w:val="00114757"/>
    <w:rsid w:val="0011491B"/>
    <w:rsid w:val="00114A58"/>
    <w:rsid w:val="00114CCA"/>
    <w:rsid w:val="00114D17"/>
    <w:rsid w:val="00115B11"/>
    <w:rsid w:val="00116FAA"/>
    <w:rsid w:val="001200E5"/>
    <w:rsid w:val="00120504"/>
    <w:rsid w:val="0012169E"/>
    <w:rsid w:val="001220A9"/>
    <w:rsid w:val="00123167"/>
    <w:rsid w:val="00125376"/>
    <w:rsid w:val="00127520"/>
    <w:rsid w:val="00127668"/>
    <w:rsid w:val="00130E41"/>
    <w:rsid w:val="0013174D"/>
    <w:rsid w:val="00131A58"/>
    <w:rsid w:val="00131DBF"/>
    <w:rsid w:val="001320A9"/>
    <w:rsid w:val="00132AB4"/>
    <w:rsid w:val="001346D9"/>
    <w:rsid w:val="00134A6D"/>
    <w:rsid w:val="00134BB0"/>
    <w:rsid w:val="0013503B"/>
    <w:rsid w:val="00135129"/>
    <w:rsid w:val="001357B9"/>
    <w:rsid w:val="00135C52"/>
    <w:rsid w:val="0013690D"/>
    <w:rsid w:val="00137599"/>
    <w:rsid w:val="0013786F"/>
    <w:rsid w:val="00142A6F"/>
    <w:rsid w:val="001437F5"/>
    <w:rsid w:val="00144F1E"/>
    <w:rsid w:val="0014516D"/>
    <w:rsid w:val="00147784"/>
    <w:rsid w:val="0015137D"/>
    <w:rsid w:val="0015152D"/>
    <w:rsid w:val="001540B6"/>
    <w:rsid w:val="00155137"/>
    <w:rsid w:val="00156BC9"/>
    <w:rsid w:val="00157E26"/>
    <w:rsid w:val="0016055E"/>
    <w:rsid w:val="0016098A"/>
    <w:rsid w:val="00161EBB"/>
    <w:rsid w:val="0016219B"/>
    <w:rsid w:val="001625D2"/>
    <w:rsid w:val="0016260B"/>
    <w:rsid w:val="00162913"/>
    <w:rsid w:val="0016377B"/>
    <w:rsid w:val="001645BF"/>
    <w:rsid w:val="001657F2"/>
    <w:rsid w:val="00165C79"/>
    <w:rsid w:val="001669DB"/>
    <w:rsid w:val="00166F26"/>
    <w:rsid w:val="00171202"/>
    <w:rsid w:val="00171AAA"/>
    <w:rsid w:val="00173FB6"/>
    <w:rsid w:val="0017415D"/>
    <w:rsid w:val="00175BB2"/>
    <w:rsid w:val="001772F3"/>
    <w:rsid w:val="00177EA0"/>
    <w:rsid w:val="0018310F"/>
    <w:rsid w:val="0018361D"/>
    <w:rsid w:val="001837EB"/>
    <w:rsid w:val="00183CC4"/>
    <w:rsid w:val="00184471"/>
    <w:rsid w:val="0018451E"/>
    <w:rsid w:val="00185792"/>
    <w:rsid w:val="00185BA7"/>
    <w:rsid w:val="00186594"/>
    <w:rsid w:val="00186F04"/>
    <w:rsid w:val="0018755C"/>
    <w:rsid w:val="00187AED"/>
    <w:rsid w:val="00190B55"/>
    <w:rsid w:val="001913DC"/>
    <w:rsid w:val="00191AD5"/>
    <w:rsid w:val="001924B3"/>
    <w:rsid w:val="001954DB"/>
    <w:rsid w:val="00196437"/>
    <w:rsid w:val="00197256"/>
    <w:rsid w:val="00197904"/>
    <w:rsid w:val="001979CF"/>
    <w:rsid w:val="001A024C"/>
    <w:rsid w:val="001A113C"/>
    <w:rsid w:val="001A135A"/>
    <w:rsid w:val="001A1ED5"/>
    <w:rsid w:val="001A25E9"/>
    <w:rsid w:val="001A34FA"/>
    <w:rsid w:val="001A38A8"/>
    <w:rsid w:val="001A3A1C"/>
    <w:rsid w:val="001A4C7E"/>
    <w:rsid w:val="001A5173"/>
    <w:rsid w:val="001B0CA6"/>
    <w:rsid w:val="001B183C"/>
    <w:rsid w:val="001B2224"/>
    <w:rsid w:val="001B6A69"/>
    <w:rsid w:val="001B6FFB"/>
    <w:rsid w:val="001B78D1"/>
    <w:rsid w:val="001C0A3A"/>
    <w:rsid w:val="001C0B00"/>
    <w:rsid w:val="001C1090"/>
    <w:rsid w:val="001C2228"/>
    <w:rsid w:val="001C2917"/>
    <w:rsid w:val="001C2C7D"/>
    <w:rsid w:val="001C3226"/>
    <w:rsid w:val="001C3552"/>
    <w:rsid w:val="001C3FAF"/>
    <w:rsid w:val="001C49B2"/>
    <w:rsid w:val="001C56B0"/>
    <w:rsid w:val="001C6D6D"/>
    <w:rsid w:val="001C6E8C"/>
    <w:rsid w:val="001D0D0E"/>
    <w:rsid w:val="001D3AE4"/>
    <w:rsid w:val="001D4145"/>
    <w:rsid w:val="001D4652"/>
    <w:rsid w:val="001D5212"/>
    <w:rsid w:val="001D66DF"/>
    <w:rsid w:val="001D6A27"/>
    <w:rsid w:val="001D6D19"/>
    <w:rsid w:val="001D72E4"/>
    <w:rsid w:val="001D73EA"/>
    <w:rsid w:val="001E0205"/>
    <w:rsid w:val="001E1158"/>
    <w:rsid w:val="001E1FA0"/>
    <w:rsid w:val="001E244F"/>
    <w:rsid w:val="001E316B"/>
    <w:rsid w:val="001E3E35"/>
    <w:rsid w:val="001E4E91"/>
    <w:rsid w:val="001E5116"/>
    <w:rsid w:val="001E641C"/>
    <w:rsid w:val="001E6DB5"/>
    <w:rsid w:val="001F0E3D"/>
    <w:rsid w:val="001F3171"/>
    <w:rsid w:val="001F38E6"/>
    <w:rsid w:val="001F3CC9"/>
    <w:rsid w:val="001F604C"/>
    <w:rsid w:val="001F7630"/>
    <w:rsid w:val="001F7B24"/>
    <w:rsid w:val="00200183"/>
    <w:rsid w:val="002007CE"/>
    <w:rsid w:val="002019BC"/>
    <w:rsid w:val="002038AE"/>
    <w:rsid w:val="0020520B"/>
    <w:rsid w:val="002056FF"/>
    <w:rsid w:val="00206025"/>
    <w:rsid w:val="00207480"/>
    <w:rsid w:val="00207EDD"/>
    <w:rsid w:val="00207F3D"/>
    <w:rsid w:val="002106B3"/>
    <w:rsid w:val="002116D7"/>
    <w:rsid w:val="002126CB"/>
    <w:rsid w:val="00213377"/>
    <w:rsid w:val="00215458"/>
    <w:rsid w:val="002156DE"/>
    <w:rsid w:val="0022021E"/>
    <w:rsid w:val="002206DE"/>
    <w:rsid w:val="002211A3"/>
    <w:rsid w:val="00221CB5"/>
    <w:rsid w:val="00222872"/>
    <w:rsid w:val="0022289C"/>
    <w:rsid w:val="0022372F"/>
    <w:rsid w:val="00224E17"/>
    <w:rsid w:val="00224E20"/>
    <w:rsid w:val="00225989"/>
    <w:rsid w:val="00225EF8"/>
    <w:rsid w:val="002271F3"/>
    <w:rsid w:val="002304C5"/>
    <w:rsid w:val="00232F5D"/>
    <w:rsid w:val="002354A1"/>
    <w:rsid w:val="00235947"/>
    <w:rsid w:val="00236650"/>
    <w:rsid w:val="00236D54"/>
    <w:rsid w:val="00237455"/>
    <w:rsid w:val="00240725"/>
    <w:rsid w:val="00241EA2"/>
    <w:rsid w:val="00247ECD"/>
    <w:rsid w:val="002503EF"/>
    <w:rsid w:val="00250467"/>
    <w:rsid w:val="00250509"/>
    <w:rsid w:val="002507E7"/>
    <w:rsid w:val="002521C3"/>
    <w:rsid w:val="00252BFC"/>
    <w:rsid w:val="00253023"/>
    <w:rsid w:val="00254F8E"/>
    <w:rsid w:val="00256C4E"/>
    <w:rsid w:val="00257FE2"/>
    <w:rsid w:val="00260294"/>
    <w:rsid w:val="00261096"/>
    <w:rsid w:val="0026226D"/>
    <w:rsid w:val="002701BF"/>
    <w:rsid w:val="00270898"/>
    <w:rsid w:val="0027122B"/>
    <w:rsid w:val="00273E66"/>
    <w:rsid w:val="00274281"/>
    <w:rsid w:val="002749E7"/>
    <w:rsid w:val="00275C6B"/>
    <w:rsid w:val="00275FA9"/>
    <w:rsid w:val="0028029D"/>
    <w:rsid w:val="00280908"/>
    <w:rsid w:val="00280D5A"/>
    <w:rsid w:val="0028151C"/>
    <w:rsid w:val="0028153E"/>
    <w:rsid w:val="00282221"/>
    <w:rsid w:val="00282C2D"/>
    <w:rsid w:val="002835A5"/>
    <w:rsid w:val="002845BA"/>
    <w:rsid w:val="002900F9"/>
    <w:rsid w:val="0029036F"/>
    <w:rsid w:val="00290A58"/>
    <w:rsid w:val="00290F70"/>
    <w:rsid w:val="00293309"/>
    <w:rsid w:val="00293C1B"/>
    <w:rsid w:val="00293ED3"/>
    <w:rsid w:val="002952F5"/>
    <w:rsid w:val="00295876"/>
    <w:rsid w:val="00297A2B"/>
    <w:rsid w:val="002A02EB"/>
    <w:rsid w:val="002A0FDF"/>
    <w:rsid w:val="002A12F9"/>
    <w:rsid w:val="002A320D"/>
    <w:rsid w:val="002A560D"/>
    <w:rsid w:val="002A65B1"/>
    <w:rsid w:val="002A6C0F"/>
    <w:rsid w:val="002A7051"/>
    <w:rsid w:val="002A76EB"/>
    <w:rsid w:val="002A77BB"/>
    <w:rsid w:val="002B02A8"/>
    <w:rsid w:val="002B179B"/>
    <w:rsid w:val="002B1862"/>
    <w:rsid w:val="002B1F33"/>
    <w:rsid w:val="002B25E8"/>
    <w:rsid w:val="002B268C"/>
    <w:rsid w:val="002B3A9C"/>
    <w:rsid w:val="002B3CB8"/>
    <w:rsid w:val="002B44EA"/>
    <w:rsid w:val="002B5068"/>
    <w:rsid w:val="002B5088"/>
    <w:rsid w:val="002B6C11"/>
    <w:rsid w:val="002B712D"/>
    <w:rsid w:val="002C04D9"/>
    <w:rsid w:val="002C10DA"/>
    <w:rsid w:val="002C303B"/>
    <w:rsid w:val="002C31CD"/>
    <w:rsid w:val="002C5775"/>
    <w:rsid w:val="002C5A08"/>
    <w:rsid w:val="002C6C41"/>
    <w:rsid w:val="002C71A6"/>
    <w:rsid w:val="002C72C8"/>
    <w:rsid w:val="002C78C7"/>
    <w:rsid w:val="002D09F2"/>
    <w:rsid w:val="002D0F90"/>
    <w:rsid w:val="002D15D4"/>
    <w:rsid w:val="002D1871"/>
    <w:rsid w:val="002D2D1A"/>
    <w:rsid w:val="002D2FBA"/>
    <w:rsid w:val="002D32B4"/>
    <w:rsid w:val="002D3AA3"/>
    <w:rsid w:val="002D536C"/>
    <w:rsid w:val="002D5438"/>
    <w:rsid w:val="002D6814"/>
    <w:rsid w:val="002D6C02"/>
    <w:rsid w:val="002E1415"/>
    <w:rsid w:val="002E32ED"/>
    <w:rsid w:val="002E335C"/>
    <w:rsid w:val="002E3370"/>
    <w:rsid w:val="002E3D1C"/>
    <w:rsid w:val="002E3DD2"/>
    <w:rsid w:val="002E3DFD"/>
    <w:rsid w:val="002E51E5"/>
    <w:rsid w:val="002E6BF0"/>
    <w:rsid w:val="002E7ACD"/>
    <w:rsid w:val="002F01D0"/>
    <w:rsid w:val="002F1B8C"/>
    <w:rsid w:val="002F2DAE"/>
    <w:rsid w:val="002F5108"/>
    <w:rsid w:val="002F57C5"/>
    <w:rsid w:val="002F752D"/>
    <w:rsid w:val="002F7AB9"/>
    <w:rsid w:val="00301A03"/>
    <w:rsid w:val="00301C2C"/>
    <w:rsid w:val="0030589C"/>
    <w:rsid w:val="00305928"/>
    <w:rsid w:val="00306326"/>
    <w:rsid w:val="00307184"/>
    <w:rsid w:val="00307742"/>
    <w:rsid w:val="00307788"/>
    <w:rsid w:val="00310923"/>
    <w:rsid w:val="00312A09"/>
    <w:rsid w:val="00313BD3"/>
    <w:rsid w:val="00313E83"/>
    <w:rsid w:val="00313E98"/>
    <w:rsid w:val="003142BD"/>
    <w:rsid w:val="00314789"/>
    <w:rsid w:val="003154D5"/>
    <w:rsid w:val="003168CE"/>
    <w:rsid w:val="00317198"/>
    <w:rsid w:val="003174B9"/>
    <w:rsid w:val="00317965"/>
    <w:rsid w:val="00317D62"/>
    <w:rsid w:val="00321057"/>
    <w:rsid w:val="00321D58"/>
    <w:rsid w:val="003227E0"/>
    <w:rsid w:val="00322A71"/>
    <w:rsid w:val="003233C0"/>
    <w:rsid w:val="0032476F"/>
    <w:rsid w:val="00325E67"/>
    <w:rsid w:val="003275C4"/>
    <w:rsid w:val="00330F8F"/>
    <w:rsid w:val="00331423"/>
    <w:rsid w:val="00331460"/>
    <w:rsid w:val="00332A3E"/>
    <w:rsid w:val="00333009"/>
    <w:rsid w:val="003348B0"/>
    <w:rsid w:val="0033551C"/>
    <w:rsid w:val="003357D2"/>
    <w:rsid w:val="00335BF3"/>
    <w:rsid w:val="00336417"/>
    <w:rsid w:val="00336CD8"/>
    <w:rsid w:val="0033702F"/>
    <w:rsid w:val="003373F4"/>
    <w:rsid w:val="003401EB"/>
    <w:rsid w:val="003404C1"/>
    <w:rsid w:val="00340723"/>
    <w:rsid w:val="003429CE"/>
    <w:rsid w:val="00343A29"/>
    <w:rsid w:val="00345414"/>
    <w:rsid w:val="003460AE"/>
    <w:rsid w:val="003501EA"/>
    <w:rsid w:val="003512CF"/>
    <w:rsid w:val="0035167B"/>
    <w:rsid w:val="00351786"/>
    <w:rsid w:val="00352989"/>
    <w:rsid w:val="00352D83"/>
    <w:rsid w:val="00353B0F"/>
    <w:rsid w:val="00355450"/>
    <w:rsid w:val="00356D9E"/>
    <w:rsid w:val="00357233"/>
    <w:rsid w:val="0035782C"/>
    <w:rsid w:val="003607D2"/>
    <w:rsid w:val="0036170B"/>
    <w:rsid w:val="003621C9"/>
    <w:rsid w:val="003623E9"/>
    <w:rsid w:val="0036299D"/>
    <w:rsid w:val="00362CD7"/>
    <w:rsid w:val="00364CE1"/>
    <w:rsid w:val="00365DA4"/>
    <w:rsid w:val="003668BA"/>
    <w:rsid w:val="00367B70"/>
    <w:rsid w:val="00367C9E"/>
    <w:rsid w:val="00372306"/>
    <w:rsid w:val="00372A14"/>
    <w:rsid w:val="00372B16"/>
    <w:rsid w:val="00373340"/>
    <w:rsid w:val="003735EB"/>
    <w:rsid w:val="00373FAE"/>
    <w:rsid w:val="00374C08"/>
    <w:rsid w:val="003760D2"/>
    <w:rsid w:val="00380CAD"/>
    <w:rsid w:val="0038213A"/>
    <w:rsid w:val="003837BD"/>
    <w:rsid w:val="0038507A"/>
    <w:rsid w:val="003861F7"/>
    <w:rsid w:val="00386A6F"/>
    <w:rsid w:val="00390036"/>
    <w:rsid w:val="00390519"/>
    <w:rsid w:val="0039191E"/>
    <w:rsid w:val="003921F0"/>
    <w:rsid w:val="00392E0F"/>
    <w:rsid w:val="00397783"/>
    <w:rsid w:val="003A001A"/>
    <w:rsid w:val="003A0DC5"/>
    <w:rsid w:val="003A1364"/>
    <w:rsid w:val="003A29C6"/>
    <w:rsid w:val="003A336E"/>
    <w:rsid w:val="003A35E2"/>
    <w:rsid w:val="003A4091"/>
    <w:rsid w:val="003A4373"/>
    <w:rsid w:val="003A6A8C"/>
    <w:rsid w:val="003A6C24"/>
    <w:rsid w:val="003A729C"/>
    <w:rsid w:val="003A743B"/>
    <w:rsid w:val="003B0E3F"/>
    <w:rsid w:val="003B0EA0"/>
    <w:rsid w:val="003B14CD"/>
    <w:rsid w:val="003B21EE"/>
    <w:rsid w:val="003B23D4"/>
    <w:rsid w:val="003B4004"/>
    <w:rsid w:val="003B498E"/>
    <w:rsid w:val="003B51D4"/>
    <w:rsid w:val="003B52A6"/>
    <w:rsid w:val="003B7123"/>
    <w:rsid w:val="003C0B8A"/>
    <w:rsid w:val="003C14C5"/>
    <w:rsid w:val="003C1703"/>
    <w:rsid w:val="003C1B86"/>
    <w:rsid w:val="003C1CA8"/>
    <w:rsid w:val="003C55E4"/>
    <w:rsid w:val="003D01C3"/>
    <w:rsid w:val="003D0298"/>
    <w:rsid w:val="003D18AF"/>
    <w:rsid w:val="003D18BE"/>
    <w:rsid w:val="003D1A3C"/>
    <w:rsid w:val="003D2949"/>
    <w:rsid w:val="003D5568"/>
    <w:rsid w:val="003D6497"/>
    <w:rsid w:val="003D6D7B"/>
    <w:rsid w:val="003D780A"/>
    <w:rsid w:val="003E1B73"/>
    <w:rsid w:val="003E317F"/>
    <w:rsid w:val="003E31FA"/>
    <w:rsid w:val="003E3C9B"/>
    <w:rsid w:val="003E4474"/>
    <w:rsid w:val="003E647F"/>
    <w:rsid w:val="003E68D7"/>
    <w:rsid w:val="003E70AB"/>
    <w:rsid w:val="003E7C86"/>
    <w:rsid w:val="003F0276"/>
    <w:rsid w:val="003F0691"/>
    <w:rsid w:val="003F0FA5"/>
    <w:rsid w:val="003F11CB"/>
    <w:rsid w:val="003F128F"/>
    <w:rsid w:val="003F2146"/>
    <w:rsid w:val="003F2454"/>
    <w:rsid w:val="003F28E5"/>
    <w:rsid w:val="003F29AA"/>
    <w:rsid w:val="003F2D32"/>
    <w:rsid w:val="003F39BA"/>
    <w:rsid w:val="003F5A1F"/>
    <w:rsid w:val="003F61C3"/>
    <w:rsid w:val="003F6EA8"/>
    <w:rsid w:val="003F71F7"/>
    <w:rsid w:val="003F75D1"/>
    <w:rsid w:val="0040274B"/>
    <w:rsid w:val="004033A5"/>
    <w:rsid w:val="004033DC"/>
    <w:rsid w:val="00403AD2"/>
    <w:rsid w:val="004042F4"/>
    <w:rsid w:val="0040682F"/>
    <w:rsid w:val="0040683C"/>
    <w:rsid w:val="00406993"/>
    <w:rsid w:val="0040751C"/>
    <w:rsid w:val="00407C79"/>
    <w:rsid w:val="00412258"/>
    <w:rsid w:val="004134F8"/>
    <w:rsid w:val="0041351F"/>
    <w:rsid w:val="00414824"/>
    <w:rsid w:val="00415264"/>
    <w:rsid w:val="004170D4"/>
    <w:rsid w:val="00420884"/>
    <w:rsid w:val="00420B0E"/>
    <w:rsid w:val="0042179A"/>
    <w:rsid w:val="0042293C"/>
    <w:rsid w:val="00423908"/>
    <w:rsid w:val="00425570"/>
    <w:rsid w:val="00426D19"/>
    <w:rsid w:val="004318A9"/>
    <w:rsid w:val="00431A84"/>
    <w:rsid w:val="00432185"/>
    <w:rsid w:val="00432334"/>
    <w:rsid w:val="004329DA"/>
    <w:rsid w:val="00433389"/>
    <w:rsid w:val="00433E25"/>
    <w:rsid w:val="00433F0D"/>
    <w:rsid w:val="00435345"/>
    <w:rsid w:val="0043620C"/>
    <w:rsid w:val="00436237"/>
    <w:rsid w:val="00436E34"/>
    <w:rsid w:val="004375A0"/>
    <w:rsid w:val="00441303"/>
    <w:rsid w:val="00441412"/>
    <w:rsid w:val="004422D5"/>
    <w:rsid w:val="004436C1"/>
    <w:rsid w:val="00444221"/>
    <w:rsid w:val="0044778E"/>
    <w:rsid w:val="00447FD2"/>
    <w:rsid w:val="00451185"/>
    <w:rsid w:val="00451CAD"/>
    <w:rsid w:val="00451ECB"/>
    <w:rsid w:val="00454AFA"/>
    <w:rsid w:val="00454F2F"/>
    <w:rsid w:val="00455145"/>
    <w:rsid w:val="00455866"/>
    <w:rsid w:val="00456AC2"/>
    <w:rsid w:val="00456E47"/>
    <w:rsid w:val="00457135"/>
    <w:rsid w:val="00460493"/>
    <w:rsid w:val="00460588"/>
    <w:rsid w:val="004606B4"/>
    <w:rsid w:val="004613E1"/>
    <w:rsid w:val="00461513"/>
    <w:rsid w:val="00463EC5"/>
    <w:rsid w:val="00463F25"/>
    <w:rsid w:val="00465895"/>
    <w:rsid w:val="00465BA8"/>
    <w:rsid w:val="0046787E"/>
    <w:rsid w:val="00467A29"/>
    <w:rsid w:val="00467C6E"/>
    <w:rsid w:val="00471676"/>
    <w:rsid w:val="00471D67"/>
    <w:rsid w:val="00473439"/>
    <w:rsid w:val="00473B84"/>
    <w:rsid w:val="00474D98"/>
    <w:rsid w:val="004761F3"/>
    <w:rsid w:val="0048005C"/>
    <w:rsid w:val="004837C5"/>
    <w:rsid w:val="00484106"/>
    <w:rsid w:val="00484528"/>
    <w:rsid w:val="00484A5C"/>
    <w:rsid w:val="004852DB"/>
    <w:rsid w:val="00485640"/>
    <w:rsid w:val="00485BF6"/>
    <w:rsid w:val="00486304"/>
    <w:rsid w:val="0048641E"/>
    <w:rsid w:val="00491B80"/>
    <w:rsid w:val="00491E1F"/>
    <w:rsid w:val="00492E3E"/>
    <w:rsid w:val="00493CCB"/>
    <w:rsid w:val="00494974"/>
    <w:rsid w:val="00494F87"/>
    <w:rsid w:val="0049671D"/>
    <w:rsid w:val="00497757"/>
    <w:rsid w:val="004A1518"/>
    <w:rsid w:val="004A1570"/>
    <w:rsid w:val="004A1950"/>
    <w:rsid w:val="004A22F9"/>
    <w:rsid w:val="004A4AA6"/>
    <w:rsid w:val="004A4EE1"/>
    <w:rsid w:val="004A5174"/>
    <w:rsid w:val="004A5432"/>
    <w:rsid w:val="004B03B9"/>
    <w:rsid w:val="004B1349"/>
    <w:rsid w:val="004B1859"/>
    <w:rsid w:val="004B2034"/>
    <w:rsid w:val="004B300D"/>
    <w:rsid w:val="004B3B95"/>
    <w:rsid w:val="004B3EAB"/>
    <w:rsid w:val="004B6A73"/>
    <w:rsid w:val="004B78D5"/>
    <w:rsid w:val="004B7D0D"/>
    <w:rsid w:val="004C0379"/>
    <w:rsid w:val="004C1B21"/>
    <w:rsid w:val="004C1ECC"/>
    <w:rsid w:val="004C4015"/>
    <w:rsid w:val="004C42E5"/>
    <w:rsid w:val="004C5956"/>
    <w:rsid w:val="004C5A96"/>
    <w:rsid w:val="004C63CC"/>
    <w:rsid w:val="004C63E7"/>
    <w:rsid w:val="004C6863"/>
    <w:rsid w:val="004C72FB"/>
    <w:rsid w:val="004C7463"/>
    <w:rsid w:val="004C7635"/>
    <w:rsid w:val="004C7A7D"/>
    <w:rsid w:val="004D0472"/>
    <w:rsid w:val="004D0C63"/>
    <w:rsid w:val="004D2132"/>
    <w:rsid w:val="004D2447"/>
    <w:rsid w:val="004D27D1"/>
    <w:rsid w:val="004D2894"/>
    <w:rsid w:val="004D293C"/>
    <w:rsid w:val="004D31A4"/>
    <w:rsid w:val="004D639C"/>
    <w:rsid w:val="004D6A36"/>
    <w:rsid w:val="004E089B"/>
    <w:rsid w:val="004E2668"/>
    <w:rsid w:val="004E271C"/>
    <w:rsid w:val="004E2BCF"/>
    <w:rsid w:val="004E3223"/>
    <w:rsid w:val="004E35C0"/>
    <w:rsid w:val="004E45FD"/>
    <w:rsid w:val="004E52D2"/>
    <w:rsid w:val="004F0B9B"/>
    <w:rsid w:val="004F2163"/>
    <w:rsid w:val="004F7D79"/>
    <w:rsid w:val="00501745"/>
    <w:rsid w:val="00501C77"/>
    <w:rsid w:val="00502410"/>
    <w:rsid w:val="005046A5"/>
    <w:rsid w:val="00506D45"/>
    <w:rsid w:val="00507E95"/>
    <w:rsid w:val="005104CA"/>
    <w:rsid w:val="00510A52"/>
    <w:rsid w:val="00510A97"/>
    <w:rsid w:val="00512C09"/>
    <w:rsid w:val="0051382B"/>
    <w:rsid w:val="005153D1"/>
    <w:rsid w:val="005167EA"/>
    <w:rsid w:val="00517B8D"/>
    <w:rsid w:val="005207BE"/>
    <w:rsid w:val="00521248"/>
    <w:rsid w:val="00521391"/>
    <w:rsid w:val="0052335E"/>
    <w:rsid w:val="00523EC9"/>
    <w:rsid w:val="0052430B"/>
    <w:rsid w:val="005253F0"/>
    <w:rsid w:val="005276A7"/>
    <w:rsid w:val="00527CA9"/>
    <w:rsid w:val="005301C3"/>
    <w:rsid w:val="005303D6"/>
    <w:rsid w:val="00530500"/>
    <w:rsid w:val="0053173F"/>
    <w:rsid w:val="00531843"/>
    <w:rsid w:val="00535370"/>
    <w:rsid w:val="00536D0C"/>
    <w:rsid w:val="00537DF2"/>
    <w:rsid w:val="00537F9D"/>
    <w:rsid w:val="005405BA"/>
    <w:rsid w:val="00540E8D"/>
    <w:rsid w:val="0054194A"/>
    <w:rsid w:val="00542041"/>
    <w:rsid w:val="00542DFC"/>
    <w:rsid w:val="0054363D"/>
    <w:rsid w:val="00545986"/>
    <w:rsid w:val="00545B32"/>
    <w:rsid w:val="005460AF"/>
    <w:rsid w:val="0054655D"/>
    <w:rsid w:val="00547329"/>
    <w:rsid w:val="00550C98"/>
    <w:rsid w:val="00550F66"/>
    <w:rsid w:val="0055135A"/>
    <w:rsid w:val="005522CA"/>
    <w:rsid w:val="00553115"/>
    <w:rsid w:val="0055317E"/>
    <w:rsid w:val="00554498"/>
    <w:rsid w:val="00555977"/>
    <w:rsid w:val="00555F4B"/>
    <w:rsid w:val="00556A84"/>
    <w:rsid w:val="00557305"/>
    <w:rsid w:val="0055737E"/>
    <w:rsid w:val="00557A72"/>
    <w:rsid w:val="00560598"/>
    <w:rsid w:val="005618B4"/>
    <w:rsid w:val="00561961"/>
    <w:rsid w:val="0056351B"/>
    <w:rsid w:val="00563B7E"/>
    <w:rsid w:val="00564472"/>
    <w:rsid w:val="00565AE9"/>
    <w:rsid w:val="0056652D"/>
    <w:rsid w:val="00566583"/>
    <w:rsid w:val="00566684"/>
    <w:rsid w:val="0056747B"/>
    <w:rsid w:val="0056766E"/>
    <w:rsid w:val="005701C4"/>
    <w:rsid w:val="00570404"/>
    <w:rsid w:val="0057088D"/>
    <w:rsid w:val="00571CE2"/>
    <w:rsid w:val="005725DE"/>
    <w:rsid w:val="005739C6"/>
    <w:rsid w:val="00574282"/>
    <w:rsid w:val="005747B7"/>
    <w:rsid w:val="00574C63"/>
    <w:rsid w:val="00574CA7"/>
    <w:rsid w:val="0057587D"/>
    <w:rsid w:val="0057607D"/>
    <w:rsid w:val="00576912"/>
    <w:rsid w:val="0058203D"/>
    <w:rsid w:val="0058228B"/>
    <w:rsid w:val="005830A3"/>
    <w:rsid w:val="005858B3"/>
    <w:rsid w:val="00586045"/>
    <w:rsid w:val="00586BA7"/>
    <w:rsid w:val="0058704D"/>
    <w:rsid w:val="00591294"/>
    <w:rsid w:val="0059172A"/>
    <w:rsid w:val="005919F7"/>
    <w:rsid w:val="00591FE3"/>
    <w:rsid w:val="00592C68"/>
    <w:rsid w:val="005933C9"/>
    <w:rsid w:val="00593B1B"/>
    <w:rsid w:val="00595069"/>
    <w:rsid w:val="00595095"/>
    <w:rsid w:val="0059550A"/>
    <w:rsid w:val="00595982"/>
    <w:rsid w:val="005959C5"/>
    <w:rsid w:val="005A006B"/>
    <w:rsid w:val="005A062E"/>
    <w:rsid w:val="005A10AB"/>
    <w:rsid w:val="005A15F7"/>
    <w:rsid w:val="005A2FC0"/>
    <w:rsid w:val="005A3BBF"/>
    <w:rsid w:val="005A45E0"/>
    <w:rsid w:val="005A46A3"/>
    <w:rsid w:val="005A50C4"/>
    <w:rsid w:val="005A522F"/>
    <w:rsid w:val="005A59A4"/>
    <w:rsid w:val="005A64CA"/>
    <w:rsid w:val="005A6E8F"/>
    <w:rsid w:val="005A729B"/>
    <w:rsid w:val="005B0807"/>
    <w:rsid w:val="005B25AB"/>
    <w:rsid w:val="005B37A9"/>
    <w:rsid w:val="005B5290"/>
    <w:rsid w:val="005B56F3"/>
    <w:rsid w:val="005B5A8E"/>
    <w:rsid w:val="005B7E3E"/>
    <w:rsid w:val="005C14FB"/>
    <w:rsid w:val="005C2151"/>
    <w:rsid w:val="005C2CCF"/>
    <w:rsid w:val="005C2F18"/>
    <w:rsid w:val="005C4892"/>
    <w:rsid w:val="005C553A"/>
    <w:rsid w:val="005C708D"/>
    <w:rsid w:val="005D0584"/>
    <w:rsid w:val="005D05F4"/>
    <w:rsid w:val="005D1297"/>
    <w:rsid w:val="005D180F"/>
    <w:rsid w:val="005D1BA7"/>
    <w:rsid w:val="005D2BE9"/>
    <w:rsid w:val="005D4848"/>
    <w:rsid w:val="005D744E"/>
    <w:rsid w:val="005E045B"/>
    <w:rsid w:val="005E22FC"/>
    <w:rsid w:val="005E3C0C"/>
    <w:rsid w:val="005E43BD"/>
    <w:rsid w:val="005E5214"/>
    <w:rsid w:val="005E551F"/>
    <w:rsid w:val="005E5ECF"/>
    <w:rsid w:val="005E736C"/>
    <w:rsid w:val="005F07A4"/>
    <w:rsid w:val="005F2D48"/>
    <w:rsid w:val="005F3071"/>
    <w:rsid w:val="005F3A82"/>
    <w:rsid w:val="005F4644"/>
    <w:rsid w:val="005F48C5"/>
    <w:rsid w:val="005F5288"/>
    <w:rsid w:val="005F7324"/>
    <w:rsid w:val="005F7A69"/>
    <w:rsid w:val="0060027D"/>
    <w:rsid w:val="00600432"/>
    <w:rsid w:val="00600DA2"/>
    <w:rsid w:val="00600F29"/>
    <w:rsid w:val="0060103C"/>
    <w:rsid w:val="00602431"/>
    <w:rsid w:val="00602E90"/>
    <w:rsid w:val="006030E2"/>
    <w:rsid w:val="006038EF"/>
    <w:rsid w:val="00603F63"/>
    <w:rsid w:val="0060411F"/>
    <w:rsid w:val="00605B95"/>
    <w:rsid w:val="00606165"/>
    <w:rsid w:val="006061F7"/>
    <w:rsid w:val="00606EC8"/>
    <w:rsid w:val="00607C62"/>
    <w:rsid w:val="00607DC1"/>
    <w:rsid w:val="00610250"/>
    <w:rsid w:val="006127A2"/>
    <w:rsid w:val="00613B3C"/>
    <w:rsid w:val="006143CB"/>
    <w:rsid w:val="006159EE"/>
    <w:rsid w:val="00615A71"/>
    <w:rsid w:val="00615D39"/>
    <w:rsid w:val="006160F6"/>
    <w:rsid w:val="006209FA"/>
    <w:rsid w:val="00621E4C"/>
    <w:rsid w:val="00622AB4"/>
    <w:rsid w:val="0062314F"/>
    <w:rsid w:val="0062343E"/>
    <w:rsid w:val="00623A02"/>
    <w:rsid w:val="00623C08"/>
    <w:rsid w:val="00624BA9"/>
    <w:rsid w:val="00627759"/>
    <w:rsid w:val="00627B8B"/>
    <w:rsid w:val="006300A2"/>
    <w:rsid w:val="00631521"/>
    <w:rsid w:val="006321E9"/>
    <w:rsid w:val="00632F57"/>
    <w:rsid w:val="00633138"/>
    <w:rsid w:val="0063395A"/>
    <w:rsid w:val="00633BA0"/>
    <w:rsid w:val="00636909"/>
    <w:rsid w:val="006369FB"/>
    <w:rsid w:val="00636A0C"/>
    <w:rsid w:val="00636B35"/>
    <w:rsid w:val="00637F4D"/>
    <w:rsid w:val="0064011A"/>
    <w:rsid w:val="00641020"/>
    <w:rsid w:val="00642940"/>
    <w:rsid w:val="00643CC0"/>
    <w:rsid w:val="00644126"/>
    <w:rsid w:val="006448D6"/>
    <w:rsid w:val="006449CF"/>
    <w:rsid w:val="006453EA"/>
    <w:rsid w:val="00645420"/>
    <w:rsid w:val="00645C5A"/>
    <w:rsid w:val="0064649B"/>
    <w:rsid w:val="00646CD2"/>
    <w:rsid w:val="00646FCF"/>
    <w:rsid w:val="006475D8"/>
    <w:rsid w:val="00651560"/>
    <w:rsid w:val="0065169C"/>
    <w:rsid w:val="006540C5"/>
    <w:rsid w:val="00656E0A"/>
    <w:rsid w:val="006570F3"/>
    <w:rsid w:val="00660866"/>
    <w:rsid w:val="00660DFD"/>
    <w:rsid w:val="00662323"/>
    <w:rsid w:val="0066748A"/>
    <w:rsid w:val="006677D8"/>
    <w:rsid w:val="006678AB"/>
    <w:rsid w:val="00667F23"/>
    <w:rsid w:val="006714BE"/>
    <w:rsid w:val="0067182B"/>
    <w:rsid w:val="006719C3"/>
    <w:rsid w:val="00673F41"/>
    <w:rsid w:val="00674923"/>
    <w:rsid w:val="00674B9F"/>
    <w:rsid w:val="0067578F"/>
    <w:rsid w:val="006762AD"/>
    <w:rsid w:val="00680494"/>
    <w:rsid w:val="006807E1"/>
    <w:rsid w:val="0068295C"/>
    <w:rsid w:val="00684A2D"/>
    <w:rsid w:val="0068501C"/>
    <w:rsid w:val="00685267"/>
    <w:rsid w:val="00685787"/>
    <w:rsid w:val="00685AE5"/>
    <w:rsid w:val="006868E3"/>
    <w:rsid w:val="00686AEE"/>
    <w:rsid w:val="00686CB2"/>
    <w:rsid w:val="00690351"/>
    <w:rsid w:val="006904EB"/>
    <w:rsid w:val="00690BAC"/>
    <w:rsid w:val="00690D5E"/>
    <w:rsid w:val="00691696"/>
    <w:rsid w:val="00691DA5"/>
    <w:rsid w:val="0069555D"/>
    <w:rsid w:val="00695871"/>
    <w:rsid w:val="006A0BCE"/>
    <w:rsid w:val="006A14E1"/>
    <w:rsid w:val="006A2C15"/>
    <w:rsid w:val="006A3005"/>
    <w:rsid w:val="006A6821"/>
    <w:rsid w:val="006B0CA7"/>
    <w:rsid w:val="006B16F3"/>
    <w:rsid w:val="006B1F30"/>
    <w:rsid w:val="006B234C"/>
    <w:rsid w:val="006B27D1"/>
    <w:rsid w:val="006B30C7"/>
    <w:rsid w:val="006B3514"/>
    <w:rsid w:val="006B3560"/>
    <w:rsid w:val="006B3971"/>
    <w:rsid w:val="006B6150"/>
    <w:rsid w:val="006C0AAA"/>
    <w:rsid w:val="006C225A"/>
    <w:rsid w:val="006C2AD8"/>
    <w:rsid w:val="006C2D4F"/>
    <w:rsid w:val="006C3556"/>
    <w:rsid w:val="006C4BE7"/>
    <w:rsid w:val="006C6EA4"/>
    <w:rsid w:val="006C7C81"/>
    <w:rsid w:val="006D0E5A"/>
    <w:rsid w:val="006D17AD"/>
    <w:rsid w:val="006D300B"/>
    <w:rsid w:val="006D3E19"/>
    <w:rsid w:val="006D4688"/>
    <w:rsid w:val="006D4EC7"/>
    <w:rsid w:val="006D565D"/>
    <w:rsid w:val="006E0F1A"/>
    <w:rsid w:val="006E15C2"/>
    <w:rsid w:val="006E1AAB"/>
    <w:rsid w:val="006E2C44"/>
    <w:rsid w:val="006E2CB9"/>
    <w:rsid w:val="006E3794"/>
    <w:rsid w:val="006E3D90"/>
    <w:rsid w:val="006E52F3"/>
    <w:rsid w:val="006E641F"/>
    <w:rsid w:val="006F0CB3"/>
    <w:rsid w:val="006F0FED"/>
    <w:rsid w:val="006F1843"/>
    <w:rsid w:val="006F2B59"/>
    <w:rsid w:val="006F34E8"/>
    <w:rsid w:val="006F353A"/>
    <w:rsid w:val="006F4A95"/>
    <w:rsid w:val="006F4D8B"/>
    <w:rsid w:val="006F5138"/>
    <w:rsid w:val="006F5EB3"/>
    <w:rsid w:val="006F6267"/>
    <w:rsid w:val="006F79FA"/>
    <w:rsid w:val="00700D99"/>
    <w:rsid w:val="0070130A"/>
    <w:rsid w:val="007036FA"/>
    <w:rsid w:val="00703AD4"/>
    <w:rsid w:val="00704204"/>
    <w:rsid w:val="00704AD8"/>
    <w:rsid w:val="00704F6C"/>
    <w:rsid w:val="0070583E"/>
    <w:rsid w:val="00705D0D"/>
    <w:rsid w:val="00706519"/>
    <w:rsid w:val="007069EA"/>
    <w:rsid w:val="00712DBA"/>
    <w:rsid w:val="00713CBE"/>
    <w:rsid w:val="0071420A"/>
    <w:rsid w:val="00714D92"/>
    <w:rsid w:val="00716067"/>
    <w:rsid w:val="007164F3"/>
    <w:rsid w:val="007165A0"/>
    <w:rsid w:val="00716AFC"/>
    <w:rsid w:val="00717D08"/>
    <w:rsid w:val="00717E1B"/>
    <w:rsid w:val="00722E5E"/>
    <w:rsid w:val="0072309D"/>
    <w:rsid w:val="00723823"/>
    <w:rsid w:val="00724EAE"/>
    <w:rsid w:val="007305DD"/>
    <w:rsid w:val="00730993"/>
    <w:rsid w:val="0073310F"/>
    <w:rsid w:val="0073315E"/>
    <w:rsid w:val="0073416B"/>
    <w:rsid w:val="00734A2B"/>
    <w:rsid w:val="0073546B"/>
    <w:rsid w:val="0073782D"/>
    <w:rsid w:val="00742E6E"/>
    <w:rsid w:val="00743841"/>
    <w:rsid w:val="00743A03"/>
    <w:rsid w:val="00743E29"/>
    <w:rsid w:val="00744CC4"/>
    <w:rsid w:val="00745103"/>
    <w:rsid w:val="00745BE8"/>
    <w:rsid w:val="0074613B"/>
    <w:rsid w:val="0074756B"/>
    <w:rsid w:val="00747853"/>
    <w:rsid w:val="00747ABD"/>
    <w:rsid w:val="00747B0E"/>
    <w:rsid w:val="00751D44"/>
    <w:rsid w:val="00752BED"/>
    <w:rsid w:val="00752EE1"/>
    <w:rsid w:val="007548D3"/>
    <w:rsid w:val="007565D7"/>
    <w:rsid w:val="00756A40"/>
    <w:rsid w:val="00757127"/>
    <w:rsid w:val="0075722B"/>
    <w:rsid w:val="0076059B"/>
    <w:rsid w:val="0076498D"/>
    <w:rsid w:val="00766482"/>
    <w:rsid w:val="0076736D"/>
    <w:rsid w:val="00770A26"/>
    <w:rsid w:val="00770AAE"/>
    <w:rsid w:val="007721FC"/>
    <w:rsid w:val="00773798"/>
    <w:rsid w:val="00777E9E"/>
    <w:rsid w:val="00780677"/>
    <w:rsid w:val="0078105E"/>
    <w:rsid w:val="00781DDE"/>
    <w:rsid w:val="00781F40"/>
    <w:rsid w:val="00782B23"/>
    <w:rsid w:val="00783DA9"/>
    <w:rsid w:val="00784A7B"/>
    <w:rsid w:val="007852BC"/>
    <w:rsid w:val="00785567"/>
    <w:rsid w:val="007855F8"/>
    <w:rsid w:val="0078629D"/>
    <w:rsid w:val="00786B3C"/>
    <w:rsid w:val="00786FF9"/>
    <w:rsid w:val="0078725E"/>
    <w:rsid w:val="0079105D"/>
    <w:rsid w:val="00792801"/>
    <w:rsid w:val="00793B37"/>
    <w:rsid w:val="00795536"/>
    <w:rsid w:val="00795DA8"/>
    <w:rsid w:val="00797BAA"/>
    <w:rsid w:val="007A0D22"/>
    <w:rsid w:val="007A381F"/>
    <w:rsid w:val="007A79B8"/>
    <w:rsid w:val="007A7B64"/>
    <w:rsid w:val="007B0058"/>
    <w:rsid w:val="007B06C5"/>
    <w:rsid w:val="007B3F99"/>
    <w:rsid w:val="007B52E4"/>
    <w:rsid w:val="007B572D"/>
    <w:rsid w:val="007B777D"/>
    <w:rsid w:val="007C0D48"/>
    <w:rsid w:val="007C22F6"/>
    <w:rsid w:val="007C3463"/>
    <w:rsid w:val="007C3746"/>
    <w:rsid w:val="007C3D0B"/>
    <w:rsid w:val="007C4099"/>
    <w:rsid w:val="007C4217"/>
    <w:rsid w:val="007C4571"/>
    <w:rsid w:val="007C49AC"/>
    <w:rsid w:val="007C4ECB"/>
    <w:rsid w:val="007C529C"/>
    <w:rsid w:val="007C5AC1"/>
    <w:rsid w:val="007C5FDA"/>
    <w:rsid w:val="007C7056"/>
    <w:rsid w:val="007C7A7B"/>
    <w:rsid w:val="007C7B41"/>
    <w:rsid w:val="007C7DBF"/>
    <w:rsid w:val="007D1817"/>
    <w:rsid w:val="007D1B2A"/>
    <w:rsid w:val="007D2853"/>
    <w:rsid w:val="007D3148"/>
    <w:rsid w:val="007D3240"/>
    <w:rsid w:val="007D56F6"/>
    <w:rsid w:val="007D7026"/>
    <w:rsid w:val="007D7089"/>
    <w:rsid w:val="007D70FC"/>
    <w:rsid w:val="007D7B7B"/>
    <w:rsid w:val="007E08D0"/>
    <w:rsid w:val="007E1641"/>
    <w:rsid w:val="007E16DF"/>
    <w:rsid w:val="007E1A33"/>
    <w:rsid w:val="007E6015"/>
    <w:rsid w:val="007E623F"/>
    <w:rsid w:val="007E648B"/>
    <w:rsid w:val="007E69E7"/>
    <w:rsid w:val="007E70EC"/>
    <w:rsid w:val="007E717A"/>
    <w:rsid w:val="007F04BA"/>
    <w:rsid w:val="007F1CE9"/>
    <w:rsid w:val="007F2A97"/>
    <w:rsid w:val="007F31E5"/>
    <w:rsid w:val="007F33F2"/>
    <w:rsid w:val="007F54F2"/>
    <w:rsid w:val="007F6129"/>
    <w:rsid w:val="007F68D8"/>
    <w:rsid w:val="007F6A24"/>
    <w:rsid w:val="008002FF"/>
    <w:rsid w:val="00800B4D"/>
    <w:rsid w:val="00800E59"/>
    <w:rsid w:val="0080442F"/>
    <w:rsid w:val="00804761"/>
    <w:rsid w:val="008060D3"/>
    <w:rsid w:val="00807164"/>
    <w:rsid w:val="0080736C"/>
    <w:rsid w:val="008102C1"/>
    <w:rsid w:val="008109B7"/>
    <w:rsid w:val="00810E5B"/>
    <w:rsid w:val="00811F59"/>
    <w:rsid w:val="00814D7E"/>
    <w:rsid w:val="008163B1"/>
    <w:rsid w:val="00817435"/>
    <w:rsid w:val="00820E2B"/>
    <w:rsid w:val="008224EF"/>
    <w:rsid w:val="00822FF2"/>
    <w:rsid w:val="00823388"/>
    <w:rsid w:val="00823C1A"/>
    <w:rsid w:val="00824F5F"/>
    <w:rsid w:val="00826D83"/>
    <w:rsid w:val="00826E38"/>
    <w:rsid w:val="00827880"/>
    <w:rsid w:val="00827C6B"/>
    <w:rsid w:val="00830B2C"/>
    <w:rsid w:val="00830E76"/>
    <w:rsid w:val="008312F2"/>
    <w:rsid w:val="00832408"/>
    <w:rsid w:val="0083307A"/>
    <w:rsid w:val="00833B97"/>
    <w:rsid w:val="0083419A"/>
    <w:rsid w:val="00834CFD"/>
    <w:rsid w:val="00834DDE"/>
    <w:rsid w:val="008366A7"/>
    <w:rsid w:val="00837338"/>
    <w:rsid w:val="00837B69"/>
    <w:rsid w:val="00840B98"/>
    <w:rsid w:val="00840DA2"/>
    <w:rsid w:val="00841504"/>
    <w:rsid w:val="008421AE"/>
    <w:rsid w:val="008423B2"/>
    <w:rsid w:val="008427A3"/>
    <w:rsid w:val="00843ACC"/>
    <w:rsid w:val="00843EF8"/>
    <w:rsid w:val="00845546"/>
    <w:rsid w:val="00845D16"/>
    <w:rsid w:val="0084667E"/>
    <w:rsid w:val="00846820"/>
    <w:rsid w:val="0084696B"/>
    <w:rsid w:val="00846FF3"/>
    <w:rsid w:val="00850046"/>
    <w:rsid w:val="0085119A"/>
    <w:rsid w:val="00852223"/>
    <w:rsid w:val="00855558"/>
    <w:rsid w:val="00857335"/>
    <w:rsid w:val="008618D8"/>
    <w:rsid w:val="00861CDD"/>
    <w:rsid w:val="00861F2F"/>
    <w:rsid w:val="00862669"/>
    <w:rsid w:val="00862AF5"/>
    <w:rsid w:val="0086334D"/>
    <w:rsid w:val="00863B50"/>
    <w:rsid w:val="00864668"/>
    <w:rsid w:val="0086544B"/>
    <w:rsid w:val="00865AED"/>
    <w:rsid w:val="00866A5E"/>
    <w:rsid w:val="00866D38"/>
    <w:rsid w:val="00867067"/>
    <w:rsid w:val="0086717F"/>
    <w:rsid w:val="008678B3"/>
    <w:rsid w:val="00870680"/>
    <w:rsid w:val="00872A9B"/>
    <w:rsid w:val="00872C48"/>
    <w:rsid w:val="00874950"/>
    <w:rsid w:val="00874EA2"/>
    <w:rsid w:val="0087696E"/>
    <w:rsid w:val="00876A92"/>
    <w:rsid w:val="00876E7C"/>
    <w:rsid w:val="00876FB9"/>
    <w:rsid w:val="00877166"/>
    <w:rsid w:val="00877335"/>
    <w:rsid w:val="00880E75"/>
    <w:rsid w:val="00880FE8"/>
    <w:rsid w:val="008811F8"/>
    <w:rsid w:val="008821CA"/>
    <w:rsid w:val="00883A21"/>
    <w:rsid w:val="0088552F"/>
    <w:rsid w:val="00885C2E"/>
    <w:rsid w:val="00886C1F"/>
    <w:rsid w:val="00887D1F"/>
    <w:rsid w:val="00887E43"/>
    <w:rsid w:val="0089015F"/>
    <w:rsid w:val="00890852"/>
    <w:rsid w:val="00891104"/>
    <w:rsid w:val="00893563"/>
    <w:rsid w:val="00894760"/>
    <w:rsid w:val="00894CEA"/>
    <w:rsid w:val="008963C5"/>
    <w:rsid w:val="008A006A"/>
    <w:rsid w:val="008A0A3A"/>
    <w:rsid w:val="008A0E70"/>
    <w:rsid w:val="008A1C3B"/>
    <w:rsid w:val="008A30A7"/>
    <w:rsid w:val="008A49B2"/>
    <w:rsid w:val="008A6BB8"/>
    <w:rsid w:val="008A6E6F"/>
    <w:rsid w:val="008B01B2"/>
    <w:rsid w:val="008B0A70"/>
    <w:rsid w:val="008B14F0"/>
    <w:rsid w:val="008B2948"/>
    <w:rsid w:val="008B2F66"/>
    <w:rsid w:val="008B4F5E"/>
    <w:rsid w:val="008B56EF"/>
    <w:rsid w:val="008B6187"/>
    <w:rsid w:val="008B7298"/>
    <w:rsid w:val="008B7384"/>
    <w:rsid w:val="008B7F06"/>
    <w:rsid w:val="008C0166"/>
    <w:rsid w:val="008C035C"/>
    <w:rsid w:val="008C12F0"/>
    <w:rsid w:val="008C2F80"/>
    <w:rsid w:val="008C3168"/>
    <w:rsid w:val="008C4A3C"/>
    <w:rsid w:val="008C6042"/>
    <w:rsid w:val="008C6C2B"/>
    <w:rsid w:val="008C7367"/>
    <w:rsid w:val="008C7AE1"/>
    <w:rsid w:val="008D1A85"/>
    <w:rsid w:val="008D1F5F"/>
    <w:rsid w:val="008D225B"/>
    <w:rsid w:val="008D2982"/>
    <w:rsid w:val="008D2D5A"/>
    <w:rsid w:val="008D2D82"/>
    <w:rsid w:val="008D57EF"/>
    <w:rsid w:val="008D5AD1"/>
    <w:rsid w:val="008D68B1"/>
    <w:rsid w:val="008D6A43"/>
    <w:rsid w:val="008D7E0E"/>
    <w:rsid w:val="008E05AD"/>
    <w:rsid w:val="008E0A93"/>
    <w:rsid w:val="008E20C2"/>
    <w:rsid w:val="008E6274"/>
    <w:rsid w:val="008E79DF"/>
    <w:rsid w:val="008E7AAE"/>
    <w:rsid w:val="008F0C9B"/>
    <w:rsid w:val="008F0CE7"/>
    <w:rsid w:val="008F0EB4"/>
    <w:rsid w:val="008F3886"/>
    <w:rsid w:val="008F4398"/>
    <w:rsid w:val="008F4B39"/>
    <w:rsid w:val="008F673F"/>
    <w:rsid w:val="008F6BF7"/>
    <w:rsid w:val="009001E8"/>
    <w:rsid w:val="00900E60"/>
    <w:rsid w:val="009011B6"/>
    <w:rsid w:val="009041D8"/>
    <w:rsid w:val="009054AE"/>
    <w:rsid w:val="0090580B"/>
    <w:rsid w:val="0090584F"/>
    <w:rsid w:val="00906327"/>
    <w:rsid w:val="00906367"/>
    <w:rsid w:val="00910125"/>
    <w:rsid w:val="0091229A"/>
    <w:rsid w:val="009134D0"/>
    <w:rsid w:val="009173A1"/>
    <w:rsid w:val="00917AE0"/>
    <w:rsid w:val="00917E0D"/>
    <w:rsid w:val="00920A0A"/>
    <w:rsid w:val="00921218"/>
    <w:rsid w:val="00922438"/>
    <w:rsid w:val="00922971"/>
    <w:rsid w:val="00922ADA"/>
    <w:rsid w:val="009236A9"/>
    <w:rsid w:val="009240D3"/>
    <w:rsid w:val="00924338"/>
    <w:rsid w:val="00926474"/>
    <w:rsid w:val="009320CA"/>
    <w:rsid w:val="0093299E"/>
    <w:rsid w:val="009330B8"/>
    <w:rsid w:val="0093334A"/>
    <w:rsid w:val="00936F46"/>
    <w:rsid w:val="009375C6"/>
    <w:rsid w:val="009408C2"/>
    <w:rsid w:val="00941A26"/>
    <w:rsid w:val="00942011"/>
    <w:rsid w:val="00942318"/>
    <w:rsid w:val="009436F0"/>
    <w:rsid w:val="00945D72"/>
    <w:rsid w:val="00945EB7"/>
    <w:rsid w:val="009462A5"/>
    <w:rsid w:val="009462C0"/>
    <w:rsid w:val="00946B9B"/>
    <w:rsid w:val="00947998"/>
    <w:rsid w:val="009503EB"/>
    <w:rsid w:val="0095347B"/>
    <w:rsid w:val="009539BC"/>
    <w:rsid w:val="00954A5E"/>
    <w:rsid w:val="00954FF2"/>
    <w:rsid w:val="009551E1"/>
    <w:rsid w:val="0095522E"/>
    <w:rsid w:val="009610C3"/>
    <w:rsid w:val="0096139B"/>
    <w:rsid w:val="00962C36"/>
    <w:rsid w:val="00962DA2"/>
    <w:rsid w:val="0096323E"/>
    <w:rsid w:val="00963FBC"/>
    <w:rsid w:val="00965E44"/>
    <w:rsid w:val="0096601E"/>
    <w:rsid w:val="00966B26"/>
    <w:rsid w:val="00970578"/>
    <w:rsid w:val="00971255"/>
    <w:rsid w:val="00972B8D"/>
    <w:rsid w:val="00972BCE"/>
    <w:rsid w:val="00973386"/>
    <w:rsid w:val="00974B4E"/>
    <w:rsid w:val="009756FF"/>
    <w:rsid w:val="00975A9C"/>
    <w:rsid w:val="00976109"/>
    <w:rsid w:val="00976CFA"/>
    <w:rsid w:val="00977824"/>
    <w:rsid w:val="00977E0A"/>
    <w:rsid w:val="00980B6B"/>
    <w:rsid w:val="0098144F"/>
    <w:rsid w:val="00981C9F"/>
    <w:rsid w:val="00982A0D"/>
    <w:rsid w:val="00982DF4"/>
    <w:rsid w:val="00984BE0"/>
    <w:rsid w:val="00987910"/>
    <w:rsid w:val="009909C3"/>
    <w:rsid w:val="00992392"/>
    <w:rsid w:val="00994092"/>
    <w:rsid w:val="009A0033"/>
    <w:rsid w:val="009A0442"/>
    <w:rsid w:val="009A13FF"/>
    <w:rsid w:val="009A152C"/>
    <w:rsid w:val="009A163C"/>
    <w:rsid w:val="009A1BCF"/>
    <w:rsid w:val="009A25EF"/>
    <w:rsid w:val="009A398B"/>
    <w:rsid w:val="009A437C"/>
    <w:rsid w:val="009A4796"/>
    <w:rsid w:val="009A484D"/>
    <w:rsid w:val="009A6FA5"/>
    <w:rsid w:val="009A77AA"/>
    <w:rsid w:val="009B0F22"/>
    <w:rsid w:val="009B2714"/>
    <w:rsid w:val="009B415A"/>
    <w:rsid w:val="009B4794"/>
    <w:rsid w:val="009B4A35"/>
    <w:rsid w:val="009B5A68"/>
    <w:rsid w:val="009B7217"/>
    <w:rsid w:val="009B7EAD"/>
    <w:rsid w:val="009C01A3"/>
    <w:rsid w:val="009C15A2"/>
    <w:rsid w:val="009C2B9B"/>
    <w:rsid w:val="009C365B"/>
    <w:rsid w:val="009C3826"/>
    <w:rsid w:val="009C395B"/>
    <w:rsid w:val="009C4B13"/>
    <w:rsid w:val="009C4C80"/>
    <w:rsid w:val="009C5161"/>
    <w:rsid w:val="009C6603"/>
    <w:rsid w:val="009C7C78"/>
    <w:rsid w:val="009D1100"/>
    <w:rsid w:val="009D1609"/>
    <w:rsid w:val="009D33DD"/>
    <w:rsid w:val="009D34CC"/>
    <w:rsid w:val="009D57C4"/>
    <w:rsid w:val="009D596E"/>
    <w:rsid w:val="009D61EB"/>
    <w:rsid w:val="009D6D95"/>
    <w:rsid w:val="009E0359"/>
    <w:rsid w:val="009E246E"/>
    <w:rsid w:val="009E4034"/>
    <w:rsid w:val="009E452C"/>
    <w:rsid w:val="009E4724"/>
    <w:rsid w:val="009E4B63"/>
    <w:rsid w:val="009E501F"/>
    <w:rsid w:val="009E7C4A"/>
    <w:rsid w:val="009F11C0"/>
    <w:rsid w:val="009F153C"/>
    <w:rsid w:val="009F1CF3"/>
    <w:rsid w:val="009F21A5"/>
    <w:rsid w:val="009F4A3D"/>
    <w:rsid w:val="009F62E5"/>
    <w:rsid w:val="009F72CA"/>
    <w:rsid w:val="00A00EEA"/>
    <w:rsid w:val="00A010BB"/>
    <w:rsid w:val="00A014D8"/>
    <w:rsid w:val="00A02E79"/>
    <w:rsid w:val="00A04E77"/>
    <w:rsid w:val="00A057C4"/>
    <w:rsid w:val="00A05A25"/>
    <w:rsid w:val="00A06B7B"/>
    <w:rsid w:val="00A12076"/>
    <w:rsid w:val="00A13110"/>
    <w:rsid w:val="00A147D4"/>
    <w:rsid w:val="00A20C82"/>
    <w:rsid w:val="00A2259F"/>
    <w:rsid w:val="00A249C2"/>
    <w:rsid w:val="00A24E7D"/>
    <w:rsid w:val="00A27738"/>
    <w:rsid w:val="00A301AE"/>
    <w:rsid w:val="00A31B2B"/>
    <w:rsid w:val="00A327D7"/>
    <w:rsid w:val="00A329A4"/>
    <w:rsid w:val="00A32AD5"/>
    <w:rsid w:val="00A33A5D"/>
    <w:rsid w:val="00A35210"/>
    <w:rsid w:val="00A36018"/>
    <w:rsid w:val="00A362CD"/>
    <w:rsid w:val="00A370D7"/>
    <w:rsid w:val="00A37783"/>
    <w:rsid w:val="00A37827"/>
    <w:rsid w:val="00A400A0"/>
    <w:rsid w:val="00A41C17"/>
    <w:rsid w:val="00A42A1E"/>
    <w:rsid w:val="00A42A26"/>
    <w:rsid w:val="00A42FAB"/>
    <w:rsid w:val="00A43D68"/>
    <w:rsid w:val="00A4419E"/>
    <w:rsid w:val="00A442A4"/>
    <w:rsid w:val="00A44B0D"/>
    <w:rsid w:val="00A45429"/>
    <w:rsid w:val="00A45514"/>
    <w:rsid w:val="00A45583"/>
    <w:rsid w:val="00A456D8"/>
    <w:rsid w:val="00A45846"/>
    <w:rsid w:val="00A45A61"/>
    <w:rsid w:val="00A46671"/>
    <w:rsid w:val="00A4696B"/>
    <w:rsid w:val="00A471D1"/>
    <w:rsid w:val="00A47658"/>
    <w:rsid w:val="00A504EC"/>
    <w:rsid w:val="00A51A12"/>
    <w:rsid w:val="00A52587"/>
    <w:rsid w:val="00A525E9"/>
    <w:rsid w:val="00A54441"/>
    <w:rsid w:val="00A567C4"/>
    <w:rsid w:val="00A56CC8"/>
    <w:rsid w:val="00A605A3"/>
    <w:rsid w:val="00A60EEE"/>
    <w:rsid w:val="00A614B4"/>
    <w:rsid w:val="00A62744"/>
    <w:rsid w:val="00A62F67"/>
    <w:rsid w:val="00A671A8"/>
    <w:rsid w:val="00A70B2A"/>
    <w:rsid w:val="00A71A29"/>
    <w:rsid w:val="00A72E48"/>
    <w:rsid w:val="00A73D06"/>
    <w:rsid w:val="00A74068"/>
    <w:rsid w:val="00A7633F"/>
    <w:rsid w:val="00A77A50"/>
    <w:rsid w:val="00A80E5B"/>
    <w:rsid w:val="00A81B2B"/>
    <w:rsid w:val="00A81BA7"/>
    <w:rsid w:val="00A82A41"/>
    <w:rsid w:val="00A82BC4"/>
    <w:rsid w:val="00A834C6"/>
    <w:rsid w:val="00A84B99"/>
    <w:rsid w:val="00A85F20"/>
    <w:rsid w:val="00A85F23"/>
    <w:rsid w:val="00A90B08"/>
    <w:rsid w:val="00A90C36"/>
    <w:rsid w:val="00A90CEE"/>
    <w:rsid w:val="00A91B3E"/>
    <w:rsid w:val="00A920E3"/>
    <w:rsid w:val="00A93611"/>
    <w:rsid w:val="00A9384E"/>
    <w:rsid w:val="00A965A6"/>
    <w:rsid w:val="00AA232F"/>
    <w:rsid w:val="00AA2A9E"/>
    <w:rsid w:val="00AA2DA3"/>
    <w:rsid w:val="00AA3EA1"/>
    <w:rsid w:val="00AA5884"/>
    <w:rsid w:val="00AA5E62"/>
    <w:rsid w:val="00AA6475"/>
    <w:rsid w:val="00AA65C0"/>
    <w:rsid w:val="00AA67EA"/>
    <w:rsid w:val="00AB0615"/>
    <w:rsid w:val="00AB1F2E"/>
    <w:rsid w:val="00AB2C27"/>
    <w:rsid w:val="00AB372E"/>
    <w:rsid w:val="00AB3A00"/>
    <w:rsid w:val="00AB3ADE"/>
    <w:rsid w:val="00AB4DB7"/>
    <w:rsid w:val="00AB4FC0"/>
    <w:rsid w:val="00AB56D2"/>
    <w:rsid w:val="00AB5F53"/>
    <w:rsid w:val="00AB70DB"/>
    <w:rsid w:val="00AB7465"/>
    <w:rsid w:val="00AB7707"/>
    <w:rsid w:val="00AC0001"/>
    <w:rsid w:val="00AC0512"/>
    <w:rsid w:val="00AC0AA8"/>
    <w:rsid w:val="00AC116C"/>
    <w:rsid w:val="00AC3911"/>
    <w:rsid w:val="00AD010C"/>
    <w:rsid w:val="00AD0954"/>
    <w:rsid w:val="00AD164D"/>
    <w:rsid w:val="00AD287E"/>
    <w:rsid w:val="00AD2CBB"/>
    <w:rsid w:val="00AD2D4C"/>
    <w:rsid w:val="00AD3C2B"/>
    <w:rsid w:val="00AD3FF3"/>
    <w:rsid w:val="00AD4548"/>
    <w:rsid w:val="00AD48F9"/>
    <w:rsid w:val="00AD490B"/>
    <w:rsid w:val="00AD4AB2"/>
    <w:rsid w:val="00AD505F"/>
    <w:rsid w:val="00AD55DD"/>
    <w:rsid w:val="00AD5A8A"/>
    <w:rsid w:val="00AD6550"/>
    <w:rsid w:val="00AD73EE"/>
    <w:rsid w:val="00AE07FA"/>
    <w:rsid w:val="00AE2B82"/>
    <w:rsid w:val="00AE42CB"/>
    <w:rsid w:val="00AE4B40"/>
    <w:rsid w:val="00AE4E37"/>
    <w:rsid w:val="00AF11ED"/>
    <w:rsid w:val="00AF1211"/>
    <w:rsid w:val="00AF13B3"/>
    <w:rsid w:val="00AF14FB"/>
    <w:rsid w:val="00AF22B7"/>
    <w:rsid w:val="00AF22D7"/>
    <w:rsid w:val="00AF3A1D"/>
    <w:rsid w:val="00AF4AE6"/>
    <w:rsid w:val="00AF5796"/>
    <w:rsid w:val="00AF58F4"/>
    <w:rsid w:val="00AF607C"/>
    <w:rsid w:val="00AF65A8"/>
    <w:rsid w:val="00AF6DE4"/>
    <w:rsid w:val="00AF7A35"/>
    <w:rsid w:val="00B01D99"/>
    <w:rsid w:val="00B02E29"/>
    <w:rsid w:val="00B03692"/>
    <w:rsid w:val="00B046C4"/>
    <w:rsid w:val="00B04970"/>
    <w:rsid w:val="00B04FD4"/>
    <w:rsid w:val="00B0524C"/>
    <w:rsid w:val="00B06D6B"/>
    <w:rsid w:val="00B07524"/>
    <w:rsid w:val="00B100FC"/>
    <w:rsid w:val="00B10164"/>
    <w:rsid w:val="00B118CF"/>
    <w:rsid w:val="00B12F23"/>
    <w:rsid w:val="00B13C81"/>
    <w:rsid w:val="00B153C6"/>
    <w:rsid w:val="00B16C5B"/>
    <w:rsid w:val="00B16ECC"/>
    <w:rsid w:val="00B17841"/>
    <w:rsid w:val="00B2075F"/>
    <w:rsid w:val="00B20DBF"/>
    <w:rsid w:val="00B21FD4"/>
    <w:rsid w:val="00B22E2B"/>
    <w:rsid w:val="00B25421"/>
    <w:rsid w:val="00B2645C"/>
    <w:rsid w:val="00B271F9"/>
    <w:rsid w:val="00B27395"/>
    <w:rsid w:val="00B277CE"/>
    <w:rsid w:val="00B27E78"/>
    <w:rsid w:val="00B301B5"/>
    <w:rsid w:val="00B33A17"/>
    <w:rsid w:val="00B3471F"/>
    <w:rsid w:val="00B360C4"/>
    <w:rsid w:val="00B366EE"/>
    <w:rsid w:val="00B36C67"/>
    <w:rsid w:val="00B418C4"/>
    <w:rsid w:val="00B4615E"/>
    <w:rsid w:val="00B46212"/>
    <w:rsid w:val="00B46345"/>
    <w:rsid w:val="00B473FD"/>
    <w:rsid w:val="00B50639"/>
    <w:rsid w:val="00B51B88"/>
    <w:rsid w:val="00B52C8C"/>
    <w:rsid w:val="00B52F4E"/>
    <w:rsid w:val="00B55B87"/>
    <w:rsid w:val="00B56888"/>
    <w:rsid w:val="00B573A2"/>
    <w:rsid w:val="00B57656"/>
    <w:rsid w:val="00B57B6A"/>
    <w:rsid w:val="00B608FA"/>
    <w:rsid w:val="00B61B4C"/>
    <w:rsid w:val="00B626CE"/>
    <w:rsid w:val="00B62E94"/>
    <w:rsid w:val="00B64D6B"/>
    <w:rsid w:val="00B65339"/>
    <w:rsid w:val="00B66FD8"/>
    <w:rsid w:val="00B678F7"/>
    <w:rsid w:val="00B700C0"/>
    <w:rsid w:val="00B70B2E"/>
    <w:rsid w:val="00B71283"/>
    <w:rsid w:val="00B7192D"/>
    <w:rsid w:val="00B725B1"/>
    <w:rsid w:val="00B7454A"/>
    <w:rsid w:val="00B75FC5"/>
    <w:rsid w:val="00B76D52"/>
    <w:rsid w:val="00B77914"/>
    <w:rsid w:val="00B77E74"/>
    <w:rsid w:val="00B813C9"/>
    <w:rsid w:val="00B814F6"/>
    <w:rsid w:val="00B8266F"/>
    <w:rsid w:val="00B8755C"/>
    <w:rsid w:val="00B87984"/>
    <w:rsid w:val="00B903D9"/>
    <w:rsid w:val="00B91DC1"/>
    <w:rsid w:val="00B91E4D"/>
    <w:rsid w:val="00B92513"/>
    <w:rsid w:val="00B927B2"/>
    <w:rsid w:val="00B953B3"/>
    <w:rsid w:val="00B95853"/>
    <w:rsid w:val="00B97DF0"/>
    <w:rsid w:val="00BA0E98"/>
    <w:rsid w:val="00BA0EBA"/>
    <w:rsid w:val="00BA2352"/>
    <w:rsid w:val="00BA2E67"/>
    <w:rsid w:val="00BA35EE"/>
    <w:rsid w:val="00BA3777"/>
    <w:rsid w:val="00BA38CC"/>
    <w:rsid w:val="00BA3C94"/>
    <w:rsid w:val="00BA468D"/>
    <w:rsid w:val="00BA4DF3"/>
    <w:rsid w:val="00BA604C"/>
    <w:rsid w:val="00BA68F5"/>
    <w:rsid w:val="00BB0B7A"/>
    <w:rsid w:val="00BB146E"/>
    <w:rsid w:val="00BB3CFB"/>
    <w:rsid w:val="00BB4064"/>
    <w:rsid w:val="00BB4BB6"/>
    <w:rsid w:val="00BB4F05"/>
    <w:rsid w:val="00BB5D22"/>
    <w:rsid w:val="00BB5D30"/>
    <w:rsid w:val="00BB6C3D"/>
    <w:rsid w:val="00BB7142"/>
    <w:rsid w:val="00BB7387"/>
    <w:rsid w:val="00BC0FCA"/>
    <w:rsid w:val="00BC0FF0"/>
    <w:rsid w:val="00BC17CE"/>
    <w:rsid w:val="00BC1CA1"/>
    <w:rsid w:val="00BC2F18"/>
    <w:rsid w:val="00BC3435"/>
    <w:rsid w:val="00BC3CEE"/>
    <w:rsid w:val="00BC46E8"/>
    <w:rsid w:val="00BC4B39"/>
    <w:rsid w:val="00BC5763"/>
    <w:rsid w:val="00BC6CA8"/>
    <w:rsid w:val="00BD02A0"/>
    <w:rsid w:val="00BD1E6C"/>
    <w:rsid w:val="00BD1ECA"/>
    <w:rsid w:val="00BD2B44"/>
    <w:rsid w:val="00BD35B2"/>
    <w:rsid w:val="00BD3863"/>
    <w:rsid w:val="00BD389D"/>
    <w:rsid w:val="00BD45E7"/>
    <w:rsid w:val="00BD57D2"/>
    <w:rsid w:val="00BD7A00"/>
    <w:rsid w:val="00BE1156"/>
    <w:rsid w:val="00BE1334"/>
    <w:rsid w:val="00BE3186"/>
    <w:rsid w:val="00BE324A"/>
    <w:rsid w:val="00BE4D6E"/>
    <w:rsid w:val="00BE5030"/>
    <w:rsid w:val="00BE5073"/>
    <w:rsid w:val="00BE545D"/>
    <w:rsid w:val="00BE6019"/>
    <w:rsid w:val="00BE6C35"/>
    <w:rsid w:val="00BE79CB"/>
    <w:rsid w:val="00BE7F54"/>
    <w:rsid w:val="00BF1357"/>
    <w:rsid w:val="00BF2CD2"/>
    <w:rsid w:val="00BF34F2"/>
    <w:rsid w:val="00BF6004"/>
    <w:rsid w:val="00BF6045"/>
    <w:rsid w:val="00BF7CC2"/>
    <w:rsid w:val="00C00274"/>
    <w:rsid w:val="00C00518"/>
    <w:rsid w:val="00C00E50"/>
    <w:rsid w:val="00C01DBF"/>
    <w:rsid w:val="00C0358F"/>
    <w:rsid w:val="00C04017"/>
    <w:rsid w:val="00C047F0"/>
    <w:rsid w:val="00C05D5D"/>
    <w:rsid w:val="00C07004"/>
    <w:rsid w:val="00C07DD9"/>
    <w:rsid w:val="00C104ED"/>
    <w:rsid w:val="00C10680"/>
    <w:rsid w:val="00C1118A"/>
    <w:rsid w:val="00C135FE"/>
    <w:rsid w:val="00C13D55"/>
    <w:rsid w:val="00C14B0E"/>
    <w:rsid w:val="00C14C53"/>
    <w:rsid w:val="00C16493"/>
    <w:rsid w:val="00C178E7"/>
    <w:rsid w:val="00C21E09"/>
    <w:rsid w:val="00C227B3"/>
    <w:rsid w:val="00C2294B"/>
    <w:rsid w:val="00C22F7C"/>
    <w:rsid w:val="00C2486E"/>
    <w:rsid w:val="00C24BF4"/>
    <w:rsid w:val="00C2779A"/>
    <w:rsid w:val="00C30373"/>
    <w:rsid w:val="00C3413B"/>
    <w:rsid w:val="00C3530F"/>
    <w:rsid w:val="00C356B7"/>
    <w:rsid w:val="00C358D0"/>
    <w:rsid w:val="00C37005"/>
    <w:rsid w:val="00C3781E"/>
    <w:rsid w:val="00C37CF4"/>
    <w:rsid w:val="00C411D9"/>
    <w:rsid w:val="00C4151A"/>
    <w:rsid w:val="00C4209F"/>
    <w:rsid w:val="00C4414C"/>
    <w:rsid w:val="00C473B2"/>
    <w:rsid w:val="00C5152A"/>
    <w:rsid w:val="00C51845"/>
    <w:rsid w:val="00C5418A"/>
    <w:rsid w:val="00C543B7"/>
    <w:rsid w:val="00C545BA"/>
    <w:rsid w:val="00C54777"/>
    <w:rsid w:val="00C5575E"/>
    <w:rsid w:val="00C56A25"/>
    <w:rsid w:val="00C56B1D"/>
    <w:rsid w:val="00C56CD1"/>
    <w:rsid w:val="00C57DF8"/>
    <w:rsid w:val="00C610EE"/>
    <w:rsid w:val="00C62CF3"/>
    <w:rsid w:val="00C62F4A"/>
    <w:rsid w:val="00C6323C"/>
    <w:rsid w:val="00C6374B"/>
    <w:rsid w:val="00C659B0"/>
    <w:rsid w:val="00C65BBE"/>
    <w:rsid w:val="00C6724D"/>
    <w:rsid w:val="00C707BA"/>
    <w:rsid w:val="00C7104B"/>
    <w:rsid w:val="00C7150F"/>
    <w:rsid w:val="00C72018"/>
    <w:rsid w:val="00C7395F"/>
    <w:rsid w:val="00C74538"/>
    <w:rsid w:val="00C7490E"/>
    <w:rsid w:val="00C74BD1"/>
    <w:rsid w:val="00C75F63"/>
    <w:rsid w:val="00C766A8"/>
    <w:rsid w:val="00C766BC"/>
    <w:rsid w:val="00C76A6B"/>
    <w:rsid w:val="00C76C5C"/>
    <w:rsid w:val="00C76E28"/>
    <w:rsid w:val="00C811BF"/>
    <w:rsid w:val="00C813CE"/>
    <w:rsid w:val="00C81BC6"/>
    <w:rsid w:val="00C81D17"/>
    <w:rsid w:val="00C82A5A"/>
    <w:rsid w:val="00C83384"/>
    <w:rsid w:val="00C83D0B"/>
    <w:rsid w:val="00C847BB"/>
    <w:rsid w:val="00C86B06"/>
    <w:rsid w:val="00C903CA"/>
    <w:rsid w:val="00C914C0"/>
    <w:rsid w:val="00C91763"/>
    <w:rsid w:val="00C92E69"/>
    <w:rsid w:val="00C946F8"/>
    <w:rsid w:val="00C947F9"/>
    <w:rsid w:val="00C965C6"/>
    <w:rsid w:val="00C9685A"/>
    <w:rsid w:val="00C96D24"/>
    <w:rsid w:val="00C96EAA"/>
    <w:rsid w:val="00C96F4D"/>
    <w:rsid w:val="00C97072"/>
    <w:rsid w:val="00C97A8F"/>
    <w:rsid w:val="00C97F2A"/>
    <w:rsid w:val="00C97F40"/>
    <w:rsid w:val="00C97FFA"/>
    <w:rsid w:val="00CA0472"/>
    <w:rsid w:val="00CA1F71"/>
    <w:rsid w:val="00CA456E"/>
    <w:rsid w:val="00CA46D0"/>
    <w:rsid w:val="00CA4FA9"/>
    <w:rsid w:val="00CB142F"/>
    <w:rsid w:val="00CB14CB"/>
    <w:rsid w:val="00CB2724"/>
    <w:rsid w:val="00CB2A54"/>
    <w:rsid w:val="00CB3387"/>
    <w:rsid w:val="00CB3E20"/>
    <w:rsid w:val="00CB3FDA"/>
    <w:rsid w:val="00CB3FEF"/>
    <w:rsid w:val="00CB4671"/>
    <w:rsid w:val="00CB6D75"/>
    <w:rsid w:val="00CB7680"/>
    <w:rsid w:val="00CB7A3C"/>
    <w:rsid w:val="00CB7BA2"/>
    <w:rsid w:val="00CC07FA"/>
    <w:rsid w:val="00CC0E0C"/>
    <w:rsid w:val="00CC32FD"/>
    <w:rsid w:val="00CC333D"/>
    <w:rsid w:val="00CC3658"/>
    <w:rsid w:val="00CC48C2"/>
    <w:rsid w:val="00CD09FE"/>
    <w:rsid w:val="00CD1764"/>
    <w:rsid w:val="00CD1BC6"/>
    <w:rsid w:val="00CD22F6"/>
    <w:rsid w:val="00CD381B"/>
    <w:rsid w:val="00CD3F91"/>
    <w:rsid w:val="00CD53A5"/>
    <w:rsid w:val="00CD5BB7"/>
    <w:rsid w:val="00CD747B"/>
    <w:rsid w:val="00CD78B0"/>
    <w:rsid w:val="00CE030C"/>
    <w:rsid w:val="00CE077E"/>
    <w:rsid w:val="00CE1147"/>
    <w:rsid w:val="00CE13BA"/>
    <w:rsid w:val="00CE1F84"/>
    <w:rsid w:val="00CE2117"/>
    <w:rsid w:val="00CE3AA4"/>
    <w:rsid w:val="00CE4F0B"/>
    <w:rsid w:val="00CE5D97"/>
    <w:rsid w:val="00CE6661"/>
    <w:rsid w:val="00CE69DF"/>
    <w:rsid w:val="00CE6B62"/>
    <w:rsid w:val="00CE6C6C"/>
    <w:rsid w:val="00CE7315"/>
    <w:rsid w:val="00CF34F8"/>
    <w:rsid w:val="00CF377C"/>
    <w:rsid w:val="00CF41D8"/>
    <w:rsid w:val="00CF6D28"/>
    <w:rsid w:val="00CF72AF"/>
    <w:rsid w:val="00CF759E"/>
    <w:rsid w:val="00CF781C"/>
    <w:rsid w:val="00D02D1E"/>
    <w:rsid w:val="00D046EA"/>
    <w:rsid w:val="00D063B4"/>
    <w:rsid w:val="00D070AC"/>
    <w:rsid w:val="00D07D78"/>
    <w:rsid w:val="00D12664"/>
    <w:rsid w:val="00D12E46"/>
    <w:rsid w:val="00D130AE"/>
    <w:rsid w:val="00D1310E"/>
    <w:rsid w:val="00D1318D"/>
    <w:rsid w:val="00D13858"/>
    <w:rsid w:val="00D152E2"/>
    <w:rsid w:val="00D20895"/>
    <w:rsid w:val="00D2199F"/>
    <w:rsid w:val="00D2206A"/>
    <w:rsid w:val="00D228C1"/>
    <w:rsid w:val="00D24C63"/>
    <w:rsid w:val="00D24CEA"/>
    <w:rsid w:val="00D2664C"/>
    <w:rsid w:val="00D30BA2"/>
    <w:rsid w:val="00D30CE2"/>
    <w:rsid w:val="00D31411"/>
    <w:rsid w:val="00D3170C"/>
    <w:rsid w:val="00D32922"/>
    <w:rsid w:val="00D33143"/>
    <w:rsid w:val="00D34819"/>
    <w:rsid w:val="00D3530C"/>
    <w:rsid w:val="00D35F6B"/>
    <w:rsid w:val="00D365FC"/>
    <w:rsid w:val="00D36F99"/>
    <w:rsid w:val="00D41AA0"/>
    <w:rsid w:val="00D41BBF"/>
    <w:rsid w:val="00D44BD4"/>
    <w:rsid w:val="00D4534A"/>
    <w:rsid w:val="00D4597C"/>
    <w:rsid w:val="00D45B6E"/>
    <w:rsid w:val="00D4604D"/>
    <w:rsid w:val="00D46A5F"/>
    <w:rsid w:val="00D46D7B"/>
    <w:rsid w:val="00D47869"/>
    <w:rsid w:val="00D516E3"/>
    <w:rsid w:val="00D52A06"/>
    <w:rsid w:val="00D53DAB"/>
    <w:rsid w:val="00D561D2"/>
    <w:rsid w:val="00D56B3F"/>
    <w:rsid w:val="00D57509"/>
    <w:rsid w:val="00D575B8"/>
    <w:rsid w:val="00D57836"/>
    <w:rsid w:val="00D57C0D"/>
    <w:rsid w:val="00D601A7"/>
    <w:rsid w:val="00D6236C"/>
    <w:rsid w:val="00D6265D"/>
    <w:rsid w:val="00D628D0"/>
    <w:rsid w:val="00D62A7D"/>
    <w:rsid w:val="00D63F95"/>
    <w:rsid w:val="00D642EC"/>
    <w:rsid w:val="00D649FB"/>
    <w:rsid w:val="00D661DE"/>
    <w:rsid w:val="00D662B1"/>
    <w:rsid w:val="00D70374"/>
    <w:rsid w:val="00D70EDA"/>
    <w:rsid w:val="00D72C3C"/>
    <w:rsid w:val="00D754FA"/>
    <w:rsid w:val="00D77385"/>
    <w:rsid w:val="00D8012D"/>
    <w:rsid w:val="00D80948"/>
    <w:rsid w:val="00D80EA0"/>
    <w:rsid w:val="00D82406"/>
    <w:rsid w:val="00D8359A"/>
    <w:rsid w:val="00D85CCB"/>
    <w:rsid w:val="00D86E9A"/>
    <w:rsid w:val="00D9002A"/>
    <w:rsid w:val="00D9017E"/>
    <w:rsid w:val="00D908E1"/>
    <w:rsid w:val="00D90FC5"/>
    <w:rsid w:val="00D911B6"/>
    <w:rsid w:val="00D913F3"/>
    <w:rsid w:val="00D91BC4"/>
    <w:rsid w:val="00D92BF9"/>
    <w:rsid w:val="00D940A4"/>
    <w:rsid w:val="00D96AA3"/>
    <w:rsid w:val="00D97F4C"/>
    <w:rsid w:val="00DA0BDA"/>
    <w:rsid w:val="00DA2DCF"/>
    <w:rsid w:val="00DA2EEF"/>
    <w:rsid w:val="00DA3A8C"/>
    <w:rsid w:val="00DA3AE8"/>
    <w:rsid w:val="00DA3D0A"/>
    <w:rsid w:val="00DA3ECB"/>
    <w:rsid w:val="00DA49AF"/>
    <w:rsid w:val="00DA4D82"/>
    <w:rsid w:val="00DA4E52"/>
    <w:rsid w:val="00DA5FBF"/>
    <w:rsid w:val="00DA7C8B"/>
    <w:rsid w:val="00DB0058"/>
    <w:rsid w:val="00DB03DB"/>
    <w:rsid w:val="00DB0E99"/>
    <w:rsid w:val="00DB1184"/>
    <w:rsid w:val="00DB1B87"/>
    <w:rsid w:val="00DB37E2"/>
    <w:rsid w:val="00DB39D4"/>
    <w:rsid w:val="00DB3EB6"/>
    <w:rsid w:val="00DB51C3"/>
    <w:rsid w:val="00DB5D38"/>
    <w:rsid w:val="00DB5FCD"/>
    <w:rsid w:val="00DB68A5"/>
    <w:rsid w:val="00DB7644"/>
    <w:rsid w:val="00DB7912"/>
    <w:rsid w:val="00DB7A6A"/>
    <w:rsid w:val="00DC24B4"/>
    <w:rsid w:val="00DC2A97"/>
    <w:rsid w:val="00DC3B83"/>
    <w:rsid w:val="00DC4100"/>
    <w:rsid w:val="00DC4D4E"/>
    <w:rsid w:val="00DC4FC2"/>
    <w:rsid w:val="00DC758C"/>
    <w:rsid w:val="00DC7B69"/>
    <w:rsid w:val="00DD01D1"/>
    <w:rsid w:val="00DD054D"/>
    <w:rsid w:val="00DD087D"/>
    <w:rsid w:val="00DD0D2A"/>
    <w:rsid w:val="00DD0F0A"/>
    <w:rsid w:val="00DD172D"/>
    <w:rsid w:val="00DD1A5E"/>
    <w:rsid w:val="00DD425F"/>
    <w:rsid w:val="00DD4FDD"/>
    <w:rsid w:val="00DD58BC"/>
    <w:rsid w:val="00DD5CC8"/>
    <w:rsid w:val="00DD5DD2"/>
    <w:rsid w:val="00DD620E"/>
    <w:rsid w:val="00DE03A5"/>
    <w:rsid w:val="00DE1559"/>
    <w:rsid w:val="00DE1D09"/>
    <w:rsid w:val="00DE1D41"/>
    <w:rsid w:val="00DE354F"/>
    <w:rsid w:val="00DE4D7F"/>
    <w:rsid w:val="00DE5FCE"/>
    <w:rsid w:val="00DE70D3"/>
    <w:rsid w:val="00DF03AF"/>
    <w:rsid w:val="00DF073A"/>
    <w:rsid w:val="00DF0804"/>
    <w:rsid w:val="00DF0D22"/>
    <w:rsid w:val="00DF2497"/>
    <w:rsid w:val="00DF3BFD"/>
    <w:rsid w:val="00DF4185"/>
    <w:rsid w:val="00DF49A7"/>
    <w:rsid w:val="00DF4C36"/>
    <w:rsid w:val="00DF4DD9"/>
    <w:rsid w:val="00DF5676"/>
    <w:rsid w:val="00DF5F02"/>
    <w:rsid w:val="00DF6379"/>
    <w:rsid w:val="00DF658E"/>
    <w:rsid w:val="00DF680F"/>
    <w:rsid w:val="00DF7EE4"/>
    <w:rsid w:val="00DF7FEE"/>
    <w:rsid w:val="00E012CA"/>
    <w:rsid w:val="00E02F3D"/>
    <w:rsid w:val="00E03ACA"/>
    <w:rsid w:val="00E03EAF"/>
    <w:rsid w:val="00E041C1"/>
    <w:rsid w:val="00E044F1"/>
    <w:rsid w:val="00E04C3A"/>
    <w:rsid w:val="00E0673E"/>
    <w:rsid w:val="00E06A32"/>
    <w:rsid w:val="00E07D47"/>
    <w:rsid w:val="00E11A18"/>
    <w:rsid w:val="00E128C5"/>
    <w:rsid w:val="00E134F9"/>
    <w:rsid w:val="00E148AE"/>
    <w:rsid w:val="00E158BB"/>
    <w:rsid w:val="00E15D75"/>
    <w:rsid w:val="00E1645C"/>
    <w:rsid w:val="00E16579"/>
    <w:rsid w:val="00E16E11"/>
    <w:rsid w:val="00E175DA"/>
    <w:rsid w:val="00E17F3E"/>
    <w:rsid w:val="00E2015E"/>
    <w:rsid w:val="00E20D3C"/>
    <w:rsid w:val="00E20F29"/>
    <w:rsid w:val="00E210EA"/>
    <w:rsid w:val="00E21873"/>
    <w:rsid w:val="00E22869"/>
    <w:rsid w:val="00E229C5"/>
    <w:rsid w:val="00E26727"/>
    <w:rsid w:val="00E26DC1"/>
    <w:rsid w:val="00E31B11"/>
    <w:rsid w:val="00E32060"/>
    <w:rsid w:val="00E330B5"/>
    <w:rsid w:val="00E33687"/>
    <w:rsid w:val="00E3548B"/>
    <w:rsid w:val="00E370B7"/>
    <w:rsid w:val="00E37579"/>
    <w:rsid w:val="00E37793"/>
    <w:rsid w:val="00E37B03"/>
    <w:rsid w:val="00E40A68"/>
    <w:rsid w:val="00E43FA7"/>
    <w:rsid w:val="00E461EC"/>
    <w:rsid w:val="00E478F1"/>
    <w:rsid w:val="00E51B00"/>
    <w:rsid w:val="00E548B6"/>
    <w:rsid w:val="00E56921"/>
    <w:rsid w:val="00E56D1D"/>
    <w:rsid w:val="00E56E7D"/>
    <w:rsid w:val="00E6034D"/>
    <w:rsid w:val="00E61142"/>
    <w:rsid w:val="00E61200"/>
    <w:rsid w:val="00E6153D"/>
    <w:rsid w:val="00E61776"/>
    <w:rsid w:val="00E62755"/>
    <w:rsid w:val="00E637A8"/>
    <w:rsid w:val="00E6528C"/>
    <w:rsid w:val="00E65C4C"/>
    <w:rsid w:val="00E672BA"/>
    <w:rsid w:val="00E67706"/>
    <w:rsid w:val="00E7119C"/>
    <w:rsid w:val="00E71377"/>
    <w:rsid w:val="00E720AD"/>
    <w:rsid w:val="00E722CD"/>
    <w:rsid w:val="00E752DE"/>
    <w:rsid w:val="00E75567"/>
    <w:rsid w:val="00E75954"/>
    <w:rsid w:val="00E76FB1"/>
    <w:rsid w:val="00E770FA"/>
    <w:rsid w:val="00E772F6"/>
    <w:rsid w:val="00E77622"/>
    <w:rsid w:val="00E84642"/>
    <w:rsid w:val="00E8504E"/>
    <w:rsid w:val="00E8510C"/>
    <w:rsid w:val="00E8532E"/>
    <w:rsid w:val="00E85655"/>
    <w:rsid w:val="00E85ABA"/>
    <w:rsid w:val="00E863E0"/>
    <w:rsid w:val="00E933EA"/>
    <w:rsid w:val="00E93650"/>
    <w:rsid w:val="00E953A0"/>
    <w:rsid w:val="00E96A98"/>
    <w:rsid w:val="00E96E59"/>
    <w:rsid w:val="00E973EA"/>
    <w:rsid w:val="00E9771F"/>
    <w:rsid w:val="00EA13C4"/>
    <w:rsid w:val="00EA28CA"/>
    <w:rsid w:val="00EA3204"/>
    <w:rsid w:val="00EA36A1"/>
    <w:rsid w:val="00EA4245"/>
    <w:rsid w:val="00EA68D8"/>
    <w:rsid w:val="00EA6934"/>
    <w:rsid w:val="00EA69DA"/>
    <w:rsid w:val="00EA75E8"/>
    <w:rsid w:val="00EB1406"/>
    <w:rsid w:val="00EB1DB8"/>
    <w:rsid w:val="00EB3FD2"/>
    <w:rsid w:val="00EB4672"/>
    <w:rsid w:val="00EB4B59"/>
    <w:rsid w:val="00EB4E0B"/>
    <w:rsid w:val="00EB510B"/>
    <w:rsid w:val="00EB61E0"/>
    <w:rsid w:val="00EB6636"/>
    <w:rsid w:val="00EB726F"/>
    <w:rsid w:val="00EB73EF"/>
    <w:rsid w:val="00EC00B5"/>
    <w:rsid w:val="00EC0241"/>
    <w:rsid w:val="00EC1C2A"/>
    <w:rsid w:val="00EC33B2"/>
    <w:rsid w:val="00EC53F9"/>
    <w:rsid w:val="00EC5A57"/>
    <w:rsid w:val="00ED07ED"/>
    <w:rsid w:val="00ED24CB"/>
    <w:rsid w:val="00ED3472"/>
    <w:rsid w:val="00ED3538"/>
    <w:rsid w:val="00ED355A"/>
    <w:rsid w:val="00ED3608"/>
    <w:rsid w:val="00ED36A9"/>
    <w:rsid w:val="00ED418D"/>
    <w:rsid w:val="00ED501B"/>
    <w:rsid w:val="00ED5409"/>
    <w:rsid w:val="00ED56DD"/>
    <w:rsid w:val="00ED5941"/>
    <w:rsid w:val="00ED6D42"/>
    <w:rsid w:val="00EE0963"/>
    <w:rsid w:val="00EE234B"/>
    <w:rsid w:val="00EE2DE2"/>
    <w:rsid w:val="00EE2E8E"/>
    <w:rsid w:val="00EE374D"/>
    <w:rsid w:val="00EE39F4"/>
    <w:rsid w:val="00EE42AA"/>
    <w:rsid w:val="00EE4AF2"/>
    <w:rsid w:val="00EE7182"/>
    <w:rsid w:val="00EE79FE"/>
    <w:rsid w:val="00EF0548"/>
    <w:rsid w:val="00EF1FDF"/>
    <w:rsid w:val="00EF27F9"/>
    <w:rsid w:val="00EF337A"/>
    <w:rsid w:val="00EF3789"/>
    <w:rsid w:val="00EF4235"/>
    <w:rsid w:val="00EF4622"/>
    <w:rsid w:val="00EF5421"/>
    <w:rsid w:val="00EF5EF5"/>
    <w:rsid w:val="00EF6C9D"/>
    <w:rsid w:val="00EF77E8"/>
    <w:rsid w:val="00F0188A"/>
    <w:rsid w:val="00F02D6E"/>
    <w:rsid w:val="00F02EE4"/>
    <w:rsid w:val="00F03606"/>
    <w:rsid w:val="00F03AC7"/>
    <w:rsid w:val="00F04FF6"/>
    <w:rsid w:val="00F0720A"/>
    <w:rsid w:val="00F074E6"/>
    <w:rsid w:val="00F124F8"/>
    <w:rsid w:val="00F12A02"/>
    <w:rsid w:val="00F1510F"/>
    <w:rsid w:val="00F15811"/>
    <w:rsid w:val="00F16273"/>
    <w:rsid w:val="00F1690C"/>
    <w:rsid w:val="00F171EE"/>
    <w:rsid w:val="00F203DF"/>
    <w:rsid w:val="00F20ED9"/>
    <w:rsid w:val="00F21102"/>
    <w:rsid w:val="00F2136E"/>
    <w:rsid w:val="00F2151A"/>
    <w:rsid w:val="00F2234F"/>
    <w:rsid w:val="00F22AE3"/>
    <w:rsid w:val="00F22DC7"/>
    <w:rsid w:val="00F237B4"/>
    <w:rsid w:val="00F30311"/>
    <w:rsid w:val="00F33312"/>
    <w:rsid w:val="00F33F18"/>
    <w:rsid w:val="00F34797"/>
    <w:rsid w:val="00F3547D"/>
    <w:rsid w:val="00F375F3"/>
    <w:rsid w:val="00F37AB0"/>
    <w:rsid w:val="00F4289B"/>
    <w:rsid w:val="00F42A00"/>
    <w:rsid w:val="00F42F87"/>
    <w:rsid w:val="00F43DE7"/>
    <w:rsid w:val="00F44D1D"/>
    <w:rsid w:val="00F4574C"/>
    <w:rsid w:val="00F464A1"/>
    <w:rsid w:val="00F476E3"/>
    <w:rsid w:val="00F4771C"/>
    <w:rsid w:val="00F47767"/>
    <w:rsid w:val="00F5091A"/>
    <w:rsid w:val="00F50F19"/>
    <w:rsid w:val="00F52773"/>
    <w:rsid w:val="00F536BF"/>
    <w:rsid w:val="00F5459D"/>
    <w:rsid w:val="00F54C38"/>
    <w:rsid w:val="00F56392"/>
    <w:rsid w:val="00F5682A"/>
    <w:rsid w:val="00F57834"/>
    <w:rsid w:val="00F579FA"/>
    <w:rsid w:val="00F6073F"/>
    <w:rsid w:val="00F619BA"/>
    <w:rsid w:val="00F62331"/>
    <w:rsid w:val="00F63F03"/>
    <w:rsid w:val="00F648E9"/>
    <w:rsid w:val="00F6501C"/>
    <w:rsid w:val="00F6525A"/>
    <w:rsid w:val="00F66101"/>
    <w:rsid w:val="00F67083"/>
    <w:rsid w:val="00F70182"/>
    <w:rsid w:val="00F71385"/>
    <w:rsid w:val="00F719E1"/>
    <w:rsid w:val="00F71BB1"/>
    <w:rsid w:val="00F72921"/>
    <w:rsid w:val="00F73697"/>
    <w:rsid w:val="00F73844"/>
    <w:rsid w:val="00F73B1B"/>
    <w:rsid w:val="00F7428D"/>
    <w:rsid w:val="00F74606"/>
    <w:rsid w:val="00F757D8"/>
    <w:rsid w:val="00F76051"/>
    <w:rsid w:val="00F77393"/>
    <w:rsid w:val="00F77AB9"/>
    <w:rsid w:val="00F81978"/>
    <w:rsid w:val="00F83326"/>
    <w:rsid w:val="00F84557"/>
    <w:rsid w:val="00F87AE6"/>
    <w:rsid w:val="00F87BFA"/>
    <w:rsid w:val="00F87D41"/>
    <w:rsid w:val="00F87ED3"/>
    <w:rsid w:val="00F90881"/>
    <w:rsid w:val="00F90B93"/>
    <w:rsid w:val="00F90EA1"/>
    <w:rsid w:val="00F918E4"/>
    <w:rsid w:val="00F91B9F"/>
    <w:rsid w:val="00F92E4F"/>
    <w:rsid w:val="00F93AD8"/>
    <w:rsid w:val="00F94418"/>
    <w:rsid w:val="00F94ACF"/>
    <w:rsid w:val="00F9563E"/>
    <w:rsid w:val="00F95D00"/>
    <w:rsid w:val="00F96070"/>
    <w:rsid w:val="00FA0493"/>
    <w:rsid w:val="00FA0CD2"/>
    <w:rsid w:val="00FA17D6"/>
    <w:rsid w:val="00FA2611"/>
    <w:rsid w:val="00FA2DC3"/>
    <w:rsid w:val="00FA497F"/>
    <w:rsid w:val="00FA6D82"/>
    <w:rsid w:val="00FA706E"/>
    <w:rsid w:val="00FA7749"/>
    <w:rsid w:val="00FB10B1"/>
    <w:rsid w:val="00FB151C"/>
    <w:rsid w:val="00FB165A"/>
    <w:rsid w:val="00FB2589"/>
    <w:rsid w:val="00FB3FB3"/>
    <w:rsid w:val="00FB5551"/>
    <w:rsid w:val="00FB56E8"/>
    <w:rsid w:val="00FB5E7B"/>
    <w:rsid w:val="00FB5EFB"/>
    <w:rsid w:val="00FB60B1"/>
    <w:rsid w:val="00FB6143"/>
    <w:rsid w:val="00FB68A6"/>
    <w:rsid w:val="00FB6C99"/>
    <w:rsid w:val="00FB6F32"/>
    <w:rsid w:val="00FC22CA"/>
    <w:rsid w:val="00FC3769"/>
    <w:rsid w:val="00FC4166"/>
    <w:rsid w:val="00FC5103"/>
    <w:rsid w:val="00FD1284"/>
    <w:rsid w:val="00FD2908"/>
    <w:rsid w:val="00FD3B1B"/>
    <w:rsid w:val="00FD3F19"/>
    <w:rsid w:val="00FD47B9"/>
    <w:rsid w:val="00FD4F2B"/>
    <w:rsid w:val="00FD5E32"/>
    <w:rsid w:val="00FD62C7"/>
    <w:rsid w:val="00FD674A"/>
    <w:rsid w:val="00FD72F3"/>
    <w:rsid w:val="00FD7687"/>
    <w:rsid w:val="00FD7CF5"/>
    <w:rsid w:val="00FD7E51"/>
    <w:rsid w:val="00FE003A"/>
    <w:rsid w:val="00FE2044"/>
    <w:rsid w:val="00FE25DA"/>
    <w:rsid w:val="00FE42DE"/>
    <w:rsid w:val="00FE48F2"/>
    <w:rsid w:val="00FE54B1"/>
    <w:rsid w:val="00FE623B"/>
    <w:rsid w:val="00FE64C4"/>
    <w:rsid w:val="00FF0E1B"/>
    <w:rsid w:val="00FF1D2A"/>
    <w:rsid w:val="00FF209F"/>
    <w:rsid w:val="00FF31CA"/>
    <w:rsid w:val="00FF50A7"/>
    <w:rsid w:val="00FF55C2"/>
    <w:rsid w:val="00FF5A99"/>
    <w:rsid w:val="00FF65CC"/>
    <w:rsid w:val="00FF6CEC"/>
    <w:rsid w:val="00FF77BB"/>
    <w:rsid w:val="00FF7883"/>
    <w:rsid w:val="04C602E0"/>
    <w:rsid w:val="04C95EF8"/>
    <w:rsid w:val="0580501B"/>
    <w:rsid w:val="06606BFB"/>
    <w:rsid w:val="06EB0BBA"/>
    <w:rsid w:val="095E2B2E"/>
    <w:rsid w:val="0A291491"/>
    <w:rsid w:val="0A533449"/>
    <w:rsid w:val="0B8F6F3C"/>
    <w:rsid w:val="0C2B6903"/>
    <w:rsid w:val="0C4C3EA9"/>
    <w:rsid w:val="0CA75583"/>
    <w:rsid w:val="0FB5289B"/>
    <w:rsid w:val="10945E1E"/>
    <w:rsid w:val="134E1CA1"/>
    <w:rsid w:val="1429630D"/>
    <w:rsid w:val="16260F52"/>
    <w:rsid w:val="168E7F80"/>
    <w:rsid w:val="17DF29CC"/>
    <w:rsid w:val="1AE7257A"/>
    <w:rsid w:val="1B1D625E"/>
    <w:rsid w:val="1BC93A3F"/>
    <w:rsid w:val="1C7D5B40"/>
    <w:rsid w:val="1D1D6D8A"/>
    <w:rsid w:val="1DDA19F5"/>
    <w:rsid w:val="1E043956"/>
    <w:rsid w:val="1E2118ED"/>
    <w:rsid w:val="20AE1EB2"/>
    <w:rsid w:val="20C906C4"/>
    <w:rsid w:val="21731A80"/>
    <w:rsid w:val="21E37BFB"/>
    <w:rsid w:val="221B00BB"/>
    <w:rsid w:val="22C4328E"/>
    <w:rsid w:val="24F2482F"/>
    <w:rsid w:val="257F4890"/>
    <w:rsid w:val="26325A66"/>
    <w:rsid w:val="266D5C3A"/>
    <w:rsid w:val="26F17200"/>
    <w:rsid w:val="27533A41"/>
    <w:rsid w:val="286D7F59"/>
    <w:rsid w:val="28CD79C1"/>
    <w:rsid w:val="2A4B359A"/>
    <w:rsid w:val="2B844FB6"/>
    <w:rsid w:val="2C482B06"/>
    <w:rsid w:val="2E00469C"/>
    <w:rsid w:val="2E141EF5"/>
    <w:rsid w:val="2ED758E9"/>
    <w:rsid w:val="2F3A210B"/>
    <w:rsid w:val="30004E76"/>
    <w:rsid w:val="327B34E1"/>
    <w:rsid w:val="32FE389F"/>
    <w:rsid w:val="36613DFF"/>
    <w:rsid w:val="38E314C0"/>
    <w:rsid w:val="3B5129DA"/>
    <w:rsid w:val="3E7474E8"/>
    <w:rsid w:val="3EFF570A"/>
    <w:rsid w:val="3F2E3163"/>
    <w:rsid w:val="3F4B0823"/>
    <w:rsid w:val="3F4C3465"/>
    <w:rsid w:val="40A07443"/>
    <w:rsid w:val="4393419B"/>
    <w:rsid w:val="44E346A3"/>
    <w:rsid w:val="47156F41"/>
    <w:rsid w:val="47CE25B1"/>
    <w:rsid w:val="47EE6597"/>
    <w:rsid w:val="480F2E5A"/>
    <w:rsid w:val="48653621"/>
    <w:rsid w:val="49746A82"/>
    <w:rsid w:val="4AEA028D"/>
    <w:rsid w:val="4AF60EA8"/>
    <w:rsid w:val="4B751DCD"/>
    <w:rsid w:val="4BBE7F47"/>
    <w:rsid w:val="4C325F10"/>
    <w:rsid w:val="4CD456D3"/>
    <w:rsid w:val="4CD7224C"/>
    <w:rsid w:val="4DFA480C"/>
    <w:rsid w:val="506F328F"/>
    <w:rsid w:val="53C95575"/>
    <w:rsid w:val="54AC3115"/>
    <w:rsid w:val="574C52C4"/>
    <w:rsid w:val="595E0345"/>
    <w:rsid w:val="5A605D0F"/>
    <w:rsid w:val="5A6951F3"/>
    <w:rsid w:val="5B193B3D"/>
    <w:rsid w:val="5B4D5C61"/>
    <w:rsid w:val="5BF9351C"/>
    <w:rsid w:val="5D303DA6"/>
    <w:rsid w:val="5DB10EB8"/>
    <w:rsid w:val="5DD9443E"/>
    <w:rsid w:val="5E015734"/>
    <w:rsid w:val="5E296C3F"/>
    <w:rsid w:val="5F0446BA"/>
    <w:rsid w:val="5F155949"/>
    <w:rsid w:val="5F84662B"/>
    <w:rsid w:val="603B318E"/>
    <w:rsid w:val="6240555E"/>
    <w:rsid w:val="64251991"/>
    <w:rsid w:val="64E149E6"/>
    <w:rsid w:val="655C6080"/>
    <w:rsid w:val="65DE4CE7"/>
    <w:rsid w:val="675F283D"/>
    <w:rsid w:val="677113CE"/>
    <w:rsid w:val="67E50A2A"/>
    <w:rsid w:val="69DA7573"/>
    <w:rsid w:val="6E3D4F0E"/>
    <w:rsid w:val="6E5B4E94"/>
    <w:rsid w:val="70E6721B"/>
    <w:rsid w:val="7275252F"/>
    <w:rsid w:val="73B25F73"/>
    <w:rsid w:val="74DA13C4"/>
    <w:rsid w:val="74DF70F9"/>
    <w:rsid w:val="75FF7E9D"/>
    <w:rsid w:val="773F135E"/>
    <w:rsid w:val="798249C5"/>
    <w:rsid w:val="79DE7E7D"/>
    <w:rsid w:val="7A78261A"/>
    <w:rsid w:val="7B7F1133"/>
    <w:rsid w:val="7E6C0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nhideWhenUsed="0"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0"/>
    <w:qFormat/>
    <w:uiPriority w:val="9"/>
    <w:pPr>
      <w:numPr>
        <w:ilvl w:val="0"/>
        <w:numId w:val="1"/>
      </w:numPr>
      <w:snapToGrid w:val="0"/>
      <w:spacing w:line="400" w:lineRule="exact"/>
      <w:outlineLvl w:val="0"/>
    </w:pPr>
    <w:rPr>
      <w:rFonts w:ascii="Times New Roman" w:hAnsi="Times New Roman" w:eastAsia="宋体" w:cs="Times New Roman"/>
      <w:b/>
      <w:bCs/>
      <w:color w:val="000000"/>
      <w:szCs w:val="21"/>
    </w:rPr>
  </w:style>
  <w:style w:type="paragraph" w:styleId="3">
    <w:name w:val="heading 2"/>
    <w:basedOn w:val="1"/>
    <w:next w:val="1"/>
    <w:link w:val="41"/>
    <w:unhideWhenUsed/>
    <w:qFormat/>
    <w:uiPriority w:val="9"/>
    <w:pPr>
      <w:numPr>
        <w:ilvl w:val="1"/>
        <w:numId w:val="1"/>
      </w:numPr>
      <w:snapToGrid w:val="0"/>
      <w:spacing w:line="400" w:lineRule="exact"/>
      <w:outlineLvl w:val="1"/>
    </w:pPr>
    <w:rPr>
      <w:rFonts w:ascii="Times New Roman" w:hAnsi="Times New Roman" w:eastAsia="宋体" w:cs="Times New Roman"/>
      <w:b/>
      <w:bCs/>
      <w:color w:val="000000"/>
      <w:szCs w:val="21"/>
    </w:rPr>
  </w:style>
  <w:style w:type="paragraph" w:styleId="4">
    <w:name w:val="heading 3"/>
    <w:basedOn w:val="1"/>
    <w:next w:val="1"/>
    <w:link w:val="78"/>
    <w:semiHidden/>
    <w:unhideWhenUsed/>
    <w:qFormat/>
    <w:uiPriority w:val="9"/>
    <w:pPr>
      <w:keepNext/>
      <w:keepLines/>
      <w:spacing w:before="260" w:after="260" w:line="416" w:lineRule="auto"/>
      <w:outlineLvl w:val="2"/>
    </w:pPr>
    <w:rPr>
      <w:b/>
      <w:bCs/>
      <w:sz w:val="32"/>
      <w:szCs w:val="32"/>
    </w:rPr>
  </w:style>
  <w:style w:type="paragraph" w:styleId="5">
    <w:name w:val="heading 5"/>
    <w:basedOn w:val="1"/>
    <w:next w:val="1"/>
    <w:link w:val="46"/>
    <w:semiHidden/>
    <w:unhideWhenUsed/>
    <w:qFormat/>
    <w:uiPriority w:val="9"/>
    <w:pPr>
      <w:keepNext/>
      <w:keepLines/>
      <w:spacing w:before="280" w:after="290" w:line="376" w:lineRule="auto"/>
      <w:outlineLvl w:val="4"/>
    </w:pPr>
    <w:rPr>
      <w:b/>
      <w:bCs/>
      <w:sz w:val="28"/>
      <w:szCs w:val="28"/>
    </w:rPr>
  </w:style>
  <w:style w:type="character" w:default="1" w:styleId="29">
    <w:name w:val="Default Paragraph Font"/>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ind w:left="2520" w:leftChars="1200"/>
    </w:p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annotation text"/>
    <w:basedOn w:val="1"/>
    <w:link w:val="50"/>
    <w:unhideWhenUsed/>
    <w:qFormat/>
    <w:uiPriority w:val="99"/>
    <w:pPr>
      <w:jc w:val="left"/>
    </w:pPr>
  </w:style>
  <w:style w:type="paragraph" w:styleId="9">
    <w:name w:val="Body Text"/>
    <w:basedOn w:val="1"/>
    <w:link w:val="80"/>
    <w:semiHidden/>
    <w:unhideWhenUsed/>
    <w:qFormat/>
    <w:uiPriority w:val="99"/>
    <w:pPr>
      <w:spacing w:after="120"/>
    </w:pPr>
  </w:style>
  <w:style w:type="paragraph" w:styleId="10">
    <w:name w:val="Body Text Indent"/>
    <w:basedOn w:val="1"/>
    <w:link w:val="42"/>
    <w:semiHidden/>
    <w:unhideWhenUsed/>
    <w:qFormat/>
    <w:uiPriority w:val="99"/>
    <w:pPr>
      <w:spacing w:after="120"/>
      <w:ind w:left="420" w:leftChars="200"/>
    </w:pPr>
  </w:style>
  <w:style w:type="paragraph" w:styleId="11">
    <w:name w:val="toc 5"/>
    <w:basedOn w:val="1"/>
    <w:next w:val="1"/>
    <w:autoRedefine/>
    <w:unhideWhenUsed/>
    <w:qFormat/>
    <w:uiPriority w:val="39"/>
    <w:pPr>
      <w:ind w:left="1680" w:leftChars="800"/>
    </w:pPr>
  </w:style>
  <w:style w:type="paragraph" w:styleId="12">
    <w:name w:val="toc 3"/>
    <w:basedOn w:val="1"/>
    <w:next w:val="1"/>
    <w:autoRedefine/>
    <w:unhideWhenUsed/>
    <w:qFormat/>
    <w:uiPriority w:val="39"/>
    <w:pPr>
      <w:widowControl/>
      <w:spacing w:after="100" w:line="259" w:lineRule="auto"/>
      <w:ind w:left="440"/>
      <w:jc w:val="left"/>
    </w:pPr>
    <w:rPr>
      <w:rFonts w:cs="Times New Roman"/>
      <w:kern w:val="0"/>
      <w:sz w:val="22"/>
    </w:rPr>
  </w:style>
  <w:style w:type="paragraph" w:styleId="13">
    <w:name w:val="toc 8"/>
    <w:basedOn w:val="1"/>
    <w:next w:val="1"/>
    <w:autoRedefine/>
    <w:unhideWhenUsed/>
    <w:qFormat/>
    <w:uiPriority w:val="39"/>
    <w:pPr>
      <w:ind w:left="2940" w:leftChars="1400"/>
    </w:pPr>
  </w:style>
  <w:style w:type="paragraph" w:styleId="14">
    <w:name w:val="Date"/>
    <w:basedOn w:val="1"/>
    <w:next w:val="1"/>
    <w:link w:val="45"/>
    <w:semiHidden/>
    <w:unhideWhenUsed/>
    <w:qFormat/>
    <w:uiPriority w:val="99"/>
    <w:pPr>
      <w:ind w:left="100" w:leftChars="2500"/>
    </w:pPr>
  </w:style>
  <w:style w:type="paragraph" w:styleId="15">
    <w:name w:val="Balloon Text"/>
    <w:basedOn w:val="1"/>
    <w:link w:val="54"/>
    <w:semiHidden/>
    <w:unhideWhenUsed/>
    <w:qFormat/>
    <w:uiPriority w:val="99"/>
    <w:rPr>
      <w:rFonts w:ascii="宋体" w:eastAsia="宋体"/>
      <w:sz w:val="18"/>
      <w:szCs w:val="18"/>
    </w:rPr>
  </w:style>
  <w:style w:type="paragraph" w:styleId="16">
    <w:name w:val="footer"/>
    <w:basedOn w:val="1"/>
    <w:link w:val="39"/>
    <w:unhideWhenUsed/>
    <w:qFormat/>
    <w:uiPriority w:val="99"/>
    <w:pPr>
      <w:tabs>
        <w:tab w:val="center" w:pos="4153"/>
        <w:tab w:val="right" w:pos="8306"/>
      </w:tabs>
      <w:snapToGrid w:val="0"/>
      <w:jc w:val="left"/>
    </w:pPr>
    <w:rPr>
      <w:sz w:val="18"/>
      <w:szCs w:val="18"/>
    </w:rPr>
  </w:style>
  <w:style w:type="paragraph" w:styleId="17">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widowControl/>
      <w:tabs>
        <w:tab w:val="left" w:pos="440"/>
        <w:tab w:val="right" w:leader="dot" w:pos="8296"/>
      </w:tabs>
      <w:spacing w:after="100" w:line="259" w:lineRule="auto"/>
      <w:jc w:val="left"/>
    </w:pPr>
    <w:rPr>
      <w:rFonts w:ascii="Times New Roman" w:hAnsi="Times New Roman" w:eastAsia="宋体" w:cs="Times New Roman"/>
      <w:kern w:val="44"/>
      <w:sz w:val="24"/>
      <w:szCs w:val="24"/>
    </w:rPr>
  </w:style>
  <w:style w:type="paragraph" w:styleId="19">
    <w:name w:val="toc 4"/>
    <w:basedOn w:val="1"/>
    <w:next w:val="1"/>
    <w:autoRedefine/>
    <w:unhideWhenUsed/>
    <w:qFormat/>
    <w:uiPriority w:val="39"/>
    <w:pPr>
      <w:ind w:left="1260" w:leftChars="600"/>
    </w:pPr>
  </w:style>
  <w:style w:type="paragraph" w:styleId="20">
    <w:name w:val="footnote text"/>
    <w:basedOn w:val="1"/>
    <w:link w:val="34"/>
    <w:qFormat/>
    <w:uiPriority w:val="0"/>
    <w:pPr>
      <w:snapToGrid w:val="0"/>
      <w:spacing w:line="300" w:lineRule="auto"/>
      <w:ind w:firstLine="480" w:firstLineChars="200"/>
      <w:jc w:val="left"/>
    </w:pPr>
    <w:rPr>
      <w:rFonts w:ascii="Times New Roman" w:hAnsi="Times New Roman" w:eastAsia="宋体" w:cs="Times New Roman"/>
      <w:sz w:val="18"/>
      <w:szCs w:val="20"/>
    </w:rPr>
  </w:style>
  <w:style w:type="paragraph" w:styleId="21">
    <w:name w:val="toc 6"/>
    <w:basedOn w:val="1"/>
    <w:next w:val="1"/>
    <w:autoRedefine/>
    <w:unhideWhenUsed/>
    <w:qFormat/>
    <w:uiPriority w:val="39"/>
    <w:pPr>
      <w:ind w:left="2100" w:leftChars="1000"/>
    </w:pPr>
  </w:style>
  <w:style w:type="paragraph" w:styleId="22">
    <w:name w:val="toc 2"/>
    <w:basedOn w:val="1"/>
    <w:next w:val="1"/>
    <w:autoRedefine/>
    <w:unhideWhenUsed/>
    <w:qFormat/>
    <w:uiPriority w:val="39"/>
    <w:pPr>
      <w:widowControl/>
      <w:tabs>
        <w:tab w:val="right" w:leader="dot" w:pos="8296"/>
      </w:tabs>
      <w:spacing w:after="100" w:line="259" w:lineRule="auto"/>
      <w:ind w:left="220"/>
      <w:jc w:val="left"/>
    </w:pPr>
    <w:rPr>
      <w:rFonts w:cs="Times New Roman"/>
      <w:kern w:val="0"/>
      <w:sz w:val="22"/>
    </w:rPr>
  </w:style>
  <w:style w:type="paragraph" w:styleId="23">
    <w:name w:val="toc 9"/>
    <w:basedOn w:val="1"/>
    <w:next w:val="1"/>
    <w:autoRedefine/>
    <w:unhideWhenUsed/>
    <w:qFormat/>
    <w:uiPriority w:val="39"/>
    <w:pPr>
      <w:ind w:left="3360" w:leftChars="1600"/>
    </w:pPr>
  </w:style>
  <w:style w:type="paragraph" w:styleId="2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5">
    <w:name w:val="annotation subject"/>
    <w:basedOn w:val="8"/>
    <w:next w:val="8"/>
    <w:link w:val="51"/>
    <w:semiHidden/>
    <w:unhideWhenUsed/>
    <w:qFormat/>
    <w:uiPriority w:val="99"/>
    <w:rPr>
      <w:b/>
      <w:bCs/>
    </w:rPr>
  </w:style>
  <w:style w:type="paragraph" w:styleId="26">
    <w:name w:val="Body Text First Indent 2"/>
    <w:basedOn w:val="10"/>
    <w:link w:val="43"/>
    <w:qFormat/>
    <w:uiPriority w:val="99"/>
    <w:pPr>
      <w:ind w:left="0" w:leftChars="0" w:firstLine="40"/>
    </w:pPr>
    <w:rPr>
      <w:rFonts w:ascii="仿宋_GB2312" w:hAnsi="仿宋_GB2312" w:eastAsia="仿宋" w:cs="仿宋_GB2312"/>
      <w:sz w:val="32"/>
      <w:szCs w:val="32"/>
    </w:rPr>
  </w:style>
  <w:style w:type="table" w:styleId="28">
    <w:name w:val="Table Grid"/>
    <w:basedOn w:val="27"/>
    <w:unhideWhenUsed/>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semiHidden/>
    <w:unhideWhenUsed/>
    <w:qFormat/>
    <w:uiPriority w:val="99"/>
  </w:style>
  <w:style w:type="character" w:styleId="31">
    <w:name w:val="FollowedHyperlink"/>
    <w:basedOn w:val="29"/>
    <w:semiHidden/>
    <w:unhideWhenUsed/>
    <w:qFormat/>
    <w:uiPriority w:val="99"/>
    <w:rPr>
      <w:color w:val="954F72" w:themeColor="followedHyperlink"/>
      <w:u w:val="single"/>
      <w14:textFill>
        <w14:solidFill>
          <w14:schemeClr w14:val="folHlink"/>
        </w14:solidFill>
      </w14:textFill>
    </w:rPr>
  </w:style>
  <w:style w:type="character" w:styleId="32">
    <w:name w:val="Hyperlink"/>
    <w:basedOn w:val="29"/>
    <w:unhideWhenUsed/>
    <w:qFormat/>
    <w:uiPriority w:val="99"/>
    <w:rPr>
      <w:color w:val="0563C1" w:themeColor="hyperlink"/>
      <w:u w:val="single"/>
      <w14:textFill>
        <w14:solidFill>
          <w14:schemeClr w14:val="hlink"/>
        </w14:solidFill>
      </w14:textFill>
    </w:rPr>
  </w:style>
  <w:style w:type="character" w:styleId="33">
    <w:name w:val="annotation reference"/>
    <w:basedOn w:val="29"/>
    <w:semiHidden/>
    <w:unhideWhenUsed/>
    <w:qFormat/>
    <w:uiPriority w:val="99"/>
    <w:rPr>
      <w:sz w:val="21"/>
      <w:szCs w:val="21"/>
    </w:rPr>
  </w:style>
  <w:style w:type="character" w:customStyle="1" w:styleId="34">
    <w:name w:val="脚注文本 字符"/>
    <w:basedOn w:val="29"/>
    <w:link w:val="20"/>
    <w:qFormat/>
    <w:uiPriority w:val="0"/>
    <w:rPr>
      <w:rFonts w:ascii="Times New Roman" w:hAnsi="Times New Roman" w:eastAsia="宋体" w:cs="Times New Roman"/>
      <w:sz w:val="18"/>
      <w:szCs w:val="20"/>
    </w:rPr>
  </w:style>
  <w:style w:type="paragraph" w:styleId="35">
    <w:name w:val="List Paragraph"/>
    <w:basedOn w:val="1"/>
    <w:qFormat/>
    <w:uiPriority w:val="34"/>
    <w:pPr>
      <w:ind w:firstLine="420" w:firstLineChars="200"/>
    </w:pPr>
  </w:style>
  <w:style w:type="table" w:customStyle="1" w:styleId="36">
    <w:name w:val="网格型1"/>
    <w:basedOn w:val="27"/>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
    <w:name w:val="网格型2"/>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customStyle="1" w:styleId="38">
    <w:name w:val="页眉 字符"/>
    <w:basedOn w:val="29"/>
    <w:link w:val="17"/>
    <w:qFormat/>
    <w:uiPriority w:val="99"/>
    <w:rPr>
      <w:sz w:val="18"/>
      <w:szCs w:val="18"/>
    </w:rPr>
  </w:style>
  <w:style w:type="character" w:customStyle="1" w:styleId="39">
    <w:name w:val="页脚 字符"/>
    <w:basedOn w:val="29"/>
    <w:link w:val="16"/>
    <w:qFormat/>
    <w:uiPriority w:val="99"/>
    <w:rPr>
      <w:sz w:val="18"/>
      <w:szCs w:val="18"/>
    </w:rPr>
  </w:style>
  <w:style w:type="character" w:customStyle="1" w:styleId="40">
    <w:name w:val="标题 1 字符"/>
    <w:basedOn w:val="29"/>
    <w:link w:val="2"/>
    <w:qFormat/>
    <w:uiPriority w:val="9"/>
    <w:rPr>
      <w:rFonts w:ascii="Times New Roman" w:hAnsi="Times New Roman" w:eastAsia="宋体" w:cs="Times New Roman"/>
      <w:b/>
      <w:bCs/>
      <w:color w:val="000000"/>
      <w:szCs w:val="21"/>
    </w:rPr>
  </w:style>
  <w:style w:type="character" w:customStyle="1" w:styleId="41">
    <w:name w:val="标题 2 字符"/>
    <w:basedOn w:val="29"/>
    <w:link w:val="3"/>
    <w:qFormat/>
    <w:uiPriority w:val="9"/>
    <w:rPr>
      <w:rFonts w:ascii="Times New Roman" w:hAnsi="Times New Roman" w:eastAsia="宋体" w:cs="Times New Roman"/>
      <w:b/>
      <w:bCs/>
      <w:color w:val="000000"/>
      <w:szCs w:val="21"/>
    </w:rPr>
  </w:style>
  <w:style w:type="character" w:customStyle="1" w:styleId="42">
    <w:name w:val="正文文本缩进 字符"/>
    <w:basedOn w:val="29"/>
    <w:link w:val="10"/>
    <w:semiHidden/>
    <w:qFormat/>
    <w:uiPriority w:val="99"/>
  </w:style>
  <w:style w:type="character" w:customStyle="1" w:styleId="43">
    <w:name w:val="正文文本首行缩进 2 字符"/>
    <w:basedOn w:val="42"/>
    <w:link w:val="26"/>
    <w:qFormat/>
    <w:uiPriority w:val="99"/>
    <w:rPr>
      <w:rFonts w:ascii="仿宋_GB2312" w:hAnsi="仿宋_GB2312" w:eastAsia="仿宋" w:cs="仿宋_GB2312"/>
      <w:sz w:val="32"/>
      <w:szCs w:val="32"/>
    </w:rPr>
  </w:style>
  <w:style w:type="paragraph" w:customStyle="1" w:styleId="44">
    <w:name w:val="TOC Heading"/>
    <w:basedOn w:val="2"/>
    <w:next w:val="1"/>
    <w:unhideWhenUsed/>
    <w:qFormat/>
    <w:uiPriority w:val="39"/>
    <w:pPr>
      <w:keepNext/>
      <w:keepLines/>
      <w:widowControl/>
      <w:numPr>
        <w:numId w:val="0"/>
      </w:numPr>
      <w:snapToGrid/>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45">
    <w:name w:val="日期 字符"/>
    <w:basedOn w:val="29"/>
    <w:link w:val="14"/>
    <w:semiHidden/>
    <w:qFormat/>
    <w:uiPriority w:val="99"/>
  </w:style>
  <w:style w:type="character" w:customStyle="1" w:styleId="46">
    <w:name w:val="标题 5 字符"/>
    <w:basedOn w:val="29"/>
    <w:link w:val="5"/>
    <w:semiHidden/>
    <w:qFormat/>
    <w:uiPriority w:val="9"/>
    <w:rPr>
      <w:b/>
      <w:bCs/>
      <w:sz w:val="28"/>
      <w:szCs w:val="28"/>
    </w:rPr>
  </w:style>
  <w:style w:type="table" w:customStyle="1" w:styleId="47">
    <w:name w:val="网格型3"/>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49">
    <w:name w:val="未处理的提及1"/>
    <w:basedOn w:val="29"/>
    <w:semiHidden/>
    <w:unhideWhenUsed/>
    <w:qFormat/>
    <w:uiPriority w:val="99"/>
    <w:rPr>
      <w:color w:val="605E5C"/>
      <w:shd w:val="clear" w:color="auto" w:fill="E1DFDD"/>
    </w:rPr>
  </w:style>
  <w:style w:type="character" w:customStyle="1" w:styleId="50">
    <w:name w:val="批注文字 字符"/>
    <w:basedOn w:val="29"/>
    <w:link w:val="8"/>
    <w:qFormat/>
    <w:uiPriority w:val="99"/>
  </w:style>
  <w:style w:type="character" w:customStyle="1" w:styleId="51">
    <w:name w:val="批注主题 字符"/>
    <w:basedOn w:val="50"/>
    <w:link w:val="25"/>
    <w:semiHidden/>
    <w:qFormat/>
    <w:uiPriority w:val="99"/>
    <w:rPr>
      <w:b/>
      <w:bCs/>
    </w:rPr>
  </w:style>
  <w:style w:type="paragraph" w:customStyle="1" w:styleId="52">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53">
    <w:name w:val="charu_yc_url"/>
    <w:basedOn w:val="29"/>
    <w:qFormat/>
    <w:uiPriority w:val="0"/>
  </w:style>
  <w:style w:type="character" w:customStyle="1" w:styleId="54">
    <w:name w:val="批注框文本 字符"/>
    <w:basedOn w:val="29"/>
    <w:link w:val="15"/>
    <w:semiHidden/>
    <w:qFormat/>
    <w:uiPriority w:val="99"/>
    <w:rPr>
      <w:rFonts w:ascii="宋体" w:eastAsia="宋体"/>
      <w:sz w:val="18"/>
      <w:szCs w:val="18"/>
    </w:rPr>
  </w:style>
  <w:style w:type="paragraph" w:customStyle="1" w:styleId="55">
    <w:name w:val="标准1"/>
    <w:basedOn w:val="1"/>
    <w:link w:val="57"/>
    <w:qFormat/>
    <w:uiPriority w:val="0"/>
    <w:pPr>
      <w:numPr>
        <w:ilvl w:val="0"/>
        <w:numId w:val="2"/>
      </w:numPr>
      <w:spacing w:line="360" w:lineRule="auto"/>
      <w:jc w:val="center"/>
      <w:outlineLvl w:val="3"/>
    </w:pPr>
    <w:rPr>
      <w:rFonts w:ascii="仿宋" w:hAnsi="仿宋" w:eastAsia="仿宋" w:cs="宋体"/>
      <w:sz w:val="28"/>
      <w:szCs w:val="24"/>
    </w:rPr>
  </w:style>
  <w:style w:type="paragraph" w:customStyle="1" w:styleId="56">
    <w:name w:val="标准2"/>
    <w:basedOn w:val="20"/>
    <w:link w:val="59"/>
    <w:qFormat/>
    <w:uiPriority w:val="0"/>
    <w:pPr>
      <w:numPr>
        <w:ilvl w:val="0"/>
        <w:numId w:val="3"/>
      </w:numPr>
      <w:ind w:right="210" w:rightChars="100" w:firstLineChars="0"/>
    </w:pPr>
    <w:rPr>
      <w:rFonts w:ascii="宋体" w:hAnsi="宋体"/>
      <w:sz w:val="24"/>
      <w:szCs w:val="24"/>
    </w:rPr>
  </w:style>
  <w:style w:type="character" w:customStyle="1" w:styleId="57">
    <w:name w:val="标准1 字符"/>
    <w:basedOn w:val="29"/>
    <w:link w:val="55"/>
    <w:qFormat/>
    <w:uiPriority w:val="0"/>
    <w:rPr>
      <w:rFonts w:ascii="仿宋" w:hAnsi="仿宋" w:eastAsia="仿宋" w:cs="宋体"/>
      <w:sz w:val="28"/>
      <w:szCs w:val="24"/>
    </w:rPr>
  </w:style>
  <w:style w:type="paragraph" w:customStyle="1" w:styleId="58">
    <w:name w:val="标准3"/>
    <w:basedOn w:val="20"/>
    <w:next w:val="56"/>
    <w:link w:val="61"/>
    <w:qFormat/>
    <w:uiPriority w:val="0"/>
    <w:pPr>
      <w:numPr>
        <w:ilvl w:val="0"/>
        <w:numId w:val="4"/>
      </w:numPr>
      <w:ind w:firstLineChars="0"/>
    </w:pPr>
    <w:rPr>
      <w:sz w:val="24"/>
    </w:rPr>
  </w:style>
  <w:style w:type="character" w:customStyle="1" w:styleId="59">
    <w:name w:val="标准2 字符"/>
    <w:basedOn w:val="34"/>
    <w:link w:val="56"/>
    <w:qFormat/>
    <w:uiPriority w:val="0"/>
    <w:rPr>
      <w:rFonts w:ascii="宋体" w:hAnsi="宋体" w:eastAsia="宋体" w:cs="Times New Roman"/>
      <w:sz w:val="24"/>
      <w:szCs w:val="24"/>
    </w:rPr>
  </w:style>
  <w:style w:type="paragraph" w:customStyle="1" w:styleId="60">
    <w:name w:val="标准4"/>
    <w:basedOn w:val="20"/>
    <w:next w:val="56"/>
    <w:link w:val="63"/>
    <w:qFormat/>
    <w:uiPriority w:val="0"/>
    <w:pPr>
      <w:numPr>
        <w:ilvl w:val="0"/>
        <w:numId w:val="5"/>
      </w:numPr>
      <w:ind w:firstLineChars="0"/>
    </w:pPr>
    <w:rPr>
      <w:sz w:val="24"/>
    </w:rPr>
  </w:style>
  <w:style w:type="character" w:customStyle="1" w:styleId="61">
    <w:name w:val="标准3 字符"/>
    <w:basedOn w:val="29"/>
    <w:link w:val="58"/>
    <w:qFormat/>
    <w:uiPriority w:val="0"/>
    <w:rPr>
      <w:rFonts w:ascii="Times New Roman" w:hAnsi="Times New Roman" w:eastAsia="宋体" w:cs="Times New Roman"/>
      <w:sz w:val="24"/>
      <w:szCs w:val="20"/>
    </w:rPr>
  </w:style>
  <w:style w:type="paragraph" w:customStyle="1" w:styleId="62">
    <w:name w:val="标准5"/>
    <w:basedOn w:val="20"/>
    <w:next w:val="56"/>
    <w:link w:val="65"/>
    <w:qFormat/>
    <w:uiPriority w:val="0"/>
    <w:pPr>
      <w:numPr>
        <w:ilvl w:val="0"/>
        <w:numId w:val="6"/>
      </w:numPr>
      <w:ind w:firstLine="0" w:firstLineChars="0"/>
    </w:pPr>
    <w:rPr>
      <w:rFonts w:ascii="宋体" w:hAnsi="宋体"/>
      <w:sz w:val="24"/>
      <w:szCs w:val="24"/>
    </w:rPr>
  </w:style>
  <w:style w:type="character" w:customStyle="1" w:styleId="63">
    <w:name w:val="标准4 字符"/>
    <w:basedOn w:val="34"/>
    <w:link w:val="60"/>
    <w:qFormat/>
    <w:uiPriority w:val="0"/>
    <w:rPr>
      <w:rFonts w:ascii="Times New Roman" w:hAnsi="Times New Roman" w:eastAsia="宋体" w:cs="Times New Roman"/>
      <w:sz w:val="24"/>
      <w:szCs w:val="20"/>
    </w:rPr>
  </w:style>
  <w:style w:type="paragraph" w:customStyle="1" w:styleId="64">
    <w:name w:val="标准6"/>
    <w:basedOn w:val="20"/>
    <w:next w:val="56"/>
    <w:link w:val="67"/>
    <w:qFormat/>
    <w:uiPriority w:val="0"/>
    <w:pPr>
      <w:numPr>
        <w:ilvl w:val="0"/>
        <w:numId w:val="7"/>
      </w:numPr>
      <w:ind w:firstLine="0" w:firstLineChars="0"/>
    </w:pPr>
    <w:rPr>
      <w:rFonts w:ascii="宋体" w:hAnsi="宋体"/>
      <w:sz w:val="24"/>
      <w:szCs w:val="24"/>
    </w:rPr>
  </w:style>
  <w:style w:type="character" w:customStyle="1" w:styleId="65">
    <w:name w:val="标准5 字符"/>
    <w:basedOn w:val="34"/>
    <w:link w:val="62"/>
    <w:qFormat/>
    <w:uiPriority w:val="0"/>
    <w:rPr>
      <w:rFonts w:ascii="宋体" w:hAnsi="宋体" w:eastAsia="宋体" w:cs="Times New Roman"/>
      <w:sz w:val="24"/>
      <w:szCs w:val="24"/>
    </w:rPr>
  </w:style>
  <w:style w:type="paragraph" w:customStyle="1" w:styleId="66">
    <w:name w:val="标准7"/>
    <w:basedOn w:val="20"/>
    <w:next w:val="56"/>
    <w:link w:val="68"/>
    <w:qFormat/>
    <w:uiPriority w:val="0"/>
    <w:pPr>
      <w:numPr>
        <w:ilvl w:val="0"/>
        <w:numId w:val="8"/>
      </w:numPr>
      <w:ind w:firstLineChars="0"/>
    </w:pPr>
    <w:rPr>
      <w:rFonts w:ascii="宋体" w:hAnsi="宋体"/>
      <w:sz w:val="24"/>
      <w:szCs w:val="24"/>
    </w:rPr>
  </w:style>
  <w:style w:type="character" w:customStyle="1" w:styleId="67">
    <w:name w:val="标准6 字符"/>
    <w:basedOn w:val="34"/>
    <w:link w:val="64"/>
    <w:qFormat/>
    <w:uiPriority w:val="0"/>
    <w:rPr>
      <w:rFonts w:ascii="宋体" w:hAnsi="宋体" w:eastAsia="宋体" w:cs="Times New Roman"/>
      <w:sz w:val="24"/>
      <w:szCs w:val="24"/>
    </w:rPr>
  </w:style>
  <w:style w:type="character" w:customStyle="1" w:styleId="68">
    <w:name w:val="标准7 字符"/>
    <w:basedOn w:val="34"/>
    <w:link w:val="66"/>
    <w:qFormat/>
    <w:uiPriority w:val="0"/>
    <w:rPr>
      <w:rFonts w:ascii="宋体" w:hAnsi="宋体" w:eastAsia="宋体" w:cs="Times New Roman"/>
      <w:sz w:val="24"/>
      <w:szCs w:val="24"/>
    </w:rPr>
  </w:style>
  <w:style w:type="paragraph" w:customStyle="1" w:styleId="69">
    <w:name w:val="标准8"/>
    <w:basedOn w:val="20"/>
    <w:next w:val="56"/>
    <w:link w:val="71"/>
    <w:qFormat/>
    <w:uiPriority w:val="0"/>
    <w:pPr>
      <w:numPr>
        <w:ilvl w:val="0"/>
        <w:numId w:val="9"/>
      </w:numPr>
      <w:ind w:firstLineChars="0"/>
    </w:pPr>
    <w:rPr>
      <w:rFonts w:ascii="宋体" w:hAnsi="宋体"/>
      <w:sz w:val="24"/>
      <w:szCs w:val="24"/>
    </w:rPr>
  </w:style>
  <w:style w:type="paragraph" w:customStyle="1" w:styleId="70">
    <w:name w:val="标准9"/>
    <w:basedOn w:val="20"/>
    <w:link w:val="73"/>
    <w:qFormat/>
    <w:uiPriority w:val="0"/>
    <w:pPr>
      <w:numPr>
        <w:ilvl w:val="0"/>
        <w:numId w:val="10"/>
      </w:numPr>
      <w:ind w:firstLine="0" w:firstLineChars="0"/>
    </w:pPr>
    <w:rPr>
      <w:rFonts w:ascii="宋体" w:hAnsi="宋体"/>
      <w:sz w:val="24"/>
      <w:szCs w:val="24"/>
    </w:rPr>
  </w:style>
  <w:style w:type="character" w:customStyle="1" w:styleId="71">
    <w:name w:val="标准8 字符"/>
    <w:basedOn w:val="34"/>
    <w:link w:val="69"/>
    <w:qFormat/>
    <w:uiPriority w:val="0"/>
    <w:rPr>
      <w:rFonts w:ascii="宋体" w:hAnsi="宋体" w:eastAsia="宋体" w:cs="Times New Roman"/>
      <w:sz w:val="24"/>
      <w:szCs w:val="24"/>
    </w:rPr>
  </w:style>
  <w:style w:type="paragraph" w:customStyle="1" w:styleId="72">
    <w:name w:val="标准10"/>
    <w:basedOn w:val="20"/>
    <w:next w:val="56"/>
    <w:link w:val="74"/>
    <w:qFormat/>
    <w:uiPriority w:val="0"/>
    <w:pPr>
      <w:numPr>
        <w:ilvl w:val="0"/>
        <w:numId w:val="11"/>
      </w:numPr>
      <w:ind w:firstLineChars="0"/>
    </w:pPr>
    <w:rPr>
      <w:rFonts w:ascii="宋体" w:hAnsi="宋体"/>
      <w:sz w:val="24"/>
      <w:szCs w:val="24"/>
    </w:rPr>
  </w:style>
  <w:style w:type="character" w:customStyle="1" w:styleId="73">
    <w:name w:val="标准9 字符"/>
    <w:basedOn w:val="34"/>
    <w:link w:val="70"/>
    <w:qFormat/>
    <w:uiPriority w:val="0"/>
    <w:rPr>
      <w:rFonts w:ascii="宋体" w:hAnsi="宋体" w:eastAsia="宋体" w:cs="Times New Roman"/>
      <w:sz w:val="24"/>
      <w:szCs w:val="24"/>
    </w:rPr>
  </w:style>
  <w:style w:type="character" w:customStyle="1" w:styleId="74">
    <w:name w:val="标准10 字符"/>
    <w:basedOn w:val="34"/>
    <w:link w:val="72"/>
    <w:qFormat/>
    <w:uiPriority w:val="0"/>
    <w:rPr>
      <w:rFonts w:ascii="宋体" w:hAnsi="宋体" w:eastAsia="宋体" w:cs="Times New Roman"/>
      <w:sz w:val="24"/>
      <w:szCs w:val="24"/>
    </w:rPr>
  </w:style>
  <w:style w:type="character" w:customStyle="1" w:styleId="75">
    <w:name w:val="ql-font-timesnewroman"/>
    <w:basedOn w:val="29"/>
    <w:qFormat/>
    <w:uiPriority w:val="0"/>
  </w:style>
  <w:style w:type="table" w:customStyle="1" w:styleId="76">
    <w:name w:val="网格型4"/>
    <w:basedOn w:val="27"/>
    <w:unhideWhenUsed/>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7">
    <w:name w:val="Placeholder Text"/>
    <w:basedOn w:val="29"/>
    <w:semiHidden/>
    <w:qFormat/>
    <w:uiPriority w:val="99"/>
    <w:rPr>
      <w:color w:val="808080"/>
    </w:rPr>
  </w:style>
  <w:style w:type="character" w:customStyle="1" w:styleId="78">
    <w:name w:val="标题 3 字符"/>
    <w:basedOn w:val="29"/>
    <w:link w:val="4"/>
    <w:semiHidden/>
    <w:qFormat/>
    <w:uiPriority w:val="9"/>
    <w:rPr>
      <w:b/>
      <w:bCs/>
      <w:sz w:val="32"/>
      <w:szCs w:val="32"/>
    </w:rPr>
  </w:style>
  <w:style w:type="paragraph" w:customStyle="1" w:styleId="79">
    <w:name w:val="First Paragraph"/>
    <w:basedOn w:val="9"/>
    <w:next w:val="9"/>
    <w:qFormat/>
    <w:uiPriority w:val="0"/>
    <w:pPr>
      <w:widowControl/>
      <w:spacing w:before="180" w:after="180"/>
      <w:jc w:val="left"/>
    </w:pPr>
    <w:rPr>
      <w:kern w:val="0"/>
      <w:sz w:val="24"/>
      <w:szCs w:val="24"/>
      <w:lang w:eastAsia="en-US"/>
    </w:rPr>
  </w:style>
  <w:style w:type="character" w:customStyle="1" w:styleId="80">
    <w:name w:val="正文文本 字符"/>
    <w:basedOn w:val="29"/>
    <w:link w:val="9"/>
    <w:semiHidden/>
    <w:qFormat/>
    <w:uiPriority w:val="99"/>
  </w:style>
  <w:style w:type="character" w:customStyle="1" w:styleId="81">
    <w:name w:val="10"/>
    <w:basedOn w:val="29"/>
    <w:qFormat/>
    <w:uiPriority w:val="0"/>
    <w:rPr>
      <w:rFonts w:hint="default" w:ascii="Times New Roman" w:hAnsi="Times New Roman" w:cs="Times New Roman"/>
    </w:rPr>
  </w:style>
  <w:style w:type="character" w:customStyle="1" w:styleId="82">
    <w:name w:val="15"/>
    <w:basedOn w:val="29"/>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emf"/><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7837C7-0DF1-4587-81C9-FE0640DC53E6}">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10084</Words>
  <Characters>11905</Characters>
  <Lines>1</Lines>
  <Paragraphs>1</Paragraphs>
  <TotalTime>146</TotalTime>
  <ScaleCrop>false</ScaleCrop>
  <LinksUpToDate>false</LinksUpToDate>
  <CharactersWithSpaces>12456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2025-11-26T01:19:00Z</dcterms:created>
  <dc:creator>Felix</dc:creator>
  <cp:lastModifiedBy>LH</cp:lastModifiedBy>
  <dcterms:modified xsi:type="dcterms:W3CDTF">2026-02-06T02:05:21Z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eyJoZGlkIjoiYWE0MWZlYzhhYzgyYzMxMDZkMjYxMzI3YmZhOTgwOTAiLCJ1c2VySWQiOiI0ODAwOTE3ODAifQ==</vt:lpwstr>
  </property>
  <property fmtid="{D5CDD505-2E9C-101B-9397-08002B2CF9AE}" pid="3" name="KSOProductBuildVer">
    <vt:lpwstr>2052-12.1.0.24657</vt:lpwstr>
  </property>
  <property fmtid="{D5CDD505-2E9C-101B-9397-08002B2CF9AE}" pid="4" name="ICV">
    <vt:lpwstr>396CBF661FFA4B25994FACCE0E167BC9_13</vt:lpwstr>
  </property>
</Properties>
</file>