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137C8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06AC8C3D">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7851E9DD">
            <w:pPr>
              <w:pStyle w:val="19"/>
              <w:framePr w:wrap="notBeside" w:vAnchor="page" w:hAnchor="page" w:x="1372" w:y="568"/>
              <w:tabs>
                <w:tab w:val="clear" w:pos="4153"/>
                <w:tab w:val="clear" w:pos="8306"/>
              </w:tabs>
              <w:spacing w:line="240" w:lineRule="auto"/>
              <w:jc w:val="both"/>
              <w:rPr>
                <w:rFonts w:ascii="黑体" w:hAnsi="黑体" w:eastAsia="黑体"/>
                <w:sz w:val="21"/>
                <w:szCs w:val="21"/>
              </w:rPr>
            </w:pPr>
            <w:bookmarkStart w:id="0" w:name="ICS"/>
            <w:r>
              <w:rPr>
                <w:rFonts w:ascii="黑体" w:hAnsi="黑体" w:eastAsia="黑体" w:cs="Times New Roman"/>
                <w:kern w:val="2"/>
                <w:sz w:val="21"/>
                <w:szCs w:val="21"/>
                <w:lang w:val="en-US" w:eastAsia="zh-CN" w:bidi="ar-SA"/>
              </w:rPr>
              <w:fldChar w:fldCharType="begin">
                <w:ffData>
                  <w:name w:val="ICS"/>
                  <w:enabled/>
                  <w:calcOnExit w:val="0"/>
                  <w:textInput>
                    <w:default w:val="91.060.50"/>
                  </w:textInput>
                </w:ffData>
              </w:fldChar>
            </w:r>
            <w:r>
              <w:rPr>
                <w:rFonts w:ascii="黑体" w:hAnsi="黑体" w:eastAsia="黑体" w:cs="Times New Roman"/>
                <w:kern w:val="2"/>
                <w:sz w:val="21"/>
                <w:szCs w:val="21"/>
                <w:lang w:val="en-US" w:eastAsia="zh-CN" w:bidi="ar-SA"/>
              </w:rPr>
              <w:instrText xml:space="preserve">FORMTEXT</w:instrText>
            </w:r>
            <w:r>
              <w:rPr>
                <w:rFonts w:ascii="黑体" w:hAnsi="黑体" w:eastAsia="黑体" w:cs="Times New Roman"/>
                <w:kern w:val="2"/>
                <w:sz w:val="21"/>
                <w:szCs w:val="21"/>
                <w:lang w:val="en-US" w:eastAsia="zh-CN" w:bidi="ar-SA"/>
              </w:rPr>
              <w:fldChar w:fldCharType="separate"/>
            </w:r>
            <w:r>
              <w:rPr>
                <w:rFonts w:ascii="黑体" w:hAnsi="黑体" w:eastAsia="黑体" w:cs="Times New Roman"/>
                <w:kern w:val="2"/>
                <w:sz w:val="21"/>
                <w:szCs w:val="21"/>
                <w:lang w:val="en-US" w:eastAsia="zh-CN" w:bidi="ar-SA"/>
              </w:rPr>
              <w:t>91.060.50</w:t>
            </w:r>
            <w:r>
              <w:rPr>
                <w:rFonts w:ascii="黑体" w:hAnsi="黑体" w:eastAsia="黑体" w:cs="Times New Roman"/>
                <w:kern w:val="2"/>
                <w:sz w:val="21"/>
                <w:szCs w:val="21"/>
                <w:lang w:val="en-US" w:eastAsia="zh-CN" w:bidi="ar-SA"/>
              </w:rPr>
              <w:fldChar w:fldCharType="end"/>
            </w:r>
            <w:bookmarkEnd w:id="0"/>
          </w:p>
        </w:tc>
      </w:tr>
      <w:tr w14:paraId="7D7E14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382474B2">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tbl>
            <w:tblPr>
              <w:tblStyle w:val="28"/>
              <w:tblpPr w:vertAnchor="page" w:horzAnchor="margin" w:tblpXSpec="right" w:tblpY="114"/>
              <w:tblOverlap w:val="never"/>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0" w:type="dxa"/>
                <w:bottom w:w="0" w:type="dxa"/>
                <w:right w:w="113" w:type="dxa"/>
              </w:tblCellMar>
            </w:tblPr>
            <w:tblGrid>
              <w:gridCol w:w="6661"/>
            </w:tblGrid>
            <w:tr w14:paraId="1AE6FA76">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0" w:type="dxa"/>
                  <w:bottom w:w="0" w:type="dxa"/>
                  <w:right w:w="113" w:type="dxa"/>
                </w:tblCellMar>
              </w:tblPrEx>
              <w:trPr>
                <w:trHeight w:val="1283" w:hRule="exact"/>
              </w:trPr>
              <w:tc>
                <w:tcPr>
                  <w:tcW w:w="6661" w:type="dxa"/>
                  <w:vAlign w:val="center"/>
                </w:tcPr>
                <w:p w14:paraId="350BDD2E">
                  <w:pPr>
                    <w:pStyle w:val="50"/>
                    <w:framePr w:wrap="notBeside" w:vAnchor="page" w:hAnchor="page" w:x="1372" w:y="568"/>
                    <w:rPr>
                      <w:rFonts w:ascii="宋体" w:hAnsi="宋体"/>
                      <w:sz w:val="28"/>
                      <w:szCs w:val="28"/>
                    </w:rPr>
                  </w:pPr>
                  <w:r>
                    <w:rPr>
                      <w:sz w:val="21"/>
                      <w:szCs w:val="21"/>
                    </w:rPr>
                    <w:t xml:space="preserve"> </w:t>
                  </w:r>
                </w:p>
              </w:tc>
            </w:tr>
          </w:tbl>
          <w:p w14:paraId="46DAE1A0">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bookmarkStart w:id="1" w:name="CSDN"/>
            <w:r>
              <w:rPr>
                <w:rFonts w:ascii="黑体" w:hAnsi="黑体" w:eastAsia="黑体" w:cs="Times New Roman"/>
                <w:kern w:val="2"/>
                <w:sz w:val="21"/>
                <w:szCs w:val="21"/>
                <w:lang w:val="en-US" w:eastAsia="zh-CN" w:bidi="ar-SA"/>
              </w:rPr>
              <w:fldChar w:fldCharType="begin">
                <w:ffData>
                  <w:name w:val="CSDN"/>
                  <w:enabled/>
                  <w:calcOnExit w:val="0"/>
                  <w:textInput>
                    <w:default w:val="P 32"/>
                  </w:textInput>
                </w:ffData>
              </w:fldChar>
            </w:r>
            <w:r>
              <w:rPr>
                <w:rFonts w:ascii="黑体" w:hAnsi="黑体" w:eastAsia="黑体" w:cs="Times New Roman"/>
                <w:kern w:val="2"/>
                <w:sz w:val="21"/>
                <w:szCs w:val="21"/>
                <w:lang w:val="en-US" w:eastAsia="zh-CN" w:bidi="ar-SA"/>
              </w:rPr>
              <w:instrText xml:space="preserve">FORMTEXT</w:instrText>
            </w:r>
            <w:r>
              <w:rPr>
                <w:rFonts w:ascii="黑体" w:hAnsi="黑体" w:eastAsia="黑体" w:cs="Times New Roman"/>
                <w:kern w:val="2"/>
                <w:sz w:val="21"/>
                <w:szCs w:val="21"/>
                <w:lang w:val="en-US" w:eastAsia="zh-CN" w:bidi="ar-SA"/>
              </w:rPr>
              <w:fldChar w:fldCharType="separate"/>
            </w:r>
            <w:r>
              <w:rPr>
                <w:rFonts w:ascii="黑体" w:hAnsi="黑体" w:eastAsia="黑体" w:cs="Times New Roman"/>
                <w:kern w:val="2"/>
                <w:sz w:val="21"/>
                <w:szCs w:val="21"/>
                <w:lang w:val="en-US" w:eastAsia="zh-CN" w:bidi="ar-SA"/>
              </w:rPr>
              <w:t>P 32</w:t>
            </w:r>
            <w:r>
              <w:rPr>
                <w:rFonts w:ascii="黑体" w:hAnsi="黑体" w:eastAsia="黑体" w:cs="Times New Roman"/>
                <w:kern w:val="2"/>
                <w:sz w:val="21"/>
                <w:szCs w:val="21"/>
                <w:lang w:val="en-US" w:eastAsia="zh-CN" w:bidi="ar-SA"/>
              </w:rPr>
              <w:fldChar w:fldCharType="end"/>
            </w:r>
            <w:bookmarkEnd w:id="1"/>
          </w:p>
        </w:tc>
      </w:tr>
    </w:tbl>
    <w:p w14:paraId="10704D56">
      <w:pPr>
        <w:pStyle w:val="51"/>
        <w:framePr w:w="9639" w:h="624" w:hRule="exact" w:hSpace="181" w:vSpace="181" w:wrap="around" w:hAnchor="page" w:x="1305" w:y="2269"/>
        <w:rPr>
          <w:rFonts w:ascii="黑体" w:hAnsi="黑体" w:eastAsia="黑体"/>
          <w:b w:val="0"/>
          <w:bCs w:val="0"/>
          <w:w w:val="100"/>
          <w:sz w:val="48"/>
          <w:szCs w:val="48"/>
        </w:rPr>
      </w:pPr>
      <w:bookmarkStart w:id="2" w:name="_Hlk26473981"/>
      <w:r>
        <w:rPr>
          <w:rFonts w:hint="eastAsia" w:ascii="黑体" w:eastAsia="黑体"/>
          <w:b w:val="0"/>
          <w:w w:val="100"/>
          <w:sz w:val="48"/>
        </w:rPr>
        <w:t>团体</w:t>
      </w:r>
      <w:r>
        <w:rPr>
          <w:rFonts w:hint="eastAsia" w:ascii="黑体" w:hAnsi="黑体" w:eastAsia="黑体"/>
          <w:b w:val="0"/>
          <w:bCs w:val="0"/>
          <w:w w:val="100"/>
          <w:sz w:val="48"/>
          <w:szCs w:val="48"/>
        </w:rPr>
        <w:t>标准</w:t>
      </w:r>
    </w:p>
    <w:bookmarkEnd w:id="2"/>
    <w:p w14:paraId="0BB73BFC">
      <w:pPr>
        <w:pStyle w:val="196"/>
      </w:pPr>
      <w:r>
        <w:t>T/</w:t>
      </w:r>
      <w:r>
        <w:fldChar w:fldCharType="begin">
          <w:ffData>
            <w:name w:val="文字1"/>
            <w:enabled/>
            <w:calcOnExit w:val="0"/>
            <w:textInput>
              <w:default w:val="XXX"/>
            </w:textInput>
          </w:ffData>
        </w:fldChar>
      </w:r>
      <w:bookmarkStart w:id="3" w:name="文字1"/>
      <w:r>
        <w:instrText xml:space="preserve"> FORMTEXT </w:instrText>
      </w:r>
      <w:r>
        <w:fldChar w:fldCharType="separate"/>
      </w:r>
      <w:r>
        <w:t>C</w:t>
      </w:r>
      <w:r>
        <w:rPr>
          <w:rFonts w:hint="eastAsia"/>
        </w:rPr>
        <w:t>ECS</w:t>
      </w:r>
      <w:r>
        <w:fldChar w:fldCharType="end"/>
      </w:r>
      <w:bookmarkEnd w:id="3"/>
      <w:r>
        <w:t xml:space="preserve"> </w:t>
      </w:r>
      <w:r>
        <w:fldChar w:fldCharType="begin">
          <w:ffData>
            <w:name w:val="NSTD_CODE_F"/>
            <w:enabled/>
            <w:calcOnExit w:val="0"/>
            <w:textInput>
              <w:default w:val="XXXX"/>
            </w:textInput>
          </w:ffData>
        </w:fldChar>
      </w:r>
      <w:bookmarkStart w:id="4" w:name="NSTD_CODE_F"/>
      <w:r>
        <w:instrText xml:space="preserve"> FORMTEXT </w:instrText>
      </w:r>
      <w:r>
        <w:fldChar w:fldCharType="separate"/>
      </w:r>
      <w:r>
        <w:t>XXXX</w:t>
      </w:r>
      <w:r>
        <w:fldChar w:fldCharType="end"/>
      </w:r>
      <w:bookmarkEnd w:id="4"/>
      <w:r>
        <w:rPr>
          <w:rFonts w:hAnsi="黑体"/>
        </w:rPr>
        <w:t>—</w:t>
      </w:r>
      <w:r>
        <w:fldChar w:fldCharType="begin">
          <w:ffData>
            <w:name w:val="NSTD_CODE_B"/>
            <w:enabled/>
            <w:calcOnExit w:val="0"/>
            <w:textInput>
              <w:default w:val="XXXX"/>
            </w:textInput>
          </w:ffData>
        </w:fldChar>
      </w:r>
      <w:bookmarkStart w:id="5" w:name="NSTD_CODE_B"/>
      <w:r>
        <w:instrText xml:space="preserve"> FORMTEXT </w:instrText>
      </w:r>
      <w:r>
        <w:fldChar w:fldCharType="separate"/>
      </w:r>
      <w:r>
        <w:t>XXXX</w:t>
      </w:r>
      <w:r>
        <w:fldChar w:fldCharType="end"/>
      </w:r>
      <w:bookmarkEnd w:id="5"/>
    </w:p>
    <w:p w14:paraId="26D64574">
      <w:pPr>
        <w:pStyle w:val="197"/>
        <w:rPr>
          <w:rFonts w:hAnsi="黑体"/>
        </w:rPr>
      </w:pPr>
      <w:r>
        <w:rPr>
          <w:rFonts w:hAnsi="黑体"/>
        </w:rPr>
        <w:fldChar w:fldCharType="begin">
          <w:ffData>
            <w:name w:val="OSTD_CODE"/>
            <w:enabled/>
            <w:calcOnExit w:val="0"/>
            <w:textInput/>
          </w:ffData>
        </w:fldChar>
      </w:r>
      <w:bookmarkStart w:id="6"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6"/>
    </w:p>
    <w:p w14:paraId="69EF0102">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4C9BD8D5">
      <w:pPr>
        <w:pStyle w:val="51"/>
        <w:framePr w:w="9639" w:h="6976" w:hRule="exact" w:hSpace="0" w:vSpace="0" w:wrap="around" w:hAnchor="page" w:y="6408"/>
        <w:jc w:val="center"/>
        <w:rPr>
          <w:rFonts w:ascii="黑体" w:hAnsi="黑体" w:eastAsia="黑体"/>
          <w:b w:val="0"/>
          <w:bCs w:val="0"/>
          <w:w w:val="100"/>
        </w:rPr>
      </w:pPr>
    </w:p>
    <w:p w14:paraId="3CF6C31D">
      <w:pPr>
        <w:pStyle w:val="198"/>
        <w:framePr w:h="6974" w:hRule="exact" w:wrap="around" w:x="1419" w:anchorLock="1"/>
      </w:pPr>
      <w:bookmarkStart w:id="7" w:name="CSTD_NAME"/>
      <w:r>
        <w:rPr>
          <w:rFonts w:ascii="黑体" w:hAnsi="黑体" w:eastAsia="黑体" w:cs="Times New Roman"/>
          <w:bCs/>
          <w:sz w:val="52"/>
          <w:lang w:val="en-US" w:eastAsia="zh-CN" w:bidi="ar-SA"/>
        </w:rPr>
        <w:fldChar w:fldCharType="begin">
          <w:ffData>
            <w:name w:val="CSTD_NAME"/>
            <w:enabled/>
            <w:calcOnExit w:val="0"/>
            <w:textInput>
              <w:default w:val="民用建筑用推拉密封窗"/>
            </w:textInput>
          </w:ffData>
        </w:fldChar>
      </w:r>
      <w:r>
        <w:rPr>
          <w:rFonts w:ascii="黑体" w:hAnsi="黑体" w:eastAsia="黑体" w:cs="Times New Roman"/>
          <w:bCs/>
          <w:sz w:val="52"/>
          <w:lang w:val="en-US" w:eastAsia="zh-CN" w:bidi="ar-SA"/>
        </w:rPr>
        <w:instrText xml:space="preserve">FORMTEXT</w:instrText>
      </w:r>
      <w:r>
        <w:rPr>
          <w:rFonts w:ascii="黑体" w:hAnsi="黑体" w:eastAsia="黑体" w:cs="Times New Roman"/>
          <w:bCs/>
          <w:sz w:val="52"/>
          <w:lang w:val="en-US" w:eastAsia="zh-CN" w:bidi="ar-SA"/>
        </w:rPr>
        <w:fldChar w:fldCharType="separate"/>
      </w:r>
      <w:r>
        <w:rPr>
          <w:rFonts w:ascii="黑体" w:hAnsi="黑体" w:eastAsia="黑体" w:cs="Times New Roman"/>
          <w:bCs/>
          <w:sz w:val="52"/>
          <w:lang w:val="en-US" w:eastAsia="zh-CN" w:bidi="ar-SA"/>
        </w:rPr>
        <w:t>民用建筑用推拉密封窗</w:t>
      </w:r>
      <w:r>
        <w:rPr>
          <w:rFonts w:ascii="黑体" w:hAnsi="黑体" w:eastAsia="黑体" w:cs="Times New Roman"/>
          <w:bCs/>
          <w:sz w:val="52"/>
          <w:lang w:val="en-US" w:eastAsia="zh-CN" w:bidi="ar-SA"/>
        </w:rPr>
        <w:fldChar w:fldCharType="end"/>
      </w:r>
      <w:bookmarkEnd w:id="7"/>
    </w:p>
    <w:p w14:paraId="66D32ECA">
      <w:pPr>
        <w:framePr w:w="9639" w:h="6974" w:hRule="exact" w:wrap="around" w:vAnchor="page" w:hAnchor="page" w:x="1419" w:y="6408" w:anchorLock="1"/>
        <w:ind w:left="-1418"/>
      </w:pPr>
    </w:p>
    <w:p w14:paraId="62EFC22F">
      <w:pPr>
        <w:pStyle w:val="126"/>
        <w:framePr w:w="9639" w:h="6974" w:hRule="exact" w:wrap="around" w:vAnchor="page" w:hAnchor="page" w:x="1419" w:y="6408" w:anchorLock="1"/>
        <w:textAlignment w:val="bottom"/>
        <w:rPr>
          <w:rFonts w:eastAsia="黑体"/>
          <w:szCs w:val="28"/>
        </w:rPr>
      </w:pPr>
      <w:bookmarkStart w:id="8" w:name="ESTD_NAME"/>
      <w:r>
        <w:rPr>
          <w:rFonts w:hint="eastAsia" w:ascii="Times New Roman" w:hAnsi="Times New Roman" w:eastAsia="黑体" w:cs="Times New Roman"/>
          <w:sz w:val="28"/>
          <w:szCs w:val="28"/>
          <w:lang w:val="en-US" w:eastAsia="zh-CN" w:bidi="ar-SA"/>
        </w:rPr>
        <w:fldChar w:fldCharType="begin">
          <w:ffData>
            <w:name w:val="ESTD_NAME"/>
            <w:enabled/>
            <w:calcOnExit w:val="0"/>
            <w:textInput>
              <w:default w:val="Standards for sliding sealed Windows in Civil buildings"/>
            </w:textInput>
          </w:ffData>
        </w:fldChar>
      </w:r>
      <w:r>
        <w:rPr>
          <w:rFonts w:hint="eastAsia" w:ascii="Times New Roman" w:hAnsi="Times New Roman" w:eastAsia="黑体" w:cs="Times New Roman"/>
          <w:sz w:val="28"/>
          <w:szCs w:val="28"/>
          <w:lang w:val="en-US" w:eastAsia="zh-CN" w:bidi="ar-SA"/>
        </w:rPr>
        <w:instrText xml:space="preserve">FORMTEXT</w:instrText>
      </w:r>
      <w:r>
        <w:rPr>
          <w:rFonts w:hint="eastAsia" w:ascii="Times New Roman" w:hAnsi="Times New Roman" w:eastAsia="黑体" w:cs="Times New Roman"/>
          <w:sz w:val="28"/>
          <w:szCs w:val="28"/>
          <w:lang w:val="en-US" w:eastAsia="zh-CN" w:bidi="ar-SA"/>
        </w:rPr>
        <w:fldChar w:fldCharType="separate"/>
      </w:r>
      <w:r>
        <w:rPr>
          <w:rFonts w:hint="eastAsia" w:ascii="Times New Roman" w:hAnsi="Times New Roman" w:eastAsia="黑体" w:cs="Times New Roman"/>
          <w:sz w:val="28"/>
          <w:szCs w:val="28"/>
          <w:lang w:val="en-US" w:eastAsia="zh-CN" w:bidi="ar-SA"/>
        </w:rPr>
        <w:t>Standards for sliding sealed Windows in Civil buildings</w:t>
      </w:r>
      <w:r>
        <w:rPr>
          <w:rFonts w:hint="eastAsia" w:ascii="Times New Roman" w:hAnsi="Times New Roman" w:eastAsia="黑体" w:cs="Times New Roman"/>
          <w:sz w:val="28"/>
          <w:szCs w:val="28"/>
          <w:lang w:val="en-US" w:eastAsia="zh-CN" w:bidi="ar-SA"/>
        </w:rPr>
        <w:fldChar w:fldCharType="end"/>
      </w:r>
      <w:bookmarkEnd w:id="8"/>
    </w:p>
    <w:p w14:paraId="12AF7FBD">
      <w:pPr>
        <w:framePr w:w="9639" w:h="6974" w:hRule="exact" w:wrap="around" w:vAnchor="page" w:hAnchor="page" w:x="1419" w:y="6408" w:anchorLock="1"/>
        <w:spacing w:line="760" w:lineRule="exact"/>
        <w:ind w:left="-1418"/>
      </w:pPr>
    </w:p>
    <w:p w14:paraId="75AC15FB">
      <w:pPr>
        <w:pStyle w:val="126"/>
        <w:framePr w:w="9639" w:h="6974" w:hRule="exact" w:wrap="around" w:vAnchor="page" w:hAnchor="page" w:x="1419" w:y="6408" w:anchorLock="1"/>
        <w:textAlignment w:val="bottom"/>
        <w:rPr>
          <w:rFonts w:eastAsia="黑体"/>
          <w:szCs w:val="28"/>
        </w:rPr>
      </w:pPr>
    </w:p>
    <w:p w14:paraId="659CD5BD">
      <w:pPr>
        <w:pStyle w:val="126"/>
        <w:framePr w:w="9639" w:h="6974" w:hRule="exact" w:wrap="around" w:vAnchor="page" w:hAnchor="page" w:x="1419" w:y="6408" w:anchorLock="1"/>
        <w:spacing w:before="440" w:after="160"/>
        <w:textAlignment w:val="bottom"/>
        <w:rPr>
          <w:sz w:val="24"/>
          <w:szCs w:val="28"/>
        </w:rPr>
      </w:pPr>
      <w:bookmarkStart w:id="9" w:name="下拉1"/>
      <w:r>
        <w:rPr>
          <w:rFonts w:ascii="Times New Roman" w:hAnsi="Times New Roman" w:eastAsia="宋体" w:cs="Times New Roman"/>
          <w:sz w:val="24"/>
          <w:szCs w:val="28"/>
          <w:lang w:val="en-US" w:eastAsia="zh-CN" w:bidi="ar-SA"/>
        </w:rPr>
        <w:fldChar w:fldCharType="begin">
          <w:ffData>
            <w:name w:val="下拉1"/>
            <w:enabled/>
            <w:calcOnExit w:val="0"/>
            <w:ddList>
              <w:listEntry w:val="（征求意见稿）"/>
              <w:listEntry w:val="草案版次选择"/>
              <w:listEntry w:val="（工作组讨论稿）"/>
              <w:listEntry w:val="（征求意见稿）"/>
              <w:listEntry w:val="（送审讨论稿）"/>
              <w:listEntry w:val="（送审稿）"/>
              <w:listEntry w:val="（报批稿）"/>
            </w:ddList>
          </w:ffData>
        </w:fldChar>
      </w:r>
      <w:r>
        <w:rPr>
          <w:rFonts w:ascii="Times New Roman" w:hAnsi="Times New Roman" w:eastAsia="宋体" w:cs="Times New Roman"/>
          <w:sz w:val="24"/>
          <w:szCs w:val="28"/>
          <w:lang w:val="en-US" w:eastAsia="zh-CN" w:bidi="ar-SA"/>
        </w:rPr>
        <w:instrText xml:space="preserve">FORMDROPDOWN</w:instrText>
      </w:r>
      <w:r>
        <w:rPr>
          <w:rFonts w:ascii="Times New Roman" w:hAnsi="Times New Roman" w:eastAsia="宋体" w:cs="Times New Roman"/>
          <w:sz w:val="24"/>
          <w:szCs w:val="28"/>
          <w:lang w:val="en-US" w:eastAsia="zh-CN" w:bidi="ar-SA"/>
        </w:rPr>
        <w:fldChar w:fldCharType="separate"/>
      </w:r>
      <w:r>
        <w:rPr>
          <w:rFonts w:ascii="Times New Roman" w:hAnsi="Times New Roman" w:eastAsia="宋体" w:cs="Times New Roman"/>
          <w:sz w:val="24"/>
          <w:szCs w:val="28"/>
          <w:lang w:val="en-US" w:eastAsia="zh-CN" w:bidi="ar-SA"/>
        </w:rPr>
        <w:fldChar w:fldCharType="end"/>
      </w:r>
      <w:bookmarkEnd w:id="9"/>
    </w:p>
    <w:p w14:paraId="3F047360">
      <w:pPr>
        <w:pStyle w:val="126"/>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0"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0"/>
    </w:p>
    <w:p w14:paraId="442B4F51">
      <w:pPr>
        <w:pStyle w:val="126"/>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1" w:name="下拉2"/>
      <w:r>
        <w:rPr>
          <w:b/>
          <w:sz w:val="21"/>
          <w:szCs w:val="28"/>
        </w:rPr>
        <w:instrText xml:space="preserve"> FORMDROPDOWN </w:instrText>
      </w:r>
      <w:r>
        <w:rPr>
          <w:b/>
          <w:sz w:val="21"/>
          <w:szCs w:val="28"/>
        </w:rPr>
        <w:fldChar w:fldCharType="separate"/>
      </w:r>
      <w:r>
        <w:rPr>
          <w:b/>
          <w:sz w:val="21"/>
          <w:szCs w:val="28"/>
        </w:rPr>
        <w:fldChar w:fldCharType="end"/>
      </w:r>
      <w:bookmarkEnd w:id="11"/>
    </w:p>
    <w:p w14:paraId="1A99DBD6">
      <w:pPr>
        <w:pStyle w:val="194"/>
        <w:framePr w:wrap="around"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14:paraId="2E16EFC3">
      <w:pPr>
        <w:pStyle w:val="195"/>
        <w:framePr w:wrap="around"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14:paraId="426FB57A">
      <w:pPr>
        <w:pStyle w:val="152"/>
        <w:framePr w:h="584" w:hRule="exact" w:hSpace="181" w:vSpace="181" w:wrap="around" w:y="15027"/>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int="eastAsia" w:hAnsi="黑体"/>
          <w:w w:val="100"/>
          <w:sz w:val="28"/>
        </w:rPr>
        <w:t>中 国 工 程 建 设 标 准 化 协 会</w:t>
      </w:r>
      <w:r>
        <w:rPr>
          <w:rFonts w:hAnsi="黑体"/>
          <w:w w:val="100"/>
          <w:sz w:val="28"/>
        </w:rPr>
        <w:fldChar w:fldCharType="end"/>
      </w:r>
      <w:bookmarkEnd w:id="18"/>
      <w:r>
        <w:rPr>
          <w:rFonts w:ascii="Times New Roman"/>
          <w:w w:val="100"/>
          <w:sz w:val="28"/>
        </w:rPr>
        <w:t>  </w:t>
      </w:r>
      <w:r>
        <w:rPr>
          <w:rStyle w:val="230"/>
          <w:rFonts w:hint="eastAsia" w:hAnsi="黑体"/>
          <w:position w:val="0"/>
        </w:rPr>
        <w:t>发</w:t>
      </w:r>
      <w:r>
        <w:rPr>
          <w:rStyle w:val="230"/>
          <w:rFonts w:hint="eastAsia" w:hAnsi="黑体"/>
          <w:spacing w:val="0"/>
          <w:position w:val="0"/>
        </w:rPr>
        <w:t>布</w:t>
      </w:r>
    </w:p>
    <w:p w14:paraId="697D38EE">
      <w:pPr>
        <w:rPr>
          <w:rFonts w:ascii="宋体" w:hAnsi="宋体"/>
          <w:sz w:val="28"/>
          <w:szCs w:val="28"/>
        </w:rPr>
        <w:sectPr>
          <w:headerReference r:id="rId7" w:type="first"/>
          <w:footerReference r:id="rId9" w:type="first"/>
          <w:headerReference r:id="rId5" w:type="default"/>
          <w:headerReference r:id="rId6" w:type="even"/>
          <w:footerReference r:id="rId8" w:type="even"/>
          <w:type w:val="continuous"/>
          <w:pgSz w:w="11906" w:h="16838"/>
          <w:pgMar w:top="567" w:right="1134" w:bottom="1134" w:left="1134" w:header="1418" w:footer="1134"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5DA33224">
      <w:pPr>
        <w:pStyle w:val="92"/>
        <w:spacing w:after="468"/>
      </w:pPr>
      <w:bookmarkStart w:id="19" w:name="BookMark1"/>
      <w:r>
        <w:rPr>
          <w:spacing w:val="320"/>
        </w:rPr>
        <w:t>目</w:t>
      </w:r>
      <w:r>
        <w:t>次</w:t>
      </w:r>
    </w:p>
    <w:p w14:paraId="4B94A9EB">
      <w:pPr>
        <w:pStyle w:val="20"/>
        <w:tabs>
          <w:tab w:val="right" w:leader="dot" w:pos="9354"/>
        </w:tabs>
      </w:pPr>
      <w:r>
        <w:fldChar w:fldCharType="begin"/>
      </w:r>
      <w:r>
        <w:instrText xml:space="preserve">TOC \o "1-1" \h \u </w:instrText>
      </w:r>
      <w:r>
        <w:fldChar w:fldCharType="separate"/>
      </w:r>
      <w:r>
        <w:fldChar w:fldCharType="begin"/>
      </w:r>
      <w:r>
        <w:instrText xml:space="preserve"> HYPERLINK \l _Toc31423 </w:instrText>
      </w:r>
      <w:r>
        <w:fldChar w:fldCharType="separate"/>
      </w:r>
      <w:r>
        <w:rPr>
          <w:spacing w:val="320"/>
        </w:rPr>
        <w:t>前</w:t>
      </w:r>
      <w:r>
        <w:t>言</w:t>
      </w:r>
      <w:r>
        <w:tab/>
      </w:r>
      <w:r>
        <w:fldChar w:fldCharType="begin"/>
      </w:r>
      <w:r>
        <w:instrText xml:space="preserve"> PAGEREF _Toc31423 \h </w:instrText>
      </w:r>
      <w:r>
        <w:fldChar w:fldCharType="separate"/>
      </w:r>
      <w:r>
        <w:t>II</w:t>
      </w:r>
      <w:r>
        <w:fldChar w:fldCharType="end"/>
      </w:r>
      <w:r>
        <w:fldChar w:fldCharType="end"/>
      </w:r>
    </w:p>
    <w:p w14:paraId="2CED5520">
      <w:pPr>
        <w:pStyle w:val="20"/>
        <w:tabs>
          <w:tab w:val="right" w:leader="dot" w:pos="9354"/>
        </w:tabs>
      </w:pPr>
      <w:r>
        <w:fldChar w:fldCharType="begin"/>
      </w:r>
      <w:r>
        <w:instrText xml:space="preserve"> HYPERLINK \l _Toc24989 </w:instrText>
      </w:r>
      <w:r>
        <w:fldChar w:fldCharType="separate"/>
      </w:r>
      <w:r>
        <w:rPr>
          <w:rFonts w:hint="eastAsia" w:ascii="黑体" w:eastAsia="黑体"/>
          <w:i w:val="0"/>
        </w:rPr>
        <w:t xml:space="preserve">1 </w:t>
      </w:r>
      <w:r>
        <w:rPr>
          <w:rFonts w:hint="eastAsia"/>
        </w:rPr>
        <w:t>范围</w:t>
      </w:r>
      <w:r>
        <w:tab/>
      </w:r>
      <w:r>
        <w:fldChar w:fldCharType="begin"/>
      </w:r>
      <w:r>
        <w:instrText xml:space="preserve"> PAGEREF _Toc24989 \h </w:instrText>
      </w:r>
      <w:r>
        <w:fldChar w:fldCharType="separate"/>
      </w:r>
      <w:r>
        <w:t>1</w:t>
      </w:r>
      <w:r>
        <w:fldChar w:fldCharType="end"/>
      </w:r>
      <w:r>
        <w:fldChar w:fldCharType="end"/>
      </w:r>
    </w:p>
    <w:p w14:paraId="13E06860">
      <w:pPr>
        <w:pStyle w:val="20"/>
        <w:tabs>
          <w:tab w:val="right" w:leader="dot" w:pos="9354"/>
        </w:tabs>
      </w:pPr>
      <w:r>
        <w:fldChar w:fldCharType="begin"/>
      </w:r>
      <w:r>
        <w:instrText xml:space="preserve"> HYPERLINK \l _Toc6323 </w:instrText>
      </w:r>
      <w:r>
        <w:fldChar w:fldCharType="separate"/>
      </w:r>
      <w:r>
        <w:rPr>
          <w:rFonts w:hint="eastAsia" w:ascii="黑体" w:eastAsia="黑体"/>
          <w:i w:val="0"/>
        </w:rPr>
        <w:t xml:space="preserve">2 </w:t>
      </w:r>
      <w:r>
        <w:rPr>
          <w:rFonts w:hint="eastAsia"/>
        </w:rPr>
        <w:t>规范性引用文件</w:t>
      </w:r>
      <w:r>
        <w:tab/>
      </w:r>
      <w:r>
        <w:fldChar w:fldCharType="begin"/>
      </w:r>
      <w:r>
        <w:instrText xml:space="preserve"> PAGEREF _Toc6323 \h </w:instrText>
      </w:r>
      <w:r>
        <w:fldChar w:fldCharType="separate"/>
      </w:r>
      <w:r>
        <w:t>1</w:t>
      </w:r>
      <w:r>
        <w:fldChar w:fldCharType="end"/>
      </w:r>
      <w:r>
        <w:fldChar w:fldCharType="end"/>
      </w:r>
    </w:p>
    <w:p w14:paraId="2D54179F">
      <w:pPr>
        <w:pStyle w:val="20"/>
        <w:tabs>
          <w:tab w:val="right" w:leader="dot" w:pos="9354"/>
        </w:tabs>
      </w:pPr>
      <w:r>
        <w:fldChar w:fldCharType="begin"/>
      </w:r>
      <w:r>
        <w:instrText xml:space="preserve"> HYPERLINK \l _Toc2647 </w:instrText>
      </w:r>
      <w:r>
        <w:fldChar w:fldCharType="separate"/>
      </w:r>
      <w:r>
        <w:rPr>
          <w:rFonts w:hint="eastAsia" w:ascii="黑体" w:eastAsia="黑体"/>
          <w:i w:val="0"/>
        </w:rPr>
        <w:t xml:space="preserve">3 </w:t>
      </w:r>
      <w:r>
        <w:rPr>
          <w:rFonts w:hint="eastAsia"/>
          <w:szCs w:val="21"/>
        </w:rPr>
        <w:t>术语和定义</w:t>
      </w:r>
      <w:r>
        <w:tab/>
      </w:r>
      <w:r>
        <w:fldChar w:fldCharType="begin"/>
      </w:r>
      <w:r>
        <w:instrText xml:space="preserve"> PAGEREF _Toc2647 \h </w:instrText>
      </w:r>
      <w:r>
        <w:fldChar w:fldCharType="separate"/>
      </w:r>
      <w:r>
        <w:t>1</w:t>
      </w:r>
      <w:r>
        <w:fldChar w:fldCharType="end"/>
      </w:r>
      <w:r>
        <w:fldChar w:fldCharType="end"/>
      </w:r>
    </w:p>
    <w:p w14:paraId="2C7C9CD0">
      <w:pPr>
        <w:pStyle w:val="20"/>
        <w:tabs>
          <w:tab w:val="right" w:leader="dot" w:pos="9354"/>
        </w:tabs>
      </w:pPr>
      <w:r>
        <w:fldChar w:fldCharType="begin"/>
      </w:r>
      <w:r>
        <w:instrText xml:space="preserve"> HYPERLINK \l _Toc8933 </w:instrText>
      </w:r>
      <w:r>
        <w:fldChar w:fldCharType="separate"/>
      </w:r>
      <w:r>
        <w:rPr>
          <w:rFonts w:hint="eastAsia" w:ascii="黑体" w:eastAsia="黑体"/>
          <w:i w:val="0"/>
        </w:rPr>
        <w:t xml:space="preserve">4 </w:t>
      </w:r>
      <w:r>
        <w:rPr>
          <w:rFonts w:hint="eastAsia"/>
        </w:rPr>
        <w:t>分类和标记</w:t>
      </w:r>
      <w:r>
        <w:tab/>
      </w:r>
      <w:r>
        <w:fldChar w:fldCharType="begin"/>
      </w:r>
      <w:r>
        <w:instrText xml:space="preserve"> PAGEREF _Toc8933 \h </w:instrText>
      </w:r>
      <w:r>
        <w:fldChar w:fldCharType="separate"/>
      </w:r>
      <w:r>
        <w:t>2</w:t>
      </w:r>
      <w:r>
        <w:fldChar w:fldCharType="end"/>
      </w:r>
      <w:r>
        <w:fldChar w:fldCharType="end"/>
      </w:r>
    </w:p>
    <w:p w14:paraId="56004735">
      <w:pPr>
        <w:pStyle w:val="20"/>
        <w:tabs>
          <w:tab w:val="right" w:leader="dot" w:pos="9354"/>
        </w:tabs>
      </w:pPr>
      <w:r>
        <w:fldChar w:fldCharType="begin"/>
      </w:r>
      <w:r>
        <w:instrText xml:space="preserve"> HYPERLINK \l _Toc14905 </w:instrText>
      </w:r>
      <w:r>
        <w:fldChar w:fldCharType="separate"/>
      </w:r>
      <w:r>
        <w:rPr>
          <w:rFonts w:hint="eastAsia" w:ascii="黑体" w:eastAsia="黑体"/>
          <w:i w:val="0"/>
        </w:rPr>
        <w:t xml:space="preserve">5 </w:t>
      </w:r>
      <w:r>
        <w:rPr>
          <w:rFonts w:hint="eastAsia"/>
        </w:rPr>
        <w:t>要求</w:t>
      </w:r>
      <w:r>
        <w:tab/>
      </w:r>
      <w:r>
        <w:fldChar w:fldCharType="begin"/>
      </w:r>
      <w:r>
        <w:instrText xml:space="preserve"> PAGEREF _Toc14905 \h </w:instrText>
      </w:r>
      <w:r>
        <w:fldChar w:fldCharType="separate"/>
      </w:r>
      <w:r>
        <w:t>4</w:t>
      </w:r>
      <w:r>
        <w:fldChar w:fldCharType="end"/>
      </w:r>
      <w:r>
        <w:fldChar w:fldCharType="end"/>
      </w:r>
    </w:p>
    <w:p w14:paraId="79F32C9C">
      <w:pPr>
        <w:pStyle w:val="20"/>
        <w:tabs>
          <w:tab w:val="right" w:leader="dot" w:pos="9354"/>
        </w:tabs>
      </w:pPr>
      <w:r>
        <w:fldChar w:fldCharType="begin"/>
      </w:r>
      <w:r>
        <w:instrText xml:space="preserve"> HYPERLINK \l _Toc5367 </w:instrText>
      </w:r>
      <w:r>
        <w:fldChar w:fldCharType="separate"/>
      </w:r>
      <w:r>
        <w:rPr>
          <w:rFonts w:hint="eastAsia" w:ascii="黑体" w:eastAsia="黑体"/>
          <w:i w:val="0"/>
        </w:rPr>
        <w:t xml:space="preserve">6 </w:t>
      </w:r>
      <w:r>
        <w:rPr>
          <w:rFonts w:hint="eastAsia"/>
        </w:rPr>
        <w:t>试验方法</w:t>
      </w:r>
      <w:r>
        <w:tab/>
      </w:r>
      <w:r>
        <w:fldChar w:fldCharType="begin"/>
      </w:r>
      <w:r>
        <w:instrText xml:space="preserve"> PAGEREF _Toc5367 \h </w:instrText>
      </w:r>
      <w:r>
        <w:fldChar w:fldCharType="separate"/>
      </w:r>
      <w:r>
        <w:t>9</w:t>
      </w:r>
      <w:r>
        <w:fldChar w:fldCharType="end"/>
      </w:r>
      <w:r>
        <w:fldChar w:fldCharType="end"/>
      </w:r>
    </w:p>
    <w:p w14:paraId="38E1F08A">
      <w:pPr>
        <w:pStyle w:val="20"/>
        <w:tabs>
          <w:tab w:val="right" w:leader="dot" w:pos="9354"/>
        </w:tabs>
      </w:pPr>
      <w:r>
        <w:fldChar w:fldCharType="begin"/>
      </w:r>
      <w:r>
        <w:instrText xml:space="preserve"> HYPERLINK \l _Toc6019 </w:instrText>
      </w:r>
      <w:r>
        <w:fldChar w:fldCharType="separate"/>
      </w:r>
      <w:r>
        <w:rPr>
          <w:rFonts w:hint="eastAsia" w:ascii="黑体" w:eastAsia="黑体"/>
          <w:i w:val="0"/>
        </w:rPr>
        <w:t xml:space="preserve">7 </w:t>
      </w:r>
      <w:r>
        <w:rPr>
          <w:rFonts w:hint="eastAsia"/>
        </w:rPr>
        <w:t>检验规则</w:t>
      </w:r>
      <w:r>
        <w:tab/>
      </w:r>
      <w:r>
        <w:fldChar w:fldCharType="begin"/>
      </w:r>
      <w:r>
        <w:instrText xml:space="preserve"> PAGEREF _Toc6019 \h </w:instrText>
      </w:r>
      <w:r>
        <w:fldChar w:fldCharType="separate"/>
      </w:r>
      <w:r>
        <w:t>10</w:t>
      </w:r>
      <w:r>
        <w:fldChar w:fldCharType="end"/>
      </w:r>
      <w:r>
        <w:fldChar w:fldCharType="end"/>
      </w:r>
    </w:p>
    <w:p w14:paraId="1E3A71E8">
      <w:pPr>
        <w:pStyle w:val="20"/>
        <w:tabs>
          <w:tab w:val="right" w:leader="dot" w:pos="9354"/>
        </w:tabs>
      </w:pPr>
      <w:r>
        <w:fldChar w:fldCharType="begin"/>
      </w:r>
      <w:r>
        <w:instrText xml:space="preserve"> HYPERLINK \l _Toc14522 </w:instrText>
      </w:r>
      <w:r>
        <w:fldChar w:fldCharType="separate"/>
      </w:r>
      <w:r>
        <w:rPr>
          <w:rFonts w:hint="eastAsia" w:ascii="黑体" w:eastAsia="黑体"/>
          <w:i w:val="0"/>
        </w:rPr>
        <w:t xml:space="preserve">8 </w:t>
      </w:r>
      <w:r>
        <w:rPr>
          <w:rFonts w:hint="eastAsia"/>
        </w:rPr>
        <w:t>产品标志及随行文件</w:t>
      </w:r>
      <w:r>
        <w:tab/>
      </w:r>
      <w:r>
        <w:fldChar w:fldCharType="begin"/>
      </w:r>
      <w:r>
        <w:instrText xml:space="preserve"> PAGEREF _Toc14522 \h </w:instrText>
      </w:r>
      <w:r>
        <w:fldChar w:fldCharType="separate"/>
      </w:r>
      <w:r>
        <w:t>12</w:t>
      </w:r>
      <w:r>
        <w:fldChar w:fldCharType="end"/>
      </w:r>
      <w:r>
        <w:fldChar w:fldCharType="end"/>
      </w:r>
    </w:p>
    <w:p w14:paraId="549BC627">
      <w:pPr>
        <w:pStyle w:val="20"/>
        <w:tabs>
          <w:tab w:val="right" w:leader="dot" w:pos="9354"/>
        </w:tabs>
      </w:pPr>
      <w:r>
        <w:fldChar w:fldCharType="begin"/>
      </w:r>
      <w:r>
        <w:instrText xml:space="preserve"> HYPERLINK \l _Toc30448 </w:instrText>
      </w:r>
      <w:r>
        <w:fldChar w:fldCharType="separate"/>
      </w:r>
      <w:r>
        <w:rPr>
          <w:rFonts w:hint="eastAsia" w:ascii="黑体" w:eastAsia="黑体"/>
          <w:i w:val="0"/>
        </w:rPr>
        <w:t xml:space="preserve">9 </w:t>
      </w:r>
      <w:r>
        <w:rPr>
          <w:rFonts w:hint="eastAsia"/>
        </w:rPr>
        <w:t>包装、运输和贮存</w:t>
      </w:r>
      <w:r>
        <w:tab/>
      </w:r>
      <w:r>
        <w:fldChar w:fldCharType="begin"/>
      </w:r>
      <w:r>
        <w:instrText xml:space="preserve"> PAGEREF _Toc30448 \h </w:instrText>
      </w:r>
      <w:r>
        <w:fldChar w:fldCharType="separate"/>
      </w:r>
      <w:r>
        <w:t>13</w:t>
      </w:r>
      <w:r>
        <w:fldChar w:fldCharType="end"/>
      </w:r>
      <w:r>
        <w:fldChar w:fldCharType="end"/>
      </w:r>
    </w:p>
    <w:p w14:paraId="44439951">
      <w:pPr>
        <w:pStyle w:val="92"/>
        <w:spacing w:after="468"/>
        <w:sectPr>
          <w:headerReference r:id="rId10" w:type="default"/>
          <w:footerReference r:id="rId12" w:type="default"/>
          <w:headerReference r:id="rId11" w:type="even"/>
          <w:footerReference r:id="rId13" w:type="even"/>
          <w:pgSz w:w="11906" w:h="16838"/>
          <w:pgMar w:top="1871" w:right="1134" w:bottom="1134" w:left="1134" w:header="1418" w:footer="1134" w:gutter="284"/>
          <w:pgNumType w:fmt="upperRoman" w:start="1"/>
          <w:cols w:space="425" w:num="1"/>
          <w:formProt w:val="0"/>
          <w:docGrid w:type="lines" w:linePitch="312" w:charSpace="0"/>
        </w:sectPr>
      </w:pPr>
      <w:r>
        <w:fldChar w:fldCharType="end"/>
      </w:r>
    </w:p>
    <w:bookmarkEnd w:id="19"/>
    <w:p w14:paraId="58D972DE">
      <w:pPr>
        <w:pStyle w:val="90"/>
        <w:spacing w:after="468"/>
      </w:pPr>
      <w:bookmarkStart w:id="20" w:name="_Toc31423"/>
      <w:bookmarkStart w:id="21" w:name="_Toc13332"/>
      <w:bookmarkStart w:id="22" w:name="BookMark2"/>
      <w:r>
        <w:rPr>
          <w:spacing w:val="320"/>
        </w:rPr>
        <w:t>前</w:t>
      </w:r>
      <w:r>
        <w:t>言</w:t>
      </w:r>
      <w:bookmarkEnd w:id="20"/>
      <w:bookmarkEnd w:id="21"/>
    </w:p>
    <w:p w14:paraId="21991BDA">
      <w:pPr>
        <w:pStyle w:val="57"/>
        <w:ind w:firstLine="420"/>
        <w:rPr>
          <w:rFonts w:hint="eastAsia"/>
        </w:rPr>
      </w:pPr>
      <w:r>
        <w:rPr>
          <w:rFonts w:hint="eastAsia"/>
          <w:lang w:eastAsia="zh-CN"/>
        </w:rPr>
        <w:t>《</w:t>
      </w:r>
      <w:r>
        <w:rPr>
          <w:rFonts w:hint="eastAsia"/>
          <w:lang w:val="en-US" w:eastAsia="zh-CN"/>
        </w:rPr>
        <w:t>民用建筑用推拉密封窗</w:t>
      </w:r>
      <w:r>
        <w:rPr>
          <w:rFonts w:hint="eastAsia"/>
          <w:lang w:eastAsia="zh-CN"/>
        </w:rPr>
        <w:t>》（</w:t>
      </w:r>
      <w:r>
        <w:rPr>
          <w:rFonts w:hint="eastAsia"/>
          <w:lang w:val="en-US" w:eastAsia="zh-CN"/>
        </w:rPr>
        <w:t>以下简称“文件”</w:t>
      </w:r>
      <w:r>
        <w:rPr>
          <w:rFonts w:hint="eastAsia"/>
          <w:lang w:eastAsia="zh-CN"/>
        </w:rPr>
        <w:t>）</w:t>
      </w:r>
      <w:r>
        <w:rPr>
          <w:rFonts w:hint="eastAsia"/>
        </w:rPr>
        <w:t>按照GB/T 1.1—2020《标准化工作导则  第1部分：标准化文件的结构和起草规则》和GB/T 20001.10-2014《标准编写规则 第10部分：产品标准》给出的规则起草。</w:t>
      </w:r>
    </w:p>
    <w:p w14:paraId="123AA134">
      <w:pPr>
        <w:pStyle w:val="57"/>
        <w:ind w:firstLine="420"/>
      </w:pPr>
      <w:r>
        <w:rPr>
          <w:rFonts w:hint="eastAsia"/>
        </w:rPr>
        <w:t>本文件按中国工程建设标准化协会《关于印发</w:t>
      </w:r>
      <w:r>
        <w:rPr>
          <w:rFonts w:hint="eastAsia"/>
          <w:lang w:eastAsia="zh-CN"/>
        </w:rPr>
        <w:t>〈</w:t>
      </w:r>
      <w:r>
        <w:rPr>
          <w:rFonts w:hint="eastAsia"/>
        </w:rPr>
        <w:t>202</w:t>
      </w:r>
      <w:r>
        <w:rPr>
          <w:rFonts w:hint="eastAsia"/>
          <w:lang w:val="en-US" w:eastAsia="zh-CN"/>
        </w:rPr>
        <w:t>3</w:t>
      </w:r>
      <w:r>
        <w:rPr>
          <w:rFonts w:hint="eastAsia"/>
        </w:rPr>
        <w:t>年第二批协会标准制订、修订计划</w:t>
      </w:r>
      <w:r>
        <w:rPr>
          <w:rFonts w:hint="eastAsia"/>
          <w:lang w:eastAsia="zh-CN"/>
        </w:rPr>
        <w:t>〉的通知》</w:t>
      </w:r>
      <w:r>
        <w:rPr>
          <w:rFonts w:hint="eastAsia"/>
        </w:rPr>
        <w:t>（建标协字〔202</w:t>
      </w:r>
      <w:r>
        <w:rPr>
          <w:rFonts w:hint="eastAsia"/>
          <w:lang w:val="en-US" w:eastAsia="zh-CN"/>
        </w:rPr>
        <w:t>3</w:t>
      </w:r>
      <w:r>
        <w:rPr>
          <w:rFonts w:hint="eastAsia"/>
        </w:rPr>
        <w:t>〕</w:t>
      </w:r>
      <w:r>
        <w:rPr>
          <w:rFonts w:hint="eastAsia"/>
          <w:lang w:val="en-US" w:eastAsia="zh-CN"/>
        </w:rPr>
        <w:t>5</w:t>
      </w:r>
      <w:r>
        <w:rPr>
          <w:rFonts w:hint="eastAsia"/>
        </w:rPr>
        <w:t>0号）的要求制定。</w:t>
      </w:r>
    </w:p>
    <w:p w14:paraId="7225B339">
      <w:pPr>
        <w:pStyle w:val="57"/>
        <w:ind w:firstLine="420"/>
      </w:pPr>
      <w:r>
        <w:rPr>
          <w:rFonts w:hint="eastAsia"/>
        </w:rPr>
        <w:t>请注意本文件的某些内容可能</w:t>
      </w:r>
      <w:r>
        <w:rPr>
          <w:rFonts w:hint="eastAsia"/>
          <w:lang w:val="en-US" w:eastAsia="zh-CN"/>
        </w:rPr>
        <w:t>直接或间接</w:t>
      </w:r>
      <w:r>
        <w:rPr>
          <w:rFonts w:hint="eastAsia"/>
        </w:rPr>
        <w:t>涉及专利。本文件的发布机构不承担识别专利的责任。</w:t>
      </w:r>
    </w:p>
    <w:p w14:paraId="20A443DD">
      <w:pPr>
        <w:pStyle w:val="57"/>
        <w:ind w:firstLine="420"/>
      </w:pPr>
      <w:r>
        <w:rPr>
          <w:rFonts w:hint="eastAsia"/>
        </w:rPr>
        <w:t>本文件由中国工程建设标准化协会提出。</w:t>
      </w:r>
    </w:p>
    <w:p w14:paraId="3FD3B490">
      <w:pPr>
        <w:pStyle w:val="57"/>
        <w:ind w:firstLine="420"/>
      </w:pPr>
      <w:r>
        <w:rPr>
          <w:rFonts w:hint="eastAsia"/>
        </w:rPr>
        <w:t>本文件由</w:t>
      </w:r>
      <w:r>
        <w:rPr>
          <w:rFonts w:hint="eastAsia"/>
          <w:lang w:val="en-US" w:eastAsia="zh-CN"/>
        </w:rPr>
        <w:t>中国工程建设标准化协会建筑幕墙门窗专业委员会</w:t>
      </w:r>
      <w:bookmarkStart w:id="133" w:name="_GoBack"/>
      <w:bookmarkEnd w:id="133"/>
      <w:r>
        <w:rPr>
          <w:rFonts w:hint="eastAsia"/>
        </w:rPr>
        <w:t>归口。</w:t>
      </w:r>
    </w:p>
    <w:p w14:paraId="5FD097F7">
      <w:pPr>
        <w:pStyle w:val="57"/>
        <w:ind w:firstLine="420"/>
        <w:rPr>
          <w:rFonts w:hint="default" w:eastAsia="宋体"/>
          <w:lang w:val="en-US" w:eastAsia="zh-CN"/>
        </w:rPr>
      </w:pPr>
      <w:r>
        <w:rPr>
          <w:rFonts w:hint="eastAsia"/>
        </w:rPr>
        <w:t>本文件起草单位：深圳好博窗控技术股份有限公司</w:t>
      </w:r>
    </w:p>
    <w:p w14:paraId="4D7BF3EF">
      <w:pPr>
        <w:pStyle w:val="57"/>
        <w:ind w:firstLine="420"/>
        <w:rPr>
          <w:rFonts w:hint="default" w:eastAsia="宋体"/>
          <w:lang w:val="en-US" w:eastAsia="zh-CN"/>
        </w:rPr>
      </w:pPr>
      <w:r>
        <w:rPr>
          <w:rFonts w:hint="eastAsia"/>
          <w:lang w:val="en-US" w:eastAsia="zh-CN"/>
        </w:rPr>
        <w:t>本文件参加起草单位：</w:t>
      </w:r>
    </w:p>
    <w:p w14:paraId="7BA3D18C">
      <w:pPr>
        <w:pStyle w:val="57"/>
        <w:ind w:firstLine="420"/>
      </w:pPr>
      <w:r>
        <w:rPr>
          <w:rFonts w:hint="eastAsia"/>
        </w:rPr>
        <w:t>本文件主要起草人：</w:t>
      </w:r>
    </w:p>
    <w:p w14:paraId="5C2C513C">
      <w:pPr>
        <w:pStyle w:val="57"/>
        <w:ind w:firstLine="420"/>
        <w:sectPr>
          <w:footerReference r:id="rId14" w:type="default"/>
          <w:pgSz w:w="11906" w:h="16838"/>
          <w:pgMar w:top="1871" w:right="1134" w:bottom="1134" w:left="1134" w:header="1418" w:footer="1134" w:gutter="284"/>
          <w:pgNumType w:fmt="upperRoman"/>
          <w:cols w:space="425" w:num="1"/>
          <w:formProt w:val="0"/>
          <w:docGrid w:type="lines" w:linePitch="312" w:charSpace="0"/>
        </w:sectPr>
      </w:pPr>
    </w:p>
    <w:bookmarkEnd w:id="22"/>
    <w:p w14:paraId="1C37EF04">
      <w:pPr>
        <w:pStyle w:val="57"/>
        <w:ind w:left="0" w:leftChars="0" w:firstLine="0" w:firstLineChars="0"/>
      </w:pPr>
      <w:bookmarkStart w:id="23" w:name="BookMark3"/>
    </w:p>
    <w:p w14:paraId="5592FEC3">
      <w:pPr>
        <w:pStyle w:val="57"/>
      </w:pPr>
    </w:p>
    <w:bookmarkEnd w:id="23"/>
    <w:p w14:paraId="5303C3E1">
      <w:pPr>
        <w:spacing w:line="20" w:lineRule="exact"/>
        <w:jc w:val="center"/>
        <w:rPr>
          <w:rFonts w:ascii="黑体" w:hAnsi="黑体" w:eastAsia="黑体"/>
          <w:sz w:val="32"/>
          <w:szCs w:val="32"/>
        </w:rPr>
      </w:pPr>
      <w:bookmarkStart w:id="24" w:name="BookMark4"/>
    </w:p>
    <w:p w14:paraId="12BC2A97">
      <w:pPr>
        <w:spacing w:line="20" w:lineRule="exact"/>
        <w:jc w:val="center"/>
        <w:rPr>
          <w:rFonts w:ascii="黑体" w:hAnsi="黑体" w:eastAsia="黑体"/>
          <w:sz w:val="32"/>
          <w:szCs w:val="32"/>
        </w:rPr>
      </w:pPr>
    </w:p>
    <w:sdt>
      <w:sdtPr>
        <w:tag w:val="NEW_STAND_NAME"/>
        <w:id w:val="595910757"/>
        <w:lock w:val="sdtLocked"/>
        <w:placeholder>
          <w:docPart w:val="8DD466AA5B634692AE5843E0F6D9F7F9"/>
        </w:placeholder>
      </w:sdtPr>
      <w:sdtContent>
        <w:p w14:paraId="141B3ED2">
          <w:pPr>
            <w:pStyle w:val="178"/>
            <w:spacing w:before="567" w:beforeLines="182" w:after="686" w:afterLines="220"/>
          </w:pPr>
          <w:bookmarkStart w:id="25" w:name="NEW_STAND_NAME"/>
          <w:r>
            <w:rPr>
              <w:rFonts w:hint="eastAsia"/>
              <w:lang w:val="en-US" w:eastAsia="zh-CN"/>
            </w:rPr>
            <w:t>民用建筑用推拉密封窗</w:t>
          </w:r>
        </w:p>
      </w:sdtContent>
    </w:sdt>
    <w:bookmarkEnd w:id="25"/>
    <w:p w14:paraId="2F3CD753">
      <w:pPr>
        <w:pStyle w:val="105"/>
        <w:spacing w:before="312" w:after="312"/>
      </w:pPr>
      <w:bookmarkStart w:id="26" w:name="_Toc26648465"/>
      <w:bookmarkStart w:id="27" w:name="_Toc18344"/>
      <w:bookmarkStart w:id="28" w:name="_Toc17233325"/>
      <w:bookmarkStart w:id="29" w:name="_Toc24884211"/>
      <w:bookmarkStart w:id="30" w:name="_Toc24884218"/>
      <w:bookmarkStart w:id="31" w:name="_Toc17233333"/>
      <w:bookmarkStart w:id="32" w:name="_Toc26986771"/>
      <w:bookmarkStart w:id="33" w:name="_Toc24989"/>
      <w:bookmarkStart w:id="34" w:name="_Toc26986530"/>
      <w:bookmarkStart w:id="35" w:name="_Toc26718930"/>
      <w:r>
        <w:rPr>
          <w:rFonts w:hint="eastAsia"/>
        </w:rPr>
        <w:t>范围</w:t>
      </w:r>
      <w:bookmarkEnd w:id="26"/>
      <w:bookmarkEnd w:id="27"/>
      <w:bookmarkEnd w:id="28"/>
      <w:bookmarkEnd w:id="29"/>
      <w:bookmarkEnd w:id="30"/>
      <w:bookmarkEnd w:id="31"/>
      <w:bookmarkEnd w:id="32"/>
      <w:bookmarkEnd w:id="33"/>
      <w:bookmarkEnd w:id="34"/>
      <w:bookmarkEnd w:id="35"/>
    </w:p>
    <w:p w14:paraId="4FE601EC">
      <w:pPr>
        <w:pStyle w:val="57"/>
        <w:ind w:firstLine="420"/>
        <w:rPr>
          <w:rFonts w:hint="eastAsia"/>
        </w:rPr>
      </w:pPr>
      <w:bookmarkStart w:id="36" w:name="_Toc24884212"/>
      <w:bookmarkStart w:id="37" w:name="_Toc17233334"/>
      <w:bookmarkStart w:id="38" w:name="_Toc26648466"/>
      <w:bookmarkStart w:id="39" w:name="_Toc24884219"/>
      <w:bookmarkStart w:id="40" w:name="_Toc17233326"/>
      <w:r>
        <w:rPr>
          <w:rFonts w:hint="eastAsia"/>
        </w:rPr>
        <w:t>本</w:t>
      </w:r>
      <w:r>
        <w:rPr>
          <w:rFonts w:hint="eastAsia"/>
          <w:lang w:val="en-US" w:eastAsia="zh-CN"/>
        </w:rPr>
        <w:t>文件</w:t>
      </w:r>
      <w:r>
        <w:rPr>
          <w:rFonts w:hint="eastAsia"/>
        </w:rPr>
        <w:t>规定了民用建筑用推拉密封窗的术语和定义、要求、试验方法、检验规则、</w:t>
      </w:r>
      <w:r>
        <w:rPr>
          <w:rFonts w:hint="eastAsia"/>
          <w:lang w:val="en-US" w:eastAsia="zh-CN"/>
        </w:rPr>
        <w:t>文件标志及随行文件、包装、运输和贮存</w:t>
      </w:r>
      <w:r>
        <w:rPr>
          <w:rFonts w:hint="eastAsia"/>
        </w:rPr>
        <w:t>。</w:t>
      </w:r>
    </w:p>
    <w:p w14:paraId="19C39400">
      <w:pPr>
        <w:pStyle w:val="57"/>
        <w:ind w:firstLine="420"/>
        <w:rPr>
          <w:rFonts w:hint="eastAsia"/>
        </w:rPr>
      </w:pPr>
      <w:r>
        <w:rPr>
          <w:rFonts w:hint="eastAsia"/>
        </w:rPr>
        <w:t>本</w:t>
      </w:r>
      <w:r>
        <w:rPr>
          <w:rFonts w:hint="eastAsia"/>
          <w:lang w:val="en-US" w:eastAsia="zh-CN"/>
        </w:rPr>
        <w:t>文件</w:t>
      </w:r>
      <w:r>
        <w:rPr>
          <w:rFonts w:hint="eastAsia"/>
        </w:rPr>
        <w:t>适用于民用建筑使用的推拉类密封窗，包括侧压推拉窗和侧移推拉窗。</w:t>
      </w:r>
    </w:p>
    <w:p w14:paraId="06A5B8F9">
      <w:pPr>
        <w:pStyle w:val="105"/>
        <w:spacing w:before="312" w:after="312"/>
      </w:pPr>
      <w:bookmarkStart w:id="41" w:name="_Toc6323"/>
      <w:bookmarkStart w:id="42" w:name="_Toc26986531"/>
      <w:bookmarkStart w:id="43" w:name="_Toc26718931"/>
      <w:bookmarkStart w:id="44" w:name="_Toc26986772"/>
      <w:bookmarkStart w:id="45" w:name="_Toc7238"/>
      <w:r>
        <w:rPr>
          <w:rFonts w:hint="eastAsia"/>
        </w:rPr>
        <w:t>规范性引用文件</w:t>
      </w:r>
      <w:bookmarkEnd w:id="36"/>
      <w:bookmarkEnd w:id="37"/>
      <w:bookmarkEnd w:id="38"/>
      <w:bookmarkEnd w:id="39"/>
      <w:bookmarkEnd w:id="40"/>
      <w:bookmarkEnd w:id="41"/>
      <w:bookmarkEnd w:id="42"/>
      <w:bookmarkEnd w:id="43"/>
      <w:bookmarkEnd w:id="44"/>
      <w:bookmarkEnd w:id="45"/>
    </w:p>
    <w:sdt>
      <w:sdtPr>
        <w:rPr>
          <w:rFonts w:hint="eastAsia"/>
        </w:rPr>
        <w:id w:val="715848253"/>
        <w:placeholder>
          <w:docPart w:val="4032439E6D3A49189AD006BF6EB43BC9"/>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14:paraId="77A991B9">
          <w:pPr>
            <w:pStyle w:val="57"/>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bookmarkEnd w:id="24"/>
    <w:p w14:paraId="6DE8CA69">
      <w:pPr>
        <w:pStyle w:val="57"/>
        <w:ind w:firstLine="420"/>
        <w:rPr>
          <w:rFonts w:hint="default" w:eastAsia="宋体"/>
          <w:lang w:val="en-US" w:eastAsia="zh-CN"/>
        </w:rPr>
      </w:pPr>
      <w:r>
        <w:rPr>
          <w:rFonts w:hint="eastAsia" w:hAnsi="宋体"/>
        </w:rPr>
        <w:t>GB/T 191</w:t>
      </w:r>
      <w:r>
        <w:rPr>
          <w:rFonts w:hint="eastAsia" w:hAnsi="宋体"/>
          <w:lang w:val="en-US" w:eastAsia="zh-CN"/>
        </w:rPr>
        <w:t xml:space="preserve"> 包装储运图示标志</w:t>
      </w:r>
    </w:p>
    <w:p w14:paraId="18308D08">
      <w:pPr>
        <w:pStyle w:val="57"/>
        <w:ind w:firstLine="420"/>
        <w:rPr>
          <w:rFonts w:hint="eastAsia" w:eastAsia="宋体"/>
          <w:lang w:val="en-US" w:eastAsia="zh-CN"/>
        </w:rPr>
      </w:pPr>
      <w:r>
        <w:rPr>
          <w:rFonts w:hint="eastAsia" w:hAnsi="宋体"/>
        </w:rPr>
        <w:t>GB/T 5823</w:t>
      </w:r>
      <w:r>
        <w:rPr>
          <w:rFonts w:hint="eastAsia" w:hAnsi="宋体"/>
          <w:lang w:val="en-US" w:eastAsia="zh-CN"/>
        </w:rPr>
        <w:t xml:space="preserve"> </w:t>
      </w:r>
      <w:r>
        <w:rPr>
          <w:rFonts w:hint="default" w:hAnsi="宋体"/>
        </w:rPr>
        <w:t>建筑门窗术语</w:t>
      </w:r>
    </w:p>
    <w:p w14:paraId="20F41F1F">
      <w:pPr>
        <w:pStyle w:val="57"/>
        <w:ind w:firstLine="420"/>
        <w:rPr>
          <w:rFonts w:hint="eastAsia" w:eastAsia="宋体"/>
          <w:lang w:val="en-US" w:eastAsia="zh-CN"/>
        </w:rPr>
      </w:pPr>
      <w:r>
        <w:rPr>
          <w:rFonts w:hint="eastAsia" w:hAnsi="宋体"/>
        </w:rPr>
        <w:t>GB/T 5824</w:t>
      </w:r>
      <w:r>
        <w:rPr>
          <w:rFonts w:hint="eastAsia" w:hAnsi="宋体"/>
          <w:lang w:val="en-US" w:eastAsia="zh-CN"/>
        </w:rPr>
        <w:t xml:space="preserve"> </w:t>
      </w:r>
      <w:r>
        <w:rPr>
          <w:rFonts w:hint="default" w:hAnsi="宋体"/>
        </w:rPr>
        <w:t>建筑门窗洞口尺寸系列</w:t>
      </w:r>
    </w:p>
    <w:p w14:paraId="7DE4BCA2">
      <w:pPr>
        <w:pStyle w:val="57"/>
        <w:ind w:firstLine="420"/>
        <w:rPr>
          <w:rFonts w:hint="default" w:hAnsi="宋体"/>
          <w:color w:val="000000"/>
          <w:lang w:val="en-US" w:eastAsia="zh-CN"/>
        </w:rPr>
      </w:pPr>
      <w:r>
        <w:rPr>
          <w:rFonts w:hint="eastAsia" w:hAnsi="宋体"/>
          <w:lang w:val="en-US" w:eastAsia="zh-CN"/>
        </w:rPr>
        <w:t xml:space="preserve">GB/T 7106  </w:t>
      </w:r>
      <w:r>
        <w:rPr>
          <w:rFonts w:hint="default" w:hAnsi="宋体"/>
        </w:rPr>
        <w:t>建筑外门窗气密、水密、抗风压性能检测方法</w:t>
      </w:r>
    </w:p>
    <w:p w14:paraId="396568A8">
      <w:pPr>
        <w:pStyle w:val="57"/>
        <w:ind w:firstLine="420"/>
        <w:rPr>
          <w:rFonts w:hint="eastAsia" w:hAnsi="宋体" w:eastAsia="宋体"/>
          <w:color w:val="000000"/>
          <w:lang w:val="en-US" w:eastAsia="zh-CN"/>
        </w:rPr>
      </w:pPr>
      <w:r>
        <w:rPr>
          <w:rFonts w:hint="eastAsia" w:hAnsi="宋体"/>
          <w:lang w:val="en-US" w:eastAsia="zh-CN"/>
        </w:rPr>
        <w:t xml:space="preserve">GB/T 7759.1 </w:t>
      </w:r>
      <w:r>
        <w:rPr>
          <w:rFonts w:hint="default" w:hAnsi="宋体"/>
          <w:lang w:val="en-US" w:eastAsia="zh-CN"/>
        </w:rPr>
        <w:t>硫化橡胶或热塑性橡胶 压缩永久变形的测定 第1部分：在常温及高温条件下</w:t>
      </w:r>
    </w:p>
    <w:p w14:paraId="567B5B06">
      <w:pPr>
        <w:pStyle w:val="57"/>
        <w:ind w:firstLine="420"/>
        <w:rPr>
          <w:rFonts w:hint="eastAsia" w:hAnsi="宋体" w:eastAsia="宋体"/>
          <w:color w:val="000000"/>
          <w:lang w:val="en-US" w:eastAsia="zh-CN"/>
        </w:rPr>
      </w:pPr>
      <w:r>
        <w:rPr>
          <w:rFonts w:hint="eastAsia" w:hAnsi="宋体"/>
          <w:lang w:val="en-US" w:eastAsia="zh-CN"/>
        </w:rPr>
        <w:t xml:space="preserve">GB/T 8478 </w:t>
      </w:r>
      <w:r>
        <w:rPr>
          <w:rFonts w:hint="default" w:hAnsi="宋体"/>
          <w:lang w:val="en-US" w:eastAsia="zh-CN"/>
        </w:rPr>
        <w:t>铝合金门窗</w:t>
      </w:r>
    </w:p>
    <w:p w14:paraId="7720A6D0">
      <w:pPr>
        <w:pStyle w:val="57"/>
        <w:ind w:firstLine="420"/>
        <w:rPr>
          <w:rFonts w:hint="eastAsia" w:eastAsia="宋体"/>
          <w:lang w:val="en-US" w:eastAsia="zh-CN"/>
        </w:rPr>
      </w:pPr>
      <w:r>
        <w:rPr>
          <w:rFonts w:hint="eastAsia" w:hAnsi="宋体"/>
          <w:lang w:val="en-US" w:eastAsia="zh-CN"/>
        </w:rPr>
        <w:t xml:space="preserve">GB/T 8814 </w:t>
      </w:r>
      <w:r>
        <w:rPr>
          <w:rFonts w:hint="default" w:hAnsi="宋体"/>
          <w:lang w:val="en-US" w:eastAsia="zh-CN"/>
        </w:rPr>
        <w:t>门、窗用未增塑聚氯乙烯(PVC-U)型材</w:t>
      </w:r>
    </w:p>
    <w:p w14:paraId="53B08D68">
      <w:pPr>
        <w:pStyle w:val="57"/>
        <w:ind w:firstLine="420"/>
        <w:rPr>
          <w:rFonts w:hint="eastAsia" w:eastAsia="宋体"/>
          <w:lang w:val="en-US" w:eastAsia="zh-CN"/>
        </w:rPr>
      </w:pPr>
      <w:r>
        <w:rPr>
          <w:rFonts w:hint="eastAsia" w:hAnsi="宋体"/>
          <w:lang w:val="en-US" w:eastAsia="zh-CN"/>
        </w:rPr>
        <w:t xml:space="preserve">GB/T 9158 </w:t>
      </w:r>
      <w:r>
        <w:rPr>
          <w:rFonts w:hint="default" w:hAnsi="宋体"/>
          <w:lang w:val="en-US" w:eastAsia="zh-CN"/>
        </w:rPr>
        <w:t>建筑门窗力学性能检测方法</w:t>
      </w:r>
    </w:p>
    <w:p w14:paraId="68977AE9">
      <w:pPr>
        <w:pStyle w:val="57"/>
        <w:ind w:firstLine="420"/>
        <w:rPr>
          <w:rFonts w:hint="default" w:eastAsia="宋体"/>
          <w:lang w:val="en-US" w:eastAsia="zh-CN"/>
        </w:rPr>
      </w:pPr>
      <w:r>
        <w:rPr>
          <w:rFonts w:hint="eastAsia" w:hAnsi="宋体"/>
          <w:lang w:val="en-US" w:eastAsia="zh-CN"/>
        </w:rPr>
        <w:t xml:space="preserve">GB/T 11253 </w:t>
      </w:r>
      <w:r>
        <w:rPr>
          <w:rFonts w:hint="default" w:hAnsi="宋体"/>
          <w:lang w:val="en-US" w:eastAsia="zh-CN"/>
        </w:rPr>
        <w:t>碳素结构钢冷轧钢板及钢带</w:t>
      </w:r>
    </w:p>
    <w:p w14:paraId="27227DDE">
      <w:pPr>
        <w:pStyle w:val="57"/>
        <w:ind w:firstLine="420"/>
        <w:rPr>
          <w:rFonts w:hint="eastAsia" w:eastAsia="宋体"/>
          <w:lang w:val="en-US" w:eastAsia="zh-CN"/>
        </w:rPr>
      </w:pPr>
      <w:r>
        <w:rPr>
          <w:rFonts w:hint="eastAsia" w:hAnsi="宋体"/>
          <w:lang w:val="en-US" w:eastAsia="zh-CN"/>
        </w:rPr>
        <w:t xml:space="preserve">GB 11614 </w:t>
      </w:r>
      <w:r>
        <w:rPr>
          <w:rFonts w:hint="default" w:hAnsi="宋体"/>
          <w:lang w:val="en-US" w:eastAsia="zh-CN"/>
        </w:rPr>
        <w:t>平板玻璃</w:t>
      </w:r>
    </w:p>
    <w:p w14:paraId="52897597">
      <w:pPr>
        <w:pStyle w:val="57"/>
        <w:ind w:firstLine="420"/>
        <w:rPr>
          <w:rFonts w:hint="default" w:eastAsia="宋体"/>
          <w:lang w:val="en-US" w:eastAsia="zh-CN"/>
        </w:rPr>
      </w:pPr>
      <w:r>
        <w:rPr>
          <w:rFonts w:hint="eastAsia"/>
        </w:rPr>
        <w:t>GB/T 11944</w:t>
      </w:r>
      <w:r>
        <w:rPr>
          <w:rFonts w:hint="eastAsia"/>
          <w:lang w:val="en-US" w:eastAsia="zh-CN"/>
        </w:rPr>
        <w:t xml:space="preserve"> 中空玻璃</w:t>
      </w:r>
    </w:p>
    <w:p w14:paraId="0FEB7DB6">
      <w:pPr>
        <w:pStyle w:val="57"/>
        <w:ind w:firstLine="420"/>
        <w:rPr>
          <w:rFonts w:hint="eastAsia" w:eastAsia="宋体"/>
          <w:lang w:val="en-US" w:eastAsia="zh-CN"/>
        </w:rPr>
      </w:pPr>
      <w:r>
        <w:rPr>
          <w:rFonts w:hint="eastAsia"/>
        </w:rPr>
        <w:t>GB 15763.1</w:t>
      </w:r>
      <w:r>
        <w:rPr>
          <w:rFonts w:hint="eastAsia"/>
          <w:lang w:val="en-US" w:eastAsia="zh-CN"/>
        </w:rPr>
        <w:t xml:space="preserve"> </w:t>
      </w:r>
      <w:r>
        <w:rPr>
          <w:rFonts w:hint="default"/>
        </w:rPr>
        <w:t>建筑用安全玻璃 第1部分：防火玻璃</w:t>
      </w:r>
    </w:p>
    <w:p w14:paraId="07F62381">
      <w:pPr>
        <w:pStyle w:val="57"/>
        <w:ind w:firstLine="420"/>
        <w:rPr>
          <w:rFonts w:hint="eastAsia" w:eastAsia="宋体"/>
          <w:lang w:val="en-US" w:eastAsia="zh-CN"/>
        </w:rPr>
      </w:pPr>
      <w:r>
        <w:rPr>
          <w:rFonts w:hint="eastAsia"/>
        </w:rPr>
        <w:t>GB/T 23999</w:t>
      </w:r>
      <w:r>
        <w:rPr>
          <w:rFonts w:hint="eastAsia"/>
          <w:lang w:val="en-US" w:eastAsia="zh-CN"/>
        </w:rPr>
        <w:t xml:space="preserve"> </w:t>
      </w:r>
      <w:r>
        <w:rPr>
          <w:rFonts w:hint="default"/>
        </w:rPr>
        <w:t>室内装饰装修用水性木器涂料</w:t>
      </w:r>
    </w:p>
    <w:p w14:paraId="067DF277">
      <w:pPr>
        <w:pStyle w:val="57"/>
        <w:ind w:firstLine="420"/>
        <w:rPr>
          <w:rFonts w:hint="eastAsia" w:eastAsia="宋体"/>
          <w:lang w:val="en-US" w:eastAsia="zh-CN"/>
        </w:rPr>
      </w:pPr>
      <w:r>
        <w:rPr>
          <w:rFonts w:hint="eastAsia"/>
        </w:rPr>
        <w:t>GB/T 24498</w:t>
      </w:r>
      <w:r>
        <w:rPr>
          <w:rFonts w:hint="eastAsia"/>
          <w:lang w:val="en-US" w:eastAsia="zh-CN"/>
        </w:rPr>
        <w:t xml:space="preserve"> </w:t>
      </w:r>
      <w:r>
        <w:rPr>
          <w:rFonts w:hint="default"/>
        </w:rPr>
        <w:t>建筑门窗、幕墙用密封胶条</w:t>
      </w:r>
    </w:p>
    <w:p w14:paraId="76363866">
      <w:pPr>
        <w:pStyle w:val="57"/>
        <w:ind w:firstLine="420"/>
        <w:rPr>
          <w:rFonts w:hint="eastAsia" w:hAnsi="宋体" w:eastAsia="宋体"/>
          <w:lang w:val="en-US" w:eastAsia="zh-CN"/>
        </w:rPr>
      </w:pPr>
      <w:r>
        <w:rPr>
          <w:rFonts w:hint="eastAsia"/>
        </w:rPr>
        <w:t>GB/T 29048</w:t>
      </w:r>
      <w:r>
        <w:rPr>
          <w:rFonts w:hint="eastAsia"/>
          <w:lang w:val="en-US" w:eastAsia="zh-CN"/>
        </w:rPr>
        <w:t xml:space="preserve"> </w:t>
      </w:r>
      <w:r>
        <w:rPr>
          <w:rFonts w:hint="default"/>
        </w:rPr>
        <w:t>窗的启闭力试验方法</w:t>
      </w:r>
    </w:p>
    <w:p w14:paraId="3C31CFD4">
      <w:pPr>
        <w:pStyle w:val="57"/>
        <w:ind w:firstLine="420"/>
        <w:rPr>
          <w:rFonts w:hint="eastAsia"/>
          <w:lang w:val="en-US" w:eastAsia="zh-CN"/>
        </w:rPr>
      </w:pPr>
      <w:r>
        <w:rPr>
          <w:rFonts w:hint="eastAsia"/>
        </w:rPr>
        <w:t>GB/T 29738—2013</w:t>
      </w:r>
      <w:r>
        <w:rPr>
          <w:rFonts w:hint="eastAsia"/>
          <w:lang w:val="en-US" w:eastAsia="zh-CN"/>
        </w:rPr>
        <w:t xml:space="preserve"> </w:t>
      </w:r>
      <w:r>
        <w:rPr>
          <w:rFonts w:hint="default"/>
        </w:rPr>
        <w:t>建筑幕墙和门窗抗风携碎物冲击性能分级及检测方法</w:t>
      </w:r>
    </w:p>
    <w:p w14:paraId="7F792F35">
      <w:pPr>
        <w:pStyle w:val="57"/>
        <w:ind w:firstLine="420"/>
        <w:rPr>
          <w:rFonts w:hint="default" w:hAnsi="宋体" w:eastAsia="宋体"/>
          <w:lang w:val="en-US" w:eastAsia="zh-CN"/>
        </w:rPr>
      </w:pPr>
      <w:r>
        <w:rPr>
          <w:rFonts w:hint="eastAsia"/>
        </w:rPr>
        <w:t>GB/T 29738</w:t>
      </w:r>
      <w:r>
        <w:rPr>
          <w:rFonts w:hint="eastAsia"/>
          <w:lang w:val="en-US" w:eastAsia="zh-CN"/>
        </w:rPr>
        <w:t xml:space="preserve"> </w:t>
      </w:r>
      <w:r>
        <w:rPr>
          <w:rFonts w:hint="default"/>
        </w:rPr>
        <w:t>建筑幕墙和门窗抗风携碎物冲击性能分级及检测方法</w:t>
      </w:r>
    </w:p>
    <w:p w14:paraId="77303AFA">
      <w:pPr>
        <w:pStyle w:val="57"/>
        <w:ind w:firstLine="420"/>
        <w:rPr>
          <w:rFonts w:hint="eastAsia" w:eastAsia="宋体"/>
          <w:lang w:val="en-US" w:eastAsia="zh-CN"/>
        </w:rPr>
      </w:pPr>
      <w:r>
        <w:rPr>
          <w:rFonts w:hint="eastAsia"/>
        </w:rPr>
        <w:t>GB/T 31433</w:t>
      </w:r>
      <w:r>
        <w:rPr>
          <w:rFonts w:hint="eastAsia"/>
          <w:lang w:val="en-US" w:eastAsia="zh-CN"/>
        </w:rPr>
        <w:t xml:space="preserve"> </w:t>
      </w:r>
      <w:r>
        <w:rPr>
          <w:rFonts w:hint="default"/>
        </w:rPr>
        <w:t>建筑幕墙、门窗通用技术条件</w:t>
      </w:r>
    </w:p>
    <w:p w14:paraId="5F37B106">
      <w:pPr>
        <w:pStyle w:val="57"/>
        <w:ind w:firstLine="420"/>
        <w:rPr>
          <w:rFonts w:hint="eastAsia" w:hAnsi="宋体" w:eastAsia="宋体"/>
          <w:color w:val="000000"/>
          <w:lang w:val="en-US" w:eastAsia="zh-CN"/>
        </w:rPr>
      </w:pPr>
      <w:r>
        <w:rPr>
          <w:rFonts w:hint="eastAsia"/>
        </w:rPr>
        <w:t>JGJ 113</w:t>
      </w:r>
      <w:r>
        <w:rPr>
          <w:rFonts w:hint="eastAsia"/>
          <w:lang w:val="en-US" w:eastAsia="zh-CN"/>
        </w:rPr>
        <w:t xml:space="preserve"> </w:t>
      </w:r>
      <w:r>
        <w:rPr>
          <w:rFonts w:hint="default"/>
        </w:rPr>
        <w:t>建筑玻璃应用技术规程</w:t>
      </w:r>
    </w:p>
    <w:p w14:paraId="1B48E6F2">
      <w:pPr>
        <w:pStyle w:val="57"/>
        <w:ind w:firstLine="420"/>
        <w:rPr>
          <w:rFonts w:hint="eastAsia" w:hAnsi="宋体" w:eastAsia="宋体"/>
          <w:color w:val="000000"/>
          <w:lang w:val="en-US" w:eastAsia="zh-CN"/>
        </w:rPr>
      </w:pPr>
      <w:r>
        <w:rPr>
          <w:rFonts w:hint="eastAsia"/>
        </w:rPr>
        <w:t>JG/T 131</w:t>
      </w:r>
      <w:r>
        <w:rPr>
          <w:rFonts w:hint="eastAsia"/>
          <w:lang w:val="en-US" w:eastAsia="zh-CN"/>
        </w:rPr>
        <w:t xml:space="preserve"> </w:t>
      </w:r>
      <w:r>
        <w:rPr>
          <w:rFonts w:hint="default"/>
        </w:rPr>
        <w:t>聚氯乙烯（PVC）门窗增强型钢</w:t>
      </w:r>
    </w:p>
    <w:p w14:paraId="5E3F2772">
      <w:pPr>
        <w:pStyle w:val="57"/>
        <w:ind w:firstLine="420"/>
        <w:rPr>
          <w:rFonts w:hint="eastAsia" w:hAnsi="宋体" w:eastAsia="宋体"/>
          <w:color w:val="000000"/>
          <w:lang w:val="en-US" w:eastAsia="zh-CN"/>
        </w:rPr>
      </w:pPr>
      <w:r>
        <w:rPr>
          <w:rFonts w:hint="eastAsia"/>
        </w:rPr>
        <w:t>JGJ/T 151</w:t>
      </w:r>
      <w:r>
        <w:rPr>
          <w:rFonts w:hint="eastAsia"/>
          <w:lang w:val="en-US" w:eastAsia="zh-CN"/>
        </w:rPr>
        <w:t xml:space="preserve"> </w:t>
      </w:r>
      <w:r>
        <w:rPr>
          <w:rFonts w:hint="default"/>
        </w:rPr>
        <w:t>建筑门窗玻璃幕墙热工计算规程</w:t>
      </w:r>
    </w:p>
    <w:p w14:paraId="4D8936D7">
      <w:pPr>
        <w:pStyle w:val="57"/>
        <w:ind w:firstLine="420"/>
        <w:rPr>
          <w:rFonts w:hint="eastAsia" w:hAnsi="宋体" w:eastAsia="宋体"/>
          <w:color w:val="000000"/>
          <w:lang w:val="en-US" w:eastAsia="zh-CN"/>
        </w:rPr>
      </w:pPr>
      <w:r>
        <w:rPr>
          <w:rFonts w:hint="eastAsia"/>
        </w:rPr>
        <w:t>JG/T 440</w:t>
      </w:r>
      <w:r>
        <w:rPr>
          <w:rFonts w:hint="eastAsia"/>
          <w:lang w:val="en-US" w:eastAsia="zh-CN"/>
        </w:rPr>
        <w:t xml:space="preserve"> </w:t>
      </w:r>
      <w:r>
        <w:rPr>
          <w:rFonts w:hint="default"/>
        </w:rPr>
        <w:t>建筑门窗遮阳性能检测方法</w:t>
      </w:r>
    </w:p>
    <w:p w14:paraId="6546BFA8">
      <w:pPr>
        <w:pStyle w:val="57"/>
        <w:ind w:firstLine="420"/>
        <w:rPr>
          <w:rFonts w:hint="eastAsia" w:hAnsi="宋体" w:eastAsia="宋体"/>
          <w:color w:val="000000"/>
          <w:lang w:val="en-US" w:eastAsia="zh-CN"/>
        </w:rPr>
      </w:pPr>
      <w:r>
        <w:rPr>
          <w:rFonts w:hint="eastAsia"/>
        </w:rPr>
        <w:t>JG/T 455</w:t>
      </w:r>
      <w:r>
        <w:rPr>
          <w:rFonts w:hint="eastAsia"/>
          <w:lang w:val="en-US" w:eastAsia="zh-CN"/>
        </w:rPr>
        <w:t xml:space="preserve"> </w:t>
      </w:r>
      <w:r>
        <w:rPr>
          <w:rFonts w:hint="default"/>
        </w:rPr>
        <w:t>建筑门窗幕墙用钢化玻璃</w:t>
      </w:r>
    </w:p>
    <w:p w14:paraId="5544397A">
      <w:pPr>
        <w:pStyle w:val="57"/>
        <w:ind w:firstLine="420"/>
        <w:rPr>
          <w:rFonts w:hint="eastAsia" w:eastAsia="宋体"/>
          <w:lang w:val="en-US" w:eastAsia="zh-CN"/>
        </w:rPr>
      </w:pPr>
      <w:r>
        <w:rPr>
          <w:rFonts w:hint="eastAsia"/>
        </w:rPr>
        <w:t>JC/T 2304</w:t>
      </w:r>
      <w:r>
        <w:rPr>
          <w:rFonts w:hint="eastAsia"/>
          <w:lang w:val="en-US" w:eastAsia="zh-CN"/>
        </w:rPr>
        <w:t xml:space="preserve"> </w:t>
      </w:r>
      <w:r>
        <w:rPr>
          <w:rFonts w:hint="default"/>
        </w:rPr>
        <w:t>建筑用保温隔热玻璃技术条件</w:t>
      </w:r>
    </w:p>
    <w:p w14:paraId="04681E13">
      <w:pPr>
        <w:pStyle w:val="105"/>
        <w:spacing w:before="312" w:after="312"/>
      </w:pPr>
      <w:bookmarkStart w:id="46" w:name="_Toc2647"/>
      <w:bookmarkStart w:id="47" w:name="_Toc23308"/>
      <w:bookmarkStart w:id="48" w:name="_Toc61428354"/>
      <w:bookmarkStart w:id="49" w:name="_Toc61553345"/>
      <w:r>
        <w:rPr>
          <w:rFonts w:hint="eastAsia"/>
          <w:szCs w:val="21"/>
        </w:rPr>
        <w:t>术语和定义</w:t>
      </w:r>
      <w:bookmarkEnd w:id="46"/>
      <w:bookmarkEnd w:id="47"/>
      <w:bookmarkEnd w:id="48"/>
      <w:bookmarkEnd w:id="49"/>
    </w:p>
    <w:sdt>
      <w:sdtPr>
        <w:id w:val="-1909835108"/>
        <w:placeholder>
          <w:docPart w:val="7B0BF34A932846FAA9388839B438211C"/>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5B838BB9">
          <w:pPr>
            <w:pStyle w:val="57"/>
            <w:ind w:firstLine="420"/>
          </w:pPr>
          <w:bookmarkStart w:id="50" w:name="_Toc26986532"/>
          <w:bookmarkEnd w:id="50"/>
          <w:r>
            <w:rPr>
              <w:rFonts w:hint="eastAsia"/>
            </w:rPr>
            <w:t>GB/T 5823、GB/T 5824 界定的以及下列术语和定义适用于本文件</w:t>
          </w:r>
          <w:r>
            <w:t>。</w:t>
          </w:r>
        </w:p>
      </w:sdtContent>
    </w:sdt>
    <w:p w14:paraId="045DF7D0">
      <w:pPr>
        <w:pStyle w:val="57"/>
        <w:ind w:firstLine="420"/>
      </w:pPr>
    </w:p>
    <w:p w14:paraId="13E9017A">
      <w:pPr>
        <w:pStyle w:val="224"/>
        <w:ind w:left="420" w:hanging="420" w:hangingChars="200"/>
        <w:rPr>
          <w:rFonts w:ascii="黑体" w:hAnsi="黑体" w:eastAsia="黑体"/>
        </w:rPr>
      </w:pPr>
      <w:r>
        <w:rPr>
          <w:rFonts w:ascii="黑体" w:hAnsi="黑体" w:eastAsia="黑体"/>
        </w:rPr>
        <w:br w:type="textWrapping"/>
      </w:r>
      <w:r>
        <w:rPr>
          <w:rFonts w:hint="eastAsia" w:ascii="黑体" w:hAnsi="黑体" w:eastAsia="黑体"/>
        </w:rPr>
        <w:t>密封压紧状态 seal compaction condition</w:t>
      </w:r>
    </w:p>
    <w:p w14:paraId="5D2A8A15">
      <w:pPr>
        <w:pStyle w:val="57"/>
        <w:ind w:firstLine="420"/>
      </w:pPr>
      <w:r>
        <w:rPr>
          <w:rFonts w:hint="eastAsia"/>
        </w:rPr>
        <w:t>窗扇法向垂直于扇平面向内侧移动，挤压密封胶条实现密封的状态。</w:t>
      </w:r>
    </w:p>
    <w:p w14:paraId="5AF748F9">
      <w:pPr>
        <w:pStyle w:val="105"/>
        <w:spacing w:before="240" w:after="240"/>
      </w:pPr>
      <w:bookmarkStart w:id="51" w:name="_Toc26828"/>
      <w:bookmarkStart w:id="52" w:name="_Toc8933"/>
      <w:r>
        <w:rPr>
          <w:rFonts w:hint="eastAsia"/>
        </w:rPr>
        <w:t>分类和标记</w:t>
      </w:r>
      <w:bookmarkEnd w:id="51"/>
      <w:bookmarkEnd w:id="52"/>
    </w:p>
    <w:p w14:paraId="5BB76267">
      <w:pPr>
        <w:pStyle w:val="106"/>
        <w:spacing w:before="120" w:after="120"/>
      </w:pPr>
      <w:bookmarkStart w:id="53" w:name="_Toc8580"/>
      <w:r>
        <w:rPr>
          <w:rFonts w:hint="eastAsia"/>
        </w:rPr>
        <w:t>分类和代号</w:t>
      </w:r>
      <w:bookmarkEnd w:id="53"/>
    </w:p>
    <w:p w14:paraId="2547037A">
      <w:pPr>
        <w:pStyle w:val="66"/>
        <w:spacing w:before="120" w:after="120"/>
      </w:pPr>
      <w:bookmarkStart w:id="54" w:name="_Toc20706"/>
      <w:r>
        <w:rPr>
          <w:rFonts w:hint="eastAsia"/>
        </w:rPr>
        <w:t>开启形式</w:t>
      </w:r>
      <w:bookmarkEnd w:id="54"/>
    </w:p>
    <w:p w14:paraId="305D350A">
      <w:pPr>
        <w:pStyle w:val="57"/>
        <w:ind w:firstLine="420"/>
      </w:pPr>
      <w:r>
        <w:rPr>
          <w:rFonts w:hint="eastAsia"/>
        </w:rPr>
        <w:t>根据开启形式不同，划分为两类：</w:t>
      </w:r>
    </w:p>
    <w:p w14:paraId="02C892AF">
      <w:pPr>
        <w:pStyle w:val="175"/>
      </w:pPr>
      <w:r>
        <w:rPr>
          <w:rFonts w:hint="eastAsia"/>
        </w:rPr>
        <w:t>侧压推拉窗，代号为</w:t>
      </w:r>
      <w:r>
        <w:rPr>
          <w:rFonts w:hint="eastAsia"/>
          <w:lang w:val="en-US" w:eastAsia="zh-CN"/>
        </w:rPr>
        <w:t xml:space="preserve"> </w:t>
      </w:r>
      <w:r>
        <w:rPr>
          <w:rFonts w:hint="eastAsia"/>
        </w:rPr>
        <w:t>YA</w:t>
      </w:r>
      <w:r>
        <w:rPr>
          <w:rFonts w:hint="eastAsia"/>
          <w:lang w:val="en-US" w:eastAsia="zh-CN"/>
        </w:rPr>
        <w:t xml:space="preserve"> </w:t>
      </w:r>
      <w:r>
        <w:rPr>
          <w:rFonts w:hint="eastAsia"/>
        </w:rPr>
        <w:t>；</w:t>
      </w:r>
    </w:p>
    <w:p w14:paraId="63AFF314">
      <w:pPr>
        <w:pStyle w:val="175"/>
      </w:pPr>
      <w:r>
        <w:rPr>
          <w:rFonts w:hint="eastAsia"/>
        </w:rPr>
        <w:t>侧移推拉窗，代号为</w:t>
      </w:r>
      <w:r>
        <w:rPr>
          <w:rFonts w:hint="eastAsia"/>
          <w:lang w:val="en-US" w:eastAsia="zh-CN"/>
        </w:rPr>
        <w:t xml:space="preserve"> </w:t>
      </w:r>
      <w:r>
        <w:rPr>
          <w:rFonts w:hint="eastAsia"/>
        </w:rPr>
        <w:t>YI</w:t>
      </w:r>
      <w:r>
        <w:rPr>
          <w:rFonts w:hint="eastAsia"/>
          <w:lang w:val="en-US" w:eastAsia="zh-CN"/>
        </w:rPr>
        <w:t xml:space="preserve"> </w:t>
      </w:r>
      <w:r>
        <w:rPr>
          <w:rFonts w:hint="eastAsia"/>
        </w:rPr>
        <w:t>。</w:t>
      </w:r>
    </w:p>
    <w:p w14:paraId="700D2640">
      <w:pPr>
        <w:pStyle w:val="66"/>
        <w:spacing w:before="120" w:after="120"/>
      </w:pPr>
      <w:bookmarkStart w:id="55" w:name="_Toc30697"/>
      <w:r>
        <w:rPr>
          <w:rFonts w:hint="eastAsia"/>
        </w:rPr>
        <w:t>系列</w:t>
      </w:r>
      <w:bookmarkEnd w:id="55"/>
    </w:p>
    <w:p w14:paraId="438149E1">
      <w:pPr>
        <w:pStyle w:val="57"/>
        <w:ind w:firstLine="420"/>
      </w:pPr>
      <w:r>
        <w:rPr>
          <w:rFonts w:hint="eastAsia"/>
        </w:rPr>
        <w:t>以窗框在洞口深度方向的厚度构造尺寸（</w:t>
      </w:r>
      <m:oMath>
        <m:sSub>
          <m:sSubPr>
            <m:ctrlPr>
              <w:rPr>
                <w:rFonts w:ascii="Cambria Math" w:hAnsi="Cambria Math"/>
                <w:i/>
              </w:rPr>
            </m:ctrlPr>
          </m:sSubPr>
          <m:e>
            <m:r>
              <m:rPr/>
              <w:rPr>
                <w:rFonts w:ascii="Cambria Math" w:hAnsi="Cambria Math"/>
              </w:rPr>
              <m:t>C</m:t>
            </m:r>
            <m:ctrlPr>
              <w:rPr>
                <w:rFonts w:ascii="Cambria Math" w:hAnsi="Cambria Math"/>
                <w:i/>
              </w:rPr>
            </m:ctrlPr>
          </m:e>
          <m:sub>
            <m:r>
              <m:rPr/>
              <w:rPr>
                <w:rFonts w:ascii="Cambria Math" w:hAnsi="Cambria Math"/>
              </w:rPr>
              <m:t>2</m:t>
            </m:r>
            <m:ctrlPr>
              <w:rPr>
                <w:rFonts w:ascii="Cambria Math" w:hAnsi="Cambria Math"/>
                <w:i/>
              </w:rPr>
            </m:ctrlPr>
          </m:sub>
        </m:sSub>
      </m:oMath>
      <w:r>
        <w:rPr>
          <w:rFonts w:hint="eastAsia"/>
        </w:rPr>
        <w:t>）划分，并以其数值表示。</w:t>
      </w:r>
    </w:p>
    <w:p w14:paraId="51FC147B">
      <w:pPr>
        <w:pStyle w:val="181"/>
      </w:pPr>
      <w:r>
        <w:rPr>
          <w:rFonts w:hint="eastAsia"/>
        </w:rPr>
        <w:t>窗框厚度构造尺寸以其与洞口墙体连接侧的型材截面外缘尺寸确定。</w:t>
      </w:r>
    </w:p>
    <w:p w14:paraId="4EAA810F">
      <w:pPr>
        <w:pStyle w:val="181"/>
      </w:pPr>
      <w:r>
        <w:rPr>
          <w:rFonts w:hint="eastAsia"/>
        </w:rPr>
        <w:t>窗四周框架的厚度构造尺寸不同时，以其中厚度构造尺寸最大的数值确定。</w:t>
      </w:r>
    </w:p>
    <w:p w14:paraId="7E25F623">
      <w:pPr>
        <w:pStyle w:val="182"/>
      </w:pPr>
      <w:r>
        <w:rPr>
          <w:rFonts w:hint="eastAsia"/>
        </w:rPr>
        <w:t>窗框厚度构造尺寸为70mm时，其产品系列</w:t>
      </w:r>
      <w:r>
        <w:rPr>
          <w:rFonts w:hint="eastAsia"/>
          <w:lang w:eastAsia="zh-CN"/>
        </w:rPr>
        <w:t>称为</w:t>
      </w:r>
      <w:r>
        <w:rPr>
          <w:rFonts w:hint="eastAsia"/>
        </w:rPr>
        <w:t>70系列。</w:t>
      </w:r>
    </w:p>
    <w:p w14:paraId="116086D1">
      <w:pPr>
        <w:pStyle w:val="66"/>
        <w:spacing w:before="120" w:after="120"/>
      </w:pPr>
      <w:bookmarkStart w:id="56" w:name="_Toc24160"/>
      <w:r>
        <w:rPr>
          <w:rFonts w:hint="eastAsia"/>
        </w:rPr>
        <w:t>规格</w:t>
      </w:r>
      <w:bookmarkEnd w:id="56"/>
    </w:p>
    <w:p w14:paraId="3F20BB32">
      <w:pPr>
        <w:pStyle w:val="57"/>
        <w:ind w:firstLine="420"/>
      </w:pPr>
      <w:r>
        <w:rPr>
          <w:rFonts w:hint="eastAsia"/>
        </w:rPr>
        <w:t>以窗宽、高尺寸（</w:t>
      </w:r>
      <m:oMath>
        <m:sSub>
          <m:sSubPr>
            <m:ctrlPr>
              <w:rPr>
                <w:rFonts w:ascii="Cambria Math" w:hAnsi="Cambria Math"/>
                <w:i/>
              </w:rPr>
            </m:ctrlPr>
          </m:sSubPr>
          <m:e>
            <m:r>
              <m:rPr/>
              <w:rPr>
                <w:rFonts w:ascii="Cambria Math" w:hAnsi="Cambria Math"/>
              </w:rPr>
              <m:t>B</m:t>
            </m:r>
            <m:ctrlPr>
              <w:rPr>
                <w:rFonts w:ascii="Cambria Math" w:hAnsi="Cambria Math"/>
                <w:i/>
              </w:rPr>
            </m:ctrlPr>
          </m:e>
          <m:sub>
            <m:r>
              <m:rPr/>
              <w:rPr>
                <w:rFonts w:ascii="Cambria Math" w:hAnsi="Cambria Math"/>
              </w:rPr>
              <m:t>2</m:t>
            </m:r>
            <m:ctrlPr>
              <w:rPr>
                <w:rFonts w:ascii="Cambria Math" w:hAnsi="Cambria Math"/>
                <w:i/>
              </w:rPr>
            </m:ctrlPr>
          </m:sub>
        </m:sSub>
        <m:r>
          <m:rPr/>
          <w:rPr>
            <w:rFonts w:hint="eastAsia" w:ascii="Cambria Math" w:hAnsi="Cambria Math"/>
          </w:rPr>
          <m:t>、</m:t>
        </m:r>
        <m:sSub>
          <m:sSubPr>
            <m:ctrlPr>
              <w:rPr>
                <w:rFonts w:ascii="Cambria Math" w:hAnsi="Cambria Math"/>
                <w:i/>
              </w:rPr>
            </m:ctrlPr>
          </m:sSubPr>
          <m:e>
            <m:r>
              <m:rPr/>
              <w:rPr>
                <w:rFonts w:ascii="Cambria Math" w:hAnsi="Cambria Math"/>
              </w:rPr>
              <m:t>A</m:t>
            </m:r>
            <m:ctrlPr>
              <w:rPr>
                <w:rFonts w:ascii="Cambria Math" w:hAnsi="Cambria Math"/>
                <w:i/>
              </w:rPr>
            </m:ctrlPr>
          </m:e>
          <m:sub>
            <m:r>
              <m:rPr/>
              <w:rPr>
                <w:rFonts w:ascii="Cambria Math" w:hAnsi="Cambria Math"/>
              </w:rPr>
              <m:t>2</m:t>
            </m:r>
            <m:ctrlPr>
              <w:rPr>
                <w:rFonts w:ascii="Cambria Math" w:hAnsi="Cambria Math"/>
                <w:i/>
              </w:rPr>
            </m:ctrlPr>
          </m:sub>
        </m:sSub>
      </m:oMath>
      <w:r>
        <w:rPr>
          <w:rFonts w:hint="eastAsia"/>
        </w:rPr>
        <w:t>）的千、百、十位数字前后顺序排列的六位数字表示，无千位数字时以“0”表示。</w:t>
      </w:r>
    </w:p>
    <w:p w14:paraId="65BA3AA3">
      <w:pPr>
        <w:pStyle w:val="184"/>
        <w:numPr>
          <w:ilvl w:val="0"/>
          <w:numId w:val="0"/>
        </w:numPr>
        <w:ind w:left="0" w:leftChars="0" w:firstLine="363" w:firstLineChars="0"/>
        <w:rPr>
          <w:sz w:val="21"/>
          <w:szCs w:val="20"/>
        </w:rPr>
      </w:pPr>
      <w:r>
        <w:rPr>
          <w:rFonts w:hint="eastAsia" w:ascii="黑体" w:hAnsi="Times New Roman" w:eastAsia="黑体" w:cs="Times New Roman"/>
          <w:b w:val="0"/>
          <w:i w:val="0"/>
          <w:kern w:val="0"/>
          <w:sz w:val="18"/>
          <w:szCs w:val="20"/>
          <w:lang w:val="en-US" w:eastAsia="zh-CN" w:bidi="ar-SA"/>
        </w:rPr>
        <w:t>示例1：</w:t>
      </w:r>
      <w:r>
        <w:rPr>
          <w:rFonts w:hint="eastAsia"/>
        </w:rPr>
        <w:t>窗的</w:t>
      </w:r>
      <m:oMath>
        <m:sSub>
          <m:sSubPr>
            <m:ctrlPr>
              <w:rPr>
                <w:rFonts w:ascii="Cambria Math" w:hAnsi="Cambria Math"/>
                <w:i/>
                <w:sz w:val="21"/>
                <w:szCs w:val="20"/>
              </w:rPr>
            </m:ctrlPr>
          </m:sSubPr>
          <m:e>
            <m:r>
              <m:rPr/>
              <w:rPr>
                <w:rFonts w:ascii="Cambria Math" w:hAnsi="Cambria Math"/>
              </w:rPr>
              <m:t>B</m:t>
            </m:r>
            <m:ctrlPr>
              <w:rPr>
                <w:rFonts w:ascii="Cambria Math" w:hAnsi="Cambria Math"/>
                <w:i/>
                <w:sz w:val="21"/>
                <w:szCs w:val="20"/>
              </w:rPr>
            </m:ctrlPr>
          </m:e>
          <m:sub>
            <m:r>
              <m:rPr/>
              <w:rPr>
                <w:rFonts w:ascii="Cambria Math" w:hAnsi="Cambria Math"/>
              </w:rPr>
              <m:t>2</m:t>
            </m:r>
            <m:ctrlPr>
              <w:rPr>
                <w:rFonts w:ascii="Cambria Math" w:hAnsi="Cambria Math"/>
                <w:i/>
                <w:sz w:val="21"/>
                <w:szCs w:val="20"/>
              </w:rPr>
            </m:ctrlPr>
          </m:sub>
        </m:sSub>
        <m:r>
          <m:rPr/>
          <w:rPr>
            <w:rFonts w:hint="eastAsia" w:ascii="Cambria Math" w:hAnsi="Cambria Math"/>
          </w:rPr>
          <m:t>、</m:t>
        </m:r>
        <m:sSub>
          <m:sSubPr>
            <m:ctrlPr>
              <w:rPr>
                <w:rFonts w:ascii="Cambria Math" w:hAnsi="Cambria Math"/>
                <w:i/>
                <w:sz w:val="21"/>
                <w:szCs w:val="20"/>
              </w:rPr>
            </m:ctrlPr>
          </m:sSubPr>
          <m:e>
            <m:r>
              <m:rPr/>
              <w:rPr>
                <w:rFonts w:ascii="Cambria Math" w:hAnsi="Cambria Math"/>
              </w:rPr>
              <m:t>A</m:t>
            </m:r>
            <m:ctrlPr>
              <w:rPr>
                <w:rFonts w:ascii="Cambria Math" w:hAnsi="Cambria Math"/>
                <w:i/>
                <w:sz w:val="21"/>
                <w:szCs w:val="20"/>
              </w:rPr>
            </m:ctrlPr>
          </m:e>
          <m:sub>
            <m:r>
              <m:rPr/>
              <w:rPr>
                <w:rFonts w:ascii="Cambria Math" w:hAnsi="Cambria Math"/>
              </w:rPr>
              <m:t>2</m:t>
            </m:r>
            <m:ctrlPr>
              <w:rPr>
                <w:rFonts w:ascii="Cambria Math" w:hAnsi="Cambria Math"/>
                <w:i/>
                <w:sz w:val="21"/>
                <w:szCs w:val="20"/>
              </w:rPr>
            </m:ctrlPr>
          </m:sub>
        </m:sSub>
      </m:oMath>
      <w:r>
        <w:rPr>
          <w:rFonts w:hint="eastAsia"/>
          <w:sz w:val="21"/>
          <w:szCs w:val="20"/>
        </w:rPr>
        <w:t>分别为1 150mm和1450mm时，其规格代号为115145。</w:t>
      </w:r>
    </w:p>
    <w:p w14:paraId="34687860">
      <w:pPr>
        <w:pStyle w:val="184"/>
        <w:numPr>
          <w:ilvl w:val="0"/>
          <w:numId w:val="0"/>
        </w:numPr>
        <w:ind w:left="0" w:leftChars="0" w:firstLine="363" w:firstLineChars="0"/>
        <w:rPr>
          <w:sz w:val="21"/>
          <w:szCs w:val="20"/>
        </w:rPr>
      </w:pPr>
      <w:r>
        <w:rPr>
          <w:rFonts w:hint="eastAsia" w:ascii="黑体" w:hAnsi="Times New Roman" w:eastAsia="黑体" w:cs="Times New Roman"/>
          <w:b w:val="0"/>
          <w:i w:val="0"/>
          <w:kern w:val="0"/>
          <w:sz w:val="18"/>
          <w:szCs w:val="20"/>
          <w:lang w:val="en-US" w:eastAsia="zh-CN" w:bidi="ar-SA"/>
        </w:rPr>
        <w:t>示例2：</w:t>
      </w:r>
      <w:r>
        <w:rPr>
          <w:rFonts w:hint="eastAsia"/>
        </w:rPr>
        <w:t>窗的</w:t>
      </w:r>
      <m:oMath>
        <m:sSub>
          <m:sSubPr>
            <m:ctrlPr>
              <w:rPr>
                <w:rFonts w:ascii="Cambria Math" w:hAnsi="Cambria Math"/>
                <w:i/>
                <w:sz w:val="21"/>
                <w:szCs w:val="20"/>
              </w:rPr>
            </m:ctrlPr>
          </m:sSubPr>
          <m:e>
            <m:r>
              <m:rPr/>
              <w:rPr>
                <w:rFonts w:ascii="Cambria Math" w:hAnsi="Cambria Math"/>
              </w:rPr>
              <m:t>B</m:t>
            </m:r>
            <m:ctrlPr>
              <w:rPr>
                <w:rFonts w:ascii="Cambria Math" w:hAnsi="Cambria Math"/>
                <w:i/>
                <w:sz w:val="21"/>
                <w:szCs w:val="20"/>
              </w:rPr>
            </m:ctrlPr>
          </m:e>
          <m:sub>
            <m:r>
              <m:rPr/>
              <w:rPr>
                <w:rFonts w:ascii="Cambria Math" w:hAnsi="Cambria Math"/>
              </w:rPr>
              <m:t>2</m:t>
            </m:r>
            <m:ctrlPr>
              <w:rPr>
                <w:rFonts w:ascii="Cambria Math" w:hAnsi="Cambria Math"/>
                <w:i/>
                <w:sz w:val="21"/>
                <w:szCs w:val="20"/>
              </w:rPr>
            </m:ctrlPr>
          </m:sub>
        </m:sSub>
        <m:r>
          <m:rPr/>
          <w:rPr>
            <w:rFonts w:hint="eastAsia" w:ascii="Cambria Math" w:hAnsi="Cambria Math"/>
          </w:rPr>
          <m:t>、</m:t>
        </m:r>
        <m:sSub>
          <m:sSubPr>
            <m:ctrlPr>
              <w:rPr>
                <w:rFonts w:ascii="Cambria Math" w:hAnsi="Cambria Math"/>
                <w:i/>
                <w:sz w:val="21"/>
                <w:szCs w:val="20"/>
              </w:rPr>
            </m:ctrlPr>
          </m:sSubPr>
          <m:e>
            <m:r>
              <m:rPr/>
              <w:rPr>
                <w:rFonts w:ascii="Cambria Math" w:hAnsi="Cambria Math"/>
              </w:rPr>
              <m:t>A</m:t>
            </m:r>
            <m:ctrlPr>
              <w:rPr>
                <w:rFonts w:ascii="Cambria Math" w:hAnsi="Cambria Math"/>
                <w:i/>
                <w:sz w:val="21"/>
                <w:szCs w:val="20"/>
              </w:rPr>
            </m:ctrlPr>
          </m:e>
          <m:sub>
            <m:r>
              <m:rPr/>
              <w:rPr>
                <w:rFonts w:ascii="Cambria Math" w:hAnsi="Cambria Math"/>
              </w:rPr>
              <m:t>2</m:t>
            </m:r>
            <m:ctrlPr>
              <w:rPr>
                <w:rFonts w:ascii="Cambria Math" w:hAnsi="Cambria Math"/>
                <w:i/>
                <w:sz w:val="21"/>
                <w:szCs w:val="20"/>
              </w:rPr>
            </m:ctrlPr>
          </m:sub>
        </m:sSub>
      </m:oMath>
      <w:r>
        <w:rPr>
          <w:rFonts w:hint="eastAsia"/>
          <w:sz w:val="21"/>
          <w:szCs w:val="20"/>
        </w:rPr>
        <w:t>分别为1 150mm和1450mm时，其规格代号为115145。</w:t>
      </w:r>
    </w:p>
    <w:p w14:paraId="68D9E0B0">
      <w:pPr>
        <w:pStyle w:val="66"/>
        <w:rPr>
          <w:rFonts w:hint="eastAsia" w:eastAsia="黑体"/>
          <w:lang w:val="en-US" w:eastAsia="zh-CN"/>
        </w:rPr>
      </w:pPr>
      <w:bookmarkStart w:id="57" w:name="_Toc26509"/>
      <w:r>
        <w:rPr>
          <w:rFonts w:hint="eastAsia"/>
          <w:lang w:val="en-US" w:eastAsia="zh-CN"/>
        </w:rPr>
        <w:t>抗风压性能分级</w:t>
      </w:r>
    </w:p>
    <w:p w14:paraId="5D04B7F9">
      <w:pPr>
        <w:pStyle w:val="57"/>
        <w:rPr>
          <w:rFonts w:hint="eastAsia"/>
          <w:lang w:val="en-US" w:eastAsia="zh-CN"/>
        </w:rPr>
      </w:pPr>
      <w:r>
        <w:rPr>
          <w:rFonts w:hint="eastAsia"/>
          <w:lang w:val="en-US" w:eastAsia="zh-CN"/>
        </w:rPr>
        <w:t>窗的抗风压性能以定级检测压力</w:t>
      </w:r>
      <m:oMath>
        <m:sSub>
          <m:sSubPr>
            <m:ctrlPr>
              <w:rPr>
                <w:rFonts w:ascii="Cambria Math" w:hAnsi="Cambria Math"/>
                <w:i/>
                <w:lang w:val="en-US"/>
              </w:rPr>
            </m:ctrlPr>
          </m:sSubPr>
          <m:e>
            <m:r>
              <m:rPr/>
              <w:rPr>
                <w:rFonts w:hint="default" w:ascii="Cambria Math" w:hAnsi="Cambria Math"/>
                <w:lang w:val="en-US" w:eastAsia="zh-CN"/>
              </w:rPr>
              <m:t>p</m:t>
            </m:r>
            <m:ctrlPr>
              <w:rPr>
                <w:rFonts w:ascii="Cambria Math" w:hAnsi="Cambria Math"/>
                <w:i/>
                <w:lang w:val="en-US"/>
              </w:rPr>
            </m:ctrlPr>
          </m:e>
          <m:sub>
            <m:r>
              <m:rPr/>
              <w:rPr>
                <w:rFonts w:hint="default" w:ascii="Cambria Math" w:hAnsi="Cambria Math"/>
                <w:lang w:val="en-US" w:eastAsia="zh-CN"/>
              </w:rPr>
              <m:t>3</m:t>
            </m:r>
            <m:ctrlPr>
              <w:rPr>
                <w:rFonts w:ascii="Cambria Math" w:hAnsi="Cambria Math"/>
                <w:i/>
                <w:lang w:val="en-US"/>
              </w:rPr>
            </m:ctrlPr>
          </m:sub>
        </m:sSub>
      </m:oMath>
      <w:r>
        <w:rPr>
          <w:rFonts w:hint="eastAsia" w:hAnsi="Cambria Math"/>
          <w:i w:val="0"/>
          <w:lang w:val="en-US" w:eastAsia="zh-CN"/>
        </w:rPr>
        <w:t>为分级指标，分级应符合表 1 的规定。</w:t>
      </w:r>
    </w:p>
    <w:p w14:paraId="5DCB16D6">
      <w:pPr>
        <w:pStyle w:val="113"/>
        <w:spacing w:before="120" w:after="120"/>
        <w:rPr>
          <w:rFonts w:hint="eastAsia"/>
          <w:lang w:val="en-US" w:eastAsia="zh-CN"/>
        </w:rPr>
      </w:pPr>
      <w:r>
        <w:rPr>
          <w:rFonts w:hint="eastAsia"/>
          <w:lang w:val="en-US" w:eastAsia="zh-CN"/>
        </w:rPr>
        <w:t>抗风压性能分级</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
        <w:gridCol w:w="962"/>
        <w:gridCol w:w="962"/>
        <w:gridCol w:w="962"/>
        <w:gridCol w:w="962"/>
        <w:gridCol w:w="962"/>
        <w:gridCol w:w="962"/>
        <w:gridCol w:w="962"/>
        <w:gridCol w:w="966"/>
        <w:gridCol w:w="913"/>
      </w:tblGrid>
      <w:tr w14:paraId="5A9FB9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7" w:type="dxa"/>
            <w:vAlign w:val="center"/>
          </w:tcPr>
          <w:p w14:paraId="70BE28B0">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分级</w:t>
            </w:r>
          </w:p>
        </w:tc>
        <w:tc>
          <w:tcPr>
            <w:tcW w:w="962" w:type="dxa"/>
            <w:vAlign w:val="center"/>
          </w:tcPr>
          <w:p w14:paraId="0C63B5D8">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962" w:type="dxa"/>
            <w:vAlign w:val="center"/>
          </w:tcPr>
          <w:p w14:paraId="319219B0">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962" w:type="dxa"/>
            <w:vAlign w:val="center"/>
          </w:tcPr>
          <w:p w14:paraId="219318C6">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962" w:type="dxa"/>
            <w:vAlign w:val="center"/>
          </w:tcPr>
          <w:p w14:paraId="00B70308">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w:t>
            </w:r>
          </w:p>
        </w:tc>
        <w:tc>
          <w:tcPr>
            <w:tcW w:w="962" w:type="dxa"/>
            <w:vAlign w:val="center"/>
          </w:tcPr>
          <w:p w14:paraId="4A56748A">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w:t>
            </w:r>
          </w:p>
        </w:tc>
        <w:tc>
          <w:tcPr>
            <w:tcW w:w="962" w:type="dxa"/>
            <w:vAlign w:val="center"/>
          </w:tcPr>
          <w:p w14:paraId="60654358">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w:t>
            </w:r>
          </w:p>
        </w:tc>
        <w:tc>
          <w:tcPr>
            <w:tcW w:w="962" w:type="dxa"/>
            <w:vAlign w:val="center"/>
          </w:tcPr>
          <w:p w14:paraId="482C5900">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7</w:t>
            </w:r>
          </w:p>
        </w:tc>
        <w:tc>
          <w:tcPr>
            <w:tcW w:w="966" w:type="dxa"/>
            <w:vAlign w:val="center"/>
          </w:tcPr>
          <w:p w14:paraId="7DB6109E">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8</w:t>
            </w:r>
          </w:p>
        </w:tc>
        <w:tc>
          <w:tcPr>
            <w:tcW w:w="913" w:type="dxa"/>
            <w:vAlign w:val="center"/>
          </w:tcPr>
          <w:p w14:paraId="69F21ED2">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9</w:t>
            </w:r>
          </w:p>
        </w:tc>
      </w:tr>
      <w:tr w14:paraId="461990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7" w:type="dxa"/>
            <w:vAlign w:val="center"/>
          </w:tcPr>
          <w:p w14:paraId="0A6E8BE4">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分级指标值</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/kPa</w:t>
            </w:r>
          </w:p>
        </w:tc>
        <w:tc>
          <w:tcPr>
            <w:tcW w:w="962" w:type="dxa"/>
            <w:vAlign w:val="center"/>
          </w:tcPr>
          <w:p w14:paraId="600A8933">
            <w:pPr>
              <w:jc w:val="center"/>
              <w:rPr>
                <w:rFonts w:hint="eastAsia" w:ascii="宋体" w:hAnsi="宋体" w:eastAsia="宋体" w:cs="宋体"/>
                <w:sz w:val="18"/>
                <w:szCs w:val="18"/>
                <w:vertAlign w:val="baseline"/>
                <w:lang w:val="en-US"/>
              </w:rPr>
            </w:pPr>
            <w:r>
              <w:rPr>
                <w:rFonts w:hint="eastAsia" w:ascii="宋体" w:hAnsi="宋体" w:eastAsia="宋体" w:cs="宋体"/>
                <w:i w:val="0"/>
                <w:sz w:val="18"/>
                <w:szCs w:val="18"/>
                <w:vertAlign w:val="baseline"/>
                <w:lang w:val="en-US" w:eastAsia="zh-CN"/>
              </w:rPr>
              <w:t>1.0≤</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＜1.5</w:t>
            </w:r>
          </w:p>
        </w:tc>
        <w:tc>
          <w:tcPr>
            <w:tcW w:w="962" w:type="dxa"/>
            <w:vAlign w:val="center"/>
          </w:tcPr>
          <w:p w14:paraId="55D163C0">
            <w:pPr>
              <w:jc w:val="center"/>
              <w:rPr>
                <w:rFonts w:hint="eastAsia" w:ascii="宋体" w:hAnsi="宋体" w:eastAsia="宋体" w:cs="宋体"/>
                <w:sz w:val="18"/>
                <w:szCs w:val="18"/>
                <w:vertAlign w:val="baseline"/>
              </w:rPr>
            </w:pPr>
            <w:r>
              <w:rPr>
                <w:rFonts w:hint="eastAsia" w:ascii="宋体" w:hAnsi="宋体" w:eastAsia="宋体" w:cs="宋体"/>
                <w:i w:val="0"/>
                <w:sz w:val="18"/>
                <w:szCs w:val="18"/>
                <w:vertAlign w:val="baseline"/>
                <w:lang w:val="en-US" w:eastAsia="zh-CN"/>
              </w:rPr>
              <w:t>1.5≤</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＜2.0</w:t>
            </w:r>
          </w:p>
        </w:tc>
        <w:tc>
          <w:tcPr>
            <w:tcW w:w="962" w:type="dxa"/>
            <w:vAlign w:val="center"/>
          </w:tcPr>
          <w:p w14:paraId="33158C01">
            <w:pPr>
              <w:jc w:val="center"/>
              <w:rPr>
                <w:rFonts w:hint="eastAsia" w:ascii="宋体" w:hAnsi="宋体" w:eastAsia="宋体" w:cs="宋体"/>
                <w:sz w:val="18"/>
                <w:szCs w:val="18"/>
                <w:vertAlign w:val="baseline"/>
                <w:lang w:val="en-US"/>
              </w:rPr>
            </w:pPr>
            <w:r>
              <w:rPr>
                <w:rFonts w:hint="eastAsia" w:ascii="宋体" w:hAnsi="宋体" w:eastAsia="宋体" w:cs="宋体"/>
                <w:i w:val="0"/>
                <w:sz w:val="18"/>
                <w:szCs w:val="18"/>
                <w:vertAlign w:val="baseline"/>
                <w:lang w:val="en-US" w:eastAsia="zh-CN"/>
              </w:rPr>
              <w:t>2.0≤</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＜2.5</w:t>
            </w:r>
          </w:p>
        </w:tc>
        <w:tc>
          <w:tcPr>
            <w:tcW w:w="962" w:type="dxa"/>
            <w:vAlign w:val="center"/>
          </w:tcPr>
          <w:p w14:paraId="5D329BCB">
            <w:pPr>
              <w:jc w:val="center"/>
              <w:rPr>
                <w:rFonts w:hint="eastAsia" w:ascii="宋体" w:hAnsi="宋体" w:eastAsia="宋体" w:cs="宋体"/>
                <w:sz w:val="18"/>
                <w:szCs w:val="18"/>
                <w:vertAlign w:val="baseline"/>
              </w:rPr>
            </w:pPr>
            <w:r>
              <w:rPr>
                <w:rFonts w:hint="eastAsia" w:ascii="宋体" w:hAnsi="宋体" w:eastAsia="宋体" w:cs="宋体"/>
                <w:i w:val="0"/>
                <w:sz w:val="18"/>
                <w:szCs w:val="18"/>
                <w:vertAlign w:val="baseline"/>
                <w:lang w:val="en-US" w:eastAsia="zh-CN"/>
              </w:rPr>
              <w:t>2.5≤</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＜3.0</w:t>
            </w:r>
          </w:p>
        </w:tc>
        <w:tc>
          <w:tcPr>
            <w:tcW w:w="962" w:type="dxa"/>
            <w:vAlign w:val="center"/>
          </w:tcPr>
          <w:p w14:paraId="066BCEA1">
            <w:pPr>
              <w:jc w:val="center"/>
              <w:rPr>
                <w:rFonts w:hint="eastAsia" w:ascii="宋体" w:hAnsi="宋体" w:eastAsia="宋体" w:cs="宋体"/>
                <w:sz w:val="18"/>
                <w:szCs w:val="18"/>
                <w:vertAlign w:val="baseline"/>
                <w:lang w:val="en-US"/>
              </w:rPr>
            </w:pPr>
            <w:r>
              <w:rPr>
                <w:rFonts w:hint="eastAsia" w:ascii="宋体" w:hAnsi="宋体" w:eastAsia="宋体" w:cs="宋体"/>
                <w:i w:val="0"/>
                <w:sz w:val="18"/>
                <w:szCs w:val="18"/>
                <w:vertAlign w:val="baseline"/>
                <w:lang w:val="en-US" w:eastAsia="zh-CN"/>
              </w:rPr>
              <w:t>3.0≤</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＜3.5</w:t>
            </w:r>
          </w:p>
        </w:tc>
        <w:tc>
          <w:tcPr>
            <w:tcW w:w="962" w:type="dxa"/>
            <w:vAlign w:val="center"/>
          </w:tcPr>
          <w:p w14:paraId="4F63713F">
            <w:pPr>
              <w:jc w:val="center"/>
              <w:rPr>
                <w:rFonts w:hint="eastAsia" w:ascii="宋体" w:hAnsi="宋体" w:eastAsia="宋体" w:cs="宋体"/>
                <w:sz w:val="18"/>
                <w:szCs w:val="18"/>
                <w:vertAlign w:val="baseline"/>
              </w:rPr>
            </w:pPr>
            <w:r>
              <w:rPr>
                <w:rFonts w:hint="eastAsia" w:ascii="宋体" w:hAnsi="宋体" w:eastAsia="宋体" w:cs="宋体"/>
                <w:i w:val="0"/>
                <w:sz w:val="18"/>
                <w:szCs w:val="18"/>
                <w:vertAlign w:val="baseline"/>
                <w:lang w:val="en-US" w:eastAsia="zh-CN"/>
              </w:rPr>
              <w:t>3.5≤</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＜4.0</w:t>
            </w:r>
          </w:p>
        </w:tc>
        <w:tc>
          <w:tcPr>
            <w:tcW w:w="962" w:type="dxa"/>
            <w:vAlign w:val="center"/>
          </w:tcPr>
          <w:p w14:paraId="714C01CE">
            <w:pPr>
              <w:jc w:val="center"/>
              <w:rPr>
                <w:rFonts w:hint="eastAsia" w:ascii="宋体" w:hAnsi="宋体" w:eastAsia="宋体" w:cs="宋体"/>
                <w:sz w:val="18"/>
                <w:szCs w:val="18"/>
                <w:vertAlign w:val="baseline"/>
                <w:lang w:val="en-US"/>
              </w:rPr>
            </w:pPr>
            <w:r>
              <w:rPr>
                <w:rFonts w:hint="eastAsia" w:ascii="宋体" w:hAnsi="宋体" w:eastAsia="宋体" w:cs="宋体"/>
                <w:i w:val="0"/>
                <w:sz w:val="18"/>
                <w:szCs w:val="18"/>
                <w:vertAlign w:val="baseline"/>
                <w:lang w:val="en-US" w:eastAsia="zh-CN"/>
              </w:rPr>
              <w:t>4.0≤</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＜4.5</w:t>
            </w:r>
          </w:p>
        </w:tc>
        <w:tc>
          <w:tcPr>
            <w:tcW w:w="966" w:type="dxa"/>
            <w:vAlign w:val="center"/>
          </w:tcPr>
          <w:p w14:paraId="2B1146D8">
            <w:pPr>
              <w:jc w:val="center"/>
              <w:rPr>
                <w:rFonts w:hint="eastAsia" w:ascii="宋体" w:hAnsi="宋体" w:eastAsia="宋体" w:cs="宋体"/>
                <w:sz w:val="18"/>
                <w:szCs w:val="18"/>
                <w:vertAlign w:val="baseline"/>
                <w:lang w:val="en-US" w:eastAsia="zh-CN"/>
              </w:rPr>
            </w:pPr>
            <w:r>
              <w:rPr>
                <w:rFonts w:hint="eastAsia" w:ascii="宋体" w:hAnsi="宋体" w:eastAsia="宋体" w:cs="宋体"/>
                <w:i w:val="0"/>
                <w:sz w:val="18"/>
                <w:szCs w:val="18"/>
                <w:vertAlign w:val="baseline"/>
                <w:lang w:val="en-US" w:eastAsia="zh-CN"/>
              </w:rPr>
              <w:t>4.5≤</w:t>
            </w: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i w:val="0"/>
                <w:sz w:val="18"/>
                <w:szCs w:val="18"/>
                <w:vertAlign w:val="baseline"/>
                <w:lang w:val="en-US" w:eastAsia="zh-CN"/>
              </w:rPr>
              <w:t>＜5.0</w:t>
            </w:r>
          </w:p>
        </w:tc>
        <w:tc>
          <w:tcPr>
            <w:tcW w:w="913" w:type="dxa"/>
            <w:vAlign w:val="center"/>
          </w:tcPr>
          <w:p w14:paraId="18CCEC17">
            <w:pPr>
              <w:jc w:val="center"/>
              <w:rPr>
                <w:rFonts w:hint="eastAsia" w:ascii="宋体" w:hAnsi="宋体" w:eastAsia="宋体" w:cs="宋体"/>
                <w:sz w:val="18"/>
                <w:szCs w:val="18"/>
                <w:vertAlign w:val="baseline"/>
                <w:lang w:val="en-US" w:eastAsia="zh-CN"/>
              </w:rPr>
            </w:pPr>
            <m:oMath>
              <m:sSub>
                <m:sSubPr>
                  <m:ctrlPr>
                    <w:rPr>
                      <w:rFonts w:hint="eastAsia" w:ascii="Cambria Math" w:hAnsi="Cambria Math" w:eastAsia="宋体" w:cs="宋体"/>
                      <w:i/>
                      <w:sz w:val="18"/>
                      <w:szCs w:val="18"/>
                      <w:vertAlign w:val="baseline"/>
                      <w:lang w:val="en-US"/>
                    </w:rPr>
                  </m:ctrlPr>
                </m:sSubPr>
                <m:e>
                  <m:r>
                    <m:rPr/>
                    <w:rPr>
                      <w:rFonts w:hint="eastAsia" w:ascii="Cambria Math" w:hAnsi="Cambria Math" w:eastAsia="宋体" w:cs="宋体"/>
                      <w:sz w:val="18"/>
                      <w:szCs w:val="18"/>
                      <w:vertAlign w:val="baseline"/>
                      <w:lang w:val="en-US" w:eastAsia="zh-CN"/>
                    </w:rPr>
                    <m:t>P</m:t>
                  </m:r>
                  <m:ctrlPr>
                    <w:rPr>
                      <w:rFonts w:hint="eastAsia" w:ascii="Cambria Math" w:hAnsi="Cambria Math" w:eastAsia="宋体" w:cs="宋体"/>
                      <w:i/>
                      <w:sz w:val="18"/>
                      <w:szCs w:val="18"/>
                      <w:vertAlign w:val="baseline"/>
                      <w:lang w:val="en-US"/>
                    </w:rPr>
                  </m:ctrlPr>
                </m:e>
                <m:sub>
                  <m:r>
                    <m:rPr/>
                    <w:rPr>
                      <w:rFonts w:hint="eastAsia" w:ascii="Cambria Math" w:hAnsi="Cambria Math" w:eastAsia="宋体" w:cs="宋体"/>
                      <w:sz w:val="18"/>
                      <w:szCs w:val="18"/>
                      <w:vertAlign w:val="baseline"/>
                      <w:lang w:val="en-US" w:eastAsia="zh-CN"/>
                    </w:rPr>
                    <m:t>3</m:t>
                  </m:r>
                  <m:ctrlPr>
                    <w:rPr>
                      <w:rFonts w:hint="eastAsia" w:ascii="Cambria Math" w:hAnsi="Cambria Math" w:eastAsia="宋体" w:cs="宋体"/>
                      <w:i/>
                      <w:sz w:val="18"/>
                      <w:szCs w:val="18"/>
                      <w:vertAlign w:val="baseline"/>
                      <w:lang w:val="en-US"/>
                    </w:rPr>
                  </m:ctrlPr>
                </m:sub>
              </m:sSub>
            </m:oMath>
            <w:r>
              <w:rPr>
                <w:rFonts w:hint="eastAsia" w:ascii="宋体" w:hAnsi="宋体" w:eastAsia="宋体" w:cs="宋体"/>
                <w:sz w:val="18"/>
                <w:szCs w:val="18"/>
                <w:vertAlign w:val="baseline"/>
                <w:lang w:val="en-US" w:eastAsia="zh-CN"/>
              </w:rPr>
              <w:t>≥5.0</w:t>
            </w:r>
          </w:p>
        </w:tc>
      </w:tr>
      <w:tr w14:paraId="7FD39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9570" w:type="dxa"/>
            <w:gridSpan w:val="10"/>
            <w:vAlign w:val="center"/>
          </w:tcPr>
          <w:p w14:paraId="03271754">
            <w:pPr>
              <w:jc w:val="both"/>
              <w:rPr>
                <w:rFonts w:hint="default" w:ascii="宋体" w:hAnsi="宋体" w:eastAsia="宋体" w:cs="宋体"/>
                <w:sz w:val="18"/>
                <w:szCs w:val="18"/>
                <w:vertAlign w:val="baseline"/>
                <w:lang w:val="en-US" w:eastAsia="zh-CN"/>
              </w:rPr>
            </w:pPr>
            <w:r>
              <w:rPr>
                <w:rFonts w:hint="eastAsia" w:ascii="宋体" w:hAnsi="宋体" w:cs="宋体"/>
                <w:sz w:val="18"/>
                <w:szCs w:val="18"/>
                <w:vertAlign w:val="baseline"/>
                <w:lang w:val="en-US" w:eastAsia="zh-CN"/>
              </w:rPr>
              <w:t xml:space="preserve"> </w:t>
            </w:r>
            <w:r>
              <w:rPr>
                <w:rFonts w:hint="eastAsia" w:ascii="宋体" w:hAnsi="宋体" w:cs="宋体"/>
                <w:b/>
                <w:bCs/>
                <w:sz w:val="18"/>
                <w:szCs w:val="18"/>
                <w:vertAlign w:val="baseline"/>
                <w:lang w:val="en-US" w:eastAsia="zh-CN"/>
              </w:rPr>
              <w:t>注：</w:t>
            </w:r>
            <w:r>
              <w:rPr>
                <w:rFonts w:hint="eastAsia" w:ascii="宋体" w:hAnsi="宋体" w:cs="宋体"/>
                <w:sz w:val="18"/>
                <w:szCs w:val="18"/>
                <w:vertAlign w:val="baseline"/>
                <w:lang w:val="en-US" w:eastAsia="zh-CN"/>
              </w:rPr>
              <w:t>第9级应在分级后同时注明具体分级指标值。</w:t>
            </w:r>
          </w:p>
        </w:tc>
      </w:tr>
    </w:tbl>
    <w:p w14:paraId="69C61DA6">
      <w:pPr>
        <w:pStyle w:val="66"/>
        <w:rPr>
          <w:rFonts w:hint="eastAsia" w:eastAsia="黑体"/>
          <w:lang w:val="en-US" w:eastAsia="zh-CN"/>
        </w:rPr>
      </w:pPr>
      <w:r>
        <w:rPr>
          <w:rFonts w:hint="eastAsia"/>
          <w:lang w:val="en-US" w:eastAsia="zh-CN"/>
        </w:rPr>
        <w:t>水密性能分级</w:t>
      </w:r>
    </w:p>
    <w:p w14:paraId="555E9BCC">
      <w:pPr>
        <w:pStyle w:val="57"/>
        <w:rPr>
          <w:rFonts w:hint="eastAsia"/>
          <w:lang w:val="en-US" w:eastAsia="zh-CN"/>
        </w:rPr>
      </w:pPr>
      <w:r>
        <w:rPr>
          <w:rFonts w:hint="eastAsia"/>
          <w:lang w:val="en-US" w:eastAsia="zh-CN"/>
        </w:rPr>
        <w:t xml:space="preserve">窗的水密性能以严重渗漏压力差值的前一级压力差值 </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hAnsi="Cambria Math" w:cs="宋体"/>
          <w:i w:val="0"/>
          <w:sz w:val="18"/>
          <w:szCs w:val="18"/>
          <w:vertAlign w:val="baseline"/>
          <w:lang w:val="en-US" w:eastAsia="zh-CN"/>
        </w:rPr>
        <w:t xml:space="preserve"> 为分级指标，分级应符合表 2 的规定。</w:t>
      </w:r>
    </w:p>
    <w:p w14:paraId="6AFD8A75">
      <w:pPr>
        <w:pStyle w:val="113"/>
        <w:rPr>
          <w:rFonts w:hint="eastAsia" w:eastAsia="黑体"/>
          <w:lang w:val="en-US" w:eastAsia="zh-CN"/>
        </w:rPr>
      </w:pPr>
      <w:r>
        <w:rPr>
          <w:rFonts w:hint="eastAsia"/>
          <w:lang w:val="en-US" w:eastAsia="zh-CN"/>
        </w:rPr>
        <w:t>水密性能分级</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67"/>
        <w:gridCol w:w="1420"/>
        <w:gridCol w:w="1420"/>
        <w:gridCol w:w="1420"/>
        <w:gridCol w:w="1420"/>
        <w:gridCol w:w="1423"/>
        <w:gridCol w:w="1000"/>
      </w:tblGrid>
      <w:tr w14:paraId="2C6E45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67" w:type="dxa"/>
            <w:vAlign w:val="center"/>
          </w:tcPr>
          <w:p w14:paraId="3C8E793F">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分级</w:t>
            </w:r>
          </w:p>
        </w:tc>
        <w:tc>
          <w:tcPr>
            <w:tcW w:w="1420" w:type="dxa"/>
            <w:vAlign w:val="center"/>
          </w:tcPr>
          <w:p w14:paraId="3F68BCDF">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1</w:t>
            </w:r>
          </w:p>
        </w:tc>
        <w:tc>
          <w:tcPr>
            <w:tcW w:w="1420" w:type="dxa"/>
            <w:vAlign w:val="center"/>
          </w:tcPr>
          <w:p w14:paraId="46D077ED">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2</w:t>
            </w:r>
          </w:p>
        </w:tc>
        <w:tc>
          <w:tcPr>
            <w:tcW w:w="1420" w:type="dxa"/>
            <w:vAlign w:val="center"/>
          </w:tcPr>
          <w:p w14:paraId="7B32C170">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3</w:t>
            </w:r>
          </w:p>
        </w:tc>
        <w:tc>
          <w:tcPr>
            <w:tcW w:w="1420" w:type="dxa"/>
            <w:vAlign w:val="center"/>
          </w:tcPr>
          <w:p w14:paraId="490C07DF">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4</w:t>
            </w:r>
          </w:p>
        </w:tc>
        <w:tc>
          <w:tcPr>
            <w:tcW w:w="1423" w:type="dxa"/>
            <w:vAlign w:val="center"/>
          </w:tcPr>
          <w:p w14:paraId="52693D0A">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5</w:t>
            </w:r>
          </w:p>
        </w:tc>
        <w:tc>
          <w:tcPr>
            <w:tcW w:w="1000" w:type="dxa"/>
            <w:vAlign w:val="center"/>
          </w:tcPr>
          <w:p w14:paraId="2844C85A">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6</w:t>
            </w:r>
          </w:p>
        </w:tc>
      </w:tr>
      <w:tr w14:paraId="4CE9A4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467" w:type="dxa"/>
            <w:vAlign w:val="center"/>
          </w:tcPr>
          <w:p w14:paraId="5AD1870D">
            <w:pPr>
              <w:jc w:val="center"/>
              <w:rPr>
                <w:rFonts w:hint="eastAsia" w:ascii="宋体" w:hAnsi="宋体" w:eastAsia="宋体" w:cs="宋体"/>
                <w:sz w:val="18"/>
                <w:szCs w:val="18"/>
                <w:vertAlign w:val="baseline"/>
                <w:lang w:val="en-US" w:eastAsia="zh-CN"/>
              </w:rPr>
            </w:pPr>
            <w:r>
              <w:rPr>
                <w:rFonts w:hint="eastAsia" w:ascii="宋体" w:hAnsi="宋体" w:eastAsia="宋体" w:cs="宋体"/>
                <w:sz w:val="18"/>
                <w:szCs w:val="18"/>
                <w:vertAlign w:val="baseline"/>
                <w:lang w:val="en-US" w:eastAsia="zh-CN"/>
              </w:rPr>
              <w:t>分级指标值</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p>
        </w:tc>
        <w:tc>
          <w:tcPr>
            <w:tcW w:w="1420" w:type="dxa"/>
            <w:vAlign w:val="center"/>
          </w:tcPr>
          <w:p w14:paraId="3ADFD4A7">
            <w:pPr>
              <w:jc w:val="center"/>
              <w:rPr>
                <w:rFonts w:hint="eastAsia" w:ascii="宋体" w:hAnsi="宋体" w:eastAsia="宋体" w:cs="宋体"/>
                <w:sz w:val="18"/>
                <w:szCs w:val="18"/>
                <w:vertAlign w:val="baseline"/>
                <w:lang w:val="en-US" w:eastAsia="zh-CN"/>
              </w:rPr>
            </w:pPr>
            <w:r>
              <w:rPr>
                <w:rFonts w:hint="eastAsia" w:ascii="宋体" w:hAnsi="宋体" w:eastAsia="宋体" w:cs="宋体"/>
                <w:i w:val="0"/>
                <w:sz w:val="18"/>
                <w:szCs w:val="18"/>
                <w:vertAlign w:val="baseline"/>
                <w:lang w:val="en-US" w:eastAsia="zh-CN"/>
              </w:rPr>
              <w:t>100≤</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ascii="宋体" w:hAnsi="宋体" w:eastAsia="宋体" w:cs="宋体"/>
                <w:i w:val="0"/>
                <w:sz w:val="18"/>
                <w:szCs w:val="18"/>
                <w:vertAlign w:val="baseline"/>
                <w:lang w:val="en-US" w:eastAsia="zh-CN"/>
              </w:rPr>
              <w:t>＜150</w:t>
            </w:r>
          </w:p>
        </w:tc>
        <w:tc>
          <w:tcPr>
            <w:tcW w:w="1420" w:type="dxa"/>
            <w:vAlign w:val="center"/>
          </w:tcPr>
          <w:p w14:paraId="2D91501E">
            <w:pPr>
              <w:jc w:val="center"/>
              <w:rPr>
                <w:rFonts w:hint="eastAsia" w:ascii="宋体" w:hAnsi="宋体" w:eastAsia="宋体" w:cs="宋体"/>
                <w:sz w:val="18"/>
                <w:szCs w:val="18"/>
                <w:vertAlign w:val="baseline"/>
                <w:lang w:val="en-US" w:eastAsia="zh-CN"/>
              </w:rPr>
            </w:pPr>
            <w:r>
              <w:rPr>
                <w:rFonts w:hint="eastAsia" w:ascii="宋体" w:hAnsi="宋体" w:eastAsia="宋体" w:cs="宋体"/>
                <w:i w:val="0"/>
                <w:sz w:val="18"/>
                <w:szCs w:val="18"/>
                <w:vertAlign w:val="baseline"/>
                <w:lang w:val="en-US" w:eastAsia="zh-CN"/>
              </w:rPr>
              <w:t>150≤</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ascii="宋体" w:hAnsi="宋体" w:eastAsia="宋体" w:cs="宋体"/>
                <w:i w:val="0"/>
                <w:sz w:val="18"/>
                <w:szCs w:val="18"/>
                <w:vertAlign w:val="baseline"/>
                <w:lang w:val="en-US" w:eastAsia="zh-CN"/>
              </w:rPr>
              <w:t>＜250</w:t>
            </w:r>
          </w:p>
        </w:tc>
        <w:tc>
          <w:tcPr>
            <w:tcW w:w="1420" w:type="dxa"/>
            <w:vAlign w:val="center"/>
          </w:tcPr>
          <w:p w14:paraId="7A0FEE89">
            <w:pPr>
              <w:jc w:val="center"/>
              <w:rPr>
                <w:rFonts w:hint="eastAsia" w:ascii="宋体" w:hAnsi="宋体" w:eastAsia="宋体" w:cs="宋体"/>
                <w:sz w:val="18"/>
                <w:szCs w:val="18"/>
                <w:vertAlign w:val="baseline"/>
                <w:lang w:val="en-US" w:eastAsia="zh-CN"/>
              </w:rPr>
            </w:pPr>
            <w:r>
              <w:rPr>
                <w:rFonts w:hint="eastAsia" w:ascii="宋体" w:hAnsi="宋体" w:eastAsia="宋体" w:cs="宋体"/>
                <w:i w:val="0"/>
                <w:sz w:val="18"/>
                <w:szCs w:val="18"/>
                <w:vertAlign w:val="baseline"/>
                <w:lang w:val="en-US" w:eastAsia="zh-CN"/>
              </w:rPr>
              <w:t>250≤</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ascii="宋体" w:hAnsi="宋体" w:eastAsia="宋体" w:cs="宋体"/>
                <w:i w:val="0"/>
                <w:sz w:val="18"/>
                <w:szCs w:val="18"/>
                <w:vertAlign w:val="baseline"/>
                <w:lang w:val="en-US" w:eastAsia="zh-CN"/>
              </w:rPr>
              <w:t>＜350</w:t>
            </w:r>
          </w:p>
        </w:tc>
        <w:tc>
          <w:tcPr>
            <w:tcW w:w="1420" w:type="dxa"/>
            <w:vAlign w:val="center"/>
          </w:tcPr>
          <w:p w14:paraId="03D4E79E">
            <w:pPr>
              <w:jc w:val="center"/>
              <w:rPr>
                <w:rFonts w:hint="eastAsia" w:ascii="宋体" w:hAnsi="宋体" w:eastAsia="宋体" w:cs="宋体"/>
                <w:sz w:val="18"/>
                <w:szCs w:val="18"/>
                <w:vertAlign w:val="baseline"/>
                <w:lang w:val="en-US" w:eastAsia="zh-CN"/>
              </w:rPr>
            </w:pPr>
            <w:r>
              <w:rPr>
                <w:rFonts w:hint="eastAsia" w:ascii="宋体" w:hAnsi="宋体" w:eastAsia="宋体" w:cs="宋体"/>
                <w:i w:val="0"/>
                <w:sz w:val="18"/>
                <w:szCs w:val="18"/>
                <w:vertAlign w:val="baseline"/>
                <w:lang w:val="en-US" w:eastAsia="zh-CN"/>
              </w:rPr>
              <w:t>350≤</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ascii="宋体" w:hAnsi="宋体" w:eastAsia="宋体" w:cs="宋体"/>
                <w:i w:val="0"/>
                <w:sz w:val="18"/>
                <w:szCs w:val="18"/>
                <w:vertAlign w:val="baseline"/>
                <w:lang w:val="en-US" w:eastAsia="zh-CN"/>
              </w:rPr>
              <w:t>＜500</w:t>
            </w:r>
          </w:p>
        </w:tc>
        <w:tc>
          <w:tcPr>
            <w:tcW w:w="1423" w:type="dxa"/>
            <w:vAlign w:val="center"/>
          </w:tcPr>
          <w:p w14:paraId="7D0B3968">
            <w:pPr>
              <w:jc w:val="center"/>
              <w:rPr>
                <w:rFonts w:hint="eastAsia" w:ascii="宋体" w:hAnsi="宋体" w:eastAsia="宋体" w:cs="宋体"/>
                <w:sz w:val="18"/>
                <w:szCs w:val="18"/>
                <w:vertAlign w:val="baseline"/>
                <w:lang w:val="en-US" w:eastAsia="zh-CN"/>
              </w:rPr>
            </w:pPr>
            <w:r>
              <w:rPr>
                <w:rFonts w:hint="eastAsia" w:ascii="宋体" w:hAnsi="宋体" w:eastAsia="宋体" w:cs="宋体"/>
                <w:i w:val="0"/>
                <w:sz w:val="18"/>
                <w:szCs w:val="18"/>
                <w:vertAlign w:val="baseline"/>
                <w:lang w:val="en-US" w:eastAsia="zh-CN"/>
              </w:rPr>
              <w:t>500≤</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ascii="宋体" w:hAnsi="宋体" w:eastAsia="宋体" w:cs="宋体"/>
                <w:i w:val="0"/>
                <w:sz w:val="18"/>
                <w:szCs w:val="18"/>
                <w:vertAlign w:val="baseline"/>
                <w:lang w:val="en-US" w:eastAsia="zh-CN"/>
              </w:rPr>
              <w:t>＜700</w:t>
            </w:r>
          </w:p>
        </w:tc>
        <w:tc>
          <w:tcPr>
            <w:tcW w:w="1000" w:type="dxa"/>
            <w:vAlign w:val="center"/>
          </w:tcPr>
          <w:p w14:paraId="3B688FD1">
            <w:pPr>
              <w:jc w:val="center"/>
              <w:rPr>
                <w:rFonts w:hint="default" w:ascii="宋体" w:hAnsi="宋体" w:eastAsia="宋体" w:cs="宋体"/>
                <w:sz w:val="18"/>
                <w:szCs w:val="18"/>
                <w:vertAlign w:val="baseline"/>
                <w:lang w:val="en-US" w:eastAsia="zh-CN"/>
              </w:rPr>
            </w:pP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m:t>
              </m:r>
            </m:oMath>
            <w:r>
              <w:rPr>
                <w:rFonts w:hint="eastAsia" w:ascii="宋体" w:hAnsi="宋体" w:eastAsia="宋体" w:cs="宋体"/>
                <w:i w:val="0"/>
                <w:sz w:val="18"/>
                <w:szCs w:val="18"/>
                <w:vertAlign w:val="baseline"/>
                <w:lang w:val="en-US" w:eastAsia="zh-CN"/>
              </w:rPr>
              <w:t>≥</w:t>
            </w:r>
            <w:r>
              <w:rPr>
                <w:rFonts w:hint="eastAsia" w:ascii="宋体" w:hAnsi="宋体" w:cs="宋体"/>
                <w:i w:val="0"/>
                <w:sz w:val="18"/>
                <w:szCs w:val="18"/>
                <w:vertAlign w:val="baseline"/>
                <w:lang w:val="en-US" w:eastAsia="zh-CN"/>
              </w:rPr>
              <w:t>700</w:t>
            </w:r>
          </w:p>
        </w:tc>
      </w:tr>
    </w:tbl>
    <w:p w14:paraId="589F0200">
      <w:pPr>
        <w:pStyle w:val="66"/>
        <w:rPr>
          <w:rFonts w:hint="eastAsia" w:eastAsia="黑体"/>
          <w:lang w:val="en-US" w:eastAsia="zh-CN"/>
        </w:rPr>
      </w:pPr>
      <w:r>
        <w:rPr>
          <w:rFonts w:hint="eastAsia"/>
          <w:lang w:val="en-US" w:eastAsia="zh-CN"/>
        </w:rPr>
        <w:t>气密性能分级</w:t>
      </w:r>
    </w:p>
    <w:p w14:paraId="414361ED">
      <w:pPr>
        <w:pStyle w:val="57"/>
        <w:rPr>
          <w:rFonts w:hint="eastAsia"/>
          <w:lang w:val="en-US" w:eastAsia="zh-CN"/>
        </w:rPr>
      </w:pPr>
      <w:r>
        <w:rPr>
          <w:rFonts w:hint="eastAsia"/>
          <w:lang w:val="en-US" w:eastAsia="zh-CN"/>
        </w:rPr>
        <w:t xml:space="preserve">门窗气密性能以单位缝长空气渗透量 </w:t>
      </w:r>
      <m:oMath>
        <m:sSub>
          <m:sSubPr>
            <m:ctrlPr>
              <w:rPr>
                <w:rFonts w:ascii="Cambria Math" w:hAnsi="Cambria Math"/>
                <w:i/>
                <w:lang w:val="en-US"/>
              </w:rPr>
            </m:ctrlPr>
          </m:sSubPr>
          <m:e>
            <m:r>
              <m:rPr/>
              <w:rPr>
                <w:rFonts w:hint="default" w:ascii="Cambria Math" w:hAnsi="Cambria Math"/>
                <w:lang w:val="en-US" w:eastAsia="zh-CN"/>
              </w:rPr>
              <m:t>q</m:t>
            </m:r>
            <m:ctrlPr>
              <w:rPr>
                <w:rFonts w:ascii="Cambria Math" w:hAnsi="Cambria Math"/>
                <w:i/>
                <w:lang w:val="en-US"/>
              </w:rPr>
            </m:ctrlPr>
          </m:e>
          <m:sub>
            <m:r>
              <m:rPr/>
              <w:rPr>
                <w:rFonts w:hint="default" w:ascii="Cambria Math" w:hAnsi="Cambria Math"/>
                <w:lang w:val="en-US" w:eastAsia="zh-CN"/>
              </w:rPr>
              <m:t>1</m:t>
            </m:r>
            <m:ctrlPr>
              <w:rPr>
                <w:rFonts w:ascii="Cambria Math" w:hAnsi="Cambria Math"/>
                <w:i/>
                <w:lang w:val="en-US"/>
              </w:rPr>
            </m:ctrlPr>
          </m:sub>
        </m:sSub>
      </m:oMath>
      <w:r>
        <w:rPr>
          <w:rFonts w:hint="eastAsia" w:hAnsi="Cambria Math"/>
          <w:i w:val="0"/>
          <w:lang w:val="en-US" w:eastAsia="zh-CN"/>
        </w:rPr>
        <w:t xml:space="preserve"> </w:t>
      </w:r>
      <w:r>
        <w:rPr>
          <w:rFonts w:hint="eastAsia"/>
          <w:lang w:val="en-US" w:eastAsia="zh-CN"/>
        </w:rPr>
        <w:t xml:space="preserve">或单位面积空气渗透量 </w:t>
      </w:r>
      <m:oMath>
        <m:sSub>
          <m:sSubPr>
            <m:ctrlPr>
              <w:rPr>
                <w:rFonts w:ascii="Cambria Math" w:hAnsi="Cambria Math"/>
                <w:i/>
                <w:lang w:val="en-US"/>
              </w:rPr>
            </m:ctrlPr>
          </m:sSubPr>
          <m:e>
            <m:r>
              <m:rPr/>
              <w:rPr>
                <w:rFonts w:hint="default" w:ascii="Cambria Math" w:hAnsi="Cambria Math"/>
                <w:lang w:val="en-US" w:eastAsia="zh-CN"/>
              </w:rPr>
              <m:t>q</m:t>
            </m:r>
            <m:ctrlPr>
              <w:rPr>
                <w:rFonts w:ascii="Cambria Math" w:hAnsi="Cambria Math"/>
                <w:i/>
                <w:lang w:val="en-US"/>
              </w:rPr>
            </m:ctrlPr>
          </m:e>
          <m:sub>
            <m:r>
              <m:rPr/>
              <w:rPr>
                <w:rFonts w:hint="default" w:ascii="Cambria Math" w:hAnsi="Cambria Math"/>
                <w:lang w:val="en-US" w:eastAsia="zh-CN"/>
              </w:rPr>
              <m:t>2</m:t>
            </m:r>
            <m:ctrlPr>
              <w:rPr>
                <w:rFonts w:ascii="Cambria Math" w:hAnsi="Cambria Math"/>
                <w:i/>
                <w:lang w:val="en-US"/>
              </w:rPr>
            </m:ctrlPr>
          </m:sub>
        </m:sSub>
      </m:oMath>
      <w:r>
        <w:rPr>
          <w:rFonts w:hint="eastAsia" w:hAnsi="Cambria Math"/>
          <w:i w:val="0"/>
          <w:lang w:val="en-US" w:eastAsia="zh-CN"/>
        </w:rPr>
        <w:t xml:space="preserve"> 为分级指标，窗的气密性能分级应符合表 3 的规定。</w:t>
      </w:r>
    </w:p>
    <w:p w14:paraId="39197DB8">
      <w:pPr>
        <w:pStyle w:val="113"/>
        <w:rPr>
          <w:rFonts w:hint="default"/>
          <w:lang w:val="en-US" w:eastAsia="zh-CN"/>
        </w:rPr>
      </w:pPr>
      <w:r>
        <w:rPr>
          <w:rFonts w:hint="eastAsia"/>
          <w:lang w:val="en-US" w:eastAsia="zh-CN"/>
        </w:rPr>
        <w:t>气密性能分级</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94"/>
        <w:gridCol w:w="1055"/>
        <w:gridCol w:w="1055"/>
        <w:gridCol w:w="1055"/>
        <w:gridCol w:w="1055"/>
        <w:gridCol w:w="1055"/>
        <w:gridCol w:w="1055"/>
        <w:gridCol w:w="1058"/>
        <w:gridCol w:w="888"/>
      </w:tblGrid>
      <w:tr w14:paraId="2571A9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4" w:type="dxa"/>
            <w:vAlign w:val="center"/>
          </w:tcPr>
          <w:p w14:paraId="78A3229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分级</w:t>
            </w:r>
          </w:p>
        </w:tc>
        <w:tc>
          <w:tcPr>
            <w:tcW w:w="1055" w:type="dxa"/>
            <w:vAlign w:val="center"/>
          </w:tcPr>
          <w:p w14:paraId="6BCAF88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1055" w:type="dxa"/>
            <w:vAlign w:val="center"/>
          </w:tcPr>
          <w:p w14:paraId="1ECCD90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1055" w:type="dxa"/>
            <w:vAlign w:val="center"/>
          </w:tcPr>
          <w:p w14:paraId="15E9AD4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1055" w:type="dxa"/>
            <w:vAlign w:val="center"/>
          </w:tcPr>
          <w:p w14:paraId="5F39DF45">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1055" w:type="dxa"/>
            <w:vAlign w:val="center"/>
          </w:tcPr>
          <w:p w14:paraId="50AB1CC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1055" w:type="dxa"/>
            <w:vAlign w:val="center"/>
          </w:tcPr>
          <w:p w14:paraId="73A7CDE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1058" w:type="dxa"/>
            <w:vAlign w:val="center"/>
          </w:tcPr>
          <w:p w14:paraId="27AFD75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888" w:type="dxa"/>
            <w:vAlign w:val="center"/>
          </w:tcPr>
          <w:p w14:paraId="0C4E3C2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r>
      <w:tr w14:paraId="1DD7D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4" w:type="dxa"/>
            <w:vAlign w:val="center"/>
          </w:tcPr>
          <w:p w14:paraId="0D95B1F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分级指标值</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i w:val="0"/>
                <w:sz w:val="18"/>
                <w:szCs w:val="18"/>
                <w:lang w:val="en-US" w:eastAsia="zh-CN"/>
              </w:rPr>
              <w:t>/[m³/m·h]</w:t>
            </w:r>
          </w:p>
        </w:tc>
        <w:tc>
          <w:tcPr>
            <w:tcW w:w="1055" w:type="dxa"/>
            <w:vAlign w:val="center"/>
          </w:tcPr>
          <w:p w14:paraId="2E1EFD9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＞3.5</w:t>
            </w:r>
          </w:p>
        </w:tc>
        <w:tc>
          <w:tcPr>
            <w:tcW w:w="1055" w:type="dxa"/>
            <w:vAlign w:val="center"/>
          </w:tcPr>
          <w:p w14:paraId="2A72F2AA">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3.5≥</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＞3.0</w:t>
            </w:r>
          </w:p>
        </w:tc>
        <w:tc>
          <w:tcPr>
            <w:tcW w:w="1055" w:type="dxa"/>
            <w:vAlign w:val="center"/>
          </w:tcPr>
          <w:p w14:paraId="4972EFA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＞2.5</w:t>
            </w:r>
          </w:p>
        </w:tc>
        <w:tc>
          <w:tcPr>
            <w:tcW w:w="1055" w:type="dxa"/>
            <w:vAlign w:val="center"/>
          </w:tcPr>
          <w:p w14:paraId="242E0A9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2.5≥</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＞2.0</w:t>
            </w:r>
          </w:p>
        </w:tc>
        <w:tc>
          <w:tcPr>
            <w:tcW w:w="1055" w:type="dxa"/>
            <w:vAlign w:val="center"/>
          </w:tcPr>
          <w:p w14:paraId="4C0CAF8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＞1.5</w:t>
            </w:r>
          </w:p>
        </w:tc>
        <w:tc>
          <w:tcPr>
            <w:tcW w:w="1055" w:type="dxa"/>
            <w:vAlign w:val="center"/>
          </w:tcPr>
          <w:p w14:paraId="4BE65889">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1.5≥</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＞1.0</w:t>
            </w:r>
          </w:p>
        </w:tc>
        <w:tc>
          <w:tcPr>
            <w:tcW w:w="1058" w:type="dxa"/>
            <w:vAlign w:val="center"/>
          </w:tcPr>
          <w:p w14:paraId="1C561AD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＞0.5</w:t>
            </w:r>
          </w:p>
        </w:tc>
        <w:tc>
          <w:tcPr>
            <w:tcW w:w="888" w:type="dxa"/>
            <w:vAlign w:val="center"/>
          </w:tcPr>
          <w:p w14:paraId="014E90EA">
            <w:pPr>
              <w:jc w:val="center"/>
              <w:rPr>
                <w:rFonts w:hint="eastAsia" w:ascii="宋体" w:hAnsi="宋体" w:eastAsia="宋体" w:cs="宋体"/>
                <w:sz w:val="18"/>
                <w:szCs w:val="18"/>
                <w:lang w:val="en-US" w:eastAsia="zh-CN"/>
              </w:rPr>
            </w:pP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1</m:t>
                  </m:r>
                  <m:ctrlPr>
                    <w:rPr>
                      <w:rFonts w:hint="eastAsia" w:ascii="Cambria Math" w:hAnsi="Cambria Math" w:eastAsia="宋体" w:cs="宋体"/>
                      <w:i/>
                      <w:sz w:val="18"/>
                      <w:szCs w:val="18"/>
                      <w:lang w:val="en-US"/>
                    </w:rPr>
                  </m:ctrlPr>
                </m:sub>
              </m:sSub>
            </m:oMath>
            <w:r>
              <w:rPr>
                <w:rFonts w:hint="eastAsia" w:ascii="宋体" w:hAnsi="宋体" w:eastAsia="宋体" w:cs="宋体"/>
                <w:i w:val="0"/>
                <w:sz w:val="18"/>
                <w:szCs w:val="18"/>
                <w:lang w:val="en-US" w:eastAsia="zh-CN"/>
              </w:rPr>
              <w:t>≤0.5</w:t>
            </w:r>
          </w:p>
        </w:tc>
      </w:tr>
      <w:tr w14:paraId="23D35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94" w:type="dxa"/>
            <w:vAlign w:val="center"/>
          </w:tcPr>
          <w:p w14:paraId="41151A0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分级指标值</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i w:val="0"/>
                <w:sz w:val="18"/>
                <w:szCs w:val="18"/>
                <w:lang w:val="en-US" w:eastAsia="zh-CN"/>
              </w:rPr>
              <w:t>/[m</w:t>
            </w:r>
            <w:r>
              <w:rPr>
                <w:rFonts w:hint="eastAsia" w:ascii="宋体" w:hAnsi="宋体" w:cs="宋体"/>
                <w:i w:val="0"/>
                <w:sz w:val="18"/>
                <w:szCs w:val="18"/>
                <w:lang w:val="en-US" w:eastAsia="zh-CN"/>
              </w:rPr>
              <w:t>²</w:t>
            </w:r>
            <w:r>
              <w:rPr>
                <w:rFonts w:hint="eastAsia" w:ascii="宋体" w:hAnsi="宋体" w:eastAsia="宋体" w:cs="宋体"/>
                <w:i w:val="0"/>
                <w:sz w:val="18"/>
                <w:szCs w:val="18"/>
                <w:lang w:val="en-US" w:eastAsia="zh-CN"/>
              </w:rPr>
              <w:t>/m·h]</w:t>
            </w:r>
          </w:p>
        </w:tc>
        <w:tc>
          <w:tcPr>
            <w:tcW w:w="1055" w:type="dxa"/>
            <w:vAlign w:val="center"/>
          </w:tcPr>
          <w:p w14:paraId="189DAE23">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12≥</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＞10.5</w:t>
            </w:r>
          </w:p>
        </w:tc>
        <w:tc>
          <w:tcPr>
            <w:tcW w:w="1055" w:type="dxa"/>
            <w:vAlign w:val="center"/>
          </w:tcPr>
          <w:p w14:paraId="70D1794B">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10.5≥</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＞9.0</w:t>
            </w:r>
          </w:p>
        </w:tc>
        <w:tc>
          <w:tcPr>
            <w:tcW w:w="1055" w:type="dxa"/>
            <w:vAlign w:val="center"/>
          </w:tcPr>
          <w:p w14:paraId="6719C45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＞7.5</w:t>
            </w:r>
          </w:p>
        </w:tc>
        <w:tc>
          <w:tcPr>
            <w:tcW w:w="1055" w:type="dxa"/>
            <w:vAlign w:val="center"/>
          </w:tcPr>
          <w:p w14:paraId="46115BC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7.5≥</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＞6.0</w:t>
            </w:r>
          </w:p>
        </w:tc>
        <w:tc>
          <w:tcPr>
            <w:tcW w:w="1055" w:type="dxa"/>
            <w:vAlign w:val="center"/>
          </w:tcPr>
          <w:p w14:paraId="014F00E3">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＞4.5</w:t>
            </w:r>
          </w:p>
        </w:tc>
        <w:tc>
          <w:tcPr>
            <w:tcW w:w="1055" w:type="dxa"/>
            <w:vAlign w:val="center"/>
          </w:tcPr>
          <w:p w14:paraId="618F027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4.5≥</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＞3.0</w:t>
            </w:r>
          </w:p>
        </w:tc>
        <w:tc>
          <w:tcPr>
            <w:tcW w:w="1058" w:type="dxa"/>
            <w:vAlign w:val="center"/>
          </w:tcPr>
          <w:p w14:paraId="4CEA5395">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3.0≥</w:t>
            </w: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＞1.5</w:t>
            </w:r>
          </w:p>
        </w:tc>
        <w:tc>
          <w:tcPr>
            <w:tcW w:w="888" w:type="dxa"/>
            <w:vAlign w:val="center"/>
          </w:tcPr>
          <w:p w14:paraId="58B761C4">
            <w:pPr>
              <w:jc w:val="center"/>
              <w:rPr>
                <w:rFonts w:hint="eastAsia" w:ascii="宋体" w:hAnsi="宋体" w:eastAsia="宋体" w:cs="宋体"/>
                <w:sz w:val="18"/>
                <w:szCs w:val="18"/>
                <w:lang w:val="en-US" w:eastAsia="zh-CN"/>
              </w:rPr>
            </w:pPr>
            <m:oMath>
              <m:sSub>
                <m:sSubPr>
                  <m:ctrlPr>
                    <w:rPr>
                      <w:rFonts w:hint="eastAsia" w:ascii="Cambria Math" w:hAnsi="Cambria Math" w:eastAsia="宋体" w:cs="宋体"/>
                      <w:i/>
                      <w:sz w:val="18"/>
                      <w:szCs w:val="18"/>
                      <w:lang w:val="en-US"/>
                    </w:rPr>
                  </m:ctrlPr>
                </m:sSubPr>
                <m:e>
                  <m:r>
                    <m:rPr/>
                    <w:rPr>
                      <w:rFonts w:hint="eastAsia" w:ascii="Cambria Math" w:hAnsi="Cambria Math" w:eastAsia="宋体" w:cs="宋体"/>
                      <w:sz w:val="18"/>
                      <w:szCs w:val="18"/>
                      <w:lang w:val="en-US" w:eastAsia="zh-CN"/>
                    </w:rPr>
                    <m:t>q</m:t>
                  </m:r>
                  <m:ctrlPr>
                    <w:rPr>
                      <w:rFonts w:hint="eastAsia" w:ascii="Cambria Math" w:hAnsi="Cambria Math" w:eastAsia="宋体" w:cs="宋体"/>
                      <w:i/>
                      <w:sz w:val="18"/>
                      <w:szCs w:val="18"/>
                      <w:lang w:val="en-US"/>
                    </w:rPr>
                  </m:ctrlPr>
                </m:e>
                <m:sub>
                  <m:r>
                    <m:rPr/>
                    <w:rPr>
                      <w:rFonts w:hint="eastAsia" w:ascii="Cambria Math" w:hAnsi="Cambria Math" w:eastAsia="宋体" w:cs="宋体"/>
                      <w:sz w:val="18"/>
                      <w:szCs w:val="18"/>
                      <w:lang w:val="en-US" w:eastAsia="zh-CN"/>
                    </w:rPr>
                    <m:t>2</m:t>
                  </m:r>
                  <m:ctrlPr>
                    <w:rPr>
                      <w:rFonts w:hint="eastAsia" w:ascii="Cambria Math" w:hAnsi="Cambria Math" w:eastAsia="宋体" w:cs="宋体"/>
                      <w:i/>
                      <w:sz w:val="18"/>
                      <w:szCs w:val="18"/>
                      <w:lang w:val="en-US"/>
                    </w:rPr>
                  </m:ctrlPr>
                </m:sub>
              </m:sSub>
            </m:oMath>
            <w:r>
              <w:rPr>
                <w:rFonts w:hint="eastAsia" w:ascii="宋体" w:hAnsi="宋体" w:eastAsia="宋体" w:cs="宋体"/>
                <w:sz w:val="18"/>
                <w:szCs w:val="18"/>
                <w:lang w:val="en-US" w:eastAsia="zh-CN"/>
              </w:rPr>
              <w:t>≤1.5</w:t>
            </w:r>
          </w:p>
        </w:tc>
      </w:tr>
      <w:tr w14:paraId="30FEA4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0" w:type="dxa"/>
            <w:gridSpan w:val="9"/>
            <w:vAlign w:val="center"/>
          </w:tcPr>
          <w:p w14:paraId="27060AE9">
            <w:pPr>
              <w:jc w:val="both"/>
              <w:rPr>
                <w:rFonts w:hint="default" w:ascii="宋体" w:hAnsi="宋体" w:eastAsia="宋体" w:cs="宋体"/>
                <w:sz w:val="18"/>
                <w:szCs w:val="18"/>
                <w:lang w:val="en-US" w:eastAsia="zh-CN"/>
              </w:rPr>
            </w:pPr>
            <w:r>
              <w:rPr>
                <w:rFonts w:hint="eastAsia" w:ascii="宋体" w:hAnsi="宋体" w:cs="宋体"/>
                <w:b/>
                <w:bCs/>
                <w:sz w:val="18"/>
                <w:szCs w:val="18"/>
                <w:lang w:val="en-US" w:eastAsia="zh-CN"/>
              </w:rPr>
              <w:t xml:space="preserve"> 注：</w:t>
            </w:r>
            <w:r>
              <w:rPr>
                <w:rFonts w:hint="eastAsia" w:ascii="宋体" w:hAnsi="宋体" w:cs="宋体"/>
                <w:sz w:val="18"/>
                <w:szCs w:val="18"/>
                <w:lang w:val="en-US" w:eastAsia="zh-CN"/>
              </w:rPr>
              <w:t>第8级应在分级后同时注明具体分级指标值。</w:t>
            </w:r>
          </w:p>
        </w:tc>
      </w:tr>
    </w:tbl>
    <w:p w14:paraId="7A80E55A">
      <w:pPr>
        <w:pStyle w:val="66"/>
        <w:rPr>
          <w:rFonts w:hint="eastAsia" w:eastAsia="黑体"/>
          <w:lang w:val="en-US" w:eastAsia="zh-CN"/>
        </w:rPr>
      </w:pPr>
      <w:r>
        <w:rPr>
          <w:rFonts w:hint="eastAsia"/>
          <w:lang w:val="en-US" w:eastAsia="zh-CN"/>
        </w:rPr>
        <w:t>保温性能分级</w:t>
      </w:r>
    </w:p>
    <w:p w14:paraId="7F43A0A2">
      <w:pPr>
        <w:pStyle w:val="57"/>
        <w:rPr>
          <w:rFonts w:hint="default" w:eastAsia="宋体"/>
          <w:lang w:val="en-US" w:eastAsia="zh-CN"/>
        </w:rPr>
      </w:pPr>
      <w:r>
        <w:rPr>
          <w:rFonts w:hint="eastAsia"/>
          <w:lang w:val="en-US" w:eastAsia="zh-CN"/>
        </w:rPr>
        <w:t xml:space="preserve">窗的保温性能以传热系数 </w:t>
      </w:r>
      <m:oMath>
        <m:r>
          <m:rPr/>
          <w:rPr>
            <w:rFonts w:hint="default" w:ascii="Cambria Math" w:hAnsi="Cambria Math" w:cs="Times New Roman"/>
            <w:sz w:val="21"/>
            <w:lang w:val="en-US" w:eastAsia="zh-CN" w:bidi="ar-SA"/>
          </w:rPr>
          <m:t>K</m:t>
        </m:r>
      </m:oMath>
      <w:r>
        <w:rPr>
          <w:rFonts w:hint="eastAsia" w:hAnsi="Cambria Math" w:cs="Times New Roman"/>
          <w:i w:val="0"/>
          <w:sz w:val="21"/>
          <w:lang w:val="en-US" w:eastAsia="zh-CN" w:bidi="ar-SA"/>
        </w:rPr>
        <w:t xml:space="preserve"> 为分级指标，分级应符合表 4 的规定。</w:t>
      </w:r>
    </w:p>
    <w:p w14:paraId="373BE756">
      <w:pPr>
        <w:pStyle w:val="113"/>
        <w:rPr>
          <w:rFonts w:hint="default"/>
          <w:lang w:val="en-US" w:eastAsia="zh-CN"/>
        </w:rPr>
      </w:pPr>
      <w:r>
        <w:rPr>
          <w:rFonts w:hint="eastAsia"/>
          <w:lang w:val="en-US" w:eastAsia="zh-CN"/>
        </w:rPr>
        <w:t>保温性能分级</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0"/>
        <w:gridCol w:w="857"/>
        <w:gridCol w:w="867"/>
        <w:gridCol w:w="883"/>
        <w:gridCol w:w="875"/>
        <w:gridCol w:w="882"/>
        <w:gridCol w:w="880"/>
        <w:gridCol w:w="863"/>
        <w:gridCol w:w="875"/>
        <w:gridCol w:w="880"/>
        <w:gridCol w:w="838"/>
      </w:tblGrid>
      <w:tr w14:paraId="0B906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 w:type="dxa"/>
            <w:vAlign w:val="center"/>
          </w:tcPr>
          <w:p w14:paraId="3A489D9F">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分级</w:t>
            </w:r>
          </w:p>
        </w:tc>
        <w:tc>
          <w:tcPr>
            <w:tcW w:w="857" w:type="dxa"/>
            <w:vAlign w:val="center"/>
          </w:tcPr>
          <w:p w14:paraId="601EDF7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867" w:type="dxa"/>
            <w:vAlign w:val="center"/>
          </w:tcPr>
          <w:p w14:paraId="5FDEDEF5">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883" w:type="dxa"/>
            <w:vAlign w:val="center"/>
          </w:tcPr>
          <w:p w14:paraId="14DE2C92">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875" w:type="dxa"/>
            <w:vAlign w:val="center"/>
          </w:tcPr>
          <w:p w14:paraId="738B1F03">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882" w:type="dxa"/>
            <w:vAlign w:val="center"/>
          </w:tcPr>
          <w:p w14:paraId="4F2F919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880" w:type="dxa"/>
            <w:vAlign w:val="center"/>
          </w:tcPr>
          <w:p w14:paraId="5A58C065">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863" w:type="dxa"/>
            <w:vAlign w:val="center"/>
          </w:tcPr>
          <w:p w14:paraId="5ED6E9F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7</w:t>
            </w:r>
          </w:p>
        </w:tc>
        <w:tc>
          <w:tcPr>
            <w:tcW w:w="875" w:type="dxa"/>
            <w:vAlign w:val="center"/>
          </w:tcPr>
          <w:p w14:paraId="3D3A158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8</w:t>
            </w:r>
          </w:p>
        </w:tc>
        <w:tc>
          <w:tcPr>
            <w:tcW w:w="880" w:type="dxa"/>
            <w:vAlign w:val="center"/>
          </w:tcPr>
          <w:p w14:paraId="6C0DB54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9</w:t>
            </w:r>
          </w:p>
        </w:tc>
        <w:tc>
          <w:tcPr>
            <w:tcW w:w="838" w:type="dxa"/>
            <w:vAlign w:val="center"/>
          </w:tcPr>
          <w:p w14:paraId="4F2444AD">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10</w:t>
            </w:r>
          </w:p>
        </w:tc>
      </w:tr>
      <w:tr w14:paraId="5329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70" w:type="dxa"/>
            <w:vAlign w:val="center"/>
          </w:tcPr>
          <w:p w14:paraId="52B6891E">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分级指标值</w:t>
            </w:r>
            <m:oMath>
              <m:r>
                <m:rPr/>
                <w:rPr>
                  <w:rFonts w:hint="eastAsia" w:ascii="Cambria Math" w:hAnsi="Cambria Math" w:eastAsia="宋体" w:cs="宋体"/>
                  <w:sz w:val="18"/>
                  <w:szCs w:val="18"/>
                  <w:lang w:val="en-US" w:eastAsia="zh-CN"/>
                </w:rPr>
                <m:t xml:space="preserve"> </m:t>
              </m:r>
              <m:r>
                <m:rPr/>
                <w:rPr>
                  <w:rFonts w:hint="eastAsia" w:ascii="Cambria Math" w:hAnsi="Cambria Math" w:eastAsia="宋体" w:cs="宋体"/>
                  <w:sz w:val="18"/>
                  <w:szCs w:val="18"/>
                  <w:lang w:val="en-US" w:eastAsia="zh-CN" w:bidi="ar-SA"/>
                </w:rPr>
                <m:t>K</m:t>
              </m:r>
            </m:oMath>
          </w:p>
        </w:tc>
        <w:tc>
          <w:tcPr>
            <w:tcW w:w="857" w:type="dxa"/>
            <w:vAlign w:val="center"/>
          </w:tcPr>
          <w:p w14:paraId="42D26BD4">
            <w:pPr>
              <w:jc w:val="center"/>
              <w:rPr>
                <w:rFonts w:hint="eastAsia" w:ascii="宋体" w:hAnsi="宋体" w:eastAsia="宋体" w:cs="宋体"/>
                <w:sz w:val="18"/>
                <w:szCs w:val="18"/>
                <w:lang w:val="en-US"/>
              </w:rPr>
            </w:pP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≥5.0</w:t>
            </w:r>
          </w:p>
        </w:tc>
        <w:tc>
          <w:tcPr>
            <w:tcW w:w="867" w:type="dxa"/>
            <w:vAlign w:val="center"/>
          </w:tcPr>
          <w:p w14:paraId="088E2367">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5.0＞</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≥4.0</w:t>
            </w:r>
          </w:p>
        </w:tc>
        <w:tc>
          <w:tcPr>
            <w:tcW w:w="883" w:type="dxa"/>
            <w:vAlign w:val="center"/>
          </w:tcPr>
          <w:p w14:paraId="77082F56">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4.0＞</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≥3.5</w:t>
            </w:r>
          </w:p>
        </w:tc>
        <w:tc>
          <w:tcPr>
            <w:tcW w:w="875" w:type="dxa"/>
            <w:vAlign w:val="center"/>
          </w:tcPr>
          <w:p w14:paraId="046844B1">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3.5＞</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≥3.0</w:t>
            </w:r>
          </w:p>
        </w:tc>
        <w:tc>
          <w:tcPr>
            <w:tcW w:w="882" w:type="dxa"/>
            <w:vAlign w:val="center"/>
          </w:tcPr>
          <w:p w14:paraId="620AA399">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3.0＞</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≥2.5</w:t>
            </w:r>
          </w:p>
        </w:tc>
        <w:tc>
          <w:tcPr>
            <w:tcW w:w="880" w:type="dxa"/>
            <w:vAlign w:val="center"/>
          </w:tcPr>
          <w:p w14:paraId="6606F438">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2.5＞</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≥2.0</w:t>
            </w:r>
          </w:p>
        </w:tc>
        <w:tc>
          <w:tcPr>
            <w:tcW w:w="863" w:type="dxa"/>
            <w:vAlign w:val="center"/>
          </w:tcPr>
          <w:p w14:paraId="2539FF5D">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2.0＞</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≥1.6</w:t>
            </w:r>
          </w:p>
        </w:tc>
        <w:tc>
          <w:tcPr>
            <w:tcW w:w="875" w:type="dxa"/>
            <w:vAlign w:val="center"/>
          </w:tcPr>
          <w:p w14:paraId="7FF0468F">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1.6＞</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≥1.3</w:t>
            </w:r>
          </w:p>
        </w:tc>
        <w:tc>
          <w:tcPr>
            <w:tcW w:w="880" w:type="dxa"/>
            <w:vAlign w:val="center"/>
          </w:tcPr>
          <w:p w14:paraId="7480A8FE">
            <w:pPr>
              <w:jc w:val="center"/>
              <w:rPr>
                <w:rFonts w:hint="eastAsia" w:ascii="宋体" w:hAnsi="宋体" w:eastAsia="宋体" w:cs="宋体"/>
                <w:sz w:val="18"/>
                <w:szCs w:val="18"/>
                <w:lang w:val="en-US"/>
              </w:rPr>
            </w:pPr>
            <w:r>
              <w:rPr>
                <w:rFonts w:hint="eastAsia" w:ascii="宋体" w:hAnsi="宋体" w:eastAsia="宋体" w:cs="宋体"/>
                <w:i w:val="0"/>
                <w:sz w:val="18"/>
                <w:szCs w:val="18"/>
                <w:lang w:val="en-US" w:eastAsia="zh-CN" w:bidi="ar-SA"/>
              </w:rPr>
              <w:t>1.3＞</w:t>
            </w: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≥1.1</w:t>
            </w:r>
          </w:p>
        </w:tc>
        <w:tc>
          <w:tcPr>
            <w:tcW w:w="838" w:type="dxa"/>
            <w:vAlign w:val="center"/>
          </w:tcPr>
          <w:p w14:paraId="1D804E56">
            <w:pPr>
              <w:jc w:val="center"/>
              <w:rPr>
                <w:rFonts w:hint="eastAsia" w:ascii="宋体" w:hAnsi="宋体" w:eastAsia="宋体" w:cs="宋体"/>
                <w:sz w:val="18"/>
                <w:szCs w:val="18"/>
                <w:lang w:val="en-US"/>
              </w:rPr>
            </w:pPr>
            <m:oMath>
              <m:r>
                <m:rPr/>
                <w:rPr>
                  <w:rFonts w:hint="eastAsia" w:ascii="Cambria Math" w:hAnsi="Cambria Math" w:eastAsia="宋体" w:cs="宋体"/>
                  <w:sz w:val="18"/>
                  <w:szCs w:val="18"/>
                  <w:lang w:val="en-US" w:eastAsia="zh-CN" w:bidi="ar-SA"/>
                </w:rPr>
                <m:t>K</m:t>
              </m:r>
            </m:oMath>
            <w:r>
              <w:rPr>
                <w:rFonts w:hint="eastAsia" w:ascii="宋体" w:hAnsi="宋体" w:eastAsia="宋体" w:cs="宋体"/>
                <w:i w:val="0"/>
                <w:sz w:val="18"/>
                <w:szCs w:val="18"/>
                <w:lang w:val="en-US" w:eastAsia="zh-CN" w:bidi="ar-SA"/>
              </w:rPr>
              <w:t>＜1.1</w:t>
            </w:r>
          </w:p>
        </w:tc>
      </w:tr>
      <w:tr w14:paraId="79FC0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0" w:type="dxa"/>
            <w:gridSpan w:val="11"/>
            <w:vAlign w:val="center"/>
          </w:tcPr>
          <w:p w14:paraId="12A22A95">
            <w:pPr>
              <w:jc w:val="both"/>
              <w:rPr>
                <w:rFonts w:hint="default" w:ascii="宋体" w:hAnsi="宋体" w:eastAsia="宋体" w:cs="宋体"/>
                <w:sz w:val="18"/>
                <w:szCs w:val="18"/>
                <w:lang w:val="en-US" w:eastAsia="zh-CN"/>
              </w:rPr>
            </w:pPr>
            <w:r>
              <w:rPr>
                <w:rFonts w:hint="eastAsia" w:ascii="宋体" w:hAnsi="宋体" w:cs="宋体"/>
                <w:sz w:val="18"/>
                <w:szCs w:val="18"/>
                <w:lang w:val="en-US" w:eastAsia="zh-CN"/>
              </w:rPr>
              <w:t xml:space="preserve"> </w:t>
            </w:r>
            <w:r>
              <w:rPr>
                <w:rFonts w:hint="eastAsia" w:ascii="宋体" w:hAnsi="宋体" w:cs="宋体"/>
                <w:b/>
                <w:bCs/>
                <w:sz w:val="18"/>
                <w:szCs w:val="18"/>
                <w:lang w:val="en-US" w:eastAsia="zh-CN"/>
              </w:rPr>
              <w:t>注：</w:t>
            </w:r>
            <w:r>
              <w:rPr>
                <w:rFonts w:hint="eastAsia" w:ascii="宋体" w:hAnsi="宋体" w:cs="宋体"/>
                <w:sz w:val="18"/>
                <w:szCs w:val="18"/>
                <w:lang w:val="en-US" w:eastAsia="zh-CN"/>
              </w:rPr>
              <w:t>第10级应在分级后同时注明具体分级指标值。</w:t>
            </w:r>
          </w:p>
        </w:tc>
      </w:tr>
    </w:tbl>
    <w:p w14:paraId="2056EB07">
      <w:pPr>
        <w:pStyle w:val="66"/>
        <w:rPr>
          <w:rFonts w:hint="eastAsia" w:eastAsia="黑体"/>
          <w:lang w:val="en-US" w:eastAsia="zh-CN"/>
        </w:rPr>
      </w:pPr>
      <w:r>
        <w:rPr>
          <w:rFonts w:hint="eastAsia"/>
          <w:lang w:val="en-US" w:eastAsia="zh-CN"/>
        </w:rPr>
        <w:t>隔声性能分级</w:t>
      </w:r>
    </w:p>
    <w:p w14:paraId="38A1103F">
      <w:pPr>
        <w:pStyle w:val="57"/>
        <w:jc w:val="left"/>
        <w:rPr>
          <w:rFonts w:hint="default" w:eastAsia="宋体"/>
          <w:lang w:val="en-US" w:eastAsia="zh-CN"/>
        </w:rPr>
      </w:pPr>
      <w:r>
        <w:rPr>
          <w:rFonts w:hint="eastAsia"/>
          <w:lang w:val="en-US" w:eastAsia="zh-CN"/>
        </w:rPr>
        <w:t>外窗空气声隔声性能以“计权隔声量和交通噪声频谱修正量之和（</w:t>
      </w:r>
      <m:oMath>
        <m:sSub>
          <m:sSubPr>
            <m:ctrlPr>
              <w:rPr>
                <w:rFonts w:hint="eastAsia" w:ascii="Cambria Math"/>
                <w:i/>
                <w:lang w:val="en-US" w:eastAsia="zh-CN"/>
              </w:rPr>
            </m:ctrlPr>
          </m:sSubPr>
          <m:e>
            <m:r>
              <m:rPr/>
              <w:rPr>
                <w:rFonts w:hint="default" w:ascii="Cambria Math"/>
                <w:lang w:val="en-US" w:eastAsia="zh-CN"/>
              </w:rPr>
              <m:t>R</m:t>
            </m:r>
            <m:ctrlPr>
              <w:rPr>
                <w:rFonts w:hint="eastAsia" w:ascii="Cambria Math"/>
                <w:i/>
                <w:lang w:val="en-US" w:eastAsia="zh-CN"/>
              </w:rPr>
            </m:ctrlPr>
          </m:e>
          <m:sub>
            <m:r>
              <m:rPr/>
              <w:rPr>
                <w:rFonts w:hint="default" w:ascii="Cambria Math" w:hAnsi="Cambria Math" w:cs="Cambria Math"/>
                <w:lang w:val="en-US" w:eastAsia="zh-CN"/>
              </w:rPr>
              <m:t>w</m:t>
            </m:r>
            <m:ctrlPr>
              <w:rPr>
                <w:rFonts w:hint="eastAsia" w:ascii="Cambria Math"/>
                <w:i/>
                <w:lang w:val="en-US" w:eastAsia="zh-CN"/>
              </w:rPr>
            </m:ctrlPr>
          </m:sub>
        </m:sSub>
        <m:r>
          <m:rPr/>
          <w:rPr>
            <w:rFonts w:hint="default" w:ascii="Cambria Math" w:hAnsi="Cambria Math" w:cs="Times New Roman"/>
            <w:sz w:val="21"/>
            <w:lang w:val="en-US" w:eastAsia="zh-CN" w:bidi="ar-SA"/>
          </w:rPr>
          <m:t>+</m:t>
        </m:r>
        <m:sSub>
          <m:sSubPr>
            <m:ctrlPr>
              <w:rPr>
                <w:rFonts w:hint="default" w:ascii="Cambria Math" w:hAnsi="Cambria Math" w:cs="Times New Roman"/>
                <w:i/>
                <w:sz w:val="21"/>
                <w:lang w:val="en-US" w:eastAsia="zh-CN" w:bidi="ar-SA"/>
              </w:rPr>
            </m:ctrlPr>
          </m:sSubPr>
          <m:e>
            <m:r>
              <m:rPr/>
              <w:rPr>
                <w:rFonts w:hint="default" w:ascii="Cambria Math" w:hAnsi="Cambria Math" w:cs="Times New Roman"/>
                <w:sz w:val="21"/>
                <w:lang w:val="en-US" w:eastAsia="zh-CN" w:bidi="ar-SA"/>
              </w:rPr>
              <m:t>C</m:t>
            </m:r>
            <m:ctrlPr>
              <w:rPr>
                <w:rFonts w:hint="default" w:ascii="Cambria Math" w:hAnsi="Cambria Math" w:cs="Times New Roman"/>
                <w:i/>
                <w:sz w:val="21"/>
                <w:lang w:val="en-US" w:eastAsia="zh-CN" w:bidi="ar-SA"/>
              </w:rPr>
            </m:ctrlPr>
          </m:e>
          <m:sub>
            <m:r>
              <m:rPr/>
              <w:rPr>
                <w:rFonts w:hint="default" w:ascii="Cambria Math" w:hAnsi="Cambria Math" w:cs="Times New Roman"/>
                <w:sz w:val="21"/>
                <w:lang w:val="en-US" w:eastAsia="zh-CN" w:bidi="ar-SA"/>
              </w:rPr>
              <m:t>tr</m:t>
            </m:r>
            <m:ctrlPr>
              <w:rPr>
                <w:rFonts w:hint="default" w:ascii="Cambria Math" w:hAnsi="Cambria Math" w:cs="Times New Roman"/>
                <w:i/>
                <w:sz w:val="21"/>
                <w:lang w:val="en-US" w:eastAsia="zh-CN" w:bidi="ar-SA"/>
              </w:rPr>
            </m:ctrlPr>
          </m:sub>
        </m:sSub>
      </m:oMath>
      <w:r>
        <w:rPr>
          <w:rFonts w:hint="eastAsia"/>
          <w:lang w:val="en-US" w:eastAsia="zh-CN"/>
        </w:rPr>
        <w:t>）”为分级指标，内窗空气声隔声性能以“计权隔声量和粉红噪声频谱修正量之和（</w:t>
      </w:r>
      <m:oMath>
        <m:sSub>
          <m:sSubPr>
            <m:ctrlPr>
              <w:rPr>
                <w:rFonts w:hint="eastAsia" w:ascii="Cambria Math"/>
                <w:i/>
                <w:lang w:val="en-US" w:eastAsia="zh-CN"/>
              </w:rPr>
            </m:ctrlPr>
          </m:sSubPr>
          <m:e>
            <m:r>
              <m:rPr/>
              <w:rPr>
                <w:rFonts w:hint="default" w:ascii="Cambria Math"/>
                <w:lang w:val="en-US" w:eastAsia="zh-CN"/>
              </w:rPr>
              <m:t>R</m:t>
            </m:r>
            <m:ctrlPr>
              <w:rPr>
                <w:rFonts w:hint="eastAsia" w:ascii="Cambria Math"/>
                <w:i/>
                <w:lang w:val="en-US" w:eastAsia="zh-CN"/>
              </w:rPr>
            </m:ctrlPr>
          </m:e>
          <m:sub>
            <m:r>
              <m:rPr/>
              <w:rPr>
                <w:rFonts w:hint="default" w:ascii="Cambria Math" w:hAnsi="Cambria Math" w:cs="Cambria Math"/>
                <w:lang w:val="en-US" w:eastAsia="zh-CN"/>
              </w:rPr>
              <m:t>w</m:t>
            </m:r>
            <m:ctrlPr>
              <w:rPr>
                <w:rFonts w:hint="eastAsia" w:ascii="Cambria Math"/>
                <w:i/>
                <w:lang w:val="en-US" w:eastAsia="zh-CN"/>
              </w:rPr>
            </m:ctrlPr>
          </m:sub>
        </m:sSub>
        <m:r>
          <m:rPr/>
          <w:rPr>
            <w:rFonts w:hint="default" w:ascii="Cambria Math" w:hAnsi="Cambria Math" w:cs="Times New Roman"/>
            <w:sz w:val="21"/>
            <w:lang w:val="en-US" w:eastAsia="zh-CN" w:bidi="ar-SA"/>
          </w:rPr>
          <m:t>+C</m:t>
        </m:r>
      </m:oMath>
      <w:r>
        <w:rPr>
          <w:rFonts w:hint="eastAsia"/>
          <w:lang w:val="en-US" w:eastAsia="zh-CN"/>
        </w:rPr>
        <w:t>）”为分级指标，分级应符合表 5 的规定。</w:t>
      </w:r>
    </w:p>
    <w:p w14:paraId="252BA947">
      <w:pPr>
        <w:pStyle w:val="113"/>
        <w:rPr>
          <w:rFonts w:hint="default"/>
          <w:lang w:val="en-US" w:eastAsia="zh-CN"/>
        </w:rPr>
      </w:pPr>
      <w:r>
        <w:rPr>
          <w:rFonts w:hint="eastAsia"/>
          <w:lang w:val="en-US" w:eastAsia="zh-CN"/>
        </w:rPr>
        <w:t>隔声性能分级</w:t>
      </w:r>
    </w:p>
    <w:p w14:paraId="5C0946D3">
      <w:pPr>
        <w:pStyle w:val="57"/>
        <w:jc w:val="right"/>
        <w:rPr>
          <w:rFonts w:hint="default"/>
          <w:sz w:val="18"/>
          <w:szCs w:val="18"/>
          <w:lang w:val="en-US" w:eastAsia="zh-CN"/>
        </w:rPr>
      </w:pPr>
      <w:r>
        <w:rPr>
          <w:rFonts w:hint="eastAsia"/>
          <w:sz w:val="18"/>
          <w:szCs w:val="18"/>
          <w:lang w:val="en-US" w:eastAsia="zh-CN"/>
        </w:rPr>
        <w:t>单位为分贝</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67"/>
        <w:gridCol w:w="3801"/>
        <w:gridCol w:w="3802"/>
      </w:tblGrid>
      <w:tr w14:paraId="44573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967" w:type="dxa"/>
            <w:vAlign w:val="center"/>
          </w:tcPr>
          <w:p w14:paraId="6382B9D0">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分级</w:t>
            </w:r>
          </w:p>
        </w:tc>
        <w:tc>
          <w:tcPr>
            <w:tcW w:w="3801" w:type="dxa"/>
            <w:vAlign w:val="center"/>
          </w:tcPr>
          <w:p w14:paraId="5453C237">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外窗的分级指标值</w:t>
            </w:r>
          </w:p>
        </w:tc>
        <w:tc>
          <w:tcPr>
            <w:tcW w:w="3802" w:type="dxa"/>
            <w:vAlign w:val="center"/>
          </w:tcPr>
          <w:p w14:paraId="0FAE0324">
            <w:pPr>
              <w:jc w:val="center"/>
              <w:rPr>
                <w:rFonts w:hint="eastAsia" w:ascii="宋体" w:hAnsi="宋体" w:eastAsia="宋体" w:cs="宋体"/>
                <w:sz w:val="18"/>
                <w:szCs w:val="18"/>
              </w:rPr>
            </w:pPr>
            <w:r>
              <w:rPr>
                <w:rFonts w:hint="eastAsia" w:ascii="宋体" w:hAnsi="宋体" w:eastAsia="宋体" w:cs="宋体"/>
                <w:sz w:val="18"/>
                <w:szCs w:val="18"/>
                <w:lang w:val="en-US" w:eastAsia="zh-CN"/>
              </w:rPr>
              <w:t>内窗的分级指标值</w:t>
            </w:r>
          </w:p>
        </w:tc>
      </w:tr>
      <w:tr w14:paraId="4816F6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14:paraId="7C8750CF">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1</w:t>
            </w:r>
          </w:p>
        </w:tc>
        <w:tc>
          <w:tcPr>
            <w:tcW w:w="3801" w:type="dxa"/>
            <w:vAlign w:val="center"/>
          </w:tcPr>
          <w:p w14:paraId="72F0B50F">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20≤</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ascii="宋体" w:hAnsi="宋体" w:eastAsia="宋体" w:cs="宋体"/>
                <w:i w:val="0"/>
                <w:kern w:val="2"/>
                <w:sz w:val="18"/>
                <w:szCs w:val="18"/>
                <w:lang w:val="en-US" w:eastAsia="zh-CN" w:bidi="ar-SA"/>
              </w:rPr>
              <w:t>＜25</w:t>
            </w:r>
          </w:p>
        </w:tc>
        <w:tc>
          <w:tcPr>
            <w:tcW w:w="3802" w:type="dxa"/>
            <w:vAlign w:val="center"/>
          </w:tcPr>
          <w:p w14:paraId="40BACED3">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20≤</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+C</m:t>
              </m:r>
            </m:oMath>
            <w:r>
              <w:rPr>
                <w:rFonts w:hint="eastAsia" w:ascii="宋体" w:hAnsi="宋体" w:eastAsia="宋体" w:cs="宋体"/>
                <w:i w:val="0"/>
                <w:kern w:val="2"/>
                <w:sz w:val="18"/>
                <w:szCs w:val="18"/>
                <w:lang w:val="en-US" w:eastAsia="zh-CN" w:bidi="ar-SA"/>
              </w:rPr>
              <w:t>＜25</w:t>
            </w:r>
          </w:p>
        </w:tc>
      </w:tr>
      <w:tr w14:paraId="6B212A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14:paraId="234102CC">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2</w:t>
            </w:r>
          </w:p>
        </w:tc>
        <w:tc>
          <w:tcPr>
            <w:tcW w:w="3801" w:type="dxa"/>
            <w:vAlign w:val="center"/>
          </w:tcPr>
          <w:p w14:paraId="240F0C18">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25≤</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ascii="宋体" w:hAnsi="宋体" w:eastAsia="宋体" w:cs="宋体"/>
                <w:i w:val="0"/>
                <w:kern w:val="2"/>
                <w:sz w:val="18"/>
                <w:szCs w:val="18"/>
                <w:lang w:val="en-US" w:eastAsia="zh-CN" w:bidi="ar-SA"/>
              </w:rPr>
              <w:t>＜30</w:t>
            </w:r>
          </w:p>
        </w:tc>
        <w:tc>
          <w:tcPr>
            <w:tcW w:w="3802" w:type="dxa"/>
            <w:vAlign w:val="center"/>
          </w:tcPr>
          <w:p w14:paraId="065AE853">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25≤</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+C</m:t>
              </m:r>
            </m:oMath>
            <w:r>
              <w:rPr>
                <w:rFonts w:hint="eastAsia" w:ascii="宋体" w:hAnsi="宋体" w:eastAsia="宋体" w:cs="宋体"/>
                <w:i w:val="0"/>
                <w:kern w:val="2"/>
                <w:sz w:val="18"/>
                <w:szCs w:val="18"/>
                <w:lang w:val="en-US" w:eastAsia="zh-CN" w:bidi="ar-SA"/>
              </w:rPr>
              <w:t>＜30</w:t>
            </w:r>
          </w:p>
        </w:tc>
      </w:tr>
      <w:tr w14:paraId="488CA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14:paraId="5A209344">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3</w:t>
            </w:r>
          </w:p>
        </w:tc>
        <w:tc>
          <w:tcPr>
            <w:tcW w:w="3801" w:type="dxa"/>
            <w:vAlign w:val="center"/>
          </w:tcPr>
          <w:p w14:paraId="22602246">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30≤</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ascii="宋体" w:hAnsi="宋体" w:eastAsia="宋体" w:cs="宋体"/>
                <w:i w:val="0"/>
                <w:kern w:val="2"/>
                <w:sz w:val="18"/>
                <w:szCs w:val="18"/>
                <w:lang w:val="en-US" w:eastAsia="zh-CN" w:bidi="ar-SA"/>
              </w:rPr>
              <w:t>＜35</w:t>
            </w:r>
          </w:p>
        </w:tc>
        <w:tc>
          <w:tcPr>
            <w:tcW w:w="3802" w:type="dxa"/>
            <w:vAlign w:val="center"/>
          </w:tcPr>
          <w:p w14:paraId="56B72757">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30≤</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+C</m:t>
              </m:r>
            </m:oMath>
            <w:r>
              <w:rPr>
                <w:rFonts w:hint="eastAsia" w:ascii="宋体" w:hAnsi="宋体" w:eastAsia="宋体" w:cs="宋体"/>
                <w:i w:val="0"/>
                <w:kern w:val="2"/>
                <w:sz w:val="18"/>
                <w:szCs w:val="18"/>
                <w:lang w:val="en-US" w:eastAsia="zh-CN" w:bidi="ar-SA"/>
              </w:rPr>
              <w:t>＜35</w:t>
            </w:r>
          </w:p>
        </w:tc>
      </w:tr>
      <w:tr w14:paraId="626B84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14:paraId="79A863B3">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4</w:t>
            </w:r>
          </w:p>
        </w:tc>
        <w:tc>
          <w:tcPr>
            <w:tcW w:w="3801" w:type="dxa"/>
            <w:vAlign w:val="center"/>
          </w:tcPr>
          <w:p w14:paraId="3469A6A2">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35≤</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ascii="宋体" w:hAnsi="宋体" w:eastAsia="宋体" w:cs="宋体"/>
                <w:i w:val="0"/>
                <w:kern w:val="2"/>
                <w:sz w:val="18"/>
                <w:szCs w:val="18"/>
                <w:lang w:val="en-US" w:eastAsia="zh-CN" w:bidi="ar-SA"/>
              </w:rPr>
              <w:t>＜40</w:t>
            </w:r>
          </w:p>
        </w:tc>
        <w:tc>
          <w:tcPr>
            <w:tcW w:w="3802" w:type="dxa"/>
            <w:vAlign w:val="center"/>
          </w:tcPr>
          <w:p w14:paraId="69A959F2">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35≤</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+C</m:t>
              </m:r>
            </m:oMath>
            <w:r>
              <w:rPr>
                <w:rFonts w:hint="eastAsia" w:ascii="宋体" w:hAnsi="宋体" w:eastAsia="宋体" w:cs="宋体"/>
                <w:i w:val="0"/>
                <w:kern w:val="2"/>
                <w:sz w:val="18"/>
                <w:szCs w:val="18"/>
                <w:lang w:val="en-US" w:eastAsia="zh-CN" w:bidi="ar-SA"/>
              </w:rPr>
              <w:t>＜40</w:t>
            </w:r>
          </w:p>
        </w:tc>
      </w:tr>
      <w:tr w14:paraId="71433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14:paraId="23BBE726">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5</w:t>
            </w:r>
          </w:p>
        </w:tc>
        <w:tc>
          <w:tcPr>
            <w:tcW w:w="3801" w:type="dxa"/>
            <w:vAlign w:val="center"/>
          </w:tcPr>
          <w:p w14:paraId="091B6942">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40≤</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ascii="宋体" w:hAnsi="宋体" w:eastAsia="宋体" w:cs="宋体"/>
                <w:i w:val="0"/>
                <w:kern w:val="2"/>
                <w:sz w:val="18"/>
                <w:szCs w:val="18"/>
                <w:lang w:val="en-US" w:eastAsia="zh-CN" w:bidi="ar-SA"/>
              </w:rPr>
              <w:t>＜45</w:t>
            </w:r>
          </w:p>
        </w:tc>
        <w:tc>
          <w:tcPr>
            <w:tcW w:w="3802" w:type="dxa"/>
            <w:vAlign w:val="center"/>
          </w:tcPr>
          <w:p w14:paraId="73DAA391">
            <w:pPr>
              <w:jc w:val="center"/>
              <w:rPr>
                <w:rFonts w:hint="eastAsia" w:ascii="宋体" w:hAnsi="宋体" w:eastAsia="宋体" w:cs="宋体"/>
                <w:sz w:val="18"/>
                <w:szCs w:val="18"/>
                <w:lang w:val="en-US"/>
              </w:rPr>
            </w:pPr>
            <w:r>
              <w:rPr>
                <w:rFonts w:hint="eastAsia" w:ascii="宋体" w:hAnsi="宋体" w:eastAsia="宋体" w:cs="宋体"/>
                <w:i w:val="0"/>
                <w:kern w:val="2"/>
                <w:sz w:val="18"/>
                <w:szCs w:val="18"/>
                <w:lang w:val="en-US" w:eastAsia="zh-CN" w:bidi="ar-SA"/>
              </w:rPr>
              <w:t>40≤</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+C</m:t>
              </m:r>
            </m:oMath>
            <w:r>
              <w:rPr>
                <w:rFonts w:hint="eastAsia" w:ascii="宋体" w:hAnsi="宋体" w:eastAsia="宋体" w:cs="宋体"/>
                <w:i w:val="0"/>
                <w:kern w:val="2"/>
                <w:sz w:val="18"/>
                <w:szCs w:val="18"/>
                <w:lang w:val="en-US" w:eastAsia="zh-CN" w:bidi="ar-SA"/>
              </w:rPr>
              <w:t>＜45</w:t>
            </w:r>
          </w:p>
        </w:tc>
      </w:tr>
      <w:tr w14:paraId="1B8AC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67" w:type="dxa"/>
            <w:vAlign w:val="center"/>
          </w:tcPr>
          <w:p w14:paraId="64AA5BD8">
            <w:pPr>
              <w:jc w:val="center"/>
              <w:rPr>
                <w:rFonts w:hint="eastAsia" w:ascii="宋体" w:hAnsi="宋体" w:eastAsia="宋体" w:cs="宋体"/>
                <w:sz w:val="18"/>
                <w:szCs w:val="18"/>
                <w:lang w:val="en-US" w:eastAsia="zh-CN"/>
              </w:rPr>
            </w:pPr>
            <w:r>
              <w:rPr>
                <w:rFonts w:hint="eastAsia" w:ascii="宋体" w:hAnsi="宋体" w:eastAsia="宋体" w:cs="宋体"/>
                <w:sz w:val="18"/>
                <w:szCs w:val="18"/>
                <w:lang w:val="en-US" w:eastAsia="zh-CN"/>
              </w:rPr>
              <w:t>6</w:t>
            </w:r>
          </w:p>
        </w:tc>
        <w:tc>
          <w:tcPr>
            <w:tcW w:w="3801" w:type="dxa"/>
            <w:vAlign w:val="center"/>
          </w:tcPr>
          <w:p w14:paraId="4ED2E7E3">
            <w:pPr>
              <w:jc w:val="center"/>
              <w:rPr>
                <w:rFonts w:hint="eastAsia" w:ascii="宋体" w:hAnsi="宋体" w:eastAsia="宋体" w:cs="宋体"/>
                <w:sz w:val="18"/>
                <w:szCs w:val="18"/>
                <w:lang w:val="en-US"/>
              </w:rPr>
            </w:pP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ascii="宋体" w:hAnsi="宋体" w:eastAsia="宋体" w:cs="宋体"/>
                <w:i w:val="0"/>
                <w:kern w:val="2"/>
                <w:sz w:val="18"/>
                <w:szCs w:val="18"/>
                <w:lang w:val="en-US" w:eastAsia="zh-CN" w:bidi="ar-SA"/>
              </w:rPr>
              <w:t>≥45</w:t>
            </w:r>
          </w:p>
        </w:tc>
        <w:tc>
          <w:tcPr>
            <w:tcW w:w="3802" w:type="dxa"/>
            <w:vAlign w:val="center"/>
          </w:tcPr>
          <w:p w14:paraId="226CB1DF">
            <w:pPr>
              <w:jc w:val="center"/>
              <w:rPr>
                <w:rFonts w:hint="eastAsia" w:ascii="宋体" w:hAnsi="宋体" w:eastAsia="宋体" w:cs="宋体"/>
                <w:sz w:val="18"/>
                <w:szCs w:val="18"/>
                <w:lang w:val="en-US"/>
              </w:rPr>
            </w:pP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+C</m:t>
              </m:r>
            </m:oMath>
            <w:r>
              <w:rPr>
                <w:rFonts w:hint="eastAsia" w:ascii="宋体" w:hAnsi="宋体" w:eastAsia="宋体" w:cs="宋体"/>
                <w:i w:val="0"/>
                <w:kern w:val="2"/>
                <w:sz w:val="18"/>
                <w:szCs w:val="18"/>
                <w:lang w:val="en-US" w:eastAsia="zh-CN" w:bidi="ar-SA"/>
              </w:rPr>
              <w:t>≥45</w:t>
            </w:r>
          </w:p>
        </w:tc>
      </w:tr>
    </w:tbl>
    <w:p w14:paraId="00318F9D">
      <w:pPr>
        <w:pStyle w:val="106"/>
        <w:spacing w:before="120" w:after="120"/>
      </w:pPr>
      <w:r>
        <w:rPr>
          <w:rFonts w:hint="eastAsia"/>
        </w:rPr>
        <w:t>标记</w:t>
      </w:r>
      <w:bookmarkEnd w:id="57"/>
    </w:p>
    <w:p w14:paraId="0CCAF662">
      <w:pPr>
        <w:pStyle w:val="66"/>
        <w:spacing w:before="120" w:after="120"/>
      </w:pPr>
      <w:bookmarkStart w:id="58" w:name="_Toc26816"/>
      <w:r>
        <w:rPr>
          <w:rFonts w:hint="eastAsia"/>
        </w:rPr>
        <w:t>标记方法</w:t>
      </w:r>
      <w:bookmarkEnd w:id="58"/>
    </w:p>
    <w:p w14:paraId="52EEDDA1">
      <w:pPr>
        <w:pStyle w:val="57"/>
        <w:ind w:firstLine="420"/>
        <w:rPr>
          <w:rFonts w:hint="default"/>
          <w:lang w:val="en-US"/>
        </w:rPr>
      </w:pPr>
      <w:r>
        <w:rPr>
          <w:rFonts w:hint="eastAsia"/>
          <w:lang w:val="en-US" w:eastAsia="zh-CN"/>
        </w:rPr>
        <w:t>民用建筑用推拉密封</w:t>
      </w:r>
      <w:r>
        <w:rPr>
          <w:rFonts w:hint="eastAsia"/>
        </w:rPr>
        <w:t>窗的标记顺序为：开启形式、系列、规格、</w:t>
      </w:r>
      <w:r>
        <w:rPr>
          <w:rFonts w:hint="eastAsia"/>
          <w:lang w:val="en-US" w:eastAsia="zh-CN"/>
        </w:rPr>
        <w:t>抗风压性能、水密性能、气密性能、保温性能、隔声性能组成：</w:t>
      </w:r>
    </w:p>
    <w:p w14:paraId="05022099">
      <w:pPr>
        <w:pStyle w:val="57"/>
        <w:ind w:left="0" w:leftChars="0" w:firstLine="0" w:firstLineChars="0"/>
        <w:rPr>
          <w:rFonts w:hint="eastAsia"/>
        </w:rPr>
      </w:pPr>
    </w:p>
    <w:p w14:paraId="7686DB2C">
      <w:pPr>
        <w:pStyle w:val="183"/>
        <w:keepNext w:val="0"/>
        <w:keepLines w:val="0"/>
        <w:pageBreakBefore w:val="0"/>
        <w:widowControl/>
        <w:kinsoku/>
        <w:wordWrap/>
        <w:overflowPunct/>
        <w:topLinePunct w:val="0"/>
        <w:autoSpaceDE w:val="0"/>
        <w:autoSpaceDN w:val="0"/>
        <w:bidi w:val="0"/>
        <w:adjustRightInd/>
        <w:snapToGrid/>
        <w:ind w:left="420" w:leftChars="200" w:firstLine="360"/>
        <w:jc w:val="left"/>
        <w:textAlignment w:val="auto"/>
        <w:rPr>
          <w:rFonts w:hint="default" w:eastAsia="宋体"/>
          <w:lang w:val="en-US" w:eastAsia="zh-CN"/>
        </w:rPr>
      </w:pPr>
      <w:r>
        <w:rPr>
          <w:sz w:val="18"/>
        </w:rPr>
        <mc:AlternateContent>
          <mc:Choice Requires="wpg">
            <w:drawing>
              <wp:anchor distT="0" distB="0" distL="114300" distR="114300" simplePos="0" relativeHeight="251661312" behindDoc="0" locked="0" layoutInCell="1" allowOverlap="1">
                <wp:simplePos x="0" y="0"/>
                <wp:positionH relativeFrom="column">
                  <wp:posOffset>2727325</wp:posOffset>
                </wp:positionH>
                <wp:positionV relativeFrom="paragraph">
                  <wp:posOffset>1905</wp:posOffset>
                </wp:positionV>
                <wp:extent cx="1741805" cy="1250950"/>
                <wp:effectExtent l="4445" t="4445" r="6350" b="20955"/>
                <wp:wrapNone/>
                <wp:docPr id="31" name="组合 31"/>
                <wp:cNvGraphicFramePr/>
                <a:graphic xmlns:a="http://schemas.openxmlformats.org/drawingml/2006/main">
                  <a:graphicData uri="http://schemas.microsoft.com/office/word/2010/wordprocessingGroup">
                    <wpg:wgp>
                      <wpg:cNvGrpSpPr/>
                      <wpg:grpSpPr>
                        <a:xfrm>
                          <a:off x="0" y="0"/>
                          <a:ext cx="1741805" cy="1250950"/>
                          <a:chOff x="5996" y="111521"/>
                          <a:chExt cx="2743" cy="1970"/>
                        </a:xfrm>
                      </wpg:grpSpPr>
                      <wpg:grpSp>
                        <wpg:cNvPr id="13" name="组合 13"/>
                        <wpg:cNvGrpSpPr/>
                        <wpg:grpSpPr>
                          <a:xfrm>
                            <a:off x="5996" y="111521"/>
                            <a:ext cx="2614" cy="213"/>
                            <a:chOff x="5996" y="111521"/>
                            <a:chExt cx="2614" cy="213"/>
                          </a:xfrm>
                        </wpg:grpSpPr>
                        <wps:wsp>
                          <wps:cNvPr id="3" name="矩形 3"/>
                          <wps:cNvSpPr/>
                          <wps:spPr>
                            <a:xfrm>
                              <a:off x="5996"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4" name="矩形 4"/>
                          <wps:cNvSpPr/>
                          <wps:spPr>
                            <a:xfrm>
                              <a:off x="6333"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7" name="矩形 7"/>
                          <wps:cNvSpPr/>
                          <wps:spPr>
                            <a:xfrm>
                              <a:off x="6670"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8" name="矩形 8"/>
                          <wps:cNvSpPr/>
                          <wps:spPr>
                            <a:xfrm>
                              <a:off x="7007"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矩形 9"/>
                          <wps:cNvSpPr/>
                          <wps:spPr>
                            <a:xfrm>
                              <a:off x="7344"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a:off x="7681"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1" name="矩形 11"/>
                          <wps:cNvSpPr/>
                          <wps:spPr>
                            <a:xfrm>
                              <a:off x="8018"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12" name="矩形 12"/>
                          <wps:cNvSpPr/>
                          <wps:spPr>
                            <a:xfrm>
                              <a:off x="8355" y="111521"/>
                              <a:ext cx="255" cy="213"/>
                            </a:xfrm>
                            <a:prstGeom prst="rect">
                              <a:avLst/>
                            </a:prstGeom>
                            <a:solidFill>
                              <a:schemeClr val="bg1"/>
                            </a:solidFill>
                            <a:ln w="635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4" name="直接连接符 14"/>
                        <wps:cNvCnPr/>
                        <wps:spPr>
                          <a:xfrm flipH="1">
                            <a:off x="8481" y="111855"/>
                            <a:ext cx="257" cy="0"/>
                          </a:xfrm>
                          <a:prstGeom prst="line">
                            <a:avLst/>
                          </a:prstGeom>
                          <a:noFill/>
                          <a:ln w="6350">
                            <a:solidFill>
                              <a:srgbClr val="000000"/>
                            </a:solidFill>
                            <a:round/>
                          </a:ln>
                        </wps:spPr>
                        <wps:bodyPr/>
                      </wps:wsp>
                      <wps:wsp>
                        <wps:cNvPr id="16" name="直接连接符 16"/>
                        <wps:cNvCnPr/>
                        <wps:spPr>
                          <a:xfrm flipH="1">
                            <a:off x="8140" y="112100"/>
                            <a:ext cx="596" cy="0"/>
                          </a:xfrm>
                          <a:prstGeom prst="line">
                            <a:avLst/>
                          </a:prstGeom>
                          <a:noFill/>
                          <a:ln w="6350">
                            <a:solidFill>
                              <a:srgbClr val="000000"/>
                            </a:solidFill>
                            <a:round/>
                          </a:ln>
                        </wps:spPr>
                        <wps:bodyPr/>
                      </wps:wsp>
                      <wps:wsp>
                        <wps:cNvPr id="17" name="直接连接符 17"/>
                        <wps:cNvCnPr/>
                        <wps:spPr>
                          <a:xfrm flipH="1">
                            <a:off x="7805" y="112319"/>
                            <a:ext cx="923" cy="0"/>
                          </a:xfrm>
                          <a:prstGeom prst="line">
                            <a:avLst/>
                          </a:prstGeom>
                          <a:noFill/>
                          <a:ln w="6350">
                            <a:solidFill>
                              <a:srgbClr val="000000"/>
                            </a:solidFill>
                            <a:round/>
                          </a:ln>
                        </wps:spPr>
                        <wps:bodyPr/>
                      </wps:wsp>
                      <wps:wsp>
                        <wps:cNvPr id="18" name="直接连接符 18"/>
                        <wps:cNvCnPr>
                          <a:stCxn id="12" idx="2"/>
                        </wps:cNvCnPr>
                        <wps:spPr>
                          <a:xfrm>
                            <a:off x="8483" y="111734"/>
                            <a:ext cx="0" cy="127"/>
                          </a:xfrm>
                          <a:prstGeom prst="line">
                            <a:avLst/>
                          </a:prstGeom>
                          <a:noFill/>
                          <a:ln w="6350">
                            <a:solidFill>
                              <a:srgbClr val="000000"/>
                            </a:solidFill>
                            <a:round/>
                          </a:ln>
                        </wps:spPr>
                        <wps:bodyPr/>
                      </wps:wsp>
                      <wps:wsp>
                        <wps:cNvPr id="19" name="直接连接符 19"/>
                        <wps:cNvCnPr>
                          <a:stCxn id="11" idx="2"/>
                        </wps:cNvCnPr>
                        <wps:spPr>
                          <a:xfrm>
                            <a:off x="8146" y="111734"/>
                            <a:ext cx="0" cy="363"/>
                          </a:xfrm>
                          <a:prstGeom prst="line">
                            <a:avLst/>
                          </a:prstGeom>
                          <a:noFill/>
                          <a:ln w="6350">
                            <a:solidFill>
                              <a:srgbClr val="000000"/>
                            </a:solidFill>
                            <a:round/>
                          </a:ln>
                        </wps:spPr>
                        <wps:bodyPr/>
                      </wps:wsp>
                      <wps:wsp>
                        <wps:cNvPr id="20" name="直接连接符 20"/>
                        <wps:cNvCnPr>
                          <a:stCxn id="10" idx="2"/>
                        </wps:cNvCnPr>
                        <wps:spPr>
                          <a:xfrm>
                            <a:off x="7809" y="111734"/>
                            <a:ext cx="0" cy="584"/>
                          </a:xfrm>
                          <a:prstGeom prst="line">
                            <a:avLst/>
                          </a:prstGeom>
                          <a:noFill/>
                          <a:ln w="6350">
                            <a:solidFill>
                              <a:srgbClr val="000000"/>
                            </a:solidFill>
                            <a:round/>
                          </a:ln>
                        </wps:spPr>
                        <wps:bodyPr/>
                      </wps:wsp>
                      <wps:wsp>
                        <wps:cNvPr id="21" name="直接连接符 21"/>
                        <wps:cNvCnPr/>
                        <wps:spPr>
                          <a:xfrm flipH="1">
                            <a:off x="7474" y="112557"/>
                            <a:ext cx="1254" cy="0"/>
                          </a:xfrm>
                          <a:prstGeom prst="line">
                            <a:avLst/>
                          </a:prstGeom>
                          <a:noFill/>
                          <a:ln w="6350">
                            <a:solidFill>
                              <a:srgbClr val="000000"/>
                            </a:solidFill>
                            <a:round/>
                          </a:ln>
                        </wps:spPr>
                        <wps:bodyPr/>
                      </wps:wsp>
                      <wps:wsp>
                        <wps:cNvPr id="22" name="直接连接符 22"/>
                        <wps:cNvCnPr>
                          <a:stCxn id="9" idx="2"/>
                        </wps:cNvCnPr>
                        <wps:spPr>
                          <a:xfrm>
                            <a:off x="7472" y="111734"/>
                            <a:ext cx="0" cy="823"/>
                          </a:xfrm>
                          <a:prstGeom prst="line">
                            <a:avLst/>
                          </a:prstGeom>
                          <a:noFill/>
                          <a:ln w="6350">
                            <a:solidFill>
                              <a:srgbClr val="000000"/>
                            </a:solidFill>
                            <a:round/>
                          </a:ln>
                        </wps:spPr>
                        <wps:bodyPr/>
                      </wps:wsp>
                      <wps:wsp>
                        <wps:cNvPr id="23" name="直接连接符 23"/>
                        <wps:cNvCnPr/>
                        <wps:spPr>
                          <a:xfrm flipH="1">
                            <a:off x="7136" y="112800"/>
                            <a:ext cx="1595" cy="0"/>
                          </a:xfrm>
                          <a:prstGeom prst="line">
                            <a:avLst/>
                          </a:prstGeom>
                          <a:noFill/>
                          <a:ln w="6350">
                            <a:solidFill>
                              <a:srgbClr val="000000"/>
                            </a:solidFill>
                            <a:round/>
                          </a:ln>
                        </wps:spPr>
                        <wps:bodyPr/>
                      </wps:wsp>
                      <wps:wsp>
                        <wps:cNvPr id="24" name="直接连接符 24"/>
                        <wps:cNvCnPr>
                          <a:stCxn id="8" idx="2"/>
                        </wps:cNvCnPr>
                        <wps:spPr>
                          <a:xfrm>
                            <a:off x="7135" y="111734"/>
                            <a:ext cx="0" cy="1066"/>
                          </a:xfrm>
                          <a:prstGeom prst="line">
                            <a:avLst/>
                          </a:prstGeom>
                          <a:noFill/>
                          <a:ln w="6350">
                            <a:solidFill>
                              <a:srgbClr val="000000"/>
                            </a:solidFill>
                            <a:round/>
                          </a:ln>
                        </wps:spPr>
                        <wps:bodyPr/>
                      </wps:wsp>
                      <wps:wsp>
                        <wps:cNvPr id="25" name="直接连接符 25"/>
                        <wps:cNvCnPr/>
                        <wps:spPr>
                          <a:xfrm flipH="1">
                            <a:off x="6799" y="113036"/>
                            <a:ext cx="1940" cy="0"/>
                          </a:xfrm>
                          <a:prstGeom prst="line">
                            <a:avLst/>
                          </a:prstGeom>
                          <a:noFill/>
                          <a:ln w="6350">
                            <a:solidFill>
                              <a:srgbClr val="000000"/>
                            </a:solidFill>
                            <a:round/>
                          </a:ln>
                        </wps:spPr>
                        <wps:bodyPr/>
                      </wps:wsp>
                      <wps:wsp>
                        <wps:cNvPr id="26" name="直接连接符 26"/>
                        <wps:cNvCnPr>
                          <a:stCxn id="7" idx="2"/>
                        </wps:cNvCnPr>
                        <wps:spPr>
                          <a:xfrm>
                            <a:off x="6798" y="111734"/>
                            <a:ext cx="0" cy="1302"/>
                          </a:xfrm>
                          <a:prstGeom prst="line">
                            <a:avLst/>
                          </a:prstGeom>
                          <a:noFill/>
                          <a:ln w="6350">
                            <a:solidFill>
                              <a:srgbClr val="000000"/>
                            </a:solidFill>
                            <a:round/>
                          </a:ln>
                        </wps:spPr>
                        <wps:bodyPr/>
                      </wps:wsp>
                      <wps:wsp>
                        <wps:cNvPr id="27" name="直接连接符 27"/>
                        <wps:cNvCnPr/>
                        <wps:spPr>
                          <a:xfrm flipH="1">
                            <a:off x="6461" y="113279"/>
                            <a:ext cx="2278" cy="0"/>
                          </a:xfrm>
                          <a:prstGeom prst="line">
                            <a:avLst/>
                          </a:prstGeom>
                          <a:noFill/>
                          <a:ln w="6350">
                            <a:solidFill>
                              <a:srgbClr val="000000"/>
                            </a:solidFill>
                            <a:round/>
                          </a:ln>
                        </wps:spPr>
                        <wps:bodyPr/>
                      </wps:wsp>
                      <wps:wsp>
                        <wps:cNvPr id="28" name="直接连接符 28"/>
                        <wps:cNvCnPr>
                          <a:stCxn id="4" idx="2"/>
                        </wps:cNvCnPr>
                        <wps:spPr>
                          <a:xfrm>
                            <a:off x="6461" y="111734"/>
                            <a:ext cx="0" cy="1545"/>
                          </a:xfrm>
                          <a:prstGeom prst="line">
                            <a:avLst/>
                          </a:prstGeom>
                          <a:noFill/>
                          <a:ln w="6350">
                            <a:solidFill>
                              <a:srgbClr val="000000"/>
                            </a:solidFill>
                            <a:round/>
                          </a:ln>
                        </wps:spPr>
                        <wps:bodyPr/>
                      </wps:wsp>
                      <wps:wsp>
                        <wps:cNvPr id="29" name="直接连接符 29"/>
                        <wps:cNvCnPr/>
                        <wps:spPr>
                          <a:xfrm flipH="1">
                            <a:off x="6123" y="113491"/>
                            <a:ext cx="2616" cy="0"/>
                          </a:xfrm>
                          <a:prstGeom prst="line">
                            <a:avLst/>
                          </a:prstGeom>
                          <a:noFill/>
                          <a:ln w="6350">
                            <a:solidFill>
                              <a:srgbClr val="000000"/>
                            </a:solidFill>
                            <a:round/>
                          </a:ln>
                        </wps:spPr>
                        <wps:bodyPr/>
                      </wps:wsp>
                      <wps:wsp>
                        <wps:cNvPr id="30" name="直接连接符 30"/>
                        <wps:cNvCnPr>
                          <a:stCxn id="3" idx="2"/>
                        </wps:cNvCnPr>
                        <wps:spPr>
                          <a:xfrm>
                            <a:off x="6124" y="111734"/>
                            <a:ext cx="0" cy="1757"/>
                          </a:xfrm>
                          <a:prstGeom prst="line">
                            <a:avLst/>
                          </a:prstGeom>
                          <a:noFill/>
                          <a:ln w="6350">
                            <a:solidFill>
                              <a:srgbClr val="000000"/>
                            </a:solidFill>
                            <a:round/>
                          </a:ln>
                        </wps:spPr>
                        <wps:bodyPr/>
                      </wps:wsp>
                    </wpg:wgp>
                  </a:graphicData>
                </a:graphic>
              </wp:anchor>
            </w:drawing>
          </mc:Choice>
          <mc:Fallback>
            <w:pict>
              <v:group id="_x0000_s1026" o:spid="_x0000_s1026" o:spt="203" style="position:absolute;left:0pt;margin-left:214.75pt;margin-top:0.15pt;height:98.5pt;width:137.15pt;z-index:251661312;mso-width-relative:page;mso-height-relative:page;" coordorigin="5996,111521" coordsize="2743,1970" o:gfxdata="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">
                <o:lock v:ext="edit" aspectratio="f"/>
                <v:group id="_x0000_s1026" o:spid="_x0000_s1026" o:spt="203" style="position:absolute;left:5996;top:111521;height:213;width:2614;" coordorigin="5996,111521" coordsize="2614,213"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rect id="_x0000_s1026" o:spid="_x0000_s1026" o:spt="1" style="position:absolute;left:5996;top:111521;height:213;width:255;v-text-anchor:middle;" fillcolor="#FFFFFF [3212]" filled="t" stroked="t" coordsize="21600,21600" o:gfxdata="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JvLnW8AAAA&#10;2gAAAA8AAAAAAAAAAQAgAAAAIgAAAGRycy9kb3ducmV2LnhtbFBLAQIUABQAAAAIAIdO4kAzLwWe&#10;OwAAADkAAAAQAAAAAAAAAAEAIAAAAAsBAABkcnMvc2hhcGV4bWwueG1sUEsFBgAAAAAGAAYAWwEA&#10;ALUDAAAAAA==&#10;">
                    <v:fill on="t" focussize="0,0"/>
                    <v:stroke weight="0.5pt" color="#000000 [3213]" miterlimit="8" joinstyle="miter"/>
                    <v:imagedata o:title=""/>
                    <o:lock v:ext="edit" aspectratio="f"/>
                  </v:rect>
                  <v:rect id="_x0000_s1026" o:spid="_x0000_s1026" o:spt="1" style="position:absolute;left:6333;top:111521;height:213;width:255;v-text-anchor:middle;" fillcolor="#FFFFFF [3212]" filled="t" stroked="t" coordsize="21600,21600" o:gfxdata="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2GtgG8AAAA&#10;2gAAAA8AAAAAAAAAAQAgAAAAIgAAAGRycy9kb3ducmV2LnhtbFBLAQIUABQAAAAIAIdO4kAzLwWe&#10;OwAAADkAAAAQAAAAAAAAAAEAIAAAAAsBAABkcnMvc2hhcGV4bWwueG1sUEsFBgAAAAAGAAYAWwEA&#10;ALUDAAAAAA==&#10;">
                    <v:fill on="t" focussize="0,0"/>
                    <v:stroke weight="0.5pt" color="#000000 [3213]" miterlimit="8" joinstyle="miter"/>
                    <v:imagedata o:title=""/>
                    <o:lock v:ext="edit" aspectratio="f"/>
                  </v:rect>
                  <v:rect id="_x0000_s1026" o:spid="_x0000_s1026" o:spt="1" style="position:absolute;left:6670;top:111521;height:213;width:255;v-text-anchor:middle;" fillcolor="#FFFFFF [3212]" filled="t" stroked="t" coordsize="21600,21600" o:gfxdata="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9VCh2vQAA&#10;ANoAAAAPAAAAAAAAAAEAIAAAACIAAABkcnMvZG93bnJldi54bWxQSwECFAAUAAAACACHTuJAMy8F&#10;njsAAAA5AAAAEAAAAAAAAAABACAAAAAMAQAAZHJzL3NoYXBleG1sLnhtbFBLBQYAAAAABgAGAFsB&#10;AAC2AwAAAAA=&#10;">
                    <v:fill on="t" focussize="0,0"/>
                    <v:stroke weight="0.5pt" color="#000000 [3213]" miterlimit="8" joinstyle="miter"/>
                    <v:imagedata o:title=""/>
                    <o:lock v:ext="edit" aspectratio="f"/>
                  </v:rect>
                  <v:rect id="_x0000_s1026" o:spid="_x0000_s1026" o:spt="1" style="position:absolute;left:7007;top:111521;height:213;width:255;v-text-anchor:middle;" fillcolor="#FFFFFF [3212]" filled="t" stroked="t" coordsize="21600,21600" o:gfxdata="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My7wEugAAANoA&#10;AAAPAAAAAAAAAAEAIAAAACIAAABkcnMvZG93bnJldi54bWxQSwECFAAUAAAACACHTuJAMy8FnjsA&#10;AAA5AAAAEAAAAAAAAAABACAAAAAJAQAAZHJzL3NoYXBleG1sLnhtbFBLBQYAAAAABgAGAFsBAACz&#10;AwAAAAA=&#10;">
                    <v:fill on="t" focussize="0,0"/>
                    <v:stroke weight="0.5pt" color="#000000 [3213]" miterlimit="8" joinstyle="miter"/>
                    <v:imagedata o:title=""/>
                    <o:lock v:ext="edit" aspectratio="f"/>
                  </v:rect>
                  <v:rect id="_x0000_s1026" o:spid="_x0000_s1026" o:spt="1" style="position:absolute;left:7344;top:111521;height:213;width:255;v-text-anchor:middle;" fillcolor="#FFFFFF [3212]" filled="t" stroked="t" coordsize="21600,21600" o:gfxdata="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OHGZ+8AAAA&#10;2gAAAA8AAAAAAAAAAQAgAAAAIgAAAGRycy9kb3ducmV2LnhtbFBLAQIUABQAAAAIAIdO4kAzLwWe&#10;OwAAADkAAAAQAAAAAAAAAAEAIAAAAAsBAABkcnMvc2hhcGV4bWwueG1sUEsFBgAAAAAGAAYAWwEA&#10;ALUDAAAAAA==&#10;">
                    <v:fill on="t" focussize="0,0"/>
                    <v:stroke weight="0.5pt" color="#000000 [3213]" miterlimit="8" joinstyle="miter"/>
                    <v:imagedata o:title=""/>
                    <o:lock v:ext="edit" aspectratio="f"/>
                  </v:rect>
                  <v:rect id="_x0000_s1026" o:spid="_x0000_s1026" o:spt="1" style="position:absolute;left:7681;top:111521;height:213;width:255;v-text-anchor:middle;" fillcolor="#FFFFFF [3212]" filled="t" stroked="t" coordsize="21600,21600" o:gfxdata="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oHiXvQAA&#10;ANsAAAAPAAAAAAAAAAEAIAAAACIAAABkcnMvZG93bnJldi54bWxQSwECFAAUAAAACACHTuJAMy8F&#10;njsAAAA5AAAAEAAAAAAAAAABACAAAAAMAQAAZHJzL3NoYXBleG1sLnhtbFBLBQYAAAAABgAGAFsB&#10;AAC2AwAAAAA=&#10;">
                    <v:fill on="t" focussize="0,0"/>
                    <v:stroke weight="0.5pt" color="#000000 [3213]" miterlimit="8" joinstyle="miter"/>
                    <v:imagedata o:title=""/>
                    <o:lock v:ext="edit" aspectratio="f"/>
                  </v:rect>
                  <v:rect id="_x0000_s1026" o:spid="_x0000_s1026" o:spt="1" style="position:absolute;left:8018;top:111521;height:213;width:255;v-text-anchor:middle;" fillcolor="#FFFFFF [3212]" filled="t" stroked="t" coordsize="21600,21600" o:gfxdata="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OzdDLsAAADb&#10;AAAADwAAAAAAAAABACAAAAAiAAAAZHJzL2Rvd25yZXYueG1sUEsBAhQAFAAAAAgAh07iQDMvBZ47&#10;AAAAOQAAABAAAAAAAAAAAQAgAAAACgEAAGRycy9zaGFwZXhtbC54bWxQSwUGAAAAAAYABgBbAQAA&#10;tAMAAAAA&#10;">
                    <v:fill on="t" focussize="0,0"/>
                    <v:stroke weight="0.5pt" color="#000000 [3213]" miterlimit="8" joinstyle="miter"/>
                    <v:imagedata o:title=""/>
                    <o:lock v:ext="edit" aspectratio="f"/>
                  </v:rect>
                  <v:rect id="_x0000_s1026" o:spid="_x0000_s1026" o:spt="1" style="position:absolute;left:8355;top:111521;height:213;width:255;v-text-anchor:middle;" fillcolor="#FFFFFF [3212]" filled="t" stroked="t" coordsize="21600,21600" o:gfxdata="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JQ+Q3u5AAAA2wAA&#10;AA8AAAAAAAAAAQAgAAAAIgAAAGRycy9kb3ducmV2LnhtbFBLAQIUABQAAAAIAIdO4kAzLwWeOwAA&#10;ADkAAAAQAAAAAAAAAAEAIAAAAAgBAABkcnMvc2hhcGV4bWwueG1sUEsFBgAAAAAGAAYAWwEAALID&#10;AAAAAA==&#10;">
                    <v:fill on="t" focussize="0,0"/>
                    <v:stroke weight="0.5pt" color="#000000 [3213]" miterlimit="8" joinstyle="miter"/>
                    <v:imagedata o:title=""/>
                    <o:lock v:ext="edit" aspectratio="f"/>
                  </v:rect>
                </v:group>
                <v:line id="_x0000_s1026" o:spid="_x0000_s1026" o:spt="20" style="position:absolute;left:8481;top:111855;flip:x;height:0;width:257;" filled="f" stroked="t" coordsize="21600,21600" o:gfxdata="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bNqf+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_x0000_s1026" o:spid="_x0000_s1026" o:spt="20" style="position:absolute;left:8140;top:112100;flip:x;height:0;width:596;" filled="f" stroked="t" coordsize="21600,21600" o:gfxdata="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TkhO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_x0000_s1026" o:spid="_x0000_s1026" o:spt="20" style="position:absolute;left:7805;top:112319;flip:x;height:0;width:923;" filled="f" stroked="t" coordsize="21600,21600" o:gfxdata="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YfN4i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_x0000_s1026" o:spid="_x0000_s1026" o:spt="20" style="position:absolute;left:8483;top:111734;height:127;width:0;" filled="f" stroked="t" coordsize="21600,21600" o:gfxdata="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btS5W8AAAA&#10;2wAAAA8AAAAAAAAAAQAgAAAAIgAAAGRycy9kb3ducmV2LnhtbFBLAQIUABQAAAAIAIdO4kAzLwWe&#10;OwAAADkAAAAQAAAAAAAAAAEAIAAAAAsBAABkcnMvc2hhcGV4bWwueG1sUEsFBgAAAAAGAAYAWwEA&#10;ALUDAAAAAA==&#10;">
                  <v:fill on="f" focussize="0,0"/>
                  <v:stroke weight="0.5pt" color="#000000" joinstyle="round"/>
                  <v:imagedata o:title=""/>
                  <o:lock v:ext="edit" aspectratio="f"/>
                </v:line>
                <v:line id="_x0000_s1026" o:spid="_x0000_s1026" o:spt="20" style="position:absolute;left:8146;top:111734;height:363;width:0;" filled="f" stroked="t" coordsize="21600,21600" o:gfxdata="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Hmh7g6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line id="_x0000_s1026" o:spid="_x0000_s1026" o:spt="20" style="position:absolute;left:7809;top:111734;height:584;width:0;" filled="f" stroked="t" coordsize="21600,21600" o:gfxdata="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JveNLr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line id="_x0000_s1026" o:spid="_x0000_s1026" o:spt="20" style="position:absolute;left:7474;top:112557;flip:x;height:0;width:1254;" filled="f" stroked="t" coordsize="21600,21600" o:gfxdata="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OjWwNq/&#10;AAAA2w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line>
                <v:line id="_x0000_s1026" o:spid="_x0000_s1026" o:spt="20" style="position:absolute;left:7472;top:111734;height:823;width:0;" filled="f" stroked="t" coordsize="21600,21600" o:gfxdata="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Wm2wrsAAADb&#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line id="_x0000_s1026" o:spid="_x0000_s1026" o:spt="20" style="position:absolute;left:7136;top:112800;flip:x;height:0;width:1595;" filled="f" stroked="t" coordsize="21600,21600" o:gfxdata="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dI+za/&#10;AAAA2w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line>
                <v:line id="_x0000_s1026" o:spid="_x0000_s1026" o:spt="20" style="position:absolute;left:7135;top:111734;height:1066;width:0;" filled="f" stroked="t" coordsize="21600,21600" o:gfxdata="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WcyLLbsAAADb&#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line id="_x0000_s1026" o:spid="_x0000_s1026" o:spt="20" style="position:absolute;left:6799;top:113036;flip:x;height:0;width:1940;" filled="f" stroked="t" coordsize="21600,21600" o:gfxdata="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ftxtm/&#10;AAAA2w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line>
                <v:line id="_x0000_s1026" o:spid="_x0000_s1026" o:spt="20" style="position:absolute;left:6798;top:111734;height:1302;width:0;" filled="f" stroked="t" coordsize="21600,21600" o:gfxdata="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KwwbsAAADb&#10;AAAADwAAAAAAAAABACAAAAAiAAAAZHJzL2Rvd25yZXYueG1sUEsBAhQAFAAAAAgAh07iQDMvBZ47&#10;AAAAOQAAABAAAAAAAAAAAQAgAAAACgEAAGRycy9zaGFwZXhtbC54bWxQSwUGAAAAAAYABgBbAQAA&#10;tAMAAAAA&#10;">
                  <v:fill on="f" focussize="0,0"/>
                  <v:stroke weight="0.5pt" color="#000000" joinstyle="round"/>
                  <v:imagedata o:title=""/>
                  <o:lock v:ext="edit" aspectratio="f"/>
                </v:line>
                <v:line id="_x0000_s1026" o:spid="_x0000_s1026" o:spt="20" style="position:absolute;left:6461;top:113279;flip:x;height:0;width:2278;" filled="f" stroked="t" coordsize="21600,21600" o:gfxdata="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CHP9Nb4A&#10;AADbAAAADwAAAAAAAAABACAAAAAiAAAAZHJzL2Rvd25yZXYueG1sUEsBAhQAFAAAAAgAh07iQDMv&#10;BZ47AAAAOQAAABAAAAAAAAAAAQAgAAAADQEAAGRycy9zaGFwZXhtbC54bWxQSwUGAAAAAAYABgBb&#10;AQAAtwMAAAAA&#10;">
                  <v:fill on="f" focussize="0,0"/>
                  <v:stroke weight="0.5pt" color="#000000" joinstyle="round"/>
                  <v:imagedata o:title=""/>
                  <o:lock v:ext="edit" aspectratio="f"/>
                </v:line>
                <v:line id="_x0000_s1026" o:spid="_x0000_s1026" o:spt="20" style="position:absolute;left:6461;top:111734;height:1545;width:0;" filled="f" stroked="t" coordsize="21600,21600" o:gfxdata="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2IGBKLgAAADbAAAA&#10;DwAAAAAAAAABACAAAAAiAAAAZHJzL2Rvd25yZXYueG1sUEsBAhQAFAAAAAgAh07iQDMvBZ47AAAA&#10;OQAAABAAAAAAAAAAAQAgAAAABwEAAGRycy9zaGFwZXhtbC54bWxQSwUGAAAAAAYABgBbAQAAsQMA&#10;AAAA&#10;">
                  <v:fill on="f" focussize="0,0"/>
                  <v:stroke weight="0.5pt" color="#000000" joinstyle="round"/>
                  <v:imagedata o:title=""/>
                  <o:lock v:ext="edit" aspectratio="f"/>
                </v:line>
                <v:line id="_x0000_s1026" o:spid="_x0000_s1026" o:spt="20" style="position:absolute;left:6123;top:113491;flip:x;height:0;width:2616;" filled="f" stroked="t" coordsize="21600,21600" o:gfxdata="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agzNy/&#10;AAAA2wAAAA8AAAAAAAAAAQAgAAAAIgAAAGRycy9kb3ducmV2LnhtbFBLAQIUABQAAAAIAIdO4kAz&#10;LwWeOwAAADkAAAAQAAAAAAAAAAEAIAAAAA4BAABkcnMvc2hhcGV4bWwueG1sUEsFBgAAAAAGAAYA&#10;WwEAALgDAAAAAA==&#10;">
                  <v:fill on="f" focussize="0,0"/>
                  <v:stroke weight="0.5pt" color="#000000" joinstyle="round"/>
                  <v:imagedata o:title=""/>
                  <o:lock v:ext="edit" aspectratio="f"/>
                </v:line>
                <v:line id="_x0000_s1026" o:spid="_x0000_s1026" o:spt="20" style="position:absolute;left:6124;top:111734;height:1757;width:0;" filled="f" stroked="t" coordsize="21600,21600" o:gfxdata="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KMuG/O5AAAA2wAA&#10;AA8AAAAAAAAAAQAgAAAAIgAAAGRycy9kb3ducmV2LnhtbFBLAQIUABQAAAAIAIdO4kAzLwWeOwAA&#10;ADkAAAAQAAAAAAAAAAEAIAAAAAgBAABkcnMvc2hhcGV4bWwueG1sUEsFBgAAAAAGAAYAWwEAALID&#10;AAAAAA==&#10;">
                  <v:fill on="f" focussize="0,0"/>
                  <v:stroke weight="0.5pt" color="#000000" joinstyle="round"/>
                  <v:imagedata o:title=""/>
                  <o:lock v:ext="edit" aspectratio="f"/>
                </v:line>
              </v:group>
            </w:pict>
          </mc:Fallback>
        </mc:AlternateContent>
      </w:r>
      <w:r>
        <w:rPr>
          <w:rFonts w:hint="eastAsia"/>
          <w:lang w:val="en-US" w:eastAsia="zh-CN"/>
        </w:rPr>
        <w:t xml:space="preserve">民用建筑用推拉密封窗 </w:t>
      </w:r>
      <w:r>
        <w:t>T/</w:t>
      </w:r>
      <w:r>
        <w:fldChar w:fldCharType="begin">
          <w:ffData>
            <w:name w:val="文字1"/>
            <w:enabled/>
            <w:calcOnExit w:val="0"/>
            <w:textInput>
              <w:default w:val="XXX"/>
            </w:textInput>
          </w:ffData>
        </w:fldChar>
      </w:r>
      <w:r>
        <w:instrText xml:space="preserve"> FORMTEXT </w:instrText>
      </w:r>
      <w:r>
        <w:fldChar w:fldCharType="separate"/>
      </w:r>
      <w:r>
        <w:t>C</w:t>
      </w:r>
      <w:r>
        <w:rPr>
          <w:rFonts w:hint="eastAsia"/>
        </w:rPr>
        <w:t>ECS</w:t>
      </w:r>
      <w:r>
        <w:fldChar w:fldCharType="end"/>
      </w:r>
      <w:r>
        <w:t xml:space="preserve"> </w:t>
      </w:r>
      <w:r>
        <w:fldChar w:fldCharType="begin">
          <w:ffData>
            <w:name w:val="NSTD_CODE_F"/>
            <w:enabled/>
            <w:calcOnExit w:val="0"/>
            <w:textInput>
              <w:default w:val="XXXX"/>
            </w:textInput>
          </w:ffData>
        </w:fldChar>
      </w:r>
      <w:r>
        <w:instrText xml:space="preserve"> FORMTEXT </w:instrText>
      </w:r>
      <w:r>
        <w:fldChar w:fldCharType="separate"/>
      </w:r>
      <w:r>
        <w:t>XXXX</w:t>
      </w:r>
      <w:r>
        <w:fldChar w:fldCharType="end"/>
      </w:r>
      <w:r>
        <w:rPr>
          <w:rFonts w:hAnsi="黑体"/>
        </w:rPr>
        <w:t>—</w:t>
      </w:r>
      <w:r>
        <w:fldChar w:fldCharType="begin">
          <w:ffData>
            <w:name w:val="NSTD_CODE_B"/>
            <w:enabled/>
            <w:calcOnExit w:val="0"/>
            <w:textInput>
              <w:default w:val="XXXX"/>
            </w:textInput>
          </w:ffData>
        </w:fldChar>
      </w:r>
      <w:r>
        <w:instrText xml:space="preserve"> FORMTEXT </w:instrText>
      </w:r>
      <w:r>
        <w:fldChar w:fldCharType="separate"/>
      </w:r>
      <w:r>
        <w:t>XXXX</w:t>
      </w:r>
      <w:r>
        <w:fldChar w:fldCharType="end"/>
      </w:r>
      <w:r>
        <w:rPr>
          <w:rFonts w:hint="eastAsia"/>
          <w:lang w:val="en-US" w:eastAsia="zh-CN"/>
        </w:rPr>
        <w:t xml:space="preserve"> </w:t>
      </w:r>
    </w:p>
    <w:p w14:paraId="28AC43EE">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r>
        <w:rPr>
          <w:rFonts w:hint="eastAsia"/>
          <w:lang w:val="en-US" w:eastAsia="zh-CN"/>
        </w:rPr>
        <w:t>开启形式</w:t>
      </w:r>
    </w:p>
    <w:p w14:paraId="12F61302">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rPr>
      </w:pPr>
      <w:r>
        <w:rPr>
          <w:rFonts w:hint="eastAsia"/>
        </w:rPr>
        <w:t>系列</w:t>
      </w:r>
    </w:p>
    <w:p w14:paraId="5BEF7328">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rPr>
      </w:pPr>
      <w:r>
        <w:rPr>
          <w:rFonts w:hint="eastAsia"/>
        </w:rPr>
        <w:t>规格</w:t>
      </w:r>
    </w:p>
    <w:p w14:paraId="354332BD">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r>
        <w:rPr>
          <w:rFonts w:hint="eastAsia"/>
          <w:lang w:val="en-US" w:eastAsia="zh-CN"/>
        </w:rPr>
        <w:t>抗风压性能</w:t>
      </w:r>
    </w:p>
    <w:p w14:paraId="0CF27508">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r>
        <w:rPr>
          <w:rFonts w:hint="eastAsia"/>
          <w:lang w:val="en-US" w:eastAsia="zh-CN"/>
        </w:rPr>
        <w:t>水密性能</w:t>
      </w:r>
    </w:p>
    <w:p w14:paraId="66502BF1">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r>
        <w:rPr>
          <w:rFonts w:hint="eastAsia"/>
          <w:lang w:val="en-US" w:eastAsia="zh-CN"/>
        </w:rPr>
        <w:t>气密性能</w:t>
      </w:r>
    </w:p>
    <w:p w14:paraId="0555C940">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r>
        <w:rPr>
          <w:rFonts w:hint="eastAsia"/>
          <w:lang w:val="en-US" w:eastAsia="zh-CN"/>
        </w:rPr>
        <w:t>保温性能</w:t>
      </w:r>
    </w:p>
    <w:p w14:paraId="45E0D208">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r>
        <w:rPr>
          <w:rFonts w:hint="eastAsia"/>
          <w:lang w:val="en-US" w:eastAsia="zh-CN"/>
        </w:rPr>
        <w:t>隔声性能</w:t>
      </w:r>
    </w:p>
    <w:p w14:paraId="5BB090D1">
      <w:pPr>
        <w:pStyle w:val="183"/>
        <w:keepNext w:val="0"/>
        <w:keepLines w:val="0"/>
        <w:pageBreakBefore w:val="0"/>
        <w:widowControl/>
        <w:kinsoku/>
        <w:wordWrap/>
        <w:overflowPunct/>
        <w:topLinePunct w:val="0"/>
        <w:autoSpaceDE w:val="0"/>
        <w:autoSpaceDN w:val="0"/>
        <w:bidi w:val="0"/>
        <w:adjustRightInd/>
        <w:snapToGrid/>
        <w:ind w:left="6720" w:leftChars="3200" w:firstLine="360"/>
        <w:jc w:val="both"/>
        <w:textAlignment w:val="auto"/>
        <w:rPr>
          <w:rFonts w:hint="eastAsia"/>
          <w:lang w:val="en-US" w:eastAsia="zh-CN"/>
        </w:rPr>
      </w:pPr>
    </w:p>
    <w:p w14:paraId="73B6C366">
      <w:pPr>
        <w:pStyle w:val="66"/>
        <w:spacing w:before="120" w:after="120"/>
      </w:pPr>
      <w:bookmarkStart w:id="59" w:name="_Toc22440"/>
      <w:r>
        <w:rPr>
          <w:rFonts w:hint="eastAsia"/>
        </w:rPr>
        <w:t>标记示例</w:t>
      </w:r>
      <w:bookmarkEnd w:id="59"/>
    </w:p>
    <w:p w14:paraId="45730AE7">
      <w:pPr>
        <w:pStyle w:val="184"/>
        <w:numPr>
          <w:ilvl w:val="0"/>
          <w:numId w:val="0"/>
        </w:numPr>
        <w:ind w:left="178" w:leftChars="85" w:firstLine="129" w:firstLineChars="72"/>
      </w:pPr>
      <w:r>
        <w:rPr>
          <w:rFonts w:hint="eastAsia" w:ascii="黑体" w:hAnsi="Times New Roman" w:eastAsia="黑体" w:cs="Times New Roman"/>
          <w:b w:val="0"/>
          <w:i w:val="0"/>
          <w:kern w:val="0"/>
          <w:sz w:val="18"/>
          <w:szCs w:val="18"/>
          <w:lang w:val="en-US" w:eastAsia="zh-CN" w:bidi="ar-SA"/>
        </w:rPr>
        <w:t>示例：</w:t>
      </w:r>
      <w:r>
        <w:rPr>
          <w:rFonts w:hint="eastAsia"/>
        </w:rPr>
        <w:t>测压</w:t>
      </w:r>
      <w:r>
        <w:rPr>
          <w:rFonts w:hint="eastAsia"/>
          <w:lang w:val="en-US" w:eastAsia="zh-CN"/>
        </w:rPr>
        <w:t>推拉窗</w:t>
      </w:r>
      <w:r>
        <w:rPr>
          <w:rFonts w:hint="eastAsia"/>
        </w:rPr>
        <w:t>、116系列，规格代号120090，抗风压性能6级，水密性能4级，气密性能8级，保温性能</w:t>
      </w:r>
      <w:r>
        <w:rPr>
          <w:rFonts w:hint="eastAsia"/>
          <w:lang w:val="en-US" w:eastAsia="zh-CN"/>
        </w:rPr>
        <w:t xml:space="preserve"> </w:t>
      </w:r>
      <m:oMath>
        <m:r>
          <m:rPr/>
          <w:rPr>
            <w:rFonts w:hint="default" w:ascii="Cambria Math" w:hAnsi="Cambria Math" w:cs="Times New Roman"/>
            <w:kern w:val="0"/>
            <w:sz w:val="18"/>
            <w:szCs w:val="18"/>
            <w:lang w:val="en-US" w:eastAsia="zh-CN" w:bidi="ar-SA"/>
          </w:rPr>
          <m:t>K</m:t>
        </m:r>
      </m:oMath>
      <w:r>
        <w:rPr>
          <w:rFonts w:hint="eastAsia" w:hAnsi="Cambria Math" w:cs="Times New Roman"/>
          <w:i w:val="0"/>
          <w:kern w:val="0"/>
          <w:sz w:val="18"/>
          <w:szCs w:val="18"/>
          <w:lang w:val="en-US" w:eastAsia="zh-CN" w:bidi="ar-SA"/>
        </w:rPr>
        <w:t xml:space="preserve"> </w:t>
      </w:r>
      <w:r>
        <w:rPr>
          <w:rFonts w:hint="eastAsia"/>
        </w:rPr>
        <w:t>值2.5，</w:t>
      </w:r>
      <w:r>
        <w:rPr>
          <w:rFonts w:hint="eastAsia"/>
          <w:lang w:val="en-US" w:eastAsia="zh-CN"/>
        </w:rPr>
        <w:t>隔声性能（</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lang w:val="en-US" w:eastAsia="zh-CN"/>
        </w:rPr>
        <w:t>）4级（外窗），</w:t>
      </w:r>
      <w:r>
        <w:rPr>
          <w:rFonts w:hint="eastAsia"/>
        </w:rPr>
        <w:t>其标记为：</w:t>
      </w:r>
    </w:p>
    <w:p w14:paraId="69761AA7">
      <w:pPr>
        <w:pStyle w:val="183"/>
        <w:ind w:firstLine="360"/>
        <w:jc w:val="center"/>
        <w:rPr>
          <w:rFonts w:hint="default" w:ascii="宋体" w:hAnsi="宋体" w:eastAsia="宋体" w:cs="宋体"/>
          <w:szCs w:val="18"/>
          <w:lang w:val="en-US" w:eastAsia="zh-CN"/>
        </w:rPr>
      </w:pPr>
      <w:r>
        <w:rPr>
          <w:rFonts w:hint="eastAsia" w:ascii="宋体" w:hAnsi="宋体" w:eastAsia="宋体" w:cs="宋体"/>
          <w:lang w:val="en-US" w:eastAsia="zh-CN"/>
        </w:rPr>
        <w:t xml:space="preserve">民用建筑用推拉密封窗 </w:t>
      </w:r>
      <w:r>
        <w:rPr>
          <w:rFonts w:hint="eastAsia" w:ascii="宋体" w:hAnsi="宋体" w:eastAsia="宋体" w:cs="宋体"/>
        </w:rPr>
        <w:t>T/</w:t>
      </w:r>
      <w:r>
        <w:rPr>
          <w:rFonts w:hint="eastAsia" w:ascii="宋体" w:hAnsi="宋体" w:eastAsia="宋体" w:cs="宋体"/>
        </w:rPr>
        <w:fldChar w:fldCharType="begin">
          <w:ffData>
            <w:name w:val="文字1"/>
            <w:enabled/>
            <w:calcOnExit w:val="0"/>
            <w:textInput>
              <w:default w:val="XXX"/>
            </w:textInput>
          </w:ffData>
        </w:fldChar>
      </w:r>
      <w:r>
        <w:rPr>
          <w:rFonts w:hint="eastAsia" w:ascii="宋体" w:hAnsi="宋体" w:eastAsia="宋体" w:cs="宋体"/>
        </w:rPr>
        <w:instrText xml:space="preserve"> FORMTEXT </w:instrText>
      </w:r>
      <w:r>
        <w:rPr>
          <w:rFonts w:hint="eastAsia" w:ascii="宋体" w:hAnsi="宋体" w:eastAsia="宋体" w:cs="宋体"/>
        </w:rPr>
        <w:fldChar w:fldCharType="separate"/>
      </w:r>
      <w:r>
        <w:rPr>
          <w:rFonts w:hint="eastAsia" w:ascii="宋体" w:hAnsi="宋体" w:eastAsia="宋体" w:cs="宋体"/>
        </w:rPr>
        <w:t>CECS</w:t>
      </w:r>
      <w:r>
        <w:rPr>
          <w:rFonts w:hint="eastAsia" w:ascii="宋体" w:hAnsi="宋体" w:eastAsia="宋体" w:cs="宋体"/>
        </w:rPr>
        <w:fldChar w:fldCharType="end"/>
      </w:r>
      <w:r>
        <w:rPr>
          <w:rFonts w:hint="eastAsia" w:ascii="宋体" w:hAnsi="宋体" w:eastAsia="宋体" w:cs="宋体"/>
        </w:rPr>
        <w:t xml:space="preserve"> </w:t>
      </w:r>
      <w:r>
        <w:rPr>
          <w:rFonts w:hint="eastAsia" w:ascii="宋体" w:hAnsi="宋体" w:eastAsia="宋体" w:cs="宋体"/>
        </w:rPr>
        <w:fldChar w:fldCharType="begin">
          <w:ffData>
            <w:name w:val="NSTD_CODE_F"/>
            <w:enabled/>
            <w:calcOnExit w:val="0"/>
            <w:textInput>
              <w:default w:val="XXXX"/>
            </w:textInput>
          </w:ffData>
        </w:fldChar>
      </w:r>
      <w:r>
        <w:rPr>
          <w:rFonts w:hint="eastAsia" w:ascii="宋体" w:hAnsi="宋体" w:eastAsia="宋体" w:cs="宋体"/>
        </w:rPr>
        <w:instrText xml:space="preserve"> FORMTEXT </w:instrText>
      </w:r>
      <w:r>
        <w:rPr>
          <w:rFonts w:hint="eastAsia" w:ascii="宋体" w:hAnsi="宋体" w:eastAsia="宋体" w:cs="宋体"/>
        </w:rPr>
        <w:fldChar w:fldCharType="separate"/>
      </w:r>
      <w:r>
        <w:rPr>
          <w:rFonts w:hint="eastAsia" w:ascii="宋体" w:hAnsi="宋体" w:eastAsia="宋体" w:cs="宋体"/>
        </w:rPr>
        <w:t>XXXX</w:t>
      </w:r>
      <w:r>
        <w:rPr>
          <w:rFonts w:hint="eastAsia" w:ascii="宋体" w:hAnsi="宋体" w:eastAsia="宋体" w:cs="宋体"/>
        </w:rPr>
        <w:fldChar w:fldCharType="end"/>
      </w:r>
      <w:r>
        <w:rPr>
          <w:rFonts w:hint="eastAsia" w:ascii="宋体" w:hAnsi="宋体" w:eastAsia="宋体" w:cs="宋体"/>
        </w:rPr>
        <w:t>—</w:t>
      </w:r>
      <w:r>
        <w:rPr>
          <w:rFonts w:hint="eastAsia" w:ascii="宋体" w:hAnsi="宋体" w:eastAsia="宋体" w:cs="宋体"/>
        </w:rPr>
        <w:fldChar w:fldCharType="begin">
          <w:ffData>
            <w:name w:val="NSTD_CODE_B"/>
            <w:enabled/>
            <w:calcOnExit w:val="0"/>
            <w:textInput>
              <w:default w:val="XXXX"/>
            </w:textInput>
          </w:ffData>
        </w:fldChar>
      </w:r>
      <w:r>
        <w:rPr>
          <w:rFonts w:hint="eastAsia" w:ascii="宋体" w:hAnsi="宋体" w:eastAsia="宋体" w:cs="宋体"/>
        </w:rPr>
        <w:instrText xml:space="preserve"> FORMTEXT </w:instrText>
      </w:r>
      <w:r>
        <w:rPr>
          <w:rFonts w:hint="eastAsia" w:ascii="宋体" w:hAnsi="宋体" w:eastAsia="宋体" w:cs="宋体"/>
        </w:rPr>
        <w:fldChar w:fldCharType="separate"/>
      </w:r>
      <w:r>
        <w:rPr>
          <w:rFonts w:hint="eastAsia" w:ascii="宋体" w:hAnsi="宋体" w:eastAsia="宋体" w:cs="宋体"/>
        </w:rPr>
        <w:t>XXXX</w:t>
      </w:r>
      <w:r>
        <w:rPr>
          <w:rFonts w:hint="eastAsia" w:ascii="宋体" w:hAnsi="宋体" w:eastAsia="宋体" w:cs="宋体"/>
        </w:rPr>
        <w:fldChar w:fldCharType="end"/>
      </w:r>
      <w:r>
        <w:rPr>
          <w:rFonts w:hint="eastAsia" w:ascii="宋体" w:hAnsi="宋体" w:eastAsia="宋体" w:cs="宋体"/>
        </w:rPr>
        <w:t xml:space="preserve"> YA</w:t>
      </w:r>
      <w:r>
        <w:rPr>
          <w:rFonts w:hint="eastAsia" w:ascii="宋体" w:hAnsi="宋体" w:eastAsia="宋体" w:cs="宋体"/>
          <w:lang w:val="en-US" w:eastAsia="zh-CN"/>
        </w:rPr>
        <w:t>-</w:t>
      </w:r>
      <w:r>
        <w:rPr>
          <w:rFonts w:hint="eastAsia" w:ascii="宋体" w:hAnsi="宋体" w:eastAsia="宋体" w:cs="宋体"/>
        </w:rPr>
        <w:t>116-120090-</w:t>
      </w:r>
      <m:oMath>
        <m:sSub>
          <m:sSubPr>
            <m:ctrlPr>
              <w:rPr>
                <w:rFonts w:hint="eastAsia" w:ascii="Cambria Math" w:hAnsi="Cambria Math" w:eastAsia="宋体" w:cs="宋体"/>
                <w:i/>
                <w:szCs w:val="18"/>
              </w:rPr>
            </m:ctrlPr>
          </m:sSubPr>
          <m:e>
            <m:r>
              <m:rPr/>
              <w:rPr>
                <w:rFonts w:hint="eastAsia" w:ascii="Cambria Math" w:hAnsi="Cambria Math" w:eastAsia="宋体" w:cs="宋体"/>
              </w:rPr>
              <m:t>P</m:t>
            </m:r>
            <m:ctrlPr>
              <w:rPr>
                <w:rFonts w:hint="eastAsia" w:ascii="Cambria Math" w:hAnsi="Cambria Math" w:eastAsia="宋体" w:cs="宋体"/>
                <w:i/>
                <w:szCs w:val="18"/>
              </w:rPr>
            </m:ctrlPr>
          </m:e>
          <m:sub>
            <m:r>
              <m:rPr/>
              <w:rPr>
                <w:rFonts w:hint="eastAsia" w:ascii="Cambria Math" w:hAnsi="Cambria Math" w:eastAsia="宋体" w:cs="宋体"/>
              </w:rPr>
              <m:t>3</m:t>
            </m:r>
            <m:ctrlPr>
              <w:rPr>
                <w:rFonts w:hint="eastAsia" w:ascii="Cambria Math" w:hAnsi="Cambria Math" w:eastAsia="宋体" w:cs="宋体"/>
                <w:i/>
                <w:szCs w:val="18"/>
              </w:rPr>
            </m:ctrlPr>
          </m:sub>
        </m:sSub>
        <m:r>
          <m:rPr/>
          <w:rPr>
            <w:rFonts w:hint="eastAsia" w:ascii="Cambria Math" w:hAnsi="Cambria Math" w:eastAsia="宋体" w:cs="宋体"/>
            <w:szCs w:val="18"/>
          </w:rPr>
          <m:t>6</m:t>
        </m:r>
      </m:oMath>
      <w:r>
        <w:rPr>
          <w:rFonts w:hint="eastAsia" w:ascii="宋体" w:hAnsi="宋体" w:eastAsia="宋体" w:cs="宋体"/>
          <w:szCs w:val="18"/>
          <w:lang w:val="en-US" w:eastAsia="zh-CN"/>
        </w:rPr>
        <w:t>-</w:t>
      </w:r>
      <m:oMath>
        <m:r>
          <m:rPr/>
          <w:rPr>
            <w:rFonts w:hint="eastAsia" w:ascii="Cambria Math" w:hAnsi="Cambria Math" w:eastAsia="宋体" w:cs="宋体"/>
            <w:sz w:val="18"/>
            <w:szCs w:val="18"/>
            <w:vertAlign w:val="baseline"/>
            <w:lang w:val="en-US"/>
          </w:rPr>
          <m:t>△</m:t>
        </m:r>
        <m:r>
          <m:rPr/>
          <w:rPr>
            <w:rFonts w:hint="eastAsia" w:ascii="Cambria Math" w:hAnsi="Cambria Math" w:eastAsia="宋体" w:cs="宋体"/>
            <w:sz w:val="18"/>
            <w:szCs w:val="18"/>
            <w:vertAlign w:val="baseline"/>
            <w:lang w:val="en-US" w:eastAsia="zh-CN"/>
          </w:rPr>
          <m:t>P4</m:t>
        </m:r>
      </m:oMath>
      <w:r>
        <w:rPr>
          <w:rFonts w:hint="eastAsia" w:ascii="宋体" w:hAnsi="宋体" w:eastAsia="宋体" w:cs="宋体"/>
          <w:lang w:val="en-US" w:eastAsia="zh-CN"/>
        </w:rPr>
        <w:t>-</w:t>
      </w:r>
      <m:oMath>
        <m:sSub>
          <m:sSubPr>
            <m:ctrlPr>
              <w:rPr>
                <w:rFonts w:hint="eastAsia" w:ascii="Cambria Math" w:hAnsi="Cambria Math" w:eastAsia="宋体" w:cs="宋体"/>
                <w:i/>
                <w:szCs w:val="18"/>
              </w:rPr>
            </m:ctrlPr>
          </m:sSubPr>
          <m:e>
            <m:r>
              <m:rPr/>
              <w:rPr>
                <w:rFonts w:hint="eastAsia" w:ascii="Cambria Math" w:hAnsi="Cambria Math" w:eastAsia="宋体" w:cs="宋体"/>
              </w:rPr>
              <m:t>q</m:t>
            </m:r>
            <m:ctrlPr>
              <w:rPr>
                <w:rFonts w:hint="eastAsia" w:ascii="Cambria Math" w:hAnsi="Cambria Math" w:eastAsia="宋体" w:cs="宋体"/>
                <w:i/>
                <w:szCs w:val="18"/>
              </w:rPr>
            </m:ctrlPr>
          </m:e>
          <m:sub>
            <m:r>
              <m:rPr/>
              <w:rPr>
                <w:rFonts w:hint="eastAsia" w:ascii="Cambria Math" w:hAnsi="Cambria Math" w:eastAsia="宋体" w:cs="宋体"/>
              </w:rPr>
              <m:t>1</m:t>
            </m:r>
            <m:ctrlPr>
              <w:rPr>
                <w:rFonts w:hint="eastAsia" w:ascii="Cambria Math" w:hAnsi="Cambria Math" w:eastAsia="宋体" w:cs="宋体"/>
                <w:i/>
                <w:szCs w:val="18"/>
              </w:rPr>
            </m:ctrlPr>
          </m:sub>
        </m:sSub>
        <m:r>
          <m:rPr/>
          <w:rPr>
            <w:rFonts w:hint="eastAsia" w:ascii="Cambria Math" w:hAnsi="Cambria Math" w:eastAsia="宋体" w:cs="宋体"/>
            <w:szCs w:val="18"/>
          </w:rPr>
          <m:t>8</m:t>
        </m:r>
      </m:oMath>
      <w:r>
        <w:rPr>
          <w:rFonts w:hint="eastAsia" w:ascii="宋体" w:hAnsi="宋体" w:eastAsia="宋体" w:cs="宋体"/>
          <w:szCs w:val="18"/>
          <w:lang w:val="en-US" w:eastAsia="zh-CN"/>
        </w:rPr>
        <w:t>-</w:t>
      </w:r>
      <m:oMath>
        <m:r>
          <m:rPr/>
          <w:rPr>
            <w:rFonts w:hint="eastAsia" w:ascii="Cambria Math" w:hAnsi="Cambria Math" w:eastAsia="宋体" w:cs="宋体"/>
            <w:sz w:val="18"/>
            <w:szCs w:val="18"/>
            <w:lang w:val="en-US" w:eastAsia="zh-CN" w:bidi="ar-SA"/>
          </w:rPr>
          <m:t>K2.5</m:t>
        </m:r>
      </m:oMath>
      <w:r>
        <w:rPr>
          <w:rFonts w:hint="eastAsia" w:ascii="宋体" w:hAnsi="宋体" w:eastAsia="宋体" w:cs="宋体"/>
          <w:szCs w:val="18"/>
          <w:lang w:val="en-US" w:eastAsia="zh-CN"/>
        </w:rPr>
        <w:t>-</w:t>
      </w:r>
      <w:r>
        <w:rPr>
          <w:rFonts w:hint="eastAsia" w:hAnsi="宋体" w:cs="宋体"/>
          <w:szCs w:val="18"/>
          <w:lang w:val="en-US" w:eastAsia="zh-CN"/>
        </w:rPr>
        <w:t>（</w:t>
      </w:r>
      <m:oMath>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R</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w</m:t>
            </m:r>
            <m:ctrlPr>
              <w:rPr>
                <w:rFonts w:hint="eastAsia" w:ascii="Cambria Math" w:hAnsi="Cambria Math" w:eastAsia="宋体" w:cs="宋体"/>
                <w:i/>
                <w:kern w:val="2"/>
                <w:sz w:val="18"/>
                <w:szCs w:val="18"/>
                <w:lang w:val="en-US" w:eastAsia="zh-CN" w:bidi="ar-SA"/>
              </w:rPr>
            </m:ctrlPr>
          </m:sub>
        </m:sSub>
        <m:r>
          <m:rPr/>
          <w:rPr>
            <w:rFonts w:hint="eastAsia" w:ascii="Cambria Math" w:hAnsi="Cambria Math" w:eastAsia="宋体" w:cs="宋体"/>
            <w:kern w:val="2"/>
            <w:sz w:val="18"/>
            <w:szCs w:val="18"/>
            <w:lang w:val="en-US" w:eastAsia="zh-CN" w:bidi="ar-SA"/>
          </w:rPr>
          <m:t>+</m:t>
        </m:r>
        <m:sSub>
          <m:sSubPr>
            <m:ctrlPr>
              <w:rPr>
                <w:rFonts w:hint="eastAsia" w:ascii="Cambria Math" w:hAnsi="Cambria Math" w:eastAsia="宋体" w:cs="宋体"/>
                <w:i/>
                <w:kern w:val="2"/>
                <w:sz w:val="18"/>
                <w:szCs w:val="18"/>
                <w:lang w:val="en-US" w:eastAsia="zh-CN" w:bidi="ar-SA"/>
              </w:rPr>
            </m:ctrlPr>
          </m:sSubPr>
          <m:e>
            <m:r>
              <m:rPr/>
              <w:rPr>
                <w:rFonts w:hint="eastAsia" w:ascii="Cambria Math" w:hAnsi="Cambria Math" w:eastAsia="宋体" w:cs="宋体"/>
                <w:kern w:val="2"/>
                <w:sz w:val="18"/>
                <w:szCs w:val="18"/>
                <w:lang w:val="en-US" w:eastAsia="zh-CN" w:bidi="ar-SA"/>
              </w:rPr>
              <m:t>C</m:t>
            </m:r>
            <m:ctrlPr>
              <w:rPr>
                <w:rFonts w:hint="eastAsia" w:ascii="Cambria Math" w:hAnsi="Cambria Math" w:eastAsia="宋体" w:cs="宋体"/>
                <w:i/>
                <w:kern w:val="2"/>
                <w:sz w:val="18"/>
                <w:szCs w:val="18"/>
                <w:lang w:val="en-US" w:eastAsia="zh-CN" w:bidi="ar-SA"/>
              </w:rPr>
            </m:ctrlPr>
          </m:e>
          <m:sub>
            <m:r>
              <m:rPr/>
              <w:rPr>
                <w:rFonts w:hint="eastAsia" w:ascii="Cambria Math" w:hAnsi="Cambria Math" w:eastAsia="宋体" w:cs="宋体"/>
                <w:kern w:val="2"/>
                <w:sz w:val="18"/>
                <w:szCs w:val="18"/>
                <w:lang w:val="en-US" w:eastAsia="zh-CN" w:bidi="ar-SA"/>
              </w:rPr>
              <m:t>tr</m:t>
            </m:r>
            <m:ctrlPr>
              <w:rPr>
                <w:rFonts w:hint="eastAsia" w:ascii="Cambria Math" w:hAnsi="Cambria Math" w:eastAsia="宋体" w:cs="宋体"/>
                <w:i/>
                <w:kern w:val="2"/>
                <w:sz w:val="18"/>
                <w:szCs w:val="18"/>
                <w:lang w:val="en-US" w:eastAsia="zh-CN" w:bidi="ar-SA"/>
              </w:rPr>
            </m:ctrlPr>
          </m:sub>
        </m:sSub>
      </m:oMath>
      <w:r>
        <w:rPr>
          <w:rFonts w:hint="eastAsia" w:hAnsi="宋体" w:cs="宋体"/>
          <w:szCs w:val="18"/>
          <w:lang w:val="en-US" w:eastAsia="zh-CN"/>
        </w:rPr>
        <w:t>）4</w:t>
      </w:r>
    </w:p>
    <w:p w14:paraId="24150EE6">
      <w:pPr>
        <w:pStyle w:val="105"/>
        <w:spacing w:before="240" w:after="240"/>
      </w:pPr>
      <w:bookmarkStart w:id="60" w:name="_Toc6493"/>
      <w:bookmarkStart w:id="61" w:name="_Toc14905"/>
      <w:r>
        <w:rPr>
          <w:rFonts w:hint="eastAsia"/>
        </w:rPr>
        <w:t>要求</w:t>
      </w:r>
      <w:bookmarkEnd w:id="60"/>
      <w:bookmarkEnd w:id="61"/>
    </w:p>
    <w:p w14:paraId="56E95C61">
      <w:pPr>
        <w:pStyle w:val="106"/>
        <w:spacing w:before="120" w:after="120"/>
      </w:pPr>
      <w:bookmarkStart w:id="62" w:name="_Toc14117"/>
      <w:r>
        <w:rPr>
          <w:rFonts w:hint="eastAsia"/>
        </w:rPr>
        <w:t>材料与附件</w:t>
      </w:r>
      <w:bookmarkEnd w:id="62"/>
    </w:p>
    <w:p w14:paraId="5189DDE0">
      <w:pPr>
        <w:pStyle w:val="66"/>
        <w:spacing w:before="120" w:after="120"/>
      </w:pPr>
      <w:bookmarkStart w:id="63" w:name="_Toc19081"/>
      <w:r>
        <w:rPr>
          <w:rFonts w:hint="eastAsia"/>
        </w:rPr>
        <w:t>一般要求</w:t>
      </w:r>
      <w:bookmarkEnd w:id="63"/>
    </w:p>
    <w:p w14:paraId="3111BA6F">
      <w:pPr>
        <w:pStyle w:val="95"/>
        <w:bidi w:val="0"/>
        <w:ind w:left="0" w:leftChars="0" w:firstLine="0" w:firstLineChars="0"/>
        <w:rPr>
          <w:rFonts w:hint="eastAsia" w:ascii="宋体" w:hAnsi="宋体" w:eastAsia="宋体" w:cs="宋体"/>
        </w:rPr>
      </w:pPr>
      <w:r>
        <w:rPr>
          <w:rFonts w:hint="eastAsia" w:ascii="宋体" w:hAnsi="宋体" w:eastAsia="宋体" w:cs="宋体"/>
        </w:rPr>
        <w:t>铝合金推拉密封窗所用的材料、附件与型材，应符合</w:t>
      </w:r>
      <w:r>
        <w:rPr>
          <w:rFonts w:hint="eastAsia" w:ascii="宋体" w:hAnsi="宋体" w:eastAsia="宋体" w:cs="宋体"/>
          <w:lang w:val="en-US" w:eastAsia="zh-CN"/>
        </w:rPr>
        <w:t xml:space="preserve"> </w:t>
      </w:r>
      <w:r>
        <w:rPr>
          <w:rFonts w:hint="eastAsia" w:ascii="宋体" w:hAnsi="宋体" w:eastAsia="宋体" w:cs="宋体"/>
        </w:rPr>
        <w:t>GB/T 8478</w:t>
      </w:r>
      <w:r>
        <w:rPr>
          <w:rFonts w:hint="eastAsia" w:ascii="宋体" w:hAnsi="宋体" w:eastAsia="宋体" w:cs="宋体"/>
          <w:lang w:val="en-US" w:eastAsia="zh-CN"/>
        </w:rPr>
        <w:t xml:space="preserve"> </w:t>
      </w:r>
      <w:r>
        <w:rPr>
          <w:rFonts w:hint="eastAsia" w:ascii="宋体" w:hAnsi="宋体" w:eastAsia="宋体" w:cs="宋体"/>
        </w:rPr>
        <w:t>中的规定。</w:t>
      </w:r>
    </w:p>
    <w:p w14:paraId="102A08EC">
      <w:pPr>
        <w:pStyle w:val="95"/>
        <w:bidi w:val="0"/>
        <w:ind w:left="0" w:leftChars="0" w:firstLine="0" w:firstLineChars="0"/>
        <w:rPr>
          <w:rFonts w:hint="eastAsia" w:ascii="宋体" w:hAnsi="宋体" w:eastAsia="宋体" w:cs="宋体"/>
        </w:rPr>
      </w:pPr>
      <w:r>
        <w:rPr>
          <w:rFonts w:hint="eastAsia" w:ascii="宋体" w:hAnsi="宋体" w:eastAsia="宋体" w:cs="宋体"/>
        </w:rPr>
        <w:t>塑钢推拉密封窗所用的材料、附件与型材，应符合</w:t>
      </w:r>
      <w:r>
        <w:rPr>
          <w:rFonts w:hint="eastAsia" w:ascii="宋体" w:hAnsi="宋体" w:eastAsia="宋体" w:cs="宋体"/>
          <w:lang w:val="en-US" w:eastAsia="zh-CN"/>
        </w:rPr>
        <w:t xml:space="preserve"> </w:t>
      </w:r>
      <w:r>
        <w:rPr>
          <w:rFonts w:hint="eastAsia" w:ascii="宋体" w:hAnsi="宋体" w:eastAsia="宋体" w:cs="宋体"/>
        </w:rPr>
        <w:t>GB/T 8814</w:t>
      </w:r>
      <w:r>
        <w:rPr>
          <w:rFonts w:hint="eastAsia" w:ascii="宋体" w:hAnsi="宋体" w:eastAsia="宋体" w:cs="宋体"/>
          <w:lang w:val="en-US" w:eastAsia="zh-CN"/>
        </w:rPr>
        <w:t xml:space="preserve"> </w:t>
      </w:r>
      <w:r>
        <w:rPr>
          <w:rFonts w:hint="eastAsia" w:ascii="宋体" w:hAnsi="宋体" w:eastAsia="宋体" w:cs="宋体"/>
        </w:rPr>
        <w:t>中的规定。</w:t>
      </w:r>
    </w:p>
    <w:p w14:paraId="37A4FBFC">
      <w:pPr>
        <w:pStyle w:val="95"/>
        <w:bidi w:val="0"/>
        <w:ind w:left="0" w:leftChars="0" w:firstLine="0" w:firstLineChars="0"/>
        <w:rPr>
          <w:rFonts w:hint="eastAsia" w:ascii="宋体" w:hAnsi="宋体" w:eastAsia="宋体" w:cs="宋体"/>
        </w:rPr>
      </w:pPr>
      <w:r>
        <w:rPr>
          <w:rFonts w:hint="eastAsia" w:ascii="宋体" w:hAnsi="宋体" w:eastAsia="宋体" w:cs="宋体"/>
        </w:rPr>
        <w:t>实木类、铝木复合类窗用水性涂料应符合</w:t>
      </w:r>
      <w:r>
        <w:rPr>
          <w:rFonts w:hint="eastAsia" w:ascii="宋体" w:hAnsi="宋体" w:eastAsia="宋体" w:cs="宋体"/>
          <w:lang w:val="en-US" w:eastAsia="zh-CN"/>
        </w:rPr>
        <w:t xml:space="preserve"> </w:t>
      </w:r>
      <w:r>
        <w:rPr>
          <w:rFonts w:hint="eastAsia" w:ascii="宋体" w:hAnsi="宋体" w:eastAsia="宋体" w:cs="宋体"/>
        </w:rPr>
        <w:t>GB/T 23999</w:t>
      </w:r>
      <w:r>
        <w:rPr>
          <w:rFonts w:hint="eastAsia" w:ascii="宋体" w:hAnsi="宋体" w:eastAsia="宋体" w:cs="宋体"/>
          <w:lang w:val="en-US" w:eastAsia="zh-CN"/>
        </w:rPr>
        <w:t xml:space="preserve"> </w:t>
      </w:r>
      <w:r>
        <w:rPr>
          <w:rFonts w:hint="eastAsia" w:ascii="宋体" w:hAnsi="宋体" w:eastAsia="宋体" w:cs="宋体"/>
        </w:rPr>
        <w:t>中的相关规定。</w:t>
      </w:r>
    </w:p>
    <w:p w14:paraId="4F63B981">
      <w:pPr>
        <w:pStyle w:val="95"/>
        <w:bidi w:val="0"/>
        <w:ind w:left="0" w:leftChars="0" w:firstLine="0" w:firstLineChars="0"/>
        <w:rPr>
          <w:rFonts w:hint="eastAsia" w:ascii="宋体" w:hAnsi="宋体" w:eastAsia="宋体" w:cs="宋体"/>
        </w:rPr>
      </w:pPr>
      <w:r>
        <w:rPr>
          <w:rFonts w:hint="eastAsia" w:ascii="宋体" w:hAnsi="宋体" w:eastAsia="宋体" w:cs="宋体"/>
        </w:rPr>
        <w:t>当采用其他型材时，应确保主要受力构件的安全性，符合相应的材料规定。</w:t>
      </w:r>
    </w:p>
    <w:p w14:paraId="3FD0643A">
      <w:pPr>
        <w:pStyle w:val="66"/>
        <w:spacing w:before="120" w:after="120"/>
      </w:pPr>
      <w:bookmarkStart w:id="64" w:name="_Toc18902"/>
      <w:r>
        <w:rPr>
          <w:rFonts w:hint="eastAsia"/>
        </w:rPr>
        <w:t>玻璃</w:t>
      </w:r>
      <w:bookmarkEnd w:id="64"/>
    </w:p>
    <w:p w14:paraId="38A1E128">
      <w:pPr>
        <w:pStyle w:val="95"/>
        <w:bidi w:val="0"/>
        <w:ind w:left="0" w:leftChars="0" w:firstLine="0" w:firstLineChars="0"/>
        <w:rPr>
          <w:rFonts w:hint="eastAsia" w:ascii="宋体" w:hAnsi="宋体" w:eastAsia="宋体" w:cs="宋体"/>
        </w:rPr>
      </w:pPr>
      <w:r>
        <w:rPr>
          <w:rFonts w:hint="eastAsia" w:ascii="宋体" w:hAnsi="宋体" w:eastAsia="宋体" w:cs="宋体"/>
        </w:rPr>
        <w:t>玻璃原片应符合</w:t>
      </w:r>
      <w:r>
        <w:rPr>
          <w:rFonts w:hint="eastAsia" w:ascii="宋体" w:hAnsi="宋体" w:eastAsia="宋体" w:cs="宋体"/>
          <w:lang w:val="en-US" w:eastAsia="zh-CN"/>
        </w:rPr>
        <w:t xml:space="preserve"> </w:t>
      </w:r>
      <w:r>
        <w:rPr>
          <w:rFonts w:hint="eastAsia" w:ascii="宋体" w:hAnsi="宋体" w:eastAsia="宋体" w:cs="宋体"/>
        </w:rPr>
        <w:t>GB 11614</w:t>
      </w:r>
      <w:r>
        <w:rPr>
          <w:rFonts w:hint="eastAsia" w:ascii="宋体" w:hAnsi="宋体" w:eastAsia="宋体" w:cs="宋体"/>
          <w:lang w:val="en-US" w:eastAsia="zh-CN"/>
        </w:rPr>
        <w:t xml:space="preserve"> </w:t>
      </w:r>
      <w:r>
        <w:rPr>
          <w:rFonts w:hint="eastAsia" w:ascii="宋体" w:hAnsi="宋体" w:eastAsia="宋体" w:cs="宋体"/>
        </w:rPr>
        <w:t>规定的普通级浮法玻璃的要求。</w:t>
      </w:r>
    </w:p>
    <w:p w14:paraId="35479E70">
      <w:pPr>
        <w:pStyle w:val="95"/>
        <w:bidi w:val="0"/>
        <w:ind w:left="0" w:leftChars="0" w:firstLine="0" w:firstLineChars="0"/>
        <w:rPr>
          <w:rFonts w:hint="eastAsia" w:ascii="宋体" w:hAnsi="宋体" w:eastAsia="宋体" w:cs="宋体"/>
        </w:rPr>
      </w:pPr>
      <w:r>
        <w:rPr>
          <w:rFonts w:hint="eastAsia" w:ascii="宋体" w:hAnsi="宋体" w:eastAsia="宋体" w:cs="宋体"/>
        </w:rPr>
        <w:t>钢化玻璃应符合</w:t>
      </w:r>
      <w:r>
        <w:rPr>
          <w:rFonts w:hint="eastAsia" w:ascii="宋体" w:hAnsi="宋体" w:eastAsia="宋体" w:cs="宋体"/>
          <w:lang w:val="en-US" w:eastAsia="zh-CN"/>
        </w:rPr>
        <w:t xml:space="preserve"> </w:t>
      </w:r>
      <w:r>
        <w:rPr>
          <w:rFonts w:hint="eastAsia" w:ascii="宋体" w:hAnsi="宋体" w:eastAsia="宋体" w:cs="宋体"/>
        </w:rPr>
        <w:t>JG/T 455</w:t>
      </w:r>
      <w:r>
        <w:rPr>
          <w:rFonts w:hint="eastAsia" w:ascii="宋体" w:hAnsi="宋体" w:eastAsia="宋体" w:cs="宋体"/>
          <w:lang w:val="en-US" w:eastAsia="zh-CN"/>
        </w:rPr>
        <w:t xml:space="preserve"> </w:t>
      </w:r>
      <w:r>
        <w:rPr>
          <w:rFonts w:hint="eastAsia" w:ascii="宋体" w:hAnsi="宋体" w:eastAsia="宋体" w:cs="宋体"/>
        </w:rPr>
        <w:t>的规定。</w:t>
      </w:r>
    </w:p>
    <w:p w14:paraId="1795FF8A">
      <w:pPr>
        <w:pStyle w:val="95"/>
        <w:bidi w:val="0"/>
        <w:ind w:left="0" w:leftChars="0" w:firstLine="0" w:firstLineChars="0"/>
        <w:rPr>
          <w:rFonts w:hint="eastAsia" w:ascii="宋体" w:hAnsi="宋体" w:eastAsia="宋体" w:cs="宋体"/>
        </w:rPr>
      </w:pPr>
      <w:r>
        <w:rPr>
          <w:rFonts w:hint="eastAsia" w:ascii="宋体" w:hAnsi="宋体" w:eastAsia="宋体" w:cs="宋体"/>
        </w:rPr>
        <w:t>中空玻璃应符合</w:t>
      </w:r>
      <w:r>
        <w:rPr>
          <w:rFonts w:hint="eastAsia" w:ascii="宋体" w:hAnsi="宋体" w:eastAsia="宋体" w:cs="宋体"/>
          <w:lang w:val="en-US" w:eastAsia="zh-CN"/>
        </w:rPr>
        <w:t xml:space="preserve"> </w:t>
      </w:r>
      <w:r>
        <w:rPr>
          <w:rFonts w:hint="eastAsia" w:ascii="宋体" w:hAnsi="宋体" w:eastAsia="宋体" w:cs="宋体"/>
        </w:rPr>
        <w:t>GB/T 11944</w:t>
      </w:r>
      <w:r>
        <w:rPr>
          <w:rFonts w:hint="eastAsia" w:ascii="宋体" w:hAnsi="宋体" w:eastAsia="宋体" w:cs="宋体"/>
          <w:lang w:val="en-US" w:eastAsia="zh-CN"/>
        </w:rPr>
        <w:t xml:space="preserve"> </w:t>
      </w:r>
      <w:r>
        <w:rPr>
          <w:rFonts w:hint="eastAsia" w:ascii="宋体" w:hAnsi="宋体" w:eastAsia="宋体" w:cs="宋体"/>
        </w:rPr>
        <w:t>的规定，且中空玻璃气体层厚度不应小于</w:t>
      </w:r>
      <w:r>
        <w:rPr>
          <w:rFonts w:hint="eastAsia" w:ascii="宋体" w:hAnsi="宋体" w:eastAsia="宋体" w:cs="宋体"/>
          <w:lang w:val="en-US" w:eastAsia="zh-CN"/>
        </w:rPr>
        <w:t xml:space="preserve"> </w:t>
      </w:r>
      <w:r>
        <w:rPr>
          <w:rFonts w:hint="eastAsia" w:ascii="宋体" w:hAnsi="宋体" w:eastAsia="宋体" w:cs="宋体"/>
        </w:rPr>
        <w:t>9.0 mm</w:t>
      </w:r>
      <w:r>
        <w:rPr>
          <w:rFonts w:hint="eastAsia" w:ascii="宋体" w:hAnsi="宋体" w:eastAsia="宋体" w:cs="宋体"/>
          <w:lang w:val="en-US" w:eastAsia="zh-CN"/>
        </w:rPr>
        <w:t xml:space="preserve"> </w:t>
      </w:r>
      <w:r>
        <w:rPr>
          <w:rFonts w:hint="eastAsia" w:ascii="宋体" w:hAnsi="宋体" w:eastAsia="宋体" w:cs="宋体"/>
        </w:rPr>
        <w:t>，其中单腔中空玻璃厚度允许偏差值宜采用</w:t>
      </w:r>
      <w:r>
        <w:rPr>
          <w:rFonts w:hint="eastAsia" w:ascii="宋体" w:hAnsi="宋体" w:eastAsia="宋体" w:cs="宋体"/>
          <w:lang w:val="en-US" w:eastAsia="zh-CN"/>
        </w:rPr>
        <w:t xml:space="preserve"> </w:t>
      </w:r>
      <w:r>
        <w:rPr>
          <w:rFonts w:hint="eastAsia" w:ascii="宋体" w:hAnsi="宋体" w:eastAsia="宋体" w:cs="宋体"/>
        </w:rPr>
        <w:t>±1.5 mm</w:t>
      </w:r>
      <w:r>
        <w:rPr>
          <w:rFonts w:hint="eastAsia" w:ascii="宋体" w:hAnsi="宋体" w:eastAsia="宋体" w:cs="宋体"/>
          <w:lang w:val="en-US" w:eastAsia="zh-CN"/>
        </w:rPr>
        <w:t xml:space="preserve"> </w:t>
      </w:r>
      <w:r>
        <w:rPr>
          <w:rFonts w:hint="eastAsia" w:ascii="宋体" w:hAnsi="宋体" w:eastAsia="宋体" w:cs="宋体"/>
        </w:rPr>
        <w:t>。</w:t>
      </w:r>
    </w:p>
    <w:p w14:paraId="7079043B">
      <w:pPr>
        <w:pStyle w:val="95"/>
        <w:bidi w:val="0"/>
        <w:ind w:left="0" w:leftChars="0" w:firstLine="0" w:firstLineChars="0"/>
        <w:rPr>
          <w:rFonts w:hint="eastAsia" w:ascii="宋体" w:hAnsi="宋体" w:eastAsia="宋体" w:cs="宋体"/>
        </w:rPr>
      </w:pPr>
      <w:r>
        <w:rPr>
          <w:rFonts w:hint="eastAsia" w:ascii="宋体" w:hAnsi="宋体" w:eastAsia="宋体" w:cs="宋体"/>
        </w:rPr>
        <w:t>单片玻璃厚度不应小于</w:t>
      </w:r>
      <w:r>
        <w:rPr>
          <w:rFonts w:hint="eastAsia" w:ascii="宋体" w:hAnsi="宋体" w:eastAsia="宋体" w:cs="宋体"/>
          <w:lang w:val="en-US" w:eastAsia="zh-CN"/>
        </w:rPr>
        <w:t xml:space="preserve"> </w:t>
      </w:r>
      <w:r>
        <w:rPr>
          <w:rFonts w:hint="eastAsia" w:ascii="宋体" w:hAnsi="宋体" w:eastAsia="宋体" w:cs="宋体"/>
        </w:rPr>
        <w:t>4mm</w:t>
      </w:r>
      <w:r>
        <w:rPr>
          <w:rFonts w:hint="eastAsia" w:ascii="宋体" w:hAnsi="宋体" w:eastAsia="宋体" w:cs="宋体"/>
          <w:lang w:val="en-US" w:eastAsia="zh-CN"/>
        </w:rPr>
        <w:t xml:space="preserve"> </w:t>
      </w:r>
      <w:r>
        <w:rPr>
          <w:rFonts w:hint="eastAsia" w:ascii="宋体" w:hAnsi="宋体" w:eastAsia="宋体" w:cs="宋体"/>
        </w:rPr>
        <w:t>。</w:t>
      </w:r>
    </w:p>
    <w:p w14:paraId="6DA446FD">
      <w:pPr>
        <w:pStyle w:val="95"/>
        <w:bidi w:val="0"/>
        <w:ind w:left="0" w:leftChars="0" w:firstLine="0" w:firstLineChars="0"/>
        <w:rPr>
          <w:rFonts w:hint="eastAsia" w:ascii="宋体" w:hAnsi="宋体" w:eastAsia="宋体" w:cs="宋体"/>
        </w:rPr>
      </w:pPr>
      <w:r>
        <w:rPr>
          <w:rFonts w:hint="eastAsia" w:ascii="宋体" w:hAnsi="宋体" w:eastAsia="宋体" w:cs="宋体"/>
        </w:rPr>
        <w:t>保温型、隔热型、保温隔热型玻璃应符合</w:t>
      </w:r>
      <w:r>
        <w:rPr>
          <w:rFonts w:hint="eastAsia" w:ascii="宋体" w:hAnsi="宋体" w:eastAsia="宋体" w:cs="宋体"/>
          <w:lang w:val="en-US" w:eastAsia="zh-CN"/>
        </w:rPr>
        <w:t xml:space="preserve"> </w:t>
      </w:r>
      <w:r>
        <w:rPr>
          <w:rFonts w:hint="eastAsia" w:ascii="宋体" w:hAnsi="宋体" w:eastAsia="宋体" w:cs="宋体"/>
        </w:rPr>
        <w:t>JC/T 2304</w:t>
      </w:r>
      <w:r>
        <w:rPr>
          <w:rFonts w:hint="eastAsia" w:ascii="宋体" w:hAnsi="宋体" w:eastAsia="宋体" w:cs="宋体"/>
          <w:lang w:val="en-US" w:eastAsia="zh-CN"/>
        </w:rPr>
        <w:t xml:space="preserve"> </w:t>
      </w:r>
      <w:r>
        <w:rPr>
          <w:rFonts w:hint="eastAsia" w:ascii="宋体" w:hAnsi="宋体" w:eastAsia="宋体" w:cs="宋体"/>
        </w:rPr>
        <w:t>的规定。</w:t>
      </w:r>
    </w:p>
    <w:p w14:paraId="524445FB">
      <w:pPr>
        <w:pStyle w:val="95"/>
        <w:bidi w:val="0"/>
        <w:ind w:left="0" w:leftChars="0" w:firstLine="0" w:firstLineChars="0"/>
        <w:rPr>
          <w:rFonts w:hint="eastAsia" w:ascii="宋体" w:hAnsi="宋体" w:eastAsia="宋体" w:cs="宋体"/>
        </w:rPr>
      </w:pPr>
      <w:r>
        <w:rPr>
          <w:rFonts w:hint="eastAsia" w:ascii="宋体" w:hAnsi="宋体" w:eastAsia="宋体" w:cs="宋体"/>
        </w:rPr>
        <w:t>耐火型窗用玻璃应符合</w:t>
      </w:r>
      <w:r>
        <w:rPr>
          <w:rFonts w:hint="eastAsia" w:ascii="宋体" w:hAnsi="宋体" w:eastAsia="宋体" w:cs="宋体"/>
          <w:lang w:val="en-US" w:eastAsia="zh-CN"/>
        </w:rPr>
        <w:t xml:space="preserve"> </w:t>
      </w:r>
      <w:r>
        <w:rPr>
          <w:rFonts w:hint="eastAsia" w:ascii="宋体" w:hAnsi="宋体" w:eastAsia="宋体" w:cs="宋体"/>
        </w:rPr>
        <w:t>GB 15763.</w:t>
      </w:r>
      <w:r>
        <w:rPr>
          <w:rFonts w:hint="eastAsia" w:ascii="宋体" w:hAnsi="宋体" w:eastAsia="宋体" w:cs="宋体"/>
          <w:lang w:val="en-US" w:eastAsia="zh-CN"/>
        </w:rPr>
        <w:t xml:space="preserve"> </w:t>
      </w:r>
      <w:r>
        <w:rPr>
          <w:rFonts w:hint="eastAsia" w:ascii="宋体" w:hAnsi="宋体" w:eastAsia="宋体" w:cs="宋体"/>
        </w:rPr>
        <w:t>1的规定，其耐火完整性不应</w:t>
      </w:r>
      <w:r>
        <w:rPr>
          <w:rFonts w:hint="eastAsia" w:ascii="宋体" w:hAnsi="宋体" w:eastAsia="宋体" w:cs="宋体"/>
          <w:lang w:val="en-US" w:eastAsia="zh-CN"/>
        </w:rPr>
        <w:t xml:space="preserve"> </w:t>
      </w:r>
      <w:r>
        <w:rPr>
          <w:rFonts w:hint="eastAsia" w:ascii="宋体" w:hAnsi="宋体" w:eastAsia="宋体" w:cs="宋体"/>
        </w:rPr>
        <w:t>＜60 min。</w:t>
      </w:r>
    </w:p>
    <w:p w14:paraId="203D8195">
      <w:pPr>
        <w:pStyle w:val="95"/>
        <w:bidi w:val="0"/>
        <w:ind w:left="0" w:leftChars="0" w:firstLine="0" w:firstLineChars="0"/>
        <w:rPr>
          <w:rFonts w:hint="eastAsia" w:ascii="宋体" w:hAnsi="宋体" w:eastAsia="宋体" w:cs="宋体"/>
        </w:rPr>
      </w:pPr>
      <w:r>
        <w:rPr>
          <w:rFonts w:hint="eastAsia" w:ascii="宋体" w:hAnsi="宋体" w:eastAsia="宋体" w:cs="宋体"/>
        </w:rPr>
        <w:t>在下列位置使用的推拉密封窗必须使用安全玻璃：</w:t>
      </w:r>
    </w:p>
    <w:p w14:paraId="72A0EAF9">
      <w:pPr>
        <w:pStyle w:val="175"/>
        <w:numPr>
          <w:ilvl w:val="0"/>
          <w:numId w:val="32"/>
        </w:numPr>
      </w:pPr>
      <w:r>
        <w:rPr>
          <w:rFonts w:hint="eastAsia"/>
        </w:rPr>
        <w:t>7</w:t>
      </w:r>
      <w:r>
        <w:rPr>
          <w:rFonts w:hint="eastAsia"/>
          <w:lang w:val="en-US" w:eastAsia="zh-CN"/>
        </w:rPr>
        <w:t xml:space="preserve"> </w:t>
      </w:r>
      <w:r>
        <w:rPr>
          <w:rFonts w:hint="eastAsia"/>
        </w:rPr>
        <w:t>层及</w:t>
      </w:r>
      <w:r>
        <w:rPr>
          <w:rFonts w:hint="eastAsia"/>
          <w:lang w:val="en-US" w:eastAsia="zh-CN"/>
        </w:rPr>
        <w:t xml:space="preserve"> </w:t>
      </w:r>
      <w:r>
        <w:rPr>
          <w:rFonts w:hint="eastAsia"/>
        </w:rPr>
        <w:t>7</w:t>
      </w:r>
      <w:r>
        <w:rPr>
          <w:rFonts w:hint="eastAsia"/>
          <w:lang w:val="en-US" w:eastAsia="zh-CN"/>
        </w:rPr>
        <w:t xml:space="preserve"> </w:t>
      </w:r>
      <w:r>
        <w:rPr>
          <w:rFonts w:hint="eastAsia"/>
        </w:rPr>
        <w:t>层以上的外窗；</w:t>
      </w:r>
    </w:p>
    <w:p w14:paraId="226334FD">
      <w:pPr>
        <w:pStyle w:val="175"/>
        <w:numPr>
          <w:ilvl w:val="0"/>
          <w:numId w:val="32"/>
        </w:numPr>
      </w:pPr>
      <w:r>
        <w:rPr>
          <w:rFonts w:hint="eastAsia"/>
        </w:rPr>
        <w:t>距离室内地面高度900mm以上的窗；</w:t>
      </w:r>
    </w:p>
    <w:p w14:paraId="52F4A25A">
      <w:pPr>
        <w:pStyle w:val="175"/>
        <w:numPr>
          <w:ilvl w:val="0"/>
          <w:numId w:val="32"/>
        </w:numPr>
      </w:pPr>
      <w:r>
        <w:rPr>
          <w:rFonts w:hint="eastAsia"/>
        </w:rPr>
        <w:t>单块面积大于</w:t>
      </w:r>
      <w:r>
        <w:rPr>
          <w:rFonts w:hint="eastAsia"/>
          <w:lang w:val="en-US" w:eastAsia="zh-CN"/>
        </w:rPr>
        <w:t xml:space="preserve"> </w:t>
      </w:r>
      <w:r>
        <w:rPr>
          <w:rFonts w:hint="eastAsia"/>
        </w:rPr>
        <w:t>1.5㎡</w:t>
      </w:r>
      <w:r>
        <w:rPr>
          <w:rFonts w:hint="eastAsia"/>
          <w:lang w:val="en-US" w:eastAsia="zh-CN"/>
        </w:rPr>
        <w:t xml:space="preserve"> </w:t>
      </w:r>
      <w:r>
        <w:rPr>
          <w:rFonts w:hint="eastAsia"/>
        </w:rPr>
        <w:t>的窗；</w:t>
      </w:r>
    </w:p>
    <w:p w14:paraId="0E054BBD">
      <w:pPr>
        <w:pStyle w:val="175"/>
        <w:numPr>
          <w:ilvl w:val="0"/>
          <w:numId w:val="32"/>
        </w:numPr>
      </w:pPr>
      <w:r>
        <w:rPr>
          <w:rFonts w:hint="eastAsia"/>
        </w:rPr>
        <w:t>易遭受撞击、冲击而造成人体伤害的其他位置。</w:t>
      </w:r>
    </w:p>
    <w:p w14:paraId="7C373A7E">
      <w:pPr>
        <w:pStyle w:val="66"/>
        <w:spacing w:before="120" w:after="120"/>
      </w:pPr>
      <w:bookmarkStart w:id="65" w:name="_Toc24685"/>
      <w:r>
        <w:rPr>
          <w:rFonts w:hint="eastAsia"/>
        </w:rPr>
        <w:t>钢材</w:t>
      </w:r>
      <w:bookmarkEnd w:id="65"/>
    </w:p>
    <w:p w14:paraId="6DCBF3C0">
      <w:pPr>
        <w:pStyle w:val="95"/>
        <w:bidi w:val="0"/>
        <w:ind w:left="0" w:leftChars="0" w:firstLine="0" w:firstLineChars="0"/>
        <w:rPr>
          <w:rFonts w:hint="eastAsia" w:ascii="宋体" w:hAnsi="宋体" w:eastAsia="宋体" w:cs="宋体"/>
        </w:rPr>
      </w:pPr>
      <w:r>
        <w:rPr>
          <w:rFonts w:hint="eastAsia" w:ascii="宋体" w:hAnsi="宋体" w:eastAsia="宋体" w:cs="宋体"/>
        </w:rPr>
        <w:t>塑料（PVC-U）门窗增强型钢应符合</w:t>
      </w:r>
      <w:r>
        <w:rPr>
          <w:rFonts w:hint="eastAsia" w:ascii="宋体" w:hAnsi="宋体" w:eastAsia="宋体" w:cs="宋体"/>
          <w:lang w:val="en-US" w:eastAsia="zh-CN"/>
        </w:rPr>
        <w:t xml:space="preserve"> </w:t>
      </w:r>
      <w:r>
        <w:rPr>
          <w:rFonts w:hint="eastAsia" w:ascii="宋体" w:hAnsi="宋体" w:eastAsia="宋体" w:cs="宋体"/>
        </w:rPr>
        <w:t>JG/T 131</w:t>
      </w:r>
      <w:r>
        <w:rPr>
          <w:rFonts w:hint="eastAsia" w:ascii="宋体" w:hAnsi="宋体" w:eastAsia="宋体" w:cs="宋体"/>
          <w:lang w:val="en-US" w:eastAsia="zh-CN"/>
        </w:rPr>
        <w:t xml:space="preserve"> </w:t>
      </w:r>
      <w:r>
        <w:rPr>
          <w:rFonts w:hint="eastAsia" w:ascii="宋体" w:hAnsi="宋体" w:eastAsia="宋体" w:cs="宋体"/>
        </w:rPr>
        <w:t>中的规定，最小实测壁厚不应小于</w:t>
      </w:r>
      <w:r>
        <w:rPr>
          <w:rFonts w:hint="eastAsia" w:ascii="宋体" w:hAnsi="宋体" w:eastAsia="宋体" w:cs="宋体"/>
          <w:lang w:val="en-US" w:eastAsia="zh-CN"/>
        </w:rPr>
        <w:t xml:space="preserve"> </w:t>
      </w:r>
      <w:r>
        <w:rPr>
          <w:rFonts w:hint="eastAsia" w:ascii="宋体" w:hAnsi="宋体" w:eastAsia="宋体" w:cs="宋体"/>
        </w:rPr>
        <w:t>1.5mm</w:t>
      </w:r>
      <w:r>
        <w:rPr>
          <w:rFonts w:hint="eastAsia" w:ascii="宋体" w:hAnsi="宋体" w:eastAsia="宋体" w:cs="宋体"/>
          <w:lang w:val="en-US" w:eastAsia="zh-CN"/>
        </w:rPr>
        <w:t xml:space="preserve"> </w:t>
      </w:r>
      <w:r>
        <w:rPr>
          <w:rFonts w:hint="eastAsia" w:ascii="宋体" w:hAnsi="宋体" w:eastAsia="宋体" w:cs="宋体"/>
        </w:rPr>
        <w:t>。</w:t>
      </w:r>
    </w:p>
    <w:p w14:paraId="4452EFE1">
      <w:pPr>
        <w:pStyle w:val="95"/>
        <w:bidi w:val="0"/>
        <w:ind w:left="0" w:leftChars="0" w:firstLine="0" w:firstLineChars="0"/>
        <w:rPr>
          <w:rFonts w:hint="eastAsia" w:ascii="宋体" w:hAnsi="宋体" w:eastAsia="宋体" w:cs="宋体"/>
        </w:rPr>
      </w:pPr>
      <w:r>
        <w:rPr>
          <w:rFonts w:hint="eastAsia" w:ascii="宋体" w:hAnsi="宋体" w:eastAsia="宋体" w:cs="宋体"/>
        </w:rPr>
        <w:t>用作附框时，钢材应符合</w:t>
      </w:r>
      <w:r>
        <w:rPr>
          <w:rFonts w:hint="eastAsia" w:ascii="宋体" w:hAnsi="宋体" w:eastAsia="宋体" w:cs="宋体"/>
          <w:lang w:val="en-US" w:eastAsia="zh-CN"/>
        </w:rPr>
        <w:t xml:space="preserve"> </w:t>
      </w:r>
      <w:r>
        <w:rPr>
          <w:rFonts w:hint="eastAsia" w:ascii="宋体" w:hAnsi="宋体" w:eastAsia="宋体" w:cs="宋体"/>
        </w:rPr>
        <w:t>GB/T 11253</w:t>
      </w:r>
      <w:r>
        <w:rPr>
          <w:rFonts w:hint="eastAsia" w:ascii="宋体" w:hAnsi="宋体" w:eastAsia="宋体" w:cs="宋体"/>
          <w:lang w:val="en-US" w:eastAsia="zh-CN"/>
        </w:rPr>
        <w:t xml:space="preserve"> </w:t>
      </w:r>
      <w:r>
        <w:rPr>
          <w:rFonts w:hint="eastAsia" w:ascii="宋体" w:hAnsi="宋体" w:eastAsia="宋体" w:cs="宋体"/>
        </w:rPr>
        <w:t>的规定，最小实测壁厚不应小于</w:t>
      </w:r>
      <w:r>
        <w:rPr>
          <w:rFonts w:hint="eastAsia" w:ascii="宋体" w:hAnsi="宋体" w:eastAsia="宋体" w:cs="宋体"/>
          <w:lang w:val="en-US" w:eastAsia="zh-CN"/>
        </w:rPr>
        <w:t xml:space="preserve"> </w:t>
      </w:r>
      <w:r>
        <w:rPr>
          <w:rFonts w:hint="eastAsia" w:ascii="宋体" w:hAnsi="宋体" w:eastAsia="宋体" w:cs="宋体"/>
        </w:rPr>
        <w:t>1.5mm</w:t>
      </w:r>
      <w:r>
        <w:rPr>
          <w:rFonts w:hint="eastAsia" w:ascii="宋体" w:hAnsi="宋体" w:eastAsia="宋体" w:cs="宋体"/>
          <w:lang w:val="en-US" w:eastAsia="zh-CN"/>
        </w:rPr>
        <w:t xml:space="preserve"> </w:t>
      </w:r>
      <w:r>
        <w:rPr>
          <w:rFonts w:hint="eastAsia" w:ascii="宋体" w:hAnsi="宋体" w:eastAsia="宋体" w:cs="宋体"/>
        </w:rPr>
        <w:t>。</w:t>
      </w:r>
    </w:p>
    <w:p w14:paraId="3CC97091">
      <w:pPr>
        <w:pStyle w:val="95"/>
        <w:bidi w:val="0"/>
        <w:ind w:left="0" w:leftChars="0" w:firstLine="0" w:firstLineChars="0"/>
        <w:rPr>
          <w:rFonts w:hint="eastAsia" w:ascii="宋体" w:hAnsi="宋体" w:eastAsia="宋体" w:cs="宋体"/>
        </w:rPr>
      </w:pPr>
      <w:r>
        <w:rPr>
          <w:rFonts w:hint="eastAsia" w:ascii="宋体" w:hAnsi="宋体" w:eastAsia="宋体" w:cs="宋体"/>
        </w:rPr>
        <w:t>根据使用需要，采取热浸镀锌、锌电镀、黑色氧化、防锈涂料等防腐处理。</w:t>
      </w:r>
    </w:p>
    <w:p w14:paraId="16F03EC0">
      <w:pPr>
        <w:pStyle w:val="66"/>
        <w:spacing w:before="120" w:after="120"/>
      </w:pPr>
      <w:bookmarkStart w:id="66" w:name="_Toc23649"/>
      <w:r>
        <w:rPr>
          <w:rFonts w:hint="eastAsia"/>
        </w:rPr>
        <w:t>密封</w:t>
      </w:r>
      <w:bookmarkEnd w:id="66"/>
    </w:p>
    <w:p w14:paraId="19A3F796">
      <w:pPr>
        <w:pStyle w:val="95"/>
        <w:spacing w:before="120" w:after="120"/>
      </w:pPr>
      <w:r>
        <w:rPr>
          <w:rFonts w:hint="eastAsia"/>
        </w:rPr>
        <w:t>密封胶条</w:t>
      </w:r>
    </w:p>
    <w:p w14:paraId="425DF2EF">
      <w:pPr>
        <w:pStyle w:val="57"/>
        <w:ind w:firstLine="420"/>
      </w:pPr>
      <w:r>
        <w:rPr>
          <w:rFonts w:hint="eastAsia"/>
        </w:rPr>
        <w:t>推拉密封窗密封胶条宜采用硫化橡胶类胶条，如三元乙丙（EPDM）、硅橡胶（MVQ）、氯丁胶（CR）胶条等；框扇间密封胶条宜采用三元乙丙（EPDM）胶条，并应符合GB/T 24498的规定。</w:t>
      </w:r>
    </w:p>
    <w:p w14:paraId="293D9291">
      <w:pPr>
        <w:pStyle w:val="95"/>
        <w:spacing w:before="120" w:after="120"/>
      </w:pPr>
      <w:r>
        <w:rPr>
          <w:rFonts w:hint="eastAsia"/>
        </w:rPr>
        <w:t>密封胶</w:t>
      </w:r>
    </w:p>
    <w:p w14:paraId="3A2C930D">
      <w:pPr>
        <w:pStyle w:val="57"/>
        <w:ind w:firstLine="420"/>
      </w:pPr>
      <w:r>
        <w:rPr>
          <w:rFonts w:hint="eastAsia"/>
        </w:rPr>
        <w:t>密封胶的选择与采用应符合GB/T 8478中的规定。</w:t>
      </w:r>
    </w:p>
    <w:p w14:paraId="5B123369">
      <w:pPr>
        <w:pStyle w:val="66"/>
        <w:spacing w:before="120" w:after="120"/>
      </w:pPr>
      <w:bookmarkStart w:id="67" w:name="_Toc29135"/>
      <w:r>
        <w:rPr>
          <w:rFonts w:hint="eastAsia"/>
        </w:rPr>
        <w:t>弹性材料</w:t>
      </w:r>
      <w:bookmarkEnd w:id="67"/>
    </w:p>
    <w:p w14:paraId="644B2D3E">
      <w:pPr>
        <w:pStyle w:val="95"/>
        <w:bidi w:val="0"/>
        <w:ind w:left="0" w:leftChars="0" w:firstLine="0" w:firstLineChars="0"/>
        <w:rPr>
          <w:rFonts w:hint="eastAsia" w:ascii="宋体" w:hAnsi="宋体" w:eastAsia="宋体" w:cs="宋体"/>
          <w:lang w:eastAsia="zh-CN"/>
        </w:rPr>
      </w:pPr>
      <w:r>
        <w:rPr>
          <w:rFonts w:hint="eastAsia" w:ascii="宋体" w:hAnsi="宋体" w:eastAsia="宋体" w:cs="宋体"/>
        </w:rPr>
        <w:t>玻璃垫块、定位块等弹性材料应符合</w:t>
      </w:r>
      <w:r>
        <w:rPr>
          <w:rFonts w:hint="eastAsia" w:ascii="宋体" w:hAnsi="宋体" w:eastAsia="宋体" w:cs="宋体"/>
          <w:lang w:val="en-US" w:eastAsia="zh-CN"/>
        </w:rPr>
        <w:t xml:space="preserve"> </w:t>
      </w:r>
      <w:r>
        <w:rPr>
          <w:rFonts w:hint="eastAsia" w:ascii="宋体" w:hAnsi="宋体" w:eastAsia="宋体" w:cs="宋体"/>
        </w:rPr>
        <w:t>JGJ 113</w:t>
      </w:r>
      <w:r>
        <w:rPr>
          <w:rFonts w:hint="eastAsia" w:ascii="宋体" w:hAnsi="宋体" w:eastAsia="宋体" w:cs="宋体"/>
          <w:lang w:val="en-US" w:eastAsia="zh-CN"/>
        </w:rPr>
        <w:t xml:space="preserve"> </w:t>
      </w:r>
      <w:r>
        <w:rPr>
          <w:rFonts w:hint="eastAsia" w:ascii="宋体" w:hAnsi="宋体" w:eastAsia="宋体" w:cs="宋体"/>
        </w:rPr>
        <w:t>的规定</w:t>
      </w:r>
      <w:r>
        <w:rPr>
          <w:rFonts w:hint="eastAsia" w:ascii="宋体" w:hAnsi="宋体" w:eastAsia="宋体" w:cs="宋体"/>
          <w:lang w:eastAsia="zh-CN"/>
        </w:rPr>
        <w:t>。</w:t>
      </w:r>
    </w:p>
    <w:p w14:paraId="33138528">
      <w:pPr>
        <w:pStyle w:val="95"/>
        <w:bidi w:val="0"/>
        <w:ind w:left="0" w:leftChars="0" w:firstLine="0" w:firstLineChars="0"/>
        <w:rPr>
          <w:rFonts w:hint="eastAsia" w:ascii="宋体" w:hAnsi="宋体" w:eastAsia="宋体" w:cs="宋体"/>
          <w:lang w:eastAsia="zh-CN"/>
        </w:rPr>
      </w:pPr>
      <w:r>
        <w:rPr>
          <w:rFonts w:hint="eastAsia" w:ascii="宋体" w:hAnsi="宋体" w:eastAsia="宋体" w:cs="宋体"/>
        </w:rPr>
        <w:t>玻璃垫块采用硬橡胶时，支承块邵氏硬度应为</w:t>
      </w:r>
      <w:r>
        <w:rPr>
          <w:rFonts w:hint="eastAsia" w:ascii="宋体" w:hAnsi="宋体" w:eastAsia="宋体" w:cs="宋体"/>
          <w:lang w:val="en-US" w:eastAsia="zh-CN"/>
        </w:rPr>
        <w:t xml:space="preserve"> </w:t>
      </w:r>
      <w:r>
        <w:rPr>
          <w:rFonts w:hint="eastAsia" w:ascii="宋体" w:hAnsi="宋体" w:eastAsia="宋体" w:cs="宋体"/>
        </w:rPr>
        <w:t>80～90（A）</w:t>
      </w:r>
      <w:r>
        <w:rPr>
          <w:rFonts w:hint="eastAsia" w:ascii="宋体" w:hAnsi="宋体" w:eastAsia="宋体" w:cs="宋体"/>
          <w:lang w:val="en-US" w:eastAsia="zh-CN"/>
        </w:rPr>
        <w:t xml:space="preserve"> </w:t>
      </w:r>
      <w:r>
        <w:rPr>
          <w:rFonts w:hint="eastAsia" w:ascii="宋体" w:hAnsi="宋体" w:eastAsia="宋体" w:cs="宋体"/>
        </w:rPr>
        <w:t>，定位块和填充块邵氏硬度应为</w:t>
      </w:r>
      <w:r>
        <w:rPr>
          <w:rFonts w:hint="eastAsia" w:ascii="宋体" w:hAnsi="宋体" w:eastAsia="宋体" w:cs="宋体"/>
          <w:lang w:val="en-US" w:eastAsia="zh-CN"/>
        </w:rPr>
        <w:t xml:space="preserve"> </w:t>
      </w:r>
      <w:r>
        <w:rPr>
          <w:rFonts w:hint="eastAsia" w:ascii="宋体" w:hAnsi="宋体" w:eastAsia="宋体" w:cs="宋体"/>
        </w:rPr>
        <w:t>40～50（A）</w:t>
      </w:r>
      <w:r>
        <w:rPr>
          <w:rFonts w:hint="eastAsia" w:ascii="宋体" w:hAnsi="宋体" w:eastAsia="宋体" w:cs="宋体"/>
          <w:lang w:val="en-US" w:eastAsia="zh-CN"/>
        </w:rPr>
        <w:t xml:space="preserve"> </w:t>
      </w:r>
      <w:r>
        <w:rPr>
          <w:rFonts w:hint="eastAsia" w:ascii="宋体" w:hAnsi="宋体" w:eastAsia="宋体" w:cs="宋体"/>
          <w:lang w:eastAsia="zh-CN"/>
        </w:rPr>
        <w:t>。</w:t>
      </w:r>
    </w:p>
    <w:p w14:paraId="0EE81D03">
      <w:pPr>
        <w:pStyle w:val="95"/>
        <w:bidi w:val="0"/>
        <w:ind w:left="0" w:leftChars="0" w:firstLine="0" w:firstLineChars="0"/>
        <w:rPr>
          <w:rFonts w:hint="eastAsia" w:ascii="宋体" w:hAnsi="宋体" w:eastAsia="宋体" w:cs="宋体"/>
          <w:lang w:eastAsia="zh-CN"/>
        </w:rPr>
      </w:pPr>
      <w:r>
        <w:rPr>
          <w:rFonts w:hint="eastAsia" w:ascii="宋体" w:hAnsi="宋体" w:eastAsia="宋体" w:cs="宋体"/>
        </w:rPr>
        <w:t>不得采用硫化再生橡胶或者其他吸水性的材料</w:t>
      </w:r>
      <w:r>
        <w:rPr>
          <w:rFonts w:hint="eastAsia" w:ascii="宋体" w:hAnsi="宋体" w:eastAsia="宋体" w:cs="宋体"/>
          <w:lang w:eastAsia="zh-CN"/>
        </w:rPr>
        <w:t>。</w:t>
      </w:r>
    </w:p>
    <w:p w14:paraId="79ADA885">
      <w:pPr>
        <w:pStyle w:val="95"/>
        <w:bidi w:val="0"/>
        <w:ind w:left="0" w:leftChars="0" w:firstLine="0" w:firstLineChars="0"/>
        <w:rPr>
          <w:rFonts w:hint="eastAsia" w:ascii="宋体" w:hAnsi="宋体" w:eastAsia="宋体" w:cs="宋体"/>
        </w:rPr>
      </w:pPr>
      <w:r>
        <w:rPr>
          <w:rFonts w:hint="eastAsia" w:ascii="宋体" w:hAnsi="宋体" w:eastAsia="宋体" w:cs="宋体"/>
        </w:rPr>
        <w:t>耐火型窗玻璃支承块、定位块等弹性材料应采用阻燃材料。</w:t>
      </w:r>
    </w:p>
    <w:p w14:paraId="1626EB82">
      <w:pPr>
        <w:pStyle w:val="66"/>
        <w:spacing w:before="120" w:after="120"/>
      </w:pPr>
      <w:bookmarkStart w:id="68" w:name="_Toc31832"/>
      <w:r>
        <w:rPr>
          <w:rFonts w:hint="eastAsia"/>
        </w:rPr>
        <w:t>紧固件</w:t>
      </w:r>
      <w:bookmarkEnd w:id="68"/>
    </w:p>
    <w:p w14:paraId="6E2590FF">
      <w:pPr>
        <w:pStyle w:val="57"/>
        <w:spacing w:before="120" w:after="120"/>
        <w:ind w:firstLine="420"/>
        <w:rPr>
          <w:color w:val="000000"/>
        </w:rPr>
      </w:pPr>
      <w:r>
        <w:rPr>
          <w:rFonts w:hint="eastAsia" w:hAnsi="宋体"/>
          <w:color w:val="000000"/>
        </w:rPr>
        <w:t>外窗组装机械联接应采用不锈钢紧固件。不应使用铝及铝合金抽芯铆钉做窗受力联接用紧固件。</w:t>
      </w:r>
    </w:p>
    <w:p w14:paraId="32387E60">
      <w:pPr>
        <w:pStyle w:val="106"/>
        <w:spacing w:before="120" w:after="120"/>
      </w:pPr>
      <w:bookmarkStart w:id="69" w:name="_Toc2102"/>
      <w:r>
        <w:rPr>
          <w:rFonts w:hint="eastAsia"/>
        </w:rPr>
        <w:t>外观质量</w:t>
      </w:r>
      <w:bookmarkEnd w:id="69"/>
    </w:p>
    <w:p w14:paraId="201D28C8">
      <w:pPr>
        <w:pStyle w:val="66"/>
        <w:bidi w:val="0"/>
        <w:ind w:left="0" w:leftChars="0" w:firstLine="0" w:firstLineChars="0"/>
        <w:rPr>
          <w:rFonts w:hint="eastAsia" w:ascii="宋体" w:hAnsi="宋体" w:eastAsia="宋体" w:cs="宋体"/>
        </w:rPr>
      </w:pPr>
      <w:r>
        <w:rPr>
          <w:rFonts w:hint="eastAsia" w:ascii="宋体" w:hAnsi="宋体" w:eastAsia="宋体" w:cs="宋体"/>
        </w:rPr>
        <w:t>产品表面应洁净、无污迹，窗框扇型材、玻璃表面应无明显的色差、凹凸不平、划伤、擦伤、碰伤等缺陷</w:t>
      </w:r>
      <w:r>
        <w:rPr>
          <w:rFonts w:hint="eastAsia" w:ascii="宋体" w:hAnsi="宋体" w:eastAsia="宋体" w:cs="宋体"/>
          <w:lang w:eastAsia="zh-CN"/>
        </w:rPr>
        <w:t>。</w:t>
      </w:r>
    </w:p>
    <w:p w14:paraId="7DE48C0B">
      <w:pPr>
        <w:pStyle w:val="66"/>
        <w:bidi w:val="0"/>
        <w:ind w:left="0" w:leftChars="0" w:firstLine="0" w:firstLineChars="0"/>
        <w:rPr>
          <w:rFonts w:hint="eastAsia" w:ascii="宋体" w:hAnsi="宋体" w:eastAsia="宋体" w:cs="宋体"/>
        </w:rPr>
      </w:pPr>
      <w:r>
        <w:rPr>
          <w:rFonts w:hint="eastAsia" w:ascii="宋体" w:hAnsi="宋体" w:eastAsia="宋体" w:cs="宋体"/>
        </w:rPr>
        <w:t>镶嵌密封胶缝应连续、平滑，不应有气泡等缺陷</w:t>
      </w:r>
      <w:r>
        <w:rPr>
          <w:rFonts w:hint="eastAsia" w:ascii="宋体" w:hAnsi="宋体" w:eastAsia="宋体" w:cs="宋体"/>
          <w:lang w:eastAsia="zh-CN"/>
        </w:rPr>
        <w:t>。</w:t>
      </w:r>
      <w:r>
        <w:rPr>
          <w:rFonts w:hint="eastAsia" w:ascii="宋体" w:hAnsi="宋体" w:eastAsia="宋体" w:cs="宋体"/>
        </w:rPr>
        <w:t>封堵密封胶缝应密实、平整，密封胶缝处的铝合金型材装饰面及玻璃表面不应有外溢胶粘剂</w:t>
      </w:r>
      <w:r>
        <w:rPr>
          <w:rFonts w:hint="eastAsia" w:ascii="宋体" w:hAnsi="宋体" w:eastAsia="宋体" w:cs="宋体"/>
          <w:lang w:eastAsia="zh-CN"/>
        </w:rPr>
        <w:t>。</w:t>
      </w:r>
    </w:p>
    <w:p w14:paraId="33F6D45C">
      <w:pPr>
        <w:pStyle w:val="66"/>
        <w:bidi w:val="0"/>
        <w:ind w:left="0" w:leftChars="0" w:firstLine="0" w:firstLineChars="0"/>
        <w:rPr>
          <w:rFonts w:hint="eastAsia" w:ascii="宋体" w:hAnsi="宋体" w:eastAsia="宋体" w:cs="宋体"/>
          <w:lang w:eastAsia="zh-CN"/>
        </w:rPr>
      </w:pPr>
      <w:r>
        <w:rPr>
          <w:rFonts w:hint="eastAsia" w:ascii="宋体" w:hAnsi="宋体" w:eastAsia="宋体" w:cs="宋体"/>
        </w:rPr>
        <w:t>密封胶条应平整连续，转角处应镶嵌紧密不应有松脱凸起，接头处不应有收缩缺口</w:t>
      </w:r>
      <w:r>
        <w:rPr>
          <w:rFonts w:hint="eastAsia" w:ascii="宋体" w:hAnsi="宋体" w:eastAsia="宋体" w:cs="宋体"/>
          <w:lang w:eastAsia="zh-CN"/>
        </w:rPr>
        <w:t>。</w:t>
      </w:r>
    </w:p>
    <w:p w14:paraId="1F3D979A">
      <w:pPr>
        <w:pStyle w:val="66"/>
        <w:bidi w:val="0"/>
        <w:ind w:left="0" w:leftChars="0" w:firstLine="0" w:firstLineChars="0"/>
        <w:rPr>
          <w:rFonts w:hint="eastAsia" w:ascii="宋体" w:hAnsi="宋体" w:eastAsia="宋体" w:cs="宋体"/>
        </w:rPr>
      </w:pPr>
      <w:r>
        <w:rPr>
          <w:rFonts w:hint="eastAsia" w:ascii="宋体" w:hAnsi="宋体" w:eastAsia="宋体" w:cs="宋体"/>
        </w:rPr>
        <w:t>窗框扇铝合金型材在一个玻璃分格内的允许轻微表面擦伤、划伤应符合表</w:t>
      </w:r>
      <w:r>
        <w:rPr>
          <w:rFonts w:hint="eastAsia" w:ascii="宋体" w:hAnsi="宋体" w:eastAsia="宋体" w:cs="宋体"/>
          <w:lang w:val="en-US" w:eastAsia="zh-CN"/>
        </w:rPr>
        <w:t xml:space="preserve"> 6 </w:t>
      </w:r>
      <w:r>
        <w:rPr>
          <w:rFonts w:hint="eastAsia" w:ascii="宋体" w:hAnsi="宋体" w:eastAsia="宋体" w:cs="宋体"/>
        </w:rPr>
        <w:t>的规定，在许可范围内的型材喷粉、喷漆表面擦伤和划伤，可采用相应的方法进行修饰，修饰后应与原涂层颜色基本一致。</w:t>
      </w:r>
    </w:p>
    <w:p w14:paraId="18EDC20B">
      <w:pPr>
        <w:pStyle w:val="113"/>
        <w:spacing w:before="120" w:after="120"/>
      </w:pPr>
      <w:r>
        <w:rPr>
          <w:rFonts w:hint="eastAsia"/>
        </w:rPr>
        <w:t>窗框扇铝合金型材允许轻微的表面擦伤、划伤要求</w:t>
      </w:r>
    </w:p>
    <w:tbl>
      <w:tblPr>
        <w:tblStyle w:val="28"/>
        <w:tblW w:w="5000" w:type="pct"/>
        <w:tblInd w:w="108"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132"/>
        <w:gridCol w:w="2703"/>
        <w:gridCol w:w="2703"/>
        <w:gridCol w:w="2836"/>
      </w:tblGrid>
      <w:tr w14:paraId="0CE6374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04" w:type="pct"/>
            <w:tcBorders>
              <w:top w:val="single" w:color="auto" w:sz="8" w:space="0"/>
              <w:left w:val="single" w:color="auto" w:sz="8" w:space="0"/>
              <w:bottom w:val="single" w:color="auto" w:sz="8" w:space="0"/>
              <w:right w:val="single" w:color="auto" w:sz="4" w:space="0"/>
            </w:tcBorders>
            <w:vAlign w:val="center"/>
          </w:tcPr>
          <w:p w14:paraId="7439E454">
            <w:pPr>
              <w:jc w:val="center"/>
              <w:rPr>
                <w:rFonts w:hint="eastAsia" w:ascii="宋体" w:hAnsi="宋体"/>
                <w:sz w:val="18"/>
                <w:szCs w:val="18"/>
              </w:rPr>
            </w:pPr>
            <w:r>
              <w:rPr>
                <w:rFonts w:hint="eastAsia" w:ascii="宋体" w:hAnsi="宋体"/>
                <w:sz w:val="18"/>
                <w:szCs w:val="18"/>
              </w:rPr>
              <w:t>序号</w:t>
            </w:r>
          </w:p>
        </w:tc>
        <w:tc>
          <w:tcPr>
            <w:tcW w:w="1442" w:type="pct"/>
            <w:tcBorders>
              <w:top w:val="single" w:color="auto" w:sz="8" w:space="0"/>
              <w:left w:val="single" w:color="auto" w:sz="4" w:space="0"/>
              <w:bottom w:val="single" w:color="auto" w:sz="8" w:space="0"/>
              <w:right w:val="single" w:color="auto" w:sz="4" w:space="0"/>
            </w:tcBorders>
            <w:vAlign w:val="center"/>
          </w:tcPr>
          <w:p w14:paraId="6BF95D87">
            <w:pPr>
              <w:jc w:val="center"/>
              <w:rPr>
                <w:rFonts w:hint="eastAsia" w:ascii="宋体" w:hAnsi="宋体"/>
                <w:sz w:val="18"/>
                <w:szCs w:val="18"/>
              </w:rPr>
            </w:pPr>
            <w:r>
              <w:rPr>
                <w:rFonts w:hint="eastAsia" w:ascii="宋体" w:hAnsi="宋体"/>
                <w:sz w:val="18"/>
                <w:szCs w:val="18"/>
              </w:rPr>
              <w:t>项目</w:t>
            </w:r>
          </w:p>
        </w:tc>
        <w:tc>
          <w:tcPr>
            <w:tcW w:w="1442" w:type="pct"/>
            <w:tcBorders>
              <w:top w:val="single" w:color="auto" w:sz="8" w:space="0"/>
              <w:left w:val="single" w:color="auto" w:sz="4" w:space="0"/>
              <w:bottom w:val="single" w:color="auto" w:sz="8" w:space="0"/>
              <w:right w:val="single" w:color="auto" w:sz="4" w:space="0"/>
            </w:tcBorders>
            <w:vAlign w:val="center"/>
          </w:tcPr>
          <w:p w14:paraId="5885FD5A">
            <w:pPr>
              <w:jc w:val="center"/>
              <w:rPr>
                <w:rFonts w:hint="eastAsia" w:ascii="宋体" w:hAnsi="宋体"/>
                <w:sz w:val="18"/>
                <w:szCs w:val="18"/>
              </w:rPr>
            </w:pPr>
            <w:r>
              <w:rPr>
                <w:rFonts w:hint="eastAsia" w:ascii="宋体" w:hAnsi="宋体"/>
                <w:sz w:val="18"/>
                <w:szCs w:val="18"/>
              </w:rPr>
              <w:t>室外侧</w:t>
            </w:r>
          </w:p>
        </w:tc>
        <w:tc>
          <w:tcPr>
            <w:tcW w:w="1513" w:type="pct"/>
            <w:tcBorders>
              <w:top w:val="single" w:color="auto" w:sz="8" w:space="0"/>
              <w:left w:val="single" w:color="auto" w:sz="4" w:space="0"/>
              <w:bottom w:val="single" w:color="auto" w:sz="8" w:space="0"/>
              <w:right w:val="single" w:color="auto" w:sz="8" w:space="0"/>
            </w:tcBorders>
            <w:vAlign w:val="center"/>
          </w:tcPr>
          <w:p w14:paraId="27554289">
            <w:pPr>
              <w:jc w:val="center"/>
              <w:rPr>
                <w:rFonts w:hint="eastAsia" w:ascii="宋体" w:hAnsi="宋体"/>
                <w:sz w:val="18"/>
                <w:szCs w:val="18"/>
              </w:rPr>
            </w:pPr>
            <w:r>
              <w:rPr>
                <w:rFonts w:hint="eastAsia" w:ascii="宋体" w:hAnsi="宋体"/>
                <w:sz w:val="18"/>
                <w:szCs w:val="18"/>
              </w:rPr>
              <w:t>室内侧</w:t>
            </w:r>
          </w:p>
        </w:tc>
      </w:tr>
      <w:tr w14:paraId="2A08D7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04" w:type="pct"/>
            <w:tcBorders>
              <w:top w:val="single" w:color="auto" w:sz="8" w:space="0"/>
              <w:left w:val="single" w:color="auto" w:sz="8" w:space="0"/>
              <w:bottom w:val="single" w:color="auto" w:sz="4" w:space="0"/>
              <w:right w:val="single" w:color="auto" w:sz="4" w:space="0"/>
            </w:tcBorders>
            <w:vAlign w:val="center"/>
          </w:tcPr>
          <w:p w14:paraId="76E32010">
            <w:pPr>
              <w:jc w:val="center"/>
              <w:rPr>
                <w:rFonts w:hint="eastAsia" w:ascii="宋体" w:hAnsi="宋体"/>
                <w:sz w:val="18"/>
                <w:szCs w:val="18"/>
              </w:rPr>
            </w:pPr>
            <w:r>
              <w:rPr>
                <w:rFonts w:hint="eastAsia" w:ascii="宋体" w:hAnsi="宋体"/>
                <w:sz w:val="18"/>
                <w:szCs w:val="18"/>
              </w:rPr>
              <w:t>1</w:t>
            </w:r>
          </w:p>
        </w:tc>
        <w:tc>
          <w:tcPr>
            <w:tcW w:w="1442" w:type="pct"/>
            <w:tcBorders>
              <w:top w:val="single" w:color="auto" w:sz="8" w:space="0"/>
              <w:left w:val="single" w:color="auto" w:sz="4" w:space="0"/>
              <w:bottom w:val="single" w:color="auto" w:sz="4" w:space="0"/>
              <w:right w:val="single" w:color="auto" w:sz="4" w:space="0"/>
            </w:tcBorders>
            <w:vAlign w:val="center"/>
          </w:tcPr>
          <w:p w14:paraId="02520964">
            <w:pPr>
              <w:jc w:val="center"/>
              <w:rPr>
                <w:rFonts w:hint="eastAsia" w:ascii="宋体" w:hAnsi="宋体"/>
                <w:sz w:val="18"/>
                <w:szCs w:val="18"/>
              </w:rPr>
            </w:pPr>
            <w:r>
              <w:rPr>
                <w:rFonts w:hint="eastAsia" w:ascii="宋体" w:hAnsi="宋体"/>
                <w:sz w:val="18"/>
                <w:szCs w:val="18"/>
              </w:rPr>
              <w:t>擦伤、划伤深度</w:t>
            </w:r>
          </w:p>
        </w:tc>
        <w:tc>
          <w:tcPr>
            <w:tcW w:w="2954" w:type="pct"/>
            <w:gridSpan w:val="2"/>
            <w:tcBorders>
              <w:top w:val="single" w:color="auto" w:sz="8" w:space="0"/>
              <w:left w:val="single" w:color="auto" w:sz="4" w:space="0"/>
              <w:bottom w:val="single" w:color="auto" w:sz="4" w:space="0"/>
              <w:right w:val="single" w:color="auto" w:sz="8" w:space="0"/>
            </w:tcBorders>
            <w:vAlign w:val="center"/>
          </w:tcPr>
          <w:p w14:paraId="203EF34F">
            <w:pPr>
              <w:jc w:val="center"/>
              <w:rPr>
                <w:rFonts w:hint="eastAsia" w:ascii="宋体" w:hAnsi="宋体"/>
                <w:sz w:val="18"/>
                <w:szCs w:val="18"/>
              </w:rPr>
            </w:pPr>
            <w:r>
              <w:rPr>
                <w:rFonts w:hint="eastAsia" w:ascii="宋体" w:hAnsi="宋体"/>
                <w:sz w:val="18"/>
                <w:szCs w:val="18"/>
              </w:rPr>
              <w:t>不大于表面处理层厚度</w:t>
            </w:r>
          </w:p>
        </w:tc>
      </w:tr>
      <w:tr w14:paraId="252993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04" w:type="pct"/>
            <w:tcBorders>
              <w:top w:val="single" w:color="auto" w:sz="4" w:space="0"/>
              <w:left w:val="single" w:color="auto" w:sz="8" w:space="0"/>
              <w:bottom w:val="single" w:color="auto" w:sz="4" w:space="0"/>
              <w:right w:val="single" w:color="auto" w:sz="4" w:space="0"/>
            </w:tcBorders>
            <w:vAlign w:val="center"/>
          </w:tcPr>
          <w:p w14:paraId="3030A9CF">
            <w:pPr>
              <w:jc w:val="center"/>
              <w:rPr>
                <w:rFonts w:hint="eastAsia" w:ascii="宋体" w:hAnsi="宋体"/>
                <w:sz w:val="18"/>
                <w:szCs w:val="18"/>
              </w:rPr>
            </w:pPr>
            <w:r>
              <w:rPr>
                <w:rFonts w:hint="eastAsia" w:ascii="宋体" w:hAnsi="宋体"/>
                <w:sz w:val="18"/>
                <w:szCs w:val="18"/>
              </w:rPr>
              <w:t>2</w:t>
            </w:r>
          </w:p>
        </w:tc>
        <w:tc>
          <w:tcPr>
            <w:tcW w:w="1442" w:type="pct"/>
            <w:tcBorders>
              <w:top w:val="single" w:color="auto" w:sz="4" w:space="0"/>
              <w:left w:val="single" w:color="auto" w:sz="4" w:space="0"/>
              <w:bottom w:val="single" w:color="auto" w:sz="4" w:space="0"/>
              <w:right w:val="single" w:color="auto" w:sz="4" w:space="0"/>
            </w:tcBorders>
            <w:vAlign w:val="center"/>
          </w:tcPr>
          <w:p w14:paraId="55EF27DD">
            <w:pPr>
              <w:jc w:val="center"/>
              <w:rPr>
                <w:rFonts w:hint="eastAsia" w:ascii="宋体" w:hAnsi="宋体" w:eastAsia="宋体"/>
                <w:sz w:val="18"/>
                <w:szCs w:val="18"/>
                <w:lang w:val="en-US" w:eastAsia="zh-CN"/>
              </w:rPr>
            </w:pPr>
            <w:r>
              <w:rPr>
                <w:rFonts w:hint="eastAsia" w:ascii="宋体" w:hAnsi="宋体"/>
                <w:sz w:val="18"/>
                <w:szCs w:val="18"/>
              </w:rPr>
              <w:t>擦伤总面积</w:t>
            </w:r>
            <w:r>
              <w:rPr>
                <w:rFonts w:hint="eastAsia" w:ascii="宋体" w:hAnsi="宋体"/>
                <w:sz w:val="18"/>
                <w:szCs w:val="18"/>
                <w:lang w:val="en-US" w:eastAsia="zh-CN"/>
              </w:rPr>
              <w:t>/</w:t>
            </w:r>
            <w:r>
              <w:rPr>
                <w:rFonts w:hint="eastAsia" w:ascii="MS Mincho" w:hAnsi="MS Mincho" w:eastAsia="MS Mincho" w:cs="MS Mincho"/>
                <w:sz w:val="18"/>
                <w:szCs w:val="18"/>
              </w:rPr>
              <w:t> </w:t>
            </w:r>
            <w:r>
              <w:rPr>
                <w:rFonts w:hint="eastAsia" w:ascii="宋体" w:hAnsi="宋体"/>
                <w:sz w:val="18"/>
                <w:szCs w:val="18"/>
              </w:rPr>
              <w:t>mm</w:t>
            </w:r>
            <w:r>
              <w:rPr>
                <w:rFonts w:hint="eastAsia" w:ascii="宋体" w:hAnsi="宋体"/>
                <w:sz w:val="18"/>
                <w:szCs w:val="18"/>
                <w:vertAlign w:val="superscript"/>
              </w:rPr>
              <w:t>2</w:t>
            </w:r>
          </w:p>
        </w:tc>
        <w:tc>
          <w:tcPr>
            <w:tcW w:w="1442" w:type="pct"/>
            <w:tcBorders>
              <w:top w:val="single" w:color="auto" w:sz="4" w:space="0"/>
              <w:left w:val="single" w:color="auto" w:sz="4" w:space="0"/>
              <w:bottom w:val="single" w:color="auto" w:sz="4" w:space="0"/>
              <w:right w:val="single" w:color="auto" w:sz="4" w:space="0"/>
            </w:tcBorders>
            <w:vAlign w:val="center"/>
          </w:tcPr>
          <w:p w14:paraId="52D935EE">
            <w:pPr>
              <w:jc w:val="center"/>
              <w:rPr>
                <w:rFonts w:hint="eastAsia" w:ascii="宋体" w:hAnsi="宋体"/>
                <w:sz w:val="18"/>
                <w:szCs w:val="18"/>
              </w:rPr>
            </w:pPr>
            <w:r>
              <w:rPr>
                <w:rFonts w:hint="eastAsia" w:ascii="宋体" w:hAnsi="宋体"/>
                <w:sz w:val="18"/>
                <w:szCs w:val="18"/>
              </w:rPr>
              <w:t>≤500</w:t>
            </w:r>
          </w:p>
        </w:tc>
        <w:tc>
          <w:tcPr>
            <w:tcW w:w="1513" w:type="pct"/>
            <w:tcBorders>
              <w:top w:val="single" w:color="auto" w:sz="4" w:space="0"/>
              <w:left w:val="single" w:color="auto" w:sz="4" w:space="0"/>
              <w:bottom w:val="single" w:color="auto" w:sz="4" w:space="0"/>
              <w:right w:val="single" w:color="auto" w:sz="8" w:space="0"/>
            </w:tcBorders>
            <w:vAlign w:val="center"/>
          </w:tcPr>
          <w:p w14:paraId="71F6D3D5">
            <w:pPr>
              <w:jc w:val="center"/>
              <w:rPr>
                <w:rFonts w:hint="eastAsia" w:ascii="宋体" w:hAnsi="宋体"/>
                <w:sz w:val="18"/>
                <w:szCs w:val="18"/>
              </w:rPr>
            </w:pPr>
            <w:r>
              <w:rPr>
                <w:rFonts w:hint="eastAsia" w:ascii="宋体" w:hAnsi="宋体"/>
                <w:sz w:val="18"/>
                <w:szCs w:val="18"/>
              </w:rPr>
              <w:t>≤300</w:t>
            </w:r>
          </w:p>
        </w:tc>
      </w:tr>
      <w:tr w14:paraId="6FF57AB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04" w:type="pct"/>
            <w:tcBorders>
              <w:top w:val="single" w:color="auto" w:sz="4" w:space="0"/>
              <w:left w:val="single" w:color="auto" w:sz="8" w:space="0"/>
              <w:bottom w:val="single" w:color="auto" w:sz="4" w:space="0"/>
              <w:right w:val="single" w:color="auto" w:sz="4" w:space="0"/>
            </w:tcBorders>
            <w:vAlign w:val="center"/>
          </w:tcPr>
          <w:p w14:paraId="470E8E1F">
            <w:pPr>
              <w:jc w:val="center"/>
              <w:rPr>
                <w:rFonts w:hint="eastAsia" w:ascii="宋体" w:hAnsi="宋体"/>
                <w:sz w:val="18"/>
                <w:szCs w:val="18"/>
              </w:rPr>
            </w:pPr>
            <w:r>
              <w:rPr>
                <w:rFonts w:hint="eastAsia" w:ascii="宋体" w:hAnsi="宋体"/>
                <w:sz w:val="18"/>
                <w:szCs w:val="18"/>
              </w:rPr>
              <w:t>3</w:t>
            </w:r>
          </w:p>
        </w:tc>
        <w:tc>
          <w:tcPr>
            <w:tcW w:w="1442" w:type="pct"/>
            <w:tcBorders>
              <w:top w:val="single" w:color="auto" w:sz="4" w:space="0"/>
              <w:left w:val="single" w:color="auto" w:sz="4" w:space="0"/>
              <w:bottom w:val="single" w:color="auto" w:sz="4" w:space="0"/>
              <w:right w:val="single" w:color="auto" w:sz="4" w:space="0"/>
            </w:tcBorders>
            <w:vAlign w:val="center"/>
          </w:tcPr>
          <w:p w14:paraId="146F0572">
            <w:pPr>
              <w:jc w:val="center"/>
              <w:rPr>
                <w:rFonts w:hint="eastAsia" w:ascii="宋体" w:hAnsi="宋体" w:eastAsia="宋体"/>
                <w:sz w:val="18"/>
                <w:szCs w:val="18"/>
                <w:lang w:val="en-US" w:eastAsia="zh-CN"/>
              </w:rPr>
            </w:pPr>
            <w:r>
              <w:rPr>
                <w:rFonts w:hint="eastAsia" w:ascii="宋体" w:hAnsi="宋体"/>
                <w:sz w:val="18"/>
                <w:szCs w:val="18"/>
              </w:rPr>
              <w:t>划伤总长度</w:t>
            </w:r>
            <w:r>
              <w:rPr>
                <w:rFonts w:hint="eastAsia" w:ascii="宋体" w:hAnsi="宋体"/>
                <w:sz w:val="18"/>
                <w:szCs w:val="18"/>
                <w:lang w:val="en-US" w:eastAsia="zh-CN"/>
              </w:rPr>
              <w:t>/</w:t>
            </w:r>
            <w:r>
              <w:rPr>
                <w:rFonts w:hint="eastAsia" w:ascii="MS Mincho" w:hAnsi="MS Mincho" w:eastAsia="MS Mincho" w:cs="MS Mincho"/>
                <w:sz w:val="18"/>
                <w:szCs w:val="18"/>
              </w:rPr>
              <w:t> </w:t>
            </w:r>
            <w:r>
              <w:rPr>
                <w:rFonts w:hint="eastAsia" w:ascii="宋体" w:hAnsi="宋体"/>
                <w:sz w:val="18"/>
                <w:szCs w:val="18"/>
              </w:rPr>
              <w:t>mm</w:t>
            </w:r>
          </w:p>
        </w:tc>
        <w:tc>
          <w:tcPr>
            <w:tcW w:w="1442" w:type="pct"/>
            <w:tcBorders>
              <w:top w:val="single" w:color="auto" w:sz="4" w:space="0"/>
              <w:left w:val="single" w:color="auto" w:sz="4" w:space="0"/>
              <w:bottom w:val="single" w:color="auto" w:sz="4" w:space="0"/>
              <w:right w:val="single" w:color="auto" w:sz="4" w:space="0"/>
            </w:tcBorders>
            <w:vAlign w:val="center"/>
          </w:tcPr>
          <w:p w14:paraId="02309326">
            <w:pPr>
              <w:jc w:val="center"/>
              <w:rPr>
                <w:rFonts w:hint="eastAsia" w:ascii="宋体" w:hAnsi="宋体"/>
                <w:sz w:val="18"/>
                <w:szCs w:val="18"/>
              </w:rPr>
            </w:pPr>
            <w:r>
              <w:rPr>
                <w:rFonts w:hint="eastAsia" w:ascii="宋体" w:hAnsi="宋体"/>
                <w:sz w:val="18"/>
                <w:szCs w:val="18"/>
              </w:rPr>
              <w:t>≤150</w:t>
            </w:r>
          </w:p>
        </w:tc>
        <w:tc>
          <w:tcPr>
            <w:tcW w:w="1513" w:type="pct"/>
            <w:tcBorders>
              <w:top w:val="single" w:color="auto" w:sz="4" w:space="0"/>
              <w:left w:val="single" w:color="auto" w:sz="4" w:space="0"/>
              <w:bottom w:val="single" w:color="auto" w:sz="4" w:space="0"/>
              <w:right w:val="single" w:color="auto" w:sz="8" w:space="0"/>
            </w:tcBorders>
            <w:vAlign w:val="center"/>
          </w:tcPr>
          <w:p w14:paraId="1C89DD24">
            <w:pPr>
              <w:jc w:val="center"/>
              <w:rPr>
                <w:rFonts w:hint="eastAsia" w:ascii="宋体" w:hAnsi="宋体"/>
                <w:sz w:val="18"/>
                <w:szCs w:val="18"/>
              </w:rPr>
            </w:pPr>
            <w:r>
              <w:rPr>
                <w:rFonts w:hint="eastAsia" w:ascii="宋体" w:hAnsi="宋体"/>
                <w:sz w:val="18"/>
                <w:szCs w:val="18"/>
              </w:rPr>
              <w:t>≤100</w:t>
            </w:r>
            <w:r>
              <w:rPr>
                <w:rFonts w:hint="eastAsia" w:ascii="MS Mincho" w:hAnsi="MS Mincho" w:eastAsia="MS Mincho" w:cs="MS Mincho"/>
                <w:sz w:val="18"/>
                <w:szCs w:val="18"/>
              </w:rPr>
              <w:t> </w:t>
            </w:r>
          </w:p>
        </w:tc>
      </w:tr>
      <w:tr w14:paraId="1015F48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40" w:hRule="atLeast"/>
        </w:trPr>
        <w:tc>
          <w:tcPr>
            <w:tcW w:w="604" w:type="pct"/>
            <w:tcBorders>
              <w:top w:val="single" w:color="auto" w:sz="4" w:space="0"/>
              <w:left w:val="single" w:color="auto" w:sz="8" w:space="0"/>
              <w:bottom w:val="single" w:color="auto" w:sz="8" w:space="0"/>
              <w:right w:val="single" w:color="auto" w:sz="4" w:space="0"/>
            </w:tcBorders>
            <w:vAlign w:val="center"/>
          </w:tcPr>
          <w:p w14:paraId="377241CF">
            <w:pPr>
              <w:jc w:val="center"/>
              <w:rPr>
                <w:rFonts w:hint="eastAsia" w:ascii="宋体" w:hAnsi="宋体"/>
                <w:sz w:val="18"/>
                <w:szCs w:val="18"/>
              </w:rPr>
            </w:pPr>
            <w:r>
              <w:rPr>
                <w:rFonts w:hint="eastAsia" w:ascii="宋体" w:hAnsi="宋体"/>
                <w:sz w:val="18"/>
                <w:szCs w:val="18"/>
              </w:rPr>
              <w:t>4</w:t>
            </w:r>
          </w:p>
        </w:tc>
        <w:tc>
          <w:tcPr>
            <w:tcW w:w="1442" w:type="pct"/>
            <w:tcBorders>
              <w:top w:val="single" w:color="auto" w:sz="4" w:space="0"/>
              <w:left w:val="single" w:color="auto" w:sz="4" w:space="0"/>
              <w:bottom w:val="single" w:color="auto" w:sz="8" w:space="0"/>
              <w:right w:val="single" w:color="auto" w:sz="4" w:space="0"/>
            </w:tcBorders>
            <w:vAlign w:val="center"/>
          </w:tcPr>
          <w:p w14:paraId="35536F00">
            <w:pPr>
              <w:jc w:val="center"/>
              <w:rPr>
                <w:rFonts w:hint="eastAsia" w:ascii="宋体" w:hAnsi="宋体"/>
                <w:sz w:val="18"/>
                <w:szCs w:val="18"/>
              </w:rPr>
            </w:pPr>
            <w:r>
              <w:rPr>
                <w:rFonts w:hint="eastAsia" w:ascii="宋体" w:hAnsi="宋体"/>
                <w:sz w:val="18"/>
                <w:szCs w:val="18"/>
              </w:rPr>
              <w:t>擦伤和划伤处数目</w:t>
            </w:r>
          </w:p>
        </w:tc>
        <w:tc>
          <w:tcPr>
            <w:tcW w:w="1442" w:type="pct"/>
            <w:tcBorders>
              <w:top w:val="single" w:color="auto" w:sz="4" w:space="0"/>
              <w:left w:val="single" w:color="auto" w:sz="4" w:space="0"/>
              <w:bottom w:val="single" w:color="auto" w:sz="8" w:space="0"/>
              <w:right w:val="single" w:color="auto" w:sz="4" w:space="0"/>
            </w:tcBorders>
            <w:vAlign w:val="center"/>
          </w:tcPr>
          <w:p w14:paraId="5CD633CE">
            <w:pPr>
              <w:jc w:val="center"/>
              <w:rPr>
                <w:rFonts w:hint="eastAsia" w:ascii="宋体" w:hAnsi="宋体"/>
                <w:sz w:val="18"/>
                <w:szCs w:val="18"/>
              </w:rPr>
            </w:pPr>
            <w:r>
              <w:rPr>
                <w:rFonts w:hint="eastAsia" w:ascii="宋体" w:hAnsi="宋体"/>
                <w:sz w:val="18"/>
                <w:szCs w:val="18"/>
              </w:rPr>
              <w:t>≤4</w:t>
            </w:r>
          </w:p>
        </w:tc>
        <w:tc>
          <w:tcPr>
            <w:tcW w:w="1513" w:type="pct"/>
            <w:tcBorders>
              <w:top w:val="single" w:color="auto" w:sz="4" w:space="0"/>
              <w:left w:val="single" w:color="auto" w:sz="4" w:space="0"/>
              <w:bottom w:val="single" w:color="auto" w:sz="8" w:space="0"/>
              <w:right w:val="single" w:color="auto" w:sz="8" w:space="0"/>
            </w:tcBorders>
            <w:vAlign w:val="center"/>
          </w:tcPr>
          <w:p w14:paraId="208E59C1">
            <w:pPr>
              <w:jc w:val="center"/>
              <w:rPr>
                <w:rFonts w:hint="eastAsia" w:ascii="宋体" w:hAnsi="宋体"/>
                <w:sz w:val="18"/>
                <w:szCs w:val="18"/>
              </w:rPr>
            </w:pPr>
            <w:r>
              <w:rPr>
                <w:rFonts w:hint="eastAsia" w:ascii="宋体" w:hAnsi="宋体"/>
                <w:sz w:val="18"/>
                <w:szCs w:val="18"/>
              </w:rPr>
              <w:t>≤3</w:t>
            </w:r>
          </w:p>
        </w:tc>
      </w:tr>
    </w:tbl>
    <w:p w14:paraId="355236A8">
      <w:pPr>
        <w:pStyle w:val="57"/>
        <w:ind w:firstLine="420"/>
        <w:rPr>
          <w:szCs w:val="21"/>
        </w:rPr>
      </w:pPr>
      <w:r>
        <w:rPr>
          <w:rFonts w:hint="eastAsia"/>
        </w:rPr>
        <w:t xml:space="preserve"> </w:t>
      </w:r>
    </w:p>
    <w:p w14:paraId="2E07A88B">
      <w:pPr>
        <w:pStyle w:val="106"/>
        <w:spacing w:before="120" w:after="120"/>
      </w:pPr>
      <w:bookmarkStart w:id="70" w:name="_Toc32352"/>
      <w:r>
        <w:rPr>
          <w:rFonts w:hint="eastAsia"/>
        </w:rPr>
        <w:t>尺寸</w:t>
      </w:r>
      <w:bookmarkEnd w:id="70"/>
    </w:p>
    <w:p w14:paraId="76D9AA58">
      <w:pPr>
        <w:pStyle w:val="66"/>
        <w:spacing w:before="120" w:after="120"/>
      </w:pPr>
      <w:bookmarkStart w:id="71" w:name="_Toc14853"/>
      <w:r>
        <w:rPr>
          <w:rFonts w:hint="eastAsia"/>
        </w:rPr>
        <w:t>规格尺寸</w:t>
      </w:r>
      <w:bookmarkEnd w:id="71"/>
    </w:p>
    <w:p w14:paraId="1768E79C">
      <w:pPr>
        <w:pStyle w:val="95"/>
        <w:bidi w:val="0"/>
        <w:ind w:left="0" w:leftChars="0" w:firstLine="0" w:firstLineChars="0"/>
        <w:rPr>
          <w:rFonts w:hint="eastAsia" w:ascii="宋体" w:hAnsi="宋体" w:eastAsia="宋体" w:cs="宋体"/>
        </w:rPr>
      </w:pPr>
      <w:r>
        <w:rPr>
          <w:rFonts w:hint="eastAsia" w:ascii="宋体" w:hAnsi="宋体" w:eastAsia="宋体" w:cs="宋体"/>
        </w:rPr>
        <w:t>窗洞口宽、高标志尺寸应符合GB/T 5824规定的建筑窗洞口尺寸系列的指定规格。</w:t>
      </w:r>
    </w:p>
    <w:p w14:paraId="2E8A060B">
      <w:pPr>
        <w:pStyle w:val="95"/>
        <w:bidi w:val="0"/>
        <w:ind w:left="0" w:leftChars="0" w:firstLine="0" w:firstLineChars="0"/>
        <w:rPr>
          <w:rFonts w:hint="eastAsia" w:ascii="宋体" w:hAnsi="宋体" w:eastAsia="宋体" w:cs="宋体"/>
        </w:rPr>
      </w:pPr>
      <w:r>
        <w:rPr>
          <w:rFonts w:hint="eastAsia" w:ascii="宋体" w:hAnsi="宋体" w:eastAsia="宋体" w:cs="宋体"/>
        </w:rPr>
        <w:t>窗宽、高构造尺寸应根据窗洞口宽、高标志尺寸（或构造尺寸），按照实际应用的窗洞口装饰面层厚度、附框和安装缝隙尺寸确定。</w:t>
      </w:r>
    </w:p>
    <w:p w14:paraId="00169A95">
      <w:pPr>
        <w:pStyle w:val="95"/>
        <w:bidi w:val="0"/>
        <w:ind w:left="0" w:leftChars="0" w:firstLine="0" w:firstLineChars="0"/>
        <w:rPr>
          <w:rFonts w:hint="eastAsia" w:ascii="宋体" w:hAnsi="宋体" w:eastAsia="宋体" w:cs="宋体"/>
        </w:rPr>
      </w:pPr>
      <w:r>
        <w:rPr>
          <w:rFonts w:hint="eastAsia" w:ascii="宋体" w:hAnsi="宋体" w:eastAsia="宋体" w:cs="宋体"/>
        </w:rPr>
        <w:t>设计规格尺寸时，应注意五金件许用的最大承载质量，及窗扇允许的极限宽、高尺寸。</w:t>
      </w:r>
    </w:p>
    <w:p w14:paraId="7E34FDA6">
      <w:pPr>
        <w:pStyle w:val="66"/>
        <w:spacing w:before="120" w:after="120"/>
      </w:pPr>
      <w:bookmarkStart w:id="72" w:name="_Toc10841"/>
      <w:r>
        <w:rPr>
          <w:rFonts w:hint="eastAsia"/>
        </w:rPr>
        <w:t>装配尺寸</w:t>
      </w:r>
      <w:bookmarkEnd w:id="72"/>
    </w:p>
    <w:p w14:paraId="51F3B9FF">
      <w:pPr>
        <w:pStyle w:val="95"/>
        <w:spacing w:before="120" w:after="120"/>
      </w:pPr>
      <w:r>
        <w:rPr>
          <w:rFonts w:hint="eastAsia"/>
        </w:rPr>
        <w:t>窗、框扇装配尺寸</w:t>
      </w:r>
    </w:p>
    <w:p w14:paraId="0E335A76">
      <w:pPr>
        <w:pStyle w:val="99"/>
        <w:bidi w:val="0"/>
        <w:ind w:left="0" w:leftChars="0" w:firstLine="0" w:firstLineChars="0"/>
        <w:rPr>
          <w:rFonts w:hint="eastAsia" w:ascii="宋体" w:hAnsi="宋体" w:eastAsia="宋体" w:cs="宋体"/>
        </w:rPr>
      </w:pPr>
      <w:r>
        <w:rPr>
          <w:rFonts w:hint="eastAsia" w:ascii="宋体" w:hAnsi="宋体" w:eastAsia="宋体" w:cs="宋体"/>
        </w:rPr>
        <w:t>铝合金窗、实木窗和铝木复合窗尺寸偏差及组装尺寸偏差应符合表</w:t>
      </w:r>
      <w:r>
        <w:rPr>
          <w:rFonts w:hint="eastAsia" w:ascii="宋体" w:hAnsi="宋体" w:eastAsia="宋体" w:cs="宋体"/>
          <w:lang w:val="en-US" w:eastAsia="zh-CN"/>
        </w:rPr>
        <w:t xml:space="preserve"> 7 </w:t>
      </w:r>
      <w:r>
        <w:rPr>
          <w:rFonts w:hint="eastAsia" w:ascii="宋体" w:hAnsi="宋体" w:eastAsia="宋体" w:cs="宋体"/>
        </w:rPr>
        <w:t>的规定。</w:t>
      </w:r>
    </w:p>
    <w:p w14:paraId="6DE153CC">
      <w:pPr>
        <w:pStyle w:val="113"/>
        <w:spacing w:before="120" w:after="120"/>
        <w:rPr>
          <w:rFonts w:hint="eastAsia"/>
        </w:rPr>
      </w:pPr>
      <w:r>
        <w:rPr>
          <w:rFonts w:hint="eastAsia"/>
        </w:rPr>
        <w:t>门窗及框扇装配尺寸偏差</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09"/>
        <w:gridCol w:w="2977"/>
        <w:gridCol w:w="1701"/>
        <w:gridCol w:w="1547"/>
      </w:tblGrid>
      <w:tr w14:paraId="00FDE1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tblHeader/>
          <w:jc w:val="center"/>
        </w:trPr>
        <w:tc>
          <w:tcPr>
            <w:tcW w:w="3109" w:type="dxa"/>
            <w:vMerge w:val="restart"/>
            <w:tcBorders>
              <w:top w:val="single" w:color="auto" w:sz="8" w:space="0"/>
            </w:tcBorders>
            <w:vAlign w:val="center"/>
          </w:tcPr>
          <w:p w14:paraId="4E9AFA66">
            <w:pPr>
              <w:jc w:val="center"/>
              <w:rPr>
                <w:rFonts w:hint="eastAsia" w:ascii="宋体" w:hAnsi="宋体" w:cs="宋体"/>
                <w:sz w:val="18"/>
                <w:szCs w:val="18"/>
              </w:rPr>
            </w:pPr>
            <w:r>
              <w:rPr>
                <w:rFonts w:hint="eastAsia" w:ascii="宋体" w:hAnsi="宋体" w:cs="宋体"/>
                <w:sz w:val="18"/>
                <w:szCs w:val="18"/>
              </w:rPr>
              <w:t>项目</w:t>
            </w:r>
          </w:p>
        </w:tc>
        <w:tc>
          <w:tcPr>
            <w:tcW w:w="2977" w:type="dxa"/>
            <w:vMerge w:val="restart"/>
            <w:tcBorders>
              <w:top w:val="single" w:color="auto" w:sz="8" w:space="0"/>
            </w:tcBorders>
            <w:vAlign w:val="center"/>
          </w:tcPr>
          <w:p w14:paraId="2A8502C2">
            <w:pPr>
              <w:jc w:val="center"/>
              <w:rPr>
                <w:rFonts w:hint="eastAsia" w:ascii="宋体" w:hAnsi="宋体" w:cs="宋体"/>
                <w:sz w:val="18"/>
                <w:szCs w:val="18"/>
              </w:rPr>
            </w:pPr>
            <w:r>
              <w:rPr>
                <w:rFonts w:hint="eastAsia" w:ascii="宋体" w:hAnsi="宋体" w:cs="宋体"/>
                <w:sz w:val="18"/>
                <w:szCs w:val="18"/>
              </w:rPr>
              <w:t>尺寸范围</w:t>
            </w:r>
          </w:p>
        </w:tc>
        <w:tc>
          <w:tcPr>
            <w:tcW w:w="3248" w:type="dxa"/>
            <w:gridSpan w:val="2"/>
            <w:tcBorders>
              <w:top w:val="single" w:color="auto" w:sz="8" w:space="0"/>
              <w:bottom w:val="single" w:color="auto" w:sz="8" w:space="0"/>
            </w:tcBorders>
            <w:vAlign w:val="center"/>
          </w:tcPr>
          <w:p w14:paraId="41C36B73">
            <w:pPr>
              <w:jc w:val="center"/>
              <w:rPr>
                <w:rFonts w:hint="eastAsia" w:ascii="宋体" w:hAnsi="宋体" w:cs="宋体"/>
                <w:sz w:val="18"/>
                <w:szCs w:val="18"/>
              </w:rPr>
            </w:pPr>
            <w:r>
              <w:rPr>
                <w:rFonts w:hint="eastAsia" w:ascii="宋体" w:hAnsi="宋体" w:cs="宋体"/>
                <w:sz w:val="18"/>
                <w:szCs w:val="18"/>
              </w:rPr>
              <w:t>允许偏差</w:t>
            </w:r>
          </w:p>
        </w:tc>
      </w:tr>
      <w:tr w14:paraId="73401F5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26C403EC">
            <w:pPr>
              <w:jc w:val="center"/>
              <w:rPr>
                <w:rFonts w:hint="eastAsia" w:ascii="宋体" w:hAnsi="宋体" w:cs="宋体"/>
                <w:sz w:val="18"/>
                <w:szCs w:val="18"/>
              </w:rPr>
            </w:pPr>
          </w:p>
        </w:tc>
        <w:tc>
          <w:tcPr>
            <w:tcW w:w="2977" w:type="dxa"/>
            <w:vMerge w:val="continue"/>
            <w:vAlign w:val="center"/>
          </w:tcPr>
          <w:p w14:paraId="48D732B3">
            <w:pPr>
              <w:jc w:val="center"/>
              <w:rPr>
                <w:rFonts w:hint="eastAsia" w:ascii="宋体" w:hAnsi="宋体" w:cs="宋体"/>
                <w:sz w:val="18"/>
                <w:szCs w:val="18"/>
              </w:rPr>
            </w:pPr>
          </w:p>
        </w:tc>
        <w:tc>
          <w:tcPr>
            <w:tcW w:w="1701" w:type="dxa"/>
            <w:tcBorders>
              <w:top w:val="single" w:color="auto" w:sz="8" w:space="0"/>
            </w:tcBorders>
            <w:vAlign w:val="center"/>
          </w:tcPr>
          <w:p w14:paraId="02C0EAB0">
            <w:pPr>
              <w:jc w:val="center"/>
              <w:rPr>
                <w:rFonts w:hint="eastAsia" w:ascii="宋体" w:hAnsi="宋体" w:cs="宋体"/>
                <w:sz w:val="18"/>
                <w:szCs w:val="18"/>
              </w:rPr>
            </w:pPr>
            <w:r>
              <w:rPr>
                <w:rFonts w:hint="eastAsia" w:ascii="宋体" w:hAnsi="宋体" w:cs="宋体"/>
                <w:sz w:val="18"/>
                <w:szCs w:val="18"/>
              </w:rPr>
              <w:t>门</w:t>
            </w:r>
          </w:p>
        </w:tc>
        <w:tc>
          <w:tcPr>
            <w:tcW w:w="1547" w:type="dxa"/>
            <w:tcBorders>
              <w:top w:val="single" w:color="auto" w:sz="8" w:space="0"/>
            </w:tcBorders>
            <w:vAlign w:val="center"/>
          </w:tcPr>
          <w:p w14:paraId="3DF82214">
            <w:pPr>
              <w:jc w:val="center"/>
              <w:rPr>
                <w:rFonts w:hint="eastAsia" w:ascii="宋体" w:hAnsi="宋体" w:cs="宋体"/>
                <w:sz w:val="18"/>
                <w:szCs w:val="18"/>
              </w:rPr>
            </w:pPr>
            <w:r>
              <w:rPr>
                <w:rFonts w:hint="eastAsia" w:ascii="宋体" w:hAnsi="宋体" w:cs="宋体"/>
                <w:sz w:val="18"/>
                <w:szCs w:val="18"/>
              </w:rPr>
              <w:t>窗</w:t>
            </w:r>
          </w:p>
        </w:tc>
      </w:tr>
      <w:tr w14:paraId="07AD1A1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restart"/>
            <w:vAlign w:val="center"/>
          </w:tcPr>
          <w:p w14:paraId="7DFE9D9F">
            <w:pPr>
              <w:jc w:val="center"/>
              <w:rPr>
                <w:rFonts w:hint="eastAsia" w:ascii="宋体" w:hAnsi="宋体" w:cs="宋体"/>
                <w:sz w:val="18"/>
                <w:szCs w:val="18"/>
              </w:rPr>
            </w:pPr>
            <w:r>
              <w:rPr>
                <w:rFonts w:hint="eastAsia" w:ascii="宋体" w:hAnsi="宋体" w:cs="宋体"/>
                <w:sz w:val="18"/>
                <w:szCs w:val="18"/>
              </w:rPr>
              <w:t>门窗宽度、高度构造尺寸</w:t>
            </w:r>
          </w:p>
        </w:tc>
        <w:tc>
          <w:tcPr>
            <w:tcW w:w="2977" w:type="dxa"/>
            <w:vAlign w:val="center"/>
          </w:tcPr>
          <w:p w14:paraId="2BF1E150">
            <w:pPr>
              <w:jc w:val="center"/>
              <w:rPr>
                <w:rFonts w:hint="eastAsia" w:ascii="宋体" w:hAnsi="宋体" w:cs="宋体"/>
                <w:sz w:val="18"/>
                <w:szCs w:val="18"/>
              </w:rPr>
            </w:pPr>
            <w:r>
              <w:rPr>
                <w:rFonts w:hint="eastAsia" w:ascii="宋体" w:hAnsi="宋体" w:cs="宋体"/>
                <w:sz w:val="18"/>
                <w:szCs w:val="18"/>
              </w:rPr>
              <w:t>≤2000</w:t>
            </w:r>
          </w:p>
        </w:tc>
        <w:tc>
          <w:tcPr>
            <w:tcW w:w="3248" w:type="dxa"/>
            <w:gridSpan w:val="2"/>
            <w:vAlign w:val="center"/>
          </w:tcPr>
          <w:p w14:paraId="121D4357">
            <w:pPr>
              <w:jc w:val="center"/>
              <w:rPr>
                <w:rFonts w:hint="eastAsia" w:ascii="宋体" w:hAnsi="宋体" w:cs="宋体"/>
                <w:sz w:val="18"/>
                <w:szCs w:val="18"/>
              </w:rPr>
            </w:pPr>
            <w:r>
              <w:rPr>
                <w:rFonts w:hint="eastAsia" w:ascii="宋体" w:hAnsi="宋体" w:cs="宋体"/>
                <w:sz w:val="18"/>
                <w:szCs w:val="18"/>
              </w:rPr>
              <w:t>±1.5</w:t>
            </w:r>
          </w:p>
        </w:tc>
      </w:tr>
      <w:tr w14:paraId="2E91E0F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16CE30F5">
            <w:pPr>
              <w:jc w:val="center"/>
              <w:rPr>
                <w:rFonts w:hint="eastAsia" w:ascii="宋体" w:hAnsi="宋体" w:cs="宋体"/>
                <w:sz w:val="18"/>
                <w:szCs w:val="18"/>
              </w:rPr>
            </w:pPr>
          </w:p>
        </w:tc>
        <w:tc>
          <w:tcPr>
            <w:tcW w:w="2977" w:type="dxa"/>
            <w:vAlign w:val="center"/>
          </w:tcPr>
          <w:p w14:paraId="7F38E99D">
            <w:pPr>
              <w:jc w:val="center"/>
              <w:rPr>
                <w:rFonts w:hint="eastAsia" w:ascii="宋体" w:hAnsi="宋体" w:cs="宋体"/>
                <w:sz w:val="18"/>
                <w:szCs w:val="18"/>
              </w:rPr>
            </w:pPr>
            <w:r>
              <w:rPr>
                <w:rFonts w:hint="eastAsia" w:ascii="宋体" w:hAnsi="宋体" w:cs="宋体"/>
                <w:sz w:val="18"/>
                <w:szCs w:val="18"/>
              </w:rPr>
              <w:t>＞2000～3500</w:t>
            </w:r>
          </w:p>
        </w:tc>
        <w:tc>
          <w:tcPr>
            <w:tcW w:w="3248" w:type="dxa"/>
            <w:gridSpan w:val="2"/>
            <w:vAlign w:val="center"/>
          </w:tcPr>
          <w:p w14:paraId="1F19745D">
            <w:pPr>
              <w:jc w:val="center"/>
              <w:rPr>
                <w:rFonts w:hint="eastAsia" w:ascii="宋体" w:hAnsi="宋体" w:cs="宋体"/>
                <w:sz w:val="18"/>
                <w:szCs w:val="18"/>
              </w:rPr>
            </w:pPr>
            <w:r>
              <w:rPr>
                <w:rFonts w:hint="eastAsia" w:ascii="宋体" w:hAnsi="宋体" w:cs="宋体"/>
                <w:sz w:val="18"/>
                <w:szCs w:val="18"/>
              </w:rPr>
              <w:t>±2.0</w:t>
            </w:r>
          </w:p>
        </w:tc>
      </w:tr>
      <w:tr w14:paraId="7C34471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2D701AA8">
            <w:pPr>
              <w:jc w:val="center"/>
              <w:rPr>
                <w:rFonts w:hint="eastAsia" w:ascii="宋体" w:hAnsi="宋体" w:cs="宋体"/>
                <w:sz w:val="18"/>
                <w:szCs w:val="18"/>
              </w:rPr>
            </w:pPr>
          </w:p>
        </w:tc>
        <w:tc>
          <w:tcPr>
            <w:tcW w:w="2977" w:type="dxa"/>
            <w:vAlign w:val="center"/>
          </w:tcPr>
          <w:p w14:paraId="40BB57FA">
            <w:pPr>
              <w:jc w:val="center"/>
              <w:rPr>
                <w:rFonts w:hint="eastAsia" w:ascii="宋体" w:hAnsi="宋体" w:cs="宋体"/>
                <w:sz w:val="18"/>
                <w:szCs w:val="18"/>
              </w:rPr>
            </w:pPr>
            <w:r>
              <w:rPr>
                <w:rFonts w:hint="eastAsia" w:ascii="宋体" w:hAnsi="宋体" w:cs="宋体"/>
                <w:sz w:val="18"/>
                <w:szCs w:val="18"/>
              </w:rPr>
              <w:t>＞3500</w:t>
            </w:r>
          </w:p>
        </w:tc>
        <w:tc>
          <w:tcPr>
            <w:tcW w:w="3248" w:type="dxa"/>
            <w:gridSpan w:val="2"/>
            <w:vAlign w:val="center"/>
          </w:tcPr>
          <w:p w14:paraId="7FE480F6">
            <w:pPr>
              <w:jc w:val="center"/>
              <w:rPr>
                <w:rFonts w:hint="eastAsia" w:ascii="宋体" w:hAnsi="宋体" w:cs="宋体"/>
                <w:sz w:val="18"/>
                <w:szCs w:val="18"/>
              </w:rPr>
            </w:pPr>
            <w:r>
              <w:rPr>
                <w:rFonts w:hint="eastAsia" w:ascii="宋体" w:hAnsi="宋体" w:cs="宋体"/>
                <w:sz w:val="18"/>
                <w:szCs w:val="18"/>
              </w:rPr>
              <w:t>±2.5</w:t>
            </w:r>
          </w:p>
        </w:tc>
      </w:tr>
      <w:tr w14:paraId="1A29D69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restart"/>
            <w:vAlign w:val="center"/>
          </w:tcPr>
          <w:p w14:paraId="0835109B">
            <w:pPr>
              <w:jc w:val="center"/>
              <w:rPr>
                <w:rFonts w:hint="eastAsia" w:ascii="宋体" w:hAnsi="宋体" w:cs="宋体"/>
                <w:sz w:val="18"/>
                <w:szCs w:val="18"/>
              </w:rPr>
            </w:pPr>
            <w:r>
              <w:rPr>
                <w:rFonts w:hint="eastAsia" w:ascii="宋体" w:hAnsi="宋体" w:cs="宋体"/>
                <w:sz w:val="18"/>
                <w:szCs w:val="18"/>
              </w:rPr>
              <w:t>门窗宽度、高度构造尺寸</w:t>
            </w:r>
          </w:p>
          <w:p w14:paraId="7C982295">
            <w:pPr>
              <w:jc w:val="center"/>
              <w:rPr>
                <w:rFonts w:hint="eastAsia" w:ascii="宋体" w:hAnsi="宋体" w:cs="宋体"/>
                <w:sz w:val="18"/>
                <w:szCs w:val="18"/>
              </w:rPr>
            </w:pPr>
            <w:r>
              <w:rPr>
                <w:rFonts w:hint="eastAsia" w:ascii="宋体" w:hAnsi="宋体" w:cs="宋体"/>
                <w:sz w:val="18"/>
                <w:szCs w:val="18"/>
              </w:rPr>
              <w:t>对边尺寸差</w:t>
            </w:r>
          </w:p>
        </w:tc>
        <w:tc>
          <w:tcPr>
            <w:tcW w:w="2977" w:type="dxa"/>
            <w:vAlign w:val="center"/>
          </w:tcPr>
          <w:p w14:paraId="73739740">
            <w:pPr>
              <w:jc w:val="center"/>
              <w:rPr>
                <w:rFonts w:hint="eastAsia" w:ascii="宋体" w:hAnsi="宋体" w:cs="宋体"/>
                <w:sz w:val="18"/>
                <w:szCs w:val="18"/>
              </w:rPr>
            </w:pPr>
            <w:r>
              <w:rPr>
                <w:rFonts w:hint="eastAsia" w:ascii="宋体" w:hAnsi="宋体" w:cs="宋体"/>
                <w:sz w:val="18"/>
                <w:szCs w:val="18"/>
              </w:rPr>
              <w:t>≤2000</w:t>
            </w:r>
          </w:p>
        </w:tc>
        <w:tc>
          <w:tcPr>
            <w:tcW w:w="3248" w:type="dxa"/>
            <w:gridSpan w:val="2"/>
            <w:vAlign w:val="center"/>
          </w:tcPr>
          <w:p w14:paraId="7113A83B">
            <w:pPr>
              <w:jc w:val="center"/>
              <w:rPr>
                <w:rFonts w:hint="eastAsia" w:ascii="宋体" w:hAnsi="宋体" w:cs="宋体"/>
                <w:sz w:val="18"/>
                <w:szCs w:val="18"/>
              </w:rPr>
            </w:pPr>
            <w:r>
              <w:rPr>
                <w:rFonts w:hint="eastAsia" w:ascii="宋体" w:hAnsi="宋体" w:cs="宋体"/>
                <w:sz w:val="18"/>
                <w:szCs w:val="18"/>
              </w:rPr>
              <w:t>≤2.0</w:t>
            </w:r>
          </w:p>
        </w:tc>
      </w:tr>
      <w:tr w14:paraId="0F11C1F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521971AF">
            <w:pPr>
              <w:jc w:val="center"/>
              <w:rPr>
                <w:rFonts w:hint="eastAsia" w:ascii="宋体" w:hAnsi="宋体" w:cs="宋体"/>
                <w:sz w:val="18"/>
                <w:szCs w:val="18"/>
              </w:rPr>
            </w:pPr>
          </w:p>
        </w:tc>
        <w:tc>
          <w:tcPr>
            <w:tcW w:w="2977" w:type="dxa"/>
            <w:vAlign w:val="center"/>
          </w:tcPr>
          <w:p w14:paraId="352B2DD4">
            <w:pPr>
              <w:jc w:val="center"/>
              <w:rPr>
                <w:rFonts w:hint="eastAsia" w:ascii="宋体" w:hAnsi="宋体" w:cs="宋体"/>
                <w:sz w:val="18"/>
                <w:szCs w:val="18"/>
              </w:rPr>
            </w:pPr>
            <w:r>
              <w:rPr>
                <w:rFonts w:hint="eastAsia" w:ascii="宋体" w:hAnsi="宋体" w:cs="宋体"/>
                <w:sz w:val="18"/>
                <w:szCs w:val="18"/>
              </w:rPr>
              <w:t>＞2000～3500</w:t>
            </w:r>
          </w:p>
        </w:tc>
        <w:tc>
          <w:tcPr>
            <w:tcW w:w="3248" w:type="dxa"/>
            <w:gridSpan w:val="2"/>
            <w:vAlign w:val="center"/>
          </w:tcPr>
          <w:p w14:paraId="47F14C87">
            <w:pPr>
              <w:jc w:val="center"/>
              <w:rPr>
                <w:rFonts w:hint="eastAsia" w:ascii="宋体" w:hAnsi="宋体" w:cs="宋体"/>
                <w:sz w:val="18"/>
                <w:szCs w:val="18"/>
              </w:rPr>
            </w:pPr>
            <w:r>
              <w:rPr>
                <w:rFonts w:hint="eastAsia" w:ascii="宋体" w:hAnsi="宋体" w:cs="宋体"/>
                <w:sz w:val="18"/>
                <w:szCs w:val="18"/>
              </w:rPr>
              <w:t>≤2.5</w:t>
            </w:r>
          </w:p>
        </w:tc>
      </w:tr>
      <w:tr w14:paraId="655244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374B024A">
            <w:pPr>
              <w:jc w:val="center"/>
              <w:rPr>
                <w:rFonts w:hint="eastAsia" w:ascii="宋体" w:hAnsi="宋体" w:cs="宋体"/>
                <w:sz w:val="18"/>
                <w:szCs w:val="18"/>
              </w:rPr>
            </w:pPr>
          </w:p>
        </w:tc>
        <w:tc>
          <w:tcPr>
            <w:tcW w:w="2977" w:type="dxa"/>
            <w:vAlign w:val="center"/>
          </w:tcPr>
          <w:p w14:paraId="53A39764">
            <w:pPr>
              <w:jc w:val="center"/>
              <w:rPr>
                <w:rFonts w:hint="eastAsia" w:ascii="宋体" w:hAnsi="宋体" w:cs="宋体"/>
                <w:sz w:val="18"/>
                <w:szCs w:val="18"/>
              </w:rPr>
            </w:pPr>
            <w:r>
              <w:rPr>
                <w:rFonts w:hint="eastAsia" w:ascii="宋体" w:hAnsi="宋体" w:cs="宋体"/>
                <w:sz w:val="18"/>
                <w:szCs w:val="18"/>
              </w:rPr>
              <w:t>＞3500</w:t>
            </w:r>
          </w:p>
        </w:tc>
        <w:tc>
          <w:tcPr>
            <w:tcW w:w="3248" w:type="dxa"/>
            <w:gridSpan w:val="2"/>
            <w:vAlign w:val="center"/>
          </w:tcPr>
          <w:p w14:paraId="30707557">
            <w:pPr>
              <w:jc w:val="center"/>
              <w:rPr>
                <w:rFonts w:hint="eastAsia" w:ascii="宋体" w:hAnsi="宋体" w:cs="宋体"/>
                <w:sz w:val="18"/>
                <w:szCs w:val="18"/>
              </w:rPr>
            </w:pPr>
            <w:r>
              <w:rPr>
                <w:rFonts w:hint="eastAsia" w:ascii="宋体" w:hAnsi="宋体" w:cs="宋体"/>
                <w:sz w:val="18"/>
                <w:szCs w:val="18"/>
              </w:rPr>
              <w:t>≤3.0</w:t>
            </w:r>
          </w:p>
        </w:tc>
      </w:tr>
      <w:tr w14:paraId="53B6A2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restart"/>
            <w:vAlign w:val="center"/>
          </w:tcPr>
          <w:p w14:paraId="202A1189">
            <w:pPr>
              <w:jc w:val="center"/>
              <w:rPr>
                <w:rFonts w:hint="eastAsia" w:ascii="宋体" w:hAnsi="宋体" w:cs="宋体"/>
                <w:sz w:val="18"/>
                <w:szCs w:val="18"/>
              </w:rPr>
            </w:pPr>
            <w:r>
              <w:rPr>
                <w:rFonts w:hint="eastAsia" w:ascii="宋体" w:hAnsi="宋体" w:cs="宋体"/>
                <w:sz w:val="18"/>
                <w:szCs w:val="18"/>
              </w:rPr>
              <w:t>对角线尺寸差</w:t>
            </w:r>
          </w:p>
        </w:tc>
        <w:tc>
          <w:tcPr>
            <w:tcW w:w="2977" w:type="dxa"/>
            <w:vAlign w:val="center"/>
          </w:tcPr>
          <w:p w14:paraId="08EF706B">
            <w:pPr>
              <w:jc w:val="center"/>
              <w:rPr>
                <w:rFonts w:hint="eastAsia" w:ascii="宋体" w:hAnsi="宋体" w:cs="宋体"/>
                <w:sz w:val="18"/>
                <w:szCs w:val="18"/>
              </w:rPr>
            </w:pPr>
            <w:r>
              <w:rPr>
                <w:rFonts w:hint="eastAsia" w:ascii="宋体" w:hAnsi="宋体" w:cs="宋体"/>
                <w:sz w:val="18"/>
                <w:szCs w:val="18"/>
              </w:rPr>
              <w:t>≤2500</w:t>
            </w:r>
          </w:p>
        </w:tc>
        <w:tc>
          <w:tcPr>
            <w:tcW w:w="3248" w:type="dxa"/>
            <w:gridSpan w:val="2"/>
            <w:vAlign w:val="center"/>
          </w:tcPr>
          <w:p w14:paraId="0FBFFF6D">
            <w:pPr>
              <w:jc w:val="center"/>
              <w:rPr>
                <w:rFonts w:hint="eastAsia" w:ascii="宋体" w:hAnsi="宋体" w:cs="宋体"/>
                <w:sz w:val="18"/>
                <w:szCs w:val="18"/>
              </w:rPr>
            </w:pPr>
            <w:r>
              <w:rPr>
                <w:rFonts w:hint="eastAsia" w:ascii="宋体" w:hAnsi="宋体" w:cs="宋体"/>
                <w:sz w:val="18"/>
                <w:szCs w:val="18"/>
              </w:rPr>
              <w:t>2.5</w:t>
            </w:r>
          </w:p>
        </w:tc>
      </w:tr>
      <w:tr w14:paraId="4B0554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2095765B">
            <w:pPr>
              <w:jc w:val="center"/>
              <w:rPr>
                <w:rFonts w:hint="eastAsia" w:ascii="宋体" w:hAnsi="宋体" w:cs="宋体"/>
                <w:sz w:val="18"/>
                <w:szCs w:val="18"/>
              </w:rPr>
            </w:pPr>
          </w:p>
        </w:tc>
        <w:tc>
          <w:tcPr>
            <w:tcW w:w="2977" w:type="dxa"/>
            <w:vAlign w:val="center"/>
          </w:tcPr>
          <w:p w14:paraId="20EA3822">
            <w:pPr>
              <w:jc w:val="center"/>
              <w:rPr>
                <w:rFonts w:hint="eastAsia" w:ascii="宋体" w:hAnsi="宋体" w:cs="宋体"/>
                <w:sz w:val="18"/>
                <w:szCs w:val="18"/>
              </w:rPr>
            </w:pPr>
            <w:r>
              <w:rPr>
                <w:rFonts w:hint="eastAsia" w:ascii="宋体" w:hAnsi="宋体" w:cs="宋体"/>
                <w:sz w:val="18"/>
                <w:szCs w:val="18"/>
              </w:rPr>
              <w:t>＞2500</w:t>
            </w:r>
          </w:p>
        </w:tc>
        <w:tc>
          <w:tcPr>
            <w:tcW w:w="3248" w:type="dxa"/>
            <w:gridSpan w:val="2"/>
            <w:vAlign w:val="center"/>
          </w:tcPr>
          <w:p w14:paraId="22EBCC32">
            <w:pPr>
              <w:jc w:val="center"/>
              <w:rPr>
                <w:rFonts w:hint="eastAsia" w:ascii="宋体" w:hAnsi="宋体" w:cs="宋体"/>
                <w:sz w:val="18"/>
                <w:szCs w:val="18"/>
              </w:rPr>
            </w:pPr>
            <w:r>
              <w:rPr>
                <w:rFonts w:hint="eastAsia" w:ascii="宋体" w:hAnsi="宋体" w:cs="宋体"/>
                <w:sz w:val="18"/>
                <w:szCs w:val="18"/>
              </w:rPr>
              <w:t>3.5</w:t>
            </w:r>
          </w:p>
        </w:tc>
      </w:tr>
      <w:tr w14:paraId="29B57CE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Align w:val="center"/>
          </w:tcPr>
          <w:p w14:paraId="2674B342">
            <w:pPr>
              <w:jc w:val="center"/>
              <w:rPr>
                <w:rFonts w:hint="eastAsia" w:ascii="宋体" w:hAnsi="宋体" w:cs="宋体"/>
                <w:sz w:val="18"/>
                <w:szCs w:val="18"/>
              </w:rPr>
            </w:pPr>
            <w:r>
              <w:rPr>
                <w:rFonts w:hint="eastAsia" w:ascii="宋体" w:hAnsi="宋体" w:cs="宋体"/>
                <w:sz w:val="18"/>
                <w:szCs w:val="18"/>
              </w:rPr>
              <w:t>门窗框与扇搭接宽度</w:t>
            </w:r>
          </w:p>
        </w:tc>
        <w:tc>
          <w:tcPr>
            <w:tcW w:w="2977" w:type="dxa"/>
            <w:vAlign w:val="center"/>
          </w:tcPr>
          <w:p w14:paraId="660DBF58">
            <w:pPr>
              <w:jc w:val="center"/>
              <w:rPr>
                <w:rFonts w:hint="eastAsia" w:ascii="宋体" w:hAnsi="宋体" w:cs="宋体"/>
                <w:sz w:val="18"/>
                <w:szCs w:val="18"/>
              </w:rPr>
            </w:pPr>
            <w:r>
              <w:rPr>
                <w:rFonts w:hint="eastAsia" w:ascii="宋体" w:hAnsi="宋体" w:cs="宋体"/>
                <w:sz w:val="18"/>
                <w:szCs w:val="18"/>
              </w:rPr>
              <w:t>—</w:t>
            </w:r>
          </w:p>
        </w:tc>
        <w:tc>
          <w:tcPr>
            <w:tcW w:w="1701" w:type="dxa"/>
            <w:vAlign w:val="center"/>
          </w:tcPr>
          <w:p w14:paraId="3872810A">
            <w:pPr>
              <w:jc w:val="center"/>
              <w:rPr>
                <w:rFonts w:hint="eastAsia" w:ascii="宋体" w:hAnsi="宋体" w:cs="宋体"/>
                <w:sz w:val="18"/>
                <w:szCs w:val="18"/>
              </w:rPr>
            </w:pPr>
            <w:r>
              <w:rPr>
                <w:rFonts w:hint="eastAsia" w:ascii="宋体" w:hAnsi="宋体" w:cs="宋体"/>
                <w:sz w:val="18"/>
                <w:szCs w:val="18"/>
              </w:rPr>
              <w:t>±2.0</w:t>
            </w:r>
          </w:p>
        </w:tc>
        <w:tc>
          <w:tcPr>
            <w:tcW w:w="1547" w:type="dxa"/>
            <w:vAlign w:val="center"/>
          </w:tcPr>
          <w:p w14:paraId="1BCD2FF5">
            <w:pPr>
              <w:jc w:val="center"/>
              <w:rPr>
                <w:rFonts w:hint="eastAsia" w:ascii="宋体" w:hAnsi="宋体" w:cs="宋体"/>
                <w:sz w:val="18"/>
                <w:szCs w:val="18"/>
              </w:rPr>
            </w:pPr>
            <w:r>
              <w:rPr>
                <w:rFonts w:hint="eastAsia" w:ascii="宋体" w:hAnsi="宋体" w:cs="宋体"/>
                <w:sz w:val="18"/>
                <w:szCs w:val="18"/>
              </w:rPr>
              <w:t>±1.0</w:t>
            </w:r>
          </w:p>
        </w:tc>
      </w:tr>
      <w:tr w14:paraId="03EF5CA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restart"/>
            <w:vAlign w:val="center"/>
          </w:tcPr>
          <w:p w14:paraId="3284AA64">
            <w:pPr>
              <w:jc w:val="center"/>
              <w:rPr>
                <w:rFonts w:hint="eastAsia" w:ascii="宋体" w:hAnsi="宋体" w:cs="宋体"/>
                <w:sz w:val="18"/>
                <w:szCs w:val="18"/>
              </w:rPr>
            </w:pPr>
            <w:r>
              <w:rPr>
                <w:rFonts w:hint="eastAsia" w:ascii="宋体" w:hAnsi="宋体" w:cs="宋体"/>
                <w:sz w:val="18"/>
                <w:szCs w:val="18"/>
              </w:rPr>
              <w:t>框、扇杆件接缝高低差</w:t>
            </w:r>
          </w:p>
        </w:tc>
        <w:tc>
          <w:tcPr>
            <w:tcW w:w="2977" w:type="dxa"/>
            <w:vAlign w:val="center"/>
          </w:tcPr>
          <w:p w14:paraId="26899253">
            <w:pPr>
              <w:jc w:val="center"/>
              <w:rPr>
                <w:rFonts w:hint="eastAsia" w:ascii="宋体" w:hAnsi="宋体" w:cs="宋体"/>
                <w:sz w:val="18"/>
                <w:szCs w:val="18"/>
              </w:rPr>
            </w:pPr>
            <w:r>
              <w:rPr>
                <w:rFonts w:hint="eastAsia" w:ascii="宋体" w:hAnsi="宋体" w:cs="宋体"/>
                <w:sz w:val="18"/>
                <w:szCs w:val="18"/>
              </w:rPr>
              <w:t>相同截面型材</w:t>
            </w:r>
          </w:p>
        </w:tc>
        <w:tc>
          <w:tcPr>
            <w:tcW w:w="3248" w:type="dxa"/>
            <w:gridSpan w:val="2"/>
            <w:vAlign w:val="center"/>
          </w:tcPr>
          <w:p w14:paraId="72D58229">
            <w:pPr>
              <w:jc w:val="center"/>
              <w:rPr>
                <w:rFonts w:hint="eastAsia" w:ascii="宋体" w:hAnsi="宋体" w:cs="宋体"/>
                <w:sz w:val="18"/>
                <w:szCs w:val="18"/>
              </w:rPr>
            </w:pPr>
            <w:r>
              <w:rPr>
                <w:rFonts w:hint="eastAsia" w:ascii="宋体" w:hAnsi="宋体" w:cs="宋体"/>
                <w:sz w:val="18"/>
                <w:szCs w:val="18"/>
              </w:rPr>
              <w:t>≤0.3</w:t>
            </w:r>
          </w:p>
        </w:tc>
      </w:tr>
      <w:tr w14:paraId="7FDE69F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Merge w:val="continue"/>
            <w:vAlign w:val="center"/>
          </w:tcPr>
          <w:p w14:paraId="10C1382D">
            <w:pPr>
              <w:jc w:val="center"/>
              <w:rPr>
                <w:rFonts w:hint="eastAsia" w:ascii="宋体" w:hAnsi="宋体" w:cs="宋体"/>
                <w:sz w:val="18"/>
                <w:szCs w:val="18"/>
              </w:rPr>
            </w:pPr>
          </w:p>
        </w:tc>
        <w:tc>
          <w:tcPr>
            <w:tcW w:w="2977" w:type="dxa"/>
            <w:vAlign w:val="center"/>
          </w:tcPr>
          <w:p w14:paraId="5F94C5DA">
            <w:pPr>
              <w:jc w:val="center"/>
              <w:rPr>
                <w:rFonts w:hint="eastAsia" w:ascii="宋体" w:hAnsi="宋体" w:cs="宋体"/>
                <w:sz w:val="18"/>
                <w:szCs w:val="18"/>
              </w:rPr>
            </w:pPr>
            <w:r>
              <w:rPr>
                <w:rFonts w:hint="eastAsia" w:ascii="宋体" w:hAnsi="宋体" w:cs="宋体"/>
                <w:sz w:val="18"/>
                <w:szCs w:val="18"/>
              </w:rPr>
              <w:t>不同截面型材</w:t>
            </w:r>
          </w:p>
        </w:tc>
        <w:tc>
          <w:tcPr>
            <w:tcW w:w="3248" w:type="dxa"/>
            <w:gridSpan w:val="2"/>
            <w:vAlign w:val="center"/>
          </w:tcPr>
          <w:p w14:paraId="1980DE57">
            <w:pPr>
              <w:jc w:val="center"/>
              <w:rPr>
                <w:rFonts w:hint="eastAsia" w:ascii="宋体" w:hAnsi="宋体" w:cs="宋体"/>
                <w:sz w:val="18"/>
                <w:szCs w:val="18"/>
              </w:rPr>
            </w:pPr>
            <w:r>
              <w:rPr>
                <w:rFonts w:hint="eastAsia" w:ascii="宋体" w:hAnsi="宋体" w:cs="宋体"/>
                <w:sz w:val="18"/>
                <w:szCs w:val="18"/>
              </w:rPr>
              <w:t>≤0.5</w:t>
            </w:r>
          </w:p>
        </w:tc>
      </w:tr>
      <w:tr w14:paraId="479FC73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54" w:hRule="atLeast"/>
          <w:jc w:val="center"/>
        </w:trPr>
        <w:tc>
          <w:tcPr>
            <w:tcW w:w="3109" w:type="dxa"/>
            <w:vAlign w:val="center"/>
          </w:tcPr>
          <w:p w14:paraId="12946268">
            <w:pPr>
              <w:jc w:val="center"/>
              <w:rPr>
                <w:rFonts w:hint="eastAsia" w:ascii="宋体" w:hAnsi="宋体" w:cs="宋体"/>
                <w:sz w:val="18"/>
                <w:szCs w:val="18"/>
              </w:rPr>
            </w:pPr>
            <w:r>
              <w:rPr>
                <w:rFonts w:hint="eastAsia" w:ascii="宋体" w:hAnsi="宋体" w:cs="宋体"/>
                <w:sz w:val="18"/>
                <w:szCs w:val="18"/>
              </w:rPr>
              <w:t>框、扇杆件装配间隙</w:t>
            </w:r>
          </w:p>
        </w:tc>
        <w:tc>
          <w:tcPr>
            <w:tcW w:w="2977" w:type="dxa"/>
            <w:vAlign w:val="center"/>
          </w:tcPr>
          <w:p w14:paraId="618FE774">
            <w:pPr>
              <w:jc w:val="center"/>
              <w:rPr>
                <w:rFonts w:hint="eastAsia" w:ascii="宋体" w:hAnsi="宋体" w:cs="宋体"/>
                <w:sz w:val="18"/>
                <w:szCs w:val="18"/>
              </w:rPr>
            </w:pPr>
            <w:r>
              <w:rPr>
                <w:rFonts w:hint="eastAsia" w:ascii="宋体" w:hAnsi="宋体" w:cs="宋体"/>
                <w:sz w:val="18"/>
                <w:szCs w:val="18"/>
              </w:rPr>
              <w:t>—</w:t>
            </w:r>
          </w:p>
        </w:tc>
        <w:tc>
          <w:tcPr>
            <w:tcW w:w="3248" w:type="dxa"/>
            <w:gridSpan w:val="2"/>
            <w:vAlign w:val="center"/>
          </w:tcPr>
          <w:p w14:paraId="223ADF93">
            <w:pPr>
              <w:jc w:val="center"/>
              <w:rPr>
                <w:rFonts w:hint="eastAsia" w:ascii="宋体" w:hAnsi="宋体" w:cs="宋体"/>
                <w:sz w:val="18"/>
                <w:szCs w:val="18"/>
              </w:rPr>
            </w:pPr>
            <w:r>
              <w:rPr>
                <w:rFonts w:hint="eastAsia" w:ascii="宋体" w:hAnsi="宋体" w:cs="宋体"/>
                <w:sz w:val="18"/>
                <w:szCs w:val="18"/>
              </w:rPr>
              <w:t>≤0.3</w:t>
            </w:r>
          </w:p>
        </w:tc>
      </w:tr>
    </w:tbl>
    <w:p w14:paraId="632206C7">
      <w:pPr>
        <w:pStyle w:val="99"/>
        <w:bidi w:val="0"/>
        <w:ind w:left="0" w:leftChars="0" w:firstLine="0" w:firstLineChars="0"/>
        <w:rPr>
          <w:rFonts w:hint="eastAsia" w:ascii="宋体" w:hAnsi="宋体" w:eastAsia="宋体" w:cs="宋体"/>
        </w:rPr>
      </w:pPr>
      <w:r>
        <w:rPr>
          <w:rFonts w:hint="eastAsia" w:ascii="宋体" w:hAnsi="宋体" w:eastAsia="宋体" w:cs="宋体"/>
        </w:rPr>
        <w:t>塑钢窗组装尺寸允许偏差应符合表</w:t>
      </w:r>
      <w:r>
        <w:rPr>
          <w:rFonts w:hint="eastAsia" w:ascii="宋体" w:hAnsi="宋体" w:eastAsia="宋体" w:cs="宋体"/>
          <w:lang w:val="en-US" w:eastAsia="zh-CN"/>
        </w:rPr>
        <w:t xml:space="preserve"> 8 </w:t>
      </w:r>
      <w:r>
        <w:rPr>
          <w:rFonts w:hint="eastAsia" w:ascii="宋体" w:hAnsi="宋体" w:eastAsia="宋体" w:cs="宋体"/>
        </w:rPr>
        <w:t>的规定。</w:t>
      </w:r>
    </w:p>
    <w:p w14:paraId="2B6AFD0D">
      <w:pPr>
        <w:pStyle w:val="113"/>
        <w:spacing w:before="120" w:after="120"/>
      </w:pPr>
      <w:r>
        <w:rPr>
          <w:rFonts w:hint="eastAsia"/>
        </w:rPr>
        <w:t>塑钢窗组装尺寸允许偏差</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3110"/>
        <w:gridCol w:w="3112"/>
        <w:gridCol w:w="3112"/>
      </w:tblGrid>
      <w:tr w14:paraId="265C1C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tblHeader/>
          <w:jc w:val="center"/>
        </w:trPr>
        <w:tc>
          <w:tcPr>
            <w:tcW w:w="3110" w:type="dxa"/>
            <w:tcBorders>
              <w:top w:val="single" w:color="auto" w:sz="8" w:space="0"/>
              <w:bottom w:val="single" w:color="auto" w:sz="8" w:space="0"/>
            </w:tcBorders>
            <w:vAlign w:val="center"/>
          </w:tcPr>
          <w:p w14:paraId="427A9FC2">
            <w:pPr>
              <w:pStyle w:val="179"/>
            </w:pPr>
            <w:r>
              <w:rPr>
                <w:rFonts w:hint="eastAsia"/>
              </w:rPr>
              <w:t>项目</w:t>
            </w:r>
          </w:p>
        </w:tc>
        <w:tc>
          <w:tcPr>
            <w:tcW w:w="3112" w:type="dxa"/>
            <w:tcBorders>
              <w:top w:val="single" w:color="auto" w:sz="8" w:space="0"/>
              <w:bottom w:val="single" w:color="auto" w:sz="8" w:space="0"/>
            </w:tcBorders>
            <w:vAlign w:val="center"/>
          </w:tcPr>
          <w:p w14:paraId="754FAC9E">
            <w:pPr>
              <w:pStyle w:val="179"/>
            </w:pPr>
            <w:r>
              <w:rPr>
                <w:rFonts w:hint="eastAsia"/>
              </w:rPr>
              <w:t>尺寸</w:t>
            </w:r>
          </w:p>
        </w:tc>
        <w:tc>
          <w:tcPr>
            <w:tcW w:w="3112" w:type="dxa"/>
            <w:tcBorders>
              <w:top w:val="single" w:color="auto" w:sz="8" w:space="0"/>
              <w:bottom w:val="single" w:color="auto" w:sz="8" w:space="0"/>
            </w:tcBorders>
            <w:vAlign w:val="center"/>
          </w:tcPr>
          <w:p w14:paraId="0C9E0CC2">
            <w:pPr>
              <w:pStyle w:val="179"/>
            </w:pPr>
            <w:r>
              <w:rPr>
                <w:rFonts w:hint="eastAsia"/>
              </w:rPr>
              <w:t>允许偏差</w:t>
            </w:r>
          </w:p>
        </w:tc>
      </w:tr>
      <w:tr w14:paraId="3E78A05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110" w:type="dxa"/>
            <w:vMerge w:val="restart"/>
            <w:tcBorders>
              <w:top w:val="single" w:color="auto" w:sz="8" w:space="0"/>
            </w:tcBorders>
            <w:vAlign w:val="center"/>
          </w:tcPr>
          <w:p w14:paraId="36C068A0">
            <w:pPr>
              <w:pStyle w:val="179"/>
            </w:pPr>
            <w:r>
              <w:rPr>
                <w:rFonts w:hint="eastAsia"/>
              </w:rPr>
              <w:t>高度、宽度尺寸</w:t>
            </w:r>
          </w:p>
        </w:tc>
        <w:tc>
          <w:tcPr>
            <w:tcW w:w="3112" w:type="dxa"/>
            <w:tcBorders>
              <w:top w:val="single" w:color="auto" w:sz="8" w:space="0"/>
            </w:tcBorders>
            <w:vAlign w:val="center"/>
          </w:tcPr>
          <w:p w14:paraId="0E7A9154">
            <w:pPr>
              <w:pStyle w:val="179"/>
            </w:pPr>
            <w:r>
              <w:rPr>
                <w:rFonts w:hint="eastAsia"/>
              </w:rPr>
              <w:t>≤1500mm</w:t>
            </w:r>
          </w:p>
        </w:tc>
        <w:tc>
          <w:tcPr>
            <w:tcW w:w="3112" w:type="dxa"/>
            <w:tcBorders>
              <w:top w:val="single" w:color="auto" w:sz="8" w:space="0"/>
            </w:tcBorders>
            <w:vAlign w:val="center"/>
          </w:tcPr>
          <w:p w14:paraId="0F25F6C5">
            <w:pPr>
              <w:pStyle w:val="179"/>
            </w:pPr>
            <w:r>
              <w:rPr>
                <w:rFonts w:hint="eastAsia"/>
              </w:rPr>
              <w:t>±2.0</w:t>
            </w:r>
          </w:p>
        </w:tc>
      </w:tr>
      <w:tr w14:paraId="4A555D6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110" w:type="dxa"/>
            <w:vMerge w:val="continue"/>
            <w:vAlign w:val="center"/>
          </w:tcPr>
          <w:p w14:paraId="34ABC2A2">
            <w:pPr>
              <w:pStyle w:val="179"/>
            </w:pPr>
          </w:p>
        </w:tc>
        <w:tc>
          <w:tcPr>
            <w:tcW w:w="3112" w:type="dxa"/>
            <w:vAlign w:val="center"/>
          </w:tcPr>
          <w:p w14:paraId="3C568DF4">
            <w:pPr>
              <w:pStyle w:val="179"/>
            </w:pPr>
            <w:r>
              <w:rPr>
                <w:rFonts w:hint="eastAsia"/>
              </w:rPr>
              <w:t>＞1500mm</w:t>
            </w:r>
          </w:p>
        </w:tc>
        <w:tc>
          <w:tcPr>
            <w:tcW w:w="3112" w:type="dxa"/>
            <w:vAlign w:val="center"/>
          </w:tcPr>
          <w:p w14:paraId="5F909FF5">
            <w:pPr>
              <w:pStyle w:val="179"/>
            </w:pPr>
            <w:r>
              <w:rPr>
                <w:rFonts w:hint="eastAsia"/>
              </w:rPr>
              <w:t>±3.0</w:t>
            </w:r>
          </w:p>
        </w:tc>
      </w:tr>
      <w:tr w14:paraId="1C2559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3110" w:type="dxa"/>
            <w:vAlign w:val="center"/>
          </w:tcPr>
          <w:p w14:paraId="47EE4696">
            <w:pPr>
              <w:pStyle w:val="179"/>
            </w:pPr>
            <w:r>
              <w:rPr>
                <w:rFonts w:hint="eastAsia"/>
              </w:rPr>
              <w:t>框扇对角线尺寸之差</w:t>
            </w:r>
          </w:p>
        </w:tc>
        <w:tc>
          <w:tcPr>
            <w:tcW w:w="3112" w:type="dxa"/>
            <w:vAlign w:val="center"/>
          </w:tcPr>
          <w:p w14:paraId="1B16CB7A">
            <w:pPr>
              <w:pStyle w:val="179"/>
            </w:pPr>
            <w:r>
              <w:rPr>
                <w:rFonts w:hint="eastAsia"/>
              </w:rPr>
              <w:t>——</w:t>
            </w:r>
          </w:p>
        </w:tc>
        <w:tc>
          <w:tcPr>
            <w:tcW w:w="3112" w:type="dxa"/>
            <w:vAlign w:val="center"/>
          </w:tcPr>
          <w:p w14:paraId="5488B8C6">
            <w:pPr>
              <w:pStyle w:val="179"/>
            </w:pPr>
            <w:r>
              <w:rPr>
                <w:rFonts w:hint="eastAsia"/>
              </w:rPr>
              <w:t>≤3.0</w:t>
            </w:r>
          </w:p>
        </w:tc>
      </w:tr>
    </w:tbl>
    <w:p w14:paraId="5FDEA7FF">
      <w:pPr>
        <w:pStyle w:val="95"/>
        <w:spacing w:before="120" w:after="120"/>
      </w:pPr>
      <w:r>
        <w:rPr>
          <w:rFonts w:hint="eastAsia"/>
        </w:rPr>
        <w:t>玻璃镶嵌装配尺寸</w:t>
      </w:r>
    </w:p>
    <w:p w14:paraId="279C1E5E">
      <w:pPr>
        <w:pStyle w:val="175"/>
        <w:keepNext w:val="0"/>
        <w:keepLines w:val="0"/>
        <w:pageBreakBefore w:val="0"/>
        <w:widowControl/>
        <w:numPr>
          <w:ilvl w:val="-1"/>
          <w:numId w:val="0"/>
        </w:numPr>
        <w:kinsoku/>
        <w:wordWrap/>
        <w:overflowPunct/>
        <w:topLinePunct w:val="0"/>
        <w:autoSpaceDE/>
        <w:autoSpaceDN/>
        <w:bidi w:val="0"/>
        <w:adjustRightInd/>
        <w:snapToGrid/>
        <w:ind w:firstLine="420" w:firstLineChars="200"/>
        <w:textAlignment w:val="auto"/>
        <w:rPr>
          <w:rFonts w:hint="eastAsia" w:hAnsi="宋体" w:eastAsia="宋体"/>
          <w:lang w:eastAsia="zh-CN"/>
        </w:rPr>
      </w:pPr>
      <w:r>
        <w:rPr>
          <w:rFonts w:hint="eastAsia" w:hAnsi="宋体"/>
        </w:rPr>
        <w:t>窗框、扇玻璃镶嵌装配尺寸应符合</w:t>
      </w:r>
      <w:r>
        <w:rPr>
          <w:rFonts w:hint="eastAsia" w:hAnsi="宋体"/>
          <w:lang w:val="en-US" w:eastAsia="zh-CN"/>
        </w:rPr>
        <w:t xml:space="preserve"> </w:t>
      </w:r>
      <w:r>
        <w:rPr>
          <w:rFonts w:hint="eastAsia" w:hAnsi="宋体"/>
        </w:rPr>
        <w:t>JGJ 113</w:t>
      </w:r>
      <w:r>
        <w:rPr>
          <w:rFonts w:hint="eastAsia" w:hAnsi="宋体"/>
          <w:lang w:val="en-US" w:eastAsia="zh-CN"/>
        </w:rPr>
        <w:t xml:space="preserve"> </w:t>
      </w:r>
      <w:r>
        <w:rPr>
          <w:rFonts w:hint="eastAsia" w:hAnsi="宋体"/>
        </w:rPr>
        <w:t>规定的玻璃最小装配尺寸要求</w:t>
      </w:r>
      <w:r>
        <w:rPr>
          <w:rFonts w:hint="eastAsia" w:hAnsi="宋体"/>
          <w:lang w:eastAsia="zh-CN"/>
        </w:rPr>
        <w:t>。</w:t>
      </w:r>
      <w:r>
        <w:rPr>
          <w:rFonts w:hint="eastAsia" w:hAnsi="宋体"/>
        </w:rPr>
        <w:t>多腔中空玻璃镶嵌装配尺寸应符合设计要求</w:t>
      </w:r>
      <w:r>
        <w:rPr>
          <w:rFonts w:hint="eastAsia" w:hAnsi="宋体"/>
          <w:lang w:eastAsia="zh-CN"/>
        </w:rPr>
        <w:t>。</w:t>
      </w:r>
    </w:p>
    <w:p w14:paraId="22253738">
      <w:pPr>
        <w:pStyle w:val="175"/>
        <w:keepNext w:val="0"/>
        <w:keepLines w:val="0"/>
        <w:pageBreakBefore w:val="0"/>
        <w:widowControl/>
        <w:numPr>
          <w:ilvl w:val="-1"/>
          <w:numId w:val="0"/>
        </w:numPr>
        <w:kinsoku/>
        <w:wordWrap/>
        <w:overflowPunct/>
        <w:topLinePunct w:val="0"/>
        <w:autoSpaceDE/>
        <w:autoSpaceDN/>
        <w:bidi w:val="0"/>
        <w:adjustRightInd/>
        <w:snapToGrid/>
        <w:ind w:firstLine="420" w:firstLineChars="200"/>
        <w:textAlignment w:val="auto"/>
        <w:rPr>
          <w:rFonts w:hint="eastAsia" w:hAnsi="宋体"/>
        </w:rPr>
      </w:pPr>
      <w:r>
        <w:rPr>
          <w:rFonts w:hint="eastAsia" w:hAnsi="宋体"/>
        </w:rPr>
        <w:t>玻璃垫块长度不小于50mm，宽度应比玻璃镶嵌槽底口的尺寸小</w:t>
      </w:r>
      <w:r>
        <w:rPr>
          <w:rFonts w:hint="eastAsia" w:hAnsi="宋体"/>
          <w:lang w:val="en-US" w:eastAsia="zh-CN"/>
        </w:rPr>
        <w:t xml:space="preserve"> </w:t>
      </w:r>
      <w:r>
        <w:rPr>
          <w:rFonts w:hint="eastAsia" w:hAnsi="宋体"/>
        </w:rPr>
        <w:t>1～2mm</w:t>
      </w:r>
      <w:r>
        <w:rPr>
          <w:rFonts w:hint="eastAsia" w:hAnsi="宋体"/>
          <w:lang w:val="en-US" w:eastAsia="zh-CN"/>
        </w:rPr>
        <w:t xml:space="preserve"> </w:t>
      </w:r>
      <w:r>
        <w:rPr>
          <w:rFonts w:hint="eastAsia" w:hAnsi="宋体"/>
          <w:lang w:eastAsia="zh-CN"/>
        </w:rPr>
        <w:t>。</w:t>
      </w:r>
      <w:r>
        <w:rPr>
          <w:rFonts w:hint="eastAsia" w:hAnsi="宋体"/>
        </w:rPr>
        <w:t>底部玻璃垫块不得阻塞排水通道。</w:t>
      </w:r>
    </w:p>
    <w:p w14:paraId="08C4222F">
      <w:pPr>
        <w:pStyle w:val="106"/>
        <w:spacing w:before="120" w:after="120"/>
      </w:pPr>
      <w:bookmarkStart w:id="73" w:name="_Toc13951"/>
      <w:r>
        <w:rPr>
          <w:rFonts w:hint="eastAsia"/>
        </w:rPr>
        <w:t>装配质量</w:t>
      </w:r>
      <w:bookmarkEnd w:id="73"/>
    </w:p>
    <w:p w14:paraId="6CBD2957">
      <w:pPr>
        <w:pStyle w:val="66"/>
        <w:bidi w:val="0"/>
        <w:ind w:left="0" w:leftChars="0" w:firstLine="0" w:firstLineChars="0"/>
        <w:rPr>
          <w:rFonts w:hint="eastAsia" w:ascii="宋体" w:hAnsi="宋体" w:eastAsia="宋体" w:cs="宋体"/>
          <w:lang w:eastAsia="zh-CN"/>
        </w:rPr>
      </w:pPr>
      <w:r>
        <w:rPr>
          <w:rFonts w:hint="eastAsia" w:ascii="宋体" w:hAnsi="宋体" w:eastAsia="宋体" w:cs="宋体"/>
        </w:rPr>
        <w:t>外窗框、扇杆件连接牢固，装配间隙应进行有效的密封</w:t>
      </w:r>
      <w:r>
        <w:rPr>
          <w:rFonts w:hint="eastAsia" w:ascii="宋体" w:hAnsi="宋体" w:eastAsia="宋体" w:cs="宋体"/>
          <w:lang w:val="en-US" w:eastAsia="zh-CN"/>
        </w:rPr>
        <w:t>。</w:t>
      </w:r>
    </w:p>
    <w:p w14:paraId="2FE7E345">
      <w:pPr>
        <w:pStyle w:val="66"/>
        <w:bidi w:val="0"/>
        <w:ind w:left="0" w:leftChars="0" w:firstLine="0" w:firstLineChars="0"/>
        <w:rPr>
          <w:rFonts w:hint="eastAsia" w:ascii="宋体" w:hAnsi="宋体" w:eastAsia="宋体" w:cs="宋体"/>
          <w:lang w:eastAsia="zh-CN"/>
        </w:rPr>
      </w:pPr>
      <w:r>
        <w:rPr>
          <w:rFonts w:hint="eastAsia" w:ascii="宋体" w:hAnsi="宋体" w:eastAsia="宋体" w:cs="宋体"/>
        </w:rPr>
        <w:t>外窗附件安装牢固，开启扇五金配件操控灵活，窗启闭无卡滞</w:t>
      </w:r>
      <w:r>
        <w:rPr>
          <w:rFonts w:hint="eastAsia" w:ascii="宋体" w:hAnsi="宋体" w:eastAsia="宋体" w:cs="宋体"/>
          <w:lang w:val="en-US" w:eastAsia="zh-CN"/>
        </w:rPr>
        <w:t>。</w:t>
      </w:r>
    </w:p>
    <w:p w14:paraId="6E06A0DC">
      <w:pPr>
        <w:pStyle w:val="66"/>
        <w:bidi w:val="0"/>
        <w:ind w:left="0" w:leftChars="0" w:firstLine="0" w:firstLineChars="0"/>
        <w:rPr>
          <w:rFonts w:hint="eastAsia" w:ascii="宋体" w:hAnsi="宋体" w:eastAsia="宋体" w:cs="宋体"/>
          <w:lang w:eastAsia="zh-CN"/>
        </w:rPr>
      </w:pPr>
      <w:r>
        <w:rPr>
          <w:rFonts w:hint="eastAsia" w:ascii="宋体" w:hAnsi="宋体" w:eastAsia="宋体" w:cs="宋体"/>
        </w:rPr>
        <w:t>紧固件就位</w:t>
      </w:r>
      <w:r>
        <w:rPr>
          <w:rFonts w:hint="eastAsia" w:ascii="宋体" w:hAnsi="宋体" w:eastAsia="宋体" w:cs="宋体"/>
          <w:lang w:eastAsia="zh-CN"/>
        </w:rPr>
        <w:t>平整</w:t>
      </w:r>
      <w:r>
        <w:rPr>
          <w:rFonts w:hint="eastAsia" w:ascii="宋体" w:hAnsi="宋体" w:eastAsia="宋体" w:cs="宋体"/>
        </w:rPr>
        <w:t>，并按设计要求进行密封处理</w:t>
      </w:r>
      <w:r>
        <w:rPr>
          <w:rFonts w:hint="eastAsia" w:ascii="宋体" w:hAnsi="宋体" w:eastAsia="宋体" w:cs="宋体"/>
          <w:lang w:val="en-US" w:eastAsia="zh-CN"/>
        </w:rPr>
        <w:t>。</w:t>
      </w:r>
    </w:p>
    <w:p w14:paraId="0F560D1D">
      <w:pPr>
        <w:pStyle w:val="66"/>
        <w:bidi w:val="0"/>
        <w:ind w:left="0" w:leftChars="0" w:firstLine="0" w:firstLineChars="0"/>
        <w:rPr>
          <w:rFonts w:hint="eastAsia" w:ascii="宋体" w:hAnsi="宋体" w:eastAsia="宋体" w:cs="宋体"/>
          <w:lang w:val="en-US" w:eastAsia="zh-CN"/>
        </w:rPr>
      </w:pPr>
      <w:r>
        <w:rPr>
          <w:rFonts w:hint="eastAsia" w:ascii="宋体" w:hAnsi="宋体" w:eastAsia="宋体" w:cs="宋体"/>
        </w:rPr>
        <w:t>外窗开启锁固五金配件安装位置正确，锁闭状态应符合设计要求</w:t>
      </w:r>
      <w:r>
        <w:rPr>
          <w:rFonts w:hint="eastAsia" w:ascii="宋体" w:hAnsi="宋体" w:eastAsia="宋体" w:cs="宋体"/>
          <w:lang w:val="en-US" w:eastAsia="zh-CN"/>
        </w:rPr>
        <w:t>。</w:t>
      </w:r>
    </w:p>
    <w:p w14:paraId="7341C84E">
      <w:pPr>
        <w:pStyle w:val="66"/>
        <w:bidi w:val="0"/>
        <w:ind w:left="0" w:leftChars="0" w:firstLine="0" w:firstLineChars="0"/>
        <w:rPr>
          <w:rFonts w:hint="eastAsia" w:ascii="宋体" w:hAnsi="宋体" w:eastAsia="宋体" w:cs="宋体"/>
        </w:rPr>
      </w:pPr>
      <w:r>
        <w:rPr>
          <w:rFonts w:hint="eastAsia" w:ascii="宋体" w:hAnsi="宋体" w:eastAsia="宋体" w:cs="宋体"/>
        </w:rPr>
        <w:t>玻璃压线安装后应平整牢固，不应有错位、变形等。</w:t>
      </w:r>
    </w:p>
    <w:p w14:paraId="3DAE5012">
      <w:pPr>
        <w:pStyle w:val="106"/>
        <w:spacing w:before="120" w:after="120"/>
      </w:pPr>
      <w:bookmarkStart w:id="74" w:name="_Toc26075"/>
      <w:r>
        <w:rPr>
          <w:rFonts w:hint="eastAsia"/>
        </w:rPr>
        <w:t>构造</w:t>
      </w:r>
      <w:bookmarkEnd w:id="74"/>
    </w:p>
    <w:p w14:paraId="6342A691">
      <w:pPr>
        <w:pStyle w:val="66"/>
        <w:spacing w:before="120" w:after="120"/>
      </w:pPr>
      <w:bookmarkStart w:id="75" w:name="_Toc23247"/>
      <w:r>
        <w:rPr>
          <w:rFonts w:hint="eastAsia"/>
        </w:rPr>
        <w:t>型材构造</w:t>
      </w:r>
      <w:bookmarkEnd w:id="75"/>
    </w:p>
    <w:p w14:paraId="0EFCF553">
      <w:pPr>
        <w:pStyle w:val="95"/>
        <w:bidi w:val="0"/>
        <w:ind w:left="0" w:leftChars="0" w:firstLine="0" w:firstLineChars="0"/>
        <w:rPr>
          <w:rFonts w:hint="eastAsia" w:ascii="宋体" w:hAnsi="宋体" w:eastAsia="宋体" w:cs="宋体"/>
        </w:rPr>
      </w:pPr>
      <w:r>
        <w:rPr>
          <w:rFonts w:hint="eastAsia" w:ascii="宋体" w:hAnsi="宋体" w:eastAsia="宋体" w:cs="宋体"/>
        </w:rPr>
        <w:t>侧压推拉窗必须拥有至少一道完整的密封，侧移推拉窗必须拥有至少两道完整的密封。</w:t>
      </w:r>
    </w:p>
    <w:p w14:paraId="0123AD13">
      <w:pPr>
        <w:pStyle w:val="95"/>
        <w:bidi w:val="0"/>
        <w:ind w:left="0" w:leftChars="0" w:firstLine="0" w:firstLineChars="0"/>
        <w:rPr>
          <w:rFonts w:hint="eastAsia" w:ascii="宋体" w:hAnsi="宋体" w:eastAsia="宋体" w:cs="宋体"/>
        </w:rPr>
      </w:pPr>
      <w:r>
        <w:rPr>
          <w:rFonts w:hint="eastAsia" w:ascii="宋体" w:hAnsi="宋体" w:eastAsia="宋体" w:cs="宋体"/>
        </w:rPr>
        <w:t>侧压密封窗必须有防脱落措施，以及防止从室外侧拆卸的装置，框扇间应采用胶条密封。</w:t>
      </w:r>
    </w:p>
    <w:p w14:paraId="50B36B12">
      <w:pPr>
        <w:pStyle w:val="95"/>
        <w:bidi w:val="0"/>
        <w:ind w:left="0" w:leftChars="0" w:firstLine="0" w:firstLineChars="0"/>
        <w:rPr>
          <w:rFonts w:hint="eastAsia" w:ascii="宋体" w:hAnsi="宋体" w:eastAsia="宋体" w:cs="宋体"/>
        </w:rPr>
      </w:pPr>
      <w:r>
        <w:rPr>
          <w:rFonts w:hint="eastAsia" w:ascii="宋体" w:hAnsi="宋体" w:eastAsia="宋体" w:cs="宋体"/>
        </w:rPr>
        <w:t>侧压推拉窗框扇搭接宽度应不小于4mm，搭接宽度误差应不大于</w:t>
      </w:r>
      <w:r>
        <w:rPr>
          <w:rFonts w:hint="eastAsia" w:ascii="宋体" w:hAnsi="宋体" w:eastAsia="宋体" w:cs="宋体"/>
          <w:lang w:val="en-US" w:eastAsia="zh-CN"/>
        </w:rPr>
        <w:t xml:space="preserve"> </w:t>
      </w:r>
      <w:r>
        <w:rPr>
          <w:rFonts w:hint="eastAsia" w:ascii="宋体" w:hAnsi="宋体" w:eastAsia="宋体" w:cs="宋体"/>
        </w:rPr>
        <w:t>±1mm</w:t>
      </w:r>
      <w:r>
        <w:rPr>
          <w:rFonts w:hint="eastAsia" w:ascii="宋体" w:hAnsi="宋体" w:eastAsia="宋体" w:cs="宋体"/>
          <w:lang w:val="en-US" w:eastAsia="zh-CN"/>
        </w:rPr>
        <w:t xml:space="preserve"> </w:t>
      </w:r>
      <w:r>
        <w:rPr>
          <w:rFonts w:hint="eastAsia" w:ascii="宋体" w:hAnsi="宋体" w:eastAsia="宋体" w:cs="宋体"/>
        </w:rPr>
        <w:t>。</w:t>
      </w:r>
    </w:p>
    <w:p w14:paraId="0E1F8216">
      <w:pPr>
        <w:pStyle w:val="95"/>
        <w:bidi w:val="0"/>
        <w:ind w:left="0" w:leftChars="0" w:firstLine="0" w:firstLineChars="0"/>
        <w:rPr>
          <w:rFonts w:hint="eastAsia" w:ascii="宋体" w:hAnsi="宋体" w:eastAsia="宋体" w:cs="宋体"/>
        </w:rPr>
      </w:pPr>
      <w:r>
        <w:rPr>
          <w:rFonts w:hint="eastAsia" w:ascii="宋体" w:hAnsi="宋体" w:eastAsia="宋体" w:cs="宋体"/>
        </w:rPr>
        <w:t>侧压推拉窗和侧移推拉窗的密封设计参考见图</w:t>
      </w:r>
      <w:r>
        <w:rPr>
          <w:rFonts w:hint="eastAsia" w:ascii="宋体" w:hAnsi="宋体" w:eastAsia="宋体" w:cs="宋体"/>
          <w:lang w:val="en-US" w:eastAsia="zh-CN"/>
        </w:rPr>
        <w:t xml:space="preserve"> </w:t>
      </w:r>
      <w:r>
        <w:rPr>
          <w:rFonts w:hint="eastAsia" w:ascii="宋体" w:hAnsi="宋体" w:eastAsia="宋体" w:cs="宋体"/>
        </w:rPr>
        <w:t>1</w:t>
      </w:r>
      <w:r>
        <w:rPr>
          <w:rFonts w:hint="eastAsia" w:ascii="宋体" w:hAnsi="宋体" w:eastAsia="宋体" w:cs="宋体"/>
          <w:lang w:val="en-US" w:eastAsia="zh-CN"/>
        </w:rPr>
        <w:t xml:space="preserve"> </w:t>
      </w:r>
      <w:r>
        <w:rPr>
          <w:rFonts w:hint="eastAsia" w:ascii="宋体" w:hAnsi="宋体" w:eastAsia="宋体" w:cs="宋体"/>
        </w:rPr>
        <w:t>、图</w:t>
      </w:r>
      <w:r>
        <w:rPr>
          <w:rFonts w:hint="eastAsia" w:ascii="宋体" w:hAnsi="宋体" w:eastAsia="宋体" w:cs="宋体"/>
          <w:lang w:val="en-US" w:eastAsia="zh-CN"/>
        </w:rPr>
        <w:t xml:space="preserve"> </w:t>
      </w:r>
      <w:r>
        <w:rPr>
          <w:rFonts w:hint="eastAsia" w:ascii="宋体" w:hAnsi="宋体" w:eastAsia="宋体" w:cs="宋体"/>
        </w:rPr>
        <w:t>2</w:t>
      </w:r>
      <w:r>
        <w:rPr>
          <w:rFonts w:hint="eastAsia" w:ascii="宋体" w:hAnsi="宋体" w:eastAsia="宋体" w:cs="宋体"/>
          <w:lang w:val="en-US" w:eastAsia="zh-CN"/>
        </w:rPr>
        <w:t xml:space="preserve"> </w:t>
      </w:r>
      <w:r>
        <w:rPr>
          <w:rFonts w:hint="eastAsia" w:ascii="宋体" w:hAnsi="宋体" w:eastAsia="宋体" w:cs="宋体"/>
        </w:rPr>
        <w:t>。</w:t>
      </w:r>
    </w:p>
    <w:p w14:paraId="6648D190">
      <w:pPr>
        <w:pStyle w:val="180"/>
        <w:numPr>
          <w:ilvl w:val="0"/>
          <w:numId w:val="0"/>
        </w:numPr>
        <w:ind w:left="737"/>
      </w:pPr>
      <w:r>
        <w:drawing>
          <wp:inline distT="0" distB="0" distL="114300" distR="114300">
            <wp:extent cx="5227320" cy="2520315"/>
            <wp:effectExtent l="0" t="0" r="11430" b="13335"/>
            <wp:docPr id="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pic:cNvPicPr>
                      <a:picLocks noChangeAspect="1"/>
                    </pic:cNvPicPr>
                  </pic:nvPicPr>
                  <pic:blipFill>
                    <a:blip r:embed="rId19"/>
                    <a:stretch>
                      <a:fillRect/>
                    </a:stretch>
                  </pic:blipFill>
                  <pic:spPr>
                    <a:xfrm>
                      <a:off x="0" y="0"/>
                      <a:ext cx="5227320" cy="2520315"/>
                    </a:xfrm>
                    <a:prstGeom prst="rect">
                      <a:avLst/>
                    </a:prstGeom>
                    <a:noFill/>
                    <a:ln>
                      <a:noFill/>
                    </a:ln>
                  </pic:spPr>
                </pic:pic>
              </a:graphicData>
            </a:graphic>
          </wp:inline>
        </w:drawing>
      </w:r>
    </w:p>
    <w:p w14:paraId="6FFF6888">
      <w:pPr>
        <w:pStyle w:val="180"/>
        <w:numPr>
          <w:ilvl w:val="0"/>
          <w:numId w:val="0"/>
        </w:numPr>
        <w:ind w:left="737"/>
      </w:pPr>
    </w:p>
    <w:p w14:paraId="0F372431">
      <w:pPr>
        <w:pStyle w:val="180"/>
        <w:numPr>
          <w:ilvl w:val="0"/>
          <w:numId w:val="0"/>
        </w:numPr>
        <w:ind w:left="737"/>
        <w:rPr>
          <w:rFonts w:hint="eastAsia"/>
        </w:rPr>
      </w:pPr>
      <w:r>
        <w:rPr>
          <w:rFonts w:hint="eastAsia"/>
        </w:rPr>
        <w:t>说明：</w:t>
      </w:r>
    </w:p>
    <w:p w14:paraId="69CE3E30">
      <w:pPr>
        <w:pStyle w:val="180"/>
        <w:numPr>
          <w:ilvl w:val="0"/>
          <w:numId w:val="0"/>
        </w:numPr>
        <w:ind w:left="737"/>
        <w:rPr>
          <w:rFonts w:hint="eastAsia" w:eastAsia="宋体"/>
          <w:lang w:eastAsia="zh-CN"/>
        </w:rPr>
      </w:pPr>
      <w:r>
        <w:rPr>
          <w:rFonts w:hint="eastAsia"/>
          <w:lang w:val="en-US" w:eastAsia="zh-CN"/>
        </w:rPr>
        <w:t>1——</w:t>
      </w:r>
      <w:r>
        <w:rPr>
          <w:rFonts w:hint="eastAsia"/>
        </w:rPr>
        <w:t>密封胶条位置</w:t>
      </w:r>
      <w:r>
        <w:rPr>
          <w:rFonts w:hint="eastAsia"/>
          <w:lang w:eastAsia="zh-CN"/>
        </w:rPr>
        <w:t>。</w:t>
      </w:r>
    </w:p>
    <w:p w14:paraId="28349A1F">
      <w:pPr>
        <w:pStyle w:val="115"/>
        <w:spacing w:before="120" w:after="120"/>
      </w:pPr>
      <w:r>
        <w:rPr>
          <w:rFonts w:hint="eastAsia"/>
        </w:rPr>
        <w:t>侧压推拉窗密封节点设计</w:t>
      </w:r>
      <w:r>
        <w:rPr>
          <w:rFonts w:hint="eastAsia"/>
          <w:lang w:val="en-US" w:eastAsia="zh-CN"/>
        </w:rPr>
        <w:t>示意图</w:t>
      </w:r>
    </w:p>
    <w:p w14:paraId="05095335">
      <w:pPr>
        <w:pStyle w:val="57"/>
        <w:ind w:firstLine="420"/>
        <w:jc w:val="center"/>
      </w:pPr>
      <w:r>
        <w:drawing>
          <wp:inline distT="0" distB="0" distL="114300" distR="114300">
            <wp:extent cx="5142865" cy="2520315"/>
            <wp:effectExtent l="0" t="0" r="635" b="1333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20"/>
                    <a:stretch>
                      <a:fillRect/>
                    </a:stretch>
                  </pic:blipFill>
                  <pic:spPr>
                    <a:xfrm>
                      <a:off x="0" y="0"/>
                      <a:ext cx="5142865" cy="2520315"/>
                    </a:xfrm>
                    <a:prstGeom prst="rect">
                      <a:avLst/>
                    </a:prstGeom>
                    <a:noFill/>
                    <a:ln>
                      <a:noFill/>
                    </a:ln>
                  </pic:spPr>
                </pic:pic>
              </a:graphicData>
            </a:graphic>
          </wp:inline>
        </w:drawing>
      </w:r>
      <w:r>
        <w:rPr>
          <w:rFonts w:hint="eastAsia"/>
        </w:rPr>
        <w:t xml:space="preserve">       </w:t>
      </w:r>
    </w:p>
    <w:p w14:paraId="317CF494">
      <w:pPr>
        <w:pStyle w:val="180"/>
        <w:numPr>
          <w:ilvl w:val="0"/>
          <w:numId w:val="0"/>
        </w:numPr>
        <w:ind w:left="737"/>
        <w:rPr>
          <w:rFonts w:hint="eastAsia"/>
        </w:rPr>
      </w:pPr>
      <w:r>
        <w:rPr>
          <w:rFonts w:hint="eastAsia"/>
        </w:rPr>
        <w:t>说明：</w:t>
      </w:r>
    </w:p>
    <w:p w14:paraId="5EDF87D7">
      <w:pPr>
        <w:pStyle w:val="180"/>
        <w:numPr>
          <w:ilvl w:val="0"/>
          <w:numId w:val="0"/>
        </w:numPr>
        <w:ind w:left="737"/>
        <w:rPr>
          <w:rFonts w:hint="eastAsia" w:eastAsia="宋体"/>
          <w:lang w:eastAsia="zh-CN"/>
        </w:rPr>
      </w:pPr>
      <w:r>
        <w:rPr>
          <w:rFonts w:hint="eastAsia"/>
          <w:lang w:val="en-US" w:eastAsia="zh-CN"/>
        </w:rPr>
        <w:t>1——</w:t>
      </w:r>
      <w:r>
        <w:rPr>
          <w:rFonts w:hint="eastAsia"/>
        </w:rPr>
        <w:t>密封胶条位置</w:t>
      </w:r>
      <w:r>
        <w:rPr>
          <w:rFonts w:hint="eastAsia"/>
          <w:lang w:eastAsia="zh-CN"/>
        </w:rPr>
        <w:t>。</w:t>
      </w:r>
    </w:p>
    <w:p w14:paraId="45F842DB">
      <w:pPr>
        <w:pStyle w:val="115"/>
        <w:spacing w:before="120" w:after="120"/>
        <w:rPr>
          <w:rFonts w:hint="eastAsia"/>
        </w:rPr>
      </w:pPr>
      <w:r>
        <w:rPr>
          <w:rFonts w:hint="eastAsia"/>
        </w:rPr>
        <w:t>侧移推拉窗密封节点设计</w:t>
      </w:r>
      <w:r>
        <w:rPr>
          <w:rFonts w:hint="eastAsia"/>
          <w:lang w:val="en-US" w:eastAsia="zh-CN"/>
        </w:rPr>
        <w:t>示意图</w:t>
      </w:r>
    </w:p>
    <w:p w14:paraId="476581EA">
      <w:pPr>
        <w:pStyle w:val="66"/>
        <w:spacing w:before="120" w:after="120"/>
      </w:pPr>
      <w:bookmarkStart w:id="76" w:name="_Toc14215"/>
      <w:r>
        <w:rPr>
          <w:rFonts w:hint="eastAsia"/>
        </w:rPr>
        <w:t>连接构造</w:t>
      </w:r>
      <w:bookmarkEnd w:id="76"/>
    </w:p>
    <w:p w14:paraId="1C35C035">
      <w:pPr>
        <w:pStyle w:val="95"/>
        <w:bidi w:val="0"/>
        <w:ind w:left="0" w:leftChars="0" w:firstLine="0" w:firstLineChars="0"/>
        <w:rPr>
          <w:rFonts w:hint="eastAsia" w:ascii="宋体" w:hAnsi="宋体" w:eastAsia="宋体" w:cs="宋体"/>
        </w:rPr>
      </w:pPr>
      <w:r>
        <w:rPr>
          <w:rFonts w:hint="eastAsia" w:ascii="宋体" w:hAnsi="宋体" w:eastAsia="宋体" w:cs="宋体"/>
        </w:rPr>
        <w:t>窗框扇杆件间的连接构造应牢固可靠，人接触的部位应平整，外露的孔洞及边缘尖角宜进行封堵包饰。</w:t>
      </w:r>
    </w:p>
    <w:p w14:paraId="551B6EB2">
      <w:pPr>
        <w:pStyle w:val="95"/>
        <w:bidi w:val="0"/>
        <w:ind w:left="0" w:leftChars="0" w:firstLine="0" w:firstLineChars="0"/>
        <w:rPr>
          <w:rFonts w:hint="eastAsia" w:ascii="宋体" w:hAnsi="宋体" w:eastAsia="宋体" w:cs="宋体"/>
        </w:rPr>
      </w:pPr>
      <w:r>
        <w:rPr>
          <w:rFonts w:hint="eastAsia" w:ascii="宋体" w:hAnsi="宋体" w:eastAsia="宋体" w:cs="宋体"/>
        </w:rPr>
        <w:t>开启缝纵边的锁点不应少于1个，窗扇高度大于</w:t>
      </w:r>
      <w:r>
        <w:rPr>
          <w:rFonts w:hint="eastAsia" w:ascii="宋体" w:hAnsi="宋体" w:eastAsia="宋体" w:cs="宋体"/>
          <w:lang w:val="en-US" w:eastAsia="zh-CN"/>
        </w:rPr>
        <w:t xml:space="preserve"> </w:t>
      </w:r>
      <w:r>
        <w:rPr>
          <w:rFonts w:hint="eastAsia" w:ascii="宋体" w:hAnsi="宋体" w:eastAsia="宋体" w:cs="宋体"/>
        </w:rPr>
        <w:t>1 200 mm</w:t>
      </w:r>
      <w:r>
        <w:rPr>
          <w:rFonts w:hint="eastAsia" w:ascii="宋体" w:hAnsi="宋体" w:eastAsia="宋体" w:cs="宋体"/>
          <w:lang w:val="en-US" w:eastAsia="zh-CN"/>
        </w:rPr>
        <w:t xml:space="preserve"> </w:t>
      </w:r>
      <w:r>
        <w:rPr>
          <w:rFonts w:hint="eastAsia" w:ascii="宋体" w:hAnsi="宋体" w:eastAsia="宋体" w:cs="宋体"/>
        </w:rPr>
        <w:t>时应加中间锁，每相距</w:t>
      </w:r>
      <w:r>
        <w:rPr>
          <w:rFonts w:hint="eastAsia" w:ascii="宋体" w:hAnsi="宋体" w:eastAsia="宋体" w:cs="宋体"/>
          <w:lang w:val="en-US" w:eastAsia="zh-CN"/>
        </w:rPr>
        <w:t xml:space="preserve"> </w:t>
      </w:r>
      <w:r>
        <w:rPr>
          <w:rFonts w:hint="eastAsia" w:ascii="宋体" w:hAnsi="宋体" w:eastAsia="宋体" w:cs="宋体"/>
        </w:rPr>
        <w:t>600 mm～800 mm</w:t>
      </w:r>
      <w:r>
        <w:rPr>
          <w:rFonts w:hint="eastAsia" w:ascii="宋体" w:hAnsi="宋体" w:eastAsia="宋体" w:cs="宋体"/>
          <w:lang w:val="en-US" w:eastAsia="zh-CN"/>
        </w:rPr>
        <w:t xml:space="preserve"> </w:t>
      </w:r>
      <w:r>
        <w:rPr>
          <w:rFonts w:hint="eastAsia" w:ascii="宋体" w:hAnsi="宋体" w:eastAsia="宋体" w:cs="宋体"/>
        </w:rPr>
        <w:t>应有一个锁点。</w:t>
      </w:r>
    </w:p>
    <w:p w14:paraId="18727A68">
      <w:pPr>
        <w:pStyle w:val="95"/>
        <w:bidi w:val="0"/>
        <w:ind w:left="0" w:leftChars="0" w:firstLine="0" w:firstLineChars="0"/>
        <w:rPr>
          <w:rFonts w:hint="eastAsia" w:ascii="宋体" w:hAnsi="宋体" w:eastAsia="宋体" w:cs="宋体"/>
        </w:rPr>
      </w:pPr>
      <w:r>
        <w:rPr>
          <w:rFonts w:hint="eastAsia" w:ascii="宋体" w:hAnsi="宋体" w:eastAsia="宋体" w:cs="宋体"/>
        </w:rPr>
        <w:t>外窗下框不宜开设贯通型安装孔，开设贯通型安装孔的外窗下框，应采取有效的防水密封构造。</w:t>
      </w:r>
    </w:p>
    <w:p w14:paraId="7ACEB627">
      <w:pPr>
        <w:pStyle w:val="95"/>
        <w:bidi w:val="0"/>
        <w:ind w:left="0" w:leftChars="0" w:firstLine="0" w:firstLineChars="0"/>
        <w:rPr>
          <w:rFonts w:hint="eastAsia" w:ascii="宋体" w:hAnsi="宋体" w:eastAsia="宋体" w:cs="宋体"/>
        </w:rPr>
      </w:pPr>
      <w:r>
        <w:rPr>
          <w:rFonts w:hint="eastAsia" w:ascii="宋体" w:hAnsi="宋体" w:eastAsia="宋体" w:cs="宋体"/>
        </w:rPr>
        <w:t>隐框构造的玻璃下端应设置不少于两个铝合金或不锈钢托条，托条和玻璃面板支承构件之间应可靠连接，托条与玻璃之间应设置柔性垫片。托条截面应通过计算确定，并应能承受该分格玻璃的重力荷载设计值。中空玻璃的托条应能托至外片玻璃。</w:t>
      </w:r>
    </w:p>
    <w:p w14:paraId="672EF638">
      <w:pPr>
        <w:pStyle w:val="95"/>
        <w:bidi w:val="0"/>
        <w:ind w:left="0" w:leftChars="0" w:firstLine="0" w:firstLineChars="0"/>
        <w:rPr>
          <w:rFonts w:hint="eastAsia" w:ascii="宋体" w:hAnsi="宋体" w:eastAsia="宋体" w:cs="宋体"/>
        </w:rPr>
      </w:pPr>
      <w:r>
        <w:rPr>
          <w:rFonts w:hint="eastAsia" w:ascii="宋体" w:hAnsi="宋体" w:eastAsia="宋体" w:cs="宋体"/>
        </w:rPr>
        <w:t>不同金属材料接触面应采取防止双金属腐蚀的措施。</w:t>
      </w:r>
    </w:p>
    <w:p w14:paraId="0FA8AC85">
      <w:pPr>
        <w:pStyle w:val="95"/>
        <w:bidi w:val="0"/>
        <w:ind w:left="0" w:leftChars="0" w:firstLine="0" w:firstLineChars="0"/>
        <w:rPr>
          <w:rFonts w:hint="eastAsia" w:ascii="宋体" w:hAnsi="宋体" w:eastAsia="宋体" w:cs="宋体"/>
        </w:rPr>
      </w:pPr>
      <w:r>
        <w:rPr>
          <w:rFonts w:hint="eastAsia" w:ascii="宋体" w:hAnsi="宋体" w:eastAsia="宋体" w:cs="宋体"/>
        </w:rPr>
        <w:t>窗附件、五金配件的安装连接构造应具有更换和维修的便利性。</w:t>
      </w:r>
    </w:p>
    <w:p w14:paraId="54EF2C8D">
      <w:pPr>
        <w:pStyle w:val="66"/>
        <w:spacing w:before="120" w:after="120"/>
      </w:pPr>
      <w:bookmarkStart w:id="77" w:name="_Toc24724"/>
      <w:r>
        <w:rPr>
          <w:rFonts w:hint="eastAsia"/>
        </w:rPr>
        <w:t>附加构造</w:t>
      </w:r>
      <w:bookmarkEnd w:id="77"/>
    </w:p>
    <w:p w14:paraId="768D0CF0">
      <w:pPr>
        <w:pStyle w:val="95"/>
        <w:bidi w:val="0"/>
        <w:ind w:left="0" w:leftChars="0" w:firstLine="0" w:firstLineChars="0"/>
        <w:rPr>
          <w:rFonts w:hint="eastAsia" w:ascii="宋体" w:hAnsi="宋体" w:eastAsia="宋体" w:cs="宋体"/>
        </w:rPr>
      </w:pPr>
      <w:r>
        <w:rPr>
          <w:rFonts w:hint="eastAsia" w:ascii="宋体" w:hAnsi="宋体" w:eastAsia="宋体" w:cs="宋体"/>
        </w:rPr>
        <w:t>应根据窗的功能和设计使用要求设置童锁、防雷等安全性装置。</w:t>
      </w:r>
    </w:p>
    <w:p w14:paraId="1C364CB9">
      <w:pPr>
        <w:pStyle w:val="95"/>
        <w:bidi w:val="0"/>
        <w:ind w:left="0" w:leftChars="0" w:firstLine="0" w:firstLineChars="0"/>
        <w:rPr>
          <w:rFonts w:hint="eastAsia" w:ascii="宋体" w:hAnsi="宋体" w:eastAsia="宋体" w:cs="宋体"/>
        </w:rPr>
      </w:pPr>
      <w:r>
        <w:rPr>
          <w:rFonts w:hint="eastAsia" w:ascii="宋体" w:hAnsi="宋体" w:eastAsia="宋体" w:cs="宋体"/>
        </w:rPr>
        <w:t>应根据窗的功能和设计使用要求设置防蚊纱、挡水板等功能性装置。</w:t>
      </w:r>
    </w:p>
    <w:p w14:paraId="6A2A20A8">
      <w:pPr>
        <w:pStyle w:val="106"/>
        <w:spacing w:before="120" w:after="120"/>
      </w:pPr>
      <w:bookmarkStart w:id="78" w:name="_Toc4606"/>
      <w:r>
        <w:rPr>
          <w:rFonts w:hint="eastAsia"/>
        </w:rPr>
        <w:t>性能</w:t>
      </w:r>
      <w:bookmarkEnd w:id="78"/>
    </w:p>
    <w:p w14:paraId="6D33C9DC">
      <w:pPr>
        <w:pStyle w:val="66"/>
        <w:spacing w:before="120" w:after="120"/>
      </w:pPr>
      <w:bookmarkStart w:id="79" w:name="_Toc31101"/>
      <w:r>
        <w:rPr>
          <w:rFonts w:hint="eastAsia"/>
        </w:rPr>
        <w:t>抗风压性能</w:t>
      </w:r>
      <w:bookmarkEnd w:id="79"/>
    </w:p>
    <w:p w14:paraId="3B695FFB">
      <w:pPr>
        <w:pStyle w:val="95"/>
        <w:bidi w:val="0"/>
        <w:ind w:left="0" w:leftChars="0" w:firstLine="0" w:firstLineChars="0"/>
        <w:rPr>
          <w:rFonts w:hint="eastAsia" w:ascii="宋体" w:hAnsi="宋体" w:eastAsia="宋体" w:cs="宋体"/>
          <w:lang w:eastAsia="zh-CN"/>
        </w:rPr>
      </w:pPr>
      <w:r>
        <w:rPr>
          <w:rFonts w:hint="eastAsia" w:ascii="宋体" w:hAnsi="宋体" w:eastAsia="宋体" w:cs="宋体"/>
        </w:rPr>
        <w:t>外窗的抗风压性分级应符合</w:t>
      </w:r>
      <w:r>
        <w:rPr>
          <w:rFonts w:hint="eastAsia" w:ascii="宋体" w:hAnsi="宋体" w:eastAsia="宋体" w:cs="宋体"/>
          <w:lang w:val="en-US" w:eastAsia="zh-CN"/>
        </w:rPr>
        <w:t xml:space="preserve"> </w:t>
      </w:r>
      <w:r>
        <w:rPr>
          <w:rFonts w:hint="eastAsia" w:ascii="宋体" w:hAnsi="宋体" w:eastAsia="宋体" w:cs="宋体"/>
        </w:rPr>
        <w:t>GB/T 31433</w:t>
      </w:r>
      <w:r>
        <w:rPr>
          <w:rFonts w:hint="eastAsia" w:ascii="宋体" w:hAnsi="宋体" w:eastAsia="宋体" w:cs="宋体"/>
          <w:lang w:val="en-US" w:eastAsia="zh-CN"/>
        </w:rPr>
        <w:t xml:space="preserve"> </w:t>
      </w:r>
      <w:r>
        <w:rPr>
          <w:rFonts w:hint="eastAsia" w:ascii="宋体" w:hAnsi="宋体" w:eastAsia="宋体" w:cs="宋体"/>
        </w:rPr>
        <w:t>的规定，且不应低于</w:t>
      </w:r>
      <w:r>
        <w:rPr>
          <w:rFonts w:hint="eastAsia" w:ascii="宋体" w:hAnsi="宋体" w:eastAsia="宋体" w:cs="宋体"/>
          <w:lang w:val="en-US" w:eastAsia="zh-CN"/>
        </w:rPr>
        <w:t xml:space="preserve"> </w:t>
      </w:r>
      <w:r>
        <w:rPr>
          <w:rFonts w:hint="eastAsia" w:ascii="宋体" w:hAnsi="宋体" w:eastAsia="宋体" w:cs="宋体"/>
        </w:rPr>
        <w:t>5</w:t>
      </w:r>
      <w:r>
        <w:rPr>
          <w:rFonts w:hint="eastAsia" w:ascii="宋体" w:hAnsi="宋体" w:eastAsia="宋体" w:cs="宋体"/>
          <w:lang w:val="en-US" w:eastAsia="zh-CN"/>
        </w:rPr>
        <w:t xml:space="preserve"> </w:t>
      </w:r>
      <w:r>
        <w:rPr>
          <w:rFonts w:hint="eastAsia" w:ascii="宋体" w:hAnsi="宋体" w:eastAsia="宋体" w:cs="宋体"/>
        </w:rPr>
        <w:t>级。在关闭状态下，性能分级指标值</w:t>
      </w:r>
      <w:r>
        <w:rPr>
          <w:rFonts w:hint="eastAsia" w:ascii="宋体" w:hAnsi="宋体" w:eastAsia="宋体" w:cs="宋体"/>
          <w:lang w:val="en-US" w:eastAsia="zh-CN"/>
        </w:rPr>
        <w:t xml:space="preserve"> </w:t>
      </w:r>
      <m:oMath>
        <m:sSub>
          <m:sSubPr>
            <m:ctrlPr>
              <w:rPr>
                <w:rFonts w:hint="eastAsia" w:ascii="Cambria Math" w:hAnsi="Cambria Math" w:eastAsia="宋体" w:cs="宋体"/>
              </w:rPr>
            </m:ctrlPr>
          </m:sSubPr>
          <m:e>
            <m:r>
              <m:rPr>
                <m:sty m:val="p"/>
              </m:rPr>
              <w:rPr>
                <w:rFonts w:hint="default" w:ascii="Cambria Math" w:hAnsi="Cambria Math" w:eastAsia="宋体" w:cs="宋体"/>
                <w:lang w:val="en-US" w:eastAsia="zh-CN"/>
              </w:rPr>
              <m:t>P</m:t>
            </m:r>
            <m:ctrlPr>
              <w:rPr>
                <w:rFonts w:hint="eastAsia" w:ascii="Cambria Math" w:hAnsi="Cambria Math" w:eastAsia="宋体" w:cs="宋体"/>
              </w:rPr>
            </m:ctrlPr>
          </m:e>
          <m:sub>
            <m:r>
              <m:rPr>
                <m:sty m:val="p"/>
              </m:rPr>
              <w:rPr>
                <w:rFonts w:hint="default" w:ascii="Cambria Math" w:hAnsi="Cambria Math" w:eastAsia="宋体" w:cs="宋体"/>
                <w:lang w:val="en-US" w:eastAsia="zh-CN"/>
              </w:rPr>
              <m:t>3</m:t>
            </m:r>
            <m:ctrlPr>
              <w:rPr>
                <w:rFonts w:hint="eastAsia" w:ascii="Cambria Math" w:hAnsi="Cambria Math" w:eastAsia="宋体" w:cs="宋体"/>
              </w:rPr>
            </m:ctrlPr>
          </m:sub>
        </m:sSub>
      </m:oMath>
      <w:r>
        <w:rPr>
          <w:rFonts w:hint="eastAsia" w:ascii="宋体" w:hAnsi="宋体" w:eastAsia="宋体" w:cs="宋体"/>
          <w:lang w:val="en-US" w:eastAsia="zh-CN"/>
        </w:rPr>
        <w:t xml:space="preserve"> </w:t>
      </w:r>
      <w:r>
        <w:rPr>
          <w:rFonts w:hint="eastAsia" w:ascii="宋体" w:hAnsi="宋体" w:eastAsia="宋体" w:cs="宋体"/>
        </w:rPr>
        <w:t>风压作用下，主要受力杆件面法线挠度应符合表</w:t>
      </w:r>
      <w:r>
        <w:rPr>
          <w:rFonts w:hint="eastAsia" w:ascii="宋体" w:hAnsi="宋体" w:eastAsia="宋体" w:cs="宋体"/>
          <w:lang w:val="en-US" w:eastAsia="zh-CN"/>
        </w:rPr>
        <w:t xml:space="preserve"> 9 </w:t>
      </w:r>
      <w:r>
        <w:rPr>
          <w:rFonts w:hint="eastAsia" w:ascii="宋体" w:hAnsi="宋体" w:eastAsia="宋体" w:cs="宋体"/>
        </w:rPr>
        <w:t>的规定，且不应出现使用功能障碍；在1.5</w:t>
      </w:r>
      <w:r>
        <w:rPr>
          <w:rFonts w:hint="eastAsia" w:ascii="宋体" w:hAnsi="宋体" w:eastAsia="宋体" w:cs="宋体"/>
          <w:lang w:val="en-US" w:eastAsia="zh-CN"/>
        </w:rPr>
        <w:t xml:space="preserve"> </w:t>
      </w:r>
      <m:oMath>
        <m:sSub>
          <m:sSubPr>
            <m:ctrlPr>
              <w:rPr>
                <w:rFonts w:hint="eastAsia" w:ascii="Cambria Math" w:hAnsi="Cambria Math" w:eastAsia="宋体" w:cs="宋体"/>
              </w:rPr>
            </m:ctrlPr>
          </m:sSubPr>
          <m:e>
            <m:r>
              <m:rPr>
                <m:sty m:val="p"/>
              </m:rPr>
              <w:rPr>
                <w:rFonts w:hint="default" w:ascii="Cambria Math" w:hAnsi="Cambria Math" w:eastAsia="宋体" w:cs="宋体"/>
                <w:lang w:val="en-US" w:eastAsia="zh-CN"/>
              </w:rPr>
              <m:t>P</m:t>
            </m:r>
            <m:ctrlPr>
              <w:rPr>
                <w:rFonts w:hint="eastAsia" w:ascii="Cambria Math" w:hAnsi="Cambria Math" w:eastAsia="宋体" w:cs="宋体"/>
              </w:rPr>
            </m:ctrlPr>
          </m:e>
          <m:sub>
            <m:r>
              <m:rPr>
                <m:sty m:val="p"/>
              </m:rPr>
              <w:rPr>
                <w:rFonts w:hint="default" w:ascii="Cambria Math" w:hAnsi="Cambria Math" w:eastAsia="宋体" w:cs="宋体"/>
                <w:lang w:val="en-US" w:eastAsia="zh-CN"/>
              </w:rPr>
              <m:t>3</m:t>
            </m:r>
            <m:ctrlPr>
              <w:rPr>
                <w:rFonts w:hint="eastAsia" w:ascii="Cambria Math" w:hAnsi="Cambria Math" w:eastAsia="宋体" w:cs="宋体"/>
              </w:rPr>
            </m:ctrlPr>
          </m:sub>
        </m:sSub>
      </m:oMath>
      <w:r>
        <w:rPr>
          <w:rFonts w:hint="eastAsia" w:ascii="宋体" w:hAnsi="宋体" w:eastAsia="宋体" w:cs="宋体"/>
          <w:lang w:val="en-US" w:eastAsia="zh-CN"/>
        </w:rPr>
        <w:t xml:space="preserve"> </w:t>
      </w:r>
      <w:r>
        <w:rPr>
          <w:rFonts w:hint="eastAsia" w:ascii="宋体" w:hAnsi="宋体" w:eastAsia="宋体" w:cs="宋体"/>
        </w:rPr>
        <w:t>风压作用下不应出现危及人身安全的损坏</w:t>
      </w:r>
      <w:r>
        <w:rPr>
          <w:rFonts w:hint="eastAsia" w:ascii="宋体" w:hAnsi="宋体" w:eastAsia="宋体" w:cs="宋体"/>
          <w:lang w:eastAsia="zh-CN"/>
        </w:rPr>
        <w:t>。</w:t>
      </w:r>
    </w:p>
    <w:p w14:paraId="5493E498">
      <w:pPr>
        <w:pStyle w:val="95"/>
        <w:bidi w:val="0"/>
        <w:ind w:left="0" w:leftChars="0" w:firstLine="0" w:firstLineChars="0"/>
        <w:rPr>
          <w:rFonts w:hint="eastAsia" w:ascii="宋体" w:hAnsi="宋体" w:eastAsia="宋体" w:cs="宋体"/>
        </w:rPr>
      </w:pPr>
      <w:r>
        <w:rPr>
          <w:rFonts w:hint="eastAsia" w:ascii="宋体" w:hAnsi="宋体" w:eastAsia="宋体" w:cs="宋体"/>
        </w:rPr>
        <w:t>在抗风压性能分级指标值的抗风压</w:t>
      </w:r>
      <w:r>
        <w:rPr>
          <w:rFonts w:hint="eastAsia" w:ascii="宋体" w:hAnsi="宋体" w:eastAsia="宋体" w:cs="宋体"/>
          <w:lang w:val="en-US" w:eastAsia="zh-CN"/>
        </w:rPr>
        <w:t xml:space="preserve"> </w:t>
      </w:r>
      <m:oMath>
        <m:sSub>
          <m:sSubPr>
            <m:ctrlPr>
              <w:rPr>
                <w:rFonts w:hint="eastAsia" w:ascii="Cambria Math" w:hAnsi="Cambria Math" w:eastAsia="宋体" w:cs="宋体"/>
              </w:rPr>
            </m:ctrlPr>
          </m:sSubPr>
          <m:e>
            <m:r>
              <m:rPr>
                <m:sty m:val="p"/>
              </m:rPr>
              <w:rPr>
                <w:rFonts w:hint="default" w:ascii="Cambria Math" w:hAnsi="Cambria Math" w:eastAsia="宋体" w:cs="宋体"/>
                <w:lang w:val="en-US" w:eastAsia="zh-CN"/>
              </w:rPr>
              <m:t>P</m:t>
            </m:r>
            <m:ctrlPr>
              <w:rPr>
                <w:rFonts w:hint="eastAsia" w:ascii="Cambria Math" w:hAnsi="Cambria Math" w:eastAsia="宋体" w:cs="宋体"/>
              </w:rPr>
            </m:ctrlPr>
          </m:e>
          <m:sub>
            <m:r>
              <m:rPr>
                <m:sty m:val="p"/>
              </m:rPr>
              <w:rPr>
                <w:rFonts w:hint="default" w:ascii="Cambria Math" w:hAnsi="Cambria Math" w:eastAsia="宋体" w:cs="宋体"/>
                <w:lang w:val="en-US" w:eastAsia="zh-CN"/>
              </w:rPr>
              <m:t>3</m:t>
            </m:r>
            <m:ctrlPr>
              <w:rPr>
                <w:rFonts w:hint="eastAsia" w:ascii="Cambria Math" w:hAnsi="Cambria Math" w:eastAsia="宋体" w:cs="宋体"/>
              </w:rPr>
            </m:ctrlPr>
          </m:sub>
        </m:sSub>
      </m:oMath>
      <w:r>
        <w:rPr>
          <w:rFonts w:hint="eastAsia" w:ascii="宋体" w:hAnsi="宋体" w:eastAsia="宋体" w:cs="宋体"/>
          <w:lang w:val="en-US" w:eastAsia="zh-CN"/>
        </w:rPr>
        <w:t xml:space="preserve"> </w:t>
      </w:r>
      <w:r>
        <w:rPr>
          <w:rFonts w:hint="eastAsia" w:ascii="宋体" w:hAnsi="宋体" w:eastAsia="宋体" w:cs="宋体"/>
        </w:rPr>
        <w:t>风压作用下，玻璃面板的挠度允许值为其短边边长的</w:t>
      </w:r>
      <w:r>
        <w:rPr>
          <w:rFonts w:hint="eastAsia" w:ascii="宋体" w:hAnsi="宋体" w:eastAsia="宋体" w:cs="宋体"/>
          <w:lang w:val="en-US" w:eastAsia="zh-CN"/>
        </w:rPr>
        <w:t xml:space="preserve"> </w:t>
      </w:r>
      <w:r>
        <w:rPr>
          <w:rFonts w:hint="eastAsia" w:ascii="宋体" w:hAnsi="宋体" w:eastAsia="宋体" w:cs="宋体"/>
        </w:rPr>
        <w:t>1/60</w:t>
      </w:r>
      <w:r>
        <w:rPr>
          <w:rFonts w:hint="eastAsia" w:ascii="宋体" w:hAnsi="宋体" w:eastAsia="宋体" w:cs="宋体"/>
          <w:lang w:val="en-US" w:eastAsia="zh-CN"/>
        </w:rPr>
        <w:t xml:space="preserve"> </w:t>
      </w:r>
      <w:r>
        <w:rPr>
          <w:rFonts w:hint="eastAsia" w:ascii="宋体" w:hAnsi="宋体" w:eastAsia="宋体" w:cs="宋体"/>
        </w:rPr>
        <w:t>；在1.5</w:t>
      </w:r>
      <w:r>
        <w:rPr>
          <w:rFonts w:hint="eastAsia" w:ascii="宋体" w:hAnsi="宋体" w:eastAsia="宋体" w:cs="宋体"/>
          <w:lang w:val="en-US" w:eastAsia="zh-CN"/>
        </w:rPr>
        <w:t xml:space="preserve"> </w:t>
      </w:r>
      <m:oMath>
        <m:sSub>
          <m:sSubPr>
            <m:ctrlPr>
              <w:rPr>
                <w:rFonts w:hint="eastAsia" w:ascii="Cambria Math" w:hAnsi="Cambria Math" w:eastAsia="宋体" w:cs="宋体"/>
              </w:rPr>
            </m:ctrlPr>
          </m:sSubPr>
          <m:e>
            <m:r>
              <m:rPr>
                <m:sty m:val="p"/>
              </m:rPr>
              <w:rPr>
                <w:rFonts w:hint="default" w:ascii="Cambria Math" w:hAnsi="Cambria Math" w:eastAsia="宋体" w:cs="宋体"/>
                <w:lang w:val="en-US" w:eastAsia="zh-CN"/>
              </w:rPr>
              <m:t>P</m:t>
            </m:r>
            <m:ctrlPr>
              <w:rPr>
                <w:rFonts w:hint="eastAsia" w:ascii="Cambria Math" w:hAnsi="Cambria Math" w:eastAsia="宋体" w:cs="宋体"/>
              </w:rPr>
            </m:ctrlPr>
          </m:e>
          <m:sub>
            <m:r>
              <m:rPr>
                <m:sty m:val="p"/>
              </m:rPr>
              <w:rPr>
                <w:rFonts w:hint="default" w:ascii="Cambria Math" w:hAnsi="Cambria Math" w:eastAsia="宋体" w:cs="宋体"/>
                <w:lang w:val="en-US" w:eastAsia="zh-CN"/>
              </w:rPr>
              <m:t>3</m:t>
            </m:r>
            <m:ctrlPr>
              <w:rPr>
                <w:rFonts w:hint="eastAsia" w:ascii="Cambria Math" w:hAnsi="Cambria Math" w:eastAsia="宋体" w:cs="宋体"/>
              </w:rPr>
            </m:ctrlPr>
          </m:sub>
        </m:sSub>
      </m:oMath>
      <w:r>
        <w:rPr>
          <w:rFonts w:hint="eastAsia" w:ascii="宋体" w:hAnsi="宋体" w:eastAsia="宋体" w:cs="宋体"/>
          <w:lang w:val="en-US" w:eastAsia="zh-CN"/>
        </w:rPr>
        <w:t xml:space="preserve"> </w:t>
      </w:r>
      <w:r>
        <w:rPr>
          <w:rFonts w:hint="eastAsia" w:ascii="宋体" w:hAnsi="宋体" w:eastAsia="宋体" w:cs="宋体"/>
        </w:rPr>
        <w:t>风压作用下，玻璃面板不应发生破坏。</w:t>
      </w:r>
    </w:p>
    <w:p w14:paraId="48B56ED7">
      <w:pPr>
        <w:pStyle w:val="113"/>
        <w:spacing w:before="120" w:after="120"/>
      </w:pPr>
      <w:r>
        <w:rPr>
          <w:rFonts w:hint="eastAsia"/>
        </w:rPr>
        <w:t>主要受力杆件面法线挠度允许值</w:t>
      </w:r>
    </w:p>
    <w:p w14:paraId="7369FCDA">
      <w:pPr>
        <w:pStyle w:val="57"/>
        <w:spacing w:before="120" w:after="120"/>
        <w:ind w:firstLine="360"/>
        <w:jc w:val="right"/>
        <w:rPr>
          <w:sz w:val="18"/>
          <w:szCs w:val="18"/>
        </w:rPr>
      </w:pPr>
      <w:r>
        <w:rPr>
          <w:rFonts w:hint="eastAsia" w:hAnsi="宋体"/>
          <w:sz w:val="18"/>
          <w:szCs w:val="18"/>
        </w:rPr>
        <w:t>单位为毫米</w:t>
      </w:r>
    </w:p>
    <w:tbl>
      <w:tblPr>
        <w:tblStyle w:val="2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14"/>
        <w:gridCol w:w="3115"/>
        <w:gridCol w:w="3115"/>
      </w:tblGrid>
      <w:tr w14:paraId="31E77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Borders>
              <w:top w:val="single" w:color="auto" w:sz="8" w:space="0"/>
              <w:left w:val="single" w:color="auto" w:sz="8" w:space="0"/>
              <w:bottom w:val="single" w:color="auto" w:sz="8" w:space="0"/>
              <w:right w:val="single" w:color="auto" w:sz="4" w:space="0"/>
            </w:tcBorders>
            <w:vAlign w:val="center"/>
          </w:tcPr>
          <w:p w14:paraId="441633BA">
            <w:pPr>
              <w:pStyle w:val="57"/>
              <w:ind w:firstLine="0" w:firstLineChars="0"/>
              <w:jc w:val="center"/>
              <w:rPr>
                <w:szCs w:val="21"/>
              </w:rPr>
            </w:pPr>
            <w:r>
              <w:rPr>
                <w:rFonts w:hint="eastAsia" w:hAnsi="宋体"/>
                <w:sz w:val="18"/>
                <w:szCs w:val="18"/>
              </w:rPr>
              <w:t>支承玻璃种类</w:t>
            </w:r>
          </w:p>
        </w:tc>
        <w:tc>
          <w:tcPr>
            <w:tcW w:w="3115" w:type="dxa"/>
            <w:tcBorders>
              <w:top w:val="single" w:color="auto" w:sz="8" w:space="0"/>
              <w:left w:val="single" w:color="auto" w:sz="4" w:space="0"/>
              <w:bottom w:val="single" w:color="auto" w:sz="8" w:space="0"/>
              <w:right w:val="single" w:color="auto" w:sz="4" w:space="0"/>
            </w:tcBorders>
            <w:vAlign w:val="center"/>
          </w:tcPr>
          <w:p w14:paraId="22CB3C37">
            <w:pPr>
              <w:pStyle w:val="57"/>
              <w:ind w:firstLine="0" w:firstLineChars="0"/>
              <w:jc w:val="center"/>
            </w:pPr>
            <w:r>
              <w:rPr>
                <w:rFonts w:hint="eastAsia" w:hAnsi="宋体"/>
                <w:sz w:val="18"/>
                <w:szCs w:val="18"/>
              </w:rPr>
              <w:t>单层玻璃、夹层玻璃</w:t>
            </w:r>
          </w:p>
        </w:tc>
        <w:tc>
          <w:tcPr>
            <w:tcW w:w="3115" w:type="dxa"/>
            <w:tcBorders>
              <w:top w:val="single" w:color="auto" w:sz="8" w:space="0"/>
              <w:left w:val="single" w:color="auto" w:sz="4" w:space="0"/>
              <w:bottom w:val="single" w:color="auto" w:sz="8" w:space="0"/>
              <w:right w:val="single" w:color="auto" w:sz="8" w:space="0"/>
            </w:tcBorders>
            <w:vAlign w:val="center"/>
          </w:tcPr>
          <w:p w14:paraId="69D1D50E">
            <w:pPr>
              <w:pStyle w:val="57"/>
              <w:ind w:firstLine="0" w:firstLineChars="0"/>
              <w:jc w:val="center"/>
            </w:pPr>
            <w:r>
              <w:rPr>
                <w:rFonts w:hint="eastAsia" w:hAnsi="宋体"/>
                <w:sz w:val="18"/>
                <w:szCs w:val="18"/>
              </w:rPr>
              <w:t>中空玻璃</w:t>
            </w:r>
          </w:p>
        </w:tc>
      </w:tr>
      <w:tr w14:paraId="6C0499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Borders>
              <w:top w:val="single" w:color="auto" w:sz="8" w:space="0"/>
              <w:left w:val="single" w:color="auto" w:sz="8" w:space="0"/>
              <w:bottom w:val="single" w:color="auto" w:sz="4" w:space="0"/>
              <w:right w:val="single" w:color="auto" w:sz="4" w:space="0"/>
            </w:tcBorders>
            <w:vAlign w:val="center"/>
          </w:tcPr>
          <w:p w14:paraId="1850FA4C">
            <w:pPr>
              <w:pStyle w:val="57"/>
              <w:ind w:firstLine="0" w:firstLineChars="0"/>
              <w:jc w:val="center"/>
            </w:pPr>
            <w:r>
              <w:rPr>
                <w:rFonts w:hint="eastAsia" w:hAnsi="宋体"/>
                <w:sz w:val="18"/>
                <w:szCs w:val="18"/>
              </w:rPr>
              <w:t>相对挠度值</w:t>
            </w:r>
          </w:p>
        </w:tc>
        <w:tc>
          <w:tcPr>
            <w:tcW w:w="3115" w:type="dxa"/>
            <w:tcBorders>
              <w:top w:val="single" w:color="auto" w:sz="8" w:space="0"/>
              <w:left w:val="single" w:color="auto" w:sz="4" w:space="0"/>
              <w:bottom w:val="single" w:color="auto" w:sz="4" w:space="0"/>
              <w:right w:val="single" w:color="auto" w:sz="4" w:space="0"/>
            </w:tcBorders>
            <w:vAlign w:val="center"/>
          </w:tcPr>
          <w:p w14:paraId="759F06C1">
            <w:pPr>
              <w:pStyle w:val="57"/>
              <w:ind w:firstLine="0" w:firstLineChars="0"/>
              <w:jc w:val="center"/>
            </w:pPr>
            <w:r>
              <w:rPr>
                <w:rFonts w:hint="eastAsia" w:hAnsi="宋体"/>
                <w:position w:val="-10"/>
                <w:sz w:val="18"/>
                <w:szCs w:val="18"/>
              </w:rPr>
              <w:object>
                <v:shape id="_x0000_i1025" o:spt="75" type="#_x0000_t75" style="height:17pt;width:9pt;" o:ole="t" filled="f" o:preferrelative="t" stroked="f" coordsize="21600,21600">
                  <v:path/>
                  <v:fill on="f" focussize="0,0"/>
                  <v:stroke on="f"/>
                  <v:imagedata r:id="rId22" o:title=""/>
                  <o:lock v:ext="edit" aspectratio="t"/>
                  <w10:wrap type="none"/>
                  <w10:anchorlock/>
                </v:shape>
                <o:OLEObject Type="Embed" ProgID="Equation.KSEE3" ShapeID="_x0000_i1025" DrawAspect="Content" ObjectID="_1468075725" r:id="rId21">
                  <o:LockedField>false</o:LockedField>
                </o:OLEObject>
              </w:object>
            </w:r>
            <m:oMath>
              <m:r>
                <m:rPr/>
                <w:rPr>
                  <w:rFonts w:hint="default" w:ascii="Cambria Math" w:hAnsi="Cambria Math" w:cs="Times New Roman"/>
                  <w:sz w:val="18"/>
                  <w:szCs w:val="18"/>
                  <w:lang w:val="en-US" w:eastAsia="zh-CN" w:bidi="ar-SA"/>
                </w:rPr>
                <m:t>L</m:t>
              </m:r>
            </m:oMath>
            <w:r>
              <w:rPr>
                <w:rFonts w:hint="eastAsia" w:hAnsi="宋体"/>
                <w:sz w:val="18"/>
                <w:szCs w:val="18"/>
              </w:rPr>
              <w:t>/100</w:t>
            </w:r>
          </w:p>
        </w:tc>
        <w:tc>
          <w:tcPr>
            <w:tcW w:w="3115" w:type="dxa"/>
            <w:tcBorders>
              <w:top w:val="single" w:color="auto" w:sz="8" w:space="0"/>
              <w:left w:val="single" w:color="auto" w:sz="4" w:space="0"/>
              <w:bottom w:val="single" w:color="auto" w:sz="4" w:space="0"/>
              <w:right w:val="single" w:color="auto" w:sz="8" w:space="0"/>
            </w:tcBorders>
            <w:vAlign w:val="center"/>
          </w:tcPr>
          <w:p w14:paraId="70D30F73">
            <w:pPr>
              <w:pStyle w:val="57"/>
              <w:ind w:firstLine="0" w:firstLineChars="0"/>
              <w:jc w:val="center"/>
            </w:pPr>
            <m:oMath>
              <m:r>
                <m:rPr/>
                <w:rPr>
                  <w:rFonts w:hint="default" w:ascii="Cambria Math" w:hAnsi="Cambria Math" w:cs="Times New Roman"/>
                  <w:sz w:val="18"/>
                  <w:szCs w:val="18"/>
                  <w:lang w:val="en-US" w:eastAsia="zh-CN" w:bidi="ar-SA"/>
                </w:rPr>
                <m:t>L</m:t>
              </m:r>
            </m:oMath>
            <w:r>
              <w:rPr>
                <w:rFonts w:hint="eastAsia" w:hAnsi="宋体"/>
                <w:sz w:val="18"/>
                <w:szCs w:val="18"/>
              </w:rPr>
              <w:t>/150</w:t>
            </w:r>
          </w:p>
        </w:tc>
      </w:tr>
      <w:tr w14:paraId="6AAB4F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114" w:type="dxa"/>
            <w:tcBorders>
              <w:top w:val="single" w:color="auto" w:sz="4" w:space="0"/>
              <w:left w:val="single" w:color="auto" w:sz="8" w:space="0"/>
              <w:bottom w:val="single" w:color="auto" w:sz="8" w:space="0"/>
              <w:right w:val="single" w:color="auto" w:sz="4" w:space="0"/>
            </w:tcBorders>
            <w:vAlign w:val="center"/>
          </w:tcPr>
          <w:p w14:paraId="0794C925">
            <w:pPr>
              <w:pStyle w:val="57"/>
              <w:ind w:firstLine="0" w:firstLineChars="0"/>
              <w:jc w:val="center"/>
            </w:pPr>
            <w:r>
              <w:rPr>
                <w:rFonts w:hint="eastAsia" w:hAnsi="宋体"/>
                <w:sz w:val="18"/>
                <w:szCs w:val="18"/>
              </w:rPr>
              <w:t>挠度最大值</w:t>
            </w:r>
          </w:p>
        </w:tc>
        <w:tc>
          <w:tcPr>
            <w:tcW w:w="6230" w:type="dxa"/>
            <w:gridSpan w:val="2"/>
            <w:tcBorders>
              <w:top w:val="single" w:color="auto" w:sz="4" w:space="0"/>
              <w:left w:val="single" w:color="auto" w:sz="4" w:space="0"/>
              <w:bottom w:val="single" w:color="auto" w:sz="8" w:space="0"/>
              <w:right w:val="single" w:color="auto" w:sz="8" w:space="0"/>
            </w:tcBorders>
            <w:vAlign w:val="center"/>
          </w:tcPr>
          <w:p w14:paraId="71F54D81">
            <w:pPr>
              <w:pStyle w:val="57"/>
              <w:ind w:firstLine="0" w:firstLineChars="0"/>
              <w:jc w:val="center"/>
            </w:pPr>
            <w:r>
              <w:rPr>
                <w:rFonts w:hint="eastAsia" w:hAnsi="宋体"/>
              </w:rPr>
              <w:t>2</w:t>
            </w:r>
            <w:r>
              <w:rPr>
                <w:rFonts w:hint="eastAsia"/>
              </w:rPr>
              <w:t>0</w:t>
            </w:r>
          </w:p>
        </w:tc>
      </w:tr>
      <w:tr w14:paraId="51E60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344" w:type="dxa"/>
            <w:gridSpan w:val="3"/>
            <w:tcBorders>
              <w:top w:val="single" w:color="auto" w:sz="8" w:space="0"/>
              <w:left w:val="single" w:color="auto" w:sz="8" w:space="0"/>
              <w:bottom w:val="single" w:color="auto" w:sz="8" w:space="0"/>
              <w:right w:val="single" w:color="auto" w:sz="8" w:space="0"/>
            </w:tcBorders>
          </w:tcPr>
          <w:p w14:paraId="4915518A">
            <w:pPr>
              <w:pStyle w:val="180"/>
              <w:numPr>
                <w:ilvl w:val="0"/>
                <w:numId w:val="33"/>
              </w:numPr>
            </w:pPr>
            <m:oMath>
              <m:r>
                <m:rPr/>
                <w:rPr>
                  <w:rFonts w:hint="default" w:ascii="Cambria Math" w:hAnsi="Cambria Math" w:cs="Times New Roman"/>
                  <w:sz w:val="18"/>
                  <w:szCs w:val="18"/>
                  <w:lang w:val="en-US" w:eastAsia="zh-CN" w:bidi="ar-SA"/>
                </w:rPr>
                <m:t>L</m:t>
              </m:r>
            </m:oMath>
            <w:r>
              <w:rPr>
                <w:rFonts w:hint="eastAsia" w:hAnsi="Cambria Math" w:cs="Times New Roman"/>
                <w:i w:val="0"/>
                <w:sz w:val="18"/>
                <w:szCs w:val="18"/>
                <w:lang w:val="en-US" w:eastAsia="zh-CN" w:bidi="ar-SA"/>
              </w:rPr>
              <w:t xml:space="preserve"> </w:t>
            </w:r>
            <w:r>
              <w:rPr>
                <w:rFonts w:hint="eastAsia" w:hAnsi="宋体"/>
              </w:rPr>
              <w:t>为主要受力杆件的支承跨距。</w:t>
            </w:r>
          </w:p>
        </w:tc>
      </w:tr>
    </w:tbl>
    <w:p w14:paraId="7FBCD190">
      <w:pPr>
        <w:pStyle w:val="57"/>
        <w:ind w:firstLine="420"/>
        <w:rPr>
          <w:szCs w:val="21"/>
        </w:rPr>
      </w:pPr>
      <w:r>
        <w:rPr>
          <w:rFonts w:hint="eastAsia"/>
        </w:rPr>
        <w:t xml:space="preserve"> </w:t>
      </w:r>
    </w:p>
    <w:p w14:paraId="09C07DFF">
      <w:pPr>
        <w:pStyle w:val="66"/>
        <w:spacing w:before="120" w:after="120"/>
      </w:pPr>
      <w:bookmarkStart w:id="80" w:name="_Toc2943"/>
      <w:r>
        <w:rPr>
          <w:rFonts w:hint="eastAsia"/>
        </w:rPr>
        <w:t>气密性能</w:t>
      </w:r>
      <w:bookmarkEnd w:id="80"/>
    </w:p>
    <w:p w14:paraId="38AE5CB4">
      <w:pPr>
        <w:pStyle w:val="57"/>
        <w:spacing w:before="120" w:after="120"/>
        <w:ind w:firstLine="420"/>
      </w:pPr>
      <w:r>
        <w:rPr>
          <w:rFonts w:hint="eastAsia" w:hAnsi="宋体"/>
        </w:rPr>
        <w:t>气密性能分级及指标绝对值应符合</w:t>
      </w:r>
      <w:r>
        <w:rPr>
          <w:rFonts w:hint="eastAsia" w:hAnsi="宋体"/>
          <w:lang w:val="en-US" w:eastAsia="zh-CN"/>
        </w:rPr>
        <w:t xml:space="preserve"> </w:t>
      </w:r>
      <w:r>
        <w:rPr>
          <w:rFonts w:hint="eastAsia" w:hAnsi="宋体"/>
        </w:rPr>
        <w:t>GB/T 31433</w:t>
      </w:r>
      <w:r>
        <w:rPr>
          <w:rFonts w:hint="eastAsia" w:hAnsi="宋体"/>
          <w:lang w:val="en-US" w:eastAsia="zh-CN"/>
        </w:rPr>
        <w:t xml:space="preserve"> </w:t>
      </w:r>
      <w:r>
        <w:rPr>
          <w:rFonts w:hint="eastAsia" w:hAnsi="宋体"/>
        </w:rPr>
        <w:t>的规定，外窗的气密性能不应小于</w:t>
      </w:r>
      <w:r>
        <w:rPr>
          <w:rFonts w:hint="eastAsia" w:hAnsi="宋体"/>
          <w:lang w:val="en-US" w:eastAsia="zh-CN"/>
        </w:rPr>
        <w:t xml:space="preserve"> 8 </w:t>
      </w:r>
      <w:r>
        <w:rPr>
          <w:rFonts w:hint="eastAsia" w:hAnsi="宋体"/>
        </w:rPr>
        <w:t>级，即单位开启缝长空气渗透量</w:t>
      </w:r>
      <w:r>
        <w:rPr>
          <w:rFonts w:hint="eastAsia" w:hAnsi="宋体"/>
          <w:lang w:val="en-US" w:eastAsia="zh-CN"/>
        </w:rPr>
        <w:t xml:space="preserve"> </w:t>
      </w:r>
      <m:oMath>
        <m:sSub>
          <m:sSubPr>
            <m:ctrlPr>
              <w:rPr>
                <w:rFonts w:ascii="Cambria Math" w:hAnsi="Cambria Math"/>
                <w:i/>
                <w:lang w:val="en-US"/>
              </w:rPr>
            </m:ctrlPr>
          </m:sSubPr>
          <m:e>
            <m:r>
              <m:rPr/>
              <w:rPr>
                <w:rFonts w:hint="default" w:ascii="Cambria Math" w:hAnsi="Cambria Math"/>
                <w:lang w:val="en-US" w:eastAsia="zh-CN"/>
              </w:rPr>
              <m:t>q</m:t>
            </m:r>
            <m:ctrlPr>
              <w:rPr>
                <w:rFonts w:ascii="Cambria Math" w:hAnsi="Cambria Math"/>
                <w:i/>
                <w:lang w:val="en-US"/>
              </w:rPr>
            </m:ctrlPr>
          </m:e>
          <m:sub>
            <m:r>
              <m:rPr/>
              <w:rPr>
                <w:rFonts w:hint="default" w:ascii="Cambria Math" w:hAnsi="Cambria Math"/>
                <w:lang w:val="en-US" w:eastAsia="zh-CN"/>
              </w:rPr>
              <m:t>1</m:t>
            </m:r>
            <m:ctrlPr>
              <w:rPr>
                <w:rFonts w:ascii="Cambria Math" w:hAnsi="Cambria Math"/>
                <w:i/>
                <w:lang w:val="en-US"/>
              </w:rPr>
            </m:ctrlPr>
          </m:sub>
        </m:sSub>
      </m:oMath>
      <w:r>
        <w:rPr>
          <w:rFonts w:hint="eastAsia" w:hAnsi="宋体"/>
        </w:rPr>
        <w:t>≤1.5m³/（m·h），单位面积空气渗透量</w:t>
      </w:r>
      <w:r>
        <w:rPr>
          <w:rFonts w:hint="eastAsia" w:hAnsi="宋体"/>
          <w:lang w:val="en-US" w:eastAsia="zh-CN"/>
        </w:rPr>
        <w:t xml:space="preserve"> </w:t>
      </w:r>
      <m:oMath>
        <m:sSub>
          <m:sSubPr>
            <m:ctrlPr>
              <w:rPr>
                <w:rFonts w:ascii="Cambria Math" w:hAnsi="Cambria Math"/>
                <w:i/>
                <w:lang w:val="en-US"/>
              </w:rPr>
            </m:ctrlPr>
          </m:sSubPr>
          <m:e>
            <m:r>
              <m:rPr/>
              <w:rPr>
                <w:rFonts w:hint="default" w:ascii="Cambria Math" w:hAnsi="Cambria Math"/>
                <w:lang w:val="en-US" w:eastAsia="zh-CN"/>
              </w:rPr>
              <m:t>q</m:t>
            </m:r>
            <m:ctrlPr>
              <w:rPr>
                <w:rFonts w:ascii="Cambria Math" w:hAnsi="Cambria Math"/>
                <w:i/>
                <w:lang w:val="en-US"/>
              </w:rPr>
            </m:ctrlPr>
          </m:e>
          <m:sub>
            <m:r>
              <m:rPr/>
              <w:rPr>
                <w:rFonts w:hint="default" w:ascii="Cambria Math" w:hAnsi="Cambria Math"/>
                <w:lang w:val="en-US" w:eastAsia="zh-CN"/>
              </w:rPr>
              <m:t>2</m:t>
            </m:r>
            <m:ctrlPr>
              <w:rPr>
                <w:rFonts w:ascii="Cambria Math" w:hAnsi="Cambria Math"/>
                <w:i/>
                <w:lang w:val="en-US"/>
              </w:rPr>
            </m:ctrlPr>
          </m:sub>
        </m:sSub>
      </m:oMath>
      <w:r>
        <w:rPr>
          <w:rFonts w:hint="eastAsia" w:hAnsi="宋体"/>
        </w:rPr>
        <w:t>≤4.5</w:t>
      </w:r>
      <w:r>
        <w:rPr>
          <w:rFonts w:hint="eastAsia" w:ascii="MS Mincho" w:hAnsi="MS Mincho" w:eastAsia="MS Mincho" w:cs="MS Mincho"/>
        </w:rPr>
        <w:t> </w:t>
      </w:r>
      <w:r>
        <w:rPr>
          <w:rFonts w:hint="eastAsia" w:hAnsi="宋体"/>
        </w:rPr>
        <w:t>m³/（m²·h）。</w:t>
      </w:r>
    </w:p>
    <w:p w14:paraId="142740A8">
      <w:pPr>
        <w:pStyle w:val="66"/>
        <w:spacing w:before="120" w:after="120"/>
      </w:pPr>
      <w:bookmarkStart w:id="81" w:name="_Toc2284"/>
      <w:r>
        <w:rPr>
          <w:rFonts w:hint="eastAsia"/>
        </w:rPr>
        <w:t>水密性能</w:t>
      </w:r>
      <w:bookmarkEnd w:id="81"/>
    </w:p>
    <w:p w14:paraId="40E829A6">
      <w:pPr>
        <w:pStyle w:val="57"/>
        <w:spacing w:before="120" w:after="120"/>
        <w:ind w:firstLine="420"/>
      </w:pPr>
      <w:r>
        <w:rPr>
          <w:rFonts w:hint="eastAsia" w:hAnsi="宋体"/>
        </w:rPr>
        <w:t>水密性能分级应符合</w:t>
      </w:r>
      <w:r>
        <w:rPr>
          <w:rFonts w:hint="eastAsia" w:hAnsi="宋体"/>
          <w:lang w:val="en-US" w:eastAsia="zh-CN"/>
        </w:rPr>
        <w:t xml:space="preserve"> </w:t>
      </w:r>
      <w:r>
        <w:rPr>
          <w:rFonts w:hint="eastAsia" w:hAnsi="宋体"/>
        </w:rPr>
        <w:t>GB/T 31433</w:t>
      </w:r>
      <w:r>
        <w:rPr>
          <w:rFonts w:hint="eastAsia" w:hAnsi="宋体"/>
          <w:lang w:val="en-US" w:eastAsia="zh-CN"/>
        </w:rPr>
        <w:t xml:space="preserve"> </w:t>
      </w:r>
      <w:r>
        <w:rPr>
          <w:rFonts w:hint="eastAsia" w:hAnsi="宋体"/>
        </w:rPr>
        <w:t>的规定，在性能分级指标值</w:t>
      </w:r>
      <w:r>
        <w:rPr>
          <w:rFonts w:hint="eastAsia" w:hAnsi="宋体"/>
          <w:lang w:val="en-US" w:eastAsia="zh-CN"/>
        </w:rPr>
        <w:t xml:space="preserve"> </w:t>
      </w:r>
      <m:oMath>
        <m:r>
          <m:rPr>
            <m:sty m:val="p"/>
          </m:rPr>
          <w:rPr>
            <w:rFonts w:ascii="Cambria Math" w:hAnsi="Cambria Math"/>
            <w:lang w:val="en-US"/>
          </w:rPr>
          <m:t>Δ</m:t>
        </m:r>
        <m:r>
          <m:rPr>
            <m:sty m:val="p"/>
          </m:rPr>
          <w:rPr>
            <w:rFonts w:hint="default" w:ascii="Cambria Math" w:hAnsi="Cambria Math"/>
            <w:lang w:val="en-US" w:eastAsia="zh-CN"/>
          </w:rPr>
          <m:t>P</m:t>
        </m:r>
      </m:oMath>
      <w:r>
        <w:rPr>
          <w:rFonts w:hint="eastAsia" w:hAnsi="宋体"/>
          <w:lang w:val="en-US" w:eastAsia="zh-CN"/>
        </w:rPr>
        <w:t xml:space="preserve"> </w:t>
      </w:r>
      <w:r>
        <w:rPr>
          <w:rFonts w:hint="eastAsia" w:hAnsi="宋体"/>
        </w:rPr>
        <w:t>的作用下，不应发生渗漏现象。窗的水密性能不应低于</w:t>
      </w:r>
      <w:r>
        <w:rPr>
          <w:rFonts w:hint="eastAsia" w:hAnsi="宋体"/>
          <w:lang w:val="en-US" w:eastAsia="zh-CN"/>
        </w:rPr>
        <w:t xml:space="preserve"> </w:t>
      </w:r>
      <w:r>
        <w:rPr>
          <w:rFonts w:hint="eastAsia" w:hAnsi="宋体"/>
        </w:rPr>
        <w:t>3</w:t>
      </w:r>
      <w:r>
        <w:rPr>
          <w:rFonts w:hint="eastAsia" w:hAnsi="宋体"/>
          <w:lang w:val="en-US" w:eastAsia="zh-CN"/>
        </w:rPr>
        <w:t xml:space="preserve"> </w:t>
      </w:r>
      <w:r>
        <w:rPr>
          <w:rFonts w:hint="eastAsia" w:hAnsi="宋体"/>
        </w:rPr>
        <w:t>级，即水密性能值</w:t>
      </w:r>
      <w:r>
        <w:rPr>
          <w:rFonts w:hint="eastAsia" w:hAnsi="宋体"/>
          <w:lang w:val="en-US" w:eastAsia="zh-CN"/>
        </w:rPr>
        <w:t xml:space="preserve"> </w:t>
      </w:r>
      <m:oMath>
        <m:r>
          <m:rPr>
            <m:sty m:val="p"/>
          </m:rPr>
          <w:rPr>
            <w:rFonts w:ascii="Cambria Math" w:hAnsi="Cambria Math"/>
            <w:lang w:val="en-US"/>
          </w:rPr>
          <m:t>Δ</m:t>
        </m:r>
        <m:r>
          <m:rPr>
            <m:sty m:val="p"/>
          </m:rPr>
          <w:rPr>
            <w:rFonts w:hint="default" w:ascii="Cambria Math" w:hAnsi="Cambria Math"/>
            <w:lang w:val="en-US" w:eastAsia="zh-CN"/>
          </w:rPr>
          <m:t>P</m:t>
        </m:r>
      </m:oMath>
      <w:r>
        <w:rPr>
          <w:rFonts w:hint="eastAsia" w:hAnsi="宋体"/>
          <w:lang w:val="en-US" w:eastAsia="zh-CN"/>
        </w:rPr>
        <w:t xml:space="preserve"> </w:t>
      </w:r>
      <w:r>
        <w:rPr>
          <w:rFonts w:hint="eastAsia" w:hAnsi="宋体"/>
        </w:rPr>
        <w:t>≥350</w:t>
      </w:r>
      <w:r>
        <w:rPr>
          <w:rFonts w:hint="eastAsia" w:ascii="MS Mincho" w:hAnsi="MS Mincho" w:eastAsia="MS Mincho" w:cs="MS Mincho"/>
        </w:rPr>
        <w:t> </w:t>
      </w:r>
      <w:r>
        <w:rPr>
          <w:rFonts w:hint="eastAsia" w:hAnsi="宋体"/>
        </w:rPr>
        <w:t>Pa。</w:t>
      </w:r>
    </w:p>
    <w:p w14:paraId="699FA6E0">
      <w:pPr>
        <w:pStyle w:val="66"/>
        <w:spacing w:before="120" w:after="120"/>
      </w:pPr>
      <w:bookmarkStart w:id="82" w:name="_Toc29649"/>
      <w:r>
        <w:rPr>
          <w:rFonts w:hint="eastAsia"/>
        </w:rPr>
        <w:t>保温性能</w:t>
      </w:r>
      <w:bookmarkEnd w:id="82"/>
    </w:p>
    <w:p w14:paraId="2CD1C9D9">
      <w:pPr>
        <w:pStyle w:val="57"/>
        <w:spacing w:before="120" w:after="120"/>
        <w:ind w:firstLine="420"/>
      </w:pPr>
      <w:r>
        <w:rPr>
          <w:rFonts w:hint="eastAsia" w:hAnsi="宋体"/>
        </w:rPr>
        <w:t>保温性能分级应符合</w:t>
      </w:r>
      <w:r>
        <w:rPr>
          <w:rFonts w:hint="eastAsia" w:hAnsi="宋体"/>
          <w:lang w:val="en-US" w:eastAsia="zh-CN"/>
        </w:rPr>
        <w:t xml:space="preserve"> </w:t>
      </w:r>
      <w:r>
        <w:rPr>
          <w:rFonts w:hint="eastAsia" w:hAnsi="宋体"/>
        </w:rPr>
        <w:t>GB/T 31433</w:t>
      </w:r>
      <w:r>
        <w:rPr>
          <w:rFonts w:hint="eastAsia" w:hAnsi="宋体"/>
          <w:lang w:val="en-US" w:eastAsia="zh-CN"/>
        </w:rPr>
        <w:t xml:space="preserve"> </w:t>
      </w:r>
      <w:r>
        <w:rPr>
          <w:rFonts w:hint="eastAsia" w:hAnsi="宋体"/>
        </w:rPr>
        <w:t>的规定。保温型窗的保温性能应不低于</w:t>
      </w:r>
      <w:r>
        <w:rPr>
          <w:rFonts w:hint="eastAsia" w:hAnsi="宋体"/>
          <w:lang w:val="en-US" w:eastAsia="zh-CN"/>
        </w:rPr>
        <w:t xml:space="preserve"> </w:t>
      </w:r>
      <w:r>
        <w:rPr>
          <w:rFonts w:hint="eastAsia" w:hAnsi="宋体"/>
        </w:rPr>
        <w:t>6</w:t>
      </w:r>
      <w:r>
        <w:rPr>
          <w:rFonts w:hint="eastAsia" w:hAnsi="宋体"/>
          <w:lang w:val="en-US" w:eastAsia="zh-CN"/>
        </w:rPr>
        <w:t xml:space="preserve"> </w:t>
      </w:r>
      <w:r>
        <w:rPr>
          <w:rFonts w:hint="eastAsia" w:hAnsi="宋体"/>
        </w:rPr>
        <w:t>级，即传热系数</w:t>
      </w:r>
      <w:r>
        <w:rPr>
          <w:rFonts w:hint="eastAsia" w:hAnsi="宋体"/>
          <w:lang w:val="en-US" w:eastAsia="zh-CN"/>
        </w:rPr>
        <w:t xml:space="preserve">      </w:t>
      </w:r>
      <m:oMath>
        <m:r>
          <m:rPr/>
          <w:rPr>
            <w:rFonts w:hint="default" w:ascii="Cambria Math" w:hAnsi="Cambria Math" w:cs="Times New Roman"/>
            <w:sz w:val="21"/>
            <w:lang w:val="en-US" w:eastAsia="zh-CN" w:bidi="ar-SA"/>
          </w:rPr>
          <m:t>K</m:t>
        </m:r>
      </m:oMath>
      <w:r>
        <w:rPr>
          <w:rFonts w:hint="eastAsia" w:hAnsi="宋体"/>
        </w:rPr>
        <w:t>≤2.5</w:t>
      </w:r>
      <w:r>
        <w:rPr>
          <w:rFonts w:hint="eastAsia" w:ascii="MS Mincho" w:hAnsi="MS Mincho" w:eastAsia="MS Mincho" w:cs="MS Mincho"/>
        </w:rPr>
        <w:t> </w:t>
      </w:r>
      <w:r>
        <w:rPr>
          <w:rFonts w:hint="eastAsia" w:hAnsi="宋体"/>
        </w:rPr>
        <w:t>W/(m²·K)。</w:t>
      </w:r>
    </w:p>
    <w:p w14:paraId="073967F2">
      <w:pPr>
        <w:pStyle w:val="66"/>
        <w:spacing w:before="120" w:after="120"/>
      </w:pPr>
      <w:bookmarkStart w:id="83" w:name="_Toc16773"/>
      <w:r>
        <w:rPr>
          <w:rFonts w:hint="eastAsia"/>
        </w:rPr>
        <w:t>隔热性能</w:t>
      </w:r>
      <w:bookmarkEnd w:id="83"/>
    </w:p>
    <w:p w14:paraId="405567C9">
      <w:pPr>
        <w:pStyle w:val="57"/>
        <w:spacing w:before="120" w:after="120"/>
        <w:ind w:firstLine="420"/>
        <w:rPr>
          <w:szCs w:val="21"/>
        </w:rPr>
      </w:pPr>
      <w:r>
        <w:rPr>
          <w:rFonts w:hint="eastAsia" w:hAnsi="宋体"/>
        </w:rPr>
        <w:t>隔热性能指标太阳得热系数</w:t>
      </w:r>
      <w:r>
        <w:rPr>
          <w:rFonts w:hint="eastAsia" w:hAnsi="宋体"/>
          <w:lang w:val="en-US" w:eastAsia="zh-CN"/>
        </w:rPr>
        <w:t xml:space="preserve"> </w:t>
      </w:r>
      <w:r>
        <w:rPr>
          <w:rFonts w:hint="eastAsia" w:hAnsi="宋体"/>
        </w:rPr>
        <w:t>SHGC</w:t>
      </w:r>
      <w:r>
        <w:rPr>
          <w:rFonts w:hint="eastAsia" w:hAnsi="宋体"/>
          <w:lang w:val="en-US" w:eastAsia="zh-CN"/>
        </w:rPr>
        <w:t xml:space="preserve"> </w:t>
      </w:r>
      <w:r>
        <w:rPr>
          <w:rFonts w:hint="eastAsia" w:hAnsi="宋体"/>
        </w:rPr>
        <w:t>分级应符合</w:t>
      </w:r>
      <w:r>
        <w:rPr>
          <w:rFonts w:hint="eastAsia" w:hAnsi="宋体"/>
          <w:lang w:val="en-US" w:eastAsia="zh-CN"/>
        </w:rPr>
        <w:t xml:space="preserve"> </w:t>
      </w:r>
      <w:r>
        <w:rPr>
          <w:rFonts w:hint="eastAsia" w:hAnsi="宋体"/>
        </w:rPr>
        <w:t>GB/T 8478</w:t>
      </w:r>
      <w:r>
        <w:rPr>
          <w:rFonts w:hint="eastAsia" w:hAnsi="宋体"/>
          <w:lang w:val="en-US" w:eastAsia="zh-CN"/>
        </w:rPr>
        <w:t xml:space="preserve"> </w:t>
      </w:r>
      <w:r>
        <w:rPr>
          <w:rFonts w:hint="eastAsia" w:hAnsi="宋体"/>
        </w:rPr>
        <w:t>中的规定。隔热型窗的隔热性能不应低于5级，即太阳得热系数</w:t>
      </w:r>
      <w:r>
        <w:rPr>
          <w:rFonts w:hint="eastAsia" w:hAnsi="宋体"/>
          <w:lang w:val="en-US" w:eastAsia="zh-CN"/>
        </w:rPr>
        <w:t xml:space="preserve"> </w:t>
      </w:r>
      <w:r>
        <w:rPr>
          <w:rFonts w:hint="eastAsia" w:hAnsi="宋体"/>
        </w:rPr>
        <w:t>SHGC≤0.4。</w:t>
      </w:r>
    </w:p>
    <w:p w14:paraId="277B5EB1">
      <w:pPr>
        <w:pStyle w:val="66"/>
        <w:spacing w:before="120" w:after="120"/>
      </w:pPr>
      <w:bookmarkStart w:id="84" w:name="_Toc10"/>
      <w:r>
        <w:rPr>
          <w:rFonts w:hint="eastAsia"/>
        </w:rPr>
        <w:t>抗风携碎物冲击性能</w:t>
      </w:r>
      <w:bookmarkEnd w:id="84"/>
    </w:p>
    <w:p w14:paraId="3C248E4D">
      <w:pPr>
        <w:pStyle w:val="175"/>
        <w:numPr>
          <w:ilvl w:val="0"/>
          <w:numId w:val="0"/>
        </w:numPr>
        <w:ind w:left="0" w:firstLine="420" w:firstLineChars="200"/>
        <w:rPr>
          <w:rFonts w:hint="eastAsia" w:hAnsi="宋体"/>
        </w:rPr>
      </w:pPr>
      <w:r>
        <w:rPr>
          <w:rFonts w:hint="eastAsia" w:hAnsi="宋体"/>
        </w:rPr>
        <w:t>抗风携碎物冲击性以发射物的质量m和速度v为指标，分级应符合</w:t>
      </w:r>
      <w:r>
        <w:rPr>
          <w:rFonts w:hint="eastAsia" w:hAnsi="宋体"/>
          <w:lang w:val="en-US" w:eastAsia="zh-CN"/>
        </w:rPr>
        <w:t xml:space="preserve"> </w:t>
      </w:r>
      <w:r>
        <w:rPr>
          <w:rFonts w:hint="eastAsia" w:hAnsi="宋体"/>
        </w:rPr>
        <w:t>GB/T 31433</w:t>
      </w:r>
      <w:r>
        <w:rPr>
          <w:rFonts w:hint="eastAsia" w:hAnsi="宋体"/>
          <w:lang w:val="en-US" w:eastAsia="zh-CN"/>
        </w:rPr>
        <w:t xml:space="preserve"> </w:t>
      </w:r>
      <w:r>
        <w:rPr>
          <w:rFonts w:hint="eastAsia" w:hAnsi="宋体"/>
        </w:rPr>
        <w:t>的规定</w:t>
      </w:r>
      <w:r>
        <w:rPr>
          <w:rFonts w:hint="eastAsia" w:hAnsi="宋体"/>
          <w:lang w:eastAsia="zh-CN"/>
        </w:rPr>
        <w:t>。</w:t>
      </w:r>
      <w:r>
        <w:rPr>
          <w:rFonts w:hint="eastAsia" w:hAnsi="宋体"/>
        </w:rPr>
        <w:t>具有抗风携碎物冲击性要求的窗，应按</w:t>
      </w:r>
      <w:r>
        <w:rPr>
          <w:rFonts w:hint="eastAsia" w:hAnsi="宋体"/>
          <w:lang w:val="en-US" w:eastAsia="zh-CN"/>
        </w:rPr>
        <w:t xml:space="preserve"> </w:t>
      </w:r>
      <w:r>
        <w:rPr>
          <w:rFonts w:hint="eastAsia" w:hAnsi="宋体"/>
        </w:rPr>
        <w:t>GB/T 29738—2013</w:t>
      </w:r>
      <w:r>
        <w:rPr>
          <w:rFonts w:hint="eastAsia" w:hAnsi="宋体"/>
          <w:lang w:val="en-US" w:eastAsia="zh-CN"/>
        </w:rPr>
        <w:t xml:space="preserve"> </w:t>
      </w:r>
      <w:r>
        <w:rPr>
          <w:rFonts w:hint="eastAsia" w:hAnsi="宋体"/>
        </w:rPr>
        <w:t>附录</w:t>
      </w:r>
      <w:r>
        <w:rPr>
          <w:rFonts w:hint="eastAsia" w:hAnsi="宋体"/>
          <w:lang w:val="en-US" w:eastAsia="zh-CN"/>
        </w:rPr>
        <w:t xml:space="preserve"> </w:t>
      </w:r>
      <w:r>
        <w:rPr>
          <w:rFonts w:hint="eastAsia" w:hAnsi="宋体"/>
        </w:rPr>
        <w:t>B</w:t>
      </w:r>
      <w:r>
        <w:rPr>
          <w:rFonts w:hint="eastAsia" w:hAnsi="宋体"/>
          <w:lang w:val="en-US" w:eastAsia="zh-CN"/>
        </w:rPr>
        <w:t xml:space="preserve"> </w:t>
      </w:r>
      <w:r>
        <w:rPr>
          <w:rFonts w:hint="eastAsia" w:hAnsi="宋体"/>
        </w:rPr>
        <w:t>的规定，根据其应用所在地基本风速、建筑物防护级别和安装高度确定相应的冲击级别及指标。</w:t>
      </w:r>
    </w:p>
    <w:p w14:paraId="41644CD9">
      <w:pPr>
        <w:pStyle w:val="66"/>
        <w:spacing w:before="120" w:after="120"/>
      </w:pPr>
      <w:bookmarkStart w:id="85" w:name="_Toc17868"/>
      <w:r>
        <w:rPr>
          <w:rFonts w:hint="eastAsia"/>
        </w:rPr>
        <w:t>力学性能</w:t>
      </w:r>
      <w:bookmarkEnd w:id="85"/>
    </w:p>
    <w:p w14:paraId="3FE50623">
      <w:pPr>
        <w:pStyle w:val="95"/>
        <w:spacing w:before="120" w:after="120"/>
      </w:pPr>
      <w:r>
        <w:rPr>
          <w:rFonts w:hint="eastAsia"/>
        </w:rPr>
        <w:t>启闭力性能</w:t>
      </w:r>
    </w:p>
    <w:p w14:paraId="5029365E">
      <w:pPr>
        <w:pStyle w:val="57"/>
        <w:ind w:firstLine="420"/>
      </w:pPr>
      <w:r>
        <w:rPr>
          <w:rFonts w:hint="eastAsia"/>
        </w:rPr>
        <w:t>承载质量在</w:t>
      </w:r>
      <w:r>
        <w:rPr>
          <w:rFonts w:hint="eastAsia"/>
          <w:lang w:val="en-US" w:eastAsia="zh-CN"/>
        </w:rPr>
        <w:t xml:space="preserve"> </w:t>
      </w:r>
      <w:r>
        <w:rPr>
          <w:rFonts w:hint="eastAsia"/>
        </w:rPr>
        <w:t>100kg</w:t>
      </w:r>
      <w:r>
        <w:rPr>
          <w:rFonts w:hint="eastAsia"/>
          <w:lang w:val="en-US" w:eastAsia="zh-CN"/>
        </w:rPr>
        <w:t xml:space="preserve"> </w:t>
      </w:r>
      <w:r>
        <w:rPr>
          <w:rFonts w:hint="eastAsia"/>
        </w:rPr>
        <w:t>以下的，启闭力应不大于</w:t>
      </w:r>
      <w:r>
        <w:rPr>
          <w:rFonts w:hint="eastAsia"/>
          <w:lang w:val="en-US" w:eastAsia="zh-CN"/>
        </w:rPr>
        <w:t xml:space="preserve"> </w:t>
      </w:r>
      <w:r>
        <w:rPr>
          <w:rFonts w:hint="eastAsia"/>
        </w:rPr>
        <w:t>40N</w:t>
      </w:r>
      <w:r>
        <w:rPr>
          <w:rFonts w:hint="eastAsia"/>
          <w:lang w:val="en-US" w:eastAsia="zh-CN"/>
        </w:rPr>
        <w:t xml:space="preserve"> </w:t>
      </w:r>
      <w:r>
        <w:rPr>
          <w:rFonts w:hint="eastAsia"/>
        </w:rPr>
        <w:t>，承载质量为</w:t>
      </w:r>
      <w:r>
        <w:rPr>
          <w:rFonts w:hint="eastAsia"/>
          <w:lang w:val="en-US" w:eastAsia="zh-CN"/>
        </w:rPr>
        <w:t xml:space="preserve"> </w:t>
      </w:r>
      <w:r>
        <w:rPr>
          <w:rFonts w:hint="eastAsia"/>
        </w:rPr>
        <w:t>100～200kg</w:t>
      </w:r>
      <w:r>
        <w:rPr>
          <w:rFonts w:hint="eastAsia"/>
          <w:lang w:val="en-US" w:eastAsia="zh-CN"/>
        </w:rPr>
        <w:t xml:space="preserve"> </w:t>
      </w:r>
      <w:r>
        <w:rPr>
          <w:rFonts w:hint="eastAsia"/>
        </w:rPr>
        <w:t>的，启闭力应不大于</w:t>
      </w:r>
      <w:r>
        <w:rPr>
          <w:rFonts w:hint="eastAsia"/>
          <w:lang w:val="en-US" w:eastAsia="zh-CN"/>
        </w:rPr>
        <w:t xml:space="preserve"> </w:t>
      </w:r>
      <w:r>
        <w:rPr>
          <w:rFonts w:hint="eastAsia"/>
        </w:rPr>
        <w:t>60N</w:t>
      </w:r>
      <w:r>
        <w:rPr>
          <w:rFonts w:hint="eastAsia"/>
          <w:lang w:val="en-US" w:eastAsia="zh-CN"/>
        </w:rPr>
        <w:t xml:space="preserve"> </w:t>
      </w:r>
      <w:r>
        <w:rPr>
          <w:rFonts w:hint="eastAsia"/>
        </w:rPr>
        <w:t>，承载质量在</w:t>
      </w:r>
      <w:r>
        <w:rPr>
          <w:rFonts w:hint="eastAsia"/>
          <w:lang w:val="en-US" w:eastAsia="zh-CN"/>
        </w:rPr>
        <w:t xml:space="preserve"> </w:t>
      </w:r>
      <w:r>
        <w:rPr>
          <w:rFonts w:hint="eastAsia"/>
        </w:rPr>
        <w:t>200kg</w:t>
      </w:r>
      <w:r>
        <w:rPr>
          <w:rFonts w:hint="eastAsia"/>
          <w:lang w:val="en-US" w:eastAsia="zh-CN"/>
        </w:rPr>
        <w:t xml:space="preserve"> </w:t>
      </w:r>
      <w:r>
        <w:rPr>
          <w:rFonts w:hint="eastAsia"/>
        </w:rPr>
        <w:t>以上的，启闭力应不大于</w:t>
      </w:r>
      <w:r>
        <w:rPr>
          <w:rFonts w:hint="eastAsia"/>
          <w:lang w:val="en-US" w:eastAsia="zh-CN"/>
        </w:rPr>
        <w:t xml:space="preserve"> </w:t>
      </w:r>
      <w:r>
        <w:rPr>
          <w:rFonts w:hint="eastAsia"/>
        </w:rPr>
        <w:t>80N</w:t>
      </w:r>
      <w:r>
        <w:rPr>
          <w:rFonts w:hint="eastAsia"/>
          <w:lang w:val="en-US" w:eastAsia="zh-CN"/>
        </w:rPr>
        <w:t xml:space="preserve"> </w:t>
      </w:r>
      <w:r>
        <w:rPr>
          <w:rFonts w:hint="eastAsia"/>
        </w:rPr>
        <w:t>。</w:t>
      </w:r>
    </w:p>
    <w:p w14:paraId="5817A331">
      <w:pPr>
        <w:pStyle w:val="57"/>
        <w:ind w:firstLine="420"/>
      </w:pPr>
      <w:r>
        <w:rPr>
          <w:rFonts w:hint="eastAsia"/>
        </w:rPr>
        <w:t>压紧过程启闭力矩不应大于</w:t>
      </w:r>
      <w:r>
        <w:rPr>
          <w:rFonts w:hint="eastAsia"/>
          <w:lang w:val="en-US" w:eastAsia="zh-CN"/>
        </w:rPr>
        <w:t xml:space="preserve"> </w:t>
      </w:r>
      <w:r>
        <w:rPr>
          <w:rFonts w:hint="eastAsia"/>
        </w:rPr>
        <w:t>6N·m。</w:t>
      </w:r>
    </w:p>
    <w:p w14:paraId="1DDC6FFC">
      <w:pPr>
        <w:pStyle w:val="95"/>
        <w:spacing w:before="120" w:after="120"/>
      </w:pPr>
      <w:r>
        <w:rPr>
          <w:rFonts w:hint="eastAsia"/>
        </w:rPr>
        <w:t>抗扭曲变形性能</w:t>
      </w:r>
    </w:p>
    <w:p w14:paraId="2CC0E094">
      <w:pPr>
        <w:pStyle w:val="57"/>
        <w:ind w:firstLine="420"/>
      </w:pPr>
      <w:r>
        <w:rPr>
          <w:rFonts w:hint="eastAsia"/>
        </w:rPr>
        <w:t>推拉密封窗活动扇开启部位在启、闭方向上承受</w:t>
      </w:r>
      <w:r>
        <w:rPr>
          <w:rFonts w:hint="eastAsia"/>
          <w:lang w:val="en-US" w:eastAsia="zh-CN"/>
        </w:rPr>
        <w:t xml:space="preserve"> </w:t>
      </w:r>
      <w:r>
        <w:rPr>
          <w:rFonts w:hint="eastAsia"/>
        </w:rPr>
        <w:t>2</w:t>
      </w:r>
      <w:r>
        <w:rPr>
          <w:rFonts w:hint="eastAsia"/>
          <w:lang w:val="en-US" w:eastAsia="zh-CN"/>
        </w:rPr>
        <w:t xml:space="preserve"> </w:t>
      </w:r>
      <w:r>
        <w:rPr>
          <w:rFonts w:hint="eastAsia"/>
        </w:rPr>
        <w:t>00N</w:t>
      </w:r>
      <w:r>
        <w:rPr>
          <w:rFonts w:hint="eastAsia"/>
          <w:lang w:val="en-US" w:eastAsia="zh-CN"/>
        </w:rPr>
        <w:t xml:space="preserve"> </w:t>
      </w:r>
      <w:r>
        <w:rPr>
          <w:rFonts w:hint="eastAsia"/>
        </w:rPr>
        <w:t>作用力后，其镶嵌位置残余变形量不应大于</w:t>
      </w:r>
      <w:r>
        <w:rPr>
          <w:rFonts w:hint="eastAsia"/>
          <w:lang w:val="en-US" w:eastAsia="zh-CN"/>
        </w:rPr>
        <w:t xml:space="preserve"> </w:t>
      </w:r>
      <w:r>
        <w:rPr>
          <w:rFonts w:hint="eastAsia"/>
        </w:rPr>
        <w:t>1mm</w:t>
      </w:r>
      <w:r>
        <w:rPr>
          <w:rFonts w:hint="eastAsia"/>
          <w:lang w:val="en-US" w:eastAsia="zh-CN"/>
        </w:rPr>
        <w:t xml:space="preserve"> </w:t>
      </w:r>
      <w:r>
        <w:rPr>
          <w:rFonts w:hint="eastAsia"/>
        </w:rPr>
        <w:t xml:space="preserve">，且保持正常启闭功能。无外凸执手的推拉门窗不作此性能要求。 </w:t>
      </w:r>
    </w:p>
    <w:p w14:paraId="7E7452EC">
      <w:pPr>
        <w:pStyle w:val="180"/>
      </w:pPr>
      <w:r>
        <w:rPr>
          <w:rFonts w:hint="eastAsia"/>
        </w:rPr>
        <w:t>推拉窗扭曲变形是活动扇顶部和底部同时受阻时强行推拉外凸执手的启、闭力产生的局部镶嵌残余变形。</w:t>
      </w:r>
    </w:p>
    <w:p w14:paraId="4F9E1AAC">
      <w:pPr>
        <w:pStyle w:val="95"/>
        <w:spacing w:before="120" w:after="120"/>
      </w:pPr>
      <w:r>
        <w:rPr>
          <w:rFonts w:hint="eastAsia"/>
        </w:rPr>
        <w:t>抗对角线变形性能</w:t>
      </w:r>
    </w:p>
    <w:p w14:paraId="7F722AE5">
      <w:pPr>
        <w:pStyle w:val="57"/>
        <w:ind w:firstLine="420"/>
      </w:pPr>
      <w:r>
        <w:rPr>
          <w:rFonts w:hint="eastAsia"/>
        </w:rPr>
        <w:t>推拉密封窗活动扇在其一端角部卡阻情况下，其开启部位在启、闭方向上承受</w:t>
      </w:r>
      <w:r>
        <w:rPr>
          <w:rFonts w:hint="eastAsia"/>
          <w:lang w:val="en-US" w:eastAsia="zh-CN"/>
        </w:rPr>
        <w:t xml:space="preserve"> </w:t>
      </w:r>
      <w:r>
        <w:rPr>
          <w:rFonts w:hint="eastAsia"/>
        </w:rPr>
        <w:t>200N</w:t>
      </w:r>
      <w:r>
        <w:rPr>
          <w:rFonts w:hint="eastAsia"/>
          <w:lang w:val="en-US" w:eastAsia="zh-CN"/>
        </w:rPr>
        <w:t xml:space="preserve"> </w:t>
      </w:r>
      <w:r>
        <w:rPr>
          <w:rFonts w:hint="eastAsia"/>
        </w:rPr>
        <w:t>作用力后，扇对角线残余变形量不应大于</w:t>
      </w:r>
      <w:r>
        <w:rPr>
          <w:rFonts w:hint="eastAsia"/>
          <w:lang w:val="en-US" w:eastAsia="zh-CN"/>
        </w:rPr>
        <w:t xml:space="preserve"> </w:t>
      </w:r>
      <w:r>
        <w:rPr>
          <w:rFonts w:hint="eastAsia"/>
        </w:rPr>
        <w:t>5mm</w:t>
      </w:r>
      <w:r>
        <w:rPr>
          <w:rFonts w:hint="eastAsia"/>
          <w:lang w:val="en-US" w:eastAsia="zh-CN"/>
        </w:rPr>
        <w:t xml:space="preserve"> </w:t>
      </w:r>
      <w:r>
        <w:rPr>
          <w:rFonts w:hint="eastAsia"/>
        </w:rPr>
        <w:t>，且保持正常启闭功能。</w:t>
      </w:r>
    </w:p>
    <w:p w14:paraId="59E4A167">
      <w:pPr>
        <w:pStyle w:val="66"/>
        <w:spacing w:before="120" w:after="120"/>
      </w:pPr>
      <w:bookmarkStart w:id="86" w:name="_Toc18441"/>
      <w:r>
        <w:rPr>
          <w:rFonts w:hint="eastAsia"/>
        </w:rPr>
        <w:t>耐久性能</w:t>
      </w:r>
      <w:bookmarkEnd w:id="86"/>
    </w:p>
    <w:p w14:paraId="3310E355">
      <w:pPr>
        <w:pStyle w:val="165"/>
      </w:pPr>
      <w:r>
        <w:rPr>
          <w:rFonts w:hint="eastAsia"/>
        </w:rPr>
        <w:t>推拉密封窗在反复启闭</w:t>
      </w:r>
      <w:r>
        <w:rPr>
          <w:rFonts w:hint="eastAsia"/>
          <w:lang w:val="en-US" w:eastAsia="zh-CN"/>
        </w:rPr>
        <w:t xml:space="preserve"> </w:t>
      </w:r>
      <w:r>
        <w:rPr>
          <w:rFonts w:hint="eastAsia"/>
        </w:rPr>
        <w:t>25000</w:t>
      </w:r>
      <w:r>
        <w:rPr>
          <w:rFonts w:hint="eastAsia"/>
          <w:lang w:val="en-US" w:eastAsia="zh-CN"/>
        </w:rPr>
        <w:t xml:space="preserve"> </w:t>
      </w:r>
      <w:r>
        <w:rPr>
          <w:rFonts w:hint="eastAsia"/>
        </w:rPr>
        <w:t>次全过程后不应损坏，各项功能应可以正常使用，且符合以下要求：</w:t>
      </w:r>
    </w:p>
    <w:p w14:paraId="29EDF179">
      <w:pPr>
        <w:pStyle w:val="175"/>
        <w:numPr>
          <w:ilvl w:val="0"/>
          <w:numId w:val="34"/>
        </w:numPr>
        <w:rPr>
          <w:rFonts w:hint="eastAsia" w:hAnsi="宋体"/>
        </w:rPr>
      </w:pPr>
      <w:r>
        <w:rPr>
          <w:rFonts w:hint="eastAsia" w:hAnsi="宋体"/>
        </w:rPr>
        <w:t>推拉密封窗竖向高度变化值不大于</w:t>
      </w:r>
      <w:r>
        <w:rPr>
          <w:rFonts w:hint="eastAsia" w:hAnsi="宋体"/>
          <w:lang w:val="en-US" w:eastAsia="zh-CN"/>
        </w:rPr>
        <w:t xml:space="preserve"> </w:t>
      </w:r>
      <w:r>
        <w:rPr>
          <w:rFonts w:hint="eastAsia" w:hAnsi="宋体"/>
        </w:rPr>
        <w:t>2mm</w:t>
      </w:r>
      <w:r>
        <w:rPr>
          <w:rFonts w:hint="eastAsia" w:hAnsi="宋体"/>
          <w:lang w:val="en-US" w:eastAsia="zh-CN"/>
        </w:rPr>
        <w:t xml:space="preserve"> </w:t>
      </w:r>
      <w:r>
        <w:rPr>
          <w:rFonts w:hint="eastAsia" w:hAnsi="宋体"/>
        </w:rPr>
        <w:t>；</w:t>
      </w:r>
    </w:p>
    <w:p w14:paraId="28556E46">
      <w:pPr>
        <w:pStyle w:val="175"/>
        <w:numPr>
          <w:ilvl w:val="0"/>
          <w:numId w:val="34"/>
        </w:numPr>
        <w:rPr>
          <w:rFonts w:hint="eastAsia" w:hAnsi="宋体"/>
        </w:rPr>
      </w:pPr>
      <w:r>
        <w:rPr>
          <w:rFonts w:hint="eastAsia" w:hAnsi="宋体"/>
        </w:rPr>
        <w:t>承受1.5倍的承载质量时，启闭力应不大于</w:t>
      </w:r>
      <w:r>
        <w:rPr>
          <w:rFonts w:hint="eastAsia" w:hAnsi="宋体"/>
          <w:lang w:val="en-US" w:eastAsia="zh-CN"/>
        </w:rPr>
        <w:t xml:space="preserve"> </w:t>
      </w:r>
      <w:r>
        <w:rPr>
          <w:rFonts w:hint="eastAsia" w:hAnsi="宋体"/>
        </w:rPr>
        <w:t>5.6.11.1</w:t>
      </w:r>
      <w:r>
        <w:rPr>
          <w:rFonts w:hint="eastAsia" w:hAnsi="宋体"/>
          <w:lang w:val="en-US" w:eastAsia="zh-CN"/>
        </w:rPr>
        <w:t xml:space="preserve"> </w:t>
      </w:r>
      <w:r>
        <w:rPr>
          <w:rFonts w:hint="eastAsia" w:hAnsi="宋体"/>
        </w:rPr>
        <w:t>中规定值的</w:t>
      </w:r>
      <w:r>
        <w:rPr>
          <w:rFonts w:hint="eastAsia" w:hAnsi="宋体"/>
          <w:lang w:val="en-US" w:eastAsia="zh-CN"/>
        </w:rPr>
        <w:t xml:space="preserve"> </w:t>
      </w:r>
      <w:r>
        <w:rPr>
          <w:rFonts w:hint="eastAsia" w:hAnsi="宋体"/>
        </w:rPr>
        <w:t>1.5</w:t>
      </w:r>
      <w:r>
        <w:rPr>
          <w:rFonts w:hint="eastAsia" w:hAnsi="宋体"/>
          <w:lang w:val="en-US" w:eastAsia="zh-CN"/>
        </w:rPr>
        <w:t xml:space="preserve"> </w:t>
      </w:r>
      <w:r>
        <w:rPr>
          <w:rFonts w:hint="eastAsia" w:hAnsi="宋体"/>
        </w:rPr>
        <w:t>倍。</w:t>
      </w:r>
    </w:p>
    <w:p w14:paraId="7074398F">
      <w:pPr>
        <w:pStyle w:val="95"/>
        <w:spacing w:before="120" w:after="120"/>
        <w:rPr>
          <w:rFonts w:hint="eastAsia" w:ascii="宋体" w:hAnsi="宋体" w:eastAsia="宋体" w:cs="宋体"/>
        </w:rPr>
      </w:pPr>
      <w:r>
        <w:rPr>
          <w:rFonts w:hint="eastAsia" w:ascii="宋体" w:hAnsi="宋体" w:eastAsia="宋体" w:cs="宋体"/>
        </w:rPr>
        <w:t>密封胶条在</w:t>
      </w:r>
      <w:r>
        <w:rPr>
          <w:rFonts w:hint="eastAsia" w:ascii="宋体" w:hAnsi="宋体" w:eastAsia="宋体" w:cs="宋体"/>
          <w:lang w:val="en-US" w:eastAsia="zh-CN"/>
        </w:rPr>
        <w:t xml:space="preserve"> </w:t>
      </w:r>
      <w:r>
        <w:rPr>
          <w:rFonts w:hint="eastAsia" w:ascii="宋体" w:hAnsi="宋体" w:eastAsia="宋体" w:cs="宋体"/>
        </w:rPr>
        <w:t>55℃±1℃</w:t>
      </w:r>
      <w:r>
        <w:rPr>
          <w:rFonts w:hint="eastAsia" w:ascii="宋体" w:hAnsi="宋体" w:eastAsia="宋体" w:cs="宋体"/>
          <w:lang w:val="en-US" w:eastAsia="zh-CN"/>
        </w:rPr>
        <w:t xml:space="preserve"> </w:t>
      </w:r>
      <w:r>
        <w:rPr>
          <w:rFonts w:hint="eastAsia" w:ascii="宋体" w:hAnsi="宋体" w:eastAsia="宋体" w:cs="宋体"/>
        </w:rPr>
        <w:t>环境下，压缩</w:t>
      </w:r>
      <w:r>
        <w:rPr>
          <w:rFonts w:hint="eastAsia" w:ascii="宋体" w:hAnsi="宋体" w:eastAsia="宋体" w:cs="宋体"/>
          <w:lang w:val="en-US" w:eastAsia="zh-CN"/>
        </w:rPr>
        <w:t xml:space="preserve"> </w:t>
      </w:r>
      <w:r>
        <w:rPr>
          <w:rFonts w:hint="eastAsia" w:ascii="宋体" w:hAnsi="宋体" w:eastAsia="宋体" w:cs="宋体"/>
        </w:rPr>
        <w:t>24h</w:t>
      </w:r>
      <w:r>
        <w:rPr>
          <w:rFonts w:hint="eastAsia" w:ascii="宋体" w:hAnsi="宋体" w:eastAsia="宋体" w:cs="宋体"/>
          <w:lang w:val="en-US" w:eastAsia="zh-CN"/>
        </w:rPr>
        <w:t xml:space="preserve"> </w:t>
      </w:r>
      <w:r>
        <w:rPr>
          <w:rFonts w:hint="eastAsia" w:ascii="宋体" w:hAnsi="宋体" w:eastAsia="宋体" w:cs="宋体"/>
        </w:rPr>
        <w:t>后，在室温环境下恢复至初始状态，胶条的永久变形量应小于</w:t>
      </w:r>
      <w:r>
        <w:rPr>
          <w:rFonts w:hint="eastAsia" w:ascii="宋体" w:hAnsi="宋体" w:eastAsia="宋体" w:cs="宋体"/>
          <w:lang w:val="en-US" w:eastAsia="zh-CN"/>
        </w:rPr>
        <w:t xml:space="preserve"> </w:t>
      </w:r>
      <w:r>
        <w:rPr>
          <w:rFonts w:hint="eastAsia" w:ascii="宋体" w:hAnsi="宋体" w:eastAsia="宋体" w:cs="宋体"/>
        </w:rPr>
        <w:t>3%</w:t>
      </w:r>
      <w:r>
        <w:rPr>
          <w:rFonts w:hint="eastAsia" w:ascii="宋体" w:hAnsi="宋体" w:eastAsia="宋体" w:cs="宋体"/>
          <w:lang w:val="en-US" w:eastAsia="zh-CN"/>
        </w:rPr>
        <w:t xml:space="preserve"> </w:t>
      </w:r>
      <w:r>
        <w:rPr>
          <w:rFonts w:hint="eastAsia" w:ascii="宋体" w:hAnsi="宋体" w:eastAsia="宋体" w:cs="宋体"/>
        </w:rPr>
        <w:t>。</w:t>
      </w:r>
    </w:p>
    <w:p w14:paraId="35D123C0">
      <w:pPr>
        <w:pStyle w:val="105"/>
        <w:spacing w:before="240" w:after="240"/>
      </w:pPr>
      <w:bookmarkStart w:id="87" w:name="_Toc121"/>
      <w:bookmarkStart w:id="88" w:name="_Toc5367"/>
      <w:r>
        <w:rPr>
          <w:rFonts w:hint="eastAsia"/>
        </w:rPr>
        <w:t>试验方法</w:t>
      </w:r>
      <w:bookmarkEnd w:id="87"/>
      <w:bookmarkEnd w:id="88"/>
    </w:p>
    <w:p w14:paraId="33555FE2">
      <w:pPr>
        <w:pStyle w:val="106"/>
        <w:spacing w:before="120" w:after="120"/>
      </w:pPr>
      <w:bookmarkStart w:id="89" w:name="_Toc11425"/>
      <w:r>
        <w:rPr>
          <w:rFonts w:hint="eastAsia"/>
        </w:rPr>
        <w:t>实验准备</w:t>
      </w:r>
      <w:bookmarkEnd w:id="89"/>
    </w:p>
    <w:p w14:paraId="6D4C207D">
      <w:pPr>
        <w:pStyle w:val="66"/>
        <w:spacing w:before="120" w:after="120"/>
      </w:pPr>
      <w:bookmarkStart w:id="90" w:name="_Toc12017"/>
      <w:r>
        <w:rPr>
          <w:rFonts w:hint="eastAsia"/>
        </w:rPr>
        <w:t>试验模拟窗</w:t>
      </w:r>
      <w:bookmarkEnd w:id="90"/>
    </w:p>
    <w:p w14:paraId="1C874EE1">
      <w:pPr>
        <w:pStyle w:val="57"/>
        <w:ind w:firstLine="420"/>
      </w:pPr>
      <w:r>
        <w:rPr>
          <w:rFonts w:hint="eastAsia"/>
        </w:rPr>
        <w:t>试验采用一套带有完整五金和密封的窗扇进行测试，试验模拟窗外围尺寸为</w:t>
      </w:r>
      <w:r>
        <w:rPr>
          <w:rFonts w:hint="eastAsia"/>
          <w:lang w:val="en-US" w:eastAsia="zh-CN"/>
        </w:rPr>
        <w:t xml:space="preserve"> </w:t>
      </w:r>
      <w:r>
        <w:rPr>
          <w:rFonts w:hint="eastAsia"/>
        </w:rPr>
        <w:t>1500mm*900mm（宽×高），活动扇至少为750mm*900mm（宽×高）。</w:t>
      </w:r>
    </w:p>
    <w:p w14:paraId="0DE9BDC5">
      <w:pPr>
        <w:pStyle w:val="66"/>
        <w:spacing w:before="120" w:after="120"/>
      </w:pPr>
      <w:bookmarkStart w:id="91" w:name="_Toc15897"/>
      <w:r>
        <w:rPr>
          <w:rFonts w:hint="eastAsia"/>
        </w:rPr>
        <w:t>试验顺序</w:t>
      </w:r>
      <w:bookmarkEnd w:id="91"/>
    </w:p>
    <w:p w14:paraId="5B21F29A">
      <w:pPr>
        <w:pStyle w:val="57"/>
        <w:ind w:firstLine="420"/>
      </w:pPr>
      <w:r>
        <w:rPr>
          <w:rFonts w:hint="eastAsia"/>
        </w:rPr>
        <w:t>按5.2、5.6.1、5.6.2、5.6.3、5.6.4、5.6.5、5.6.6、5.6.7、5.6.8.1、5.6.8.2、5.6.8.3、5.6.9.1、5.6.9.2的顺序，依次测试。</w:t>
      </w:r>
    </w:p>
    <w:p w14:paraId="4064D516">
      <w:pPr>
        <w:pStyle w:val="106"/>
        <w:spacing w:before="120" w:after="120"/>
      </w:pPr>
      <w:bookmarkStart w:id="92" w:name="_Toc3846"/>
      <w:r>
        <w:rPr>
          <w:rFonts w:hint="eastAsia"/>
        </w:rPr>
        <w:t>外观质量</w:t>
      </w:r>
      <w:bookmarkEnd w:id="92"/>
    </w:p>
    <w:p w14:paraId="774F9058">
      <w:pPr>
        <w:pStyle w:val="57"/>
        <w:spacing w:before="120" w:after="120"/>
        <w:ind w:firstLine="420"/>
      </w:pPr>
      <w:r>
        <w:rPr>
          <w:rFonts w:hint="eastAsia" w:hAnsi="宋体"/>
        </w:rPr>
        <w:t>按照GB/T 12967.6的规定进行检查，采用钢直尺及目视观察法检验。</w:t>
      </w:r>
    </w:p>
    <w:p w14:paraId="42617AA0">
      <w:pPr>
        <w:pStyle w:val="106"/>
        <w:spacing w:before="120" w:after="120"/>
      </w:pPr>
      <w:bookmarkStart w:id="93" w:name="_Toc7931"/>
      <w:r>
        <w:rPr>
          <w:rFonts w:hint="eastAsia"/>
        </w:rPr>
        <w:t>尺寸</w:t>
      </w:r>
      <w:bookmarkEnd w:id="93"/>
    </w:p>
    <w:p w14:paraId="30AA334D">
      <w:pPr>
        <w:pStyle w:val="57"/>
        <w:spacing w:before="120" w:after="120"/>
        <w:ind w:firstLine="420"/>
      </w:pPr>
      <w:r>
        <w:rPr>
          <w:rFonts w:hint="eastAsia" w:hAnsi="宋体"/>
        </w:rPr>
        <w:t>采用钢卷尺、钢直尺、游标卡尺、深度尺、塞尺检验。</w:t>
      </w:r>
    </w:p>
    <w:p w14:paraId="0C7EEF63">
      <w:pPr>
        <w:pStyle w:val="106"/>
        <w:spacing w:before="120" w:after="120"/>
      </w:pPr>
      <w:bookmarkStart w:id="94" w:name="_Toc11546"/>
      <w:r>
        <w:rPr>
          <w:rFonts w:hint="eastAsia"/>
        </w:rPr>
        <w:t>装配质量</w:t>
      </w:r>
      <w:bookmarkEnd w:id="94"/>
    </w:p>
    <w:p w14:paraId="7CB25758">
      <w:pPr>
        <w:pStyle w:val="57"/>
        <w:spacing w:before="120" w:after="120"/>
        <w:ind w:firstLine="420"/>
      </w:pPr>
      <w:r>
        <w:rPr>
          <w:rFonts w:hint="eastAsia" w:hAnsi="宋体"/>
        </w:rPr>
        <w:t>采用目视观察和手试方法检查。</w:t>
      </w:r>
    </w:p>
    <w:p w14:paraId="60CDB584">
      <w:pPr>
        <w:pStyle w:val="106"/>
        <w:spacing w:before="120" w:after="120"/>
      </w:pPr>
      <w:bookmarkStart w:id="95" w:name="_Toc13881"/>
      <w:r>
        <w:rPr>
          <w:rFonts w:hint="eastAsia"/>
        </w:rPr>
        <w:t>构造</w:t>
      </w:r>
      <w:bookmarkEnd w:id="95"/>
    </w:p>
    <w:p w14:paraId="4EB96E2E">
      <w:pPr>
        <w:pStyle w:val="57"/>
        <w:spacing w:before="120" w:after="120"/>
        <w:ind w:firstLine="420"/>
      </w:pPr>
      <w:r>
        <w:rPr>
          <w:rFonts w:hint="eastAsia" w:hAnsi="宋体"/>
        </w:rPr>
        <w:t>采用目视</w:t>
      </w:r>
      <w:r>
        <w:rPr>
          <w:rFonts w:hint="eastAsia" w:hAnsi="宋体"/>
          <w:lang w:eastAsia="zh-CN"/>
        </w:rPr>
        <w:t>观察</w:t>
      </w:r>
      <w:r>
        <w:rPr>
          <w:rFonts w:hint="eastAsia" w:hAnsi="宋体"/>
        </w:rPr>
        <w:t>和手试方法检查。</w:t>
      </w:r>
    </w:p>
    <w:p w14:paraId="3AC4C3C3">
      <w:pPr>
        <w:pStyle w:val="106"/>
        <w:spacing w:before="120" w:after="120"/>
      </w:pPr>
      <w:bookmarkStart w:id="96" w:name="_Toc30749"/>
      <w:r>
        <w:rPr>
          <w:rFonts w:hint="eastAsia"/>
        </w:rPr>
        <w:t>性能</w:t>
      </w:r>
      <w:bookmarkEnd w:id="96"/>
    </w:p>
    <w:p w14:paraId="2996DCA5">
      <w:pPr>
        <w:pStyle w:val="66"/>
        <w:spacing w:before="120" w:after="120"/>
      </w:pPr>
      <w:bookmarkStart w:id="97" w:name="_Toc29595"/>
      <w:r>
        <w:rPr>
          <w:rFonts w:hint="eastAsia"/>
        </w:rPr>
        <w:t>抗风压性能</w:t>
      </w:r>
      <w:bookmarkEnd w:id="97"/>
    </w:p>
    <w:p w14:paraId="1B9B6063">
      <w:pPr>
        <w:pStyle w:val="57"/>
        <w:ind w:firstLine="420"/>
      </w:pPr>
      <w:r>
        <w:rPr>
          <w:rFonts w:hint="eastAsia"/>
        </w:rPr>
        <w:t>按照</w:t>
      </w:r>
      <w:r>
        <w:rPr>
          <w:rFonts w:hint="eastAsia"/>
          <w:lang w:val="en-US" w:eastAsia="zh-CN"/>
        </w:rPr>
        <w:t xml:space="preserve"> </w:t>
      </w:r>
      <w:r>
        <w:rPr>
          <w:rFonts w:hint="eastAsia"/>
        </w:rPr>
        <w:t>GB/T 7106</w:t>
      </w:r>
      <w:r>
        <w:rPr>
          <w:rFonts w:hint="eastAsia"/>
          <w:lang w:val="en-US" w:eastAsia="zh-CN"/>
        </w:rPr>
        <w:t xml:space="preserve"> </w:t>
      </w:r>
      <w:r>
        <w:rPr>
          <w:rFonts w:hint="eastAsia"/>
        </w:rPr>
        <w:t>的规定进行试验。</w:t>
      </w:r>
    </w:p>
    <w:p w14:paraId="32CD8384">
      <w:pPr>
        <w:pStyle w:val="66"/>
        <w:spacing w:before="120" w:after="120"/>
      </w:pPr>
      <w:bookmarkStart w:id="98" w:name="_Toc29389"/>
      <w:r>
        <w:rPr>
          <w:rFonts w:hint="eastAsia"/>
        </w:rPr>
        <w:t>气密性能</w:t>
      </w:r>
      <w:bookmarkEnd w:id="98"/>
    </w:p>
    <w:p w14:paraId="113B38B8">
      <w:pPr>
        <w:pStyle w:val="57"/>
        <w:spacing w:before="120" w:after="120"/>
        <w:ind w:firstLine="420"/>
      </w:pPr>
      <w:r>
        <w:rPr>
          <w:rFonts w:hint="eastAsia" w:hAnsi="宋体"/>
        </w:rPr>
        <w:t>按照</w:t>
      </w:r>
      <w:r>
        <w:rPr>
          <w:rFonts w:hint="eastAsia" w:hAnsi="宋体"/>
          <w:lang w:val="en-US" w:eastAsia="zh-CN"/>
        </w:rPr>
        <w:t xml:space="preserve"> </w:t>
      </w:r>
      <w:r>
        <w:rPr>
          <w:rFonts w:hint="eastAsia" w:hAnsi="宋体"/>
        </w:rPr>
        <w:t>GB/T 7106</w:t>
      </w:r>
      <w:r>
        <w:rPr>
          <w:rFonts w:hint="eastAsia" w:hAnsi="宋体"/>
          <w:lang w:val="en-US" w:eastAsia="zh-CN"/>
        </w:rPr>
        <w:t xml:space="preserve"> </w:t>
      </w:r>
      <w:r>
        <w:rPr>
          <w:rFonts w:hint="eastAsia" w:hAnsi="宋体"/>
        </w:rPr>
        <w:t>的规定进行试验。</w:t>
      </w:r>
    </w:p>
    <w:p w14:paraId="27FBB58D">
      <w:pPr>
        <w:pStyle w:val="66"/>
        <w:spacing w:before="120" w:after="120"/>
      </w:pPr>
      <w:bookmarkStart w:id="99" w:name="_Toc16543"/>
      <w:r>
        <w:rPr>
          <w:rFonts w:hint="eastAsia"/>
        </w:rPr>
        <w:t>水密性能</w:t>
      </w:r>
      <w:bookmarkEnd w:id="99"/>
    </w:p>
    <w:p w14:paraId="7E70995E">
      <w:pPr>
        <w:pStyle w:val="57"/>
        <w:spacing w:before="120" w:after="120"/>
        <w:ind w:firstLine="420"/>
      </w:pPr>
      <w:r>
        <w:rPr>
          <w:rFonts w:hint="eastAsia" w:hAnsi="宋体"/>
        </w:rPr>
        <w:t>按照</w:t>
      </w:r>
      <w:r>
        <w:rPr>
          <w:rFonts w:hint="eastAsia" w:hAnsi="宋体"/>
          <w:lang w:val="en-US" w:eastAsia="zh-CN"/>
        </w:rPr>
        <w:t xml:space="preserve"> </w:t>
      </w:r>
      <w:r>
        <w:rPr>
          <w:rFonts w:hint="eastAsia" w:hAnsi="宋体"/>
        </w:rPr>
        <w:t>GB/T 7106</w:t>
      </w:r>
      <w:r>
        <w:rPr>
          <w:rFonts w:hint="eastAsia" w:hAnsi="宋体"/>
          <w:lang w:val="en-US" w:eastAsia="zh-CN"/>
        </w:rPr>
        <w:t xml:space="preserve"> </w:t>
      </w:r>
      <w:r>
        <w:rPr>
          <w:rFonts w:hint="eastAsia" w:hAnsi="宋体"/>
        </w:rPr>
        <w:t>的规定进行试验。</w:t>
      </w:r>
    </w:p>
    <w:p w14:paraId="2B7B39E7">
      <w:pPr>
        <w:pStyle w:val="66"/>
        <w:spacing w:before="120" w:after="120"/>
      </w:pPr>
      <w:bookmarkStart w:id="100" w:name="_Toc18722"/>
      <w:r>
        <w:rPr>
          <w:rFonts w:hint="eastAsia"/>
        </w:rPr>
        <w:t>保温性能</w:t>
      </w:r>
      <w:bookmarkEnd w:id="100"/>
    </w:p>
    <w:p w14:paraId="31692DCF">
      <w:pPr>
        <w:pStyle w:val="57"/>
        <w:spacing w:before="120" w:after="120"/>
        <w:ind w:firstLine="420"/>
      </w:pPr>
      <w:r>
        <w:rPr>
          <w:rFonts w:hint="eastAsia" w:hAnsi="宋体"/>
        </w:rPr>
        <w:t>按照</w:t>
      </w:r>
      <w:r>
        <w:rPr>
          <w:rFonts w:hint="eastAsia" w:hAnsi="宋体"/>
          <w:lang w:val="en-US" w:eastAsia="zh-CN"/>
        </w:rPr>
        <w:t xml:space="preserve"> </w:t>
      </w:r>
      <w:r>
        <w:rPr>
          <w:rFonts w:hint="eastAsia" w:hAnsi="宋体"/>
        </w:rPr>
        <w:t>GB/T 8484</w:t>
      </w:r>
      <w:r>
        <w:rPr>
          <w:rFonts w:hint="eastAsia" w:hAnsi="宋体"/>
          <w:lang w:val="en-US" w:eastAsia="zh-CN"/>
        </w:rPr>
        <w:t xml:space="preserve"> </w:t>
      </w:r>
      <w:r>
        <w:rPr>
          <w:rFonts w:hint="eastAsia" w:hAnsi="宋体"/>
        </w:rPr>
        <w:t>的规定进行传热系数试验或按照</w:t>
      </w:r>
      <w:r>
        <w:rPr>
          <w:rFonts w:hint="eastAsia" w:hAnsi="宋体"/>
          <w:lang w:val="en-US" w:eastAsia="zh-CN"/>
        </w:rPr>
        <w:t xml:space="preserve"> </w:t>
      </w:r>
      <w:r>
        <w:rPr>
          <w:rFonts w:hint="eastAsia" w:hAnsi="宋体"/>
        </w:rPr>
        <w:t>JGJ/T 151</w:t>
      </w:r>
      <w:r>
        <w:rPr>
          <w:rFonts w:hint="eastAsia" w:hAnsi="宋体"/>
          <w:lang w:val="en-US" w:eastAsia="zh-CN"/>
        </w:rPr>
        <w:t xml:space="preserve"> </w:t>
      </w:r>
      <w:r>
        <w:rPr>
          <w:rFonts w:hint="eastAsia" w:hAnsi="宋体"/>
        </w:rPr>
        <w:t>的规定，在冬季标准计算条件下计算窗传热系数。</w:t>
      </w:r>
    </w:p>
    <w:p w14:paraId="2B0F1E57">
      <w:pPr>
        <w:pStyle w:val="66"/>
        <w:spacing w:before="120" w:after="120"/>
      </w:pPr>
      <w:bookmarkStart w:id="101" w:name="_Toc12604"/>
      <w:r>
        <w:rPr>
          <w:rFonts w:hint="eastAsia"/>
        </w:rPr>
        <w:t>隔热性能</w:t>
      </w:r>
      <w:bookmarkEnd w:id="101"/>
    </w:p>
    <w:p w14:paraId="7E0BB5A9">
      <w:pPr>
        <w:pStyle w:val="57"/>
        <w:spacing w:before="120" w:after="120"/>
        <w:ind w:firstLine="420"/>
      </w:pPr>
      <w:r>
        <w:rPr>
          <w:rFonts w:hint="eastAsia" w:hAnsi="宋体"/>
        </w:rPr>
        <w:t>太阳得热系数按</w:t>
      </w:r>
      <w:r>
        <w:rPr>
          <w:rFonts w:hint="eastAsia" w:hAnsi="宋体"/>
          <w:lang w:val="en-US" w:eastAsia="zh-CN"/>
        </w:rPr>
        <w:t xml:space="preserve"> </w:t>
      </w:r>
      <w:r>
        <w:rPr>
          <w:rFonts w:hint="eastAsia" w:hAnsi="宋体"/>
        </w:rPr>
        <w:t>JG/T 440</w:t>
      </w:r>
      <w:r>
        <w:rPr>
          <w:rFonts w:hint="eastAsia" w:hAnsi="宋体"/>
          <w:lang w:val="en-US" w:eastAsia="zh-CN"/>
        </w:rPr>
        <w:t xml:space="preserve"> </w:t>
      </w:r>
      <w:r>
        <w:rPr>
          <w:rFonts w:hint="eastAsia" w:hAnsi="宋体"/>
        </w:rPr>
        <w:t>规定的光学性能法进行试验</w:t>
      </w:r>
      <w:r>
        <w:rPr>
          <w:rFonts w:hint="eastAsia" w:hAnsi="宋体"/>
          <w:lang w:eastAsia="zh-CN"/>
        </w:rPr>
        <w:t>；</w:t>
      </w:r>
      <w:r>
        <w:rPr>
          <w:rFonts w:hint="eastAsia" w:hAnsi="宋体"/>
        </w:rPr>
        <w:t>或按照</w:t>
      </w:r>
      <w:r>
        <w:rPr>
          <w:rFonts w:hint="eastAsia" w:hAnsi="宋体"/>
          <w:lang w:val="en-US" w:eastAsia="zh-CN"/>
        </w:rPr>
        <w:t xml:space="preserve"> </w:t>
      </w:r>
      <w:r>
        <w:rPr>
          <w:rFonts w:hint="eastAsia" w:hAnsi="宋体"/>
        </w:rPr>
        <w:t>JG/T 440</w:t>
      </w:r>
      <w:r>
        <w:rPr>
          <w:rFonts w:hint="eastAsia" w:hAnsi="宋体"/>
          <w:lang w:val="en-US" w:eastAsia="zh-CN"/>
        </w:rPr>
        <w:t xml:space="preserve"> </w:t>
      </w:r>
      <w:r>
        <w:rPr>
          <w:rFonts w:hint="eastAsia" w:hAnsi="宋体"/>
        </w:rPr>
        <w:t>规定的人工光源法进行试验，仲裁试验方法为光学性能法。</w:t>
      </w:r>
    </w:p>
    <w:p w14:paraId="22450E3B">
      <w:pPr>
        <w:pStyle w:val="66"/>
        <w:spacing w:before="120" w:after="120"/>
      </w:pPr>
      <w:bookmarkStart w:id="102" w:name="_Toc25230"/>
      <w:r>
        <w:rPr>
          <w:rFonts w:hint="eastAsia"/>
        </w:rPr>
        <w:t>抗风携碎物冲击性</w:t>
      </w:r>
      <w:bookmarkEnd w:id="102"/>
    </w:p>
    <w:p w14:paraId="4E3FAE65">
      <w:pPr>
        <w:pStyle w:val="57"/>
        <w:spacing w:before="120" w:after="120"/>
        <w:ind w:firstLine="420"/>
        <w:rPr>
          <w:rFonts w:hint="eastAsia" w:hAnsi="宋体"/>
        </w:rPr>
      </w:pPr>
      <w:r>
        <w:rPr>
          <w:rFonts w:hint="eastAsia" w:hAnsi="宋体"/>
        </w:rPr>
        <w:t>外窗抗风携碎物冲击性能按</w:t>
      </w:r>
      <w:r>
        <w:rPr>
          <w:rFonts w:hint="eastAsia" w:hAnsi="宋体"/>
          <w:lang w:val="en-US" w:eastAsia="zh-CN"/>
        </w:rPr>
        <w:t xml:space="preserve"> </w:t>
      </w:r>
      <w:r>
        <w:rPr>
          <w:rFonts w:hint="eastAsia" w:hAnsi="宋体"/>
        </w:rPr>
        <w:t>GB/T 29738</w:t>
      </w:r>
      <w:r>
        <w:rPr>
          <w:rFonts w:hint="eastAsia" w:hAnsi="宋体"/>
          <w:lang w:val="en-US" w:eastAsia="zh-CN"/>
        </w:rPr>
        <w:t xml:space="preserve"> </w:t>
      </w:r>
      <w:r>
        <w:rPr>
          <w:rFonts w:hint="eastAsia" w:hAnsi="宋体"/>
        </w:rPr>
        <w:t>的规定进行试验。</w:t>
      </w:r>
    </w:p>
    <w:p w14:paraId="7C124509">
      <w:pPr>
        <w:pStyle w:val="66"/>
        <w:spacing w:before="120" w:after="120"/>
      </w:pPr>
      <w:bookmarkStart w:id="103" w:name="_Toc1893"/>
      <w:r>
        <w:rPr>
          <w:rFonts w:hint="eastAsia"/>
        </w:rPr>
        <w:t>力学性能</w:t>
      </w:r>
      <w:bookmarkEnd w:id="103"/>
    </w:p>
    <w:p w14:paraId="63EF5D22">
      <w:pPr>
        <w:pStyle w:val="95"/>
        <w:spacing w:before="120" w:after="120"/>
      </w:pPr>
      <w:r>
        <w:rPr>
          <w:rFonts w:hint="eastAsia"/>
        </w:rPr>
        <w:t>启闭力性能</w:t>
      </w:r>
    </w:p>
    <w:p w14:paraId="70D4CCB9">
      <w:pPr>
        <w:pStyle w:val="57"/>
        <w:ind w:firstLine="420"/>
      </w:pPr>
      <w:r>
        <w:rPr>
          <w:rFonts w:hint="eastAsia"/>
        </w:rPr>
        <w:t>启闭力按照</w:t>
      </w:r>
      <w:r>
        <w:rPr>
          <w:rFonts w:hint="eastAsia"/>
          <w:lang w:val="en-US" w:eastAsia="zh-CN"/>
        </w:rPr>
        <w:t xml:space="preserve"> </w:t>
      </w:r>
      <w:r>
        <w:rPr>
          <w:rFonts w:hint="eastAsia"/>
        </w:rPr>
        <w:t>GB/T 29048</w:t>
      </w:r>
      <w:r>
        <w:rPr>
          <w:rFonts w:hint="eastAsia"/>
          <w:lang w:val="en-US" w:eastAsia="zh-CN"/>
        </w:rPr>
        <w:t xml:space="preserve"> </w:t>
      </w:r>
      <w:r>
        <w:rPr>
          <w:rFonts w:hint="eastAsia"/>
        </w:rPr>
        <w:t>的规定进行</w:t>
      </w:r>
      <w:r>
        <w:rPr>
          <w:rFonts w:hint="eastAsia"/>
          <w:lang w:val="en-US" w:eastAsia="zh-CN"/>
        </w:rPr>
        <w:t>试验</w:t>
      </w:r>
      <w:r>
        <w:rPr>
          <w:rFonts w:hint="eastAsia"/>
        </w:rPr>
        <w:t>。</w:t>
      </w:r>
    </w:p>
    <w:p w14:paraId="2EBEBA36">
      <w:pPr>
        <w:pStyle w:val="95"/>
        <w:spacing w:before="120" w:after="120"/>
      </w:pPr>
      <w:r>
        <w:rPr>
          <w:rFonts w:hint="eastAsia"/>
        </w:rPr>
        <w:t>抗扭曲变形性能</w:t>
      </w:r>
    </w:p>
    <w:p w14:paraId="65FA7DC2">
      <w:pPr>
        <w:pStyle w:val="57"/>
        <w:ind w:firstLine="420"/>
      </w:pPr>
      <w:r>
        <w:rPr>
          <w:rFonts w:hint="eastAsia"/>
        </w:rPr>
        <w:t>按</w:t>
      </w:r>
      <w:r>
        <w:rPr>
          <w:rFonts w:hint="eastAsia"/>
          <w:lang w:val="en-US" w:eastAsia="zh-CN"/>
        </w:rPr>
        <w:t xml:space="preserve"> </w:t>
      </w:r>
      <w:r>
        <w:rPr>
          <w:rFonts w:hint="eastAsia"/>
        </w:rPr>
        <w:t>GB/T 9158</w:t>
      </w:r>
      <w:r>
        <w:rPr>
          <w:rFonts w:hint="eastAsia"/>
          <w:lang w:val="en-US" w:eastAsia="zh-CN"/>
        </w:rPr>
        <w:t xml:space="preserve"> </w:t>
      </w:r>
      <w:r>
        <w:rPr>
          <w:rFonts w:hint="eastAsia"/>
        </w:rPr>
        <w:t>的规定进行</w:t>
      </w:r>
      <w:r>
        <w:rPr>
          <w:rFonts w:hint="eastAsia"/>
          <w:lang w:val="en-US" w:eastAsia="zh-CN"/>
        </w:rPr>
        <w:t>试验</w:t>
      </w:r>
      <w:r>
        <w:rPr>
          <w:rFonts w:hint="eastAsia"/>
        </w:rPr>
        <w:t>。</w:t>
      </w:r>
    </w:p>
    <w:p w14:paraId="55B77B01">
      <w:pPr>
        <w:pStyle w:val="95"/>
        <w:spacing w:before="120" w:after="120"/>
      </w:pPr>
      <w:r>
        <w:rPr>
          <w:rFonts w:hint="eastAsia"/>
        </w:rPr>
        <w:t>抗对角线变形性能</w:t>
      </w:r>
    </w:p>
    <w:p w14:paraId="7AF6B50B">
      <w:pPr>
        <w:pStyle w:val="57"/>
        <w:ind w:firstLine="420"/>
      </w:pPr>
      <w:r>
        <w:rPr>
          <w:rFonts w:hint="eastAsia"/>
        </w:rPr>
        <w:t>按</w:t>
      </w:r>
      <w:r>
        <w:rPr>
          <w:rFonts w:hint="eastAsia"/>
          <w:lang w:val="en-US" w:eastAsia="zh-CN"/>
        </w:rPr>
        <w:t xml:space="preserve"> </w:t>
      </w:r>
      <w:r>
        <w:rPr>
          <w:rFonts w:hint="eastAsia"/>
        </w:rPr>
        <w:t>GB/T 9158</w:t>
      </w:r>
      <w:r>
        <w:rPr>
          <w:rFonts w:hint="eastAsia"/>
          <w:lang w:val="en-US" w:eastAsia="zh-CN"/>
        </w:rPr>
        <w:t xml:space="preserve"> </w:t>
      </w:r>
      <w:r>
        <w:rPr>
          <w:rFonts w:hint="eastAsia"/>
        </w:rPr>
        <w:t>的规定进行</w:t>
      </w:r>
      <w:r>
        <w:rPr>
          <w:rFonts w:hint="eastAsia"/>
          <w:lang w:val="en-US" w:eastAsia="zh-CN"/>
        </w:rPr>
        <w:t>试验</w:t>
      </w:r>
      <w:r>
        <w:rPr>
          <w:rFonts w:hint="eastAsia"/>
        </w:rPr>
        <w:t>。</w:t>
      </w:r>
    </w:p>
    <w:p w14:paraId="658C6579">
      <w:pPr>
        <w:pStyle w:val="66"/>
        <w:spacing w:before="120" w:after="120"/>
      </w:pPr>
      <w:bookmarkStart w:id="104" w:name="_Toc19823"/>
      <w:r>
        <w:rPr>
          <w:rFonts w:hint="eastAsia"/>
        </w:rPr>
        <w:t>耐久性能</w:t>
      </w:r>
      <w:bookmarkEnd w:id="104"/>
    </w:p>
    <w:p w14:paraId="561DC42C">
      <w:pPr>
        <w:pStyle w:val="95"/>
        <w:spacing w:before="120" w:after="120"/>
      </w:pPr>
      <w:r>
        <w:rPr>
          <w:rFonts w:hint="eastAsia"/>
        </w:rPr>
        <w:t>反复启闭耐久性</w:t>
      </w:r>
    </w:p>
    <w:p w14:paraId="4EFBB76E">
      <w:pPr>
        <w:pStyle w:val="57"/>
        <w:ind w:firstLine="420"/>
      </w:pPr>
      <w:r>
        <w:rPr>
          <w:rFonts w:hint="eastAsia"/>
        </w:rPr>
        <w:t>推拉密封窗的反复启闭按以下方法进行测试：</w:t>
      </w:r>
    </w:p>
    <w:p w14:paraId="29B8E2EF">
      <w:pPr>
        <w:pStyle w:val="175"/>
        <w:numPr>
          <w:ilvl w:val="0"/>
          <w:numId w:val="35"/>
        </w:numPr>
      </w:pPr>
      <w:r>
        <w:rPr>
          <w:rFonts w:hint="eastAsia"/>
        </w:rPr>
        <w:t>窗扇的单向行程为</w:t>
      </w:r>
      <w:r>
        <w:rPr>
          <w:rFonts w:hint="eastAsia"/>
          <w:lang w:val="en-US" w:eastAsia="zh-CN"/>
        </w:rPr>
        <w:t xml:space="preserve"> </w:t>
      </w:r>
      <w:r>
        <w:rPr>
          <w:rFonts w:hint="eastAsia"/>
        </w:rPr>
        <w:t>700mm</w:t>
      </w:r>
      <w:r>
        <w:rPr>
          <w:rFonts w:hint="eastAsia"/>
          <w:lang w:val="en-US" w:eastAsia="zh-CN"/>
        </w:rPr>
        <w:t xml:space="preserve"> </w:t>
      </w:r>
      <w:r>
        <w:rPr>
          <w:rFonts w:hint="eastAsia"/>
        </w:rPr>
        <w:t>；</w:t>
      </w:r>
    </w:p>
    <w:p w14:paraId="34E6BAD9">
      <w:pPr>
        <w:pStyle w:val="175"/>
        <w:numPr>
          <w:ilvl w:val="0"/>
          <w:numId w:val="35"/>
        </w:numPr>
        <w:rPr>
          <w:rFonts w:hint="eastAsia"/>
        </w:rPr>
      </w:pPr>
      <w:r>
        <w:rPr>
          <w:rFonts w:hint="eastAsia"/>
        </w:rPr>
        <w:t>按实际使用状态将五金件安装在模拟窗扇上，用精度不低于</w:t>
      </w:r>
      <w:r>
        <w:rPr>
          <w:rFonts w:hint="eastAsia"/>
          <w:lang w:val="en-US" w:eastAsia="zh-CN"/>
        </w:rPr>
        <w:t xml:space="preserve"> </w:t>
      </w:r>
      <w:r>
        <w:rPr>
          <w:rFonts w:hint="eastAsia"/>
        </w:rPr>
        <w:t>0.1mm</w:t>
      </w:r>
      <w:r>
        <w:rPr>
          <w:rFonts w:hint="eastAsia"/>
          <w:lang w:val="en-US" w:eastAsia="zh-CN"/>
        </w:rPr>
        <w:t xml:space="preserve"> </w:t>
      </w:r>
      <w:r>
        <w:rPr>
          <w:rFonts w:hint="eastAsia"/>
        </w:rPr>
        <w:t>的量具测量窗扇下边缘与窗框的间距，并记录初始位置值；</w:t>
      </w:r>
    </w:p>
    <w:p w14:paraId="129AF060">
      <w:pPr>
        <w:pStyle w:val="175"/>
        <w:numPr>
          <w:ilvl w:val="0"/>
          <w:numId w:val="35"/>
        </w:numPr>
        <w:rPr>
          <w:rFonts w:hint="eastAsia"/>
        </w:rPr>
      </w:pPr>
      <w:r>
        <w:rPr>
          <w:rFonts w:hint="eastAsia"/>
        </w:rPr>
        <w:t>完整的一次反复启闭循环应为：密封压紧状态——推拉状态——往返推拉——密封压紧状态，每个状态之间应停顿1s；</w:t>
      </w:r>
    </w:p>
    <w:p w14:paraId="5D0448AC">
      <w:pPr>
        <w:pStyle w:val="175"/>
        <w:numPr>
          <w:ilvl w:val="0"/>
          <w:numId w:val="35"/>
        </w:numPr>
        <w:rPr>
          <w:rFonts w:hint="eastAsia"/>
        </w:rPr>
      </w:pPr>
      <w:r>
        <w:rPr>
          <w:rFonts w:hint="eastAsia"/>
        </w:rPr>
        <w:t>试验频率为</w:t>
      </w:r>
      <w:r>
        <w:rPr>
          <w:rFonts w:hint="eastAsia"/>
          <w:lang w:val="en-US" w:eastAsia="zh-CN"/>
        </w:rPr>
        <w:t xml:space="preserve"> </w:t>
      </w:r>
      <w:r>
        <w:rPr>
          <w:rFonts w:hint="eastAsia"/>
        </w:rPr>
        <w:t>200（±10）次/h，每</w:t>
      </w:r>
      <w:r>
        <w:rPr>
          <w:rFonts w:hint="eastAsia"/>
          <w:lang w:val="en-US" w:eastAsia="zh-CN"/>
        </w:rPr>
        <w:t xml:space="preserve"> </w:t>
      </w:r>
      <w:r>
        <w:rPr>
          <w:rFonts w:hint="eastAsia"/>
        </w:rPr>
        <w:t>5000</w:t>
      </w:r>
      <w:r>
        <w:rPr>
          <w:rFonts w:hint="eastAsia"/>
          <w:lang w:val="en-US" w:eastAsia="zh-CN"/>
        </w:rPr>
        <w:t xml:space="preserve"> </w:t>
      </w:r>
      <w:r>
        <w:rPr>
          <w:rFonts w:hint="eastAsia"/>
        </w:rPr>
        <w:t>次循环可对试件进行一次调整，并按使用说明书的规定进行润滑；</w:t>
      </w:r>
    </w:p>
    <w:p w14:paraId="0864D85D">
      <w:pPr>
        <w:pStyle w:val="175"/>
        <w:numPr>
          <w:ilvl w:val="0"/>
          <w:numId w:val="35"/>
        </w:numPr>
        <w:rPr>
          <w:rFonts w:hint="eastAsia"/>
        </w:rPr>
      </w:pPr>
      <w:r>
        <w:rPr>
          <w:rFonts w:hint="eastAsia"/>
        </w:rPr>
        <w:t>测试完成后，再次测量窗扇下边缘与窗框的间距，并记录当前位置值，当前位置值与初始位置值相差不应大于2mm；</w:t>
      </w:r>
    </w:p>
    <w:p w14:paraId="1FCD0E27">
      <w:pPr>
        <w:pStyle w:val="175"/>
        <w:numPr>
          <w:ilvl w:val="0"/>
          <w:numId w:val="35"/>
        </w:numPr>
        <w:rPr>
          <w:rFonts w:hint="eastAsia"/>
        </w:rPr>
      </w:pPr>
      <w:r>
        <w:rPr>
          <w:rFonts w:hint="eastAsia"/>
        </w:rPr>
        <w:t>增加窗扇配重至承载配重的</w:t>
      </w:r>
      <w:r>
        <w:rPr>
          <w:rFonts w:hint="eastAsia"/>
          <w:lang w:val="en-US" w:eastAsia="zh-CN"/>
        </w:rPr>
        <w:t xml:space="preserve"> </w:t>
      </w:r>
      <w:r>
        <w:rPr>
          <w:rFonts w:hint="eastAsia"/>
        </w:rPr>
        <w:t>1.5</w:t>
      </w:r>
      <w:r>
        <w:rPr>
          <w:rFonts w:hint="eastAsia"/>
          <w:lang w:val="en-US" w:eastAsia="zh-CN"/>
        </w:rPr>
        <w:t xml:space="preserve"> </w:t>
      </w:r>
      <w:r>
        <w:rPr>
          <w:rFonts w:hint="eastAsia"/>
        </w:rPr>
        <w:t>倍，按</w:t>
      </w:r>
      <w:r>
        <w:rPr>
          <w:rFonts w:hint="eastAsia"/>
          <w:lang w:val="en-US" w:eastAsia="zh-CN"/>
        </w:rPr>
        <w:t xml:space="preserve"> </w:t>
      </w:r>
      <w:r>
        <w:rPr>
          <w:rFonts w:hint="eastAsia"/>
        </w:rPr>
        <w:t>6.6.11.1</w:t>
      </w:r>
      <w:r>
        <w:rPr>
          <w:rFonts w:hint="eastAsia"/>
          <w:lang w:val="en-US" w:eastAsia="zh-CN"/>
        </w:rPr>
        <w:t xml:space="preserve"> </w:t>
      </w:r>
      <w:r>
        <w:rPr>
          <w:rFonts w:hint="eastAsia"/>
        </w:rPr>
        <w:t>的方法测试启闭力，启闭力不应大于</w:t>
      </w:r>
      <w:r>
        <w:rPr>
          <w:rFonts w:hint="eastAsia"/>
          <w:lang w:val="en-US" w:eastAsia="zh-CN"/>
        </w:rPr>
        <w:t xml:space="preserve"> </w:t>
      </w:r>
      <w:r>
        <w:rPr>
          <w:rFonts w:hint="eastAsia"/>
        </w:rPr>
        <w:t>5.6.11.1</w:t>
      </w:r>
      <w:r>
        <w:rPr>
          <w:rFonts w:hint="eastAsia"/>
          <w:lang w:val="en-US" w:eastAsia="zh-CN"/>
        </w:rPr>
        <w:t xml:space="preserve"> </w:t>
      </w:r>
      <w:r>
        <w:rPr>
          <w:rFonts w:hint="eastAsia"/>
        </w:rPr>
        <w:t>中规定值的</w:t>
      </w:r>
      <w:r>
        <w:rPr>
          <w:rFonts w:hint="eastAsia"/>
          <w:lang w:val="en-US" w:eastAsia="zh-CN"/>
        </w:rPr>
        <w:t xml:space="preserve"> </w:t>
      </w:r>
      <w:r>
        <w:rPr>
          <w:rFonts w:hint="eastAsia"/>
        </w:rPr>
        <w:t>1.5</w:t>
      </w:r>
      <w:r>
        <w:rPr>
          <w:rFonts w:hint="eastAsia"/>
          <w:lang w:val="en-US" w:eastAsia="zh-CN"/>
        </w:rPr>
        <w:t xml:space="preserve"> </w:t>
      </w:r>
      <w:r>
        <w:rPr>
          <w:rFonts w:hint="eastAsia"/>
        </w:rPr>
        <w:t>倍。</w:t>
      </w:r>
    </w:p>
    <w:p w14:paraId="18A4A1A5">
      <w:pPr>
        <w:pStyle w:val="95"/>
        <w:spacing w:before="120" w:after="120"/>
      </w:pPr>
      <w:r>
        <w:rPr>
          <w:rFonts w:hint="eastAsia"/>
        </w:rPr>
        <w:t>密封胶条耐久性</w:t>
      </w:r>
    </w:p>
    <w:p w14:paraId="7EDA089C">
      <w:pPr>
        <w:pStyle w:val="57"/>
        <w:ind w:firstLine="420"/>
      </w:pPr>
      <w:r>
        <w:rPr>
          <w:rFonts w:hint="eastAsia"/>
        </w:rPr>
        <w:t>密封胶条耐久性测试按照</w:t>
      </w:r>
      <w:r>
        <w:rPr>
          <w:rFonts w:hint="eastAsia"/>
          <w:lang w:val="en-US" w:eastAsia="zh-CN"/>
        </w:rPr>
        <w:t xml:space="preserve"> </w:t>
      </w:r>
      <w:r>
        <w:rPr>
          <w:rFonts w:hint="eastAsia"/>
        </w:rPr>
        <w:t>GB/T 7759.1</w:t>
      </w:r>
      <w:r>
        <w:rPr>
          <w:rFonts w:hint="eastAsia"/>
          <w:lang w:val="en-US" w:eastAsia="zh-CN"/>
        </w:rPr>
        <w:t xml:space="preserve"> </w:t>
      </w:r>
      <w:r>
        <w:rPr>
          <w:rFonts w:hint="eastAsia"/>
        </w:rPr>
        <w:t>进行测试。</w:t>
      </w:r>
    </w:p>
    <w:p w14:paraId="0D89486E">
      <w:pPr>
        <w:pStyle w:val="105"/>
        <w:spacing w:before="240" w:after="240"/>
      </w:pPr>
      <w:bookmarkStart w:id="105" w:name="_Toc6019"/>
      <w:bookmarkStart w:id="106" w:name="_Toc211"/>
      <w:r>
        <w:rPr>
          <w:rFonts w:hint="eastAsia"/>
        </w:rPr>
        <w:t>检验规则</w:t>
      </w:r>
      <w:bookmarkEnd w:id="105"/>
      <w:bookmarkEnd w:id="106"/>
    </w:p>
    <w:p w14:paraId="66AC4BE5">
      <w:pPr>
        <w:pStyle w:val="106"/>
        <w:spacing w:before="120" w:after="120"/>
      </w:pPr>
      <w:bookmarkStart w:id="107" w:name="_Toc11407"/>
      <w:r>
        <w:rPr>
          <w:rFonts w:hint="eastAsia"/>
        </w:rPr>
        <w:t>检验类别和项目</w:t>
      </w:r>
      <w:bookmarkEnd w:id="107"/>
    </w:p>
    <w:p w14:paraId="7AE88946">
      <w:pPr>
        <w:pStyle w:val="57"/>
        <w:spacing w:before="120" w:after="120"/>
        <w:ind w:firstLine="420"/>
      </w:pPr>
      <w:r>
        <w:rPr>
          <w:rFonts w:hint="eastAsia" w:hAnsi="宋体"/>
        </w:rPr>
        <w:t>产品检验分为出厂检验和型式检验，检验项目应符合表</w:t>
      </w:r>
      <w:r>
        <w:rPr>
          <w:rFonts w:hint="eastAsia" w:hAnsi="宋体"/>
          <w:lang w:val="en-US" w:eastAsia="zh-CN"/>
        </w:rPr>
        <w:t xml:space="preserve"> </w:t>
      </w:r>
      <w:r>
        <w:rPr>
          <w:rFonts w:hint="eastAsia"/>
          <w:lang w:val="en-US" w:eastAsia="zh-CN"/>
        </w:rPr>
        <w:t xml:space="preserve">10 </w:t>
      </w:r>
      <w:r>
        <w:rPr>
          <w:rFonts w:hint="eastAsia" w:hAnsi="宋体"/>
        </w:rPr>
        <w:t>的规定。</w:t>
      </w:r>
    </w:p>
    <w:p w14:paraId="45E730A6">
      <w:pPr>
        <w:pStyle w:val="113"/>
        <w:spacing w:before="120" w:after="120"/>
      </w:pPr>
      <w:r>
        <w:rPr>
          <w:rFonts w:hint="eastAsia"/>
        </w:rPr>
        <w:t>检验项目</w:t>
      </w:r>
    </w:p>
    <w:tbl>
      <w:tblPr>
        <w:tblStyle w:val="28"/>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45"/>
        <w:gridCol w:w="2440"/>
        <w:gridCol w:w="1592"/>
        <w:gridCol w:w="1596"/>
        <w:gridCol w:w="1592"/>
        <w:gridCol w:w="1605"/>
      </w:tblGrid>
      <w:tr w14:paraId="6EEEB1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vMerge w:val="restart"/>
            <w:tcBorders>
              <w:top w:val="single" w:color="auto" w:sz="8" w:space="0"/>
              <w:left w:val="single" w:color="auto" w:sz="8" w:space="0"/>
              <w:bottom w:val="single" w:color="auto" w:sz="4" w:space="0"/>
              <w:right w:val="single" w:color="auto" w:sz="4" w:space="0"/>
            </w:tcBorders>
            <w:vAlign w:val="center"/>
          </w:tcPr>
          <w:p w14:paraId="514231A3">
            <w:pPr>
              <w:jc w:val="center"/>
              <w:rPr>
                <w:rFonts w:hint="eastAsia" w:ascii="宋体" w:hAnsi="宋体"/>
                <w:sz w:val="18"/>
                <w:szCs w:val="18"/>
              </w:rPr>
            </w:pPr>
            <w:r>
              <w:rPr>
                <w:rFonts w:hint="eastAsia" w:ascii="宋体" w:hAnsi="宋体"/>
                <w:sz w:val="18"/>
                <w:szCs w:val="18"/>
              </w:rPr>
              <w:t>序号</w:t>
            </w:r>
          </w:p>
        </w:tc>
        <w:tc>
          <w:tcPr>
            <w:tcW w:w="1275" w:type="pct"/>
            <w:vMerge w:val="restart"/>
            <w:tcBorders>
              <w:top w:val="single" w:color="auto" w:sz="8" w:space="0"/>
              <w:left w:val="single" w:color="auto" w:sz="4" w:space="0"/>
              <w:bottom w:val="single" w:color="auto" w:sz="4" w:space="0"/>
              <w:right w:val="single" w:color="auto" w:sz="4" w:space="0"/>
            </w:tcBorders>
            <w:vAlign w:val="center"/>
          </w:tcPr>
          <w:p w14:paraId="7377122E">
            <w:pPr>
              <w:jc w:val="center"/>
              <w:rPr>
                <w:rFonts w:hint="eastAsia" w:ascii="宋体" w:hAnsi="宋体"/>
                <w:sz w:val="18"/>
                <w:szCs w:val="18"/>
              </w:rPr>
            </w:pPr>
            <w:r>
              <w:rPr>
                <w:rFonts w:hint="eastAsia" w:ascii="宋体" w:hAnsi="宋体"/>
                <w:sz w:val="18"/>
                <w:szCs w:val="18"/>
              </w:rPr>
              <w:t>检验项目</w:t>
            </w:r>
          </w:p>
        </w:tc>
        <w:tc>
          <w:tcPr>
            <w:tcW w:w="1666" w:type="pct"/>
            <w:gridSpan w:val="2"/>
            <w:tcBorders>
              <w:top w:val="single" w:color="auto" w:sz="8" w:space="0"/>
              <w:left w:val="single" w:color="auto" w:sz="4" w:space="0"/>
              <w:bottom w:val="single" w:color="auto" w:sz="4" w:space="0"/>
              <w:right w:val="single" w:color="auto" w:sz="4" w:space="0"/>
            </w:tcBorders>
            <w:vAlign w:val="center"/>
          </w:tcPr>
          <w:p w14:paraId="3A0151FE">
            <w:pPr>
              <w:jc w:val="center"/>
              <w:rPr>
                <w:rFonts w:hint="eastAsia" w:ascii="宋体" w:hAnsi="宋体"/>
                <w:sz w:val="18"/>
                <w:szCs w:val="18"/>
              </w:rPr>
            </w:pPr>
            <w:r>
              <w:rPr>
                <w:rFonts w:hint="eastAsia" w:ascii="宋体" w:hAnsi="宋体"/>
                <w:sz w:val="18"/>
                <w:szCs w:val="18"/>
              </w:rPr>
              <w:t>检验类别</w:t>
            </w:r>
          </w:p>
        </w:tc>
        <w:tc>
          <w:tcPr>
            <w:tcW w:w="832" w:type="pct"/>
            <w:vMerge w:val="restart"/>
            <w:tcBorders>
              <w:top w:val="single" w:color="auto" w:sz="8" w:space="0"/>
              <w:left w:val="single" w:color="auto" w:sz="4" w:space="0"/>
              <w:bottom w:val="single" w:color="auto" w:sz="4" w:space="0"/>
              <w:right w:val="single" w:color="auto" w:sz="4" w:space="0"/>
            </w:tcBorders>
            <w:vAlign w:val="center"/>
          </w:tcPr>
          <w:p w14:paraId="5FB34AAC">
            <w:pPr>
              <w:jc w:val="center"/>
              <w:rPr>
                <w:rFonts w:hint="eastAsia" w:ascii="宋体" w:hAnsi="宋体"/>
                <w:sz w:val="18"/>
                <w:szCs w:val="18"/>
              </w:rPr>
            </w:pPr>
            <w:r>
              <w:rPr>
                <w:rFonts w:hint="eastAsia" w:ascii="宋体" w:hAnsi="宋体"/>
                <w:sz w:val="18"/>
                <w:szCs w:val="18"/>
              </w:rPr>
              <w:t>技术要求</w:t>
            </w:r>
          </w:p>
        </w:tc>
        <w:tc>
          <w:tcPr>
            <w:tcW w:w="835" w:type="pct"/>
            <w:vMerge w:val="restart"/>
            <w:tcBorders>
              <w:top w:val="single" w:color="auto" w:sz="8" w:space="0"/>
              <w:left w:val="single" w:color="auto" w:sz="4" w:space="0"/>
              <w:bottom w:val="single" w:color="auto" w:sz="4" w:space="0"/>
              <w:right w:val="single" w:color="auto" w:sz="8" w:space="0"/>
            </w:tcBorders>
            <w:vAlign w:val="center"/>
          </w:tcPr>
          <w:p w14:paraId="7C449AAC">
            <w:pPr>
              <w:jc w:val="center"/>
              <w:rPr>
                <w:rFonts w:hint="eastAsia" w:ascii="宋体" w:hAnsi="宋体"/>
                <w:sz w:val="18"/>
                <w:szCs w:val="18"/>
              </w:rPr>
            </w:pPr>
            <w:r>
              <w:rPr>
                <w:rFonts w:hint="eastAsia" w:ascii="宋体" w:hAnsi="宋体"/>
                <w:sz w:val="18"/>
                <w:szCs w:val="18"/>
              </w:rPr>
              <w:t>试验方法</w:t>
            </w:r>
          </w:p>
        </w:tc>
      </w:tr>
      <w:tr w14:paraId="705C81F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0" w:type="auto"/>
            <w:vMerge w:val="continue"/>
            <w:tcBorders>
              <w:top w:val="single" w:color="auto" w:sz="8" w:space="0"/>
              <w:left w:val="single" w:color="auto" w:sz="8" w:space="0"/>
              <w:bottom w:val="single" w:color="auto" w:sz="4" w:space="0"/>
              <w:right w:val="single" w:color="auto" w:sz="4" w:space="0"/>
            </w:tcBorders>
            <w:vAlign w:val="center"/>
          </w:tcPr>
          <w:p w14:paraId="56279595">
            <w:pPr>
              <w:spacing w:beforeAutospacing="1" w:afterAutospacing="1"/>
              <w:jc w:val="left"/>
              <w:rPr>
                <w:rFonts w:hint="eastAsia" w:ascii="宋体" w:hAnsi="宋体"/>
                <w:sz w:val="18"/>
                <w:szCs w:val="18"/>
              </w:rPr>
            </w:pPr>
          </w:p>
        </w:tc>
        <w:tc>
          <w:tcPr>
            <w:tcW w:w="0" w:type="auto"/>
            <w:vMerge w:val="continue"/>
            <w:tcBorders>
              <w:top w:val="single" w:color="auto" w:sz="8" w:space="0"/>
              <w:left w:val="single" w:color="auto" w:sz="4" w:space="0"/>
              <w:bottom w:val="single" w:color="auto" w:sz="4" w:space="0"/>
              <w:right w:val="single" w:color="auto" w:sz="4" w:space="0"/>
            </w:tcBorders>
            <w:vAlign w:val="center"/>
          </w:tcPr>
          <w:p w14:paraId="47A25111">
            <w:pPr>
              <w:spacing w:beforeAutospacing="1" w:afterAutospacing="1"/>
              <w:jc w:val="left"/>
              <w:rPr>
                <w:rFonts w:hint="eastAsia" w:ascii="宋体" w:hAnsi="宋体"/>
                <w:sz w:val="18"/>
                <w:szCs w:val="18"/>
              </w:rPr>
            </w:pPr>
          </w:p>
        </w:tc>
        <w:tc>
          <w:tcPr>
            <w:tcW w:w="832" w:type="pct"/>
            <w:tcBorders>
              <w:top w:val="single" w:color="auto" w:sz="4" w:space="0"/>
              <w:left w:val="single" w:color="auto" w:sz="4" w:space="0"/>
              <w:bottom w:val="single" w:color="auto" w:sz="8" w:space="0"/>
              <w:right w:val="single" w:color="auto" w:sz="4" w:space="0"/>
            </w:tcBorders>
            <w:vAlign w:val="center"/>
          </w:tcPr>
          <w:p w14:paraId="390CCE25">
            <w:pPr>
              <w:jc w:val="center"/>
              <w:rPr>
                <w:rFonts w:hint="eastAsia" w:ascii="宋体" w:hAnsi="宋体"/>
                <w:sz w:val="18"/>
                <w:szCs w:val="18"/>
              </w:rPr>
            </w:pPr>
            <w:r>
              <w:rPr>
                <w:rFonts w:hint="eastAsia" w:ascii="宋体" w:hAnsi="宋体"/>
                <w:sz w:val="18"/>
                <w:szCs w:val="18"/>
              </w:rPr>
              <w:t>出厂检验</w:t>
            </w:r>
          </w:p>
        </w:tc>
        <w:tc>
          <w:tcPr>
            <w:tcW w:w="833" w:type="pct"/>
            <w:tcBorders>
              <w:top w:val="single" w:color="auto" w:sz="4" w:space="0"/>
              <w:left w:val="single" w:color="auto" w:sz="4" w:space="0"/>
              <w:bottom w:val="single" w:color="auto" w:sz="8" w:space="0"/>
              <w:right w:val="single" w:color="auto" w:sz="4" w:space="0"/>
            </w:tcBorders>
            <w:vAlign w:val="center"/>
          </w:tcPr>
          <w:p w14:paraId="3B4D3A88">
            <w:pPr>
              <w:jc w:val="center"/>
              <w:rPr>
                <w:rFonts w:hint="eastAsia" w:ascii="宋体" w:hAnsi="宋体"/>
                <w:sz w:val="18"/>
                <w:szCs w:val="18"/>
              </w:rPr>
            </w:pPr>
            <w:r>
              <w:rPr>
                <w:rFonts w:hint="eastAsia" w:ascii="宋体" w:hAnsi="宋体"/>
                <w:sz w:val="18"/>
                <w:szCs w:val="18"/>
              </w:rPr>
              <w:t>型式检验</w:t>
            </w:r>
          </w:p>
        </w:tc>
        <w:tc>
          <w:tcPr>
            <w:tcW w:w="0" w:type="auto"/>
            <w:vMerge w:val="continue"/>
            <w:tcBorders>
              <w:top w:val="single" w:color="auto" w:sz="8" w:space="0"/>
              <w:left w:val="single" w:color="auto" w:sz="4" w:space="0"/>
              <w:bottom w:val="single" w:color="auto" w:sz="4" w:space="0"/>
              <w:right w:val="single" w:color="auto" w:sz="4" w:space="0"/>
            </w:tcBorders>
            <w:vAlign w:val="center"/>
          </w:tcPr>
          <w:p w14:paraId="1CCB4C20">
            <w:pPr>
              <w:spacing w:beforeAutospacing="1" w:afterAutospacing="1"/>
              <w:jc w:val="left"/>
              <w:rPr>
                <w:rFonts w:hint="eastAsia" w:ascii="宋体" w:hAnsi="宋体"/>
                <w:sz w:val="18"/>
                <w:szCs w:val="18"/>
              </w:rPr>
            </w:pPr>
          </w:p>
        </w:tc>
        <w:tc>
          <w:tcPr>
            <w:tcW w:w="0" w:type="auto"/>
            <w:vMerge w:val="continue"/>
            <w:tcBorders>
              <w:top w:val="single" w:color="auto" w:sz="8" w:space="0"/>
              <w:left w:val="single" w:color="auto" w:sz="4" w:space="0"/>
              <w:bottom w:val="single" w:color="auto" w:sz="4" w:space="0"/>
              <w:right w:val="single" w:color="auto" w:sz="8" w:space="0"/>
            </w:tcBorders>
            <w:vAlign w:val="center"/>
          </w:tcPr>
          <w:p w14:paraId="3E341D80">
            <w:pPr>
              <w:spacing w:beforeAutospacing="1" w:afterAutospacing="1"/>
              <w:jc w:val="left"/>
              <w:rPr>
                <w:rFonts w:hint="eastAsia" w:ascii="宋体" w:hAnsi="宋体"/>
                <w:sz w:val="18"/>
                <w:szCs w:val="18"/>
              </w:rPr>
            </w:pPr>
          </w:p>
        </w:tc>
      </w:tr>
      <w:tr w14:paraId="69BABC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89" w:type="pct"/>
            <w:tcBorders>
              <w:top w:val="single" w:color="auto" w:sz="8" w:space="0"/>
              <w:left w:val="single" w:color="auto" w:sz="8" w:space="0"/>
              <w:bottom w:val="single" w:color="auto" w:sz="4" w:space="0"/>
              <w:right w:val="single" w:color="auto" w:sz="4" w:space="0"/>
            </w:tcBorders>
            <w:vAlign w:val="center"/>
          </w:tcPr>
          <w:p w14:paraId="27F342CA">
            <w:pPr>
              <w:jc w:val="center"/>
              <w:rPr>
                <w:rFonts w:hint="eastAsia" w:ascii="宋体" w:hAnsi="宋体"/>
                <w:sz w:val="18"/>
                <w:szCs w:val="18"/>
              </w:rPr>
            </w:pPr>
            <w:r>
              <w:rPr>
                <w:rFonts w:hint="eastAsia" w:ascii="宋体" w:hAnsi="宋体"/>
                <w:sz w:val="18"/>
                <w:szCs w:val="18"/>
              </w:rPr>
              <w:t>1</w:t>
            </w:r>
          </w:p>
        </w:tc>
        <w:tc>
          <w:tcPr>
            <w:tcW w:w="1275" w:type="pct"/>
            <w:tcBorders>
              <w:top w:val="single" w:color="auto" w:sz="8" w:space="0"/>
              <w:left w:val="single" w:color="auto" w:sz="4" w:space="0"/>
              <w:bottom w:val="single" w:color="auto" w:sz="4" w:space="0"/>
              <w:right w:val="single" w:color="auto" w:sz="4" w:space="0"/>
            </w:tcBorders>
            <w:vAlign w:val="center"/>
          </w:tcPr>
          <w:p w14:paraId="3A5619AC">
            <w:pPr>
              <w:jc w:val="center"/>
              <w:rPr>
                <w:rFonts w:hint="eastAsia" w:ascii="宋体" w:hAnsi="宋体"/>
                <w:sz w:val="18"/>
                <w:szCs w:val="18"/>
              </w:rPr>
            </w:pPr>
            <w:r>
              <w:rPr>
                <w:rFonts w:hint="eastAsia" w:ascii="宋体" w:hAnsi="宋体"/>
                <w:sz w:val="18"/>
                <w:szCs w:val="18"/>
              </w:rPr>
              <w:t>外观质量</w:t>
            </w:r>
          </w:p>
        </w:tc>
        <w:tc>
          <w:tcPr>
            <w:tcW w:w="832" w:type="pct"/>
            <w:tcBorders>
              <w:top w:val="single" w:color="auto" w:sz="8" w:space="0"/>
              <w:left w:val="single" w:color="auto" w:sz="4" w:space="0"/>
              <w:bottom w:val="single" w:color="auto" w:sz="4" w:space="0"/>
              <w:right w:val="single" w:color="auto" w:sz="4" w:space="0"/>
            </w:tcBorders>
            <w:vAlign w:val="center"/>
          </w:tcPr>
          <w:p w14:paraId="1423B09B">
            <w:pPr>
              <w:jc w:val="center"/>
              <w:rPr>
                <w:rFonts w:hint="eastAsia" w:ascii="宋体" w:hAnsi="宋体"/>
                <w:sz w:val="18"/>
                <w:szCs w:val="18"/>
              </w:rPr>
            </w:pPr>
            <w:r>
              <w:rPr>
                <w:rFonts w:hint="eastAsia" w:ascii="宋体" w:hAnsi="宋体"/>
                <w:sz w:val="18"/>
                <w:szCs w:val="18"/>
              </w:rPr>
              <w:t>◎</w:t>
            </w:r>
          </w:p>
        </w:tc>
        <w:tc>
          <w:tcPr>
            <w:tcW w:w="833" w:type="pct"/>
            <w:tcBorders>
              <w:top w:val="single" w:color="auto" w:sz="8" w:space="0"/>
              <w:left w:val="single" w:color="auto" w:sz="4" w:space="0"/>
              <w:bottom w:val="single" w:color="auto" w:sz="4" w:space="0"/>
              <w:right w:val="single" w:color="auto" w:sz="4" w:space="0"/>
            </w:tcBorders>
            <w:vAlign w:val="center"/>
          </w:tcPr>
          <w:p w14:paraId="383AEAF9">
            <w:pPr>
              <w:jc w:val="center"/>
              <w:rPr>
                <w:rFonts w:hint="eastAsia" w:ascii="宋体" w:hAnsi="宋体"/>
                <w:sz w:val="18"/>
                <w:szCs w:val="18"/>
              </w:rPr>
            </w:pPr>
            <w:r>
              <w:rPr>
                <w:rFonts w:hint="eastAsia" w:ascii="宋体" w:hAnsi="宋体"/>
                <w:sz w:val="18"/>
                <w:szCs w:val="18"/>
              </w:rPr>
              <w:t>◎</w:t>
            </w:r>
          </w:p>
        </w:tc>
        <w:tc>
          <w:tcPr>
            <w:tcW w:w="832" w:type="pct"/>
            <w:tcBorders>
              <w:top w:val="single" w:color="auto" w:sz="8" w:space="0"/>
              <w:left w:val="single" w:color="auto" w:sz="4" w:space="0"/>
              <w:bottom w:val="single" w:color="auto" w:sz="4" w:space="0"/>
              <w:right w:val="single" w:color="auto" w:sz="4" w:space="0"/>
            </w:tcBorders>
            <w:vAlign w:val="center"/>
          </w:tcPr>
          <w:p w14:paraId="475522EE">
            <w:pPr>
              <w:jc w:val="center"/>
              <w:rPr>
                <w:rFonts w:hint="eastAsia" w:ascii="宋体" w:hAnsi="宋体"/>
                <w:sz w:val="18"/>
                <w:szCs w:val="18"/>
              </w:rPr>
            </w:pPr>
            <w:r>
              <w:rPr>
                <w:rFonts w:hint="eastAsia" w:ascii="宋体" w:hAnsi="宋体"/>
                <w:sz w:val="18"/>
                <w:szCs w:val="18"/>
              </w:rPr>
              <w:t>5.2</w:t>
            </w:r>
          </w:p>
        </w:tc>
        <w:tc>
          <w:tcPr>
            <w:tcW w:w="835" w:type="pct"/>
            <w:tcBorders>
              <w:top w:val="single" w:color="auto" w:sz="8" w:space="0"/>
              <w:left w:val="single" w:color="auto" w:sz="4" w:space="0"/>
              <w:bottom w:val="single" w:color="auto" w:sz="4" w:space="0"/>
              <w:right w:val="single" w:color="auto" w:sz="8" w:space="0"/>
            </w:tcBorders>
            <w:vAlign w:val="center"/>
          </w:tcPr>
          <w:p w14:paraId="2829E173">
            <w:pPr>
              <w:jc w:val="center"/>
              <w:rPr>
                <w:rFonts w:hint="eastAsia" w:ascii="宋体" w:hAnsi="宋体"/>
                <w:sz w:val="18"/>
                <w:szCs w:val="18"/>
              </w:rPr>
            </w:pPr>
            <w:r>
              <w:rPr>
                <w:rFonts w:hint="eastAsia" w:ascii="宋体" w:hAnsi="宋体"/>
                <w:sz w:val="18"/>
                <w:szCs w:val="18"/>
              </w:rPr>
              <w:t>6.2</w:t>
            </w:r>
          </w:p>
        </w:tc>
      </w:tr>
      <w:tr w14:paraId="20AB0A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3BD34FBD">
            <w:pPr>
              <w:jc w:val="center"/>
              <w:rPr>
                <w:rFonts w:hint="eastAsia" w:ascii="宋体" w:hAnsi="宋体"/>
                <w:sz w:val="18"/>
                <w:szCs w:val="18"/>
              </w:rPr>
            </w:pPr>
            <w:r>
              <w:rPr>
                <w:rFonts w:hint="eastAsia" w:ascii="宋体" w:hAnsi="宋体"/>
                <w:sz w:val="18"/>
                <w:szCs w:val="18"/>
              </w:rPr>
              <w:t>2</w:t>
            </w:r>
          </w:p>
        </w:tc>
        <w:tc>
          <w:tcPr>
            <w:tcW w:w="1275" w:type="pct"/>
            <w:tcBorders>
              <w:top w:val="single" w:color="auto" w:sz="4" w:space="0"/>
              <w:left w:val="single" w:color="auto" w:sz="4" w:space="0"/>
              <w:bottom w:val="single" w:color="auto" w:sz="4" w:space="0"/>
              <w:right w:val="single" w:color="auto" w:sz="4" w:space="0"/>
            </w:tcBorders>
            <w:vAlign w:val="center"/>
          </w:tcPr>
          <w:p w14:paraId="34A6E39F">
            <w:pPr>
              <w:jc w:val="center"/>
              <w:rPr>
                <w:rFonts w:hint="eastAsia" w:ascii="宋体" w:hAnsi="宋体"/>
                <w:sz w:val="18"/>
                <w:szCs w:val="18"/>
              </w:rPr>
            </w:pPr>
            <w:r>
              <w:rPr>
                <w:rFonts w:hint="eastAsia" w:ascii="宋体" w:hAnsi="宋体"/>
                <w:sz w:val="18"/>
                <w:szCs w:val="18"/>
              </w:rPr>
              <w:t>尺寸</w:t>
            </w:r>
          </w:p>
        </w:tc>
        <w:tc>
          <w:tcPr>
            <w:tcW w:w="832" w:type="pct"/>
            <w:tcBorders>
              <w:top w:val="single" w:color="auto" w:sz="4" w:space="0"/>
              <w:left w:val="single" w:color="auto" w:sz="4" w:space="0"/>
              <w:bottom w:val="single" w:color="auto" w:sz="4" w:space="0"/>
              <w:right w:val="single" w:color="auto" w:sz="4" w:space="0"/>
            </w:tcBorders>
            <w:vAlign w:val="center"/>
          </w:tcPr>
          <w:p w14:paraId="01771C10">
            <w:pPr>
              <w:jc w:val="center"/>
              <w:rPr>
                <w:rFonts w:hint="eastAsia" w:ascii="宋体" w:hAnsi="宋体"/>
                <w:sz w:val="18"/>
                <w:szCs w:val="18"/>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vAlign w:val="center"/>
          </w:tcPr>
          <w:p w14:paraId="517C485C">
            <w:pPr>
              <w:jc w:val="center"/>
              <w:rPr>
                <w:rFonts w:hint="eastAsia" w:ascii="宋体" w:hAnsi="宋体"/>
                <w:sz w:val="18"/>
                <w:szCs w:val="18"/>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27F0D441">
            <w:pPr>
              <w:jc w:val="center"/>
              <w:rPr>
                <w:rFonts w:hint="eastAsia" w:ascii="宋体" w:hAnsi="宋体"/>
                <w:sz w:val="18"/>
                <w:szCs w:val="18"/>
              </w:rPr>
            </w:pPr>
            <w:r>
              <w:rPr>
                <w:rFonts w:hint="eastAsia" w:ascii="宋体" w:hAnsi="宋体"/>
                <w:sz w:val="18"/>
                <w:szCs w:val="18"/>
              </w:rPr>
              <w:t>5.3</w:t>
            </w:r>
          </w:p>
        </w:tc>
        <w:tc>
          <w:tcPr>
            <w:tcW w:w="835" w:type="pct"/>
            <w:tcBorders>
              <w:top w:val="single" w:color="auto" w:sz="4" w:space="0"/>
              <w:left w:val="single" w:color="auto" w:sz="4" w:space="0"/>
              <w:bottom w:val="single" w:color="auto" w:sz="4" w:space="0"/>
              <w:right w:val="single" w:color="auto" w:sz="8" w:space="0"/>
            </w:tcBorders>
            <w:vAlign w:val="center"/>
          </w:tcPr>
          <w:p w14:paraId="5D0B96F5">
            <w:pPr>
              <w:jc w:val="center"/>
              <w:rPr>
                <w:rFonts w:hint="eastAsia" w:ascii="宋体" w:hAnsi="宋体"/>
                <w:sz w:val="18"/>
                <w:szCs w:val="18"/>
              </w:rPr>
            </w:pPr>
            <w:r>
              <w:rPr>
                <w:rFonts w:hint="eastAsia" w:ascii="宋体" w:hAnsi="宋体"/>
                <w:sz w:val="18"/>
                <w:szCs w:val="18"/>
              </w:rPr>
              <w:t>6.3</w:t>
            </w:r>
          </w:p>
        </w:tc>
      </w:tr>
      <w:tr w14:paraId="1F0F8C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5CC16D83">
            <w:pPr>
              <w:jc w:val="center"/>
              <w:rPr>
                <w:rFonts w:hint="eastAsia" w:ascii="宋体" w:hAnsi="宋体"/>
                <w:sz w:val="18"/>
                <w:szCs w:val="18"/>
              </w:rPr>
            </w:pPr>
            <w:r>
              <w:rPr>
                <w:rFonts w:hint="eastAsia" w:ascii="宋体" w:hAnsi="宋体"/>
                <w:sz w:val="18"/>
                <w:szCs w:val="18"/>
              </w:rPr>
              <w:t>3</w:t>
            </w:r>
          </w:p>
        </w:tc>
        <w:tc>
          <w:tcPr>
            <w:tcW w:w="1275" w:type="pct"/>
            <w:tcBorders>
              <w:top w:val="single" w:color="auto" w:sz="4" w:space="0"/>
              <w:left w:val="single" w:color="auto" w:sz="4" w:space="0"/>
              <w:bottom w:val="single" w:color="auto" w:sz="4" w:space="0"/>
              <w:right w:val="single" w:color="auto" w:sz="4" w:space="0"/>
            </w:tcBorders>
            <w:vAlign w:val="center"/>
          </w:tcPr>
          <w:p w14:paraId="039318B4">
            <w:pPr>
              <w:jc w:val="center"/>
              <w:rPr>
                <w:rFonts w:hint="eastAsia" w:ascii="宋体" w:hAnsi="宋体"/>
                <w:sz w:val="18"/>
                <w:szCs w:val="18"/>
              </w:rPr>
            </w:pPr>
            <w:r>
              <w:rPr>
                <w:rFonts w:hint="eastAsia" w:ascii="宋体" w:hAnsi="宋体"/>
                <w:sz w:val="18"/>
                <w:szCs w:val="18"/>
              </w:rPr>
              <w:t>装配质量</w:t>
            </w:r>
          </w:p>
        </w:tc>
        <w:tc>
          <w:tcPr>
            <w:tcW w:w="832" w:type="pct"/>
            <w:tcBorders>
              <w:top w:val="single" w:color="auto" w:sz="4" w:space="0"/>
              <w:left w:val="single" w:color="auto" w:sz="4" w:space="0"/>
              <w:bottom w:val="single" w:color="auto" w:sz="4" w:space="0"/>
              <w:right w:val="single" w:color="auto" w:sz="4" w:space="0"/>
            </w:tcBorders>
            <w:vAlign w:val="center"/>
          </w:tcPr>
          <w:p w14:paraId="3D276A43">
            <w:pPr>
              <w:jc w:val="center"/>
              <w:rPr>
                <w:rFonts w:hint="eastAsia" w:ascii="宋体" w:hAnsi="宋体"/>
                <w:sz w:val="18"/>
                <w:szCs w:val="18"/>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vAlign w:val="center"/>
          </w:tcPr>
          <w:p w14:paraId="2C246103">
            <w:pPr>
              <w:jc w:val="center"/>
              <w:rPr>
                <w:rFonts w:hint="eastAsia" w:ascii="宋体" w:hAnsi="宋体"/>
                <w:sz w:val="18"/>
                <w:szCs w:val="18"/>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0AAA6D4F">
            <w:pPr>
              <w:jc w:val="center"/>
              <w:rPr>
                <w:rFonts w:hint="eastAsia" w:ascii="宋体" w:hAnsi="宋体"/>
                <w:sz w:val="18"/>
                <w:szCs w:val="18"/>
              </w:rPr>
            </w:pPr>
            <w:r>
              <w:rPr>
                <w:rFonts w:hint="eastAsia" w:ascii="宋体" w:hAnsi="宋体"/>
                <w:sz w:val="18"/>
                <w:szCs w:val="18"/>
              </w:rPr>
              <w:t>5.4</w:t>
            </w:r>
          </w:p>
        </w:tc>
        <w:tc>
          <w:tcPr>
            <w:tcW w:w="835" w:type="pct"/>
            <w:tcBorders>
              <w:top w:val="single" w:color="auto" w:sz="4" w:space="0"/>
              <w:left w:val="single" w:color="auto" w:sz="4" w:space="0"/>
              <w:bottom w:val="single" w:color="auto" w:sz="4" w:space="0"/>
              <w:right w:val="single" w:color="auto" w:sz="8" w:space="0"/>
            </w:tcBorders>
            <w:vAlign w:val="center"/>
          </w:tcPr>
          <w:p w14:paraId="47303289">
            <w:pPr>
              <w:jc w:val="center"/>
              <w:rPr>
                <w:rFonts w:hint="eastAsia" w:ascii="宋体" w:hAnsi="宋体"/>
                <w:sz w:val="18"/>
                <w:szCs w:val="18"/>
              </w:rPr>
            </w:pPr>
            <w:r>
              <w:rPr>
                <w:rFonts w:hint="eastAsia" w:ascii="宋体" w:hAnsi="宋体"/>
                <w:sz w:val="18"/>
                <w:szCs w:val="18"/>
              </w:rPr>
              <w:t>6.4</w:t>
            </w:r>
          </w:p>
        </w:tc>
      </w:tr>
      <w:tr w14:paraId="010DA01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328E2FCB">
            <w:pPr>
              <w:jc w:val="center"/>
              <w:rPr>
                <w:rFonts w:hint="eastAsia" w:ascii="宋体" w:hAnsi="宋体"/>
                <w:sz w:val="18"/>
                <w:szCs w:val="18"/>
              </w:rPr>
            </w:pPr>
            <w:r>
              <w:rPr>
                <w:rFonts w:hint="eastAsia" w:ascii="宋体" w:hAnsi="宋体"/>
                <w:sz w:val="18"/>
                <w:szCs w:val="18"/>
              </w:rPr>
              <w:t>4</w:t>
            </w:r>
          </w:p>
        </w:tc>
        <w:tc>
          <w:tcPr>
            <w:tcW w:w="1275" w:type="pct"/>
            <w:tcBorders>
              <w:top w:val="single" w:color="auto" w:sz="4" w:space="0"/>
              <w:left w:val="single" w:color="auto" w:sz="4" w:space="0"/>
              <w:bottom w:val="single" w:color="auto" w:sz="4" w:space="0"/>
              <w:right w:val="single" w:color="auto" w:sz="4" w:space="0"/>
            </w:tcBorders>
            <w:vAlign w:val="center"/>
          </w:tcPr>
          <w:p w14:paraId="13CC4D0D">
            <w:pPr>
              <w:jc w:val="center"/>
              <w:rPr>
                <w:rFonts w:hint="eastAsia" w:ascii="宋体" w:hAnsi="宋体"/>
                <w:sz w:val="18"/>
                <w:szCs w:val="18"/>
              </w:rPr>
            </w:pPr>
            <w:r>
              <w:rPr>
                <w:rFonts w:hint="eastAsia" w:ascii="宋体" w:hAnsi="宋体"/>
                <w:sz w:val="18"/>
                <w:szCs w:val="18"/>
              </w:rPr>
              <w:t>构造</w:t>
            </w:r>
          </w:p>
        </w:tc>
        <w:tc>
          <w:tcPr>
            <w:tcW w:w="832" w:type="pct"/>
            <w:tcBorders>
              <w:top w:val="single" w:color="auto" w:sz="4" w:space="0"/>
              <w:left w:val="single" w:color="auto" w:sz="4" w:space="0"/>
              <w:bottom w:val="single" w:color="auto" w:sz="4" w:space="0"/>
              <w:right w:val="single" w:color="auto" w:sz="4" w:space="0"/>
            </w:tcBorders>
            <w:vAlign w:val="center"/>
          </w:tcPr>
          <w:p w14:paraId="1FB49815">
            <w:pPr>
              <w:jc w:val="center"/>
              <w:rPr>
                <w:rFonts w:hint="eastAsia" w:ascii="宋体" w:hAnsi="宋体"/>
                <w:sz w:val="18"/>
                <w:szCs w:val="18"/>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vAlign w:val="center"/>
          </w:tcPr>
          <w:p w14:paraId="6E3B257C">
            <w:pPr>
              <w:jc w:val="center"/>
              <w:rPr>
                <w:rFonts w:hint="eastAsia" w:ascii="宋体" w:hAnsi="宋体"/>
                <w:sz w:val="18"/>
                <w:szCs w:val="18"/>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6E19E74D">
            <w:pPr>
              <w:jc w:val="center"/>
              <w:rPr>
                <w:rFonts w:hint="eastAsia" w:ascii="宋体" w:hAnsi="宋体"/>
                <w:sz w:val="18"/>
                <w:szCs w:val="18"/>
              </w:rPr>
            </w:pPr>
            <w:r>
              <w:rPr>
                <w:rFonts w:hint="eastAsia" w:ascii="宋体" w:hAnsi="宋体"/>
                <w:sz w:val="18"/>
                <w:szCs w:val="18"/>
              </w:rPr>
              <w:t>5.5</w:t>
            </w:r>
          </w:p>
        </w:tc>
        <w:tc>
          <w:tcPr>
            <w:tcW w:w="835" w:type="pct"/>
            <w:tcBorders>
              <w:top w:val="single" w:color="auto" w:sz="4" w:space="0"/>
              <w:left w:val="single" w:color="auto" w:sz="4" w:space="0"/>
              <w:bottom w:val="single" w:color="auto" w:sz="4" w:space="0"/>
              <w:right w:val="single" w:color="auto" w:sz="8" w:space="0"/>
            </w:tcBorders>
            <w:vAlign w:val="center"/>
          </w:tcPr>
          <w:p w14:paraId="72CB6C7B">
            <w:pPr>
              <w:jc w:val="center"/>
              <w:rPr>
                <w:rFonts w:hint="eastAsia" w:ascii="宋体" w:hAnsi="宋体"/>
                <w:sz w:val="18"/>
                <w:szCs w:val="18"/>
              </w:rPr>
            </w:pPr>
            <w:r>
              <w:rPr>
                <w:rFonts w:hint="eastAsia" w:ascii="宋体" w:hAnsi="宋体"/>
                <w:sz w:val="18"/>
                <w:szCs w:val="18"/>
              </w:rPr>
              <w:t>6.5</w:t>
            </w:r>
          </w:p>
        </w:tc>
      </w:tr>
      <w:tr w14:paraId="3B7A3F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02C3AAD7">
            <w:pPr>
              <w:jc w:val="center"/>
              <w:rPr>
                <w:rFonts w:hint="eastAsia" w:ascii="宋体" w:hAnsi="宋体"/>
                <w:sz w:val="18"/>
                <w:szCs w:val="18"/>
              </w:rPr>
            </w:pPr>
            <w:r>
              <w:rPr>
                <w:rFonts w:hint="eastAsia" w:ascii="宋体" w:hAnsi="宋体"/>
                <w:sz w:val="18"/>
                <w:szCs w:val="18"/>
              </w:rPr>
              <w:t>5</w:t>
            </w:r>
          </w:p>
        </w:tc>
        <w:tc>
          <w:tcPr>
            <w:tcW w:w="1275" w:type="pct"/>
            <w:tcBorders>
              <w:top w:val="single" w:color="auto" w:sz="4" w:space="0"/>
              <w:left w:val="single" w:color="auto" w:sz="4" w:space="0"/>
              <w:bottom w:val="single" w:color="auto" w:sz="4" w:space="0"/>
              <w:right w:val="single" w:color="auto" w:sz="4" w:space="0"/>
            </w:tcBorders>
            <w:vAlign w:val="center"/>
          </w:tcPr>
          <w:p w14:paraId="277D9FB9">
            <w:pPr>
              <w:jc w:val="center"/>
              <w:rPr>
                <w:rFonts w:hint="eastAsia" w:ascii="宋体" w:hAnsi="宋体"/>
                <w:sz w:val="18"/>
                <w:szCs w:val="18"/>
              </w:rPr>
            </w:pPr>
            <w:r>
              <w:rPr>
                <w:rFonts w:hint="eastAsia" w:ascii="宋体" w:hAnsi="宋体"/>
                <w:sz w:val="18"/>
                <w:szCs w:val="18"/>
              </w:rPr>
              <w:t>抗风压性能</w:t>
            </w:r>
          </w:p>
        </w:tc>
        <w:tc>
          <w:tcPr>
            <w:tcW w:w="832" w:type="pct"/>
            <w:tcBorders>
              <w:top w:val="single" w:color="auto" w:sz="4" w:space="0"/>
              <w:left w:val="single" w:color="auto" w:sz="4" w:space="0"/>
              <w:bottom w:val="single" w:color="auto" w:sz="4" w:space="0"/>
              <w:right w:val="single" w:color="auto" w:sz="4" w:space="0"/>
            </w:tcBorders>
            <w:vAlign w:val="center"/>
          </w:tcPr>
          <w:p w14:paraId="1965423A">
            <w:pPr>
              <w:jc w:val="center"/>
              <w:rPr>
                <w:rFonts w:hint="eastAsia" w:ascii="宋体" w:hAnsi="宋体"/>
                <w:sz w:val="18"/>
                <w:szCs w:val="18"/>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vAlign w:val="center"/>
          </w:tcPr>
          <w:p w14:paraId="5CAA773C">
            <w:pPr>
              <w:jc w:val="center"/>
              <w:rPr>
                <w:rFonts w:hint="eastAsia" w:ascii="宋体" w:hAnsi="宋体"/>
                <w:sz w:val="18"/>
                <w:szCs w:val="18"/>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12AD17EC">
            <w:pPr>
              <w:jc w:val="center"/>
              <w:rPr>
                <w:rFonts w:hint="eastAsia" w:ascii="宋体" w:hAnsi="宋体"/>
                <w:sz w:val="18"/>
                <w:szCs w:val="18"/>
              </w:rPr>
            </w:pPr>
            <w:r>
              <w:rPr>
                <w:rFonts w:hint="eastAsia" w:ascii="宋体" w:hAnsi="宋体"/>
                <w:sz w:val="18"/>
                <w:szCs w:val="18"/>
              </w:rPr>
              <w:t>5.6.1</w:t>
            </w:r>
          </w:p>
        </w:tc>
        <w:tc>
          <w:tcPr>
            <w:tcW w:w="835" w:type="pct"/>
            <w:tcBorders>
              <w:top w:val="single" w:color="auto" w:sz="4" w:space="0"/>
              <w:left w:val="single" w:color="auto" w:sz="4" w:space="0"/>
              <w:bottom w:val="single" w:color="auto" w:sz="4" w:space="0"/>
              <w:right w:val="single" w:color="auto" w:sz="8" w:space="0"/>
            </w:tcBorders>
            <w:vAlign w:val="center"/>
          </w:tcPr>
          <w:p w14:paraId="157B6FBC">
            <w:pPr>
              <w:jc w:val="center"/>
              <w:rPr>
                <w:rFonts w:hint="eastAsia" w:ascii="宋体" w:hAnsi="宋体"/>
                <w:sz w:val="18"/>
                <w:szCs w:val="18"/>
              </w:rPr>
            </w:pPr>
            <w:r>
              <w:rPr>
                <w:rFonts w:hint="eastAsia" w:ascii="宋体" w:hAnsi="宋体"/>
                <w:sz w:val="18"/>
                <w:szCs w:val="18"/>
              </w:rPr>
              <w:t>6.6.1</w:t>
            </w:r>
          </w:p>
        </w:tc>
      </w:tr>
      <w:tr w14:paraId="1DE3BC0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5BD7D222">
            <w:pPr>
              <w:jc w:val="center"/>
              <w:rPr>
                <w:rFonts w:hint="eastAsia" w:ascii="宋体" w:hAnsi="宋体"/>
                <w:sz w:val="18"/>
                <w:szCs w:val="18"/>
              </w:rPr>
            </w:pPr>
            <w:r>
              <w:rPr>
                <w:rFonts w:hint="eastAsia" w:ascii="宋体" w:hAnsi="宋体"/>
                <w:sz w:val="18"/>
                <w:szCs w:val="18"/>
              </w:rPr>
              <w:t>6</w:t>
            </w:r>
          </w:p>
        </w:tc>
        <w:tc>
          <w:tcPr>
            <w:tcW w:w="1275" w:type="pct"/>
            <w:tcBorders>
              <w:top w:val="single" w:color="auto" w:sz="4" w:space="0"/>
              <w:left w:val="single" w:color="auto" w:sz="4" w:space="0"/>
              <w:bottom w:val="single" w:color="auto" w:sz="4" w:space="0"/>
              <w:right w:val="single" w:color="auto" w:sz="4" w:space="0"/>
            </w:tcBorders>
            <w:vAlign w:val="center"/>
          </w:tcPr>
          <w:p w14:paraId="01A54230">
            <w:pPr>
              <w:jc w:val="center"/>
              <w:rPr>
                <w:rFonts w:hint="eastAsia" w:ascii="宋体" w:hAnsi="宋体"/>
                <w:sz w:val="18"/>
                <w:szCs w:val="18"/>
              </w:rPr>
            </w:pPr>
            <w:r>
              <w:rPr>
                <w:rFonts w:hint="eastAsia" w:ascii="宋体" w:hAnsi="宋体"/>
                <w:sz w:val="18"/>
                <w:szCs w:val="18"/>
              </w:rPr>
              <w:t>气密性</w:t>
            </w:r>
          </w:p>
        </w:tc>
        <w:tc>
          <w:tcPr>
            <w:tcW w:w="832" w:type="pct"/>
            <w:tcBorders>
              <w:top w:val="single" w:color="auto" w:sz="4" w:space="0"/>
              <w:left w:val="single" w:color="auto" w:sz="4" w:space="0"/>
              <w:bottom w:val="single" w:color="auto" w:sz="4" w:space="0"/>
              <w:right w:val="single" w:color="auto" w:sz="4" w:space="0"/>
            </w:tcBorders>
            <w:vAlign w:val="center"/>
          </w:tcPr>
          <w:p w14:paraId="3BE8EB21">
            <w:pPr>
              <w:jc w:val="center"/>
              <w:rPr>
                <w:rFonts w:hint="eastAsia" w:ascii="宋体" w:hAnsi="宋体"/>
                <w:sz w:val="18"/>
                <w:szCs w:val="18"/>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vAlign w:val="center"/>
          </w:tcPr>
          <w:p w14:paraId="71911399">
            <w:pPr>
              <w:jc w:val="center"/>
              <w:rPr>
                <w:rFonts w:hint="eastAsia" w:ascii="宋体" w:hAnsi="宋体"/>
                <w:sz w:val="18"/>
                <w:szCs w:val="18"/>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65A9CC3E">
            <w:pPr>
              <w:jc w:val="center"/>
              <w:rPr>
                <w:rFonts w:hint="eastAsia" w:ascii="宋体" w:hAnsi="宋体"/>
                <w:sz w:val="18"/>
                <w:szCs w:val="18"/>
              </w:rPr>
            </w:pPr>
            <w:r>
              <w:rPr>
                <w:rFonts w:hint="eastAsia" w:ascii="宋体" w:hAnsi="宋体"/>
                <w:sz w:val="18"/>
                <w:szCs w:val="18"/>
              </w:rPr>
              <w:t>5.6.2</w:t>
            </w:r>
          </w:p>
        </w:tc>
        <w:tc>
          <w:tcPr>
            <w:tcW w:w="835" w:type="pct"/>
            <w:tcBorders>
              <w:top w:val="single" w:color="auto" w:sz="4" w:space="0"/>
              <w:left w:val="single" w:color="auto" w:sz="4" w:space="0"/>
              <w:bottom w:val="single" w:color="auto" w:sz="4" w:space="0"/>
              <w:right w:val="single" w:color="auto" w:sz="8" w:space="0"/>
            </w:tcBorders>
            <w:vAlign w:val="center"/>
          </w:tcPr>
          <w:p w14:paraId="3E0D4383">
            <w:pPr>
              <w:jc w:val="center"/>
              <w:rPr>
                <w:rFonts w:hint="eastAsia" w:ascii="宋体" w:hAnsi="宋体"/>
                <w:sz w:val="18"/>
                <w:szCs w:val="18"/>
              </w:rPr>
            </w:pPr>
            <w:r>
              <w:rPr>
                <w:rFonts w:hint="eastAsia" w:ascii="宋体" w:hAnsi="宋体"/>
                <w:sz w:val="18"/>
                <w:szCs w:val="18"/>
              </w:rPr>
              <w:t>6.6.2</w:t>
            </w:r>
          </w:p>
        </w:tc>
      </w:tr>
      <w:tr w14:paraId="45416A6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44B11E4D">
            <w:pPr>
              <w:jc w:val="center"/>
              <w:rPr>
                <w:rFonts w:hint="eastAsia" w:ascii="宋体" w:hAnsi="宋体"/>
                <w:sz w:val="18"/>
                <w:szCs w:val="18"/>
              </w:rPr>
            </w:pPr>
            <w:r>
              <w:rPr>
                <w:rFonts w:hint="eastAsia" w:ascii="宋体" w:hAnsi="宋体"/>
                <w:sz w:val="18"/>
                <w:szCs w:val="18"/>
              </w:rPr>
              <w:t>7</w:t>
            </w:r>
          </w:p>
        </w:tc>
        <w:tc>
          <w:tcPr>
            <w:tcW w:w="1275" w:type="pct"/>
            <w:tcBorders>
              <w:top w:val="single" w:color="auto" w:sz="4" w:space="0"/>
              <w:left w:val="single" w:color="auto" w:sz="4" w:space="0"/>
              <w:bottom w:val="single" w:color="auto" w:sz="4" w:space="0"/>
              <w:right w:val="single" w:color="auto" w:sz="4" w:space="0"/>
            </w:tcBorders>
            <w:vAlign w:val="center"/>
          </w:tcPr>
          <w:p w14:paraId="59E44DEE">
            <w:pPr>
              <w:jc w:val="center"/>
              <w:rPr>
                <w:rFonts w:hint="eastAsia" w:ascii="宋体" w:hAnsi="宋体"/>
                <w:sz w:val="18"/>
                <w:szCs w:val="18"/>
              </w:rPr>
            </w:pPr>
            <w:r>
              <w:rPr>
                <w:rFonts w:hint="eastAsia" w:ascii="宋体" w:hAnsi="宋体"/>
                <w:sz w:val="18"/>
                <w:szCs w:val="18"/>
              </w:rPr>
              <w:t>水密性</w:t>
            </w:r>
          </w:p>
        </w:tc>
        <w:tc>
          <w:tcPr>
            <w:tcW w:w="832" w:type="pct"/>
            <w:tcBorders>
              <w:top w:val="single" w:color="auto" w:sz="4" w:space="0"/>
              <w:left w:val="single" w:color="auto" w:sz="4" w:space="0"/>
              <w:bottom w:val="single" w:color="auto" w:sz="4" w:space="0"/>
              <w:right w:val="single" w:color="auto" w:sz="4" w:space="0"/>
            </w:tcBorders>
            <w:vAlign w:val="center"/>
          </w:tcPr>
          <w:p w14:paraId="268E9B20">
            <w:pPr>
              <w:jc w:val="center"/>
              <w:rPr>
                <w:rFonts w:hint="eastAsia" w:ascii="宋体" w:hAnsi="宋体"/>
                <w:sz w:val="18"/>
                <w:szCs w:val="18"/>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vAlign w:val="center"/>
          </w:tcPr>
          <w:p w14:paraId="47E1D12C">
            <w:pPr>
              <w:jc w:val="center"/>
              <w:rPr>
                <w:rFonts w:hint="eastAsia" w:ascii="宋体" w:hAnsi="宋体"/>
                <w:sz w:val="18"/>
                <w:szCs w:val="18"/>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3D2267D1">
            <w:pPr>
              <w:jc w:val="center"/>
              <w:rPr>
                <w:rFonts w:hint="eastAsia" w:ascii="宋体" w:hAnsi="宋体"/>
                <w:sz w:val="18"/>
                <w:szCs w:val="18"/>
              </w:rPr>
            </w:pPr>
            <w:r>
              <w:rPr>
                <w:rFonts w:hint="eastAsia" w:ascii="宋体" w:hAnsi="宋体"/>
                <w:sz w:val="18"/>
                <w:szCs w:val="18"/>
              </w:rPr>
              <w:t>5.6.3</w:t>
            </w:r>
          </w:p>
        </w:tc>
        <w:tc>
          <w:tcPr>
            <w:tcW w:w="835" w:type="pct"/>
            <w:tcBorders>
              <w:top w:val="single" w:color="auto" w:sz="4" w:space="0"/>
              <w:left w:val="single" w:color="auto" w:sz="4" w:space="0"/>
              <w:bottom w:val="single" w:color="auto" w:sz="4" w:space="0"/>
              <w:right w:val="single" w:color="auto" w:sz="8" w:space="0"/>
            </w:tcBorders>
            <w:vAlign w:val="center"/>
          </w:tcPr>
          <w:p w14:paraId="6BF586CD">
            <w:pPr>
              <w:jc w:val="center"/>
              <w:rPr>
                <w:rFonts w:hint="eastAsia" w:ascii="宋体" w:hAnsi="宋体"/>
                <w:sz w:val="18"/>
                <w:szCs w:val="18"/>
              </w:rPr>
            </w:pPr>
            <w:r>
              <w:rPr>
                <w:rFonts w:hint="eastAsia" w:ascii="宋体" w:hAnsi="宋体"/>
                <w:sz w:val="18"/>
                <w:szCs w:val="18"/>
              </w:rPr>
              <w:t>6.6.3</w:t>
            </w:r>
          </w:p>
        </w:tc>
      </w:tr>
      <w:tr w14:paraId="66A182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799C8620">
            <w:pPr>
              <w:jc w:val="center"/>
              <w:rPr>
                <w:rFonts w:hint="eastAsia" w:ascii="宋体" w:hAnsi="宋体"/>
                <w:sz w:val="18"/>
                <w:szCs w:val="18"/>
              </w:rPr>
            </w:pPr>
            <w:r>
              <w:rPr>
                <w:rFonts w:hint="eastAsia" w:ascii="宋体" w:hAnsi="宋体"/>
                <w:sz w:val="18"/>
                <w:szCs w:val="18"/>
              </w:rPr>
              <w:t>8</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04D2721D">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保温性</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18707903">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2DDF1D97">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637EF7DB">
            <w:pPr>
              <w:jc w:val="center"/>
              <w:rPr>
                <w:rFonts w:hint="eastAsia" w:ascii="宋体" w:hAnsi="宋体"/>
                <w:sz w:val="18"/>
                <w:szCs w:val="18"/>
              </w:rPr>
            </w:pPr>
            <w:r>
              <w:rPr>
                <w:rFonts w:hint="eastAsia" w:ascii="宋体" w:hAnsi="宋体"/>
                <w:sz w:val="18"/>
                <w:szCs w:val="18"/>
              </w:rPr>
              <w:t>5.6.4</w:t>
            </w:r>
          </w:p>
        </w:tc>
        <w:tc>
          <w:tcPr>
            <w:tcW w:w="835" w:type="pct"/>
            <w:tcBorders>
              <w:top w:val="single" w:color="auto" w:sz="4" w:space="0"/>
              <w:left w:val="single" w:color="auto" w:sz="4" w:space="0"/>
              <w:bottom w:val="single" w:color="auto" w:sz="4" w:space="0"/>
              <w:right w:val="single" w:color="auto" w:sz="8" w:space="0"/>
            </w:tcBorders>
            <w:vAlign w:val="center"/>
          </w:tcPr>
          <w:p w14:paraId="18F769C6">
            <w:pPr>
              <w:jc w:val="center"/>
              <w:rPr>
                <w:rFonts w:hint="eastAsia" w:ascii="宋体" w:hAnsi="宋体"/>
                <w:sz w:val="18"/>
                <w:szCs w:val="18"/>
              </w:rPr>
            </w:pPr>
            <w:r>
              <w:rPr>
                <w:rFonts w:hint="eastAsia" w:ascii="宋体" w:hAnsi="宋体"/>
                <w:sz w:val="18"/>
                <w:szCs w:val="18"/>
              </w:rPr>
              <w:t>6.6.4</w:t>
            </w:r>
          </w:p>
        </w:tc>
      </w:tr>
      <w:tr w14:paraId="1BD29F7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5D27DE0A">
            <w:pPr>
              <w:jc w:val="center"/>
              <w:rPr>
                <w:rFonts w:hint="eastAsia" w:ascii="宋体" w:hAnsi="宋体"/>
                <w:sz w:val="18"/>
                <w:szCs w:val="18"/>
              </w:rPr>
            </w:pPr>
            <w:r>
              <w:rPr>
                <w:rFonts w:hint="eastAsia" w:ascii="宋体" w:hAnsi="宋体"/>
                <w:sz w:val="18"/>
                <w:szCs w:val="18"/>
              </w:rPr>
              <w:t>9</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5D7E04B7">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隔热性</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4687CD93">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62E66C39">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3CD2AF28">
            <w:pPr>
              <w:jc w:val="center"/>
              <w:rPr>
                <w:rFonts w:hint="eastAsia" w:ascii="宋体" w:hAnsi="宋体"/>
                <w:sz w:val="18"/>
                <w:szCs w:val="18"/>
              </w:rPr>
            </w:pPr>
            <w:r>
              <w:rPr>
                <w:rFonts w:hint="eastAsia" w:ascii="宋体" w:hAnsi="宋体"/>
                <w:sz w:val="18"/>
                <w:szCs w:val="18"/>
              </w:rPr>
              <w:t>5.6.5</w:t>
            </w:r>
          </w:p>
        </w:tc>
        <w:tc>
          <w:tcPr>
            <w:tcW w:w="835" w:type="pct"/>
            <w:tcBorders>
              <w:top w:val="single" w:color="auto" w:sz="4" w:space="0"/>
              <w:left w:val="single" w:color="auto" w:sz="4" w:space="0"/>
              <w:bottom w:val="single" w:color="auto" w:sz="4" w:space="0"/>
              <w:right w:val="single" w:color="auto" w:sz="8" w:space="0"/>
            </w:tcBorders>
            <w:vAlign w:val="center"/>
          </w:tcPr>
          <w:p w14:paraId="7996734F">
            <w:pPr>
              <w:jc w:val="center"/>
              <w:rPr>
                <w:rFonts w:hint="eastAsia" w:ascii="宋体" w:hAnsi="宋体"/>
                <w:sz w:val="18"/>
                <w:szCs w:val="18"/>
              </w:rPr>
            </w:pPr>
            <w:r>
              <w:rPr>
                <w:rFonts w:hint="eastAsia" w:ascii="宋体" w:hAnsi="宋体"/>
                <w:sz w:val="18"/>
                <w:szCs w:val="18"/>
              </w:rPr>
              <w:t>6.6.5</w:t>
            </w:r>
          </w:p>
        </w:tc>
      </w:tr>
      <w:tr w14:paraId="48FF285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7A3CD5DF">
            <w:pPr>
              <w:jc w:val="center"/>
              <w:rPr>
                <w:rFonts w:hint="eastAsia" w:ascii="宋体" w:hAnsi="宋体"/>
                <w:sz w:val="18"/>
                <w:szCs w:val="18"/>
              </w:rPr>
            </w:pPr>
            <w:r>
              <w:rPr>
                <w:rFonts w:hint="eastAsia" w:ascii="宋体" w:hAnsi="宋体"/>
                <w:sz w:val="18"/>
                <w:szCs w:val="18"/>
              </w:rPr>
              <w:t>10</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0AE5C1F4">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抗风携碎物冲击性</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2B4E5D85">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786693C6">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124018AE">
            <w:pPr>
              <w:jc w:val="center"/>
              <w:rPr>
                <w:rFonts w:hint="eastAsia" w:ascii="宋体" w:hAnsi="宋体"/>
                <w:sz w:val="18"/>
                <w:szCs w:val="18"/>
              </w:rPr>
            </w:pPr>
            <w:r>
              <w:rPr>
                <w:rFonts w:hint="eastAsia" w:ascii="宋体" w:hAnsi="宋体"/>
                <w:sz w:val="18"/>
                <w:szCs w:val="18"/>
              </w:rPr>
              <w:t>5.6.6</w:t>
            </w:r>
          </w:p>
        </w:tc>
        <w:tc>
          <w:tcPr>
            <w:tcW w:w="835" w:type="pct"/>
            <w:tcBorders>
              <w:top w:val="single" w:color="auto" w:sz="4" w:space="0"/>
              <w:left w:val="single" w:color="auto" w:sz="4" w:space="0"/>
              <w:bottom w:val="single" w:color="auto" w:sz="4" w:space="0"/>
              <w:right w:val="single" w:color="auto" w:sz="8" w:space="0"/>
            </w:tcBorders>
            <w:vAlign w:val="center"/>
          </w:tcPr>
          <w:p w14:paraId="3FFF8787">
            <w:pPr>
              <w:jc w:val="center"/>
              <w:rPr>
                <w:rFonts w:hint="eastAsia" w:ascii="宋体" w:hAnsi="宋体"/>
                <w:sz w:val="18"/>
                <w:szCs w:val="18"/>
              </w:rPr>
            </w:pPr>
            <w:r>
              <w:rPr>
                <w:rFonts w:hint="eastAsia" w:ascii="宋体" w:hAnsi="宋体"/>
                <w:sz w:val="18"/>
                <w:szCs w:val="18"/>
              </w:rPr>
              <w:t>6.6.6</w:t>
            </w:r>
          </w:p>
        </w:tc>
      </w:tr>
      <w:tr w14:paraId="63E18BF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7FBBC428">
            <w:pPr>
              <w:jc w:val="center"/>
              <w:rPr>
                <w:rFonts w:hint="eastAsia" w:ascii="宋体" w:hAnsi="宋体"/>
                <w:sz w:val="18"/>
                <w:szCs w:val="18"/>
              </w:rPr>
            </w:pPr>
            <w:r>
              <w:rPr>
                <w:rFonts w:hint="eastAsia" w:ascii="宋体" w:hAnsi="宋体"/>
                <w:sz w:val="18"/>
                <w:szCs w:val="18"/>
              </w:rPr>
              <w:t>11</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61612CF6">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启闭力性能</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6806D213">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68B614A4">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2C42CD71">
            <w:pPr>
              <w:jc w:val="center"/>
              <w:rPr>
                <w:rFonts w:hint="default" w:ascii="宋体" w:hAnsi="宋体" w:eastAsia="宋体"/>
                <w:sz w:val="18"/>
                <w:szCs w:val="18"/>
                <w:lang w:val="en-US" w:eastAsia="zh-CN"/>
              </w:rPr>
            </w:pPr>
            <w:r>
              <w:rPr>
                <w:rFonts w:hint="eastAsia" w:ascii="宋体" w:hAnsi="宋体"/>
                <w:sz w:val="18"/>
                <w:szCs w:val="18"/>
              </w:rPr>
              <w:t>5.6.7</w:t>
            </w:r>
            <w:r>
              <w:rPr>
                <w:rFonts w:hint="eastAsia" w:ascii="宋体" w:hAnsi="宋体"/>
                <w:sz w:val="18"/>
                <w:szCs w:val="18"/>
                <w:lang w:val="en-US" w:eastAsia="zh-CN"/>
              </w:rPr>
              <w:t>.1</w:t>
            </w:r>
          </w:p>
        </w:tc>
        <w:tc>
          <w:tcPr>
            <w:tcW w:w="835" w:type="pct"/>
            <w:tcBorders>
              <w:top w:val="single" w:color="auto" w:sz="4" w:space="0"/>
              <w:left w:val="single" w:color="auto" w:sz="4" w:space="0"/>
              <w:bottom w:val="single" w:color="auto" w:sz="4" w:space="0"/>
              <w:right w:val="single" w:color="auto" w:sz="8" w:space="0"/>
            </w:tcBorders>
            <w:vAlign w:val="center"/>
          </w:tcPr>
          <w:p w14:paraId="19D0372D">
            <w:pPr>
              <w:jc w:val="center"/>
              <w:rPr>
                <w:rFonts w:hint="default" w:ascii="宋体" w:hAnsi="宋体" w:eastAsia="宋体"/>
                <w:sz w:val="18"/>
                <w:szCs w:val="18"/>
                <w:lang w:val="en-US" w:eastAsia="zh-CN"/>
              </w:rPr>
            </w:pPr>
            <w:r>
              <w:rPr>
                <w:rFonts w:hint="eastAsia" w:ascii="宋体" w:hAnsi="宋体"/>
                <w:sz w:val="18"/>
                <w:szCs w:val="18"/>
              </w:rPr>
              <w:t>6.6.7</w:t>
            </w:r>
            <w:r>
              <w:rPr>
                <w:rFonts w:hint="eastAsia" w:ascii="宋体" w:hAnsi="宋体"/>
                <w:sz w:val="18"/>
                <w:szCs w:val="18"/>
                <w:lang w:val="en-US" w:eastAsia="zh-CN"/>
              </w:rPr>
              <w:t>.1</w:t>
            </w:r>
          </w:p>
        </w:tc>
      </w:tr>
      <w:tr w14:paraId="4A01F77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5EC47686">
            <w:pPr>
              <w:jc w:val="center"/>
              <w:rPr>
                <w:rFonts w:hint="eastAsia" w:ascii="宋体" w:hAnsi="宋体"/>
                <w:sz w:val="18"/>
                <w:szCs w:val="18"/>
              </w:rPr>
            </w:pPr>
            <w:r>
              <w:rPr>
                <w:rFonts w:hint="eastAsia" w:ascii="宋体" w:hAnsi="宋体"/>
                <w:sz w:val="18"/>
                <w:szCs w:val="18"/>
              </w:rPr>
              <w:t>12</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3203D80F">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抗扭曲变形性能</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58848812">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6F650576">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118F616D">
            <w:pPr>
              <w:jc w:val="center"/>
              <w:rPr>
                <w:rFonts w:hint="default" w:ascii="宋体" w:hAnsi="宋体" w:eastAsia="宋体"/>
                <w:sz w:val="18"/>
                <w:szCs w:val="18"/>
                <w:lang w:val="en-US" w:eastAsia="zh-CN"/>
              </w:rPr>
            </w:pPr>
            <w:r>
              <w:rPr>
                <w:rFonts w:hint="eastAsia" w:ascii="宋体" w:hAnsi="宋体"/>
                <w:sz w:val="18"/>
                <w:szCs w:val="18"/>
              </w:rPr>
              <w:t>5.6.</w:t>
            </w:r>
            <w:r>
              <w:rPr>
                <w:rFonts w:hint="eastAsia" w:ascii="宋体" w:hAnsi="宋体"/>
                <w:sz w:val="18"/>
                <w:szCs w:val="18"/>
                <w:lang w:val="en-US" w:eastAsia="zh-CN"/>
              </w:rPr>
              <w:t>7.2</w:t>
            </w:r>
          </w:p>
        </w:tc>
        <w:tc>
          <w:tcPr>
            <w:tcW w:w="835" w:type="pct"/>
            <w:tcBorders>
              <w:top w:val="single" w:color="auto" w:sz="4" w:space="0"/>
              <w:left w:val="single" w:color="auto" w:sz="4" w:space="0"/>
              <w:bottom w:val="single" w:color="auto" w:sz="4" w:space="0"/>
              <w:right w:val="single" w:color="auto" w:sz="8" w:space="0"/>
            </w:tcBorders>
            <w:vAlign w:val="center"/>
          </w:tcPr>
          <w:p w14:paraId="44995941">
            <w:pPr>
              <w:jc w:val="center"/>
              <w:rPr>
                <w:rFonts w:hint="default" w:ascii="宋体" w:hAnsi="宋体" w:eastAsia="宋体"/>
                <w:sz w:val="18"/>
                <w:szCs w:val="18"/>
                <w:lang w:val="en-US" w:eastAsia="zh-CN"/>
              </w:rPr>
            </w:pPr>
            <w:r>
              <w:rPr>
                <w:rFonts w:hint="eastAsia" w:ascii="宋体" w:hAnsi="宋体"/>
                <w:sz w:val="18"/>
                <w:szCs w:val="18"/>
              </w:rPr>
              <w:t>6.6.</w:t>
            </w:r>
            <w:r>
              <w:rPr>
                <w:rFonts w:hint="eastAsia" w:ascii="宋体" w:hAnsi="宋体"/>
                <w:sz w:val="18"/>
                <w:szCs w:val="18"/>
                <w:lang w:val="en-US" w:eastAsia="zh-CN"/>
              </w:rPr>
              <w:t>7.2</w:t>
            </w:r>
          </w:p>
        </w:tc>
      </w:tr>
      <w:tr w14:paraId="6DC876D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487F7CCD">
            <w:pPr>
              <w:jc w:val="center"/>
              <w:rPr>
                <w:rFonts w:hint="eastAsia" w:ascii="宋体" w:hAnsi="宋体"/>
                <w:sz w:val="18"/>
                <w:szCs w:val="18"/>
              </w:rPr>
            </w:pPr>
            <w:r>
              <w:rPr>
                <w:rFonts w:hint="eastAsia" w:ascii="宋体" w:hAnsi="宋体"/>
                <w:sz w:val="18"/>
                <w:szCs w:val="18"/>
              </w:rPr>
              <w:t>13</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5DE3A5E1">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抗对角线变形性能</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015F87AD">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48E4B0A5">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085977A6">
            <w:pPr>
              <w:jc w:val="center"/>
              <w:rPr>
                <w:rFonts w:hint="default" w:ascii="宋体" w:hAnsi="宋体" w:eastAsia="宋体"/>
                <w:sz w:val="18"/>
                <w:szCs w:val="18"/>
                <w:lang w:val="en-US" w:eastAsia="zh-CN"/>
              </w:rPr>
            </w:pPr>
            <w:r>
              <w:rPr>
                <w:rFonts w:hint="eastAsia" w:ascii="宋体" w:hAnsi="宋体"/>
                <w:sz w:val="18"/>
                <w:szCs w:val="18"/>
              </w:rPr>
              <w:t>5.6.</w:t>
            </w:r>
            <w:r>
              <w:rPr>
                <w:rFonts w:hint="eastAsia" w:ascii="宋体" w:hAnsi="宋体"/>
                <w:sz w:val="18"/>
                <w:szCs w:val="18"/>
                <w:lang w:val="en-US" w:eastAsia="zh-CN"/>
              </w:rPr>
              <w:t>7.3</w:t>
            </w:r>
          </w:p>
        </w:tc>
        <w:tc>
          <w:tcPr>
            <w:tcW w:w="835" w:type="pct"/>
            <w:tcBorders>
              <w:top w:val="single" w:color="auto" w:sz="4" w:space="0"/>
              <w:left w:val="single" w:color="auto" w:sz="4" w:space="0"/>
              <w:bottom w:val="single" w:color="auto" w:sz="4" w:space="0"/>
              <w:right w:val="single" w:color="auto" w:sz="8" w:space="0"/>
            </w:tcBorders>
            <w:vAlign w:val="center"/>
          </w:tcPr>
          <w:p w14:paraId="6B4FC1BE">
            <w:pPr>
              <w:jc w:val="center"/>
              <w:rPr>
                <w:rFonts w:hint="default" w:ascii="宋体" w:hAnsi="宋体" w:eastAsia="宋体"/>
                <w:sz w:val="18"/>
                <w:szCs w:val="18"/>
                <w:lang w:val="en-US" w:eastAsia="zh-CN"/>
              </w:rPr>
            </w:pPr>
            <w:r>
              <w:rPr>
                <w:rFonts w:hint="eastAsia" w:ascii="宋体" w:hAnsi="宋体"/>
                <w:sz w:val="18"/>
                <w:szCs w:val="18"/>
              </w:rPr>
              <w:t>6.6.</w:t>
            </w:r>
            <w:r>
              <w:rPr>
                <w:rFonts w:hint="eastAsia" w:ascii="宋体" w:hAnsi="宋体"/>
                <w:sz w:val="18"/>
                <w:szCs w:val="18"/>
                <w:lang w:val="en-US" w:eastAsia="zh-CN"/>
              </w:rPr>
              <w:t>7.3</w:t>
            </w:r>
          </w:p>
        </w:tc>
      </w:tr>
      <w:tr w14:paraId="167EA24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3E8396EE">
            <w:pPr>
              <w:jc w:val="center"/>
              <w:rPr>
                <w:rFonts w:hint="eastAsia" w:ascii="宋体" w:hAnsi="宋体"/>
                <w:sz w:val="18"/>
                <w:szCs w:val="18"/>
              </w:rPr>
            </w:pPr>
            <w:r>
              <w:rPr>
                <w:rFonts w:hint="eastAsia" w:ascii="宋体" w:hAnsi="宋体"/>
                <w:sz w:val="18"/>
                <w:szCs w:val="18"/>
              </w:rPr>
              <w:t>14</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5942024C">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反复启闭耐久性</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545F15A5">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5ECE3454">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27BA6F1B">
            <w:pPr>
              <w:jc w:val="center"/>
              <w:rPr>
                <w:rFonts w:hint="default" w:ascii="宋体" w:hAnsi="宋体" w:eastAsia="宋体"/>
                <w:sz w:val="18"/>
                <w:szCs w:val="18"/>
                <w:lang w:val="en-US" w:eastAsia="zh-CN"/>
              </w:rPr>
            </w:pPr>
            <w:r>
              <w:rPr>
                <w:rFonts w:hint="eastAsia" w:ascii="宋体" w:hAnsi="宋体"/>
                <w:sz w:val="18"/>
                <w:szCs w:val="18"/>
              </w:rPr>
              <w:t>5.6.</w:t>
            </w:r>
            <w:r>
              <w:rPr>
                <w:rFonts w:hint="eastAsia" w:ascii="宋体" w:hAnsi="宋体"/>
                <w:sz w:val="18"/>
                <w:szCs w:val="18"/>
                <w:lang w:val="en-US" w:eastAsia="zh-CN"/>
              </w:rPr>
              <w:t>8.1</w:t>
            </w:r>
          </w:p>
        </w:tc>
        <w:tc>
          <w:tcPr>
            <w:tcW w:w="835" w:type="pct"/>
            <w:tcBorders>
              <w:top w:val="single" w:color="auto" w:sz="4" w:space="0"/>
              <w:left w:val="single" w:color="auto" w:sz="4" w:space="0"/>
              <w:bottom w:val="single" w:color="auto" w:sz="4" w:space="0"/>
              <w:right w:val="single" w:color="auto" w:sz="8" w:space="0"/>
            </w:tcBorders>
            <w:vAlign w:val="center"/>
          </w:tcPr>
          <w:p w14:paraId="36452A90">
            <w:pPr>
              <w:jc w:val="center"/>
              <w:rPr>
                <w:rFonts w:hint="eastAsia" w:ascii="宋体" w:hAnsi="宋体" w:eastAsia="宋体"/>
                <w:sz w:val="18"/>
                <w:szCs w:val="18"/>
                <w:lang w:eastAsia="zh-CN"/>
              </w:rPr>
            </w:pPr>
            <w:r>
              <w:rPr>
                <w:rFonts w:hint="eastAsia" w:ascii="宋体" w:hAnsi="宋体"/>
                <w:sz w:val="18"/>
                <w:szCs w:val="18"/>
              </w:rPr>
              <w:t>6.6.8.</w:t>
            </w:r>
            <w:r>
              <w:rPr>
                <w:rFonts w:hint="eastAsia" w:ascii="宋体" w:hAnsi="宋体"/>
                <w:sz w:val="18"/>
                <w:szCs w:val="18"/>
                <w:lang w:val="en-US" w:eastAsia="zh-CN"/>
              </w:rPr>
              <w:t>1</w:t>
            </w:r>
          </w:p>
        </w:tc>
      </w:tr>
      <w:tr w14:paraId="5EDF92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389" w:type="pct"/>
            <w:tcBorders>
              <w:top w:val="single" w:color="auto" w:sz="4" w:space="0"/>
              <w:left w:val="single" w:color="auto" w:sz="8" w:space="0"/>
              <w:bottom w:val="single" w:color="auto" w:sz="4" w:space="0"/>
              <w:right w:val="single" w:color="auto" w:sz="4" w:space="0"/>
            </w:tcBorders>
            <w:vAlign w:val="center"/>
          </w:tcPr>
          <w:p w14:paraId="1324D1C5">
            <w:pPr>
              <w:jc w:val="center"/>
              <w:rPr>
                <w:rFonts w:hint="eastAsia" w:ascii="宋体" w:hAnsi="宋体"/>
                <w:sz w:val="18"/>
                <w:szCs w:val="18"/>
              </w:rPr>
            </w:pPr>
            <w:r>
              <w:rPr>
                <w:rFonts w:hint="eastAsia" w:ascii="宋体" w:hAnsi="宋体"/>
                <w:sz w:val="18"/>
                <w:szCs w:val="18"/>
              </w:rPr>
              <w:t>15</w:t>
            </w:r>
          </w:p>
        </w:tc>
        <w:tc>
          <w:tcPr>
            <w:tcW w:w="1275" w:type="pct"/>
            <w:tcBorders>
              <w:top w:val="single" w:color="auto" w:sz="4" w:space="0"/>
              <w:left w:val="single" w:color="auto" w:sz="4" w:space="0"/>
              <w:bottom w:val="single" w:color="auto" w:sz="4" w:space="0"/>
              <w:right w:val="single" w:color="auto" w:sz="4" w:space="0"/>
            </w:tcBorders>
            <w:shd w:val="clear" w:color="auto" w:fill="auto"/>
            <w:vAlign w:val="center"/>
          </w:tcPr>
          <w:p w14:paraId="069020BA">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密封胶条耐久性</w:t>
            </w:r>
          </w:p>
        </w:tc>
        <w:tc>
          <w:tcPr>
            <w:tcW w:w="832" w:type="pct"/>
            <w:tcBorders>
              <w:top w:val="single" w:color="auto" w:sz="4" w:space="0"/>
              <w:left w:val="single" w:color="auto" w:sz="4" w:space="0"/>
              <w:bottom w:val="single" w:color="auto" w:sz="4" w:space="0"/>
              <w:right w:val="single" w:color="auto" w:sz="4" w:space="0"/>
            </w:tcBorders>
            <w:shd w:val="clear" w:color="auto" w:fill="auto"/>
            <w:vAlign w:val="center"/>
          </w:tcPr>
          <w:p w14:paraId="62442ED9">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3" w:type="pct"/>
            <w:tcBorders>
              <w:top w:val="single" w:color="auto" w:sz="4" w:space="0"/>
              <w:left w:val="single" w:color="auto" w:sz="4" w:space="0"/>
              <w:bottom w:val="single" w:color="auto" w:sz="4" w:space="0"/>
              <w:right w:val="single" w:color="auto" w:sz="4" w:space="0"/>
            </w:tcBorders>
            <w:shd w:val="clear" w:color="auto" w:fill="auto"/>
            <w:vAlign w:val="center"/>
          </w:tcPr>
          <w:p w14:paraId="6CC62C45">
            <w:pPr>
              <w:jc w:val="center"/>
              <w:rPr>
                <w:rFonts w:hint="eastAsia" w:ascii="宋体" w:hAnsi="宋体" w:eastAsia="宋体" w:cs="Times New Roman"/>
                <w:kern w:val="2"/>
                <w:sz w:val="18"/>
                <w:szCs w:val="18"/>
                <w:lang w:val="en-US" w:eastAsia="zh-CN" w:bidi="ar-SA"/>
              </w:rPr>
            </w:pPr>
            <w:r>
              <w:rPr>
                <w:rFonts w:hint="eastAsia" w:ascii="宋体" w:hAnsi="宋体"/>
                <w:sz w:val="18"/>
                <w:szCs w:val="18"/>
              </w:rPr>
              <w:t>◎</w:t>
            </w:r>
          </w:p>
        </w:tc>
        <w:tc>
          <w:tcPr>
            <w:tcW w:w="832" w:type="pct"/>
            <w:tcBorders>
              <w:top w:val="single" w:color="auto" w:sz="4" w:space="0"/>
              <w:left w:val="single" w:color="auto" w:sz="4" w:space="0"/>
              <w:bottom w:val="single" w:color="auto" w:sz="4" w:space="0"/>
              <w:right w:val="single" w:color="auto" w:sz="4" w:space="0"/>
            </w:tcBorders>
            <w:vAlign w:val="center"/>
          </w:tcPr>
          <w:p w14:paraId="099D536C">
            <w:pPr>
              <w:jc w:val="center"/>
              <w:rPr>
                <w:rFonts w:hint="eastAsia" w:ascii="宋体" w:hAnsi="宋体" w:eastAsia="宋体"/>
                <w:sz w:val="18"/>
                <w:szCs w:val="18"/>
                <w:lang w:eastAsia="zh-CN"/>
              </w:rPr>
            </w:pPr>
            <w:r>
              <w:rPr>
                <w:rFonts w:hint="eastAsia" w:ascii="宋体" w:hAnsi="宋体"/>
                <w:sz w:val="18"/>
                <w:szCs w:val="18"/>
              </w:rPr>
              <w:t>5.6.</w:t>
            </w:r>
            <w:r>
              <w:rPr>
                <w:rFonts w:hint="eastAsia" w:ascii="宋体" w:hAnsi="宋体"/>
                <w:sz w:val="18"/>
                <w:szCs w:val="18"/>
                <w:lang w:val="en-US" w:eastAsia="zh-CN"/>
              </w:rPr>
              <w:t>8</w:t>
            </w:r>
            <w:r>
              <w:rPr>
                <w:rFonts w:hint="eastAsia" w:ascii="宋体" w:hAnsi="宋体"/>
                <w:sz w:val="18"/>
                <w:szCs w:val="18"/>
              </w:rPr>
              <w:t>.</w:t>
            </w:r>
            <w:r>
              <w:rPr>
                <w:rFonts w:hint="eastAsia" w:ascii="宋体" w:hAnsi="宋体"/>
                <w:sz w:val="18"/>
                <w:szCs w:val="18"/>
                <w:lang w:val="en-US" w:eastAsia="zh-CN"/>
              </w:rPr>
              <w:t>2</w:t>
            </w:r>
          </w:p>
        </w:tc>
        <w:tc>
          <w:tcPr>
            <w:tcW w:w="835" w:type="pct"/>
            <w:tcBorders>
              <w:top w:val="single" w:color="auto" w:sz="4" w:space="0"/>
              <w:left w:val="single" w:color="auto" w:sz="4" w:space="0"/>
              <w:bottom w:val="single" w:color="auto" w:sz="4" w:space="0"/>
              <w:right w:val="single" w:color="auto" w:sz="8" w:space="0"/>
            </w:tcBorders>
            <w:vAlign w:val="center"/>
          </w:tcPr>
          <w:p w14:paraId="73960F8D">
            <w:pPr>
              <w:jc w:val="center"/>
              <w:rPr>
                <w:rFonts w:hint="default" w:ascii="宋体" w:hAnsi="宋体" w:eastAsia="宋体"/>
                <w:sz w:val="18"/>
                <w:szCs w:val="18"/>
                <w:lang w:val="en-US" w:eastAsia="zh-CN"/>
              </w:rPr>
            </w:pPr>
            <w:r>
              <w:rPr>
                <w:rFonts w:hint="eastAsia" w:ascii="宋体" w:hAnsi="宋体"/>
                <w:sz w:val="18"/>
                <w:szCs w:val="18"/>
              </w:rPr>
              <w:t>6.6.</w:t>
            </w:r>
            <w:r>
              <w:rPr>
                <w:rFonts w:hint="eastAsia" w:ascii="宋体" w:hAnsi="宋体"/>
                <w:sz w:val="18"/>
                <w:szCs w:val="18"/>
                <w:lang w:val="en-US" w:eastAsia="zh-CN"/>
              </w:rPr>
              <w:t>8.2</w:t>
            </w:r>
          </w:p>
        </w:tc>
      </w:tr>
      <w:tr w14:paraId="62E4D6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5000" w:type="pct"/>
            <w:gridSpan w:val="6"/>
            <w:tcBorders>
              <w:top w:val="single" w:color="auto" w:sz="8" w:space="0"/>
              <w:left w:val="single" w:color="auto" w:sz="8" w:space="0"/>
              <w:bottom w:val="single" w:color="auto" w:sz="8" w:space="0"/>
              <w:right w:val="single" w:color="auto" w:sz="8" w:space="0"/>
            </w:tcBorders>
            <w:vAlign w:val="center"/>
          </w:tcPr>
          <w:p w14:paraId="18E34BEF">
            <w:pPr>
              <w:pStyle w:val="180"/>
            </w:pPr>
            <w:r>
              <w:rPr>
                <w:rFonts w:hint="eastAsia"/>
              </w:rPr>
              <w:t>“◎”为必选性能；“○”为可选性能；“—”为不要求。</w:t>
            </w:r>
          </w:p>
        </w:tc>
      </w:tr>
    </w:tbl>
    <w:p w14:paraId="7FF6B22E">
      <w:pPr>
        <w:pStyle w:val="106"/>
        <w:spacing w:before="120" w:after="120"/>
      </w:pPr>
      <w:bookmarkStart w:id="108" w:name="_Toc5203"/>
      <w:r>
        <w:rPr>
          <w:rFonts w:hint="eastAsia"/>
        </w:rPr>
        <w:t>出厂检验</w:t>
      </w:r>
      <w:bookmarkEnd w:id="108"/>
    </w:p>
    <w:p w14:paraId="361E8FE3">
      <w:pPr>
        <w:pStyle w:val="66"/>
        <w:spacing w:before="120" w:after="120"/>
      </w:pPr>
      <w:bookmarkStart w:id="109" w:name="_Toc9738"/>
      <w:r>
        <w:rPr>
          <w:rFonts w:hint="eastAsia"/>
        </w:rPr>
        <w:t>组批与抽样规则</w:t>
      </w:r>
      <w:bookmarkEnd w:id="109"/>
    </w:p>
    <w:p w14:paraId="4D82D6FF">
      <w:pPr>
        <w:pStyle w:val="95"/>
        <w:bidi w:val="0"/>
        <w:ind w:left="0" w:leftChars="0" w:firstLine="0" w:firstLineChars="0"/>
        <w:rPr>
          <w:rFonts w:hint="eastAsia" w:ascii="宋体" w:hAnsi="宋体" w:eastAsia="宋体" w:cs="宋体"/>
        </w:rPr>
      </w:pPr>
      <w:r>
        <w:rPr>
          <w:rFonts w:hint="eastAsia" w:ascii="宋体" w:hAnsi="宋体" w:eastAsia="宋体" w:cs="宋体"/>
        </w:rPr>
        <w:t>窗的外观质量和装配质量为全数检验。</w:t>
      </w:r>
    </w:p>
    <w:p w14:paraId="2F7EE52E">
      <w:pPr>
        <w:pStyle w:val="95"/>
        <w:bidi w:val="0"/>
        <w:ind w:left="0" w:leftChars="0" w:firstLine="0" w:firstLineChars="0"/>
        <w:rPr>
          <w:rFonts w:hint="eastAsia" w:ascii="宋体" w:hAnsi="宋体" w:eastAsia="宋体" w:cs="宋体"/>
        </w:rPr>
      </w:pPr>
      <w:r>
        <w:rPr>
          <w:rFonts w:hint="eastAsia" w:ascii="宋体" w:hAnsi="宋体" w:eastAsia="宋体" w:cs="宋体"/>
        </w:rPr>
        <w:t>产品以批为单位进行检验，同一批原料、工艺连续生产的同一型号产品为一批。</w:t>
      </w:r>
    </w:p>
    <w:p w14:paraId="322AE8CF">
      <w:pPr>
        <w:pStyle w:val="95"/>
        <w:bidi w:val="0"/>
        <w:ind w:left="0" w:leftChars="0" w:firstLine="0" w:firstLineChars="0"/>
        <w:rPr>
          <w:rFonts w:hint="eastAsia" w:ascii="宋体" w:hAnsi="宋体" w:eastAsia="宋体" w:cs="宋体"/>
        </w:rPr>
      </w:pPr>
      <w:r>
        <w:rPr>
          <w:rFonts w:hint="eastAsia" w:ascii="宋体" w:hAnsi="宋体" w:eastAsia="宋体" w:cs="宋体"/>
        </w:rPr>
        <w:t>外窗及框扇装配尺寸偏差检验，每</w:t>
      </w:r>
      <w:r>
        <w:rPr>
          <w:rFonts w:hint="eastAsia" w:ascii="宋体" w:hAnsi="宋体" w:eastAsia="宋体" w:cs="宋体"/>
          <w:lang w:val="en-US" w:eastAsia="zh-CN"/>
        </w:rPr>
        <w:t xml:space="preserve"> </w:t>
      </w:r>
      <w:r>
        <w:rPr>
          <w:rFonts w:hint="eastAsia" w:ascii="宋体" w:hAnsi="宋体" w:eastAsia="宋体" w:cs="宋体"/>
        </w:rPr>
        <w:t>100</w:t>
      </w:r>
      <w:r>
        <w:rPr>
          <w:rFonts w:hint="eastAsia" w:ascii="宋体" w:hAnsi="宋体" w:eastAsia="宋体" w:cs="宋体"/>
          <w:lang w:val="en-US" w:eastAsia="zh-CN"/>
        </w:rPr>
        <w:t xml:space="preserve"> </w:t>
      </w:r>
      <w:r>
        <w:rPr>
          <w:rFonts w:hint="eastAsia" w:ascii="宋体" w:hAnsi="宋体" w:eastAsia="宋体" w:cs="宋体"/>
        </w:rPr>
        <w:t>樘为一个检验批，不足</w:t>
      </w:r>
      <w:r>
        <w:rPr>
          <w:rFonts w:hint="eastAsia" w:ascii="宋体" w:hAnsi="宋体" w:eastAsia="宋体" w:cs="宋体"/>
          <w:lang w:val="en-US" w:eastAsia="zh-CN"/>
        </w:rPr>
        <w:t xml:space="preserve"> </w:t>
      </w:r>
      <w:r>
        <w:rPr>
          <w:rFonts w:hint="eastAsia" w:ascii="宋体" w:hAnsi="宋体" w:eastAsia="宋体" w:cs="宋体"/>
        </w:rPr>
        <w:t>100</w:t>
      </w:r>
      <w:r>
        <w:rPr>
          <w:rFonts w:hint="eastAsia" w:ascii="宋体" w:hAnsi="宋体" w:eastAsia="宋体" w:cs="宋体"/>
          <w:lang w:val="en-US" w:eastAsia="zh-CN"/>
        </w:rPr>
        <w:t xml:space="preserve"> </w:t>
      </w:r>
      <w:r>
        <w:rPr>
          <w:rFonts w:hint="eastAsia" w:ascii="宋体" w:hAnsi="宋体" w:eastAsia="宋体" w:cs="宋体"/>
        </w:rPr>
        <w:t>樘也应为一个检验批。每个检验批中按不同类型、品种、系列、规格分别随机抽取</w:t>
      </w:r>
      <w:r>
        <w:rPr>
          <w:rFonts w:hint="eastAsia" w:ascii="宋体" w:hAnsi="宋体" w:eastAsia="宋体" w:cs="宋体"/>
          <w:lang w:val="en-US" w:eastAsia="zh-CN"/>
        </w:rPr>
        <w:t xml:space="preserve"> </w:t>
      </w:r>
      <w:r>
        <w:rPr>
          <w:rFonts w:hint="eastAsia" w:ascii="宋体" w:hAnsi="宋体" w:eastAsia="宋体" w:cs="宋体"/>
        </w:rPr>
        <w:t>5％</w:t>
      </w:r>
      <w:r>
        <w:rPr>
          <w:rFonts w:hint="eastAsia" w:ascii="宋体" w:hAnsi="宋体" w:eastAsia="宋体" w:cs="宋体"/>
          <w:lang w:val="en-US" w:eastAsia="zh-CN"/>
        </w:rPr>
        <w:t xml:space="preserve"> </w:t>
      </w:r>
      <w:r>
        <w:rPr>
          <w:rFonts w:hint="eastAsia" w:ascii="宋体" w:hAnsi="宋体" w:eastAsia="宋体" w:cs="宋体"/>
        </w:rPr>
        <w:t>且不少于</w:t>
      </w:r>
      <w:r>
        <w:rPr>
          <w:rFonts w:hint="eastAsia" w:ascii="宋体" w:hAnsi="宋体" w:eastAsia="宋体" w:cs="宋体"/>
          <w:lang w:val="en-US" w:eastAsia="zh-CN"/>
        </w:rPr>
        <w:t xml:space="preserve"> </w:t>
      </w:r>
      <w:r>
        <w:rPr>
          <w:rFonts w:hint="eastAsia" w:ascii="宋体" w:hAnsi="宋体" w:eastAsia="宋体" w:cs="宋体"/>
        </w:rPr>
        <w:t>3</w:t>
      </w:r>
      <w:r>
        <w:rPr>
          <w:rFonts w:hint="eastAsia" w:ascii="宋体" w:hAnsi="宋体" w:eastAsia="宋体" w:cs="宋体"/>
          <w:lang w:val="en-US" w:eastAsia="zh-CN"/>
        </w:rPr>
        <w:t xml:space="preserve"> </w:t>
      </w:r>
      <w:r>
        <w:rPr>
          <w:rFonts w:hint="eastAsia" w:ascii="宋体" w:hAnsi="宋体" w:eastAsia="宋体" w:cs="宋体"/>
        </w:rPr>
        <w:t>樘。</w:t>
      </w:r>
    </w:p>
    <w:p w14:paraId="33321189">
      <w:pPr>
        <w:pStyle w:val="66"/>
        <w:spacing w:before="120" w:after="120"/>
      </w:pPr>
      <w:bookmarkStart w:id="110" w:name="_Toc14349"/>
      <w:r>
        <w:rPr>
          <w:rFonts w:hint="eastAsia"/>
        </w:rPr>
        <w:t>判定与复验规则</w:t>
      </w:r>
      <w:bookmarkEnd w:id="110"/>
    </w:p>
    <w:p w14:paraId="22D7816C">
      <w:pPr>
        <w:pStyle w:val="95"/>
        <w:bidi w:val="0"/>
        <w:ind w:left="0" w:leftChars="0" w:firstLine="0" w:firstLineChars="0"/>
        <w:rPr>
          <w:rFonts w:hint="eastAsia" w:ascii="宋体" w:hAnsi="宋体" w:eastAsia="宋体" w:cs="宋体"/>
        </w:rPr>
      </w:pPr>
      <w:r>
        <w:rPr>
          <w:rFonts w:hint="eastAsia" w:ascii="宋体" w:hAnsi="宋体" w:eastAsia="宋体" w:cs="宋体"/>
        </w:rPr>
        <w:t>抽检产品检验结果全部符合本标准要求时，判该批产品合格。</w:t>
      </w:r>
    </w:p>
    <w:p w14:paraId="408CDF1B">
      <w:pPr>
        <w:pStyle w:val="95"/>
        <w:bidi w:val="0"/>
        <w:ind w:left="0" w:leftChars="0" w:firstLine="0" w:firstLineChars="0"/>
        <w:rPr>
          <w:rFonts w:hint="eastAsia" w:ascii="宋体" w:hAnsi="宋体" w:eastAsia="宋体" w:cs="宋体"/>
        </w:rPr>
      </w:pPr>
      <w:r>
        <w:rPr>
          <w:rFonts w:hint="eastAsia" w:ascii="宋体" w:hAnsi="宋体" w:eastAsia="宋体" w:cs="宋体"/>
        </w:rPr>
        <w:t>抽检产品检验结果如有多于</w:t>
      </w:r>
      <w:r>
        <w:rPr>
          <w:rFonts w:hint="eastAsia" w:ascii="宋体" w:hAnsi="宋体" w:eastAsia="宋体" w:cs="宋体"/>
          <w:lang w:val="en-US" w:eastAsia="zh-CN"/>
        </w:rPr>
        <w:t xml:space="preserve"> </w:t>
      </w:r>
      <w:r>
        <w:rPr>
          <w:rFonts w:hint="eastAsia" w:ascii="宋体" w:hAnsi="宋体" w:eastAsia="宋体" w:cs="宋体"/>
        </w:rPr>
        <w:t>1</w:t>
      </w:r>
      <w:r>
        <w:rPr>
          <w:rFonts w:hint="eastAsia" w:ascii="宋体" w:hAnsi="宋体" w:eastAsia="宋体" w:cs="宋体"/>
          <w:lang w:val="en-US" w:eastAsia="zh-CN"/>
        </w:rPr>
        <w:t xml:space="preserve"> </w:t>
      </w:r>
      <w:r>
        <w:rPr>
          <w:rFonts w:hint="eastAsia" w:ascii="宋体" w:hAnsi="宋体" w:eastAsia="宋体" w:cs="宋体"/>
        </w:rPr>
        <w:t>樘不符合本标准要求时，判该批产品不合格。</w:t>
      </w:r>
    </w:p>
    <w:p w14:paraId="7757E499">
      <w:pPr>
        <w:pStyle w:val="95"/>
        <w:bidi w:val="0"/>
        <w:ind w:left="0" w:leftChars="0" w:firstLine="0" w:firstLineChars="0"/>
        <w:rPr>
          <w:rFonts w:hint="eastAsia" w:ascii="宋体" w:hAnsi="宋体" w:eastAsia="宋体" w:cs="宋体"/>
        </w:rPr>
      </w:pPr>
      <w:r>
        <w:rPr>
          <w:rFonts w:hint="eastAsia" w:ascii="宋体" w:hAnsi="宋体" w:eastAsia="宋体" w:cs="宋体"/>
        </w:rPr>
        <w:t>抽检项目中如有</w:t>
      </w:r>
      <w:r>
        <w:rPr>
          <w:rFonts w:hint="eastAsia" w:ascii="宋体" w:hAnsi="宋体" w:eastAsia="宋体" w:cs="宋体"/>
          <w:lang w:val="en-US" w:eastAsia="zh-CN"/>
        </w:rPr>
        <w:t xml:space="preserve"> </w:t>
      </w:r>
      <w:r>
        <w:rPr>
          <w:rFonts w:hint="eastAsia" w:ascii="宋体" w:hAnsi="宋体" w:eastAsia="宋体" w:cs="宋体"/>
        </w:rPr>
        <w:t>1</w:t>
      </w:r>
      <w:r>
        <w:rPr>
          <w:rFonts w:hint="eastAsia" w:ascii="宋体" w:hAnsi="宋体" w:eastAsia="宋体" w:cs="宋体"/>
          <w:lang w:val="en-US" w:eastAsia="zh-CN"/>
        </w:rPr>
        <w:t xml:space="preserve"> </w:t>
      </w:r>
      <w:r>
        <w:rPr>
          <w:rFonts w:hint="eastAsia" w:ascii="宋体" w:hAnsi="宋体" w:eastAsia="宋体" w:cs="宋体"/>
        </w:rPr>
        <w:t>樘(不多于</w:t>
      </w:r>
      <w:r>
        <w:rPr>
          <w:rFonts w:hint="eastAsia" w:ascii="宋体" w:hAnsi="宋体" w:eastAsia="宋体" w:cs="宋体"/>
          <w:lang w:val="en-US" w:eastAsia="zh-CN"/>
        </w:rPr>
        <w:t xml:space="preserve"> </w:t>
      </w:r>
      <w:r>
        <w:rPr>
          <w:rFonts w:hint="eastAsia" w:ascii="宋体" w:hAnsi="宋体" w:eastAsia="宋体" w:cs="宋体"/>
        </w:rPr>
        <w:t>1</w:t>
      </w:r>
      <w:r>
        <w:rPr>
          <w:rFonts w:hint="eastAsia" w:ascii="宋体" w:hAnsi="宋体" w:eastAsia="宋体" w:cs="宋体"/>
          <w:lang w:val="en-US" w:eastAsia="zh-CN"/>
        </w:rPr>
        <w:t xml:space="preserve"> </w:t>
      </w:r>
      <w:r>
        <w:rPr>
          <w:rFonts w:hint="eastAsia" w:ascii="宋体" w:hAnsi="宋体" w:eastAsia="宋体" w:cs="宋体"/>
        </w:rPr>
        <w:t>樘)不合格，可再从该批产品中抽取双倍数量产品进行重复检验。重复检验的结果全部达到本标准要求时判定该项目合格，复检项目全部合格，判定该批产品合格，否则判定该批产品出厂检验不合格。</w:t>
      </w:r>
    </w:p>
    <w:p w14:paraId="01E9C0F7">
      <w:pPr>
        <w:pStyle w:val="106"/>
        <w:spacing w:before="120" w:after="120"/>
      </w:pPr>
      <w:bookmarkStart w:id="111" w:name="_Toc1535"/>
      <w:r>
        <w:rPr>
          <w:rFonts w:hint="eastAsia"/>
        </w:rPr>
        <w:t>型式检验</w:t>
      </w:r>
      <w:bookmarkEnd w:id="111"/>
    </w:p>
    <w:p w14:paraId="7F9C6F1C">
      <w:pPr>
        <w:pStyle w:val="66"/>
        <w:spacing w:before="120" w:after="120"/>
      </w:pPr>
      <w:bookmarkStart w:id="112" w:name="_Toc17390"/>
      <w:r>
        <w:rPr>
          <w:rFonts w:hint="eastAsia"/>
        </w:rPr>
        <w:t>检验时机</w:t>
      </w:r>
      <w:bookmarkEnd w:id="112"/>
    </w:p>
    <w:p w14:paraId="2F5F8BE6">
      <w:pPr>
        <w:pStyle w:val="57"/>
        <w:ind w:firstLine="420"/>
      </w:pPr>
      <w:r>
        <w:rPr>
          <w:rFonts w:hint="eastAsia" w:hAnsi="宋体"/>
        </w:rPr>
        <w:t>当遇到下列情况之一时，应进行型式检验：</w:t>
      </w:r>
    </w:p>
    <w:p w14:paraId="7F86B15F">
      <w:pPr>
        <w:pStyle w:val="175"/>
        <w:numPr>
          <w:ilvl w:val="0"/>
          <w:numId w:val="36"/>
        </w:numPr>
        <w:rPr>
          <w:rFonts w:hint="eastAsia" w:hAnsi="宋体"/>
        </w:rPr>
      </w:pPr>
      <w:r>
        <w:rPr>
          <w:rFonts w:hint="eastAsia" w:hAnsi="宋体"/>
        </w:rPr>
        <w:t>新产品或老产品转厂生产的试制定型鉴定；</w:t>
      </w:r>
    </w:p>
    <w:p w14:paraId="6D4F79E7">
      <w:pPr>
        <w:pStyle w:val="175"/>
        <w:numPr>
          <w:ilvl w:val="0"/>
          <w:numId w:val="36"/>
        </w:numPr>
        <w:rPr>
          <w:rFonts w:hint="eastAsia" w:hAnsi="宋体"/>
        </w:rPr>
      </w:pPr>
      <w:r>
        <w:rPr>
          <w:rFonts w:hint="eastAsia" w:hAnsi="宋体"/>
        </w:rPr>
        <w:t>正式生产后，产品的原材料、构造或生产工艺有较大改变，可能影响产品性能时；</w:t>
      </w:r>
    </w:p>
    <w:p w14:paraId="1D047E71">
      <w:pPr>
        <w:pStyle w:val="175"/>
        <w:numPr>
          <w:ilvl w:val="0"/>
          <w:numId w:val="36"/>
        </w:numPr>
        <w:rPr>
          <w:rFonts w:hint="eastAsia" w:hAnsi="宋体"/>
        </w:rPr>
      </w:pPr>
      <w:r>
        <w:rPr>
          <w:rFonts w:hint="eastAsia" w:hAnsi="宋体"/>
        </w:rPr>
        <w:t>停产半年以上重新恢复生产时；</w:t>
      </w:r>
    </w:p>
    <w:p w14:paraId="507381B4">
      <w:pPr>
        <w:pStyle w:val="175"/>
        <w:numPr>
          <w:ilvl w:val="0"/>
          <w:numId w:val="36"/>
        </w:numPr>
        <w:rPr>
          <w:rFonts w:hint="eastAsia" w:hAnsi="宋体"/>
        </w:rPr>
      </w:pPr>
      <w:r>
        <w:rPr>
          <w:rFonts w:hint="eastAsia" w:hAnsi="宋体"/>
        </w:rPr>
        <w:t>出厂检验结果与上次型式检验结果有较大差异时；</w:t>
      </w:r>
    </w:p>
    <w:p w14:paraId="7A43A942">
      <w:pPr>
        <w:pStyle w:val="175"/>
        <w:numPr>
          <w:ilvl w:val="0"/>
          <w:numId w:val="36"/>
        </w:numPr>
        <w:rPr>
          <w:rFonts w:hint="eastAsia" w:hAnsi="宋体"/>
        </w:rPr>
      </w:pPr>
      <w:r>
        <w:rPr>
          <w:rFonts w:hint="eastAsia" w:hAnsi="宋体"/>
        </w:rPr>
        <w:t>正常生产时应每两年至少进行一次型式检验。</w:t>
      </w:r>
    </w:p>
    <w:p w14:paraId="10C14523">
      <w:pPr>
        <w:pStyle w:val="66"/>
        <w:spacing w:before="120" w:after="120"/>
      </w:pPr>
      <w:bookmarkStart w:id="113" w:name="_Toc14275"/>
      <w:r>
        <w:rPr>
          <w:rFonts w:hint="eastAsia"/>
        </w:rPr>
        <w:t>组批与抽样规则</w:t>
      </w:r>
      <w:bookmarkEnd w:id="113"/>
    </w:p>
    <w:p w14:paraId="61860271">
      <w:pPr>
        <w:pStyle w:val="57"/>
        <w:spacing w:before="120" w:after="120"/>
        <w:ind w:firstLine="420"/>
      </w:pPr>
      <w:r>
        <w:rPr>
          <w:rFonts w:hint="eastAsia" w:hAnsi="宋体"/>
        </w:rPr>
        <w:t>从不少于</w:t>
      </w:r>
      <w:r>
        <w:rPr>
          <w:rFonts w:hint="eastAsia" w:hAnsi="宋体"/>
          <w:lang w:val="en-US" w:eastAsia="zh-CN"/>
        </w:rPr>
        <w:t xml:space="preserve"> </w:t>
      </w:r>
      <w:r>
        <w:rPr>
          <w:rFonts w:hint="eastAsia" w:hAnsi="宋体"/>
        </w:rPr>
        <w:t>100</w:t>
      </w:r>
      <w:r>
        <w:rPr>
          <w:rFonts w:hint="eastAsia" w:hAnsi="宋体"/>
          <w:lang w:val="en-US" w:eastAsia="zh-CN"/>
        </w:rPr>
        <w:t xml:space="preserve"> </w:t>
      </w:r>
      <w:r>
        <w:rPr>
          <w:rFonts w:hint="eastAsia" w:hAnsi="宋体"/>
        </w:rPr>
        <w:t>樘的出厂检验合格批中任选一批作为型式检验批，按表</w:t>
      </w:r>
      <w:r>
        <w:rPr>
          <w:rFonts w:hint="eastAsia" w:hAnsi="宋体"/>
          <w:lang w:val="en-US" w:eastAsia="zh-CN"/>
        </w:rPr>
        <w:t xml:space="preserve"> 10 </w:t>
      </w:r>
      <w:r>
        <w:rPr>
          <w:rFonts w:hint="eastAsia" w:hAnsi="宋体"/>
        </w:rPr>
        <w:t>规定的试件数量随机抽取。</w:t>
      </w:r>
    </w:p>
    <w:p w14:paraId="6D1881C3">
      <w:pPr>
        <w:pStyle w:val="66"/>
        <w:spacing w:before="120" w:after="120"/>
      </w:pPr>
      <w:bookmarkStart w:id="114" w:name="_Toc9355"/>
      <w:r>
        <w:rPr>
          <w:rFonts w:hint="eastAsia"/>
        </w:rPr>
        <w:t>取样规则</w:t>
      </w:r>
      <w:bookmarkEnd w:id="114"/>
    </w:p>
    <w:p w14:paraId="60371870">
      <w:pPr>
        <w:pStyle w:val="57"/>
        <w:spacing w:before="120" w:after="120"/>
        <w:ind w:firstLine="420"/>
      </w:pPr>
      <w:r>
        <w:rPr>
          <w:rFonts w:hint="eastAsia" w:hAnsi="宋体"/>
        </w:rPr>
        <w:t>产品型式检验应选取各种用途、类型、品种、系列中常用的窗立面形式和尺寸规格的单樘基本窗作为代表该产品性能的典型试件。</w:t>
      </w:r>
    </w:p>
    <w:p w14:paraId="3CB1719B">
      <w:pPr>
        <w:pStyle w:val="66"/>
        <w:spacing w:before="120" w:after="120"/>
      </w:pPr>
      <w:bookmarkStart w:id="115" w:name="_Toc20937"/>
      <w:r>
        <w:rPr>
          <w:rFonts w:hint="eastAsia"/>
        </w:rPr>
        <w:t>判定与复验规则</w:t>
      </w:r>
      <w:bookmarkEnd w:id="115"/>
    </w:p>
    <w:p w14:paraId="7E6016E1">
      <w:pPr>
        <w:pStyle w:val="95"/>
        <w:bidi w:val="0"/>
        <w:ind w:left="0" w:leftChars="0" w:firstLine="0" w:firstLineChars="0"/>
        <w:rPr>
          <w:rFonts w:hint="eastAsia" w:ascii="宋体" w:hAnsi="宋体" w:eastAsia="宋体" w:cs="宋体"/>
        </w:rPr>
      </w:pPr>
      <w:r>
        <w:rPr>
          <w:rFonts w:hint="eastAsia" w:ascii="宋体" w:hAnsi="宋体" w:eastAsia="宋体" w:cs="宋体"/>
        </w:rPr>
        <w:t>抽检产品全部符合</w:t>
      </w:r>
      <w:r>
        <w:rPr>
          <w:rFonts w:hint="eastAsia" w:ascii="宋体" w:hAnsi="宋体" w:eastAsia="宋体" w:cs="宋体"/>
          <w:lang w:val="en-US" w:eastAsia="zh-CN"/>
        </w:rPr>
        <w:t xml:space="preserve"> </w:t>
      </w:r>
      <w:r>
        <w:rPr>
          <w:rFonts w:hint="eastAsia" w:ascii="宋体" w:hAnsi="宋体" w:eastAsia="宋体" w:cs="宋体"/>
        </w:rPr>
        <w:t>5.2～5.6</w:t>
      </w:r>
      <w:r>
        <w:rPr>
          <w:rFonts w:hint="eastAsia" w:ascii="宋体" w:hAnsi="宋体" w:eastAsia="宋体" w:cs="宋体"/>
          <w:lang w:val="en-US" w:eastAsia="zh-CN"/>
        </w:rPr>
        <w:t xml:space="preserve"> </w:t>
      </w:r>
      <w:r>
        <w:rPr>
          <w:rFonts w:hint="eastAsia" w:ascii="宋体" w:hAnsi="宋体" w:eastAsia="宋体" w:cs="宋体"/>
        </w:rPr>
        <w:t>要求，该产品型式检验合格。</w:t>
      </w:r>
    </w:p>
    <w:p w14:paraId="475AB232">
      <w:pPr>
        <w:pStyle w:val="95"/>
        <w:bidi w:val="0"/>
        <w:ind w:left="0" w:leftChars="0" w:firstLine="0" w:firstLineChars="0"/>
        <w:rPr>
          <w:rFonts w:hint="eastAsia" w:ascii="宋体" w:hAnsi="宋体" w:eastAsia="宋体" w:cs="宋体"/>
        </w:rPr>
      </w:pPr>
      <w:r>
        <w:rPr>
          <w:rFonts w:hint="eastAsia" w:ascii="宋体" w:hAnsi="宋体" w:eastAsia="宋体" w:cs="宋体"/>
        </w:rPr>
        <w:t>外观质量、窗及框扇装配尺寸偏差、装配质量、启闭力检验项目的判定和复验应符合</w:t>
      </w:r>
      <w:r>
        <w:rPr>
          <w:rFonts w:hint="eastAsia" w:ascii="宋体" w:hAnsi="宋体" w:eastAsia="宋体" w:cs="宋体"/>
          <w:lang w:val="en-US" w:eastAsia="zh-CN"/>
        </w:rPr>
        <w:t xml:space="preserve"> </w:t>
      </w:r>
      <w:r>
        <w:rPr>
          <w:rFonts w:hint="eastAsia" w:ascii="宋体" w:hAnsi="宋体" w:eastAsia="宋体" w:cs="宋体"/>
        </w:rPr>
        <w:t>7.2.2的规定。</w:t>
      </w:r>
    </w:p>
    <w:p w14:paraId="7D72F6C3">
      <w:pPr>
        <w:pStyle w:val="95"/>
        <w:bidi w:val="0"/>
        <w:ind w:left="0" w:leftChars="0" w:firstLine="0" w:firstLineChars="0"/>
        <w:rPr>
          <w:rFonts w:hint="eastAsia" w:ascii="宋体" w:hAnsi="宋体" w:eastAsia="宋体" w:cs="宋体"/>
        </w:rPr>
      </w:pPr>
      <w:r>
        <w:rPr>
          <w:rFonts w:hint="eastAsia" w:ascii="宋体" w:hAnsi="宋体" w:eastAsia="宋体" w:cs="宋体"/>
        </w:rPr>
        <w:t>性能检验项目中若有不合格项，可再从该批产品中抽取双倍试件对该不合格项进行重复检验，重复检验结果全部达到本标准要求时判定该项目合格，否则判定该产品型式检验不合格。</w:t>
      </w:r>
    </w:p>
    <w:p w14:paraId="3E71856F">
      <w:pPr>
        <w:pStyle w:val="105"/>
        <w:spacing w:before="240" w:after="240"/>
      </w:pPr>
      <w:bookmarkStart w:id="116" w:name="_Toc14522"/>
      <w:bookmarkStart w:id="117" w:name="_Toc18938"/>
      <w:r>
        <w:rPr>
          <w:rFonts w:hint="eastAsia"/>
        </w:rPr>
        <w:t>产品标志及随行文件</w:t>
      </w:r>
      <w:bookmarkEnd w:id="116"/>
      <w:bookmarkEnd w:id="117"/>
    </w:p>
    <w:p w14:paraId="2418D110">
      <w:pPr>
        <w:pStyle w:val="106"/>
        <w:spacing w:before="120" w:after="120"/>
      </w:pPr>
      <w:bookmarkStart w:id="118" w:name="_Toc4502"/>
      <w:r>
        <w:rPr>
          <w:rFonts w:hint="eastAsia"/>
        </w:rPr>
        <w:t>产品标志</w:t>
      </w:r>
      <w:bookmarkEnd w:id="118"/>
    </w:p>
    <w:p w14:paraId="67190F34">
      <w:pPr>
        <w:pStyle w:val="66"/>
        <w:spacing w:before="120" w:after="120"/>
      </w:pPr>
      <w:bookmarkStart w:id="119" w:name="_Toc23143"/>
      <w:r>
        <w:rPr>
          <w:rFonts w:hint="eastAsia"/>
        </w:rPr>
        <w:t>基本标志内容</w:t>
      </w:r>
      <w:bookmarkEnd w:id="119"/>
    </w:p>
    <w:p w14:paraId="4769272A">
      <w:pPr>
        <w:pStyle w:val="57"/>
        <w:ind w:firstLine="420"/>
      </w:pPr>
      <w:r>
        <w:rPr>
          <w:rFonts w:hint="eastAsia" w:hAnsi="宋体"/>
        </w:rPr>
        <w:t>窗的产品标志应包括以下内容：</w:t>
      </w:r>
    </w:p>
    <w:p w14:paraId="281057F7">
      <w:pPr>
        <w:pStyle w:val="175"/>
        <w:numPr>
          <w:ilvl w:val="0"/>
          <w:numId w:val="37"/>
        </w:numPr>
        <w:rPr>
          <w:rFonts w:hint="eastAsia" w:hAnsi="宋体"/>
        </w:rPr>
      </w:pPr>
      <w:r>
        <w:rPr>
          <w:rFonts w:hint="eastAsia" w:hAnsi="宋体"/>
        </w:rPr>
        <w:t>产品标记；</w:t>
      </w:r>
    </w:p>
    <w:p w14:paraId="160B732D">
      <w:pPr>
        <w:pStyle w:val="175"/>
        <w:numPr>
          <w:ilvl w:val="0"/>
          <w:numId w:val="37"/>
        </w:numPr>
        <w:rPr>
          <w:rFonts w:hint="eastAsia" w:hAnsi="宋体"/>
        </w:rPr>
      </w:pPr>
      <w:r>
        <w:rPr>
          <w:rFonts w:hint="eastAsia" w:hAnsi="宋体"/>
        </w:rPr>
        <w:t>产品商标；</w:t>
      </w:r>
    </w:p>
    <w:p w14:paraId="504E5406">
      <w:pPr>
        <w:pStyle w:val="175"/>
        <w:numPr>
          <w:ilvl w:val="0"/>
          <w:numId w:val="37"/>
        </w:numPr>
        <w:rPr>
          <w:rFonts w:hint="eastAsia" w:hAnsi="宋体"/>
        </w:rPr>
      </w:pPr>
      <w:r>
        <w:rPr>
          <w:rFonts w:hint="eastAsia" w:hAnsi="宋体"/>
        </w:rPr>
        <w:t>制造商名称、生产日期。</w:t>
      </w:r>
    </w:p>
    <w:p w14:paraId="67FA3960">
      <w:pPr>
        <w:pStyle w:val="66"/>
        <w:spacing w:before="120" w:after="120"/>
      </w:pPr>
      <w:bookmarkStart w:id="120" w:name="_Toc20597"/>
      <w:r>
        <w:rPr>
          <w:rFonts w:hint="eastAsia"/>
        </w:rPr>
        <w:t>警示标志和说明</w:t>
      </w:r>
      <w:bookmarkEnd w:id="120"/>
    </w:p>
    <w:p w14:paraId="057817DB">
      <w:pPr>
        <w:pStyle w:val="57"/>
        <w:spacing w:before="120" w:after="120"/>
        <w:ind w:firstLine="420"/>
      </w:pPr>
      <w:r>
        <w:rPr>
          <w:rFonts w:hint="eastAsia" w:hAnsi="宋体"/>
        </w:rPr>
        <w:t>对于使用不当会造成产品本身损坏或产生使用安全问题的五金产品，应设置简明有效的使用警示标志和说明（包括文字及图示）。</w:t>
      </w:r>
    </w:p>
    <w:p w14:paraId="6B37E953">
      <w:pPr>
        <w:pStyle w:val="66"/>
        <w:spacing w:before="120" w:after="120"/>
      </w:pPr>
      <w:bookmarkStart w:id="121" w:name="_Toc11897"/>
      <w:r>
        <w:rPr>
          <w:rFonts w:hint="eastAsia"/>
        </w:rPr>
        <w:t>标志方法</w:t>
      </w:r>
      <w:bookmarkEnd w:id="121"/>
    </w:p>
    <w:p w14:paraId="5AFEFAE7">
      <w:pPr>
        <w:pStyle w:val="95"/>
        <w:bidi w:val="0"/>
        <w:ind w:left="0" w:leftChars="0" w:firstLine="0" w:firstLineChars="0"/>
        <w:rPr>
          <w:rFonts w:hint="eastAsia" w:ascii="宋体" w:hAnsi="宋体" w:eastAsia="宋体" w:cs="宋体"/>
        </w:rPr>
      </w:pPr>
      <w:r>
        <w:rPr>
          <w:rFonts w:hint="eastAsia" w:ascii="宋体" w:hAnsi="宋体" w:eastAsia="宋体" w:cs="宋体"/>
        </w:rPr>
        <w:t>按8.1.1 要求的产品标志内容应采用标牌标示，标牌的印制应符合GB/T 13306的规定。</w:t>
      </w:r>
    </w:p>
    <w:p w14:paraId="02EC6389">
      <w:pPr>
        <w:pStyle w:val="95"/>
        <w:bidi w:val="0"/>
        <w:ind w:left="0" w:leftChars="0" w:firstLine="0" w:firstLineChars="0"/>
        <w:rPr>
          <w:rFonts w:hint="eastAsia" w:ascii="宋体" w:hAnsi="宋体" w:eastAsia="宋体" w:cs="宋体"/>
        </w:rPr>
      </w:pPr>
      <w:r>
        <w:rPr>
          <w:rFonts w:hint="eastAsia" w:ascii="宋体" w:hAnsi="宋体" w:eastAsia="宋体" w:cs="宋体"/>
        </w:rPr>
        <w:t>产品标牌应固定在上框、中横框、窗扇梃侧面等适当部位(开启后可看到)。</w:t>
      </w:r>
    </w:p>
    <w:p w14:paraId="41B33CA9">
      <w:pPr>
        <w:pStyle w:val="95"/>
        <w:bidi w:val="0"/>
        <w:ind w:left="0" w:leftChars="0" w:firstLine="0" w:firstLineChars="0"/>
        <w:rPr>
          <w:rFonts w:hint="eastAsia" w:ascii="宋体" w:hAnsi="宋体" w:eastAsia="宋体" w:cs="宋体"/>
        </w:rPr>
      </w:pPr>
      <w:r>
        <w:rPr>
          <w:rFonts w:hint="eastAsia" w:ascii="宋体" w:hAnsi="宋体" w:eastAsia="宋体" w:cs="宋体"/>
        </w:rPr>
        <w:t>产品使用警示标志和说明应在窗的把手或执手等启闭装置附近粘贴。</w:t>
      </w:r>
    </w:p>
    <w:p w14:paraId="142AFA96">
      <w:pPr>
        <w:pStyle w:val="106"/>
        <w:spacing w:before="120" w:after="120"/>
      </w:pPr>
      <w:bookmarkStart w:id="122" w:name="_Toc32466"/>
      <w:r>
        <w:rPr>
          <w:rFonts w:hint="eastAsia"/>
        </w:rPr>
        <w:t>产品随行文件</w:t>
      </w:r>
      <w:bookmarkEnd w:id="122"/>
    </w:p>
    <w:p w14:paraId="4FDC1925">
      <w:pPr>
        <w:pStyle w:val="66"/>
        <w:spacing w:before="120" w:after="120"/>
      </w:pPr>
      <w:bookmarkStart w:id="123" w:name="_Toc3526"/>
      <w:r>
        <w:rPr>
          <w:rFonts w:hint="eastAsia"/>
        </w:rPr>
        <w:t>产品合格证</w:t>
      </w:r>
      <w:bookmarkEnd w:id="123"/>
    </w:p>
    <w:p w14:paraId="49BD7350">
      <w:pPr>
        <w:pStyle w:val="57"/>
        <w:ind w:firstLine="420"/>
      </w:pPr>
      <w:r>
        <w:rPr>
          <w:rFonts w:hint="eastAsia" w:hAnsi="宋体"/>
        </w:rPr>
        <w:t>单樘窗产品应有产品合格证，应包括下列主要内容：</w:t>
      </w:r>
    </w:p>
    <w:p w14:paraId="03FD99DC">
      <w:pPr>
        <w:pStyle w:val="175"/>
        <w:numPr>
          <w:ilvl w:val="0"/>
          <w:numId w:val="38"/>
        </w:numPr>
        <w:rPr>
          <w:rFonts w:hint="eastAsia" w:hAnsi="宋体"/>
        </w:rPr>
      </w:pPr>
      <w:r>
        <w:rPr>
          <w:rFonts w:hint="eastAsia" w:hAnsi="宋体"/>
        </w:rPr>
        <w:t>执行产品标准号；</w:t>
      </w:r>
    </w:p>
    <w:p w14:paraId="33043F93">
      <w:pPr>
        <w:pStyle w:val="175"/>
        <w:numPr>
          <w:ilvl w:val="0"/>
          <w:numId w:val="38"/>
        </w:numPr>
        <w:rPr>
          <w:rFonts w:hint="eastAsia" w:hAnsi="宋体"/>
        </w:rPr>
      </w:pPr>
      <w:r>
        <w:rPr>
          <w:rFonts w:hint="eastAsia" w:hAnsi="宋体"/>
        </w:rPr>
        <w:t>出厂检验项目、检验结果及检验结论；</w:t>
      </w:r>
    </w:p>
    <w:p w14:paraId="4507BC26">
      <w:pPr>
        <w:pStyle w:val="175"/>
        <w:numPr>
          <w:ilvl w:val="0"/>
          <w:numId w:val="38"/>
        </w:numPr>
        <w:rPr>
          <w:rFonts w:hint="eastAsia" w:hAnsi="宋体"/>
        </w:rPr>
      </w:pPr>
      <w:r>
        <w:rPr>
          <w:rFonts w:hint="eastAsia" w:hAnsi="宋体"/>
        </w:rPr>
        <w:t>产品检验日期、出厂日期、检验员签名或盖章(可用检验员代号表示)。</w:t>
      </w:r>
    </w:p>
    <w:p w14:paraId="54C9DE29">
      <w:pPr>
        <w:pStyle w:val="66"/>
        <w:spacing w:before="120" w:after="120"/>
      </w:pPr>
      <w:bookmarkStart w:id="124" w:name="_Toc25442"/>
      <w:r>
        <w:rPr>
          <w:rFonts w:hint="eastAsia"/>
        </w:rPr>
        <w:t>产品质量保证书</w:t>
      </w:r>
      <w:bookmarkEnd w:id="124"/>
    </w:p>
    <w:p w14:paraId="5F5CBB5C">
      <w:pPr>
        <w:pStyle w:val="57"/>
        <w:ind w:firstLine="420"/>
      </w:pPr>
      <w:r>
        <w:rPr>
          <w:rFonts w:hint="eastAsia" w:hAnsi="宋体"/>
        </w:rPr>
        <w:t>每个出厂检验批或交货批应有产品质量保证书，应包括下列主要内容：</w:t>
      </w:r>
    </w:p>
    <w:p w14:paraId="038CAAEB">
      <w:pPr>
        <w:pStyle w:val="175"/>
        <w:numPr>
          <w:ilvl w:val="0"/>
          <w:numId w:val="39"/>
        </w:numPr>
        <w:rPr>
          <w:rFonts w:hint="eastAsia" w:hAnsi="宋体"/>
        </w:rPr>
      </w:pPr>
      <w:r>
        <w:rPr>
          <w:rFonts w:hint="eastAsia" w:hAnsi="宋体"/>
        </w:rPr>
        <w:t>产品名称、商标及标记（包括执行的产品标准编号）；</w:t>
      </w:r>
    </w:p>
    <w:p w14:paraId="46859B77">
      <w:pPr>
        <w:pStyle w:val="175"/>
        <w:numPr>
          <w:ilvl w:val="0"/>
          <w:numId w:val="39"/>
        </w:numPr>
        <w:rPr>
          <w:rFonts w:hint="eastAsia" w:hAnsi="宋体"/>
        </w:rPr>
      </w:pPr>
      <w:r>
        <w:rPr>
          <w:rFonts w:hint="eastAsia" w:hAnsi="宋体"/>
        </w:rPr>
        <w:t>产品型式检验的性能参数值，并注明该产品型式检验报告的编号；</w:t>
      </w:r>
    </w:p>
    <w:p w14:paraId="0EA9F083">
      <w:pPr>
        <w:pStyle w:val="175"/>
        <w:numPr>
          <w:ilvl w:val="0"/>
          <w:numId w:val="39"/>
        </w:numPr>
        <w:rPr>
          <w:rFonts w:hint="eastAsia" w:hAnsi="宋体"/>
        </w:rPr>
      </w:pPr>
      <w:r>
        <w:rPr>
          <w:rFonts w:hint="eastAsia" w:hAnsi="宋体"/>
        </w:rPr>
        <w:t>产品批量（樘数、面积）、尺寸规格型号；</w:t>
      </w:r>
    </w:p>
    <w:p w14:paraId="287C819F">
      <w:pPr>
        <w:pStyle w:val="175"/>
        <w:numPr>
          <w:ilvl w:val="0"/>
          <w:numId w:val="39"/>
        </w:numPr>
        <w:rPr>
          <w:rFonts w:hint="eastAsia" w:hAnsi="宋体"/>
        </w:rPr>
      </w:pPr>
      <w:r>
        <w:rPr>
          <w:rFonts w:hint="eastAsia" w:hAnsi="宋体"/>
        </w:rPr>
        <w:t>窗框扇铝合金型材表面处理种类、色泽、膜厚；</w:t>
      </w:r>
    </w:p>
    <w:p w14:paraId="4B8574CC">
      <w:pPr>
        <w:pStyle w:val="175"/>
        <w:numPr>
          <w:ilvl w:val="0"/>
          <w:numId w:val="39"/>
        </w:numPr>
        <w:rPr>
          <w:rFonts w:hint="eastAsia" w:hAnsi="宋体"/>
        </w:rPr>
      </w:pPr>
      <w:r>
        <w:rPr>
          <w:rFonts w:hint="eastAsia" w:hAnsi="宋体"/>
        </w:rPr>
        <w:t>玻璃及镀膜的品种、色泽及玻璃厚度；</w:t>
      </w:r>
    </w:p>
    <w:p w14:paraId="59DE8D40">
      <w:pPr>
        <w:pStyle w:val="175"/>
        <w:numPr>
          <w:ilvl w:val="0"/>
          <w:numId w:val="39"/>
        </w:numPr>
        <w:rPr>
          <w:rFonts w:hint="eastAsia" w:hAnsi="宋体"/>
        </w:rPr>
      </w:pPr>
      <w:r>
        <w:rPr>
          <w:rFonts w:hint="eastAsia" w:hAnsi="宋体"/>
        </w:rPr>
        <w:t>窗的生产 日期、检验日期、出厂日期，质检人员签名及制造商的质量检验印章；</w:t>
      </w:r>
    </w:p>
    <w:p w14:paraId="49DDB39B">
      <w:pPr>
        <w:pStyle w:val="175"/>
        <w:numPr>
          <w:ilvl w:val="0"/>
          <w:numId w:val="39"/>
        </w:numPr>
        <w:rPr>
          <w:rFonts w:hint="eastAsia" w:hAnsi="宋体"/>
        </w:rPr>
      </w:pPr>
      <w:r>
        <w:rPr>
          <w:rFonts w:hint="eastAsia" w:hAnsi="宋体"/>
        </w:rPr>
        <w:t>制造商名称、地址及质量问题受理部门联系电话；</w:t>
      </w:r>
    </w:p>
    <w:p w14:paraId="5940159A">
      <w:pPr>
        <w:pStyle w:val="175"/>
        <w:numPr>
          <w:ilvl w:val="0"/>
          <w:numId w:val="39"/>
        </w:numPr>
        <w:rPr>
          <w:rFonts w:hint="eastAsia" w:hAnsi="宋体"/>
        </w:rPr>
      </w:pPr>
      <w:r>
        <w:rPr>
          <w:rFonts w:hint="eastAsia" w:hAnsi="宋体"/>
        </w:rPr>
        <w:t>用户名称及地址。</w:t>
      </w:r>
    </w:p>
    <w:p w14:paraId="0A899C0D">
      <w:pPr>
        <w:pStyle w:val="66"/>
        <w:spacing w:before="120" w:after="120"/>
      </w:pPr>
      <w:bookmarkStart w:id="125" w:name="_Toc5082"/>
      <w:r>
        <w:rPr>
          <w:rFonts w:hint="eastAsia"/>
        </w:rPr>
        <w:t>产品安装使用说明书</w:t>
      </w:r>
      <w:bookmarkEnd w:id="125"/>
    </w:p>
    <w:p w14:paraId="5C344FCD">
      <w:pPr>
        <w:pStyle w:val="57"/>
        <w:spacing w:before="120" w:after="120"/>
        <w:ind w:firstLine="420"/>
      </w:pPr>
      <w:r>
        <w:rPr>
          <w:rFonts w:hint="eastAsia" w:hAnsi="宋体"/>
        </w:rPr>
        <w:t>每批窗出厂或交货时应有产品安装使用说明书，说明书的编制应符合</w:t>
      </w:r>
      <w:r>
        <w:rPr>
          <w:rFonts w:hint="eastAsia" w:hAnsi="宋体"/>
          <w:lang w:val="en-US" w:eastAsia="zh-CN"/>
        </w:rPr>
        <w:t xml:space="preserve"> </w:t>
      </w:r>
      <w:r>
        <w:rPr>
          <w:rFonts w:hint="eastAsia" w:hAnsi="宋体"/>
        </w:rPr>
        <w:t>GB/T 9969 规定。</w:t>
      </w:r>
    </w:p>
    <w:p w14:paraId="5DE64456">
      <w:pPr>
        <w:pStyle w:val="106"/>
        <w:spacing w:before="120" w:after="120"/>
      </w:pPr>
      <w:bookmarkStart w:id="126" w:name="_Toc1147"/>
      <w:r>
        <w:rPr>
          <w:rFonts w:hint="eastAsia"/>
        </w:rPr>
        <w:t>产品二维码标记</w:t>
      </w:r>
      <w:bookmarkEnd w:id="126"/>
    </w:p>
    <w:p w14:paraId="65D8816A">
      <w:pPr>
        <w:pStyle w:val="66"/>
        <w:bidi w:val="0"/>
        <w:ind w:left="0" w:leftChars="0" w:firstLine="0" w:firstLineChars="0"/>
        <w:rPr>
          <w:rFonts w:hint="eastAsia" w:ascii="宋体" w:hAnsi="宋体" w:eastAsia="宋体" w:cs="宋体"/>
        </w:rPr>
      </w:pPr>
      <w:r>
        <w:rPr>
          <w:rFonts w:hint="eastAsia" w:ascii="宋体" w:hAnsi="宋体" w:eastAsia="宋体" w:cs="宋体"/>
        </w:rPr>
        <w:t>产品宜采用二维码对每樘窗进行标识，使用户可通过扫描二维码获取产品标志、产品随行文件等信息。</w:t>
      </w:r>
    </w:p>
    <w:p w14:paraId="3DE9A81C">
      <w:pPr>
        <w:pStyle w:val="66"/>
        <w:bidi w:val="0"/>
        <w:ind w:left="0" w:leftChars="0" w:firstLine="0" w:firstLineChars="0"/>
        <w:rPr>
          <w:rFonts w:hint="eastAsia" w:ascii="宋体" w:hAnsi="宋体" w:eastAsia="宋体" w:cs="宋体"/>
        </w:rPr>
      </w:pPr>
      <w:r>
        <w:rPr>
          <w:rFonts w:hint="eastAsia" w:ascii="宋体" w:hAnsi="宋体" w:eastAsia="宋体" w:cs="宋体"/>
        </w:rPr>
        <w:t>产品在进行二维码标记时应具有永久性，满足产品的质量、安全问题等追溯性要求；</w:t>
      </w:r>
    </w:p>
    <w:p w14:paraId="47E30387">
      <w:pPr>
        <w:pStyle w:val="66"/>
        <w:bidi w:val="0"/>
        <w:ind w:left="0" w:leftChars="0" w:firstLine="0" w:firstLineChars="0"/>
        <w:rPr>
          <w:rFonts w:hint="eastAsia" w:ascii="宋体" w:hAnsi="宋体" w:eastAsia="宋体" w:cs="宋体"/>
        </w:rPr>
      </w:pPr>
      <w:r>
        <w:rPr>
          <w:rFonts w:hint="eastAsia" w:ascii="宋体" w:hAnsi="宋体" w:eastAsia="宋体" w:cs="宋体"/>
        </w:rPr>
        <w:t>二维码的数据结构、信息服务和符号印制质量要求应符合</w:t>
      </w:r>
      <w:r>
        <w:rPr>
          <w:rFonts w:hint="eastAsia" w:ascii="宋体" w:hAnsi="宋体" w:eastAsia="宋体" w:cs="宋体"/>
          <w:lang w:val="en-US" w:eastAsia="zh-CN"/>
        </w:rPr>
        <w:t xml:space="preserve"> </w:t>
      </w:r>
      <w:r>
        <w:rPr>
          <w:rFonts w:hint="eastAsia" w:ascii="宋体" w:hAnsi="宋体" w:eastAsia="宋体" w:cs="宋体"/>
        </w:rPr>
        <w:t>GB/T 33993</w:t>
      </w:r>
      <w:r>
        <w:rPr>
          <w:rFonts w:hint="eastAsia" w:ascii="宋体" w:hAnsi="宋体" w:eastAsia="宋体" w:cs="宋体"/>
          <w:lang w:val="en-US" w:eastAsia="zh-CN"/>
        </w:rPr>
        <w:t xml:space="preserve"> </w:t>
      </w:r>
      <w:r>
        <w:rPr>
          <w:rFonts w:hint="eastAsia" w:ascii="宋体" w:hAnsi="宋体" w:eastAsia="宋体" w:cs="宋体"/>
        </w:rPr>
        <w:t>的规定。</w:t>
      </w:r>
    </w:p>
    <w:p w14:paraId="6B0B2536">
      <w:pPr>
        <w:pStyle w:val="105"/>
        <w:spacing w:before="240" w:after="240"/>
      </w:pPr>
      <w:bookmarkStart w:id="127" w:name="_Toc10924"/>
      <w:bookmarkStart w:id="128" w:name="_Toc30448"/>
      <w:r>
        <w:rPr>
          <w:rFonts w:hint="eastAsia"/>
        </w:rPr>
        <w:t>包装、运输和贮存</w:t>
      </w:r>
      <w:bookmarkEnd w:id="127"/>
      <w:bookmarkEnd w:id="128"/>
    </w:p>
    <w:p w14:paraId="259F7A49">
      <w:pPr>
        <w:pStyle w:val="106"/>
        <w:spacing w:before="120" w:after="120"/>
      </w:pPr>
      <w:bookmarkStart w:id="129" w:name="_Toc5455"/>
      <w:r>
        <w:rPr>
          <w:rFonts w:hint="eastAsia"/>
        </w:rPr>
        <w:t>包装</w:t>
      </w:r>
      <w:bookmarkEnd w:id="129"/>
    </w:p>
    <w:p w14:paraId="72230B1F">
      <w:pPr>
        <w:pStyle w:val="57"/>
        <w:ind w:firstLine="420"/>
      </w:pPr>
      <w:r>
        <w:rPr>
          <w:rFonts w:hint="eastAsia" w:hAnsi="宋体"/>
        </w:rPr>
        <w:t>产品在包装时应满足以下要求：</w:t>
      </w:r>
    </w:p>
    <w:p w14:paraId="456EA4D7">
      <w:pPr>
        <w:pStyle w:val="175"/>
        <w:numPr>
          <w:ilvl w:val="0"/>
          <w:numId w:val="40"/>
        </w:numPr>
        <w:rPr>
          <w:rFonts w:hint="eastAsia" w:hAnsi="宋体"/>
        </w:rPr>
      </w:pPr>
      <w:r>
        <w:rPr>
          <w:rFonts w:hint="eastAsia" w:hAnsi="宋体"/>
        </w:rPr>
        <w:t>应根据窗扇的实际情况，采取合适的无腐蚀作用材料包装；</w:t>
      </w:r>
    </w:p>
    <w:p w14:paraId="40B69A42">
      <w:pPr>
        <w:pStyle w:val="175"/>
        <w:numPr>
          <w:ilvl w:val="0"/>
          <w:numId w:val="40"/>
        </w:numPr>
        <w:rPr>
          <w:rFonts w:hint="eastAsia" w:hAnsi="宋体"/>
        </w:rPr>
      </w:pPr>
      <w:r>
        <w:rPr>
          <w:rFonts w:hint="eastAsia" w:hAnsi="宋体"/>
        </w:rPr>
        <w:t>包装箱应有足够的承载能力，确保正常运输和保管条件下不受损坏；</w:t>
      </w:r>
    </w:p>
    <w:p w14:paraId="38489AC3">
      <w:pPr>
        <w:pStyle w:val="175"/>
        <w:numPr>
          <w:ilvl w:val="0"/>
          <w:numId w:val="40"/>
        </w:numPr>
        <w:rPr>
          <w:rFonts w:hint="eastAsia" w:hAnsi="宋体"/>
        </w:rPr>
      </w:pPr>
      <w:r>
        <w:rPr>
          <w:rFonts w:hint="eastAsia" w:hAnsi="宋体"/>
        </w:rPr>
        <w:t>包装箱内的各类部件，避免发生相互碰撞、窜动；</w:t>
      </w:r>
    </w:p>
    <w:p w14:paraId="5465FAF0">
      <w:pPr>
        <w:pStyle w:val="175"/>
        <w:numPr>
          <w:ilvl w:val="0"/>
          <w:numId w:val="40"/>
        </w:numPr>
        <w:rPr>
          <w:rFonts w:hint="eastAsia" w:hAnsi="宋体"/>
        </w:rPr>
      </w:pPr>
      <w:r>
        <w:rPr>
          <w:rFonts w:hint="eastAsia" w:hAnsi="宋体"/>
        </w:rPr>
        <w:t>包装储运图示标志及使用方法应符合</w:t>
      </w:r>
      <w:r>
        <w:rPr>
          <w:rFonts w:hint="eastAsia" w:hAnsi="宋体"/>
          <w:lang w:val="en-US" w:eastAsia="zh-CN"/>
        </w:rPr>
        <w:t xml:space="preserve"> </w:t>
      </w:r>
      <w:r>
        <w:rPr>
          <w:rFonts w:hint="eastAsia" w:hAnsi="宋体"/>
        </w:rPr>
        <w:t>GB/T 191</w:t>
      </w:r>
      <w:r>
        <w:rPr>
          <w:rFonts w:hint="eastAsia" w:hAnsi="宋体"/>
          <w:lang w:val="en-US" w:eastAsia="zh-CN"/>
        </w:rPr>
        <w:t xml:space="preserve"> </w:t>
      </w:r>
      <w:r>
        <w:rPr>
          <w:rFonts w:hint="eastAsia" w:hAnsi="宋体"/>
        </w:rPr>
        <w:t>的规定。</w:t>
      </w:r>
    </w:p>
    <w:p w14:paraId="6758A9B1">
      <w:pPr>
        <w:pStyle w:val="106"/>
        <w:spacing w:before="120" w:after="120"/>
      </w:pPr>
      <w:bookmarkStart w:id="130" w:name="_Toc11630"/>
      <w:r>
        <w:rPr>
          <w:rFonts w:hint="eastAsia"/>
        </w:rPr>
        <w:t>运输</w:t>
      </w:r>
      <w:bookmarkEnd w:id="130"/>
    </w:p>
    <w:p w14:paraId="4F72E9B4">
      <w:pPr>
        <w:pStyle w:val="57"/>
        <w:ind w:firstLine="420"/>
      </w:pPr>
      <w:r>
        <w:rPr>
          <w:rFonts w:hint="eastAsia" w:hAnsi="宋体"/>
        </w:rPr>
        <w:t>产品在运输时应满足以下要求：</w:t>
      </w:r>
    </w:p>
    <w:p w14:paraId="067C88A5">
      <w:pPr>
        <w:pStyle w:val="175"/>
        <w:numPr>
          <w:ilvl w:val="0"/>
          <w:numId w:val="41"/>
        </w:numPr>
        <w:rPr>
          <w:rFonts w:hint="eastAsia" w:hAnsi="宋体"/>
        </w:rPr>
      </w:pPr>
      <w:r>
        <w:rPr>
          <w:rFonts w:hint="eastAsia" w:hAnsi="宋体"/>
        </w:rPr>
        <w:t>在运输过程中应避免包装箱发生相互碰撞；</w:t>
      </w:r>
    </w:p>
    <w:p w14:paraId="7292C4C8">
      <w:pPr>
        <w:pStyle w:val="175"/>
        <w:numPr>
          <w:ilvl w:val="0"/>
          <w:numId w:val="41"/>
        </w:numPr>
        <w:rPr>
          <w:rFonts w:hint="eastAsia" w:hAnsi="宋体"/>
        </w:rPr>
      </w:pPr>
      <w:r>
        <w:rPr>
          <w:rFonts w:hint="eastAsia" w:hAnsi="宋体"/>
        </w:rPr>
        <w:t>搬运过程中应轻拿轻放，严禁摔、扔、碰击；</w:t>
      </w:r>
    </w:p>
    <w:p w14:paraId="03941842">
      <w:pPr>
        <w:pStyle w:val="175"/>
        <w:numPr>
          <w:ilvl w:val="0"/>
          <w:numId w:val="41"/>
        </w:numPr>
        <w:rPr>
          <w:rFonts w:hint="eastAsia" w:hAnsi="宋体"/>
        </w:rPr>
      </w:pPr>
      <w:r>
        <w:rPr>
          <w:rFonts w:hint="eastAsia" w:hAnsi="宋体"/>
        </w:rPr>
        <w:t>运输工具应有防雨措施，并保持清洁无污染。</w:t>
      </w:r>
    </w:p>
    <w:p w14:paraId="63734928">
      <w:pPr>
        <w:pStyle w:val="106"/>
        <w:spacing w:before="120" w:after="120"/>
      </w:pPr>
      <w:bookmarkStart w:id="131" w:name="_Toc19948"/>
      <w:r>
        <w:rPr>
          <w:rFonts w:hint="eastAsia"/>
        </w:rPr>
        <w:t>贮存</w:t>
      </w:r>
      <w:bookmarkEnd w:id="131"/>
    </w:p>
    <w:p w14:paraId="58CA71AD">
      <w:pPr>
        <w:pStyle w:val="57"/>
        <w:ind w:firstLine="420"/>
      </w:pPr>
      <w:r>
        <w:rPr>
          <w:rFonts w:hint="eastAsia" w:hAnsi="宋体"/>
        </w:rPr>
        <w:t>产品在贮存时应满足以下要求：</w:t>
      </w:r>
    </w:p>
    <w:p w14:paraId="6977D422">
      <w:pPr>
        <w:pStyle w:val="175"/>
        <w:numPr>
          <w:ilvl w:val="0"/>
          <w:numId w:val="42"/>
        </w:numPr>
        <w:rPr>
          <w:rFonts w:hint="eastAsia" w:hAnsi="宋体"/>
        </w:rPr>
      </w:pPr>
      <w:r>
        <w:rPr>
          <w:rFonts w:hint="eastAsia" w:hAnsi="宋体"/>
        </w:rPr>
        <w:t>产品应放置通风、干燥的地方。严禁与酸、碱、盐类物质接触并防止雨水侵入；</w:t>
      </w:r>
    </w:p>
    <w:p w14:paraId="61E2A4D6">
      <w:pPr>
        <w:pStyle w:val="175"/>
        <w:numPr>
          <w:ilvl w:val="0"/>
          <w:numId w:val="42"/>
        </w:numPr>
      </w:pPr>
      <w:r>
        <w:rPr>
          <w:rFonts w:hint="eastAsia" w:hAnsi="宋体"/>
        </w:rPr>
        <w:t>产品严禁与地面直接接触，底部垫高大于100mm</w:t>
      </w:r>
      <w:r>
        <w:rPr>
          <w:rFonts w:hint="eastAsia" w:hAnsi="宋体"/>
          <w:lang w:eastAsia="zh-CN"/>
        </w:rPr>
        <w:t>。</w:t>
      </w:r>
    </w:p>
    <w:p w14:paraId="36B21D0E">
      <w:pPr>
        <w:pStyle w:val="175"/>
        <w:numPr>
          <w:ilvl w:val="0"/>
          <w:numId w:val="42"/>
        </w:numPr>
        <w:jc w:val="left"/>
      </w:pPr>
      <w:r>
        <w:rPr>
          <w:rFonts w:hint="eastAsia" w:ascii="宋体" w:hAnsi="宋体" w:eastAsia="宋体" w:cs="Times New Roman"/>
          <w:sz w:val="21"/>
          <w:lang w:val="en-US" w:eastAsia="zh-CN" w:bidi="ar-SA"/>
        </w:rPr>
        <w:t>产品在放置时应采用非金属垫块进行垫平，产品宜立放且立放角度不小于70°。</w:t>
      </w:r>
      <w:bookmarkStart w:id="132" w:name="BookMark8"/>
    </w:p>
    <w:p w14:paraId="3B1A1274">
      <w:pPr>
        <w:pStyle w:val="175"/>
        <w:numPr>
          <w:ilvl w:val="0"/>
          <w:numId w:val="0"/>
        </w:numPr>
        <w:ind w:left="425" w:leftChars="0"/>
        <w:jc w:val="center"/>
      </w:pPr>
      <w:r>
        <w:drawing>
          <wp:inline distT="0" distB="0" distL="0" distR="0">
            <wp:extent cx="1485900" cy="317500"/>
            <wp:effectExtent l="0" t="0" r="0" b="6350"/>
            <wp:docPr id="6" name="图片 6"/>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23">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132"/>
    </w:p>
    <w:p w14:paraId="06F956D7"/>
    <w:sectPr>
      <w:headerReference r:id="rId15" w:type="default"/>
      <w:footerReference r:id="rId17" w:type="default"/>
      <w:headerReference r:id="rId16" w:type="even"/>
      <w:pgSz w:w="11906" w:h="16838"/>
      <w:pgMar w:top="567" w:right="1134" w:bottom="1134" w:left="1134" w:header="1418" w:footer="1134" w:gutter="284"/>
      <w:pgNumType w:start="1"/>
      <w:cols w:space="425" w:num="1"/>
      <w:formProt w:val="0"/>
      <w:docGrid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Cambria Math">
    <w:panose1 w:val="02040503050406030204"/>
    <w:charset w:val="00"/>
    <w:family w:val="roman"/>
    <w:pitch w:val="default"/>
    <w:sig w:usb0="E00006FF" w:usb1="420024FF" w:usb2="02000000" w:usb3="00000000" w:csb0="2000019F" w:csb1="00000000"/>
  </w:font>
  <w:font w:name="MS Mincho">
    <w:altName w:val="MS UI Gothic"/>
    <w:panose1 w:val="02020609040205080304"/>
    <w:charset w:val="80"/>
    <w:family w:val="modern"/>
    <w:pitch w:val="default"/>
    <w:sig w:usb0="00000000" w:usb1="00000000" w:usb2="08000012" w:usb3="00000000" w:csb0="4002009F" w:csb1="DFD70000"/>
  </w:font>
  <w:font w:name="MS UI Gothic">
    <w:panose1 w:val="020B0600070205080204"/>
    <w:charset w:val="80"/>
    <w:family w:val="auto"/>
    <w:pitch w:val="default"/>
    <w:sig w:usb0="E00002FF" w:usb1="6AC7FDFB" w:usb2="08000012" w:usb3="00000000" w:csb0="4002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D6EDB7">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E449861">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9E307">
    <w:pPr>
      <w:pStyle w:val="5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108096">
    <w:pPr>
      <w:pStyle w:val="52"/>
    </w:pPr>
    <w:r>
      <w:fldChar w:fldCharType="begin"/>
    </w:r>
    <w:r>
      <w:instrText xml:space="preserve">PAGE   \* MERGEFORMAT</w:instrText>
    </w:r>
    <w:r>
      <w:fldChar w:fldCharType="separate"/>
    </w:r>
    <w:r>
      <w:rPr>
        <w:lang w:val="zh-CN"/>
      </w:rPr>
      <w:t>2</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5EA824">
    <w:pPr>
      <w:pStyle w:val="53"/>
    </w:pPr>
    <w:r>
      <w:fldChar w:fldCharType="begin"/>
    </w:r>
    <w:r>
      <w:instrText xml:space="preserve">PAGE   \* MERGEFORMAT</w:instrText>
    </w:r>
    <w:r>
      <w:fldChar w:fldCharType="separate"/>
    </w:r>
    <w:r>
      <w:rPr>
        <w:lang w:val="zh-CN"/>
      </w:rPr>
      <w:t>6</w:t>
    </w:r>
    <w: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79A862">
    <w:pPr>
      <w:pStyle w:val="53"/>
    </w:pPr>
    <w:r>
      <w:fldChar w:fldCharType="begin"/>
    </w:r>
    <w:r>
      <w:instrText xml:space="preserve">PAGE   \* MERGEFORMAT</w:instrText>
    </w:r>
    <w:r>
      <w:fldChar w:fldCharType="separate"/>
    </w:r>
    <w:r>
      <w:rPr>
        <w:lang w:val="zh-CN"/>
      </w:rP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90A3D">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1B5836">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B3350D">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FBB6CE">
    <w:pPr>
      <w:pStyle w:val="62"/>
    </w:pPr>
    <w:r>
      <w:fldChar w:fldCharType="begin"/>
    </w:r>
    <w:r>
      <w:instrText xml:space="preserve"> STYLEREF  标准文件_文件编号  \* MERGEFORMAT </w:instrText>
    </w:r>
    <w:r>
      <w:fldChar w:fldCharType="separate"/>
    </w:r>
    <w:r>
      <w:t>T/CECS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6D298D">
    <w:pPr>
      <w:pStyle w:val="63"/>
    </w:pPr>
    <w:r>
      <w:fldChar w:fldCharType="begin"/>
    </w:r>
    <w:r>
      <w:instrText xml:space="preserve"> STYLEREF  标准文件_文件编号 \* MERGEFORMAT </w:instrText>
    </w:r>
    <w:r>
      <w:fldChar w:fldCharType="separate"/>
    </w:r>
    <w:r>
      <w:t>T/CECS XXXX—XXXX</w:t>
    </w:r>
    <w:r>
      <w:fldChar w:fldCharType="end"/>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CE6CC">
    <w:pPr>
      <w:pStyle w:val="62"/>
    </w:pPr>
    <w:r>
      <w:fldChar w:fldCharType="begin"/>
    </w:r>
    <w:r>
      <w:instrText xml:space="preserve"> STYLEREF  标准文件_文件编号  \* MERGEFORMAT </w:instrText>
    </w:r>
    <w:r>
      <w:fldChar w:fldCharType="separate"/>
    </w:r>
    <w:r>
      <w:t>T/CECS XXXX—XXXX</w:t>
    </w:r>
    <w:r>
      <w:fldChar w:fldCharType="end"/>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56F867">
    <w:pPr>
      <w:pStyle w:val="19"/>
      <w:jc w:val="right"/>
    </w:pPr>
    <w:r>
      <w:fldChar w:fldCharType="begin"/>
    </w:r>
    <w:r>
      <w:instrText xml:space="preserve"> STYLEREF  标准文件_文件编号  \* MERGEFORMAT </w:instrText>
    </w:r>
    <w:r>
      <w:fldChar w:fldCharType="separate"/>
    </w:r>
    <w:r>
      <w:t>T/CECS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D058FF"/>
    <w:multiLevelType w:val="multilevel"/>
    <w:tmpl w:val="90D058FF"/>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1">
    <w:nsid w:val="B1BAD9AB"/>
    <w:multiLevelType w:val="multilevel"/>
    <w:tmpl w:val="B1BAD9AB"/>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2">
    <w:nsid w:val="02837933"/>
    <w:multiLevelType w:val="multilevel"/>
    <w:tmpl w:val="02837933"/>
    <w:lvl w:ilvl="0" w:tentative="0">
      <w:start w:val="1"/>
      <w:numFmt w:val="decimal"/>
      <w:pStyle w:val="65"/>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3">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0"/>
      <w:suff w:val="nothing"/>
      <w:lvlText w:val="%1%2.%3　"/>
      <w:lvlJc w:val="left"/>
      <w:pPr>
        <w:ind w:left="0" w:firstLine="0"/>
      </w:pPr>
    </w:lvl>
    <w:lvl w:ilvl="3" w:tentative="0">
      <w:start w:val="1"/>
      <w:numFmt w:val="decimal"/>
      <w:pStyle w:val="119"/>
      <w:suff w:val="nothing"/>
      <w:lvlText w:val="%1%2.%3.%4　"/>
      <w:lvlJc w:val="left"/>
      <w:pPr>
        <w:ind w:left="0" w:firstLine="0"/>
      </w:pPr>
    </w:lvl>
    <w:lvl w:ilvl="4" w:tentative="0">
      <w:start w:val="1"/>
      <w:numFmt w:val="decimal"/>
      <w:pStyle w:val="154"/>
      <w:suff w:val="nothing"/>
      <w:lvlText w:val="%1%2.%3.%4.%5　"/>
      <w:lvlJc w:val="left"/>
      <w:pPr>
        <w:ind w:left="0" w:firstLine="0"/>
      </w:pPr>
    </w:lvl>
    <w:lvl w:ilvl="5" w:tentative="0">
      <w:start w:val="1"/>
      <w:numFmt w:val="decimal"/>
      <w:pStyle w:val="156"/>
      <w:suff w:val="nothing"/>
      <w:lvlText w:val="%1%2.%3.%4.%5.%6　"/>
      <w:lvlJc w:val="left"/>
      <w:pPr>
        <w:ind w:left="0" w:firstLine="0"/>
      </w:pPr>
    </w:lvl>
    <w:lvl w:ilvl="6" w:tentative="0">
      <w:start w:val="1"/>
      <w:numFmt w:val="decimal"/>
      <w:pStyle w:val="159"/>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4">
    <w:nsid w:val="079102AD"/>
    <w:multiLevelType w:val="multilevel"/>
    <w:tmpl w:val="079102AD"/>
    <w:lvl w:ilvl="0" w:tentative="0">
      <w:start w:val="1"/>
      <w:numFmt w:val="decimal"/>
      <w:pStyle w:val="181"/>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5">
    <w:nsid w:val="07ED3FEA"/>
    <w:multiLevelType w:val="multilevel"/>
    <w:tmpl w:val="07ED3FEA"/>
    <w:lvl w:ilvl="0" w:tentative="0">
      <w:start w:val="1"/>
      <w:numFmt w:val="none"/>
      <w:pStyle w:val="90"/>
      <w:lvlText w:val="%1"/>
      <w:lvlJc w:val="left"/>
      <w:pPr>
        <w:ind w:left="425" w:hanging="425"/>
      </w:pPr>
      <w:rPr>
        <w:rFonts w:hint="eastAsia"/>
      </w:rPr>
    </w:lvl>
    <w:lvl w:ilvl="1" w:tentative="0">
      <w:start w:val="1"/>
      <w:numFmt w:val="decimal"/>
      <w:pStyle w:val="201"/>
      <w:suff w:val="nothing"/>
      <w:lvlText w:val="%10.%2 "/>
      <w:lvlJc w:val="left"/>
      <w:pPr>
        <w:ind w:left="0" w:firstLine="0"/>
      </w:pPr>
      <w:rPr>
        <w:rFonts w:hint="eastAsia" w:ascii="黑体" w:eastAsia="黑体" w:hAnsiTheme="minorHAnsi"/>
        <w:b w:val="0"/>
        <w:i w:val="0"/>
        <w:sz w:val="21"/>
      </w:rPr>
    </w:lvl>
    <w:lvl w:ilvl="2" w:tentative="0">
      <w:start w:val="1"/>
      <w:numFmt w:val="decimal"/>
      <w:pStyle w:val="202"/>
      <w:suff w:val="nothing"/>
      <w:lvlText w:val="%10.%2.%3 "/>
      <w:lvlJc w:val="left"/>
      <w:pPr>
        <w:ind w:left="0" w:firstLine="0"/>
      </w:pPr>
      <w:rPr>
        <w:rFonts w:hint="eastAsia" w:ascii="黑体" w:eastAsia="黑体" w:hAnsiTheme="minorHAnsi"/>
        <w:b w:val="0"/>
        <w:i w:val="0"/>
        <w:sz w:val="21"/>
      </w:rPr>
    </w:lvl>
    <w:lvl w:ilvl="3" w:tentative="0">
      <w:start w:val="1"/>
      <w:numFmt w:val="decimal"/>
      <w:pStyle w:val="203"/>
      <w:suff w:val="nothing"/>
      <w:lvlText w:val="%10.%2.%3.%4 "/>
      <w:lvlJc w:val="left"/>
      <w:pPr>
        <w:ind w:left="0" w:firstLine="0"/>
      </w:pPr>
      <w:rPr>
        <w:rFonts w:hint="eastAsia" w:ascii="黑体" w:eastAsia="黑体" w:hAnsiTheme="minorHAnsi"/>
        <w:b w:val="0"/>
        <w:i w:val="0"/>
        <w:sz w:val="21"/>
      </w:rPr>
    </w:lvl>
    <w:lvl w:ilvl="4" w:tentative="0">
      <w:start w:val="1"/>
      <w:numFmt w:val="decimal"/>
      <w:pStyle w:val="204"/>
      <w:suff w:val="nothing"/>
      <w:lvlText w:val="%10.%2.%3.%4.%5 "/>
      <w:lvlJc w:val="left"/>
      <w:pPr>
        <w:ind w:left="0" w:firstLine="0"/>
      </w:pPr>
      <w:rPr>
        <w:rFonts w:hint="eastAsia" w:ascii="黑体" w:eastAsia="黑体" w:hAnsiTheme="minorHAnsi"/>
        <w:b w:val="0"/>
        <w:i w:val="0"/>
        <w:sz w:val="21"/>
      </w:rPr>
    </w:lvl>
    <w:lvl w:ilvl="5" w:tentative="0">
      <w:start w:val="1"/>
      <w:numFmt w:val="decimal"/>
      <w:pStyle w:val="205"/>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6">
    <w:nsid w:val="0AE367E9"/>
    <w:multiLevelType w:val="multilevel"/>
    <w:tmpl w:val="0AE367E9"/>
    <w:lvl w:ilvl="0" w:tentative="0">
      <w:start w:val="1"/>
      <w:numFmt w:val="none"/>
      <w:pStyle w:val="182"/>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7">
    <w:nsid w:val="0BDC1670"/>
    <w:multiLevelType w:val="multilevel"/>
    <w:tmpl w:val="0BDC1670"/>
    <w:lvl w:ilvl="0" w:tentative="0">
      <w:start w:val="1"/>
      <w:numFmt w:val="decimal"/>
      <w:pStyle w:val="68"/>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0D051F45"/>
    <w:multiLevelType w:val="multilevel"/>
    <w:tmpl w:val="0D051F45"/>
    <w:lvl w:ilvl="0" w:tentative="0">
      <w:start w:val="1"/>
      <w:numFmt w:val="low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9">
    <w:nsid w:val="1AD20F90"/>
    <w:multiLevelType w:val="multilevel"/>
    <w:tmpl w:val="1AD20F90"/>
    <w:lvl w:ilvl="0" w:tentative="0">
      <w:start w:val="1"/>
      <w:numFmt w:val="none"/>
      <w:pStyle w:val="111"/>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1AF15012"/>
    <w:multiLevelType w:val="multilevel"/>
    <w:tmpl w:val="1AF15012"/>
    <w:lvl w:ilvl="0" w:tentative="0">
      <w:start w:val="1"/>
      <w:numFmt w:val="upperLetter"/>
      <w:pStyle w:val="86"/>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1">
    <w:nsid w:val="1EAA1992"/>
    <w:multiLevelType w:val="multilevel"/>
    <w:tmpl w:val="1EAA1992"/>
    <w:lvl w:ilvl="0" w:tentative="0">
      <w:start w:val="1"/>
      <w:numFmt w:val="none"/>
      <w:pStyle w:val="93"/>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2">
    <w:nsid w:val="23B70F44"/>
    <w:multiLevelType w:val="multilevel"/>
    <w:tmpl w:val="23B70F44"/>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13">
    <w:nsid w:val="2979C7AF"/>
    <w:multiLevelType w:val="multilevel"/>
    <w:tmpl w:val="2979C7AF"/>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14">
    <w:nsid w:val="2C5917C3"/>
    <w:multiLevelType w:val="multilevel"/>
    <w:tmpl w:val="2C5917C3"/>
    <w:lvl w:ilvl="0" w:tentative="0">
      <w:start w:val="1"/>
      <w:numFmt w:val="none"/>
      <w:pStyle w:val="133"/>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8"/>
      <w:lvlText w:val=""/>
      <w:lvlJc w:val="left"/>
      <w:pPr>
        <w:ind w:left="851" w:hanging="431"/>
      </w:pPr>
      <w:rPr>
        <w:rFonts w:hint="default" w:ascii="Symbol" w:hAnsi="Symbol"/>
        <w:sz w:val="21"/>
      </w:rPr>
    </w:lvl>
    <w:lvl w:ilvl="2" w:tentative="0">
      <w:start w:val="1"/>
      <w:numFmt w:val="bullet"/>
      <w:pStyle w:val="173"/>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5">
    <w:nsid w:val="2DDB2871"/>
    <w:multiLevelType w:val="multilevel"/>
    <w:tmpl w:val="2DDB2871"/>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16">
    <w:nsid w:val="30030C9F"/>
    <w:multiLevelType w:val="multilevel"/>
    <w:tmpl w:val="30030C9F"/>
    <w:lvl w:ilvl="0" w:tentative="0">
      <w:start w:val="1"/>
      <w:numFmt w:val="none"/>
      <w:lvlText w:val="%1注："/>
      <w:lvlJc w:val="left"/>
      <w:pPr>
        <w:ind w:left="737" w:hanging="374"/>
      </w:pPr>
      <w:rPr>
        <w:rFonts w:hint="eastAsia" w:ascii="黑体" w:hAnsi="黑体" w:eastAsia="黑体"/>
        <w:b w:val="0"/>
        <w:i w:val="0"/>
        <w:sz w:val="18"/>
        <w:szCs w:val="18"/>
      </w:rPr>
    </w:lvl>
    <w:lvl w:ilvl="1" w:tentative="0">
      <w:start w:val="1"/>
      <w:numFmt w:val="lowerLetter"/>
      <w:lvlText w:val="%2)"/>
      <w:lvlJc w:val="left"/>
      <w:pPr>
        <w:tabs>
          <w:tab w:val="left" w:pos="1140"/>
        </w:tabs>
        <w:ind w:left="726" w:hanging="363"/>
      </w:pPr>
      <w:rPr>
        <w:rFonts w:hint="eastAsia" w:ascii="宋体" w:hAnsi="宋体" w:eastAsia="宋体"/>
      </w:rPr>
    </w:lvl>
    <w:lvl w:ilvl="2" w:tentative="0">
      <w:start w:val="1"/>
      <w:numFmt w:val="lowerRoman"/>
      <w:lvlText w:val="%3."/>
      <w:lvlJc w:val="right"/>
      <w:pPr>
        <w:tabs>
          <w:tab w:val="left" w:pos="1140"/>
        </w:tabs>
        <w:ind w:left="726" w:hanging="363"/>
      </w:pPr>
      <w:rPr>
        <w:rFonts w:hint="eastAsia" w:ascii="宋体" w:hAnsi="宋体" w:eastAsia="宋体"/>
      </w:rPr>
    </w:lvl>
    <w:lvl w:ilvl="3" w:tentative="0">
      <w:start w:val="1"/>
      <w:numFmt w:val="decimal"/>
      <w:lvlText w:val="%4."/>
      <w:lvlJc w:val="left"/>
      <w:pPr>
        <w:tabs>
          <w:tab w:val="left" w:pos="1140"/>
        </w:tabs>
        <w:ind w:left="726" w:hanging="363"/>
      </w:pPr>
      <w:rPr>
        <w:rFonts w:hint="eastAsia" w:ascii="宋体" w:hAnsi="宋体" w:eastAsia="宋体"/>
      </w:rPr>
    </w:lvl>
    <w:lvl w:ilvl="4" w:tentative="0">
      <w:start w:val="1"/>
      <w:numFmt w:val="lowerLetter"/>
      <w:lvlText w:val="%5)"/>
      <w:lvlJc w:val="left"/>
      <w:pPr>
        <w:tabs>
          <w:tab w:val="left" w:pos="1140"/>
        </w:tabs>
        <w:ind w:left="726" w:hanging="363"/>
      </w:pPr>
      <w:rPr>
        <w:rFonts w:hint="eastAsia" w:ascii="宋体" w:hAnsi="宋体" w:eastAsia="宋体"/>
      </w:rPr>
    </w:lvl>
    <w:lvl w:ilvl="5" w:tentative="0">
      <w:start w:val="1"/>
      <w:numFmt w:val="lowerRoman"/>
      <w:lvlText w:val="%6."/>
      <w:lvlJc w:val="right"/>
      <w:pPr>
        <w:tabs>
          <w:tab w:val="left" w:pos="1140"/>
        </w:tabs>
        <w:ind w:left="726" w:hanging="363"/>
      </w:pPr>
      <w:rPr>
        <w:rFonts w:hint="eastAsia" w:ascii="宋体" w:hAnsi="宋体" w:eastAsia="宋体"/>
      </w:rPr>
    </w:lvl>
    <w:lvl w:ilvl="6" w:tentative="0">
      <w:start w:val="1"/>
      <w:numFmt w:val="decimal"/>
      <w:lvlText w:val="%7."/>
      <w:lvlJc w:val="left"/>
      <w:pPr>
        <w:tabs>
          <w:tab w:val="left" w:pos="1140"/>
        </w:tabs>
        <w:ind w:left="726" w:hanging="363"/>
      </w:pPr>
      <w:rPr>
        <w:rFonts w:hint="eastAsia" w:ascii="宋体" w:hAnsi="宋体" w:eastAsia="宋体"/>
      </w:rPr>
    </w:lvl>
    <w:lvl w:ilvl="7" w:tentative="0">
      <w:start w:val="1"/>
      <w:numFmt w:val="lowerLetter"/>
      <w:lvlText w:val="%8)"/>
      <w:lvlJc w:val="left"/>
      <w:pPr>
        <w:tabs>
          <w:tab w:val="left" w:pos="1140"/>
        </w:tabs>
        <w:ind w:left="726" w:hanging="363"/>
      </w:pPr>
      <w:rPr>
        <w:rFonts w:hint="eastAsia" w:ascii="宋体" w:hAnsi="宋体" w:eastAsia="宋体"/>
      </w:rPr>
    </w:lvl>
    <w:lvl w:ilvl="8" w:tentative="0">
      <w:start w:val="1"/>
      <w:numFmt w:val="lowerRoman"/>
      <w:lvlText w:val="%9."/>
      <w:lvlJc w:val="right"/>
      <w:pPr>
        <w:tabs>
          <w:tab w:val="left" w:pos="1140"/>
        </w:tabs>
        <w:ind w:left="726" w:hanging="363"/>
      </w:pPr>
      <w:rPr>
        <w:rFonts w:hint="eastAsia" w:ascii="宋体" w:hAnsi="宋体" w:eastAsia="宋体"/>
      </w:rPr>
    </w:lvl>
  </w:abstractNum>
  <w:abstractNum w:abstractNumId="17">
    <w:nsid w:val="32F04FB2"/>
    <w:multiLevelType w:val="multilevel"/>
    <w:tmpl w:val="32F04FB2"/>
    <w:lvl w:ilvl="0" w:tentative="0">
      <w:start w:val="1"/>
      <w:numFmt w:val="lowerLetter"/>
      <w:pStyle w:val="102"/>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8">
    <w:nsid w:val="33311450"/>
    <w:multiLevelType w:val="multilevel"/>
    <w:tmpl w:val="33311450"/>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19">
    <w:nsid w:val="3ECA5284"/>
    <w:multiLevelType w:val="multilevel"/>
    <w:tmpl w:val="3ECA5284"/>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20">
    <w:nsid w:val="44C50F90"/>
    <w:multiLevelType w:val="multilevel"/>
    <w:tmpl w:val="44C50F90"/>
    <w:lvl w:ilvl="0" w:tentative="0">
      <w:start w:val="1"/>
      <w:numFmt w:val="lowerLetter"/>
      <w:pStyle w:val="175"/>
      <w:lvlText w:val="%1)"/>
      <w:lvlJc w:val="left"/>
      <w:pPr>
        <w:tabs>
          <w:tab w:val="left" w:pos="851"/>
        </w:tabs>
        <w:ind w:left="851" w:hanging="426"/>
      </w:pPr>
      <w:rPr>
        <w:rFonts w:hint="eastAsia" w:ascii="宋体" w:hAnsi="Times New Roman" w:eastAsia="宋体"/>
        <w:sz w:val="21"/>
      </w:rPr>
    </w:lvl>
    <w:lvl w:ilvl="1" w:tentative="0">
      <w:start w:val="1"/>
      <w:numFmt w:val="decimal"/>
      <w:pStyle w:val="110"/>
      <w:lvlText w:val="%2)"/>
      <w:lvlJc w:val="left"/>
      <w:pPr>
        <w:tabs>
          <w:tab w:val="left" w:pos="1276"/>
        </w:tabs>
        <w:ind w:left="1276" w:hanging="425"/>
      </w:pPr>
      <w:rPr>
        <w:rFonts w:hint="eastAsia" w:ascii="宋体" w:hAnsi="Times New Roman" w:eastAsia="宋体"/>
        <w:sz w:val="21"/>
      </w:rPr>
    </w:lvl>
    <w:lvl w:ilvl="2" w:tentative="0">
      <w:start w:val="1"/>
      <w:numFmt w:val="decimal"/>
      <w:pStyle w:val="118"/>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21">
    <w:nsid w:val="48802D1C"/>
    <w:multiLevelType w:val="multilevel"/>
    <w:tmpl w:val="48802D1C"/>
    <w:lvl w:ilvl="0" w:tentative="0">
      <w:start w:val="1"/>
      <w:numFmt w:val="upperLetter"/>
      <w:pStyle w:val="199"/>
      <w:lvlText w:val="%1"/>
      <w:lvlJc w:val="left"/>
      <w:pPr>
        <w:ind w:left="420" w:hanging="420"/>
      </w:pPr>
      <w:rPr>
        <w:rFonts w:hint="eastAsia"/>
      </w:rPr>
    </w:lvl>
    <w:lvl w:ilvl="1" w:tentative="0">
      <w:start w:val="1"/>
      <w:numFmt w:val="decimal"/>
      <w:pStyle w:val="84"/>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2">
    <w:nsid w:val="4B733A5F"/>
    <w:multiLevelType w:val="multilevel"/>
    <w:tmpl w:val="4B733A5F"/>
    <w:lvl w:ilvl="0" w:tentative="0">
      <w:start w:val="1"/>
      <w:numFmt w:val="decimal"/>
      <w:pStyle w:val="184"/>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23">
    <w:nsid w:val="4BEFC61A"/>
    <w:multiLevelType w:val="multilevel"/>
    <w:tmpl w:val="4BEFC61A"/>
    <w:lvl w:ilvl="0" w:tentative="0">
      <w:start w:val="1"/>
      <w:numFmt w:val="lowerLetter"/>
      <w:lvlText w:val="%1)"/>
      <w:lvlJc w:val="left"/>
      <w:pPr>
        <w:tabs>
          <w:tab w:val="left" w:pos="851"/>
        </w:tabs>
        <w:ind w:left="851" w:hanging="426"/>
      </w:pPr>
      <w:rPr>
        <w:rFonts w:hint="eastAsia" w:ascii="宋体" w:hAnsi="Times New Roman" w:eastAsia="宋体"/>
        <w:sz w:val="21"/>
        <w:szCs w:val="21"/>
      </w:rPr>
    </w:lvl>
    <w:lvl w:ilvl="1" w:tentative="0">
      <w:start w:val="1"/>
      <w:numFmt w:val="decimal"/>
      <w:lvlText w:val="%2)"/>
      <w:lvlJc w:val="left"/>
      <w:pPr>
        <w:tabs>
          <w:tab w:val="left" w:pos="1276"/>
        </w:tabs>
        <w:ind w:left="1276" w:hanging="425"/>
      </w:pPr>
      <w:rPr>
        <w:rFonts w:hint="eastAsia" w:ascii="宋体" w:hAnsi="Times New Roman" w:eastAsia="宋体"/>
        <w:sz w:val="21"/>
        <w:szCs w:val="21"/>
      </w:rPr>
    </w:lvl>
    <w:lvl w:ilvl="2" w:tentative="0">
      <w:start w:val="1"/>
      <w:numFmt w:val="decimal"/>
      <w:lvlText w:val="(%3)"/>
      <w:lvlJc w:val="left"/>
      <w:pPr>
        <w:ind w:left="1701" w:hanging="425"/>
      </w:pPr>
      <w:rPr>
        <w:rFonts w:hint="eastAsia" w:ascii="宋体" w:hAnsi="Times New Roman" w:eastAsia="宋体"/>
        <w:sz w:val="21"/>
        <w:szCs w:val="21"/>
      </w:rPr>
    </w:lvl>
    <w:lvl w:ilvl="3" w:tentative="0">
      <w:start w:val="1"/>
      <w:numFmt w:val="decimal"/>
      <w:lvlText w:val="%4."/>
      <w:lvlJc w:val="left"/>
      <w:pPr>
        <w:tabs>
          <w:tab w:val="left" w:pos="2100"/>
        </w:tabs>
        <w:ind w:left="2099" w:hanging="419"/>
      </w:pPr>
      <w:rPr>
        <w:rFonts w:hint="eastAsia" w:ascii="宋体" w:hAnsi="宋体" w:eastAsia="宋体"/>
      </w:rPr>
    </w:lvl>
    <w:lvl w:ilvl="4" w:tentative="0">
      <w:start w:val="1"/>
      <w:numFmt w:val="lowerLetter"/>
      <w:lvlText w:val="%5)"/>
      <w:lvlJc w:val="left"/>
      <w:pPr>
        <w:tabs>
          <w:tab w:val="left" w:pos="2520"/>
        </w:tabs>
        <w:ind w:left="2519" w:hanging="419"/>
      </w:pPr>
      <w:rPr>
        <w:rFonts w:hint="eastAsia" w:ascii="宋体" w:hAnsi="宋体" w:eastAsia="宋体"/>
      </w:rPr>
    </w:lvl>
    <w:lvl w:ilvl="5" w:tentative="0">
      <w:start w:val="1"/>
      <w:numFmt w:val="lowerRoman"/>
      <w:lvlText w:val="%6."/>
      <w:lvlJc w:val="right"/>
      <w:pPr>
        <w:tabs>
          <w:tab w:val="left" w:pos="2940"/>
        </w:tabs>
        <w:ind w:left="2939" w:hanging="419"/>
      </w:pPr>
      <w:rPr>
        <w:rFonts w:hint="eastAsia" w:ascii="宋体" w:hAnsi="宋体" w:eastAsia="宋体"/>
      </w:rPr>
    </w:lvl>
    <w:lvl w:ilvl="6" w:tentative="0">
      <w:start w:val="1"/>
      <w:numFmt w:val="decimal"/>
      <w:lvlText w:val="%7."/>
      <w:lvlJc w:val="left"/>
      <w:pPr>
        <w:tabs>
          <w:tab w:val="left" w:pos="3360"/>
        </w:tabs>
        <w:ind w:left="3359" w:hanging="419"/>
      </w:pPr>
      <w:rPr>
        <w:rFonts w:hint="eastAsia" w:ascii="宋体" w:hAnsi="宋体" w:eastAsia="宋体"/>
      </w:rPr>
    </w:lvl>
    <w:lvl w:ilvl="7" w:tentative="0">
      <w:start w:val="1"/>
      <w:numFmt w:val="lowerLetter"/>
      <w:lvlText w:val="%8)"/>
      <w:lvlJc w:val="left"/>
      <w:pPr>
        <w:tabs>
          <w:tab w:val="left" w:pos="3780"/>
        </w:tabs>
        <w:ind w:left="3779" w:hanging="419"/>
      </w:pPr>
      <w:rPr>
        <w:rFonts w:hint="eastAsia" w:ascii="宋体" w:hAnsi="宋体" w:eastAsia="宋体"/>
      </w:rPr>
    </w:lvl>
    <w:lvl w:ilvl="8" w:tentative="0">
      <w:start w:val="1"/>
      <w:numFmt w:val="lowerRoman"/>
      <w:lvlText w:val="%9."/>
      <w:lvlJc w:val="right"/>
      <w:pPr>
        <w:tabs>
          <w:tab w:val="left" w:pos="4200"/>
        </w:tabs>
        <w:ind w:left="4199" w:hanging="419"/>
      </w:pPr>
      <w:rPr>
        <w:rFonts w:hint="eastAsia" w:ascii="宋体" w:hAnsi="宋体" w:eastAsia="宋体"/>
      </w:rPr>
    </w:lvl>
  </w:abstractNum>
  <w:abstractNum w:abstractNumId="24">
    <w:nsid w:val="4E5D0534"/>
    <w:multiLevelType w:val="multilevel"/>
    <w:tmpl w:val="4E5D0534"/>
    <w:lvl w:ilvl="0" w:tentative="0">
      <w:start w:val="1"/>
      <w:numFmt w:val="decimal"/>
      <w:pStyle w:val="117"/>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5">
    <w:nsid w:val="54632751"/>
    <w:multiLevelType w:val="multilevel"/>
    <w:tmpl w:val="54632751"/>
    <w:lvl w:ilvl="0" w:tentative="0">
      <w:start w:val="1"/>
      <w:numFmt w:val="none"/>
      <w:pStyle w:val="94"/>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26">
    <w:nsid w:val="557C2AF5"/>
    <w:multiLevelType w:val="multilevel"/>
    <w:tmpl w:val="557C2AF5"/>
    <w:lvl w:ilvl="0" w:tentative="0">
      <w:start w:val="1"/>
      <w:numFmt w:val="decimal"/>
      <w:pStyle w:val="115"/>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27">
    <w:nsid w:val="5603797C"/>
    <w:multiLevelType w:val="multilevel"/>
    <w:tmpl w:val="5603797C"/>
    <w:lvl w:ilvl="0" w:tentative="0">
      <w:start w:val="1"/>
      <w:numFmt w:val="upperLetter"/>
      <w:pStyle w:val="200"/>
      <w:suff w:val="space"/>
      <w:lvlText w:val="%1"/>
      <w:lvlJc w:val="left"/>
      <w:pPr>
        <w:ind w:left="425" w:hanging="425"/>
      </w:pPr>
      <w:rPr>
        <w:rFonts w:hint="eastAsia"/>
      </w:rPr>
    </w:lvl>
    <w:lvl w:ilvl="1" w:tentative="0">
      <w:start w:val="1"/>
      <w:numFmt w:val="decimal"/>
      <w:pStyle w:val="78"/>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8">
    <w:nsid w:val="564D2089"/>
    <w:multiLevelType w:val="multilevel"/>
    <w:tmpl w:val="564D2089"/>
    <w:lvl w:ilvl="0" w:tentative="0">
      <w:start w:val="1"/>
      <w:numFmt w:val="none"/>
      <w:pStyle w:val="112"/>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644622F9"/>
    <w:multiLevelType w:val="multilevel"/>
    <w:tmpl w:val="644622F9"/>
    <w:lvl w:ilvl="0" w:tentative="0">
      <w:start w:val="1"/>
      <w:numFmt w:val="upperRoman"/>
      <w:pStyle w:val="169"/>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30">
    <w:nsid w:val="646260FA"/>
    <w:multiLevelType w:val="multilevel"/>
    <w:tmpl w:val="646260FA"/>
    <w:lvl w:ilvl="0" w:tentative="0">
      <w:start w:val="1"/>
      <w:numFmt w:val="decimal"/>
      <w:pStyle w:val="113"/>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31">
    <w:nsid w:val="654A26C9"/>
    <w:multiLevelType w:val="multilevel"/>
    <w:tmpl w:val="654A26C9"/>
    <w:lvl w:ilvl="0" w:tentative="0">
      <w:start w:val="1"/>
      <w:numFmt w:val="none"/>
      <w:pStyle w:val="190"/>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32">
    <w:nsid w:val="657D3FBC"/>
    <w:multiLevelType w:val="multilevel"/>
    <w:tmpl w:val="657D3FBC"/>
    <w:lvl w:ilvl="0" w:tentative="0">
      <w:start w:val="1"/>
      <w:numFmt w:val="upperLetter"/>
      <w:pStyle w:val="77"/>
      <w:suff w:val="nothing"/>
      <w:lvlText w:val="附录%1"/>
      <w:lvlJc w:val="left"/>
      <w:pPr>
        <w:ind w:left="0" w:firstLine="0"/>
      </w:pPr>
      <w:rPr>
        <w:rFonts w:hint="eastAsia"/>
        <w:spacing w:val="100"/>
      </w:rPr>
    </w:lvl>
    <w:lvl w:ilvl="1" w:tentative="0">
      <w:start w:val="1"/>
      <w:numFmt w:val="decimal"/>
      <w:pStyle w:val="79"/>
      <w:suff w:val="nothing"/>
      <w:lvlText w:val="%1.%2　"/>
      <w:lvlJc w:val="left"/>
      <w:pPr>
        <w:ind w:left="0" w:firstLine="0"/>
      </w:pPr>
      <w:rPr>
        <w:rFonts w:hint="eastAsia" w:ascii="黑体" w:eastAsia="黑体"/>
        <w:b w:val="0"/>
        <w:i w:val="0"/>
        <w:sz w:val="21"/>
      </w:rPr>
    </w:lvl>
    <w:lvl w:ilvl="2" w:tentative="0">
      <w:start w:val="1"/>
      <w:numFmt w:val="decimal"/>
      <w:pStyle w:val="80"/>
      <w:suff w:val="nothing"/>
      <w:lvlText w:val="%1.%2.%3　"/>
      <w:lvlJc w:val="left"/>
      <w:pPr>
        <w:ind w:left="0" w:firstLine="0"/>
      </w:pPr>
      <w:rPr>
        <w:rFonts w:hint="eastAsia" w:ascii="黑体" w:eastAsia="黑体"/>
        <w:b w:val="0"/>
        <w:i w:val="0"/>
        <w:sz w:val="21"/>
      </w:rPr>
    </w:lvl>
    <w:lvl w:ilvl="3" w:tentative="0">
      <w:start w:val="1"/>
      <w:numFmt w:val="decimal"/>
      <w:pStyle w:val="82"/>
      <w:suff w:val="nothing"/>
      <w:lvlText w:val="%1.%2.%3.%4　"/>
      <w:lvlJc w:val="left"/>
      <w:pPr>
        <w:ind w:left="0" w:firstLine="0"/>
      </w:pPr>
      <w:rPr>
        <w:rFonts w:hint="eastAsia" w:ascii="黑体" w:eastAsia="黑体"/>
        <w:b w:val="0"/>
        <w:i w:val="0"/>
        <w:sz w:val="21"/>
      </w:rPr>
    </w:lvl>
    <w:lvl w:ilvl="4" w:tentative="0">
      <w:start w:val="1"/>
      <w:numFmt w:val="decimal"/>
      <w:pStyle w:val="83"/>
      <w:suff w:val="nothing"/>
      <w:lvlText w:val="%1.%2.%3.%4.%5　"/>
      <w:lvlJc w:val="left"/>
      <w:pPr>
        <w:ind w:left="0" w:firstLine="0"/>
      </w:pPr>
      <w:rPr>
        <w:rFonts w:hint="eastAsia" w:ascii="黑体" w:eastAsia="黑体"/>
        <w:b w:val="0"/>
        <w:i w:val="0"/>
        <w:sz w:val="21"/>
      </w:rPr>
    </w:lvl>
    <w:lvl w:ilvl="5" w:tentative="0">
      <w:start w:val="1"/>
      <w:numFmt w:val="decimal"/>
      <w:pStyle w:val="85"/>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33">
    <w:nsid w:val="69506ABF"/>
    <w:multiLevelType w:val="multilevel"/>
    <w:tmpl w:val="69506ABF"/>
    <w:lvl w:ilvl="0" w:tentative="0">
      <w:start w:val="1"/>
      <w:numFmt w:val="bullet"/>
      <w:pStyle w:val="189"/>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34">
    <w:nsid w:val="6CA41985"/>
    <w:multiLevelType w:val="multilevel"/>
    <w:tmpl w:val="6CA41985"/>
    <w:lvl w:ilvl="0" w:tentative="0">
      <w:start w:val="1"/>
      <w:numFmt w:val="decimal"/>
      <w:pStyle w:val="98"/>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5">
    <w:nsid w:val="6CE42AC1"/>
    <w:multiLevelType w:val="multilevel"/>
    <w:tmpl w:val="6CE42AC1"/>
    <w:lvl w:ilvl="0" w:tentative="0">
      <w:start w:val="1"/>
      <w:numFmt w:val="lowerLetter"/>
      <w:pStyle w:val="174"/>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6">
    <w:nsid w:val="6CEA2025"/>
    <w:multiLevelType w:val="multilevel"/>
    <w:tmpl w:val="6CEA2025"/>
    <w:lvl w:ilvl="0" w:tentative="0">
      <w:start w:val="1"/>
      <w:numFmt w:val="none"/>
      <w:pStyle w:val="153"/>
      <w:suff w:val="nothing"/>
      <w:lvlText w:val="%1"/>
      <w:lvlJc w:val="left"/>
      <w:pPr>
        <w:ind w:left="0" w:firstLine="0"/>
      </w:pPr>
      <w:rPr>
        <w:rFonts w:hint="eastAsia"/>
      </w:rPr>
    </w:lvl>
    <w:lvl w:ilvl="1" w:tentative="0">
      <w:start w:val="1"/>
      <w:numFmt w:val="decimal"/>
      <w:pStyle w:val="105"/>
      <w:suff w:val="nothing"/>
      <w:lvlText w:val="%1%2　"/>
      <w:lvlJc w:val="left"/>
      <w:pPr>
        <w:ind w:left="0" w:firstLine="0"/>
      </w:pPr>
      <w:rPr>
        <w:rFonts w:hint="eastAsia" w:ascii="黑体" w:eastAsia="黑体"/>
        <w:b w:val="0"/>
        <w:i w:val="0"/>
        <w:sz w:val="21"/>
      </w:rPr>
    </w:lvl>
    <w:lvl w:ilvl="2" w:tentative="0">
      <w:start w:val="1"/>
      <w:numFmt w:val="decimal"/>
      <w:pStyle w:val="106"/>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pStyle w:val="66"/>
      <w:suff w:val="nothing"/>
      <w:lvlText w:val="%1%2.%3.%4　"/>
      <w:lvlJc w:val="left"/>
      <w:pPr>
        <w:ind w:left="0" w:firstLine="0"/>
      </w:pPr>
      <w:rPr>
        <w:rFonts w:hint="eastAsia" w:ascii="黑体" w:eastAsia="黑体"/>
        <w:b w:val="0"/>
        <w:i w:val="0"/>
        <w:sz w:val="21"/>
      </w:rPr>
    </w:lvl>
    <w:lvl w:ilvl="4" w:tentative="0">
      <w:start w:val="1"/>
      <w:numFmt w:val="decimal"/>
      <w:pStyle w:val="95"/>
      <w:suff w:val="nothing"/>
      <w:lvlText w:val="%1%2.%3.%4.%5　"/>
      <w:lvlJc w:val="left"/>
      <w:pPr>
        <w:ind w:left="0" w:firstLine="0"/>
      </w:pPr>
      <w:rPr>
        <w:rFonts w:hint="eastAsia" w:ascii="黑体" w:eastAsia="黑体"/>
        <w:b w:val="0"/>
        <w:i w:val="0"/>
        <w:sz w:val="21"/>
      </w:rPr>
    </w:lvl>
    <w:lvl w:ilvl="5" w:tentative="0">
      <w:start w:val="1"/>
      <w:numFmt w:val="decimal"/>
      <w:pStyle w:val="99"/>
      <w:suff w:val="nothing"/>
      <w:lvlText w:val="%1%2.%3.%4.%5.%6　"/>
      <w:lvlJc w:val="left"/>
      <w:pPr>
        <w:ind w:left="0" w:firstLine="0"/>
      </w:pPr>
      <w:rPr>
        <w:rFonts w:hint="eastAsia" w:ascii="黑体" w:eastAsia="黑体"/>
        <w:b w:val="0"/>
        <w:i w:val="0"/>
        <w:sz w:val="21"/>
      </w:rPr>
    </w:lvl>
    <w:lvl w:ilvl="6" w:tentative="0">
      <w:start w:val="1"/>
      <w:numFmt w:val="decimal"/>
      <w:pStyle w:val="104"/>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37">
    <w:nsid w:val="6DBF04F4"/>
    <w:multiLevelType w:val="multilevel"/>
    <w:tmpl w:val="6DBF04F4"/>
    <w:lvl w:ilvl="0" w:tentative="0">
      <w:start w:val="1"/>
      <w:numFmt w:val="none"/>
      <w:pStyle w:val="180"/>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38">
    <w:nsid w:val="6DF35F19"/>
    <w:multiLevelType w:val="multilevel"/>
    <w:tmpl w:val="6DF35F19"/>
    <w:lvl w:ilvl="0" w:tentative="0">
      <w:start w:val="1"/>
      <w:numFmt w:val="decimal"/>
      <w:pStyle w:val="116"/>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9">
    <w:nsid w:val="76933334"/>
    <w:multiLevelType w:val="multilevel"/>
    <w:tmpl w:val="76933334"/>
    <w:lvl w:ilvl="0" w:tentative="0">
      <w:start w:val="1"/>
      <w:numFmt w:val="none"/>
      <w:pStyle w:val="140"/>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36"/>
  </w:num>
  <w:num w:numId="3">
    <w:abstractNumId w:val="7"/>
  </w:num>
  <w:num w:numId="4">
    <w:abstractNumId w:val="32"/>
  </w:num>
  <w:num w:numId="5">
    <w:abstractNumId w:val="27"/>
  </w:num>
  <w:num w:numId="6">
    <w:abstractNumId w:val="21"/>
  </w:num>
  <w:num w:numId="7">
    <w:abstractNumId w:val="10"/>
  </w:num>
  <w:num w:numId="8">
    <w:abstractNumId w:val="5"/>
  </w:num>
  <w:num w:numId="9">
    <w:abstractNumId w:val="11"/>
  </w:num>
  <w:num w:numId="10">
    <w:abstractNumId w:val="25"/>
  </w:num>
  <w:num w:numId="11">
    <w:abstractNumId w:val="34"/>
  </w:num>
  <w:num w:numId="12">
    <w:abstractNumId w:val="17"/>
  </w:num>
  <w:num w:numId="13">
    <w:abstractNumId w:val="20"/>
  </w:num>
  <w:num w:numId="14">
    <w:abstractNumId w:val="9"/>
  </w:num>
  <w:num w:numId="15">
    <w:abstractNumId w:val="28"/>
  </w:num>
  <w:num w:numId="16">
    <w:abstractNumId w:val="30"/>
  </w:num>
  <w:num w:numId="17">
    <w:abstractNumId w:val="26"/>
  </w:num>
  <w:num w:numId="18">
    <w:abstractNumId w:val="38"/>
  </w:num>
  <w:num w:numId="19">
    <w:abstractNumId w:val="24"/>
  </w:num>
  <w:num w:numId="20">
    <w:abstractNumId w:val="3"/>
  </w:num>
  <w:num w:numId="21">
    <w:abstractNumId w:val="14"/>
  </w:num>
  <w:num w:numId="22">
    <w:abstractNumId w:val="39"/>
  </w:num>
  <w:num w:numId="23">
    <w:abstractNumId w:val="29"/>
  </w:num>
  <w:num w:numId="24">
    <w:abstractNumId w:val="8"/>
  </w:num>
  <w:num w:numId="25">
    <w:abstractNumId w:val="35"/>
  </w:num>
  <w:num w:numId="26">
    <w:abstractNumId w:val="37"/>
  </w:num>
  <w:num w:numId="27">
    <w:abstractNumId w:val="4"/>
  </w:num>
  <w:num w:numId="28">
    <w:abstractNumId w:val="6"/>
  </w:num>
  <w:num w:numId="29">
    <w:abstractNumId w:val="22"/>
  </w:num>
  <w:num w:numId="30">
    <w:abstractNumId w:val="33"/>
  </w:num>
  <w:num w:numId="31">
    <w:abstractNumId w:val="31"/>
  </w:num>
  <w:num w:numId="3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3"/>
  </w:num>
  <w:num w:numId="38">
    <w:abstractNumId w:val="23"/>
  </w:num>
  <w:num w:numId="39">
    <w:abstractNumId w:val="12"/>
  </w:num>
  <w:num w:numId="40">
    <w:abstractNumId w:val="15"/>
  </w:num>
  <w:num w:numId="41">
    <w:abstractNumId w:val="19"/>
  </w:num>
  <w:num w:numId="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1"/>
  <w:bordersDoNotSurroundHeader w:val="0"/>
  <w:bordersDoNotSurroundFooter w:val="0"/>
  <w:attachedTemplate r:id="rId1"/>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839"/>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1CFC"/>
    <w:rsid w:val="00073C8C"/>
    <w:rsid w:val="0007754B"/>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050"/>
    <w:rsid w:val="000F4AEA"/>
    <w:rsid w:val="000F67E9"/>
    <w:rsid w:val="00104926"/>
    <w:rsid w:val="00113B1E"/>
    <w:rsid w:val="0011711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87A0B"/>
    <w:rsid w:val="00190087"/>
    <w:rsid w:val="001913C4"/>
    <w:rsid w:val="0019348F"/>
    <w:rsid w:val="00193A07"/>
    <w:rsid w:val="00194C95"/>
    <w:rsid w:val="00195C34"/>
    <w:rsid w:val="00196EF5"/>
    <w:rsid w:val="001A1A53"/>
    <w:rsid w:val="001A234A"/>
    <w:rsid w:val="001A4CF3"/>
    <w:rsid w:val="001A6696"/>
    <w:rsid w:val="001B06E8"/>
    <w:rsid w:val="001B71D0"/>
    <w:rsid w:val="001B71EE"/>
    <w:rsid w:val="001C04A8"/>
    <w:rsid w:val="001C0D59"/>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EDD"/>
    <w:rsid w:val="003331E4"/>
    <w:rsid w:val="00336C64"/>
    <w:rsid w:val="00337162"/>
    <w:rsid w:val="0034194F"/>
    <w:rsid w:val="00344605"/>
    <w:rsid w:val="003474AA"/>
    <w:rsid w:val="00350D1D"/>
    <w:rsid w:val="00352C83"/>
    <w:rsid w:val="00352F1A"/>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74EB"/>
    <w:rsid w:val="00397CC5"/>
    <w:rsid w:val="003A1582"/>
    <w:rsid w:val="003A3D9C"/>
    <w:rsid w:val="003A4077"/>
    <w:rsid w:val="003A4AA7"/>
    <w:rsid w:val="003B09AD"/>
    <w:rsid w:val="003B1F18"/>
    <w:rsid w:val="003B5BF0"/>
    <w:rsid w:val="003B60BF"/>
    <w:rsid w:val="003B6BE3"/>
    <w:rsid w:val="003C010C"/>
    <w:rsid w:val="003C0A6C"/>
    <w:rsid w:val="003C14F8"/>
    <w:rsid w:val="003C5A43"/>
    <w:rsid w:val="003D0519"/>
    <w:rsid w:val="003D0FF6"/>
    <w:rsid w:val="003D262C"/>
    <w:rsid w:val="003D6D61"/>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6C90"/>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3A49"/>
    <w:rsid w:val="00596160"/>
    <w:rsid w:val="005966E2"/>
    <w:rsid w:val="00597007"/>
    <w:rsid w:val="005A0966"/>
    <w:rsid w:val="005A11B7"/>
    <w:rsid w:val="005A260B"/>
    <w:rsid w:val="005A4A1B"/>
    <w:rsid w:val="005A7830"/>
    <w:rsid w:val="005A7FCE"/>
    <w:rsid w:val="005B0F3F"/>
    <w:rsid w:val="005B191C"/>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4250"/>
    <w:rsid w:val="005E6812"/>
    <w:rsid w:val="005E7881"/>
    <w:rsid w:val="005E78E0"/>
    <w:rsid w:val="005F0D9C"/>
    <w:rsid w:val="005F284E"/>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A07AA"/>
    <w:rsid w:val="006A25E5"/>
    <w:rsid w:val="006A2B46"/>
    <w:rsid w:val="006A336D"/>
    <w:rsid w:val="006A37B9"/>
    <w:rsid w:val="006B2672"/>
    <w:rsid w:val="006B54BF"/>
    <w:rsid w:val="006B5F44"/>
    <w:rsid w:val="006B5F90"/>
    <w:rsid w:val="006B62E4"/>
    <w:rsid w:val="006C1BBA"/>
    <w:rsid w:val="006C2079"/>
    <w:rsid w:val="006C4F88"/>
    <w:rsid w:val="006C5A62"/>
    <w:rsid w:val="006C5D68"/>
    <w:rsid w:val="006C6976"/>
    <w:rsid w:val="006C6DD0"/>
    <w:rsid w:val="006D04EA"/>
    <w:rsid w:val="006D16C4"/>
    <w:rsid w:val="006D3E96"/>
    <w:rsid w:val="006D4515"/>
    <w:rsid w:val="006D4BB1"/>
    <w:rsid w:val="006D6593"/>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4839"/>
    <w:rsid w:val="008373D3"/>
    <w:rsid w:val="00840617"/>
    <w:rsid w:val="00840F84"/>
    <w:rsid w:val="00842A47"/>
    <w:rsid w:val="00843C13"/>
    <w:rsid w:val="008454F8"/>
    <w:rsid w:val="0085173A"/>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378DD"/>
    <w:rsid w:val="009429D5"/>
    <w:rsid w:val="00942BF1"/>
    <w:rsid w:val="00945180"/>
    <w:rsid w:val="00945428"/>
    <w:rsid w:val="0094607B"/>
    <w:rsid w:val="00953604"/>
    <w:rsid w:val="0095496B"/>
    <w:rsid w:val="009610DC"/>
    <w:rsid w:val="00961490"/>
    <w:rsid w:val="0096381A"/>
    <w:rsid w:val="00965E04"/>
    <w:rsid w:val="009674AD"/>
    <w:rsid w:val="00970CDC"/>
    <w:rsid w:val="00975727"/>
    <w:rsid w:val="00977010"/>
    <w:rsid w:val="00977D02"/>
    <w:rsid w:val="00977FF9"/>
    <w:rsid w:val="009809BB"/>
    <w:rsid w:val="0098364B"/>
    <w:rsid w:val="009911AF"/>
    <w:rsid w:val="00991875"/>
    <w:rsid w:val="00991F92"/>
    <w:rsid w:val="00992985"/>
    <w:rsid w:val="00993889"/>
    <w:rsid w:val="0099551B"/>
    <w:rsid w:val="00996BD2"/>
    <w:rsid w:val="00997BF1"/>
    <w:rsid w:val="009A089C"/>
    <w:rsid w:val="009A118E"/>
    <w:rsid w:val="009A21CD"/>
    <w:rsid w:val="009A278C"/>
    <w:rsid w:val="009A2BC2"/>
    <w:rsid w:val="009A42C1"/>
    <w:rsid w:val="009A5429"/>
    <w:rsid w:val="009A72AD"/>
    <w:rsid w:val="009B09E0"/>
    <w:rsid w:val="009B0BC5"/>
    <w:rsid w:val="009B1247"/>
    <w:rsid w:val="009B6029"/>
    <w:rsid w:val="009B6971"/>
    <w:rsid w:val="009C27F1"/>
    <w:rsid w:val="009C3152"/>
    <w:rsid w:val="009C4CFA"/>
    <w:rsid w:val="009C5070"/>
    <w:rsid w:val="009D112C"/>
    <w:rsid w:val="009D1385"/>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52D7"/>
    <w:rsid w:val="00A963F7"/>
    <w:rsid w:val="00A96AD8"/>
    <w:rsid w:val="00AA052C"/>
    <w:rsid w:val="00AA1E45"/>
    <w:rsid w:val="00AA4286"/>
    <w:rsid w:val="00AA456B"/>
    <w:rsid w:val="00AA57F5"/>
    <w:rsid w:val="00AA672E"/>
    <w:rsid w:val="00AA6EC9"/>
    <w:rsid w:val="00AB611D"/>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2A69"/>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EC5"/>
    <w:rsid w:val="00B47293"/>
    <w:rsid w:val="00B50E50"/>
    <w:rsid w:val="00B52120"/>
    <w:rsid w:val="00B54ABC"/>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55E3"/>
    <w:rsid w:val="00BB59CE"/>
    <w:rsid w:val="00BB5F8F"/>
    <w:rsid w:val="00BB657A"/>
    <w:rsid w:val="00BC1A4E"/>
    <w:rsid w:val="00BC5DC7"/>
    <w:rsid w:val="00BC6B8B"/>
    <w:rsid w:val="00BC73D8"/>
    <w:rsid w:val="00BD128F"/>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4C8D"/>
    <w:rsid w:val="00C25FE2"/>
    <w:rsid w:val="00C26B53"/>
    <w:rsid w:val="00C279B2"/>
    <w:rsid w:val="00C33E50"/>
    <w:rsid w:val="00C34C20"/>
    <w:rsid w:val="00C35A3E"/>
    <w:rsid w:val="00C42130"/>
    <w:rsid w:val="00C423A4"/>
    <w:rsid w:val="00C423E3"/>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52A2"/>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0721"/>
    <w:rsid w:val="00D926D0"/>
    <w:rsid w:val="00D93030"/>
    <w:rsid w:val="00D950E1"/>
    <w:rsid w:val="00D952A6"/>
    <w:rsid w:val="00D97F99"/>
    <w:rsid w:val="00DA1E08"/>
    <w:rsid w:val="00DA24F8"/>
    <w:rsid w:val="00DA28E8"/>
    <w:rsid w:val="00DA38D3"/>
    <w:rsid w:val="00DA3932"/>
    <w:rsid w:val="00DA3AFC"/>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E01138"/>
    <w:rsid w:val="00E02DFB"/>
    <w:rsid w:val="00E030F9"/>
    <w:rsid w:val="00E0311A"/>
    <w:rsid w:val="00E03138"/>
    <w:rsid w:val="00E06404"/>
    <w:rsid w:val="00E11A85"/>
    <w:rsid w:val="00E12495"/>
    <w:rsid w:val="00E15CCD"/>
    <w:rsid w:val="00E202EF"/>
    <w:rsid w:val="00E210B5"/>
    <w:rsid w:val="00E2552F"/>
    <w:rsid w:val="00E30F0D"/>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31C1"/>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E69"/>
    <w:rsid w:val="00EB2086"/>
    <w:rsid w:val="00EB31ED"/>
    <w:rsid w:val="00EB5EDF"/>
    <w:rsid w:val="00EB60FE"/>
    <w:rsid w:val="00EB74DB"/>
    <w:rsid w:val="00EC5359"/>
    <w:rsid w:val="00EC562A"/>
    <w:rsid w:val="00ED067A"/>
    <w:rsid w:val="00ED2B50"/>
    <w:rsid w:val="00EE0350"/>
    <w:rsid w:val="00EE0719"/>
    <w:rsid w:val="00EE0E80"/>
    <w:rsid w:val="00EE2098"/>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16F00"/>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33BA"/>
    <w:rsid w:val="00F84FD0"/>
    <w:rsid w:val="00F859A8"/>
    <w:rsid w:val="00F86D87"/>
    <w:rsid w:val="00F9108B"/>
    <w:rsid w:val="00F91349"/>
    <w:rsid w:val="00F93A8A"/>
    <w:rsid w:val="00F95248"/>
    <w:rsid w:val="00F956A9"/>
    <w:rsid w:val="00F963ED"/>
    <w:rsid w:val="00F966CF"/>
    <w:rsid w:val="00F96CAE"/>
    <w:rsid w:val="00F97C99"/>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30376E3"/>
    <w:rsid w:val="040428E0"/>
    <w:rsid w:val="06BF7DC5"/>
    <w:rsid w:val="08202F3B"/>
    <w:rsid w:val="095E359A"/>
    <w:rsid w:val="09BF1E8A"/>
    <w:rsid w:val="0A434869"/>
    <w:rsid w:val="0AC0410C"/>
    <w:rsid w:val="0B1C57E6"/>
    <w:rsid w:val="0BDF3BD3"/>
    <w:rsid w:val="0D3D1A44"/>
    <w:rsid w:val="0F557F00"/>
    <w:rsid w:val="0FBF4992"/>
    <w:rsid w:val="1624559E"/>
    <w:rsid w:val="1B811E07"/>
    <w:rsid w:val="20446BFF"/>
    <w:rsid w:val="20B66279"/>
    <w:rsid w:val="22414560"/>
    <w:rsid w:val="224A458F"/>
    <w:rsid w:val="22E03145"/>
    <w:rsid w:val="29D05431"/>
    <w:rsid w:val="2DF47AA5"/>
    <w:rsid w:val="30AA122D"/>
    <w:rsid w:val="31490108"/>
    <w:rsid w:val="324F280B"/>
    <w:rsid w:val="358835BF"/>
    <w:rsid w:val="3942343A"/>
    <w:rsid w:val="3A39340F"/>
    <w:rsid w:val="3C2F4ACA"/>
    <w:rsid w:val="3D491BBB"/>
    <w:rsid w:val="3F6A7BC7"/>
    <w:rsid w:val="449D459A"/>
    <w:rsid w:val="45647C5E"/>
    <w:rsid w:val="45B7168C"/>
    <w:rsid w:val="47C54534"/>
    <w:rsid w:val="48CE11C6"/>
    <w:rsid w:val="4B8D7117"/>
    <w:rsid w:val="4C0048C6"/>
    <w:rsid w:val="4E6F0D56"/>
    <w:rsid w:val="4FF676CA"/>
    <w:rsid w:val="5132142E"/>
    <w:rsid w:val="521045FE"/>
    <w:rsid w:val="56BE6B50"/>
    <w:rsid w:val="58507E4A"/>
    <w:rsid w:val="5AE76118"/>
    <w:rsid w:val="5BEF1A2C"/>
    <w:rsid w:val="5E5B4E53"/>
    <w:rsid w:val="5E6A62C0"/>
    <w:rsid w:val="5F5C27FC"/>
    <w:rsid w:val="5F710A87"/>
    <w:rsid w:val="684828EC"/>
    <w:rsid w:val="6F0C6A0D"/>
    <w:rsid w:val="6F7C2E7B"/>
    <w:rsid w:val="72782C83"/>
    <w:rsid w:val="73174A15"/>
    <w:rsid w:val="777B22D3"/>
    <w:rsid w:val="786F3596"/>
    <w:rsid w:val="7A377CD5"/>
    <w:rsid w:val="7E3943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5"/>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6"/>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7"/>
    <w:qFormat/>
    <w:uiPriority w:val="0"/>
    <w:pPr>
      <w:keepNext/>
      <w:keepLines/>
      <w:spacing w:before="260" w:after="260" w:line="416" w:lineRule="auto"/>
      <w:outlineLvl w:val="2"/>
    </w:pPr>
    <w:rPr>
      <w:b/>
      <w:bCs/>
      <w:sz w:val="32"/>
      <w:szCs w:val="32"/>
    </w:rPr>
  </w:style>
  <w:style w:type="paragraph" w:styleId="5">
    <w:name w:val="heading 4"/>
    <w:basedOn w:val="1"/>
    <w:next w:val="1"/>
    <w:link w:val="38"/>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39"/>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0"/>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1"/>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2"/>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3"/>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autoRedefine/>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7"/>
    <w:qFormat/>
    <w:uiPriority w:val="0"/>
    <w:pPr>
      <w:spacing w:after="120"/>
    </w:pPr>
  </w:style>
  <w:style w:type="paragraph" w:styleId="15">
    <w:name w:val="toc 5"/>
    <w:basedOn w:val="1"/>
    <w:next w:val="1"/>
    <w:autoRedefine/>
    <w:unhideWhenUsed/>
    <w:qFormat/>
    <w:uiPriority w:val="39"/>
    <w:pPr>
      <w:ind w:left="839"/>
    </w:pPr>
    <w:rPr>
      <w:rFonts w:ascii="宋体"/>
    </w:rPr>
  </w:style>
  <w:style w:type="paragraph" w:styleId="16">
    <w:name w:val="toc 3"/>
    <w:basedOn w:val="1"/>
    <w:next w:val="1"/>
    <w:autoRedefine/>
    <w:unhideWhenUsed/>
    <w:qFormat/>
    <w:uiPriority w:val="39"/>
    <w:pPr>
      <w:spacing w:line="300" w:lineRule="exact"/>
      <w:ind w:left="420"/>
    </w:pPr>
    <w:rPr>
      <w:rFonts w:ascii="宋体"/>
    </w:rPr>
  </w:style>
  <w:style w:type="paragraph" w:styleId="17">
    <w:name w:val="Balloon Text"/>
    <w:basedOn w:val="1"/>
    <w:link w:val="46"/>
    <w:semiHidden/>
    <w:unhideWhenUsed/>
    <w:qFormat/>
    <w:uiPriority w:val="99"/>
    <w:rPr>
      <w:sz w:val="18"/>
      <w:szCs w:val="18"/>
    </w:rPr>
  </w:style>
  <w:style w:type="paragraph" w:styleId="18">
    <w:name w:val="footer"/>
    <w:basedOn w:val="1"/>
    <w:link w:val="45"/>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4"/>
    <w:qFormat/>
    <w:uiPriority w:val="99"/>
    <w:pPr>
      <w:tabs>
        <w:tab w:val="center" w:pos="4153"/>
        <w:tab w:val="right" w:pos="8306"/>
      </w:tabs>
      <w:adjustRightInd/>
      <w:snapToGrid w:val="0"/>
      <w:jc w:val="center"/>
    </w:pPr>
    <w:rPr>
      <w:sz w:val="18"/>
      <w:szCs w:val="18"/>
    </w:rPr>
  </w:style>
  <w:style w:type="paragraph" w:styleId="20">
    <w:name w:val="toc 1"/>
    <w:basedOn w:val="1"/>
    <w:next w:val="1"/>
    <w:autoRedefine/>
    <w:unhideWhenUsed/>
    <w:qFormat/>
    <w:uiPriority w:val="39"/>
    <w:rPr>
      <w:rFonts w:ascii="宋体"/>
    </w:rPr>
  </w:style>
  <w:style w:type="paragraph" w:styleId="21">
    <w:name w:val="toc 4"/>
    <w:basedOn w:val="1"/>
    <w:next w:val="1"/>
    <w:autoRedefine/>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0"/>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autoRedefine/>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autoRedefine/>
    <w:unhideWhenUsed/>
    <w:qFormat/>
    <w:uiPriority w:val="39"/>
    <w:pPr>
      <w:tabs>
        <w:tab w:val="right" w:leader="dot" w:pos="9344"/>
      </w:tabs>
      <w:spacing w:line="300" w:lineRule="exact"/>
      <w:ind w:left="210"/>
    </w:pPr>
    <w:rPr>
      <w:rFonts w:ascii="宋体"/>
    </w:rPr>
  </w:style>
  <w:style w:type="paragraph" w:styleId="26">
    <w:name w:val="Title"/>
    <w:basedOn w:val="1"/>
    <w:link w:val="49"/>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footnote reference"/>
    <w:semiHidden/>
    <w:qFormat/>
    <w:uiPriority w:val="0"/>
    <w:rPr>
      <w:rFonts w:ascii="宋体" w:hAnsi="宋体" w:eastAsia="宋体" w:cs="Times New Roman"/>
      <w:spacing w:val="0"/>
      <w:sz w:val="18"/>
      <w:vertAlign w:val="superscript"/>
    </w:rPr>
  </w:style>
  <w:style w:type="character" w:customStyle="1" w:styleId="35">
    <w:name w:val="标题 1 Char"/>
    <w:link w:val="2"/>
    <w:qFormat/>
    <w:uiPriority w:val="0"/>
    <w:rPr>
      <w:rFonts w:ascii="Times New Roman" w:hAnsi="Times New Roman" w:eastAsia="宋体" w:cs="Times New Roman"/>
      <w:b/>
      <w:bCs/>
      <w:kern w:val="44"/>
      <w:sz w:val="44"/>
      <w:szCs w:val="44"/>
    </w:rPr>
  </w:style>
  <w:style w:type="character" w:customStyle="1" w:styleId="36">
    <w:name w:val="标题 2 Char"/>
    <w:link w:val="3"/>
    <w:qFormat/>
    <w:uiPriority w:val="0"/>
    <w:rPr>
      <w:rFonts w:ascii="Arial" w:hAnsi="Arial" w:eastAsia="黑体" w:cs="Times New Roman"/>
      <w:b/>
      <w:bCs/>
      <w:sz w:val="32"/>
      <w:szCs w:val="32"/>
    </w:rPr>
  </w:style>
  <w:style w:type="character" w:customStyle="1" w:styleId="37">
    <w:name w:val="标题 3 Char"/>
    <w:link w:val="4"/>
    <w:qFormat/>
    <w:uiPriority w:val="0"/>
    <w:rPr>
      <w:rFonts w:ascii="Times New Roman" w:hAnsi="Times New Roman" w:eastAsia="宋体" w:cs="Times New Roman"/>
      <w:b/>
      <w:bCs/>
      <w:sz w:val="32"/>
      <w:szCs w:val="32"/>
    </w:rPr>
  </w:style>
  <w:style w:type="character" w:customStyle="1" w:styleId="38">
    <w:name w:val="标题 4 Char"/>
    <w:link w:val="5"/>
    <w:qFormat/>
    <w:uiPriority w:val="0"/>
    <w:rPr>
      <w:rFonts w:ascii="Arial" w:hAnsi="Arial" w:eastAsia="黑体" w:cs="Times New Roman"/>
      <w:b/>
      <w:bCs/>
      <w:sz w:val="28"/>
      <w:szCs w:val="28"/>
    </w:rPr>
  </w:style>
  <w:style w:type="character" w:customStyle="1" w:styleId="39">
    <w:name w:val="标题 5 Char"/>
    <w:link w:val="6"/>
    <w:qFormat/>
    <w:uiPriority w:val="0"/>
    <w:rPr>
      <w:rFonts w:ascii="Times New Roman" w:hAnsi="Times New Roman" w:eastAsia="宋体" w:cs="Times New Roman"/>
      <w:b/>
      <w:bCs/>
      <w:sz w:val="28"/>
      <w:szCs w:val="28"/>
    </w:rPr>
  </w:style>
  <w:style w:type="character" w:customStyle="1" w:styleId="40">
    <w:name w:val="标题 6 Char"/>
    <w:link w:val="7"/>
    <w:qFormat/>
    <w:uiPriority w:val="0"/>
    <w:rPr>
      <w:rFonts w:ascii="Arial" w:hAnsi="Arial" w:eastAsia="黑体" w:cs="Times New Roman"/>
      <w:b/>
      <w:bCs/>
      <w:sz w:val="24"/>
      <w:szCs w:val="24"/>
    </w:rPr>
  </w:style>
  <w:style w:type="character" w:customStyle="1" w:styleId="41">
    <w:name w:val="标题 7 Char"/>
    <w:link w:val="8"/>
    <w:qFormat/>
    <w:uiPriority w:val="0"/>
    <w:rPr>
      <w:rFonts w:ascii="Times New Roman" w:hAnsi="Times New Roman" w:eastAsia="宋体" w:cs="Times New Roman"/>
      <w:b/>
      <w:bCs/>
      <w:sz w:val="24"/>
      <w:szCs w:val="24"/>
    </w:rPr>
  </w:style>
  <w:style w:type="character" w:customStyle="1" w:styleId="42">
    <w:name w:val="标题 8 Char"/>
    <w:link w:val="9"/>
    <w:qFormat/>
    <w:uiPriority w:val="0"/>
    <w:rPr>
      <w:rFonts w:ascii="Arial" w:hAnsi="Arial" w:eastAsia="黑体" w:cs="Times New Roman"/>
      <w:sz w:val="24"/>
      <w:szCs w:val="24"/>
    </w:rPr>
  </w:style>
  <w:style w:type="character" w:customStyle="1" w:styleId="43">
    <w:name w:val="标题 9 Char"/>
    <w:link w:val="10"/>
    <w:qFormat/>
    <w:uiPriority w:val="0"/>
    <w:rPr>
      <w:rFonts w:ascii="Arial" w:hAnsi="Arial" w:eastAsia="黑体" w:cs="Times New Roman"/>
      <w:szCs w:val="21"/>
    </w:rPr>
  </w:style>
  <w:style w:type="character" w:customStyle="1" w:styleId="44">
    <w:name w:val="页眉 Char"/>
    <w:link w:val="19"/>
    <w:qFormat/>
    <w:uiPriority w:val="99"/>
    <w:rPr>
      <w:rFonts w:ascii="Times New Roman" w:hAnsi="Times New Roman" w:eastAsia="宋体" w:cs="Times New Roman"/>
      <w:sz w:val="18"/>
      <w:szCs w:val="18"/>
    </w:rPr>
  </w:style>
  <w:style w:type="character" w:customStyle="1" w:styleId="45">
    <w:name w:val="页脚 Char"/>
    <w:link w:val="18"/>
    <w:qFormat/>
    <w:uiPriority w:val="99"/>
    <w:rPr>
      <w:rFonts w:ascii="宋体" w:hAnsi="Times New Roman" w:eastAsia="宋体" w:cs="Times New Roman"/>
      <w:sz w:val="18"/>
      <w:szCs w:val="18"/>
    </w:rPr>
  </w:style>
  <w:style w:type="character" w:customStyle="1" w:styleId="46">
    <w:name w:val="批注框文本 Char"/>
    <w:link w:val="17"/>
    <w:semiHidden/>
    <w:qFormat/>
    <w:uiPriority w:val="99"/>
    <w:rPr>
      <w:sz w:val="18"/>
      <w:szCs w:val="18"/>
    </w:rPr>
  </w:style>
  <w:style w:type="paragraph" w:styleId="47">
    <w:name w:val="Quote"/>
    <w:basedOn w:val="1"/>
    <w:next w:val="1"/>
    <w:link w:val="48"/>
    <w:qFormat/>
    <w:uiPriority w:val="29"/>
    <w:rPr>
      <w:i/>
      <w:iCs/>
      <w:color w:val="000000"/>
    </w:rPr>
  </w:style>
  <w:style w:type="character" w:customStyle="1" w:styleId="48">
    <w:name w:val="引用 Char"/>
    <w:link w:val="47"/>
    <w:qFormat/>
    <w:uiPriority w:val="29"/>
    <w:rPr>
      <w:i/>
      <w:iCs/>
      <w:color w:val="000000"/>
    </w:rPr>
  </w:style>
  <w:style w:type="character" w:customStyle="1" w:styleId="49">
    <w:name w:val="标题 Char"/>
    <w:link w:val="26"/>
    <w:qFormat/>
    <w:uiPriority w:val="0"/>
    <w:rPr>
      <w:rFonts w:ascii="Arial" w:hAnsi="Arial" w:eastAsia="宋体" w:cs="Arial"/>
      <w:b/>
      <w:bCs/>
      <w:sz w:val="32"/>
      <w:szCs w:val="32"/>
    </w:rPr>
  </w:style>
  <w:style w:type="paragraph" w:customStyle="1" w:styleId="50">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1">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2">
    <w:name w:val="标准文件_页脚偶数页"/>
    <w:qFormat/>
    <w:uiPriority w:val="0"/>
    <w:pPr>
      <w:ind w:left="227"/>
    </w:pPr>
    <w:rPr>
      <w:rFonts w:ascii="宋体" w:hAnsi="Times New Roman" w:eastAsia="宋体" w:cs="Times New Roman"/>
      <w:sz w:val="18"/>
      <w:lang w:val="en-US" w:eastAsia="zh-CN" w:bidi="ar-SA"/>
    </w:rPr>
  </w:style>
  <w:style w:type="paragraph" w:customStyle="1" w:styleId="53">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4">
    <w:name w:val="标准书眉一"/>
    <w:qFormat/>
    <w:uiPriority w:val="0"/>
    <w:pPr>
      <w:jc w:val="both"/>
    </w:pPr>
    <w:rPr>
      <w:rFonts w:ascii="Times New Roman" w:hAnsi="Times New Roman" w:eastAsia="宋体" w:cs="Times New Roman"/>
      <w:lang w:val="en-US" w:eastAsia="zh-CN" w:bidi="ar-SA"/>
    </w:rPr>
  </w:style>
  <w:style w:type="paragraph" w:customStyle="1" w:styleId="55">
    <w:name w:val="标准文件_ICS"/>
    <w:basedOn w:val="1"/>
    <w:qFormat/>
    <w:uiPriority w:val="0"/>
    <w:pPr>
      <w:spacing w:line="0" w:lineRule="atLeast"/>
    </w:pPr>
    <w:rPr>
      <w:rFonts w:ascii="黑体" w:hAnsi="宋体" w:eastAsia="黑体"/>
    </w:rPr>
  </w:style>
  <w:style w:type="paragraph" w:customStyle="1" w:styleId="56">
    <w:name w:val="标准文件_标准正文"/>
    <w:basedOn w:val="1"/>
    <w:next w:val="57"/>
    <w:qFormat/>
    <w:uiPriority w:val="0"/>
    <w:pPr>
      <w:snapToGrid w:val="0"/>
      <w:ind w:firstLine="200" w:firstLineChars="200"/>
    </w:pPr>
    <w:rPr>
      <w:kern w:val="0"/>
    </w:rPr>
  </w:style>
  <w:style w:type="paragraph" w:customStyle="1" w:styleId="57">
    <w:name w:val="标准文件_段"/>
    <w:link w:val="185"/>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8">
    <w:name w:val="标准文件_版本"/>
    <w:basedOn w:val="56"/>
    <w:qFormat/>
    <w:uiPriority w:val="0"/>
    <w:pPr>
      <w:adjustRightInd/>
      <w:snapToGrid/>
      <w:ind w:firstLine="0" w:firstLineChars="0"/>
    </w:pPr>
    <w:rPr>
      <w:rFonts w:ascii="宋体" w:hAnsi="宋体"/>
      <w:kern w:val="2"/>
    </w:rPr>
  </w:style>
  <w:style w:type="paragraph" w:customStyle="1" w:styleId="59">
    <w:name w:val="标准文件_标准部门"/>
    <w:basedOn w:val="1"/>
    <w:qFormat/>
    <w:uiPriority w:val="0"/>
    <w:pPr>
      <w:jc w:val="center"/>
    </w:pPr>
    <w:rPr>
      <w:rFonts w:ascii="黑体" w:eastAsia="黑体"/>
      <w:kern w:val="0"/>
      <w:sz w:val="44"/>
    </w:rPr>
  </w:style>
  <w:style w:type="paragraph" w:customStyle="1" w:styleId="60">
    <w:name w:val="标准文件_标准代替"/>
    <w:basedOn w:val="1"/>
    <w:next w:val="1"/>
    <w:qFormat/>
    <w:uiPriority w:val="0"/>
    <w:pPr>
      <w:spacing w:line="310" w:lineRule="exact"/>
      <w:jc w:val="right"/>
    </w:pPr>
    <w:rPr>
      <w:rFonts w:ascii="宋体" w:hAnsi="宋体"/>
      <w:kern w:val="0"/>
    </w:rPr>
  </w:style>
  <w:style w:type="paragraph" w:customStyle="1" w:styleId="61">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2">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3">
    <w:name w:val="标准文件_页眉偶数页"/>
    <w:basedOn w:val="62"/>
    <w:next w:val="1"/>
    <w:qFormat/>
    <w:uiPriority w:val="0"/>
    <w:pPr>
      <w:jc w:val="left"/>
    </w:pPr>
  </w:style>
  <w:style w:type="paragraph" w:customStyle="1" w:styleId="64">
    <w:name w:val="标准文件_参考文献标题"/>
    <w:basedOn w:val="1"/>
    <w:next w:val="1"/>
    <w:qFormat/>
    <w:uiPriority w:val="0"/>
    <w:pPr>
      <w:widowControl/>
      <w:shd w:val="clear" w:color="FFFFFF" w:fill="FFFFFF"/>
      <w:adjustRightInd/>
      <w:spacing w:before="40" w:beforeLines="40" w:after="50" w:afterLines="50" w:line="240" w:lineRule="auto"/>
      <w:jc w:val="center"/>
      <w:outlineLvl w:val="0"/>
    </w:pPr>
    <w:rPr>
      <w:rFonts w:ascii="黑体" w:eastAsia="黑体"/>
      <w:kern w:val="0"/>
    </w:rPr>
  </w:style>
  <w:style w:type="paragraph" w:customStyle="1" w:styleId="65">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6">
    <w:name w:val="标准文件_二级条标题"/>
    <w:next w:val="57"/>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7">
    <w:name w:val="标准文件_发布"/>
    <w:qFormat/>
    <w:uiPriority w:val="0"/>
    <w:rPr>
      <w:rFonts w:ascii="黑体" w:eastAsia="黑体"/>
      <w:spacing w:val="0"/>
      <w:w w:val="100"/>
      <w:position w:val="3"/>
      <w:sz w:val="28"/>
    </w:rPr>
  </w:style>
  <w:style w:type="paragraph" w:customStyle="1" w:styleId="68">
    <w:name w:val="标准文件_方框数字列项"/>
    <w:basedOn w:val="57"/>
    <w:qFormat/>
    <w:uiPriority w:val="0"/>
    <w:pPr>
      <w:numPr>
        <w:ilvl w:val="0"/>
        <w:numId w:val="3"/>
      </w:numPr>
      <w:ind w:firstLine="0" w:firstLineChars="0"/>
    </w:pPr>
  </w:style>
  <w:style w:type="paragraph" w:customStyle="1" w:styleId="69">
    <w:name w:val="标准文件_封面标准编号"/>
    <w:basedOn w:val="1"/>
    <w:next w:val="60"/>
    <w:qFormat/>
    <w:uiPriority w:val="0"/>
    <w:pPr>
      <w:spacing w:line="310" w:lineRule="exact"/>
      <w:jc w:val="right"/>
    </w:pPr>
    <w:rPr>
      <w:rFonts w:ascii="黑体" w:eastAsia="黑体"/>
      <w:kern w:val="0"/>
      <w:sz w:val="28"/>
    </w:rPr>
  </w:style>
  <w:style w:type="paragraph" w:customStyle="1" w:styleId="70">
    <w:name w:val="标准文件_封面标准分类号"/>
    <w:basedOn w:val="1"/>
    <w:qFormat/>
    <w:uiPriority w:val="0"/>
    <w:rPr>
      <w:rFonts w:ascii="黑体" w:eastAsia="黑体"/>
      <w:b/>
      <w:kern w:val="0"/>
      <w:sz w:val="28"/>
    </w:rPr>
  </w:style>
  <w:style w:type="paragraph" w:customStyle="1" w:styleId="71">
    <w:name w:val="标准文件_封面标准名称"/>
    <w:basedOn w:val="1"/>
    <w:qFormat/>
    <w:uiPriority w:val="0"/>
    <w:pPr>
      <w:spacing w:line="240" w:lineRule="auto"/>
      <w:jc w:val="center"/>
    </w:pPr>
    <w:rPr>
      <w:rFonts w:ascii="黑体" w:eastAsia="黑体"/>
      <w:kern w:val="0"/>
      <w:sz w:val="52"/>
    </w:rPr>
  </w:style>
  <w:style w:type="paragraph" w:customStyle="1" w:styleId="72">
    <w:name w:val="标准文件_封面标准英文名称"/>
    <w:basedOn w:val="1"/>
    <w:qFormat/>
    <w:uiPriority w:val="0"/>
    <w:pPr>
      <w:spacing w:line="240" w:lineRule="auto"/>
      <w:jc w:val="center"/>
    </w:pPr>
    <w:rPr>
      <w:rFonts w:ascii="黑体" w:eastAsia="黑体"/>
      <w:b/>
      <w:sz w:val="28"/>
    </w:rPr>
  </w:style>
  <w:style w:type="paragraph" w:customStyle="1" w:styleId="73">
    <w:name w:val="标准文件_封面发布日期"/>
    <w:basedOn w:val="1"/>
    <w:qFormat/>
    <w:uiPriority w:val="0"/>
    <w:pPr>
      <w:spacing w:line="310" w:lineRule="exact"/>
    </w:pPr>
    <w:rPr>
      <w:rFonts w:ascii="黑体" w:eastAsia="黑体"/>
      <w:kern w:val="0"/>
      <w:sz w:val="28"/>
    </w:rPr>
  </w:style>
  <w:style w:type="paragraph" w:customStyle="1" w:styleId="74">
    <w:name w:val="标准文件_封面密级"/>
    <w:basedOn w:val="1"/>
    <w:qFormat/>
    <w:uiPriority w:val="0"/>
    <w:rPr>
      <w:rFonts w:eastAsia="黑体"/>
      <w:sz w:val="32"/>
    </w:rPr>
  </w:style>
  <w:style w:type="paragraph" w:customStyle="1" w:styleId="75">
    <w:name w:val="标准文件_封面实施日期"/>
    <w:basedOn w:val="1"/>
    <w:qFormat/>
    <w:uiPriority w:val="0"/>
    <w:pPr>
      <w:spacing w:line="310" w:lineRule="exact"/>
      <w:jc w:val="right"/>
    </w:pPr>
    <w:rPr>
      <w:rFonts w:ascii="黑体" w:eastAsia="黑体"/>
      <w:sz w:val="28"/>
    </w:rPr>
  </w:style>
  <w:style w:type="paragraph" w:customStyle="1" w:styleId="76">
    <w:name w:val="标准文件_封面抬头"/>
    <w:basedOn w:val="57"/>
    <w:qFormat/>
    <w:uiPriority w:val="0"/>
    <w:pPr>
      <w:adjustRightInd w:val="0"/>
      <w:spacing w:line="800" w:lineRule="exact"/>
      <w:ind w:firstLine="0" w:firstLineChars="0"/>
      <w:jc w:val="distribute"/>
    </w:pPr>
    <w:rPr>
      <w:rFonts w:ascii="黑体" w:eastAsia="黑体"/>
      <w:b/>
      <w:sz w:val="64"/>
    </w:rPr>
  </w:style>
  <w:style w:type="paragraph" w:customStyle="1" w:styleId="77">
    <w:name w:val="标准文件_附录标识"/>
    <w:next w:val="57"/>
    <w:qFormat/>
    <w:uiPriority w:val="0"/>
    <w:pPr>
      <w:numPr>
        <w:ilvl w:val="0"/>
        <w:numId w:val="4"/>
      </w:numPr>
      <w:shd w:val="clear" w:color="FFFFFF" w:fill="FFFFFF"/>
      <w:tabs>
        <w:tab w:val="left" w:pos="6406"/>
      </w:tabs>
      <w:spacing w:before="25" w:beforeLines="25" w:after="50" w:afterLines="50"/>
      <w:jc w:val="center"/>
      <w:outlineLvl w:val="0"/>
    </w:pPr>
    <w:rPr>
      <w:rFonts w:ascii="黑体" w:hAnsi="Times New Roman" w:eastAsia="黑体" w:cs="Times New Roman"/>
      <w:sz w:val="21"/>
      <w:lang w:val="en-US" w:eastAsia="zh-CN" w:bidi="ar-SA"/>
    </w:rPr>
  </w:style>
  <w:style w:type="paragraph" w:customStyle="1" w:styleId="78">
    <w:name w:val="标准文件_附录表标题"/>
    <w:next w:val="57"/>
    <w:qFormat/>
    <w:uiPriority w:val="0"/>
    <w:pPr>
      <w:numPr>
        <w:ilvl w:val="1"/>
        <w:numId w:val="5"/>
      </w:numPr>
      <w:adjustRightInd w:val="0"/>
      <w:snapToGrid w:val="0"/>
      <w:spacing w:before="50" w:beforeLines="50" w:after="50" w:afterLines="50"/>
      <w:ind w:firstLine="420"/>
      <w:jc w:val="center"/>
      <w:textAlignment w:val="baseline"/>
    </w:pPr>
    <w:rPr>
      <w:rFonts w:ascii="黑体" w:hAnsi="Times New Roman" w:eastAsia="黑体" w:cs="Times New Roman"/>
      <w:kern w:val="21"/>
      <w:sz w:val="21"/>
      <w:lang w:val="en-US" w:eastAsia="zh-CN" w:bidi="ar-SA"/>
    </w:rPr>
  </w:style>
  <w:style w:type="paragraph" w:customStyle="1" w:styleId="79">
    <w:name w:val="标准文件_附录一级条标题"/>
    <w:next w:val="57"/>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0">
    <w:name w:val="标准文件_附录二级条标题"/>
    <w:basedOn w:val="79"/>
    <w:next w:val="57"/>
    <w:qFormat/>
    <w:uiPriority w:val="0"/>
    <w:pPr>
      <w:widowControl/>
      <w:numPr>
        <w:ilvl w:val="2"/>
      </w:numPr>
      <w:wordWrap w:val="0"/>
      <w:overflowPunct w:val="0"/>
      <w:autoSpaceDE w:val="0"/>
      <w:autoSpaceDN w:val="0"/>
      <w:textAlignment w:val="baseline"/>
      <w:outlineLvl w:val="3"/>
    </w:pPr>
  </w:style>
  <w:style w:type="paragraph" w:customStyle="1" w:styleId="81">
    <w:name w:val="标准文件_附录公式"/>
    <w:basedOn w:val="56"/>
    <w:next w:val="56"/>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2">
    <w:name w:val="标准文件_附录三级条标题"/>
    <w:next w:val="57"/>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3">
    <w:name w:val="标准文件_附录四级条标题"/>
    <w:next w:val="57"/>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4">
    <w:name w:val="标准文件_附录图标题"/>
    <w:next w:val="57"/>
    <w:qFormat/>
    <w:uiPriority w:val="0"/>
    <w:pPr>
      <w:numPr>
        <w:ilvl w:val="1"/>
        <w:numId w:val="6"/>
      </w:numPr>
      <w:adjustRightInd w:val="0"/>
      <w:snapToGrid w:val="0"/>
      <w:spacing w:before="50" w:beforeLines="50" w:after="50" w:afterLines="50"/>
      <w:ind w:firstLine="420"/>
      <w:jc w:val="center"/>
    </w:pPr>
    <w:rPr>
      <w:rFonts w:ascii="黑体" w:hAnsi="Times New Roman" w:eastAsia="黑体" w:cs="Times New Roman"/>
      <w:sz w:val="21"/>
      <w:lang w:val="en-US" w:eastAsia="zh-CN" w:bidi="ar-SA"/>
    </w:rPr>
  </w:style>
  <w:style w:type="paragraph" w:customStyle="1" w:styleId="85">
    <w:name w:val="标准文件_附录五级条标题"/>
    <w:next w:val="57"/>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6">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7">
    <w:name w:val="正文文本 Char"/>
    <w:link w:val="14"/>
    <w:qFormat/>
    <w:uiPriority w:val="0"/>
    <w:rPr>
      <w:rFonts w:ascii="Times New Roman" w:hAnsi="Times New Roman" w:eastAsia="宋体" w:cs="Times New Roman"/>
      <w:szCs w:val="20"/>
    </w:rPr>
  </w:style>
  <w:style w:type="paragraph" w:customStyle="1" w:styleId="88">
    <w:name w:val="标准文件_附录章标题"/>
    <w:next w:val="57"/>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89">
    <w:name w:val="标准文件_公式后的破折号"/>
    <w:basedOn w:val="57"/>
    <w:next w:val="57"/>
    <w:qFormat/>
    <w:uiPriority w:val="0"/>
    <w:pPr>
      <w:ind w:left="488" w:leftChars="200" w:hanging="289" w:hangingChars="290"/>
    </w:pPr>
  </w:style>
  <w:style w:type="paragraph" w:customStyle="1" w:styleId="90">
    <w:name w:val="标准文件_前言、引言标题"/>
    <w:next w:val="1"/>
    <w:qFormat/>
    <w:uiPriority w:val="0"/>
    <w:pPr>
      <w:numPr>
        <w:ilvl w:val="0"/>
        <w:numId w:val="8"/>
      </w:numPr>
      <w:shd w:val="clear" w:color="FFFFFF" w:fill="FFFFFF"/>
      <w:spacing w:after="150" w:afterLines="150"/>
      <w:ind w:left="0" w:firstLine="0"/>
      <w:jc w:val="center"/>
      <w:outlineLvl w:val="0"/>
    </w:pPr>
    <w:rPr>
      <w:rFonts w:ascii="黑体" w:hAnsi="Times New Roman" w:eastAsia="黑体" w:cs="Times New Roman"/>
      <w:sz w:val="32"/>
      <w:lang w:val="en-US" w:eastAsia="zh-CN" w:bidi="ar-SA"/>
    </w:rPr>
  </w:style>
  <w:style w:type="paragraph" w:customStyle="1" w:styleId="91">
    <w:name w:val="标准文件_目次、标准名称标题"/>
    <w:basedOn w:val="90"/>
    <w:next w:val="57"/>
    <w:qFormat/>
    <w:uiPriority w:val="0"/>
    <w:pPr>
      <w:spacing w:line="460" w:lineRule="exact"/>
    </w:pPr>
  </w:style>
  <w:style w:type="paragraph" w:customStyle="1" w:styleId="92">
    <w:name w:val="标准文件_目录标题"/>
    <w:basedOn w:val="1"/>
    <w:qFormat/>
    <w:uiPriority w:val="0"/>
    <w:pPr>
      <w:spacing w:after="150" w:afterLines="150" w:line="240" w:lineRule="auto"/>
      <w:jc w:val="center"/>
    </w:pPr>
    <w:rPr>
      <w:rFonts w:ascii="黑体" w:eastAsia="黑体"/>
      <w:sz w:val="32"/>
    </w:rPr>
  </w:style>
  <w:style w:type="paragraph" w:customStyle="1" w:styleId="93">
    <w:name w:val="标准文件_破折号列项"/>
    <w:qFormat/>
    <w:uiPriority w:val="0"/>
    <w:pPr>
      <w:numPr>
        <w:ilvl w:val="0"/>
        <w:numId w:val="9"/>
      </w:numPr>
      <w:adjustRightInd w:val="0"/>
      <w:snapToGrid w:val="0"/>
      <w:ind w:left="0" w:firstLine="200" w:firstLineChars="200"/>
    </w:pPr>
    <w:rPr>
      <w:rFonts w:ascii="Times New Roman" w:hAnsi="Times New Roman" w:eastAsia="宋体" w:cs="Times New Roman"/>
      <w:sz w:val="21"/>
      <w:lang w:val="en-US" w:eastAsia="zh-CN" w:bidi="ar-SA"/>
    </w:rPr>
  </w:style>
  <w:style w:type="paragraph" w:customStyle="1" w:styleId="94">
    <w:name w:val="标准文件_破折号列项（二级）"/>
    <w:basedOn w:val="93"/>
    <w:qFormat/>
    <w:uiPriority w:val="0"/>
    <w:pPr>
      <w:numPr>
        <w:numId w:val="10"/>
      </w:numPr>
      <w:ind w:left="0" w:firstLine="200"/>
    </w:pPr>
  </w:style>
  <w:style w:type="paragraph" w:customStyle="1" w:styleId="95">
    <w:name w:val="标准文件_三级条标题"/>
    <w:basedOn w:val="66"/>
    <w:next w:val="57"/>
    <w:qFormat/>
    <w:uiPriority w:val="0"/>
    <w:pPr>
      <w:widowControl/>
      <w:numPr>
        <w:ilvl w:val="4"/>
      </w:numPr>
      <w:outlineLvl w:val="3"/>
    </w:pPr>
  </w:style>
  <w:style w:type="character" w:customStyle="1" w:styleId="96">
    <w:name w:val="Subtle Reference"/>
    <w:qFormat/>
    <w:uiPriority w:val="31"/>
    <w:rPr>
      <w:smallCaps/>
      <w:color w:val="C0504D"/>
      <w:u w:val="single"/>
    </w:rPr>
  </w:style>
  <w:style w:type="paragraph" w:customStyle="1" w:styleId="97">
    <w:name w:val="标准文件_示例后续"/>
    <w:basedOn w:val="1"/>
    <w:qFormat/>
    <w:uiPriority w:val="0"/>
    <w:pPr>
      <w:adjustRightInd/>
      <w:spacing w:line="240" w:lineRule="auto"/>
      <w:ind w:firstLine="200" w:firstLineChars="200"/>
    </w:pPr>
    <w:rPr>
      <w:sz w:val="18"/>
      <w:szCs w:val="24"/>
    </w:rPr>
  </w:style>
  <w:style w:type="paragraph" w:customStyle="1" w:styleId="98">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99">
    <w:name w:val="标准文件_四级条标题"/>
    <w:next w:val="57"/>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0">
    <w:name w:val="脚注文本 Char"/>
    <w:link w:val="22"/>
    <w:semiHidden/>
    <w:qFormat/>
    <w:uiPriority w:val="0"/>
    <w:rPr>
      <w:rFonts w:ascii="宋体" w:hAnsi="Times New Roman" w:eastAsia="宋体" w:cs="Times New Roman"/>
      <w:sz w:val="18"/>
      <w:szCs w:val="18"/>
    </w:rPr>
  </w:style>
  <w:style w:type="paragraph" w:customStyle="1" w:styleId="101">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2">
    <w:name w:val="标准文件_图表脚注"/>
    <w:basedOn w:val="1"/>
    <w:next w:val="57"/>
    <w:qFormat/>
    <w:uiPriority w:val="0"/>
    <w:pPr>
      <w:numPr>
        <w:ilvl w:val="0"/>
        <w:numId w:val="12"/>
      </w:numPr>
      <w:spacing w:line="240" w:lineRule="auto"/>
      <w:jc w:val="left"/>
    </w:pPr>
    <w:rPr>
      <w:rFonts w:ascii="宋体" w:hAnsi="宋体"/>
      <w:sz w:val="18"/>
    </w:rPr>
  </w:style>
  <w:style w:type="character" w:customStyle="1" w:styleId="103">
    <w:name w:val="标准文件_图表脚注内容"/>
    <w:qFormat/>
    <w:uiPriority w:val="0"/>
    <w:rPr>
      <w:rFonts w:ascii="宋体" w:hAnsi="宋体" w:eastAsia="宋体" w:cs="Times New Roman"/>
      <w:spacing w:val="0"/>
      <w:sz w:val="18"/>
      <w:vertAlign w:val="superscript"/>
    </w:rPr>
  </w:style>
  <w:style w:type="paragraph" w:customStyle="1" w:styleId="104">
    <w:name w:val="标准文件_五级条标题"/>
    <w:next w:val="57"/>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5">
    <w:name w:val="标准文件_章标题"/>
    <w:next w:val="57"/>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6">
    <w:name w:val="标准文件_一级条标题"/>
    <w:basedOn w:val="105"/>
    <w:next w:val="57"/>
    <w:qFormat/>
    <w:uiPriority w:val="0"/>
    <w:pPr>
      <w:numPr>
        <w:ilvl w:val="2"/>
      </w:numPr>
      <w:spacing w:before="50" w:beforeLines="50" w:after="50" w:afterLines="50"/>
      <w:outlineLvl w:val="1"/>
    </w:pPr>
  </w:style>
  <w:style w:type="paragraph" w:customStyle="1" w:styleId="107">
    <w:name w:val="标准文件_一致程度"/>
    <w:basedOn w:val="1"/>
    <w:qFormat/>
    <w:uiPriority w:val="0"/>
    <w:pPr>
      <w:spacing w:line="440" w:lineRule="exact"/>
      <w:jc w:val="center"/>
    </w:pPr>
    <w:rPr>
      <w:sz w:val="28"/>
    </w:rPr>
  </w:style>
  <w:style w:type="paragraph" w:customStyle="1" w:styleId="108">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09">
    <w:name w:val="标准文件_英文图表脚注"/>
    <w:basedOn w:val="56"/>
    <w:qFormat/>
    <w:uiPriority w:val="0"/>
    <w:pPr>
      <w:widowControl/>
      <w:adjustRightInd/>
      <w:snapToGrid/>
      <w:spacing w:line="240" w:lineRule="auto"/>
      <w:ind w:left="79" w:hanging="79" w:hangingChars="80"/>
    </w:pPr>
    <w:rPr>
      <w:rFonts w:ascii="宋体" w:hAnsi="宋体"/>
    </w:rPr>
  </w:style>
  <w:style w:type="paragraph" w:customStyle="1" w:styleId="110">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1">
    <w:name w:val="标准文件_英文注："/>
    <w:basedOn w:val="1"/>
    <w:next w:val="57"/>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2">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3">
    <w:name w:val="标准文件_正文表标题"/>
    <w:next w:val="57"/>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4">
    <w:name w:val="标准文件_正文公式"/>
    <w:basedOn w:val="1"/>
    <w:next w:val="56"/>
    <w:qFormat/>
    <w:uiPriority w:val="0"/>
    <w:pPr>
      <w:tabs>
        <w:tab w:val="center" w:pos="4678"/>
        <w:tab w:val="right" w:leader="middleDot" w:pos="9356"/>
      </w:tabs>
      <w:spacing w:line="240" w:lineRule="auto"/>
    </w:pPr>
    <w:rPr>
      <w:rFonts w:ascii="宋体" w:hAnsi="宋体"/>
    </w:rPr>
  </w:style>
  <w:style w:type="paragraph" w:customStyle="1" w:styleId="115">
    <w:name w:val="标准文件_正文图标题"/>
    <w:next w:val="57"/>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6">
    <w:name w:val="标准文件_正文英文表标题"/>
    <w:next w:val="57"/>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7">
    <w:name w:val="标准文件_正文英文图标题"/>
    <w:next w:val="57"/>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8">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19">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0">
    <w:name w:val="发布部门"/>
    <w:next w:val="57"/>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1">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2">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3">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4">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5">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6">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7">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8">
    <w:name w:val="封面正文"/>
    <w:qFormat/>
    <w:uiPriority w:val="0"/>
    <w:pPr>
      <w:jc w:val="both"/>
    </w:pPr>
    <w:rPr>
      <w:rFonts w:ascii="Times New Roman" w:hAnsi="Times New Roman" w:eastAsia="宋体" w:cs="Times New Roman"/>
      <w:lang w:val="en-US" w:eastAsia="zh-CN" w:bidi="ar-SA"/>
    </w:rPr>
  </w:style>
  <w:style w:type="paragraph" w:customStyle="1" w:styleId="129">
    <w:name w:val="附录二级无标题条"/>
    <w:basedOn w:val="1"/>
    <w:next w:val="57"/>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0">
    <w:name w:val="附录三级无标题条"/>
    <w:basedOn w:val="129"/>
    <w:next w:val="57"/>
    <w:qFormat/>
    <w:uiPriority w:val="0"/>
    <w:pPr>
      <w:outlineLvl w:val="4"/>
    </w:pPr>
  </w:style>
  <w:style w:type="paragraph" w:customStyle="1" w:styleId="131">
    <w:name w:val="附录四级无标题条"/>
    <w:basedOn w:val="130"/>
    <w:next w:val="57"/>
    <w:qFormat/>
    <w:uiPriority w:val="0"/>
    <w:pPr>
      <w:outlineLvl w:val="5"/>
    </w:pPr>
  </w:style>
  <w:style w:type="paragraph" w:customStyle="1" w:styleId="132">
    <w:name w:val="附录图"/>
    <w:next w:val="57"/>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3">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4">
    <w:name w:val="附录五级无标题条"/>
    <w:basedOn w:val="131"/>
    <w:next w:val="57"/>
    <w:qFormat/>
    <w:uiPriority w:val="0"/>
    <w:pPr>
      <w:outlineLvl w:val="6"/>
    </w:pPr>
  </w:style>
  <w:style w:type="paragraph" w:customStyle="1" w:styleId="135">
    <w:name w:val="附录性质"/>
    <w:basedOn w:val="1"/>
    <w:qFormat/>
    <w:uiPriority w:val="0"/>
    <w:pPr>
      <w:widowControl/>
      <w:adjustRightInd/>
      <w:jc w:val="center"/>
    </w:pPr>
    <w:rPr>
      <w:rFonts w:ascii="黑体" w:eastAsia="黑体"/>
    </w:rPr>
  </w:style>
  <w:style w:type="paragraph" w:customStyle="1" w:styleId="136">
    <w:name w:val="附录一级无标题条"/>
    <w:basedOn w:val="88"/>
    <w:next w:val="57"/>
    <w:qFormat/>
    <w:uiPriority w:val="0"/>
    <w:pPr>
      <w:autoSpaceDN w:val="0"/>
      <w:outlineLvl w:val="2"/>
    </w:pPr>
    <w:rPr>
      <w:rFonts w:ascii="宋体" w:hAnsi="宋体" w:eastAsia="宋体"/>
    </w:rPr>
  </w:style>
  <w:style w:type="character" w:customStyle="1" w:styleId="137">
    <w:name w:val="个人答复风格"/>
    <w:qFormat/>
    <w:uiPriority w:val="0"/>
    <w:rPr>
      <w:rFonts w:ascii="Arial" w:hAnsi="Arial" w:eastAsia="宋体" w:cs="Arial"/>
      <w:color w:val="auto"/>
      <w:spacing w:val="0"/>
      <w:sz w:val="20"/>
    </w:rPr>
  </w:style>
  <w:style w:type="character" w:customStyle="1" w:styleId="138">
    <w:name w:val="个人撰写风格"/>
    <w:qFormat/>
    <w:uiPriority w:val="0"/>
    <w:rPr>
      <w:rFonts w:ascii="Arial" w:hAnsi="Arial" w:eastAsia="宋体" w:cs="Arial"/>
      <w:color w:val="auto"/>
      <w:spacing w:val="0"/>
      <w:sz w:val="20"/>
    </w:rPr>
  </w:style>
  <w:style w:type="paragraph" w:customStyle="1" w:styleId="139">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0">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1">
    <w:name w:val="列项·"/>
    <w:basedOn w:val="57"/>
    <w:qFormat/>
    <w:uiPriority w:val="0"/>
    <w:pPr>
      <w:tabs>
        <w:tab w:val="left" w:pos="840"/>
      </w:tabs>
    </w:pPr>
  </w:style>
  <w:style w:type="paragraph" w:customStyle="1" w:styleId="142">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3">
    <w:name w:val="目录 21"/>
    <w:basedOn w:val="1"/>
    <w:next w:val="1"/>
    <w:autoRedefine/>
    <w:semiHidden/>
    <w:qFormat/>
    <w:uiPriority w:val="0"/>
    <w:pPr>
      <w:adjustRightInd/>
      <w:spacing w:line="240" w:lineRule="auto"/>
      <w:jc w:val="left"/>
    </w:pPr>
    <w:rPr>
      <w:bCs/>
      <w:iCs/>
    </w:rPr>
  </w:style>
  <w:style w:type="paragraph" w:customStyle="1" w:styleId="144">
    <w:name w:val="目录 31"/>
    <w:basedOn w:val="1"/>
    <w:next w:val="1"/>
    <w:autoRedefine/>
    <w:semiHidden/>
    <w:qFormat/>
    <w:uiPriority w:val="0"/>
    <w:pPr>
      <w:spacing w:line="240" w:lineRule="auto"/>
    </w:pPr>
    <w:rPr>
      <w:rFonts w:ascii="宋体" w:hAnsi="宋体"/>
      <w:iCs/>
    </w:rPr>
  </w:style>
  <w:style w:type="paragraph" w:customStyle="1" w:styleId="145">
    <w:name w:val="目录 41"/>
    <w:basedOn w:val="1"/>
    <w:next w:val="1"/>
    <w:autoRedefine/>
    <w:semiHidden/>
    <w:qFormat/>
    <w:uiPriority w:val="0"/>
    <w:pPr>
      <w:adjustRightInd/>
      <w:spacing w:line="240" w:lineRule="auto"/>
      <w:jc w:val="left"/>
    </w:pPr>
  </w:style>
  <w:style w:type="paragraph" w:customStyle="1" w:styleId="146">
    <w:name w:val="目录 51"/>
    <w:basedOn w:val="1"/>
    <w:next w:val="1"/>
    <w:autoRedefine/>
    <w:semiHidden/>
    <w:qFormat/>
    <w:uiPriority w:val="0"/>
    <w:pPr>
      <w:spacing w:line="240" w:lineRule="auto"/>
    </w:pPr>
    <w:rPr>
      <w:rFonts w:ascii="宋体" w:hAnsi="宋体"/>
    </w:rPr>
  </w:style>
  <w:style w:type="paragraph" w:customStyle="1" w:styleId="147">
    <w:name w:val="目录 61"/>
    <w:basedOn w:val="1"/>
    <w:next w:val="1"/>
    <w:autoRedefine/>
    <w:semiHidden/>
    <w:qFormat/>
    <w:uiPriority w:val="0"/>
    <w:pPr>
      <w:adjustRightInd/>
      <w:spacing w:line="240" w:lineRule="auto"/>
      <w:jc w:val="left"/>
    </w:pPr>
  </w:style>
  <w:style w:type="paragraph" w:customStyle="1" w:styleId="148">
    <w:name w:val="目录 71"/>
    <w:basedOn w:val="147"/>
    <w:autoRedefine/>
    <w:semiHidden/>
    <w:qFormat/>
    <w:uiPriority w:val="0"/>
    <w:pPr>
      <w:ind w:left="1260"/>
    </w:pPr>
  </w:style>
  <w:style w:type="paragraph" w:customStyle="1" w:styleId="149">
    <w:name w:val="目录 81"/>
    <w:basedOn w:val="148"/>
    <w:autoRedefine/>
    <w:semiHidden/>
    <w:qFormat/>
    <w:uiPriority w:val="0"/>
    <w:pPr>
      <w:ind w:left="1470"/>
    </w:pPr>
  </w:style>
  <w:style w:type="paragraph" w:customStyle="1" w:styleId="150">
    <w:name w:val="目录 91"/>
    <w:basedOn w:val="149"/>
    <w:autoRedefine/>
    <w:semiHidden/>
    <w:qFormat/>
    <w:uiPriority w:val="0"/>
    <w:pPr>
      <w:ind w:left="1680"/>
    </w:pPr>
  </w:style>
  <w:style w:type="paragraph" w:customStyle="1" w:styleId="151">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2">
    <w:name w:val="其他发布部门"/>
    <w:basedOn w:val="120"/>
    <w:qFormat/>
    <w:uiPriority w:val="0"/>
    <w:pPr>
      <w:framePr w:wrap="around"/>
      <w:spacing w:line="0" w:lineRule="atLeast"/>
    </w:pPr>
    <w:rPr>
      <w:rFonts w:ascii="黑体" w:eastAsia="黑体"/>
      <w:b w:val="0"/>
    </w:rPr>
  </w:style>
  <w:style w:type="paragraph" w:customStyle="1" w:styleId="153">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4">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5">
    <w:name w:val="实施日期"/>
    <w:basedOn w:val="121"/>
    <w:qFormat/>
    <w:uiPriority w:val="0"/>
    <w:pPr>
      <w:framePr w:hSpace="0" w:wrap="around" w:xAlign="right"/>
      <w:jc w:val="right"/>
    </w:pPr>
  </w:style>
  <w:style w:type="paragraph" w:customStyle="1" w:styleId="156">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7">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8">
    <w:name w:val="无标题条"/>
    <w:next w:val="57"/>
    <w:qFormat/>
    <w:uiPriority w:val="0"/>
    <w:pPr>
      <w:jc w:val="both"/>
    </w:pPr>
    <w:rPr>
      <w:rFonts w:ascii="宋体" w:hAnsi="宋体" w:eastAsia="宋体" w:cs="Times New Roman"/>
      <w:sz w:val="21"/>
      <w:lang w:val="en-US" w:eastAsia="zh-CN" w:bidi="ar-SA"/>
    </w:rPr>
  </w:style>
  <w:style w:type="paragraph" w:customStyle="1" w:styleId="159">
    <w:name w:val="五级无标题条"/>
    <w:basedOn w:val="1"/>
    <w:qFormat/>
    <w:uiPriority w:val="0"/>
    <w:pPr>
      <w:numPr>
        <w:ilvl w:val="6"/>
        <w:numId w:val="20"/>
      </w:numPr>
      <w:adjustRightInd/>
    </w:pPr>
    <w:rPr>
      <w:szCs w:val="24"/>
    </w:rPr>
  </w:style>
  <w:style w:type="paragraph" w:customStyle="1" w:styleId="160">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1">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2">
    <w:name w:val="注×:后续"/>
    <w:basedOn w:val="161"/>
    <w:qFormat/>
    <w:uiPriority w:val="0"/>
    <w:pPr>
      <w:ind w:left="1406" w:leftChars="0" w:hanging="499" w:firstLineChars="0"/>
    </w:pPr>
  </w:style>
  <w:style w:type="paragraph" w:customStyle="1" w:styleId="163">
    <w:name w:val="标准文件_一级无标题"/>
    <w:basedOn w:val="106"/>
    <w:qFormat/>
    <w:uiPriority w:val="0"/>
    <w:pPr>
      <w:spacing w:before="0" w:beforeLines="0" w:after="0" w:afterLines="0"/>
      <w:outlineLvl w:val="9"/>
    </w:pPr>
    <w:rPr>
      <w:rFonts w:ascii="宋体" w:eastAsia="宋体"/>
    </w:rPr>
  </w:style>
  <w:style w:type="paragraph" w:customStyle="1" w:styleId="164">
    <w:name w:val="标准文件_五级无标题"/>
    <w:basedOn w:val="104"/>
    <w:qFormat/>
    <w:uiPriority w:val="0"/>
    <w:pPr>
      <w:spacing w:before="0" w:beforeLines="0" w:after="0" w:afterLines="0"/>
      <w:outlineLvl w:val="9"/>
    </w:pPr>
    <w:rPr>
      <w:rFonts w:ascii="宋体" w:eastAsia="宋体"/>
    </w:rPr>
  </w:style>
  <w:style w:type="paragraph" w:customStyle="1" w:styleId="165">
    <w:name w:val="标准文件_三级无标题"/>
    <w:basedOn w:val="95"/>
    <w:qFormat/>
    <w:uiPriority w:val="0"/>
    <w:pPr>
      <w:spacing w:before="0" w:beforeLines="0" w:after="0" w:afterLines="0"/>
      <w:outlineLvl w:val="9"/>
    </w:pPr>
    <w:rPr>
      <w:rFonts w:ascii="宋体" w:eastAsia="宋体"/>
    </w:rPr>
  </w:style>
  <w:style w:type="paragraph" w:customStyle="1" w:styleId="166">
    <w:name w:val="标准文件_二级无标题"/>
    <w:basedOn w:val="66"/>
    <w:qFormat/>
    <w:uiPriority w:val="0"/>
    <w:pPr>
      <w:spacing w:before="0" w:beforeLines="0" w:after="0" w:afterLines="0"/>
      <w:outlineLvl w:val="9"/>
    </w:pPr>
    <w:rPr>
      <w:rFonts w:ascii="宋体" w:eastAsia="宋体"/>
    </w:rPr>
  </w:style>
  <w:style w:type="paragraph" w:customStyle="1" w:styleId="167">
    <w:name w:val="标准_四级无标题"/>
    <w:basedOn w:val="99"/>
    <w:next w:val="57"/>
    <w:qFormat/>
    <w:uiPriority w:val="0"/>
    <w:rPr>
      <w:rFonts w:eastAsia="宋体"/>
    </w:rPr>
  </w:style>
  <w:style w:type="paragraph" w:customStyle="1" w:styleId="168">
    <w:name w:val="标准文件_四级无标题"/>
    <w:basedOn w:val="99"/>
    <w:qFormat/>
    <w:uiPriority w:val="0"/>
    <w:pPr>
      <w:spacing w:before="0" w:beforeLines="0" w:after="0" w:afterLines="0"/>
      <w:outlineLvl w:val="9"/>
    </w:pPr>
    <w:rPr>
      <w:rFonts w:ascii="宋体" w:hAnsi="黑体" w:eastAsia="宋体"/>
      <w:szCs w:val="52"/>
    </w:rPr>
  </w:style>
  <w:style w:type="paragraph" w:customStyle="1" w:styleId="169">
    <w:name w:val="标准文件_大写罗马数字编号列项"/>
    <w:basedOn w:val="57"/>
    <w:qFormat/>
    <w:uiPriority w:val="0"/>
    <w:pPr>
      <w:numPr>
        <w:ilvl w:val="0"/>
        <w:numId w:val="23"/>
      </w:numPr>
      <w:ind w:firstLine="0" w:firstLineChars="0"/>
    </w:pPr>
    <w:rPr>
      <w:rFonts w:ascii="Times New Roman" w:cs="Arial"/>
      <w:szCs w:val="28"/>
    </w:rPr>
  </w:style>
  <w:style w:type="paragraph" w:customStyle="1" w:styleId="170">
    <w:name w:val="标准文件_小写罗马数字编号列项"/>
    <w:basedOn w:val="57"/>
    <w:qFormat/>
    <w:uiPriority w:val="0"/>
    <w:pPr>
      <w:numPr>
        <w:ilvl w:val="0"/>
        <w:numId w:val="24"/>
      </w:numPr>
      <w:ind w:firstLine="0" w:firstLineChars="0"/>
    </w:pPr>
    <w:rPr>
      <w:rFonts w:cs="Arial"/>
      <w:szCs w:val="28"/>
    </w:rPr>
  </w:style>
  <w:style w:type="paragraph" w:customStyle="1" w:styleId="171">
    <w:name w:val="标准文件_附录标题"/>
    <w:basedOn w:val="77"/>
    <w:qFormat/>
    <w:uiPriority w:val="0"/>
    <w:pPr>
      <w:numPr>
        <w:numId w:val="0"/>
      </w:numPr>
      <w:spacing w:after="280"/>
      <w:outlineLvl w:val="9"/>
    </w:pPr>
  </w:style>
  <w:style w:type="paragraph" w:customStyle="1" w:styleId="172">
    <w:name w:val="标准文件_二级项"/>
    <w:qFormat/>
    <w:uiPriority w:val="0"/>
    <w:rPr>
      <w:rFonts w:ascii="宋体" w:hAnsi="Times New Roman" w:eastAsia="宋体" w:cs="Times New Roman"/>
      <w:sz w:val="21"/>
      <w:lang w:val="en-US" w:eastAsia="zh-CN" w:bidi="ar-SA"/>
    </w:rPr>
  </w:style>
  <w:style w:type="paragraph" w:customStyle="1" w:styleId="173">
    <w:name w:val="标准文件_三级项"/>
    <w:basedOn w:val="1"/>
    <w:qFormat/>
    <w:uiPriority w:val="0"/>
    <w:pPr>
      <w:numPr>
        <w:ilvl w:val="2"/>
        <w:numId w:val="21"/>
      </w:numPr>
      <w:spacing w:line="536870612" w:lineRule="auto"/>
    </w:pPr>
    <w:rPr>
      <w:rFonts w:ascii="Times New Roman" w:hAnsi="Times New Roman"/>
    </w:rPr>
  </w:style>
  <w:style w:type="paragraph" w:customStyle="1" w:styleId="174">
    <w:name w:val="图表脚注说明"/>
    <w:basedOn w:val="1"/>
    <w:next w:val="57"/>
    <w:qFormat/>
    <w:uiPriority w:val="0"/>
    <w:pPr>
      <w:numPr>
        <w:ilvl w:val="0"/>
        <w:numId w:val="25"/>
      </w:numPr>
      <w:adjustRightInd/>
      <w:spacing w:line="240" w:lineRule="auto"/>
      <w:ind w:left="783"/>
    </w:pPr>
    <w:rPr>
      <w:rFonts w:ascii="宋体" w:hAnsi="Times New Roman"/>
      <w:sz w:val="18"/>
      <w:szCs w:val="18"/>
    </w:rPr>
  </w:style>
  <w:style w:type="paragraph" w:customStyle="1" w:styleId="175">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6">
    <w:name w:val="标准文件_索引字母"/>
    <w:next w:val="57"/>
    <w:qFormat/>
    <w:uiPriority w:val="0"/>
    <w:pPr>
      <w:jc w:val="center"/>
    </w:pPr>
    <w:rPr>
      <w:rFonts w:ascii="宋体" w:hAnsi="宋体" w:eastAsia="Times New Roman" w:cs="Times New Roman"/>
      <w:b/>
      <w:kern w:val="2"/>
      <w:sz w:val="21"/>
      <w:lang w:val="en-US" w:eastAsia="zh-CN" w:bidi="ar-SA"/>
    </w:rPr>
  </w:style>
  <w:style w:type="paragraph" w:customStyle="1" w:styleId="177">
    <w:name w:val="标准文件_附录前"/>
    <w:next w:val="57"/>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8">
    <w:name w:val="标准文件_正文标准名称"/>
    <w:qFormat/>
    <w:uiPriority w:val="0"/>
    <w:pPr>
      <w:spacing w:before="20" w:beforeLines="20" w:after="640" w:line="400" w:lineRule="exact"/>
      <w:jc w:val="center"/>
    </w:pPr>
    <w:rPr>
      <w:rFonts w:ascii="黑体" w:hAnsi="黑体" w:eastAsia="黑体" w:cs="Times New Roman"/>
      <w:kern w:val="2"/>
      <w:sz w:val="32"/>
      <w:szCs w:val="32"/>
      <w:lang w:val="en-US" w:eastAsia="zh-CN" w:bidi="ar-SA"/>
    </w:rPr>
  </w:style>
  <w:style w:type="paragraph" w:customStyle="1" w:styleId="179">
    <w:name w:val="标准文件_表格"/>
    <w:basedOn w:val="57"/>
    <w:qFormat/>
    <w:uiPriority w:val="0"/>
    <w:pPr>
      <w:ind w:firstLine="0" w:firstLineChars="0"/>
      <w:jc w:val="center"/>
    </w:pPr>
    <w:rPr>
      <w:sz w:val="18"/>
    </w:rPr>
  </w:style>
  <w:style w:type="paragraph" w:customStyle="1" w:styleId="180">
    <w:name w:val="标准文件_注："/>
    <w:next w:val="57"/>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1">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示例："/>
    <w:next w:val="183"/>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3">
    <w:name w:val="标准文件_示例内容"/>
    <w:basedOn w:val="57"/>
    <w:qFormat/>
    <w:uiPriority w:val="0"/>
    <w:pPr>
      <w:ind w:firstLine="420"/>
    </w:pPr>
    <w:rPr>
      <w:sz w:val="18"/>
    </w:rPr>
  </w:style>
  <w:style w:type="paragraph" w:customStyle="1" w:styleId="184">
    <w:name w:val="标准文件_示例×："/>
    <w:basedOn w:val="1"/>
    <w:next w:val="183"/>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5">
    <w:name w:val="标准文件_段 Char"/>
    <w:link w:val="57"/>
    <w:qFormat/>
    <w:uiPriority w:val="0"/>
    <w:rPr>
      <w:rFonts w:ascii="宋体" w:hAnsi="Times New Roman"/>
      <w:sz w:val="21"/>
    </w:rPr>
  </w:style>
  <w:style w:type="paragraph" w:customStyle="1" w:styleId="186">
    <w:name w:val="标准文件_表格续"/>
    <w:basedOn w:val="57"/>
    <w:next w:val="57"/>
    <w:qFormat/>
    <w:uiPriority w:val="0"/>
    <w:pPr>
      <w:jc w:val="center"/>
    </w:pPr>
    <w:rPr>
      <w:rFonts w:ascii="黑体" w:hAnsi="黑体" w:eastAsia="黑体"/>
    </w:rPr>
  </w:style>
  <w:style w:type="character" w:styleId="187">
    <w:name w:val="Placeholder Text"/>
    <w:basedOn w:val="29"/>
    <w:semiHidden/>
    <w:qFormat/>
    <w:uiPriority w:val="99"/>
    <w:rPr>
      <w:color w:val="808080"/>
    </w:rPr>
  </w:style>
  <w:style w:type="paragraph" w:customStyle="1" w:styleId="188">
    <w:name w:val="标准文件_二级项2"/>
    <w:basedOn w:val="57"/>
    <w:qFormat/>
    <w:uiPriority w:val="0"/>
    <w:pPr>
      <w:numPr>
        <w:ilvl w:val="1"/>
        <w:numId w:val="21"/>
      </w:numPr>
      <w:ind w:left="1271" w:hanging="420" w:firstLineChars="0"/>
    </w:pPr>
  </w:style>
  <w:style w:type="paragraph" w:customStyle="1" w:styleId="189">
    <w:name w:val="标准文件_三级项2"/>
    <w:basedOn w:val="57"/>
    <w:qFormat/>
    <w:uiPriority w:val="0"/>
    <w:pPr>
      <w:numPr>
        <w:ilvl w:val="0"/>
        <w:numId w:val="30"/>
      </w:numPr>
      <w:spacing w:line="300" w:lineRule="exact"/>
      <w:ind w:left="1276" w:hanging="425" w:firstLineChars="0"/>
    </w:pPr>
    <w:rPr>
      <w:rFonts w:ascii="Times New Roman"/>
    </w:rPr>
  </w:style>
  <w:style w:type="paragraph" w:customStyle="1" w:styleId="190">
    <w:name w:val="标准文件_一级项2"/>
    <w:basedOn w:val="57"/>
    <w:qFormat/>
    <w:uiPriority w:val="0"/>
    <w:pPr>
      <w:numPr>
        <w:ilvl w:val="0"/>
        <w:numId w:val="31"/>
      </w:numPr>
      <w:spacing w:line="300" w:lineRule="exact"/>
      <w:ind w:left="1271" w:hanging="420" w:firstLineChars="0"/>
    </w:pPr>
    <w:rPr>
      <w:rFonts w:ascii="Times New Roman"/>
    </w:rPr>
  </w:style>
  <w:style w:type="paragraph" w:customStyle="1" w:styleId="191">
    <w:name w:val="标准文件_提示"/>
    <w:basedOn w:val="57"/>
    <w:next w:val="57"/>
    <w:qFormat/>
    <w:uiPriority w:val="0"/>
    <w:pPr>
      <w:ind w:firstLine="420"/>
    </w:pPr>
    <w:rPr>
      <w:rFonts w:ascii="黑体" w:eastAsia="黑体"/>
    </w:rPr>
  </w:style>
  <w:style w:type="character" w:customStyle="1" w:styleId="192">
    <w:name w:val="标准文件_来源"/>
    <w:basedOn w:val="29"/>
    <w:qFormat/>
    <w:uiPriority w:val="1"/>
    <w:rPr>
      <w:rFonts w:eastAsia="宋体"/>
      <w:sz w:val="21"/>
    </w:rPr>
  </w:style>
  <w:style w:type="paragraph" w:customStyle="1" w:styleId="193">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4">
    <w:name w:val="其他发布日期"/>
    <w:basedOn w:val="121"/>
    <w:qFormat/>
    <w:uiPriority w:val="0"/>
    <w:pPr>
      <w:framePr w:w="3997" w:h="471" w:hRule="exact" w:hSpace="0" w:vSpace="181" w:wrap="around" w:vAnchor="page" w:hAnchor="page" w:x="1419" w:y="14097"/>
    </w:pPr>
  </w:style>
  <w:style w:type="paragraph" w:customStyle="1" w:styleId="195">
    <w:name w:val="其他实施日期"/>
    <w:basedOn w:val="155"/>
    <w:qFormat/>
    <w:uiPriority w:val="0"/>
    <w:pPr>
      <w:framePr w:w="3997" w:h="471" w:hRule="exact" w:vSpace="181" w:wrap="around" w:vAnchor="page" w:hAnchor="page" w:x="7089" w:y="14097"/>
    </w:pPr>
  </w:style>
  <w:style w:type="paragraph" w:customStyle="1" w:styleId="196">
    <w:name w:val="标准文件_文件编号"/>
    <w:basedOn w:val="57"/>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7">
    <w:name w:val="标准文件_替换文件编号"/>
    <w:basedOn w:val="196"/>
    <w:qFormat/>
    <w:uiPriority w:val="0"/>
    <w:pPr>
      <w:spacing w:before="57"/>
    </w:pPr>
    <w:rPr>
      <w:sz w:val="21"/>
    </w:rPr>
  </w:style>
  <w:style w:type="paragraph" w:customStyle="1" w:styleId="198">
    <w:name w:val="标准文件_文件名称"/>
    <w:basedOn w:val="57"/>
    <w:next w:val="57"/>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199">
    <w:name w:val="标准文件_附录图标号"/>
    <w:basedOn w:val="57"/>
    <w:next w:val="57"/>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0">
    <w:name w:val="标准文件_附录表标号"/>
    <w:basedOn w:val="57"/>
    <w:next w:val="57"/>
    <w:qFormat/>
    <w:uiPriority w:val="0"/>
    <w:pPr>
      <w:numPr>
        <w:ilvl w:val="0"/>
        <w:numId w:val="5"/>
      </w:numPr>
      <w:spacing w:line="14" w:lineRule="exact"/>
      <w:ind w:firstLine="0" w:firstLineChars="0"/>
      <w:jc w:val="center"/>
    </w:pPr>
    <w:rPr>
      <w:rFonts w:eastAsia="黑体"/>
      <w:vanish/>
      <w:sz w:val="2"/>
    </w:rPr>
  </w:style>
  <w:style w:type="paragraph" w:customStyle="1" w:styleId="201">
    <w:name w:val="标准文件_引言一级条标题"/>
    <w:basedOn w:val="57"/>
    <w:next w:val="57"/>
    <w:qFormat/>
    <w:uiPriority w:val="0"/>
    <w:pPr>
      <w:numPr>
        <w:ilvl w:val="1"/>
        <w:numId w:val="8"/>
      </w:numPr>
      <w:spacing w:before="50" w:beforeLines="50" w:after="50" w:afterLines="50"/>
      <w:ind w:firstLineChars="0"/>
    </w:pPr>
    <w:rPr>
      <w:rFonts w:ascii="黑体" w:eastAsia="黑体"/>
    </w:rPr>
  </w:style>
  <w:style w:type="paragraph" w:customStyle="1" w:styleId="202">
    <w:name w:val="标准文件_引言二级条标题"/>
    <w:basedOn w:val="57"/>
    <w:next w:val="57"/>
    <w:qFormat/>
    <w:uiPriority w:val="0"/>
    <w:pPr>
      <w:numPr>
        <w:ilvl w:val="2"/>
        <w:numId w:val="8"/>
      </w:numPr>
      <w:spacing w:before="50" w:beforeLines="50" w:after="50" w:afterLines="50"/>
      <w:ind w:firstLineChars="0"/>
    </w:pPr>
    <w:rPr>
      <w:rFonts w:ascii="黑体" w:eastAsia="黑体"/>
    </w:rPr>
  </w:style>
  <w:style w:type="paragraph" w:customStyle="1" w:styleId="203">
    <w:name w:val="标准文件_引言三级条标题"/>
    <w:basedOn w:val="57"/>
    <w:next w:val="57"/>
    <w:qFormat/>
    <w:uiPriority w:val="0"/>
    <w:pPr>
      <w:numPr>
        <w:ilvl w:val="3"/>
        <w:numId w:val="8"/>
      </w:numPr>
      <w:spacing w:before="50" w:beforeLines="50" w:after="50" w:afterLines="50"/>
      <w:ind w:firstLineChars="0"/>
    </w:pPr>
    <w:rPr>
      <w:rFonts w:ascii="黑体" w:eastAsia="黑体"/>
    </w:rPr>
  </w:style>
  <w:style w:type="paragraph" w:customStyle="1" w:styleId="204">
    <w:name w:val="标准文件_引言四级条标题"/>
    <w:basedOn w:val="57"/>
    <w:next w:val="57"/>
    <w:qFormat/>
    <w:uiPriority w:val="0"/>
    <w:pPr>
      <w:numPr>
        <w:ilvl w:val="4"/>
        <w:numId w:val="8"/>
      </w:numPr>
      <w:spacing w:before="50" w:beforeLines="50" w:after="50" w:afterLines="50"/>
      <w:ind w:firstLineChars="0"/>
    </w:pPr>
    <w:rPr>
      <w:rFonts w:ascii="黑体" w:eastAsia="黑体"/>
    </w:rPr>
  </w:style>
  <w:style w:type="paragraph" w:customStyle="1" w:styleId="205">
    <w:name w:val="标准文件_引言五级条标题"/>
    <w:basedOn w:val="57"/>
    <w:next w:val="57"/>
    <w:qFormat/>
    <w:uiPriority w:val="0"/>
    <w:pPr>
      <w:numPr>
        <w:ilvl w:val="5"/>
        <w:numId w:val="8"/>
      </w:numPr>
      <w:spacing w:before="50" w:beforeLines="50" w:after="50" w:afterLines="50"/>
      <w:ind w:firstLineChars="0"/>
    </w:pPr>
    <w:rPr>
      <w:rFonts w:ascii="黑体" w:eastAsia="黑体"/>
    </w:rPr>
  </w:style>
  <w:style w:type="paragraph" w:customStyle="1" w:styleId="206">
    <w:name w:val="标准文件_注后"/>
    <w:basedOn w:val="57"/>
    <w:qFormat/>
    <w:uiPriority w:val="0"/>
    <w:pPr>
      <w:ind w:left="811" w:firstLine="0" w:firstLineChars="0"/>
    </w:pPr>
    <w:rPr>
      <w:sz w:val="18"/>
    </w:rPr>
  </w:style>
  <w:style w:type="paragraph" w:customStyle="1" w:styleId="207">
    <w:name w:val="标准文件_注X后"/>
    <w:basedOn w:val="57"/>
    <w:qFormat/>
    <w:uiPriority w:val="0"/>
    <w:pPr>
      <w:ind w:left="811" w:firstLine="0" w:firstLineChars="0"/>
    </w:pPr>
    <w:rPr>
      <w:sz w:val="18"/>
    </w:rPr>
  </w:style>
  <w:style w:type="paragraph" w:customStyle="1" w:styleId="208">
    <w:name w:val="标准文件_示例后"/>
    <w:basedOn w:val="57"/>
    <w:qFormat/>
    <w:uiPriority w:val="0"/>
    <w:pPr>
      <w:ind w:left="964" w:firstLine="0" w:firstLineChars="0"/>
    </w:pPr>
    <w:rPr>
      <w:sz w:val="18"/>
    </w:rPr>
  </w:style>
  <w:style w:type="paragraph" w:customStyle="1" w:styleId="209">
    <w:name w:val="标准文件_示例X后"/>
    <w:basedOn w:val="57"/>
    <w:link w:val="210"/>
    <w:qFormat/>
    <w:uiPriority w:val="0"/>
    <w:pPr>
      <w:ind w:left="1049" w:firstLine="0" w:firstLineChars="0"/>
    </w:pPr>
    <w:rPr>
      <w:sz w:val="18"/>
    </w:rPr>
  </w:style>
  <w:style w:type="character" w:customStyle="1" w:styleId="210">
    <w:name w:val="标准文件_示例X后 字符"/>
    <w:basedOn w:val="185"/>
    <w:link w:val="209"/>
    <w:qFormat/>
    <w:uiPriority w:val="0"/>
    <w:rPr>
      <w:rFonts w:ascii="宋体" w:hAnsi="Times New Roman"/>
      <w:sz w:val="18"/>
    </w:rPr>
  </w:style>
  <w:style w:type="paragraph" w:customStyle="1" w:styleId="211">
    <w:name w:val="标准文件_索引项"/>
    <w:basedOn w:val="57"/>
    <w:next w:val="57"/>
    <w:qFormat/>
    <w:uiPriority w:val="0"/>
    <w:pPr>
      <w:tabs>
        <w:tab w:val="right" w:leader="dot" w:pos="9356"/>
      </w:tabs>
      <w:ind w:left="210" w:hanging="210" w:firstLineChars="0"/>
      <w:jc w:val="left"/>
    </w:pPr>
  </w:style>
  <w:style w:type="paragraph" w:customStyle="1" w:styleId="212">
    <w:name w:val="标准文件_附录一级无标题"/>
    <w:basedOn w:val="79"/>
    <w:qFormat/>
    <w:uiPriority w:val="0"/>
    <w:pPr>
      <w:spacing w:before="0" w:beforeLines="0" w:after="0" w:afterLines="0" w:line="276" w:lineRule="auto"/>
      <w:outlineLvl w:val="9"/>
    </w:pPr>
    <w:rPr>
      <w:rFonts w:ascii="宋体" w:eastAsia="宋体"/>
    </w:rPr>
  </w:style>
  <w:style w:type="paragraph" w:customStyle="1" w:styleId="213">
    <w:name w:val="标准文件_附录二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三级无标题"/>
    <w:basedOn w:val="82"/>
    <w:qFormat/>
    <w:uiPriority w:val="0"/>
    <w:pPr>
      <w:spacing w:before="0" w:beforeLines="0" w:after="0" w:afterLines="0" w:line="276" w:lineRule="auto"/>
      <w:outlineLvl w:val="9"/>
    </w:pPr>
    <w:rPr>
      <w:rFonts w:ascii="宋体" w:eastAsia="宋体"/>
    </w:rPr>
  </w:style>
  <w:style w:type="paragraph" w:customStyle="1" w:styleId="215">
    <w:name w:val="标准文件_附录四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五级无标题"/>
    <w:basedOn w:val="85"/>
    <w:qFormat/>
    <w:uiPriority w:val="0"/>
    <w:pPr>
      <w:spacing w:before="0" w:beforeLines="0" w:after="0" w:afterLines="0" w:line="276" w:lineRule="auto"/>
      <w:outlineLvl w:val="9"/>
    </w:pPr>
    <w:rPr>
      <w:rFonts w:ascii="宋体" w:eastAsia="宋体"/>
    </w:rPr>
  </w:style>
  <w:style w:type="paragraph" w:customStyle="1" w:styleId="217">
    <w:name w:val="标准文件_引言一级无标题"/>
    <w:basedOn w:val="201"/>
    <w:next w:val="57"/>
    <w:qFormat/>
    <w:uiPriority w:val="0"/>
    <w:pPr>
      <w:spacing w:before="0" w:beforeLines="0" w:after="0" w:afterLines="0" w:line="276" w:lineRule="auto"/>
    </w:pPr>
    <w:rPr>
      <w:rFonts w:ascii="宋体" w:eastAsia="宋体"/>
    </w:rPr>
  </w:style>
  <w:style w:type="paragraph" w:customStyle="1" w:styleId="218">
    <w:name w:val="标准文件_引言二级无标题"/>
    <w:basedOn w:val="202"/>
    <w:next w:val="57"/>
    <w:qFormat/>
    <w:uiPriority w:val="0"/>
    <w:pPr>
      <w:spacing w:before="0" w:beforeLines="0" w:after="0" w:afterLines="0" w:line="276" w:lineRule="auto"/>
    </w:pPr>
    <w:rPr>
      <w:rFonts w:ascii="宋体" w:eastAsia="宋体"/>
    </w:rPr>
  </w:style>
  <w:style w:type="paragraph" w:customStyle="1" w:styleId="219">
    <w:name w:val="标准文件_引言三级无标题"/>
    <w:basedOn w:val="203"/>
    <w:next w:val="57"/>
    <w:qFormat/>
    <w:uiPriority w:val="0"/>
    <w:pPr>
      <w:spacing w:before="0" w:beforeLines="0" w:after="0" w:afterLines="0" w:line="276" w:lineRule="auto"/>
    </w:pPr>
    <w:rPr>
      <w:rFonts w:ascii="宋体" w:eastAsia="宋体"/>
    </w:rPr>
  </w:style>
  <w:style w:type="paragraph" w:customStyle="1" w:styleId="220">
    <w:name w:val="标准文件_引言四级无标题"/>
    <w:basedOn w:val="204"/>
    <w:next w:val="57"/>
    <w:qFormat/>
    <w:uiPriority w:val="0"/>
    <w:pPr>
      <w:spacing w:before="0" w:beforeLines="0" w:after="0" w:afterLines="0" w:line="276" w:lineRule="auto"/>
    </w:pPr>
    <w:rPr>
      <w:rFonts w:ascii="宋体" w:eastAsia="宋体"/>
    </w:rPr>
  </w:style>
  <w:style w:type="paragraph" w:customStyle="1" w:styleId="221">
    <w:name w:val="标准文件_引言五级无标题"/>
    <w:basedOn w:val="205"/>
    <w:next w:val="57"/>
    <w:qFormat/>
    <w:uiPriority w:val="0"/>
    <w:pPr>
      <w:spacing w:before="0" w:beforeLines="0" w:after="0" w:afterLines="0" w:line="276" w:lineRule="auto"/>
    </w:pPr>
    <w:rPr>
      <w:rFonts w:ascii="宋体" w:eastAsia="宋体"/>
    </w:rPr>
  </w:style>
  <w:style w:type="paragraph" w:customStyle="1" w:styleId="222">
    <w:name w:val="标准文件_索引标题"/>
    <w:basedOn w:val="64"/>
    <w:next w:val="57"/>
    <w:qFormat/>
    <w:uiPriority w:val="0"/>
    <w:rPr>
      <w:rFonts w:hAnsi="黑体"/>
    </w:rPr>
  </w:style>
  <w:style w:type="paragraph" w:customStyle="1" w:styleId="223">
    <w:name w:val="标准文件_脚注内容"/>
    <w:basedOn w:val="57"/>
    <w:qFormat/>
    <w:uiPriority w:val="0"/>
    <w:pPr>
      <w:ind w:left="400" w:leftChars="200" w:hanging="200" w:hangingChars="200"/>
    </w:pPr>
    <w:rPr>
      <w:sz w:val="15"/>
    </w:rPr>
  </w:style>
  <w:style w:type="paragraph" w:customStyle="1" w:styleId="224">
    <w:name w:val="标准文件_术语条一"/>
    <w:basedOn w:val="163"/>
    <w:next w:val="57"/>
    <w:qFormat/>
    <w:uiPriority w:val="0"/>
  </w:style>
  <w:style w:type="paragraph" w:customStyle="1" w:styleId="225">
    <w:name w:val="标准文件_术语条二"/>
    <w:basedOn w:val="166"/>
    <w:next w:val="57"/>
    <w:qFormat/>
    <w:uiPriority w:val="0"/>
  </w:style>
  <w:style w:type="paragraph" w:customStyle="1" w:styleId="226">
    <w:name w:val="标准文件_术语条三"/>
    <w:basedOn w:val="165"/>
    <w:next w:val="57"/>
    <w:qFormat/>
    <w:uiPriority w:val="0"/>
  </w:style>
  <w:style w:type="paragraph" w:customStyle="1" w:styleId="227">
    <w:name w:val="标准文件_术语条四"/>
    <w:basedOn w:val="168"/>
    <w:next w:val="57"/>
    <w:qFormat/>
    <w:uiPriority w:val="0"/>
  </w:style>
  <w:style w:type="paragraph" w:customStyle="1" w:styleId="228">
    <w:name w:val="标准文件_术语条五"/>
    <w:basedOn w:val="164"/>
    <w:next w:val="57"/>
    <w:qFormat/>
    <w:uiPriority w:val="0"/>
  </w:style>
  <w:style w:type="paragraph" w:customStyle="1" w:styleId="229">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0">
    <w:name w:val="发布"/>
    <w:basedOn w:val="29"/>
    <w:qFormat/>
    <w:uiPriority w:val="0"/>
    <w:rPr>
      <w:rFonts w:ascii="黑体" w:eastAsia="黑体"/>
      <w:spacing w:val="85"/>
      <w:w w:val="100"/>
      <w:position w:val="3"/>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glossaryDocument" Target="glossary/document.xml"/><Relationship Id="rId28" Type="http://schemas.openxmlformats.org/officeDocument/2006/relationships/fontTable" Target="fontTable.xml"/><Relationship Id="rId27" Type="http://schemas.openxmlformats.org/officeDocument/2006/relationships/customXml" Target="../customXml/item3.xml"/><Relationship Id="rId26" Type="http://schemas.openxmlformats.org/officeDocument/2006/relationships/customXml" Target="../customXml/item2.xml"/><Relationship Id="rId25" Type="http://schemas.openxmlformats.org/officeDocument/2006/relationships/numbering" Target="numbering.xml"/><Relationship Id="rId24" Type="http://schemas.openxmlformats.org/officeDocument/2006/relationships/customXml" Target="../customXml/item1.xml"/><Relationship Id="rId23" Type="http://schemas.openxmlformats.org/officeDocument/2006/relationships/image" Target="media/image4.jpeg"/><Relationship Id="rId22" Type="http://schemas.openxmlformats.org/officeDocument/2006/relationships/image" Target="media/image3.wmf"/><Relationship Id="rId21" Type="http://schemas.openxmlformats.org/officeDocument/2006/relationships/oleObject" Target="embeddings/oleObject1.bin"/><Relationship Id="rId20" Type="http://schemas.openxmlformats.org/officeDocument/2006/relationships/image" Target="media/image2.png"/><Relationship Id="rId2" Type="http://schemas.openxmlformats.org/officeDocument/2006/relationships/settings" Target="settings.xml"/><Relationship Id="rId19" Type="http://schemas.openxmlformats.org/officeDocument/2006/relationships/image" Target="media/image1.png"/><Relationship Id="rId18" Type="http://schemas.openxmlformats.org/officeDocument/2006/relationships/theme" Target="theme/theme1.xml"/><Relationship Id="rId17" Type="http://schemas.openxmlformats.org/officeDocument/2006/relationships/footer" Target="footer6.xml"/><Relationship Id="rId16" Type="http://schemas.openxmlformats.org/officeDocument/2006/relationships/header" Target="header7.xml"/><Relationship Id="rId15" Type="http://schemas.openxmlformats.org/officeDocument/2006/relationships/header" Target="header6.xml"/><Relationship Id="rId14" Type="http://schemas.openxmlformats.org/officeDocument/2006/relationships/footer" Target="footer5.xml"/><Relationship Id="rId13" Type="http://schemas.openxmlformats.org/officeDocument/2006/relationships/footer" Target="footer4.xml"/><Relationship Id="rId12" Type="http://schemas.openxmlformats.org/officeDocument/2006/relationships/footer" Target="footer3.xml"/><Relationship Id="rId11" Type="http://schemas.openxmlformats.org/officeDocument/2006/relationships/header" Target="header5.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242;&#20307;&#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DD466AA5B634692AE5843E0F6D9F7F9"/>
        <w:style w:val=""/>
        <w:category>
          <w:name w:val="常规"/>
          <w:gallery w:val="placeholder"/>
        </w:category>
        <w:types>
          <w:type w:val="bbPlcHdr"/>
        </w:types>
        <w:behaviors>
          <w:behavior w:val="content"/>
        </w:behaviors>
        <w:description w:val=""/>
        <w:guid w:val="{04209939-A7F6-4420-8E46-77F1F0A1A4BA}"/>
      </w:docPartPr>
      <w:docPartBody>
        <w:p w14:paraId="167A00A2">
          <w:pPr>
            <w:pStyle w:val="5"/>
          </w:pPr>
          <w:r>
            <w:rPr>
              <w:rStyle w:val="4"/>
              <w:rFonts w:hint="eastAsia"/>
            </w:rPr>
            <w:t>单击或点击此处输入文字。</w:t>
          </w:r>
        </w:p>
      </w:docPartBody>
    </w:docPart>
    <w:docPart>
      <w:docPartPr>
        <w:name w:val="4032439E6D3A49189AD006BF6EB43BC9"/>
        <w:style w:val=""/>
        <w:category>
          <w:name w:val="常规"/>
          <w:gallery w:val="placeholder"/>
        </w:category>
        <w:types>
          <w:type w:val="bbPlcHdr"/>
        </w:types>
        <w:behaviors>
          <w:behavior w:val="content"/>
        </w:behaviors>
        <w:description w:val=""/>
        <w:guid w:val="{BCB31299-53AE-49C3-BFCF-9F10844E65A9}"/>
      </w:docPartPr>
      <w:docPartBody>
        <w:p w14:paraId="7A70F10B">
          <w:pPr>
            <w:pStyle w:val="6"/>
          </w:pPr>
          <w:r>
            <w:rPr>
              <w:rStyle w:val="4"/>
              <w:rFonts w:hint="eastAsia"/>
            </w:rPr>
            <w:t>选择一项。</w:t>
          </w:r>
        </w:p>
      </w:docPartBody>
    </w:docPart>
    <w:docPart>
      <w:docPartPr>
        <w:name w:val="7B0BF34A932846FAA9388839B438211C"/>
        <w:style w:val=""/>
        <w:category>
          <w:name w:val="常规"/>
          <w:gallery w:val="placeholder"/>
        </w:category>
        <w:types>
          <w:type w:val="bbPlcHdr"/>
        </w:types>
        <w:behaviors>
          <w:behavior w:val="content"/>
        </w:behaviors>
        <w:description w:val=""/>
        <w:guid w:val="{3A174586-4423-441A-A6E4-8DBDC8F98F2C}"/>
      </w:docPartPr>
      <w:docPartBody>
        <w:p w14:paraId="00E5857E">
          <w:pPr>
            <w:pStyle w:val="8"/>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6662"/>
    <w:rsid w:val="002D2F3B"/>
    <w:rsid w:val="00546DE6"/>
    <w:rsid w:val="008F3A34"/>
    <w:rsid w:val="00D65693"/>
    <w:rsid w:val="00E33F4B"/>
    <w:rsid w:val="00EB4992"/>
    <w:rsid w:val="00F66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8DD466AA5B634692AE5843E0F6D9F7F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4032439E6D3A49189AD006BF6EB43BC9"/>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9AEA391D856C44C49EFFABBC857CC72C"/>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7B0BF34A932846FAA9388839B438211C"/>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contractReview xmlns="http://schemas.wps.cn/vas-ai-hub/contract-review">
  <reviewItems>
    <reviewItem>
      <errorID>b45fe234-16ee-4555-901e-47a84f0fcafd</errorID>
      <errorWord>&lt;</errorWord>
      <group>L1_Format</group>
      <groupName>格式问题</groupName>
      <ability>L2_HalfPunc</ability>
      <abilityName>全半角检查</abilityName>
      <candidateList>
        <item>〈</item>
      </candidateList>
      <explain>文本全半角错误。</explain>
      <paraID>123AA134</paraID>
      <start>20</start>
      <end>21</end>
      <status>modified</status>
      <modifiedWord>〈</modifiedWord>
      <trackRevisions>true</trackRevisions>
    </reviewItem>
    <reviewItem>
      <errorID>a27cee61-bdf0-4b7b-bc24-8ac841fe8666</errorID>
      <errorWord>&gt;的通知》</errorWord>
      <group>L1_Punc</group>
      <groupName>标点问题</groupName>
      <ability>L2_Punc</ability>
      <abilityName>标点符号检查</abilityName>
      <candidateList>
        <item>〉的通知》</item>
      </candidateList>
      <explain/>
      <paraID>123AA134</paraID>
      <start>41</start>
      <end>51</end>
      <status>modified</status>
      <modifiedWord>〉的通知》</modifiedWord>
      <trackRevisions>true</trackRevisions>
    </reviewItem>
    <reviewItem>
      <errorID>d270b941-6c5d-4418-b5f6-769f23501b8b</errorID>
      <errorWord>本</errorWord>
      <group>L1_AI</group>
      <groupName>深度校对</groupName>
      <ability>L2_AI_Punc</ability>
      <abilityName>标点纠错</abilityName>
      <candidateList>
        <item>，本</item>
      </candidateList>
      <explain/>
      <paraID>7225B339</paraID>
      <start>3</start>
      <end>4</end>
      <status>unmodified</status>
      <modifiedWord/>
      <trackRevisions>false</trackRevisions>
    </reviewItem>
    <reviewItem>
      <errorID>70b52ee5-b64b-41ae-99aa-74322f98b343</errorID>
      <errorWord>(</errorWord>
      <group>L1_Format</group>
      <groupName>格式问题</groupName>
      <ability>L2_HalfPunc</ability>
      <abilityName>全半角检查</abilityName>
      <candidateList>
        <item>（</item>
      </candidateList>
      <explain>文本全半角错误。</explain>
      <paraID>7720A6D0</paraID>
      <start>21</start>
      <end>22</end>
      <status>unmodified</status>
      <modifiedWord/>
      <trackRevisions>false</trackRevisions>
    </reviewItem>
    <reviewItem>
      <errorID>f2d6f962-dd41-4668-be4c-c8954595e157</errorID>
      <errorWord>)</errorWord>
      <group>L1_Format</group>
      <groupName>格式问题</groupName>
      <ability>L2_HalfPunc</ability>
      <abilityName>全半角检查</abilityName>
      <candidateList>
        <item>）</item>
      </candidateList>
      <explain>文本全半角错误。</explain>
      <paraID>7720A6D0</paraID>
      <start>27</start>
      <end>28</end>
      <status>unmodified</status>
      <modifiedWord/>
      <trackRevisions>false</trackRevisions>
    </reviewItem>
    <reviewItem>
      <errorID>e4ecd58d-4baa-4ff5-99a7-9426def92b38</errorID>
      <errorWord> 建筑幕墙和门窗抗风携碎物冲击性能分级及检测方法</errorWord>
      <group>L1_AI</group>
      <groupName>深度校对</groupName>
      <ability>L2_AI_Punc</ability>
      <abilityName>标点纠错</abilityName>
      <candidateList>
        <item>《建筑幕墙和门窗抗风携碎物冲击性能分级及检测方法》</item>
      </candidateList>
      <explain/>
      <paraID>7F792F35</paraID>
      <start>10</start>
      <end>34</end>
      <status>unmodified</status>
      <modifiedWord/>
      <trackRevisions>false</trackRevisions>
    </reviewItem>
    <reviewItem>
      <errorID>a0948a1b-a5a6-4abe-a3ff-030d4e8564ab</errorID>
      <errorWord>成为</errorWord>
      <group>L1_Word</group>
      <groupName>字词问题</groupName>
      <ability>L2_Typo</ability>
      <abilityName>字词错误</abilityName>
      <candidateList>
        <item>称为</item>
      </candidateList>
      <explain>存在发音相同字词的误用。</explain>
      <paraID>7E25F623</paraID>
      <start>20</start>
      <end>24</end>
      <status>modified</status>
      <modifiedWord>称为</modifiedWord>
      <trackRevisions>true</trackRevisions>
    </reviewItem>
    <reviewItem>
      <errorID>440c3647-0da2-447d-b45f-32381ea186f3</errorID>
      <errorWord>(</errorWord>
      <group>L1_Format</group>
      <groupName>格式问题</groupName>
      <ability>L2_HalfPunc</ability>
      <abilityName>全半角检查</abilityName>
      <candidateList>
        <item>（</item>
      </candidateList>
      <explain>文本全半角错误。</explain>
      <paraID>30B94D5E</paraID>
      <start>41</start>
      <end>42</end>
      <status>unmodified</status>
      <modifiedWord/>
      <trackRevisions>false</trackRevisions>
    </reviewItem>
    <reviewItem>
      <errorID>0b2f617c-c5bc-44e6-9388-0c9c13ef55c4</errorID>
      <errorWord>)</errorWord>
      <group>L1_Format</group>
      <groupName>格式问题</groupName>
      <ability>L2_HalfPunc</ability>
      <abilityName>全半角检查</abilityName>
      <candidateList>
        <item>）</item>
      </candidateList>
      <explain>文本全半角错误。</explain>
      <paraID>30B94D5E</paraID>
      <start>59</start>
      <end>60</end>
      <status>unmodified</status>
      <modifiedWord/>
      <trackRevisions>false</trackRevisions>
    </reviewItem>
    <reviewItem>
      <errorID>365ff98b-3529-492f-948c-ef1f0d978bb7</errorID>
      <errorWord>(</errorWord>
      <group>L1_Format</group>
      <groupName>格式问题</groupName>
      <ability>L2_HalfPunc</ability>
      <abilityName>全半角检查</abilityName>
      <candidateList>
        <item>（</item>
      </candidateList>
      <explain>文本全半角错误。</explain>
      <paraID>72E97798</paraID>
      <start>49</start>
      <end>50</end>
      <status>unmodified</status>
      <modifiedWord/>
      <trackRevisions>false</trackRevisions>
    </reviewItem>
    <reviewItem>
      <errorID>50bf554a-d512-4e37-b10a-9227ce9ddf31</errorID>
      <errorWord>)</errorWord>
      <group>L1_Format</group>
      <groupName>格式问题</groupName>
      <ability>L2_HalfPunc</ability>
      <abilityName>全半角检查</abilityName>
      <candidateList>
        <item>）</item>
      </candidateList>
      <explain>文本全半角错误。</explain>
      <paraID>72E97798</paraID>
      <start>67</start>
      <end>68</end>
      <status>unmodified</status>
      <modifiedWord/>
      <trackRevisions>false</trackRevisions>
    </reviewItem>
    <reviewItem>
      <errorID>248d93ab-8bd3-47cf-bf77-5afd639ec475</errorID>
      <errorWord>相关的</errorWord>
      <group>L1_Word</group>
      <groupName>字词问题</groupName>
      <ability>L2_Typo</ability>
      <abilityName>字词错误</abilityName>
      <candidateList>
        <item>相关</item>
      </candidateList>
      <explain>〈动〉彼此关连：休戚～｜体育事业和人民健康密切～。</explain>
      <paraID>644B2D3E</paraID>
      <start>33</start>
      <end>36</end>
      <status>unmodified</status>
      <modifiedWord/>
      <trackRevisions>false</trackRevisions>
    </reviewItem>
    <reviewItem>
      <errorID>bc97c4a8-37f8-44c2-8431-599d1d527cc9</errorID>
      <errorWord>联接</errorWord>
      <group>L1_AI</group>
      <groupName>深度校对</groupName>
      <ability>L2_AI_Word</ability>
      <abilityName>字词纠错</abilityName>
      <candidateList>
        <item>连接</item>
      </candidateList>
      <explain/>
      <paraID>6E2590FF</paraID>
      <start>6</start>
      <end>8</end>
      <status>unmodified</status>
      <modifiedWord/>
      <trackRevisions>false</trackRevisions>
    </reviewItem>
    <reviewItem>
      <errorID>d376b565-a27b-443b-8559-a43d065b2653</errorID>
      <errorWord>做窗</errorWord>
      <group>L1_Word</group>
      <groupName>字词问题</groupName>
      <ability>L2_Typo</ability>
      <abilityName>字词错误</abilityName>
      <candidateList>
        <item>做出</item>
      </candidateList>
      <explain/>
      <paraID>6E2590FF</paraID>
      <start>31</start>
      <end>33</end>
      <status>unmodified</status>
      <modifiedWord/>
      <trackRevisions>false</trackRevisions>
    </reviewItem>
    <reviewItem>
      <errorID>21b367e2-c9cc-4895-8059-d053f87725bf</errorID>
      <errorWord>联接</errorWord>
      <group>L1_Word</group>
      <groupName>字词问题</groupName>
      <ability>L2_Typo</ability>
      <abilityName>字词错误</abilityName>
      <candidateList>
        <item>连接</item>
      </candidateList>
      <explain>存在发音相同字词的误用。</explain>
      <paraID>6E2590FF</paraID>
      <start>35</start>
      <end>37</end>
      <status>unmodified</status>
      <modifiedWord/>
      <trackRevisions>false</trackRevisions>
    </reviewItem>
    <reviewItem>
      <errorID>cfb3d757-a066-4e38-ba95-e52241985fa7</errorID>
      <errorWord>封堵</errorWord>
      <group>L1_AI</group>
      <groupName>深度校对</groupName>
      <ability>L2_AI_Title</ability>
      <abilityName>标题检查</abilityName>
      <candidateList>
        <item>5.2.3封堵</item>
      </candidateList>
      <explain>标题顺序错误，请检查标题顺序是否合理。</explain>
      <paraID>19B242AC</paraID>
      <start>0</start>
      <end>2</end>
      <status>unmodified</status>
      <modifiedWord/>
      <trackRevisions>false</trackRevisions>
    </reviewItem>
    <reviewItem>
      <errorID>d0a09228-0090-493b-a0bd-5f614a8772d7</errorID>
      <errorWord>胶粘剂</errorWord>
      <group>L1_AI</group>
      <groupName>深度校对</groupName>
      <ability>L2_AI_Word</ability>
      <abilityName>字词纠错</abilityName>
      <candidateList>
        <item>密封胶</item>
      </candidateList>
      <explain/>
      <paraID>19B242AC</paraID>
      <start>37</start>
      <end>40</end>
      <status>unmodified</status>
      <modifiedWord/>
      <trackRevisions>false</trackRevisions>
    </reviewItem>
    <reviewItem>
      <errorID>085035c1-8f0d-4303-812c-4de125d4b780</errorID>
      <errorWord>不</errorWord>
      <group>L1_AI</group>
      <groupName>深度校对</groupName>
      <ability>L2_AI_Punc</ability>
      <abilityName>标点纠错</abilityName>
      <candidateList>
        <item>，不</item>
      </candidateList>
      <explain/>
      <paraID>33F6D45C</paraID>
      <start>23</start>
      <end>24</end>
      <status>unmodified</status>
      <modifiedWord/>
      <trackRevisions>false</trackRevisions>
    </reviewItem>
    <reviewItem>
      <errorID>6c34279b-ced7-4965-bda5-6914a01657da</errorID>
      <errorWord>，</errorWord>
      <group>L1_AI</group>
      <groupName>深度校对</groupName>
      <ability>L2_AI_Punc</ability>
      <abilityName>标点纠错</abilityName>
      <candidateList>
        <item>；</item>
      </candidateList>
      <explain/>
      <paraID>33F6D45C</paraID>
      <start>30</start>
      <end>31</end>
      <status>unmodified</status>
      <modifiedWord/>
      <trackRevisions>false</trackRevisions>
    </reviewItem>
    <reviewItem>
      <errorID>f19c73bf-5136-470d-a668-d31ffc25e932</errorID>
      <errorWord>～</errorWord>
      <group>L1_Format</group>
      <groupName>格式问题</groupName>
      <ability>L2_HalfPunc</ability>
      <abilityName>全半角检查</abilityName>
      <candidateList>
        <item>~</item>
      </candidateList>
      <explain>文本全半角错误。</explain>
      <paraID>7F38E99D</paraID>
      <start>5</start>
      <end>6</end>
      <status>unmodified</status>
      <modifiedWord/>
      <trackRevisions>false</trackRevisions>
    </reviewItem>
    <reviewItem>
      <errorID>a7110a18-dd71-4cd8-bac2-d1e41c057259</errorID>
      <errorWord>～</errorWord>
      <group>L1_Format</group>
      <groupName>格式问题</groupName>
      <ability>L2_HalfPunc</ability>
      <abilityName>全半角检查</abilityName>
      <candidateList>
        <item>~</item>
      </candidateList>
      <explain>文本全半角错误。</explain>
      <paraID>352B2DD4</paraID>
      <start>5</start>
      <end>6</end>
      <status>unmodified</status>
      <modifiedWord/>
      <trackRevisions>false</trackRevisions>
    </reviewItem>
    <reviewItem>
      <errorID>85bcbfc2-c7de-4ffb-8206-fba9b07728dc</errorID>
      <errorWord>分格</errorWord>
      <group>L1_Word</group>
      <groupName>字词问题</groupName>
      <ability>L2_Typo</ability>
      <abilityName>字词错误</abilityName>
      <candidateList>
        <item>分隔</item>
      </candidateList>
      <explain/>
      <paraID>7ACEB627</paraID>
      <start>79</start>
      <end>81</end>
      <status>unmodified</status>
      <modifiedWord/>
      <trackRevisions>false</trackRevisions>
    </reviewItem>
    <reviewItem>
      <errorID>5b637454-eaf0-45ff-bb41-5025d1cd1ffb</errorID>
      <errorWord>)</errorWord>
      <group>L1_Format</group>
      <groupName>格式问题</groupName>
      <ability>L2_HalfPunc</ability>
      <abilityName>全半角检查</abilityName>
      <candidateList>
        <item>）</item>
      </candidateList>
      <explain>文本全半角错误。</explain>
      <paraID>2CD1C9D9</paraID>
      <start>57</start>
      <end>58</end>
      <status>unmodified</status>
      <modifiedWord/>
      <trackRevisions>false</trackRevisions>
    </reviewItem>
    <reviewItem>
      <errorID>1c531d03-8f8e-4379-9b4e-5a4143aa7dcf</errorID>
      <errorWord>得热系数</errorWord>
      <group>L1_Knowledge</group>
      <groupName>知识性问题</groupName>
      <ability>L2_Term</ability>
      <abilityName>专业术语</abilityName>
      <candidateList>
        <item>导热系数</item>
      </candidateList>
      <explain/>
      <paraID>405567C9</paraID>
      <start>54</start>
      <end>58</end>
      <status>unmodified</status>
      <modifiedWord/>
      <trackRevisions>false</trackRevisions>
    </reviewItem>
    <reviewItem>
      <errorID>4610e744-1efb-4fdb-bbae-47dff4a6bd56</errorID>
      <errorWord>作</errorWord>
      <group>L1_Word</group>
      <groupName>字词问题</groupName>
      <ability>L2_Typo</ability>
      <abilityName>字词错误</abilityName>
      <candidateList>
        <item>做</item>
      </candidateList>
      <explain>存在发音相同字词的误用。</explain>
      <paraID>2CC0E094</paraID>
      <start>70</start>
      <end>71</end>
      <status>unmodified</status>
      <modifiedWord/>
      <trackRevisions>false</trackRevisions>
    </reviewItem>
    <reviewItem>
      <errorID>717f781c-f8c8-49fc-858e-570a1cabadd8</errorID>
      <errorWord>视察</errorWord>
      <group>L1_Word</group>
      <groupName>字词问题</groupName>
      <ability>L2_Typo</ability>
      <abilityName>字词错误</abilityName>
      <candidateList>
        <item>观察</item>
      </candidateList>
      <explain>存在字形相近字词的误用。</explain>
      <paraID>4EB96E2E</paraID>
      <start>4</start>
      <end>8</end>
      <status>modified</status>
      <modifiedWord>观察</modifiedWord>
      <trackRevisions>true</trackRevisions>
    </reviewItem>
    <reviewItem>
      <errorID>5100d335-dee1-46c6-906f-56e0b4a7bba3</errorID>
      <errorWord>手试</errorWord>
      <group>L1_Word</group>
      <groupName>字词问题</groupName>
      <ability>L2_Typo</ability>
      <abilityName>字词错误</abilityName>
      <candidateList>
        <item>手术</item>
      </candidateList>
      <explain/>
      <paraID>4EB96E2E</paraID>
      <start>9</start>
      <end>11</end>
      <status>unmodified</status>
      <modifiedWord/>
      <trackRevisions>false</trackRevisions>
    </reviewItem>
    <reviewItem>
      <errorID>038a1d96-e5e9-41fb-a6d9-d7b318400c48</errorID>
      <errorWord>(</errorWord>
      <group>L1_Format</group>
      <groupName>格式问题</groupName>
      <ability>L2_HalfPunc</ability>
      <abilityName>全半角检查</abilityName>
      <candidateList>
        <item>（</item>
      </candidateList>
      <explain>文本全半角错误。</explain>
      <paraID>7757E499</paraID>
      <start>9</start>
      <end>10</end>
      <status>unmodified</status>
      <modifiedWord/>
      <trackRevisions>false</trackRevisions>
    </reviewItem>
    <reviewItem>
      <errorID>15a9f97a-4e7a-4a2a-a4f9-cc189f424b51</errorID>
      <errorWord>)</errorWord>
      <group>L1_Format</group>
      <groupName>格式问题</groupName>
      <ability>L2_HalfPunc</ability>
      <abilityName>全半角检查</abilityName>
      <candidateList>
        <item>）</item>
      </candidateList>
      <explain>文本全半角错误。</explain>
      <paraID>7757E499</paraID>
      <start>15</start>
      <end>16</end>
      <status>unmodified</status>
      <modifiedWord/>
      <trackRevisions>false</trackRevisions>
    </reviewItem>
    <reviewItem>
      <errorID>fc53a497-187f-4e35-b249-d3ce3b20df82</errorID>
      <errorWord>，</errorWord>
      <group>L1_Word</group>
      <groupName>字词问题</groupName>
      <ability>L2_Typo</ability>
      <abilityName>字词错误</abilityName>
      <candidateList>
        <item>，在</item>
      </candidateList>
      <explain/>
      <paraID>7D72F6C3</paraID>
      <start>40</start>
      <end>41</end>
      <status>unmodified</status>
      <modifiedWord/>
      <trackRevisions>false</trackRevisions>
    </reviewItem>
    <reviewItem>
      <errorID>acb4827c-7fef-4dd0-a5a6-af62ed050798</errorID>
      <errorWord>对于有</errorWord>
      <group>L1_Word</group>
      <groupName>字词问题</groupName>
      <ability>L2_Typo</ability>
      <abilityName>字词错误</abilityName>
      <candidateList>
        <item>对于</item>
      </candidateList>
      <explain>〈介〉引进对象或事物的关系者：～公共财产，无论大小，我们都应该爱惜｜大家～这个问题的意见是一致的。</explain>
      <paraID> 57817DB</paraID>
      <start>0</start>
      <end>3</end>
      <status>unmodified</status>
      <modifiedWord/>
      <trackRevisions>false</trackRevisions>
    </reviewItem>
    <reviewItem>
      <errorID>84c795ca-be08-472b-b269-1eccee59efb1</errorID>
      <errorWord>(</errorWord>
      <group>L1_Format</group>
      <groupName>格式问题</groupName>
      <ability>L2_HalfPunc</ability>
      <abilityName>全半角检查</abilityName>
      <candidateList>
        <item>（</item>
      </candidateList>
      <explain>文本全半角错误。</explain>
      <paraID> 2EC6389</paraID>
      <start>25</start>
      <end>26</end>
      <status>unmodified</status>
      <modifiedWord/>
      <trackRevisions>false</trackRevisions>
    </reviewItem>
    <reviewItem>
      <errorID>1df092e5-dde9-4067-805d-82eec4766fc6</errorID>
      <errorWord>)</errorWord>
      <group>L1_Format</group>
      <groupName>格式问题</groupName>
      <ability>L2_HalfPunc</ability>
      <abilityName>全半角检查</abilityName>
      <candidateList>
        <item>）</item>
      </candidateList>
      <explain>文本全半角错误。</explain>
      <paraID> 2EC6389</paraID>
      <start>32</start>
      <end>33</end>
      <status>unmodified</status>
      <modifiedWord/>
      <trackRevisions>false</trackRevisions>
    </reviewItem>
    <reviewItem>
      <errorID>822e497d-39b8-44d9-a3f6-b658ef2fa5c5</errorID>
      <errorWord>(</errorWord>
      <group>L1_Format</group>
      <groupName>格式问题</groupName>
      <ability>L2_HalfPunc</ability>
      <abilityName>全半角检查</abilityName>
      <candidateList>
        <item>（</item>
      </candidateList>
      <explain>文本全半角错误。</explain>
      <paraID>4507BC26</paraID>
      <start>20</start>
      <end>21</end>
      <status>unmodified</status>
      <modifiedWord/>
      <trackRevisions>false</trackRevisions>
    </reviewItem>
    <reviewItem>
      <errorID>7acb31bc-72eb-4e39-bedd-f9b9e5eb2990</errorID>
      <errorWord>)</errorWord>
      <group>L1_Format</group>
      <groupName>格式问题</groupName>
      <ability>L2_HalfPunc</ability>
      <abilityName>全半角检查</abilityName>
      <candidateList>
        <item>）</item>
      </candidateList>
      <explain>文本全半角错误。</explain>
      <paraID>4507BC26</paraID>
      <start>30</start>
      <end>31</end>
      <status>unmodified</status>
      <modifiedWord/>
      <trackRevisions>false</trackRevisions>
    </reviewItem>
    <reviewItem>
      <errorID>a2731e99-b214-4e6a-aaf2-9db2e3e958a2</errorID>
      <errorWord>樘</errorWord>
      <group>L1_Knowledge</group>
      <groupName>知识性问题</groupName>
      <ability>L2_Knowledge</ability>
      <abilityName>其他知识</abilityName>
      <candidateList>
        <item>扇</item>
      </candidateList>
      <explain/>
      <paraID>65D8816A</paraID>
      <start>10</start>
      <end>11</end>
      <status>unmodified</status>
      <modifiedWord/>
      <trackRevisions>false</trackRevisions>
    </reviewItem>
    <reviewItem>
      <errorID>35df5ec4-a212-44be-810e-cb89bea90bf3</errorID>
      <errorWord>，使</errorWord>
      <group>L1_Word</group>
      <groupName>字词问题</groupName>
      <ability>L2_Typo</ability>
      <abilityName>字词错误</abilityName>
      <candidateList>
        <item>，</item>
      </candidateList>
      <explain/>
      <paraID>65D8816A</paraID>
      <start>17</start>
      <end>19</end>
      <status>unmodified</status>
      <modifiedWord/>
      <trackRevisions>false</trackRevisions>
    </reviewItem>
  </reviewItems>
  <config/>
</contractReview>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4d46a40-a551-4f96-9249-6e85eb3f310a}">
  <ds:schemaRefs/>
</ds:datastoreItem>
</file>

<file path=customXml/itemProps3.xml><?xml version="1.0" encoding="utf-8"?>
<ds:datastoreItem xmlns:ds="http://schemas.openxmlformats.org/officeDocument/2006/customXml" ds:itemID="{BF21CE1D-9742-46AE-9232-3D7D9FAE30A4}">
  <ds:schemaRefs/>
</ds:datastoreItem>
</file>

<file path=docProps/app.xml><?xml version="1.0" encoding="utf-8"?>
<Properties xmlns="http://schemas.openxmlformats.org/officeDocument/2006/extended-properties" xmlns:vt="http://schemas.openxmlformats.org/officeDocument/2006/docPropsVTypes">
  <Template>团体标准</Template>
  <Company>PCMI</Company>
  <Pages>16</Pages>
  <Words>1431</Words>
  <Characters>1812</Characters>
  <Lines>76</Lines>
  <Paragraphs>21</Paragraphs>
  <TotalTime>32</TotalTime>
  <ScaleCrop>false</ScaleCrop>
  <LinksUpToDate>false</LinksUpToDate>
  <CharactersWithSpaces>1934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2021-01-28T01:10:00Z</dcterms:created>
  <dc:creator>L HT</dc:creator>
  <dc:description>&lt;config cover="true" show_menu="true" version="1.0.0" doctype="SDKXY"&gt;_x000d_
&lt;/config&gt;</dc:description>
  <cp:lastModifiedBy>张智杏</cp:lastModifiedBy>
  <cp:lastPrinted>2020-08-30T10:00:00Z</cp:lastPrinted>
  <dcterms:modified xsi:type="dcterms:W3CDTF">2025-12-31T02:35:33Z</dcterms:modified>
  <dc:title>团体标准</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团体标准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1</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TemplateDocerSaveRecord">
    <vt:lpwstr>eyJoZGlkIjoiYTEyOTI1NDE4Y2Y4M2E3ZGUxMDRhN2ExM2U1ODk0NWMiLCJ1c2VySWQiOiIzNTA5MzQyOTUifQ==</vt:lpwstr>
  </property>
  <property fmtid="{D5CDD505-2E9C-101B-9397-08002B2CF9AE}" pid="15" name="KSOProductBuildVer">
    <vt:lpwstr>2052-12.1.0.24034</vt:lpwstr>
  </property>
  <property fmtid="{D5CDD505-2E9C-101B-9397-08002B2CF9AE}" pid="16" name="ICV">
    <vt:lpwstr>5EBB77C88C614C7880DC0B1E0FC36897_13</vt:lpwstr>
  </property>
</Properties>
</file>