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4E987D">
      <w:pPr>
        <w:adjustRightInd w:val="0"/>
        <w:snapToGrid w:val="0"/>
        <w:spacing w:before="240" w:after="240" w:line="320" w:lineRule="atLeast"/>
        <w:ind w:right="261" w:firstLine="643"/>
        <w:rPr>
          <w:rFonts w:eastAsia="黑体"/>
          <w:b/>
          <w:sz w:val="32"/>
        </w:rPr>
      </w:pPr>
      <w:bookmarkStart w:id="0" w:name="_Hlk518993094"/>
      <w:bookmarkEnd w:id="0"/>
      <w:r>
        <w:rPr>
          <w:rFonts w:eastAsia="黑体"/>
          <w:b/>
          <w:sz w:val="32"/>
        </w:rPr>
        <w:drawing>
          <wp:inline distT="0" distB="0" distL="0" distR="0">
            <wp:extent cx="1536065" cy="1053465"/>
            <wp:effectExtent l="0" t="0" r="6985" b="0"/>
            <wp:docPr id="1" name="图片 1" descr="E:\BIM\P-BIM协会标准\P-BIM标准2016年工作\发布\更新\协会商标（黑白）.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E:\BIM\P-BIM协会标准\P-BIM标准2016年工作\发布\更新\协会商标（黑白）.jpg"/>
                    <pic:cNvPicPr>
                      <a:picLocks noChangeAspect="1" noChangeArrowheads="1"/>
                    </pic:cNvPicPr>
                  </pic:nvPicPr>
                  <pic:blipFill>
                    <a:blip r:embed="rId6">
                      <a:extLst>
                        <a:ext uri="{28A0092B-C50C-407E-A947-70E740481C1C}">
                          <a14:useLocalDpi xmlns:a14="http://schemas.microsoft.com/office/drawing/2010/main" val="0"/>
                        </a:ext>
                      </a:extLst>
                    </a:blip>
                    <a:srcRect l="11160" t="15569" r="13821" b="18562"/>
                    <a:stretch>
                      <a:fillRect/>
                    </a:stretch>
                  </pic:blipFill>
                  <pic:spPr>
                    <a:xfrm>
                      <a:off x="0" y="0"/>
                      <a:ext cx="1536065" cy="1053465"/>
                    </a:xfrm>
                    <a:prstGeom prst="rect">
                      <a:avLst/>
                    </a:prstGeom>
                    <a:noFill/>
                    <a:ln>
                      <a:noFill/>
                    </a:ln>
                  </pic:spPr>
                </pic:pic>
              </a:graphicData>
            </a:graphic>
          </wp:inline>
        </w:drawing>
      </w:r>
      <w:r>
        <w:rPr>
          <w:rFonts w:hint="eastAsia" w:eastAsia="黑体"/>
          <w:b/>
          <w:sz w:val="32"/>
        </w:rPr>
        <w:t xml:space="preserve">                   </w:t>
      </w:r>
    </w:p>
    <w:p w14:paraId="083CCEFA">
      <w:pPr>
        <w:ind w:firstLine="720"/>
        <w:rPr>
          <w:b/>
          <w:sz w:val="36"/>
          <w:u w:val="single"/>
        </w:rPr>
      </w:pPr>
      <w:bookmarkStart w:id="1" w:name="_Toc469392173"/>
      <w:bookmarkStart w:id="2" w:name="_Toc469405546"/>
      <w:bookmarkStart w:id="3" w:name="_Toc24974"/>
      <w:bookmarkStart w:id="4" w:name="_Toc720"/>
      <w:r>
        <w:rPr>
          <w:sz w:val="36"/>
          <w:u w:val="single"/>
        </w:rPr>
        <w:t xml:space="preserve">                       </w:t>
      </w:r>
      <w:r>
        <w:rPr>
          <w:b/>
          <w:sz w:val="36"/>
          <w:u w:val="single"/>
        </w:rPr>
        <w:t xml:space="preserve">T/CECS </w:t>
      </w:r>
      <w:r>
        <w:rPr>
          <w:rFonts w:hint="eastAsia"/>
          <w:b/>
          <w:sz w:val="36"/>
          <w:u w:val="single"/>
        </w:rPr>
        <w:t>XX</w:t>
      </w:r>
      <w:r>
        <w:rPr>
          <w:b/>
          <w:sz w:val="36"/>
          <w:u w:val="single"/>
        </w:rPr>
        <w:t>XX-</w:t>
      </w:r>
      <w:bookmarkEnd w:id="1"/>
      <w:bookmarkEnd w:id="2"/>
      <w:r>
        <w:rPr>
          <w:b/>
          <w:sz w:val="36"/>
          <w:u w:val="single"/>
        </w:rPr>
        <w:t>202X</w:t>
      </w:r>
      <w:bookmarkEnd w:id="3"/>
      <w:bookmarkEnd w:id="4"/>
    </w:p>
    <w:p w14:paraId="1FDCFEF3">
      <w:pPr>
        <w:ind w:firstLine="480"/>
      </w:pPr>
    </w:p>
    <w:p w14:paraId="7C2D779B">
      <w:pPr>
        <w:ind w:firstLine="480"/>
      </w:pPr>
    </w:p>
    <w:p w14:paraId="77527283">
      <w:pPr>
        <w:ind w:firstLine="720"/>
        <w:jc w:val="center"/>
        <w:rPr>
          <w:rFonts w:ascii="黑体" w:hAnsi="黑体" w:eastAsia="黑体"/>
          <w:sz w:val="36"/>
          <w:szCs w:val="36"/>
        </w:rPr>
      </w:pPr>
      <w:r>
        <w:rPr>
          <w:rFonts w:hint="eastAsia" w:ascii="黑体" w:hAnsi="黑体" w:eastAsia="黑体"/>
          <w:sz w:val="36"/>
          <w:szCs w:val="36"/>
        </w:rPr>
        <w:t>中国工程建设标准化协会标准</w:t>
      </w:r>
    </w:p>
    <w:p w14:paraId="30FFF983">
      <w:pPr>
        <w:ind w:firstLine="720"/>
        <w:jc w:val="center"/>
        <w:rPr>
          <w:rFonts w:ascii="黑体" w:hAnsi="黑体" w:eastAsia="黑体"/>
          <w:sz w:val="36"/>
          <w:szCs w:val="36"/>
        </w:rPr>
      </w:pPr>
    </w:p>
    <w:p w14:paraId="246F671B">
      <w:pPr>
        <w:widowControl/>
        <w:jc w:val="center"/>
        <w:rPr>
          <w:rFonts w:ascii="黑体" w:hAnsi="黑体" w:eastAsia="黑体"/>
          <w:b/>
          <w:sz w:val="40"/>
          <w:szCs w:val="40"/>
        </w:rPr>
      </w:pPr>
    </w:p>
    <w:p w14:paraId="218852FE">
      <w:pPr>
        <w:widowControl/>
        <w:spacing w:line="360" w:lineRule="auto"/>
        <w:ind w:firstLine="1040"/>
        <w:jc w:val="center"/>
        <w:rPr>
          <w:rFonts w:ascii="黑体" w:hAnsi="黑体" w:eastAsia="黑体" w:cs="黑体"/>
          <w:bCs/>
          <w:kern w:val="0"/>
          <w:sz w:val="52"/>
          <w:szCs w:val="52"/>
        </w:rPr>
      </w:pPr>
      <w:r>
        <w:rPr>
          <w:rFonts w:hint="eastAsia" w:ascii="黑体" w:hAnsi="黑体" w:eastAsia="黑体" w:cs="黑体"/>
          <w:bCs/>
          <w:kern w:val="0"/>
          <w:sz w:val="52"/>
          <w:szCs w:val="52"/>
        </w:rPr>
        <w:t>城市社区生态评估标准</w:t>
      </w:r>
    </w:p>
    <w:p w14:paraId="1FF07EA7">
      <w:pPr>
        <w:widowControl/>
        <w:spacing w:line="360" w:lineRule="auto"/>
        <w:ind w:firstLine="723"/>
        <w:jc w:val="center"/>
        <w:rPr>
          <w:b/>
          <w:kern w:val="0"/>
          <w:sz w:val="36"/>
          <w:szCs w:val="36"/>
        </w:rPr>
      </w:pPr>
      <w:r>
        <w:rPr>
          <w:b/>
          <w:kern w:val="0"/>
          <w:sz w:val="36"/>
          <w:szCs w:val="36"/>
        </w:rPr>
        <w:t xml:space="preserve">Standards for </w:t>
      </w:r>
      <w:r>
        <w:rPr>
          <w:rFonts w:hint="eastAsia"/>
          <w:b/>
          <w:kern w:val="0"/>
          <w:sz w:val="36"/>
          <w:szCs w:val="36"/>
        </w:rPr>
        <w:t>e</w:t>
      </w:r>
      <w:r>
        <w:rPr>
          <w:b/>
          <w:kern w:val="0"/>
          <w:sz w:val="36"/>
          <w:szCs w:val="36"/>
        </w:rPr>
        <w:t xml:space="preserve">cological </w:t>
      </w:r>
      <w:r>
        <w:rPr>
          <w:rFonts w:hint="eastAsia"/>
          <w:b/>
          <w:kern w:val="0"/>
          <w:sz w:val="36"/>
          <w:szCs w:val="36"/>
        </w:rPr>
        <w:t>a</w:t>
      </w:r>
      <w:r>
        <w:rPr>
          <w:b/>
          <w:kern w:val="0"/>
          <w:sz w:val="36"/>
          <w:szCs w:val="36"/>
        </w:rPr>
        <w:t xml:space="preserve">ssessment of </w:t>
      </w:r>
      <w:r>
        <w:rPr>
          <w:rFonts w:hint="eastAsia"/>
          <w:b/>
          <w:kern w:val="0"/>
          <w:sz w:val="36"/>
          <w:szCs w:val="36"/>
        </w:rPr>
        <w:t>u</w:t>
      </w:r>
      <w:r>
        <w:rPr>
          <w:b/>
          <w:kern w:val="0"/>
          <w:sz w:val="36"/>
          <w:szCs w:val="36"/>
        </w:rPr>
        <w:t xml:space="preserve">rban </w:t>
      </w:r>
      <w:r>
        <w:rPr>
          <w:rFonts w:hint="eastAsia"/>
          <w:b/>
          <w:kern w:val="0"/>
          <w:sz w:val="36"/>
          <w:szCs w:val="36"/>
        </w:rPr>
        <w:t>c</w:t>
      </w:r>
      <w:r>
        <w:rPr>
          <w:b/>
          <w:kern w:val="0"/>
          <w:sz w:val="36"/>
          <w:szCs w:val="36"/>
        </w:rPr>
        <w:t>ommunities</w:t>
      </w:r>
    </w:p>
    <w:p w14:paraId="3689229A">
      <w:pPr>
        <w:widowControl/>
        <w:jc w:val="center"/>
        <w:rPr>
          <w:rFonts w:ascii="宋体" w:hAnsi="宋体"/>
          <w:sz w:val="32"/>
          <w:szCs w:val="32"/>
        </w:rPr>
      </w:pPr>
      <w:r>
        <w:rPr>
          <w:rFonts w:hint="eastAsia" w:ascii="宋体" w:hAnsi="宋体"/>
          <w:sz w:val="32"/>
          <w:szCs w:val="32"/>
        </w:rPr>
        <w:t>（征求意见稿）</w:t>
      </w:r>
    </w:p>
    <w:p w14:paraId="52A4BADA">
      <w:pPr>
        <w:widowControl/>
        <w:jc w:val="center"/>
        <w:rPr>
          <w:rFonts w:hint="eastAsia" w:ascii="宋体" w:hAnsi="宋体"/>
          <w:sz w:val="32"/>
          <w:szCs w:val="32"/>
        </w:rPr>
      </w:pPr>
    </w:p>
    <w:p w14:paraId="0784F87C">
      <w:pPr>
        <w:widowControl/>
        <w:jc w:val="center"/>
        <w:rPr>
          <w:rFonts w:ascii="宋体" w:hAnsi="宋体"/>
          <w:sz w:val="32"/>
          <w:szCs w:val="32"/>
        </w:rPr>
      </w:pPr>
    </w:p>
    <w:p w14:paraId="36A6AF97">
      <w:pPr>
        <w:widowControl/>
        <w:jc w:val="center"/>
        <w:rPr>
          <w:rFonts w:ascii="宋体" w:hAnsi="宋体"/>
          <w:sz w:val="32"/>
          <w:szCs w:val="32"/>
        </w:rPr>
      </w:pPr>
    </w:p>
    <w:p w14:paraId="4F8A8042">
      <w:pPr>
        <w:ind w:firstLine="600"/>
        <w:jc w:val="center"/>
        <w:rPr>
          <w:sz w:val="30"/>
          <w:szCs w:val="30"/>
        </w:rPr>
      </w:pPr>
      <w:r>
        <w:rPr>
          <w:rFonts w:hint="eastAsia"/>
          <w:sz w:val="30"/>
          <w:szCs w:val="30"/>
        </w:rPr>
        <w:t>中国××</w:t>
      </w:r>
      <w:r>
        <w:rPr>
          <w:sz w:val="30"/>
          <w:szCs w:val="30"/>
        </w:rPr>
        <w:t>出版社</w:t>
      </w:r>
    </w:p>
    <w:p w14:paraId="44B1F1E7">
      <w:pPr>
        <w:widowControl/>
        <w:jc w:val="center"/>
        <w:rPr>
          <w:rFonts w:ascii="宋体" w:hAnsi="宋体"/>
          <w:sz w:val="32"/>
          <w:szCs w:val="32"/>
        </w:rPr>
      </w:pPr>
    </w:p>
    <w:p w14:paraId="066AD039">
      <w:pPr>
        <w:widowControl/>
        <w:jc w:val="center"/>
        <w:rPr>
          <w:rFonts w:hint="eastAsia" w:ascii="宋体" w:hAnsi="宋体"/>
          <w:sz w:val="32"/>
          <w:szCs w:val="32"/>
        </w:rPr>
      </w:pPr>
    </w:p>
    <w:p w14:paraId="32CE0DB9">
      <w:pPr>
        <w:widowControl/>
        <w:jc w:val="center"/>
        <w:rPr>
          <w:rFonts w:ascii="宋体" w:hAnsi="宋体"/>
          <w:sz w:val="32"/>
          <w:szCs w:val="32"/>
        </w:rPr>
      </w:pPr>
    </w:p>
    <w:p w14:paraId="2E66F302">
      <w:pPr>
        <w:widowControl/>
        <w:jc w:val="center"/>
        <w:rPr>
          <w:rFonts w:ascii="宋体" w:hAnsi="宋体"/>
          <w:sz w:val="32"/>
          <w:szCs w:val="32"/>
        </w:rPr>
      </w:pPr>
    </w:p>
    <w:p w14:paraId="1B345A1D">
      <w:pPr>
        <w:widowControl/>
        <w:jc w:val="center"/>
        <w:rPr>
          <w:rFonts w:ascii="宋体" w:hAnsi="宋体"/>
          <w:sz w:val="32"/>
          <w:szCs w:val="32"/>
        </w:rPr>
      </w:pPr>
    </w:p>
    <w:p w14:paraId="3FA94AC6">
      <w:pPr>
        <w:ind w:firstLine="720"/>
        <w:jc w:val="center"/>
        <w:rPr>
          <w:sz w:val="36"/>
          <w:szCs w:val="36"/>
        </w:rPr>
      </w:pPr>
      <w:r>
        <w:rPr>
          <w:rFonts w:hint="eastAsia"/>
          <w:sz w:val="36"/>
          <w:szCs w:val="36"/>
        </w:rPr>
        <w:t>中国工程建设标准化协会标准</w:t>
      </w:r>
    </w:p>
    <w:p w14:paraId="5CA66B84">
      <w:pPr>
        <w:ind w:firstLine="720"/>
        <w:jc w:val="center"/>
        <w:rPr>
          <w:sz w:val="36"/>
          <w:szCs w:val="36"/>
        </w:rPr>
      </w:pPr>
    </w:p>
    <w:p w14:paraId="77777BC5">
      <w:pPr>
        <w:ind w:firstLine="880"/>
        <w:jc w:val="center"/>
        <w:rPr>
          <w:sz w:val="44"/>
          <w:szCs w:val="44"/>
        </w:rPr>
      </w:pPr>
    </w:p>
    <w:p w14:paraId="32D56305">
      <w:pPr>
        <w:ind w:firstLine="720"/>
        <w:jc w:val="center"/>
        <w:rPr>
          <w:rFonts w:hint="eastAsia" w:cs="黑体"/>
          <w:bCs/>
          <w:sz w:val="36"/>
          <w:szCs w:val="36"/>
        </w:rPr>
      </w:pPr>
      <w:r>
        <w:rPr>
          <w:rFonts w:hint="eastAsia" w:cs="黑体"/>
          <w:bCs/>
          <w:sz w:val="36"/>
          <w:szCs w:val="36"/>
        </w:rPr>
        <w:t>城市社区生态评估标准</w:t>
      </w:r>
    </w:p>
    <w:p w14:paraId="3DD42615">
      <w:pPr>
        <w:tabs>
          <w:tab w:val="left" w:pos="5115"/>
        </w:tabs>
        <w:ind w:firstLine="723"/>
        <w:jc w:val="center"/>
        <w:rPr>
          <w:b/>
          <w:sz w:val="36"/>
          <w:szCs w:val="36"/>
        </w:rPr>
      </w:pPr>
      <w:r>
        <w:rPr>
          <w:b/>
          <w:sz w:val="36"/>
          <w:szCs w:val="36"/>
        </w:rPr>
        <w:t>Standards for ecological assessment of urban communities</w:t>
      </w:r>
    </w:p>
    <w:p w14:paraId="567C39D9">
      <w:pPr>
        <w:ind w:firstLine="482"/>
        <w:jc w:val="center"/>
        <w:rPr>
          <w:b/>
        </w:rPr>
      </w:pPr>
    </w:p>
    <w:p w14:paraId="76C42D98">
      <w:pPr>
        <w:ind w:firstLine="723"/>
        <w:jc w:val="center"/>
        <w:rPr>
          <w:b/>
          <w:sz w:val="36"/>
          <w:szCs w:val="36"/>
        </w:rPr>
      </w:pPr>
      <w:r>
        <w:rPr>
          <w:b/>
          <w:sz w:val="36"/>
          <w:szCs w:val="36"/>
        </w:rPr>
        <w:t>T/CECS xxx- xxxx</w:t>
      </w:r>
    </w:p>
    <w:p w14:paraId="5F161268">
      <w:pPr>
        <w:tabs>
          <w:tab w:val="left" w:pos="5115"/>
        </w:tabs>
        <w:ind w:firstLine="560"/>
        <w:jc w:val="center"/>
        <w:rPr>
          <w:sz w:val="28"/>
          <w:szCs w:val="28"/>
        </w:rPr>
      </w:pPr>
      <w:r>
        <w:rPr>
          <w:rFonts w:hint="eastAsia"/>
          <w:sz w:val="28"/>
          <w:szCs w:val="28"/>
        </w:rPr>
        <w:t>（征求意见稿）</w:t>
      </w:r>
    </w:p>
    <w:p w14:paraId="6CCD1916">
      <w:pPr>
        <w:spacing w:line="400" w:lineRule="exact"/>
        <w:ind w:firstLine="1600" w:firstLineChars="500"/>
        <w:rPr>
          <w:sz w:val="32"/>
          <w:szCs w:val="32"/>
        </w:rPr>
      </w:pPr>
    </w:p>
    <w:p w14:paraId="1348641F">
      <w:pPr>
        <w:spacing w:line="400" w:lineRule="exact"/>
        <w:ind w:firstLine="1600" w:firstLineChars="500"/>
        <w:rPr>
          <w:sz w:val="32"/>
          <w:szCs w:val="32"/>
        </w:rPr>
      </w:pPr>
    </w:p>
    <w:p w14:paraId="5B35A7F1">
      <w:pPr>
        <w:spacing w:line="400" w:lineRule="exact"/>
        <w:ind w:firstLine="1600" w:firstLineChars="500"/>
        <w:rPr>
          <w:sz w:val="32"/>
          <w:szCs w:val="32"/>
        </w:rPr>
      </w:pPr>
    </w:p>
    <w:p w14:paraId="3478A89C">
      <w:pPr>
        <w:spacing w:line="400" w:lineRule="exact"/>
        <w:ind w:firstLine="1600" w:firstLineChars="500"/>
        <w:rPr>
          <w:sz w:val="32"/>
          <w:szCs w:val="32"/>
        </w:rPr>
      </w:pPr>
    </w:p>
    <w:p w14:paraId="13E93D45">
      <w:pPr>
        <w:ind w:firstLine="1540" w:firstLineChars="550"/>
        <w:rPr>
          <w:sz w:val="28"/>
          <w:szCs w:val="28"/>
        </w:rPr>
      </w:pPr>
      <w:r>
        <w:rPr>
          <w:rFonts w:hint="eastAsia"/>
          <w:sz w:val="28"/>
          <w:szCs w:val="28"/>
        </w:rPr>
        <w:t>主编单位：中国城市建设研究院有限公司</w:t>
      </w:r>
    </w:p>
    <w:p w14:paraId="75E03650">
      <w:pPr>
        <w:ind w:firstLine="1540" w:firstLineChars="550"/>
        <w:rPr>
          <w:sz w:val="28"/>
          <w:szCs w:val="28"/>
        </w:rPr>
      </w:pPr>
      <w:r>
        <w:rPr>
          <w:rFonts w:hint="eastAsia"/>
          <w:sz w:val="28"/>
          <w:szCs w:val="28"/>
        </w:rPr>
        <w:t>批准单位：中国工程建设标准化协会</w:t>
      </w:r>
    </w:p>
    <w:p w14:paraId="35908862">
      <w:pPr>
        <w:ind w:firstLine="1540" w:firstLineChars="550"/>
        <w:rPr>
          <w:sz w:val="28"/>
          <w:szCs w:val="28"/>
        </w:rPr>
      </w:pPr>
      <w:r>
        <w:rPr>
          <w:rFonts w:hint="eastAsia"/>
          <w:sz w:val="28"/>
          <w:szCs w:val="28"/>
        </w:rPr>
        <w:t>施行日期：</w:t>
      </w:r>
      <w:r>
        <w:rPr>
          <w:sz w:val="28"/>
          <w:szCs w:val="28"/>
        </w:rPr>
        <w:t>202</w:t>
      </w:r>
      <w:r>
        <w:rPr>
          <w:rFonts w:hint="eastAsia"/>
          <w:sz w:val="28"/>
          <w:szCs w:val="28"/>
        </w:rPr>
        <w:t>×年×月×日</w:t>
      </w:r>
    </w:p>
    <w:p w14:paraId="04CCF20B">
      <w:pPr>
        <w:ind w:firstLine="480"/>
      </w:pPr>
    </w:p>
    <w:p w14:paraId="456E4CB0">
      <w:pPr>
        <w:ind w:firstLine="480"/>
      </w:pPr>
    </w:p>
    <w:p w14:paraId="6A570628">
      <w:pPr>
        <w:ind w:firstLine="480"/>
      </w:pPr>
    </w:p>
    <w:p w14:paraId="7A56FC09">
      <w:pPr>
        <w:ind w:firstLine="480"/>
      </w:pPr>
    </w:p>
    <w:p w14:paraId="5933F81A">
      <w:pPr>
        <w:ind w:firstLine="480"/>
      </w:pPr>
    </w:p>
    <w:p w14:paraId="5E108A4F">
      <w:pPr>
        <w:ind w:firstLine="480"/>
        <w:rPr>
          <w:rFonts w:hint="eastAsia"/>
        </w:rPr>
      </w:pPr>
    </w:p>
    <w:p w14:paraId="3380DAB9">
      <w:pPr>
        <w:ind w:firstLine="480"/>
      </w:pPr>
    </w:p>
    <w:p w14:paraId="7153BC6D">
      <w:pPr>
        <w:jc w:val="center"/>
        <w:rPr>
          <w:sz w:val="30"/>
          <w:szCs w:val="30"/>
        </w:rPr>
      </w:pPr>
      <w:r>
        <w:rPr>
          <w:rFonts w:hint="eastAsia"/>
          <w:sz w:val="30"/>
          <w:szCs w:val="30"/>
        </w:rPr>
        <w:t>中国××出版社</w:t>
      </w:r>
    </w:p>
    <w:p w14:paraId="11E6EF89">
      <w:pPr>
        <w:widowControl/>
        <w:jc w:val="center"/>
        <w:rPr>
          <w:sz w:val="28"/>
          <w:szCs w:val="28"/>
        </w:rPr>
        <w:sectPr>
          <w:pgSz w:w="11906" w:h="16838"/>
          <w:pgMar w:top="1440" w:right="1800" w:bottom="1440" w:left="1800" w:header="851" w:footer="992" w:gutter="0"/>
          <w:pgNumType w:start="1"/>
          <w:cols w:space="425" w:num="1"/>
          <w:docGrid w:type="lines" w:linePitch="312" w:charSpace="0"/>
        </w:sectPr>
      </w:pPr>
      <w:r>
        <w:rPr>
          <w:sz w:val="28"/>
          <w:szCs w:val="28"/>
        </w:rPr>
        <w:t>202</w:t>
      </w:r>
      <w:r>
        <w:rPr>
          <w:rFonts w:hint="eastAsia"/>
          <w:sz w:val="28"/>
          <w:szCs w:val="28"/>
        </w:rPr>
        <w:t>×</w:t>
      </w:r>
      <w:r>
        <w:rPr>
          <w:sz w:val="28"/>
          <w:szCs w:val="28"/>
        </w:rPr>
        <w:t xml:space="preserve"> </w:t>
      </w:r>
      <w:r>
        <w:rPr>
          <w:rFonts w:hint="eastAsia"/>
          <w:sz w:val="28"/>
          <w:szCs w:val="28"/>
        </w:rPr>
        <w:t>北</w:t>
      </w:r>
      <w:r>
        <w:rPr>
          <w:sz w:val="28"/>
          <w:szCs w:val="28"/>
        </w:rPr>
        <w:t xml:space="preserve">  </w:t>
      </w:r>
      <w:r>
        <w:rPr>
          <w:rFonts w:hint="eastAsia"/>
          <w:sz w:val="28"/>
          <w:szCs w:val="28"/>
        </w:rPr>
        <w:t>京</w:t>
      </w:r>
    </w:p>
    <w:p w14:paraId="0FDFCAD2">
      <w:pPr>
        <w:pageBreakBefore/>
        <w:widowControl/>
        <w:spacing w:before="468" w:beforeLines="150" w:after="468" w:afterLines="150" w:line="360" w:lineRule="auto"/>
        <w:ind w:firstLine="641"/>
        <w:jc w:val="center"/>
        <w:rPr>
          <w:rFonts w:ascii="黑体" w:hAnsi="宋体" w:eastAsia="黑体" w:cs="宋体"/>
          <w:b/>
          <w:kern w:val="0"/>
          <w:sz w:val="32"/>
          <w:szCs w:val="32"/>
        </w:rPr>
      </w:pPr>
      <w:r>
        <w:rPr>
          <w:rFonts w:hint="eastAsia" w:ascii="黑体" w:hAnsi="宋体" w:eastAsia="黑体" w:cs="宋体"/>
          <w:b/>
          <w:kern w:val="0"/>
          <w:sz w:val="32"/>
          <w:szCs w:val="32"/>
        </w:rPr>
        <w:t>前</w:t>
      </w:r>
      <w:r>
        <w:rPr>
          <w:rFonts w:ascii="黑体" w:hAnsi="宋体" w:eastAsia="黑体" w:cs="宋体"/>
          <w:b/>
          <w:kern w:val="0"/>
          <w:sz w:val="32"/>
          <w:szCs w:val="32"/>
        </w:rPr>
        <w:t xml:space="preserve">   </w:t>
      </w:r>
      <w:r>
        <w:rPr>
          <w:rFonts w:hint="eastAsia" w:ascii="黑体" w:hAnsi="宋体" w:eastAsia="黑体" w:cs="宋体"/>
          <w:b/>
          <w:kern w:val="0"/>
          <w:sz w:val="32"/>
          <w:szCs w:val="32"/>
        </w:rPr>
        <w:t>言</w:t>
      </w:r>
    </w:p>
    <w:p w14:paraId="1774A6F2">
      <w:pPr>
        <w:spacing w:line="360" w:lineRule="auto"/>
        <w:ind w:firstLine="480"/>
        <w:rPr>
          <w:rFonts w:ascii="宋体" w:hAnsi="宋体"/>
          <w:bCs/>
          <w:sz w:val="24"/>
        </w:rPr>
      </w:pPr>
      <w:r>
        <w:rPr>
          <w:rFonts w:hint="eastAsia" w:ascii="宋体" w:hAnsi="宋体"/>
          <w:bCs/>
          <w:sz w:val="24"/>
        </w:rPr>
        <w:t>根据中国工程建设标准化协会发布的《关于印发</w:t>
      </w:r>
      <w:r>
        <w:rPr>
          <w:rFonts w:ascii="宋体" w:hAnsi="宋体"/>
          <w:bCs/>
          <w:sz w:val="24"/>
        </w:rPr>
        <w:t>&lt;2024</w:t>
      </w:r>
      <w:r>
        <w:rPr>
          <w:rFonts w:hint="eastAsia" w:ascii="宋体" w:hAnsi="宋体"/>
          <w:bCs/>
          <w:sz w:val="24"/>
        </w:rPr>
        <w:t>年第二批协会标准制订、修订计划</w:t>
      </w:r>
      <w:r>
        <w:rPr>
          <w:rFonts w:ascii="宋体" w:hAnsi="宋体"/>
          <w:bCs/>
          <w:sz w:val="24"/>
        </w:rPr>
        <w:t>&gt;</w:t>
      </w:r>
      <w:r>
        <w:rPr>
          <w:rFonts w:hint="eastAsia" w:ascii="宋体" w:hAnsi="宋体"/>
          <w:bCs/>
          <w:sz w:val="24"/>
        </w:rPr>
        <w:t>的通知》（建标协字〔2024〕28号）文件要求，</w:t>
      </w:r>
      <w:r>
        <w:rPr>
          <w:rFonts w:ascii="宋体" w:hAnsi="宋体"/>
          <w:sz w:val="24"/>
        </w:rPr>
        <w:t>编制组经广泛调查研究，认真总结实践经验，并在广泛征求意见的基础上，</w:t>
      </w:r>
      <w:r>
        <w:rPr>
          <w:rFonts w:hint="eastAsia" w:ascii="宋体" w:hAnsi="宋体"/>
          <w:sz w:val="24"/>
        </w:rPr>
        <w:t>制订</w:t>
      </w:r>
      <w:r>
        <w:rPr>
          <w:rFonts w:ascii="宋体" w:hAnsi="宋体"/>
          <w:sz w:val="24"/>
        </w:rPr>
        <w:t>本</w:t>
      </w:r>
      <w:r>
        <w:rPr>
          <w:rFonts w:hint="eastAsia" w:ascii="宋体" w:hAnsi="宋体"/>
          <w:sz w:val="24"/>
        </w:rPr>
        <w:t>导则</w:t>
      </w:r>
      <w:r>
        <w:rPr>
          <w:rFonts w:ascii="宋体" w:hAnsi="宋体"/>
          <w:sz w:val="24"/>
        </w:rPr>
        <w:t>。</w:t>
      </w:r>
    </w:p>
    <w:p w14:paraId="71353E6B">
      <w:pPr>
        <w:spacing w:line="360" w:lineRule="auto"/>
        <w:ind w:firstLine="480"/>
        <w:rPr>
          <w:rFonts w:hint="eastAsia" w:ascii="宋体" w:hAnsi="宋体"/>
          <w:bCs/>
          <w:sz w:val="24"/>
        </w:rPr>
      </w:pPr>
      <w:r>
        <w:rPr>
          <w:rFonts w:hint="eastAsia" w:ascii="宋体" w:hAnsi="宋体"/>
          <w:bCs/>
          <w:sz w:val="24"/>
        </w:rPr>
        <w:t>本标准共分6章和5个附录，主要内容包括：总则、术语、基本规定、生态评估指标体系及计算方法、评估方法与流程、评价报告编写。</w:t>
      </w:r>
    </w:p>
    <w:p w14:paraId="22A88B08">
      <w:pPr>
        <w:spacing w:line="360" w:lineRule="auto"/>
        <w:ind w:firstLine="480"/>
        <w:rPr>
          <w:rFonts w:ascii="宋体" w:hAnsi="宋体"/>
          <w:sz w:val="24"/>
        </w:rPr>
      </w:pPr>
      <w:r>
        <w:rPr>
          <w:rFonts w:hint="eastAsia" w:ascii="宋体" w:hAnsi="宋体"/>
          <w:sz w:val="24"/>
        </w:rPr>
        <w:t>本标准的某些内容可能直接或间接涉及专利，本标准的发布机构不承担识别这些专利的责任。</w:t>
      </w:r>
    </w:p>
    <w:p w14:paraId="36EA64A2">
      <w:pPr>
        <w:spacing w:line="360" w:lineRule="auto"/>
        <w:rPr>
          <w:rFonts w:ascii="宋体" w:hAnsi="宋体"/>
          <w:sz w:val="24"/>
        </w:rPr>
      </w:pPr>
      <w:r>
        <w:rPr>
          <w:rFonts w:hint="eastAsia" w:ascii="宋体" w:hAnsi="宋体"/>
          <w:sz w:val="24"/>
        </w:rPr>
        <w:t>本标准由中国工程建设标准化协会生态景观与风景园林分会归口管理</w:t>
      </w:r>
      <w:r>
        <w:rPr>
          <w:rFonts w:ascii="宋体" w:hAnsi="宋体"/>
          <w:sz w:val="24"/>
        </w:rPr>
        <w:t>，由</w:t>
      </w:r>
      <w:r>
        <w:rPr>
          <w:rFonts w:hint="eastAsia" w:ascii="宋体" w:hAnsi="宋体"/>
          <w:sz w:val="24"/>
        </w:rPr>
        <w:t>中国城市建设研究院有限公司负责</w:t>
      </w:r>
      <w:r>
        <w:rPr>
          <w:rFonts w:ascii="宋体" w:hAnsi="宋体"/>
          <w:sz w:val="24"/>
        </w:rPr>
        <w:t>具体技术内容的解释。执行过程中</w:t>
      </w:r>
      <w:r>
        <w:rPr>
          <w:rFonts w:hint="eastAsia" w:ascii="宋体" w:hAnsi="宋体"/>
          <w:sz w:val="24"/>
        </w:rPr>
        <w:t>，</w:t>
      </w:r>
      <w:r>
        <w:rPr>
          <w:rFonts w:ascii="宋体" w:hAnsi="宋体"/>
          <w:sz w:val="24"/>
        </w:rPr>
        <w:t>如有意见或建议，请</w:t>
      </w:r>
      <w:r>
        <w:rPr>
          <w:rFonts w:hint="eastAsia" w:ascii="宋体" w:hAnsi="宋体"/>
          <w:sz w:val="24"/>
        </w:rPr>
        <w:t>反馈给中国城市建设研究院有限公司（地址：北京市西城区德胜门外大街3</w:t>
      </w:r>
      <w:r>
        <w:rPr>
          <w:rFonts w:ascii="宋体" w:hAnsi="宋体"/>
          <w:sz w:val="24"/>
        </w:rPr>
        <w:t>6</w:t>
      </w:r>
      <w:r>
        <w:rPr>
          <w:rFonts w:hint="eastAsia" w:ascii="宋体" w:hAnsi="宋体"/>
          <w:sz w:val="24"/>
        </w:rPr>
        <w:t>号，邮政编码：1</w:t>
      </w:r>
      <w:r>
        <w:rPr>
          <w:rFonts w:ascii="宋体" w:hAnsi="宋体"/>
          <w:sz w:val="24"/>
        </w:rPr>
        <w:t>00120</w:t>
      </w:r>
      <w:r>
        <w:rPr>
          <w:rFonts w:hint="eastAsia" w:ascii="宋体" w:hAnsi="宋体"/>
          <w:sz w:val="24"/>
        </w:rPr>
        <w:t>，邮箱：</w:t>
      </w:r>
      <w:r>
        <w:rPr>
          <w:rFonts w:ascii="宋体" w:hAnsi="宋体"/>
          <w:sz w:val="24"/>
        </w:rPr>
        <w:t>rbwl2004@163.com</w:t>
      </w:r>
      <w:r>
        <w:rPr>
          <w:rFonts w:hint="eastAsia" w:ascii="宋体" w:hAnsi="宋体"/>
          <w:sz w:val="24"/>
        </w:rPr>
        <w:t>）。</w:t>
      </w:r>
    </w:p>
    <w:p w14:paraId="59237391">
      <w:pPr>
        <w:spacing w:line="360" w:lineRule="auto"/>
        <w:ind w:left="2338" w:leftChars="199" w:hanging="1920" w:hangingChars="800"/>
        <w:rPr>
          <w:rFonts w:ascii="宋体" w:hAnsi="宋体"/>
          <w:sz w:val="24"/>
        </w:rPr>
      </w:pPr>
      <w:r>
        <w:rPr>
          <w:rFonts w:hint="eastAsia" w:ascii="宋体" w:hAnsi="宋体"/>
          <w:sz w:val="24"/>
        </w:rPr>
        <w:t>主编单位：中国城市建设研究院有限公司</w:t>
      </w:r>
    </w:p>
    <w:p w14:paraId="40155DEA">
      <w:pPr>
        <w:spacing w:line="360" w:lineRule="auto"/>
        <w:ind w:left="2338" w:leftChars="199" w:hanging="1920" w:hangingChars="800"/>
        <w:rPr>
          <w:rFonts w:ascii="宋体" w:hAnsi="宋体"/>
          <w:sz w:val="24"/>
        </w:rPr>
      </w:pPr>
    </w:p>
    <w:p w14:paraId="0EC0A47D">
      <w:pPr>
        <w:spacing w:line="360" w:lineRule="auto"/>
        <w:ind w:left="2338" w:leftChars="199" w:hanging="1920" w:hangingChars="800"/>
        <w:rPr>
          <w:rFonts w:ascii="宋体" w:hAnsi="宋体"/>
          <w:sz w:val="24"/>
        </w:rPr>
      </w:pPr>
      <w:r>
        <w:rPr>
          <w:rFonts w:hint="eastAsia" w:ascii="宋体" w:hAnsi="宋体"/>
          <w:sz w:val="24"/>
        </w:rPr>
        <w:t>参编单位：中科院生态环境研究中心</w:t>
      </w:r>
    </w:p>
    <w:p w14:paraId="0F731805">
      <w:pPr>
        <w:spacing w:line="360" w:lineRule="auto"/>
        <w:ind w:firstLine="1680" w:firstLineChars="700"/>
        <w:rPr>
          <w:rFonts w:ascii="宋体" w:hAnsi="宋体"/>
          <w:sz w:val="24"/>
        </w:rPr>
      </w:pPr>
      <w:r>
        <w:rPr>
          <w:rFonts w:hint="eastAsia" w:ascii="宋体" w:hAnsi="宋体"/>
          <w:sz w:val="24"/>
        </w:rPr>
        <w:t>南京大学</w:t>
      </w:r>
    </w:p>
    <w:p w14:paraId="4D6D2BAB">
      <w:pPr>
        <w:spacing w:line="360" w:lineRule="auto"/>
        <w:ind w:firstLine="1680" w:firstLineChars="700"/>
        <w:rPr>
          <w:rFonts w:ascii="宋体" w:hAnsi="宋体"/>
          <w:sz w:val="24"/>
        </w:rPr>
      </w:pPr>
      <w:r>
        <w:rPr>
          <w:rFonts w:hint="eastAsia" w:ascii="宋体" w:hAnsi="宋体"/>
          <w:sz w:val="24"/>
        </w:rPr>
        <w:t>云南大学</w:t>
      </w:r>
    </w:p>
    <w:p w14:paraId="70310D45">
      <w:pPr>
        <w:spacing w:line="360" w:lineRule="auto"/>
        <w:ind w:firstLine="1680" w:firstLineChars="700"/>
        <w:rPr>
          <w:rFonts w:ascii="宋体" w:hAnsi="宋体"/>
          <w:sz w:val="24"/>
        </w:rPr>
      </w:pPr>
      <w:r>
        <w:rPr>
          <w:rFonts w:hint="eastAsia" w:ascii="宋体" w:hAnsi="宋体"/>
          <w:sz w:val="24"/>
        </w:rPr>
        <w:t>广东工业大学</w:t>
      </w:r>
    </w:p>
    <w:p w14:paraId="24D6FB37">
      <w:pPr>
        <w:spacing w:line="360" w:lineRule="auto"/>
        <w:ind w:firstLine="1680" w:firstLineChars="700"/>
        <w:rPr>
          <w:rFonts w:ascii="宋体" w:hAnsi="宋体"/>
          <w:sz w:val="24"/>
        </w:rPr>
      </w:pPr>
      <w:r>
        <w:rPr>
          <w:rFonts w:hint="eastAsia" w:ascii="宋体" w:hAnsi="宋体"/>
          <w:sz w:val="24"/>
        </w:rPr>
        <w:t>广东财经大学</w:t>
      </w:r>
    </w:p>
    <w:p w14:paraId="66703D3A">
      <w:pPr>
        <w:spacing w:line="360" w:lineRule="auto"/>
        <w:ind w:left="2338" w:leftChars="199" w:hanging="1920" w:hangingChars="800"/>
        <w:rPr>
          <w:rFonts w:ascii="宋体" w:hAnsi="宋体"/>
          <w:sz w:val="24"/>
        </w:rPr>
      </w:pPr>
    </w:p>
    <w:p w14:paraId="7AE9C883">
      <w:pPr>
        <w:spacing w:line="360" w:lineRule="auto"/>
        <w:ind w:left="2338" w:leftChars="199" w:hanging="1920" w:hangingChars="800"/>
        <w:rPr>
          <w:rFonts w:ascii="宋体" w:hAnsi="宋体"/>
          <w:sz w:val="24"/>
        </w:rPr>
      </w:pPr>
      <w:r>
        <w:rPr>
          <w:rFonts w:hint="eastAsia" w:ascii="宋体" w:hAnsi="宋体"/>
          <w:sz w:val="24"/>
        </w:rPr>
        <w:t>主要起草人：</w:t>
      </w:r>
    </w:p>
    <w:p w14:paraId="75BE3FC0">
      <w:pPr>
        <w:spacing w:line="360" w:lineRule="auto"/>
        <w:ind w:left="2338" w:leftChars="199" w:hanging="1920" w:hangingChars="800"/>
        <w:rPr>
          <w:rFonts w:ascii="宋体" w:hAnsi="宋体"/>
          <w:sz w:val="24"/>
        </w:rPr>
      </w:pPr>
      <w:r>
        <w:rPr>
          <w:rFonts w:hint="eastAsia" w:ascii="宋体" w:hAnsi="宋体"/>
          <w:sz w:val="24"/>
        </w:rPr>
        <w:t>主要审查人：</w:t>
      </w:r>
    </w:p>
    <w:p w14:paraId="618A40AB">
      <w:pPr>
        <w:ind w:firstLine="2570" w:firstLineChars="800"/>
        <w:rPr>
          <w:rFonts w:hint="eastAsia" w:ascii="黑体" w:hAnsi="黑体" w:eastAsia="黑体"/>
          <w:b/>
          <w:color w:val="000000"/>
          <w:sz w:val="32"/>
          <w:szCs w:val="32"/>
        </w:rPr>
      </w:pPr>
    </w:p>
    <w:p w14:paraId="1E47474A">
      <w:pPr>
        <w:ind w:firstLine="3213" w:firstLineChars="800"/>
        <w:rPr>
          <w:rFonts w:hint="eastAsia" w:ascii="仿宋_GB2312" w:eastAsia="仿宋_GB2312"/>
          <w:b/>
          <w:sz w:val="40"/>
          <w:szCs w:val="40"/>
        </w:rPr>
      </w:pPr>
    </w:p>
    <w:p w14:paraId="334C606F">
      <w:pPr>
        <w:widowControl/>
        <w:jc w:val="left"/>
        <w:rPr>
          <w:rFonts w:hint="eastAsia" w:ascii="仿宋_GB2312" w:eastAsia="仿宋_GB2312"/>
          <w:b/>
          <w:sz w:val="40"/>
          <w:szCs w:val="40"/>
        </w:rPr>
        <w:sectPr>
          <w:pgSz w:w="11906" w:h="16838"/>
          <w:pgMar w:top="1440" w:right="1800" w:bottom="1440" w:left="1800" w:header="851" w:footer="992" w:gutter="0"/>
          <w:pgNumType w:start="1"/>
          <w:cols w:space="425" w:num="1"/>
          <w:docGrid w:type="lines" w:linePitch="312" w:charSpace="0"/>
        </w:sectPr>
      </w:pPr>
    </w:p>
    <w:sdt>
      <w:sdtPr>
        <w:rPr>
          <w:rFonts w:ascii="Times New Roman" w:hAnsi="Times New Roman" w:eastAsia="宋体" w:cs="Times New Roman"/>
          <w:color w:val="auto"/>
          <w:kern w:val="2"/>
          <w:sz w:val="21"/>
          <w:szCs w:val="24"/>
          <w:lang w:val="zh-CN"/>
        </w:rPr>
        <w:id w:val="-1686976140"/>
        <w:docPartObj>
          <w:docPartGallery w:val="Table of Contents"/>
          <w:docPartUnique/>
        </w:docPartObj>
      </w:sdtPr>
      <w:sdtEndPr>
        <w:rPr>
          <w:rFonts w:ascii="Times New Roman" w:hAnsi="Times New Roman" w:eastAsia="宋体" w:cs="Times New Roman"/>
          <w:b/>
          <w:bCs/>
          <w:color w:val="auto"/>
          <w:kern w:val="2"/>
          <w:sz w:val="21"/>
          <w:szCs w:val="24"/>
          <w:lang w:val="zh-CN"/>
        </w:rPr>
      </w:sdtEndPr>
      <w:sdtContent>
        <w:p w14:paraId="0809BDFA">
          <w:pPr>
            <w:pStyle w:val="30"/>
            <w:spacing w:line="360" w:lineRule="auto"/>
            <w:jc w:val="center"/>
            <w:rPr>
              <w:b/>
              <w:color w:val="0D0D0D" w:themeColor="text1" w:themeTint="F2"/>
              <w:szCs w:val="21"/>
              <w14:textFill>
                <w14:solidFill>
                  <w14:schemeClr w14:val="tx1">
                    <w14:lumMod w14:val="95000"/>
                    <w14:lumOff w14:val="5000"/>
                  </w14:schemeClr>
                </w14:solidFill>
              </w14:textFill>
            </w:rPr>
          </w:pPr>
          <w:bookmarkStart w:id="5" w:name="_Hlk220669871"/>
          <w:r>
            <w:rPr>
              <w:rFonts w:hint="eastAsia"/>
              <w:b/>
              <w:color w:val="0D0D0D" w:themeColor="text1" w:themeTint="F2"/>
              <w:szCs w:val="21"/>
              <w:lang w:val="zh-CN"/>
              <w14:textFill>
                <w14:solidFill>
                  <w14:schemeClr w14:val="tx1">
                    <w14:lumMod w14:val="95000"/>
                    <w14:lumOff w14:val="5000"/>
                  </w14:schemeClr>
                </w14:solidFill>
              </w14:textFill>
            </w:rPr>
            <w:t xml:space="preserve">目 </w:t>
          </w:r>
          <w:r>
            <w:rPr>
              <w:b/>
              <w:color w:val="0D0D0D" w:themeColor="text1" w:themeTint="F2"/>
              <w:szCs w:val="21"/>
              <w:lang w:val="zh-CN"/>
              <w14:textFill>
                <w14:solidFill>
                  <w14:schemeClr w14:val="tx1">
                    <w14:lumMod w14:val="95000"/>
                    <w14:lumOff w14:val="5000"/>
                  </w14:schemeClr>
                </w14:solidFill>
              </w14:textFill>
            </w:rPr>
            <w:t xml:space="preserve">   </w:t>
          </w:r>
          <w:r>
            <w:rPr>
              <w:rFonts w:hint="eastAsia"/>
              <w:b/>
              <w:color w:val="0D0D0D" w:themeColor="text1" w:themeTint="F2"/>
              <w:szCs w:val="21"/>
              <w:lang w:val="zh-CN"/>
              <w14:textFill>
                <w14:solidFill>
                  <w14:schemeClr w14:val="tx1">
                    <w14:lumMod w14:val="95000"/>
                    <w14:lumOff w14:val="5000"/>
                  </w14:schemeClr>
                </w14:solidFill>
              </w14:textFill>
            </w:rPr>
            <w:t>次</w:t>
          </w:r>
          <w:r>
            <w:rPr>
              <w:color w:val="0D0D0D" w:themeColor="text1" w:themeTint="F2"/>
              <w:szCs w:val="21"/>
              <w14:textFill>
                <w14:solidFill>
                  <w14:schemeClr w14:val="tx1">
                    <w14:lumMod w14:val="95000"/>
                    <w14:lumOff w14:val="5000"/>
                  </w14:schemeClr>
                </w14:solidFill>
              </w14:textFill>
            </w:rPr>
            <w:fldChar w:fldCharType="begin"/>
          </w:r>
          <w:r>
            <w:rPr>
              <w:color w:val="0D0D0D" w:themeColor="text1" w:themeTint="F2"/>
              <w:szCs w:val="21"/>
              <w14:textFill>
                <w14:solidFill>
                  <w14:schemeClr w14:val="tx1">
                    <w14:lumMod w14:val="95000"/>
                    <w14:lumOff w14:val="5000"/>
                  </w14:schemeClr>
                </w14:solidFill>
              </w14:textFill>
            </w:rPr>
            <w:instrText xml:space="preserve"> TOC \o "1-2" \h \z \u </w:instrText>
          </w:r>
          <w:r>
            <w:rPr>
              <w:color w:val="0D0D0D" w:themeColor="text1" w:themeTint="F2"/>
              <w:szCs w:val="21"/>
              <w14:textFill>
                <w14:solidFill>
                  <w14:schemeClr w14:val="tx1">
                    <w14:lumMod w14:val="95000"/>
                    <w14:lumOff w14:val="5000"/>
                  </w14:schemeClr>
                </w14:solidFill>
              </w14:textFill>
            </w:rPr>
            <w:fldChar w:fldCharType="separate"/>
          </w:r>
        </w:p>
        <w:p w14:paraId="78C9D65D">
          <w:pPr>
            <w:pStyle w:val="11"/>
            <w:rPr>
              <w:rFonts w:asciiTheme="minorHAnsi" w:hAnsiTheme="minorHAnsi" w:eastAsiaTheme="minorEastAsia" w:cstheme="minorBidi"/>
            </w:rPr>
          </w:pPr>
          <w:r>
            <w:fldChar w:fldCharType="begin"/>
          </w:r>
          <w:r>
            <w:instrText xml:space="preserve"> HYPERLINK \l "_Toc220593712" </w:instrText>
          </w:r>
          <w:r>
            <w:fldChar w:fldCharType="separate"/>
          </w:r>
          <w:r>
            <w:rPr>
              <w:rStyle w:val="18"/>
              <w:rFonts w:ascii="黑体" w:hAnsi="黑体" w:eastAsia="黑体"/>
              <w:color w:val="0D0D0D" w:themeColor="text1" w:themeTint="F2"/>
              <w:szCs w:val="21"/>
              <w14:textFill>
                <w14:solidFill>
                  <w14:schemeClr w14:val="tx1">
                    <w14:lumMod w14:val="95000"/>
                    <w14:lumOff w14:val="5000"/>
                  </w14:schemeClr>
                </w14:solidFill>
              </w14:textFill>
              <w14:ligatures w14:val="standardContextual"/>
            </w:rPr>
            <w:t>1 总则</w:t>
          </w:r>
          <w:r>
            <w:tab/>
          </w:r>
          <w:r>
            <w:fldChar w:fldCharType="begin"/>
          </w:r>
          <w:r>
            <w:instrText xml:space="preserve"> PAGEREF _Toc220593712 \h </w:instrText>
          </w:r>
          <w:r>
            <w:fldChar w:fldCharType="separate"/>
          </w:r>
          <w:r>
            <w:t>1</w:t>
          </w:r>
          <w:r>
            <w:fldChar w:fldCharType="end"/>
          </w:r>
          <w:r>
            <w:fldChar w:fldCharType="end"/>
          </w:r>
        </w:p>
        <w:p w14:paraId="7231B6FA">
          <w:pPr>
            <w:pStyle w:val="11"/>
            <w:rPr>
              <w:rFonts w:asciiTheme="minorHAnsi" w:hAnsiTheme="minorHAnsi" w:eastAsiaTheme="minorEastAsia" w:cstheme="minorBidi"/>
            </w:rPr>
          </w:pPr>
          <w:r>
            <w:fldChar w:fldCharType="begin"/>
          </w:r>
          <w:r>
            <w:instrText xml:space="preserve"> HYPERLINK \l "_Toc220593713" </w:instrText>
          </w:r>
          <w:r>
            <w:fldChar w:fldCharType="separate"/>
          </w:r>
          <w:r>
            <w:rPr>
              <w:rStyle w:val="18"/>
              <w:rFonts w:ascii="黑体" w:hAnsi="黑体" w:eastAsia="黑体"/>
              <w:color w:val="0D0D0D" w:themeColor="text1" w:themeTint="F2"/>
              <w:szCs w:val="21"/>
              <w14:textFill>
                <w14:solidFill>
                  <w14:schemeClr w14:val="tx1">
                    <w14:lumMod w14:val="95000"/>
                    <w14:lumOff w14:val="5000"/>
                  </w14:schemeClr>
                </w14:solidFill>
              </w14:textFill>
              <w14:ligatures w14:val="standardContextual"/>
            </w:rPr>
            <w:t>2 术语</w:t>
          </w:r>
          <w:r>
            <w:tab/>
          </w:r>
          <w:r>
            <w:fldChar w:fldCharType="begin"/>
          </w:r>
          <w:r>
            <w:instrText xml:space="preserve"> PAGEREF _Toc220593713 \h </w:instrText>
          </w:r>
          <w:r>
            <w:fldChar w:fldCharType="separate"/>
          </w:r>
          <w:r>
            <w:t>2</w:t>
          </w:r>
          <w:r>
            <w:fldChar w:fldCharType="end"/>
          </w:r>
          <w:r>
            <w:fldChar w:fldCharType="end"/>
          </w:r>
        </w:p>
        <w:p w14:paraId="78458522">
          <w:pPr>
            <w:pStyle w:val="11"/>
            <w:rPr>
              <w:rFonts w:asciiTheme="minorHAnsi" w:hAnsiTheme="minorHAnsi" w:eastAsiaTheme="minorEastAsia" w:cstheme="minorBidi"/>
            </w:rPr>
          </w:pPr>
          <w:r>
            <w:fldChar w:fldCharType="begin"/>
          </w:r>
          <w:r>
            <w:instrText xml:space="preserve"> HYPERLINK \l "_Toc220593714" </w:instrText>
          </w:r>
          <w:r>
            <w:fldChar w:fldCharType="separate"/>
          </w:r>
          <w:r>
            <w:rPr>
              <w:rStyle w:val="18"/>
              <w:rFonts w:ascii="黑体" w:hAnsi="黑体" w:eastAsia="黑体"/>
              <w:color w:val="0D0D0D" w:themeColor="text1" w:themeTint="F2"/>
              <w:szCs w:val="21"/>
              <w:lang w:val="zh-CN"/>
              <w14:textFill>
                <w14:solidFill>
                  <w14:schemeClr w14:val="tx1">
                    <w14:lumMod w14:val="95000"/>
                    <w14:lumOff w14:val="5000"/>
                  </w14:schemeClr>
                </w14:solidFill>
              </w14:textFill>
            </w:rPr>
            <w:t>3 基本规定</w:t>
          </w:r>
          <w:r>
            <w:tab/>
          </w:r>
          <w:r>
            <w:fldChar w:fldCharType="begin"/>
          </w:r>
          <w:r>
            <w:instrText xml:space="preserve"> PAGEREF _Toc220593714 \h </w:instrText>
          </w:r>
          <w:r>
            <w:fldChar w:fldCharType="separate"/>
          </w:r>
          <w:r>
            <w:t>3</w:t>
          </w:r>
          <w:r>
            <w:fldChar w:fldCharType="end"/>
          </w:r>
          <w:r>
            <w:fldChar w:fldCharType="end"/>
          </w:r>
        </w:p>
        <w:p w14:paraId="1E117459">
          <w:pPr>
            <w:pStyle w:val="11"/>
            <w:rPr>
              <w:rFonts w:asciiTheme="minorHAnsi" w:hAnsiTheme="minorHAnsi" w:eastAsiaTheme="minorEastAsia" w:cstheme="minorBidi"/>
            </w:rPr>
          </w:pPr>
          <w:r>
            <w:fldChar w:fldCharType="begin"/>
          </w:r>
          <w:r>
            <w:instrText xml:space="preserve"> HYPERLINK \l "_Toc220593715" </w:instrText>
          </w:r>
          <w:r>
            <w:fldChar w:fldCharType="separate"/>
          </w:r>
          <w:r>
            <w:rPr>
              <w:rStyle w:val="18"/>
              <w:rFonts w:ascii="黑体" w:hAnsi="黑体" w:eastAsia="黑体"/>
              <w:color w:val="0D0D0D" w:themeColor="text1" w:themeTint="F2"/>
              <w:szCs w:val="21"/>
              <w:lang w:val="zh-CN"/>
              <w14:textFill>
                <w14:solidFill>
                  <w14:schemeClr w14:val="tx1">
                    <w14:lumMod w14:val="95000"/>
                    <w14:lumOff w14:val="5000"/>
                  </w14:schemeClr>
                </w14:solidFill>
              </w14:textFill>
            </w:rPr>
            <w:t>4 生态评估指标体系及计算方法</w:t>
          </w:r>
          <w:r>
            <w:tab/>
          </w:r>
          <w:r>
            <w:fldChar w:fldCharType="begin"/>
          </w:r>
          <w:r>
            <w:instrText xml:space="preserve"> PAGEREF _Toc220593715 \h </w:instrText>
          </w:r>
          <w:r>
            <w:fldChar w:fldCharType="separate"/>
          </w:r>
          <w:r>
            <w:t>4</w:t>
          </w:r>
          <w:r>
            <w:fldChar w:fldCharType="end"/>
          </w:r>
          <w:r>
            <w:fldChar w:fldCharType="end"/>
          </w:r>
        </w:p>
        <w:p w14:paraId="1EA92BB6">
          <w:pPr>
            <w:pStyle w:val="12"/>
            <w:tabs>
              <w:tab w:val="right" w:leader="dot" w:pos="8296"/>
            </w:tabs>
            <w:spacing w:line="360" w:lineRule="auto"/>
            <w:rPr>
              <w:rFonts w:asciiTheme="minorHAnsi" w:hAnsiTheme="minorHAnsi" w:eastAsiaTheme="minorEastAsia" w:cstheme="minorBidi"/>
              <w:color w:val="0D0D0D" w:themeColor="text1" w:themeTint="F2"/>
              <w:szCs w:val="21"/>
              <w14:textFill>
                <w14:solidFill>
                  <w14:schemeClr w14:val="tx1">
                    <w14:lumMod w14:val="95000"/>
                    <w14:lumOff w14:val="5000"/>
                  </w14:schemeClr>
                </w14:solidFill>
              </w14:textFill>
            </w:rPr>
          </w:pPr>
          <w:r>
            <w:fldChar w:fldCharType="begin"/>
          </w:r>
          <w:r>
            <w:instrText xml:space="preserve"> HYPERLINK \l "_Toc220593716" </w:instrText>
          </w:r>
          <w:r>
            <w:fldChar w:fldCharType="separate"/>
          </w:r>
          <w:r>
            <w:rPr>
              <w:rStyle w:val="18"/>
              <w:color w:val="0D0D0D" w:themeColor="text1" w:themeTint="F2"/>
              <w:szCs w:val="21"/>
              <w14:textFill>
                <w14:solidFill>
                  <w14:schemeClr w14:val="tx1">
                    <w14:lumMod w14:val="95000"/>
                    <w14:lumOff w14:val="5000"/>
                  </w14:schemeClr>
                </w14:solidFill>
              </w14:textFill>
            </w:rPr>
            <w:t>4.1 生态评估指标体系</w:t>
          </w:r>
          <w:r>
            <w:rPr>
              <w:color w:val="0D0D0D" w:themeColor="text1" w:themeTint="F2"/>
              <w:szCs w:val="21"/>
              <w14:textFill>
                <w14:solidFill>
                  <w14:schemeClr w14:val="tx1">
                    <w14:lumMod w14:val="95000"/>
                    <w14:lumOff w14:val="5000"/>
                  </w14:schemeClr>
                </w14:solidFill>
              </w14:textFill>
            </w:rPr>
            <w:tab/>
          </w:r>
          <w:r>
            <w:rPr>
              <w:color w:val="0D0D0D" w:themeColor="text1" w:themeTint="F2"/>
              <w:szCs w:val="21"/>
              <w14:textFill>
                <w14:solidFill>
                  <w14:schemeClr w14:val="tx1">
                    <w14:lumMod w14:val="95000"/>
                    <w14:lumOff w14:val="5000"/>
                  </w14:schemeClr>
                </w14:solidFill>
              </w14:textFill>
            </w:rPr>
            <w:fldChar w:fldCharType="begin"/>
          </w:r>
          <w:r>
            <w:rPr>
              <w:color w:val="0D0D0D" w:themeColor="text1" w:themeTint="F2"/>
              <w:szCs w:val="21"/>
              <w14:textFill>
                <w14:solidFill>
                  <w14:schemeClr w14:val="tx1">
                    <w14:lumMod w14:val="95000"/>
                    <w14:lumOff w14:val="5000"/>
                  </w14:schemeClr>
                </w14:solidFill>
              </w14:textFill>
            </w:rPr>
            <w:instrText xml:space="preserve"> PAGEREF _Toc220593716 \h </w:instrText>
          </w:r>
          <w:r>
            <w:rPr>
              <w:color w:val="0D0D0D" w:themeColor="text1" w:themeTint="F2"/>
              <w:szCs w:val="21"/>
              <w14:textFill>
                <w14:solidFill>
                  <w14:schemeClr w14:val="tx1">
                    <w14:lumMod w14:val="95000"/>
                    <w14:lumOff w14:val="5000"/>
                  </w14:schemeClr>
                </w14:solidFill>
              </w14:textFill>
            </w:rPr>
            <w:fldChar w:fldCharType="separate"/>
          </w:r>
          <w:r>
            <w:rPr>
              <w:color w:val="0D0D0D" w:themeColor="text1" w:themeTint="F2"/>
              <w:szCs w:val="21"/>
              <w14:textFill>
                <w14:solidFill>
                  <w14:schemeClr w14:val="tx1">
                    <w14:lumMod w14:val="95000"/>
                    <w14:lumOff w14:val="5000"/>
                  </w14:schemeClr>
                </w14:solidFill>
              </w14:textFill>
            </w:rPr>
            <w:t>4</w:t>
          </w:r>
          <w:r>
            <w:rPr>
              <w:color w:val="0D0D0D" w:themeColor="text1" w:themeTint="F2"/>
              <w:szCs w:val="21"/>
              <w14:textFill>
                <w14:solidFill>
                  <w14:schemeClr w14:val="tx1">
                    <w14:lumMod w14:val="95000"/>
                    <w14:lumOff w14:val="5000"/>
                  </w14:schemeClr>
                </w14:solidFill>
              </w14:textFill>
            </w:rPr>
            <w:fldChar w:fldCharType="end"/>
          </w:r>
          <w:r>
            <w:rPr>
              <w:color w:val="0D0D0D" w:themeColor="text1" w:themeTint="F2"/>
              <w:szCs w:val="21"/>
              <w14:textFill>
                <w14:solidFill>
                  <w14:schemeClr w14:val="tx1">
                    <w14:lumMod w14:val="95000"/>
                    <w14:lumOff w14:val="5000"/>
                  </w14:schemeClr>
                </w14:solidFill>
              </w14:textFill>
            </w:rPr>
            <w:fldChar w:fldCharType="end"/>
          </w:r>
        </w:p>
        <w:p w14:paraId="5AFEB37E">
          <w:pPr>
            <w:pStyle w:val="12"/>
            <w:tabs>
              <w:tab w:val="right" w:leader="dot" w:pos="8296"/>
            </w:tabs>
            <w:spacing w:line="360" w:lineRule="auto"/>
            <w:rPr>
              <w:rFonts w:asciiTheme="minorHAnsi" w:hAnsiTheme="minorHAnsi" w:eastAsiaTheme="minorEastAsia" w:cstheme="minorBidi"/>
              <w:color w:val="0D0D0D" w:themeColor="text1" w:themeTint="F2"/>
              <w:szCs w:val="21"/>
              <w14:textFill>
                <w14:solidFill>
                  <w14:schemeClr w14:val="tx1">
                    <w14:lumMod w14:val="95000"/>
                    <w14:lumOff w14:val="5000"/>
                  </w14:schemeClr>
                </w14:solidFill>
              </w14:textFill>
            </w:rPr>
          </w:pPr>
          <w:r>
            <w:fldChar w:fldCharType="begin"/>
          </w:r>
          <w:r>
            <w:instrText xml:space="preserve"> HYPERLINK \l "_Toc220593717" </w:instrText>
          </w:r>
          <w:r>
            <w:fldChar w:fldCharType="separate"/>
          </w:r>
          <w:r>
            <w:rPr>
              <w:rStyle w:val="18"/>
              <w:color w:val="0D0D0D" w:themeColor="text1" w:themeTint="F2"/>
              <w:szCs w:val="21"/>
              <w14:textFill>
                <w14:solidFill>
                  <w14:schemeClr w14:val="tx1">
                    <w14:lumMod w14:val="95000"/>
                    <w14:lumOff w14:val="5000"/>
                  </w14:schemeClr>
                </w14:solidFill>
              </w14:textFill>
            </w:rPr>
            <w:t>4.2 生态评估计算方法</w:t>
          </w:r>
          <w:r>
            <w:rPr>
              <w:color w:val="0D0D0D" w:themeColor="text1" w:themeTint="F2"/>
              <w:szCs w:val="21"/>
              <w14:textFill>
                <w14:solidFill>
                  <w14:schemeClr w14:val="tx1">
                    <w14:lumMod w14:val="95000"/>
                    <w14:lumOff w14:val="5000"/>
                  </w14:schemeClr>
                </w14:solidFill>
              </w14:textFill>
            </w:rPr>
            <w:tab/>
          </w:r>
          <w:r>
            <w:rPr>
              <w:color w:val="0D0D0D" w:themeColor="text1" w:themeTint="F2"/>
              <w:szCs w:val="21"/>
              <w14:textFill>
                <w14:solidFill>
                  <w14:schemeClr w14:val="tx1">
                    <w14:lumMod w14:val="95000"/>
                    <w14:lumOff w14:val="5000"/>
                  </w14:schemeClr>
                </w14:solidFill>
              </w14:textFill>
            </w:rPr>
            <w:fldChar w:fldCharType="begin"/>
          </w:r>
          <w:r>
            <w:rPr>
              <w:color w:val="0D0D0D" w:themeColor="text1" w:themeTint="F2"/>
              <w:szCs w:val="21"/>
              <w14:textFill>
                <w14:solidFill>
                  <w14:schemeClr w14:val="tx1">
                    <w14:lumMod w14:val="95000"/>
                    <w14:lumOff w14:val="5000"/>
                  </w14:schemeClr>
                </w14:solidFill>
              </w14:textFill>
            </w:rPr>
            <w:instrText xml:space="preserve"> PAGEREF _Toc220593717 \h </w:instrText>
          </w:r>
          <w:r>
            <w:rPr>
              <w:color w:val="0D0D0D" w:themeColor="text1" w:themeTint="F2"/>
              <w:szCs w:val="21"/>
              <w14:textFill>
                <w14:solidFill>
                  <w14:schemeClr w14:val="tx1">
                    <w14:lumMod w14:val="95000"/>
                    <w14:lumOff w14:val="5000"/>
                  </w14:schemeClr>
                </w14:solidFill>
              </w14:textFill>
            </w:rPr>
            <w:fldChar w:fldCharType="separate"/>
          </w:r>
          <w:r>
            <w:rPr>
              <w:color w:val="0D0D0D" w:themeColor="text1" w:themeTint="F2"/>
              <w:szCs w:val="21"/>
              <w14:textFill>
                <w14:solidFill>
                  <w14:schemeClr w14:val="tx1">
                    <w14:lumMod w14:val="95000"/>
                    <w14:lumOff w14:val="5000"/>
                  </w14:schemeClr>
                </w14:solidFill>
              </w14:textFill>
            </w:rPr>
            <w:t>5</w:t>
          </w:r>
          <w:r>
            <w:rPr>
              <w:color w:val="0D0D0D" w:themeColor="text1" w:themeTint="F2"/>
              <w:szCs w:val="21"/>
              <w14:textFill>
                <w14:solidFill>
                  <w14:schemeClr w14:val="tx1">
                    <w14:lumMod w14:val="95000"/>
                    <w14:lumOff w14:val="5000"/>
                  </w14:schemeClr>
                </w14:solidFill>
              </w14:textFill>
            </w:rPr>
            <w:fldChar w:fldCharType="end"/>
          </w:r>
          <w:r>
            <w:rPr>
              <w:color w:val="0D0D0D" w:themeColor="text1" w:themeTint="F2"/>
              <w:szCs w:val="21"/>
              <w14:textFill>
                <w14:solidFill>
                  <w14:schemeClr w14:val="tx1">
                    <w14:lumMod w14:val="95000"/>
                    <w14:lumOff w14:val="5000"/>
                  </w14:schemeClr>
                </w14:solidFill>
              </w14:textFill>
            </w:rPr>
            <w:fldChar w:fldCharType="end"/>
          </w:r>
        </w:p>
        <w:p w14:paraId="7838C276">
          <w:pPr>
            <w:pStyle w:val="11"/>
            <w:rPr>
              <w:rFonts w:asciiTheme="minorHAnsi" w:hAnsiTheme="minorHAnsi" w:eastAsiaTheme="minorEastAsia" w:cstheme="minorBidi"/>
            </w:rPr>
          </w:pPr>
          <w:r>
            <w:fldChar w:fldCharType="begin"/>
          </w:r>
          <w:r>
            <w:instrText xml:space="preserve"> HYPERLINK \l "_Toc220593718" </w:instrText>
          </w:r>
          <w:r>
            <w:fldChar w:fldCharType="separate"/>
          </w:r>
          <w:r>
            <w:rPr>
              <w:rStyle w:val="18"/>
              <w:rFonts w:ascii="黑体" w:hAnsi="黑体" w:eastAsia="黑体"/>
              <w:color w:val="0D0D0D" w:themeColor="text1" w:themeTint="F2"/>
              <w:szCs w:val="21"/>
              <w:lang w:val="zh-CN"/>
              <w14:textFill>
                <w14:solidFill>
                  <w14:schemeClr w14:val="tx1">
                    <w14:lumMod w14:val="95000"/>
                    <w14:lumOff w14:val="5000"/>
                  </w14:schemeClr>
                </w14:solidFill>
              </w14:textFill>
            </w:rPr>
            <w:t>5 评估方法与流程</w:t>
          </w:r>
          <w:r>
            <w:tab/>
          </w:r>
          <w:r>
            <w:fldChar w:fldCharType="begin"/>
          </w:r>
          <w:r>
            <w:instrText xml:space="preserve"> PAGEREF _Toc220593718 \h </w:instrText>
          </w:r>
          <w:r>
            <w:fldChar w:fldCharType="separate"/>
          </w:r>
          <w:r>
            <w:t>6</w:t>
          </w:r>
          <w:r>
            <w:fldChar w:fldCharType="end"/>
          </w:r>
          <w:r>
            <w:fldChar w:fldCharType="end"/>
          </w:r>
        </w:p>
        <w:p w14:paraId="348912F7">
          <w:pPr>
            <w:pStyle w:val="12"/>
            <w:tabs>
              <w:tab w:val="right" w:leader="dot" w:pos="8296"/>
            </w:tabs>
            <w:spacing w:line="360" w:lineRule="auto"/>
            <w:rPr>
              <w:rFonts w:asciiTheme="minorHAnsi" w:hAnsiTheme="minorHAnsi" w:eastAsiaTheme="minorEastAsia" w:cstheme="minorBidi"/>
              <w:color w:val="0D0D0D" w:themeColor="text1" w:themeTint="F2"/>
              <w:szCs w:val="21"/>
              <w14:textFill>
                <w14:solidFill>
                  <w14:schemeClr w14:val="tx1">
                    <w14:lumMod w14:val="95000"/>
                    <w14:lumOff w14:val="5000"/>
                  </w14:schemeClr>
                </w14:solidFill>
              </w14:textFill>
            </w:rPr>
          </w:pPr>
          <w:r>
            <w:fldChar w:fldCharType="begin"/>
          </w:r>
          <w:r>
            <w:instrText xml:space="preserve"> HYPERLINK \l "_Toc220593719" </w:instrText>
          </w:r>
          <w:r>
            <w:fldChar w:fldCharType="separate"/>
          </w:r>
          <w:r>
            <w:rPr>
              <w:rStyle w:val="18"/>
              <w:color w:val="0D0D0D" w:themeColor="text1" w:themeTint="F2"/>
              <w:szCs w:val="21"/>
              <w14:textFill>
                <w14:solidFill>
                  <w14:schemeClr w14:val="tx1">
                    <w14:lumMod w14:val="95000"/>
                    <w14:lumOff w14:val="5000"/>
                  </w14:schemeClr>
                </w14:solidFill>
              </w14:textFill>
            </w:rPr>
            <w:t>5.1 数据采集和处理</w:t>
          </w:r>
          <w:r>
            <w:rPr>
              <w:color w:val="0D0D0D" w:themeColor="text1" w:themeTint="F2"/>
              <w:szCs w:val="21"/>
              <w14:textFill>
                <w14:solidFill>
                  <w14:schemeClr w14:val="tx1">
                    <w14:lumMod w14:val="95000"/>
                    <w14:lumOff w14:val="5000"/>
                  </w14:schemeClr>
                </w14:solidFill>
              </w14:textFill>
            </w:rPr>
            <w:tab/>
          </w:r>
          <w:r>
            <w:rPr>
              <w:color w:val="0D0D0D" w:themeColor="text1" w:themeTint="F2"/>
              <w:szCs w:val="21"/>
              <w14:textFill>
                <w14:solidFill>
                  <w14:schemeClr w14:val="tx1">
                    <w14:lumMod w14:val="95000"/>
                    <w14:lumOff w14:val="5000"/>
                  </w14:schemeClr>
                </w14:solidFill>
              </w14:textFill>
            </w:rPr>
            <w:fldChar w:fldCharType="begin"/>
          </w:r>
          <w:r>
            <w:rPr>
              <w:color w:val="0D0D0D" w:themeColor="text1" w:themeTint="F2"/>
              <w:szCs w:val="21"/>
              <w14:textFill>
                <w14:solidFill>
                  <w14:schemeClr w14:val="tx1">
                    <w14:lumMod w14:val="95000"/>
                    <w14:lumOff w14:val="5000"/>
                  </w14:schemeClr>
                </w14:solidFill>
              </w14:textFill>
            </w:rPr>
            <w:instrText xml:space="preserve"> PAGEREF _Toc220593719 \h </w:instrText>
          </w:r>
          <w:r>
            <w:rPr>
              <w:color w:val="0D0D0D" w:themeColor="text1" w:themeTint="F2"/>
              <w:szCs w:val="21"/>
              <w14:textFill>
                <w14:solidFill>
                  <w14:schemeClr w14:val="tx1">
                    <w14:lumMod w14:val="95000"/>
                    <w14:lumOff w14:val="5000"/>
                  </w14:schemeClr>
                </w14:solidFill>
              </w14:textFill>
            </w:rPr>
            <w:fldChar w:fldCharType="separate"/>
          </w:r>
          <w:r>
            <w:rPr>
              <w:color w:val="0D0D0D" w:themeColor="text1" w:themeTint="F2"/>
              <w:szCs w:val="21"/>
              <w14:textFill>
                <w14:solidFill>
                  <w14:schemeClr w14:val="tx1">
                    <w14:lumMod w14:val="95000"/>
                    <w14:lumOff w14:val="5000"/>
                  </w14:schemeClr>
                </w14:solidFill>
              </w14:textFill>
            </w:rPr>
            <w:t>6</w:t>
          </w:r>
          <w:r>
            <w:rPr>
              <w:color w:val="0D0D0D" w:themeColor="text1" w:themeTint="F2"/>
              <w:szCs w:val="21"/>
              <w14:textFill>
                <w14:solidFill>
                  <w14:schemeClr w14:val="tx1">
                    <w14:lumMod w14:val="95000"/>
                    <w14:lumOff w14:val="5000"/>
                  </w14:schemeClr>
                </w14:solidFill>
              </w14:textFill>
            </w:rPr>
            <w:fldChar w:fldCharType="end"/>
          </w:r>
          <w:r>
            <w:rPr>
              <w:color w:val="0D0D0D" w:themeColor="text1" w:themeTint="F2"/>
              <w:szCs w:val="21"/>
              <w14:textFill>
                <w14:solidFill>
                  <w14:schemeClr w14:val="tx1">
                    <w14:lumMod w14:val="95000"/>
                    <w14:lumOff w14:val="5000"/>
                  </w14:schemeClr>
                </w14:solidFill>
              </w14:textFill>
            </w:rPr>
            <w:fldChar w:fldCharType="end"/>
          </w:r>
        </w:p>
        <w:p w14:paraId="09A96F5E">
          <w:pPr>
            <w:pStyle w:val="12"/>
            <w:tabs>
              <w:tab w:val="right" w:leader="dot" w:pos="8296"/>
            </w:tabs>
            <w:spacing w:line="360" w:lineRule="auto"/>
            <w:rPr>
              <w:rFonts w:asciiTheme="minorHAnsi" w:hAnsiTheme="minorHAnsi" w:eastAsiaTheme="minorEastAsia" w:cstheme="minorBidi"/>
              <w:color w:val="0D0D0D" w:themeColor="text1" w:themeTint="F2"/>
              <w:szCs w:val="21"/>
              <w14:textFill>
                <w14:solidFill>
                  <w14:schemeClr w14:val="tx1">
                    <w14:lumMod w14:val="95000"/>
                    <w14:lumOff w14:val="5000"/>
                  </w14:schemeClr>
                </w14:solidFill>
              </w14:textFill>
            </w:rPr>
          </w:pPr>
          <w:r>
            <w:fldChar w:fldCharType="begin"/>
          </w:r>
          <w:r>
            <w:instrText xml:space="preserve"> HYPERLINK \l "_Toc220593720" </w:instrText>
          </w:r>
          <w:r>
            <w:fldChar w:fldCharType="separate"/>
          </w:r>
          <w:r>
            <w:rPr>
              <w:rStyle w:val="18"/>
              <w:color w:val="0D0D0D" w:themeColor="text1" w:themeTint="F2"/>
              <w:szCs w:val="21"/>
              <w14:textFill>
                <w14:solidFill>
                  <w14:schemeClr w14:val="tx1">
                    <w14:lumMod w14:val="95000"/>
                    <w14:lumOff w14:val="5000"/>
                  </w14:schemeClr>
                </w14:solidFill>
              </w14:textFill>
            </w:rPr>
            <w:t>5.2 评估等级划分</w:t>
          </w:r>
          <w:r>
            <w:rPr>
              <w:color w:val="0D0D0D" w:themeColor="text1" w:themeTint="F2"/>
              <w:szCs w:val="21"/>
              <w14:textFill>
                <w14:solidFill>
                  <w14:schemeClr w14:val="tx1">
                    <w14:lumMod w14:val="95000"/>
                    <w14:lumOff w14:val="5000"/>
                  </w14:schemeClr>
                </w14:solidFill>
              </w14:textFill>
            </w:rPr>
            <w:tab/>
          </w:r>
          <w:r>
            <w:rPr>
              <w:color w:val="0D0D0D" w:themeColor="text1" w:themeTint="F2"/>
              <w:szCs w:val="21"/>
              <w14:textFill>
                <w14:solidFill>
                  <w14:schemeClr w14:val="tx1">
                    <w14:lumMod w14:val="95000"/>
                    <w14:lumOff w14:val="5000"/>
                  </w14:schemeClr>
                </w14:solidFill>
              </w14:textFill>
            </w:rPr>
            <w:fldChar w:fldCharType="begin"/>
          </w:r>
          <w:r>
            <w:rPr>
              <w:color w:val="0D0D0D" w:themeColor="text1" w:themeTint="F2"/>
              <w:szCs w:val="21"/>
              <w14:textFill>
                <w14:solidFill>
                  <w14:schemeClr w14:val="tx1">
                    <w14:lumMod w14:val="95000"/>
                    <w14:lumOff w14:val="5000"/>
                  </w14:schemeClr>
                </w14:solidFill>
              </w14:textFill>
            </w:rPr>
            <w:instrText xml:space="preserve"> PAGEREF _Toc220593720 \h </w:instrText>
          </w:r>
          <w:r>
            <w:rPr>
              <w:color w:val="0D0D0D" w:themeColor="text1" w:themeTint="F2"/>
              <w:szCs w:val="21"/>
              <w14:textFill>
                <w14:solidFill>
                  <w14:schemeClr w14:val="tx1">
                    <w14:lumMod w14:val="95000"/>
                    <w14:lumOff w14:val="5000"/>
                  </w14:schemeClr>
                </w14:solidFill>
              </w14:textFill>
            </w:rPr>
            <w:fldChar w:fldCharType="separate"/>
          </w:r>
          <w:r>
            <w:rPr>
              <w:color w:val="0D0D0D" w:themeColor="text1" w:themeTint="F2"/>
              <w:szCs w:val="21"/>
              <w14:textFill>
                <w14:solidFill>
                  <w14:schemeClr w14:val="tx1">
                    <w14:lumMod w14:val="95000"/>
                    <w14:lumOff w14:val="5000"/>
                  </w14:schemeClr>
                </w14:solidFill>
              </w14:textFill>
            </w:rPr>
            <w:t>6</w:t>
          </w:r>
          <w:r>
            <w:rPr>
              <w:color w:val="0D0D0D" w:themeColor="text1" w:themeTint="F2"/>
              <w:szCs w:val="21"/>
              <w14:textFill>
                <w14:solidFill>
                  <w14:schemeClr w14:val="tx1">
                    <w14:lumMod w14:val="95000"/>
                    <w14:lumOff w14:val="5000"/>
                  </w14:schemeClr>
                </w14:solidFill>
              </w14:textFill>
            </w:rPr>
            <w:fldChar w:fldCharType="end"/>
          </w:r>
          <w:r>
            <w:rPr>
              <w:color w:val="0D0D0D" w:themeColor="text1" w:themeTint="F2"/>
              <w:szCs w:val="21"/>
              <w14:textFill>
                <w14:solidFill>
                  <w14:schemeClr w14:val="tx1">
                    <w14:lumMod w14:val="95000"/>
                    <w14:lumOff w14:val="5000"/>
                  </w14:schemeClr>
                </w14:solidFill>
              </w14:textFill>
            </w:rPr>
            <w:fldChar w:fldCharType="end"/>
          </w:r>
        </w:p>
        <w:p w14:paraId="44221043">
          <w:pPr>
            <w:pStyle w:val="11"/>
            <w:rPr>
              <w:rFonts w:asciiTheme="minorHAnsi" w:hAnsiTheme="minorHAnsi" w:eastAsiaTheme="minorEastAsia" w:cstheme="minorBidi"/>
            </w:rPr>
          </w:pPr>
          <w:r>
            <w:fldChar w:fldCharType="begin"/>
          </w:r>
          <w:r>
            <w:instrText xml:space="preserve"> HYPERLINK \l "_Toc220593721" </w:instrText>
          </w:r>
          <w:r>
            <w:fldChar w:fldCharType="separate"/>
          </w:r>
          <w:r>
            <w:rPr>
              <w:rStyle w:val="18"/>
              <w:rFonts w:ascii="黑体" w:hAnsi="黑体" w:eastAsia="黑体"/>
              <w:color w:val="0D0D0D" w:themeColor="text1" w:themeTint="F2"/>
              <w:szCs w:val="21"/>
              <w:lang w:val="zh-CN"/>
              <w14:textFill>
                <w14:solidFill>
                  <w14:schemeClr w14:val="tx1">
                    <w14:lumMod w14:val="95000"/>
                    <w14:lumOff w14:val="5000"/>
                  </w14:schemeClr>
                </w14:solidFill>
              </w14:textFill>
            </w:rPr>
            <w:t>6 评价报告编写</w:t>
          </w:r>
          <w:r>
            <w:tab/>
          </w:r>
          <w:r>
            <w:fldChar w:fldCharType="begin"/>
          </w:r>
          <w:r>
            <w:instrText xml:space="preserve"> PAGEREF _Toc220593721 \h </w:instrText>
          </w:r>
          <w:r>
            <w:fldChar w:fldCharType="separate"/>
          </w:r>
          <w:r>
            <w:t>7</w:t>
          </w:r>
          <w:r>
            <w:fldChar w:fldCharType="end"/>
          </w:r>
          <w:r>
            <w:fldChar w:fldCharType="end"/>
          </w:r>
        </w:p>
        <w:p w14:paraId="69D6AD22">
          <w:pPr>
            <w:pStyle w:val="11"/>
            <w:rPr>
              <w:rFonts w:asciiTheme="minorHAnsi" w:hAnsiTheme="minorHAnsi" w:eastAsiaTheme="minorEastAsia" w:cstheme="minorBidi"/>
            </w:rPr>
          </w:pPr>
          <w:r>
            <w:fldChar w:fldCharType="begin"/>
          </w:r>
          <w:r>
            <w:instrText xml:space="preserve"> HYPERLINK \l "_Toc220593722" </w:instrText>
          </w:r>
          <w:r>
            <w:fldChar w:fldCharType="separate"/>
          </w:r>
          <w:r>
            <w:rPr>
              <w:rStyle w:val="18"/>
              <w:rFonts w:ascii="黑体" w:hAnsi="黑体" w:eastAsia="黑体"/>
              <w:color w:val="0D0D0D" w:themeColor="text1" w:themeTint="F2"/>
              <w:szCs w:val="21"/>
              <w:lang w:val="zh-CN"/>
              <w14:textFill>
                <w14:solidFill>
                  <w14:schemeClr w14:val="tx1">
                    <w14:lumMod w14:val="95000"/>
                    <w14:lumOff w14:val="5000"/>
                  </w14:schemeClr>
                </w14:solidFill>
              </w14:textFill>
            </w:rPr>
            <w:t>附录A 社区生态评估指标打分表</w:t>
          </w:r>
          <w:r>
            <w:tab/>
          </w:r>
          <w:r>
            <w:fldChar w:fldCharType="begin"/>
          </w:r>
          <w:r>
            <w:instrText xml:space="preserve"> PAGEREF _Toc220593722 \h </w:instrText>
          </w:r>
          <w:r>
            <w:fldChar w:fldCharType="separate"/>
          </w:r>
          <w:r>
            <w:t>8</w:t>
          </w:r>
          <w:r>
            <w:fldChar w:fldCharType="end"/>
          </w:r>
          <w:r>
            <w:fldChar w:fldCharType="end"/>
          </w:r>
        </w:p>
        <w:p w14:paraId="6BBCE689">
          <w:pPr>
            <w:pStyle w:val="11"/>
            <w:rPr>
              <w:rFonts w:asciiTheme="minorHAnsi" w:hAnsiTheme="minorHAnsi" w:eastAsiaTheme="minorEastAsia" w:cstheme="minorBidi"/>
            </w:rPr>
          </w:pPr>
          <w:r>
            <w:fldChar w:fldCharType="begin"/>
          </w:r>
          <w:r>
            <w:instrText xml:space="preserve"> HYPERLINK \l "_Toc220593723" </w:instrText>
          </w:r>
          <w:r>
            <w:fldChar w:fldCharType="separate"/>
          </w:r>
          <w:r>
            <w:rPr>
              <w:rStyle w:val="18"/>
              <w:rFonts w:ascii="黑体" w:hAnsi="黑体" w:eastAsia="黑体"/>
              <w:color w:val="0D0D0D" w:themeColor="text1" w:themeTint="F2"/>
              <w:szCs w:val="21"/>
              <w:lang w:val="zh-CN"/>
              <w14:textFill>
                <w14:solidFill>
                  <w14:schemeClr w14:val="tx1">
                    <w14:lumMod w14:val="95000"/>
                    <w14:lumOff w14:val="5000"/>
                  </w14:schemeClr>
                </w14:solidFill>
              </w14:textFill>
            </w:rPr>
            <w:t>附录B 社区生态数据采集</w:t>
          </w:r>
          <w:r>
            <w:tab/>
          </w:r>
          <w:r>
            <w:fldChar w:fldCharType="begin"/>
          </w:r>
          <w:r>
            <w:instrText xml:space="preserve"> PAGEREF _Toc220593723 \h </w:instrText>
          </w:r>
          <w:r>
            <w:fldChar w:fldCharType="separate"/>
          </w:r>
          <w:r>
            <w:t>11</w:t>
          </w:r>
          <w:r>
            <w:fldChar w:fldCharType="end"/>
          </w:r>
          <w:r>
            <w:fldChar w:fldCharType="end"/>
          </w:r>
        </w:p>
        <w:p w14:paraId="48E51945">
          <w:pPr>
            <w:pStyle w:val="12"/>
            <w:tabs>
              <w:tab w:val="right" w:leader="dot" w:pos="8296"/>
            </w:tabs>
            <w:spacing w:line="360" w:lineRule="auto"/>
            <w:rPr>
              <w:rFonts w:asciiTheme="minorHAnsi" w:hAnsiTheme="minorHAnsi" w:eastAsiaTheme="minorEastAsia" w:cstheme="minorBidi"/>
              <w:color w:val="0D0D0D" w:themeColor="text1" w:themeTint="F2"/>
              <w:szCs w:val="21"/>
              <w14:textFill>
                <w14:solidFill>
                  <w14:schemeClr w14:val="tx1">
                    <w14:lumMod w14:val="95000"/>
                    <w14:lumOff w14:val="5000"/>
                  </w14:schemeClr>
                </w14:solidFill>
              </w14:textFill>
            </w:rPr>
          </w:pPr>
          <w:r>
            <w:fldChar w:fldCharType="begin"/>
          </w:r>
          <w:r>
            <w:instrText xml:space="preserve"> HYPERLINK \l "_Toc220593724" </w:instrText>
          </w:r>
          <w:r>
            <w:fldChar w:fldCharType="separate"/>
          </w:r>
          <w:r>
            <w:rPr>
              <w:rStyle w:val="18"/>
              <w:color w:val="0D0D0D" w:themeColor="text1" w:themeTint="F2"/>
              <w:szCs w:val="21"/>
              <w14:textFill>
                <w14:solidFill>
                  <w14:schemeClr w14:val="tx1">
                    <w14:lumMod w14:val="95000"/>
                    <w14:lumOff w14:val="5000"/>
                  </w14:schemeClr>
                </w14:solidFill>
              </w14:textFill>
            </w:rPr>
            <w:t>B.1 社区本底数据</w:t>
          </w:r>
          <w:r>
            <w:rPr>
              <w:color w:val="0D0D0D" w:themeColor="text1" w:themeTint="F2"/>
              <w:szCs w:val="21"/>
              <w14:textFill>
                <w14:solidFill>
                  <w14:schemeClr w14:val="tx1">
                    <w14:lumMod w14:val="95000"/>
                    <w14:lumOff w14:val="5000"/>
                  </w14:schemeClr>
                </w14:solidFill>
              </w14:textFill>
            </w:rPr>
            <w:tab/>
          </w:r>
          <w:r>
            <w:rPr>
              <w:color w:val="0D0D0D" w:themeColor="text1" w:themeTint="F2"/>
              <w:szCs w:val="21"/>
              <w14:textFill>
                <w14:solidFill>
                  <w14:schemeClr w14:val="tx1">
                    <w14:lumMod w14:val="95000"/>
                    <w14:lumOff w14:val="5000"/>
                  </w14:schemeClr>
                </w14:solidFill>
              </w14:textFill>
            </w:rPr>
            <w:fldChar w:fldCharType="begin"/>
          </w:r>
          <w:r>
            <w:rPr>
              <w:color w:val="0D0D0D" w:themeColor="text1" w:themeTint="F2"/>
              <w:szCs w:val="21"/>
              <w14:textFill>
                <w14:solidFill>
                  <w14:schemeClr w14:val="tx1">
                    <w14:lumMod w14:val="95000"/>
                    <w14:lumOff w14:val="5000"/>
                  </w14:schemeClr>
                </w14:solidFill>
              </w14:textFill>
            </w:rPr>
            <w:instrText xml:space="preserve"> PAGEREF _Toc220593724 \h </w:instrText>
          </w:r>
          <w:r>
            <w:rPr>
              <w:color w:val="0D0D0D" w:themeColor="text1" w:themeTint="F2"/>
              <w:szCs w:val="21"/>
              <w14:textFill>
                <w14:solidFill>
                  <w14:schemeClr w14:val="tx1">
                    <w14:lumMod w14:val="95000"/>
                    <w14:lumOff w14:val="5000"/>
                  </w14:schemeClr>
                </w14:solidFill>
              </w14:textFill>
            </w:rPr>
            <w:fldChar w:fldCharType="separate"/>
          </w:r>
          <w:r>
            <w:rPr>
              <w:color w:val="0D0D0D" w:themeColor="text1" w:themeTint="F2"/>
              <w:szCs w:val="21"/>
              <w14:textFill>
                <w14:solidFill>
                  <w14:schemeClr w14:val="tx1">
                    <w14:lumMod w14:val="95000"/>
                    <w14:lumOff w14:val="5000"/>
                  </w14:schemeClr>
                </w14:solidFill>
              </w14:textFill>
            </w:rPr>
            <w:t>11</w:t>
          </w:r>
          <w:r>
            <w:rPr>
              <w:color w:val="0D0D0D" w:themeColor="text1" w:themeTint="F2"/>
              <w:szCs w:val="21"/>
              <w14:textFill>
                <w14:solidFill>
                  <w14:schemeClr w14:val="tx1">
                    <w14:lumMod w14:val="95000"/>
                    <w14:lumOff w14:val="5000"/>
                  </w14:schemeClr>
                </w14:solidFill>
              </w14:textFill>
            </w:rPr>
            <w:fldChar w:fldCharType="end"/>
          </w:r>
          <w:r>
            <w:rPr>
              <w:color w:val="0D0D0D" w:themeColor="text1" w:themeTint="F2"/>
              <w:szCs w:val="21"/>
              <w14:textFill>
                <w14:solidFill>
                  <w14:schemeClr w14:val="tx1">
                    <w14:lumMod w14:val="95000"/>
                    <w14:lumOff w14:val="5000"/>
                  </w14:schemeClr>
                </w14:solidFill>
              </w14:textFill>
            </w:rPr>
            <w:fldChar w:fldCharType="end"/>
          </w:r>
        </w:p>
        <w:p w14:paraId="18073D84">
          <w:pPr>
            <w:pStyle w:val="12"/>
            <w:tabs>
              <w:tab w:val="right" w:leader="dot" w:pos="8296"/>
            </w:tabs>
            <w:spacing w:line="360" w:lineRule="auto"/>
            <w:rPr>
              <w:rFonts w:asciiTheme="minorHAnsi" w:hAnsiTheme="minorHAnsi" w:eastAsiaTheme="minorEastAsia" w:cstheme="minorBidi"/>
              <w:color w:val="0D0D0D" w:themeColor="text1" w:themeTint="F2"/>
              <w:szCs w:val="21"/>
              <w14:textFill>
                <w14:solidFill>
                  <w14:schemeClr w14:val="tx1">
                    <w14:lumMod w14:val="95000"/>
                    <w14:lumOff w14:val="5000"/>
                  </w14:schemeClr>
                </w14:solidFill>
              </w14:textFill>
            </w:rPr>
          </w:pPr>
          <w:r>
            <w:fldChar w:fldCharType="begin"/>
          </w:r>
          <w:r>
            <w:instrText xml:space="preserve"> HYPERLINK \l "_Toc220593725" </w:instrText>
          </w:r>
          <w:r>
            <w:fldChar w:fldCharType="separate"/>
          </w:r>
          <w:r>
            <w:rPr>
              <w:rStyle w:val="18"/>
              <w:color w:val="0D0D0D" w:themeColor="text1" w:themeTint="F2"/>
              <w:szCs w:val="21"/>
              <w14:textFill>
                <w14:solidFill>
                  <w14:schemeClr w14:val="tx1">
                    <w14:lumMod w14:val="95000"/>
                    <w14:lumOff w14:val="5000"/>
                  </w14:schemeClr>
                </w14:solidFill>
              </w14:textFill>
            </w:rPr>
            <w:t>B.2 气象与大气环境数据</w:t>
          </w:r>
          <w:r>
            <w:rPr>
              <w:color w:val="0D0D0D" w:themeColor="text1" w:themeTint="F2"/>
              <w:szCs w:val="21"/>
              <w14:textFill>
                <w14:solidFill>
                  <w14:schemeClr w14:val="tx1">
                    <w14:lumMod w14:val="95000"/>
                    <w14:lumOff w14:val="5000"/>
                  </w14:schemeClr>
                </w14:solidFill>
              </w14:textFill>
            </w:rPr>
            <w:tab/>
          </w:r>
          <w:r>
            <w:rPr>
              <w:color w:val="0D0D0D" w:themeColor="text1" w:themeTint="F2"/>
              <w:szCs w:val="21"/>
              <w14:textFill>
                <w14:solidFill>
                  <w14:schemeClr w14:val="tx1">
                    <w14:lumMod w14:val="95000"/>
                    <w14:lumOff w14:val="5000"/>
                  </w14:schemeClr>
                </w14:solidFill>
              </w14:textFill>
            </w:rPr>
            <w:fldChar w:fldCharType="begin"/>
          </w:r>
          <w:r>
            <w:rPr>
              <w:color w:val="0D0D0D" w:themeColor="text1" w:themeTint="F2"/>
              <w:szCs w:val="21"/>
              <w14:textFill>
                <w14:solidFill>
                  <w14:schemeClr w14:val="tx1">
                    <w14:lumMod w14:val="95000"/>
                    <w14:lumOff w14:val="5000"/>
                  </w14:schemeClr>
                </w14:solidFill>
              </w14:textFill>
            </w:rPr>
            <w:instrText xml:space="preserve"> PAGEREF _Toc220593725 \h </w:instrText>
          </w:r>
          <w:r>
            <w:rPr>
              <w:color w:val="0D0D0D" w:themeColor="text1" w:themeTint="F2"/>
              <w:szCs w:val="21"/>
              <w14:textFill>
                <w14:solidFill>
                  <w14:schemeClr w14:val="tx1">
                    <w14:lumMod w14:val="95000"/>
                    <w14:lumOff w14:val="5000"/>
                  </w14:schemeClr>
                </w14:solidFill>
              </w14:textFill>
            </w:rPr>
            <w:fldChar w:fldCharType="separate"/>
          </w:r>
          <w:r>
            <w:rPr>
              <w:color w:val="0D0D0D" w:themeColor="text1" w:themeTint="F2"/>
              <w:szCs w:val="21"/>
              <w14:textFill>
                <w14:solidFill>
                  <w14:schemeClr w14:val="tx1">
                    <w14:lumMod w14:val="95000"/>
                    <w14:lumOff w14:val="5000"/>
                  </w14:schemeClr>
                </w14:solidFill>
              </w14:textFill>
            </w:rPr>
            <w:t>13</w:t>
          </w:r>
          <w:r>
            <w:rPr>
              <w:color w:val="0D0D0D" w:themeColor="text1" w:themeTint="F2"/>
              <w:szCs w:val="21"/>
              <w14:textFill>
                <w14:solidFill>
                  <w14:schemeClr w14:val="tx1">
                    <w14:lumMod w14:val="95000"/>
                    <w14:lumOff w14:val="5000"/>
                  </w14:schemeClr>
                </w14:solidFill>
              </w14:textFill>
            </w:rPr>
            <w:fldChar w:fldCharType="end"/>
          </w:r>
          <w:r>
            <w:rPr>
              <w:color w:val="0D0D0D" w:themeColor="text1" w:themeTint="F2"/>
              <w:szCs w:val="21"/>
              <w14:textFill>
                <w14:solidFill>
                  <w14:schemeClr w14:val="tx1">
                    <w14:lumMod w14:val="95000"/>
                    <w14:lumOff w14:val="5000"/>
                  </w14:schemeClr>
                </w14:solidFill>
              </w14:textFill>
            </w:rPr>
            <w:fldChar w:fldCharType="end"/>
          </w:r>
        </w:p>
        <w:p w14:paraId="68CFB56F">
          <w:pPr>
            <w:pStyle w:val="12"/>
            <w:tabs>
              <w:tab w:val="right" w:leader="dot" w:pos="8296"/>
            </w:tabs>
            <w:spacing w:line="360" w:lineRule="auto"/>
            <w:rPr>
              <w:rFonts w:asciiTheme="minorHAnsi" w:hAnsiTheme="minorHAnsi" w:eastAsiaTheme="minorEastAsia" w:cstheme="minorBidi"/>
              <w:color w:val="0D0D0D" w:themeColor="text1" w:themeTint="F2"/>
              <w:szCs w:val="21"/>
              <w14:textFill>
                <w14:solidFill>
                  <w14:schemeClr w14:val="tx1">
                    <w14:lumMod w14:val="95000"/>
                    <w14:lumOff w14:val="5000"/>
                  </w14:schemeClr>
                </w14:solidFill>
              </w14:textFill>
            </w:rPr>
          </w:pPr>
          <w:r>
            <w:fldChar w:fldCharType="begin"/>
          </w:r>
          <w:r>
            <w:instrText xml:space="preserve"> HYPERLINK \l "_Toc220593726" </w:instrText>
          </w:r>
          <w:r>
            <w:fldChar w:fldCharType="separate"/>
          </w:r>
          <w:r>
            <w:rPr>
              <w:rStyle w:val="18"/>
              <w:color w:val="0D0D0D" w:themeColor="text1" w:themeTint="F2"/>
              <w:szCs w:val="21"/>
              <w14:textFill>
                <w14:solidFill>
                  <w14:schemeClr w14:val="tx1">
                    <w14:lumMod w14:val="95000"/>
                    <w14:lumOff w14:val="5000"/>
                  </w14:schemeClr>
                </w14:solidFill>
              </w14:textFill>
            </w:rPr>
            <w:t>B.3 其他数据</w:t>
          </w:r>
          <w:r>
            <w:rPr>
              <w:color w:val="0D0D0D" w:themeColor="text1" w:themeTint="F2"/>
              <w:szCs w:val="21"/>
              <w14:textFill>
                <w14:solidFill>
                  <w14:schemeClr w14:val="tx1">
                    <w14:lumMod w14:val="95000"/>
                    <w14:lumOff w14:val="5000"/>
                  </w14:schemeClr>
                </w14:solidFill>
              </w14:textFill>
            </w:rPr>
            <w:tab/>
          </w:r>
          <w:r>
            <w:rPr>
              <w:color w:val="0D0D0D" w:themeColor="text1" w:themeTint="F2"/>
              <w:szCs w:val="21"/>
              <w14:textFill>
                <w14:solidFill>
                  <w14:schemeClr w14:val="tx1">
                    <w14:lumMod w14:val="95000"/>
                    <w14:lumOff w14:val="5000"/>
                  </w14:schemeClr>
                </w14:solidFill>
              </w14:textFill>
            </w:rPr>
            <w:fldChar w:fldCharType="begin"/>
          </w:r>
          <w:r>
            <w:rPr>
              <w:color w:val="0D0D0D" w:themeColor="text1" w:themeTint="F2"/>
              <w:szCs w:val="21"/>
              <w14:textFill>
                <w14:solidFill>
                  <w14:schemeClr w14:val="tx1">
                    <w14:lumMod w14:val="95000"/>
                    <w14:lumOff w14:val="5000"/>
                  </w14:schemeClr>
                </w14:solidFill>
              </w14:textFill>
            </w:rPr>
            <w:instrText xml:space="preserve"> PAGEREF _Toc220593726 \h </w:instrText>
          </w:r>
          <w:r>
            <w:rPr>
              <w:color w:val="0D0D0D" w:themeColor="text1" w:themeTint="F2"/>
              <w:szCs w:val="21"/>
              <w14:textFill>
                <w14:solidFill>
                  <w14:schemeClr w14:val="tx1">
                    <w14:lumMod w14:val="95000"/>
                    <w14:lumOff w14:val="5000"/>
                  </w14:schemeClr>
                </w14:solidFill>
              </w14:textFill>
            </w:rPr>
            <w:fldChar w:fldCharType="separate"/>
          </w:r>
          <w:r>
            <w:rPr>
              <w:color w:val="0D0D0D" w:themeColor="text1" w:themeTint="F2"/>
              <w:szCs w:val="21"/>
              <w14:textFill>
                <w14:solidFill>
                  <w14:schemeClr w14:val="tx1">
                    <w14:lumMod w14:val="95000"/>
                    <w14:lumOff w14:val="5000"/>
                  </w14:schemeClr>
                </w14:solidFill>
              </w14:textFill>
            </w:rPr>
            <w:t>14</w:t>
          </w:r>
          <w:r>
            <w:rPr>
              <w:color w:val="0D0D0D" w:themeColor="text1" w:themeTint="F2"/>
              <w:szCs w:val="21"/>
              <w14:textFill>
                <w14:solidFill>
                  <w14:schemeClr w14:val="tx1">
                    <w14:lumMod w14:val="95000"/>
                    <w14:lumOff w14:val="5000"/>
                  </w14:schemeClr>
                </w14:solidFill>
              </w14:textFill>
            </w:rPr>
            <w:fldChar w:fldCharType="end"/>
          </w:r>
          <w:r>
            <w:rPr>
              <w:color w:val="0D0D0D" w:themeColor="text1" w:themeTint="F2"/>
              <w:szCs w:val="21"/>
              <w14:textFill>
                <w14:solidFill>
                  <w14:schemeClr w14:val="tx1">
                    <w14:lumMod w14:val="95000"/>
                    <w14:lumOff w14:val="5000"/>
                  </w14:schemeClr>
                </w14:solidFill>
              </w14:textFill>
            </w:rPr>
            <w:fldChar w:fldCharType="end"/>
          </w:r>
        </w:p>
        <w:p w14:paraId="03706448">
          <w:pPr>
            <w:pStyle w:val="11"/>
            <w:rPr>
              <w:rFonts w:asciiTheme="minorHAnsi" w:hAnsiTheme="minorHAnsi" w:eastAsiaTheme="minorEastAsia" w:cstheme="minorBidi"/>
            </w:rPr>
          </w:pPr>
          <w:r>
            <w:fldChar w:fldCharType="begin"/>
          </w:r>
          <w:r>
            <w:instrText xml:space="preserve"> HYPERLINK \l "_Toc220593727" </w:instrText>
          </w:r>
          <w:r>
            <w:fldChar w:fldCharType="separate"/>
          </w:r>
          <w:r>
            <w:rPr>
              <w:rStyle w:val="18"/>
              <w:rFonts w:ascii="黑体" w:hAnsi="黑体" w:eastAsia="黑体"/>
              <w:color w:val="0D0D0D" w:themeColor="text1" w:themeTint="F2"/>
              <w:szCs w:val="21"/>
              <w:lang w:val="zh-CN"/>
              <w14:textFill>
                <w14:solidFill>
                  <w14:schemeClr w14:val="tx1">
                    <w14:lumMod w14:val="95000"/>
                    <w14:lumOff w14:val="5000"/>
                  </w14:schemeClr>
                </w14:solidFill>
              </w14:textFill>
            </w:rPr>
            <w:t>附录C 强致敏植物名录表</w:t>
          </w:r>
          <w:r>
            <w:tab/>
          </w:r>
          <w:r>
            <w:fldChar w:fldCharType="begin"/>
          </w:r>
          <w:r>
            <w:instrText xml:space="preserve"> PAGEREF _Toc220593727 \h </w:instrText>
          </w:r>
          <w:r>
            <w:fldChar w:fldCharType="separate"/>
          </w:r>
          <w:r>
            <w:t>16</w:t>
          </w:r>
          <w:r>
            <w:fldChar w:fldCharType="end"/>
          </w:r>
          <w:r>
            <w:fldChar w:fldCharType="end"/>
          </w:r>
        </w:p>
        <w:p w14:paraId="09C3C26D">
          <w:pPr>
            <w:pStyle w:val="11"/>
            <w:rPr>
              <w:rFonts w:asciiTheme="minorHAnsi" w:hAnsiTheme="minorHAnsi" w:eastAsiaTheme="minorEastAsia" w:cstheme="minorBidi"/>
            </w:rPr>
          </w:pPr>
          <w:r>
            <w:fldChar w:fldCharType="begin"/>
          </w:r>
          <w:r>
            <w:instrText xml:space="preserve"> HYPERLINK \l "_Toc220593728" </w:instrText>
          </w:r>
          <w:r>
            <w:fldChar w:fldCharType="separate"/>
          </w:r>
          <w:r>
            <w:rPr>
              <w:rStyle w:val="18"/>
              <w:rFonts w:ascii="黑体" w:hAnsi="黑体" w:eastAsia="黑体"/>
              <w:color w:val="0D0D0D" w:themeColor="text1" w:themeTint="F2"/>
              <w:szCs w:val="21"/>
              <w:lang w:val="zh-CN"/>
              <w14:textFill>
                <w14:solidFill>
                  <w14:schemeClr w14:val="tx1">
                    <w14:lumMod w14:val="95000"/>
                    <w14:lumOff w14:val="5000"/>
                  </w14:schemeClr>
                </w14:solidFill>
              </w14:textFill>
            </w:rPr>
            <w:t>附录D 社区生态环境调查问卷</w:t>
          </w:r>
          <w:r>
            <w:tab/>
          </w:r>
          <w:r>
            <w:fldChar w:fldCharType="begin"/>
          </w:r>
          <w:r>
            <w:instrText xml:space="preserve"> PAGEREF _Toc220593728 \h </w:instrText>
          </w:r>
          <w:r>
            <w:fldChar w:fldCharType="separate"/>
          </w:r>
          <w:r>
            <w:t>18</w:t>
          </w:r>
          <w:r>
            <w:fldChar w:fldCharType="end"/>
          </w:r>
          <w:r>
            <w:fldChar w:fldCharType="end"/>
          </w:r>
        </w:p>
        <w:p w14:paraId="36067FC7">
          <w:pPr>
            <w:pStyle w:val="11"/>
            <w:rPr>
              <w:rFonts w:asciiTheme="minorHAnsi" w:hAnsiTheme="minorHAnsi" w:eastAsiaTheme="minorEastAsia" w:cstheme="minorBidi"/>
            </w:rPr>
          </w:pPr>
          <w:r>
            <w:fldChar w:fldCharType="begin"/>
          </w:r>
          <w:r>
            <w:instrText xml:space="preserve"> HYPERLINK \l "_Toc220593729" </w:instrText>
          </w:r>
          <w:r>
            <w:fldChar w:fldCharType="separate"/>
          </w:r>
          <w:r>
            <w:rPr>
              <w:rStyle w:val="18"/>
              <w:rFonts w:ascii="黑体" w:hAnsi="黑体" w:eastAsia="黑体"/>
              <w:color w:val="0D0D0D" w:themeColor="text1" w:themeTint="F2"/>
              <w:szCs w:val="21"/>
              <w:lang w:val="zh-CN"/>
              <w14:textFill>
                <w14:solidFill>
                  <w14:schemeClr w14:val="tx1">
                    <w14:lumMod w14:val="95000"/>
                    <w14:lumOff w14:val="5000"/>
                  </w14:schemeClr>
                </w14:solidFill>
              </w14:textFill>
            </w:rPr>
            <w:t>附录E 生态评估报告编写格式</w:t>
          </w:r>
          <w:r>
            <w:tab/>
          </w:r>
          <w:r>
            <w:fldChar w:fldCharType="begin"/>
          </w:r>
          <w:r>
            <w:instrText xml:space="preserve"> PAGEREF _Toc220593729 \h </w:instrText>
          </w:r>
          <w:r>
            <w:fldChar w:fldCharType="separate"/>
          </w:r>
          <w:r>
            <w:t>20</w:t>
          </w:r>
          <w:r>
            <w:fldChar w:fldCharType="end"/>
          </w:r>
          <w:r>
            <w:fldChar w:fldCharType="end"/>
          </w:r>
        </w:p>
        <w:p w14:paraId="61D0EC1E">
          <w:pPr>
            <w:spacing w:line="360" w:lineRule="auto"/>
          </w:pPr>
          <w:r>
            <w:rPr>
              <w:color w:val="0D0D0D" w:themeColor="text1" w:themeTint="F2"/>
              <w:szCs w:val="21"/>
              <w14:textFill>
                <w14:solidFill>
                  <w14:schemeClr w14:val="tx1">
                    <w14:lumMod w14:val="95000"/>
                    <w14:lumOff w14:val="5000"/>
                  </w14:schemeClr>
                </w14:solidFill>
              </w14:textFill>
            </w:rPr>
            <w:fldChar w:fldCharType="end"/>
          </w:r>
        </w:p>
      </w:sdtContent>
    </w:sdt>
    <w:bookmarkEnd w:id="5"/>
    <w:p w14:paraId="3BF3C772">
      <w:pPr>
        <w:sectPr>
          <w:pgSz w:w="11906" w:h="16838"/>
          <w:pgMar w:top="1440" w:right="1800" w:bottom="1440" w:left="1800" w:header="851" w:footer="992" w:gutter="0"/>
          <w:pgNumType w:start="1"/>
          <w:cols w:space="425" w:num="1"/>
          <w:docGrid w:type="lines" w:linePitch="312" w:charSpace="0"/>
        </w:sectPr>
      </w:pPr>
    </w:p>
    <w:sdt>
      <w:sdtPr>
        <w:rPr>
          <w:rFonts w:ascii="Times New Roman" w:hAnsi="Times New Roman" w:eastAsia="宋体" w:cs="Times New Roman"/>
          <w:color w:val="auto"/>
          <w:kern w:val="2"/>
          <w:sz w:val="21"/>
          <w:szCs w:val="24"/>
          <w:lang w:val="zh-CN"/>
        </w:rPr>
        <w:id w:val="-941382639"/>
        <w:docPartObj>
          <w:docPartGallery w:val="Table of Contents"/>
          <w:docPartUnique/>
        </w:docPartObj>
      </w:sdtPr>
      <w:sdtEndPr>
        <w:rPr>
          <w:rFonts w:ascii="Times New Roman" w:hAnsi="Times New Roman" w:eastAsia="宋体" w:cs="Times New Roman"/>
          <w:b/>
          <w:bCs/>
          <w:color w:val="auto"/>
          <w:kern w:val="2"/>
          <w:sz w:val="21"/>
          <w:szCs w:val="24"/>
          <w:lang w:val="zh-CN"/>
        </w:rPr>
      </w:sdtEndPr>
      <w:sdtContent>
        <w:p w14:paraId="4089FD48">
          <w:pPr>
            <w:pStyle w:val="30"/>
            <w:spacing w:line="360" w:lineRule="auto"/>
            <w:jc w:val="center"/>
            <w:rPr>
              <w:rFonts w:ascii="Times New Roman" w:hAnsi="Times New Roman" w:cs="Times New Roman"/>
              <w:b/>
              <w:color w:val="0D0D0D" w:themeColor="text1" w:themeTint="F2"/>
              <w:szCs w:val="21"/>
              <w14:textFill>
                <w14:solidFill>
                  <w14:schemeClr w14:val="tx1">
                    <w14:lumMod w14:val="95000"/>
                    <w14:lumOff w14:val="5000"/>
                  </w14:schemeClr>
                </w14:solidFill>
              </w14:textFill>
            </w:rPr>
          </w:pPr>
          <w:bookmarkStart w:id="6" w:name="_Toc220593711"/>
          <w:bookmarkStart w:id="7" w:name="_Toc193732037"/>
          <w:r>
            <w:rPr>
              <w:rFonts w:ascii="Times New Roman" w:hAnsi="Times New Roman" w:cs="Times New Roman"/>
              <w:b/>
              <w:color w:val="0D0D0D" w:themeColor="text1" w:themeTint="F2"/>
              <w:szCs w:val="21"/>
              <w14:textFill>
                <w14:solidFill>
                  <w14:schemeClr w14:val="tx1">
                    <w14:lumMod w14:val="95000"/>
                    <w14:lumOff w14:val="5000"/>
                  </w14:schemeClr>
                </w14:solidFill>
              </w14:textFill>
            </w:rPr>
            <w:t>Contents</w:t>
          </w:r>
        </w:p>
        <w:p w14:paraId="42C5D3B3">
          <w:pPr>
            <w:pStyle w:val="11"/>
            <w:rPr>
              <w:rFonts w:asciiTheme="minorHAnsi" w:hAnsiTheme="minorHAnsi" w:eastAsiaTheme="minorEastAsia" w:cstheme="minorBidi"/>
            </w:rPr>
          </w:pPr>
          <w:r>
            <w:fldChar w:fldCharType="begin"/>
          </w:r>
          <w:r>
            <w:instrText xml:space="preserve"> TOC \o "1-2" \h \z \u </w:instrText>
          </w:r>
          <w:r>
            <w:fldChar w:fldCharType="separate"/>
          </w:r>
          <w:r>
            <w:t>1 General Provisions</w:t>
          </w:r>
          <w:r>
            <w:fldChar w:fldCharType="begin"/>
          </w:r>
          <w:r>
            <w:instrText xml:space="preserve"> HYPERLINK \l "_Toc220593712" </w:instrText>
          </w:r>
          <w:r>
            <w:fldChar w:fldCharType="separate"/>
          </w:r>
          <w:r>
            <w:tab/>
          </w:r>
          <w:r>
            <w:t>1</w:t>
          </w:r>
          <w:r>
            <w:fldChar w:fldCharType="end"/>
          </w:r>
        </w:p>
        <w:p w14:paraId="3A574B1A">
          <w:pPr>
            <w:pStyle w:val="11"/>
            <w:rPr>
              <w:rFonts w:asciiTheme="minorHAnsi" w:hAnsiTheme="minorHAnsi" w:eastAsiaTheme="minorEastAsia" w:cstheme="minorBidi"/>
            </w:rPr>
          </w:pPr>
          <w:r>
            <w:t>2 Terms</w:t>
          </w:r>
          <w:r>
            <w:fldChar w:fldCharType="begin"/>
          </w:r>
          <w:r>
            <w:instrText xml:space="preserve"> HYPERLINK \l "_Toc220593713" </w:instrText>
          </w:r>
          <w:r>
            <w:fldChar w:fldCharType="separate"/>
          </w:r>
          <w:r>
            <w:tab/>
          </w:r>
          <w:r>
            <w:rPr>
              <w:rFonts w:hint="eastAsia"/>
              <w:lang w:val="en-US" w:eastAsia="zh-CN"/>
            </w:rPr>
            <w:t>2</w:t>
          </w:r>
          <w:r>
            <w:fldChar w:fldCharType="end"/>
          </w:r>
        </w:p>
        <w:p w14:paraId="41E8EC74">
          <w:pPr>
            <w:pStyle w:val="11"/>
            <w:rPr>
              <w:rFonts w:asciiTheme="minorHAnsi" w:hAnsiTheme="minorHAnsi" w:eastAsiaTheme="minorEastAsia" w:cstheme="minorBidi"/>
            </w:rPr>
          </w:pPr>
          <w:r>
            <w:t>3 Basic Stipulations</w:t>
          </w:r>
          <w:r>
            <w:fldChar w:fldCharType="begin"/>
          </w:r>
          <w:r>
            <w:instrText xml:space="preserve"> HYPERLINK \l "_Toc220593714" </w:instrText>
          </w:r>
          <w:r>
            <w:fldChar w:fldCharType="separate"/>
          </w:r>
          <w:r>
            <w:tab/>
          </w:r>
          <w:r>
            <w:rPr>
              <w:rFonts w:hint="eastAsia"/>
              <w:lang w:val="en-US" w:eastAsia="zh-CN"/>
            </w:rPr>
            <w:t>3</w:t>
          </w:r>
          <w:r>
            <w:fldChar w:fldCharType="end"/>
          </w:r>
        </w:p>
        <w:p w14:paraId="1FC3E6F9">
          <w:pPr>
            <w:pStyle w:val="11"/>
            <w:rPr>
              <w:rFonts w:asciiTheme="minorHAnsi" w:hAnsiTheme="minorHAnsi" w:eastAsiaTheme="minorEastAsia" w:cstheme="minorBidi"/>
            </w:rPr>
          </w:pPr>
          <w:r>
            <w:t>4 Ecological Assessment Indicator System and Calculation Methods</w:t>
          </w:r>
          <w:r>
            <w:fldChar w:fldCharType="begin"/>
          </w:r>
          <w:r>
            <w:instrText xml:space="preserve"> HYPERLINK \l "_Toc220593715" </w:instrText>
          </w:r>
          <w:r>
            <w:fldChar w:fldCharType="separate"/>
          </w:r>
          <w:r>
            <w:tab/>
          </w:r>
          <w:r>
            <w:rPr>
              <w:rFonts w:hint="eastAsia"/>
              <w:lang w:val="en-US" w:eastAsia="zh-CN"/>
            </w:rPr>
            <w:t>4</w:t>
          </w:r>
          <w:r>
            <w:fldChar w:fldCharType="end"/>
          </w:r>
        </w:p>
        <w:p w14:paraId="3980A737">
          <w:pPr>
            <w:pStyle w:val="12"/>
            <w:tabs>
              <w:tab w:val="right" w:leader="dot" w:pos="8296"/>
            </w:tabs>
            <w:spacing w:line="360" w:lineRule="auto"/>
            <w:rPr>
              <w:rFonts w:asciiTheme="minorHAnsi" w:hAnsiTheme="minorHAnsi" w:eastAsiaTheme="minorEastAsia" w:cstheme="minorBidi"/>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4.1 Ecological Assessment Indicator System</w:t>
          </w:r>
          <w:r>
            <w:fldChar w:fldCharType="begin"/>
          </w:r>
          <w:r>
            <w:instrText xml:space="preserve"> HYPERLINK \l "_Toc220593716" </w:instrText>
          </w:r>
          <w:r>
            <w:fldChar w:fldCharType="separate"/>
          </w:r>
          <w:r>
            <w:rPr>
              <w:color w:val="0D0D0D" w:themeColor="text1" w:themeTint="F2"/>
              <w:szCs w:val="21"/>
              <w14:textFill>
                <w14:solidFill>
                  <w14:schemeClr w14:val="tx1">
                    <w14:lumMod w14:val="95000"/>
                    <w14:lumOff w14:val="5000"/>
                  </w14:schemeClr>
                </w14:solidFill>
              </w14:textFill>
            </w:rPr>
            <w:tab/>
          </w:r>
          <w:r>
            <w:rPr>
              <w:rFonts w:hint="eastAsia"/>
              <w:color w:val="0D0D0D" w:themeColor="text1" w:themeTint="F2"/>
              <w:szCs w:val="21"/>
              <w:lang w:val="en-US" w:eastAsia="zh-CN"/>
              <w14:textFill>
                <w14:solidFill>
                  <w14:schemeClr w14:val="tx1">
                    <w14:lumMod w14:val="95000"/>
                    <w14:lumOff w14:val="5000"/>
                  </w14:schemeClr>
                </w14:solidFill>
              </w14:textFill>
            </w:rPr>
            <w:t>4</w:t>
          </w:r>
          <w:r>
            <w:rPr>
              <w:color w:val="0D0D0D" w:themeColor="text1" w:themeTint="F2"/>
              <w:szCs w:val="21"/>
              <w14:textFill>
                <w14:solidFill>
                  <w14:schemeClr w14:val="tx1">
                    <w14:lumMod w14:val="95000"/>
                    <w14:lumOff w14:val="5000"/>
                  </w14:schemeClr>
                </w14:solidFill>
              </w14:textFill>
            </w:rPr>
            <w:fldChar w:fldCharType="end"/>
          </w:r>
        </w:p>
        <w:p w14:paraId="179BAAC5">
          <w:pPr>
            <w:pStyle w:val="12"/>
            <w:tabs>
              <w:tab w:val="right" w:leader="dot" w:pos="8296"/>
            </w:tabs>
            <w:spacing w:line="360" w:lineRule="auto"/>
            <w:rPr>
              <w:rFonts w:asciiTheme="minorHAnsi" w:hAnsiTheme="minorHAnsi" w:eastAsiaTheme="minorEastAsia" w:cstheme="minorBidi"/>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4.2 Ecological Assessment Calculation Methods</w:t>
          </w:r>
          <w:r>
            <w:fldChar w:fldCharType="begin"/>
          </w:r>
          <w:r>
            <w:instrText xml:space="preserve"> HYPERLINK \l "_Toc220593717" </w:instrText>
          </w:r>
          <w:r>
            <w:fldChar w:fldCharType="separate"/>
          </w:r>
          <w:r>
            <w:rPr>
              <w:color w:val="0D0D0D" w:themeColor="text1" w:themeTint="F2"/>
              <w:szCs w:val="21"/>
              <w14:textFill>
                <w14:solidFill>
                  <w14:schemeClr w14:val="tx1">
                    <w14:lumMod w14:val="95000"/>
                    <w14:lumOff w14:val="5000"/>
                  </w14:schemeClr>
                </w14:solidFill>
              </w14:textFill>
            </w:rPr>
            <w:tab/>
          </w:r>
          <w:r>
            <w:rPr>
              <w:rFonts w:hint="eastAsia"/>
              <w:color w:val="0D0D0D" w:themeColor="text1" w:themeTint="F2"/>
              <w:szCs w:val="21"/>
              <w:lang w:val="en-US" w:eastAsia="zh-CN"/>
              <w14:textFill>
                <w14:solidFill>
                  <w14:schemeClr w14:val="tx1">
                    <w14:lumMod w14:val="95000"/>
                    <w14:lumOff w14:val="5000"/>
                  </w14:schemeClr>
                </w14:solidFill>
              </w14:textFill>
            </w:rPr>
            <w:t>5</w:t>
          </w:r>
          <w:r>
            <w:rPr>
              <w:color w:val="0D0D0D" w:themeColor="text1" w:themeTint="F2"/>
              <w:szCs w:val="21"/>
              <w14:textFill>
                <w14:solidFill>
                  <w14:schemeClr w14:val="tx1">
                    <w14:lumMod w14:val="95000"/>
                    <w14:lumOff w14:val="5000"/>
                  </w14:schemeClr>
                </w14:solidFill>
              </w14:textFill>
            </w:rPr>
            <w:fldChar w:fldCharType="end"/>
          </w:r>
        </w:p>
        <w:p w14:paraId="49F30D79">
          <w:pPr>
            <w:pStyle w:val="11"/>
            <w:rPr>
              <w:rFonts w:asciiTheme="minorHAnsi" w:hAnsiTheme="minorHAnsi" w:eastAsiaTheme="minorEastAsia" w:cstheme="minorBidi"/>
            </w:rPr>
          </w:pPr>
          <w:r>
            <w:t>5 Assessment Methods and Procedures</w:t>
          </w:r>
          <w:r>
            <w:fldChar w:fldCharType="begin"/>
          </w:r>
          <w:r>
            <w:instrText xml:space="preserve"> HYPERLINK \l "_Toc220593718" </w:instrText>
          </w:r>
          <w:r>
            <w:fldChar w:fldCharType="separate"/>
          </w:r>
          <w:r>
            <w:tab/>
          </w:r>
          <w:r>
            <w:rPr>
              <w:rFonts w:hint="eastAsia"/>
              <w:lang w:val="en-US" w:eastAsia="zh-CN"/>
            </w:rPr>
            <w:t>6</w:t>
          </w:r>
          <w:r>
            <w:fldChar w:fldCharType="end"/>
          </w:r>
        </w:p>
        <w:p w14:paraId="0C58C6DB">
          <w:pPr>
            <w:pStyle w:val="12"/>
            <w:tabs>
              <w:tab w:val="right" w:leader="dot" w:pos="8296"/>
            </w:tabs>
            <w:spacing w:line="360" w:lineRule="auto"/>
            <w:rPr>
              <w:rFonts w:asciiTheme="minorHAnsi" w:hAnsiTheme="minorHAnsi" w:eastAsiaTheme="minorEastAsia" w:cstheme="minorBidi"/>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5.1 Data Collection and Processing</w:t>
          </w:r>
          <w:r>
            <w:fldChar w:fldCharType="begin"/>
          </w:r>
          <w:r>
            <w:instrText xml:space="preserve"> HYPERLINK \l "_Toc220593719" </w:instrText>
          </w:r>
          <w:r>
            <w:fldChar w:fldCharType="separate"/>
          </w:r>
          <w:r>
            <w:rPr>
              <w:color w:val="0D0D0D" w:themeColor="text1" w:themeTint="F2"/>
              <w:szCs w:val="21"/>
              <w14:textFill>
                <w14:solidFill>
                  <w14:schemeClr w14:val="tx1">
                    <w14:lumMod w14:val="95000"/>
                    <w14:lumOff w14:val="5000"/>
                  </w14:schemeClr>
                </w14:solidFill>
              </w14:textFill>
            </w:rPr>
            <w:tab/>
          </w:r>
          <w:r>
            <w:rPr>
              <w:rFonts w:hint="eastAsia"/>
              <w:color w:val="0D0D0D" w:themeColor="text1" w:themeTint="F2"/>
              <w:szCs w:val="21"/>
              <w:lang w:val="en-US" w:eastAsia="zh-CN"/>
              <w14:textFill>
                <w14:solidFill>
                  <w14:schemeClr w14:val="tx1">
                    <w14:lumMod w14:val="95000"/>
                    <w14:lumOff w14:val="5000"/>
                  </w14:schemeClr>
                </w14:solidFill>
              </w14:textFill>
            </w:rPr>
            <w:t>6</w:t>
          </w:r>
          <w:r>
            <w:rPr>
              <w:color w:val="0D0D0D" w:themeColor="text1" w:themeTint="F2"/>
              <w:szCs w:val="21"/>
              <w14:textFill>
                <w14:solidFill>
                  <w14:schemeClr w14:val="tx1">
                    <w14:lumMod w14:val="95000"/>
                    <w14:lumOff w14:val="5000"/>
                  </w14:schemeClr>
                </w14:solidFill>
              </w14:textFill>
            </w:rPr>
            <w:fldChar w:fldCharType="end"/>
          </w:r>
        </w:p>
        <w:p w14:paraId="44D1889D">
          <w:pPr>
            <w:pStyle w:val="12"/>
            <w:tabs>
              <w:tab w:val="right" w:leader="dot" w:pos="8296"/>
            </w:tabs>
            <w:spacing w:line="360" w:lineRule="auto"/>
            <w:rPr>
              <w:rFonts w:asciiTheme="minorHAnsi" w:hAnsiTheme="minorHAnsi" w:eastAsiaTheme="minorEastAsia" w:cstheme="minorBidi"/>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5.2 Assessment Grade Classification</w:t>
          </w:r>
          <w:r>
            <w:fldChar w:fldCharType="begin"/>
          </w:r>
          <w:r>
            <w:instrText xml:space="preserve"> HYPERLINK \l "_Toc220593720" </w:instrText>
          </w:r>
          <w:r>
            <w:fldChar w:fldCharType="separate"/>
          </w:r>
          <w:r>
            <w:rPr>
              <w:color w:val="0D0D0D" w:themeColor="text1" w:themeTint="F2"/>
              <w:szCs w:val="21"/>
              <w14:textFill>
                <w14:solidFill>
                  <w14:schemeClr w14:val="tx1">
                    <w14:lumMod w14:val="95000"/>
                    <w14:lumOff w14:val="5000"/>
                  </w14:schemeClr>
                </w14:solidFill>
              </w14:textFill>
            </w:rPr>
            <w:tab/>
          </w:r>
          <w:r>
            <w:rPr>
              <w:rFonts w:hint="eastAsia"/>
              <w:color w:val="0D0D0D" w:themeColor="text1" w:themeTint="F2"/>
              <w:szCs w:val="21"/>
              <w:lang w:val="en-US" w:eastAsia="zh-CN"/>
              <w14:textFill>
                <w14:solidFill>
                  <w14:schemeClr w14:val="tx1">
                    <w14:lumMod w14:val="95000"/>
                    <w14:lumOff w14:val="5000"/>
                  </w14:schemeClr>
                </w14:solidFill>
              </w14:textFill>
            </w:rPr>
            <w:t>6</w:t>
          </w:r>
          <w:r>
            <w:rPr>
              <w:color w:val="0D0D0D" w:themeColor="text1" w:themeTint="F2"/>
              <w:szCs w:val="21"/>
              <w14:textFill>
                <w14:solidFill>
                  <w14:schemeClr w14:val="tx1">
                    <w14:lumMod w14:val="95000"/>
                    <w14:lumOff w14:val="5000"/>
                  </w14:schemeClr>
                </w14:solidFill>
              </w14:textFill>
            </w:rPr>
            <w:fldChar w:fldCharType="end"/>
          </w:r>
        </w:p>
        <w:p w14:paraId="3572CCB2">
          <w:pPr>
            <w:pStyle w:val="11"/>
            <w:rPr>
              <w:rFonts w:asciiTheme="minorHAnsi" w:hAnsiTheme="minorHAnsi" w:eastAsiaTheme="minorEastAsia" w:cstheme="minorBidi"/>
            </w:rPr>
          </w:pPr>
          <w:r>
            <w:t>6 Compilation of Assessment Report</w:t>
          </w:r>
          <w:r>
            <w:fldChar w:fldCharType="begin"/>
          </w:r>
          <w:r>
            <w:instrText xml:space="preserve"> HYPERLINK \l "_Toc220593721" </w:instrText>
          </w:r>
          <w:r>
            <w:fldChar w:fldCharType="separate"/>
          </w:r>
          <w:r>
            <w:tab/>
          </w:r>
          <w:r>
            <w:rPr>
              <w:rFonts w:hint="eastAsia"/>
              <w:lang w:val="en-US" w:eastAsia="zh-CN"/>
            </w:rPr>
            <w:t>7</w:t>
          </w:r>
          <w:r>
            <w:fldChar w:fldCharType="end"/>
          </w:r>
        </w:p>
        <w:p w14:paraId="1023A474">
          <w:pPr>
            <w:pStyle w:val="11"/>
            <w:rPr>
              <w:rFonts w:asciiTheme="minorHAnsi" w:hAnsiTheme="minorHAnsi" w:eastAsiaTheme="minorEastAsia" w:cstheme="minorBidi"/>
            </w:rPr>
          </w:pPr>
          <w:r>
            <w:t>Appendix A Community Ecological Assessment Indicator Scoring Form</w:t>
          </w:r>
          <w:r>
            <w:fldChar w:fldCharType="begin"/>
          </w:r>
          <w:r>
            <w:instrText xml:space="preserve"> HYPERLINK \l "_Toc220593722" </w:instrText>
          </w:r>
          <w:r>
            <w:fldChar w:fldCharType="separate"/>
          </w:r>
          <w:r>
            <w:tab/>
          </w:r>
          <w:r>
            <w:rPr>
              <w:rFonts w:hint="eastAsia"/>
              <w:lang w:val="en-US" w:eastAsia="zh-CN"/>
            </w:rPr>
            <w:t>8</w:t>
          </w:r>
          <w:r>
            <w:fldChar w:fldCharType="end"/>
          </w:r>
        </w:p>
        <w:p w14:paraId="4268BD2C">
          <w:pPr>
            <w:pStyle w:val="11"/>
            <w:rPr>
              <w:rFonts w:hint="eastAsia" w:eastAsia="宋体" w:asciiTheme="minorHAnsi" w:hAnsiTheme="minorHAnsi" w:cstheme="minorBidi"/>
              <w:lang w:val="en-US" w:eastAsia="zh-CN"/>
            </w:rPr>
          </w:pPr>
          <w:r>
            <w:t>Appendix B Community Ecological Data Collection</w:t>
          </w:r>
          <w:r>
            <w:fldChar w:fldCharType="begin"/>
          </w:r>
          <w:r>
            <w:instrText xml:space="preserve"> HYPERLINK \l "_Toc220593723" </w:instrText>
          </w:r>
          <w:r>
            <w:fldChar w:fldCharType="separate"/>
          </w:r>
          <w:r>
            <w:tab/>
          </w:r>
          <w:r>
            <w:rPr>
              <w:rFonts w:hint="eastAsia"/>
              <w:lang w:val="en-US" w:eastAsia="zh-CN"/>
            </w:rPr>
            <w:t>1</w:t>
          </w:r>
          <w:r>
            <w:fldChar w:fldCharType="end"/>
          </w:r>
          <w:r>
            <w:rPr>
              <w:rFonts w:hint="eastAsia"/>
              <w:lang w:val="en-US" w:eastAsia="zh-CN"/>
            </w:rPr>
            <w:t>1</w:t>
          </w:r>
        </w:p>
        <w:p w14:paraId="472E2251">
          <w:pPr>
            <w:pStyle w:val="12"/>
            <w:tabs>
              <w:tab w:val="right" w:leader="dot" w:pos="8296"/>
            </w:tabs>
            <w:spacing w:line="360" w:lineRule="auto"/>
            <w:rPr>
              <w:rFonts w:asciiTheme="minorHAnsi" w:hAnsiTheme="minorHAnsi" w:eastAsiaTheme="minorEastAsia" w:cstheme="minorBidi"/>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B.1 Community Baseline Data</w:t>
          </w:r>
          <w:r>
            <w:fldChar w:fldCharType="begin"/>
          </w:r>
          <w:r>
            <w:instrText xml:space="preserve"> HYPERLINK \l "_Toc220593724" </w:instrText>
          </w:r>
          <w:r>
            <w:fldChar w:fldCharType="separate"/>
          </w:r>
          <w:r>
            <w:rPr>
              <w:color w:val="0D0D0D" w:themeColor="text1" w:themeTint="F2"/>
              <w:szCs w:val="21"/>
              <w14:textFill>
                <w14:solidFill>
                  <w14:schemeClr w14:val="tx1">
                    <w14:lumMod w14:val="95000"/>
                    <w14:lumOff w14:val="5000"/>
                  </w14:schemeClr>
                </w14:solidFill>
              </w14:textFill>
            </w:rPr>
            <w:tab/>
          </w:r>
          <w:r>
            <w:rPr>
              <w:color w:val="0D0D0D" w:themeColor="text1" w:themeTint="F2"/>
              <w:szCs w:val="21"/>
              <w14:textFill>
                <w14:solidFill>
                  <w14:schemeClr w14:val="tx1">
                    <w14:lumMod w14:val="95000"/>
                    <w14:lumOff w14:val="5000"/>
                  </w14:schemeClr>
                </w14:solidFill>
              </w14:textFill>
            </w:rPr>
            <w:fldChar w:fldCharType="begin"/>
          </w:r>
          <w:r>
            <w:rPr>
              <w:color w:val="0D0D0D" w:themeColor="text1" w:themeTint="F2"/>
              <w:szCs w:val="21"/>
              <w14:textFill>
                <w14:solidFill>
                  <w14:schemeClr w14:val="tx1">
                    <w14:lumMod w14:val="95000"/>
                    <w14:lumOff w14:val="5000"/>
                  </w14:schemeClr>
                </w14:solidFill>
              </w14:textFill>
            </w:rPr>
            <w:instrText xml:space="preserve"> PAGEREF _Toc220593724 \h </w:instrText>
          </w:r>
          <w:r>
            <w:rPr>
              <w:color w:val="0D0D0D" w:themeColor="text1" w:themeTint="F2"/>
              <w:szCs w:val="21"/>
              <w14:textFill>
                <w14:solidFill>
                  <w14:schemeClr w14:val="tx1">
                    <w14:lumMod w14:val="95000"/>
                    <w14:lumOff w14:val="5000"/>
                  </w14:schemeClr>
                </w14:solidFill>
              </w14:textFill>
            </w:rPr>
            <w:fldChar w:fldCharType="separate"/>
          </w:r>
          <w:r>
            <w:rPr>
              <w:color w:val="0D0D0D" w:themeColor="text1" w:themeTint="F2"/>
              <w:szCs w:val="21"/>
              <w14:textFill>
                <w14:solidFill>
                  <w14:schemeClr w14:val="tx1">
                    <w14:lumMod w14:val="95000"/>
                    <w14:lumOff w14:val="5000"/>
                  </w14:schemeClr>
                </w14:solidFill>
              </w14:textFill>
            </w:rPr>
            <w:t>1</w:t>
          </w:r>
          <w:r>
            <w:rPr>
              <w:rFonts w:hint="eastAsia"/>
              <w:color w:val="0D0D0D" w:themeColor="text1" w:themeTint="F2"/>
              <w:szCs w:val="21"/>
              <w:lang w:val="en-US" w:eastAsia="zh-CN"/>
              <w14:textFill>
                <w14:solidFill>
                  <w14:schemeClr w14:val="tx1">
                    <w14:lumMod w14:val="95000"/>
                    <w14:lumOff w14:val="5000"/>
                  </w14:schemeClr>
                </w14:solidFill>
              </w14:textFill>
            </w:rPr>
            <w:t>1</w:t>
          </w:r>
          <w:r>
            <w:rPr>
              <w:color w:val="0D0D0D" w:themeColor="text1" w:themeTint="F2"/>
              <w:szCs w:val="21"/>
              <w14:textFill>
                <w14:solidFill>
                  <w14:schemeClr w14:val="tx1">
                    <w14:lumMod w14:val="95000"/>
                    <w14:lumOff w14:val="5000"/>
                  </w14:schemeClr>
                </w14:solidFill>
              </w14:textFill>
            </w:rPr>
            <w:fldChar w:fldCharType="end"/>
          </w:r>
          <w:r>
            <w:rPr>
              <w:color w:val="0D0D0D" w:themeColor="text1" w:themeTint="F2"/>
              <w:szCs w:val="21"/>
              <w14:textFill>
                <w14:solidFill>
                  <w14:schemeClr w14:val="tx1">
                    <w14:lumMod w14:val="95000"/>
                    <w14:lumOff w14:val="5000"/>
                  </w14:schemeClr>
                </w14:solidFill>
              </w14:textFill>
            </w:rPr>
            <w:fldChar w:fldCharType="end"/>
          </w:r>
        </w:p>
        <w:p w14:paraId="4FE75564">
          <w:pPr>
            <w:pStyle w:val="12"/>
            <w:tabs>
              <w:tab w:val="right" w:leader="dot" w:pos="8296"/>
            </w:tabs>
            <w:spacing w:line="360" w:lineRule="auto"/>
            <w:rPr>
              <w:rFonts w:asciiTheme="minorHAnsi" w:hAnsiTheme="minorHAnsi" w:eastAsiaTheme="minorEastAsia" w:cstheme="minorBidi"/>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B.2 Meteorological and Atmospheric Environment Data</w:t>
          </w:r>
          <w:r>
            <w:fldChar w:fldCharType="begin"/>
          </w:r>
          <w:r>
            <w:instrText xml:space="preserve"> HYPERLINK \l "_Toc220593725" </w:instrText>
          </w:r>
          <w:r>
            <w:fldChar w:fldCharType="separate"/>
          </w:r>
          <w:r>
            <w:rPr>
              <w:color w:val="0D0D0D" w:themeColor="text1" w:themeTint="F2"/>
              <w:szCs w:val="21"/>
              <w14:textFill>
                <w14:solidFill>
                  <w14:schemeClr w14:val="tx1">
                    <w14:lumMod w14:val="95000"/>
                    <w14:lumOff w14:val="5000"/>
                  </w14:schemeClr>
                </w14:solidFill>
              </w14:textFill>
            </w:rPr>
            <w:tab/>
          </w:r>
          <w:r>
            <w:rPr>
              <w:color w:val="0D0D0D" w:themeColor="text1" w:themeTint="F2"/>
              <w:szCs w:val="21"/>
              <w14:textFill>
                <w14:solidFill>
                  <w14:schemeClr w14:val="tx1">
                    <w14:lumMod w14:val="95000"/>
                    <w14:lumOff w14:val="5000"/>
                  </w14:schemeClr>
                </w14:solidFill>
              </w14:textFill>
            </w:rPr>
            <w:fldChar w:fldCharType="begin"/>
          </w:r>
          <w:r>
            <w:rPr>
              <w:color w:val="0D0D0D" w:themeColor="text1" w:themeTint="F2"/>
              <w:szCs w:val="21"/>
              <w14:textFill>
                <w14:solidFill>
                  <w14:schemeClr w14:val="tx1">
                    <w14:lumMod w14:val="95000"/>
                    <w14:lumOff w14:val="5000"/>
                  </w14:schemeClr>
                </w14:solidFill>
              </w14:textFill>
            </w:rPr>
            <w:instrText xml:space="preserve"> PAGEREF _Toc220593725 \h </w:instrText>
          </w:r>
          <w:r>
            <w:rPr>
              <w:color w:val="0D0D0D" w:themeColor="text1" w:themeTint="F2"/>
              <w:szCs w:val="21"/>
              <w14:textFill>
                <w14:solidFill>
                  <w14:schemeClr w14:val="tx1">
                    <w14:lumMod w14:val="95000"/>
                    <w14:lumOff w14:val="5000"/>
                  </w14:schemeClr>
                </w14:solidFill>
              </w14:textFill>
            </w:rPr>
            <w:fldChar w:fldCharType="separate"/>
          </w:r>
          <w:r>
            <w:rPr>
              <w:color w:val="0D0D0D" w:themeColor="text1" w:themeTint="F2"/>
              <w:szCs w:val="21"/>
              <w14:textFill>
                <w14:solidFill>
                  <w14:schemeClr w14:val="tx1">
                    <w14:lumMod w14:val="95000"/>
                    <w14:lumOff w14:val="5000"/>
                  </w14:schemeClr>
                </w14:solidFill>
              </w14:textFill>
            </w:rPr>
            <w:t>1</w:t>
          </w:r>
          <w:r>
            <w:rPr>
              <w:rFonts w:hint="eastAsia"/>
              <w:color w:val="0D0D0D" w:themeColor="text1" w:themeTint="F2"/>
              <w:szCs w:val="21"/>
              <w:lang w:val="en-US" w:eastAsia="zh-CN"/>
              <w14:textFill>
                <w14:solidFill>
                  <w14:schemeClr w14:val="tx1">
                    <w14:lumMod w14:val="95000"/>
                    <w14:lumOff w14:val="5000"/>
                  </w14:schemeClr>
                </w14:solidFill>
              </w14:textFill>
            </w:rPr>
            <w:t>3</w:t>
          </w:r>
          <w:r>
            <w:rPr>
              <w:color w:val="0D0D0D" w:themeColor="text1" w:themeTint="F2"/>
              <w:szCs w:val="21"/>
              <w14:textFill>
                <w14:solidFill>
                  <w14:schemeClr w14:val="tx1">
                    <w14:lumMod w14:val="95000"/>
                    <w14:lumOff w14:val="5000"/>
                  </w14:schemeClr>
                </w14:solidFill>
              </w14:textFill>
            </w:rPr>
            <w:fldChar w:fldCharType="end"/>
          </w:r>
          <w:r>
            <w:rPr>
              <w:color w:val="0D0D0D" w:themeColor="text1" w:themeTint="F2"/>
              <w:szCs w:val="21"/>
              <w14:textFill>
                <w14:solidFill>
                  <w14:schemeClr w14:val="tx1">
                    <w14:lumMod w14:val="95000"/>
                    <w14:lumOff w14:val="5000"/>
                  </w14:schemeClr>
                </w14:solidFill>
              </w14:textFill>
            </w:rPr>
            <w:fldChar w:fldCharType="end"/>
          </w:r>
        </w:p>
        <w:p w14:paraId="78C3C09B">
          <w:pPr>
            <w:pStyle w:val="12"/>
            <w:tabs>
              <w:tab w:val="right" w:leader="dot" w:pos="8296"/>
            </w:tabs>
            <w:spacing w:line="360" w:lineRule="auto"/>
            <w:rPr>
              <w:rFonts w:asciiTheme="minorHAnsi" w:hAnsiTheme="minorHAnsi" w:eastAsiaTheme="minorEastAsia" w:cstheme="minorBidi"/>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B.3 Other Data</w:t>
          </w:r>
          <w:r>
            <w:fldChar w:fldCharType="begin"/>
          </w:r>
          <w:r>
            <w:instrText xml:space="preserve"> HYPERLINK \l "_Toc220593726" </w:instrText>
          </w:r>
          <w:r>
            <w:fldChar w:fldCharType="separate"/>
          </w:r>
          <w:r>
            <w:rPr>
              <w:color w:val="0D0D0D" w:themeColor="text1" w:themeTint="F2"/>
              <w:szCs w:val="21"/>
              <w14:textFill>
                <w14:solidFill>
                  <w14:schemeClr w14:val="tx1">
                    <w14:lumMod w14:val="95000"/>
                    <w14:lumOff w14:val="5000"/>
                  </w14:schemeClr>
                </w14:solidFill>
              </w14:textFill>
            </w:rPr>
            <w:tab/>
          </w:r>
          <w:r>
            <w:rPr>
              <w:color w:val="0D0D0D" w:themeColor="text1" w:themeTint="F2"/>
              <w:szCs w:val="21"/>
              <w14:textFill>
                <w14:solidFill>
                  <w14:schemeClr w14:val="tx1">
                    <w14:lumMod w14:val="95000"/>
                    <w14:lumOff w14:val="5000"/>
                  </w14:schemeClr>
                </w14:solidFill>
              </w14:textFill>
            </w:rPr>
            <w:fldChar w:fldCharType="begin"/>
          </w:r>
          <w:r>
            <w:rPr>
              <w:color w:val="0D0D0D" w:themeColor="text1" w:themeTint="F2"/>
              <w:szCs w:val="21"/>
              <w14:textFill>
                <w14:solidFill>
                  <w14:schemeClr w14:val="tx1">
                    <w14:lumMod w14:val="95000"/>
                    <w14:lumOff w14:val="5000"/>
                  </w14:schemeClr>
                </w14:solidFill>
              </w14:textFill>
            </w:rPr>
            <w:instrText xml:space="preserve"> PAGEREF _Toc220593726 \h </w:instrText>
          </w:r>
          <w:r>
            <w:rPr>
              <w:color w:val="0D0D0D" w:themeColor="text1" w:themeTint="F2"/>
              <w:szCs w:val="21"/>
              <w14:textFill>
                <w14:solidFill>
                  <w14:schemeClr w14:val="tx1">
                    <w14:lumMod w14:val="95000"/>
                    <w14:lumOff w14:val="5000"/>
                  </w14:schemeClr>
                </w14:solidFill>
              </w14:textFill>
            </w:rPr>
            <w:fldChar w:fldCharType="separate"/>
          </w:r>
          <w:r>
            <w:rPr>
              <w:color w:val="0D0D0D" w:themeColor="text1" w:themeTint="F2"/>
              <w:szCs w:val="21"/>
              <w14:textFill>
                <w14:solidFill>
                  <w14:schemeClr w14:val="tx1">
                    <w14:lumMod w14:val="95000"/>
                    <w14:lumOff w14:val="5000"/>
                  </w14:schemeClr>
                </w14:solidFill>
              </w14:textFill>
            </w:rPr>
            <w:t>1</w:t>
          </w:r>
          <w:r>
            <w:rPr>
              <w:rFonts w:hint="eastAsia"/>
              <w:color w:val="0D0D0D" w:themeColor="text1" w:themeTint="F2"/>
              <w:szCs w:val="21"/>
              <w:lang w:val="en-US" w:eastAsia="zh-CN"/>
              <w14:textFill>
                <w14:solidFill>
                  <w14:schemeClr w14:val="tx1">
                    <w14:lumMod w14:val="95000"/>
                    <w14:lumOff w14:val="5000"/>
                  </w14:schemeClr>
                </w14:solidFill>
              </w14:textFill>
            </w:rPr>
            <w:t>4</w:t>
          </w:r>
          <w:r>
            <w:rPr>
              <w:color w:val="0D0D0D" w:themeColor="text1" w:themeTint="F2"/>
              <w:szCs w:val="21"/>
              <w14:textFill>
                <w14:solidFill>
                  <w14:schemeClr w14:val="tx1">
                    <w14:lumMod w14:val="95000"/>
                    <w14:lumOff w14:val="5000"/>
                  </w14:schemeClr>
                </w14:solidFill>
              </w14:textFill>
            </w:rPr>
            <w:fldChar w:fldCharType="end"/>
          </w:r>
          <w:r>
            <w:rPr>
              <w:color w:val="0D0D0D" w:themeColor="text1" w:themeTint="F2"/>
              <w:szCs w:val="21"/>
              <w14:textFill>
                <w14:solidFill>
                  <w14:schemeClr w14:val="tx1">
                    <w14:lumMod w14:val="95000"/>
                    <w14:lumOff w14:val="5000"/>
                  </w14:schemeClr>
                </w14:solidFill>
              </w14:textFill>
            </w:rPr>
            <w:fldChar w:fldCharType="end"/>
          </w:r>
        </w:p>
        <w:p w14:paraId="08C0EE00">
          <w:pPr>
            <w:pStyle w:val="11"/>
            <w:rPr>
              <w:rFonts w:hint="eastAsia" w:eastAsia="宋体" w:asciiTheme="minorHAnsi" w:hAnsiTheme="minorHAnsi" w:cstheme="minorBidi"/>
              <w:lang w:val="en-US" w:eastAsia="zh-CN"/>
            </w:rPr>
          </w:pPr>
          <w:r>
            <w:t>Appendix C Strong Allergenic Plant List</w:t>
          </w:r>
          <w:r>
            <w:fldChar w:fldCharType="begin"/>
          </w:r>
          <w:r>
            <w:instrText xml:space="preserve"> HYPERLINK \l "_Toc220593727" </w:instrText>
          </w:r>
          <w:r>
            <w:fldChar w:fldCharType="separate"/>
          </w:r>
          <w:r>
            <w:tab/>
          </w:r>
          <w:r>
            <w:rPr>
              <w:rFonts w:hint="eastAsia"/>
              <w:lang w:val="en-US" w:eastAsia="zh-CN"/>
            </w:rPr>
            <w:t>1</w:t>
          </w:r>
          <w:r>
            <w:fldChar w:fldCharType="end"/>
          </w:r>
          <w:r>
            <w:rPr>
              <w:rFonts w:hint="eastAsia"/>
              <w:lang w:val="en-US" w:eastAsia="zh-CN"/>
            </w:rPr>
            <w:t>6</w:t>
          </w:r>
        </w:p>
        <w:p w14:paraId="6C773ADB">
          <w:pPr>
            <w:pStyle w:val="11"/>
            <w:rPr>
              <w:rFonts w:asciiTheme="minorHAnsi" w:hAnsiTheme="minorHAnsi" w:eastAsiaTheme="minorEastAsia" w:cstheme="minorBidi"/>
            </w:rPr>
          </w:pPr>
          <w:r>
            <w:t>Appendix D Community Ecological Environment Questionnaire</w:t>
          </w:r>
          <w:r>
            <w:fldChar w:fldCharType="begin"/>
          </w:r>
          <w:r>
            <w:instrText xml:space="preserve"> HYPERLINK \l "_Toc220593728" </w:instrText>
          </w:r>
          <w:r>
            <w:fldChar w:fldCharType="separate"/>
          </w:r>
          <w:r>
            <w:tab/>
          </w:r>
          <w:r>
            <w:fldChar w:fldCharType="begin"/>
          </w:r>
          <w:r>
            <w:instrText xml:space="preserve"> PAGEREF _Toc220593728 \h </w:instrText>
          </w:r>
          <w:r>
            <w:fldChar w:fldCharType="separate"/>
          </w:r>
          <w:r>
            <w:t>1</w:t>
          </w:r>
          <w:r>
            <w:rPr>
              <w:rFonts w:hint="eastAsia"/>
              <w:lang w:val="en-US" w:eastAsia="zh-CN"/>
            </w:rPr>
            <w:t>8</w:t>
          </w:r>
          <w:r>
            <w:fldChar w:fldCharType="end"/>
          </w:r>
          <w:r>
            <w:fldChar w:fldCharType="end"/>
          </w:r>
        </w:p>
        <w:p w14:paraId="3519E0FD">
          <w:pPr>
            <w:pStyle w:val="11"/>
            <w:rPr>
              <w:rFonts w:hint="eastAsia" w:eastAsia="宋体" w:asciiTheme="minorHAnsi" w:hAnsiTheme="minorHAnsi" w:cstheme="minorBidi"/>
              <w:lang w:val="en-US" w:eastAsia="zh-CN"/>
            </w:rPr>
          </w:pPr>
          <w:r>
            <w:t>Appendix E Ecological Assessment Report Compilation Format</w:t>
          </w:r>
          <w:r>
            <w:fldChar w:fldCharType="begin"/>
          </w:r>
          <w:r>
            <w:instrText xml:space="preserve"> HYPERLINK \l "_Toc220593729" </w:instrText>
          </w:r>
          <w:r>
            <w:fldChar w:fldCharType="separate"/>
          </w:r>
          <w:r>
            <w:tab/>
          </w:r>
          <w:r>
            <w:rPr>
              <w:rFonts w:hint="eastAsia"/>
              <w:lang w:val="en-US" w:eastAsia="zh-CN"/>
            </w:rPr>
            <w:t>2</w:t>
          </w:r>
          <w:r>
            <w:fldChar w:fldCharType="end"/>
          </w:r>
          <w:r>
            <w:rPr>
              <w:rFonts w:hint="eastAsia"/>
              <w:lang w:val="en-US" w:eastAsia="zh-CN"/>
            </w:rPr>
            <w:t>0</w:t>
          </w:r>
        </w:p>
        <w:p w14:paraId="3CD92672">
          <w:pPr>
            <w:spacing w:line="360" w:lineRule="auto"/>
            <w:rPr>
              <w:b/>
              <w:bCs/>
              <w:lang w:val="zh-CN"/>
            </w:rPr>
          </w:pPr>
          <w:r>
            <w:rPr>
              <w:color w:val="0D0D0D" w:themeColor="text1" w:themeTint="F2"/>
              <w:szCs w:val="21"/>
              <w14:textFill>
                <w14:solidFill>
                  <w14:schemeClr w14:val="tx1">
                    <w14:lumMod w14:val="95000"/>
                    <w14:lumOff w14:val="5000"/>
                  </w14:schemeClr>
                </w14:solidFill>
              </w14:textFill>
            </w:rPr>
            <w:fldChar w:fldCharType="end"/>
          </w:r>
        </w:p>
      </w:sdtContent>
    </w:sdt>
    <w:bookmarkEnd w:id="6"/>
    <w:bookmarkEnd w:id="7"/>
    <w:p w14:paraId="43CE9439">
      <w:pPr>
        <w:ind w:left="2098" w:leftChars="199" w:hanging="1680" w:hangingChars="800"/>
        <w:rPr>
          <w:rFonts w:hint="eastAsia"/>
        </w:rPr>
      </w:pPr>
    </w:p>
    <w:p w14:paraId="1FBCD647">
      <w:pPr>
        <w:spacing w:after="156" w:afterLines="50" w:line="520" w:lineRule="exact"/>
        <w:jc w:val="center"/>
        <w:rPr>
          <w:rFonts w:ascii="黑体" w:hAnsi="黑体" w:eastAsia="黑体"/>
          <w:sz w:val="32"/>
          <w:szCs w:val="32"/>
          <w14:ligatures w14:val="standardContextual"/>
        </w:rPr>
      </w:pPr>
    </w:p>
    <w:p w14:paraId="69476C53">
      <w:pPr>
        <w:spacing w:after="156" w:afterLines="50" w:line="520" w:lineRule="exact"/>
        <w:jc w:val="center"/>
        <w:outlineLvl w:val="0"/>
        <w:rPr>
          <w:rFonts w:ascii="黑体" w:hAnsi="黑体" w:eastAsia="黑体"/>
          <w:sz w:val="32"/>
          <w:szCs w:val="32"/>
          <w14:ligatures w14:val="standardContextual"/>
        </w:rPr>
        <w:sectPr>
          <w:footerReference r:id="rId3" w:type="default"/>
          <w:pgSz w:w="11906" w:h="16838"/>
          <w:pgMar w:top="1440" w:right="1800" w:bottom="1440" w:left="1800" w:header="851" w:footer="992" w:gutter="0"/>
          <w:pgNumType w:start="1"/>
          <w:cols w:space="425" w:num="1"/>
          <w:docGrid w:type="lines" w:linePitch="312" w:charSpace="0"/>
        </w:sectPr>
      </w:pPr>
    </w:p>
    <w:p w14:paraId="5BA50FF5">
      <w:pPr>
        <w:spacing w:after="156" w:afterLines="50" w:line="520" w:lineRule="exact"/>
        <w:jc w:val="center"/>
        <w:outlineLvl w:val="0"/>
        <w:rPr>
          <w:rFonts w:ascii="黑体" w:hAnsi="黑体" w:eastAsia="黑体"/>
          <w:sz w:val="32"/>
          <w:szCs w:val="32"/>
          <w14:ligatures w14:val="standardContextual"/>
        </w:rPr>
      </w:pPr>
      <w:bookmarkStart w:id="8" w:name="_Toc220593712"/>
      <w:r>
        <w:rPr>
          <w:rFonts w:hint="eastAsia" w:ascii="黑体" w:hAnsi="黑体" w:eastAsia="黑体"/>
          <w:sz w:val="32"/>
          <w:szCs w:val="32"/>
          <w14:ligatures w14:val="standardContextual"/>
        </w:rPr>
        <w:t>1</w:t>
      </w:r>
      <w:r>
        <w:rPr>
          <w:rFonts w:ascii="黑体" w:hAnsi="黑体" w:eastAsia="黑体"/>
          <w:sz w:val="32"/>
          <w:szCs w:val="32"/>
          <w14:ligatures w14:val="standardContextual"/>
        </w:rPr>
        <w:t xml:space="preserve"> </w:t>
      </w:r>
      <w:r>
        <w:rPr>
          <w:rFonts w:hint="eastAsia" w:ascii="黑体" w:hAnsi="黑体" w:eastAsia="黑体"/>
          <w:sz w:val="32"/>
          <w:szCs w:val="32"/>
          <w14:ligatures w14:val="standardContextual"/>
        </w:rPr>
        <w:t>总则</w:t>
      </w:r>
      <w:bookmarkEnd w:id="8"/>
    </w:p>
    <w:p w14:paraId="449E93C5">
      <w:pPr>
        <w:pStyle w:val="22"/>
        <w:spacing w:after="156" w:afterLines="50" w:line="480" w:lineRule="exact"/>
        <w:jc w:val="both"/>
        <w:rPr>
          <w:rFonts w:ascii="宋体" w:hAnsi="宋体" w:eastAsia="宋体"/>
          <w:sz w:val="28"/>
          <w:szCs w:val="28"/>
        </w:rPr>
      </w:pPr>
      <w:r>
        <w:rPr>
          <w:rFonts w:hint="eastAsia" w:ascii="宋体" w:hAnsi="宋体" w:eastAsia="宋体"/>
          <w:sz w:val="28"/>
          <w:szCs w:val="28"/>
        </w:rPr>
        <w:t>1</w:t>
      </w:r>
      <w:r>
        <w:rPr>
          <w:rFonts w:ascii="宋体" w:hAnsi="宋体" w:eastAsia="宋体"/>
          <w:sz w:val="28"/>
          <w:szCs w:val="28"/>
        </w:rPr>
        <w:t xml:space="preserve">.0.1 </w:t>
      </w:r>
      <w:r>
        <w:rPr>
          <w:rFonts w:hint="eastAsia" w:ascii="宋体" w:hAnsi="宋体" w:eastAsia="宋体"/>
          <w:sz w:val="28"/>
          <w:szCs w:val="28"/>
        </w:rPr>
        <w:t>为促进城市绿色发展，提升人居环境水平，推进好房子、好小区、好社区、好城区“四好”建</w:t>
      </w:r>
      <w:r>
        <w:rPr>
          <w:rFonts w:hint="eastAsia" w:ascii="宋体" w:hAnsi="宋体" w:eastAsia="宋体"/>
          <w:color w:val="0D0D0D" w:themeColor="text1" w:themeTint="F2"/>
          <w:sz w:val="28"/>
          <w:szCs w:val="28"/>
          <w14:textFill>
            <w14:solidFill>
              <w14:schemeClr w14:val="tx1">
                <w14:lumMod w14:val="95000"/>
                <w14:lumOff w14:val="5000"/>
              </w14:schemeClr>
            </w14:solidFill>
          </w14:textFill>
        </w:rPr>
        <w:t>设，指导社区生态功能评估，</w:t>
      </w:r>
      <w:r>
        <w:rPr>
          <w:rFonts w:hint="eastAsia" w:ascii="宋体" w:hAnsi="宋体" w:eastAsia="宋体"/>
          <w:sz w:val="28"/>
          <w:szCs w:val="28"/>
        </w:rPr>
        <w:t>制定本标准。</w:t>
      </w:r>
    </w:p>
    <w:p w14:paraId="203D1F39">
      <w:pPr>
        <w:pStyle w:val="22"/>
        <w:spacing w:after="156" w:afterLines="50" w:line="480" w:lineRule="exact"/>
        <w:jc w:val="both"/>
        <w:rPr>
          <w:rFonts w:ascii="宋体" w:hAnsi="宋体" w:eastAsia="宋体"/>
          <w:sz w:val="28"/>
          <w:szCs w:val="28"/>
        </w:rPr>
      </w:pPr>
      <w:r>
        <w:rPr>
          <w:rFonts w:hint="eastAsia" w:ascii="宋体" w:hAnsi="宋体" w:eastAsia="宋体"/>
          <w:sz w:val="28"/>
          <w:szCs w:val="28"/>
        </w:rPr>
        <w:t>1</w:t>
      </w:r>
      <w:r>
        <w:rPr>
          <w:rFonts w:ascii="宋体" w:hAnsi="宋体" w:eastAsia="宋体"/>
          <w:sz w:val="28"/>
          <w:szCs w:val="28"/>
        </w:rPr>
        <w:t xml:space="preserve">.0.2 </w:t>
      </w:r>
      <w:r>
        <w:rPr>
          <w:rFonts w:hint="eastAsia" w:ascii="宋体" w:hAnsi="宋体" w:eastAsia="宋体"/>
          <w:sz w:val="28"/>
          <w:szCs w:val="28"/>
        </w:rPr>
        <w:t>本标准适用于各类城市社区的生态评估工作。</w:t>
      </w:r>
    </w:p>
    <w:p w14:paraId="5CC1D535">
      <w:pPr>
        <w:pStyle w:val="22"/>
        <w:spacing w:after="156" w:afterLines="50" w:line="480" w:lineRule="exact"/>
        <w:jc w:val="both"/>
        <w:rPr>
          <w:rFonts w:ascii="宋体" w:hAnsi="宋体" w:eastAsia="宋体"/>
          <w:sz w:val="28"/>
          <w:szCs w:val="28"/>
        </w:rPr>
      </w:pPr>
      <w:r>
        <w:rPr>
          <w:rFonts w:hint="eastAsia" w:ascii="宋体" w:hAnsi="宋体" w:eastAsia="宋体"/>
          <w:sz w:val="28"/>
          <w:szCs w:val="28"/>
        </w:rPr>
        <w:t>1</w:t>
      </w:r>
      <w:r>
        <w:rPr>
          <w:rFonts w:ascii="宋体" w:hAnsi="宋体" w:eastAsia="宋体"/>
          <w:sz w:val="28"/>
          <w:szCs w:val="28"/>
        </w:rPr>
        <w:t xml:space="preserve">.0.3 </w:t>
      </w:r>
      <w:r>
        <w:rPr>
          <w:rFonts w:hint="eastAsia" w:ascii="宋体" w:hAnsi="宋体" w:eastAsia="宋体"/>
          <w:sz w:val="28"/>
          <w:szCs w:val="28"/>
        </w:rPr>
        <w:t>城市社区的生态评估应结合社区所在地域的气候特征和生态环境本底，在实地调查与监测的基础上，客观对社区的生态环境状况进行综合评估。</w:t>
      </w:r>
    </w:p>
    <w:p w14:paraId="59B6F912">
      <w:pPr>
        <w:pStyle w:val="22"/>
        <w:spacing w:after="156" w:afterLines="50" w:line="480" w:lineRule="exact"/>
        <w:jc w:val="both"/>
        <w:rPr>
          <w:rFonts w:hint="eastAsia" w:ascii="宋体" w:hAnsi="宋体" w:eastAsia="宋体"/>
          <w:sz w:val="28"/>
          <w:szCs w:val="28"/>
        </w:rPr>
        <w:sectPr>
          <w:footerReference r:id="rId4" w:type="default"/>
          <w:pgSz w:w="11906" w:h="16838"/>
          <w:pgMar w:top="1440" w:right="1797" w:bottom="1440" w:left="1797" w:header="851" w:footer="992" w:gutter="0"/>
          <w:pgNumType w:start="1"/>
          <w:cols w:space="425" w:num="1"/>
          <w:docGrid w:type="lines" w:linePitch="312" w:charSpace="0"/>
        </w:sectPr>
      </w:pPr>
      <w:r>
        <w:rPr>
          <w:rFonts w:ascii="宋体" w:hAnsi="宋体" w:eastAsia="宋体"/>
          <w:sz w:val="28"/>
          <w:szCs w:val="28"/>
        </w:rPr>
        <w:t xml:space="preserve">1.0.4 </w:t>
      </w:r>
      <w:r>
        <w:rPr>
          <w:rFonts w:hint="eastAsia" w:ascii="宋体" w:hAnsi="宋体" w:eastAsia="宋体"/>
          <w:sz w:val="28"/>
          <w:szCs w:val="28"/>
        </w:rPr>
        <w:t>城市社区生态评估，除应符合本标准规定外，尚应符合国家现行有关标准的规定。</w:t>
      </w:r>
    </w:p>
    <w:p w14:paraId="666207BD">
      <w:pPr>
        <w:spacing w:after="156" w:afterLines="50" w:line="520" w:lineRule="exact"/>
        <w:jc w:val="center"/>
        <w:outlineLvl w:val="0"/>
        <w:rPr>
          <w:rFonts w:ascii="黑体" w:hAnsi="黑体" w:eastAsia="黑体"/>
          <w:sz w:val="32"/>
          <w:szCs w:val="32"/>
          <w14:ligatures w14:val="standardContextual"/>
        </w:rPr>
      </w:pPr>
      <w:bookmarkStart w:id="9" w:name="_Toc220593713"/>
      <w:r>
        <w:rPr>
          <w:rFonts w:hint="eastAsia" w:ascii="黑体" w:hAnsi="黑体" w:eastAsia="黑体"/>
          <w:sz w:val="32"/>
          <w:szCs w:val="32"/>
          <w14:ligatures w14:val="standardContextual"/>
        </w:rPr>
        <w:t>2</w:t>
      </w:r>
      <w:r>
        <w:rPr>
          <w:rFonts w:ascii="黑体" w:hAnsi="黑体" w:eastAsia="黑体"/>
          <w:sz w:val="32"/>
          <w:szCs w:val="32"/>
          <w14:ligatures w14:val="standardContextual"/>
        </w:rPr>
        <w:t xml:space="preserve"> </w:t>
      </w:r>
      <w:r>
        <w:rPr>
          <w:rFonts w:hint="eastAsia" w:ascii="黑体" w:hAnsi="黑体" w:eastAsia="黑体"/>
          <w:sz w:val="32"/>
          <w:szCs w:val="32"/>
          <w14:ligatures w14:val="standardContextual"/>
        </w:rPr>
        <w:t>术语</w:t>
      </w:r>
      <w:bookmarkEnd w:id="9"/>
    </w:p>
    <w:p w14:paraId="768B0C7D">
      <w:pPr>
        <w:spacing w:after="156" w:afterLines="50" w:line="480" w:lineRule="exact"/>
        <w:outlineLvl w:val="2"/>
        <w:rPr>
          <w:sz w:val="28"/>
          <w:szCs w:val="28"/>
        </w:rPr>
      </w:pPr>
      <w:bookmarkStart w:id="10" w:name="_Toc193724557"/>
      <w:r>
        <w:rPr>
          <w:sz w:val="28"/>
          <w:szCs w:val="28"/>
        </w:rPr>
        <w:t>2.0.1 社区 Community</w:t>
      </w:r>
      <w:bookmarkEnd w:id="10"/>
    </w:p>
    <w:p w14:paraId="20CBB79E">
      <w:pPr>
        <w:spacing w:after="50" w:line="480" w:lineRule="exact"/>
        <w:ind w:firstLine="557" w:firstLineChars="199"/>
        <w:rPr>
          <w:rFonts w:ascii="宋体" w:hAnsi="宋体"/>
          <w:sz w:val="28"/>
          <w:szCs w:val="28"/>
        </w:rPr>
      </w:pPr>
      <w:r>
        <w:rPr>
          <w:rFonts w:hint="eastAsia" w:ascii="宋体" w:hAnsi="宋体"/>
          <w:sz w:val="28"/>
          <w:szCs w:val="28"/>
        </w:rPr>
        <w:t>指居住在一定地域范围内的人群所形成的社会生活共同体，是城市基层治理和公共服务的重要单元。社区通常具备基本生活服务设施和公共活动空间，生态评估最小单元确定为5—10分钟生活圈范围。</w:t>
      </w:r>
    </w:p>
    <w:p w14:paraId="36C805CA">
      <w:pPr>
        <w:spacing w:after="156" w:afterLines="50" w:line="480" w:lineRule="exact"/>
        <w:outlineLvl w:val="2"/>
        <w:rPr>
          <w:sz w:val="28"/>
          <w:szCs w:val="28"/>
        </w:rPr>
      </w:pPr>
      <w:bookmarkStart w:id="11" w:name="_Toc193724558"/>
      <w:r>
        <w:rPr>
          <w:rFonts w:hint="eastAsia"/>
          <w:sz w:val="28"/>
          <w:szCs w:val="28"/>
        </w:rPr>
        <w:t>2</w:t>
      </w:r>
      <w:r>
        <w:rPr>
          <w:sz w:val="28"/>
          <w:szCs w:val="28"/>
        </w:rPr>
        <w:t xml:space="preserve">.0.2 </w:t>
      </w:r>
      <w:r>
        <w:rPr>
          <w:rFonts w:hint="eastAsia"/>
          <w:sz w:val="28"/>
          <w:szCs w:val="28"/>
        </w:rPr>
        <w:t xml:space="preserve">社区生态监测 </w:t>
      </w:r>
      <w:r>
        <w:rPr>
          <w:sz w:val="28"/>
          <w:szCs w:val="28"/>
        </w:rPr>
        <w:t>Ecological monitoring</w:t>
      </w:r>
      <w:bookmarkEnd w:id="11"/>
    </w:p>
    <w:p w14:paraId="269FDA4D">
      <w:pPr>
        <w:pStyle w:val="23"/>
        <w:spacing w:after="50" w:line="480" w:lineRule="exact"/>
        <w:ind w:firstLine="560"/>
        <w:rPr>
          <w:rFonts w:ascii="宋体" w:hAnsi="宋体"/>
          <w:sz w:val="28"/>
          <w:szCs w:val="28"/>
        </w:rPr>
      </w:pPr>
      <w:r>
        <w:rPr>
          <w:rFonts w:hint="eastAsia" w:ascii="宋体" w:hAnsi="宋体"/>
          <w:sz w:val="28"/>
          <w:szCs w:val="28"/>
        </w:rPr>
        <w:t>应用多平台、多时相、多源数据等对社区环境各要素时空变化进行动态监测，是社区环境应对自然变化、人类活动、更新改造等的变化，以及生态功能评价的依据，是社区生态时空格局演变的度量。</w:t>
      </w:r>
    </w:p>
    <w:p w14:paraId="458AA0E2">
      <w:pPr>
        <w:spacing w:after="156" w:afterLines="50" w:line="480" w:lineRule="exact"/>
        <w:outlineLvl w:val="2"/>
        <w:rPr>
          <w:sz w:val="28"/>
          <w:szCs w:val="28"/>
        </w:rPr>
      </w:pPr>
      <w:bookmarkStart w:id="12" w:name="_Toc193724559"/>
      <w:r>
        <w:rPr>
          <w:rFonts w:hint="eastAsia"/>
          <w:sz w:val="28"/>
          <w:szCs w:val="28"/>
        </w:rPr>
        <w:t>2</w:t>
      </w:r>
      <w:r>
        <w:rPr>
          <w:sz w:val="28"/>
          <w:szCs w:val="28"/>
        </w:rPr>
        <w:t xml:space="preserve">.0.3 </w:t>
      </w:r>
      <w:r>
        <w:rPr>
          <w:rFonts w:hint="eastAsia"/>
          <w:sz w:val="28"/>
          <w:szCs w:val="28"/>
        </w:rPr>
        <w:t xml:space="preserve">生态监测指标 </w:t>
      </w:r>
      <w:r>
        <w:rPr>
          <w:sz w:val="28"/>
          <w:szCs w:val="28"/>
        </w:rPr>
        <w:t>I</w:t>
      </w:r>
      <w:r>
        <w:rPr>
          <w:rFonts w:hint="eastAsia"/>
          <w:sz w:val="28"/>
          <w:szCs w:val="28"/>
        </w:rPr>
        <w:t>ndicator</w:t>
      </w:r>
      <w:r>
        <w:rPr>
          <w:sz w:val="28"/>
          <w:szCs w:val="28"/>
        </w:rPr>
        <w:t xml:space="preserve"> </w:t>
      </w:r>
      <w:r>
        <w:rPr>
          <w:rFonts w:hint="eastAsia"/>
          <w:sz w:val="28"/>
          <w:szCs w:val="28"/>
        </w:rPr>
        <w:t>of</w:t>
      </w:r>
      <w:r>
        <w:rPr>
          <w:sz w:val="28"/>
          <w:szCs w:val="28"/>
        </w:rPr>
        <w:t xml:space="preserve"> </w:t>
      </w:r>
      <w:r>
        <w:rPr>
          <w:rFonts w:hint="eastAsia"/>
          <w:sz w:val="28"/>
          <w:szCs w:val="28"/>
        </w:rPr>
        <w:t>e</w:t>
      </w:r>
      <w:r>
        <w:rPr>
          <w:sz w:val="28"/>
          <w:szCs w:val="28"/>
        </w:rPr>
        <w:t>cological monitoring</w:t>
      </w:r>
      <w:bookmarkEnd w:id="12"/>
    </w:p>
    <w:p w14:paraId="612D0477">
      <w:pPr>
        <w:pStyle w:val="23"/>
        <w:spacing w:after="50" w:line="480" w:lineRule="exact"/>
        <w:ind w:firstLine="560"/>
        <w:rPr>
          <w:rFonts w:ascii="宋体" w:hAnsi="宋体"/>
          <w:sz w:val="28"/>
          <w:szCs w:val="28"/>
        </w:rPr>
      </w:pPr>
      <w:r>
        <w:rPr>
          <w:rFonts w:hint="eastAsia" w:ascii="宋体" w:hAnsi="宋体"/>
          <w:sz w:val="28"/>
          <w:szCs w:val="28"/>
        </w:rPr>
        <w:t>用于反映生态环境质量、生态系统结构与功能变化特征的定量或定性参数。</w:t>
      </w:r>
    </w:p>
    <w:p w14:paraId="1C28D098">
      <w:pPr>
        <w:spacing w:after="156" w:afterLines="50" w:line="480" w:lineRule="exact"/>
        <w:outlineLvl w:val="2"/>
        <w:rPr>
          <w:sz w:val="28"/>
          <w:szCs w:val="28"/>
        </w:rPr>
      </w:pPr>
      <w:bookmarkStart w:id="13" w:name="_Toc193724560"/>
      <w:r>
        <w:rPr>
          <w:rFonts w:hint="eastAsia"/>
          <w:sz w:val="28"/>
          <w:szCs w:val="28"/>
        </w:rPr>
        <w:t>2</w:t>
      </w:r>
      <w:r>
        <w:rPr>
          <w:sz w:val="28"/>
          <w:szCs w:val="28"/>
        </w:rPr>
        <w:t xml:space="preserve">.0.4 </w:t>
      </w:r>
      <w:r>
        <w:rPr>
          <w:rFonts w:hint="eastAsia"/>
          <w:sz w:val="28"/>
          <w:szCs w:val="28"/>
        </w:rPr>
        <w:t>社区公共开放空间</w:t>
      </w:r>
      <w:r>
        <w:rPr>
          <w:sz w:val="28"/>
          <w:szCs w:val="28"/>
        </w:rPr>
        <w:t>Public open space in the community</w:t>
      </w:r>
      <w:bookmarkEnd w:id="13"/>
    </w:p>
    <w:p w14:paraId="2C32BD8E">
      <w:pPr>
        <w:spacing w:after="50" w:line="480" w:lineRule="exact"/>
        <w:ind w:firstLine="560" w:firstLineChars="200"/>
        <w:rPr>
          <w:rFonts w:ascii="宋体" w:hAnsi="宋体"/>
          <w:sz w:val="28"/>
          <w:szCs w:val="28"/>
        </w:rPr>
      </w:pPr>
      <w:r>
        <w:rPr>
          <w:rFonts w:hint="eastAsia" w:ascii="宋体" w:hAnsi="宋体"/>
          <w:sz w:val="28"/>
          <w:szCs w:val="28"/>
        </w:rPr>
        <w:t>社区范围内，满足居民休闲游憩、体育运动、康体健身、文化娱乐、儿童游戏等多种日常生活和社会交往活动需求的室外空间场所，包括社区广场、社区公园、口袋公园、社区绿道、社区体育公园等类型。</w:t>
      </w:r>
    </w:p>
    <w:p w14:paraId="0DBA1CFC">
      <w:pPr>
        <w:spacing w:after="156" w:afterLines="50" w:line="480" w:lineRule="exact"/>
        <w:outlineLvl w:val="2"/>
        <w:rPr>
          <w:sz w:val="28"/>
          <w:szCs w:val="28"/>
        </w:rPr>
      </w:pPr>
      <w:bookmarkStart w:id="14" w:name="_Toc193724561"/>
      <w:r>
        <w:rPr>
          <w:rFonts w:hint="eastAsia"/>
          <w:sz w:val="28"/>
          <w:szCs w:val="28"/>
        </w:rPr>
        <w:t>2</w:t>
      </w:r>
      <w:r>
        <w:rPr>
          <w:sz w:val="28"/>
          <w:szCs w:val="28"/>
        </w:rPr>
        <w:t xml:space="preserve">.0.5 </w:t>
      </w:r>
      <w:r>
        <w:rPr>
          <w:rFonts w:hint="eastAsia"/>
          <w:sz w:val="28"/>
          <w:szCs w:val="28"/>
        </w:rPr>
        <w:t>生态服务功能</w:t>
      </w:r>
      <w:r>
        <w:rPr>
          <w:sz w:val="28"/>
          <w:szCs w:val="28"/>
        </w:rPr>
        <w:t>E</w:t>
      </w:r>
      <w:r>
        <w:rPr>
          <w:rFonts w:hint="eastAsia"/>
          <w:sz w:val="28"/>
          <w:szCs w:val="28"/>
        </w:rPr>
        <w:t>cosystem services</w:t>
      </w:r>
      <w:r>
        <w:rPr>
          <w:sz w:val="28"/>
          <w:szCs w:val="28"/>
        </w:rPr>
        <w:t xml:space="preserve"> </w:t>
      </w:r>
      <w:r>
        <w:rPr>
          <w:rFonts w:hint="eastAsia"/>
          <w:sz w:val="28"/>
          <w:szCs w:val="28"/>
        </w:rPr>
        <w:t>function</w:t>
      </w:r>
      <w:bookmarkEnd w:id="14"/>
    </w:p>
    <w:p w14:paraId="26743ED9">
      <w:pPr>
        <w:pStyle w:val="23"/>
        <w:spacing w:after="50" w:line="480" w:lineRule="exact"/>
        <w:ind w:firstLine="560"/>
        <w:rPr>
          <w:rFonts w:ascii="宋体" w:hAnsi="宋体"/>
          <w:sz w:val="28"/>
          <w:szCs w:val="28"/>
        </w:rPr>
      </w:pPr>
      <w:r>
        <w:rPr>
          <w:rFonts w:hint="eastAsia" w:ascii="宋体" w:hAnsi="宋体"/>
          <w:sz w:val="28"/>
          <w:szCs w:val="28"/>
        </w:rPr>
        <w:t>指人类从生态系统获得的各种惠益，主要包括可以对人类产生直接影响的产品提供、调节服务和文化服务，以及维持其他服务所必需的支持服务。</w:t>
      </w:r>
    </w:p>
    <w:p w14:paraId="77480ACD">
      <w:pPr>
        <w:spacing w:after="156" w:afterLines="50" w:line="480" w:lineRule="exact"/>
        <w:outlineLvl w:val="2"/>
        <w:rPr>
          <w:sz w:val="28"/>
          <w:szCs w:val="28"/>
        </w:rPr>
      </w:pPr>
      <w:r>
        <w:rPr>
          <w:rFonts w:hint="eastAsia"/>
          <w:sz w:val="28"/>
          <w:szCs w:val="28"/>
        </w:rPr>
        <w:t>2</w:t>
      </w:r>
      <w:r>
        <w:rPr>
          <w:sz w:val="28"/>
          <w:szCs w:val="28"/>
        </w:rPr>
        <w:t xml:space="preserve">.0.6 </w:t>
      </w:r>
      <w:r>
        <w:rPr>
          <w:rFonts w:hint="eastAsia"/>
          <w:sz w:val="28"/>
          <w:szCs w:val="28"/>
        </w:rPr>
        <w:t>老旧社区</w:t>
      </w:r>
      <w:r>
        <w:rPr>
          <w:sz w:val="28"/>
          <w:szCs w:val="28"/>
        </w:rPr>
        <w:t>Old residential area</w:t>
      </w:r>
    </w:p>
    <w:p w14:paraId="5DFDCEE8">
      <w:pPr>
        <w:pStyle w:val="23"/>
        <w:spacing w:after="50" w:line="480" w:lineRule="exact"/>
        <w:ind w:firstLine="560"/>
        <w:rPr>
          <w:rFonts w:hint="eastAsia" w:ascii="宋体" w:hAnsi="宋体"/>
          <w:sz w:val="28"/>
          <w:szCs w:val="28"/>
        </w:rPr>
        <w:sectPr>
          <w:pgSz w:w="11906" w:h="16838"/>
          <w:pgMar w:top="1440" w:right="1797" w:bottom="1440" w:left="1797" w:header="851" w:footer="992" w:gutter="0"/>
          <w:cols w:space="425" w:num="1"/>
          <w:docGrid w:type="lines" w:linePitch="312" w:charSpace="0"/>
        </w:sectPr>
      </w:pPr>
      <w:r>
        <w:rPr>
          <w:rFonts w:hint="eastAsia" w:ascii="宋体" w:hAnsi="宋体"/>
          <w:sz w:val="28"/>
          <w:szCs w:val="28"/>
        </w:rPr>
        <w:t>建成年代较早，通常投入使用20-25年以上，存在物业管理缺位、植物管护不当、市政配套设施不完善、社区服务设施不健全等一项或多项问题，且居民改造意愿强烈的住宅小区。</w:t>
      </w:r>
    </w:p>
    <w:p w14:paraId="59CFC06A">
      <w:pPr>
        <w:pStyle w:val="2"/>
        <w:spacing w:before="312" w:beforeLines="100" w:after="312" w:afterLines="100" w:line="520" w:lineRule="exact"/>
        <w:jc w:val="center"/>
        <w:rPr>
          <w:rFonts w:ascii="黑体" w:hAnsi="黑体" w:eastAsia="黑体"/>
          <w:bCs w:val="0"/>
          <w:sz w:val="30"/>
          <w:szCs w:val="22"/>
          <w:lang w:val="zh-CN"/>
        </w:rPr>
      </w:pPr>
      <w:bookmarkStart w:id="15" w:name="_Toc220593714"/>
      <w:r>
        <w:rPr>
          <w:rFonts w:hint="eastAsia" w:ascii="黑体" w:hAnsi="黑体" w:eastAsia="黑体"/>
          <w:bCs w:val="0"/>
          <w:sz w:val="30"/>
          <w:szCs w:val="22"/>
          <w:lang w:val="zh-CN"/>
        </w:rPr>
        <w:t>3</w:t>
      </w:r>
      <w:r>
        <w:rPr>
          <w:rFonts w:ascii="黑体" w:hAnsi="黑体" w:eastAsia="黑体"/>
          <w:bCs w:val="0"/>
          <w:sz w:val="30"/>
          <w:szCs w:val="22"/>
          <w:lang w:val="zh-CN"/>
        </w:rPr>
        <w:t xml:space="preserve"> </w:t>
      </w:r>
      <w:r>
        <w:rPr>
          <w:rFonts w:hint="eastAsia" w:ascii="黑体" w:hAnsi="黑体" w:eastAsia="黑体"/>
          <w:bCs w:val="0"/>
          <w:sz w:val="30"/>
          <w:szCs w:val="22"/>
          <w:lang w:val="zh-CN"/>
        </w:rPr>
        <w:t>基本规定</w:t>
      </w:r>
      <w:bookmarkEnd w:id="15"/>
    </w:p>
    <w:p w14:paraId="5766D0AC">
      <w:pPr>
        <w:spacing w:before="156" w:after="156" w:line="480" w:lineRule="exact"/>
        <w:outlineLvl w:val="2"/>
        <w:rPr>
          <w:szCs w:val="28"/>
        </w:rPr>
      </w:pPr>
      <w:bookmarkStart w:id="16" w:name="_Toc193724564"/>
      <w:r>
        <w:rPr>
          <w:sz w:val="28"/>
          <w:szCs w:val="28"/>
        </w:rPr>
        <w:t>3.0.1</w:t>
      </w:r>
      <w:r>
        <w:rPr>
          <w:rFonts w:hint="eastAsia"/>
          <w:sz w:val="28"/>
          <w:szCs w:val="28"/>
        </w:rPr>
        <w:t>城市既有社区在更新改造之前应进行生态评估。</w:t>
      </w:r>
    </w:p>
    <w:p w14:paraId="399B524C">
      <w:pPr>
        <w:spacing w:after="156" w:afterLines="50" w:line="480" w:lineRule="exact"/>
        <w:rPr>
          <w:sz w:val="28"/>
          <w:szCs w:val="28"/>
        </w:rPr>
      </w:pPr>
      <w:r>
        <w:rPr>
          <w:rFonts w:hint="eastAsia"/>
          <w:sz w:val="28"/>
          <w:szCs w:val="28"/>
        </w:rPr>
        <w:t>3.02 城市社区的生态评估宜遵循以下规定：</w:t>
      </w:r>
    </w:p>
    <w:bookmarkEnd w:id="16"/>
    <w:p w14:paraId="3DCB54C8">
      <w:pPr>
        <w:spacing w:after="156" w:afterLines="50" w:line="480" w:lineRule="exact"/>
        <w:rPr>
          <w:rFonts w:ascii="宋体" w:hAnsi="宋体"/>
          <w:sz w:val="28"/>
          <w:szCs w:val="28"/>
        </w:rPr>
      </w:pPr>
      <w:bookmarkStart w:id="17" w:name="_Toc193724567"/>
      <w:r>
        <w:rPr>
          <w:rFonts w:hint="eastAsia" w:ascii="宋体" w:hAnsi="宋体"/>
          <w:sz w:val="28"/>
          <w:szCs w:val="28"/>
        </w:rPr>
        <w:t xml:space="preserve">    </w:t>
      </w:r>
      <w:bookmarkEnd w:id="17"/>
      <w:r>
        <w:rPr>
          <w:rFonts w:hint="eastAsia" w:ascii="宋体" w:hAnsi="宋体"/>
          <w:sz w:val="28"/>
          <w:szCs w:val="28"/>
        </w:rPr>
        <w:t>1</w:t>
      </w:r>
      <w:r>
        <w:rPr>
          <w:rFonts w:ascii="宋体" w:hAnsi="宋体"/>
          <w:sz w:val="28"/>
          <w:szCs w:val="28"/>
        </w:rPr>
        <w:t xml:space="preserve"> </w:t>
      </w:r>
      <w:r>
        <w:rPr>
          <w:rFonts w:hint="eastAsia" w:ascii="宋体" w:hAnsi="宋体"/>
          <w:sz w:val="28"/>
          <w:szCs w:val="28"/>
        </w:rPr>
        <w:t>可根据更新和管理需求，开展年度评估、某一方面的专项评估及3-5年一次的综合性生态评估。</w:t>
      </w:r>
    </w:p>
    <w:p w14:paraId="10BF622E">
      <w:pPr>
        <w:spacing w:after="50" w:line="480" w:lineRule="exact"/>
        <w:ind w:firstLine="560" w:firstLineChars="200"/>
        <w:rPr>
          <w:rFonts w:ascii="宋体" w:hAnsi="宋体"/>
          <w:sz w:val="28"/>
          <w:szCs w:val="28"/>
        </w:rPr>
      </w:pPr>
      <w:bookmarkStart w:id="18" w:name="_Toc193724568"/>
      <w:r>
        <w:rPr>
          <w:rFonts w:hint="eastAsia" w:ascii="宋体" w:hAnsi="宋体"/>
          <w:sz w:val="28"/>
          <w:szCs w:val="28"/>
        </w:rPr>
        <w:t>2</w:t>
      </w:r>
      <w:r>
        <w:rPr>
          <w:rFonts w:ascii="宋体" w:hAnsi="宋体"/>
          <w:sz w:val="28"/>
          <w:szCs w:val="28"/>
        </w:rPr>
        <w:t xml:space="preserve"> 老旧社区</w:t>
      </w:r>
      <w:r>
        <w:rPr>
          <w:rFonts w:hint="eastAsia" w:ascii="宋体" w:hAnsi="宋体"/>
          <w:sz w:val="28"/>
          <w:szCs w:val="28"/>
        </w:rPr>
        <w:t>宜</w:t>
      </w:r>
      <w:r>
        <w:rPr>
          <w:rFonts w:ascii="宋体" w:hAnsi="宋体"/>
          <w:sz w:val="28"/>
          <w:szCs w:val="28"/>
        </w:rPr>
        <w:t>每3</w:t>
      </w:r>
      <w:r>
        <w:rPr>
          <w:sz w:val="28"/>
          <w:szCs w:val="28"/>
        </w:rPr>
        <w:t>~</w:t>
      </w:r>
      <w:r>
        <w:rPr>
          <w:rFonts w:ascii="宋体" w:hAnsi="宋体"/>
          <w:sz w:val="28"/>
          <w:szCs w:val="28"/>
        </w:rPr>
        <w:t>5年</w:t>
      </w:r>
      <w:r>
        <w:rPr>
          <w:rFonts w:hint="eastAsia" w:ascii="宋体" w:hAnsi="宋体"/>
          <w:sz w:val="28"/>
          <w:szCs w:val="28"/>
        </w:rPr>
        <w:t>开展</w:t>
      </w:r>
      <w:r>
        <w:rPr>
          <w:rFonts w:ascii="宋体" w:hAnsi="宋体"/>
          <w:sz w:val="28"/>
          <w:szCs w:val="28"/>
        </w:rPr>
        <w:t>一次生态评估。</w:t>
      </w:r>
      <w:bookmarkEnd w:id="18"/>
    </w:p>
    <w:p w14:paraId="3A61D28F">
      <w:pPr>
        <w:spacing w:after="50" w:line="480" w:lineRule="exact"/>
        <w:ind w:firstLine="560" w:firstLineChars="200"/>
        <w:rPr>
          <w:rFonts w:ascii="宋体" w:hAnsi="宋体"/>
          <w:sz w:val="28"/>
          <w:szCs w:val="28"/>
        </w:rPr>
      </w:pPr>
      <w:bookmarkStart w:id="19" w:name="_Toc193724569"/>
      <w:r>
        <w:rPr>
          <w:rFonts w:hint="eastAsia" w:ascii="宋体" w:hAnsi="宋体"/>
          <w:sz w:val="28"/>
          <w:szCs w:val="28"/>
        </w:rPr>
        <w:t>3</w:t>
      </w:r>
      <w:r>
        <w:rPr>
          <w:rFonts w:ascii="宋体" w:hAnsi="宋体"/>
          <w:sz w:val="28"/>
          <w:szCs w:val="28"/>
        </w:rPr>
        <w:t xml:space="preserve"> 新建社区竣工验收后</w:t>
      </w:r>
      <w:r>
        <w:rPr>
          <w:rFonts w:hint="eastAsia" w:ascii="宋体" w:hAnsi="宋体"/>
          <w:sz w:val="28"/>
          <w:szCs w:val="28"/>
        </w:rPr>
        <w:t>宜</w:t>
      </w:r>
      <w:r>
        <w:rPr>
          <w:rFonts w:ascii="宋体" w:hAnsi="宋体"/>
          <w:sz w:val="28"/>
          <w:szCs w:val="28"/>
        </w:rPr>
        <w:t>每5年</w:t>
      </w:r>
      <w:r>
        <w:rPr>
          <w:rFonts w:hint="eastAsia" w:ascii="宋体" w:hAnsi="宋体"/>
          <w:sz w:val="28"/>
          <w:szCs w:val="28"/>
        </w:rPr>
        <w:t>开展</w:t>
      </w:r>
      <w:r>
        <w:rPr>
          <w:rFonts w:ascii="宋体" w:hAnsi="宋体"/>
          <w:sz w:val="28"/>
          <w:szCs w:val="28"/>
        </w:rPr>
        <w:t>一次生态评估。</w:t>
      </w:r>
      <w:bookmarkEnd w:id="19"/>
    </w:p>
    <w:p w14:paraId="0BAD7665">
      <w:pPr>
        <w:spacing w:after="50" w:line="480" w:lineRule="exact"/>
        <w:ind w:firstLine="560" w:firstLineChars="200"/>
        <w:rPr>
          <w:rFonts w:ascii="宋体" w:hAnsi="宋体"/>
          <w:sz w:val="28"/>
          <w:szCs w:val="28"/>
        </w:rPr>
      </w:pPr>
      <w:r>
        <w:rPr>
          <w:rFonts w:hint="eastAsia" w:ascii="宋体" w:hAnsi="宋体"/>
          <w:sz w:val="28"/>
          <w:szCs w:val="28"/>
        </w:rPr>
        <w:t>4</w:t>
      </w:r>
      <w:r>
        <w:rPr>
          <w:rFonts w:ascii="宋体" w:hAnsi="宋体"/>
          <w:sz w:val="28"/>
          <w:szCs w:val="28"/>
        </w:rPr>
        <w:t xml:space="preserve"> </w:t>
      </w:r>
      <w:r>
        <w:rPr>
          <w:rFonts w:hint="eastAsia" w:ascii="宋体" w:hAnsi="宋体"/>
          <w:sz w:val="28"/>
          <w:szCs w:val="28"/>
        </w:rPr>
        <w:t>生态评估应确保数据获取的可溯有效性、客观准确性、纵向和横向的可比性。</w:t>
      </w:r>
    </w:p>
    <w:p w14:paraId="7C24CB6B">
      <w:pPr>
        <w:spacing w:after="50" w:line="480" w:lineRule="exact"/>
        <w:ind w:firstLine="560" w:firstLineChars="200"/>
        <w:rPr>
          <w:rFonts w:ascii="宋体" w:hAnsi="宋体"/>
          <w:sz w:val="28"/>
          <w:szCs w:val="28"/>
        </w:rPr>
      </w:pPr>
      <w:r>
        <w:rPr>
          <w:rFonts w:hint="eastAsia" w:ascii="宋体" w:hAnsi="宋体"/>
          <w:sz w:val="28"/>
          <w:szCs w:val="28"/>
        </w:rPr>
        <w:t>5</w:t>
      </w:r>
      <w:r>
        <w:rPr>
          <w:rFonts w:ascii="宋体" w:hAnsi="宋体"/>
          <w:sz w:val="28"/>
          <w:szCs w:val="28"/>
        </w:rPr>
        <w:t xml:space="preserve"> </w:t>
      </w:r>
      <w:r>
        <w:rPr>
          <w:rFonts w:hint="eastAsia" w:ascii="宋体" w:hAnsi="宋体"/>
          <w:sz w:val="28"/>
          <w:szCs w:val="28"/>
        </w:rPr>
        <w:t>生态评估宜注重公众参与和科学评估的有机结合，提高评估结果的科学性和实践价值。</w:t>
      </w:r>
    </w:p>
    <w:p w14:paraId="4DE36B45">
      <w:pPr>
        <w:spacing w:after="156" w:afterLines="50"/>
        <w:ind w:firstLine="560" w:firstLineChars="200"/>
        <w:outlineLvl w:val="2"/>
        <w:rPr>
          <w:rFonts w:ascii="宋体" w:hAnsi="宋体"/>
          <w:sz w:val="28"/>
          <w:szCs w:val="28"/>
        </w:rPr>
      </w:pPr>
      <w:r>
        <w:rPr>
          <w:sz w:val="28"/>
          <w:szCs w:val="28"/>
        </w:rPr>
        <w:t xml:space="preserve">3.0.3 </w:t>
      </w:r>
      <w:r>
        <w:rPr>
          <w:rFonts w:hint="eastAsia" w:ascii="宋体" w:hAnsi="宋体"/>
          <w:sz w:val="28"/>
          <w:szCs w:val="28"/>
        </w:rPr>
        <w:t>生态功能评估内容应包括绿地与植被、生物多样性、水文与水环境、通风与热环境、大气与声环境、能源与废弃物、人居生态适配性等内容。</w:t>
      </w:r>
    </w:p>
    <w:p w14:paraId="64D5FB68">
      <w:pPr>
        <w:spacing w:after="156" w:afterLines="50"/>
        <w:ind w:firstLine="560" w:firstLineChars="200"/>
        <w:outlineLvl w:val="2"/>
        <w:rPr>
          <w:rFonts w:hint="eastAsia" w:ascii="宋体" w:hAnsi="宋体"/>
          <w:sz w:val="28"/>
          <w:szCs w:val="28"/>
        </w:rPr>
        <w:sectPr>
          <w:pgSz w:w="11906" w:h="16838"/>
          <w:pgMar w:top="1440" w:right="1797" w:bottom="1440" w:left="1797" w:header="851" w:footer="992" w:gutter="0"/>
          <w:cols w:space="425" w:num="1"/>
          <w:docGrid w:type="lines" w:linePitch="312" w:charSpace="0"/>
        </w:sectPr>
      </w:pPr>
      <w:r>
        <w:rPr>
          <w:sz w:val="28"/>
          <w:szCs w:val="28"/>
        </w:rPr>
        <w:t xml:space="preserve">3.0.4 </w:t>
      </w:r>
      <w:r>
        <w:rPr>
          <w:rFonts w:hint="eastAsia" w:ascii="宋体" w:hAnsi="宋体"/>
          <w:sz w:val="28"/>
          <w:szCs w:val="28"/>
        </w:rPr>
        <w:t>城市社区可建立并持续完善生态管理机制，形成以生态监测和评估为基础的管理体系。生态管理宜鼓励公众参与，推动居民和社会力量共同维护与提升社区生态环境。</w:t>
      </w:r>
    </w:p>
    <w:p w14:paraId="02EA2402">
      <w:pPr>
        <w:pStyle w:val="2"/>
        <w:spacing w:before="312" w:beforeLines="100" w:after="312" w:afterLines="100" w:line="520" w:lineRule="exact"/>
        <w:jc w:val="center"/>
        <w:rPr>
          <w:rFonts w:ascii="黑体" w:hAnsi="黑体" w:eastAsia="黑体"/>
          <w:bCs w:val="0"/>
          <w:sz w:val="30"/>
          <w:szCs w:val="22"/>
          <w:lang w:val="zh-CN"/>
        </w:rPr>
      </w:pPr>
      <w:bookmarkStart w:id="20" w:name="_Toc220593715"/>
      <w:r>
        <w:rPr>
          <w:rFonts w:ascii="黑体" w:hAnsi="黑体" w:eastAsia="黑体"/>
          <w:bCs w:val="0"/>
          <w:sz w:val="30"/>
          <w:szCs w:val="22"/>
          <w:lang w:val="zh-CN"/>
        </w:rPr>
        <w:t xml:space="preserve">4 </w:t>
      </w:r>
      <w:r>
        <w:rPr>
          <w:rFonts w:hint="eastAsia" w:ascii="黑体" w:hAnsi="黑体" w:eastAsia="黑体"/>
          <w:bCs w:val="0"/>
          <w:sz w:val="30"/>
          <w:szCs w:val="22"/>
          <w:lang w:val="zh-CN"/>
        </w:rPr>
        <w:t>生态评估指标体系及计算方法</w:t>
      </w:r>
      <w:bookmarkEnd w:id="20"/>
    </w:p>
    <w:p w14:paraId="51464E56">
      <w:pPr>
        <w:pStyle w:val="3"/>
        <w:spacing w:before="156" w:after="156"/>
      </w:pPr>
      <w:bookmarkStart w:id="21" w:name="_Toc220593716"/>
      <w:r>
        <w:t xml:space="preserve">4.1 </w:t>
      </w:r>
      <w:r>
        <w:rPr>
          <w:rFonts w:hint="eastAsia"/>
        </w:rPr>
        <w:t>生态评估指标体系</w:t>
      </w:r>
      <w:bookmarkEnd w:id="21"/>
    </w:p>
    <w:p w14:paraId="06996802">
      <w:pPr>
        <w:pStyle w:val="22"/>
        <w:spacing w:after="156" w:afterLines="50" w:line="480" w:lineRule="exact"/>
        <w:ind w:firstLine="560" w:firstLineChars="200"/>
        <w:rPr>
          <w:rFonts w:ascii="宋体" w:hAnsi="宋体" w:eastAsia="宋体"/>
          <w:sz w:val="28"/>
          <w:szCs w:val="28"/>
        </w:rPr>
      </w:pPr>
      <w:bookmarkStart w:id="22" w:name="_Hlk200038445"/>
      <w:r>
        <w:rPr>
          <w:rFonts w:hint="eastAsia" w:ascii="宋体" w:hAnsi="宋体" w:eastAsia="宋体"/>
          <w:sz w:val="28"/>
          <w:szCs w:val="28"/>
        </w:rPr>
        <w:t>生态评估以综合指数反映社区生态功能，根据生态为居民提供的宜居性与安全性支撑确定评估指标，并细化为相应评估因子。评估指标体系见下表。</w:t>
      </w:r>
    </w:p>
    <w:p w14:paraId="36EB8701">
      <w:pPr>
        <w:pStyle w:val="22"/>
        <w:spacing w:line="360" w:lineRule="auto"/>
        <w:jc w:val="center"/>
        <w:rPr>
          <w:rFonts w:ascii="宋体" w:hAnsi="宋体" w:eastAsia="宋体"/>
          <w:b/>
          <w:szCs w:val="28"/>
        </w:rPr>
      </w:pPr>
      <w:r>
        <w:rPr>
          <w:rFonts w:hint="eastAsia" w:ascii="宋体" w:hAnsi="宋体" w:eastAsia="宋体"/>
          <w:b/>
          <w:szCs w:val="28"/>
        </w:rPr>
        <w:t>表3 社区生态评估指标表</w:t>
      </w:r>
    </w:p>
    <w:tbl>
      <w:tblPr>
        <w:tblStyle w:val="16"/>
        <w:tblW w:w="87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87"/>
        <w:gridCol w:w="4286"/>
        <w:gridCol w:w="3215"/>
      </w:tblGrid>
      <w:tr w14:paraId="15741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1287" w:type="dxa"/>
            <w:vAlign w:val="center"/>
          </w:tcPr>
          <w:p w14:paraId="2AFF34A0">
            <w:pPr>
              <w:pStyle w:val="22"/>
              <w:snapToGrid w:val="0"/>
              <w:jc w:val="center"/>
              <w:rPr>
                <w:rFonts w:hint="eastAsia" w:ascii="宋体" w:hAnsi="宋体" w:eastAsia="宋体" w:cs="宋体"/>
                <w:sz w:val="21"/>
                <w:szCs w:val="21"/>
              </w:rPr>
            </w:pPr>
            <w:bookmarkStart w:id="23" w:name="_Hlk213587482"/>
            <w:r>
              <w:rPr>
                <w:rFonts w:hint="eastAsia" w:ascii="宋体" w:hAnsi="宋体" w:eastAsia="宋体" w:cs="宋体"/>
                <w:sz w:val="21"/>
                <w:szCs w:val="21"/>
              </w:rPr>
              <w:t>类别</w:t>
            </w:r>
          </w:p>
        </w:tc>
        <w:tc>
          <w:tcPr>
            <w:tcW w:w="4286" w:type="dxa"/>
            <w:vAlign w:val="center"/>
          </w:tcPr>
          <w:p w14:paraId="4354939F">
            <w:pPr>
              <w:pStyle w:val="22"/>
              <w:snapToGrid w:val="0"/>
              <w:jc w:val="center"/>
              <w:rPr>
                <w:rFonts w:hint="eastAsia" w:ascii="宋体" w:hAnsi="宋体" w:eastAsia="宋体" w:cs="宋体"/>
                <w:sz w:val="21"/>
                <w:szCs w:val="21"/>
              </w:rPr>
            </w:pPr>
            <w:r>
              <w:rPr>
                <w:rFonts w:hint="eastAsia" w:ascii="宋体" w:hAnsi="宋体" w:eastAsia="宋体" w:cs="宋体"/>
                <w:sz w:val="21"/>
                <w:szCs w:val="21"/>
              </w:rPr>
              <w:t>评估因子</w:t>
            </w:r>
          </w:p>
        </w:tc>
        <w:tc>
          <w:tcPr>
            <w:tcW w:w="3215" w:type="dxa"/>
            <w:vAlign w:val="center"/>
          </w:tcPr>
          <w:p w14:paraId="61D7235A">
            <w:pPr>
              <w:pStyle w:val="22"/>
              <w:snapToGrid w:val="0"/>
              <w:jc w:val="center"/>
              <w:rPr>
                <w:rFonts w:hint="eastAsia" w:ascii="宋体" w:hAnsi="宋体" w:eastAsia="宋体" w:cs="宋体"/>
                <w:sz w:val="21"/>
                <w:szCs w:val="21"/>
              </w:rPr>
            </w:pPr>
            <w:r>
              <w:rPr>
                <w:rFonts w:hint="eastAsia" w:ascii="宋体" w:hAnsi="宋体" w:eastAsia="宋体" w:cs="宋体"/>
                <w:sz w:val="21"/>
                <w:szCs w:val="21"/>
              </w:rPr>
              <w:t>数据来源</w:t>
            </w:r>
          </w:p>
        </w:tc>
      </w:tr>
      <w:tr w14:paraId="2D6FE5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7" w:type="dxa"/>
            <w:vMerge w:val="restart"/>
            <w:vAlign w:val="center"/>
          </w:tcPr>
          <w:p w14:paraId="6B3073C0">
            <w:pPr>
              <w:pStyle w:val="22"/>
              <w:snapToGrid w:val="0"/>
              <w:jc w:val="center"/>
              <w:rPr>
                <w:rFonts w:hint="eastAsia" w:ascii="宋体" w:hAnsi="宋体" w:eastAsia="宋体" w:cs="宋体"/>
                <w:sz w:val="21"/>
                <w:szCs w:val="21"/>
              </w:rPr>
            </w:pPr>
            <w:r>
              <w:rPr>
                <w:rFonts w:hint="eastAsia" w:ascii="宋体" w:hAnsi="宋体" w:eastAsia="宋体" w:cs="宋体"/>
                <w:sz w:val="21"/>
                <w:szCs w:val="21"/>
              </w:rPr>
              <w:t>1绿地与植被</w:t>
            </w:r>
          </w:p>
        </w:tc>
        <w:tc>
          <w:tcPr>
            <w:tcW w:w="4286" w:type="dxa"/>
            <w:vAlign w:val="center"/>
          </w:tcPr>
          <w:p w14:paraId="3CD56F35">
            <w:pPr>
              <w:pStyle w:val="22"/>
              <w:snapToGrid w:val="0"/>
              <w:jc w:val="left"/>
              <w:rPr>
                <w:rFonts w:hint="eastAsia" w:ascii="宋体" w:hAnsi="宋体" w:eastAsia="宋体" w:cs="宋体"/>
                <w:sz w:val="21"/>
                <w:szCs w:val="21"/>
              </w:rPr>
            </w:pPr>
            <w:r>
              <w:rPr>
                <w:rFonts w:hint="eastAsia" w:ascii="宋体" w:hAnsi="宋体" w:eastAsia="宋体" w:cs="宋体"/>
                <w:sz w:val="21"/>
                <w:szCs w:val="21"/>
              </w:rPr>
              <w:t>1.1绿化覆盖率</w:t>
            </w:r>
          </w:p>
        </w:tc>
        <w:tc>
          <w:tcPr>
            <w:tcW w:w="3215" w:type="dxa"/>
            <w:vMerge w:val="restart"/>
            <w:vAlign w:val="center"/>
          </w:tcPr>
          <w:p w14:paraId="631811CE">
            <w:pPr>
              <w:pStyle w:val="22"/>
              <w:snapToGrid w:val="0"/>
              <w:jc w:val="center"/>
              <w:rPr>
                <w:rFonts w:hint="eastAsia" w:ascii="宋体" w:hAnsi="宋体" w:eastAsia="宋体" w:cs="宋体"/>
                <w:sz w:val="21"/>
                <w:szCs w:val="21"/>
              </w:rPr>
            </w:pPr>
            <w:r>
              <w:rPr>
                <w:rFonts w:hint="eastAsia" w:ascii="宋体" w:hAnsi="宋体" w:eastAsia="宋体" w:cs="宋体"/>
                <w:sz w:val="21"/>
                <w:szCs w:val="21"/>
              </w:rPr>
              <w:t>遥感影像、实地调查</w:t>
            </w:r>
          </w:p>
        </w:tc>
      </w:tr>
      <w:tr w14:paraId="7B7135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7" w:type="dxa"/>
            <w:vMerge w:val="continue"/>
            <w:vAlign w:val="center"/>
          </w:tcPr>
          <w:p w14:paraId="39CDB9D0">
            <w:pPr>
              <w:pStyle w:val="22"/>
              <w:snapToGrid w:val="0"/>
              <w:jc w:val="center"/>
              <w:rPr>
                <w:rFonts w:hint="eastAsia" w:ascii="宋体" w:hAnsi="宋体" w:eastAsia="宋体" w:cs="宋体"/>
                <w:sz w:val="21"/>
                <w:szCs w:val="21"/>
              </w:rPr>
            </w:pPr>
          </w:p>
        </w:tc>
        <w:tc>
          <w:tcPr>
            <w:tcW w:w="4286" w:type="dxa"/>
            <w:vAlign w:val="center"/>
          </w:tcPr>
          <w:p w14:paraId="245E29B2">
            <w:pPr>
              <w:pStyle w:val="22"/>
              <w:snapToGrid w:val="0"/>
              <w:jc w:val="left"/>
              <w:rPr>
                <w:rFonts w:hint="eastAsia" w:ascii="宋体" w:hAnsi="宋体" w:eastAsia="宋体" w:cs="宋体"/>
                <w:sz w:val="21"/>
                <w:szCs w:val="21"/>
              </w:rPr>
            </w:pPr>
            <w:r>
              <w:rPr>
                <w:rFonts w:hint="eastAsia" w:ascii="宋体" w:hAnsi="宋体" w:eastAsia="宋体" w:cs="宋体"/>
                <w:sz w:val="21"/>
                <w:szCs w:val="21"/>
              </w:rPr>
              <w:t>1.2本土木本植物占比</w:t>
            </w:r>
          </w:p>
        </w:tc>
        <w:tc>
          <w:tcPr>
            <w:tcW w:w="3215" w:type="dxa"/>
            <w:vMerge w:val="continue"/>
            <w:vAlign w:val="center"/>
          </w:tcPr>
          <w:p w14:paraId="4B724FEE">
            <w:pPr>
              <w:pStyle w:val="22"/>
              <w:snapToGrid w:val="0"/>
              <w:jc w:val="center"/>
              <w:rPr>
                <w:rFonts w:hint="eastAsia" w:ascii="宋体" w:hAnsi="宋体" w:eastAsia="宋体" w:cs="宋体"/>
                <w:sz w:val="21"/>
                <w:szCs w:val="21"/>
              </w:rPr>
            </w:pPr>
          </w:p>
        </w:tc>
      </w:tr>
      <w:tr w14:paraId="6B3B7D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7" w:type="dxa"/>
            <w:vMerge w:val="continue"/>
            <w:vAlign w:val="center"/>
          </w:tcPr>
          <w:p w14:paraId="76B8DC0C">
            <w:pPr>
              <w:pStyle w:val="22"/>
              <w:snapToGrid w:val="0"/>
              <w:jc w:val="center"/>
              <w:rPr>
                <w:rFonts w:hint="eastAsia" w:ascii="宋体" w:hAnsi="宋体" w:eastAsia="宋体" w:cs="宋体"/>
                <w:sz w:val="21"/>
                <w:szCs w:val="21"/>
              </w:rPr>
            </w:pPr>
          </w:p>
        </w:tc>
        <w:tc>
          <w:tcPr>
            <w:tcW w:w="4286" w:type="dxa"/>
            <w:vAlign w:val="center"/>
          </w:tcPr>
          <w:p w14:paraId="2CDEA6CE">
            <w:pPr>
              <w:pStyle w:val="22"/>
              <w:snapToGrid w:val="0"/>
              <w:jc w:val="left"/>
              <w:rPr>
                <w:rFonts w:hint="eastAsia" w:ascii="宋体" w:hAnsi="宋体" w:eastAsia="宋体" w:cs="宋体"/>
                <w:sz w:val="21"/>
                <w:szCs w:val="21"/>
              </w:rPr>
            </w:pPr>
            <w:r>
              <w:rPr>
                <w:rFonts w:hint="eastAsia" w:ascii="宋体" w:hAnsi="宋体" w:eastAsia="宋体" w:cs="宋体"/>
                <w:sz w:val="21"/>
                <w:szCs w:val="21"/>
              </w:rPr>
              <w:t>1.3植被健康度</w:t>
            </w:r>
          </w:p>
        </w:tc>
        <w:tc>
          <w:tcPr>
            <w:tcW w:w="3215" w:type="dxa"/>
            <w:vMerge w:val="continue"/>
            <w:vAlign w:val="center"/>
          </w:tcPr>
          <w:p w14:paraId="74B1FCC8">
            <w:pPr>
              <w:pStyle w:val="22"/>
              <w:snapToGrid w:val="0"/>
              <w:jc w:val="center"/>
              <w:rPr>
                <w:rFonts w:hint="eastAsia" w:ascii="宋体" w:hAnsi="宋体" w:eastAsia="宋体" w:cs="宋体"/>
                <w:sz w:val="21"/>
                <w:szCs w:val="21"/>
              </w:rPr>
            </w:pPr>
          </w:p>
        </w:tc>
      </w:tr>
      <w:tr w14:paraId="577E62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7" w:type="dxa"/>
            <w:vMerge w:val="continue"/>
            <w:vAlign w:val="center"/>
          </w:tcPr>
          <w:p w14:paraId="4D27AA47">
            <w:pPr>
              <w:pStyle w:val="22"/>
              <w:snapToGrid w:val="0"/>
              <w:jc w:val="center"/>
              <w:rPr>
                <w:rFonts w:hint="eastAsia" w:ascii="宋体" w:hAnsi="宋体" w:eastAsia="宋体" w:cs="宋体"/>
                <w:sz w:val="21"/>
                <w:szCs w:val="21"/>
              </w:rPr>
            </w:pPr>
          </w:p>
        </w:tc>
        <w:tc>
          <w:tcPr>
            <w:tcW w:w="4286" w:type="dxa"/>
            <w:vAlign w:val="center"/>
          </w:tcPr>
          <w:p w14:paraId="05BC519E">
            <w:pPr>
              <w:pStyle w:val="22"/>
              <w:snapToGrid w:val="0"/>
              <w:jc w:val="left"/>
              <w:rPr>
                <w:rFonts w:hint="eastAsia" w:ascii="宋体" w:hAnsi="宋体" w:eastAsia="宋体" w:cs="宋体"/>
                <w:sz w:val="21"/>
                <w:szCs w:val="21"/>
              </w:rPr>
            </w:pPr>
            <w:r>
              <w:rPr>
                <w:rFonts w:hint="eastAsia" w:ascii="宋体" w:hAnsi="宋体" w:eastAsia="宋体" w:cs="宋体"/>
                <w:sz w:val="21"/>
                <w:szCs w:val="21"/>
              </w:rPr>
              <w:t>1.4强致敏植物占比</w:t>
            </w:r>
          </w:p>
        </w:tc>
        <w:tc>
          <w:tcPr>
            <w:tcW w:w="3215" w:type="dxa"/>
            <w:vMerge w:val="continue"/>
            <w:vAlign w:val="center"/>
          </w:tcPr>
          <w:p w14:paraId="2493DC7D">
            <w:pPr>
              <w:pStyle w:val="22"/>
              <w:snapToGrid w:val="0"/>
              <w:jc w:val="center"/>
              <w:rPr>
                <w:rFonts w:hint="eastAsia" w:ascii="宋体" w:hAnsi="宋体" w:eastAsia="宋体" w:cs="宋体"/>
                <w:sz w:val="21"/>
                <w:szCs w:val="21"/>
              </w:rPr>
            </w:pPr>
          </w:p>
        </w:tc>
      </w:tr>
      <w:tr w14:paraId="284364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7" w:type="dxa"/>
            <w:vMerge w:val="restart"/>
            <w:vAlign w:val="center"/>
          </w:tcPr>
          <w:p w14:paraId="1798CE51">
            <w:pPr>
              <w:pStyle w:val="22"/>
              <w:snapToGrid w:val="0"/>
              <w:jc w:val="center"/>
              <w:rPr>
                <w:rFonts w:hint="eastAsia" w:ascii="宋体" w:hAnsi="宋体" w:eastAsia="宋体" w:cs="宋体"/>
                <w:sz w:val="21"/>
                <w:szCs w:val="21"/>
              </w:rPr>
            </w:pPr>
            <w:r>
              <w:rPr>
                <w:rFonts w:hint="eastAsia" w:ascii="宋体" w:hAnsi="宋体" w:eastAsia="宋体" w:cs="宋体"/>
                <w:sz w:val="21"/>
                <w:szCs w:val="21"/>
              </w:rPr>
              <w:t>2生物多样性</w:t>
            </w:r>
          </w:p>
        </w:tc>
        <w:tc>
          <w:tcPr>
            <w:tcW w:w="4286" w:type="dxa"/>
            <w:vAlign w:val="center"/>
          </w:tcPr>
          <w:p w14:paraId="5C2FAFE6">
            <w:pPr>
              <w:pStyle w:val="22"/>
              <w:snapToGrid w:val="0"/>
              <w:jc w:val="left"/>
              <w:rPr>
                <w:rFonts w:hint="eastAsia" w:ascii="宋体" w:hAnsi="宋体" w:eastAsia="宋体" w:cs="宋体"/>
                <w:sz w:val="21"/>
                <w:szCs w:val="21"/>
              </w:rPr>
            </w:pPr>
            <w:r>
              <w:rPr>
                <w:rFonts w:hint="eastAsia" w:ascii="宋体" w:hAnsi="宋体" w:eastAsia="宋体" w:cs="宋体"/>
                <w:sz w:val="21"/>
                <w:szCs w:val="21"/>
              </w:rPr>
              <w:t>2.1本土植物种类数量</w:t>
            </w:r>
          </w:p>
        </w:tc>
        <w:tc>
          <w:tcPr>
            <w:tcW w:w="3215" w:type="dxa"/>
            <w:vMerge w:val="restart"/>
            <w:vAlign w:val="center"/>
          </w:tcPr>
          <w:p w14:paraId="2C7BE66B">
            <w:pPr>
              <w:pStyle w:val="22"/>
              <w:snapToGrid w:val="0"/>
              <w:jc w:val="center"/>
              <w:rPr>
                <w:rFonts w:hint="eastAsia" w:ascii="宋体" w:hAnsi="宋体" w:eastAsia="宋体" w:cs="宋体"/>
                <w:sz w:val="21"/>
                <w:szCs w:val="21"/>
              </w:rPr>
            </w:pPr>
            <w:r>
              <w:rPr>
                <w:rFonts w:hint="eastAsia" w:ascii="宋体" w:hAnsi="宋体" w:eastAsia="宋体" w:cs="宋体"/>
                <w:sz w:val="21"/>
                <w:szCs w:val="21"/>
              </w:rPr>
              <w:t>实地调查</w:t>
            </w:r>
          </w:p>
        </w:tc>
      </w:tr>
      <w:tr w14:paraId="28177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7" w:type="dxa"/>
            <w:vMerge w:val="continue"/>
            <w:vAlign w:val="center"/>
          </w:tcPr>
          <w:p w14:paraId="100B997E">
            <w:pPr>
              <w:pStyle w:val="22"/>
              <w:snapToGrid w:val="0"/>
              <w:jc w:val="center"/>
              <w:rPr>
                <w:rFonts w:hint="eastAsia" w:ascii="宋体" w:hAnsi="宋体" w:eastAsia="宋体" w:cs="宋体"/>
                <w:sz w:val="21"/>
                <w:szCs w:val="21"/>
              </w:rPr>
            </w:pPr>
          </w:p>
        </w:tc>
        <w:tc>
          <w:tcPr>
            <w:tcW w:w="4286" w:type="dxa"/>
            <w:vAlign w:val="center"/>
          </w:tcPr>
          <w:p w14:paraId="280C1FD6">
            <w:pPr>
              <w:pStyle w:val="22"/>
              <w:snapToGrid w:val="0"/>
              <w:jc w:val="left"/>
              <w:rPr>
                <w:rFonts w:hint="eastAsia" w:ascii="宋体" w:hAnsi="宋体" w:eastAsia="宋体" w:cs="宋体"/>
                <w:sz w:val="21"/>
                <w:szCs w:val="21"/>
              </w:rPr>
            </w:pPr>
            <w:r>
              <w:rPr>
                <w:rFonts w:hint="eastAsia" w:ascii="宋体" w:hAnsi="宋体" w:eastAsia="宋体" w:cs="宋体"/>
                <w:sz w:val="21"/>
                <w:szCs w:val="21"/>
              </w:rPr>
              <w:t>2.2生态栖息地占比</w:t>
            </w:r>
          </w:p>
        </w:tc>
        <w:tc>
          <w:tcPr>
            <w:tcW w:w="3215" w:type="dxa"/>
            <w:vMerge w:val="continue"/>
            <w:vAlign w:val="center"/>
          </w:tcPr>
          <w:p w14:paraId="742E1CE5">
            <w:pPr>
              <w:pStyle w:val="22"/>
              <w:snapToGrid w:val="0"/>
              <w:jc w:val="center"/>
              <w:rPr>
                <w:rFonts w:hint="eastAsia" w:ascii="宋体" w:hAnsi="宋体" w:eastAsia="宋体" w:cs="宋体"/>
                <w:sz w:val="21"/>
                <w:szCs w:val="21"/>
              </w:rPr>
            </w:pPr>
          </w:p>
        </w:tc>
      </w:tr>
      <w:tr w14:paraId="0C4666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7" w:type="dxa"/>
            <w:vMerge w:val="continue"/>
            <w:vAlign w:val="center"/>
          </w:tcPr>
          <w:p w14:paraId="35CEEDA5">
            <w:pPr>
              <w:pStyle w:val="22"/>
              <w:snapToGrid w:val="0"/>
              <w:jc w:val="center"/>
              <w:rPr>
                <w:rFonts w:hint="eastAsia" w:ascii="宋体" w:hAnsi="宋体" w:eastAsia="宋体" w:cs="宋体"/>
                <w:sz w:val="21"/>
                <w:szCs w:val="21"/>
              </w:rPr>
            </w:pPr>
          </w:p>
        </w:tc>
        <w:tc>
          <w:tcPr>
            <w:tcW w:w="4286" w:type="dxa"/>
            <w:vAlign w:val="center"/>
          </w:tcPr>
          <w:p w14:paraId="5E7FA5D0">
            <w:pPr>
              <w:pStyle w:val="22"/>
              <w:snapToGrid w:val="0"/>
              <w:jc w:val="left"/>
              <w:rPr>
                <w:rFonts w:hint="eastAsia" w:ascii="宋体" w:hAnsi="宋体" w:eastAsia="宋体" w:cs="宋体"/>
                <w:sz w:val="21"/>
                <w:szCs w:val="21"/>
              </w:rPr>
            </w:pPr>
            <w:r>
              <w:rPr>
                <w:rFonts w:hint="eastAsia" w:ascii="宋体" w:hAnsi="宋体" w:eastAsia="宋体" w:cs="宋体"/>
                <w:sz w:val="21"/>
                <w:szCs w:val="21"/>
              </w:rPr>
              <w:t>2.3指示物种栖息情况</w:t>
            </w:r>
          </w:p>
        </w:tc>
        <w:tc>
          <w:tcPr>
            <w:tcW w:w="3215" w:type="dxa"/>
            <w:vMerge w:val="continue"/>
            <w:vAlign w:val="center"/>
          </w:tcPr>
          <w:p w14:paraId="6208F25B">
            <w:pPr>
              <w:pStyle w:val="22"/>
              <w:snapToGrid w:val="0"/>
              <w:jc w:val="center"/>
              <w:rPr>
                <w:rFonts w:hint="eastAsia" w:ascii="宋体" w:hAnsi="宋体" w:eastAsia="宋体" w:cs="宋体"/>
                <w:sz w:val="21"/>
                <w:szCs w:val="21"/>
              </w:rPr>
            </w:pPr>
          </w:p>
        </w:tc>
      </w:tr>
      <w:tr w14:paraId="35C79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7" w:type="dxa"/>
            <w:vMerge w:val="continue"/>
            <w:vAlign w:val="center"/>
          </w:tcPr>
          <w:p w14:paraId="4A42CCC4">
            <w:pPr>
              <w:pStyle w:val="22"/>
              <w:snapToGrid w:val="0"/>
              <w:jc w:val="center"/>
              <w:rPr>
                <w:rFonts w:hint="eastAsia" w:ascii="宋体" w:hAnsi="宋体" w:eastAsia="宋体" w:cs="宋体"/>
                <w:sz w:val="21"/>
                <w:szCs w:val="21"/>
              </w:rPr>
            </w:pPr>
          </w:p>
        </w:tc>
        <w:tc>
          <w:tcPr>
            <w:tcW w:w="4286" w:type="dxa"/>
            <w:vAlign w:val="center"/>
          </w:tcPr>
          <w:p w14:paraId="7FB65171">
            <w:pPr>
              <w:pStyle w:val="22"/>
              <w:snapToGrid w:val="0"/>
              <w:jc w:val="left"/>
              <w:rPr>
                <w:rFonts w:hint="eastAsia" w:ascii="宋体" w:hAnsi="宋体" w:eastAsia="宋体" w:cs="宋体"/>
                <w:sz w:val="21"/>
                <w:szCs w:val="21"/>
              </w:rPr>
            </w:pPr>
            <w:r>
              <w:rPr>
                <w:rFonts w:hint="eastAsia" w:ascii="宋体" w:hAnsi="宋体" w:eastAsia="宋体" w:cs="宋体"/>
                <w:sz w:val="21"/>
                <w:szCs w:val="21"/>
              </w:rPr>
              <w:t>2.4食源植物和蜜源植物的种类占比</w:t>
            </w:r>
          </w:p>
        </w:tc>
        <w:tc>
          <w:tcPr>
            <w:tcW w:w="3215" w:type="dxa"/>
            <w:vMerge w:val="continue"/>
            <w:vAlign w:val="center"/>
          </w:tcPr>
          <w:p w14:paraId="105F5EE1">
            <w:pPr>
              <w:pStyle w:val="22"/>
              <w:snapToGrid w:val="0"/>
              <w:jc w:val="center"/>
              <w:rPr>
                <w:rFonts w:hint="eastAsia" w:ascii="宋体" w:hAnsi="宋体" w:eastAsia="宋体" w:cs="宋体"/>
                <w:sz w:val="21"/>
                <w:szCs w:val="21"/>
              </w:rPr>
            </w:pPr>
          </w:p>
        </w:tc>
      </w:tr>
      <w:tr w14:paraId="407B5F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7" w:type="dxa"/>
            <w:vMerge w:val="restart"/>
            <w:vAlign w:val="center"/>
          </w:tcPr>
          <w:p w14:paraId="2DCEB360">
            <w:pPr>
              <w:pStyle w:val="22"/>
              <w:snapToGrid w:val="0"/>
              <w:jc w:val="center"/>
              <w:rPr>
                <w:rFonts w:hint="eastAsia" w:ascii="宋体" w:hAnsi="宋体" w:eastAsia="宋体" w:cs="宋体"/>
                <w:sz w:val="21"/>
                <w:szCs w:val="21"/>
              </w:rPr>
            </w:pPr>
            <w:r>
              <w:rPr>
                <w:rFonts w:hint="eastAsia" w:ascii="宋体" w:hAnsi="宋体" w:eastAsia="宋体" w:cs="宋体"/>
                <w:sz w:val="21"/>
                <w:szCs w:val="21"/>
              </w:rPr>
              <w:t>3水文与水环境</w:t>
            </w:r>
          </w:p>
        </w:tc>
        <w:tc>
          <w:tcPr>
            <w:tcW w:w="4286" w:type="dxa"/>
            <w:vAlign w:val="center"/>
          </w:tcPr>
          <w:p w14:paraId="6DC44489">
            <w:pPr>
              <w:pStyle w:val="22"/>
              <w:snapToGrid w:val="0"/>
              <w:jc w:val="left"/>
              <w:rPr>
                <w:rFonts w:hint="eastAsia" w:ascii="宋体" w:hAnsi="宋体" w:eastAsia="宋体" w:cs="宋体"/>
                <w:sz w:val="21"/>
                <w:szCs w:val="21"/>
              </w:rPr>
            </w:pPr>
            <w:r>
              <w:rPr>
                <w:rFonts w:hint="eastAsia" w:ascii="宋体" w:hAnsi="宋体" w:eastAsia="宋体" w:cs="宋体"/>
                <w:sz w:val="21"/>
                <w:szCs w:val="21"/>
              </w:rPr>
              <w:t>3.1日降雨量控制值（mm）</w:t>
            </w:r>
          </w:p>
        </w:tc>
        <w:tc>
          <w:tcPr>
            <w:tcW w:w="3215" w:type="dxa"/>
            <w:vAlign w:val="center"/>
          </w:tcPr>
          <w:p w14:paraId="1D8633BB">
            <w:pPr>
              <w:pStyle w:val="22"/>
              <w:snapToGrid w:val="0"/>
              <w:jc w:val="center"/>
              <w:rPr>
                <w:rFonts w:hint="eastAsia" w:ascii="宋体" w:hAnsi="宋体" w:eastAsia="宋体" w:cs="宋体"/>
                <w:sz w:val="21"/>
                <w:szCs w:val="21"/>
              </w:rPr>
            </w:pPr>
            <w:r>
              <w:rPr>
                <w:rFonts w:hint="eastAsia" w:ascii="宋体" w:hAnsi="宋体" w:eastAsia="宋体" w:cs="宋体"/>
                <w:sz w:val="21"/>
                <w:szCs w:val="21"/>
              </w:rPr>
              <w:t>排水管网与雨水径流监测、实地调查、文献调研</w:t>
            </w:r>
          </w:p>
        </w:tc>
      </w:tr>
      <w:tr w14:paraId="40B839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7" w:type="dxa"/>
            <w:vMerge w:val="continue"/>
            <w:vAlign w:val="center"/>
          </w:tcPr>
          <w:p w14:paraId="4819F4DE">
            <w:pPr>
              <w:pStyle w:val="22"/>
              <w:snapToGrid w:val="0"/>
              <w:jc w:val="center"/>
              <w:rPr>
                <w:rFonts w:hint="eastAsia" w:ascii="宋体" w:hAnsi="宋体" w:eastAsia="宋体" w:cs="宋体"/>
                <w:sz w:val="21"/>
                <w:szCs w:val="21"/>
              </w:rPr>
            </w:pPr>
          </w:p>
        </w:tc>
        <w:tc>
          <w:tcPr>
            <w:tcW w:w="4286" w:type="dxa"/>
            <w:vAlign w:val="center"/>
          </w:tcPr>
          <w:p w14:paraId="26D3C410">
            <w:pPr>
              <w:pStyle w:val="22"/>
              <w:snapToGrid w:val="0"/>
              <w:jc w:val="left"/>
              <w:rPr>
                <w:rFonts w:hint="eastAsia" w:ascii="宋体" w:hAnsi="宋体" w:eastAsia="宋体" w:cs="宋体"/>
                <w:sz w:val="21"/>
                <w:szCs w:val="21"/>
              </w:rPr>
            </w:pPr>
            <w:r>
              <w:rPr>
                <w:rFonts w:hint="eastAsia" w:ascii="宋体" w:hAnsi="宋体" w:eastAsia="宋体" w:cs="宋体"/>
                <w:sz w:val="21"/>
                <w:szCs w:val="21"/>
              </w:rPr>
              <w:t>3.2地表径流污染控制</w:t>
            </w:r>
          </w:p>
        </w:tc>
        <w:tc>
          <w:tcPr>
            <w:tcW w:w="3215" w:type="dxa"/>
            <w:vAlign w:val="center"/>
          </w:tcPr>
          <w:p w14:paraId="2515645E">
            <w:pPr>
              <w:pStyle w:val="22"/>
              <w:snapToGrid w:val="0"/>
              <w:jc w:val="center"/>
              <w:rPr>
                <w:rFonts w:hint="eastAsia" w:ascii="宋体" w:hAnsi="宋体" w:eastAsia="宋体" w:cs="宋体"/>
                <w:sz w:val="21"/>
                <w:szCs w:val="21"/>
              </w:rPr>
            </w:pPr>
            <w:r>
              <w:rPr>
                <w:rFonts w:hint="eastAsia" w:ascii="宋体" w:hAnsi="宋体" w:eastAsia="宋体" w:cs="宋体"/>
                <w:sz w:val="21"/>
                <w:szCs w:val="21"/>
              </w:rPr>
              <w:t>排水管网与雨水径流监测、实地调查、文献调研</w:t>
            </w:r>
          </w:p>
        </w:tc>
      </w:tr>
      <w:tr w14:paraId="13DC2E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7" w:type="dxa"/>
            <w:vMerge w:val="continue"/>
            <w:vAlign w:val="center"/>
          </w:tcPr>
          <w:p w14:paraId="2C59658B">
            <w:pPr>
              <w:pStyle w:val="22"/>
              <w:snapToGrid w:val="0"/>
              <w:jc w:val="center"/>
              <w:rPr>
                <w:rFonts w:hint="eastAsia" w:ascii="宋体" w:hAnsi="宋体" w:eastAsia="宋体" w:cs="宋体"/>
                <w:sz w:val="21"/>
                <w:szCs w:val="21"/>
              </w:rPr>
            </w:pPr>
          </w:p>
        </w:tc>
        <w:tc>
          <w:tcPr>
            <w:tcW w:w="4286" w:type="dxa"/>
            <w:vAlign w:val="center"/>
          </w:tcPr>
          <w:p w14:paraId="7C9949D4">
            <w:pPr>
              <w:pStyle w:val="22"/>
              <w:snapToGrid w:val="0"/>
              <w:jc w:val="left"/>
              <w:rPr>
                <w:rFonts w:hint="eastAsia" w:ascii="宋体" w:hAnsi="宋体" w:eastAsia="宋体" w:cs="宋体"/>
                <w:sz w:val="21"/>
                <w:szCs w:val="21"/>
              </w:rPr>
            </w:pPr>
            <w:r>
              <w:rPr>
                <w:rFonts w:hint="eastAsia" w:ascii="宋体" w:hAnsi="宋体" w:eastAsia="宋体" w:cs="宋体"/>
                <w:sz w:val="21"/>
                <w:szCs w:val="21"/>
              </w:rPr>
              <w:t>3.3水资源循环利用率</w:t>
            </w:r>
          </w:p>
        </w:tc>
        <w:tc>
          <w:tcPr>
            <w:tcW w:w="3215" w:type="dxa"/>
            <w:vAlign w:val="center"/>
          </w:tcPr>
          <w:p w14:paraId="1FB23D08">
            <w:pPr>
              <w:pStyle w:val="22"/>
              <w:snapToGrid w:val="0"/>
              <w:jc w:val="center"/>
              <w:rPr>
                <w:rFonts w:hint="eastAsia" w:ascii="宋体" w:hAnsi="宋体" w:eastAsia="宋体" w:cs="宋体"/>
                <w:sz w:val="21"/>
                <w:szCs w:val="21"/>
              </w:rPr>
            </w:pPr>
            <w:r>
              <w:rPr>
                <w:rFonts w:hint="eastAsia" w:ascii="宋体" w:hAnsi="宋体" w:eastAsia="宋体" w:cs="宋体"/>
                <w:sz w:val="21"/>
                <w:szCs w:val="21"/>
              </w:rPr>
              <w:t>实地调查</w:t>
            </w:r>
          </w:p>
        </w:tc>
      </w:tr>
      <w:tr w14:paraId="28004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7" w:type="dxa"/>
            <w:vMerge w:val="restart"/>
            <w:vAlign w:val="center"/>
          </w:tcPr>
          <w:p w14:paraId="48A6478A">
            <w:pPr>
              <w:pStyle w:val="22"/>
              <w:snapToGrid w:val="0"/>
              <w:jc w:val="center"/>
              <w:rPr>
                <w:rFonts w:hint="eastAsia" w:ascii="宋体" w:hAnsi="宋体" w:eastAsia="宋体" w:cs="宋体"/>
                <w:sz w:val="21"/>
                <w:szCs w:val="21"/>
              </w:rPr>
            </w:pPr>
            <w:r>
              <w:rPr>
                <w:rFonts w:hint="eastAsia" w:ascii="宋体" w:hAnsi="宋体" w:eastAsia="宋体" w:cs="宋体"/>
                <w:sz w:val="21"/>
                <w:szCs w:val="21"/>
              </w:rPr>
              <w:t>4通风与热环境</w:t>
            </w:r>
          </w:p>
        </w:tc>
        <w:tc>
          <w:tcPr>
            <w:tcW w:w="4286" w:type="dxa"/>
            <w:vAlign w:val="center"/>
          </w:tcPr>
          <w:p w14:paraId="2E13432A">
            <w:pPr>
              <w:pStyle w:val="22"/>
              <w:snapToGrid w:val="0"/>
              <w:jc w:val="left"/>
              <w:rPr>
                <w:rFonts w:hint="eastAsia" w:ascii="宋体" w:hAnsi="宋体" w:eastAsia="宋体" w:cs="宋体"/>
                <w:sz w:val="21"/>
                <w:szCs w:val="21"/>
              </w:rPr>
            </w:pPr>
            <w:r>
              <w:rPr>
                <w:rFonts w:hint="eastAsia" w:ascii="宋体" w:hAnsi="宋体" w:eastAsia="宋体" w:cs="宋体"/>
                <w:sz w:val="21"/>
                <w:szCs w:val="21"/>
              </w:rPr>
              <w:t>4.1热舒适度指数（UTCI）</w:t>
            </w:r>
          </w:p>
        </w:tc>
        <w:tc>
          <w:tcPr>
            <w:tcW w:w="3215" w:type="dxa"/>
            <w:vAlign w:val="center"/>
          </w:tcPr>
          <w:p w14:paraId="3D32236E">
            <w:pPr>
              <w:pStyle w:val="22"/>
              <w:snapToGrid w:val="0"/>
              <w:jc w:val="center"/>
              <w:rPr>
                <w:rFonts w:hint="eastAsia" w:ascii="宋体" w:hAnsi="宋体" w:eastAsia="宋体" w:cs="宋体"/>
                <w:sz w:val="21"/>
                <w:szCs w:val="21"/>
              </w:rPr>
            </w:pPr>
            <w:r>
              <w:rPr>
                <w:rFonts w:hint="eastAsia" w:ascii="宋体" w:hAnsi="宋体" w:eastAsia="宋体" w:cs="宋体"/>
                <w:sz w:val="21"/>
                <w:szCs w:val="21"/>
              </w:rPr>
              <w:t>现场测定及模拟、</w:t>
            </w:r>
          </w:p>
          <w:p w14:paraId="3404676B">
            <w:pPr>
              <w:pStyle w:val="22"/>
              <w:snapToGrid w:val="0"/>
              <w:jc w:val="center"/>
              <w:rPr>
                <w:rFonts w:hint="eastAsia" w:ascii="宋体" w:hAnsi="宋体" w:eastAsia="宋体" w:cs="宋体"/>
                <w:sz w:val="21"/>
                <w:szCs w:val="21"/>
              </w:rPr>
            </w:pPr>
            <w:r>
              <w:rPr>
                <w:rFonts w:hint="eastAsia" w:ascii="宋体" w:hAnsi="宋体" w:eastAsia="宋体" w:cs="宋体"/>
                <w:sz w:val="21"/>
                <w:szCs w:val="21"/>
              </w:rPr>
              <w:t>实地调查</w:t>
            </w:r>
          </w:p>
        </w:tc>
      </w:tr>
      <w:tr w14:paraId="63E47D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7" w:type="dxa"/>
            <w:vMerge w:val="continue"/>
            <w:vAlign w:val="center"/>
          </w:tcPr>
          <w:p w14:paraId="50B5A5DB">
            <w:pPr>
              <w:pStyle w:val="22"/>
              <w:snapToGrid w:val="0"/>
              <w:jc w:val="center"/>
              <w:rPr>
                <w:rFonts w:hint="eastAsia" w:ascii="宋体" w:hAnsi="宋体" w:eastAsia="宋体" w:cs="宋体"/>
                <w:sz w:val="21"/>
                <w:szCs w:val="21"/>
              </w:rPr>
            </w:pPr>
          </w:p>
        </w:tc>
        <w:tc>
          <w:tcPr>
            <w:tcW w:w="4286" w:type="dxa"/>
            <w:vAlign w:val="center"/>
          </w:tcPr>
          <w:p w14:paraId="63A8A8AF">
            <w:pPr>
              <w:pStyle w:val="22"/>
              <w:snapToGrid w:val="0"/>
              <w:jc w:val="left"/>
              <w:rPr>
                <w:rFonts w:hint="eastAsia" w:ascii="宋体" w:hAnsi="宋体" w:eastAsia="宋体" w:cs="宋体"/>
                <w:sz w:val="21"/>
                <w:szCs w:val="21"/>
              </w:rPr>
            </w:pPr>
            <w:r>
              <w:rPr>
                <w:rFonts w:hint="eastAsia" w:ascii="宋体" w:hAnsi="宋体" w:eastAsia="宋体" w:cs="宋体"/>
                <w:bCs/>
                <w:sz w:val="21"/>
                <w:szCs w:val="21"/>
              </w:rPr>
              <w:t>4.2道路和公共开放空间夏季遮阳度</w:t>
            </w:r>
          </w:p>
        </w:tc>
        <w:tc>
          <w:tcPr>
            <w:tcW w:w="3215" w:type="dxa"/>
            <w:vAlign w:val="center"/>
          </w:tcPr>
          <w:p w14:paraId="585C3184">
            <w:pPr>
              <w:pStyle w:val="22"/>
              <w:snapToGrid w:val="0"/>
              <w:jc w:val="center"/>
              <w:rPr>
                <w:rFonts w:hint="eastAsia" w:ascii="宋体" w:hAnsi="宋体" w:eastAsia="宋体" w:cs="宋体"/>
                <w:sz w:val="21"/>
                <w:szCs w:val="21"/>
              </w:rPr>
            </w:pPr>
            <w:r>
              <w:rPr>
                <w:rFonts w:hint="eastAsia" w:ascii="宋体" w:hAnsi="宋体" w:eastAsia="宋体" w:cs="宋体"/>
                <w:sz w:val="21"/>
                <w:szCs w:val="21"/>
              </w:rPr>
              <w:t>无人机影像、实地调查</w:t>
            </w:r>
          </w:p>
        </w:tc>
      </w:tr>
      <w:tr w14:paraId="3D939B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7" w:type="dxa"/>
            <w:vMerge w:val="continue"/>
            <w:vAlign w:val="center"/>
          </w:tcPr>
          <w:p w14:paraId="0BB6813E">
            <w:pPr>
              <w:pStyle w:val="22"/>
              <w:snapToGrid w:val="0"/>
              <w:jc w:val="center"/>
              <w:rPr>
                <w:rFonts w:hint="eastAsia" w:ascii="宋体" w:hAnsi="宋体" w:eastAsia="宋体" w:cs="宋体"/>
                <w:sz w:val="21"/>
                <w:szCs w:val="21"/>
              </w:rPr>
            </w:pPr>
          </w:p>
        </w:tc>
        <w:tc>
          <w:tcPr>
            <w:tcW w:w="4286" w:type="dxa"/>
            <w:vAlign w:val="center"/>
          </w:tcPr>
          <w:p w14:paraId="7388E8C8">
            <w:pPr>
              <w:pStyle w:val="22"/>
              <w:snapToGrid w:val="0"/>
              <w:jc w:val="left"/>
              <w:rPr>
                <w:rFonts w:hint="eastAsia" w:ascii="宋体" w:hAnsi="宋体" w:eastAsia="宋体" w:cs="宋体"/>
                <w:sz w:val="21"/>
                <w:szCs w:val="21"/>
              </w:rPr>
            </w:pPr>
            <w:r>
              <w:rPr>
                <w:rFonts w:hint="eastAsia" w:ascii="宋体" w:hAnsi="宋体" w:eastAsia="宋体" w:cs="宋体"/>
                <w:bCs/>
                <w:sz w:val="21"/>
                <w:szCs w:val="21"/>
              </w:rPr>
              <w:t>4.3道路和公共开放空间的冬季日照度</w:t>
            </w:r>
          </w:p>
        </w:tc>
        <w:tc>
          <w:tcPr>
            <w:tcW w:w="3215" w:type="dxa"/>
            <w:vAlign w:val="center"/>
          </w:tcPr>
          <w:p w14:paraId="665748E0">
            <w:pPr>
              <w:pStyle w:val="22"/>
              <w:snapToGrid w:val="0"/>
              <w:jc w:val="center"/>
              <w:rPr>
                <w:rFonts w:hint="eastAsia" w:ascii="宋体" w:hAnsi="宋体" w:eastAsia="宋体" w:cs="宋体"/>
                <w:sz w:val="21"/>
                <w:szCs w:val="21"/>
              </w:rPr>
            </w:pPr>
            <w:r>
              <w:rPr>
                <w:rFonts w:hint="eastAsia" w:ascii="宋体" w:hAnsi="宋体" w:eastAsia="宋体" w:cs="宋体"/>
                <w:sz w:val="21"/>
                <w:szCs w:val="21"/>
              </w:rPr>
              <w:t>无人机影像、实地调查</w:t>
            </w:r>
          </w:p>
        </w:tc>
      </w:tr>
      <w:tr w14:paraId="3DE88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7" w:type="dxa"/>
            <w:vMerge w:val="continue"/>
            <w:vAlign w:val="center"/>
          </w:tcPr>
          <w:p w14:paraId="514DEEEE">
            <w:pPr>
              <w:pStyle w:val="22"/>
              <w:snapToGrid w:val="0"/>
              <w:jc w:val="center"/>
              <w:rPr>
                <w:rFonts w:hint="eastAsia" w:ascii="宋体" w:hAnsi="宋体" w:eastAsia="宋体" w:cs="宋体"/>
                <w:sz w:val="21"/>
                <w:szCs w:val="21"/>
              </w:rPr>
            </w:pPr>
          </w:p>
        </w:tc>
        <w:tc>
          <w:tcPr>
            <w:tcW w:w="4286" w:type="dxa"/>
            <w:vAlign w:val="center"/>
          </w:tcPr>
          <w:p w14:paraId="35D3FB80">
            <w:pPr>
              <w:pStyle w:val="22"/>
              <w:snapToGrid w:val="0"/>
              <w:jc w:val="left"/>
              <w:rPr>
                <w:rFonts w:hint="eastAsia" w:ascii="宋体" w:hAnsi="宋体" w:eastAsia="宋体" w:cs="宋体"/>
                <w:bCs/>
                <w:sz w:val="21"/>
                <w:szCs w:val="21"/>
              </w:rPr>
            </w:pPr>
            <w:r>
              <w:rPr>
                <w:rFonts w:hint="eastAsia" w:ascii="宋体" w:hAnsi="宋体" w:eastAsia="宋体" w:cs="宋体"/>
                <w:bCs/>
                <w:sz w:val="21"/>
                <w:szCs w:val="21"/>
              </w:rPr>
              <w:t>4.4通风廊道与完整性</w:t>
            </w:r>
          </w:p>
        </w:tc>
        <w:tc>
          <w:tcPr>
            <w:tcW w:w="3215" w:type="dxa"/>
            <w:vAlign w:val="center"/>
          </w:tcPr>
          <w:p w14:paraId="20642B94">
            <w:pPr>
              <w:pStyle w:val="22"/>
              <w:snapToGrid w:val="0"/>
              <w:jc w:val="center"/>
              <w:rPr>
                <w:rFonts w:hint="eastAsia" w:ascii="宋体" w:hAnsi="宋体" w:eastAsia="宋体" w:cs="宋体"/>
                <w:sz w:val="21"/>
                <w:szCs w:val="21"/>
              </w:rPr>
            </w:pPr>
            <w:r>
              <w:rPr>
                <w:rFonts w:hint="eastAsia" w:ascii="宋体" w:hAnsi="宋体" w:eastAsia="宋体" w:cs="宋体"/>
                <w:sz w:val="21"/>
                <w:szCs w:val="21"/>
              </w:rPr>
              <w:t>无人机影像、实地调查</w:t>
            </w:r>
          </w:p>
        </w:tc>
      </w:tr>
      <w:tr w14:paraId="6F584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7" w:type="dxa"/>
            <w:vMerge w:val="restart"/>
            <w:vAlign w:val="center"/>
          </w:tcPr>
          <w:p w14:paraId="4B47E5A9">
            <w:pPr>
              <w:pStyle w:val="22"/>
              <w:snapToGrid w:val="0"/>
              <w:jc w:val="center"/>
              <w:rPr>
                <w:rFonts w:hint="eastAsia" w:ascii="宋体" w:hAnsi="宋体" w:eastAsia="宋体" w:cs="宋体"/>
                <w:sz w:val="21"/>
                <w:szCs w:val="21"/>
              </w:rPr>
            </w:pPr>
            <w:r>
              <w:rPr>
                <w:rFonts w:hint="eastAsia" w:ascii="宋体" w:hAnsi="宋体" w:eastAsia="宋体" w:cs="宋体"/>
                <w:sz w:val="21"/>
                <w:szCs w:val="21"/>
              </w:rPr>
              <w:t>5大气与声环境</w:t>
            </w:r>
          </w:p>
        </w:tc>
        <w:tc>
          <w:tcPr>
            <w:tcW w:w="4286" w:type="dxa"/>
            <w:vAlign w:val="center"/>
          </w:tcPr>
          <w:p w14:paraId="204254B8">
            <w:pPr>
              <w:pStyle w:val="22"/>
              <w:snapToGrid w:val="0"/>
              <w:jc w:val="left"/>
              <w:rPr>
                <w:rFonts w:hint="eastAsia" w:ascii="宋体" w:hAnsi="宋体" w:eastAsia="宋体" w:cs="宋体"/>
                <w:bCs/>
                <w:sz w:val="21"/>
                <w:szCs w:val="21"/>
              </w:rPr>
            </w:pPr>
            <w:r>
              <w:rPr>
                <w:rFonts w:hint="eastAsia" w:ascii="宋体" w:hAnsi="宋体" w:eastAsia="宋体" w:cs="宋体"/>
                <w:bCs/>
                <w:sz w:val="21"/>
                <w:szCs w:val="21"/>
              </w:rPr>
              <w:t>5.1 PM2.5年均浓度μg/m³</w:t>
            </w:r>
          </w:p>
        </w:tc>
        <w:tc>
          <w:tcPr>
            <w:tcW w:w="3215" w:type="dxa"/>
            <w:vAlign w:val="center"/>
          </w:tcPr>
          <w:p w14:paraId="2BB8E5E5">
            <w:pPr>
              <w:pStyle w:val="22"/>
              <w:snapToGrid w:val="0"/>
              <w:jc w:val="center"/>
              <w:rPr>
                <w:rFonts w:hint="eastAsia" w:ascii="宋体" w:hAnsi="宋体" w:eastAsia="宋体" w:cs="宋体"/>
                <w:sz w:val="21"/>
                <w:szCs w:val="21"/>
              </w:rPr>
            </w:pPr>
            <w:r>
              <w:rPr>
                <w:rFonts w:hint="eastAsia" w:ascii="宋体" w:hAnsi="宋体" w:eastAsia="宋体" w:cs="宋体"/>
                <w:sz w:val="21"/>
                <w:szCs w:val="21"/>
              </w:rPr>
              <w:t>社区监测站点数据、附近国家站点监测数据</w:t>
            </w:r>
          </w:p>
        </w:tc>
      </w:tr>
      <w:tr w14:paraId="7261C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7" w:type="dxa"/>
            <w:vMerge w:val="continue"/>
            <w:vAlign w:val="center"/>
          </w:tcPr>
          <w:p w14:paraId="7008CD5A">
            <w:pPr>
              <w:pStyle w:val="22"/>
              <w:snapToGrid w:val="0"/>
              <w:jc w:val="center"/>
              <w:rPr>
                <w:rFonts w:hint="eastAsia" w:ascii="宋体" w:hAnsi="宋体" w:eastAsia="宋体" w:cs="宋体"/>
                <w:sz w:val="21"/>
                <w:szCs w:val="21"/>
              </w:rPr>
            </w:pPr>
          </w:p>
        </w:tc>
        <w:tc>
          <w:tcPr>
            <w:tcW w:w="4286" w:type="dxa"/>
            <w:vAlign w:val="center"/>
          </w:tcPr>
          <w:p w14:paraId="1CBAFAB2">
            <w:pPr>
              <w:pStyle w:val="22"/>
              <w:snapToGrid w:val="0"/>
              <w:jc w:val="left"/>
              <w:rPr>
                <w:rFonts w:hint="eastAsia" w:ascii="宋体" w:hAnsi="宋体" w:eastAsia="宋体" w:cs="宋体"/>
                <w:bCs/>
                <w:sz w:val="21"/>
                <w:szCs w:val="21"/>
              </w:rPr>
            </w:pPr>
            <w:r>
              <w:rPr>
                <w:rFonts w:hint="eastAsia" w:ascii="宋体" w:hAnsi="宋体" w:eastAsia="宋体" w:cs="宋体"/>
                <w:bCs/>
                <w:sz w:val="21"/>
                <w:szCs w:val="21"/>
              </w:rPr>
              <w:t>5.2PM10年均浓度μg/m³</w:t>
            </w:r>
          </w:p>
        </w:tc>
        <w:tc>
          <w:tcPr>
            <w:tcW w:w="3215" w:type="dxa"/>
            <w:vAlign w:val="center"/>
          </w:tcPr>
          <w:p w14:paraId="4C304206">
            <w:pPr>
              <w:pStyle w:val="22"/>
              <w:snapToGrid w:val="0"/>
              <w:jc w:val="center"/>
              <w:rPr>
                <w:rFonts w:hint="eastAsia" w:ascii="宋体" w:hAnsi="宋体" w:eastAsia="宋体" w:cs="宋体"/>
                <w:sz w:val="21"/>
                <w:szCs w:val="21"/>
              </w:rPr>
            </w:pPr>
          </w:p>
        </w:tc>
      </w:tr>
      <w:tr w14:paraId="74282B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7" w:type="dxa"/>
            <w:vMerge w:val="continue"/>
            <w:vAlign w:val="center"/>
          </w:tcPr>
          <w:p w14:paraId="4E11B62C">
            <w:pPr>
              <w:pStyle w:val="22"/>
              <w:snapToGrid w:val="0"/>
              <w:jc w:val="center"/>
              <w:rPr>
                <w:rFonts w:hint="eastAsia" w:ascii="宋体" w:hAnsi="宋体" w:eastAsia="宋体" w:cs="宋体"/>
                <w:sz w:val="21"/>
                <w:szCs w:val="21"/>
              </w:rPr>
            </w:pPr>
          </w:p>
        </w:tc>
        <w:tc>
          <w:tcPr>
            <w:tcW w:w="4286" w:type="dxa"/>
            <w:vAlign w:val="center"/>
          </w:tcPr>
          <w:p w14:paraId="1886A674">
            <w:pPr>
              <w:pStyle w:val="22"/>
              <w:snapToGrid w:val="0"/>
              <w:jc w:val="left"/>
              <w:rPr>
                <w:rFonts w:hint="eastAsia" w:ascii="宋体" w:hAnsi="宋体" w:eastAsia="宋体" w:cs="宋体"/>
                <w:bCs/>
                <w:sz w:val="21"/>
                <w:szCs w:val="21"/>
              </w:rPr>
            </w:pPr>
            <w:r>
              <w:rPr>
                <w:rFonts w:hint="eastAsia" w:ascii="宋体" w:hAnsi="宋体" w:eastAsia="宋体" w:cs="宋体"/>
                <w:bCs/>
                <w:sz w:val="21"/>
                <w:szCs w:val="21"/>
              </w:rPr>
              <w:t>5.3噪声达标率</w:t>
            </w:r>
          </w:p>
        </w:tc>
        <w:tc>
          <w:tcPr>
            <w:tcW w:w="3215" w:type="dxa"/>
            <w:vAlign w:val="center"/>
          </w:tcPr>
          <w:p w14:paraId="00AC7C46">
            <w:pPr>
              <w:pStyle w:val="22"/>
              <w:snapToGrid w:val="0"/>
              <w:jc w:val="center"/>
              <w:rPr>
                <w:rFonts w:hint="eastAsia" w:ascii="宋体" w:hAnsi="宋体" w:eastAsia="宋体" w:cs="宋体"/>
                <w:sz w:val="21"/>
                <w:szCs w:val="21"/>
              </w:rPr>
            </w:pPr>
            <w:r>
              <w:rPr>
                <w:rFonts w:hint="eastAsia" w:ascii="宋体" w:hAnsi="宋体" w:eastAsia="宋体" w:cs="宋体"/>
                <w:sz w:val="21"/>
                <w:szCs w:val="21"/>
              </w:rPr>
              <w:t>按照GB3096开展实地监测。</w:t>
            </w:r>
          </w:p>
        </w:tc>
      </w:tr>
      <w:tr w14:paraId="0E68C3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7" w:type="dxa"/>
            <w:vMerge w:val="restart"/>
            <w:vAlign w:val="center"/>
          </w:tcPr>
          <w:p w14:paraId="6925C23D">
            <w:pPr>
              <w:pStyle w:val="22"/>
              <w:snapToGrid w:val="0"/>
              <w:jc w:val="center"/>
              <w:rPr>
                <w:rFonts w:hint="eastAsia" w:ascii="宋体" w:hAnsi="宋体" w:eastAsia="宋体" w:cs="宋体"/>
                <w:sz w:val="21"/>
                <w:szCs w:val="21"/>
              </w:rPr>
            </w:pPr>
            <w:r>
              <w:rPr>
                <w:rFonts w:hint="eastAsia" w:ascii="宋体" w:hAnsi="宋体" w:eastAsia="宋体" w:cs="宋体"/>
                <w:sz w:val="21"/>
                <w:szCs w:val="21"/>
              </w:rPr>
              <w:t>6能源与废弃物</w:t>
            </w:r>
          </w:p>
        </w:tc>
        <w:tc>
          <w:tcPr>
            <w:tcW w:w="4286" w:type="dxa"/>
            <w:vAlign w:val="center"/>
          </w:tcPr>
          <w:p w14:paraId="68998AA7">
            <w:pPr>
              <w:pStyle w:val="22"/>
              <w:snapToGrid w:val="0"/>
              <w:jc w:val="left"/>
              <w:rPr>
                <w:rFonts w:hint="eastAsia" w:ascii="宋体" w:hAnsi="宋体" w:eastAsia="宋体" w:cs="宋体"/>
                <w:bCs/>
                <w:sz w:val="21"/>
                <w:szCs w:val="21"/>
              </w:rPr>
            </w:pPr>
            <w:r>
              <w:rPr>
                <w:rFonts w:hint="eastAsia" w:ascii="宋体" w:hAnsi="宋体" w:eastAsia="宋体" w:cs="宋体"/>
                <w:bCs/>
                <w:sz w:val="21"/>
                <w:szCs w:val="21"/>
              </w:rPr>
              <w:t>6.1生活垃圾分类准确率</w:t>
            </w:r>
          </w:p>
        </w:tc>
        <w:tc>
          <w:tcPr>
            <w:tcW w:w="3215" w:type="dxa"/>
            <w:vAlign w:val="center"/>
          </w:tcPr>
          <w:p w14:paraId="65692978">
            <w:pPr>
              <w:pStyle w:val="22"/>
              <w:snapToGrid w:val="0"/>
              <w:jc w:val="center"/>
              <w:rPr>
                <w:rFonts w:hint="eastAsia" w:ascii="宋体" w:hAnsi="宋体" w:eastAsia="宋体" w:cs="宋体"/>
                <w:sz w:val="21"/>
                <w:szCs w:val="21"/>
              </w:rPr>
            </w:pPr>
            <w:r>
              <w:rPr>
                <w:rFonts w:hint="eastAsia" w:ascii="宋体" w:hAnsi="宋体" w:eastAsia="宋体" w:cs="宋体"/>
                <w:sz w:val="21"/>
                <w:szCs w:val="21"/>
              </w:rPr>
              <w:t>实地调查</w:t>
            </w:r>
          </w:p>
        </w:tc>
      </w:tr>
      <w:tr w14:paraId="13D4C7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7" w:type="dxa"/>
            <w:vMerge w:val="continue"/>
            <w:vAlign w:val="center"/>
          </w:tcPr>
          <w:p w14:paraId="44509675">
            <w:pPr>
              <w:pStyle w:val="22"/>
              <w:snapToGrid w:val="0"/>
              <w:jc w:val="center"/>
              <w:rPr>
                <w:rFonts w:hint="eastAsia" w:ascii="宋体" w:hAnsi="宋体" w:eastAsia="宋体" w:cs="宋体"/>
                <w:sz w:val="21"/>
                <w:szCs w:val="21"/>
              </w:rPr>
            </w:pPr>
          </w:p>
        </w:tc>
        <w:tc>
          <w:tcPr>
            <w:tcW w:w="4286" w:type="dxa"/>
            <w:vAlign w:val="center"/>
          </w:tcPr>
          <w:p w14:paraId="62A8DB79">
            <w:pPr>
              <w:pStyle w:val="22"/>
              <w:snapToGrid w:val="0"/>
              <w:jc w:val="left"/>
              <w:rPr>
                <w:rFonts w:hint="eastAsia" w:ascii="宋体" w:hAnsi="宋体" w:eastAsia="宋体" w:cs="宋体"/>
                <w:bCs/>
                <w:sz w:val="21"/>
                <w:szCs w:val="21"/>
              </w:rPr>
            </w:pPr>
            <w:r>
              <w:rPr>
                <w:rFonts w:hint="eastAsia" w:ascii="宋体" w:hAnsi="宋体" w:eastAsia="宋体" w:cs="宋体"/>
                <w:bCs/>
                <w:sz w:val="21"/>
                <w:szCs w:val="21"/>
              </w:rPr>
              <w:t>6.2建筑节能达标率</w:t>
            </w:r>
          </w:p>
        </w:tc>
        <w:tc>
          <w:tcPr>
            <w:tcW w:w="3215" w:type="dxa"/>
            <w:vAlign w:val="center"/>
          </w:tcPr>
          <w:p w14:paraId="02F88A0D">
            <w:pPr>
              <w:pStyle w:val="22"/>
              <w:snapToGrid w:val="0"/>
              <w:jc w:val="center"/>
              <w:rPr>
                <w:rFonts w:hint="eastAsia" w:ascii="宋体" w:hAnsi="宋体" w:eastAsia="宋体" w:cs="宋体"/>
                <w:sz w:val="21"/>
                <w:szCs w:val="21"/>
              </w:rPr>
            </w:pPr>
            <w:r>
              <w:rPr>
                <w:rFonts w:hint="eastAsia" w:ascii="宋体" w:hAnsi="宋体" w:eastAsia="宋体" w:cs="宋体"/>
                <w:sz w:val="21"/>
                <w:szCs w:val="21"/>
              </w:rPr>
              <w:t>实地调查</w:t>
            </w:r>
          </w:p>
        </w:tc>
      </w:tr>
      <w:tr w14:paraId="28C275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7" w:type="dxa"/>
            <w:vMerge w:val="restart"/>
            <w:vAlign w:val="center"/>
          </w:tcPr>
          <w:p w14:paraId="56F19CD8">
            <w:pPr>
              <w:pStyle w:val="22"/>
              <w:snapToGrid w:val="0"/>
              <w:jc w:val="center"/>
              <w:rPr>
                <w:rFonts w:hint="eastAsia" w:ascii="宋体" w:hAnsi="宋体" w:eastAsia="宋体" w:cs="宋体"/>
                <w:sz w:val="21"/>
                <w:szCs w:val="21"/>
              </w:rPr>
            </w:pPr>
            <w:r>
              <w:rPr>
                <w:rFonts w:hint="eastAsia" w:ascii="宋体" w:hAnsi="宋体" w:eastAsia="宋体" w:cs="宋体"/>
                <w:sz w:val="21"/>
                <w:szCs w:val="21"/>
              </w:rPr>
              <w:t>7人居生态适配性</w:t>
            </w:r>
          </w:p>
        </w:tc>
        <w:tc>
          <w:tcPr>
            <w:tcW w:w="4286" w:type="dxa"/>
            <w:vAlign w:val="center"/>
          </w:tcPr>
          <w:p w14:paraId="0E1AFD30">
            <w:pPr>
              <w:pStyle w:val="22"/>
              <w:snapToGrid w:val="0"/>
              <w:jc w:val="left"/>
              <w:rPr>
                <w:rFonts w:hint="eastAsia" w:ascii="宋体" w:hAnsi="宋体" w:eastAsia="宋体" w:cs="宋体"/>
                <w:bCs/>
                <w:sz w:val="21"/>
                <w:szCs w:val="21"/>
              </w:rPr>
            </w:pPr>
            <w:r>
              <w:rPr>
                <w:rFonts w:hint="eastAsia" w:ascii="宋体" w:hAnsi="宋体" w:eastAsia="宋体" w:cs="宋体"/>
                <w:bCs/>
                <w:sz w:val="21"/>
                <w:szCs w:val="21"/>
              </w:rPr>
              <w:t>7.1生态设施可达性</w:t>
            </w:r>
          </w:p>
        </w:tc>
        <w:tc>
          <w:tcPr>
            <w:tcW w:w="3215" w:type="dxa"/>
            <w:vAlign w:val="center"/>
          </w:tcPr>
          <w:p w14:paraId="3C6FD16F">
            <w:pPr>
              <w:pStyle w:val="22"/>
              <w:snapToGrid w:val="0"/>
              <w:jc w:val="center"/>
              <w:rPr>
                <w:rFonts w:hint="eastAsia" w:ascii="宋体" w:hAnsi="宋体" w:eastAsia="宋体" w:cs="宋体"/>
                <w:sz w:val="21"/>
                <w:szCs w:val="21"/>
              </w:rPr>
            </w:pPr>
            <w:r>
              <w:rPr>
                <w:rFonts w:hint="eastAsia" w:ascii="宋体" w:hAnsi="宋体" w:eastAsia="宋体" w:cs="宋体"/>
                <w:sz w:val="21"/>
                <w:szCs w:val="21"/>
              </w:rPr>
              <w:t>实地调查、GIS网络分析</w:t>
            </w:r>
          </w:p>
        </w:tc>
      </w:tr>
      <w:tr w14:paraId="3B70A0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7" w:type="dxa"/>
            <w:vMerge w:val="continue"/>
            <w:vAlign w:val="center"/>
          </w:tcPr>
          <w:p w14:paraId="5219E22B">
            <w:pPr>
              <w:pStyle w:val="22"/>
              <w:snapToGrid w:val="0"/>
              <w:jc w:val="center"/>
              <w:rPr>
                <w:rFonts w:hint="eastAsia" w:ascii="宋体" w:hAnsi="宋体" w:eastAsia="宋体" w:cs="宋体"/>
                <w:sz w:val="21"/>
                <w:szCs w:val="21"/>
              </w:rPr>
            </w:pPr>
          </w:p>
        </w:tc>
        <w:tc>
          <w:tcPr>
            <w:tcW w:w="4286" w:type="dxa"/>
            <w:vAlign w:val="center"/>
          </w:tcPr>
          <w:p w14:paraId="46067D10">
            <w:pPr>
              <w:pStyle w:val="22"/>
              <w:snapToGrid w:val="0"/>
              <w:jc w:val="left"/>
              <w:rPr>
                <w:rFonts w:hint="eastAsia" w:ascii="宋体" w:hAnsi="宋体" w:eastAsia="宋体" w:cs="宋体"/>
                <w:bCs/>
                <w:sz w:val="21"/>
                <w:szCs w:val="21"/>
              </w:rPr>
            </w:pPr>
            <w:r>
              <w:rPr>
                <w:rFonts w:hint="eastAsia" w:ascii="宋体" w:hAnsi="宋体" w:eastAsia="宋体" w:cs="宋体"/>
                <w:bCs/>
                <w:sz w:val="21"/>
                <w:szCs w:val="21"/>
              </w:rPr>
              <w:t>7.2设施完善度</w:t>
            </w:r>
          </w:p>
        </w:tc>
        <w:tc>
          <w:tcPr>
            <w:tcW w:w="3215" w:type="dxa"/>
            <w:vAlign w:val="center"/>
          </w:tcPr>
          <w:p w14:paraId="01F8A8CE">
            <w:pPr>
              <w:pStyle w:val="22"/>
              <w:snapToGrid w:val="0"/>
              <w:jc w:val="center"/>
              <w:rPr>
                <w:rFonts w:hint="eastAsia" w:ascii="宋体" w:hAnsi="宋体" w:eastAsia="宋体" w:cs="宋体"/>
                <w:sz w:val="21"/>
                <w:szCs w:val="21"/>
              </w:rPr>
            </w:pPr>
            <w:r>
              <w:rPr>
                <w:rFonts w:hint="eastAsia" w:ascii="宋体" w:hAnsi="宋体" w:eastAsia="宋体" w:cs="宋体"/>
                <w:sz w:val="21"/>
                <w:szCs w:val="21"/>
              </w:rPr>
              <w:t>实地调查</w:t>
            </w:r>
          </w:p>
        </w:tc>
      </w:tr>
      <w:tr w14:paraId="14D4E9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7" w:type="dxa"/>
            <w:vMerge w:val="continue"/>
            <w:vAlign w:val="center"/>
          </w:tcPr>
          <w:p w14:paraId="7311F3DC">
            <w:pPr>
              <w:pStyle w:val="22"/>
              <w:snapToGrid w:val="0"/>
              <w:jc w:val="center"/>
              <w:rPr>
                <w:rFonts w:hint="eastAsia" w:ascii="宋体" w:hAnsi="宋体" w:eastAsia="宋体" w:cs="宋体"/>
                <w:sz w:val="21"/>
                <w:szCs w:val="21"/>
              </w:rPr>
            </w:pPr>
          </w:p>
        </w:tc>
        <w:tc>
          <w:tcPr>
            <w:tcW w:w="4286" w:type="dxa"/>
            <w:vAlign w:val="center"/>
          </w:tcPr>
          <w:p w14:paraId="12C53397">
            <w:pPr>
              <w:pStyle w:val="22"/>
              <w:snapToGrid w:val="0"/>
              <w:jc w:val="left"/>
              <w:rPr>
                <w:rFonts w:hint="eastAsia" w:ascii="宋体" w:hAnsi="宋体" w:eastAsia="宋体" w:cs="宋体"/>
                <w:bCs/>
                <w:sz w:val="21"/>
                <w:szCs w:val="21"/>
              </w:rPr>
            </w:pPr>
            <w:r>
              <w:rPr>
                <w:rFonts w:hint="eastAsia" w:ascii="宋体" w:hAnsi="宋体" w:eastAsia="宋体" w:cs="宋体"/>
                <w:bCs/>
                <w:sz w:val="21"/>
                <w:szCs w:val="21"/>
              </w:rPr>
              <w:t>7.3无障碍设施建设率</w:t>
            </w:r>
          </w:p>
        </w:tc>
        <w:tc>
          <w:tcPr>
            <w:tcW w:w="3215" w:type="dxa"/>
            <w:vAlign w:val="center"/>
          </w:tcPr>
          <w:p w14:paraId="3258D44A">
            <w:pPr>
              <w:pStyle w:val="22"/>
              <w:snapToGrid w:val="0"/>
              <w:jc w:val="center"/>
              <w:rPr>
                <w:rFonts w:hint="eastAsia" w:ascii="宋体" w:hAnsi="宋体" w:eastAsia="宋体" w:cs="宋体"/>
                <w:sz w:val="21"/>
                <w:szCs w:val="21"/>
              </w:rPr>
            </w:pPr>
            <w:r>
              <w:rPr>
                <w:rFonts w:hint="eastAsia" w:ascii="宋体" w:hAnsi="宋体" w:eastAsia="宋体" w:cs="宋体"/>
                <w:sz w:val="21"/>
                <w:szCs w:val="21"/>
              </w:rPr>
              <w:t>实地调查</w:t>
            </w:r>
          </w:p>
        </w:tc>
      </w:tr>
      <w:tr w14:paraId="27DF6F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7" w:type="dxa"/>
            <w:vMerge w:val="continue"/>
            <w:vAlign w:val="center"/>
          </w:tcPr>
          <w:p w14:paraId="52B2602F">
            <w:pPr>
              <w:pStyle w:val="22"/>
              <w:snapToGrid w:val="0"/>
              <w:jc w:val="center"/>
              <w:rPr>
                <w:rFonts w:hint="eastAsia" w:ascii="宋体" w:hAnsi="宋体" w:eastAsia="宋体" w:cs="宋体"/>
                <w:sz w:val="21"/>
                <w:szCs w:val="21"/>
              </w:rPr>
            </w:pPr>
          </w:p>
        </w:tc>
        <w:tc>
          <w:tcPr>
            <w:tcW w:w="4286" w:type="dxa"/>
            <w:vAlign w:val="center"/>
          </w:tcPr>
          <w:p w14:paraId="2020C477">
            <w:pPr>
              <w:pStyle w:val="22"/>
              <w:snapToGrid w:val="0"/>
              <w:jc w:val="left"/>
              <w:rPr>
                <w:rFonts w:hint="eastAsia" w:ascii="宋体" w:hAnsi="宋体" w:eastAsia="宋体" w:cs="宋体"/>
                <w:bCs/>
                <w:sz w:val="21"/>
                <w:szCs w:val="21"/>
              </w:rPr>
            </w:pPr>
            <w:r>
              <w:rPr>
                <w:rFonts w:hint="eastAsia" w:ascii="宋体" w:hAnsi="宋体" w:eastAsia="宋体" w:cs="宋体"/>
                <w:bCs/>
                <w:sz w:val="21"/>
                <w:szCs w:val="21"/>
              </w:rPr>
              <w:t>7.4生态教育设施步行覆盖率</w:t>
            </w:r>
          </w:p>
        </w:tc>
        <w:tc>
          <w:tcPr>
            <w:tcW w:w="3215" w:type="dxa"/>
            <w:vAlign w:val="center"/>
          </w:tcPr>
          <w:p w14:paraId="241DD775">
            <w:pPr>
              <w:pStyle w:val="22"/>
              <w:snapToGrid w:val="0"/>
              <w:jc w:val="center"/>
              <w:rPr>
                <w:rFonts w:hint="eastAsia" w:ascii="宋体" w:hAnsi="宋体" w:eastAsia="宋体" w:cs="宋体"/>
                <w:sz w:val="21"/>
                <w:szCs w:val="21"/>
              </w:rPr>
            </w:pPr>
            <w:r>
              <w:rPr>
                <w:rFonts w:hint="eastAsia" w:ascii="宋体" w:hAnsi="宋体" w:eastAsia="宋体" w:cs="宋体"/>
                <w:sz w:val="21"/>
                <w:szCs w:val="21"/>
              </w:rPr>
              <w:t>实地调查</w:t>
            </w:r>
          </w:p>
        </w:tc>
      </w:tr>
      <w:bookmarkEnd w:id="22"/>
      <w:bookmarkEnd w:id="23"/>
    </w:tbl>
    <w:p w14:paraId="7034DB6D">
      <w:pPr>
        <w:rPr>
          <w:lang w:val="zh-CN"/>
        </w:rPr>
      </w:pPr>
    </w:p>
    <w:p w14:paraId="47555A9E">
      <w:pPr>
        <w:pStyle w:val="3"/>
        <w:spacing w:before="156" w:after="156"/>
      </w:pPr>
      <w:bookmarkStart w:id="24" w:name="_Toc220593717"/>
      <w:r>
        <w:rPr>
          <w:rFonts w:hint="eastAsia"/>
        </w:rPr>
        <w:t>4</w:t>
      </w:r>
      <w:r>
        <w:t xml:space="preserve">.2 </w:t>
      </w:r>
      <w:r>
        <w:rPr>
          <w:rFonts w:hint="eastAsia"/>
        </w:rPr>
        <w:t>生态评估计算方法</w:t>
      </w:r>
      <w:bookmarkEnd w:id="24"/>
    </w:p>
    <w:p w14:paraId="30915DBD">
      <w:pPr>
        <w:ind w:firstLine="560" w:firstLineChars="200"/>
        <w:rPr>
          <w:rFonts w:ascii="宋体" w:hAnsi="宋体"/>
          <w:sz w:val="28"/>
          <w:szCs w:val="28"/>
          <w:lang w:val="zh-CN"/>
        </w:rPr>
      </w:pPr>
      <w:r>
        <w:rPr>
          <w:rFonts w:hint="eastAsia" w:ascii="宋体" w:hAnsi="宋体"/>
          <w:sz w:val="28"/>
          <w:szCs w:val="28"/>
          <w:lang w:val="zh-CN"/>
        </w:rPr>
        <w:t>生态评估指数是基于生态指标建立的评价方法。</w:t>
      </w:r>
    </w:p>
    <w:p w14:paraId="445B7E29">
      <w:pPr>
        <w:rPr>
          <w:rFonts w:ascii="宋体" w:hAnsi="宋体"/>
          <w:sz w:val="28"/>
          <w:szCs w:val="28"/>
          <w:lang w:val="zh-CN"/>
        </w:rPr>
      </w:pPr>
      <m:oMathPara>
        <m:oMath>
          <m:r>
            <m:rPr>
              <m:sty m:val="p"/>
            </m:rPr>
            <w:rPr>
              <w:rFonts w:ascii="Cambria Math" w:hAnsi="Cambria Math"/>
              <w:sz w:val="28"/>
              <w:szCs w:val="28"/>
              <w:lang w:val="zh-CN"/>
            </w:rPr>
            <m:t>E=</m:t>
          </m:r>
          <m:f>
            <m:fPr>
              <m:ctrlPr>
                <w:rPr>
                  <w:rFonts w:ascii="Cambria Math" w:hAnsi="Cambria Math"/>
                  <w:sz w:val="28"/>
                  <w:szCs w:val="28"/>
                  <w:lang w:val="zh-CN"/>
                </w:rPr>
              </m:ctrlPr>
            </m:fPr>
            <m:num>
              <m:nary>
                <m:naryPr>
                  <m:chr m:val="∑"/>
                  <m:limLoc m:val="undOvr"/>
                  <m:ctrlPr>
                    <w:rPr>
                      <w:rFonts w:ascii="Cambria Math" w:hAnsi="Cambria Math"/>
                      <w:sz w:val="28"/>
                      <w:szCs w:val="28"/>
                      <w:lang w:val="zh-CN"/>
                    </w:rPr>
                  </m:ctrlPr>
                </m:naryPr>
                <m:sub>
                  <m:r>
                    <m:rPr/>
                    <w:rPr>
                      <w:rFonts w:hint="eastAsia" w:ascii="Cambria Math" w:hAnsi="Cambria Math"/>
                      <w:sz w:val="28"/>
                      <w:szCs w:val="28"/>
                      <w:lang w:val="zh-CN"/>
                    </w:rPr>
                    <m:t>i</m:t>
                  </m:r>
                  <m:r>
                    <m:rPr/>
                    <w:rPr>
                      <w:rFonts w:ascii="Cambria Math" w:hAnsi="Cambria Math"/>
                      <w:sz w:val="28"/>
                      <w:szCs w:val="28"/>
                      <w:lang w:val="zh-CN"/>
                    </w:rPr>
                    <m:t>=1</m:t>
                  </m:r>
                  <m:ctrlPr>
                    <w:rPr>
                      <w:rFonts w:ascii="Cambria Math" w:hAnsi="Cambria Math"/>
                      <w:sz w:val="28"/>
                      <w:szCs w:val="28"/>
                      <w:lang w:val="zh-CN"/>
                    </w:rPr>
                  </m:ctrlPr>
                </m:sub>
                <m:sup>
                  <m:r>
                    <m:rPr/>
                    <w:rPr>
                      <w:rFonts w:hint="eastAsia" w:ascii="Cambria Math" w:hAnsi="Cambria Math"/>
                      <w:sz w:val="28"/>
                      <w:szCs w:val="28"/>
                      <w:lang w:val="zh-CN"/>
                    </w:rPr>
                    <m:t>n</m:t>
                  </m:r>
                  <m:ctrlPr>
                    <w:rPr>
                      <w:rFonts w:ascii="Cambria Math" w:hAnsi="Cambria Math"/>
                      <w:sz w:val="28"/>
                      <w:szCs w:val="28"/>
                      <w:lang w:val="zh-CN"/>
                    </w:rPr>
                  </m:ctrlPr>
                </m:sup>
                <m:e>
                  <m:sSub>
                    <m:sSubPr>
                      <m:ctrlPr>
                        <w:rPr>
                          <w:rFonts w:ascii="Cambria Math" w:hAnsi="Cambria Math"/>
                          <w:sz w:val="28"/>
                          <w:szCs w:val="28"/>
                          <w:lang w:val="zh-CN"/>
                        </w:rPr>
                      </m:ctrlPr>
                    </m:sSubPr>
                    <m:e>
                      <m:r>
                        <m:rPr/>
                        <w:rPr>
                          <w:rFonts w:ascii="Cambria Math" w:hAnsi="Cambria Math"/>
                          <w:sz w:val="28"/>
                          <w:szCs w:val="28"/>
                          <w:lang w:val="zh-CN"/>
                        </w:rPr>
                        <m:t>Q</m:t>
                      </m:r>
                      <m:ctrlPr>
                        <w:rPr>
                          <w:rFonts w:ascii="Cambria Math" w:hAnsi="Cambria Math"/>
                          <w:sz w:val="28"/>
                          <w:szCs w:val="28"/>
                          <w:lang w:val="zh-CN"/>
                        </w:rPr>
                      </m:ctrlPr>
                    </m:e>
                    <m:sub>
                      <m:r>
                        <m:rPr/>
                        <w:rPr>
                          <w:rFonts w:hint="eastAsia" w:ascii="Cambria Math" w:hAnsi="Cambria Math"/>
                          <w:sz w:val="28"/>
                          <w:szCs w:val="28"/>
                          <w:lang w:val="zh-CN"/>
                        </w:rPr>
                        <m:t>i</m:t>
                      </m:r>
                      <m:ctrlPr>
                        <w:rPr>
                          <w:rFonts w:ascii="Cambria Math" w:hAnsi="Cambria Math"/>
                          <w:sz w:val="28"/>
                          <w:szCs w:val="28"/>
                          <w:lang w:val="zh-CN"/>
                        </w:rPr>
                      </m:ctrlPr>
                    </m:sub>
                  </m:sSub>
                  <m:ctrlPr>
                    <w:rPr>
                      <w:rFonts w:ascii="Cambria Math" w:hAnsi="Cambria Math"/>
                      <w:sz w:val="28"/>
                      <w:szCs w:val="28"/>
                      <w:lang w:val="zh-CN"/>
                    </w:rPr>
                  </m:ctrlPr>
                </m:e>
              </m:nary>
              <m:ctrlPr>
                <w:rPr>
                  <w:rFonts w:ascii="Cambria Math" w:hAnsi="Cambria Math"/>
                  <w:sz w:val="28"/>
                  <w:szCs w:val="28"/>
                  <w:lang w:val="zh-CN"/>
                </w:rPr>
              </m:ctrlPr>
            </m:num>
            <m:den>
              <m:r>
                <m:rPr/>
                <w:rPr>
                  <w:rFonts w:hint="eastAsia" w:ascii="Cambria Math" w:hAnsi="Cambria Math"/>
                  <w:sz w:val="28"/>
                  <w:szCs w:val="28"/>
                  <w:lang w:val="zh-CN"/>
                </w:rPr>
                <m:t>n</m:t>
              </m:r>
              <m:ctrlPr>
                <w:rPr>
                  <w:rFonts w:ascii="Cambria Math" w:hAnsi="Cambria Math"/>
                  <w:sz w:val="28"/>
                  <w:szCs w:val="28"/>
                  <w:lang w:val="zh-CN"/>
                </w:rPr>
              </m:ctrlPr>
            </m:den>
          </m:f>
          <m:r>
            <m:rPr/>
            <w:rPr>
              <w:rFonts w:ascii="Cambria Math" w:hAnsi="Cambria Math"/>
              <w:sz w:val="28"/>
              <w:szCs w:val="28"/>
              <w:lang w:val="zh-CN"/>
            </w:rPr>
            <m:t>×α</m:t>
          </m:r>
        </m:oMath>
      </m:oMathPara>
    </w:p>
    <w:p w14:paraId="39F6DCC2">
      <w:pPr>
        <w:ind w:firstLine="560" w:firstLineChars="200"/>
        <w:rPr>
          <w:rFonts w:ascii="宋体" w:hAnsi="宋体"/>
          <w:sz w:val="28"/>
          <w:szCs w:val="28"/>
          <w:lang w:val="zh-CN"/>
        </w:rPr>
      </w:pPr>
      <m:oMath>
        <m:r>
          <m:rPr>
            <m:sty m:val="p"/>
          </m:rPr>
          <w:rPr>
            <w:rFonts w:ascii="Cambria Math" w:hAnsi="Cambria Math"/>
            <w:sz w:val="28"/>
            <w:szCs w:val="28"/>
            <w:lang w:val="zh-CN"/>
          </w:rPr>
          <m:t>E</m:t>
        </m:r>
      </m:oMath>
      <w:r>
        <w:rPr>
          <w:rFonts w:hint="eastAsia" w:ascii="宋体" w:hAnsi="宋体"/>
          <w:sz w:val="28"/>
          <w:szCs w:val="28"/>
          <w:lang w:val="zh-CN"/>
        </w:rPr>
        <w:t xml:space="preserve"> 是生态评估指数；</w:t>
      </w:r>
    </w:p>
    <w:p w14:paraId="167E30EC">
      <w:pPr>
        <w:ind w:firstLine="560" w:firstLineChars="200"/>
        <w:rPr>
          <w:rFonts w:ascii="宋体" w:hAnsi="宋体"/>
          <w:sz w:val="28"/>
          <w:szCs w:val="28"/>
          <w:lang w:val="zh-CN"/>
        </w:rPr>
      </w:pPr>
      <m:oMath>
        <m:r>
          <m:rPr/>
          <w:rPr>
            <w:rFonts w:hint="eastAsia" w:ascii="Cambria Math" w:hAnsi="Cambria Math"/>
            <w:sz w:val="28"/>
            <w:szCs w:val="28"/>
            <w:lang w:val="zh-CN"/>
          </w:rPr>
          <m:t>i</m:t>
        </m:r>
      </m:oMath>
      <w:r>
        <w:rPr>
          <w:rFonts w:hint="eastAsia" w:ascii="宋体" w:hAnsi="宋体"/>
          <w:sz w:val="28"/>
          <w:szCs w:val="28"/>
          <w:lang w:val="zh-CN"/>
        </w:rPr>
        <w:t>为指标的序号；</w:t>
      </w:r>
    </w:p>
    <w:p w14:paraId="44DBF504">
      <w:pPr>
        <w:ind w:firstLine="560" w:firstLineChars="200"/>
        <w:rPr>
          <w:rFonts w:ascii="宋体" w:hAnsi="宋体"/>
          <w:sz w:val="28"/>
          <w:szCs w:val="28"/>
          <w:lang w:val="zh-CN"/>
        </w:rPr>
      </w:pPr>
      <m:oMath>
        <m:r>
          <m:rPr/>
          <w:rPr>
            <w:rFonts w:hint="eastAsia" w:ascii="Cambria Math" w:hAnsi="Cambria Math"/>
            <w:sz w:val="28"/>
            <w:szCs w:val="28"/>
            <w:lang w:val="zh-CN"/>
          </w:rPr>
          <m:t>n</m:t>
        </m:r>
      </m:oMath>
      <w:r>
        <w:rPr>
          <w:rFonts w:hint="eastAsia" w:ascii="宋体" w:hAnsi="宋体"/>
          <w:sz w:val="28"/>
          <w:szCs w:val="28"/>
          <w:lang w:val="zh-CN"/>
        </w:rPr>
        <w:t>为评估指标个数；</w:t>
      </w:r>
    </w:p>
    <w:p w14:paraId="2DFA65EA">
      <w:pPr>
        <w:ind w:firstLine="560" w:firstLineChars="200"/>
        <w:rPr>
          <w:rFonts w:ascii="宋体" w:hAnsi="宋体"/>
          <w:sz w:val="28"/>
          <w:szCs w:val="28"/>
          <w:lang w:val="zh-CN"/>
        </w:rPr>
      </w:pPr>
      <m:oMath>
        <m:sSub>
          <m:sSubPr>
            <m:ctrlPr>
              <w:rPr>
                <w:rFonts w:ascii="Cambria Math" w:hAnsi="Cambria Math"/>
                <w:sz w:val="28"/>
                <w:szCs w:val="28"/>
                <w:lang w:val="zh-CN"/>
              </w:rPr>
            </m:ctrlPr>
          </m:sSubPr>
          <m:e>
            <m:r>
              <m:rPr/>
              <w:rPr>
                <w:rFonts w:ascii="Cambria Math" w:hAnsi="Cambria Math"/>
                <w:sz w:val="28"/>
                <w:szCs w:val="28"/>
                <w:lang w:val="zh-CN"/>
              </w:rPr>
              <m:t>Q</m:t>
            </m:r>
            <m:ctrlPr>
              <w:rPr>
                <w:rFonts w:ascii="Cambria Math" w:hAnsi="Cambria Math"/>
                <w:sz w:val="28"/>
                <w:szCs w:val="28"/>
                <w:lang w:val="zh-CN"/>
              </w:rPr>
            </m:ctrlPr>
          </m:e>
          <m:sub>
            <m:r>
              <m:rPr/>
              <w:rPr>
                <w:rFonts w:hint="eastAsia" w:ascii="Cambria Math" w:hAnsi="Cambria Math"/>
                <w:sz w:val="28"/>
                <w:szCs w:val="28"/>
                <w:lang w:val="zh-CN"/>
              </w:rPr>
              <m:t>i</m:t>
            </m:r>
            <m:ctrlPr>
              <w:rPr>
                <w:rFonts w:ascii="Cambria Math" w:hAnsi="Cambria Math"/>
                <w:sz w:val="28"/>
                <w:szCs w:val="28"/>
                <w:lang w:val="zh-CN"/>
              </w:rPr>
            </m:ctrlPr>
          </m:sub>
        </m:sSub>
      </m:oMath>
      <w:r>
        <w:rPr>
          <w:rFonts w:hint="eastAsia" w:ascii="宋体" w:hAnsi="宋体"/>
          <w:sz w:val="28"/>
          <w:szCs w:val="28"/>
          <w:lang w:val="zh-CN"/>
        </w:rPr>
        <w:t>是第</w:t>
      </w:r>
      <m:oMath>
        <m:r>
          <m:rPr/>
          <w:rPr>
            <w:rFonts w:hint="eastAsia" w:ascii="Cambria Math" w:hAnsi="Cambria Math"/>
            <w:sz w:val="28"/>
            <w:szCs w:val="28"/>
            <w:lang w:val="zh-CN"/>
          </w:rPr>
          <m:t>i</m:t>
        </m:r>
      </m:oMath>
      <w:r>
        <w:rPr>
          <w:rFonts w:hint="eastAsia" w:ascii="宋体" w:hAnsi="宋体"/>
          <w:sz w:val="28"/>
          <w:szCs w:val="28"/>
          <w:lang w:val="zh-CN"/>
        </w:rPr>
        <w:t>项生态指标分级值，指标核算方法和指标分级见附录</w:t>
      </w:r>
      <w:r>
        <w:rPr>
          <w:rFonts w:ascii="宋体" w:hAnsi="宋体"/>
          <w:sz w:val="28"/>
          <w:szCs w:val="28"/>
          <w:lang w:val="zh-CN"/>
        </w:rPr>
        <w:t>A</w:t>
      </w:r>
      <w:r>
        <w:rPr>
          <w:rFonts w:hint="eastAsia" w:ascii="宋体" w:hAnsi="宋体"/>
          <w:sz w:val="28"/>
          <w:szCs w:val="28"/>
          <w:lang w:val="zh-CN"/>
        </w:rPr>
        <w:t>；</w:t>
      </w:r>
    </w:p>
    <w:p w14:paraId="76CBEC6B">
      <w:pPr>
        <w:ind w:firstLine="560" w:firstLineChars="200"/>
        <w:rPr>
          <w:rFonts w:hint="eastAsia" w:ascii="宋体" w:hAnsi="宋体"/>
          <w:sz w:val="28"/>
          <w:szCs w:val="28"/>
          <w:lang w:val="zh-CN"/>
        </w:rPr>
        <w:sectPr>
          <w:pgSz w:w="11906" w:h="16838"/>
          <w:pgMar w:top="1440" w:right="1797" w:bottom="1440" w:left="1797" w:header="851" w:footer="992" w:gutter="0"/>
          <w:cols w:space="425" w:num="1"/>
          <w:docGrid w:type="lines" w:linePitch="312" w:charSpace="0"/>
        </w:sectPr>
      </w:pPr>
      <m:oMath>
        <m:r>
          <m:rPr/>
          <w:rPr>
            <w:rFonts w:ascii="Cambria Math" w:hAnsi="Cambria Math"/>
            <w:sz w:val="28"/>
            <w:szCs w:val="28"/>
            <w:lang w:val="zh-CN"/>
          </w:rPr>
          <m:t>α</m:t>
        </m:r>
      </m:oMath>
      <w:r>
        <w:rPr>
          <w:rFonts w:hint="eastAsia" w:ascii="宋体" w:hAnsi="宋体"/>
          <w:sz w:val="28"/>
          <w:szCs w:val="28"/>
          <w:lang w:val="zh-CN"/>
        </w:rPr>
        <w:t>为主观评价系数，由附录</w:t>
      </w:r>
      <w:r>
        <w:rPr>
          <w:rFonts w:ascii="宋体" w:hAnsi="宋体"/>
          <w:sz w:val="28"/>
          <w:szCs w:val="28"/>
          <w:lang w:val="zh-CN"/>
        </w:rPr>
        <w:t>D</w:t>
      </w:r>
      <w:r>
        <w:rPr>
          <w:rFonts w:hint="eastAsia" w:ascii="宋体" w:hAnsi="宋体"/>
          <w:sz w:val="28"/>
          <w:szCs w:val="28"/>
          <w:lang w:val="zh-CN"/>
        </w:rPr>
        <w:t>满意度调查结合走访得出，其取值为 0.7、0.8、0.9、1，分别对应一般、满意、比较满意、非常满意的评价等级。</w:t>
      </w:r>
    </w:p>
    <w:p w14:paraId="4DAC5B18">
      <w:pPr>
        <w:pStyle w:val="2"/>
        <w:spacing w:before="312" w:beforeLines="100" w:after="312" w:afterLines="100" w:line="520" w:lineRule="exact"/>
        <w:jc w:val="center"/>
        <w:rPr>
          <w:rFonts w:ascii="黑体" w:hAnsi="黑体" w:eastAsia="黑体"/>
          <w:bCs w:val="0"/>
          <w:sz w:val="30"/>
          <w:szCs w:val="22"/>
          <w:lang w:val="zh-CN"/>
        </w:rPr>
      </w:pPr>
      <w:bookmarkStart w:id="25" w:name="_Toc220593718"/>
      <w:r>
        <w:rPr>
          <w:rFonts w:hint="eastAsia" w:ascii="黑体" w:hAnsi="黑体" w:eastAsia="黑体"/>
          <w:bCs w:val="0"/>
          <w:sz w:val="30"/>
          <w:szCs w:val="22"/>
          <w:lang w:val="zh-CN"/>
        </w:rPr>
        <w:t>5 评估方法与流程</w:t>
      </w:r>
      <w:bookmarkEnd w:id="25"/>
    </w:p>
    <w:p w14:paraId="2058AD6A">
      <w:pPr>
        <w:pStyle w:val="3"/>
        <w:spacing w:before="156" w:after="156"/>
      </w:pPr>
      <w:bookmarkStart w:id="26" w:name="_Toc220593719"/>
      <w:r>
        <w:rPr>
          <w:rFonts w:hint="eastAsia"/>
        </w:rPr>
        <w:t>5.1 数据采集和处理</w:t>
      </w:r>
      <w:bookmarkEnd w:id="26"/>
    </w:p>
    <w:p w14:paraId="5C7BE9F6">
      <w:pPr>
        <w:ind w:firstLine="560" w:firstLineChars="200"/>
        <w:rPr>
          <w:sz w:val="28"/>
          <w:szCs w:val="28"/>
          <w:lang w:val="zh-CN"/>
        </w:rPr>
      </w:pPr>
      <w:r>
        <w:rPr>
          <w:rFonts w:hint="eastAsia"/>
          <w:sz w:val="28"/>
          <w:szCs w:val="28"/>
          <w:lang w:val="zh-CN"/>
        </w:rPr>
        <w:t>社区宜定期、系统的收集生态评估指标的原始数据，保证数据的可靠性，确保数据满足评估质量的要求。</w:t>
      </w:r>
    </w:p>
    <w:p w14:paraId="346F5293">
      <w:pPr>
        <w:ind w:firstLine="560" w:firstLineChars="200"/>
        <w:rPr>
          <w:sz w:val="28"/>
          <w:szCs w:val="28"/>
          <w:lang w:val="zh-CN"/>
        </w:rPr>
      </w:pPr>
      <w:r>
        <w:rPr>
          <w:rFonts w:hint="eastAsia"/>
          <w:sz w:val="28"/>
          <w:szCs w:val="28"/>
          <w:lang w:val="zh-CN"/>
        </w:rPr>
        <w:t>生态评估指标的原始数据包括气象环境数据、物理环境数据、生态基底数据和其他数据，获取途径如下：</w:t>
      </w:r>
    </w:p>
    <w:p w14:paraId="1BE95C85">
      <w:pPr>
        <w:ind w:firstLine="560" w:firstLineChars="200"/>
        <w:rPr>
          <w:sz w:val="28"/>
          <w:szCs w:val="28"/>
          <w:lang w:val="zh-CN"/>
        </w:rPr>
      </w:pPr>
      <w:r>
        <w:rPr>
          <w:rFonts w:hint="eastAsia"/>
          <w:sz w:val="28"/>
          <w:szCs w:val="28"/>
          <w:lang w:val="zh-CN"/>
        </w:rPr>
        <w:t>——遥感监测（包括无人机遥感、激光雷达等）</w:t>
      </w:r>
    </w:p>
    <w:p w14:paraId="5D4D10D8">
      <w:pPr>
        <w:ind w:firstLine="560" w:firstLineChars="200"/>
        <w:rPr>
          <w:sz w:val="28"/>
          <w:szCs w:val="28"/>
          <w:lang w:val="zh-CN"/>
        </w:rPr>
      </w:pPr>
      <w:r>
        <w:rPr>
          <w:rFonts w:hint="eastAsia"/>
          <w:sz w:val="28"/>
          <w:szCs w:val="28"/>
          <w:lang w:val="zh-CN"/>
        </w:rPr>
        <w:t>——实地监测与测量</w:t>
      </w:r>
    </w:p>
    <w:p w14:paraId="73B9172B">
      <w:pPr>
        <w:ind w:firstLine="560" w:firstLineChars="200"/>
        <w:rPr>
          <w:sz w:val="28"/>
          <w:szCs w:val="28"/>
          <w:lang w:val="zh-CN"/>
        </w:rPr>
      </w:pPr>
      <w:r>
        <w:rPr>
          <w:rFonts w:hint="eastAsia"/>
          <w:sz w:val="28"/>
          <w:szCs w:val="28"/>
          <w:lang w:val="zh-CN"/>
        </w:rPr>
        <w:t>——统计数据</w:t>
      </w:r>
    </w:p>
    <w:p w14:paraId="0F043309">
      <w:pPr>
        <w:ind w:firstLine="560" w:firstLineChars="200"/>
        <w:rPr>
          <w:sz w:val="28"/>
          <w:szCs w:val="28"/>
          <w:lang w:val="zh-CN"/>
        </w:rPr>
      </w:pPr>
      <w:r>
        <w:rPr>
          <w:rFonts w:hint="eastAsia"/>
          <w:sz w:val="28"/>
          <w:szCs w:val="28"/>
          <w:lang w:val="zh-CN"/>
        </w:rPr>
        <w:t>——报告与文件</w:t>
      </w:r>
    </w:p>
    <w:p w14:paraId="1C772272">
      <w:pPr>
        <w:ind w:firstLine="560" w:firstLineChars="200"/>
        <w:rPr>
          <w:sz w:val="28"/>
          <w:szCs w:val="28"/>
          <w:lang w:val="zh-CN"/>
        </w:rPr>
      </w:pPr>
      <w:r>
        <w:rPr>
          <w:rFonts w:hint="eastAsia"/>
          <w:sz w:val="28"/>
          <w:szCs w:val="28"/>
          <w:lang w:val="zh-CN"/>
        </w:rPr>
        <w:t>——其他相关资料调研</w:t>
      </w:r>
    </w:p>
    <w:p w14:paraId="00C57ECF">
      <w:pPr>
        <w:rPr>
          <w:sz w:val="28"/>
          <w:szCs w:val="28"/>
          <w:lang w:val="zh-CN"/>
        </w:rPr>
      </w:pPr>
      <w:r>
        <w:rPr>
          <w:rFonts w:hint="eastAsia"/>
          <w:sz w:val="28"/>
          <w:szCs w:val="28"/>
          <w:lang w:val="zh-CN"/>
        </w:rPr>
        <w:t>基础数据指标与获取来源见附录</w:t>
      </w:r>
      <w:r>
        <w:rPr>
          <w:sz w:val="28"/>
          <w:szCs w:val="28"/>
          <w:lang w:val="zh-CN"/>
        </w:rPr>
        <w:t>B</w:t>
      </w:r>
      <w:r>
        <w:rPr>
          <w:rFonts w:hint="eastAsia"/>
          <w:sz w:val="28"/>
          <w:szCs w:val="28"/>
          <w:lang w:val="zh-CN"/>
        </w:rPr>
        <w:t>。</w:t>
      </w:r>
    </w:p>
    <w:p w14:paraId="0A7BEE2B">
      <w:pPr>
        <w:pStyle w:val="3"/>
        <w:spacing w:before="156" w:after="156"/>
      </w:pPr>
      <w:bookmarkStart w:id="27" w:name="_Toc220593720"/>
      <w:r>
        <w:t xml:space="preserve">5.2 </w:t>
      </w:r>
      <w:r>
        <w:rPr>
          <w:rFonts w:hint="eastAsia"/>
        </w:rPr>
        <w:t>评估等级划分</w:t>
      </w:r>
      <w:bookmarkEnd w:id="27"/>
    </w:p>
    <w:p w14:paraId="4F6C98EC">
      <w:pPr>
        <w:spacing w:after="156" w:afterLines="50" w:line="480" w:lineRule="exact"/>
        <w:outlineLvl w:val="2"/>
        <w:rPr>
          <w:sz w:val="28"/>
          <w:szCs w:val="28"/>
        </w:rPr>
      </w:pPr>
      <w:bookmarkStart w:id="28" w:name="_Toc193724573"/>
      <w:r>
        <w:rPr>
          <w:sz w:val="28"/>
          <w:szCs w:val="28"/>
        </w:rPr>
        <w:t xml:space="preserve">5.2.1 </w:t>
      </w:r>
      <w:r>
        <w:rPr>
          <w:rFonts w:hint="eastAsia"/>
          <w:sz w:val="28"/>
          <w:szCs w:val="28"/>
        </w:rPr>
        <w:t>社区生态评估应按照评估指标依次进行，并通过对评估结果的整理分析和综合判断，给出社区的生态功能等级。</w:t>
      </w:r>
      <w:bookmarkEnd w:id="28"/>
    </w:p>
    <w:p w14:paraId="14338382">
      <w:pPr>
        <w:spacing w:after="156" w:afterLines="50" w:line="480" w:lineRule="exact"/>
        <w:outlineLvl w:val="2"/>
        <w:rPr>
          <w:sz w:val="28"/>
          <w:szCs w:val="28"/>
        </w:rPr>
      </w:pPr>
      <w:bookmarkStart w:id="29" w:name="_Toc193724574"/>
      <w:r>
        <w:rPr>
          <w:sz w:val="28"/>
          <w:szCs w:val="28"/>
        </w:rPr>
        <w:t>5.2.2</w:t>
      </w:r>
      <w:bookmarkEnd w:id="29"/>
      <w:r>
        <w:rPr>
          <w:sz w:val="28"/>
          <w:szCs w:val="28"/>
        </w:rPr>
        <w:t xml:space="preserve"> </w:t>
      </w:r>
      <w:r>
        <w:rPr>
          <w:rFonts w:hint="eastAsia"/>
          <w:sz w:val="28"/>
          <w:szCs w:val="28"/>
        </w:rPr>
        <w:t>根据评价结果出具评价报告，确定评价等级，见表1。</w:t>
      </w:r>
    </w:p>
    <w:p w14:paraId="1748C9AD">
      <w:pPr>
        <w:snapToGrid w:val="0"/>
        <w:spacing w:after="156" w:afterLines="50"/>
        <w:jc w:val="center"/>
        <w:rPr>
          <w:b/>
          <w:sz w:val="24"/>
          <w:szCs w:val="28"/>
        </w:rPr>
      </w:pPr>
      <w:r>
        <w:rPr>
          <w:rFonts w:hint="eastAsia"/>
          <w:b/>
          <w:sz w:val="24"/>
          <w:szCs w:val="28"/>
        </w:rPr>
        <w:t>表1 城市社区生态等级划分</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4110"/>
        <w:gridCol w:w="3198"/>
      </w:tblGrid>
      <w:tr w14:paraId="3A15B9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88" w:type="dxa"/>
            <w:vAlign w:val="center"/>
          </w:tcPr>
          <w:p w14:paraId="5E6DB535">
            <w:pPr>
              <w:pStyle w:val="22"/>
              <w:snapToGrid w:val="0"/>
              <w:jc w:val="center"/>
              <w:rPr>
                <w:rFonts w:ascii="宋体" w:hAnsi="宋体" w:eastAsia="宋体"/>
                <w:sz w:val="21"/>
                <w:szCs w:val="21"/>
              </w:rPr>
            </w:pPr>
            <w:r>
              <w:rPr>
                <w:rFonts w:hint="eastAsia" w:ascii="宋体" w:hAnsi="宋体" w:eastAsia="宋体"/>
                <w:sz w:val="21"/>
                <w:szCs w:val="21"/>
              </w:rPr>
              <w:t>级别</w:t>
            </w:r>
          </w:p>
        </w:tc>
        <w:tc>
          <w:tcPr>
            <w:tcW w:w="4110" w:type="dxa"/>
            <w:vAlign w:val="center"/>
          </w:tcPr>
          <w:p w14:paraId="31CD9769">
            <w:pPr>
              <w:pStyle w:val="22"/>
              <w:snapToGrid w:val="0"/>
              <w:jc w:val="center"/>
              <w:rPr>
                <w:rFonts w:ascii="宋体" w:hAnsi="宋体" w:eastAsia="宋体"/>
                <w:sz w:val="21"/>
                <w:szCs w:val="21"/>
              </w:rPr>
            </w:pPr>
            <w:r>
              <w:rPr>
                <w:rFonts w:hint="eastAsia" w:ascii="宋体" w:hAnsi="宋体" w:eastAsia="宋体"/>
                <w:sz w:val="21"/>
                <w:szCs w:val="21"/>
              </w:rPr>
              <w:t>划分依据</w:t>
            </w:r>
          </w:p>
        </w:tc>
        <w:tc>
          <w:tcPr>
            <w:tcW w:w="3198" w:type="dxa"/>
            <w:vAlign w:val="center"/>
          </w:tcPr>
          <w:p w14:paraId="373652DD">
            <w:pPr>
              <w:pStyle w:val="22"/>
              <w:snapToGrid w:val="0"/>
              <w:jc w:val="center"/>
              <w:rPr>
                <w:rFonts w:ascii="宋体" w:hAnsi="宋体" w:eastAsia="宋体"/>
                <w:sz w:val="21"/>
                <w:szCs w:val="21"/>
              </w:rPr>
            </w:pPr>
            <w:r>
              <w:rPr>
                <w:rFonts w:hint="eastAsia" w:ascii="宋体" w:hAnsi="宋体" w:eastAsia="宋体"/>
                <w:sz w:val="21"/>
                <w:szCs w:val="21"/>
              </w:rPr>
              <w:t>要求</w:t>
            </w:r>
          </w:p>
        </w:tc>
      </w:tr>
      <w:tr w14:paraId="0C744D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88" w:type="dxa"/>
            <w:vAlign w:val="center"/>
          </w:tcPr>
          <w:p w14:paraId="6E6F06AF">
            <w:pPr>
              <w:pStyle w:val="22"/>
              <w:snapToGrid w:val="0"/>
              <w:jc w:val="center"/>
              <w:rPr>
                <w:rFonts w:ascii="宋体" w:hAnsi="宋体" w:eastAsia="宋体"/>
                <w:sz w:val="21"/>
                <w:szCs w:val="21"/>
              </w:rPr>
            </w:pPr>
            <w:r>
              <w:rPr>
                <w:rFonts w:hint="eastAsia" w:ascii="宋体" w:hAnsi="宋体" w:eastAsia="宋体"/>
                <w:sz w:val="21"/>
                <w:szCs w:val="21"/>
              </w:rPr>
              <w:t>Ⅰ</w:t>
            </w:r>
          </w:p>
        </w:tc>
        <w:tc>
          <w:tcPr>
            <w:tcW w:w="4110" w:type="dxa"/>
            <w:vAlign w:val="center"/>
          </w:tcPr>
          <w:p w14:paraId="34605F03">
            <w:pPr>
              <w:pStyle w:val="22"/>
              <w:snapToGrid w:val="0"/>
              <w:jc w:val="center"/>
              <w:rPr>
                <w:rFonts w:ascii="宋体" w:hAnsi="宋体" w:eastAsia="宋体"/>
                <w:color w:val="262626" w:themeColor="text1" w:themeTint="D9"/>
                <w:sz w:val="21"/>
                <w:szCs w:val="21"/>
                <w14:textFill>
                  <w14:solidFill>
                    <w14:schemeClr w14:val="tx1">
                      <w14:lumMod w14:val="85000"/>
                      <w14:lumOff w14:val="15000"/>
                    </w14:schemeClr>
                  </w14:solidFill>
                </w14:textFill>
              </w:rPr>
            </w:pPr>
            <w:r>
              <w:rPr>
                <w:rFonts w:hint="eastAsia" w:ascii="宋体" w:hAnsi="宋体" w:eastAsia="宋体"/>
                <w:color w:val="262626" w:themeColor="text1" w:themeTint="D9"/>
                <w:sz w:val="21"/>
                <w:szCs w:val="21"/>
                <w14:textFill>
                  <w14:solidFill>
                    <w14:schemeClr w14:val="tx1">
                      <w14:lumMod w14:val="85000"/>
                      <w14:lumOff w14:val="15000"/>
                    </w14:schemeClr>
                  </w14:solidFill>
                </w14:textFill>
              </w:rPr>
              <w:t>生态状况较差，问题较多，影响居民生活</w:t>
            </w:r>
          </w:p>
        </w:tc>
        <w:tc>
          <w:tcPr>
            <w:tcW w:w="3198" w:type="dxa"/>
            <w:vAlign w:val="center"/>
          </w:tcPr>
          <w:p w14:paraId="7029BE3E">
            <w:pPr>
              <w:pStyle w:val="22"/>
              <w:snapToGrid w:val="0"/>
              <w:jc w:val="center"/>
              <w:rPr>
                <w:rFonts w:ascii="宋体" w:hAnsi="宋体" w:eastAsia="宋体"/>
                <w:color w:val="262626" w:themeColor="text1" w:themeTint="D9"/>
                <w:sz w:val="21"/>
                <w:szCs w:val="21"/>
                <w14:textFill>
                  <w14:solidFill>
                    <w14:schemeClr w14:val="tx1">
                      <w14:lumMod w14:val="85000"/>
                      <w14:lumOff w14:val="15000"/>
                    </w14:schemeClr>
                  </w14:solidFill>
                </w14:textFill>
              </w:rPr>
            </w:pPr>
            <w:r>
              <w:rPr>
                <w:rFonts w:hint="eastAsia" w:ascii="宋体" w:hAnsi="宋体" w:eastAsia="宋体"/>
                <w:color w:val="262626" w:themeColor="text1" w:themeTint="D9"/>
                <w:sz w:val="21"/>
                <w:szCs w:val="21"/>
                <w14:textFill>
                  <w14:solidFill>
                    <w14:schemeClr w14:val="tx1">
                      <w14:lumMod w14:val="85000"/>
                      <w14:lumOff w14:val="15000"/>
                    </w14:schemeClr>
                  </w14:solidFill>
                </w14:textFill>
              </w:rPr>
              <w:t>应进行更新改造，提高生态服务功能</w:t>
            </w:r>
          </w:p>
        </w:tc>
      </w:tr>
      <w:tr w14:paraId="72DB2E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88" w:type="dxa"/>
            <w:vAlign w:val="center"/>
          </w:tcPr>
          <w:p w14:paraId="64D3E6B1">
            <w:pPr>
              <w:pStyle w:val="22"/>
              <w:snapToGrid w:val="0"/>
              <w:jc w:val="center"/>
              <w:rPr>
                <w:rFonts w:ascii="宋体" w:hAnsi="宋体" w:eastAsia="宋体"/>
                <w:sz w:val="21"/>
                <w:szCs w:val="21"/>
              </w:rPr>
            </w:pPr>
            <w:r>
              <w:rPr>
                <w:rFonts w:hint="eastAsia" w:ascii="宋体" w:hAnsi="宋体" w:eastAsia="宋体"/>
                <w:sz w:val="21"/>
                <w:szCs w:val="21"/>
              </w:rPr>
              <w:t>Ⅱ</w:t>
            </w:r>
          </w:p>
        </w:tc>
        <w:tc>
          <w:tcPr>
            <w:tcW w:w="4110" w:type="dxa"/>
            <w:vAlign w:val="center"/>
          </w:tcPr>
          <w:p w14:paraId="30460B23">
            <w:pPr>
              <w:pStyle w:val="22"/>
              <w:snapToGrid w:val="0"/>
              <w:jc w:val="center"/>
              <w:rPr>
                <w:rFonts w:ascii="宋体" w:hAnsi="宋体" w:eastAsia="宋体"/>
                <w:color w:val="262626" w:themeColor="text1" w:themeTint="D9"/>
                <w:sz w:val="21"/>
                <w:szCs w:val="21"/>
                <w14:textFill>
                  <w14:solidFill>
                    <w14:schemeClr w14:val="tx1">
                      <w14:lumMod w14:val="85000"/>
                      <w14:lumOff w14:val="15000"/>
                    </w14:schemeClr>
                  </w14:solidFill>
                </w14:textFill>
              </w:rPr>
            </w:pPr>
            <w:r>
              <w:rPr>
                <w:rFonts w:hint="eastAsia" w:ascii="宋体" w:hAnsi="宋体" w:eastAsia="宋体"/>
                <w:color w:val="262626" w:themeColor="text1" w:themeTint="D9"/>
                <w:sz w:val="21"/>
                <w:szCs w:val="21"/>
                <w14:textFill>
                  <w14:solidFill>
                    <w14:schemeClr w14:val="tx1">
                      <w14:lumMod w14:val="85000"/>
                      <w14:lumOff w14:val="15000"/>
                    </w14:schemeClr>
                  </w14:solidFill>
                </w14:textFill>
              </w:rPr>
              <w:t>生态状况一般，存在某些生态问题</w:t>
            </w:r>
            <w:bookmarkStart w:id="42" w:name="_GoBack"/>
            <w:bookmarkEnd w:id="42"/>
          </w:p>
        </w:tc>
        <w:tc>
          <w:tcPr>
            <w:tcW w:w="3198" w:type="dxa"/>
            <w:vAlign w:val="center"/>
          </w:tcPr>
          <w:p w14:paraId="0A261AB4">
            <w:pPr>
              <w:pStyle w:val="22"/>
              <w:snapToGrid w:val="0"/>
              <w:jc w:val="center"/>
              <w:rPr>
                <w:rFonts w:ascii="宋体" w:hAnsi="宋体" w:eastAsia="宋体"/>
                <w:color w:val="262626" w:themeColor="text1" w:themeTint="D9"/>
                <w:sz w:val="21"/>
                <w:szCs w:val="21"/>
                <w14:textFill>
                  <w14:solidFill>
                    <w14:schemeClr w14:val="tx1">
                      <w14:lumMod w14:val="85000"/>
                      <w14:lumOff w14:val="15000"/>
                    </w14:schemeClr>
                  </w14:solidFill>
                </w14:textFill>
              </w:rPr>
            </w:pPr>
            <w:r>
              <w:rPr>
                <w:rFonts w:hint="eastAsia" w:ascii="宋体" w:hAnsi="宋体" w:eastAsia="宋体"/>
                <w:color w:val="262626" w:themeColor="text1" w:themeTint="D9"/>
                <w:sz w:val="21"/>
                <w:szCs w:val="21"/>
                <w14:textFill>
                  <w14:solidFill>
                    <w14:schemeClr w14:val="tx1">
                      <w14:lumMod w14:val="85000"/>
                      <w14:lumOff w14:val="15000"/>
                    </w14:schemeClr>
                  </w14:solidFill>
                </w14:textFill>
              </w:rPr>
              <w:t>应加强生态监测评估，采取管理补救措施，避免生态问题恶化</w:t>
            </w:r>
          </w:p>
        </w:tc>
      </w:tr>
      <w:tr w14:paraId="1B7D6F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88" w:type="dxa"/>
            <w:vAlign w:val="center"/>
          </w:tcPr>
          <w:p w14:paraId="5DA040C6">
            <w:pPr>
              <w:pStyle w:val="22"/>
              <w:snapToGrid w:val="0"/>
              <w:jc w:val="center"/>
              <w:rPr>
                <w:rFonts w:ascii="宋体" w:hAnsi="宋体" w:eastAsia="宋体"/>
                <w:sz w:val="21"/>
                <w:szCs w:val="21"/>
              </w:rPr>
            </w:pPr>
            <w:r>
              <w:rPr>
                <w:rFonts w:hint="eastAsia" w:ascii="宋体" w:hAnsi="宋体" w:eastAsia="宋体"/>
                <w:sz w:val="21"/>
                <w:szCs w:val="21"/>
              </w:rPr>
              <w:t>Ⅲ</w:t>
            </w:r>
          </w:p>
        </w:tc>
        <w:tc>
          <w:tcPr>
            <w:tcW w:w="4110" w:type="dxa"/>
            <w:vAlign w:val="center"/>
          </w:tcPr>
          <w:p w14:paraId="67E1C9F6">
            <w:pPr>
              <w:pStyle w:val="22"/>
              <w:snapToGrid w:val="0"/>
              <w:jc w:val="center"/>
              <w:rPr>
                <w:rFonts w:ascii="宋体" w:hAnsi="宋体" w:eastAsia="宋体"/>
                <w:color w:val="262626" w:themeColor="text1" w:themeTint="D9"/>
                <w:sz w:val="21"/>
                <w:szCs w:val="21"/>
                <w14:textFill>
                  <w14:solidFill>
                    <w14:schemeClr w14:val="tx1">
                      <w14:lumMod w14:val="85000"/>
                      <w14:lumOff w14:val="15000"/>
                    </w14:schemeClr>
                  </w14:solidFill>
                </w14:textFill>
              </w:rPr>
            </w:pPr>
            <w:r>
              <w:rPr>
                <w:rFonts w:hint="eastAsia" w:ascii="宋体" w:hAnsi="宋体" w:eastAsia="宋体"/>
                <w:color w:val="262626" w:themeColor="text1" w:themeTint="D9"/>
                <w:sz w:val="21"/>
                <w:szCs w:val="21"/>
                <w14:textFill>
                  <w14:solidFill>
                    <w14:schemeClr w14:val="tx1">
                      <w14:lumMod w14:val="85000"/>
                      <w14:lumOff w14:val="15000"/>
                    </w14:schemeClr>
                  </w14:solidFill>
                </w14:textFill>
              </w:rPr>
              <w:t>生态状况较好，有轻微缺陷，无明显生态问题</w:t>
            </w:r>
          </w:p>
        </w:tc>
        <w:tc>
          <w:tcPr>
            <w:tcW w:w="3198" w:type="dxa"/>
            <w:vAlign w:val="center"/>
          </w:tcPr>
          <w:p w14:paraId="5C0DE0FF">
            <w:pPr>
              <w:pStyle w:val="22"/>
              <w:snapToGrid w:val="0"/>
              <w:jc w:val="center"/>
              <w:rPr>
                <w:rFonts w:ascii="宋体" w:hAnsi="宋体" w:eastAsia="宋体"/>
                <w:color w:val="262626" w:themeColor="text1" w:themeTint="D9"/>
                <w:sz w:val="21"/>
                <w:szCs w:val="21"/>
                <w14:textFill>
                  <w14:solidFill>
                    <w14:schemeClr w14:val="tx1">
                      <w14:lumMod w14:val="85000"/>
                      <w14:lumOff w14:val="15000"/>
                    </w14:schemeClr>
                  </w14:solidFill>
                </w14:textFill>
              </w:rPr>
            </w:pPr>
            <w:r>
              <w:rPr>
                <w:rFonts w:hint="eastAsia" w:ascii="宋体" w:hAnsi="宋体" w:eastAsia="宋体"/>
                <w:color w:val="262626" w:themeColor="text1" w:themeTint="D9"/>
                <w:sz w:val="21"/>
                <w:szCs w:val="21"/>
                <w14:textFill>
                  <w14:solidFill>
                    <w14:schemeClr w14:val="tx1">
                      <w14:lumMod w14:val="85000"/>
                      <w14:lumOff w14:val="15000"/>
                    </w14:schemeClr>
                  </w14:solidFill>
                </w14:textFill>
              </w:rPr>
              <w:t>应定期开展生态监测与评估（建议每3-5年一次）</w:t>
            </w:r>
          </w:p>
        </w:tc>
      </w:tr>
    </w:tbl>
    <w:p w14:paraId="313FA74C">
      <w:pPr>
        <w:pStyle w:val="2"/>
        <w:spacing w:before="312" w:beforeLines="100" w:after="312" w:afterLines="100" w:line="520" w:lineRule="exact"/>
        <w:jc w:val="left"/>
        <w:rPr>
          <w:rFonts w:ascii="黑体" w:hAnsi="黑体" w:eastAsia="黑体"/>
          <w:bCs w:val="0"/>
          <w:sz w:val="30"/>
          <w:szCs w:val="22"/>
          <w:lang w:val="zh-CN"/>
        </w:rPr>
        <w:sectPr>
          <w:pgSz w:w="11906" w:h="16838"/>
          <w:pgMar w:top="1440" w:right="1797" w:bottom="1440" w:left="1797" w:header="851" w:footer="992" w:gutter="0"/>
          <w:cols w:space="425" w:num="1"/>
          <w:docGrid w:type="lines" w:linePitch="312" w:charSpace="0"/>
        </w:sectPr>
      </w:pPr>
      <w:bookmarkStart w:id="30" w:name="_Toc220593721"/>
    </w:p>
    <w:p w14:paraId="7EEE6CDD">
      <w:pPr>
        <w:pStyle w:val="2"/>
        <w:spacing w:before="312" w:beforeLines="100" w:after="312" w:afterLines="100" w:line="520" w:lineRule="exact"/>
        <w:jc w:val="center"/>
        <w:rPr>
          <w:rFonts w:ascii="黑体" w:hAnsi="黑体" w:eastAsia="黑体"/>
          <w:bCs w:val="0"/>
          <w:sz w:val="30"/>
          <w:szCs w:val="22"/>
          <w:lang w:val="zh-CN"/>
        </w:rPr>
      </w:pPr>
      <w:r>
        <w:rPr>
          <w:rFonts w:ascii="黑体" w:hAnsi="黑体" w:eastAsia="黑体"/>
          <w:bCs w:val="0"/>
          <w:sz w:val="30"/>
          <w:szCs w:val="22"/>
          <w:lang w:val="zh-CN"/>
        </w:rPr>
        <w:t>6</w:t>
      </w:r>
      <w:r>
        <w:rPr>
          <w:rFonts w:hint="eastAsia" w:ascii="黑体" w:hAnsi="黑体" w:eastAsia="黑体"/>
          <w:bCs w:val="0"/>
          <w:sz w:val="30"/>
          <w:szCs w:val="22"/>
          <w:lang w:val="zh-CN"/>
        </w:rPr>
        <w:t xml:space="preserve"> 评价报告编写</w:t>
      </w:r>
      <w:bookmarkEnd w:id="30"/>
    </w:p>
    <w:p w14:paraId="0EAC99E7">
      <w:pPr>
        <w:pStyle w:val="22"/>
        <w:spacing w:line="360" w:lineRule="auto"/>
        <w:ind w:firstLine="560" w:firstLineChars="200"/>
        <w:rPr>
          <w:rFonts w:ascii="宋体" w:hAnsi="宋体" w:eastAsia="宋体"/>
          <w:sz w:val="28"/>
          <w:szCs w:val="28"/>
        </w:rPr>
      </w:pPr>
      <w:r>
        <w:rPr>
          <w:rFonts w:hint="eastAsia" w:ascii="宋体" w:hAnsi="宋体" w:eastAsia="宋体"/>
          <w:sz w:val="28"/>
          <w:szCs w:val="28"/>
        </w:rPr>
        <w:t>根据客观评价和主观评价结果出具评价报告，社区生态评估报告应包括前言、被评估社区概况、监测评估数据获取方法、被评估社区主要生态问题，评估等级以及生态更新改造对策建议等。评估报告编写格式见附录</w:t>
      </w:r>
      <w:r>
        <w:rPr>
          <w:rFonts w:ascii="宋体" w:hAnsi="宋体" w:eastAsia="宋体"/>
          <w:sz w:val="28"/>
          <w:szCs w:val="28"/>
        </w:rPr>
        <w:t>E</w:t>
      </w:r>
      <w:r>
        <w:rPr>
          <w:rFonts w:hint="eastAsia" w:ascii="宋体" w:hAnsi="宋体" w:eastAsia="宋体"/>
          <w:sz w:val="28"/>
          <w:szCs w:val="28"/>
        </w:rPr>
        <w:t>。</w:t>
      </w:r>
    </w:p>
    <w:p w14:paraId="6FF6278B">
      <w:pPr>
        <w:pStyle w:val="39"/>
        <w:shd w:val="clear" w:color="auto" w:fill="FFFFFF"/>
        <w:spacing w:before="156" w:beforeAutospacing="0" w:after="45" w:afterAutospacing="0" w:line="300" w:lineRule="atLeast"/>
        <w:ind w:firstLine="358" w:firstLineChars="128"/>
        <w:rPr>
          <w:rFonts w:cs="黑体"/>
          <w:color w:val="000000"/>
          <w:sz w:val="28"/>
          <w:szCs w:val="28"/>
        </w:rPr>
      </w:pPr>
    </w:p>
    <w:p w14:paraId="40F1AA96">
      <w:pPr>
        <w:pStyle w:val="2"/>
        <w:spacing w:before="312" w:beforeLines="100" w:after="312" w:afterLines="100" w:line="520" w:lineRule="exact"/>
        <w:jc w:val="left"/>
        <w:rPr>
          <w:rFonts w:ascii="黑体" w:hAnsi="黑体" w:eastAsia="黑体"/>
          <w:bCs w:val="0"/>
          <w:sz w:val="30"/>
          <w:szCs w:val="22"/>
          <w:lang w:val="zh-CN"/>
        </w:rPr>
        <w:sectPr>
          <w:pgSz w:w="11906" w:h="16838"/>
          <w:pgMar w:top="1440" w:right="1797" w:bottom="1440" w:left="1797" w:header="851" w:footer="992" w:gutter="0"/>
          <w:cols w:space="425" w:num="1"/>
          <w:docGrid w:type="lines" w:linePitch="312" w:charSpace="0"/>
        </w:sectPr>
      </w:pPr>
    </w:p>
    <w:p w14:paraId="269BD49E">
      <w:pPr>
        <w:pStyle w:val="2"/>
        <w:spacing w:before="312" w:beforeLines="100" w:after="312" w:afterLines="100" w:line="520" w:lineRule="exact"/>
        <w:jc w:val="center"/>
        <w:rPr>
          <w:rFonts w:ascii="黑体" w:hAnsi="黑体" w:eastAsia="黑体"/>
          <w:bCs w:val="0"/>
          <w:sz w:val="30"/>
          <w:szCs w:val="22"/>
          <w:lang w:val="zh-CN"/>
        </w:rPr>
      </w:pPr>
      <w:bookmarkStart w:id="31" w:name="_Toc220593722"/>
      <w:r>
        <w:rPr>
          <w:rFonts w:hint="eastAsia" w:ascii="黑体" w:hAnsi="黑体" w:eastAsia="黑体"/>
          <w:bCs w:val="0"/>
          <w:sz w:val="30"/>
          <w:szCs w:val="22"/>
          <w:lang w:val="zh-CN"/>
        </w:rPr>
        <w:t>附录</w:t>
      </w:r>
      <w:r>
        <w:rPr>
          <w:rFonts w:ascii="黑体" w:hAnsi="黑体" w:eastAsia="黑体"/>
          <w:bCs w:val="0"/>
          <w:sz w:val="30"/>
          <w:szCs w:val="22"/>
          <w:lang w:val="zh-CN"/>
        </w:rPr>
        <w:t xml:space="preserve">A </w:t>
      </w:r>
      <w:bookmarkStart w:id="32" w:name="_Hlk213586893"/>
      <w:r>
        <w:rPr>
          <w:rFonts w:hint="eastAsia" w:ascii="黑体" w:hAnsi="黑体" w:eastAsia="黑体"/>
          <w:bCs w:val="0"/>
          <w:sz w:val="30"/>
          <w:szCs w:val="22"/>
          <w:lang w:val="zh-CN"/>
        </w:rPr>
        <w:t>社区生态评估指标打分表</w:t>
      </w:r>
      <w:bookmarkEnd w:id="31"/>
    </w:p>
    <w:tbl>
      <w:tblPr>
        <w:tblStyle w:val="16"/>
        <w:tblW w:w="137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9"/>
        <w:gridCol w:w="2583"/>
        <w:gridCol w:w="1195"/>
        <w:gridCol w:w="1284"/>
        <w:gridCol w:w="1179"/>
        <w:gridCol w:w="2453"/>
        <w:gridCol w:w="4212"/>
      </w:tblGrid>
      <w:tr w14:paraId="323658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39" w:type="dxa"/>
            <w:vMerge w:val="restart"/>
            <w:vAlign w:val="center"/>
          </w:tcPr>
          <w:p w14:paraId="63A8E5F3">
            <w:pPr>
              <w:pStyle w:val="22"/>
              <w:snapToGrid w:val="0"/>
              <w:jc w:val="center"/>
              <w:rPr>
                <w:rFonts w:ascii="Times New Roman" w:eastAsia="宋体" w:cs="Times New Roman"/>
                <w:sz w:val="21"/>
                <w:szCs w:val="21"/>
              </w:rPr>
            </w:pPr>
            <w:r>
              <w:rPr>
                <w:rFonts w:hint="eastAsia" w:ascii="Times New Roman" w:eastAsia="宋体" w:cs="Times New Roman"/>
                <w:sz w:val="21"/>
                <w:szCs w:val="21"/>
              </w:rPr>
              <w:t>类别</w:t>
            </w:r>
          </w:p>
        </w:tc>
        <w:tc>
          <w:tcPr>
            <w:tcW w:w="2583" w:type="dxa"/>
            <w:vMerge w:val="restart"/>
            <w:vAlign w:val="center"/>
          </w:tcPr>
          <w:p w14:paraId="618A957C">
            <w:pPr>
              <w:pStyle w:val="22"/>
              <w:snapToGrid w:val="0"/>
              <w:jc w:val="center"/>
              <w:rPr>
                <w:rFonts w:ascii="Times New Roman" w:eastAsia="宋体" w:cs="Times New Roman"/>
                <w:sz w:val="21"/>
                <w:szCs w:val="21"/>
              </w:rPr>
            </w:pPr>
            <w:r>
              <w:rPr>
                <w:rFonts w:ascii="Times New Roman" w:eastAsia="宋体" w:cs="Times New Roman"/>
                <w:sz w:val="21"/>
                <w:szCs w:val="21"/>
              </w:rPr>
              <w:t>评估因子</w:t>
            </w:r>
            <w:r>
              <w:rPr>
                <w:rFonts w:hint="eastAsia" w:ascii="Times New Roman" w:eastAsia="宋体" w:cs="Times New Roman"/>
                <w:sz w:val="21"/>
                <w:szCs w:val="21"/>
              </w:rPr>
              <w:t>/</w:t>
            </w:r>
            <w:r>
              <w:rPr>
                <w:rFonts w:ascii="Times New Roman" w:eastAsia="宋体" w:cs="Times New Roman"/>
                <w:sz w:val="21"/>
                <w:szCs w:val="21"/>
              </w:rPr>
              <w:t>代码</w:t>
            </w:r>
          </w:p>
        </w:tc>
        <w:tc>
          <w:tcPr>
            <w:tcW w:w="3658" w:type="dxa"/>
            <w:gridSpan w:val="3"/>
            <w:vAlign w:val="center"/>
          </w:tcPr>
          <w:p w14:paraId="4C43374D">
            <w:pPr>
              <w:pStyle w:val="22"/>
              <w:snapToGrid w:val="0"/>
              <w:jc w:val="center"/>
              <w:rPr>
                <w:rFonts w:ascii="Times New Roman" w:eastAsia="宋体" w:cs="Times New Roman"/>
                <w:sz w:val="21"/>
                <w:szCs w:val="21"/>
              </w:rPr>
            </w:pPr>
            <w:r>
              <w:rPr>
                <w:rFonts w:ascii="Times New Roman" w:eastAsia="宋体" w:cs="Times New Roman"/>
                <w:bCs/>
                <w:sz w:val="21"/>
                <w:szCs w:val="21"/>
              </w:rPr>
              <w:t>指标分级与分数</w:t>
            </w:r>
          </w:p>
        </w:tc>
        <w:tc>
          <w:tcPr>
            <w:tcW w:w="2453" w:type="dxa"/>
            <w:vMerge w:val="restart"/>
            <w:vAlign w:val="center"/>
          </w:tcPr>
          <w:p w14:paraId="1AFB63B7">
            <w:pPr>
              <w:pStyle w:val="22"/>
              <w:snapToGrid w:val="0"/>
              <w:jc w:val="center"/>
              <w:rPr>
                <w:rFonts w:ascii="Times New Roman" w:eastAsia="宋体" w:cs="Times New Roman"/>
                <w:sz w:val="21"/>
                <w:szCs w:val="21"/>
              </w:rPr>
            </w:pPr>
            <w:r>
              <w:rPr>
                <w:rFonts w:hint="eastAsia" w:ascii="Times New Roman" w:eastAsia="宋体" w:cs="Times New Roman"/>
                <w:sz w:val="21"/>
                <w:szCs w:val="21"/>
              </w:rPr>
              <w:t>参考标准</w:t>
            </w:r>
          </w:p>
        </w:tc>
        <w:tc>
          <w:tcPr>
            <w:tcW w:w="4212" w:type="dxa"/>
            <w:vMerge w:val="restart"/>
            <w:vAlign w:val="center"/>
          </w:tcPr>
          <w:p w14:paraId="1D9FBF34">
            <w:pPr>
              <w:pStyle w:val="22"/>
              <w:snapToGrid w:val="0"/>
              <w:jc w:val="center"/>
              <w:rPr>
                <w:rFonts w:ascii="Times New Roman" w:eastAsia="宋体" w:cs="Times New Roman"/>
                <w:sz w:val="21"/>
                <w:szCs w:val="21"/>
              </w:rPr>
            </w:pPr>
            <w:r>
              <w:rPr>
                <w:rFonts w:hint="eastAsia" w:ascii="Times New Roman" w:eastAsia="宋体" w:cs="Times New Roman"/>
                <w:sz w:val="21"/>
                <w:szCs w:val="21"/>
              </w:rPr>
              <w:t>评价方法及计算方法</w:t>
            </w:r>
          </w:p>
        </w:tc>
      </w:tr>
      <w:tr w14:paraId="251B1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39" w:type="dxa"/>
            <w:vMerge w:val="continue"/>
            <w:vAlign w:val="center"/>
          </w:tcPr>
          <w:p w14:paraId="69E24CC7">
            <w:pPr>
              <w:pStyle w:val="22"/>
              <w:snapToGrid w:val="0"/>
              <w:jc w:val="center"/>
              <w:rPr>
                <w:rFonts w:ascii="Times New Roman" w:eastAsia="宋体" w:cs="Times New Roman"/>
                <w:sz w:val="21"/>
                <w:szCs w:val="21"/>
              </w:rPr>
            </w:pPr>
          </w:p>
        </w:tc>
        <w:tc>
          <w:tcPr>
            <w:tcW w:w="2583" w:type="dxa"/>
            <w:vMerge w:val="continue"/>
            <w:vAlign w:val="center"/>
          </w:tcPr>
          <w:p w14:paraId="29A86D99">
            <w:pPr>
              <w:pStyle w:val="22"/>
              <w:snapToGrid w:val="0"/>
              <w:jc w:val="center"/>
              <w:rPr>
                <w:rFonts w:ascii="Times New Roman" w:eastAsia="宋体" w:cs="Times New Roman"/>
                <w:sz w:val="21"/>
                <w:szCs w:val="21"/>
              </w:rPr>
            </w:pPr>
          </w:p>
        </w:tc>
        <w:tc>
          <w:tcPr>
            <w:tcW w:w="1195" w:type="dxa"/>
            <w:vAlign w:val="center"/>
          </w:tcPr>
          <w:p w14:paraId="06169CD6">
            <w:pPr>
              <w:pStyle w:val="22"/>
              <w:snapToGrid w:val="0"/>
              <w:jc w:val="center"/>
              <w:rPr>
                <w:rFonts w:ascii="Times New Roman" w:eastAsia="宋体" w:cs="Times New Roman"/>
                <w:sz w:val="21"/>
                <w:szCs w:val="21"/>
              </w:rPr>
            </w:pPr>
            <w:r>
              <w:rPr>
                <w:rFonts w:hint="eastAsia" w:ascii="Times New Roman" w:eastAsia="宋体" w:cs="Times New Roman"/>
                <w:sz w:val="21"/>
                <w:szCs w:val="21"/>
              </w:rPr>
              <w:t>3</w:t>
            </w:r>
          </w:p>
        </w:tc>
        <w:tc>
          <w:tcPr>
            <w:tcW w:w="1284" w:type="dxa"/>
            <w:vAlign w:val="center"/>
          </w:tcPr>
          <w:p w14:paraId="77376EE1">
            <w:pPr>
              <w:pStyle w:val="22"/>
              <w:snapToGrid w:val="0"/>
              <w:jc w:val="center"/>
              <w:rPr>
                <w:rFonts w:ascii="Times New Roman" w:eastAsia="宋体" w:cs="Times New Roman"/>
                <w:sz w:val="21"/>
                <w:szCs w:val="21"/>
              </w:rPr>
            </w:pPr>
            <w:r>
              <w:rPr>
                <w:rFonts w:hint="eastAsia" w:ascii="Times New Roman" w:eastAsia="宋体" w:cs="Times New Roman"/>
                <w:sz w:val="21"/>
                <w:szCs w:val="21"/>
              </w:rPr>
              <w:t>2</w:t>
            </w:r>
          </w:p>
        </w:tc>
        <w:tc>
          <w:tcPr>
            <w:tcW w:w="1179" w:type="dxa"/>
            <w:vAlign w:val="center"/>
          </w:tcPr>
          <w:p w14:paraId="1AD62657">
            <w:pPr>
              <w:pStyle w:val="22"/>
              <w:snapToGrid w:val="0"/>
              <w:jc w:val="center"/>
              <w:rPr>
                <w:rFonts w:ascii="Times New Roman" w:eastAsia="宋体" w:cs="Times New Roman"/>
                <w:sz w:val="21"/>
                <w:szCs w:val="21"/>
              </w:rPr>
            </w:pPr>
            <w:r>
              <w:rPr>
                <w:rFonts w:hint="eastAsia" w:ascii="Times New Roman" w:eastAsia="宋体" w:cs="Times New Roman"/>
                <w:sz w:val="21"/>
                <w:szCs w:val="21"/>
              </w:rPr>
              <w:t>1</w:t>
            </w:r>
          </w:p>
        </w:tc>
        <w:tc>
          <w:tcPr>
            <w:tcW w:w="2453" w:type="dxa"/>
            <w:vMerge w:val="continue"/>
            <w:vAlign w:val="center"/>
          </w:tcPr>
          <w:p w14:paraId="16209547">
            <w:pPr>
              <w:pStyle w:val="22"/>
              <w:snapToGrid w:val="0"/>
              <w:jc w:val="center"/>
              <w:rPr>
                <w:rFonts w:ascii="Times New Roman" w:eastAsia="宋体" w:cs="Times New Roman"/>
                <w:bCs/>
                <w:sz w:val="21"/>
                <w:szCs w:val="21"/>
              </w:rPr>
            </w:pPr>
          </w:p>
        </w:tc>
        <w:tc>
          <w:tcPr>
            <w:tcW w:w="4212" w:type="dxa"/>
            <w:vMerge w:val="continue"/>
            <w:vAlign w:val="center"/>
          </w:tcPr>
          <w:p w14:paraId="3190AF39">
            <w:pPr>
              <w:pStyle w:val="22"/>
              <w:snapToGrid w:val="0"/>
              <w:jc w:val="center"/>
              <w:rPr>
                <w:rFonts w:ascii="Times New Roman" w:eastAsia="宋体" w:cs="Times New Roman"/>
                <w:bCs/>
                <w:sz w:val="21"/>
                <w:szCs w:val="21"/>
              </w:rPr>
            </w:pPr>
          </w:p>
        </w:tc>
      </w:tr>
      <w:tr w14:paraId="199986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39" w:type="dxa"/>
            <w:vMerge w:val="restart"/>
            <w:vAlign w:val="center"/>
          </w:tcPr>
          <w:p w14:paraId="264DE3B5">
            <w:pPr>
              <w:pStyle w:val="22"/>
              <w:snapToGrid w:val="0"/>
              <w:jc w:val="center"/>
              <w:rPr>
                <w:rFonts w:ascii="Times New Roman" w:eastAsia="宋体" w:cs="Times New Roman"/>
                <w:sz w:val="21"/>
                <w:szCs w:val="21"/>
              </w:rPr>
            </w:pPr>
            <w:r>
              <w:rPr>
                <w:rFonts w:hint="eastAsia" w:ascii="Times New Roman" w:eastAsia="宋体" w:cs="Times New Roman"/>
                <w:sz w:val="21"/>
                <w:szCs w:val="21"/>
              </w:rPr>
              <w:t>绿地与植被</w:t>
            </w:r>
          </w:p>
        </w:tc>
        <w:tc>
          <w:tcPr>
            <w:tcW w:w="2583" w:type="dxa"/>
            <w:vAlign w:val="center"/>
          </w:tcPr>
          <w:p w14:paraId="15255792">
            <w:pPr>
              <w:pStyle w:val="22"/>
              <w:snapToGrid w:val="0"/>
              <w:jc w:val="center"/>
              <w:rPr>
                <w:rFonts w:ascii="Times New Roman" w:eastAsia="宋体" w:cs="Times New Roman"/>
                <w:sz w:val="21"/>
                <w:szCs w:val="21"/>
              </w:rPr>
            </w:pPr>
            <w:r>
              <w:rPr>
                <w:rFonts w:hint="eastAsia" w:ascii="Times New Roman" w:eastAsia="宋体" w:cs="Times New Roman"/>
                <w:sz w:val="21"/>
                <w:szCs w:val="21"/>
              </w:rPr>
              <w:t>绿化覆盖率</w:t>
            </w:r>
          </w:p>
        </w:tc>
        <w:tc>
          <w:tcPr>
            <w:tcW w:w="1195" w:type="dxa"/>
            <w:vAlign w:val="center"/>
          </w:tcPr>
          <w:p w14:paraId="549D3416">
            <w:pPr>
              <w:pStyle w:val="22"/>
              <w:snapToGrid w:val="0"/>
              <w:jc w:val="center"/>
              <w:rPr>
                <w:rFonts w:ascii="Times New Roman" w:eastAsia="宋体" w:cs="Times New Roman"/>
                <w:sz w:val="21"/>
                <w:szCs w:val="21"/>
              </w:rPr>
            </w:pPr>
            <w:r>
              <w:rPr>
                <w:rFonts w:ascii="Times New Roman" w:eastAsia="宋体" w:cs="Times New Roman"/>
                <w:sz w:val="21"/>
                <w:szCs w:val="21"/>
              </w:rPr>
              <w:t>≥</w:t>
            </w:r>
            <w:r>
              <w:rPr>
                <w:rFonts w:hint="eastAsia" w:ascii="Times New Roman" w:eastAsia="宋体" w:cs="Times New Roman"/>
                <w:sz w:val="21"/>
                <w:szCs w:val="21"/>
              </w:rPr>
              <w:t>5</w:t>
            </w:r>
            <w:r>
              <w:rPr>
                <w:rFonts w:ascii="Times New Roman" w:eastAsia="宋体" w:cs="Times New Roman"/>
                <w:sz w:val="21"/>
                <w:szCs w:val="21"/>
              </w:rPr>
              <w:t>0%</w:t>
            </w:r>
          </w:p>
        </w:tc>
        <w:tc>
          <w:tcPr>
            <w:tcW w:w="1284" w:type="dxa"/>
            <w:vAlign w:val="center"/>
          </w:tcPr>
          <w:p w14:paraId="2DE404BD">
            <w:pPr>
              <w:pStyle w:val="22"/>
              <w:snapToGrid w:val="0"/>
              <w:jc w:val="center"/>
              <w:rPr>
                <w:rFonts w:ascii="Times New Roman" w:eastAsia="宋体" w:cs="Times New Roman"/>
                <w:sz w:val="21"/>
                <w:szCs w:val="21"/>
              </w:rPr>
            </w:pPr>
            <w:r>
              <w:rPr>
                <w:rFonts w:hint="eastAsia" w:ascii="Times New Roman" w:eastAsia="宋体" w:cs="Times New Roman"/>
                <w:sz w:val="21"/>
                <w:szCs w:val="21"/>
              </w:rPr>
              <w:t>[35</w:t>
            </w:r>
            <w:r>
              <w:rPr>
                <w:rFonts w:ascii="Times New Roman" w:eastAsia="宋体" w:cs="Times New Roman"/>
                <w:sz w:val="21"/>
                <w:szCs w:val="21"/>
              </w:rPr>
              <w:t>%</w:t>
            </w:r>
            <w:r>
              <w:rPr>
                <w:rFonts w:hint="eastAsia" w:ascii="Times New Roman" w:eastAsia="宋体" w:cs="Times New Roman"/>
                <w:sz w:val="21"/>
                <w:szCs w:val="21"/>
              </w:rPr>
              <w:t>,5</w:t>
            </w:r>
            <w:r>
              <w:rPr>
                <w:rFonts w:ascii="Times New Roman" w:eastAsia="宋体" w:cs="Times New Roman"/>
                <w:sz w:val="21"/>
                <w:szCs w:val="21"/>
              </w:rPr>
              <w:t>0%)</w:t>
            </w:r>
          </w:p>
        </w:tc>
        <w:tc>
          <w:tcPr>
            <w:tcW w:w="1179" w:type="dxa"/>
            <w:vAlign w:val="center"/>
          </w:tcPr>
          <w:p w14:paraId="1F968AD9">
            <w:pPr>
              <w:pStyle w:val="22"/>
              <w:snapToGrid w:val="0"/>
              <w:jc w:val="center"/>
              <w:rPr>
                <w:rFonts w:ascii="Times New Roman" w:eastAsia="宋体" w:cs="Times New Roman"/>
                <w:sz w:val="21"/>
                <w:szCs w:val="21"/>
              </w:rPr>
            </w:pPr>
            <w:r>
              <w:rPr>
                <w:rFonts w:hint="eastAsia" w:ascii="Times New Roman" w:eastAsia="宋体" w:cs="Times New Roman"/>
                <w:sz w:val="21"/>
                <w:szCs w:val="21"/>
              </w:rPr>
              <w:t>[2</w:t>
            </w:r>
            <w:r>
              <w:rPr>
                <w:rFonts w:ascii="Times New Roman" w:eastAsia="宋体" w:cs="Times New Roman"/>
                <w:sz w:val="21"/>
                <w:szCs w:val="21"/>
              </w:rPr>
              <w:t>0%,</w:t>
            </w:r>
            <w:r>
              <w:rPr>
                <w:rFonts w:hint="eastAsia" w:ascii="Times New Roman" w:eastAsia="宋体" w:cs="Times New Roman"/>
                <w:sz w:val="21"/>
                <w:szCs w:val="21"/>
              </w:rPr>
              <w:t>35</w:t>
            </w:r>
            <w:r>
              <w:rPr>
                <w:rFonts w:ascii="Times New Roman" w:eastAsia="宋体" w:cs="Times New Roman"/>
                <w:sz w:val="21"/>
                <w:szCs w:val="21"/>
              </w:rPr>
              <w:t>%)</w:t>
            </w:r>
          </w:p>
        </w:tc>
        <w:tc>
          <w:tcPr>
            <w:tcW w:w="2453" w:type="dxa"/>
            <w:vAlign w:val="center"/>
          </w:tcPr>
          <w:p w14:paraId="01CCC3D9">
            <w:pPr>
              <w:pStyle w:val="22"/>
              <w:snapToGrid w:val="0"/>
              <w:jc w:val="center"/>
              <w:rPr>
                <w:rFonts w:ascii="Times New Roman" w:eastAsia="宋体" w:cs="Times New Roman"/>
                <w:bCs/>
                <w:sz w:val="21"/>
                <w:szCs w:val="21"/>
              </w:rPr>
            </w:pPr>
            <w:r>
              <w:rPr>
                <w:rFonts w:hint="eastAsia" w:ascii="Times New Roman" w:eastAsia="宋体" w:cs="Times New Roman"/>
                <w:bCs/>
                <w:sz w:val="21"/>
                <w:szCs w:val="21"/>
              </w:rPr>
              <w:t>符合G</w:t>
            </w:r>
            <w:r>
              <w:rPr>
                <w:rFonts w:ascii="Times New Roman" w:eastAsia="宋体" w:cs="Times New Roman"/>
                <w:bCs/>
                <w:sz w:val="21"/>
                <w:szCs w:val="21"/>
              </w:rPr>
              <w:t>B50180-2018</w:t>
            </w:r>
            <w:r>
              <w:rPr>
                <w:rFonts w:hint="eastAsia" w:ascii="Times New Roman" w:eastAsia="宋体" w:cs="Times New Roman"/>
                <w:bCs/>
                <w:sz w:val="21"/>
                <w:szCs w:val="21"/>
              </w:rPr>
              <w:t>要求</w:t>
            </w:r>
          </w:p>
        </w:tc>
        <w:tc>
          <w:tcPr>
            <w:tcW w:w="4212" w:type="dxa"/>
            <w:vAlign w:val="center"/>
          </w:tcPr>
          <w:p w14:paraId="6D59658B">
            <w:pPr>
              <w:pStyle w:val="22"/>
              <w:snapToGrid w:val="0"/>
              <w:jc w:val="both"/>
              <w:rPr>
                <w:rFonts w:ascii="Times New Roman" w:eastAsia="宋体" w:cs="Times New Roman"/>
                <w:bCs/>
                <w:sz w:val="21"/>
                <w:szCs w:val="21"/>
              </w:rPr>
            </w:pPr>
            <w:r>
              <w:rPr>
                <w:rFonts w:hint="eastAsia" w:ascii="Times New Roman" w:eastAsia="宋体" w:cs="Times New Roman"/>
                <w:bCs/>
                <w:sz w:val="21"/>
                <w:szCs w:val="21"/>
              </w:rPr>
              <w:t>社区所有植被的垂直投影面积占社区总用地面积的比例</w:t>
            </w:r>
          </w:p>
        </w:tc>
      </w:tr>
      <w:tr w14:paraId="6E0F00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39" w:type="dxa"/>
            <w:vMerge w:val="continue"/>
            <w:vAlign w:val="center"/>
          </w:tcPr>
          <w:p w14:paraId="1BE3D9A6">
            <w:pPr>
              <w:pStyle w:val="22"/>
              <w:snapToGrid w:val="0"/>
              <w:jc w:val="center"/>
              <w:rPr>
                <w:rFonts w:ascii="Times New Roman" w:eastAsia="宋体" w:cs="Times New Roman"/>
                <w:sz w:val="21"/>
                <w:szCs w:val="21"/>
              </w:rPr>
            </w:pPr>
          </w:p>
        </w:tc>
        <w:tc>
          <w:tcPr>
            <w:tcW w:w="2583" w:type="dxa"/>
            <w:vAlign w:val="center"/>
          </w:tcPr>
          <w:p w14:paraId="0F2184F5">
            <w:pPr>
              <w:pStyle w:val="22"/>
              <w:snapToGrid w:val="0"/>
              <w:jc w:val="center"/>
              <w:rPr>
                <w:rFonts w:ascii="Times New Roman" w:eastAsia="宋体" w:cs="Times New Roman"/>
                <w:sz w:val="21"/>
                <w:szCs w:val="21"/>
              </w:rPr>
            </w:pPr>
            <w:r>
              <w:rPr>
                <w:rFonts w:hint="eastAsia" w:ascii="Times New Roman" w:eastAsia="宋体" w:cs="Times New Roman"/>
                <w:sz w:val="21"/>
                <w:szCs w:val="21"/>
              </w:rPr>
              <w:t>本土木本植物占比</w:t>
            </w:r>
          </w:p>
        </w:tc>
        <w:tc>
          <w:tcPr>
            <w:tcW w:w="1195" w:type="dxa"/>
            <w:vAlign w:val="center"/>
          </w:tcPr>
          <w:p w14:paraId="7B4CD0FB">
            <w:pPr>
              <w:pStyle w:val="22"/>
              <w:snapToGrid w:val="0"/>
              <w:jc w:val="center"/>
              <w:rPr>
                <w:rFonts w:ascii="Times New Roman" w:eastAsia="宋体" w:cs="Times New Roman"/>
                <w:sz w:val="21"/>
                <w:szCs w:val="21"/>
              </w:rPr>
            </w:pPr>
            <w:r>
              <w:rPr>
                <w:rFonts w:ascii="Times New Roman" w:eastAsia="宋体" w:cs="Times New Roman"/>
                <w:sz w:val="21"/>
                <w:szCs w:val="21"/>
              </w:rPr>
              <w:t>≥80%</w:t>
            </w:r>
          </w:p>
        </w:tc>
        <w:tc>
          <w:tcPr>
            <w:tcW w:w="1284" w:type="dxa"/>
            <w:vAlign w:val="center"/>
          </w:tcPr>
          <w:p w14:paraId="01AA5857">
            <w:pPr>
              <w:pStyle w:val="22"/>
              <w:snapToGrid w:val="0"/>
              <w:jc w:val="center"/>
              <w:rPr>
                <w:rFonts w:ascii="Times New Roman" w:eastAsia="宋体" w:cs="Times New Roman"/>
                <w:sz w:val="21"/>
                <w:szCs w:val="21"/>
              </w:rPr>
            </w:pPr>
            <w:r>
              <w:rPr>
                <w:rFonts w:hint="eastAsia" w:ascii="Times New Roman" w:eastAsia="宋体" w:cs="Times New Roman"/>
                <w:sz w:val="21"/>
                <w:szCs w:val="21"/>
              </w:rPr>
              <w:t>[65</w:t>
            </w:r>
            <w:r>
              <w:rPr>
                <w:rFonts w:ascii="Times New Roman" w:eastAsia="宋体" w:cs="Times New Roman"/>
                <w:sz w:val="21"/>
                <w:szCs w:val="21"/>
              </w:rPr>
              <w:t>%</w:t>
            </w:r>
            <w:r>
              <w:rPr>
                <w:rFonts w:hint="eastAsia" w:ascii="Times New Roman" w:eastAsia="宋体" w:cs="Times New Roman"/>
                <w:sz w:val="21"/>
                <w:szCs w:val="21"/>
              </w:rPr>
              <w:t>,</w:t>
            </w:r>
            <w:r>
              <w:rPr>
                <w:rFonts w:ascii="Times New Roman" w:eastAsia="宋体" w:cs="Times New Roman"/>
                <w:sz w:val="21"/>
                <w:szCs w:val="21"/>
              </w:rPr>
              <w:t>80%)</w:t>
            </w:r>
          </w:p>
        </w:tc>
        <w:tc>
          <w:tcPr>
            <w:tcW w:w="1179" w:type="dxa"/>
            <w:vAlign w:val="center"/>
          </w:tcPr>
          <w:p w14:paraId="4EEB10CC">
            <w:pPr>
              <w:pStyle w:val="22"/>
              <w:snapToGrid w:val="0"/>
              <w:jc w:val="center"/>
              <w:rPr>
                <w:rFonts w:ascii="Times New Roman" w:eastAsia="宋体" w:cs="Times New Roman"/>
                <w:sz w:val="21"/>
                <w:szCs w:val="21"/>
              </w:rPr>
            </w:pPr>
            <w:r>
              <w:rPr>
                <w:rFonts w:hint="eastAsia" w:ascii="Times New Roman" w:eastAsia="宋体" w:cs="Times New Roman"/>
                <w:sz w:val="21"/>
                <w:szCs w:val="21"/>
              </w:rPr>
              <w:t>[5</w:t>
            </w:r>
            <w:r>
              <w:rPr>
                <w:rFonts w:ascii="Times New Roman" w:eastAsia="宋体" w:cs="Times New Roman"/>
                <w:sz w:val="21"/>
                <w:szCs w:val="21"/>
              </w:rPr>
              <w:t>0%,</w:t>
            </w:r>
            <w:r>
              <w:rPr>
                <w:rFonts w:hint="eastAsia" w:ascii="Times New Roman" w:eastAsia="宋体" w:cs="Times New Roman"/>
                <w:sz w:val="21"/>
                <w:szCs w:val="21"/>
              </w:rPr>
              <w:t>65</w:t>
            </w:r>
            <w:r>
              <w:rPr>
                <w:rFonts w:ascii="Times New Roman" w:eastAsia="宋体" w:cs="Times New Roman"/>
                <w:sz w:val="21"/>
                <w:szCs w:val="21"/>
              </w:rPr>
              <w:t>%)</w:t>
            </w:r>
          </w:p>
        </w:tc>
        <w:tc>
          <w:tcPr>
            <w:tcW w:w="2453" w:type="dxa"/>
            <w:vAlign w:val="center"/>
          </w:tcPr>
          <w:p w14:paraId="4119B7D3">
            <w:pPr>
              <w:pStyle w:val="22"/>
              <w:snapToGrid w:val="0"/>
              <w:jc w:val="center"/>
              <w:rPr>
                <w:rFonts w:ascii="Times New Roman" w:eastAsia="宋体" w:cs="Times New Roman"/>
                <w:sz w:val="21"/>
                <w:szCs w:val="21"/>
              </w:rPr>
            </w:pPr>
            <w:r>
              <w:rPr>
                <w:rFonts w:hint="eastAsia" w:ascii="Times New Roman" w:eastAsia="宋体" w:cs="Times New Roman"/>
                <w:sz w:val="21"/>
                <w:szCs w:val="21"/>
              </w:rPr>
              <w:t>参考</w:t>
            </w:r>
            <w:r>
              <w:rPr>
                <w:rFonts w:ascii="Times New Roman" w:eastAsia="宋体" w:cs="Times New Roman"/>
                <w:sz w:val="21"/>
                <w:szCs w:val="21"/>
              </w:rPr>
              <w:t>GB/T 37342-2024</w:t>
            </w:r>
          </w:p>
        </w:tc>
        <w:tc>
          <w:tcPr>
            <w:tcW w:w="4212" w:type="dxa"/>
            <w:vAlign w:val="center"/>
          </w:tcPr>
          <w:p w14:paraId="6BD3644C">
            <w:pPr>
              <w:pStyle w:val="22"/>
              <w:snapToGrid w:val="0"/>
              <w:jc w:val="both"/>
              <w:rPr>
                <w:rFonts w:ascii="Times New Roman" w:eastAsia="宋体" w:cs="Times New Roman"/>
                <w:sz w:val="21"/>
                <w:szCs w:val="21"/>
              </w:rPr>
            </w:pPr>
            <w:r>
              <w:rPr>
                <w:rFonts w:hint="eastAsia" w:ascii="Times New Roman" w:eastAsia="宋体" w:cs="Times New Roman"/>
                <w:sz w:val="21"/>
                <w:szCs w:val="21"/>
              </w:rPr>
              <w:t>社区植被中本土乔木、灌木的物种数量占全部木本物种总数量的比例</w:t>
            </w:r>
          </w:p>
        </w:tc>
      </w:tr>
      <w:tr w14:paraId="619AFD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39" w:type="dxa"/>
            <w:vMerge w:val="continue"/>
            <w:vAlign w:val="center"/>
          </w:tcPr>
          <w:p w14:paraId="509E53BF">
            <w:pPr>
              <w:pStyle w:val="22"/>
              <w:snapToGrid w:val="0"/>
              <w:jc w:val="center"/>
              <w:rPr>
                <w:rFonts w:ascii="Times New Roman" w:eastAsia="宋体" w:cs="Times New Roman"/>
                <w:sz w:val="21"/>
                <w:szCs w:val="21"/>
              </w:rPr>
            </w:pPr>
          </w:p>
        </w:tc>
        <w:tc>
          <w:tcPr>
            <w:tcW w:w="2583" w:type="dxa"/>
            <w:vAlign w:val="center"/>
          </w:tcPr>
          <w:p w14:paraId="64FFA4B8">
            <w:pPr>
              <w:pStyle w:val="22"/>
              <w:snapToGrid w:val="0"/>
              <w:jc w:val="center"/>
              <w:rPr>
                <w:rFonts w:ascii="Times New Roman" w:eastAsia="宋体" w:cs="Times New Roman"/>
                <w:sz w:val="21"/>
                <w:szCs w:val="21"/>
              </w:rPr>
            </w:pPr>
            <w:r>
              <w:rPr>
                <w:rFonts w:hint="eastAsia" w:ascii="Times New Roman" w:eastAsia="宋体" w:cs="Times New Roman"/>
                <w:sz w:val="21"/>
                <w:szCs w:val="21"/>
              </w:rPr>
              <w:t>植被健康度</w:t>
            </w:r>
          </w:p>
        </w:tc>
        <w:tc>
          <w:tcPr>
            <w:tcW w:w="1195" w:type="dxa"/>
            <w:vAlign w:val="center"/>
          </w:tcPr>
          <w:p w14:paraId="32505BDF">
            <w:pPr>
              <w:pStyle w:val="22"/>
              <w:snapToGrid w:val="0"/>
              <w:jc w:val="center"/>
              <w:rPr>
                <w:rFonts w:ascii="Times New Roman" w:eastAsia="宋体" w:cs="Times New Roman"/>
                <w:sz w:val="21"/>
                <w:szCs w:val="21"/>
              </w:rPr>
            </w:pPr>
            <w:r>
              <w:rPr>
                <w:rFonts w:ascii="Times New Roman" w:eastAsia="宋体" w:cs="Times New Roman"/>
                <w:sz w:val="21"/>
                <w:szCs w:val="21"/>
              </w:rPr>
              <w:t>≥95%</w:t>
            </w:r>
          </w:p>
        </w:tc>
        <w:tc>
          <w:tcPr>
            <w:tcW w:w="1284" w:type="dxa"/>
            <w:vAlign w:val="center"/>
          </w:tcPr>
          <w:p w14:paraId="7C407A0D">
            <w:pPr>
              <w:pStyle w:val="22"/>
              <w:snapToGrid w:val="0"/>
              <w:jc w:val="center"/>
              <w:rPr>
                <w:rFonts w:ascii="Times New Roman" w:eastAsia="宋体" w:cs="Times New Roman"/>
                <w:sz w:val="21"/>
                <w:szCs w:val="21"/>
              </w:rPr>
            </w:pPr>
            <w:r>
              <w:rPr>
                <w:rFonts w:hint="eastAsia" w:ascii="Times New Roman" w:eastAsia="宋体" w:cs="Times New Roman"/>
                <w:sz w:val="21"/>
                <w:szCs w:val="21"/>
              </w:rPr>
              <w:t>[</w:t>
            </w:r>
            <w:r>
              <w:rPr>
                <w:rFonts w:ascii="Times New Roman" w:eastAsia="宋体" w:cs="Times New Roman"/>
                <w:sz w:val="21"/>
                <w:szCs w:val="21"/>
              </w:rPr>
              <w:t>90%</w:t>
            </w:r>
            <w:r>
              <w:rPr>
                <w:rFonts w:hint="eastAsia" w:ascii="Times New Roman" w:eastAsia="宋体" w:cs="Times New Roman"/>
                <w:sz w:val="21"/>
                <w:szCs w:val="21"/>
              </w:rPr>
              <w:t>,</w:t>
            </w:r>
            <w:r>
              <w:rPr>
                <w:rFonts w:ascii="Times New Roman" w:eastAsia="宋体" w:cs="Times New Roman"/>
                <w:sz w:val="21"/>
                <w:szCs w:val="21"/>
              </w:rPr>
              <w:t>95%)</w:t>
            </w:r>
          </w:p>
        </w:tc>
        <w:tc>
          <w:tcPr>
            <w:tcW w:w="1179" w:type="dxa"/>
            <w:vAlign w:val="center"/>
          </w:tcPr>
          <w:p w14:paraId="5C4735D0">
            <w:pPr>
              <w:pStyle w:val="22"/>
              <w:snapToGrid w:val="0"/>
              <w:jc w:val="center"/>
              <w:rPr>
                <w:rFonts w:ascii="Times New Roman" w:eastAsia="宋体" w:cs="Times New Roman"/>
                <w:sz w:val="21"/>
                <w:szCs w:val="21"/>
              </w:rPr>
            </w:pPr>
            <w:r>
              <w:rPr>
                <w:rFonts w:hint="eastAsia" w:ascii="Times New Roman" w:eastAsia="宋体" w:cs="Times New Roman"/>
                <w:sz w:val="21"/>
                <w:szCs w:val="21"/>
              </w:rPr>
              <w:t>[</w:t>
            </w:r>
            <w:r>
              <w:rPr>
                <w:rFonts w:ascii="Times New Roman" w:eastAsia="宋体" w:cs="Times New Roman"/>
                <w:sz w:val="21"/>
                <w:szCs w:val="21"/>
              </w:rPr>
              <w:t>85%,90%)</w:t>
            </w:r>
          </w:p>
        </w:tc>
        <w:tc>
          <w:tcPr>
            <w:tcW w:w="2453" w:type="dxa"/>
            <w:vAlign w:val="center"/>
          </w:tcPr>
          <w:p w14:paraId="37A7CBD5">
            <w:pPr>
              <w:pStyle w:val="22"/>
              <w:snapToGrid w:val="0"/>
              <w:jc w:val="both"/>
              <w:rPr>
                <w:rFonts w:ascii="Times New Roman" w:eastAsia="宋体" w:cs="Times New Roman"/>
                <w:sz w:val="21"/>
                <w:szCs w:val="21"/>
              </w:rPr>
            </w:pPr>
            <w:r>
              <w:rPr>
                <w:rFonts w:hint="eastAsia" w:ascii="Times New Roman" w:eastAsia="宋体" w:cs="Times New Roman"/>
                <w:sz w:val="21"/>
                <w:szCs w:val="21"/>
              </w:rPr>
              <w:t>参考</w:t>
            </w:r>
            <w:r>
              <w:rPr>
                <w:rFonts w:ascii="Times New Roman" w:eastAsia="宋体" w:cs="Times New Roman"/>
                <w:sz w:val="21"/>
                <w:szCs w:val="21"/>
              </w:rPr>
              <w:t>CJJ/T 287-2018</w:t>
            </w:r>
            <w:r>
              <w:rPr>
                <w:rFonts w:hint="eastAsia" w:ascii="Times New Roman" w:eastAsia="宋体" w:cs="Times New Roman"/>
                <w:sz w:val="21"/>
                <w:szCs w:val="21"/>
              </w:rPr>
              <w:t>、</w:t>
            </w:r>
            <w:r>
              <w:rPr>
                <w:rFonts w:ascii="Times New Roman" w:eastAsia="宋体" w:cs="Times New Roman"/>
                <w:sz w:val="21"/>
                <w:szCs w:val="21"/>
              </w:rPr>
              <w:t>DB11/T 725-2024</w:t>
            </w:r>
          </w:p>
        </w:tc>
        <w:tc>
          <w:tcPr>
            <w:tcW w:w="4212" w:type="dxa"/>
            <w:vAlign w:val="center"/>
          </w:tcPr>
          <w:p w14:paraId="6385468D">
            <w:pPr>
              <w:pStyle w:val="22"/>
              <w:snapToGrid w:val="0"/>
              <w:jc w:val="both"/>
              <w:rPr>
                <w:rFonts w:ascii="Times New Roman" w:eastAsia="宋体" w:cs="Times New Roman"/>
                <w:sz w:val="21"/>
                <w:szCs w:val="21"/>
              </w:rPr>
            </w:pPr>
            <w:r>
              <w:rPr>
                <w:rFonts w:hint="eastAsia" w:ascii="Times New Roman" w:eastAsia="宋体" w:cs="Times New Roman"/>
                <w:sz w:val="21"/>
                <w:szCs w:val="21"/>
              </w:rPr>
              <w:t>无病虫害、无枯萎的木本植物数量占植被总数量的比例</w:t>
            </w:r>
          </w:p>
        </w:tc>
      </w:tr>
      <w:tr w14:paraId="09F7D7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39" w:type="dxa"/>
            <w:vMerge w:val="continue"/>
            <w:vAlign w:val="center"/>
          </w:tcPr>
          <w:p w14:paraId="120978E7">
            <w:pPr>
              <w:pStyle w:val="22"/>
              <w:snapToGrid w:val="0"/>
              <w:jc w:val="center"/>
              <w:rPr>
                <w:rFonts w:ascii="Times New Roman" w:eastAsia="宋体" w:cs="Times New Roman"/>
                <w:sz w:val="21"/>
                <w:szCs w:val="21"/>
              </w:rPr>
            </w:pPr>
          </w:p>
        </w:tc>
        <w:tc>
          <w:tcPr>
            <w:tcW w:w="2583" w:type="dxa"/>
            <w:vAlign w:val="center"/>
          </w:tcPr>
          <w:p w14:paraId="106FEE31">
            <w:pPr>
              <w:pStyle w:val="22"/>
              <w:snapToGrid w:val="0"/>
              <w:jc w:val="center"/>
              <w:rPr>
                <w:rFonts w:ascii="Times New Roman" w:eastAsia="宋体" w:cs="Times New Roman"/>
                <w:sz w:val="21"/>
                <w:szCs w:val="21"/>
              </w:rPr>
            </w:pPr>
            <w:r>
              <w:rPr>
                <w:rFonts w:hint="eastAsia" w:ascii="Times New Roman" w:eastAsia="宋体" w:cs="Times New Roman"/>
                <w:sz w:val="21"/>
                <w:szCs w:val="21"/>
              </w:rPr>
              <w:t>强致敏植物占比</w:t>
            </w:r>
          </w:p>
        </w:tc>
        <w:tc>
          <w:tcPr>
            <w:tcW w:w="1195" w:type="dxa"/>
            <w:vAlign w:val="center"/>
          </w:tcPr>
          <w:p w14:paraId="10CB15D9">
            <w:pPr>
              <w:pStyle w:val="22"/>
              <w:snapToGrid w:val="0"/>
              <w:jc w:val="center"/>
              <w:rPr>
                <w:rFonts w:ascii="Times New Roman" w:eastAsia="宋体" w:cs="Times New Roman"/>
                <w:sz w:val="21"/>
                <w:szCs w:val="21"/>
              </w:rPr>
            </w:pPr>
            <w:r>
              <w:rPr>
                <w:rFonts w:hint="eastAsia" w:ascii="Times New Roman" w:eastAsia="宋体" w:cs="Times New Roman"/>
                <w:sz w:val="21"/>
                <w:szCs w:val="21"/>
              </w:rPr>
              <w:t>≤2</w:t>
            </w:r>
            <w:r>
              <w:rPr>
                <w:rFonts w:ascii="Times New Roman" w:eastAsia="宋体" w:cs="Times New Roman"/>
                <w:sz w:val="21"/>
                <w:szCs w:val="21"/>
              </w:rPr>
              <w:t>%</w:t>
            </w:r>
          </w:p>
        </w:tc>
        <w:tc>
          <w:tcPr>
            <w:tcW w:w="1284" w:type="dxa"/>
            <w:vAlign w:val="center"/>
          </w:tcPr>
          <w:p w14:paraId="581EF41E">
            <w:pPr>
              <w:pStyle w:val="22"/>
              <w:snapToGrid w:val="0"/>
              <w:jc w:val="center"/>
              <w:rPr>
                <w:rFonts w:ascii="Times New Roman" w:eastAsia="宋体" w:cs="Times New Roman"/>
                <w:sz w:val="21"/>
                <w:szCs w:val="21"/>
              </w:rPr>
            </w:pPr>
            <w:r>
              <w:rPr>
                <w:rFonts w:ascii="Times New Roman" w:eastAsia="宋体" w:cs="Times New Roman"/>
                <w:sz w:val="21"/>
                <w:szCs w:val="21"/>
              </w:rPr>
              <w:t>(2%</w:t>
            </w:r>
            <w:r>
              <w:rPr>
                <w:rFonts w:hint="eastAsia" w:ascii="Times New Roman" w:eastAsia="宋体" w:cs="Times New Roman"/>
                <w:sz w:val="21"/>
                <w:szCs w:val="21"/>
              </w:rPr>
              <w:t>,</w:t>
            </w:r>
            <w:r>
              <w:rPr>
                <w:rFonts w:ascii="Times New Roman" w:eastAsia="宋体" w:cs="Times New Roman"/>
                <w:sz w:val="21"/>
                <w:szCs w:val="21"/>
              </w:rPr>
              <w:t>3%]</w:t>
            </w:r>
          </w:p>
        </w:tc>
        <w:tc>
          <w:tcPr>
            <w:tcW w:w="1179" w:type="dxa"/>
            <w:vAlign w:val="center"/>
          </w:tcPr>
          <w:p w14:paraId="13F2EE51">
            <w:pPr>
              <w:pStyle w:val="22"/>
              <w:snapToGrid w:val="0"/>
              <w:jc w:val="center"/>
              <w:rPr>
                <w:rFonts w:ascii="Times New Roman" w:eastAsia="宋体" w:cs="Times New Roman"/>
                <w:sz w:val="21"/>
                <w:szCs w:val="21"/>
              </w:rPr>
            </w:pPr>
            <w:r>
              <w:rPr>
                <w:rFonts w:ascii="Times New Roman" w:eastAsia="宋体" w:cs="Times New Roman"/>
                <w:sz w:val="21"/>
                <w:szCs w:val="21"/>
              </w:rPr>
              <w:t>(3%</w:t>
            </w:r>
            <w:r>
              <w:rPr>
                <w:rFonts w:hint="eastAsia" w:ascii="Times New Roman" w:eastAsia="宋体" w:cs="Times New Roman"/>
                <w:sz w:val="21"/>
                <w:szCs w:val="21"/>
              </w:rPr>
              <w:t>,</w:t>
            </w:r>
            <w:r>
              <w:rPr>
                <w:rFonts w:ascii="Times New Roman" w:eastAsia="宋体" w:cs="Times New Roman"/>
                <w:sz w:val="21"/>
                <w:szCs w:val="21"/>
              </w:rPr>
              <w:t>5%]</w:t>
            </w:r>
          </w:p>
        </w:tc>
        <w:tc>
          <w:tcPr>
            <w:tcW w:w="2453" w:type="dxa"/>
            <w:vAlign w:val="center"/>
          </w:tcPr>
          <w:p w14:paraId="2756D3FA">
            <w:pPr>
              <w:pStyle w:val="22"/>
              <w:snapToGrid w:val="0"/>
              <w:rPr>
                <w:rFonts w:ascii="Times New Roman" w:eastAsia="宋体" w:cs="Times New Roman"/>
                <w:sz w:val="21"/>
                <w:szCs w:val="21"/>
              </w:rPr>
            </w:pPr>
            <w:r>
              <w:rPr>
                <w:rFonts w:hint="eastAsia" w:ascii="Times New Roman" w:eastAsia="宋体" w:cs="Times New Roman"/>
                <w:sz w:val="21"/>
                <w:szCs w:val="21"/>
              </w:rPr>
              <w:t>参考前沿研究文献划定</w:t>
            </w:r>
          </w:p>
        </w:tc>
        <w:tc>
          <w:tcPr>
            <w:tcW w:w="4212" w:type="dxa"/>
            <w:vAlign w:val="center"/>
          </w:tcPr>
          <w:p w14:paraId="48034E0E">
            <w:pPr>
              <w:pStyle w:val="22"/>
              <w:snapToGrid w:val="0"/>
              <w:jc w:val="both"/>
              <w:rPr>
                <w:rFonts w:ascii="Times New Roman" w:eastAsia="宋体" w:cs="Times New Roman"/>
                <w:sz w:val="21"/>
                <w:szCs w:val="21"/>
              </w:rPr>
            </w:pPr>
            <w:r>
              <w:rPr>
                <w:rFonts w:hint="eastAsia" w:ascii="Times New Roman" w:eastAsia="宋体" w:cs="Times New Roman"/>
                <w:sz w:val="21"/>
                <w:szCs w:val="21"/>
              </w:rPr>
              <w:t>社区中绿化植物中强致敏植物数量占比</w:t>
            </w:r>
          </w:p>
        </w:tc>
      </w:tr>
      <w:tr w14:paraId="370BEC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39" w:type="dxa"/>
            <w:vMerge w:val="restart"/>
            <w:vAlign w:val="center"/>
          </w:tcPr>
          <w:p w14:paraId="0406BF8E">
            <w:pPr>
              <w:pStyle w:val="22"/>
              <w:snapToGrid w:val="0"/>
              <w:jc w:val="center"/>
              <w:rPr>
                <w:rFonts w:ascii="Times New Roman" w:eastAsia="宋体" w:cs="Times New Roman"/>
                <w:sz w:val="21"/>
                <w:szCs w:val="21"/>
              </w:rPr>
            </w:pPr>
            <w:r>
              <w:rPr>
                <w:rFonts w:hint="eastAsia" w:ascii="Times New Roman" w:eastAsia="宋体" w:cs="Times New Roman"/>
                <w:sz w:val="21"/>
                <w:szCs w:val="21"/>
              </w:rPr>
              <w:t>生物多样性</w:t>
            </w:r>
          </w:p>
        </w:tc>
        <w:tc>
          <w:tcPr>
            <w:tcW w:w="2583" w:type="dxa"/>
            <w:vAlign w:val="center"/>
          </w:tcPr>
          <w:p w14:paraId="11EF54C6">
            <w:pPr>
              <w:pStyle w:val="22"/>
              <w:snapToGrid w:val="0"/>
              <w:jc w:val="center"/>
              <w:rPr>
                <w:rFonts w:ascii="Times New Roman" w:eastAsia="宋体" w:cs="Times New Roman"/>
                <w:sz w:val="21"/>
                <w:szCs w:val="21"/>
              </w:rPr>
            </w:pPr>
            <w:r>
              <w:rPr>
                <w:rFonts w:hint="eastAsia" w:ascii="Times New Roman" w:eastAsia="宋体" w:cs="Times New Roman"/>
                <w:sz w:val="21"/>
                <w:szCs w:val="21"/>
              </w:rPr>
              <w:t>本土植物种类数量</w:t>
            </w:r>
          </w:p>
        </w:tc>
        <w:tc>
          <w:tcPr>
            <w:tcW w:w="1195" w:type="dxa"/>
            <w:vAlign w:val="center"/>
          </w:tcPr>
          <w:p w14:paraId="7954A2AC">
            <w:pPr>
              <w:pStyle w:val="22"/>
              <w:snapToGrid w:val="0"/>
              <w:jc w:val="center"/>
              <w:rPr>
                <w:rFonts w:ascii="Times New Roman" w:eastAsia="宋体" w:cs="Times New Roman"/>
                <w:sz w:val="21"/>
                <w:szCs w:val="21"/>
              </w:rPr>
            </w:pPr>
            <w:r>
              <w:rPr>
                <w:rFonts w:hint="eastAsia" w:ascii="Times New Roman" w:eastAsia="宋体" w:cs="Times New Roman"/>
                <w:sz w:val="21"/>
                <w:szCs w:val="21"/>
              </w:rPr>
              <w:t>≥50</w:t>
            </w:r>
          </w:p>
        </w:tc>
        <w:tc>
          <w:tcPr>
            <w:tcW w:w="1284" w:type="dxa"/>
            <w:vAlign w:val="center"/>
          </w:tcPr>
          <w:p w14:paraId="1AACC830">
            <w:pPr>
              <w:pStyle w:val="22"/>
              <w:snapToGrid w:val="0"/>
              <w:jc w:val="center"/>
              <w:rPr>
                <w:rFonts w:ascii="Times New Roman" w:eastAsia="宋体" w:cs="Times New Roman"/>
                <w:sz w:val="21"/>
                <w:szCs w:val="21"/>
              </w:rPr>
            </w:pPr>
            <w:r>
              <w:rPr>
                <w:rFonts w:hint="eastAsia" w:ascii="Times New Roman" w:eastAsia="宋体" w:cs="Times New Roman"/>
                <w:sz w:val="21"/>
                <w:szCs w:val="21"/>
              </w:rPr>
              <w:t>[</w:t>
            </w:r>
            <w:r>
              <w:rPr>
                <w:rFonts w:ascii="Times New Roman" w:eastAsia="宋体" w:cs="Times New Roman"/>
                <w:sz w:val="21"/>
                <w:szCs w:val="21"/>
              </w:rPr>
              <w:t>40</w:t>
            </w:r>
            <w:r>
              <w:rPr>
                <w:rFonts w:hint="eastAsia" w:ascii="Times New Roman" w:eastAsia="宋体" w:cs="Times New Roman"/>
                <w:sz w:val="21"/>
                <w:szCs w:val="21"/>
              </w:rPr>
              <w:t>,</w:t>
            </w:r>
            <w:r>
              <w:rPr>
                <w:rFonts w:ascii="Times New Roman" w:eastAsia="宋体" w:cs="Times New Roman"/>
                <w:sz w:val="21"/>
                <w:szCs w:val="21"/>
              </w:rPr>
              <w:t>50)</w:t>
            </w:r>
          </w:p>
        </w:tc>
        <w:tc>
          <w:tcPr>
            <w:tcW w:w="1179" w:type="dxa"/>
            <w:vAlign w:val="center"/>
          </w:tcPr>
          <w:p w14:paraId="3A65F4D4">
            <w:pPr>
              <w:pStyle w:val="22"/>
              <w:snapToGrid w:val="0"/>
              <w:jc w:val="center"/>
              <w:rPr>
                <w:rFonts w:ascii="Times New Roman" w:eastAsia="宋体" w:cs="Times New Roman"/>
                <w:sz w:val="21"/>
                <w:szCs w:val="21"/>
              </w:rPr>
            </w:pPr>
            <w:r>
              <w:rPr>
                <w:rFonts w:hint="eastAsia" w:ascii="Times New Roman" w:eastAsia="宋体" w:cs="Times New Roman"/>
                <w:sz w:val="21"/>
                <w:szCs w:val="21"/>
              </w:rPr>
              <w:t>[</w:t>
            </w:r>
            <w:r>
              <w:rPr>
                <w:rFonts w:ascii="Times New Roman" w:eastAsia="宋体" w:cs="Times New Roman"/>
                <w:sz w:val="21"/>
                <w:szCs w:val="21"/>
              </w:rPr>
              <w:t>30,40)</w:t>
            </w:r>
          </w:p>
        </w:tc>
        <w:tc>
          <w:tcPr>
            <w:tcW w:w="2453" w:type="dxa"/>
            <w:vAlign w:val="center"/>
          </w:tcPr>
          <w:p w14:paraId="59FE7114">
            <w:pPr>
              <w:pStyle w:val="22"/>
              <w:snapToGrid w:val="0"/>
              <w:jc w:val="center"/>
              <w:rPr>
                <w:rFonts w:ascii="Times New Roman" w:eastAsia="宋体" w:cs="Times New Roman"/>
                <w:sz w:val="21"/>
                <w:szCs w:val="21"/>
              </w:rPr>
            </w:pPr>
            <w:r>
              <w:rPr>
                <w:rFonts w:hint="eastAsia" w:ascii="Times New Roman" w:eastAsia="宋体" w:cs="Times New Roman"/>
                <w:sz w:val="21"/>
                <w:szCs w:val="21"/>
              </w:rPr>
              <w:t>参考</w:t>
            </w:r>
            <w:r>
              <w:rPr>
                <w:rFonts w:ascii="Times New Roman" w:eastAsia="宋体" w:cs="Times New Roman"/>
                <w:sz w:val="21"/>
                <w:szCs w:val="21"/>
              </w:rPr>
              <w:t>DB32/T 4174-2021</w:t>
            </w:r>
          </w:p>
        </w:tc>
        <w:tc>
          <w:tcPr>
            <w:tcW w:w="4212" w:type="dxa"/>
            <w:vAlign w:val="center"/>
          </w:tcPr>
          <w:p w14:paraId="572841B4">
            <w:pPr>
              <w:pStyle w:val="22"/>
              <w:snapToGrid w:val="0"/>
              <w:jc w:val="both"/>
              <w:rPr>
                <w:rFonts w:ascii="Times New Roman" w:eastAsia="宋体" w:cs="Times New Roman"/>
                <w:sz w:val="21"/>
                <w:szCs w:val="21"/>
              </w:rPr>
            </w:pPr>
            <w:r>
              <w:rPr>
                <w:rFonts w:hint="eastAsia" w:ascii="Times New Roman" w:eastAsia="宋体" w:cs="Times New Roman"/>
                <w:sz w:val="21"/>
                <w:szCs w:val="21"/>
              </w:rPr>
              <w:t>社区内本土乔木、灌木等木本植物种类</w:t>
            </w:r>
          </w:p>
        </w:tc>
      </w:tr>
      <w:tr w14:paraId="68E324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39" w:type="dxa"/>
            <w:vMerge w:val="continue"/>
            <w:vAlign w:val="center"/>
          </w:tcPr>
          <w:p w14:paraId="5F8FB8C5">
            <w:pPr>
              <w:pStyle w:val="22"/>
              <w:snapToGrid w:val="0"/>
              <w:jc w:val="center"/>
              <w:rPr>
                <w:rFonts w:ascii="Times New Roman" w:eastAsia="宋体" w:cs="Times New Roman"/>
                <w:sz w:val="21"/>
                <w:szCs w:val="21"/>
              </w:rPr>
            </w:pPr>
          </w:p>
        </w:tc>
        <w:tc>
          <w:tcPr>
            <w:tcW w:w="2583" w:type="dxa"/>
            <w:vAlign w:val="center"/>
          </w:tcPr>
          <w:p w14:paraId="27B03802">
            <w:pPr>
              <w:pStyle w:val="22"/>
              <w:snapToGrid w:val="0"/>
              <w:jc w:val="center"/>
              <w:rPr>
                <w:rFonts w:ascii="Times New Roman" w:eastAsia="宋体" w:cs="Times New Roman"/>
                <w:sz w:val="21"/>
                <w:szCs w:val="21"/>
              </w:rPr>
            </w:pPr>
            <w:r>
              <w:rPr>
                <w:rFonts w:hint="eastAsia" w:ascii="Times New Roman" w:eastAsia="宋体" w:cs="Times New Roman"/>
                <w:sz w:val="21"/>
                <w:szCs w:val="21"/>
              </w:rPr>
              <w:t>生态栖息地占比</w:t>
            </w:r>
          </w:p>
        </w:tc>
        <w:tc>
          <w:tcPr>
            <w:tcW w:w="1195" w:type="dxa"/>
            <w:vAlign w:val="center"/>
          </w:tcPr>
          <w:p w14:paraId="533059D4">
            <w:pPr>
              <w:pStyle w:val="22"/>
              <w:snapToGrid w:val="0"/>
              <w:jc w:val="center"/>
              <w:rPr>
                <w:rFonts w:ascii="Times New Roman" w:eastAsia="宋体" w:cs="Times New Roman"/>
                <w:sz w:val="21"/>
                <w:szCs w:val="21"/>
              </w:rPr>
            </w:pPr>
            <w:r>
              <w:rPr>
                <w:rFonts w:hint="eastAsia" w:ascii="Times New Roman" w:eastAsia="宋体" w:cs="Times New Roman"/>
                <w:sz w:val="21"/>
                <w:szCs w:val="21"/>
              </w:rPr>
              <w:t>≥</w:t>
            </w:r>
            <w:r>
              <w:rPr>
                <w:rFonts w:ascii="Times New Roman" w:eastAsia="宋体" w:cs="Times New Roman"/>
                <w:sz w:val="21"/>
                <w:szCs w:val="21"/>
              </w:rPr>
              <w:t>40%</w:t>
            </w:r>
          </w:p>
        </w:tc>
        <w:tc>
          <w:tcPr>
            <w:tcW w:w="1284" w:type="dxa"/>
            <w:vAlign w:val="center"/>
          </w:tcPr>
          <w:p w14:paraId="1FD79011">
            <w:pPr>
              <w:pStyle w:val="22"/>
              <w:snapToGrid w:val="0"/>
              <w:jc w:val="center"/>
              <w:rPr>
                <w:rFonts w:ascii="Times New Roman" w:eastAsia="宋体" w:cs="Times New Roman"/>
                <w:sz w:val="21"/>
                <w:szCs w:val="21"/>
              </w:rPr>
            </w:pPr>
            <w:r>
              <w:rPr>
                <w:rFonts w:hint="eastAsia" w:ascii="Times New Roman" w:eastAsia="宋体" w:cs="Times New Roman"/>
                <w:sz w:val="21"/>
                <w:szCs w:val="21"/>
              </w:rPr>
              <w:t>[</w:t>
            </w:r>
            <w:r>
              <w:rPr>
                <w:rFonts w:ascii="Times New Roman" w:eastAsia="宋体" w:cs="Times New Roman"/>
                <w:sz w:val="21"/>
                <w:szCs w:val="21"/>
              </w:rPr>
              <w:t>30%</w:t>
            </w:r>
            <w:r>
              <w:rPr>
                <w:rFonts w:hint="eastAsia" w:ascii="Times New Roman" w:eastAsia="宋体" w:cs="Times New Roman"/>
                <w:sz w:val="21"/>
                <w:szCs w:val="21"/>
              </w:rPr>
              <w:t>,</w:t>
            </w:r>
            <w:r>
              <w:rPr>
                <w:rFonts w:ascii="Times New Roman" w:eastAsia="宋体" w:cs="Times New Roman"/>
                <w:sz w:val="21"/>
                <w:szCs w:val="21"/>
              </w:rPr>
              <w:t>40%)</w:t>
            </w:r>
          </w:p>
        </w:tc>
        <w:tc>
          <w:tcPr>
            <w:tcW w:w="1179" w:type="dxa"/>
            <w:vAlign w:val="center"/>
          </w:tcPr>
          <w:p w14:paraId="458057CC">
            <w:pPr>
              <w:pStyle w:val="22"/>
              <w:snapToGrid w:val="0"/>
              <w:jc w:val="center"/>
              <w:rPr>
                <w:rFonts w:ascii="Times New Roman" w:eastAsia="宋体" w:cs="Times New Roman"/>
                <w:sz w:val="21"/>
                <w:szCs w:val="21"/>
              </w:rPr>
            </w:pPr>
            <w:r>
              <w:rPr>
                <w:rFonts w:hint="eastAsia" w:ascii="Times New Roman" w:eastAsia="宋体" w:cs="Times New Roman"/>
                <w:sz w:val="21"/>
                <w:szCs w:val="21"/>
              </w:rPr>
              <w:t>[</w:t>
            </w:r>
            <w:r>
              <w:rPr>
                <w:rFonts w:ascii="Times New Roman" w:eastAsia="宋体" w:cs="Times New Roman"/>
                <w:sz w:val="21"/>
                <w:szCs w:val="21"/>
              </w:rPr>
              <w:t>20%,30%)</w:t>
            </w:r>
          </w:p>
        </w:tc>
        <w:tc>
          <w:tcPr>
            <w:tcW w:w="2453" w:type="dxa"/>
            <w:vAlign w:val="center"/>
          </w:tcPr>
          <w:p w14:paraId="1F445D0E">
            <w:pPr>
              <w:pStyle w:val="22"/>
              <w:snapToGrid w:val="0"/>
              <w:jc w:val="center"/>
              <w:rPr>
                <w:rFonts w:ascii="Times New Roman" w:eastAsia="宋体" w:cs="Times New Roman"/>
                <w:sz w:val="21"/>
                <w:szCs w:val="21"/>
              </w:rPr>
            </w:pPr>
            <w:r>
              <w:rPr>
                <w:rFonts w:hint="eastAsia" w:ascii="Times New Roman" w:eastAsia="宋体" w:cs="Times New Roman"/>
                <w:sz w:val="21"/>
                <w:szCs w:val="21"/>
              </w:rPr>
              <w:t>参考前沿研究文献划定</w:t>
            </w:r>
          </w:p>
        </w:tc>
        <w:tc>
          <w:tcPr>
            <w:tcW w:w="4212" w:type="dxa"/>
            <w:vAlign w:val="center"/>
          </w:tcPr>
          <w:p w14:paraId="0B5CCC3C">
            <w:pPr>
              <w:pStyle w:val="22"/>
              <w:snapToGrid w:val="0"/>
              <w:jc w:val="both"/>
              <w:rPr>
                <w:rFonts w:ascii="Times New Roman" w:eastAsia="宋体" w:cs="Times New Roman"/>
                <w:sz w:val="21"/>
                <w:szCs w:val="21"/>
              </w:rPr>
            </w:pPr>
            <w:r>
              <w:rPr>
                <w:rFonts w:hint="eastAsia" w:ascii="Times New Roman" w:eastAsia="宋体" w:cs="Times New Roman"/>
                <w:sz w:val="21"/>
                <w:szCs w:val="21"/>
              </w:rPr>
              <w:t>社区内绿道、湿地斑块、植被组团等生态栖息地总面积占社区总用地面积的比例</w:t>
            </w:r>
          </w:p>
        </w:tc>
      </w:tr>
      <w:tr w14:paraId="3ABDD2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39" w:type="dxa"/>
            <w:vMerge w:val="continue"/>
            <w:vAlign w:val="center"/>
          </w:tcPr>
          <w:p w14:paraId="6D021240">
            <w:pPr>
              <w:pStyle w:val="22"/>
              <w:snapToGrid w:val="0"/>
              <w:jc w:val="center"/>
              <w:rPr>
                <w:rFonts w:ascii="Times New Roman" w:eastAsia="宋体" w:cs="Times New Roman"/>
                <w:sz w:val="21"/>
                <w:szCs w:val="21"/>
              </w:rPr>
            </w:pPr>
          </w:p>
        </w:tc>
        <w:tc>
          <w:tcPr>
            <w:tcW w:w="2583" w:type="dxa"/>
            <w:vAlign w:val="center"/>
          </w:tcPr>
          <w:p w14:paraId="03831D8F">
            <w:pPr>
              <w:pStyle w:val="22"/>
              <w:snapToGrid w:val="0"/>
              <w:jc w:val="center"/>
              <w:rPr>
                <w:rFonts w:ascii="Times New Roman" w:eastAsia="宋体" w:cs="Times New Roman"/>
                <w:sz w:val="21"/>
                <w:szCs w:val="21"/>
              </w:rPr>
            </w:pPr>
            <w:r>
              <w:rPr>
                <w:rFonts w:hint="eastAsia" w:ascii="Times New Roman" w:eastAsia="宋体" w:cs="Times New Roman"/>
                <w:sz w:val="21"/>
                <w:szCs w:val="21"/>
              </w:rPr>
              <w:t>指示物种栖息情况</w:t>
            </w:r>
          </w:p>
        </w:tc>
        <w:tc>
          <w:tcPr>
            <w:tcW w:w="1195" w:type="dxa"/>
            <w:vAlign w:val="center"/>
          </w:tcPr>
          <w:p w14:paraId="05C96FFB">
            <w:pPr>
              <w:pStyle w:val="22"/>
              <w:snapToGrid w:val="0"/>
              <w:jc w:val="center"/>
              <w:rPr>
                <w:rFonts w:ascii="Times New Roman" w:eastAsia="宋体" w:cs="Times New Roman"/>
                <w:sz w:val="21"/>
                <w:szCs w:val="21"/>
              </w:rPr>
            </w:pPr>
            <w:r>
              <w:rPr>
                <w:rFonts w:hint="eastAsia" w:ascii="Times New Roman" w:eastAsia="宋体" w:cs="Times New Roman"/>
                <w:sz w:val="21"/>
                <w:szCs w:val="21"/>
              </w:rPr>
              <w:t xml:space="preserve">≥1个/ha </w:t>
            </w:r>
          </w:p>
        </w:tc>
        <w:tc>
          <w:tcPr>
            <w:tcW w:w="1284" w:type="dxa"/>
            <w:vAlign w:val="center"/>
          </w:tcPr>
          <w:p w14:paraId="4D7F12F4">
            <w:pPr>
              <w:pStyle w:val="22"/>
              <w:snapToGrid w:val="0"/>
              <w:jc w:val="center"/>
              <w:rPr>
                <w:rFonts w:ascii="Times New Roman" w:eastAsia="宋体" w:cs="Times New Roman"/>
                <w:sz w:val="21"/>
                <w:szCs w:val="21"/>
              </w:rPr>
            </w:pPr>
            <w:r>
              <w:rPr>
                <w:rFonts w:hint="eastAsia" w:ascii="Times New Roman" w:eastAsia="宋体" w:cs="Times New Roman"/>
                <w:sz w:val="21"/>
                <w:szCs w:val="21"/>
              </w:rPr>
              <w:t>[</w:t>
            </w:r>
            <w:r>
              <w:rPr>
                <w:rFonts w:ascii="Times New Roman" w:eastAsia="宋体" w:cs="Times New Roman"/>
                <w:sz w:val="21"/>
                <w:szCs w:val="21"/>
              </w:rPr>
              <w:t>0.5</w:t>
            </w:r>
            <w:r>
              <w:rPr>
                <w:rFonts w:hint="eastAsia" w:ascii="Times New Roman" w:eastAsia="宋体" w:cs="Times New Roman"/>
                <w:sz w:val="21"/>
                <w:szCs w:val="21"/>
              </w:rPr>
              <w:t>,</w:t>
            </w:r>
            <w:r>
              <w:rPr>
                <w:rFonts w:ascii="Times New Roman" w:eastAsia="宋体" w:cs="Times New Roman"/>
                <w:sz w:val="21"/>
                <w:szCs w:val="21"/>
              </w:rPr>
              <w:t>1)</w:t>
            </w:r>
          </w:p>
        </w:tc>
        <w:tc>
          <w:tcPr>
            <w:tcW w:w="1179" w:type="dxa"/>
            <w:vAlign w:val="center"/>
          </w:tcPr>
          <w:p w14:paraId="2995CA65">
            <w:pPr>
              <w:pStyle w:val="22"/>
              <w:snapToGrid w:val="0"/>
              <w:jc w:val="center"/>
              <w:rPr>
                <w:rFonts w:ascii="Times New Roman" w:eastAsia="宋体" w:cs="Times New Roman"/>
                <w:sz w:val="21"/>
                <w:szCs w:val="21"/>
              </w:rPr>
            </w:pPr>
            <w:r>
              <w:rPr>
                <w:rFonts w:hint="eastAsia" w:ascii="Times New Roman" w:eastAsia="宋体" w:cs="Times New Roman"/>
                <w:sz w:val="21"/>
                <w:szCs w:val="21"/>
              </w:rPr>
              <w:t>[</w:t>
            </w:r>
            <w:r>
              <w:rPr>
                <w:rFonts w:ascii="Times New Roman" w:eastAsia="宋体" w:cs="Times New Roman"/>
                <w:sz w:val="21"/>
                <w:szCs w:val="21"/>
              </w:rPr>
              <w:t>0.25</w:t>
            </w:r>
            <w:r>
              <w:rPr>
                <w:rFonts w:hint="eastAsia" w:ascii="Times New Roman" w:eastAsia="宋体" w:cs="Times New Roman"/>
                <w:sz w:val="21"/>
                <w:szCs w:val="21"/>
              </w:rPr>
              <w:t>,</w:t>
            </w:r>
            <w:r>
              <w:rPr>
                <w:rFonts w:ascii="Times New Roman" w:eastAsia="宋体" w:cs="Times New Roman"/>
                <w:sz w:val="21"/>
                <w:szCs w:val="21"/>
              </w:rPr>
              <w:t>0.5)</w:t>
            </w:r>
          </w:p>
        </w:tc>
        <w:tc>
          <w:tcPr>
            <w:tcW w:w="2453" w:type="dxa"/>
            <w:vAlign w:val="center"/>
          </w:tcPr>
          <w:p w14:paraId="0C904AED">
            <w:pPr>
              <w:pStyle w:val="22"/>
              <w:snapToGrid w:val="0"/>
              <w:jc w:val="center"/>
              <w:rPr>
                <w:rFonts w:ascii="Times New Roman" w:eastAsia="宋体" w:cs="Times New Roman"/>
                <w:sz w:val="21"/>
                <w:szCs w:val="21"/>
              </w:rPr>
            </w:pPr>
            <w:r>
              <w:rPr>
                <w:rFonts w:hint="eastAsia" w:ascii="Times New Roman" w:eastAsia="宋体" w:cs="Times New Roman"/>
                <w:sz w:val="21"/>
                <w:szCs w:val="21"/>
              </w:rPr>
              <w:t>参考实地调研和现有前沿研究综合划定</w:t>
            </w:r>
          </w:p>
        </w:tc>
        <w:tc>
          <w:tcPr>
            <w:tcW w:w="4212" w:type="dxa"/>
            <w:vAlign w:val="center"/>
          </w:tcPr>
          <w:p w14:paraId="4B103B1D">
            <w:pPr>
              <w:pStyle w:val="22"/>
              <w:snapToGrid w:val="0"/>
              <w:jc w:val="both"/>
              <w:rPr>
                <w:rFonts w:ascii="Times New Roman" w:eastAsia="宋体" w:cs="Times New Roman"/>
                <w:sz w:val="21"/>
                <w:szCs w:val="21"/>
              </w:rPr>
            </w:pPr>
            <w:r>
              <w:rPr>
                <w:rFonts w:hint="eastAsia" w:ascii="Times New Roman" w:eastAsia="宋体" w:cs="Times New Roman"/>
                <w:sz w:val="21"/>
                <w:szCs w:val="21"/>
              </w:rPr>
              <w:t>鸟类（如麻雀、喜鹊）、昆虫（如蜜蜂、蝴蝶）等指示物种常态化栖息覆盖率，可用单位面积鸟巢数量核算。</w:t>
            </w:r>
          </w:p>
        </w:tc>
      </w:tr>
      <w:tr w14:paraId="2842C7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39" w:type="dxa"/>
            <w:vMerge w:val="continue"/>
            <w:vAlign w:val="center"/>
          </w:tcPr>
          <w:p w14:paraId="1F41A237">
            <w:pPr>
              <w:pStyle w:val="22"/>
              <w:snapToGrid w:val="0"/>
              <w:jc w:val="center"/>
              <w:rPr>
                <w:rFonts w:ascii="Times New Roman" w:eastAsia="宋体" w:cs="Times New Roman"/>
                <w:sz w:val="21"/>
                <w:szCs w:val="21"/>
              </w:rPr>
            </w:pPr>
          </w:p>
        </w:tc>
        <w:tc>
          <w:tcPr>
            <w:tcW w:w="2583" w:type="dxa"/>
            <w:vAlign w:val="center"/>
          </w:tcPr>
          <w:p w14:paraId="33F8DB6B">
            <w:pPr>
              <w:pStyle w:val="22"/>
              <w:snapToGrid w:val="0"/>
              <w:jc w:val="center"/>
              <w:rPr>
                <w:rFonts w:ascii="Times New Roman" w:eastAsia="宋体" w:cs="Times New Roman"/>
                <w:sz w:val="21"/>
                <w:szCs w:val="21"/>
              </w:rPr>
            </w:pPr>
            <w:r>
              <w:rPr>
                <w:rFonts w:hint="eastAsia" w:ascii="Times New Roman" w:eastAsia="宋体" w:cs="Times New Roman"/>
                <w:sz w:val="21"/>
                <w:szCs w:val="21"/>
              </w:rPr>
              <w:t>食源植物和蜜源植物的种类占比</w:t>
            </w:r>
          </w:p>
        </w:tc>
        <w:tc>
          <w:tcPr>
            <w:tcW w:w="1195" w:type="dxa"/>
            <w:vAlign w:val="center"/>
          </w:tcPr>
          <w:p w14:paraId="0873BB8A">
            <w:pPr>
              <w:pStyle w:val="22"/>
              <w:snapToGrid w:val="0"/>
              <w:jc w:val="center"/>
              <w:rPr>
                <w:rFonts w:ascii="Times New Roman" w:eastAsia="宋体" w:cs="Times New Roman"/>
                <w:sz w:val="21"/>
                <w:szCs w:val="21"/>
              </w:rPr>
            </w:pPr>
            <w:r>
              <w:rPr>
                <w:rFonts w:hint="eastAsia" w:ascii="Times New Roman" w:eastAsia="宋体" w:cs="Times New Roman"/>
                <w:sz w:val="21"/>
                <w:szCs w:val="21"/>
              </w:rPr>
              <w:t>≥</w:t>
            </w:r>
            <w:r>
              <w:rPr>
                <w:rFonts w:ascii="Times New Roman" w:eastAsia="宋体" w:cs="Times New Roman"/>
                <w:sz w:val="21"/>
                <w:szCs w:val="21"/>
              </w:rPr>
              <w:t>9%</w:t>
            </w:r>
          </w:p>
        </w:tc>
        <w:tc>
          <w:tcPr>
            <w:tcW w:w="1284" w:type="dxa"/>
            <w:vAlign w:val="center"/>
          </w:tcPr>
          <w:p w14:paraId="69BE1A44">
            <w:pPr>
              <w:pStyle w:val="22"/>
              <w:snapToGrid w:val="0"/>
              <w:jc w:val="center"/>
              <w:rPr>
                <w:rFonts w:ascii="Times New Roman" w:eastAsia="宋体" w:cs="Times New Roman"/>
                <w:sz w:val="21"/>
                <w:szCs w:val="21"/>
              </w:rPr>
            </w:pPr>
            <w:r>
              <w:rPr>
                <w:rFonts w:hint="eastAsia" w:ascii="Times New Roman" w:eastAsia="宋体" w:cs="Times New Roman"/>
                <w:sz w:val="21"/>
                <w:szCs w:val="21"/>
              </w:rPr>
              <w:t>[</w:t>
            </w:r>
            <w:r>
              <w:rPr>
                <w:rFonts w:ascii="Times New Roman" w:eastAsia="宋体" w:cs="Times New Roman"/>
                <w:sz w:val="21"/>
                <w:szCs w:val="21"/>
              </w:rPr>
              <w:t>6%</w:t>
            </w:r>
            <w:r>
              <w:rPr>
                <w:rFonts w:hint="eastAsia" w:ascii="Times New Roman" w:eastAsia="宋体" w:cs="Times New Roman"/>
                <w:sz w:val="21"/>
                <w:szCs w:val="21"/>
              </w:rPr>
              <w:t>,</w:t>
            </w:r>
            <w:r>
              <w:rPr>
                <w:rFonts w:ascii="Times New Roman" w:eastAsia="宋体" w:cs="Times New Roman"/>
                <w:sz w:val="21"/>
                <w:szCs w:val="21"/>
              </w:rPr>
              <w:t>9%)</w:t>
            </w:r>
          </w:p>
        </w:tc>
        <w:tc>
          <w:tcPr>
            <w:tcW w:w="1179" w:type="dxa"/>
            <w:vAlign w:val="center"/>
          </w:tcPr>
          <w:p w14:paraId="0D29A7D3">
            <w:pPr>
              <w:pStyle w:val="22"/>
              <w:snapToGrid w:val="0"/>
              <w:jc w:val="center"/>
              <w:rPr>
                <w:rFonts w:ascii="Times New Roman" w:eastAsia="宋体" w:cs="Times New Roman"/>
                <w:sz w:val="21"/>
                <w:szCs w:val="21"/>
              </w:rPr>
            </w:pPr>
            <w:r>
              <w:rPr>
                <w:rFonts w:hint="eastAsia" w:ascii="Times New Roman" w:eastAsia="宋体" w:cs="Times New Roman"/>
                <w:sz w:val="21"/>
                <w:szCs w:val="21"/>
              </w:rPr>
              <w:t>[</w:t>
            </w:r>
            <w:r>
              <w:rPr>
                <w:rFonts w:ascii="Times New Roman" w:eastAsia="宋体" w:cs="Times New Roman"/>
                <w:sz w:val="21"/>
                <w:szCs w:val="21"/>
              </w:rPr>
              <w:t>3%,6%)</w:t>
            </w:r>
          </w:p>
        </w:tc>
        <w:tc>
          <w:tcPr>
            <w:tcW w:w="2453" w:type="dxa"/>
            <w:vAlign w:val="center"/>
          </w:tcPr>
          <w:p w14:paraId="3BE2A36A">
            <w:pPr>
              <w:pStyle w:val="22"/>
              <w:snapToGrid w:val="0"/>
              <w:jc w:val="center"/>
              <w:rPr>
                <w:rFonts w:ascii="Times New Roman" w:eastAsia="宋体" w:cs="Times New Roman"/>
                <w:sz w:val="21"/>
                <w:szCs w:val="21"/>
              </w:rPr>
            </w:pPr>
            <w:r>
              <w:rPr>
                <w:rFonts w:hint="eastAsia" w:ascii="Times New Roman" w:eastAsia="宋体" w:cs="Times New Roman"/>
                <w:sz w:val="21"/>
                <w:szCs w:val="21"/>
              </w:rPr>
              <w:t>参考</w:t>
            </w:r>
            <w:r>
              <w:rPr>
                <w:rFonts w:ascii="Times New Roman" w:eastAsia="宋体" w:cs="Times New Roman"/>
                <w:sz w:val="21"/>
                <w:szCs w:val="21"/>
              </w:rPr>
              <w:t>GB/T 37342-2024</w:t>
            </w:r>
            <w:r>
              <w:rPr>
                <w:rFonts w:hint="eastAsia" w:ascii="Times New Roman" w:eastAsia="宋体" w:cs="Times New Roman"/>
                <w:sz w:val="21"/>
                <w:szCs w:val="21"/>
              </w:rPr>
              <w:t>、</w:t>
            </w:r>
            <w:r>
              <w:rPr>
                <w:rFonts w:ascii="Times New Roman" w:eastAsia="宋体" w:cs="Times New Roman"/>
                <w:sz w:val="21"/>
                <w:szCs w:val="21"/>
              </w:rPr>
              <w:t>CJJ/T 294-2019</w:t>
            </w:r>
          </w:p>
        </w:tc>
        <w:tc>
          <w:tcPr>
            <w:tcW w:w="4212" w:type="dxa"/>
            <w:vAlign w:val="center"/>
          </w:tcPr>
          <w:p w14:paraId="6CCEF729">
            <w:pPr>
              <w:pStyle w:val="22"/>
              <w:snapToGrid w:val="0"/>
              <w:jc w:val="both"/>
              <w:rPr>
                <w:rFonts w:ascii="Times New Roman" w:eastAsia="宋体" w:cs="Times New Roman"/>
                <w:sz w:val="21"/>
                <w:szCs w:val="21"/>
              </w:rPr>
            </w:pPr>
            <w:r>
              <w:rPr>
                <w:rFonts w:hint="eastAsia" w:ascii="Times New Roman" w:eastAsia="宋体" w:cs="Times New Roman"/>
                <w:sz w:val="21"/>
                <w:szCs w:val="21"/>
              </w:rPr>
              <w:t>食源木本植物的株树在5株以上且物种数占全部木本植物种类的比例</w:t>
            </w:r>
          </w:p>
        </w:tc>
      </w:tr>
      <w:tr w14:paraId="431377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39" w:type="dxa"/>
            <w:vMerge w:val="restart"/>
            <w:vAlign w:val="center"/>
          </w:tcPr>
          <w:p w14:paraId="24EA583A">
            <w:pPr>
              <w:pStyle w:val="22"/>
              <w:snapToGrid w:val="0"/>
              <w:jc w:val="center"/>
              <w:rPr>
                <w:rFonts w:ascii="Times New Roman" w:eastAsia="宋体" w:cs="Times New Roman"/>
                <w:sz w:val="21"/>
                <w:szCs w:val="21"/>
              </w:rPr>
            </w:pPr>
            <w:r>
              <w:rPr>
                <w:rFonts w:hint="eastAsia" w:ascii="Times New Roman" w:eastAsia="宋体" w:cs="Times New Roman"/>
                <w:sz w:val="21"/>
                <w:szCs w:val="21"/>
              </w:rPr>
              <w:t>水文与水环境</w:t>
            </w:r>
          </w:p>
        </w:tc>
        <w:tc>
          <w:tcPr>
            <w:tcW w:w="2583" w:type="dxa"/>
            <w:vAlign w:val="center"/>
          </w:tcPr>
          <w:p w14:paraId="4D476D8E">
            <w:pPr>
              <w:pStyle w:val="22"/>
              <w:snapToGrid w:val="0"/>
              <w:jc w:val="center"/>
              <w:rPr>
                <w:rFonts w:ascii="Times New Roman" w:eastAsia="宋体" w:cs="Times New Roman"/>
                <w:sz w:val="21"/>
                <w:szCs w:val="21"/>
              </w:rPr>
            </w:pPr>
            <w:r>
              <w:rPr>
                <w:rFonts w:hint="eastAsia" w:ascii="Times New Roman" w:eastAsia="宋体" w:cs="Times New Roman"/>
                <w:sz w:val="21"/>
                <w:szCs w:val="21"/>
              </w:rPr>
              <w:t>日降雨量控制值（mm）</w:t>
            </w:r>
          </w:p>
        </w:tc>
        <w:tc>
          <w:tcPr>
            <w:tcW w:w="1195" w:type="dxa"/>
            <w:vAlign w:val="center"/>
          </w:tcPr>
          <w:p w14:paraId="04A12663">
            <w:pPr>
              <w:pStyle w:val="22"/>
              <w:snapToGrid w:val="0"/>
              <w:jc w:val="center"/>
              <w:rPr>
                <w:rFonts w:ascii="Times New Roman" w:eastAsia="宋体" w:cs="Times New Roman"/>
                <w:sz w:val="21"/>
                <w:szCs w:val="21"/>
              </w:rPr>
            </w:pPr>
            <w:r>
              <w:rPr>
                <w:rFonts w:hint="eastAsia" w:ascii="Times New Roman" w:eastAsia="宋体" w:cs="Times New Roman"/>
                <w:sz w:val="21"/>
                <w:szCs w:val="21"/>
              </w:rPr>
              <w:t>[2</w:t>
            </w:r>
            <w:r>
              <w:rPr>
                <w:rFonts w:ascii="Times New Roman" w:eastAsia="宋体" w:cs="Times New Roman"/>
                <w:sz w:val="21"/>
                <w:szCs w:val="21"/>
              </w:rPr>
              <w:t>0</w:t>
            </w:r>
            <w:r>
              <w:rPr>
                <w:rFonts w:hint="eastAsia" w:ascii="Times New Roman" w:eastAsia="宋体" w:cs="Times New Roman"/>
                <w:sz w:val="21"/>
                <w:szCs w:val="21"/>
              </w:rPr>
              <w:t>,</w:t>
            </w:r>
            <w:r>
              <w:rPr>
                <w:rFonts w:ascii="Times New Roman" w:eastAsia="宋体" w:cs="Times New Roman"/>
                <w:sz w:val="21"/>
                <w:szCs w:val="21"/>
              </w:rPr>
              <w:t>25)</w:t>
            </w:r>
          </w:p>
        </w:tc>
        <w:tc>
          <w:tcPr>
            <w:tcW w:w="1284" w:type="dxa"/>
            <w:vAlign w:val="center"/>
          </w:tcPr>
          <w:p w14:paraId="26F189D2">
            <w:pPr>
              <w:pStyle w:val="22"/>
              <w:snapToGrid w:val="0"/>
              <w:jc w:val="center"/>
              <w:rPr>
                <w:rFonts w:ascii="Times New Roman" w:eastAsia="宋体" w:cs="Times New Roman"/>
                <w:sz w:val="21"/>
                <w:szCs w:val="21"/>
              </w:rPr>
            </w:pPr>
            <w:r>
              <w:rPr>
                <w:rFonts w:hint="eastAsia" w:ascii="Times New Roman" w:eastAsia="宋体" w:cs="Times New Roman"/>
                <w:sz w:val="21"/>
                <w:szCs w:val="21"/>
              </w:rPr>
              <w:t>[1</w:t>
            </w:r>
            <w:r>
              <w:rPr>
                <w:rFonts w:ascii="Times New Roman" w:eastAsia="宋体" w:cs="Times New Roman"/>
                <w:sz w:val="21"/>
                <w:szCs w:val="21"/>
              </w:rPr>
              <w:t>5</w:t>
            </w:r>
            <w:r>
              <w:rPr>
                <w:rFonts w:hint="eastAsia" w:ascii="Times New Roman" w:eastAsia="宋体" w:cs="Times New Roman"/>
                <w:sz w:val="21"/>
                <w:szCs w:val="21"/>
              </w:rPr>
              <w:t>,2</w:t>
            </w:r>
            <w:r>
              <w:rPr>
                <w:rFonts w:ascii="Times New Roman" w:eastAsia="宋体" w:cs="Times New Roman"/>
                <w:sz w:val="21"/>
                <w:szCs w:val="21"/>
              </w:rPr>
              <w:t>0)</w:t>
            </w:r>
          </w:p>
        </w:tc>
        <w:tc>
          <w:tcPr>
            <w:tcW w:w="1179" w:type="dxa"/>
            <w:vAlign w:val="center"/>
          </w:tcPr>
          <w:p w14:paraId="3EAF9D24">
            <w:pPr>
              <w:pStyle w:val="22"/>
              <w:snapToGrid w:val="0"/>
              <w:jc w:val="center"/>
              <w:rPr>
                <w:rFonts w:ascii="Times New Roman" w:eastAsia="宋体" w:cs="Times New Roman"/>
                <w:sz w:val="21"/>
                <w:szCs w:val="21"/>
              </w:rPr>
            </w:pPr>
            <w:r>
              <w:rPr>
                <w:rFonts w:hint="eastAsia" w:ascii="Times New Roman" w:eastAsia="宋体" w:cs="Times New Roman"/>
                <w:sz w:val="21"/>
                <w:szCs w:val="21"/>
              </w:rPr>
              <w:t>[8</w:t>
            </w:r>
            <w:r>
              <w:rPr>
                <w:rFonts w:ascii="Times New Roman" w:eastAsia="宋体" w:cs="Times New Roman"/>
                <w:sz w:val="21"/>
                <w:szCs w:val="21"/>
              </w:rPr>
              <w:t>-15)</w:t>
            </w:r>
          </w:p>
        </w:tc>
        <w:tc>
          <w:tcPr>
            <w:tcW w:w="2453" w:type="dxa"/>
            <w:vAlign w:val="center"/>
          </w:tcPr>
          <w:p w14:paraId="2B14E204">
            <w:pPr>
              <w:pStyle w:val="22"/>
              <w:snapToGrid w:val="0"/>
              <w:jc w:val="center"/>
              <w:rPr>
                <w:rFonts w:ascii="Times New Roman" w:eastAsia="宋体" w:cs="Times New Roman"/>
                <w:sz w:val="21"/>
                <w:szCs w:val="21"/>
              </w:rPr>
            </w:pPr>
            <w:r>
              <w:rPr>
                <w:rFonts w:hint="eastAsia" w:ascii="Times New Roman" w:eastAsia="宋体" w:cs="Times New Roman"/>
                <w:sz w:val="21"/>
                <w:szCs w:val="21"/>
              </w:rPr>
              <w:t>参考现有前沿研究综合划定</w:t>
            </w:r>
          </w:p>
        </w:tc>
        <w:tc>
          <w:tcPr>
            <w:tcW w:w="4212" w:type="dxa"/>
            <w:vAlign w:val="center"/>
          </w:tcPr>
          <w:p w14:paraId="4BBCF812">
            <w:pPr>
              <w:pStyle w:val="22"/>
              <w:snapToGrid w:val="0"/>
              <w:jc w:val="both"/>
              <w:rPr>
                <w:rFonts w:ascii="Times New Roman" w:eastAsia="宋体" w:cs="Times New Roman"/>
                <w:sz w:val="21"/>
                <w:szCs w:val="21"/>
              </w:rPr>
            </w:pPr>
            <w:r>
              <w:rPr>
                <w:rFonts w:hint="eastAsia" w:ascii="Times New Roman" w:eastAsia="宋体" w:cs="Times New Roman"/>
                <w:sz w:val="21"/>
                <w:szCs w:val="21"/>
              </w:rPr>
              <w:t>雨水径流控制对应的设计降雨量</w:t>
            </w:r>
          </w:p>
        </w:tc>
      </w:tr>
      <w:tr w14:paraId="7B1F34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39" w:type="dxa"/>
            <w:vMerge w:val="continue"/>
            <w:vAlign w:val="center"/>
          </w:tcPr>
          <w:p w14:paraId="5CEE885C">
            <w:pPr>
              <w:pStyle w:val="22"/>
              <w:snapToGrid w:val="0"/>
              <w:jc w:val="center"/>
              <w:rPr>
                <w:rFonts w:ascii="Times New Roman" w:eastAsia="宋体" w:cs="Times New Roman"/>
                <w:sz w:val="21"/>
                <w:szCs w:val="21"/>
              </w:rPr>
            </w:pPr>
          </w:p>
        </w:tc>
        <w:tc>
          <w:tcPr>
            <w:tcW w:w="2583" w:type="dxa"/>
            <w:vAlign w:val="center"/>
          </w:tcPr>
          <w:p w14:paraId="45F229C2">
            <w:pPr>
              <w:pStyle w:val="22"/>
              <w:snapToGrid w:val="0"/>
              <w:jc w:val="center"/>
              <w:rPr>
                <w:rFonts w:ascii="Times New Roman" w:eastAsia="宋体" w:cs="Times New Roman"/>
                <w:sz w:val="21"/>
                <w:szCs w:val="21"/>
              </w:rPr>
            </w:pPr>
            <w:r>
              <w:rPr>
                <w:rFonts w:hint="eastAsia" w:ascii="Times New Roman" w:eastAsia="宋体" w:cs="Times New Roman"/>
                <w:sz w:val="21"/>
                <w:szCs w:val="21"/>
              </w:rPr>
              <w:t>地表径流污染控制</w:t>
            </w:r>
          </w:p>
        </w:tc>
        <w:tc>
          <w:tcPr>
            <w:tcW w:w="1195" w:type="dxa"/>
            <w:vAlign w:val="center"/>
          </w:tcPr>
          <w:p w14:paraId="7D771956">
            <w:pPr>
              <w:pStyle w:val="22"/>
              <w:snapToGrid w:val="0"/>
              <w:jc w:val="center"/>
              <w:rPr>
                <w:rFonts w:ascii="Times New Roman" w:eastAsia="宋体" w:cs="Times New Roman"/>
                <w:sz w:val="21"/>
                <w:szCs w:val="21"/>
              </w:rPr>
            </w:pPr>
            <w:r>
              <w:rPr>
                <w:rFonts w:ascii="Times New Roman" w:eastAsia="宋体" w:cs="Times New Roman"/>
                <w:sz w:val="21"/>
                <w:szCs w:val="21"/>
              </w:rPr>
              <w:t>≥98%</w:t>
            </w:r>
          </w:p>
        </w:tc>
        <w:tc>
          <w:tcPr>
            <w:tcW w:w="1284" w:type="dxa"/>
            <w:vAlign w:val="center"/>
          </w:tcPr>
          <w:p w14:paraId="28190194">
            <w:pPr>
              <w:pStyle w:val="22"/>
              <w:snapToGrid w:val="0"/>
              <w:jc w:val="center"/>
              <w:rPr>
                <w:rFonts w:ascii="Times New Roman" w:eastAsia="宋体" w:cs="Times New Roman"/>
                <w:sz w:val="21"/>
                <w:szCs w:val="21"/>
              </w:rPr>
            </w:pPr>
            <w:r>
              <w:rPr>
                <w:rFonts w:hint="eastAsia" w:ascii="Times New Roman" w:eastAsia="宋体" w:cs="Times New Roman"/>
                <w:sz w:val="21"/>
                <w:szCs w:val="21"/>
              </w:rPr>
              <w:t>[</w:t>
            </w:r>
            <w:r>
              <w:rPr>
                <w:rFonts w:ascii="Times New Roman" w:eastAsia="宋体" w:cs="Times New Roman"/>
                <w:sz w:val="21"/>
                <w:szCs w:val="21"/>
              </w:rPr>
              <w:t>95%</w:t>
            </w:r>
            <w:r>
              <w:rPr>
                <w:rFonts w:hint="eastAsia" w:ascii="Times New Roman" w:eastAsia="宋体" w:cs="Times New Roman"/>
                <w:sz w:val="21"/>
                <w:szCs w:val="21"/>
              </w:rPr>
              <w:t>,</w:t>
            </w:r>
            <w:r>
              <w:rPr>
                <w:rFonts w:ascii="Times New Roman" w:eastAsia="宋体" w:cs="Times New Roman"/>
                <w:sz w:val="21"/>
                <w:szCs w:val="21"/>
              </w:rPr>
              <w:t>98%)</w:t>
            </w:r>
          </w:p>
        </w:tc>
        <w:tc>
          <w:tcPr>
            <w:tcW w:w="1179" w:type="dxa"/>
            <w:vAlign w:val="center"/>
          </w:tcPr>
          <w:p w14:paraId="285F8D94">
            <w:pPr>
              <w:pStyle w:val="22"/>
              <w:snapToGrid w:val="0"/>
              <w:jc w:val="center"/>
              <w:rPr>
                <w:rFonts w:ascii="Times New Roman" w:eastAsia="宋体" w:cs="Times New Roman"/>
                <w:sz w:val="21"/>
                <w:szCs w:val="21"/>
              </w:rPr>
            </w:pPr>
            <w:r>
              <w:rPr>
                <w:rFonts w:hint="eastAsia" w:ascii="Times New Roman" w:eastAsia="宋体" w:cs="Times New Roman"/>
                <w:sz w:val="21"/>
                <w:szCs w:val="21"/>
              </w:rPr>
              <w:t>[</w:t>
            </w:r>
            <w:r>
              <w:rPr>
                <w:rFonts w:ascii="Times New Roman" w:eastAsia="宋体" w:cs="Times New Roman"/>
                <w:sz w:val="21"/>
                <w:szCs w:val="21"/>
              </w:rPr>
              <w:t>90%,95%)</w:t>
            </w:r>
          </w:p>
        </w:tc>
        <w:tc>
          <w:tcPr>
            <w:tcW w:w="2453" w:type="dxa"/>
            <w:vAlign w:val="center"/>
          </w:tcPr>
          <w:p w14:paraId="49078208">
            <w:pPr>
              <w:pStyle w:val="22"/>
              <w:snapToGrid w:val="0"/>
              <w:jc w:val="center"/>
              <w:rPr>
                <w:rFonts w:ascii="Times New Roman" w:eastAsia="宋体" w:cs="Times New Roman"/>
                <w:sz w:val="21"/>
                <w:szCs w:val="21"/>
              </w:rPr>
            </w:pPr>
            <w:r>
              <w:rPr>
                <w:rFonts w:hint="eastAsia" w:ascii="Times New Roman" w:eastAsia="宋体" w:cs="Times New Roman"/>
                <w:bCs/>
                <w:sz w:val="21"/>
                <w:szCs w:val="21"/>
              </w:rPr>
              <w:t>参考</w:t>
            </w:r>
            <w:r>
              <w:rPr>
                <w:rFonts w:ascii="Times New Roman" w:eastAsia="宋体" w:cs="Times New Roman"/>
                <w:bCs/>
                <w:sz w:val="21"/>
                <w:szCs w:val="21"/>
              </w:rPr>
              <w:t xml:space="preserve">GB 3838-2002 </w:t>
            </w:r>
            <w:r>
              <w:rPr>
                <w:rFonts w:hint="eastAsia" w:ascii="Times New Roman" w:eastAsia="宋体" w:cs="Times New Roman"/>
                <w:bCs/>
                <w:sz w:val="21"/>
                <w:szCs w:val="21"/>
              </w:rPr>
              <w:t>IV 类水标准；参考</w:t>
            </w:r>
            <w:r>
              <w:rPr>
                <w:rFonts w:ascii="Times New Roman" w:eastAsia="宋体" w:cs="Times New Roman"/>
                <w:sz w:val="21"/>
                <w:szCs w:val="21"/>
              </w:rPr>
              <w:t>GB 55020-2021</w:t>
            </w:r>
          </w:p>
        </w:tc>
        <w:tc>
          <w:tcPr>
            <w:tcW w:w="4212" w:type="dxa"/>
            <w:vAlign w:val="center"/>
          </w:tcPr>
          <w:p w14:paraId="421102A0">
            <w:pPr>
              <w:pStyle w:val="22"/>
              <w:snapToGrid w:val="0"/>
              <w:jc w:val="both"/>
              <w:rPr>
                <w:rFonts w:ascii="Times New Roman" w:eastAsia="宋体" w:cs="Times New Roman"/>
                <w:sz w:val="21"/>
                <w:szCs w:val="21"/>
              </w:rPr>
            </w:pPr>
            <w:r>
              <w:rPr>
                <w:rFonts w:hint="eastAsia" w:ascii="Times New Roman" w:eastAsia="宋体" w:cs="Times New Roman"/>
                <w:sz w:val="21"/>
                <w:szCs w:val="21"/>
              </w:rPr>
              <w:t>社区降雨后地表径流COD浓度达标率</w:t>
            </w:r>
          </w:p>
        </w:tc>
      </w:tr>
      <w:tr w14:paraId="03B25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39" w:type="dxa"/>
            <w:vMerge w:val="continue"/>
            <w:vAlign w:val="center"/>
          </w:tcPr>
          <w:p w14:paraId="77404E6E">
            <w:pPr>
              <w:pStyle w:val="22"/>
              <w:snapToGrid w:val="0"/>
              <w:jc w:val="center"/>
              <w:rPr>
                <w:rFonts w:ascii="Times New Roman" w:eastAsia="宋体" w:cs="Times New Roman"/>
                <w:sz w:val="21"/>
                <w:szCs w:val="21"/>
              </w:rPr>
            </w:pPr>
          </w:p>
        </w:tc>
        <w:tc>
          <w:tcPr>
            <w:tcW w:w="2583" w:type="dxa"/>
            <w:vAlign w:val="center"/>
          </w:tcPr>
          <w:p w14:paraId="790DDCA6">
            <w:pPr>
              <w:pStyle w:val="22"/>
              <w:snapToGrid w:val="0"/>
              <w:jc w:val="center"/>
              <w:rPr>
                <w:rFonts w:ascii="Times New Roman" w:eastAsia="宋体" w:cs="Times New Roman"/>
                <w:sz w:val="21"/>
                <w:szCs w:val="21"/>
              </w:rPr>
            </w:pPr>
            <w:r>
              <w:rPr>
                <w:rFonts w:hint="eastAsia" w:ascii="Times New Roman" w:eastAsia="宋体" w:cs="Times New Roman"/>
                <w:sz w:val="21"/>
                <w:szCs w:val="21"/>
              </w:rPr>
              <w:t>水资源循环利用率</w:t>
            </w:r>
          </w:p>
        </w:tc>
        <w:tc>
          <w:tcPr>
            <w:tcW w:w="1195" w:type="dxa"/>
            <w:vAlign w:val="center"/>
          </w:tcPr>
          <w:p w14:paraId="5FD07A5F">
            <w:pPr>
              <w:pStyle w:val="22"/>
              <w:snapToGrid w:val="0"/>
              <w:jc w:val="center"/>
              <w:rPr>
                <w:rFonts w:ascii="Times New Roman" w:eastAsia="宋体" w:cs="Times New Roman"/>
                <w:sz w:val="21"/>
                <w:szCs w:val="21"/>
              </w:rPr>
            </w:pPr>
            <w:r>
              <w:rPr>
                <w:rFonts w:ascii="Times New Roman" w:eastAsia="宋体" w:cs="Times New Roman"/>
                <w:sz w:val="21"/>
                <w:szCs w:val="21"/>
              </w:rPr>
              <w:t>≥20%</w:t>
            </w:r>
          </w:p>
        </w:tc>
        <w:tc>
          <w:tcPr>
            <w:tcW w:w="1284" w:type="dxa"/>
            <w:vAlign w:val="center"/>
          </w:tcPr>
          <w:p w14:paraId="5A3AE07F">
            <w:pPr>
              <w:pStyle w:val="22"/>
              <w:snapToGrid w:val="0"/>
              <w:jc w:val="center"/>
              <w:rPr>
                <w:rFonts w:ascii="Times New Roman" w:eastAsia="宋体" w:cs="Times New Roman"/>
                <w:sz w:val="21"/>
                <w:szCs w:val="21"/>
              </w:rPr>
            </w:pPr>
            <w:r>
              <w:rPr>
                <w:rFonts w:hint="eastAsia" w:ascii="Times New Roman" w:eastAsia="宋体" w:cs="Times New Roman"/>
                <w:sz w:val="21"/>
                <w:szCs w:val="21"/>
              </w:rPr>
              <w:t>[</w:t>
            </w:r>
            <w:r>
              <w:rPr>
                <w:rFonts w:ascii="Times New Roman" w:eastAsia="宋体" w:cs="Times New Roman"/>
                <w:sz w:val="21"/>
                <w:szCs w:val="21"/>
              </w:rPr>
              <w:t>10%</w:t>
            </w:r>
            <w:r>
              <w:rPr>
                <w:rFonts w:hint="eastAsia" w:ascii="Times New Roman" w:eastAsia="宋体" w:cs="Times New Roman"/>
                <w:sz w:val="21"/>
                <w:szCs w:val="21"/>
              </w:rPr>
              <w:t>,</w:t>
            </w:r>
            <w:r>
              <w:rPr>
                <w:rFonts w:ascii="Times New Roman" w:eastAsia="宋体" w:cs="Times New Roman"/>
                <w:sz w:val="21"/>
                <w:szCs w:val="21"/>
              </w:rPr>
              <w:t>20%)</w:t>
            </w:r>
          </w:p>
        </w:tc>
        <w:tc>
          <w:tcPr>
            <w:tcW w:w="1179" w:type="dxa"/>
            <w:vAlign w:val="center"/>
          </w:tcPr>
          <w:p w14:paraId="18D2E555">
            <w:pPr>
              <w:pStyle w:val="22"/>
              <w:snapToGrid w:val="0"/>
              <w:jc w:val="center"/>
              <w:rPr>
                <w:rFonts w:ascii="Times New Roman" w:eastAsia="宋体" w:cs="Times New Roman"/>
                <w:sz w:val="21"/>
                <w:szCs w:val="21"/>
              </w:rPr>
            </w:pPr>
            <w:r>
              <w:rPr>
                <w:rFonts w:hint="eastAsia" w:ascii="Times New Roman" w:eastAsia="宋体" w:cs="Times New Roman"/>
                <w:sz w:val="21"/>
                <w:szCs w:val="21"/>
              </w:rPr>
              <w:t>[</w:t>
            </w:r>
            <w:r>
              <w:rPr>
                <w:rFonts w:ascii="Times New Roman" w:eastAsia="宋体" w:cs="Times New Roman"/>
                <w:sz w:val="21"/>
                <w:szCs w:val="21"/>
              </w:rPr>
              <w:t>5%,10%)</w:t>
            </w:r>
          </w:p>
        </w:tc>
        <w:tc>
          <w:tcPr>
            <w:tcW w:w="2453" w:type="dxa"/>
            <w:vAlign w:val="center"/>
          </w:tcPr>
          <w:p w14:paraId="67D91D4D">
            <w:pPr>
              <w:pStyle w:val="22"/>
              <w:snapToGrid w:val="0"/>
              <w:jc w:val="center"/>
              <w:rPr>
                <w:rFonts w:ascii="Times New Roman" w:eastAsia="宋体" w:cs="Times New Roman"/>
                <w:sz w:val="21"/>
                <w:szCs w:val="21"/>
              </w:rPr>
            </w:pPr>
            <w:r>
              <w:rPr>
                <w:rFonts w:hint="eastAsia" w:ascii="Times New Roman" w:eastAsia="宋体" w:cs="Times New Roman"/>
                <w:bCs/>
                <w:sz w:val="21"/>
                <w:szCs w:val="21"/>
              </w:rPr>
              <w:t>参考</w:t>
            </w:r>
            <w:r>
              <w:rPr>
                <w:rFonts w:ascii="Times New Roman" w:eastAsia="宋体" w:cs="Times New Roman"/>
                <w:bCs/>
                <w:sz w:val="21"/>
                <w:szCs w:val="21"/>
              </w:rPr>
              <w:t>GB 55020-2021</w:t>
            </w:r>
            <w:r>
              <w:rPr>
                <w:rFonts w:hint="eastAsia" w:ascii="Times New Roman" w:eastAsia="宋体" w:cs="Times New Roman"/>
                <w:sz w:val="21"/>
                <w:szCs w:val="21"/>
              </w:rPr>
              <w:t>、DB4403T 643.2-2025</w:t>
            </w:r>
          </w:p>
        </w:tc>
        <w:tc>
          <w:tcPr>
            <w:tcW w:w="4212" w:type="dxa"/>
            <w:vAlign w:val="center"/>
          </w:tcPr>
          <w:p w14:paraId="5979FCC2">
            <w:pPr>
              <w:pStyle w:val="22"/>
              <w:snapToGrid w:val="0"/>
              <w:jc w:val="both"/>
              <w:rPr>
                <w:rFonts w:ascii="Times New Roman" w:eastAsia="宋体" w:cs="Times New Roman"/>
                <w:sz w:val="21"/>
                <w:szCs w:val="21"/>
              </w:rPr>
            </w:pPr>
            <w:r>
              <w:rPr>
                <w:rFonts w:hint="eastAsia" w:ascii="Times New Roman" w:eastAsia="宋体" w:cs="Times New Roman"/>
                <w:sz w:val="21"/>
                <w:szCs w:val="21"/>
              </w:rPr>
              <w:t>社区中水回用、雨水灌溉等循环利用水资源量占社区总用水量的比例</w:t>
            </w:r>
          </w:p>
        </w:tc>
      </w:tr>
      <w:tr w14:paraId="7F23BE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39" w:type="dxa"/>
            <w:vMerge w:val="restart"/>
            <w:vAlign w:val="center"/>
          </w:tcPr>
          <w:p w14:paraId="6C464C91">
            <w:pPr>
              <w:pStyle w:val="22"/>
              <w:snapToGrid w:val="0"/>
              <w:jc w:val="center"/>
              <w:rPr>
                <w:rFonts w:ascii="Times New Roman" w:eastAsia="宋体" w:cs="Times New Roman"/>
                <w:sz w:val="21"/>
                <w:szCs w:val="21"/>
              </w:rPr>
            </w:pPr>
            <w:r>
              <w:rPr>
                <w:rFonts w:hint="eastAsia" w:ascii="Times New Roman" w:eastAsia="宋体" w:cs="Times New Roman"/>
                <w:sz w:val="21"/>
                <w:szCs w:val="21"/>
              </w:rPr>
              <w:t>通风与热环境</w:t>
            </w:r>
          </w:p>
        </w:tc>
        <w:tc>
          <w:tcPr>
            <w:tcW w:w="2583" w:type="dxa"/>
            <w:vAlign w:val="center"/>
          </w:tcPr>
          <w:p w14:paraId="5FF44ABD">
            <w:pPr>
              <w:pStyle w:val="22"/>
              <w:snapToGrid w:val="0"/>
              <w:jc w:val="center"/>
              <w:rPr>
                <w:rFonts w:ascii="Times New Roman" w:eastAsia="宋体" w:cs="Times New Roman"/>
                <w:sz w:val="21"/>
                <w:szCs w:val="21"/>
              </w:rPr>
            </w:pPr>
            <w:r>
              <w:rPr>
                <w:rFonts w:ascii="Times New Roman" w:eastAsia="宋体" w:cs="Times New Roman"/>
                <w:sz w:val="21"/>
                <w:szCs w:val="21"/>
              </w:rPr>
              <w:t>热舒适度指数（UTCI）</w:t>
            </w:r>
          </w:p>
        </w:tc>
        <w:tc>
          <w:tcPr>
            <w:tcW w:w="1195" w:type="dxa"/>
            <w:vAlign w:val="center"/>
          </w:tcPr>
          <w:p w14:paraId="27BA0B0B">
            <w:pPr>
              <w:pStyle w:val="22"/>
              <w:snapToGrid w:val="0"/>
              <w:jc w:val="center"/>
              <w:rPr>
                <w:rFonts w:ascii="Times New Roman" w:eastAsia="宋体" w:cs="Times New Roman"/>
                <w:sz w:val="21"/>
                <w:szCs w:val="21"/>
              </w:rPr>
            </w:pPr>
            <w:r>
              <w:rPr>
                <w:rFonts w:hint="eastAsia" w:ascii="Times New Roman" w:eastAsia="宋体" w:cs="Times New Roman"/>
                <w:sz w:val="21"/>
                <w:szCs w:val="21"/>
              </w:rPr>
              <w:t>9</w:t>
            </w:r>
            <w:r>
              <w:rPr>
                <w:rFonts w:ascii="Times New Roman" w:eastAsia="宋体" w:cs="Times New Roman"/>
                <w:sz w:val="21"/>
                <w:szCs w:val="21"/>
              </w:rPr>
              <w:t>-26℃</w:t>
            </w:r>
          </w:p>
        </w:tc>
        <w:tc>
          <w:tcPr>
            <w:tcW w:w="1284" w:type="dxa"/>
            <w:vAlign w:val="center"/>
          </w:tcPr>
          <w:p w14:paraId="232E09D2">
            <w:pPr>
              <w:pStyle w:val="22"/>
              <w:snapToGrid w:val="0"/>
              <w:jc w:val="center"/>
              <w:rPr>
                <w:rFonts w:ascii="Times New Roman" w:eastAsia="宋体" w:cs="Times New Roman"/>
                <w:sz w:val="21"/>
                <w:szCs w:val="21"/>
              </w:rPr>
            </w:pPr>
            <w:r>
              <w:rPr>
                <w:rFonts w:ascii="Times New Roman" w:eastAsia="宋体" w:cs="Times New Roman"/>
                <w:sz w:val="20"/>
                <w:szCs w:val="21"/>
              </w:rPr>
              <w:t>-13-9℃；26-32℃</w:t>
            </w:r>
          </w:p>
        </w:tc>
        <w:tc>
          <w:tcPr>
            <w:tcW w:w="1179" w:type="dxa"/>
            <w:vAlign w:val="center"/>
          </w:tcPr>
          <w:p w14:paraId="45E3EEA0">
            <w:pPr>
              <w:pStyle w:val="22"/>
              <w:snapToGrid w:val="0"/>
              <w:jc w:val="center"/>
              <w:rPr>
                <w:rFonts w:ascii="Times New Roman" w:eastAsia="宋体" w:cs="Times New Roman"/>
                <w:sz w:val="21"/>
                <w:szCs w:val="21"/>
              </w:rPr>
            </w:pPr>
            <w:r>
              <w:rPr>
                <w:rFonts w:hint="eastAsia" w:ascii="宋体" w:hAnsi="宋体" w:eastAsia="宋体" w:cs="宋体"/>
                <w:sz w:val="18"/>
                <w:szCs w:val="21"/>
                <w:lang w:bidi="ar"/>
              </w:rPr>
              <w:t>＜</w:t>
            </w:r>
            <w:r>
              <w:rPr>
                <w:rFonts w:ascii="Times New Roman" w:eastAsia="宋体" w:cs="Times New Roman"/>
                <w:sz w:val="18"/>
                <w:szCs w:val="21"/>
              </w:rPr>
              <w:t>-13℃</w:t>
            </w:r>
            <w:r>
              <w:rPr>
                <w:rFonts w:hint="eastAsia" w:ascii="Times New Roman" w:eastAsia="宋体" w:cs="Times New Roman"/>
                <w:sz w:val="18"/>
                <w:szCs w:val="21"/>
              </w:rPr>
              <w:t>；＞</w:t>
            </w:r>
            <w:r>
              <w:rPr>
                <w:rFonts w:ascii="宋体" w:eastAsia="宋体" w:cs="宋体"/>
                <w:sz w:val="18"/>
                <w:szCs w:val="21"/>
                <w:lang w:bidi="ar"/>
              </w:rPr>
              <w:t>32</w:t>
            </w:r>
            <w:r>
              <w:rPr>
                <w:rFonts w:ascii="Times New Roman" w:eastAsia="宋体" w:cs="Times New Roman"/>
                <w:sz w:val="18"/>
                <w:szCs w:val="21"/>
              </w:rPr>
              <w:t>℃；</w:t>
            </w:r>
          </w:p>
        </w:tc>
        <w:tc>
          <w:tcPr>
            <w:tcW w:w="2453" w:type="dxa"/>
            <w:vAlign w:val="center"/>
          </w:tcPr>
          <w:p w14:paraId="0E129A42">
            <w:pPr>
              <w:pStyle w:val="22"/>
              <w:snapToGrid w:val="0"/>
              <w:jc w:val="center"/>
              <w:rPr>
                <w:rFonts w:ascii="Times New Roman" w:eastAsia="宋体" w:cs="Times New Roman"/>
                <w:sz w:val="21"/>
                <w:szCs w:val="21"/>
              </w:rPr>
            </w:pPr>
            <w:r>
              <w:rPr>
                <w:rFonts w:hint="eastAsia" w:ascii="Times New Roman" w:eastAsia="宋体" w:cs="Times New Roman"/>
                <w:sz w:val="21"/>
                <w:szCs w:val="21"/>
              </w:rPr>
              <w:t>参考现有前沿研究综合划定</w:t>
            </w:r>
          </w:p>
        </w:tc>
        <w:tc>
          <w:tcPr>
            <w:tcW w:w="4212" w:type="dxa"/>
            <w:vAlign w:val="center"/>
          </w:tcPr>
          <w:p w14:paraId="65164BDE">
            <w:pPr>
              <w:pStyle w:val="22"/>
              <w:snapToGrid w:val="0"/>
              <w:jc w:val="both"/>
              <w:rPr>
                <w:rFonts w:ascii="Times New Roman" w:eastAsia="宋体" w:cs="Times New Roman"/>
                <w:sz w:val="21"/>
                <w:szCs w:val="21"/>
              </w:rPr>
            </w:pPr>
            <w:r>
              <w:rPr>
                <w:rFonts w:hint="eastAsia" w:ascii="Times New Roman" w:eastAsia="宋体" w:cs="Times New Roman"/>
                <w:sz w:val="21"/>
                <w:szCs w:val="21"/>
              </w:rPr>
              <w:t>是指人体在特定气象条件下所感受到的“等效温度”，基于空气温度、相对湿度、风速、</w:t>
            </w:r>
          </w:p>
          <w:p w14:paraId="05AD32EC">
            <w:pPr>
              <w:pStyle w:val="22"/>
              <w:snapToGrid w:val="0"/>
              <w:jc w:val="both"/>
              <w:rPr>
                <w:rFonts w:ascii="Times New Roman" w:eastAsia="宋体" w:cs="Times New Roman"/>
                <w:sz w:val="21"/>
                <w:szCs w:val="21"/>
              </w:rPr>
            </w:pPr>
            <w:r>
              <w:rPr>
                <w:rFonts w:hint="eastAsia" w:ascii="Times New Roman" w:eastAsia="宋体" w:cs="Times New Roman"/>
                <w:sz w:val="21"/>
                <w:szCs w:val="21"/>
              </w:rPr>
              <w:t>平均辐射温度等核算</w:t>
            </w:r>
          </w:p>
        </w:tc>
      </w:tr>
      <w:tr w14:paraId="53B668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39" w:type="dxa"/>
            <w:vMerge w:val="continue"/>
            <w:vAlign w:val="center"/>
          </w:tcPr>
          <w:p w14:paraId="19415F0A">
            <w:pPr>
              <w:pStyle w:val="22"/>
              <w:snapToGrid w:val="0"/>
              <w:jc w:val="center"/>
              <w:rPr>
                <w:rFonts w:ascii="Times New Roman" w:eastAsia="宋体" w:cs="Times New Roman"/>
                <w:sz w:val="21"/>
                <w:szCs w:val="21"/>
              </w:rPr>
            </w:pPr>
          </w:p>
        </w:tc>
        <w:tc>
          <w:tcPr>
            <w:tcW w:w="2583" w:type="dxa"/>
            <w:vAlign w:val="center"/>
          </w:tcPr>
          <w:p w14:paraId="7BE7C9E3">
            <w:pPr>
              <w:pStyle w:val="22"/>
              <w:snapToGrid w:val="0"/>
              <w:jc w:val="center"/>
              <w:rPr>
                <w:rFonts w:ascii="Times New Roman" w:eastAsia="宋体" w:cs="Times New Roman"/>
                <w:sz w:val="21"/>
                <w:szCs w:val="21"/>
              </w:rPr>
            </w:pPr>
            <w:r>
              <w:rPr>
                <w:rFonts w:ascii="Times New Roman" w:eastAsia="宋体" w:cs="Times New Roman"/>
                <w:bCs/>
                <w:sz w:val="21"/>
                <w:szCs w:val="21"/>
              </w:rPr>
              <w:t>道路和公共开放空间夏季遮</w:t>
            </w:r>
            <w:r>
              <w:rPr>
                <w:rFonts w:hint="eastAsia" w:ascii="Times New Roman" w:eastAsia="宋体" w:cs="Times New Roman"/>
                <w:bCs/>
                <w:sz w:val="21"/>
                <w:szCs w:val="21"/>
              </w:rPr>
              <w:t>阳</w:t>
            </w:r>
            <w:r>
              <w:rPr>
                <w:rFonts w:ascii="Times New Roman" w:eastAsia="宋体" w:cs="Times New Roman"/>
                <w:bCs/>
                <w:sz w:val="21"/>
                <w:szCs w:val="21"/>
              </w:rPr>
              <w:t>度</w:t>
            </w:r>
          </w:p>
        </w:tc>
        <w:tc>
          <w:tcPr>
            <w:tcW w:w="1195" w:type="dxa"/>
            <w:vAlign w:val="center"/>
          </w:tcPr>
          <w:p w14:paraId="567F8949">
            <w:pPr>
              <w:pStyle w:val="22"/>
              <w:snapToGrid w:val="0"/>
              <w:jc w:val="center"/>
              <w:rPr>
                <w:rFonts w:ascii="Times New Roman" w:eastAsia="宋体" w:cs="Times New Roman"/>
                <w:bCs/>
                <w:sz w:val="21"/>
                <w:szCs w:val="21"/>
              </w:rPr>
            </w:pPr>
            <w:r>
              <w:rPr>
                <w:rFonts w:ascii="Times New Roman" w:eastAsia="宋体" w:cs="Times New Roman"/>
                <w:sz w:val="21"/>
                <w:szCs w:val="21"/>
              </w:rPr>
              <w:t>≥60%</w:t>
            </w:r>
          </w:p>
        </w:tc>
        <w:tc>
          <w:tcPr>
            <w:tcW w:w="1284" w:type="dxa"/>
            <w:vAlign w:val="center"/>
          </w:tcPr>
          <w:p w14:paraId="5B61E0E0">
            <w:pPr>
              <w:pStyle w:val="22"/>
              <w:snapToGrid w:val="0"/>
              <w:jc w:val="center"/>
              <w:rPr>
                <w:rFonts w:ascii="Times New Roman" w:eastAsia="宋体" w:cs="Times New Roman"/>
                <w:bCs/>
                <w:sz w:val="21"/>
                <w:szCs w:val="21"/>
              </w:rPr>
            </w:pPr>
            <w:r>
              <w:rPr>
                <w:rFonts w:ascii="Times New Roman" w:eastAsia="宋体" w:cs="Times New Roman"/>
                <w:sz w:val="21"/>
                <w:szCs w:val="21"/>
              </w:rPr>
              <w:t>40%-60%</w:t>
            </w:r>
          </w:p>
        </w:tc>
        <w:tc>
          <w:tcPr>
            <w:tcW w:w="1179" w:type="dxa"/>
            <w:vAlign w:val="center"/>
          </w:tcPr>
          <w:p w14:paraId="29F1BEFD">
            <w:pPr>
              <w:pStyle w:val="22"/>
              <w:snapToGrid w:val="0"/>
              <w:jc w:val="center"/>
              <w:rPr>
                <w:rFonts w:ascii="Times New Roman" w:eastAsia="宋体" w:cs="Times New Roman"/>
                <w:bCs/>
                <w:sz w:val="21"/>
                <w:szCs w:val="21"/>
              </w:rPr>
            </w:pPr>
            <w:r>
              <w:rPr>
                <w:rFonts w:ascii="Times New Roman" w:eastAsia="宋体" w:cs="Times New Roman"/>
                <w:sz w:val="21"/>
                <w:szCs w:val="21"/>
              </w:rPr>
              <w:t>20%-40%</w:t>
            </w:r>
          </w:p>
        </w:tc>
        <w:tc>
          <w:tcPr>
            <w:tcW w:w="2453" w:type="dxa"/>
            <w:vAlign w:val="center"/>
          </w:tcPr>
          <w:p w14:paraId="3D4443B8">
            <w:pPr>
              <w:pStyle w:val="22"/>
              <w:jc w:val="both"/>
              <w:rPr>
                <w:rFonts w:ascii="Times New Roman" w:eastAsia="宋体" w:cs="Times New Roman"/>
                <w:sz w:val="21"/>
                <w:szCs w:val="21"/>
              </w:rPr>
            </w:pPr>
            <w:r>
              <w:rPr>
                <w:rFonts w:ascii="Times New Roman" w:eastAsia="宋体" w:cs="Times New Roman"/>
                <w:sz w:val="21"/>
                <w:szCs w:val="21"/>
              </w:rPr>
              <w:t>《健康社区评价标准》T/CECS 650-2020</w:t>
            </w:r>
          </w:p>
          <w:p w14:paraId="7929EE68">
            <w:pPr>
              <w:pStyle w:val="22"/>
              <w:snapToGrid w:val="0"/>
              <w:jc w:val="center"/>
              <w:rPr>
                <w:rFonts w:ascii="Times New Roman" w:eastAsia="宋体" w:cs="Times New Roman"/>
                <w:bCs/>
                <w:sz w:val="21"/>
                <w:szCs w:val="21"/>
              </w:rPr>
            </w:pPr>
            <w:r>
              <w:rPr>
                <w:rFonts w:ascii="Times New Roman" w:eastAsia="宋体" w:cs="Times New Roman"/>
                <w:sz w:val="21"/>
                <w:szCs w:val="21"/>
              </w:rPr>
              <w:t>《生态社区评价指南》（GB/T40240-2021）</w:t>
            </w:r>
          </w:p>
        </w:tc>
        <w:tc>
          <w:tcPr>
            <w:tcW w:w="4212" w:type="dxa"/>
            <w:vAlign w:val="center"/>
          </w:tcPr>
          <w:p w14:paraId="3DF1C40F">
            <w:pPr>
              <w:pStyle w:val="22"/>
              <w:snapToGrid w:val="0"/>
              <w:jc w:val="both"/>
              <w:rPr>
                <w:rFonts w:ascii="Times New Roman" w:eastAsia="宋体" w:cs="Times New Roman"/>
                <w:bCs/>
                <w:sz w:val="21"/>
                <w:szCs w:val="21"/>
              </w:rPr>
            </w:pPr>
            <w:r>
              <w:rPr>
                <w:rFonts w:hint="eastAsia" w:ascii="Times New Roman" w:eastAsia="宋体" w:cs="Times New Roman"/>
                <w:bCs/>
                <w:sz w:val="21"/>
                <w:szCs w:val="21"/>
              </w:rPr>
              <w:t>社区内部道路和公共开放空间等地面范围内，遮阳体正投影面积总和占该场地地面面积的比率</w:t>
            </w:r>
          </w:p>
        </w:tc>
      </w:tr>
      <w:tr w14:paraId="709E6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39" w:type="dxa"/>
            <w:vMerge w:val="continue"/>
            <w:vAlign w:val="center"/>
          </w:tcPr>
          <w:p w14:paraId="17C61F6C">
            <w:pPr>
              <w:pStyle w:val="22"/>
              <w:snapToGrid w:val="0"/>
              <w:jc w:val="center"/>
              <w:rPr>
                <w:rFonts w:ascii="Times New Roman" w:eastAsia="宋体" w:cs="Times New Roman"/>
                <w:sz w:val="21"/>
                <w:szCs w:val="21"/>
              </w:rPr>
            </w:pPr>
          </w:p>
        </w:tc>
        <w:tc>
          <w:tcPr>
            <w:tcW w:w="2583" w:type="dxa"/>
            <w:vAlign w:val="center"/>
          </w:tcPr>
          <w:p w14:paraId="26B02CC1">
            <w:pPr>
              <w:pStyle w:val="22"/>
              <w:snapToGrid w:val="0"/>
              <w:jc w:val="center"/>
              <w:rPr>
                <w:rFonts w:ascii="Times New Roman" w:eastAsia="宋体" w:cs="Times New Roman"/>
                <w:sz w:val="21"/>
                <w:szCs w:val="21"/>
              </w:rPr>
            </w:pPr>
            <w:r>
              <w:rPr>
                <w:rFonts w:ascii="Times New Roman" w:eastAsia="宋体" w:cs="Times New Roman"/>
                <w:bCs/>
                <w:sz w:val="21"/>
                <w:szCs w:val="21"/>
              </w:rPr>
              <w:t>道路和公共开放空间的冬季日照度</w:t>
            </w:r>
          </w:p>
        </w:tc>
        <w:tc>
          <w:tcPr>
            <w:tcW w:w="1195" w:type="dxa"/>
            <w:vAlign w:val="center"/>
          </w:tcPr>
          <w:p w14:paraId="435335FC">
            <w:pPr>
              <w:pStyle w:val="22"/>
              <w:snapToGrid w:val="0"/>
              <w:jc w:val="center"/>
              <w:rPr>
                <w:rFonts w:ascii="Times New Roman" w:eastAsia="宋体" w:cs="Times New Roman"/>
                <w:bCs/>
                <w:sz w:val="21"/>
                <w:szCs w:val="21"/>
              </w:rPr>
            </w:pPr>
            <w:r>
              <w:rPr>
                <w:rFonts w:ascii="Times New Roman" w:eastAsia="宋体" w:cs="Times New Roman"/>
                <w:sz w:val="21"/>
                <w:szCs w:val="21"/>
              </w:rPr>
              <w:t>≥80%</w:t>
            </w:r>
          </w:p>
        </w:tc>
        <w:tc>
          <w:tcPr>
            <w:tcW w:w="1284" w:type="dxa"/>
            <w:vAlign w:val="center"/>
          </w:tcPr>
          <w:p w14:paraId="00FB8F6F">
            <w:pPr>
              <w:pStyle w:val="22"/>
              <w:snapToGrid w:val="0"/>
              <w:jc w:val="center"/>
              <w:rPr>
                <w:rFonts w:ascii="Times New Roman" w:eastAsia="宋体" w:cs="Times New Roman"/>
                <w:bCs/>
                <w:sz w:val="21"/>
                <w:szCs w:val="21"/>
              </w:rPr>
            </w:pPr>
            <w:r>
              <w:rPr>
                <w:rFonts w:ascii="Times New Roman" w:eastAsia="宋体" w:cs="Times New Roman"/>
                <w:sz w:val="21"/>
                <w:szCs w:val="21"/>
              </w:rPr>
              <w:t>60%-80%</w:t>
            </w:r>
          </w:p>
        </w:tc>
        <w:tc>
          <w:tcPr>
            <w:tcW w:w="1179" w:type="dxa"/>
            <w:vAlign w:val="center"/>
          </w:tcPr>
          <w:p w14:paraId="2B1D106A">
            <w:pPr>
              <w:pStyle w:val="22"/>
              <w:snapToGrid w:val="0"/>
              <w:jc w:val="center"/>
              <w:rPr>
                <w:rFonts w:ascii="Times New Roman" w:eastAsia="宋体" w:cs="Times New Roman"/>
                <w:bCs/>
                <w:sz w:val="21"/>
                <w:szCs w:val="21"/>
              </w:rPr>
            </w:pPr>
            <w:r>
              <w:rPr>
                <w:rFonts w:ascii="Times New Roman" w:eastAsia="宋体" w:cs="Times New Roman"/>
                <w:sz w:val="21"/>
                <w:szCs w:val="21"/>
              </w:rPr>
              <w:t>40%-60%</w:t>
            </w:r>
          </w:p>
        </w:tc>
        <w:tc>
          <w:tcPr>
            <w:tcW w:w="2453" w:type="dxa"/>
            <w:vAlign w:val="center"/>
          </w:tcPr>
          <w:p w14:paraId="5AED18F3">
            <w:pPr>
              <w:pStyle w:val="22"/>
              <w:snapToGrid w:val="0"/>
              <w:jc w:val="center"/>
              <w:rPr>
                <w:rFonts w:ascii="Times New Roman" w:eastAsia="宋体" w:cs="Times New Roman"/>
                <w:bCs/>
                <w:sz w:val="21"/>
                <w:szCs w:val="21"/>
              </w:rPr>
            </w:pPr>
            <w:r>
              <w:rPr>
                <w:rFonts w:ascii="Times New Roman" w:eastAsia="宋体" w:cs="Times New Roman"/>
                <w:bCs/>
                <w:sz w:val="21"/>
                <w:szCs w:val="21"/>
              </w:rPr>
              <w:t>《中国绿色低碳住区技术评估手册》</w:t>
            </w:r>
          </w:p>
        </w:tc>
        <w:tc>
          <w:tcPr>
            <w:tcW w:w="4212" w:type="dxa"/>
            <w:vAlign w:val="center"/>
          </w:tcPr>
          <w:p w14:paraId="08751135">
            <w:pPr>
              <w:pStyle w:val="22"/>
              <w:snapToGrid w:val="0"/>
              <w:jc w:val="both"/>
              <w:rPr>
                <w:rFonts w:ascii="Times New Roman" w:eastAsia="宋体" w:cs="Times New Roman"/>
                <w:bCs/>
                <w:sz w:val="21"/>
                <w:szCs w:val="21"/>
              </w:rPr>
            </w:pPr>
            <w:r>
              <w:rPr>
                <w:rFonts w:hint="eastAsia" w:ascii="Times New Roman" w:eastAsia="宋体" w:cs="Times New Roman"/>
                <w:bCs/>
                <w:sz w:val="21"/>
                <w:szCs w:val="21"/>
              </w:rPr>
              <w:t>大寒日公共开放空间获得不少于1h的日照的比例</w:t>
            </w:r>
          </w:p>
        </w:tc>
      </w:tr>
      <w:tr w14:paraId="3F63F9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39" w:type="dxa"/>
            <w:vMerge w:val="continue"/>
            <w:vAlign w:val="center"/>
          </w:tcPr>
          <w:p w14:paraId="081B9B38">
            <w:pPr>
              <w:pStyle w:val="22"/>
              <w:snapToGrid w:val="0"/>
              <w:jc w:val="center"/>
              <w:rPr>
                <w:rFonts w:ascii="Times New Roman" w:eastAsia="宋体" w:cs="Times New Roman"/>
                <w:sz w:val="21"/>
                <w:szCs w:val="21"/>
              </w:rPr>
            </w:pPr>
          </w:p>
        </w:tc>
        <w:tc>
          <w:tcPr>
            <w:tcW w:w="2583" w:type="dxa"/>
            <w:vAlign w:val="center"/>
          </w:tcPr>
          <w:p w14:paraId="261E671F">
            <w:pPr>
              <w:pStyle w:val="22"/>
              <w:snapToGrid w:val="0"/>
              <w:jc w:val="center"/>
              <w:rPr>
                <w:rFonts w:ascii="Times New Roman" w:eastAsia="宋体" w:cs="Times New Roman"/>
                <w:bCs/>
                <w:sz w:val="21"/>
                <w:szCs w:val="21"/>
              </w:rPr>
            </w:pPr>
            <w:r>
              <w:rPr>
                <w:rFonts w:hint="eastAsia" w:ascii="Times New Roman" w:eastAsia="宋体" w:cs="Times New Roman"/>
                <w:bCs/>
                <w:sz w:val="21"/>
                <w:szCs w:val="21"/>
              </w:rPr>
              <w:t>通风廊道与完整性</w:t>
            </w:r>
          </w:p>
        </w:tc>
        <w:tc>
          <w:tcPr>
            <w:tcW w:w="1195" w:type="dxa"/>
            <w:vAlign w:val="center"/>
          </w:tcPr>
          <w:p w14:paraId="52A1ABE6">
            <w:pPr>
              <w:pStyle w:val="22"/>
              <w:snapToGrid w:val="0"/>
              <w:jc w:val="center"/>
              <w:rPr>
                <w:rFonts w:ascii="Times New Roman" w:eastAsia="宋体" w:cs="Times New Roman"/>
                <w:bCs/>
                <w:sz w:val="21"/>
                <w:szCs w:val="21"/>
              </w:rPr>
            </w:pPr>
            <w:r>
              <w:rPr>
                <w:rFonts w:ascii="Times New Roman" w:eastAsia="宋体" w:cs="Times New Roman"/>
                <w:sz w:val="21"/>
                <w:szCs w:val="21"/>
              </w:rPr>
              <w:t>≥95%</w:t>
            </w:r>
          </w:p>
        </w:tc>
        <w:tc>
          <w:tcPr>
            <w:tcW w:w="1284" w:type="dxa"/>
            <w:vAlign w:val="center"/>
          </w:tcPr>
          <w:p w14:paraId="7C6B4A75">
            <w:pPr>
              <w:pStyle w:val="22"/>
              <w:snapToGrid w:val="0"/>
              <w:jc w:val="center"/>
              <w:rPr>
                <w:rFonts w:ascii="Times New Roman" w:eastAsia="宋体" w:cs="Times New Roman"/>
                <w:bCs/>
                <w:sz w:val="21"/>
                <w:szCs w:val="21"/>
              </w:rPr>
            </w:pPr>
            <w:r>
              <w:rPr>
                <w:rFonts w:hint="eastAsia" w:ascii="Times New Roman" w:eastAsia="宋体" w:cs="Times New Roman"/>
                <w:sz w:val="21"/>
                <w:szCs w:val="21"/>
              </w:rPr>
              <w:t>[</w:t>
            </w:r>
            <w:r>
              <w:rPr>
                <w:rFonts w:ascii="Times New Roman" w:eastAsia="宋体" w:cs="Times New Roman"/>
                <w:sz w:val="21"/>
                <w:szCs w:val="21"/>
              </w:rPr>
              <w:t>90%</w:t>
            </w:r>
            <w:r>
              <w:rPr>
                <w:rFonts w:hint="eastAsia" w:ascii="Times New Roman" w:eastAsia="宋体" w:cs="Times New Roman"/>
                <w:sz w:val="21"/>
                <w:szCs w:val="21"/>
              </w:rPr>
              <w:t>,</w:t>
            </w:r>
            <w:r>
              <w:rPr>
                <w:rFonts w:ascii="Times New Roman" w:eastAsia="宋体" w:cs="Times New Roman"/>
                <w:sz w:val="21"/>
                <w:szCs w:val="21"/>
              </w:rPr>
              <w:t>95%)</w:t>
            </w:r>
          </w:p>
        </w:tc>
        <w:tc>
          <w:tcPr>
            <w:tcW w:w="1179" w:type="dxa"/>
            <w:vAlign w:val="center"/>
          </w:tcPr>
          <w:p w14:paraId="72513AD6">
            <w:pPr>
              <w:pStyle w:val="22"/>
              <w:snapToGrid w:val="0"/>
              <w:jc w:val="center"/>
              <w:rPr>
                <w:rFonts w:ascii="Times New Roman" w:eastAsia="宋体" w:cs="Times New Roman"/>
                <w:bCs/>
                <w:sz w:val="21"/>
                <w:szCs w:val="21"/>
              </w:rPr>
            </w:pPr>
            <w:r>
              <w:rPr>
                <w:rFonts w:hint="eastAsia" w:ascii="Times New Roman" w:eastAsia="宋体" w:cs="Times New Roman"/>
                <w:sz w:val="21"/>
                <w:szCs w:val="21"/>
              </w:rPr>
              <w:t>[</w:t>
            </w:r>
            <w:r>
              <w:rPr>
                <w:rFonts w:ascii="Times New Roman" w:eastAsia="宋体" w:cs="Times New Roman"/>
                <w:sz w:val="21"/>
                <w:szCs w:val="21"/>
              </w:rPr>
              <w:t>85%,90%)</w:t>
            </w:r>
          </w:p>
        </w:tc>
        <w:tc>
          <w:tcPr>
            <w:tcW w:w="2453" w:type="dxa"/>
            <w:vAlign w:val="center"/>
          </w:tcPr>
          <w:p w14:paraId="23257A1D">
            <w:pPr>
              <w:pStyle w:val="22"/>
              <w:snapToGrid w:val="0"/>
              <w:jc w:val="center"/>
              <w:rPr>
                <w:rFonts w:ascii="Times New Roman" w:eastAsia="宋体" w:cs="Times New Roman"/>
                <w:bCs/>
                <w:sz w:val="21"/>
                <w:szCs w:val="21"/>
              </w:rPr>
            </w:pPr>
            <w:r>
              <w:rPr>
                <w:rFonts w:hint="eastAsia" w:ascii="Times New Roman" w:eastAsia="宋体" w:cs="Times New Roman"/>
                <w:bCs/>
                <w:sz w:val="21"/>
                <w:szCs w:val="21"/>
              </w:rPr>
              <w:t>参考</w:t>
            </w:r>
            <w:r>
              <w:rPr>
                <w:rFonts w:ascii="Times New Roman" w:eastAsia="宋体" w:cs="Times New Roman"/>
                <w:bCs/>
                <w:sz w:val="21"/>
                <w:szCs w:val="21"/>
              </w:rPr>
              <w:t>QX/T 437-2018</w:t>
            </w:r>
            <w:r>
              <w:rPr>
                <w:rFonts w:hint="eastAsia" w:ascii="Times New Roman" w:eastAsia="宋体" w:cs="Times New Roman"/>
                <w:bCs/>
                <w:sz w:val="21"/>
                <w:szCs w:val="21"/>
              </w:rPr>
              <w:t>、</w:t>
            </w:r>
            <w:r>
              <w:rPr>
                <w:rFonts w:ascii="Times New Roman" w:eastAsia="宋体" w:cs="Times New Roman"/>
                <w:bCs/>
                <w:sz w:val="21"/>
                <w:szCs w:val="21"/>
              </w:rPr>
              <w:t>DB11/T 1710-2019</w:t>
            </w:r>
          </w:p>
        </w:tc>
        <w:tc>
          <w:tcPr>
            <w:tcW w:w="4212" w:type="dxa"/>
            <w:vAlign w:val="center"/>
          </w:tcPr>
          <w:p w14:paraId="42668562">
            <w:pPr>
              <w:pStyle w:val="22"/>
              <w:snapToGrid w:val="0"/>
              <w:jc w:val="both"/>
              <w:rPr>
                <w:rFonts w:ascii="Times New Roman" w:eastAsia="宋体" w:cs="Times New Roman"/>
                <w:bCs/>
                <w:sz w:val="21"/>
                <w:szCs w:val="21"/>
              </w:rPr>
            </w:pPr>
            <w:r>
              <w:rPr>
                <w:rFonts w:hint="eastAsia" w:ascii="Times New Roman" w:eastAsia="宋体" w:cs="Times New Roman"/>
                <w:bCs/>
                <w:sz w:val="21"/>
                <w:szCs w:val="21"/>
              </w:rPr>
              <w:t>社区规划通风廊道（宽度≥1</w:t>
            </w:r>
            <w:r>
              <w:rPr>
                <w:rFonts w:ascii="Times New Roman" w:eastAsia="宋体" w:cs="Times New Roman"/>
                <w:bCs/>
                <w:sz w:val="21"/>
                <w:szCs w:val="21"/>
              </w:rPr>
              <w:t>5</w:t>
            </w:r>
            <w:r>
              <w:rPr>
                <w:rFonts w:hint="eastAsia" w:ascii="Times New Roman" w:eastAsia="宋体" w:cs="Times New Roman"/>
                <w:bCs/>
                <w:sz w:val="21"/>
                <w:szCs w:val="21"/>
              </w:rPr>
              <w:t>m）实际落地率及无遮挡率</w:t>
            </w:r>
          </w:p>
        </w:tc>
      </w:tr>
      <w:tr w14:paraId="4B0F0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39" w:type="dxa"/>
            <w:vMerge w:val="restart"/>
            <w:vAlign w:val="center"/>
          </w:tcPr>
          <w:p w14:paraId="79608E96">
            <w:pPr>
              <w:pStyle w:val="22"/>
              <w:snapToGrid w:val="0"/>
              <w:jc w:val="center"/>
              <w:rPr>
                <w:rFonts w:ascii="Times New Roman" w:eastAsia="宋体" w:cs="Times New Roman"/>
                <w:sz w:val="21"/>
                <w:szCs w:val="21"/>
              </w:rPr>
            </w:pPr>
            <w:r>
              <w:rPr>
                <w:rFonts w:hint="eastAsia" w:ascii="Times New Roman" w:eastAsia="宋体" w:cs="Times New Roman"/>
                <w:sz w:val="21"/>
                <w:szCs w:val="21"/>
              </w:rPr>
              <w:t>大气与声环境</w:t>
            </w:r>
          </w:p>
        </w:tc>
        <w:tc>
          <w:tcPr>
            <w:tcW w:w="2583" w:type="dxa"/>
            <w:vAlign w:val="center"/>
          </w:tcPr>
          <w:p w14:paraId="084AFB7E">
            <w:pPr>
              <w:pStyle w:val="22"/>
              <w:snapToGrid w:val="0"/>
              <w:jc w:val="center"/>
              <w:rPr>
                <w:rFonts w:ascii="Times New Roman" w:eastAsia="宋体" w:cs="Times New Roman"/>
                <w:bCs/>
                <w:sz w:val="21"/>
                <w:szCs w:val="21"/>
              </w:rPr>
            </w:pPr>
            <w:r>
              <w:rPr>
                <w:rFonts w:hint="eastAsia" w:ascii="Times New Roman" w:eastAsia="宋体" w:cs="Times New Roman"/>
                <w:bCs/>
                <w:sz w:val="21"/>
                <w:szCs w:val="21"/>
              </w:rPr>
              <w:t>P</w:t>
            </w:r>
            <w:r>
              <w:rPr>
                <w:rFonts w:ascii="Times New Roman" w:eastAsia="宋体" w:cs="Times New Roman"/>
                <w:bCs/>
                <w:sz w:val="21"/>
                <w:szCs w:val="21"/>
              </w:rPr>
              <w:t>M2.5</w:t>
            </w:r>
            <w:r>
              <w:rPr>
                <w:rFonts w:hint="eastAsia" w:ascii="Times New Roman" w:eastAsia="宋体" w:cs="Times New Roman"/>
                <w:bCs/>
                <w:sz w:val="21"/>
                <w:szCs w:val="21"/>
              </w:rPr>
              <w:t>年均浓度</w:t>
            </w:r>
            <w:r>
              <w:rPr>
                <w:rFonts w:ascii="Times New Roman" w:eastAsia="宋体" w:cs="Times New Roman"/>
                <w:bCs/>
                <w:sz w:val="21"/>
                <w:szCs w:val="21"/>
              </w:rPr>
              <w:t>μ</w:t>
            </w:r>
            <w:r>
              <w:rPr>
                <w:rFonts w:hint="eastAsia" w:ascii="Times New Roman" w:eastAsia="宋体" w:cs="Times New Roman"/>
                <w:bCs/>
                <w:sz w:val="21"/>
                <w:szCs w:val="21"/>
              </w:rPr>
              <w:t>g/m³</w:t>
            </w:r>
          </w:p>
        </w:tc>
        <w:tc>
          <w:tcPr>
            <w:tcW w:w="1195" w:type="dxa"/>
            <w:vAlign w:val="center"/>
          </w:tcPr>
          <w:p w14:paraId="53389C16">
            <w:pPr>
              <w:pStyle w:val="22"/>
              <w:snapToGrid w:val="0"/>
              <w:jc w:val="center"/>
              <w:rPr>
                <w:rFonts w:ascii="Times New Roman" w:eastAsia="宋体" w:cs="Times New Roman"/>
                <w:bCs/>
                <w:sz w:val="21"/>
                <w:szCs w:val="21"/>
              </w:rPr>
            </w:pPr>
            <w:r>
              <w:rPr>
                <w:rFonts w:hint="eastAsia" w:ascii="Times New Roman" w:eastAsia="宋体" w:cs="Times New Roman"/>
                <w:bCs/>
                <w:sz w:val="21"/>
                <w:szCs w:val="21"/>
              </w:rPr>
              <w:t>≤35</w:t>
            </w:r>
            <w:r>
              <w:rPr>
                <w:rFonts w:ascii="Times New Roman" w:eastAsia="宋体" w:cs="Times New Roman"/>
                <w:bCs/>
                <w:sz w:val="21"/>
                <w:szCs w:val="21"/>
              </w:rPr>
              <w:t>μ</w:t>
            </w:r>
            <w:r>
              <w:rPr>
                <w:rFonts w:hint="eastAsia" w:ascii="Times New Roman" w:eastAsia="宋体" w:cs="Times New Roman"/>
                <w:bCs/>
                <w:sz w:val="21"/>
                <w:szCs w:val="21"/>
              </w:rPr>
              <w:t>g/m³</w:t>
            </w:r>
          </w:p>
        </w:tc>
        <w:tc>
          <w:tcPr>
            <w:tcW w:w="1284" w:type="dxa"/>
            <w:vAlign w:val="center"/>
          </w:tcPr>
          <w:p w14:paraId="1654B5DA">
            <w:pPr>
              <w:pStyle w:val="22"/>
              <w:snapToGrid w:val="0"/>
              <w:jc w:val="center"/>
              <w:rPr>
                <w:rFonts w:ascii="Times New Roman" w:eastAsia="宋体" w:cs="Times New Roman"/>
                <w:bCs/>
                <w:sz w:val="23"/>
                <w:szCs w:val="21"/>
              </w:rPr>
            </w:pPr>
            <w:r>
              <w:rPr>
                <w:rFonts w:hint="eastAsia" w:ascii="Times New Roman" w:eastAsia="宋体" w:cs="Times New Roman"/>
                <w:bCs/>
                <w:sz w:val="21"/>
                <w:szCs w:val="21"/>
              </w:rPr>
              <w:t>(3</w:t>
            </w:r>
            <w:r>
              <w:rPr>
                <w:rFonts w:ascii="Times New Roman" w:eastAsia="宋体" w:cs="Times New Roman"/>
                <w:bCs/>
                <w:sz w:val="21"/>
                <w:szCs w:val="21"/>
              </w:rPr>
              <w:t>5</w:t>
            </w:r>
            <w:r>
              <w:rPr>
                <w:rFonts w:hint="eastAsia" w:ascii="Times New Roman" w:eastAsia="宋体" w:cs="Times New Roman"/>
                <w:bCs/>
                <w:sz w:val="21"/>
                <w:szCs w:val="21"/>
              </w:rPr>
              <w:t>,</w:t>
            </w:r>
            <w:r>
              <w:rPr>
                <w:rFonts w:ascii="Times New Roman" w:eastAsia="宋体" w:cs="Times New Roman"/>
                <w:bCs/>
                <w:sz w:val="21"/>
                <w:szCs w:val="21"/>
              </w:rPr>
              <w:t>45]</w:t>
            </w:r>
          </w:p>
        </w:tc>
        <w:tc>
          <w:tcPr>
            <w:tcW w:w="1179" w:type="dxa"/>
            <w:vAlign w:val="center"/>
          </w:tcPr>
          <w:p w14:paraId="2802AB71">
            <w:pPr>
              <w:pStyle w:val="22"/>
              <w:snapToGrid w:val="0"/>
              <w:jc w:val="center"/>
              <w:rPr>
                <w:rFonts w:ascii="Times New Roman" w:eastAsia="宋体" w:cs="Times New Roman"/>
                <w:bCs/>
                <w:sz w:val="21"/>
                <w:szCs w:val="21"/>
              </w:rPr>
            </w:pPr>
            <w:r>
              <w:rPr>
                <w:rFonts w:hint="eastAsia" w:ascii="Times New Roman" w:eastAsia="宋体" w:cs="Times New Roman"/>
                <w:bCs/>
                <w:sz w:val="21"/>
                <w:szCs w:val="21"/>
              </w:rPr>
              <w:t>(</w:t>
            </w:r>
            <w:r>
              <w:rPr>
                <w:rFonts w:ascii="Times New Roman" w:eastAsia="宋体" w:cs="Times New Roman"/>
                <w:bCs/>
                <w:sz w:val="21"/>
                <w:szCs w:val="21"/>
              </w:rPr>
              <w:t>45</w:t>
            </w:r>
            <w:r>
              <w:rPr>
                <w:rFonts w:hint="eastAsia" w:ascii="Times New Roman" w:eastAsia="宋体" w:cs="Times New Roman"/>
                <w:bCs/>
                <w:sz w:val="21"/>
                <w:szCs w:val="21"/>
              </w:rPr>
              <w:t>,</w:t>
            </w:r>
            <w:r>
              <w:rPr>
                <w:rFonts w:ascii="Times New Roman" w:eastAsia="宋体" w:cs="Times New Roman"/>
                <w:bCs/>
                <w:sz w:val="21"/>
                <w:szCs w:val="21"/>
              </w:rPr>
              <w:t>55]</w:t>
            </w:r>
          </w:p>
        </w:tc>
        <w:tc>
          <w:tcPr>
            <w:tcW w:w="2453" w:type="dxa"/>
            <w:vAlign w:val="center"/>
          </w:tcPr>
          <w:p w14:paraId="46F78C0A">
            <w:pPr>
              <w:pStyle w:val="22"/>
              <w:snapToGrid w:val="0"/>
              <w:jc w:val="center"/>
              <w:rPr>
                <w:rFonts w:ascii="Times New Roman" w:eastAsia="宋体" w:cs="Times New Roman"/>
                <w:bCs/>
                <w:sz w:val="21"/>
                <w:szCs w:val="21"/>
              </w:rPr>
            </w:pPr>
            <w:r>
              <w:rPr>
                <w:rFonts w:hint="eastAsia" w:ascii="Times New Roman" w:eastAsia="宋体" w:cs="Times New Roman"/>
                <w:bCs/>
                <w:sz w:val="21"/>
                <w:szCs w:val="21"/>
              </w:rPr>
              <w:t xml:space="preserve">参考GB 3095 </w:t>
            </w:r>
            <w:r>
              <w:rPr>
                <w:rFonts w:ascii="Times New Roman" w:eastAsia="宋体" w:cs="Times New Roman"/>
                <w:bCs/>
                <w:sz w:val="21"/>
                <w:szCs w:val="21"/>
              </w:rPr>
              <w:t>2018</w:t>
            </w:r>
            <w:r>
              <w:rPr>
                <w:rFonts w:hint="eastAsia" w:ascii="Times New Roman" w:eastAsia="宋体" w:cs="Times New Roman"/>
                <w:bCs/>
                <w:sz w:val="21"/>
                <w:szCs w:val="21"/>
              </w:rPr>
              <w:t xml:space="preserve"> </w:t>
            </w:r>
          </w:p>
        </w:tc>
        <w:tc>
          <w:tcPr>
            <w:tcW w:w="4212" w:type="dxa"/>
            <w:vMerge w:val="restart"/>
            <w:vAlign w:val="center"/>
          </w:tcPr>
          <w:p w14:paraId="16078B0A">
            <w:pPr>
              <w:pStyle w:val="22"/>
              <w:snapToGrid w:val="0"/>
              <w:jc w:val="both"/>
              <w:rPr>
                <w:rFonts w:ascii="Times New Roman" w:eastAsia="宋体" w:cs="Times New Roman"/>
                <w:bCs/>
                <w:sz w:val="21"/>
                <w:szCs w:val="21"/>
              </w:rPr>
            </w:pPr>
            <w:r>
              <w:rPr>
                <w:rFonts w:hint="eastAsia" w:ascii="Times New Roman" w:eastAsia="宋体" w:cs="Times New Roman"/>
                <w:bCs/>
                <w:sz w:val="21"/>
                <w:szCs w:val="21"/>
              </w:rPr>
              <w:t>社区内PM</w:t>
            </w:r>
            <w:r>
              <w:rPr>
                <w:rFonts w:ascii="Times New Roman" w:eastAsia="宋体" w:cs="Times New Roman"/>
                <w:bCs/>
                <w:sz w:val="21"/>
                <w:szCs w:val="21"/>
              </w:rPr>
              <w:t>2.5</w:t>
            </w:r>
            <w:r>
              <w:rPr>
                <w:rFonts w:hint="eastAsia" w:ascii="Times New Roman" w:eastAsia="宋体" w:cs="Times New Roman"/>
                <w:bCs/>
                <w:sz w:val="21"/>
                <w:szCs w:val="21"/>
              </w:rPr>
              <w:t>、PM10年平均浓度，大气浓度数据优先采用社区内监测站点数据，无站点的可参考周边1km内官方监测数据</w:t>
            </w:r>
          </w:p>
        </w:tc>
      </w:tr>
      <w:tr w14:paraId="03AE74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39" w:type="dxa"/>
            <w:vMerge w:val="continue"/>
            <w:vAlign w:val="center"/>
          </w:tcPr>
          <w:p w14:paraId="12AF02EF">
            <w:pPr>
              <w:pStyle w:val="22"/>
              <w:snapToGrid w:val="0"/>
              <w:jc w:val="center"/>
              <w:rPr>
                <w:rFonts w:ascii="Times New Roman" w:eastAsia="宋体" w:cs="Times New Roman"/>
                <w:sz w:val="21"/>
                <w:szCs w:val="21"/>
              </w:rPr>
            </w:pPr>
          </w:p>
        </w:tc>
        <w:tc>
          <w:tcPr>
            <w:tcW w:w="2583" w:type="dxa"/>
            <w:vAlign w:val="center"/>
          </w:tcPr>
          <w:p w14:paraId="5F1041AC">
            <w:pPr>
              <w:pStyle w:val="22"/>
              <w:snapToGrid w:val="0"/>
              <w:jc w:val="center"/>
              <w:rPr>
                <w:rFonts w:ascii="Times New Roman" w:eastAsia="宋体" w:cs="Times New Roman"/>
                <w:bCs/>
                <w:sz w:val="21"/>
                <w:szCs w:val="21"/>
              </w:rPr>
            </w:pPr>
            <w:r>
              <w:rPr>
                <w:rFonts w:ascii="Times New Roman" w:eastAsia="宋体" w:cs="Times New Roman"/>
                <w:bCs/>
                <w:sz w:val="21"/>
                <w:szCs w:val="21"/>
              </w:rPr>
              <w:t>PM10</w:t>
            </w:r>
            <w:r>
              <w:rPr>
                <w:rFonts w:hint="eastAsia" w:ascii="Times New Roman" w:eastAsia="宋体" w:cs="Times New Roman"/>
                <w:bCs/>
                <w:sz w:val="21"/>
                <w:szCs w:val="21"/>
              </w:rPr>
              <w:t>年均浓度</w:t>
            </w:r>
          </w:p>
        </w:tc>
        <w:tc>
          <w:tcPr>
            <w:tcW w:w="1195" w:type="dxa"/>
            <w:vAlign w:val="center"/>
          </w:tcPr>
          <w:p w14:paraId="0DB43BD4">
            <w:pPr>
              <w:pStyle w:val="22"/>
              <w:snapToGrid w:val="0"/>
              <w:jc w:val="center"/>
              <w:rPr>
                <w:rFonts w:ascii="Times New Roman" w:eastAsia="宋体" w:cs="Times New Roman"/>
                <w:bCs/>
                <w:sz w:val="21"/>
                <w:szCs w:val="21"/>
              </w:rPr>
            </w:pPr>
            <w:r>
              <w:rPr>
                <w:rFonts w:hint="eastAsia" w:ascii="Times New Roman" w:eastAsia="宋体" w:cs="Times New Roman"/>
                <w:bCs/>
                <w:sz w:val="21"/>
                <w:szCs w:val="21"/>
              </w:rPr>
              <w:t>≤</w:t>
            </w:r>
            <w:r>
              <w:rPr>
                <w:rFonts w:ascii="Times New Roman" w:eastAsia="宋体" w:cs="Times New Roman"/>
                <w:bCs/>
                <w:sz w:val="21"/>
                <w:szCs w:val="21"/>
              </w:rPr>
              <w:t>70μ</w:t>
            </w:r>
            <w:r>
              <w:rPr>
                <w:rFonts w:hint="eastAsia" w:ascii="Times New Roman" w:eastAsia="宋体" w:cs="Times New Roman"/>
                <w:bCs/>
                <w:sz w:val="21"/>
                <w:szCs w:val="21"/>
              </w:rPr>
              <w:t>g/m³</w:t>
            </w:r>
          </w:p>
        </w:tc>
        <w:tc>
          <w:tcPr>
            <w:tcW w:w="1284" w:type="dxa"/>
            <w:vAlign w:val="center"/>
          </w:tcPr>
          <w:p w14:paraId="5667ED69">
            <w:pPr>
              <w:pStyle w:val="22"/>
              <w:snapToGrid w:val="0"/>
              <w:jc w:val="center"/>
              <w:rPr>
                <w:rFonts w:ascii="Times New Roman" w:eastAsia="宋体" w:cs="Times New Roman"/>
                <w:bCs/>
                <w:sz w:val="21"/>
                <w:szCs w:val="21"/>
              </w:rPr>
            </w:pPr>
            <w:r>
              <w:rPr>
                <w:rFonts w:hint="eastAsia" w:ascii="Times New Roman" w:eastAsia="宋体" w:cs="Times New Roman"/>
                <w:bCs/>
                <w:sz w:val="21"/>
                <w:szCs w:val="21"/>
              </w:rPr>
              <w:t>(</w:t>
            </w:r>
            <w:r>
              <w:rPr>
                <w:rFonts w:ascii="Times New Roman" w:eastAsia="宋体" w:cs="Times New Roman"/>
                <w:bCs/>
                <w:sz w:val="21"/>
                <w:szCs w:val="21"/>
              </w:rPr>
              <w:t>70</w:t>
            </w:r>
            <w:r>
              <w:rPr>
                <w:rFonts w:hint="eastAsia" w:ascii="Times New Roman" w:eastAsia="宋体" w:cs="Times New Roman"/>
                <w:bCs/>
                <w:sz w:val="21"/>
                <w:szCs w:val="21"/>
              </w:rPr>
              <w:t>,</w:t>
            </w:r>
            <w:r>
              <w:rPr>
                <w:rFonts w:ascii="Times New Roman" w:eastAsia="宋体" w:cs="Times New Roman"/>
                <w:bCs/>
                <w:sz w:val="21"/>
                <w:szCs w:val="21"/>
              </w:rPr>
              <w:t>85]</w:t>
            </w:r>
          </w:p>
        </w:tc>
        <w:tc>
          <w:tcPr>
            <w:tcW w:w="1179" w:type="dxa"/>
            <w:vAlign w:val="center"/>
          </w:tcPr>
          <w:p w14:paraId="6C0BB43A">
            <w:pPr>
              <w:pStyle w:val="22"/>
              <w:snapToGrid w:val="0"/>
              <w:jc w:val="center"/>
              <w:rPr>
                <w:rFonts w:ascii="Times New Roman" w:eastAsia="宋体" w:cs="Times New Roman"/>
                <w:bCs/>
                <w:sz w:val="21"/>
                <w:szCs w:val="21"/>
              </w:rPr>
            </w:pPr>
            <w:r>
              <w:rPr>
                <w:rFonts w:hint="eastAsia" w:ascii="Times New Roman" w:eastAsia="宋体" w:cs="Times New Roman"/>
                <w:bCs/>
                <w:sz w:val="21"/>
                <w:szCs w:val="21"/>
              </w:rPr>
              <w:t>(</w:t>
            </w:r>
            <w:r>
              <w:rPr>
                <w:rFonts w:ascii="Times New Roman" w:eastAsia="宋体" w:cs="Times New Roman"/>
                <w:bCs/>
                <w:sz w:val="21"/>
                <w:szCs w:val="21"/>
              </w:rPr>
              <w:t>85</w:t>
            </w:r>
            <w:r>
              <w:rPr>
                <w:rFonts w:hint="eastAsia" w:ascii="Times New Roman" w:eastAsia="宋体" w:cs="Times New Roman"/>
                <w:bCs/>
                <w:sz w:val="21"/>
                <w:szCs w:val="21"/>
              </w:rPr>
              <w:t>,</w:t>
            </w:r>
            <w:r>
              <w:rPr>
                <w:rFonts w:ascii="Times New Roman" w:eastAsia="宋体" w:cs="Times New Roman"/>
                <w:bCs/>
                <w:sz w:val="21"/>
                <w:szCs w:val="21"/>
              </w:rPr>
              <w:t>100]</w:t>
            </w:r>
          </w:p>
        </w:tc>
        <w:tc>
          <w:tcPr>
            <w:tcW w:w="2453" w:type="dxa"/>
            <w:vAlign w:val="center"/>
          </w:tcPr>
          <w:p w14:paraId="180E022B">
            <w:pPr>
              <w:pStyle w:val="22"/>
              <w:snapToGrid w:val="0"/>
              <w:jc w:val="center"/>
              <w:rPr>
                <w:rFonts w:ascii="Times New Roman" w:eastAsia="宋体" w:cs="Times New Roman"/>
                <w:bCs/>
                <w:sz w:val="21"/>
                <w:szCs w:val="21"/>
              </w:rPr>
            </w:pPr>
            <w:r>
              <w:rPr>
                <w:rFonts w:hint="eastAsia" w:ascii="Times New Roman" w:eastAsia="宋体" w:cs="Times New Roman"/>
                <w:bCs/>
                <w:sz w:val="21"/>
                <w:szCs w:val="21"/>
              </w:rPr>
              <w:t>参考GB 3095</w:t>
            </w:r>
            <w:r>
              <w:rPr>
                <w:rFonts w:ascii="Times New Roman" w:eastAsia="宋体" w:cs="Times New Roman"/>
                <w:bCs/>
                <w:sz w:val="21"/>
                <w:szCs w:val="21"/>
              </w:rPr>
              <w:t>-2018</w:t>
            </w:r>
            <w:r>
              <w:rPr>
                <w:rFonts w:hint="eastAsia" w:ascii="Times New Roman" w:eastAsia="宋体" w:cs="Times New Roman"/>
                <w:bCs/>
                <w:sz w:val="21"/>
                <w:szCs w:val="21"/>
              </w:rPr>
              <w:t xml:space="preserve"> </w:t>
            </w:r>
          </w:p>
        </w:tc>
        <w:tc>
          <w:tcPr>
            <w:tcW w:w="4212" w:type="dxa"/>
            <w:vMerge w:val="continue"/>
            <w:vAlign w:val="center"/>
          </w:tcPr>
          <w:p w14:paraId="6C75F114">
            <w:pPr>
              <w:pStyle w:val="22"/>
              <w:snapToGrid w:val="0"/>
              <w:jc w:val="both"/>
              <w:rPr>
                <w:rFonts w:ascii="Times New Roman" w:eastAsia="宋体" w:cs="Times New Roman"/>
                <w:bCs/>
                <w:sz w:val="21"/>
                <w:szCs w:val="21"/>
              </w:rPr>
            </w:pPr>
          </w:p>
        </w:tc>
      </w:tr>
      <w:tr w14:paraId="6D41DD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39" w:type="dxa"/>
            <w:vMerge w:val="continue"/>
            <w:vAlign w:val="center"/>
          </w:tcPr>
          <w:p w14:paraId="1A08F5B2">
            <w:pPr>
              <w:pStyle w:val="22"/>
              <w:snapToGrid w:val="0"/>
              <w:jc w:val="center"/>
              <w:rPr>
                <w:rFonts w:ascii="Times New Roman" w:eastAsia="宋体" w:cs="Times New Roman"/>
                <w:sz w:val="21"/>
                <w:szCs w:val="21"/>
              </w:rPr>
            </w:pPr>
          </w:p>
        </w:tc>
        <w:tc>
          <w:tcPr>
            <w:tcW w:w="2583" w:type="dxa"/>
            <w:vAlign w:val="center"/>
          </w:tcPr>
          <w:p w14:paraId="64C67897">
            <w:pPr>
              <w:pStyle w:val="22"/>
              <w:snapToGrid w:val="0"/>
              <w:jc w:val="center"/>
              <w:rPr>
                <w:rFonts w:ascii="Times New Roman" w:eastAsia="宋体" w:cs="Times New Roman"/>
                <w:bCs/>
                <w:sz w:val="21"/>
                <w:szCs w:val="21"/>
              </w:rPr>
            </w:pPr>
            <w:r>
              <w:rPr>
                <w:rFonts w:hint="eastAsia" w:ascii="Times New Roman" w:eastAsia="宋体" w:cs="Times New Roman"/>
                <w:bCs/>
                <w:sz w:val="21"/>
                <w:szCs w:val="21"/>
              </w:rPr>
              <w:t>噪声达标率</w:t>
            </w:r>
          </w:p>
        </w:tc>
        <w:tc>
          <w:tcPr>
            <w:tcW w:w="1195" w:type="dxa"/>
            <w:vAlign w:val="center"/>
          </w:tcPr>
          <w:p w14:paraId="5CCD628C">
            <w:pPr>
              <w:pStyle w:val="22"/>
              <w:snapToGrid w:val="0"/>
              <w:jc w:val="center"/>
              <w:rPr>
                <w:rFonts w:ascii="Times New Roman" w:eastAsia="宋体" w:cs="Times New Roman"/>
                <w:bCs/>
                <w:sz w:val="21"/>
                <w:szCs w:val="21"/>
              </w:rPr>
            </w:pPr>
            <w:r>
              <w:rPr>
                <w:rFonts w:hint="eastAsia" w:ascii="Times New Roman" w:eastAsia="宋体" w:cs="Times New Roman"/>
                <w:bCs/>
                <w:sz w:val="21"/>
                <w:szCs w:val="21"/>
              </w:rPr>
              <w:t>≥98%</w:t>
            </w:r>
          </w:p>
        </w:tc>
        <w:tc>
          <w:tcPr>
            <w:tcW w:w="1284" w:type="dxa"/>
            <w:vAlign w:val="center"/>
          </w:tcPr>
          <w:p w14:paraId="52AD872F">
            <w:pPr>
              <w:pStyle w:val="22"/>
              <w:snapToGrid w:val="0"/>
              <w:jc w:val="center"/>
              <w:rPr>
                <w:rFonts w:ascii="Times New Roman" w:eastAsia="宋体" w:cs="Times New Roman"/>
                <w:bCs/>
                <w:sz w:val="21"/>
                <w:szCs w:val="21"/>
              </w:rPr>
            </w:pPr>
            <w:r>
              <w:rPr>
                <w:rFonts w:hint="eastAsia" w:ascii="Times New Roman" w:eastAsia="宋体" w:cs="Times New Roman"/>
                <w:sz w:val="21"/>
                <w:szCs w:val="21"/>
              </w:rPr>
              <w:t>[</w:t>
            </w:r>
            <w:r>
              <w:rPr>
                <w:rFonts w:ascii="Times New Roman" w:eastAsia="宋体" w:cs="Times New Roman"/>
                <w:sz w:val="21"/>
                <w:szCs w:val="21"/>
              </w:rPr>
              <w:t>95%</w:t>
            </w:r>
            <w:r>
              <w:rPr>
                <w:rFonts w:hint="eastAsia" w:ascii="Times New Roman" w:eastAsia="宋体" w:cs="Times New Roman"/>
                <w:sz w:val="21"/>
                <w:szCs w:val="21"/>
              </w:rPr>
              <w:t>,</w:t>
            </w:r>
            <w:r>
              <w:rPr>
                <w:rFonts w:ascii="Times New Roman" w:eastAsia="宋体" w:cs="Times New Roman"/>
                <w:sz w:val="21"/>
                <w:szCs w:val="21"/>
              </w:rPr>
              <w:t>98%)</w:t>
            </w:r>
          </w:p>
        </w:tc>
        <w:tc>
          <w:tcPr>
            <w:tcW w:w="1179" w:type="dxa"/>
            <w:vAlign w:val="center"/>
          </w:tcPr>
          <w:p w14:paraId="5683D8F5">
            <w:pPr>
              <w:pStyle w:val="22"/>
              <w:snapToGrid w:val="0"/>
              <w:jc w:val="center"/>
              <w:rPr>
                <w:rFonts w:ascii="Times New Roman" w:eastAsia="宋体" w:cs="Times New Roman"/>
                <w:bCs/>
                <w:sz w:val="21"/>
                <w:szCs w:val="21"/>
              </w:rPr>
            </w:pPr>
            <w:r>
              <w:rPr>
                <w:rFonts w:hint="eastAsia" w:ascii="Times New Roman" w:eastAsia="宋体" w:cs="Times New Roman"/>
                <w:sz w:val="21"/>
                <w:szCs w:val="21"/>
              </w:rPr>
              <w:t>[</w:t>
            </w:r>
            <w:r>
              <w:rPr>
                <w:rFonts w:ascii="Times New Roman" w:eastAsia="宋体" w:cs="Times New Roman"/>
                <w:sz w:val="21"/>
                <w:szCs w:val="21"/>
              </w:rPr>
              <w:t>90%,95%)</w:t>
            </w:r>
          </w:p>
        </w:tc>
        <w:tc>
          <w:tcPr>
            <w:tcW w:w="2453" w:type="dxa"/>
            <w:vAlign w:val="center"/>
          </w:tcPr>
          <w:p w14:paraId="7EA33BDE">
            <w:pPr>
              <w:pStyle w:val="22"/>
              <w:snapToGrid w:val="0"/>
              <w:jc w:val="center"/>
              <w:rPr>
                <w:rFonts w:ascii="Times New Roman" w:eastAsia="宋体" w:cs="Times New Roman"/>
                <w:bCs/>
                <w:sz w:val="21"/>
                <w:szCs w:val="21"/>
              </w:rPr>
            </w:pPr>
            <w:r>
              <w:rPr>
                <w:rFonts w:ascii="Times New Roman" w:eastAsia="宋体" w:cs="Times New Roman"/>
                <w:sz w:val="21"/>
                <w:szCs w:val="21"/>
              </w:rPr>
              <w:t>符合GB 3096-2008的要求</w:t>
            </w:r>
          </w:p>
        </w:tc>
        <w:tc>
          <w:tcPr>
            <w:tcW w:w="4212" w:type="dxa"/>
            <w:vAlign w:val="center"/>
          </w:tcPr>
          <w:p w14:paraId="1E6AA16E">
            <w:pPr>
              <w:pStyle w:val="22"/>
              <w:snapToGrid w:val="0"/>
              <w:jc w:val="both"/>
              <w:rPr>
                <w:rFonts w:ascii="Times New Roman" w:eastAsia="宋体" w:cs="Times New Roman"/>
                <w:bCs/>
                <w:sz w:val="21"/>
                <w:szCs w:val="21"/>
              </w:rPr>
            </w:pPr>
            <w:r>
              <w:rPr>
                <w:rFonts w:hint="eastAsia" w:ascii="Times New Roman" w:eastAsia="宋体" w:cs="Times New Roman"/>
                <w:bCs/>
                <w:sz w:val="21"/>
                <w:szCs w:val="21"/>
              </w:rPr>
              <w:t>社区昼间（6:00-22:00）噪声≤55dB(A)、夜间（22:00-次日6:00）噪声≤45dB(A)的区域面积占社区总面积的比例</w:t>
            </w:r>
          </w:p>
        </w:tc>
      </w:tr>
      <w:tr w14:paraId="44791E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39" w:type="dxa"/>
            <w:vMerge w:val="restart"/>
            <w:vAlign w:val="center"/>
          </w:tcPr>
          <w:p w14:paraId="12EB50C6">
            <w:pPr>
              <w:pStyle w:val="22"/>
              <w:snapToGrid w:val="0"/>
              <w:jc w:val="center"/>
              <w:rPr>
                <w:rFonts w:ascii="Times New Roman" w:eastAsia="宋体" w:cs="Times New Roman"/>
                <w:sz w:val="21"/>
                <w:szCs w:val="21"/>
              </w:rPr>
            </w:pPr>
            <w:r>
              <w:rPr>
                <w:rFonts w:hint="eastAsia" w:ascii="Times New Roman" w:eastAsia="宋体" w:cs="Times New Roman"/>
                <w:sz w:val="21"/>
                <w:szCs w:val="21"/>
              </w:rPr>
              <w:t>能源与废弃物</w:t>
            </w:r>
          </w:p>
        </w:tc>
        <w:tc>
          <w:tcPr>
            <w:tcW w:w="2583" w:type="dxa"/>
            <w:vAlign w:val="center"/>
          </w:tcPr>
          <w:p w14:paraId="68866BA8">
            <w:pPr>
              <w:pStyle w:val="22"/>
              <w:snapToGrid w:val="0"/>
              <w:jc w:val="center"/>
              <w:rPr>
                <w:rFonts w:ascii="Times New Roman" w:eastAsia="宋体" w:cs="Times New Roman"/>
                <w:bCs/>
                <w:sz w:val="21"/>
                <w:szCs w:val="21"/>
              </w:rPr>
            </w:pPr>
            <w:r>
              <w:rPr>
                <w:rFonts w:hint="eastAsia" w:ascii="Times New Roman" w:eastAsia="宋体" w:cs="Times New Roman"/>
                <w:bCs/>
                <w:sz w:val="21"/>
                <w:szCs w:val="21"/>
              </w:rPr>
              <w:t>生活垃圾分类准确率</w:t>
            </w:r>
          </w:p>
        </w:tc>
        <w:tc>
          <w:tcPr>
            <w:tcW w:w="1195" w:type="dxa"/>
            <w:vAlign w:val="center"/>
          </w:tcPr>
          <w:p w14:paraId="1CE0E886">
            <w:pPr>
              <w:pStyle w:val="22"/>
              <w:snapToGrid w:val="0"/>
              <w:jc w:val="center"/>
              <w:rPr>
                <w:rFonts w:ascii="Times New Roman" w:eastAsia="宋体" w:cs="Times New Roman"/>
                <w:bCs/>
                <w:sz w:val="21"/>
                <w:szCs w:val="21"/>
              </w:rPr>
            </w:pPr>
            <w:r>
              <w:rPr>
                <w:rFonts w:hint="eastAsia" w:ascii="Times New Roman" w:eastAsia="宋体" w:cs="Times New Roman"/>
                <w:bCs/>
                <w:sz w:val="21"/>
                <w:szCs w:val="21"/>
              </w:rPr>
              <w:t>≥9</w:t>
            </w:r>
            <w:r>
              <w:rPr>
                <w:rFonts w:ascii="Times New Roman" w:eastAsia="宋体" w:cs="Times New Roman"/>
                <w:bCs/>
                <w:sz w:val="21"/>
                <w:szCs w:val="21"/>
              </w:rPr>
              <w:t>5</w:t>
            </w:r>
            <w:r>
              <w:rPr>
                <w:rFonts w:hint="eastAsia" w:ascii="Times New Roman" w:eastAsia="宋体" w:cs="Times New Roman"/>
                <w:bCs/>
                <w:sz w:val="21"/>
                <w:szCs w:val="21"/>
              </w:rPr>
              <w:t>%</w:t>
            </w:r>
          </w:p>
        </w:tc>
        <w:tc>
          <w:tcPr>
            <w:tcW w:w="1284" w:type="dxa"/>
            <w:vAlign w:val="center"/>
          </w:tcPr>
          <w:p w14:paraId="250C171B">
            <w:pPr>
              <w:pStyle w:val="22"/>
              <w:snapToGrid w:val="0"/>
              <w:jc w:val="center"/>
              <w:rPr>
                <w:rFonts w:ascii="Times New Roman" w:eastAsia="宋体" w:cs="Times New Roman"/>
                <w:bCs/>
                <w:sz w:val="21"/>
                <w:szCs w:val="21"/>
              </w:rPr>
            </w:pPr>
            <w:r>
              <w:rPr>
                <w:rFonts w:hint="eastAsia" w:ascii="Times New Roman" w:eastAsia="宋体" w:cs="Times New Roman"/>
                <w:sz w:val="21"/>
                <w:szCs w:val="21"/>
              </w:rPr>
              <w:t>[</w:t>
            </w:r>
            <w:r>
              <w:rPr>
                <w:rFonts w:ascii="Times New Roman" w:eastAsia="宋体" w:cs="Times New Roman"/>
                <w:sz w:val="21"/>
                <w:szCs w:val="21"/>
              </w:rPr>
              <w:t>90%</w:t>
            </w:r>
            <w:r>
              <w:rPr>
                <w:rFonts w:hint="eastAsia" w:ascii="Times New Roman" w:eastAsia="宋体" w:cs="Times New Roman"/>
                <w:sz w:val="21"/>
                <w:szCs w:val="21"/>
              </w:rPr>
              <w:t>,</w:t>
            </w:r>
            <w:r>
              <w:rPr>
                <w:rFonts w:ascii="Times New Roman" w:eastAsia="宋体" w:cs="Times New Roman"/>
                <w:sz w:val="21"/>
                <w:szCs w:val="21"/>
              </w:rPr>
              <w:t>95%)</w:t>
            </w:r>
          </w:p>
        </w:tc>
        <w:tc>
          <w:tcPr>
            <w:tcW w:w="1179" w:type="dxa"/>
            <w:vAlign w:val="center"/>
          </w:tcPr>
          <w:p w14:paraId="465C97AE">
            <w:pPr>
              <w:pStyle w:val="22"/>
              <w:snapToGrid w:val="0"/>
              <w:jc w:val="center"/>
              <w:rPr>
                <w:rFonts w:ascii="Times New Roman" w:eastAsia="宋体" w:cs="Times New Roman"/>
                <w:bCs/>
                <w:sz w:val="21"/>
                <w:szCs w:val="21"/>
              </w:rPr>
            </w:pPr>
            <w:r>
              <w:rPr>
                <w:rFonts w:hint="eastAsia" w:ascii="Times New Roman" w:eastAsia="宋体" w:cs="Times New Roman"/>
                <w:sz w:val="21"/>
                <w:szCs w:val="21"/>
              </w:rPr>
              <w:t>[</w:t>
            </w:r>
            <w:r>
              <w:rPr>
                <w:rFonts w:ascii="Times New Roman" w:eastAsia="宋体" w:cs="Times New Roman"/>
                <w:sz w:val="21"/>
                <w:szCs w:val="21"/>
              </w:rPr>
              <w:t>85%,90%)</w:t>
            </w:r>
          </w:p>
        </w:tc>
        <w:tc>
          <w:tcPr>
            <w:tcW w:w="2453" w:type="dxa"/>
            <w:vAlign w:val="center"/>
          </w:tcPr>
          <w:p w14:paraId="4ED243AF">
            <w:pPr>
              <w:pStyle w:val="22"/>
              <w:snapToGrid w:val="0"/>
              <w:jc w:val="center"/>
              <w:rPr>
                <w:rFonts w:ascii="Times New Roman" w:eastAsia="宋体" w:cs="Times New Roman"/>
                <w:bCs/>
                <w:sz w:val="21"/>
                <w:szCs w:val="21"/>
              </w:rPr>
            </w:pPr>
            <w:r>
              <w:rPr>
                <w:rFonts w:hint="eastAsia" w:ascii="Times New Roman" w:eastAsia="宋体" w:cs="Times New Roman"/>
                <w:bCs/>
                <w:sz w:val="21"/>
                <w:szCs w:val="21"/>
              </w:rPr>
              <w:t>参考</w:t>
            </w:r>
            <w:r>
              <w:rPr>
                <w:rFonts w:ascii="Times New Roman" w:eastAsia="宋体" w:cs="Times New Roman"/>
                <w:bCs/>
                <w:sz w:val="21"/>
                <w:szCs w:val="21"/>
              </w:rPr>
              <w:t>GB/T 19095-2019</w:t>
            </w:r>
          </w:p>
        </w:tc>
        <w:tc>
          <w:tcPr>
            <w:tcW w:w="4212" w:type="dxa"/>
            <w:vAlign w:val="center"/>
          </w:tcPr>
          <w:p w14:paraId="0729A99E">
            <w:pPr>
              <w:pStyle w:val="22"/>
              <w:snapToGrid w:val="0"/>
              <w:jc w:val="both"/>
              <w:rPr>
                <w:rFonts w:ascii="Times New Roman" w:eastAsia="宋体" w:cs="Times New Roman"/>
                <w:bCs/>
                <w:sz w:val="21"/>
                <w:szCs w:val="21"/>
              </w:rPr>
            </w:pPr>
            <w:r>
              <w:rPr>
                <w:rFonts w:hint="eastAsia" w:ascii="Times New Roman" w:eastAsia="宋体" w:cs="Times New Roman"/>
                <w:bCs/>
                <w:sz w:val="21"/>
                <w:szCs w:val="21"/>
              </w:rPr>
              <w:t>正确分类投放的垃圾量占分类投放垃圾总量的比例。垃圾分类准确率需通过现场抽查、垃圾清运台账核对等方式确认。</w:t>
            </w:r>
          </w:p>
        </w:tc>
      </w:tr>
      <w:tr w14:paraId="5275C1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39" w:type="dxa"/>
            <w:vMerge w:val="continue"/>
            <w:vAlign w:val="center"/>
          </w:tcPr>
          <w:p w14:paraId="75A6FE7D">
            <w:pPr>
              <w:pStyle w:val="22"/>
              <w:snapToGrid w:val="0"/>
              <w:jc w:val="center"/>
              <w:rPr>
                <w:rFonts w:ascii="Times New Roman" w:eastAsia="宋体" w:cs="Times New Roman"/>
                <w:sz w:val="21"/>
                <w:szCs w:val="21"/>
              </w:rPr>
            </w:pPr>
          </w:p>
        </w:tc>
        <w:tc>
          <w:tcPr>
            <w:tcW w:w="2583" w:type="dxa"/>
            <w:vAlign w:val="center"/>
          </w:tcPr>
          <w:p w14:paraId="227E0A28">
            <w:pPr>
              <w:pStyle w:val="22"/>
              <w:snapToGrid w:val="0"/>
              <w:jc w:val="center"/>
              <w:rPr>
                <w:rFonts w:ascii="Times New Roman" w:eastAsia="宋体" w:cs="Times New Roman"/>
                <w:bCs/>
                <w:sz w:val="21"/>
                <w:szCs w:val="21"/>
              </w:rPr>
            </w:pPr>
            <w:r>
              <w:rPr>
                <w:rFonts w:hint="eastAsia" w:ascii="Times New Roman" w:eastAsia="宋体" w:cs="Times New Roman"/>
                <w:bCs/>
                <w:sz w:val="21"/>
                <w:szCs w:val="21"/>
              </w:rPr>
              <w:t>建筑节能达标率</w:t>
            </w:r>
          </w:p>
        </w:tc>
        <w:tc>
          <w:tcPr>
            <w:tcW w:w="1195" w:type="dxa"/>
            <w:vAlign w:val="center"/>
          </w:tcPr>
          <w:p w14:paraId="254FCBC6">
            <w:pPr>
              <w:pStyle w:val="22"/>
              <w:snapToGrid w:val="0"/>
              <w:jc w:val="center"/>
              <w:rPr>
                <w:rFonts w:ascii="Times New Roman" w:eastAsia="宋体" w:cs="Times New Roman"/>
                <w:bCs/>
                <w:sz w:val="21"/>
                <w:szCs w:val="21"/>
              </w:rPr>
            </w:pPr>
            <w:r>
              <w:rPr>
                <w:rFonts w:hint="eastAsia" w:ascii="Times New Roman" w:eastAsia="宋体" w:cs="Times New Roman"/>
                <w:bCs/>
                <w:sz w:val="21"/>
                <w:szCs w:val="21"/>
              </w:rPr>
              <w:t>≥98%</w:t>
            </w:r>
          </w:p>
        </w:tc>
        <w:tc>
          <w:tcPr>
            <w:tcW w:w="1284" w:type="dxa"/>
            <w:vAlign w:val="center"/>
          </w:tcPr>
          <w:p w14:paraId="19FA48F1">
            <w:pPr>
              <w:pStyle w:val="22"/>
              <w:snapToGrid w:val="0"/>
              <w:jc w:val="center"/>
              <w:rPr>
                <w:rFonts w:ascii="Times New Roman" w:eastAsia="宋体" w:cs="Times New Roman"/>
                <w:bCs/>
                <w:sz w:val="21"/>
                <w:szCs w:val="21"/>
              </w:rPr>
            </w:pPr>
            <w:r>
              <w:rPr>
                <w:rFonts w:hint="eastAsia" w:ascii="Times New Roman" w:eastAsia="宋体" w:cs="Times New Roman"/>
                <w:sz w:val="21"/>
                <w:szCs w:val="21"/>
              </w:rPr>
              <w:t>[</w:t>
            </w:r>
            <w:r>
              <w:rPr>
                <w:rFonts w:ascii="Times New Roman" w:eastAsia="宋体" w:cs="Times New Roman"/>
                <w:sz w:val="21"/>
                <w:szCs w:val="21"/>
              </w:rPr>
              <w:t>95%</w:t>
            </w:r>
            <w:r>
              <w:rPr>
                <w:rFonts w:hint="eastAsia" w:ascii="Times New Roman" w:eastAsia="宋体" w:cs="Times New Roman"/>
                <w:sz w:val="21"/>
                <w:szCs w:val="21"/>
              </w:rPr>
              <w:t>,</w:t>
            </w:r>
            <w:r>
              <w:rPr>
                <w:rFonts w:ascii="Times New Roman" w:eastAsia="宋体" w:cs="Times New Roman"/>
                <w:sz w:val="21"/>
                <w:szCs w:val="21"/>
              </w:rPr>
              <w:t>98%)</w:t>
            </w:r>
          </w:p>
        </w:tc>
        <w:tc>
          <w:tcPr>
            <w:tcW w:w="1179" w:type="dxa"/>
            <w:vAlign w:val="center"/>
          </w:tcPr>
          <w:p w14:paraId="02B3CAB8">
            <w:pPr>
              <w:pStyle w:val="22"/>
              <w:snapToGrid w:val="0"/>
              <w:jc w:val="center"/>
              <w:rPr>
                <w:rFonts w:ascii="Times New Roman" w:eastAsia="宋体" w:cs="Times New Roman"/>
                <w:bCs/>
                <w:sz w:val="21"/>
                <w:szCs w:val="21"/>
              </w:rPr>
            </w:pPr>
            <w:r>
              <w:rPr>
                <w:rFonts w:hint="eastAsia" w:ascii="Times New Roman" w:eastAsia="宋体" w:cs="Times New Roman"/>
                <w:sz w:val="21"/>
                <w:szCs w:val="21"/>
              </w:rPr>
              <w:t>[</w:t>
            </w:r>
            <w:r>
              <w:rPr>
                <w:rFonts w:ascii="Times New Roman" w:eastAsia="宋体" w:cs="Times New Roman"/>
                <w:sz w:val="21"/>
                <w:szCs w:val="21"/>
              </w:rPr>
              <w:t>90%,95%)</w:t>
            </w:r>
          </w:p>
        </w:tc>
        <w:tc>
          <w:tcPr>
            <w:tcW w:w="2453" w:type="dxa"/>
            <w:vAlign w:val="center"/>
          </w:tcPr>
          <w:p w14:paraId="606C1927">
            <w:pPr>
              <w:pStyle w:val="22"/>
              <w:snapToGrid w:val="0"/>
              <w:jc w:val="center"/>
              <w:rPr>
                <w:rFonts w:ascii="Times New Roman" w:eastAsia="宋体" w:cs="Times New Roman"/>
                <w:bCs/>
                <w:sz w:val="21"/>
                <w:szCs w:val="21"/>
              </w:rPr>
            </w:pPr>
            <w:r>
              <w:rPr>
                <w:rFonts w:hint="eastAsia" w:ascii="Times New Roman" w:eastAsia="宋体" w:cs="Times New Roman"/>
                <w:bCs/>
                <w:sz w:val="21"/>
                <w:szCs w:val="21"/>
              </w:rPr>
              <w:t>符合</w:t>
            </w:r>
            <w:r>
              <w:rPr>
                <w:rFonts w:ascii="Times New Roman" w:eastAsia="宋体" w:cs="Times New Roman"/>
                <w:bCs/>
                <w:sz w:val="21"/>
                <w:szCs w:val="21"/>
              </w:rPr>
              <w:t>GB/T 50378-2019</w:t>
            </w:r>
          </w:p>
        </w:tc>
        <w:tc>
          <w:tcPr>
            <w:tcW w:w="4212" w:type="dxa"/>
            <w:vAlign w:val="center"/>
          </w:tcPr>
          <w:p w14:paraId="55177FF2">
            <w:pPr>
              <w:pStyle w:val="22"/>
              <w:snapToGrid w:val="0"/>
              <w:jc w:val="both"/>
              <w:rPr>
                <w:rFonts w:ascii="Times New Roman" w:eastAsia="宋体" w:cs="Times New Roman"/>
                <w:bCs/>
                <w:sz w:val="21"/>
                <w:szCs w:val="21"/>
              </w:rPr>
            </w:pPr>
            <w:r>
              <w:rPr>
                <w:rFonts w:hint="eastAsia" w:ascii="Times New Roman" w:eastAsia="宋体" w:cs="Times New Roman"/>
                <w:bCs/>
                <w:sz w:val="21"/>
                <w:szCs w:val="21"/>
              </w:rPr>
              <w:t>社区内建筑符合现行建筑节能标准的建筑面积占社区总建筑面积的比例</w:t>
            </w:r>
          </w:p>
        </w:tc>
      </w:tr>
      <w:tr w14:paraId="75A59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39" w:type="dxa"/>
            <w:vMerge w:val="restart"/>
            <w:vAlign w:val="center"/>
          </w:tcPr>
          <w:p w14:paraId="0A8F0CAD">
            <w:pPr>
              <w:pStyle w:val="22"/>
              <w:snapToGrid w:val="0"/>
              <w:jc w:val="center"/>
              <w:rPr>
                <w:rFonts w:ascii="Times New Roman" w:eastAsia="宋体" w:cs="Times New Roman"/>
                <w:sz w:val="21"/>
                <w:szCs w:val="21"/>
              </w:rPr>
            </w:pPr>
            <w:r>
              <w:rPr>
                <w:rFonts w:hint="eastAsia" w:ascii="Times New Roman" w:eastAsia="宋体" w:cs="Times New Roman"/>
                <w:sz w:val="21"/>
                <w:szCs w:val="21"/>
              </w:rPr>
              <w:t>人居生态适配性</w:t>
            </w:r>
          </w:p>
        </w:tc>
        <w:tc>
          <w:tcPr>
            <w:tcW w:w="2583" w:type="dxa"/>
            <w:vAlign w:val="center"/>
          </w:tcPr>
          <w:p w14:paraId="2CE60325">
            <w:pPr>
              <w:pStyle w:val="22"/>
              <w:snapToGrid w:val="0"/>
              <w:jc w:val="center"/>
              <w:rPr>
                <w:rFonts w:ascii="Times New Roman" w:eastAsia="宋体" w:cs="Times New Roman"/>
                <w:bCs/>
                <w:sz w:val="21"/>
                <w:szCs w:val="21"/>
              </w:rPr>
            </w:pPr>
            <w:r>
              <w:rPr>
                <w:rFonts w:hint="eastAsia" w:ascii="Times New Roman" w:eastAsia="宋体" w:cs="Times New Roman"/>
                <w:bCs/>
                <w:sz w:val="21"/>
                <w:szCs w:val="21"/>
              </w:rPr>
              <w:t>生态设施</w:t>
            </w:r>
            <w:r>
              <w:rPr>
                <w:rFonts w:ascii="Times New Roman" w:eastAsia="宋体" w:cs="Times New Roman"/>
                <w:bCs/>
                <w:sz w:val="21"/>
                <w:szCs w:val="21"/>
              </w:rPr>
              <w:t>可达</w:t>
            </w:r>
            <w:r>
              <w:rPr>
                <w:rFonts w:hint="eastAsia" w:ascii="Times New Roman" w:eastAsia="宋体" w:cs="Times New Roman"/>
                <w:bCs/>
                <w:sz w:val="21"/>
                <w:szCs w:val="21"/>
              </w:rPr>
              <w:t>性</w:t>
            </w:r>
          </w:p>
        </w:tc>
        <w:tc>
          <w:tcPr>
            <w:tcW w:w="1195" w:type="dxa"/>
            <w:vAlign w:val="center"/>
          </w:tcPr>
          <w:p w14:paraId="6D374C6B">
            <w:pPr>
              <w:pStyle w:val="22"/>
              <w:snapToGrid w:val="0"/>
              <w:jc w:val="center"/>
              <w:rPr>
                <w:rFonts w:ascii="Times New Roman" w:eastAsia="宋体" w:cs="Times New Roman"/>
                <w:bCs/>
                <w:sz w:val="21"/>
                <w:szCs w:val="21"/>
              </w:rPr>
            </w:pPr>
            <w:r>
              <w:rPr>
                <w:rFonts w:hint="eastAsia" w:ascii="Times New Roman" w:eastAsia="宋体" w:cs="Times New Roman"/>
                <w:bCs/>
                <w:sz w:val="21"/>
                <w:szCs w:val="21"/>
              </w:rPr>
              <w:t>1</w:t>
            </w:r>
            <w:r>
              <w:rPr>
                <w:rFonts w:ascii="Times New Roman" w:eastAsia="宋体" w:cs="Times New Roman"/>
                <w:bCs/>
                <w:sz w:val="21"/>
                <w:szCs w:val="21"/>
              </w:rPr>
              <w:t>00%</w:t>
            </w:r>
          </w:p>
        </w:tc>
        <w:tc>
          <w:tcPr>
            <w:tcW w:w="1284" w:type="dxa"/>
            <w:vAlign w:val="center"/>
          </w:tcPr>
          <w:p w14:paraId="232C08AB">
            <w:pPr>
              <w:pStyle w:val="22"/>
              <w:snapToGrid w:val="0"/>
              <w:jc w:val="center"/>
              <w:rPr>
                <w:rFonts w:ascii="Times New Roman" w:eastAsia="宋体" w:cs="Times New Roman"/>
                <w:bCs/>
                <w:sz w:val="21"/>
                <w:szCs w:val="21"/>
              </w:rPr>
            </w:pPr>
            <w:r>
              <w:rPr>
                <w:rFonts w:hint="eastAsia" w:ascii="Times New Roman" w:eastAsia="宋体" w:cs="Times New Roman"/>
                <w:sz w:val="21"/>
                <w:szCs w:val="21"/>
              </w:rPr>
              <w:t>[</w:t>
            </w:r>
            <w:r>
              <w:rPr>
                <w:rFonts w:ascii="Times New Roman" w:eastAsia="宋体" w:cs="Times New Roman"/>
                <w:sz w:val="21"/>
                <w:szCs w:val="21"/>
              </w:rPr>
              <w:t>95%</w:t>
            </w:r>
            <w:r>
              <w:rPr>
                <w:rFonts w:hint="eastAsia" w:ascii="Times New Roman" w:eastAsia="宋体" w:cs="Times New Roman"/>
                <w:sz w:val="21"/>
                <w:szCs w:val="21"/>
              </w:rPr>
              <w:t>,</w:t>
            </w:r>
            <w:r>
              <w:rPr>
                <w:rFonts w:ascii="Times New Roman" w:eastAsia="宋体" w:cs="Times New Roman"/>
                <w:sz w:val="21"/>
                <w:szCs w:val="21"/>
              </w:rPr>
              <w:t>100%)</w:t>
            </w:r>
          </w:p>
        </w:tc>
        <w:tc>
          <w:tcPr>
            <w:tcW w:w="1179" w:type="dxa"/>
            <w:vAlign w:val="center"/>
          </w:tcPr>
          <w:p w14:paraId="02115E7F">
            <w:pPr>
              <w:pStyle w:val="22"/>
              <w:snapToGrid w:val="0"/>
              <w:jc w:val="center"/>
              <w:rPr>
                <w:rFonts w:ascii="Times New Roman" w:eastAsia="宋体" w:cs="Times New Roman"/>
                <w:bCs/>
                <w:sz w:val="21"/>
                <w:szCs w:val="21"/>
              </w:rPr>
            </w:pPr>
            <w:r>
              <w:rPr>
                <w:rFonts w:hint="eastAsia" w:ascii="Times New Roman" w:eastAsia="宋体" w:cs="Times New Roman"/>
                <w:sz w:val="21"/>
                <w:szCs w:val="21"/>
              </w:rPr>
              <w:t>[</w:t>
            </w:r>
            <w:r>
              <w:rPr>
                <w:rFonts w:ascii="Times New Roman" w:eastAsia="宋体" w:cs="Times New Roman"/>
                <w:sz w:val="21"/>
                <w:szCs w:val="21"/>
              </w:rPr>
              <w:t>90%,95%)</w:t>
            </w:r>
          </w:p>
        </w:tc>
        <w:tc>
          <w:tcPr>
            <w:tcW w:w="2453" w:type="dxa"/>
            <w:vAlign w:val="center"/>
          </w:tcPr>
          <w:p w14:paraId="643ECAE0">
            <w:pPr>
              <w:pStyle w:val="22"/>
              <w:snapToGrid w:val="0"/>
              <w:jc w:val="center"/>
              <w:rPr>
                <w:rFonts w:ascii="Times New Roman" w:eastAsia="宋体" w:cs="Times New Roman"/>
                <w:bCs/>
                <w:sz w:val="21"/>
                <w:szCs w:val="21"/>
              </w:rPr>
            </w:pPr>
            <w:r>
              <w:rPr>
                <w:rFonts w:hint="eastAsia" w:ascii="Times New Roman" w:eastAsia="宋体" w:cs="Times New Roman"/>
                <w:bCs/>
                <w:sz w:val="21"/>
                <w:szCs w:val="21"/>
              </w:rPr>
              <w:t>参考《社区生活圈规划技术指南》的要求</w:t>
            </w:r>
          </w:p>
        </w:tc>
        <w:tc>
          <w:tcPr>
            <w:tcW w:w="4212" w:type="dxa"/>
            <w:vAlign w:val="center"/>
          </w:tcPr>
          <w:p w14:paraId="2EC74652">
            <w:pPr>
              <w:pStyle w:val="22"/>
              <w:snapToGrid w:val="0"/>
              <w:jc w:val="both"/>
              <w:rPr>
                <w:rFonts w:ascii="Times New Roman" w:eastAsia="宋体" w:cs="Times New Roman"/>
                <w:bCs/>
                <w:sz w:val="21"/>
                <w:szCs w:val="21"/>
              </w:rPr>
            </w:pPr>
            <w:r>
              <w:rPr>
                <w:rFonts w:hint="eastAsia" w:ascii="Times New Roman" w:eastAsia="宋体" w:cs="Times New Roman"/>
                <w:bCs/>
                <w:sz w:val="21"/>
                <w:szCs w:val="21"/>
              </w:rPr>
              <w:t>社区内步行</w:t>
            </w:r>
            <w:r>
              <w:rPr>
                <w:rFonts w:ascii="Times New Roman" w:eastAsia="宋体" w:cs="Times New Roman"/>
                <w:bCs/>
                <w:sz w:val="21"/>
                <w:szCs w:val="21"/>
              </w:rPr>
              <w:t>5</w:t>
            </w:r>
            <w:r>
              <w:rPr>
                <w:rFonts w:hint="eastAsia" w:ascii="Times New Roman" w:eastAsia="宋体" w:cs="Times New Roman"/>
                <w:bCs/>
                <w:sz w:val="21"/>
                <w:szCs w:val="21"/>
              </w:rPr>
              <w:t>分钟内可到达的绿地、广场、健身场地、生态科普场地等生态设施覆盖的住宅户数占社区总住宅户数的比例</w:t>
            </w:r>
          </w:p>
        </w:tc>
      </w:tr>
      <w:tr w14:paraId="5514B4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39" w:type="dxa"/>
            <w:vMerge w:val="continue"/>
            <w:vAlign w:val="center"/>
          </w:tcPr>
          <w:p w14:paraId="6C5583AC">
            <w:pPr>
              <w:pStyle w:val="22"/>
              <w:snapToGrid w:val="0"/>
              <w:jc w:val="center"/>
              <w:rPr>
                <w:rFonts w:ascii="Times New Roman" w:eastAsia="宋体" w:cs="Times New Roman"/>
                <w:sz w:val="21"/>
                <w:szCs w:val="21"/>
              </w:rPr>
            </w:pPr>
          </w:p>
        </w:tc>
        <w:tc>
          <w:tcPr>
            <w:tcW w:w="2583" w:type="dxa"/>
            <w:vAlign w:val="center"/>
          </w:tcPr>
          <w:p w14:paraId="27A9421D">
            <w:pPr>
              <w:pStyle w:val="22"/>
              <w:snapToGrid w:val="0"/>
              <w:jc w:val="center"/>
              <w:rPr>
                <w:rFonts w:ascii="Times New Roman" w:eastAsia="宋体" w:cs="Times New Roman"/>
                <w:bCs/>
                <w:sz w:val="21"/>
                <w:szCs w:val="21"/>
              </w:rPr>
            </w:pPr>
            <w:r>
              <w:rPr>
                <w:rFonts w:ascii="Times New Roman" w:eastAsia="宋体" w:cs="Times New Roman"/>
                <w:bCs/>
                <w:sz w:val="21"/>
                <w:szCs w:val="21"/>
              </w:rPr>
              <w:t>设施完善度</w:t>
            </w:r>
          </w:p>
        </w:tc>
        <w:tc>
          <w:tcPr>
            <w:tcW w:w="1195" w:type="dxa"/>
            <w:vAlign w:val="center"/>
          </w:tcPr>
          <w:p w14:paraId="0676A0DF">
            <w:pPr>
              <w:pStyle w:val="22"/>
              <w:snapToGrid w:val="0"/>
              <w:jc w:val="center"/>
              <w:rPr>
                <w:rFonts w:ascii="Times New Roman" w:eastAsia="宋体" w:cs="Times New Roman"/>
                <w:bCs/>
                <w:sz w:val="21"/>
                <w:szCs w:val="21"/>
              </w:rPr>
            </w:pPr>
            <w:r>
              <w:rPr>
                <w:rFonts w:ascii="Times New Roman" w:eastAsia="宋体" w:cs="Times New Roman"/>
                <w:sz w:val="21"/>
                <w:szCs w:val="21"/>
              </w:rPr>
              <w:t>100%</w:t>
            </w:r>
          </w:p>
        </w:tc>
        <w:tc>
          <w:tcPr>
            <w:tcW w:w="1284" w:type="dxa"/>
            <w:vAlign w:val="center"/>
          </w:tcPr>
          <w:p w14:paraId="4393A372">
            <w:pPr>
              <w:pStyle w:val="22"/>
              <w:snapToGrid w:val="0"/>
              <w:jc w:val="center"/>
              <w:rPr>
                <w:rFonts w:ascii="Times New Roman" w:eastAsia="宋体" w:cs="Times New Roman"/>
                <w:bCs/>
                <w:sz w:val="21"/>
                <w:szCs w:val="21"/>
              </w:rPr>
            </w:pPr>
            <w:r>
              <w:rPr>
                <w:rFonts w:ascii="Times New Roman" w:eastAsia="宋体" w:cs="Times New Roman"/>
                <w:sz w:val="21"/>
                <w:szCs w:val="21"/>
              </w:rPr>
              <w:t>80-100%</w:t>
            </w:r>
          </w:p>
        </w:tc>
        <w:tc>
          <w:tcPr>
            <w:tcW w:w="1179" w:type="dxa"/>
            <w:vAlign w:val="center"/>
          </w:tcPr>
          <w:p w14:paraId="3FAF9320">
            <w:pPr>
              <w:pStyle w:val="22"/>
              <w:snapToGrid w:val="0"/>
              <w:jc w:val="center"/>
              <w:rPr>
                <w:rFonts w:ascii="Times New Roman" w:eastAsia="宋体" w:cs="Times New Roman"/>
                <w:bCs/>
                <w:sz w:val="21"/>
                <w:szCs w:val="21"/>
              </w:rPr>
            </w:pPr>
            <w:r>
              <w:rPr>
                <w:rFonts w:ascii="Times New Roman" w:eastAsia="宋体" w:cs="Times New Roman"/>
                <w:sz w:val="21"/>
                <w:szCs w:val="21"/>
              </w:rPr>
              <w:t>70-80%</w:t>
            </w:r>
          </w:p>
        </w:tc>
        <w:tc>
          <w:tcPr>
            <w:tcW w:w="2453" w:type="dxa"/>
            <w:vAlign w:val="center"/>
          </w:tcPr>
          <w:p w14:paraId="28EB9E7E">
            <w:pPr>
              <w:pStyle w:val="22"/>
              <w:jc w:val="both"/>
              <w:rPr>
                <w:rFonts w:ascii="Times New Roman" w:eastAsia="宋体" w:cs="Times New Roman"/>
                <w:bCs/>
                <w:sz w:val="21"/>
                <w:szCs w:val="21"/>
              </w:rPr>
            </w:pPr>
            <w:r>
              <w:rPr>
                <w:rFonts w:hint="eastAsia" w:ascii="Times New Roman" w:eastAsia="宋体" w:cs="Times New Roman"/>
                <w:bCs/>
                <w:sz w:val="21"/>
                <w:szCs w:val="21"/>
              </w:rPr>
              <w:t>参考</w:t>
            </w:r>
            <w:r>
              <w:rPr>
                <w:rFonts w:ascii="Times New Roman" w:eastAsia="宋体" w:cs="Times New Roman"/>
                <w:bCs/>
                <w:sz w:val="21"/>
                <w:szCs w:val="21"/>
              </w:rPr>
              <w:t>GB50180-2018</w:t>
            </w:r>
            <w:r>
              <w:rPr>
                <w:rFonts w:hint="eastAsia" w:ascii="Times New Roman" w:eastAsia="宋体" w:cs="Times New Roman"/>
                <w:bCs/>
                <w:sz w:val="21"/>
                <w:szCs w:val="21"/>
              </w:rPr>
              <w:t>、</w:t>
            </w:r>
            <w:r>
              <w:rPr>
                <w:rFonts w:ascii="Times New Roman" w:eastAsia="宋体" w:cs="Times New Roman"/>
                <w:sz w:val="21"/>
                <w:szCs w:val="21"/>
              </w:rPr>
              <w:t>GB/T40240-2021</w:t>
            </w:r>
          </w:p>
        </w:tc>
        <w:tc>
          <w:tcPr>
            <w:tcW w:w="4212" w:type="dxa"/>
            <w:vAlign w:val="center"/>
          </w:tcPr>
          <w:p w14:paraId="420FA57D">
            <w:pPr>
              <w:pStyle w:val="22"/>
              <w:snapToGrid w:val="0"/>
              <w:jc w:val="both"/>
              <w:rPr>
                <w:rFonts w:ascii="Times New Roman" w:eastAsia="宋体" w:cs="Times New Roman"/>
                <w:bCs/>
                <w:sz w:val="21"/>
                <w:szCs w:val="21"/>
              </w:rPr>
            </w:pPr>
            <w:r>
              <w:rPr>
                <w:rFonts w:hint="eastAsia" w:ascii="Times New Roman" w:eastAsia="宋体" w:cs="Times New Roman"/>
                <w:bCs/>
                <w:sz w:val="21"/>
                <w:szCs w:val="21"/>
              </w:rPr>
              <w:t>5分钟步行范围内可到达配套的公共服务设施的住宅户数占社区总住宅户数的比例</w:t>
            </w:r>
          </w:p>
        </w:tc>
      </w:tr>
      <w:tr w14:paraId="6E7E3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39" w:type="dxa"/>
            <w:vMerge w:val="continue"/>
            <w:vAlign w:val="center"/>
          </w:tcPr>
          <w:p w14:paraId="1650AF50">
            <w:pPr>
              <w:pStyle w:val="22"/>
              <w:snapToGrid w:val="0"/>
              <w:jc w:val="center"/>
              <w:rPr>
                <w:rFonts w:ascii="Times New Roman" w:eastAsia="宋体" w:cs="Times New Roman"/>
                <w:sz w:val="21"/>
                <w:szCs w:val="21"/>
              </w:rPr>
            </w:pPr>
          </w:p>
        </w:tc>
        <w:tc>
          <w:tcPr>
            <w:tcW w:w="2583" w:type="dxa"/>
            <w:vAlign w:val="center"/>
          </w:tcPr>
          <w:p w14:paraId="306253CD">
            <w:pPr>
              <w:pStyle w:val="22"/>
              <w:snapToGrid w:val="0"/>
              <w:jc w:val="center"/>
              <w:rPr>
                <w:rFonts w:ascii="Times New Roman" w:eastAsia="宋体" w:cs="Times New Roman"/>
                <w:bCs/>
                <w:sz w:val="21"/>
                <w:szCs w:val="21"/>
              </w:rPr>
            </w:pPr>
            <w:r>
              <w:rPr>
                <w:rFonts w:ascii="Times New Roman" w:eastAsia="宋体" w:cs="Times New Roman"/>
                <w:bCs/>
                <w:sz w:val="21"/>
                <w:szCs w:val="21"/>
              </w:rPr>
              <w:t>无障碍设施建设率</w:t>
            </w:r>
          </w:p>
        </w:tc>
        <w:tc>
          <w:tcPr>
            <w:tcW w:w="1195" w:type="dxa"/>
            <w:vAlign w:val="center"/>
          </w:tcPr>
          <w:p w14:paraId="5AE88F76">
            <w:pPr>
              <w:pStyle w:val="22"/>
              <w:snapToGrid w:val="0"/>
              <w:jc w:val="center"/>
              <w:rPr>
                <w:rFonts w:ascii="Times New Roman" w:eastAsia="宋体" w:cs="Times New Roman"/>
                <w:bCs/>
                <w:sz w:val="21"/>
                <w:szCs w:val="21"/>
              </w:rPr>
            </w:pPr>
            <w:r>
              <w:rPr>
                <w:rFonts w:ascii="Times New Roman" w:eastAsia="宋体" w:cs="Times New Roman"/>
                <w:sz w:val="21"/>
                <w:szCs w:val="21"/>
              </w:rPr>
              <w:t>≥95%</w:t>
            </w:r>
          </w:p>
        </w:tc>
        <w:tc>
          <w:tcPr>
            <w:tcW w:w="1284" w:type="dxa"/>
            <w:vAlign w:val="center"/>
          </w:tcPr>
          <w:p w14:paraId="14308094">
            <w:pPr>
              <w:pStyle w:val="22"/>
              <w:snapToGrid w:val="0"/>
              <w:jc w:val="center"/>
              <w:rPr>
                <w:rFonts w:ascii="Times New Roman" w:eastAsia="宋体" w:cs="Times New Roman"/>
                <w:bCs/>
                <w:sz w:val="21"/>
                <w:szCs w:val="21"/>
              </w:rPr>
            </w:pPr>
            <w:r>
              <w:rPr>
                <w:rFonts w:ascii="Times New Roman" w:eastAsia="宋体" w:cs="Times New Roman"/>
                <w:sz w:val="21"/>
                <w:szCs w:val="21"/>
              </w:rPr>
              <w:t>80-95%</w:t>
            </w:r>
          </w:p>
        </w:tc>
        <w:tc>
          <w:tcPr>
            <w:tcW w:w="1179" w:type="dxa"/>
            <w:vAlign w:val="center"/>
          </w:tcPr>
          <w:p w14:paraId="5930E7E3">
            <w:pPr>
              <w:pStyle w:val="22"/>
              <w:snapToGrid w:val="0"/>
              <w:jc w:val="center"/>
              <w:rPr>
                <w:rFonts w:ascii="Times New Roman" w:eastAsia="宋体" w:cs="Times New Roman"/>
                <w:bCs/>
                <w:sz w:val="21"/>
                <w:szCs w:val="21"/>
              </w:rPr>
            </w:pPr>
            <w:r>
              <w:rPr>
                <w:rFonts w:ascii="Times New Roman" w:eastAsia="宋体" w:cs="Times New Roman"/>
                <w:sz w:val="21"/>
                <w:szCs w:val="21"/>
              </w:rPr>
              <w:t>70-80%</w:t>
            </w:r>
          </w:p>
        </w:tc>
        <w:tc>
          <w:tcPr>
            <w:tcW w:w="2453" w:type="dxa"/>
            <w:vAlign w:val="center"/>
          </w:tcPr>
          <w:p w14:paraId="21E457C7">
            <w:pPr>
              <w:pStyle w:val="22"/>
              <w:snapToGrid w:val="0"/>
              <w:jc w:val="center"/>
              <w:rPr>
                <w:rFonts w:ascii="Times New Roman" w:eastAsia="宋体" w:cs="Times New Roman"/>
                <w:bCs/>
                <w:sz w:val="21"/>
                <w:szCs w:val="21"/>
              </w:rPr>
            </w:pPr>
            <w:r>
              <w:rPr>
                <w:rFonts w:hint="eastAsia" w:ascii="Times New Roman" w:eastAsia="宋体" w:cs="Times New Roman"/>
                <w:sz w:val="21"/>
                <w:szCs w:val="21"/>
              </w:rPr>
              <w:t>符合</w:t>
            </w:r>
            <w:r>
              <w:rPr>
                <w:rFonts w:ascii="Times New Roman" w:eastAsia="宋体" w:cs="Times New Roman"/>
                <w:sz w:val="21"/>
                <w:szCs w:val="21"/>
              </w:rPr>
              <w:t>GB 50763-2012</w:t>
            </w:r>
            <w:r>
              <w:rPr>
                <w:rFonts w:hint="eastAsia" w:ascii="Times New Roman" w:eastAsia="宋体" w:cs="Times New Roman"/>
                <w:sz w:val="21"/>
                <w:szCs w:val="21"/>
              </w:rPr>
              <w:t>、</w:t>
            </w:r>
            <w:r>
              <w:rPr>
                <w:rFonts w:ascii="Times New Roman" w:eastAsia="宋体" w:cs="Times New Roman"/>
                <w:sz w:val="21"/>
                <w:szCs w:val="21"/>
              </w:rPr>
              <w:t>GB/T40240-2021</w:t>
            </w:r>
            <w:r>
              <w:rPr>
                <w:rFonts w:hint="eastAsia" w:ascii="Times New Roman" w:eastAsia="宋体" w:cs="Times New Roman"/>
                <w:sz w:val="21"/>
                <w:szCs w:val="21"/>
              </w:rPr>
              <w:t>和</w:t>
            </w:r>
            <w:r>
              <w:rPr>
                <w:rFonts w:ascii="Times New Roman" w:eastAsia="宋体" w:cs="Times New Roman"/>
                <w:sz w:val="21"/>
                <w:szCs w:val="21"/>
              </w:rPr>
              <w:t>《无障碍法》</w:t>
            </w:r>
            <w:r>
              <w:rPr>
                <w:rFonts w:hint="eastAsia" w:ascii="Times New Roman" w:eastAsia="宋体" w:cs="Times New Roman"/>
                <w:sz w:val="21"/>
                <w:szCs w:val="21"/>
              </w:rPr>
              <w:t>的要求</w:t>
            </w:r>
          </w:p>
        </w:tc>
        <w:tc>
          <w:tcPr>
            <w:tcW w:w="4212" w:type="dxa"/>
            <w:vAlign w:val="center"/>
          </w:tcPr>
          <w:p w14:paraId="2C32E21C">
            <w:pPr>
              <w:pStyle w:val="22"/>
              <w:snapToGrid w:val="0"/>
              <w:jc w:val="both"/>
              <w:rPr>
                <w:rFonts w:ascii="Times New Roman" w:eastAsia="宋体" w:cs="Times New Roman"/>
                <w:bCs/>
                <w:sz w:val="21"/>
                <w:szCs w:val="21"/>
              </w:rPr>
            </w:pPr>
            <w:r>
              <w:rPr>
                <w:rFonts w:hint="eastAsia" w:ascii="Times New Roman" w:eastAsia="宋体" w:cs="Times New Roman"/>
                <w:bCs/>
                <w:sz w:val="21"/>
                <w:szCs w:val="21"/>
              </w:rPr>
              <w:t>居住建筑、公共开放空间应设有无障碍设施，符合无障碍设施工程建设标准区域的比例</w:t>
            </w:r>
          </w:p>
        </w:tc>
      </w:tr>
      <w:tr w14:paraId="0DDDEC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39" w:type="dxa"/>
            <w:vMerge w:val="continue"/>
            <w:vAlign w:val="center"/>
          </w:tcPr>
          <w:p w14:paraId="7B4A594B">
            <w:pPr>
              <w:pStyle w:val="22"/>
              <w:snapToGrid w:val="0"/>
              <w:jc w:val="center"/>
              <w:rPr>
                <w:rFonts w:ascii="Times New Roman" w:eastAsia="宋体" w:cs="Times New Roman"/>
                <w:sz w:val="21"/>
                <w:szCs w:val="21"/>
              </w:rPr>
            </w:pPr>
          </w:p>
        </w:tc>
        <w:tc>
          <w:tcPr>
            <w:tcW w:w="2583" w:type="dxa"/>
            <w:vAlign w:val="center"/>
          </w:tcPr>
          <w:p w14:paraId="6E508782">
            <w:pPr>
              <w:pStyle w:val="22"/>
              <w:snapToGrid w:val="0"/>
              <w:jc w:val="center"/>
              <w:rPr>
                <w:rFonts w:ascii="Times New Roman" w:eastAsia="宋体" w:cs="Times New Roman"/>
                <w:bCs/>
                <w:sz w:val="21"/>
                <w:szCs w:val="21"/>
              </w:rPr>
            </w:pPr>
            <w:r>
              <w:rPr>
                <w:rFonts w:hint="eastAsia" w:ascii="Times New Roman" w:eastAsia="宋体" w:cs="Times New Roman"/>
                <w:bCs/>
                <w:sz w:val="21"/>
                <w:szCs w:val="21"/>
              </w:rPr>
              <w:t>生态教育设施步行覆盖率</w:t>
            </w:r>
          </w:p>
        </w:tc>
        <w:tc>
          <w:tcPr>
            <w:tcW w:w="1195" w:type="dxa"/>
            <w:vAlign w:val="center"/>
          </w:tcPr>
          <w:p w14:paraId="407DE1B8">
            <w:pPr>
              <w:pStyle w:val="22"/>
              <w:snapToGrid w:val="0"/>
              <w:jc w:val="center"/>
              <w:rPr>
                <w:rFonts w:ascii="Times New Roman" w:eastAsia="宋体" w:cs="Times New Roman"/>
                <w:bCs/>
                <w:sz w:val="21"/>
                <w:szCs w:val="21"/>
              </w:rPr>
            </w:pPr>
            <w:r>
              <w:rPr>
                <w:rFonts w:ascii="Times New Roman" w:eastAsia="宋体" w:cs="Times New Roman"/>
                <w:bCs/>
                <w:sz w:val="21"/>
                <w:szCs w:val="21"/>
              </w:rPr>
              <w:t>≥80%</w:t>
            </w:r>
          </w:p>
        </w:tc>
        <w:tc>
          <w:tcPr>
            <w:tcW w:w="1284" w:type="dxa"/>
            <w:vAlign w:val="center"/>
          </w:tcPr>
          <w:p w14:paraId="4D8B4FE2">
            <w:pPr>
              <w:pStyle w:val="22"/>
              <w:snapToGrid w:val="0"/>
              <w:jc w:val="center"/>
              <w:rPr>
                <w:rFonts w:ascii="Times New Roman" w:eastAsia="宋体" w:cs="Times New Roman"/>
                <w:bCs/>
                <w:sz w:val="21"/>
                <w:szCs w:val="21"/>
              </w:rPr>
            </w:pPr>
            <w:r>
              <w:rPr>
                <w:rFonts w:hint="eastAsia" w:ascii="Times New Roman" w:eastAsia="宋体" w:cs="Times New Roman"/>
                <w:sz w:val="21"/>
                <w:szCs w:val="21"/>
              </w:rPr>
              <w:t>[</w:t>
            </w:r>
            <w:r>
              <w:rPr>
                <w:rFonts w:ascii="Times New Roman" w:eastAsia="宋体" w:cs="Times New Roman"/>
                <w:sz w:val="21"/>
                <w:szCs w:val="21"/>
              </w:rPr>
              <w:t>70%</w:t>
            </w:r>
            <w:r>
              <w:rPr>
                <w:rFonts w:hint="eastAsia" w:ascii="Times New Roman" w:eastAsia="宋体" w:cs="Times New Roman"/>
                <w:sz w:val="21"/>
                <w:szCs w:val="21"/>
              </w:rPr>
              <w:t>,</w:t>
            </w:r>
            <w:r>
              <w:rPr>
                <w:rFonts w:ascii="Times New Roman" w:eastAsia="宋体" w:cs="Times New Roman"/>
                <w:sz w:val="21"/>
                <w:szCs w:val="21"/>
              </w:rPr>
              <w:t>80%)</w:t>
            </w:r>
          </w:p>
        </w:tc>
        <w:tc>
          <w:tcPr>
            <w:tcW w:w="1179" w:type="dxa"/>
            <w:vAlign w:val="center"/>
          </w:tcPr>
          <w:p w14:paraId="6F19D7EE">
            <w:pPr>
              <w:pStyle w:val="22"/>
              <w:snapToGrid w:val="0"/>
              <w:jc w:val="center"/>
              <w:rPr>
                <w:rFonts w:ascii="Times New Roman" w:eastAsia="宋体" w:cs="Times New Roman"/>
                <w:bCs/>
                <w:sz w:val="21"/>
                <w:szCs w:val="21"/>
              </w:rPr>
            </w:pPr>
            <w:r>
              <w:rPr>
                <w:rFonts w:hint="eastAsia" w:ascii="Times New Roman" w:eastAsia="宋体" w:cs="Times New Roman"/>
                <w:sz w:val="21"/>
                <w:szCs w:val="21"/>
              </w:rPr>
              <w:t>[</w:t>
            </w:r>
            <w:r>
              <w:rPr>
                <w:rFonts w:ascii="Times New Roman" w:eastAsia="宋体" w:cs="Times New Roman"/>
                <w:sz w:val="21"/>
                <w:szCs w:val="21"/>
              </w:rPr>
              <w:t>60%,70%)</w:t>
            </w:r>
          </w:p>
        </w:tc>
        <w:tc>
          <w:tcPr>
            <w:tcW w:w="2453" w:type="dxa"/>
            <w:vAlign w:val="center"/>
          </w:tcPr>
          <w:p w14:paraId="66F44829">
            <w:pPr>
              <w:pStyle w:val="22"/>
              <w:snapToGrid w:val="0"/>
              <w:jc w:val="center"/>
              <w:rPr>
                <w:rFonts w:ascii="Times New Roman" w:eastAsia="宋体" w:cs="Times New Roman"/>
                <w:bCs/>
                <w:sz w:val="21"/>
                <w:szCs w:val="21"/>
              </w:rPr>
            </w:pPr>
            <w:r>
              <w:rPr>
                <w:rFonts w:hint="eastAsia" w:ascii="Times New Roman" w:eastAsia="宋体" w:cs="Times New Roman"/>
                <w:bCs/>
                <w:sz w:val="21"/>
                <w:szCs w:val="21"/>
              </w:rPr>
              <w:t>参考GB/T 40240-2021、</w:t>
            </w:r>
            <w:r>
              <w:rPr>
                <w:rFonts w:ascii="Times New Roman" w:eastAsia="宋体" w:cs="Times New Roman"/>
                <w:bCs/>
                <w:sz w:val="21"/>
                <w:szCs w:val="21"/>
              </w:rPr>
              <w:t>DB11T 2288-2024</w:t>
            </w:r>
          </w:p>
        </w:tc>
        <w:tc>
          <w:tcPr>
            <w:tcW w:w="4212" w:type="dxa"/>
            <w:vAlign w:val="center"/>
          </w:tcPr>
          <w:p w14:paraId="5B248F24">
            <w:pPr>
              <w:pStyle w:val="22"/>
              <w:snapToGrid w:val="0"/>
              <w:jc w:val="both"/>
              <w:rPr>
                <w:rFonts w:ascii="Times New Roman" w:eastAsia="宋体" w:cs="Times New Roman"/>
                <w:bCs/>
                <w:sz w:val="21"/>
                <w:szCs w:val="21"/>
              </w:rPr>
            </w:pPr>
            <w:r>
              <w:rPr>
                <w:rFonts w:hint="eastAsia" w:ascii="Times New Roman" w:eastAsia="宋体" w:cs="Times New Roman"/>
                <w:bCs/>
                <w:sz w:val="21"/>
                <w:szCs w:val="21"/>
              </w:rPr>
              <w:t>社区内步行10分钟范围内至少设有1处（含）以上固定科普设施的住宅户数占社区总住宅户数的比例</w:t>
            </w:r>
          </w:p>
        </w:tc>
      </w:tr>
    </w:tbl>
    <w:p w14:paraId="392BF871">
      <w:pPr>
        <w:rPr>
          <w:lang w:val="zh-CN"/>
        </w:rPr>
      </w:pPr>
    </w:p>
    <w:bookmarkEnd w:id="32"/>
    <w:p w14:paraId="7D0BC061"/>
    <w:p w14:paraId="50B609B9">
      <w:pPr>
        <w:pStyle w:val="2"/>
        <w:spacing w:before="312" w:beforeLines="100" w:after="312" w:afterLines="100" w:line="520" w:lineRule="exact"/>
        <w:jc w:val="left"/>
        <w:rPr>
          <w:rFonts w:ascii="黑体" w:hAnsi="黑体" w:eastAsia="黑体"/>
          <w:bCs w:val="0"/>
          <w:sz w:val="30"/>
          <w:szCs w:val="22"/>
          <w:lang w:val="zh-CN"/>
        </w:rPr>
        <w:sectPr>
          <w:pgSz w:w="16838" w:h="11906" w:orient="landscape"/>
          <w:pgMar w:top="1797" w:right="1440" w:bottom="1797" w:left="1440" w:header="851" w:footer="992" w:gutter="0"/>
          <w:cols w:space="425" w:num="1"/>
          <w:docGrid w:type="linesAndChars" w:linePitch="312" w:charSpace="0"/>
        </w:sectPr>
      </w:pPr>
      <w:bookmarkStart w:id="33" w:name="_Hlk213589275"/>
    </w:p>
    <w:p w14:paraId="24E8375A">
      <w:pPr>
        <w:pStyle w:val="2"/>
        <w:spacing w:before="312" w:beforeLines="100" w:after="312" w:afterLines="100" w:line="520" w:lineRule="exact"/>
        <w:jc w:val="center"/>
        <w:rPr>
          <w:rFonts w:ascii="黑体" w:hAnsi="黑体" w:eastAsia="黑体"/>
          <w:bCs w:val="0"/>
          <w:sz w:val="30"/>
          <w:szCs w:val="22"/>
          <w:lang w:val="zh-CN"/>
        </w:rPr>
      </w:pPr>
      <w:bookmarkStart w:id="34" w:name="_Toc220593723"/>
      <w:r>
        <w:rPr>
          <w:rFonts w:hint="eastAsia" w:ascii="黑体" w:hAnsi="黑体" w:eastAsia="黑体"/>
          <w:bCs w:val="0"/>
          <w:sz w:val="30"/>
          <w:szCs w:val="22"/>
          <w:lang w:val="zh-CN"/>
        </w:rPr>
        <w:t>附录</w:t>
      </w:r>
      <w:r>
        <w:rPr>
          <w:rFonts w:ascii="黑体" w:hAnsi="黑体" w:eastAsia="黑体"/>
          <w:bCs w:val="0"/>
          <w:sz w:val="30"/>
          <w:szCs w:val="22"/>
          <w:lang w:val="zh-CN"/>
        </w:rPr>
        <w:t xml:space="preserve">B </w:t>
      </w:r>
      <w:r>
        <w:rPr>
          <w:rFonts w:hint="eastAsia" w:ascii="黑体" w:hAnsi="黑体" w:eastAsia="黑体"/>
          <w:bCs w:val="0"/>
          <w:sz w:val="30"/>
          <w:szCs w:val="22"/>
          <w:lang w:val="zh-CN"/>
        </w:rPr>
        <w:t>社区生态数据采集</w:t>
      </w:r>
      <w:bookmarkEnd w:id="34"/>
    </w:p>
    <w:p w14:paraId="3393CFC0">
      <w:pPr>
        <w:pStyle w:val="3"/>
        <w:spacing w:before="156" w:after="156"/>
      </w:pPr>
      <w:bookmarkStart w:id="35" w:name="_Toc220593724"/>
      <w:r>
        <w:t xml:space="preserve">B.1 </w:t>
      </w:r>
      <w:r>
        <w:rPr>
          <w:rFonts w:hint="eastAsia"/>
        </w:rPr>
        <w:t>社区本底数据</w:t>
      </w:r>
      <w:bookmarkEnd w:id="35"/>
    </w:p>
    <w:p w14:paraId="37F5C24C">
      <w:pPr>
        <w:pStyle w:val="22"/>
        <w:spacing w:line="480" w:lineRule="exact"/>
        <w:ind w:firstLine="560" w:firstLineChars="200"/>
        <w:jc w:val="both"/>
        <w:rPr>
          <w:rFonts w:ascii="宋体" w:hAnsi="宋体" w:eastAsia="宋体"/>
          <w:color w:val="0D0D0D" w:themeColor="text1" w:themeTint="F2"/>
          <w:sz w:val="28"/>
          <w:szCs w:val="28"/>
          <w14:textFill>
            <w14:solidFill>
              <w14:schemeClr w14:val="tx1">
                <w14:lumMod w14:val="95000"/>
                <w14:lumOff w14:val="5000"/>
              </w14:schemeClr>
            </w14:solidFill>
          </w14:textFill>
        </w:rPr>
      </w:pPr>
      <w:r>
        <w:rPr>
          <w:rFonts w:hint="eastAsia" w:ascii="宋体" w:hAnsi="宋体" w:eastAsia="宋体"/>
          <w:color w:val="0D0D0D" w:themeColor="text1" w:themeTint="F2"/>
          <w:sz w:val="28"/>
          <w:szCs w:val="28"/>
          <w14:textFill>
            <w14:solidFill>
              <w14:schemeClr w14:val="tx1">
                <w14:lumMod w14:val="95000"/>
                <w14:lumOff w14:val="5000"/>
              </w14:schemeClr>
            </w14:solidFill>
          </w14:textFill>
        </w:rPr>
        <w:t>社区本底环境数据包括社区用地、人口、建筑、地形、停车位等基础数据，以及绿地、土壤和地形等数据（见表</w:t>
      </w:r>
      <w:r>
        <w:rPr>
          <w:rFonts w:ascii="宋体" w:hAnsi="宋体" w:eastAsia="宋体"/>
          <w:color w:val="0D0D0D" w:themeColor="text1" w:themeTint="F2"/>
          <w:sz w:val="28"/>
          <w:szCs w:val="28"/>
          <w14:textFill>
            <w14:solidFill>
              <w14:schemeClr w14:val="tx1">
                <w14:lumMod w14:val="95000"/>
                <w14:lumOff w14:val="5000"/>
              </w14:schemeClr>
            </w14:solidFill>
          </w14:textFill>
        </w:rPr>
        <w:t>B.1</w:t>
      </w:r>
      <w:r>
        <w:rPr>
          <w:rFonts w:hint="eastAsia" w:ascii="宋体" w:hAnsi="宋体" w:eastAsia="宋体"/>
          <w:color w:val="0D0D0D" w:themeColor="text1" w:themeTint="F2"/>
          <w:sz w:val="28"/>
          <w:szCs w:val="28"/>
          <w14:textFill>
            <w14:solidFill>
              <w14:schemeClr w14:val="tx1">
                <w14:lumMod w14:val="95000"/>
                <w14:lumOff w14:val="5000"/>
              </w14:schemeClr>
            </w14:solidFill>
          </w14:textFill>
        </w:rPr>
        <w:t>）。</w:t>
      </w:r>
    </w:p>
    <w:p w14:paraId="744D0C69">
      <w:pPr>
        <w:jc w:val="center"/>
        <w:rPr>
          <w:b/>
          <w:sz w:val="28"/>
          <w:lang w:val="zh-CN"/>
        </w:rPr>
      </w:pPr>
      <w:r>
        <w:rPr>
          <w:rFonts w:hint="eastAsia"/>
          <w:b/>
          <w:sz w:val="28"/>
          <w:lang w:val="zh-CN"/>
        </w:rPr>
        <w:t>表</w:t>
      </w:r>
      <w:r>
        <w:rPr>
          <w:b/>
          <w:sz w:val="28"/>
          <w:lang w:val="zh-CN"/>
        </w:rPr>
        <w:t>B.1</w:t>
      </w:r>
      <w:r>
        <w:rPr>
          <w:rFonts w:hint="eastAsia"/>
          <w:b/>
          <w:sz w:val="28"/>
          <w:lang w:val="zh-CN"/>
        </w:rPr>
        <w:t xml:space="preserve"> 社区本底数据表</w:t>
      </w:r>
    </w:p>
    <w:tbl>
      <w:tblPr>
        <w:tblStyle w:val="16"/>
        <w:tblW w:w="84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5"/>
        <w:gridCol w:w="1283"/>
        <w:gridCol w:w="3746"/>
        <w:gridCol w:w="2060"/>
      </w:tblGrid>
      <w:tr w14:paraId="39FAE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1" w:hRule="atLeast"/>
          <w:jc w:val="center"/>
        </w:trPr>
        <w:tc>
          <w:tcPr>
            <w:tcW w:w="6364" w:type="dxa"/>
            <w:gridSpan w:val="3"/>
            <w:vAlign w:val="center"/>
          </w:tcPr>
          <w:p w14:paraId="4AE20B9C">
            <w:pPr>
              <w:snapToGrid w:val="0"/>
              <w:spacing w:line="312" w:lineRule="auto"/>
              <w:jc w:val="center"/>
              <w:rPr>
                <w:sz w:val="24"/>
                <w:lang w:val="zh-CN"/>
              </w:rPr>
            </w:pPr>
            <w:r>
              <w:rPr>
                <w:rFonts w:hint="eastAsia"/>
                <w:sz w:val="24"/>
                <w:lang w:val="zh-CN"/>
              </w:rPr>
              <w:t>项目</w:t>
            </w:r>
          </w:p>
        </w:tc>
        <w:tc>
          <w:tcPr>
            <w:tcW w:w="2060" w:type="dxa"/>
            <w:vAlign w:val="center"/>
          </w:tcPr>
          <w:p w14:paraId="5CE43610">
            <w:pPr>
              <w:snapToGrid w:val="0"/>
              <w:spacing w:line="312" w:lineRule="auto"/>
              <w:rPr>
                <w:sz w:val="24"/>
                <w:lang w:val="zh-CN"/>
              </w:rPr>
            </w:pPr>
            <w:r>
              <w:rPr>
                <w:rFonts w:hint="eastAsia"/>
                <w:sz w:val="24"/>
                <w:lang w:val="zh-CN"/>
              </w:rPr>
              <w:t>计量单位</w:t>
            </w:r>
          </w:p>
        </w:tc>
      </w:tr>
      <w:tr w14:paraId="4E8B61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335" w:type="dxa"/>
            <w:vMerge w:val="restart"/>
            <w:vAlign w:val="center"/>
          </w:tcPr>
          <w:p w14:paraId="6A9164C2">
            <w:pPr>
              <w:snapToGrid w:val="0"/>
              <w:spacing w:line="312" w:lineRule="auto"/>
              <w:rPr>
                <w:sz w:val="24"/>
                <w:lang w:val="zh-CN"/>
              </w:rPr>
            </w:pPr>
            <w:r>
              <w:rPr>
                <w:rFonts w:hint="eastAsia"/>
                <w:sz w:val="24"/>
                <w:lang w:val="zh-CN"/>
              </w:rPr>
              <w:t>社区占地</w:t>
            </w:r>
          </w:p>
        </w:tc>
        <w:tc>
          <w:tcPr>
            <w:tcW w:w="5029" w:type="dxa"/>
            <w:gridSpan w:val="2"/>
            <w:vAlign w:val="center"/>
          </w:tcPr>
          <w:p w14:paraId="66D349D4">
            <w:pPr>
              <w:snapToGrid w:val="0"/>
              <w:spacing w:line="312" w:lineRule="auto"/>
              <w:rPr>
                <w:sz w:val="24"/>
                <w:lang w:val="zh-CN"/>
              </w:rPr>
            </w:pPr>
            <w:r>
              <w:rPr>
                <w:rFonts w:hint="eastAsia"/>
                <w:sz w:val="24"/>
                <w:lang w:val="zh-CN"/>
              </w:rPr>
              <w:t>总占地面积</w:t>
            </w:r>
          </w:p>
        </w:tc>
        <w:tc>
          <w:tcPr>
            <w:tcW w:w="2060" w:type="dxa"/>
            <w:vAlign w:val="center"/>
          </w:tcPr>
          <w:p w14:paraId="52C444AC">
            <w:pPr>
              <w:snapToGrid w:val="0"/>
              <w:spacing w:line="312" w:lineRule="auto"/>
              <w:rPr>
                <w:sz w:val="24"/>
                <w:lang w:val="zh-CN"/>
              </w:rPr>
            </w:pPr>
            <w:r>
              <w:rPr>
                <w:rFonts w:hint="eastAsia"/>
                <w:sz w:val="24"/>
                <w:lang w:val="zh-CN"/>
              </w:rPr>
              <w:t>h</w:t>
            </w:r>
            <w:r>
              <w:rPr>
                <w:sz w:val="24"/>
                <w:lang w:val="zh-CN"/>
              </w:rPr>
              <w:t>m</w:t>
            </w:r>
            <w:r>
              <w:rPr>
                <w:sz w:val="24"/>
                <w:vertAlign w:val="superscript"/>
                <w:lang w:val="zh-CN"/>
              </w:rPr>
              <w:t>2</w:t>
            </w:r>
          </w:p>
        </w:tc>
      </w:tr>
      <w:tr w14:paraId="58643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1335" w:type="dxa"/>
            <w:vMerge w:val="continue"/>
            <w:vAlign w:val="center"/>
          </w:tcPr>
          <w:p w14:paraId="542B8EEF">
            <w:pPr>
              <w:snapToGrid w:val="0"/>
              <w:spacing w:line="312" w:lineRule="auto"/>
              <w:rPr>
                <w:sz w:val="24"/>
                <w:lang w:val="zh-CN"/>
              </w:rPr>
            </w:pPr>
          </w:p>
        </w:tc>
        <w:tc>
          <w:tcPr>
            <w:tcW w:w="1283" w:type="dxa"/>
            <w:vMerge w:val="restart"/>
            <w:vAlign w:val="center"/>
          </w:tcPr>
          <w:p w14:paraId="26173FB1">
            <w:pPr>
              <w:snapToGrid w:val="0"/>
              <w:spacing w:line="312" w:lineRule="auto"/>
              <w:rPr>
                <w:sz w:val="24"/>
                <w:lang w:val="zh-CN"/>
              </w:rPr>
            </w:pPr>
            <w:r>
              <w:rPr>
                <w:rFonts w:hint="eastAsia"/>
                <w:sz w:val="24"/>
                <w:lang w:val="zh-CN"/>
              </w:rPr>
              <w:t>其中</w:t>
            </w:r>
          </w:p>
        </w:tc>
        <w:tc>
          <w:tcPr>
            <w:tcW w:w="3746" w:type="dxa"/>
            <w:vAlign w:val="center"/>
          </w:tcPr>
          <w:p w14:paraId="295D5403">
            <w:pPr>
              <w:snapToGrid w:val="0"/>
              <w:spacing w:line="312" w:lineRule="auto"/>
              <w:rPr>
                <w:sz w:val="24"/>
                <w:lang w:val="zh-CN"/>
              </w:rPr>
            </w:pPr>
            <w:r>
              <w:rPr>
                <w:rFonts w:hint="eastAsia"/>
                <w:sz w:val="24"/>
                <w:lang w:val="zh-CN"/>
              </w:rPr>
              <w:t>住宅基底占地</w:t>
            </w:r>
          </w:p>
        </w:tc>
        <w:tc>
          <w:tcPr>
            <w:tcW w:w="2060" w:type="dxa"/>
            <w:vAlign w:val="center"/>
          </w:tcPr>
          <w:p w14:paraId="489D0271">
            <w:pPr>
              <w:snapToGrid w:val="0"/>
              <w:spacing w:line="312" w:lineRule="auto"/>
              <w:rPr>
                <w:sz w:val="24"/>
                <w:lang w:val="zh-CN"/>
              </w:rPr>
            </w:pPr>
            <w:r>
              <w:rPr>
                <w:rFonts w:hint="eastAsia"/>
                <w:sz w:val="24"/>
                <w:lang w:val="zh-CN"/>
              </w:rPr>
              <w:t>h</w:t>
            </w:r>
            <w:r>
              <w:rPr>
                <w:sz w:val="24"/>
                <w:lang w:val="zh-CN"/>
              </w:rPr>
              <w:t>m</w:t>
            </w:r>
            <w:r>
              <w:rPr>
                <w:sz w:val="24"/>
                <w:vertAlign w:val="superscript"/>
                <w:lang w:val="zh-CN"/>
              </w:rPr>
              <w:t>2</w:t>
            </w:r>
          </w:p>
        </w:tc>
      </w:tr>
      <w:tr w14:paraId="0A802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jc w:val="center"/>
        </w:trPr>
        <w:tc>
          <w:tcPr>
            <w:tcW w:w="1335" w:type="dxa"/>
            <w:vMerge w:val="continue"/>
            <w:vAlign w:val="center"/>
          </w:tcPr>
          <w:p w14:paraId="64827580">
            <w:pPr>
              <w:snapToGrid w:val="0"/>
              <w:spacing w:line="312" w:lineRule="auto"/>
              <w:rPr>
                <w:sz w:val="24"/>
                <w:lang w:val="zh-CN"/>
              </w:rPr>
            </w:pPr>
          </w:p>
        </w:tc>
        <w:tc>
          <w:tcPr>
            <w:tcW w:w="1283" w:type="dxa"/>
            <w:vMerge w:val="continue"/>
            <w:vAlign w:val="center"/>
          </w:tcPr>
          <w:p w14:paraId="7BE2A97B">
            <w:pPr>
              <w:snapToGrid w:val="0"/>
              <w:spacing w:line="312" w:lineRule="auto"/>
              <w:rPr>
                <w:sz w:val="24"/>
                <w:lang w:val="zh-CN"/>
              </w:rPr>
            </w:pPr>
          </w:p>
        </w:tc>
        <w:tc>
          <w:tcPr>
            <w:tcW w:w="3746" w:type="dxa"/>
            <w:vAlign w:val="center"/>
          </w:tcPr>
          <w:p w14:paraId="418CC8CC">
            <w:pPr>
              <w:snapToGrid w:val="0"/>
              <w:spacing w:line="312" w:lineRule="auto"/>
              <w:rPr>
                <w:sz w:val="24"/>
                <w:lang w:val="zh-CN"/>
              </w:rPr>
            </w:pPr>
            <w:r>
              <w:rPr>
                <w:rFonts w:hint="eastAsia"/>
                <w:sz w:val="24"/>
                <w:lang w:val="zh-CN"/>
              </w:rPr>
              <w:t>室外空间占地</w:t>
            </w:r>
          </w:p>
        </w:tc>
        <w:tc>
          <w:tcPr>
            <w:tcW w:w="2060" w:type="dxa"/>
            <w:vAlign w:val="center"/>
          </w:tcPr>
          <w:p w14:paraId="5100105A">
            <w:pPr>
              <w:snapToGrid w:val="0"/>
              <w:spacing w:line="312" w:lineRule="auto"/>
              <w:rPr>
                <w:sz w:val="24"/>
                <w:lang w:val="zh-CN"/>
              </w:rPr>
            </w:pPr>
            <w:r>
              <w:rPr>
                <w:rFonts w:hint="eastAsia"/>
                <w:sz w:val="24"/>
                <w:lang w:val="zh-CN"/>
              </w:rPr>
              <w:t>h</w:t>
            </w:r>
            <w:r>
              <w:rPr>
                <w:sz w:val="24"/>
                <w:lang w:val="zh-CN"/>
              </w:rPr>
              <w:t>m</w:t>
            </w:r>
            <w:r>
              <w:rPr>
                <w:sz w:val="24"/>
                <w:vertAlign w:val="superscript"/>
                <w:lang w:val="zh-CN"/>
              </w:rPr>
              <w:t>2</w:t>
            </w:r>
          </w:p>
        </w:tc>
      </w:tr>
      <w:tr w14:paraId="126563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1335" w:type="dxa"/>
            <w:vMerge w:val="continue"/>
            <w:vAlign w:val="center"/>
          </w:tcPr>
          <w:p w14:paraId="71B7C2EA">
            <w:pPr>
              <w:snapToGrid w:val="0"/>
              <w:spacing w:line="312" w:lineRule="auto"/>
              <w:rPr>
                <w:sz w:val="24"/>
                <w:lang w:val="zh-CN"/>
              </w:rPr>
            </w:pPr>
          </w:p>
        </w:tc>
        <w:tc>
          <w:tcPr>
            <w:tcW w:w="1283" w:type="dxa"/>
            <w:vMerge w:val="continue"/>
            <w:vAlign w:val="center"/>
          </w:tcPr>
          <w:p w14:paraId="31BD6D9D">
            <w:pPr>
              <w:snapToGrid w:val="0"/>
              <w:spacing w:line="312" w:lineRule="auto"/>
              <w:rPr>
                <w:sz w:val="24"/>
                <w:lang w:val="zh-CN"/>
              </w:rPr>
            </w:pPr>
          </w:p>
        </w:tc>
        <w:tc>
          <w:tcPr>
            <w:tcW w:w="3746" w:type="dxa"/>
            <w:vAlign w:val="center"/>
          </w:tcPr>
          <w:p w14:paraId="4B22FB5F">
            <w:pPr>
              <w:snapToGrid w:val="0"/>
              <w:spacing w:line="312" w:lineRule="auto"/>
              <w:rPr>
                <w:sz w:val="24"/>
                <w:lang w:val="zh-CN"/>
              </w:rPr>
            </w:pPr>
            <w:r>
              <w:rPr>
                <w:rFonts w:hint="eastAsia"/>
                <w:sz w:val="24"/>
                <w:lang w:val="zh-CN"/>
              </w:rPr>
              <w:t>道路、停车场占地</w:t>
            </w:r>
          </w:p>
        </w:tc>
        <w:tc>
          <w:tcPr>
            <w:tcW w:w="2060" w:type="dxa"/>
            <w:vAlign w:val="center"/>
          </w:tcPr>
          <w:p w14:paraId="18125577">
            <w:pPr>
              <w:snapToGrid w:val="0"/>
              <w:spacing w:line="312" w:lineRule="auto"/>
              <w:rPr>
                <w:sz w:val="24"/>
                <w:lang w:val="zh-CN"/>
              </w:rPr>
            </w:pPr>
            <w:r>
              <w:rPr>
                <w:rFonts w:hint="eastAsia"/>
                <w:sz w:val="24"/>
                <w:lang w:val="zh-CN"/>
              </w:rPr>
              <w:t>h</w:t>
            </w:r>
            <w:r>
              <w:rPr>
                <w:sz w:val="24"/>
                <w:lang w:val="zh-CN"/>
              </w:rPr>
              <w:t>m</w:t>
            </w:r>
            <w:r>
              <w:rPr>
                <w:sz w:val="24"/>
                <w:vertAlign w:val="superscript"/>
                <w:lang w:val="zh-CN"/>
              </w:rPr>
              <w:t>2</w:t>
            </w:r>
          </w:p>
        </w:tc>
      </w:tr>
      <w:tr w14:paraId="7A7B0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6364" w:type="dxa"/>
            <w:gridSpan w:val="3"/>
            <w:vAlign w:val="center"/>
          </w:tcPr>
          <w:p w14:paraId="56A96108">
            <w:pPr>
              <w:snapToGrid w:val="0"/>
              <w:spacing w:line="312" w:lineRule="auto"/>
              <w:rPr>
                <w:sz w:val="24"/>
                <w:lang w:val="zh-CN"/>
              </w:rPr>
            </w:pPr>
            <w:r>
              <w:rPr>
                <w:rFonts w:hint="eastAsia"/>
                <w:sz w:val="24"/>
                <w:lang w:val="zh-CN"/>
              </w:rPr>
              <w:t>居住总人口</w:t>
            </w:r>
          </w:p>
        </w:tc>
        <w:tc>
          <w:tcPr>
            <w:tcW w:w="2060" w:type="dxa"/>
            <w:vAlign w:val="center"/>
          </w:tcPr>
          <w:p w14:paraId="3AFC41F4">
            <w:pPr>
              <w:snapToGrid w:val="0"/>
              <w:spacing w:line="312" w:lineRule="auto"/>
              <w:rPr>
                <w:sz w:val="24"/>
                <w:lang w:val="zh-CN"/>
              </w:rPr>
            </w:pPr>
            <w:r>
              <w:rPr>
                <w:rFonts w:hint="eastAsia"/>
                <w:sz w:val="24"/>
                <w:lang w:val="zh-CN"/>
              </w:rPr>
              <w:t>人</w:t>
            </w:r>
          </w:p>
        </w:tc>
      </w:tr>
      <w:tr w14:paraId="1803B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6364" w:type="dxa"/>
            <w:gridSpan w:val="3"/>
            <w:vAlign w:val="center"/>
          </w:tcPr>
          <w:p w14:paraId="5C427235">
            <w:pPr>
              <w:snapToGrid w:val="0"/>
              <w:spacing w:line="312" w:lineRule="auto"/>
              <w:rPr>
                <w:sz w:val="24"/>
                <w:lang w:val="zh-CN"/>
              </w:rPr>
            </w:pPr>
            <w:r>
              <w:rPr>
                <w:rFonts w:hint="eastAsia"/>
                <w:sz w:val="24"/>
                <w:lang w:val="zh-CN"/>
              </w:rPr>
              <w:t>住宅总套数</w:t>
            </w:r>
          </w:p>
        </w:tc>
        <w:tc>
          <w:tcPr>
            <w:tcW w:w="2060" w:type="dxa"/>
            <w:vAlign w:val="center"/>
          </w:tcPr>
          <w:p w14:paraId="7C244F51">
            <w:pPr>
              <w:snapToGrid w:val="0"/>
              <w:spacing w:line="312" w:lineRule="auto"/>
              <w:rPr>
                <w:sz w:val="24"/>
                <w:lang w:val="zh-CN"/>
              </w:rPr>
            </w:pPr>
            <w:r>
              <w:rPr>
                <w:rFonts w:hint="eastAsia"/>
                <w:sz w:val="24"/>
                <w:lang w:val="zh-CN"/>
              </w:rPr>
              <w:t>套</w:t>
            </w:r>
          </w:p>
        </w:tc>
      </w:tr>
      <w:tr w14:paraId="0BFE35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335" w:type="dxa"/>
            <w:vMerge w:val="restart"/>
            <w:vAlign w:val="center"/>
          </w:tcPr>
          <w:p w14:paraId="62A1BA73">
            <w:pPr>
              <w:snapToGrid w:val="0"/>
              <w:spacing w:line="312" w:lineRule="auto"/>
              <w:rPr>
                <w:sz w:val="24"/>
                <w:lang w:val="zh-CN"/>
              </w:rPr>
            </w:pPr>
            <w:r>
              <w:rPr>
                <w:rFonts w:hint="eastAsia"/>
                <w:sz w:val="24"/>
                <w:lang w:val="zh-CN"/>
              </w:rPr>
              <w:t>地上建筑面积</w:t>
            </w:r>
          </w:p>
        </w:tc>
        <w:tc>
          <w:tcPr>
            <w:tcW w:w="5029" w:type="dxa"/>
            <w:gridSpan w:val="2"/>
            <w:vAlign w:val="center"/>
          </w:tcPr>
          <w:p w14:paraId="717AAC09">
            <w:pPr>
              <w:snapToGrid w:val="0"/>
              <w:spacing w:line="312" w:lineRule="auto"/>
              <w:rPr>
                <w:sz w:val="24"/>
                <w:lang w:val="zh-CN"/>
              </w:rPr>
            </w:pPr>
            <w:r>
              <w:rPr>
                <w:rFonts w:hint="eastAsia"/>
                <w:sz w:val="24"/>
                <w:lang w:val="zh-CN"/>
              </w:rPr>
              <w:t>总建筑面积</w:t>
            </w:r>
          </w:p>
        </w:tc>
        <w:tc>
          <w:tcPr>
            <w:tcW w:w="2060" w:type="dxa"/>
            <w:vAlign w:val="center"/>
          </w:tcPr>
          <w:p w14:paraId="0A26C272">
            <w:pPr>
              <w:snapToGrid w:val="0"/>
              <w:spacing w:line="312" w:lineRule="auto"/>
              <w:rPr>
                <w:sz w:val="24"/>
                <w:lang w:val="zh-CN"/>
              </w:rPr>
            </w:pPr>
            <w:r>
              <w:rPr>
                <w:rFonts w:hint="eastAsia"/>
                <w:sz w:val="24"/>
                <w:lang w:val="zh-CN"/>
              </w:rPr>
              <w:t>m</w:t>
            </w:r>
            <w:r>
              <w:rPr>
                <w:sz w:val="24"/>
                <w:vertAlign w:val="superscript"/>
                <w:lang w:val="zh-CN"/>
              </w:rPr>
              <w:t>2</w:t>
            </w:r>
          </w:p>
        </w:tc>
      </w:tr>
      <w:tr w14:paraId="34BCCC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jc w:val="center"/>
        </w:trPr>
        <w:tc>
          <w:tcPr>
            <w:tcW w:w="1335" w:type="dxa"/>
            <w:vMerge w:val="continue"/>
            <w:vAlign w:val="center"/>
          </w:tcPr>
          <w:p w14:paraId="32594D85">
            <w:pPr>
              <w:snapToGrid w:val="0"/>
              <w:spacing w:line="312" w:lineRule="auto"/>
              <w:rPr>
                <w:sz w:val="24"/>
                <w:lang w:val="zh-CN"/>
              </w:rPr>
            </w:pPr>
          </w:p>
        </w:tc>
        <w:tc>
          <w:tcPr>
            <w:tcW w:w="1283" w:type="dxa"/>
            <w:vMerge w:val="restart"/>
            <w:vAlign w:val="center"/>
          </w:tcPr>
          <w:p w14:paraId="26FFC55A">
            <w:pPr>
              <w:snapToGrid w:val="0"/>
              <w:spacing w:line="312" w:lineRule="auto"/>
              <w:rPr>
                <w:sz w:val="24"/>
                <w:lang w:val="zh-CN"/>
              </w:rPr>
            </w:pPr>
            <w:r>
              <w:rPr>
                <w:rFonts w:hint="eastAsia"/>
                <w:sz w:val="24"/>
                <w:lang w:val="zh-CN"/>
              </w:rPr>
              <w:t>其中</w:t>
            </w:r>
          </w:p>
        </w:tc>
        <w:tc>
          <w:tcPr>
            <w:tcW w:w="3746" w:type="dxa"/>
            <w:vAlign w:val="center"/>
          </w:tcPr>
          <w:p w14:paraId="3D42E5F6">
            <w:pPr>
              <w:snapToGrid w:val="0"/>
              <w:spacing w:line="312" w:lineRule="auto"/>
              <w:rPr>
                <w:sz w:val="24"/>
                <w:lang w:val="zh-CN"/>
              </w:rPr>
            </w:pPr>
            <w:r>
              <w:rPr>
                <w:rFonts w:hint="eastAsia"/>
                <w:sz w:val="24"/>
                <w:lang w:val="zh-CN"/>
              </w:rPr>
              <w:t>住宅建筑</w:t>
            </w:r>
          </w:p>
        </w:tc>
        <w:tc>
          <w:tcPr>
            <w:tcW w:w="2060" w:type="dxa"/>
            <w:vAlign w:val="center"/>
          </w:tcPr>
          <w:p w14:paraId="4A7CE728">
            <w:pPr>
              <w:snapToGrid w:val="0"/>
              <w:spacing w:line="312" w:lineRule="auto"/>
              <w:rPr>
                <w:sz w:val="24"/>
                <w:lang w:val="zh-CN"/>
              </w:rPr>
            </w:pPr>
            <w:r>
              <w:rPr>
                <w:rFonts w:hint="eastAsia"/>
                <w:sz w:val="24"/>
                <w:lang w:val="zh-CN"/>
              </w:rPr>
              <w:t>m</w:t>
            </w:r>
            <w:r>
              <w:rPr>
                <w:sz w:val="24"/>
                <w:vertAlign w:val="superscript"/>
                <w:lang w:val="zh-CN"/>
              </w:rPr>
              <w:t>2</w:t>
            </w:r>
          </w:p>
        </w:tc>
      </w:tr>
      <w:tr w14:paraId="13174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jc w:val="center"/>
        </w:trPr>
        <w:tc>
          <w:tcPr>
            <w:tcW w:w="1335" w:type="dxa"/>
            <w:vMerge w:val="continue"/>
            <w:vAlign w:val="center"/>
          </w:tcPr>
          <w:p w14:paraId="4A073504">
            <w:pPr>
              <w:snapToGrid w:val="0"/>
              <w:spacing w:line="312" w:lineRule="auto"/>
              <w:rPr>
                <w:sz w:val="24"/>
                <w:lang w:val="zh-CN"/>
              </w:rPr>
            </w:pPr>
          </w:p>
        </w:tc>
        <w:tc>
          <w:tcPr>
            <w:tcW w:w="1283" w:type="dxa"/>
            <w:vMerge w:val="continue"/>
            <w:vAlign w:val="center"/>
          </w:tcPr>
          <w:p w14:paraId="1189C9CD">
            <w:pPr>
              <w:snapToGrid w:val="0"/>
              <w:spacing w:line="312" w:lineRule="auto"/>
              <w:rPr>
                <w:sz w:val="24"/>
                <w:lang w:val="zh-CN"/>
              </w:rPr>
            </w:pPr>
          </w:p>
        </w:tc>
        <w:tc>
          <w:tcPr>
            <w:tcW w:w="3746" w:type="dxa"/>
            <w:vAlign w:val="center"/>
          </w:tcPr>
          <w:p w14:paraId="6E0F6DCD">
            <w:pPr>
              <w:snapToGrid w:val="0"/>
              <w:spacing w:line="312" w:lineRule="auto"/>
              <w:rPr>
                <w:sz w:val="24"/>
                <w:lang w:val="zh-CN"/>
              </w:rPr>
            </w:pPr>
            <w:r>
              <w:rPr>
                <w:rFonts w:hint="eastAsia"/>
                <w:sz w:val="24"/>
                <w:lang w:val="zh-CN"/>
              </w:rPr>
              <w:t>便民服务设施</w:t>
            </w:r>
          </w:p>
        </w:tc>
        <w:tc>
          <w:tcPr>
            <w:tcW w:w="2060" w:type="dxa"/>
            <w:vAlign w:val="center"/>
          </w:tcPr>
          <w:p w14:paraId="60F43161">
            <w:pPr>
              <w:snapToGrid w:val="0"/>
              <w:spacing w:line="312" w:lineRule="auto"/>
              <w:rPr>
                <w:sz w:val="24"/>
                <w:lang w:val="zh-CN"/>
              </w:rPr>
            </w:pPr>
            <w:r>
              <w:rPr>
                <w:rFonts w:hint="eastAsia"/>
                <w:sz w:val="24"/>
                <w:lang w:val="zh-CN"/>
              </w:rPr>
              <w:t>m</w:t>
            </w:r>
            <w:r>
              <w:rPr>
                <w:sz w:val="24"/>
                <w:vertAlign w:val="superscript"/>
                <w:lang w:val="zh-CN"/>
              </w:rPr>
              <w:t>2</w:t>
            </w:r>
          </w:p>
        </w:tc>
      </w:tr>
      <w:tr w14:paraId="2FFCFF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6364" w:type="dxa"/>
            <w:gridSpan w:val="3"/>
            <w:vAlign w:val="center"/>
          </w:tcPr>
          <w:p w14:paraId="7E7C1FD4">
            <w:pPr>
              <w:snapToGrid w:val="0"/>
              <w:spacing w:line="312" w:lineRule="auto"/>
              <w:rPr>
                <w:sz w:val="24"/>
                <w:lang w:val="zh-CN"/>
              </w:rPr>
            </w:pPr>
            <w:r>
              <w:rPr>
                <w:rFonts w:hint="eastAsia"/>
                <w:sz w:val="24"/>
                <w:lang w:val="zh-CN"/>
              </w:rPr>
              <w:t>地下总建筑面积</w:t>
            </w:r>
          </w:p>
        </w:tc>
        <w:tc>
          <w:tcPr>
            <w:tcW w:w="2060" w:type="dxa"/>
            <w:vAlign w:val="center"/>
          </w:tcPr>
          <w:p w14:paraId="7ADDF495">
            <w:pPr>
              <w:snapToGrid w:val="0"/>
              <w:spacing w:line="312" w:lineRule="auto"/>
              <w:rPr>
                <w:sz w:val="24"/>
                <w:lang w:val="zh-CN"/>
              </w:rPr>
            </w:pPr>
            <w:r>
              <w:rPr>
                <w:rFonts w:hint="eastAsia"/>
                <w:sz w:val="24"/>
                <w:lang w:val="zh-CN"/>
              </w:rPr>
              <w:t>m</w:t>
            </w:r>
            <w:r>
              <w:rPr>
                <w:sz w:val="24"/>
                <w:vertAlign w:val="superscript"/>
                <w:lang w:val="zh-CN"/>
              </w:rPr>
              <w:t>2</w:t>
            </w:r>
          </w:p>
        </w:tc>
      </w:tr>
      <w:tr w14:paraId="78202B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6364" w:type="dxa"/>
            <w:gridSpan w:val="3"/>
            <w:vAlign w:val="center"/>
          </w:tcPr>
          <w:p w14:paraId="6A475EEE">
            <w:pPr>
              <w:snapToGrid w:val="0"/>
              <w:spacing w:line="312" w:lineRule="auto"/>
              <w:rPr>
                <w:sz w:val="24"/>
                <w:lang w:val="zh-CN"/>
              </w:rPr>
            </w:pPr>
            <w:r>
              <w:rPr>
                <w:rFonts w:hint="eastAsia"/>
                <w:sz w:val="24"/>
                <w:lang w:val="zh-CN"/>
              </w:rPr>
              <w:t>住宅建筑层数及对应的楼幢单元数</w:t>
            </w:r>
          </w:p>
        </w:tc>
        <w:tc>
          <w:tcPr>
            <w:tcW w:w="2060" w:type="dxa"/>
            <w:vAlign w:val="center"/>
          </w:tcPr>
          <w:p w14:paraId="4F11C785">
            <w:pPr>
              <w:snapToGrid w:val="0"/>
              <w:spacing w:line="312" w:lineRule="auto"/>
              <w:rPr>
                <w:sz w:val="24"/>
              </w:rPr>
            </w:pPr>
            <w:r>
              <w:rPr>
                <w:rFonts w:hint="eastAsia"/>
                <w:sz w:val="24"/>
                <w:lang w:val="zh-CN"/>
              </w:rPr>
              <w:t>层、</w:t>
            </w:r>
            <w:r>
              <w:rPr>
                <w:rFonts w:hint="eastAsia"/>
                <w:sz w:val="24"/>
              </w:rPr>
              <w:t>个</w:t>
            </w:r>
          </w:p>
        </w:tc>
      </w:tr>
      <w:tr w14:paraId="25F330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6364" w:type="dxa"/>
            <w:gridSpan w:val="3"/>
            <w:vAlign w:val="center"/>
          </w:tcPr>
          <w:p w14:paraId="112D81B2">
            <w:pPr>
              <w:snapToGrid w:val="0"/>
              <w:spacing w:line="312" w:lineRule="auto"/>
              <w:rPr>
                <w:sz w:val="24"/>
                <w:lang w:val="zh-CN"/>
              </w:rPr>
            </w:pPr>
            <w:r>
              <w:rPr>
                <w:rFonts w:hint="eastAsia"/>
                <w:sz w:val="24"/>
                <w:lang w:val="zh-CN"/>
              </w:rPr>
              <w:t>社区平面图</w:t>
            </w:r>
            <w:r>
              <w:rPr>
                <w:rFonts w:hint="eastAsia"/>
                <w:sz w:val="24"/>
              </w:rPr>
              <w:t>比例：</w:t>
            </w:r>
            <w:r>
              <w:rPr>
                <w:rFonts w:hint="eastAsia"/>
                <w:sz w:val="24"/>
                <w:lang w:val="zh-CN"/>
              </w:rPr>
              <w:t>1:</w:t>
            </w:r>
            <w:r>
              <w:rPr>
                <w:sz w:val="24"/>
                <w:lang w:val="zh-CN"/>
              </w:rPr>
              <w:t>500-1</w:t>
            </w:r>
            <w:r>
              <w:rPr>
                <w:rFonts w:hint="eastAsia"/>
                <w:sz w:val="24"/>
                <w:lang w:val="zh-CN"/>
              </w:rPr>
              <w:t>:</w:t>
            </w:r>
            <w:r>
              <w:rPr>
                <w:sz w:val="24"/>
                <w:lang w:val="zh-CN"/>
              </w:rPr>
              <w:t>1000</w:t>
            </w:r>
          </w:p>
        </w:tc>
        <w:tc>
          <w:tcPr>
            <w:tcW w:w="2060" w:type="dxa"/>
            <w:vAlign w:val="center"/>
          </w:tcPr>
          <w:p w14:paraId="19D54635">
            <w:pPr>
              <w:snapToGrid w:val="0"/>
              <w:spacing w:line="312" w:lineRule="auto"/>
              <w:rPr>
                <w:sz w:val="24"/>
                <w:lang w:val="zh-CN"/>
              </w:rPr>
            </w:pPr>
            <w:r>
              <w:rPr>
                <w:rFonts w:hint="eastAsia"/>
                <w:sz w:val="24"/>
                <w:lang w:val="zh-CN"/>
              </w:rPr>
              <w:t>/</w:t>
            </w:r>
          </w:p>
        </w:tc>
      </w:tr>
      <w:tr w14:paraId="4B7C7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1335" w:type="dxa"/>
            <w:vMerge w:val="restart"/>
            <w:vAlign w:val="center"/>
          </w:tcPr>
          <w:p w14:paraId="7D892EE8">
            <w:pPr>
              <w:snapToGrid w:val="0"/>
              <w:spacing w:line="312" w:lineRule="auto"/>
              <w:rPr>
                <w:sz w:val="24"/>
                <w:lang w:val="zh-CN"/>
              </w:rPr>
            </w:pPr>
            <w:r>
              <w:rPr>
                <w:rFonts w:hint="eastAsia"/>
                <w:sz w:val="24"/>
                <w:lang w:val="zh-CN"/>
              </w:rPr>
              <w:t>停车位</w:t>
            </w:r>
          </w:p>
        </w:tc>
        <w:tc>
          <w:tcPr>
            <w:tcW w:w="5029" w:type="dxa"/>
            <w:gridSpan w:val="2"/>
            <w:vAlign w:val="center"/>
          </w:tcPr>
          <w:p w14:paraId="12D975D7">
            <w:pPr>
              <w:snapToGrid w:val="0"/>
              <w:spacing w:line="312" w:lineRule="auto"/>
              <w:rPr>
                <w:sz w:val="24"/>
                <w:lang w:val="zh-CN"/>
              </w:rPr>
            </w:pPr>
            <w:r>
              <w:rPr>
                <w:rFonts w:hint="eastAsia"/>
                <w:sz w:val="24"/>
                <w:lang w:val="zh-CN"/>
              </w:rPr>
              <w:t>总停车位</w:t>
            </w:r>
          </w:p>
        </w:tc>
        <w:tc>
          <w:tcPr>
            <w:tcW w:w="2060" w:type="dxa"/>
            <w:vAlign w:val="center"/>
          </w:tcPr>
          <w:p w14:paraId="3B8A80D0">
            <w:pPr>
              <w:snapToGrid w:val="0"/>
              <w:spacing w:line="312" w:lineRule="auto"/>
              <w:rPr>
                <w:sz w:val="24"/>
                <w:lang w:val="zh-CN"/>
              </w:rPr>
            </w:pPr>
            <w:r>
              <w:rPr>
                <w:rFonts w:hint="eastAsia"/>
                <w:sz w:val="24"/>
              </w:rPr>
              <w:t>个</w:t>
            </w:r>
          </w:p>
        </w:tc>
      </w:tr>
      <w:tr w14:paraId="6D4ED4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jc w:val="center"/>
        </w:trPr>
        <w:tc>
          <w:tcPr>
            <w:tcW w:w="1335" w:type="dxa"/>
            <w:vMerge w:val="continue"/>
            <w:vAlign w:val="center"/>
          </w:tcPr>
          <w:p w14:paraId="021C7D58">
            <w:pPr>
              <w:snapToGrid w:val="0"/>
              <w:spacing w:line="312" w:lineRule="auto"/>
              <w:rPr>
                <w:sz w:val="24"/>
                <w:lang w:val="zh-CN"/>
              </w:rPr>
            </w:pPr>
          </w:p>
        </w:tc>
        <w:tc>
          <w:tcPr>
            <w:tcW w:w="1283" w:type="dxa"/>
            <w:vMerge w:val="restart"/>
            <w:vAlign w:val="center"/>
          </w:tcPr>
          <w:p w14:paraId="1A015943">
            <w:pPr>
              <w:snapToGrid w:val="0"/>
              <w:spacing w:line="312" w:lineRule="auto"/>
              <w:rPr>
                <w:sz w:val="24"/>
                <w:lang w:val="zh-CN"/>
              </w:rPr>
            </w:pPr>
            <w:r>
              <w:rPr>
                <w:rFonts w:hint="eastAsia"/>
                <w:sz w:val="24"/>
                <w:lang w:val="zh-CN"/>
              </w:rPr>
              <w:t>其中</w:t>
            </w:r>
          </w:p>
        </w:tc>
        <w:tc>
          <w:tcPr>
            <w:tcW w:w="3746" w:type="dxa"/>
            <w:vAlign w:val="center"/>
          </w:tcPr>
          <w:p w14:paraId="40CA0CF9">
            <w:pPr>
              <w:snapToGrid w:val="0"/>
              <w:spacing w:line="312" w:lineRule="auto"/>
              <w:rPr>
                <w:sz w:val="24"/>
                <w:lang w:val="zh-CN"/>
              </w:rPr>
            </w:pPr>
            <w:r>
              <w:rPr>
                <w:rFonts w:hint="eastAsia"/>
                <w:sz w:val="24"/>
                <w:lang w:val="zh-CN"/>
              </w:rPr>
              <w:t>地上停车位</w:t>
            </w:r>
          </w:p>
        </w:tc>
        <w:tc>
          <w:tcPr>
            <w:tcW w:w="2060" w:type="dxa"/>
            <w:vAlign w:val="center"/>
          </w:tcPr>
          <w:p w14:paraId="22608EB1">
            <w:pPr>
              <w:snapToGrid w:val="0"/>
              <w:spacing w:line="312" w:lineRule="auto"/>
              <w:rPr>
                <w:sz w:val="24"/>
                <w:lang w:val="zh-CN"/>
              </w:rPr>
            </w:pPr>
            <w:r>
              <w:rPr>
                <w:rFonts w:hint="eastAsia"/>
                <w:sz w:val="24"/>
              </w:rPr>
              <w:t>个</w:t>
            </w:r>
          </w:p>
        </w:tc>
      </w:tr>
      <w:tr w14:paraId="263A47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1335" w:type="dxa"/>
            <w:vMerge w:val="continue"/>
            <w:vAlign w:val="center"/>
          </w:tcPr>
          <w:p w14:paraId="04466E4E">
            <w:pPr>
              <w:snapToGrid w:val="0"/>
              <w:spacing w:line="312" w:lineRule="auto"/>
              <w:rPr>
                <w:sz w:val="24"/>
                <w:lang w:val="zh-CN"/>
              </w:rPr>
            </w:pPr>
          </w:p>
        </w:tc>
        <w:tc>
          <w:tcPr>
            <w:tcW w:w="1283" w:type="dxa"/>
            <w:vMerge w:val="continue"/>
            <w:vAlign w:val="center"/>
          </w:tcPr>
          <w:p w14:paraId="1D0251DF">
            <w:pPr>
              <w:snapToGrid w:val="0"/>
              <w:spacing w:line="312" w:lineRule="auto"/>
              <w:rPr>
                <w:sz w:val="24"/>
                <w:lang w:val="zh-CN"/>
              </w:rPr>
            </w:pPr>
          </w:p>
        </w:tc>
        <w:tc>
          <w:tcPr>
            <w:tcW w:w="3746" w:type="dxa"/>
            <w:vAlign w:val="center"/>
          </w:tcPr>
          <w:p w14:paraId="7D0B9FF1">
            <w:pPr>
              <w:snapToGrid w:val="0"/>
              <w:spacing w:line="312" w:lineRule="auto"/>
              <w:rPr>
                <w:sz w:val="24"/>
                <w:lang w:val="zh-CN"/>
              </w:rPr>
            </w:pPr>
            <w:r>
              <w:rPr>
                <w:rFonts w:hint="eastAsia"/>
                <w:sz w:val="24"/>
                <w:lang w:val="zh-CN"/>
              </w:rPr>
              <w:t>地下停车位</w:t>
            </w:r>
          </w:p>
        </w:tc>
        <w:tc>
          <w:tcPr>
            <w:tcW w:w="2060" w:type="dxa"/>
            <w:vAlign w:val="center"/>
          </w:tcPr>
          <w:p w14:paraId="4203C8C7">
            <w:pPr>
              <w:snapToGrid w:val="0"/>
              <w:spacing w:line="312" w:lineRule="auto"/>
              <w:rPr>
                <w:sz w:val="24"/>
                <w:lang w:val="zh-CN"/>
              </w:rPr>
            </w:pPr>
            <w:r>
              <w:rPr>
                <w:rFonts w:hint="eastAsia"/>
                <w:sz w:val="24"/>
              </w:rPr>
              <w:t>个</w:t>
            </w:r>
          </w:p>
        </w:tc>
      </w:tr>
      <w:tr w14:paraId="1EFBF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 w:hRule="atLeast"/>
          <w:jc w:val="center"/>
        </w:trPr>
        <w:tc>
          <w:tcPr>
            <w:tcW w:w="1335" w:type="dxa"/>
            <w:vMerge w:val="restart"/>
            <w:vAlign w:val="center"/>
          </w:tcPr>
          <w:p w14:paraId="24CC0445">
            <w:pPr>
              <w:snapToGrid w:val="0"/>
              <w:spacing w:line="312" w:lineRule="auto"/>
              <w:rPr>
                <w:sz w:val="24"/>
                <w:lang w:val="zh-CN"/>
              </w:rPr>
            </w:pPr>
            <w:r>
              <w:rPr>
                <w:rFonts w:hint="eastAsia"/>
                <w:sz w:val="24"/>
                <w:lang w:val="zh-CN"/>
              </w:rPr>
              <w:t>绿地</w:t>
            </w:r>
          </w:p>
        </w:tc>
        <w:tc>
          <w:tcPr>
            <w:tcW w:w="5029" w:type="dxa"/>
            <w:gridSpan w:val="2"/>
            <w:vAlign w:val="center"/>
          </w:tcPr>
          <w:p w14:paraId="7795A5EE">
            <w:pPr>
              <w:snapToGrid w:val="0"/>
              <w:spacing w:line="312" w:lineRule="auto"/>
              <w:rPr>
                <w:sz w:val="24"/>
                <w:lang w:val="zh-CN"/>
              </w:rPr>
            </w:pPr>
            <w:r>
              <w:rPr>
                <w:rFonts w:hint="eastAsia"/>
                <w:sz w:val="24"/>
                <w:lang w:val="zh-CN"/>
              </w:rPr>
              <w:t>绿化覆盖率</w:t>
            </w:r>
          </w:p>
        </w:tc>
        <w:tc>
          <w:tcPr>
            <w:tcW w:w="2060" w:type="dxa"/>
            <w:vAlign w:val="center"/>
          </w:tcPr>
          <w:p w14:paraId="72316075">
            <w:pPr>
              <w:snapToGrid w:val="0"/>
              <w:spacing w:line="312" w:lineRule="auto"/>
              <w:rPr>
                <w:sz w:val="24"/>
                <w:lang w:val="zh-CN"/>
              </w:rPr>
            </w:pPr>
            <w:r>
              <w:rPr>
                <w:rFonts w:hint="eastAsia"/>
                <w:sz w:val="24"/>
                <w:lang w:val="zh-CN"/>
              </w:rPr>
              <w:t>%</w:t>
            </w:r>
          </w:p>
        </w:tc>
      </w:tr>
      <w:tr w14:paraId="45A7C4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1335" w:type="dxa"/>
            <w:vMerge w:val="continue"/>
            <w:vAlign w:val="center"/>
          </w:tcPr>
          <w:p w14:paraId="2C5FE560">
            <w:pPr>
              <w:snapToGrid w:val="0"/>
              <w:spacing w:line="312" w:lineRule="auto"/>
              <w:rPr>
                <w:sz w:val="24"/>
                <w:lang w:val="zh-CN"/>
              </w:rPr>
            </w:pPr>
          </w:p>
        </w:tc>
        <w:tc>
          <w:tcPr>
            <w:tcW w:w="5029" w:type="dxa"/>
            <w:gridSpan w:val="2"/>
            <w:vAlign w:val="center"/>
          </w:tcPr>
          <w:p w14:paraId="75EF4B78">
            <w:pPr>
              <w:snapToGrid w:val="0"/>
              <w:spacing w:line="312" w:lineRule="auto"/>
              <w:rPr>
                <w:sz w:val="24"/>
                <w:lang w:val="zh-CN"/>
              </w:rPr>
            </w:pPr>
            <w:r>
              <w:rPr>
                <w:rFonts w:hint="eastAsia"/>
                <w:sz w:val="24"/>
                <w:lang w:val="zh-CN"/>
              </w:rPr>
              <w:t>高</w:t>
            </w:r>
            <w:r>
              <w:rPr>
                <w:sz w:val="24"/>
                <w:lang w:val="zh-CN"/>
              </w:rPr>
              <w:t>NDVI</w:t>
            </w:r>
            <w:r>
              <w:rPr>
                <w:rFonts w:hint="eastAsia"/>
                <w:sz w:val="24"/>
              </w:rPr>
              <w:t>区域的</w:t>
            </w:r>
            <w:r>
              <w:rPr>
                <w:rFonts w:hint="eastAsia"/>
                <w:sz w:val="24"/>
                <w:lang w:val="zh-CN"/>
              </w:rPr>
              <w:t>面积（</w:t>
            </w:r>
            <w:r>
              <w:rPr>
                <w:sz w:val="24"/>
              </w:rPr>
              <w:t>NDVI</w:t>
            </w:r>
            <w:r>
              <w:rPr>
                <w:rFonts w:hint="eastAsia"/>
                <w:sz w:val="24"/>
              </w:rPr>
              <w:t>≥</w:t>
            </w:r>
            <w:r>
              <w:rPr>
                <w:rFonts w:hint="eastAsia" w:ascii="宋体" w:hAnsi="宋体" w:cs="宋体"/>
                <w:sz w:val="24"/>
              </w:rPr>
              <w:t>0</w:t>
            </w:r>
            <w:r>
              <w:rPr>
                <w:rFonts w:ascii="宋体" w:hAnsi="宋体" w:cs="宋体"/>
                <w:sz w:val="24"/>
              </w:rPr>
              <w:t>.5</w:t>
            </w:r>
            <w:r>
              <w:rPr>
                <w:rFonts w:hint="eastAsia"/>
                <w:sz w:val="24"/>
                <w:lang w:val="zh-CN"/>
              </w:rPr>
              <w:t>）</w:t>
            </w:r>
          </w:p>
        </w:tc>
        <w:tc>
          <w:tcPr>
            <w:tcW w:w="2060" w:type="dxa"/>
            <w:vAlign w:val="center"/>
          </w:tcPr>
          <w:p w14:paraId="782F3240">
            <w:pPr>
              <w:snapToGrid w:val="0"/>
              <w:spacing w:line="312" w:lineRule="auto"/>
              <w:rPr>
                <w:sz w:val="24"/>
                <w:lang w:val="zh-CN"/>
              </w:rPr>
            </w:pPr>
            <w:r>
              <w:rPr>
                <w:rFonts w:hint="eastAsia"/>
                <w:sz w:val="24"/>
                <w:lang w:val="zh-CN"/>
              </w:rPr>
              <w:t>m</w:t>
            </w:r>
            <w:r>
              <w:rPr>
                <w:sz w:val="24"/>
                <w:vertAlign w:val="superscript"/>
                <w:lang w:val="zh-CN"/>
              </w:rPr>
              <w:t>2</w:t>
            </w:r>
          </w:p>
        </w:tc>
      </w:tr>
      <w:tr w14:paraId="392677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1335" w:type="dxa"/>
            <w:vMerge w:val="continue"/>
            <w:vAlign w:val="center"/>
          </w:tcPr>
          <w:p w14:paraId="50EC3D73">
            <w:pPr>
              <w:snapToGrid w:val="0"/>
              <w:spacing w:line="312" w:lineRule="auto"/>
              <w:rPr>
                <w:sz w:val="24"/>
                <w:lang w:val="zh-CN"/>
              </w:rPr>
            </w:pPr>
          </w:p>
        </w:tc>
        <w:tc>
          <w:tcPr>
            <w:tcW w:w="5029" w:type="dxa"/>
            <w:gridSpan w:val="2"/>
            <w:vAlign w:val="center"/>
          </w:tcPr>
          <w:p w14:paraId="11FE4E94">
            <w:pPr>
              <w:snapToGrid w:val="0"/>
              <w:spacing w:line="312" w:lineRule="auto"/>
              <w:rPr>
                <w:sz w:val="24"/>
                <w:lang w:val="zh-CN"/>
              </w:rPr>
            </w:pPr>
            <w:r>
              <w:rPr>
                <w:rFonts w:hint="eastAsia"/>
                <w:sz w:val="24"/>
                <w:lang w:val="zh-CN"/>
              </w:rPr>
              <w:t>低</w:t>
            </w:r>
            <w:r>
              <w:rPr>
                <w:sz w:val="24"/>
                <w:lang w:val="zh-CN"/>
              </w:rPr>
              <w:t>NDVI</w:t>
            </w:r>
            <w:r>
              <w:rPr>
                <w:rFonts w:hint="eastAsia"/>
                <w:sz w:val="24"/>
              </w:rPr>
              <w:t>区域的</w:t>
            </w:r>
            <w:r>
              <w:rPr>
                <w:rFonts w:hint="eastAsia"/>
                <w:sz w:val="24"/>
                <w:lang w:val="zh-CN"/>
              </w:rPr>
              <w:t>面积（</w:t>
            </w:r>
            <w:r>
              <w:rPr>
                <w:sz w:val="24"/>
              </w:rPr>
              <w:t>NDVI</w:t>
            </w:r>
            <w:r>
              <w:rPr>
                <w:rFonts w:hint="eastAsia"/>
                <w:sz w:val="24"/>
              </w:rPr>
              <w:t>＜0</w:t>
            </w:r>
            <w:r>
              <w:rPr>
                <w:sz w:val="24"/>
              </w:rPr>
              <w:t>.5</w:t>
            </w:r>
            <w:r>
              <w:rPr>
                <w:rFonts w:hint="eastAsia"/>
                <w:sz w:val="24"/>
                <w:lang w:val="zh-CN"/>
              </w:rPr>
              <w:t>）</w:t>
            </w:r>
          </w:p>
        </w:tc>
        <w:tc>
          <w:tcPr>
            <w:tcW w:w="2060" w:type="dxa"/>
            <w:vAlign w:val="center"/>
          </w:tcPr>
          <w:p w14:paraId="64194986">
            <w:pPr>
              <w:snapToGrid w:val="0"/>
              <w:spacing w:line="312" w:lineRule="auto"/>
              <w:rPr>
                <w:sz w:val="24"/>
                <w:lang w:val="zh-CN"/>
              </w:rPr>
            </w:pPr>
            <w:r>
              <w:rPr>
                <w:rFonts w:hint="eastAsia"/>
                <w:sz w:val="24"/>
                <w:lang w:val="zh-CN"/>
              </w:rPr>
              <w:t>m</w:t>
            </w:r>
            <w:r>
              <w:rPr>
                <w:sz w:val="24"/>
                <w:vertAlign w:val="superscript"/>
                <w:lang w:val="zh-CN"/>
              </w:rPr>
              <w:t>2</w:t>
            </w:r>
          </w:p>
        </w:tc>
      </w:tr>
      <w:tr w14:paraId="66E5E2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1335" w:type="dxa"/>
            <w:vMerge w:val="continue"/>
            <w:vAlign w:val="center"/>
          </w:tcPr>
          <w:p w14:paraId="2BD63782">
            <w:pPr>
              <w:snapToGrid w:val="0"/>
              <w:spacing w:line="312" w:lineRule="auto"/>
              <w:rPr>
                <w:sz w:val="24"/>
                <w:lang w:val="zh-CN"/>
              </w:rPr>
            </w:pPr>
          </w:p>
        </w:tc>
        <w:tc>
          <w:tcPr>
            <w:tcW w:w="5029" w:type="dxa"/>
            <w:gridSpan w:val="2"/>
            <w:vAlign w:val="center"/>
          </w:tcPr>
          <w:p w14:paraId="7B4E6430">
            <w:pPr>
              <w:snapToGrid w:val="0"/>
              <w:spacing w:line="312" w:lineRule="auto"/>
              <w:rPr>
                <w:sz w:val="24"/>
                <w:lang w:val="zh-CN"/>
              </w:rPr>
            </w:pPr>
            <w:r>
              <w:rPr>
                <w:rFonts w:hint="eastAsia"/>
                <w:sz w:val="24"/>
                <w:lang w:val="zh-CN"/>
              </w:rPr>
              <w:t>立体绿化面积</w:t>
            </w:r>
          </w:p>
        </w:tc>
        <w:tc>
          <w:tcPr>
            <w:tcW w:w="2060" w:type="dxa"/>
            <w:vAlign w:val="center"/>
          </w:tcPr>
          <w:p w14:paraId="3187DFDA">
            <w:pPr>
              <w:snapToGrid w:val="0"/>
              <w:spacing w:line="312" w:lineRule="auto"/>
              <w:rPr>
                <w:sz w:val="24"/>
                <w:lang w:val="zh-CN"/>
              </w:rPr>
            </w:pPr>
            <w:r>
              <w:rPr>
                <w:bCs/>
                <w:sz w:val="24"/>
              </w:rPr>
              <w:t>m</w:t>
            </w:r>
            <w:r>
              <w:rPr>
                <w:bCs/>
                <w:sz w:val="24"/>
                <w:vertAlign w:val="superscript"/>
              </w:rPr>
              <w:t>2</w:t>
            </w:r>
          </w:p>
        </w:tc>
      </w:tr>
      <w:tr w14:paraId="59CE26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1335" w:type="dxa"/>
            <w:vMerge w:val="continue"/>
            <w:vAlign w:val="center"/>
          </w:tcPr>
          <w:p w14:paraId="5EE44306">
            <w:pPr>
              <w:snapToGrid w:val="0"/>
              <w:spacing w:line="312" w:lineRule="auto"/>
              <w:rPr>
                <w:sz w:val="24"/>
                <w:lang w:val="zh-CN"/>
              </w:rPr>
            </w:pPr>
          </w:p>
        </w:tc>
        <w:tc>
          <w:tcPr>
            <w:tcW w:w="1283" w:type="dxa"/>
            <w:vMerge w:val="restart"/>
            <w:vAlign w:val="center"/>
          </w:tcPr>
          <w:p w14:paraId="75EC2E9E">
            <w:pPr>
              <w:snapToGrid w:val="0"/>
              <w:spacing w:line="312" w:lineRule="auto"/>
              <w:rPr>
                <w:sz w:val="24"/>
                <w:lang w:val="zh-CN"/>
              </w:rPr>
            </w:pPr>
            <w:r>
              <w:rPr>
                <w:rFonts w:hint="eastAsia"/>
                <w:sz w:val="24"/>
                <w:lang w:val="zh-CN"/>
              </w:rPr>
              <w:t>乔木</w:t>
            </w:r>
          </w:p>
        </w:tc>
        <w:tc>
          <w:tcPr>
            <w:tcW w:w="3746" w:type="dxa"/>
            <w:vAlign w:val="center"/>
          </w:tcPr>
          <w:p w14:paraId="00C563C1">
            <w:pPr>
              <w:snapToGrid w:val="0"/>
              <w:spacing w:line="312" w:lineRule="auto"/>
              <w:rPr>
                <w:sz w:val="24"/>
                <w:lang w:val="zh-CN"/>
              </w:rPr>
            </w:pPr>
            <w:r>
              <w:rPr>
                <w:rFonts w:hint="eastAsia"/>
                <w:bCs/>
                <w:sz w:val="24"/>
              </w:rPr>
              <w:t>乔木种数及对应株数</w:t>
            </w:r>
          </w:p>
        </w:tc>
        <w:tc>
          <w:tcPr>
            <w:tcW w:w="2060" w:type="dxa"/>
            <w:vAlign w:val="center"/>
          </w:tcPr>
          <w:p w14:paraId="2F909C6F">
            <w:pPr>
              <w:snapToGrid w:val="0"/>
              <w:spacing w:line="312" w:lineRule="auto"/>
              <w:rPr>
                <w:sz w:val="24"/>
                <w:lang w:val="zh-CN"/>
              </w:rPr>
            </w:pPr>
            <w:r>
              <w:rPr>
                <w:sz w:val="24"/>
              </w:rPr>
              <w:t>\</w:t>
            </w:r>
          </w:p>
        </w:tc>
      </w:tr>
      <w:tr w14:paraId="172C24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1335" w:type="dxa"/>
            <w:vMerge w:val="continue"/>
            <w:vAlign w:val="center"/>
          </w:tcPr>
          <w:p w14:paraId="54A59368">
            <w:pPr>
              <w:snapToGrid w:val="0"/>
              <w:spacing w:line="312" w:lineRule="auto"/>
              <w:rPr>
                <w:sz w:val="24"/>
                <w:lang w:val="zh-CN"/>
              </w:rPr>
            </w:pPr>
          </w:p>
        </w:tc>
        <w:tc>
          <w:tcPr>
            <w:tcW w:w="1283" w:type="dxa"/>
            <w:vMerge w:val="continue"/>
            <w:vAlign w:val="center"/>
          </w:tcPr>
          <w:p w14:paraId="6F14D08C">
            <w:pPr>
              <w:snapToGrid w:val="0"/>
              <w:spacing w:line="312" w:lineRule="auto"/>
              <w:rPr>
                <w:sz w:val="24"/>
                <w:lang w:val="zh-CN"/>
              </w:rPr>
            </w:pPr>
          </w:p>
        </w:tc>
        <w:tc>
          <w:tcPr>
            <w:tcW w:w="3746" w:type="dxa"/>
            <w:vAlign w:val="center"/>
          </w:tcPr>
          <w:p w14:paraId="0C918DEA">
            <w:pPr>
              <w:snapToGrid w:val="0"/>
              <w:spacing w:line="312" w:lineRule="auto"/>
              <w:rPr>
                <w:sz w:val="24"/>
              </w:rPr>
            </w:pPr>
            <w:r>
              <w:rPr>
                <w:rFonts w:hint="eastAsia"/>
                <w:bCs/>
                <w:sz w:val="24"/>
              </w:rPr>
              <w:t>乔木胸径范围</w:t>
            </w:r>
          </w:p>
        </w:tc>
        <w:tc>
          <w:tcPr>
            <w:tcW w:w="2060" w:type="dxa"/>
            <w:vAlign w:val="center"/>
          </w:tcPr>
          <w:p w14:paraId="46FDF1A5">
            <w:pPr>
              <w:snapToGrid w:val="0"/>
              <w:spacing w:line="312" w:lineRule="auto"/>
              <w:rPr>
                <w:sz w:val="24"/>
                <w:lang w:val="zh-CN"/>
              </w:rPr>
            </w:pPr>
            <w:r>
              <w:rPr>
                <w:sz w:val="24"/>
              </w:rPr>
              <w:t>cm</w:t>
            </w:r>
          </w:p>
        </w:tc>
      </w:tr>
      <w:tr w14:paraId="0332F0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1335" w:type="dxa"/>
            <w:vMerge w:val="continue"/>
            <w:vAlign w:val="center"/>
          </w:tcPr>
          <w:p w14:paraId="1373C483">
            <w:pPr>
              <w:snapToGrid w:val="0"/>
              <w:spacing w:line="312" w:lineRule="auto"/>
              <w:rPr>
                <w:sz w:val="24"/>
                <w:lang w:val="zh-CN"/>
              </w:rPr>
            </w:pPr>
          </w:p>
        </w:tc>
        <w:tc>
          <w:tcPr>
            <w:tcW w:w="1283" w:type="dxa"/>
            <w:vMerge w:val="continue"/>
            <w:vAlign w:val="center"/>
          </w:tcPr>
          <w:p w14:paraId="5B468EFC">
            <w:pPr>
              <w:snapToGrid w:val="0"/>
              <w:spacing w:line="312" w:lineRule="auto"/>
              <w:rPr>
                <w:sz w:val="24"/>
                <w:lang w:val="zh-CN"/>
              </w:rPr>
            </w:pPr>
          </w:p>
        </w:tc>
        <w:tc>
          <w:tcPr>
            <w:tcW w:w="3746" w:type="dxa"/>
            <w:vAlign w:val="center"/>
          </w:tcPr>
          <w:p w14:paraId="3CE838A2">
            <w:pPr>
              <w:snapToGrid w:val="0"/>
              <w:spacing w:line="312" w:lineRule="auto"/>
              <w:rPr>
                <w:sz w:val="24"/>
              </w:rPr>
            </w:pPr>
            <w:r>
              <w:rPr>
                <w:rFonts w:hint="eastAsia"/>
                <w:bCs/>
                <w:sz w:val="24"/>
              </w:rPr>
              <w:t>乔木高度范围</w:t>
            </w:r>
          </w:p>
        </w:tc>
        <w:tc>
          <w:tcPr>
            <w:tcW w:w="2060" w:type="dxa"/>
            <w:vAlign w:val="center"/>
          </w:tcPr>
          <w:p w14:paraId="33D16596">
            <w:pPr>
              <w:snapToGrid w:val="0"/>
              <w:spacing w:line="312" w:lineRule="auto"/>
              <w:rPr>
                <w:sz w:val="24"/>
                <w:lang w:val="zh-CN"/>
              </w:rPr>
            </w:pPr>
            <w:r>
              <w:rPr>
                <w:sz w:val="24"/>
              </w:rPr>
              <w:t>m</w:t>
            </w:r>
          </w:p>
        </w:tc>
      </w:tr>
      <w:tr w14:paraId="606AB7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1335" w:type="dxa"/>
            <w:vMerge w:val="continue"/>
            <w:vAlign w:val="center"/>
          </w:tcPr>
          <w:p w14:paraId="0E0B0BAD">
            <w:pPr>
              <w:snapToGrid w:val="0"/>
              <w:spacing w:line="312" w:lineRule="auto"/>
              <w:rPr>
                <w:sz w:val="24"/>
                <w:lang w:val="zh-CN"/>
              </w:rPr>
            </w:pPr>
          </w:p>
        </w:tc>
        <w:tc>
          <w:tcPr>
            <w:tcW w:w="1283" w:type="dxa"/>
            <w:vMerge w:val="restart"/>
            <w:vAlign w:val="center"/>
          </w:tcPr>
          <w:p w14:paraId="58CBB3C7">
            <w:pPr>
              <w:snapToGrid w:val="0"/>
              <w:spacing w:line="312" w:lineRule="auto"/>
              <w:rPr>
                <w:sz w:val="24"/>
                <w:lang w:val="zh-CN"/>
              </w:rPr>
            </w:pPr>
            <w:r>
              <w:rPr>
                <w:rFonts w:hint="eastAsia"/>
                <w:sz w:val="24"/>
                <w:lang w:val="zh-CN"/>
              </w:rPr>
              <w:t>灌木</w:t>
            </w:r>
          </w:p>
        </w:tc>
        <w:tc>
          <w:tcPr>
            <w:tcW w:w="3746" w:type="dxa"/>
            <w:vAlign w:val="center"/>
          </w:tcPr>
          <w:p w14:paraId="19BCC185">
            <w:pPr>
              <w:snapToGrid w:val="0"/>
              <w:spacing w:line="312" w:lineRule="auto"/>
              <w:rPr>
                <w:sz w:val="24"/>
                <w:lang w:val="zh-CN"/>
              </w:rPr>
            </w:pPr>
            <w:r>
              <w:rPr>
                <w:rFonts w:hint="eastAsia"/>
                <w:bCs/>
                <w:sz w:val="24"/>
              </w:rPr>
              <w:t>灌木种数及对应株数</w:t>
            </w:r>
          </w:p>
        </w:tc>
        <w:tc>
          <w:tcPr>
            <w:tcW w:w="2060" w:type="dxa"/>
            <w:vAlign w:val="center"/>
          </w:tcPr>
          <w:p w14:paraId="7958D831">
            <w:pPr>
              <w:snapToGrid w:val="0"/>
              <w:spacing w:line="312" w:lineRule="auto"/>
              <w:rPr>
                <w:sz w:val="24"/>
                <w:lang w:val="zh-CN"/>
              </w:rPr>
            </w:pPr>
            <w:r>
              <w:rPr>
                <w:sz w:val="24"/>
              </w:rPr>
              <w:t>\</w:t>
            </w:r>
          </w:p>
        </w:tc>
      </w:tr>
      <w:tr w14:paraId="0714E5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1335" w:type="dxa"/>
            <w:vMerge w:val="continue"/>
            <w:vAlign w:val="center"/>
          </w:tcPr>
          <w:p w14:paraId="79117244">
            <w:pPr>
              <w:snapToGrid w:val="0"/>
              <w:spacing w:line="312" w:lineRule="auto"/>
              <w:rPr>
                <w:sz w:val="24"/>
                <w:lang w:val="zh-CN"/>
              </w:rPr>
            </w:pPr>
          </w:p>
        </w:tc>
        <w:tc>
          <w:tcPr>
            <w:tcW w:w="1283" w:type="dxa"/>
            <w:vMerge w:val="continue"/>
            <w:vAlign w:val="center"/>
          </w:tcPr>
          <w:p w14:paraId="2D59A22D">
            <w:pPr>
              <w:snapToGrid w:val="0"/>
              <w:spacing w:line="312" w:lineRule="auto"/>
              <w:rPr>
                <w:sz w:val="24"/>
                <w:lang w:val="zh-CN"/>
              </w:rPr>
            </w:pPr>
          </w:p>
        </w:tc>
        <w:tc>
          <w:tcPr>
            <w:tcW w:w="3746" w:type="dxa"/>
            <w:vAlign w:val="center"/>
          </w:tcPr>
          <w:p w14:paraId="62AF5B68">
            <w:pPr>
              <w:snapToGrid w:val="0"/>
              <w:spacing w:line="312" w:lineRule="auto"/>
              <w:rPr>
                <w:sz w:val="24"/>
              </w:rPr>
            </w:pPr>
            <w:r>
              <w:rPr>
                <w:rFonts w:hint="eastAsia"/>
                <w:bCs/>
                <w:sz w:val="24"/>
              </w:rPr>
              <w:t>灌木高度范围</w:t>
            </w:r>
          </w:p>
        </w:tc>
        <w:tc>
          <w:tcPr>
            <w:tcW w:w="2060" w:type="dxa"/>
            <w:vAlign w:val="center"/>
          </w:tcPr>
          <w:p w14:paraId="7C52946C">
            <w:pPr>
              <w:snapToGrid w:val="0"/>
              <w:spacing w:line="312" w:lineRule="auto"/>
              <w:rPr>
                <w:sz w:val="24"/>
                <w:lang w:val="zh-CN"/>
              </w:rPr>
            </w:pPr>
            <w:r>
              <w:rPr>
                <w:sz w:val="24"/>
              </w:rPr>
              <w:t>m</w:t>
            </w:r>
          </w:p>
        </w:tc>
      </w:tr>
      <w:tr w14:paraId="0728F9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1335" w:type="dxa"/>
            <w:vMerge w:val="continue"/>
            <w:vAlign w:val="center"/>
          </w:tcPr>
          <w:p w14:paraId="637F74FA">
            <w:pPr>
              <w:snapToGrid w:val="0"/>
              <w:spacing w:line="312" w:lineRule="auto"/>
              <w:rPr>
                <w:sz w:val="24"/>
                <w:lang w:val="zh-CN"/>
              </w:rPr>
            </w:pPr>
          </w:p>
        </w:tc>
        <w:tc>
          <w:tcPr>
            <w:tcW w:w="1283" w:type="dxa"/>
            <w:vAlign w:val="center"/>
          </w:tcPr>
          <w:p w14:paraId="2BB785BF">
            <w:pPr>
              <w:snapToGrid w:val="0"/>
              <w:spacing w:line="312" w:lineRule="auto"/>
              <w:rPr>
                <w:sz w:val="24"/>
                <w:lang w:val="zh-CN"/>
              </w:rPr>
            </w:pPr>
            <w:r>
              <w:rPr>
                <w:rFonts w:hint="eastAsia"/>
                <w:sz w:val="24"/>
                <w:lang w:val="zh-CN"/>
              </w:rPr>
              <w:t>草本</w:t>
            </w:r>
          </w:p>
        </w:tc>
        <w:tc>
          <w:tcPr>
            <w:tcW w:w="3746" w:type="dxa"/>
            <w:vAlign w:val="center"/>
          </w:tcPr>
          <w:p w14:paraId="3A92AB95">
            <w:pPr>
              <w:snapToGrid w:val="0"/>
              <w:spacing w:line="312" w:lineRule="auto"/>
              <w:rPr>
                <w:sz w:val="24"/>
                <w:lang w:val="zh-CN"/>
              </w:rPr>
            </w:pPr>
            <w:r>
              <w:rPr>
                <w:rFonts w:hint="eastAsia"/>
                <w:bCs/>
                <w:sz w:val="24"/>
              </w:rPr>
              <w:t>草本种数及对应面积</w:t>
            </w:r>
          </w:p>
        </w:tc>
        <w:tc>
          <w:tcPr>
            <w:tcW w:w="2060" w:type="dxa"/>
            <w:vAlign w:val="center"/>
          </w:tcPr>
          <w:p w14:paraId="27CD39A3">
            <w:pPr>
              <w:snapToGrid w:val="0"/>
              <w:spacing w:line="312" w:lineRule="auto"/>
              <w:rPr>
                <w:sz w:val="24"/>
                <w:lang w:val="zh-CN"/>
              </w:rPr>
            </w:pPr>
            <w:r>
              <w:rPr>
                <w:sz w:val="24"/>
              </w:rPr>
              <w:t>\</w:t>
            </w:r>
          </w:p>
        </w:tc>
      </w:tr>
      <w:tr w14:paraId="6AC17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1335" w:type="dxa"/>
            <w:vMerge w:val="continue"/>
            <w:vAlign w:val="center"/>
          </w:tcPr>
          <w:p w14:paraId="1D24CA86">
            <w:pPr>
              <w:snapToGrid w:val="0"/>
              <w:spacing w:line="312" w:lineRule="auto"/>
              <w:rPr>
                <w:sz w:val="24"/>
                <w:lang w:val="zh-CN"/>
              </w:rPr>
            </w:pPr>
          </w:p>
        </w:tc>
        <w:tc>
          <w:tcPr>
            <w:tcW w:w="1283" w:type="dxa"/>
            <w:vAlign w:val="center"/>
          </w:tcPr>
          <w:p w14:paraId="277A2E81">
            <w:pPr>
              <w:snapToGrid w:val="0"/>
              <w:spacing w:line="312" w:lineRule="auto"/>
              <w:rPr>
                <w:sz w:val="24"/>
                <w:lang w:val="zh-CN"/>
              </w:rPr>
            </w:pPr>
            <w:r>
              <w:rPr>
                <w:rFonts w:hint="eastAsia"/>
                <w:sz w:val="24"/>
                <w:lang w:val="zh-CN"/>
              </w:rPr>
              <w:t>致敏花粉</w:t>
            </w:r>
          </w:p>
        </w:tc>
        <w:tc>
          <w:tcPr>
            <w:tcW w:w="3746" w:type="dxa"/>
            <w:vAlign w:val="center"/>
          </w:tcPr>
          <w:p w14:paraId="1556CAB5">
            <w:pPr>
              <w:snapToGrid w:val="0"/>
              <w:spacing w:line="312" w:lineRule="auto"/>
              <w:rPr>
                <w:bCs/>
                <w:sz w:val="24"/>
              </w:rPr>
            </w:pPr>
            <w:r>
              <w:rPr>
                <w:rFonts w:hint="eastAsia" w:ascii="宋体" w:hAnsi="宋体"/>
                <w:bCs/>
                <w:sz w:val="24"/>
              </w:rPr>
              <w:t>高致敏树种种类及对应株数</w:t>
            </w:r>
          </w:p>
        </w:tc>
        <w:tc>
          <w:tcPr>
            <w:tcW w:w="2060" w:type="dxa"/>
            <w:vAlign w:val="center"/>
          </w:tcPr>
          <w:p w14:paraId="3DAB2BF0">
            <w:pPr>
              <w:snapToGrid w:val="0"/>
              <w:spacing w:line="312" w:lineRule="auto"/>
              <w:rPr>
                <w:sz w:val="24"/>
              </w:rPr>
            </w:pPr>
            <w:r>
              <w:rPr>
                <w:sz w:val="24"/>
              </w:rPr>
              <w:t>\</w:t>
            </w:r>
          </w:p>
        </w:tc>
      </w:tr>
      <w:tr w14:paraId="4F919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1335" w:type="dxa"/>
            <w:vMerge w:val="continue"/>
            <w:vAlign w:val="center"/>
          </w:tcPr>
          <w:p w14:paraId="376CF95A">
            <w:pPr>
              <w:snapToGrid w:val="0"/>
              <w:spacing w:line="312" w:lineRule="auto"/>
              <w:rPr>
                <w:sz w:val="24"/>
                <w:lang w:val="zh-CN"/>
              </w:rPr>
            </w:pPr>
          </w:p>
        </w:tc>
        <w:tc>
          <w:tcPr>
            <w:tcW w:w="1283" w:type="dxa"/>
            <w:vMerge w:val="restart"/>
            <w:vAlign w:val="center"/>
          </w:tcPr>
          <w:p w14:paraId="6AA6B3B4">
            <w:pPr>
              <w:snapToGrid w:val="0"/>
              <w:spacing w:line="312" w:lineRule="auto"/>
              <w:rPr>
                <w:sz w:val="24"/>
                <w:lang w:val="zh-CN"/>
              </w:rPr>
            </w:pPr>
            <w:r>
              <w:rPr>
                <w:rFonts w:hint="eastAsia"/>
                <w:sz w:val="24"/>
                <w:lang w:val="zh-CN"/>
              </w:rPr>
              <w:t>支持生物多样性</w:t>
            </w:r>
          </w:p>
        </w:tc>
        <w:tc>
          <w:tcPr>
            <w:tcW w:w="3746" w:type="dxa"/>
            <w:vAlign w:val="center"/>
          </w:tcPr>
          <w:p w14:paraId="18490192">
            <w:pPr>
              <w:snapToGrid w:val="0"/>
              <w:spacing w:line="312" w:lineRule="auto"/>
              <w:rPr>
                <w:rFonts w:ascii="宋体" w:hAnsi="宋体"/>
                <w:bCs/>
                <w:sz w:val="24"/>
              </w:rPr>
            </w:pPr>
            <w:r>
              <w:rPr>
                <w:rFonts w:hint="eastAsia"/>
                <w:sz w:val="24"/>
                <w:lang w:val="zh-CN"/>
              </w:rPr>
              <w:t>鸟巢数量、位置、分布、对应树种</w:t>
            </w:r>
          </w:p>
        </w:tc>
        <w:tc>
          <w:tcPr>
            <w:tcW w:w="2060" w:type="dxa"/>
            <w:vAlign w:val="center"/>
          </w:tcPr>
          <w:p w14:paraId="43CDF736">
            <w:pPr>
              <w:snapToGrid w:val="0"/>
              <w:spacing w:line="312" w:lineRule="auto"/>
              <w:rPr>
                <w:sz w:val="24"/>
              </w:rPr>
            </w:pPr>
            <w:r>
              <w:rPr>
                <w:sz w:val="24"/>
              </w:rPr>
              <w:t>\</w:t>
            </w:r>
          </w:p>
        </w:tc>
      </w:tr>
      <w:tr w14:paraId="736273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1335" w:type="dxa"/>
            <w:vMerge w:val="continue"/>
            <w:vAlign w:val="center"/>
          </w:tcPr>
          <w:p w14:paraId="18BDF3BC">
            <w:pPr>
              <w:snapToGrid w:val="0"/>
              <w:spacing w:line="312" w:lineRule="auto"/>
              <w:rPr>
                <w:sz w:val="24"/>
                <w:lang w:val="zh-CN"/>
              </w:rPr>
            </w:pPr>
          </w:p>
        </w:tc>
        <w:tc>
          <w:tcPr>
            <w:tcW w:w="1283" w:type="dxa"/>
            <w:vMerge w:val="continue"/>
            <w:vAlign w:val="center"/>
          </w:tcPr>
          <w:p w14:paraId="4A3C408C">
            <w:pPr>
              <w:snapToGrid w:val="0"/>
              <w:spacing w:line="312" w:lineRule="auto"/>
              <w:rPr>
                <w:sz w:val="24"/>
                <w:lang w:val="zh-CN"/>
              </w:rPr>
            </w:pPr>
          </w:p>
        </w:tc>
        <w:tc>
          <w:tcPr>
            <w:tcW w:w="3746" w:type="dxa"/>
            <w:vAlign w:val="center"/>
          </w:tcPr>
          <w:p w14:paraId="04851F1E">
            <w:pPr>
              <w:snapToGrid w:val="0"/>
              <w:spacing w:line="312" w:lineRule="auto"/>
              <w:rPr>
                <w:rFonts w:ascii="宋体" w:hAnsi="宋体"/>
                <w:bCs/>
                <w:sz w:val="24"/>
              </w:rPr>
            </w:pPr>
            <w:r>
              <w:rPr>
                <w:rFonts w:hint="eastAsia"/>
                <w:sz w:val="24"/>
                <w:lang w:val="zh-CN"/>
              </w:rPr>
              <w:t>食源和蜜源植物种数及对应株数</w:t>
            </w:r>
          </w:p>
        </w:tc>
        <w:tc>
          <w:tcPr>
            <w:tcW w:w="2060" w:type="dxa"/>
            <w:vAlign w:val="center"/>
          </w:tcPr>
          <w:p w14:paraId="020776BA">
            <w:pPr>
              <w:snapToGrid w:val="0"/>
              <w:spacing w:line="312" w:lineRule="auto"/>
              <w:rPr>
                <w:sz w:val="24"/>
              </w:rPr>
            </w:pPr>
            <w:r>
              <w:rPr>
                <w:sz w:val="24"/>
              </w:rPr>
              <w:t>\</w:t>
            </w:r>
          </w:p>
        </w:tc>
      </w:tr>
      <w:tr w14:paraId="03D092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1335" w:type="dxa"/>
            <w:vMerge w:val="restart"/>
            <w:vAlign w:val="center"/>
          </w:tcPr>
          <w:p w14:paraId="7356BD85">
            <w:pPr>
              <w:snapToGrid w:val="0"/>
              <w:spacing w:line="312" w:lineRule="auto"/>
              <w:rPr>
                <w:sz w:val="24"/>
                <w:lang w:val="zh-CN"/>
              </w:rPr>
            </w:pPr>
            <w:r>
              <w:rPr>
                <w:rFonts w:hint="eastAsia"/>
                <w:sz w:val="24"/>
                <w:lang w:val="zh-CN"/>
              </w:rPr>
              <w:t>土壤</w:t>
            </w:r>
          </w:p>
        </w:tc>
        <w:tc>
          <w:tcPr>
            <w:tcW w:w="5029" w:type="dxa"/>
            <w:gridSpan w:val="2"/>
            <w:vAlign w:val="center"/>
          </w:tcPr>
          <w:p w14:paraId="61B18B61">
            <w:pPr>
              <w:snapToGrid w:val="0"/>
              <w:spacing w:line="312" w:lineRule="auto"/>
              <w:rPr>
                <w:sz w:val="24"/>
                <w:lang w:val="zh-CN"/>
              </w:rPr>
            </w:pPr>
            <w:r>
              <w:rPr>
                <w:rFonts w:ascii="宋体" w:hAnsi="宋体"/>
                <w:sz w:val="24"/>
              </w:rPr>
              <w:t>入渗率</w:t>
            </w:r>
          </w:p>
        </w:tc>
        <w:tc>
          <w:tcPr>
            <w:tcW w:w="2060" w:type="dxa"/>
            <w:vAlign w:val="center"/>
          </w:tcPr>
          <w:p w14:paraId="733CF003">
            <w:pPr>
              <w:snapToGrid w:val="0"/>
              <w:spacing w:line="312" w:lineRule="auto"/>
              <w:rPr>
                <w:sz w:val="24"/>
                <w:lang w:val="zh-CN"/>
              </w:rPr>
            </w:pPr>
            <w:r>
              <w:rPr>
                <w:rFonts w:hint="eastAsia" w:ascii="宋体" w:hAnsi="宋体"/>
                <w:sz w:val="24"/>
              </w:rPr>
              <w:t>mm/h</w:t>
            </w:r>
          </w:p>
        </w:tc>
      </w:tr>
      <w:tr w14:paraId="1AAA4D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1335" w:type="dxa"/>
            <w:vMerge w:val="continue"/>
            <w:vAlign w:val="center"/>
          </w:tcPr>
          <w:p w14:paraId="739FC23D">
            <w:pPr>
              <w:snapToGrid w:val="0"/>
              <w:spacing w:line="312" w:lineRule="auto"/>
              <w:rPr>
                <w:sz w:val="24"/>
                <w:lang w:val="zh-CN"/>
              </w:rPr>
            </w:pPr>
          </w:p>
        </w:tc>
        <w:tc>
          <w:tcPr>
            <w:tcW w:w="5029" w:type="dxa"/>
            <w:gridSpan w:val="2"/>
            <w:vAlign w:val="center"/>
          </w:tcPr>
          <w:p w14:paraId="52EB8BB4">
            <w:pPr>
              <w:snapToGrid w:val="0"/>
              <w:spacing w:line="312" w:lineRule="auto"/>
              <w:rPr>
                <w:sz w:val="24"/>
                <w:lang w:val="zh-CN"/>
              </w:rPr>
            </w:pPr>
            <w:r>
              <w:rPr>
                <w:rFonts w:hint="eastAsia" w:ascii="宋体" w:hAnsi="宋体"/>
                <w:sz w:val="24"/>
              </w:rPr>
              <w:t>PH</w:t>
            </w:r>
            <w:r>
              <w:rPr>
                <w:rFonts w:ascii="宋体" w:hAnsi="宋体"/>
                <w:sz w:val="24"/>
              </w:rPr>
              <w:t>值</w:t>
            </w:r>
          </w:p>
        </w:tc>
        <w:tc>
          <w:tcPr>
            <w:tcW w:w="2060" w:type="dxa"/>
            <w:vAlign w:val="center"/>
          </w:tcPr>
          <w:p w14:paraId="315B67CF">
            <w:pPr>
              <w:snapToGrid w:val="0"/>
              <w:spacing w:line="312" w:lineRule="auto"/>
              <w:rPr>
                <w:sz w:val="24"/>
                <w:lang w:val="zh-CN"/>
              </w:rPr>
            </w:pPr>
            <w:r>
              <w:rPr>
                <w:sz w:val="24"/>
              </w:rPr>
              <w:t>\</w:t>
            </w:r>
          </w:p>
        </w:tc>
      </w:tr>
      <w:tr w14:paraId="716FAE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1335" w:type="dxa"/>
            <w:vMerge w:val="continue"/>
            <w:vAlign w:val="center"/>
          </w:tcPr>
          <w:p w14:paraId="1279CCB6">
            <w:pPr>
              <w:snapToGrid w:val="0"/>
              <w:spacing w:line="312" w:lineRule="auto"/>
              <w:rPr>
                <w:sz w:val="24"/>
                <w:lang w:val="zh-CN"/>
              </w:rPr>
            </w:pPr>
          </w:p>
        </w:tc>
        <w:tc>
          <w:tcPr>
            <w:tcW w:w="5029" w:type="dxa"/>
            <w:gridSpan w:val="2"/>
            <w:vAlign w:val="center"/>
          </w:tcPr>
          <w:p w14:paraId="65AF2926">
            <w:pPr>
              <w:snapToGrid w:val="0"/>
              <w:spacing w:line="312" w:lineRule="auto"/>
              <w:rPr>
                <w:sz w:val="24"/>
              </w:rPr>
            </w:pPr>
            <w:r>
              <w:rPr>
                <w:rFonts w:ascii="宋体" w:hAnsi="宋体"/>
                <w:sz w:val="24"/>
              </w:rPr>
              <w:t>有机质</w:t>
            </w:r>
            <w:r>
              <w:rPr>
                <w:rFonts w:hint="eastAsia" w:ascii="宋体" w:hAnsi="宋体"/>
                <w:sz w:val="24"/>
              </w:rPr>
              <w:t>含量</w:t>
            </w:r>
          </w:p>
        </w:tc>
        <w:tc>
          <w:tcPr>
            <w:tcW w:w="2060" w:type="dxa"/>
            <w:vAlign w:val="center"/>
          </w:tcPr>
          <w:p w14:paraId="0BCA7824">
            <w:pPr>
              <w:snapToGrid w:val="0"/>
              <w:spacing w:line="312" w:lineRule="auto"/>
              <w:rPr>
                <w:sz w:val="24"/>
                <w:lang w:val="zh-CN"/>
              </w:rPr>
            </w:pPr>
            <w:r>
              <w:rPr>
                <w:rFonts w:hint="eastAsia" w:ascii="宋体" w:hAnsi="宋体"/>
                <w:sz w:val="24"/>
              </w:rPr>
              <w:t>g/kg</w:t>
            </w:r>
          </w:p>
        </w:tc>
      </w:tr>
    </w:tbl>
    <w:p w14:paraId="673E7801">
      <w:pPr>
        <w:rPr>
          <w:lang w:val="zh-CN"/>
        </w:rPr>
      </w:pPr>
    </w:p>
    <w:p w14:paraId="628EB99E">
      <w:pPr>
        <w:jc w:val="center"/>
        <w:rPr>
          <w:lang w:val="zh-CN"/>
        </w:rPr>
      </w:pPr>
      <w:r>
        <w:rPr>
          <w:lang w:val="zh-CN"/>
        </w:rPr>
        <w:drawing>
          <wp:inline distT="0" distB="0" distL="0" distR="0">
            <wp:extent cx="5277485" cy="3969385"/>
            <wp:effectExtent l="0" t="0" r="0" b="0"/>
            <wp:docPr id="2" name="图片 2" descr="D:\xwechat_files\wxid_ekc2a24010xo22_6c85\temp\RWTemp\2026-01\2d82e10ef6af7f7a7ed1cee5f33857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D:\xwechat_files\wxid_ekc2a24010xo22_6c85\temp\RWTemp\2026-01\2d82e10ef6af7f7a7ed1cee5f3385791.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5290403" cy="3978875"/>
                    </a:xfrm>
                    <a:prstGeom prst="rect">
                      <a:avLst/>
                    </a:prstGeom>
                    <a:noFill/>
                    <a:ln>
                      <a:noFill/>
                    </a:ln>
                  </pic:spPr>
                </pic:pic>
              </a:graphicData>
            </a:graphic>
          </wp:inline>
        </w:drawing>
      </w:r>
    </w:p>
    <w:p w14:paraId="3039CF32">
      <w:pPr>
        <w:pStyle w:val="22"/>
        <w:spacing w:line="480" w:lineRule="exact"/>
        <w:jc w:val="center"/>
        <w:rPr>
          <w:rFonts w:ascii="宋体" w:hAnsi="宋体" w:eastAsia="宋体"/>
          <w:color w:val="0D0D0D" w:themeColor="text1" w:themeTint="F2"/>
          <w:sz w:val="28"/>
          <w:szCs w:val="28"/>
          <w14:textFill>
            <w14:solidFill>
              <w14:schemeClr w14:val="tx1">
                <w14:lumMod w14:val="95000"/>
                <w14:lumOff w14:val="5000"/>
              </w14:schemeClr>
            </w14:solidFill>
          </w14:textFill>
        </w:rPr>
      </w:pPr>
      <w:r>
        <w:rPr>
          <w:rFonts w:hint="eastAsia"/>
          <w:b/>
          <w:sz w:val="28"/>
          <w:lang w:val="zh-CN"/>
        </w:rPr>
        <w:t>图</w:t>
      </w:r>
      <w:r>
        <w:rPr>
          <w:b/>
          <w:sz w:val="28"/>
          <w:lang w:val="zh-CN"/>
        </w:rPr>
        <w:t xml:space="preserve">B.1 </w:t>
      </w:r>
      <w:r>
        <w:rPr>
          <w:rFonts w:hint="eastAsia"/>
          <w:b/>
          <w:sz w:val="28"/>
          <w:lang w:val="zh-CN"/>
        </w:rPr>
        <w:t>社区平面图</w:t>
      </w:r>
    </w:p>
    <w:p w14:paraId="7DAEBE8A">
      <w:pPr>
        <w:pStyle w:val="22"/>
        <w:spacing w:line="480" w:lineRule="exact"/>
        <w:ind w:firstLine="560" w:firstLineChars="200"/>
        <w:jc w:val="both"/>
        <w:rPr>
          <w:rFonts w:ascii="宋体" w:hAnsi="宋体" w:eastAsia="宋体"/>
          <w:sz w:val="28"/>
          <w:szCs w:val="28"/>
        </w:rPr>
      </w:pPr>
      <w:r>
        <w:rPr>
          <w:rFonts w:hint="eastAsia" w:ascii="宋体" w:hAnsi="宋体" w:eastAsia="宋体"/>
          <w:color w:val="0D0D0D" w:themeColor="text1" w:themeTint="F2"/>
          <w:sz w:val="28"/>
          <w:szCs w:val="28"/>
          <w14:textFill>
            <w14:solidFill>
              <w14:schemeClr w14:val="tx1">
                <w14:lumMod w14:val="95000"/>
                <w14:lumOff w14:val="5000"/>
              </w14:schemeClr>
            </w14:solidFill>
          </w14:textFill>
        </w:rPr>
        <w:t>社区本底基础数据可</w:t>
      </w:r>
      <w:r>
        <w:rPr>
          <w:rFonts w:hint="eastAsia" w:ascii="宋体" w:hAnsi="宋体" w:eastAsia="宋体"/>
          <w:sz w:val="28"/>
          <w:szCs w:val="28"/>
        </w:rPr>
        <w:t>通过物业管理部门/开发商的相关材料、实地调查、无人机遥感（可见光和激光雷达）监测等方式获取。</w:t>
      </w:r>
    </w:p>
    <w:p w14:paraId="21F5A1AD">
      <w:pPr>
        <w:pStyle w:val="22"/>
        <w:spacing w:line="480" w:lineRule="exact"/>
        <w:ind w:firstLine="560" w:firstLineChars="200"/>
        <w:jc w:val="both"/>
        <w:rPr>
          <w:rFonts w:ascii="宋体" w:hAnsi="宋体" w:eastAsia="宋体"/>
          <w:sz w:val="28"/>
          <w:szCs w:val="28"/>
        </w:rPr>
      </w:pPr>
      <w:r>
        <w:rPr>
          <w:rFonts w:hint="eastAsia" w:ascii="宋体" w:hAnsi="宋体" w:eastAsia="宋体"/>
          <w:color w:val="0D0D0D" w:themeColor="text1" w:themeTint="F2"/>
          <w:sz w:val="28"/>
          <w:szCs w:val="28"/>
          <w14:textFill>
            <w14:solidFill>
              <w14:schemeClr w14:val="tx1">
                <w14:lumMod w14:val="95000"/>
                <w14:lumOff w14:val="5000"/>
              </w14:schemeClr>
            </w14:solidFill>
          </w14:textFill>
        </w:rPr>
        <w:t>——</w:t>
      </w:r>
      <w:r>
        <w:rPr>
          <w:rFonts w:hint="eastAsia" w:ascii="宋体" w:hAnsi="宋体" w:eastAsia="宋体"/>
          <w:b/>
          <w:color w:val="0D0D0D" w:themeColor="text1" w:themeTint="F2"/>
          <w:sz w:val="28"/>
          <w:szCs w:val="28"/>
          <w14:textFill>
            <w14:solidFill>
              <w14:schemeClr w14:val="tx1">
                <w14:lumMod w14:val="95000"/>
                <w14:lumOff w14:val="5000"/>
              </w14:schemeClr>
            </w14:solidFill>
          </w14:textFill>
        </w:rPr>
        <w:t>绿地数据</w:t>
      </w:r>
      <w:r>
        <w:rPr>
          <w:rFonts w:hint="eastAsia" w:ascii="宋体" w:hAnsi="宋体" w:eastAsia="宋体"/>
          <w:color w:val="0D0D0D" w:themeColor="text1" w:themeTint="F2"/>
          <w:sz w:val="28"/>
          <w:szCs w:val="28"/>
          <w14:textFill>
            <w14:solidFill>
              <w14:schemeClr w14:val="tx1">
                <w14:lumMod w14:val="95000"/>
                <w14:lumOff w14:val="5000"/>
              </w14:schemeClr>
            </w14:solidFill>
          </w14:textFill>
        </w:rPr>
        <w:t>：可通过无人机遥感监测和样地调查等方式获取。</w:t>
      </w:r>
      <w:r>
        <w:rPr>
          <w:rFonts w:hint="eastAsia" w:ascii="宋体" w:hAnsi="宋体" w:eastAsia="宋体"/>
          <w:sz w:val="28"/>
          <w:szCs w:val="28"/>
        </w:rPr>
        <w:t>绿地主要包括社区小游园、宅间绿地、社区外附属</w:t>
      </w:r>
      <w:r>
        <w:rPr>
          <w:rFonts w:hint="eastAsia" w:ascii="宋体" w:hAnsi="宋体" w:eastAsia="宋体"/>
          <w:color w:val="0D0D0D" w:themeColor="text1" w:themeTint="F2"/>
          <w:sz w:val="28"/>
          <w:szCs w:val="28"/>
          <w14:textFill>
            <w14:solidFill>
              <w14:schemeClr w14:val="tx1">
                <w14:lumMod w14:val="95000"/>
                <w14:lumOff w14:val="5000"/>
              </w14:schemeClr>
            </w14:solidFill>
          </w14:textFill>
        </w:rPr>
        <w:t>绿地。数据通过无人机</w:t>
      </w:r>
      <w:r>
        <w:rPr>
          <w:rFonts w:hint="eastAsia" w:ascii="宋体" w:hAnsi="宋体" w:eastAsia="宋体"/>
          <w:sz w:val="28"/>
          <w:szCs w:val="28"/>
        </w:rPr>
        <w:t>遥感（可见光和激光雷达）监测和样地调查等方式获取。</w:t>
      </w:r>
    </w:p>
    <w:p w14:paraId="75D628DF">
      <w:pPr>
        <w:pStyle w:val="22"/>
        <w:spacing w:line="480" w:lineRule="exact"/>
        <w:ind w:firstLine="560" w:firstLineChars="200"/>
        <w:jc w:val="both"/>
        <w:rPr>
          <w:rFonts w:ascii="宋体" w:hAnsi="宋体" w:eastAsia="宋体"/>
          <w:color w:val="0D0D0D" w:themeColor="text1" w:themeTint="F2"/>
          <w:sz w:val="28"/>
          <w:szCs w:val="28"/>
          <w14:textFill>
            <w14:solidFill>
              <w14:schemeClr w14:val="tx1">
                <w14:lumMod w14:val="95000"/>
                <w14:lumOff w14:val="5000"/>
              </w14:schemeClr>
            </w14:solidFill>
          </w14:textFill>
        </w:rPr>
      </w:pPr>
      <w:r>
        <w:rPr>
          <w:rFonts w:hint="eastAsia" w:ascii="宋体" w:hAnsi="宋体" w:eastAsia="宋体"/>
          <w:sz w:val="28"/>
          <w:szCs w:val="28"/>
        </w:rPr>
        <w:t>样地选取原则：①</w:t>
      </w:r>
      <w:r>
        <w:rPr>
          <w:rFonts w:hint="eastAsia" w:ascii="宋体" w:hAnsi="宋体" w:eastAsia="宋体"/>
          <w:color w:val="0D0D0D" w:themeColor="text1" w:themeTint="F2"/>
          <w:sz w:val="28"/>
          <w:szCs w:val="28"/>
          <w14:textFill>
            <w14:solidFill>
              <w14:schemeClr w14:val="tx1">
                <w14:lumMod w14:val="95000"/>
                <w14:lumOff w14:val="5000"/>
              </w14:schemeClr>
            </w14:solidFill>
          </w14:textFill>
        </w:rPr>
        <w:t>宜尽量覆盖社区植被的所有类型；②社区面积越大，植被异质性越高，样地个数宜根据实际情况适当增加；③社区中用地特殊的区域和重要生境，宜设置样地。</w:t>
      </w:r>
    </w:p>
    <w:p w14:paraId="2618DBCB">
      <w:pPr>
        <w:pStyle w:val="22"/>
        <w:spacing w:line="480" w:lineRule="exact"/>
        <w:ind w:firstLine="560" w:firstLineChars="200"/>
        <w:jc w:val="both"/>
        <w:rPr>
          <w:rFonts w:ascii="宋体" w:hAnsi="宋体" w:eastAsia="宋体"/>
          <w:color w:val="0D0D0D" w:themeColor="text1" w:themeTint="F2"/>
          <w:sz w:val="28"/>
          <w:szCs w:val="28"/>
          <w14:textFill>
            <w14:solidFill>
              <w14:schemeClr w14:val="tx1">
                <w14:lumMod w14:val="95000"/>
                <w14:lumOff w14:val="5000"/>
              </w14:schemeClr>
            </w14:solidFill>
          </w14:textFill>
        </w:rPr>
      </w:pPr>
      <w:r>
        <w:rPr>
          <w:rFonts w:hint="eastAsia" w:ascii="宋体" w:hAnsi="宋体" w:eastAsia="宋体"/>
          <w:color w:val="0D0D0D" w:themeColor="text1" w:themeTint="F2"/>
          <w:sz w:val="28"/>
          <w:szCs w:val="28"/>
          <w14:textFill>
            <w14:solidFill>
              <w14:schemeClr w14:val="tx1">
                <w14:lumMod w14:val="95000"/>
                <w14:lumOff w14:val="5000"/>
              </w14:schemeClr>
            </w14:solidFill>
          </w14:textFill>
        </w:rPr>
        <w:t>基于样线法与样圆法相结合开展城市社区植物多样性调查。①样线法是在指定植物群落内部或跨越几个群落设定一条直线，通过沿线调查植物种类与数量，来分析植物群落的结构与分布。乔木设置</w:t>
      </w:r>
      <w:r>
        <w:rPr>
          <w:rFonts w:ascii="宋体" w:hAnsi="宋体" w:eastAsia="宋体"/>
          <w:color w:val="0D0D0D" w:themeColor="text1" w:themeTint="F2"/>
          <w:sz w:val="28"/>
          <w:szCs w:val="28"/>
          <w14:textFill>
            <w14:solidFill>
              <w14:schemeClr w14:val="tx1">
                <w14:lumMod w14:val="95000"/>
                <w14:lumOff w14:val="5000"/>
              </w14:schemeClr>
            </w14:solidFill>
          </w14:textFill>
        </w:rPr>
        <w:t>10</w:t>
      </w:r>
      <w:r>
        <w:rPr>
          <w:rFonts w:hint="eastAsia" w:ascii="宋体" w:hAnsi="宋体" w:eastAsia="宋体"/>
          <w:color w:val="0D0D0D" w:themeColor="text1" w:themeTint="F2"/>
          <w:sz w:val="28"/>
          <w:szCs w:val="28"/>
          <w14:textFill>
            <w14:solidFill>
              <w14:schemeClr w14:val="tx1">
                <w14:lumMod w14:val="95000"/>
                <w14:lumOff w14:val="5000"/>
              </w14:schemeClr>
            </w14:solidFill>
          </w14:textFill>
        </w:rPr>
        <w:t>条</w:t>
      </w:r>
      <w:r>
        <w:rPr>
          <w:rFonts w:ascii="宋体" w:hAnsi="宋体" w:eastAsia="宋体"/>
          <w:color w:val="0D0D0D" w:themeColor="text1" w:themeTint="F2"/>
          <w:sz w:val="28"/>
          <w:szCs w:val="28"/>
          <w14:textFill>
            <w14:solidFill>
              <w14:schemeClr w14:val="tx1">
                <w14:lumMod w14:val="95000"/>
                <w14:lumOff w14:val="5000"/>
              </w14:schemeClr>
            </w14:solidFill>
          </w14:textFill>
        </w:rPr>
        <w:t>50m</w:t>
      </w:r>
      <w:r>
        <w:rPr>
          <w:rFonts w:hint="eastAsia" w:ascii="宋体" w:hAnsi="宋体" w:eastAsia="宋体"/>
          <w:color w:val="0D0D0D" w:themeColor="text1" w:themeTint="F2"/>
          <w:sz w:val="28"/>
          <w:szCs w:val="28"/>
          <w14:textFill>
            <w14:solidFill>
              <w14:schemeClr w14:val="tx1">
                <w14:lumMod w14:val="95000"/>
                <w14:lumOff w14:val="5000"/>
              </w14:schemeClr>
            </w14:solidFill>
          </w14:textFill>
        </w:rPr>
        <w:t>长的样线，灌木设置</w:t>
      </w:r>
      <w:r>
        <w:rPr>
          <w:rFonts w:ascii="宋体" w:hAnsi="宋体" w:eastAsia="宋体"/>
          <w:color w:val="0D0D0D" w:themeColor="text1" w:themeTint="F2"/>
          <w:sz w:val="28"/>
          <w:szCs w:val="28"/>
          <w14:textFill>
            <w14:solidFill>
              <w14:schemeClr w14:val="tx1">
                <w14:lumMod w14:val="95000"/>
                <w14:lumOff w14:val="5000"/>
              </w14:schemeClr>
            </w14:solidFill>
          </w14:textFill>
        </w:rPr>
        <w:t>10</w:t>
      </w:r>
      <w:r>
        <w:rPr>
          <w:rFonts w:hint="eastAsia" w:ascii="宋体" w:hAnsi="宋体" w:eastAsia="宋体"/>
          <w:color w:val="0D0D0D" w:themeColor="text1" w:themeTint="F2"/>
          <w:sz w:val="28"/>
          <w:szCs w:val="28"/>
          <w14:textFill>
            <w14:solidFill>
              <w14:schemeClr w14:val="tx1">
                <w14:lumMod w14:val="95000"/>
                <w14:lumOff w14:val="5000"/>
              </w14:schemeClr>
            </w14:solidFill>
          </w14:textFill>
        </w:rPr>
        <w:t>条</w:t>
      </w:r>
      <w:r>
        <w:rPr>
          <w:rFonts w:ascii="宋体" w:hAnsi="宋体" w:eastAsia="宋体"/>
          <w:color w:val="0D0D0D" w:themeColor="text1" w:themeTint="F2"/>
          <w:sz w:val="28"/>
          <w:szCs w:val="28"/>
          <w14:textFill>
            <w14:solidFill>
              <w14:schemeClr w14:val="tx1">
                <w14:lumMod w14:val="95000"/>
                <w14:lumOff w14:val="5000"/>
              </w14:schemeClr>
            </w14:solidFill>
          </w14:textFill>
        </w:rPr>
        <w:t>30m</w:t>
      </w:r>
      <w:r>
        <w:rPr>
          <w:rFonts w:hint="eastAsia" w:ascii="宋体" w:hAnsi="宋体" w:eastAsia="宋体"/>
          <w:color w:val="0D0D0D" w:themeColor="text1" w:themeTint="F2"/>
          <w:sz w:val="28"/>
          <w:szCs w:val="28"/>
          <w14:textFill>
            <w14:solidFill>
              <w14:schemeClr w14:val="tx1">
                <w14:lumMod w14:val="95000"/>
                <w14:lumOff w14:val="5000"/>
              </w14:schemeClr>
            </w14:solidFill>
          </w14:textFill>
        </w:rPr>
        <w:t>长的样线，草本设置</w:t>
      </w:r>
      <w:r>
        <w:rPr>
          <w:rFonts w:ascii="宋体" w:hAnsi="宋体" w:eastAsia="宋体"/>
          <w:color w:val="0D0D0D" w:themeColor="text1" w:themeTint="F2"/>
          <w:sz w:val="28"/>
          <w:szCs w:val="28"/>
          <w14:textFill>
            <w14:solidFill>
              <w14:schemeClr w14:val="tx1">
                <w14:lumMod w14:val="95000"/>
                <w14:lumOff w14:val="5000"/>
              </w14:schemeClr>
            </w14:solidFill>
          </w14:textFill>
        </w:rPr>
        <w:t>6</w:t>
      </w:r>
      <w:r>
        <w:rPr>
          <w:rFonts w:hint="eastAsia" w:ascii="宋体" w:hAnsi="宋体" w:eastAsia="宋体"/>
          <w:color w:val="0D0D0D" w:themeColor="text1" w:themeTint="F2"/>
          <w:sz w:val="28"/>
          <w:szCs w:val="28"/>
          <w14:textFill>
            <w14:solidFill>
              <w14:schemeClr w14:val="tx1">
                <w14:lumMod w14:val="95000"/>
                <w14:lumOff w14:val="5000"/>
              </w14:schemeClr>
            </w14:solidFill>
          </w14:textFill>
        </w:rPr>
        <w:t>条</w:t>
      </w:r>
      <w:r>
        <w:rPr>
          <w:rFonts w:ascii="宋体" w:hAnsi="宋体" w:eastAsia="宋体"/>
          <w:color w:val="0D0D0D" w:themeColor="text1" w:themeTint="F2"/>
          <w:sz w:val="28"/>
          <w:szCs w:val="28"/>
          <w14:textFill>
            <w14:solidFill>
              <w14:schemeClr w14:val="tx1">
                <w14:lumMod w14:val="95000"/>
                <w14:lumOff w14:val="5000"/>
              </w14:schemeClr>
            </w14:solidFill>
          </w14:textFill>
        </w:rPr>
        <w:t>10 m</w:t>
      </w:r>
      <w:r>
        <w:rPr>
          <w:rFonts w:hint="eastAsia" w:ascii="宋体" w:hAnsi="宋体" w:eastAsia="宋体"/>
          <w:color w:val="0D0D0D" w:themeColor="text1" w:themeTint="F2"/>
          <w:sz w:val="28"/>
          <w:szCs w:val="28"/>
          <w14:textFill>
            <w14:solidFill>
              <w14:schemeClr w14:val="tx1">
                <w14:lumMod w14:val="95000"/>
                <w14:lumOff w14:val="5000"/>
              </w14:schemeClr>
            </w14:solidFill>
          </w14:textFill>
        </w:rPr>
        <w:t>长的样线。②样圆法是在城市社区内设置系统分布的圆形样地，样地半径为</w:t>
      </w:r>
      <w:r>
        <w:rPr>
          <w:rFonts w:ascii="宋体" w:hAnsi="宋体" w:eastAsia="宋体"/>
          <w:color w:val="0D0D0D" w:themeColor="text1" w:themeTint="F2"/>
          <w:sz w:val="28"/>
          <w:szCs w:val="28"/>
          <w14:textFill>
            <w14:solidFill>
              <w14:schemeClr w14:val="tx1">
                <w14:lumMod w14:val="95000"/>
                <w14:lumOff w14:val="5000"/>
              </w14:schemeClr>
            </w14:solidFill>
          </w14:textFill>
        </w:rPr>
        <w:t>3m</w:t>
      </w:r>
      <w:r>
        <w:rPr>
          <w:rFonts w:hint="eastAsia" w:ascii="宋体" w:hAnsi="宋体" w:eastAsia="宋体"/>
          <w:color w:val="0D0D0D" w:themeColor="text1" w:themeTint="F2"/>
          <w:sz w:val="28"/>
          <w:szCs w:val="28"/>
          <w14:textFill>
            <w14:solidFill>
              <w14:schemeClr w14:val="tx1">
                <w14:lumMod w14:val="95000"/>
                <w14:lumOff w14:val="5000"/>
              </w14:schemeClr>
            </w14:solidFill>
          </w14:textFill>
        </w:rPr>
        <w:t>～</w:t>
      </w:r>
      <w:r>
        <w:rPr>
          <w:rFonts w:ascii="宋体" w:hAnsi="宋体" w:eastAsia="宋体"/>
          <w:color w:val="0D0D0D" w:themeColor="text1" w:themeTint="F2"/>
          <w:sz w:val="28"/>
          <w:szCs w:val="28"/>
          <w14:textFill>
            <w14:solidFill>
              <w14:schemeClr w14:val="tx1">
                <w14:lumMod w14:val="95000"/>
                <w14:lumOff w14:val="5000"/>
              </w14:schemeClr>
            </w14:solidFill>
          </w14:textFill>
        </w:rPr>
        <w:t>5m</w:t>
      </w:r>
      <w:r>
        <w:rPr>
          <w:rFonts w:hint="eastAsia" w:ascii="宋体" w:hAnsi="宋体" w:eastAsia="宋体"/>
          <w:color w:val="0D0D0D" w:themeColor="text1" w:themeTint="F2"/>
          <w:sz w:val="28"/>
          <w:szCs w:val="28"/>
          <w14:textFill>
            <w14:solidFill>
              <w14:schemeClr w14:val="tx1">
                <w14:lumMod w14:val="95000"/>
                <w14:lumOff w14:val="5000"/>
              </w14:schemeClr>
            </w14:solidFill>
          </w14:textFill>
        </w:rPr>
        <w:t>，样地个数和半径根据城市社区绿地实际情况进行调整。</w:t>
      </w:r>
    </w:p>
    <w:p w14:paraId="0A473E77">
      <w:pPr>
        <w:pStyle w:val="22"/>
        <w:spacing w:line="480" w:lineRule="exact"/>
        <w:ind w:firstLine="560" w:firstLineChars="200"/>
        <w:jc w:val="both"/>
        <w:rPr>
          <w:rFonts w:ascii="宋体" w:hAnsi="宋体" w:eastAsia="宋体"/>
          <w:color w:val="0D0D0D" w:themeColor="text1" w:themeTint="F2"/>
          <w:sz w:val="28"/>
          <w:szCs w:val="28"/>
          <w14:textFill>
            <w14:solidFill>
              <w14:schemeClr w14:val="tx1">
                <w14:lumMod w14:val="95000"/>
                <w14:lumOff w14:val="5000"/>
              </w14:schemeClr>
            </w14:solidFill>
          </w14:textFill>
        </w:rPr>
      </w:pPr>
      <w:r>
        <w:rPr>
          <w:rFonts w:hint="eastAsia" w:ascii="宋体" w:hAnsi="宋体" w:eastAsia="宋体"/>
          <w:color w:val="0D0D0D" w:themeColor="text1" w:themeTint="F2"/>
          <w:sz w:val="28"/>
          <w:szCs w:val="28"/>
          <w14:textFill>
            <w14:solidFill>
              <w14:schemeClr w14:val="tx1">
                <w14:lumMod w14:val="95000"/>
                <w14:lumOff w14:val="5000"/>
              </w14:schemeClr>
            </w14:solidFill>
          </w14:textFill>
        </w:rPr>
        <w:t>调查方式包括全面普查和专项调查。全面普查是指对植物物种组成、分布、生境、受干扰情况和保护现状等开展全面摸底调查，可每5年1次；专项调查是对古树名木及古树后备资源、致敏植物物种、立体绿化、支持生物多样性调查数据（包括鸟巢数量、位置、分布、对应树种、食源种数及对应株数等）开展针对性调查，可每2年1次。</w:t>
      </w:r>
    </w:p>
    <w:p w14:paraId="651AC073">
      <w:pPr>
        <w:pStyle w:val="22"/>
        <w:spacing w:line="480" w:lineRule="exact"/>
        <w:ind w:firstLine="560" w:firstLineChars="200"/>
        <w:jc w:val="both"/>
      </w:pPr>
      <w:r>
        <w:rPr>
          <w:rFonts w:hint="eastAsia" w:ascii="宋体" w:hAnsi="宋体" w:eastAsia="宋体"/>
          <w:color w:val="0D0D0D" w:themeColor="text1" w:themeTint="F2"/>
          <w:sz w:val="28"/>
          <w:szCs w:val="28"/>
          <w14:textFill>
            <w14:solidFill>
              <w14:schemeClr w14:val="tx1">
                <w14:lumMod w14:val="95000"/>
                <w14:lumOff w14:val="5000"/>
              </w14:schemeClr>
            </w14:solidFill>
          </w14:textFill>
        </w:rPr>
        <w:t>——</w:t>
      </w:r>
      <w:r>
        <w:rPr>
          <w:rFonts w:hint="eastAsia" w:ascii="宋体" w:hAnsi="宋体" w:eastAsia="宋体"/>
          <w:b/>
          <w:color w:val="0D0D0D" w:themeColor="text1" w:themeTint="F2"/>
          <w:sz w:val="28"/>
          <w:szCs w:val="28"/>
          <w14:textFill>
            <w14:solidFill>
              <w14:schemeClr w14:val="tx1">
                <w14:lumMod w14:val="95000"/>
                <w14:lumOff w14:val="5000"/>
              </w14:schemeClr>
            </w14:solidFill>
          </w14:textFill>
        </w:rPr>
        <w:t>土壤数据</w:t>
      </w:r>
      <w:r>
        <w:rPr>
          <w:rFonts w:hint="eastAsia" w:ascii="宋体" w:hAnsi="宋体" w:eastAsia="宋体"/>
          <w:color w:val="0D0D0D" w:themeColor="text1" w:themeTint="F2"/>
          <w:sz w:val="28"/>
          <w:szCs w:val="28"/>
          <w14:textFill>
            <w14:solidFill>
              <w14:schemeClr w14:val="tx1">
                <w14:lumMod w14:val="95000"/>
                <w14:lumOff w14:val="5000"/>
              </w14:schemeClr>
            </w14:solidFill>
          </w14:textFill>
        </w:rPr>
        <w:t>：</w:t>
      </w:r>
      <w:r>
        <w:rPr>
          <w:rFonts w:hint="eastAsia" w:ascii="宋体" w:hAnsi="宋体" w:eastAsia="宋体"/>
          <w:sz w:val="28"/>
          <w:szCs w:val="28"/>
        </w:rPr>
        <w:t>可采用人工采样和实验室检测相结合的方式进行。人工采样点主要分布在社区植被监测样方内，应按HJ/T 166相关规定进行采样。实验室检测应按照CJ/T 340-2016进行。</w:t>
      </w:r>
    </w:p>
    <w:p w14:paraId="4FB56E54">
      <w:pPr>
        <w:pStyle w:val="3"/>
        <w:spacing w:before="156" w:after="156"/>
      </w:pPr>
      <w:bookmarkStart w:id="36" w:name="_Toc220593725"/>
      <w:r>
        <w:t xml:space="preserve">B.2 </w:t>
      </w:r>
      <w:r>
        <w:rPr>
          <w:rFonts w:hint="eastAsia"/>
        </w:rPr>
        <w:t>气象与大气环境数据</w:t>
      </w:r>
      <w:bookmarkEnd w:id="36"/>
    </w:p>
    <w:p w14:paraId="61EB9202">
      <w:pPr>
        <w:ind w:firstLine="560" w:firstLineChars="200"/>
        <w:rPr>
          <w:sz w:val="28"/>
          <w:szCs w:val="28"/>
          <w:lang w:val="zh-CN"/>
        </w:rPr>
      </w:pPr>
      <w:r>
        <w:rPr>
          <w:rFonts w:hint="eastAsia"/>
          <w:sz w:val="28"/>
          <w:szCs w:val="28"/>
          <w:lang w:val="zh-CN"/>
        </w:rPr>
        <w:t>气象与大气环境数据可从气象部门直接获取或架设小型气象站自动监测。其中，小型气象站应按GB/T 33703，GB/T 35237相关规定，在周边较为开阔、无高大建筑及茂密的植物遮挡、且避让居民日常活动主要流线的区域架设，采用自动监测方法，监测指标见表</w:t>
      </w:r>
      <w:r>
        <w:rPr>
          <w:sz w:val="28"/>
          <w:szCs w:val="28"/>
          <w:lang w:val="zh-CN"/>
        </w:rPr>
        <w:t>B.2</w:t>
      </w:r>
      <w:r>
        <w:rPr>
          <w:rFonts w:hint="eastAsia"/>
          <w:sz w:val="28"/>
          <w:szCs w:val="28"/>
          <w:lang w:val="zh-CN"/>
        </w:rPr>
        <w:t>。</w:t>
      </w:r>
    </w:p>
    <w:p w14:paraId="254D4A31">
      <w:pPr>
        <w:jc w:val="center"/>
        <w:rPr>
          <w:b/>
          <w:sz w:val="28"/>
          <w:lang w:val="zh-CN"/>
        </w:rPr>
      </w:pPr>
      <w:r>
        <w:rPr>
          <w:rFonts w:hint="eastAsia"/>
          <w:b/>
          <w:sz w:val="28"/>
          <w:lang w:val="zh-CN"/>
        </w:rPr>
        <w:t>表</w:t>
      </w:r>
      <w:r>
        <w:rPr>
          <w:b/>
          <w:sz w:val="28"/>
          <w:lang w:val="zh-CN"/>
        </w:rPr>
        <w:t>B.2</w:t>
      </w:r>
      <w:r>
        <w:rPr>
          <w:rFonts w:hint="eastAsia"/>
          <w:b/>
          <w:sz w:val="28"/>
          <w:lang w:val="zh-CN"/>
        </w:rPr>
        <w:t xml:space="preserve"> 气象环境数据表</w:t>
      </w:r>
    </w:p>
    <w:tbl>
      <w:tblPr>
        <w:tblStyle w:val="15"/>
        <w:tblW w:w="824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804"/>
        <w:gridCol w:w="3523"/>
        <w:gridCol w:w="2922"/>
      </w:tblGrid>
      <w:tr w14:paraId="196D1F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4" w:hRule="atLeast"/>
        </w:trPr>
        <w:tc>
          <w:tcPr>
            <w:tcW w:w="1804" w:type="dxa"/>
            <w:vAlign w:val="center"/>
          </w:tcPr>
          <w:p w14:paraId="2124101F">
            <w:pPr>
              <w:pStyle w:val="22"/>
              <w:spacing w:line="360" w:lineRule="auto"/>
              <w:rPr>
                <w:rFonts w:ascii="宋体" w:hAnsi="宋体" w:eastAsia="宋体"/>
                <w:b/>
                <w:bCs/>
              </w:rPr>
            </w:pPr>
            <w:r>
              <w:rPr>
                <w:rFonts w:ascii="宋体" w:hAnsi="宋体" w:eastAsia="宋体"/>
                <w:b/>
                <w:bCs/>
              </w:rPr>
              <w:t>指标类别</w:t>
            </w:r>
          </w:p>
        </w:tc>
        <w:tc>
          <w:tcPr>
            <w:tcW w:w="3523" w:type="dxa"/>
            <w:shd w:val="clear" w:color="auto" w:fill="auto"/>
            <w:tcMar>
              <w:top w:w="15" w:type="dxa"/>
              <w:left w:w="108" w:type="dxa"/>
              <w:bottom w:w="0" w:type="dxa"/>
              <w:right w:w="108" w:type="dxa"/>
            </w:tcMar>
            <w:vAlign w:val="center"/>
          </w:tcPr>
          <w:p w14:paraId="7F8B3253">
            <w:pPr>
              <w:pStyle w:val="22"/>
              <w:spacing w:line="360" w:lineRule="auto"/>
              <w:rPr>
                <w:rFonts w:ascii="宋体" w:hAnsi="宋体" w:eastAsia="宋体"/>
              </w:rPr>
            </w:pPr>
            <w:r>
              <w:rPr>
                <w:rFonts w:ascii="宋体" w:hAnsi="宋体" w:eastAsia="宋体"/>
                <w:b/>
                <w:bCs/>
              </w:rPr>
              <w:t>指标</w:t>
            </w:r>
          </w:p>
        </w:tc>
        <w:tc>
          <w:tcPr>
            <w:tcW w:w="2922" w:type="dxa"/>
            <w:shd w:val="clear" w:color="auto" w:fill="auto"/>
            <w:tcMar>
              <w:top w:w="15" w:type="dxa"/>
              <w:left w:w="108" w:type="dxa"/>
              <w:bottom w:w="0" w:type="dxa"/>
              <w:right w:w="108" w:type="dxa"/>
            </w:tcMar>
            <w:vAlign w:val="center"/>
          </w:tcPr>
          <w:p w14:paraId="1A169BC8">
            <w:pPr>
              <w:pStyle w:val="22"/>
              <w:spacing w:line="360" w:lineRule="auto"/>
              <w:rPr>
                <w:rFonts w:ascii="宋体" w:hAnsi="宋体" w:eastAsia="宋体"/>
              </w:rPr>
            </w:pPr>
            <w:r>
              <w:rPr>
                <w:rFonts w:ascii="宋体" w:hAnsi="宋体" w:eastAsia="宋体"/>
                <w:b/>
                <w:bCs/>
              </w:rPr>
              <w:t>单位</w:t>
            </w:r>
            <w:r>
              <w:rPr>
                <w:rFonts w:hint="eastAsia" w:ascii="宋体" w:hAnsi="宋体" w:eastAsia="宋体"/>
                <w:b/>
                <w:bCs/>
              </w:rPr>
              <w:t>/说明</w:t>
            </w:r>
          </w:p>
        </w:tc>
      </w:tr>
      <w:tr w14:paraId="502A34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4" w:hRule="atLeast"/>
        </w:trPr>
        <w:tc>
          <w:tcPr>
            <w:tcW w:w="1804" w:type="dxa"/>
            <w:vMerge w:val="restart"/>
            <w:vAlign w:val="center"/>
          </w:tcPr>
          <w:p w14:paraId="0A514C27">
            <w:pPr>
              <w:pStyle w:val="22"/>
              <w:spacing w:line="360" w:lineRule="auto"/>
              <w:rPr>
                <w:rFonts w:ascii="宋体" w:hAnsi="宋体" w:eastAsia="宋体"/>
              </w:rPr>
            </w:pPr>
            <w:r>
              <w:rPr>
                <w:rFonts w:hint="eastAsia" w:ascii="宋体" w:hAnsi="宋体" w:eastAsia="宋体"/>
                <w:bCs/>
              </w:rPr>
              <w:t>气象观测要素</w:t>
            </w:r>
          </w:p>
        </w:tc>
        <w:tc>
          <w:tcPr>
            <w:tcW w:w="3523" w:type="dxa"/>
            <w:shd w:val="clear" w:color="auto" w:fill="auto"/>
            <w:tcMar>
              <w:top w:w="15" w:type="dxa"/>
              <w:left w:w="108" w:type="dxa"/>
              <w:bottom w:w="0" w:type="dxa"/>
              <w:right w:w="108" w:type="dxa"/>
            </w:tcMar>
            <w:vAlign w:val="center"/>
          </w:tcPr>
          <w:p w14:paraId="6BE328FD">
            <w:pPr>
              <w:pStyle w:val="22"/>
              <w:spacing w:line="360" w:lineRule="auto"/>
              <w:rPr>
                <w:rFonts w:ascii="宋体" w:hAnsi="宋体" w:eastAsia="宋体"/>
              </w:rPr>
            </w:pPr>
            <w:r>
              <w:rPr>
                <w:rFonts w:hint="eastAsia" w:ascii="宋体" w:hAnsi="宋体" w:eastAsia="宋体"/>
              </w:rPr>
              <w:t>温度</w:t>
            </w:r>
          </w:p>
        </w:tc>
        <w:tc>
          <w:tcPr>
            <w:tcW w:w="2922" w:type="dxa"/>
            <w:shd w:val="clear" w:color="auto" w:fill="auto"/>
            <w:tcMar>
              <w:top w:w="15" w:type="dxa"/>
              <w:left w:w="108" w:type="dxa"/>
              <w:bottom w:w="0" w:type="dxa"/>
              <w:right w:w="108" w:type="dxa"/>
            </w:tcMar>
            <w:vAlign w:val="center"/>
          </w:tcPr>
          <w:p w14:paraId="04A8744A">
            <w:pPr>
              <w:pStyle w:val="22"/>
              <w:spacing w:line="360" w:lineRule="auto"/>
              <w:rPr>
                <w:rFonts w:ascii="Times New Roman" w:eastAsia="宋体" w:cs="Times New Roman"/>
              </w:rPr>
            </w:pPr>
            <w:r>
              <w:rPr>
                <w:rFonts w:ascii="Times New Roman" w:eastAsia="宋体" w:cs="Times New Roman"/>
              </w:rPr>
              <w:t>℃</w:t>
            </w:r>
          </w:p>
        </w:tc>
      </w:tr>
      <w:tr w14:paraId="7F088B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4" w:hRule="atLeast"/>
        </w:trPr>
        <w:tc>
          <w:tcPr>
            <w:tcW w:w="1804" w:type="dxa"/>
            <w:vMerge w:val="continue"/>
            <w:vAlign w:val="center"/>
          </w:tcPr>
          <w:p w14:paraId="7E1B8912">
            <w:pPr>
              <w:pStyle w:val="22"/>
              <w:spacing w:line="360" w:lineRule="auto"/>
              <w:rPr>
                <w:rFonts w:ascii="宋体" w:hAnsi="宋体" w:eastAsia="宋体"/>
              </w:rPr>
            </w:pPr>
          </w:p>
        </w:tc>
        <w:tc>
          <w:tcPr>
            <w:tcW w:w="3523" w:type="dxa"/>
            <w:shd w:val="clear" w:color="auto" w:fill="auto"/>
            <w:tcMar>
              <w:top w:w="15" w:type="dxa"/>
              <w:left w:w="108" w:type="dxa"/>
              <w:bottom w:w="0" w:type="dxa"/>
              <w:right w:w="108" w:type="dxa"/>
            </w:tcMar>
            <w:vAlign w:val="center"/>
          </w:tcPr>
          <w:p w14:paraId="01667A25">
            <w:pPr>
              <w:pStyle w:val="22"/>
              <w:spacing w:line="360" w:lineRule="auto"/>
              <w:rPr>
                <w:rFonts w:ascii="宋体" w:hAnsi="宋体" w:eastAsia="宋体"/>
              </w:rPr>
            </w:pPr>
            <w:r>
              <w:rPr>
                <w:rFonts w:ascii="宋体" w:hAnsi="宋体" w:eastAsia="宋体"/>
              </w:rPr>
              <w:t>湿度</w:t>
            </w:r>
          </w:p>
        </w:tc>
        <w:tc>
          <w:tcPr>
            <w:tcW w:w="2922" w:type="dxa"/>
            <w:shd w:val="clear" w:color="auto" w:fill="auto"/>
            <w:tcMar>
              <w:top w:w="15" w:type="dxa"/>
              <w:left w:w="108" w:type="dxa"/>
              <w:bottom w:w="0" w:type="dxa"/>
              <w:right w:w="108" w:type="dxa"/>
            </w:tcMar>
            <w:vAlign w:val="center"/>
          </w:tcPr>
          <w:p w14:paraId="536881A2">
            <w:pPr>
              <w:pStyle w:val="22"/>
              <w:spacing w:line="360" w:lineRule="auto"/>
              <w:rPr>
                <w:rFonts w:ascii="Times New Roman" w:eastAsia="宋体" w:cs="Times New Roman"/>
              </w:rPr>
            </w:pPr>
            <w:r>
              <w:rPr>
                <w:rFonts w:ascii="Times New Roman" w:eastAsia="宋体" w:cs="Times New Roman"/>
              </w:rPr>
              <w:t>%</w:t>
            </w:r>
          </w:p>
        </w:tc>
      </w:tr>
      <w:tr w14:paraId="083436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4" w:hRule="atLeast"/>
        </w:trPr>
        <w:tc>
          <w:tcPr>
            <w:tcW w:w="1804" w:type="dxa"/>
            <w:vMerge w:val="continue"/>
            <w:vAlign w:val="center"/>
          </w:tcPr>
          <w:p w14:paraId="05D0954B">
            <w:pPr>
              <w:pStyle w:val="22"/>
              <w:spacing w:line="360" w:lineRule="auto"/>
              <w:rPr>
                <w:rFonts w:ascii="宋体" w:hAnsi="宋体" w:eastAsia="宋体"/>
              </w:rPr>
            </w:pPr>
          </w:p>
        </w:tc>
        <w:tc>
          <w:tcPr>
            <w:tcW w:w="3523" w:type="dxa"/>
            <w:shd w:val="clear" w:color="auto" w:fill="auto"/>
            <w:tcMar>
              <w:top w:w="15" w:type="dxa"/>
              <w:left w:w="108" w:type="dxa"/>
              <w:bottom w:w="0" w:type="dxa"/>
              <w:right w:w="108" w:type="dxa"/>
            </w:tcMar>
            <w:vAlign w:val="center"/>
          </w:tcPr>
          <w:p w14:paraId="2DFC249B">
            <w:pPr>
              <w:pStyle w:val="22"/>
              <w:spacing w:line="360" w:lineRule="auto"/>
              <w:rPr>
                <w:rFonts w:ascii="宋体" w:hAnsi="宋体" w:eastAsia="宋体"/>
              </w:rPr>
            </w:pPr>
            <w:r>
              <w:rPr>
                <w:rFonts w:ascii="宋体" w:hAnsi="宋体" w:eastAsia="宋体"/>
              </w:rPr>
              <w:t>降水量</w:t>
            </w:r>
          </w:p>
        </w:tc>
        <w:tc>
          <w:tcPr>
            <w:tcW w:w="2922" w:type="dxa"/>
            <w:shd w:val="clear" w:color="auto" w:fill="auto"/>
            <w:tcMar>
              <w:top w:w="15" w:type="dxa"/>
              <w:left w:w="108" w:type="dxa"/>
              <w:bottom w:w="0" w:type="dxa"/>
              <w:right w:w="108" w:type="dxa"/>
            </w:tcMar>
            <w:vAlign w:val="center"/>
          </w:tcPr>
          <w:p w14:paraId="3D15174A">
            <w:pPr>
              <w:pStyle w:val="22"/>
              <w:spacing w:line="360" w:lineRule="auto"/>
              <w:rPr>
                <w:rFonts w:ascii="Times New Roman" w:eastAsia="宋体" w:cs="Times New Roman"/>
              </w:rPr>
            </w:pPr>
            <w:r>
              <w:rPr>
                <w:rFonts w:ascii="Times New Roman" w:eastAsia="宋体" w:cs="Times New Roman"/>
              </w:rPr>
              <w:t>mm</w:t>
            </w:r>
          </w:p>
        </w:tc>
      </w:tr>
      <w:tr w14:paraId="593CC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4" w:hRule="atLeast"/>
        </w:trPr>
        <w:tc>
          <w:tcPr>
            <w:tcW w:w="1804" w:type="dxa"/>
            <w:vMerge w:val="continue"/>
            <w:vAlign w:val="center"/>
          </w:tcPr>
          <w:p w14:paraId="562415B2">
            <w:pPr>
              <w:pStyle w:val="22"/>
              <w:spacing w:line="360" w:lineRule="auto"/>
              <w:rPr>
                <w:rFonts w:ascii="宋体" w:hAnsi="宋体" w:eastAsia="宋体"/>
              </w:rPr>
            </w:pPr>
          </w:p>
        </w:tc>
        <w:tc>
          <w:tcPr>
            <w:tcW w:w="3523" w:type="dxa"/>
            <w:shd w:val="clear" w:color="auto" w:fill="auto"/>
            <w:tcMar>
              <w:top w:w="15" w:type="dxa"/>
              <w:left w:w="108" w:type="dxa"/>
              <w:bottom w:w="0" w:type="dxa"/>
              <w:right w:w="108" w:type="dxa"/>
            </w:tcMar>
            <w:vAlign w:val="center"/>
          </w:tcPr>
          <w:p w14:paraId="41613A3C">
            <w:pPr>
              <w:pStyle w:val="22"/>
              <w:spacing w:line="360" w:lineRule="auto"/>
              <w:rPr>
                <w:rFonts w:ascii="宋体" w:hAnsi="宋体" w:eastAsia="宋体"/>
              </w:rPr>
            </w:pPr>
            <w:r>
              <w:rPr>
                <w:rFonts w:ascii="宋体" w:hAnsi="宋体" w:eastAsia="宋体"/>
              </w:rPr>
              <w:t>风速</w:t>
            </w:r>
          </w:p>
        </w:tc>
        <w:tc>
          <w:tcPr>
            <w:tcW w:w="2922" w:type="dxa"/>
            <w:shd w:val="clear" w:color="auto" w:fill="auto"/>
            <w:tcMar>
              <w:top w:w="15" w:type="dxa"/>
              <w:left w:w="108" w:type="dxa"/>
              <w:bottom w:w="0" w:type="dxa"/>
              <w:right w:w="108" w:type="dxa"/>
            </w:tcMar>
            <w:vAlign w:val="center"/>
          </w:tcPr>
          <w:p w14:paraId="4A03F134">
            <w:pPr>
              <w:pStyle w:val="22"/>
              <w:spacing w:line="360" w:lineRule="auto"/>
              <w:rPr>
                <w:rFonts w:ascii="Times New Roman" w:eastAsia="宋体" w:cs="Times New Roman"/>
              </w:rPr>
            </w:pPr>
            <w:r>
              <w:rPr>
                <w:rFonts w:ascii="Times New Roman" w:eastAsia="宋体" w:cs="Times New Roman"/>
              </w:rPr>
              <w:t>km/h</w:t>
            </w:r>
          </w:p>
        </w:tc>
      </w:tr>
      <w:tr w14:paraId="5D2B55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4" w:hRule="atLeast"/>
        </w:trPr>
        <w:tc>
          <w:tcPr>
            <w:tcW w:w="1804" w:type="dxa"/>
            <w:vMerge w:val="continue"/>
            <w:vAlign w:val="center"/>
          </w:tcPr>
          <w:p w14:paraId="0BDB9A0B">
            <w:pPr>
              <w:pStyle w:val="22"/>
              <w:spacing w:line="360" w:lineRule="auto"/>
              <w:rPr>
                <w:rFonts w:ascii="宋体" w:hAnsi="宋体" w:eastAsia="宋体"/>
              </w:rPr>
            </w:pPr>
          </w:p>
        </w:tc>
        <w:tc>
          <w:tcPr>
            <w:tcW w:w="3523" w:type="dxa"/>
            <w:shd w:val="clear" w:color="auto" w:fill="auto"/>
            <w:tcMar>
              <w:top w:w="15" w:type="dxa"/>
              <w:left w:w="108" w:type="dxa"/>
              <w:bottom w:w="0" w:type="dxa"/>
              <w:right w:w="108" w:type="dxa"/>
            </w:tcMar>
            <w:vAlign w:val="center"/>
          </w:tcPr>
          <w:p w14:paraId="02B15A76">
            <w:pPr>
              <w:pStyle w:val="22"/>
              <w:spacing w:line="360" w:lineRule="auto"/>
              <w:rPr>
                <w:rFonts w:ascii="宋体" w:hAnsi="宋体" w:eastAsia="宋体"/>
              </w:rPr>
            </w:pPr>
            <w:r>
              <w:rPr>
                <w:rFonts w:ascii="宋体" w:hAnsi="宋体" w:eastAsia="宋体"/>
              </w:rPr>
              <w:t>风向</w:t>
            </w:r>
          </w:p>
        </w:tc>
        <w:tc>
          <w:tcPr>
            <w:tcW w:w="2922" w:type="dxa"/>
            <w:shd w:val="clear" w:color="auto" w:fill="auto"/>
            <w:tcMar>
              <w:top w:w="15" w:type="dxa"/>
              <w:left w:w="108" w:type="dxa"/>
              <w:bottom w:w="0" w:type="dxa"/>
              <w:right w:w="108" w:type="dxa"/>
            </w:tcMar>
            <w:vAlign w:val="center"/>
          </w:tcPr>
          <w:p w14:paraId="68E818C3">
            <w:pPr>
              <w:pStyle w:val="22"/>
              <w:spacing w:line="360" w:lineRule="auto"/>
              <w:rPr>
                <w:rFonts w:ascii="Times New Roman" w:eastAsia="宋体" w:cs="Times New Roman"/>
              </w:rPr>
            </w:pPr>
            <w:r>
              <w:rPr>
                <w:rFonts w:ascii="Times New Roman" w:eastAsia="宋体" w:cs="Times New Roman"/>
              </w:rPr>
              <w:t>Degree</w:t>
            </w:r>
          </w:p>
        </w:tc>
      </w:tr>
      <w:tr w14:paraId="34C6C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4" w:hRule="atLeast"/>
        </w:trPr>
        <w:tc>
          <w:tcPr>
            <w:tcW w:w="1804" w:type="dxa"/>
            <w:vMerge w:val="continue"/>
            <w:vAlign w:val="center"/>
          </w:tcPr>
          <w:p w14:paraId="627EF1BE">
            <w:pPr>
              <w:pStyle w:val="22"/>
              <w:spacing w:line="360" w:lineRule="auto"/>
              <w:rPr>
                <w:rFonts w:ascii="宋体" w:hAnsi="宋体" w:eastAsia="宋体"/>
              </w:rPr>
            </w:pPr>
          </w:p>
        </w:tc>
        <w:tc>
          <w:tcPr>
            <w:tcW w:w="3523" w:type="dxa"/>
            <w:shd w:val="clear" w:color="auto" w:fill="auto"/>
            <w:tcMar>
              <w:top w:w="15" w:type="dxa"/>
              <w:left w:w="108" w:type="dxa"/>
              <w:bottom w:w="0" w:type="dxa"/>
              <w:right w:w="108" w:type="dxa"/>
            </w:tcMar>
            <w:vAlign w:val="center"/>
          </w:tcPr>
          <w:p w14:paraId="3B0D0434">
            <w:pPr>
              <w:pStyle w:val="22"/>
              <w:spacing w:line="360" w:lineRule="auto"/>
              <w:rPr>
                <w:rFonts w:ascii="宋体" w:hAnsi="宋体" w:eastAsia="宋体"/>
              </w:rPr>
            </w:pPr>
            <w:r>
              <w:rPr>
                <w:rFonts w:ascii="宋体" w:hAnsi="宋体" w:eastAsia="宋体"/>
              </w:rPr>
              <w:t>太阳辐射</w:t>
            </w:r>
          </w:p>
        </w:tc>
        <w:tc>
          <w:tcPr>
            <w:tcW w:w="2922" w:type="dxa"/>
            <w:shd w:val="clear" w:color="auto" w:fill="auto"/>
            <w:tcMar>
              <w:top w:w="15" w:type="dxa"/>
              <w:left w:w="108" w:type="dxa"/>
              <w:bottom w:w="0" w:type="dxa"/>
              <w:right w:w="108" w:type="dxa"/>
            </w:tcMar>
            <w:vAlign w:val="center"/>
          </w:tcPr>
          <w:p w14:paraId="7D67143B">
            <w:pPr>
              <w:pStyle w:val="22"/>
              <w:spacing w:line="360" w:lineRule="auto"/>
              <w:rPr>
                <w:rFonts w:ascii="Times New Roman" w:eastAsia="宋体" w:cs="Times New Roman"/>
              </w:rPr>
            </w:pPr>
            <w:r>
              <w:rPr>
                <w:rFonts w:ascii="Times New Roman" w:eastAsia="宋体" w:cs="Times New Roman"/>
              </w:rPr>
              <w:t>wat/m</w:t>
            </w:r>
            <w:r>
              <w:rPr>
                <w:rFonts w:ascii="Times New Roman" w:eastAsia="宋体" w:cs="Times New Roman"/>
                <w:vertAlign w:val="superscript"/>
              </w:rPr>
              <w:t>2</w:t>
            </w:r>
          </w:p>
        </w:tc>
      </w:tr>
      <w:tr w14:paraId="091D9D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4" w:hRule="atLeast"/>
        </w:trPr>
        <w:tc>
          <w:tcPr>
            <w:tcW w:w="1804" w:type="dxa"/>
            <w:vMerge w:val="restart"/>
            <w:vAlign w:val="center"/>
          </w:tcPr>
          <w:p w14:paraId="482FF5E1">
            <w:pPr>
              <w:pStyle w:val="22"/>
              <w:spacing w:line="360" w:lineRule="auto"/>
              <w:rPr>
                <w:rFonts w:ascii="宋体" w:hAnsi="宋体" w:eastAsia="宋体"/>
              </w:rPr>
            </w:pPr>
            <w:r>
              <w:rPr>
                <w:rFonts w:hint="eastAsia" w:ascii="宋体" w:hAnsi="宋体" w:eastAsia="宋体"/>
              </w:rPr>
              <w:t>大气质量监测数据</w:t>
            </w:r>
          </w:p>
        </w:tc>
        <w:tc>
          <w:tcPr>
            <w:tcW w:w="3523" w:type="dxa"/>
            <w:shd w:val="clear" w:color="auto" w:fill="auto"/>
            <w:tcMar>
              <w:top w:w="15" w:type="dxa"/>
              <w:left w:w="108" w:type="dxa"/>
              <w:bottom w:w="0" w:type="dxa"/>
              <w:right w:w="108" w:type="dxa"/>
            </w:tcMar>
            <w:vAlign w:val="center"/>
          </w:tcPr>
          <w:p w14:paraId="72F88A08">
            <w:pPr>
              <w:pStyle w:val="22"/>
              <w:spacing w:line="360" w:lineRule="auto"/>
              <w:rPr>
                <w:rFonts w:ascii="Times New Roman" w:eastAsia="宋体" w:cs="Times New Roman"/>
              </w:rPr>
            </w:pPr>
            <w:r>
              <w:rPr>
                <w:rFonts w:ascii="Times New Roman" w:eastAsia="宋体" w:cs="Times New Roman"/>
              </w:rPr>
              <w:t>PM2.5</w:t>
            </w:r>
          </w:p>
        </w:tc>
        <w:tc>
          <w:tcPr>
            <w:tcW w:w="2922" w:type="dxa"/>
            <w:shd w:val="clear" w:color="auto" w:fill="auto"/>
            <w:tcMar>
              <w:top w:w="15" w:type="dxa"/>
              <w:left w:w="108" w:type="dxa"/>
              <w:bottom w:w="0" w:type="dxa"/>
              <w:right w:w="108" w:type="dxa"/>
            </w:tcMar>
            <w:vAlign w:val="center"/>
          </w:tcPr>
          <w:p w14:paraId="43D4582E">
            <w:pPr>
              <w:pStyle w:val="22"/>
              <w:spacing w:line="360" w:lineRule="auto"/>
              <w:rPr>
                <w:rFonts w:ascii="Times New Roman" w:eastAsia="宋体" w:cs="Times New Roman"/>
              </w:rPr>
            </w:pPr>
            <w:r>
              <w:rPr>
                <w:rFonts w:ascii="Times New Roman" w:eastAsia="宋体" w:cs="Times New Roman"/>
              </w:rPr>
              <w:t>μg/m³</w:t>
            </w:r>
          </w:p>
        </w:tc>
      </w:tr>
      <w:tr w14:paraId="56BC42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4" w:hRule="atLeast"/>
        </w:trPr>
        <w:tc>
          <w:tcPr>
            <w:tcW w:w="1804" w:type="dxa"/>
            <w:vMerge w:val="continue"/>
            <w:vAlign w:val="center"/>
          </w:tcPr>
          <w:p w14:paraId="502E8CAF">
            <w:pPr>
              <w:pStyle w:val="22"/>
              <w:spacing w:line="360" w:lineRule="auto"/>
              <w:rPr>
                <w:rFonts w:ascii="宋体" w:hAnsi="宋体" w:eastAsia="宋体"/>
              </w:rPr>
            </w:pPr>
          </w:p>
        </w:tc>
        <w:tc>
          <w:tcPr>
            <w:tcW w:w="3523" w:type="dxa"/>
            <w:shd w:val="clear" w:color="auto" w:fill="auto"/>
            <w:tcMar>
              <w:top w:w="15" w:type="dxa"/>
              <w:left w:w="108" w:type="dxa"/>
              <w:bottom w:w="0" w:type="dxa"/>
              <w:right w:w="108" w:type="dxa"/>
            </w:tcMar>
            <w:vAlign w:val="center"/>
          </w:tcPr>
          <w:p w14:paraId="24D80718">
            <w:pPr>
              <w:pStyle w:val="22"/>
              <w:spacing w:line="360" w:lineRule="auto"/>
              <w:rPr>
                <w:rFonts w:ascii="Times New Roman" w:eastAsia="宋体" w:cs="Times New Roman"/>
              </w:rPr>
            </w:pPr>
            <w:r>
              <w:rPr>
                <w:rFonts w:ascii="Times New Roman" w:eastAsia="宋体" w:cs="Times New Roman"/>
              </w:rPr>
              <w:t>PM10</w:t>
            </w:r>
          </w:p>
        </w:tc>
        <w:tc>
          <w:tcPr>
            <w:tcW w:w="2922" w:type="dxa"/>
            <w:shd w:val="clear" w:color="auto" w:fill="auto"/>
            <w:tcMar>
              <w:top w:w="15" w:type="dxa"/>
              <w:left w:w="108" w:type="dxa"/>
              <w:bottom w:w="0" w:type="dxa"/>
              <w:right w:w="108" w:type="dxa"/>
            </w:tcMar>
            <w:vAlign w:val="center"/>
          </w:tcPr>
          <w:p w14:paraId="0E94DE51">
            <w:pPr>
              <w:pStyle w:val="22"/>
              <w:spacing w:line="360" w:lineRule="auto"/>
              <w:rPr>
                <w:rFonts w:ascii="Times New Roman" w:eastAsia="宋体" w:cs="Times New Roman"/>
              </w:rPr>
            </w:pPr>
            <w:r>
              <w:rPr>
                <w:rFonts w:ascii="Times New Roman" w:eastAsia="宋体" w:cs="Times New Roman"/>
              </w:rPr>
              <w:t>μg/m³</w:t>
            </w:r>
          </w:p>
        </w:tc>
      </w:tr>
      <w:tr w14:paraId="10336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4" w:hRule="atLeast"/>
        </w:trPr>
        <w:tc>
          <w:tcPr>
            <w:tcW w:w="1804" w:type="dxa"/>
            <w:vMerge w:val="continue"/>
            <w:vAlign w:val="center"/>
          </w:tcPr>
          <w:p w14:paraId="0F5D16F6">
            <w:pPr>
              <w:pStyle w:val="22"/>
              <w:spacing w:line="360" w:lineRule="auto"/>
              <w:rPr>
                <w:rFonts w:ascii="宋体" w:hAnsi="宋体" w:eastAsia="宋体"/>
              </w:rPr>
            </w:pPr>
          </w:p>
        </w:tc>
        <w:tc>
          <w:tcPr>
            <w:tcW w:w="3523" w:type="dxa"/>
            <w:shd w:val="clear" w:color="auto" w:fill="auto"/>
            <w:tcMar>
              <w:top w:w="15" w:type="dxa"/>
              <w:left w:w="108" w:type="dxa"/>
              <w:bottom w:w="0" w:type="dxa"/>
              <w:right w:w="108" w:type="dxa"/>
            </w:tcMar>
            <w:vAlign w:val="center"/>
          </w:tcPr>
          <w:p w14:paraId="0146A194">
            <w:pPr>
              <w:pStyle w:val="22"/>
              <w:spacing w:line="360" w:lineRule="auto"/>
              <w:rPr>
                <w:rFonts w:ascii="Times New Roman" w:eastAsia="宋体" w:cs="Times New Roman"/>
              </w:rPr>
            </w:pPr>
            <w:r>
              <w:rPr>
                <w:rFonts w:ascii="Times New Roman" w:eastAsia="宋体" w:cs="Times New Roman"/>
              </w:rPr>
              <w:t>VOC</w:t>
            </w:r>
          </w:p>
        </w:tc>
        <w:tc>
          <w:tcPr>
            <w:tcW w:w="2922" w:type="dxa"/>
            <w:shd w:val="clear" w:color="auto" w:fill="auto"/>
            <w:tcMar>
              <w:top w:w="15" w:type="dxa"/>
              <w:left w:w="108" w:type="dxa"/>
              <w:bottom w:w="0" w:type="dxa"/>
              <w:right w:w="108" w:type="dxa"/>
            </w:tcMar>
            <w:vAlign w:val="center"/>
          </w:tcPr>
          <w:p w14:paraId="0DB165D0">
            <w:pPr>
              <w:pStyle w:val="22"/>
              <w:spacing w:line="360" w:lineRule="auto"/>
              <w:rPr>
                <w:rFonts w:ascii="Times New Roman" w:eastAsia="宋体" w:cs="Times New Roman"/>
              </w:rPr>
            </w:pPr>
            <w:r>
              <w:rPr>
                <w:rFonts w:ascii="Times New Roman" w:eastAsia="宋体" w:cs="Times New Roman"/>
              </w:rPr>
              <w:t>μg/m³</w:t>
            </w:r>
          </w:p>
        </w:tc>
      </w:tr>
      <w:tr w14:paraId="60EBA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4" w:hRule="atLeast"/>
        </w:trPr>
        <w:tc>
          <w:tcPr>
            <w:tcW w:w="1804" w:type="dxa"/>
            <w:vMerge w:val="continue"/>
            <w:vAlign w:val="center"/>
          </w:tcPr>
          <w:p w14:paraId="1E7937DE">
            <w:pPr>
              <w:pStyle w:val="22"/>
              <w:spacing w:line="360" w:lineRule="auto"/>
              <w:rPr>
                <w:rFonts w:ascii="宋体" w:hAnsi="宋体" w:eastAsia="宋体"/>
              </w:rPr>
            </w:pPr>
          </w:p>
        </w:tc>
        <w:tc>
          <w:tcPr>
            <w:tcW w:w="3523" w:type="dxa"/>
            <w:shd w:val="clear" w:color="auto" w:fill="auto"/>
            <w:tcMar>
              <w:top w:w="15" w:type="dxa"/>
              <w:left w:w="108" w:type="dxa"/>
              <w:bottom w:w="0" w:type="dxa"/>
              <w:right w:w="108" w:type="dxa"/>
            </w:tcMar>
            <w:vAlign w:val="center"/>
          </w:tcPr>
          <w:p w14:paraId="2B610422">
            <w:pPr>
              <w:pStyle w:val="22"/>
              <w:spacing w:line="360" w:lineRule="auto"/>
              <w:rPr>
                <w:rFonts w:ascii="宋体" w:hAnsi="宋体" w:eastAsia="宋体"/>
              </w:rPr>
            </w:pPr>
            <w:r>
              <w:rPr>
                <w:rFonts w:hint="eastAsia" w:ascii="宋体" w:hAnsi="宋体" w:eastAsia="宋体"/>
              </w:rPr>
              <w:t>富氧环境</w:t>
            </w:r>
          </w:p>
        </w:tc>
        <w:tc>
          <w:tcPr>
            <w:tcW w:w="2922" w:type="dxa"/>
            <w:shd w:val="clear" w:color="auto" w:fill="auto"/>
            <w:tcMar>
              <w:top w:w="15" w:type="dxa"/>
              <w:left w:w="108" w:type="dxa"/>
              <w:bottom w:w="0" w:type="dxa"/>
              <w:right w:w="108" w:type="dxa"/>
            </w:tcMar>
            <w:vAlign w:val="center"/>
          </w:tcPr>
          <w:p w14:paraId="43E866F1">
            <w:pPr>
              <w:pStyle w:val="22"/>
              <w:spacing w:line="360" w:lineRule="auto"/>
              <w:rPr>
                <w:rFonts w:ascii="Times New Roman" w:eastAsia="宋体" w:cs="Times New Roman"/>
              </w:rPr>
            </w:pPr>
            <w:r>
              <w:rPr>
                <w:rFonts w:ascii="Times New Roman" w:eastAsia="宋体" w:cs="Times New Roman"/>
              </w:rPr>
              <w:t>%vol</w:t>
            </w:r>
          </w:p>
        </w:tc>
      </w:tr>
    </w:tbl>
    <w:p w14:paraId="4B15DD64">
      <w:pPr>
        <w:rPr>
          <w:lang w:val="zh-CN"/>
        </w:rPr>
      </w:pPr>
    </w:p>
    <w:p w14:paraId="56C09EC7">
      <w:pPr>
        <w:pStyle w:val="3"/>
        <w:spacing w:before="156" w:after="156"/>
        <w:rPr>
          <w:color w:val="0D0D0D" w:themeColor="text1" w:themeTint="F2"/>
          <w14:textFill>
            <w14:solidFill>
              <w14:schemeClr w14:val="tx1">
                <w14:lumMod w14:val="95000"/>
                <w14:lumOff w14:val="5000"/>
              </w14:schemeClr>
            </w14:solidFill>
          </w14:textFill>
        </w:rPr>
      </w:pPr>
      <w:bookmarkStart w:id="37" w:name="_Toc220593726"/>
      <w:r>
        <w:rPr>
          <w:color w:val="0D0D0D" w:themeColor="text1" w:themeTint="F2"/>
          <w14:textFill>
            <w14:solidFill>
              <w14:schemeClr w14:val="tx1">
                <w14:lumMod w14:val="95000"/>
                <w14:lumOff w14:val="5000"/>
              </w14:schemeClr>
            </w14:solidFill>
          </w14:textFill>
        </w:rPr>
        <w:t xml:space="preserve">B.3 </w:t>
      </w:r>
      <w:r>
        <w:rPr>
          <w:rFonts w:hint="eastAsia"/>
          <w:color w:val="0D0D0D" w:themeColor="text1" w:themeTint="F2"/>
          <w14:textFill>
            <w14:solidFill>
              <w14:schemeClr w14:val="tx1">
                <w14:lumMod w14:val="95000"/>
                <w14:lumOff w14:val="5000"/>
              </w14:schemeClr>
            </w14:solidFill>
          </w14:textFill>
        </w:rPr>
        <w:t>其他数据</w:t>
      </w:r>
      <w:bookmarkEnd w:id="37"/>
    </w:p>
    <w:p w14:paraId="24361046">
      <w:pPr>
        <w:pStyle w:val="22"/>
        <w:spacing w:after="156" w:afterLines="50" w:line="480" w:lineRule="exact"/>
        <w:ind w:firstLine="560" w:firstLineChars="200"/>
        <w:rPr>
          <w:rFonts w:ascii="宋体" w:hAnsi="宋体" w:eastAsia="宋体"/>
          <w:sz w:val="28"/>
          <w:szCs w:val="28"/>
        </w:rPr>
      </w:pPr>
      <w:r>
        <w:rPr>
          <w:rFonts w:hint="eastAsia" w:ascii="宋体" w:hAnsi="宋体" w:eastAsia="宋体"/>
          <w:sz w:val="28"/>
          <w:szCs w:val="28"/>
        </w:rPr>
        <w:t>其他数据包括排水管网、雨水径流水质、鸟类、噪声等，具体指标表</w:t>
      </w:r>
      <w:r>
        <w:rPr>
          <w:rFonts w:ascii="宋体" w:hAnsi="宋体" w:eastAsia="宋体"/>
          <w:sz w:val="28"/>
          <w:szCs w:val="28"/>
        </w:rPr>
        <w:t>B.3</w:t>
      </w:r>
      <w:r>
        <w:rPr>
          <w:rFonts w:hint="eastAsia" w:ascii="宋体" w:hAnsi="宋体" w:eastAsia="宋体"/>
          <w:sz w:val="28"/>
          <w:szCs w:val="28"/>
        </w:rPr>
        <w:t>。</w:t>
      </w:r>
    </w:p>
    <w:p w14:paraId="0340CCCA">
      <w:pPr>
        <w:jc w:val="center"/>
        <w:rPr>
          <w:b/>
          <w:sz w:val="28"/>
          <w:lang w:val="zh-CN"/>
        </w:rPr>
      </w:pPr>
      <w:r>
        <w:rPr>
          <w:rFonts w:hint="eastAsia"/>
          <w:b/>
          <w:sz w:val="28"/>
          <w:lang w:val="zh-CN"/>
        </w:rPr>
        <w:t>表B</w:t>
      </w:r>
      <w:r>
        <w:rPr>
          <w:b/>
          <w:sz w:val="28"/>
          <w:lang w:val="zh-CN"/>
        </w:rPr>
        <w:t>.3</w:t>
      </w:r>
      <w:r>
        <w:rPr>
          <w:rFonts w:hint="eastAsia"/>
          <w:b/>
          <w:sz w:val="28"/>
          <w:lang w:val="zh-CN"/>
        </w:rPr>
        <w:t xml:space="preserve"> 其他数据表</w:t>
      </w:r>
    </w:p>
    <w:tbl>
      <w:tblPr>
        <w:tblStyle w:val="15"/>
        <w:tblW w:w="82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744"/>
        <w:gridCol w:w="3764"/>
        <w:gridCol w:w="2753"/>
      </w:tblGrid>
      <w:tr w14:paraId="102EF6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2" w:hRule="atLeast"/>
        </w:trPr>
        <w:tc>
          <w:tcPr>
            <w:tcW w:w="1744" w:type="dxa"/>
            <w:vAlign w:val="center"/>
          </w:tcPr>
          <w:p w14:paraId="483F2F47">
            <w:pPr>
              <w:pStyle w:val="22"/>
              <w:jc w:val="center"/>
              <w:rPr>
                <w:rFonts w:ascii="宋体" w:hAnsi="宋体" w:eastAsia="宋体"/>
                <w:b/>
                <w:bCs/>
              </w:rPr>
            </w:pPr>
            <w:r>
              <w:rPr>
                <w:rFonts w:ascii="宋体" w:hAnsi="宋体" w:eastAsia="宋体"/>
                <w:b/>
                <w:bCs/>
              </w:rPr>
              <w:t>指标类别</w:t>
            </w:r>
          </w:p>
        </w:tc>
        <w:tc>
          <w:tcPr>
            <w:tcW w:w="3764" w:type="dxa"/>
            <w:shd w:val="clear" w:color="auto" w:fill="auto"/>
            <w:tcMar>
              <w:top w:w="15" w:type="dxa"/>
              <w:left w:w="66" w:type="dxa"/>
              <w:bottom w:w="0" w:type="dxa"/>
              <w:right w:w="66" w:type="dxa"/>
            </w:tcMar>
            <w:vAlign w:val="center"/>
          </w:tcPr>
          <w:p w14:paraId="3B0581A6">
            <w:pPr>
              <w:pStyle w:val="22"/>
              <w:jc w:val="center"/>
              <w:rPr>
                <w:rFonts w:ascii="宋体" w:hAnsi="宋体" w:eastAsia="宋体"/>
              </w:rPr>
            </w:pPr>
            <w:r>
              <w:rPr>
                <w:rFonts w:ascii="宋体" w:hAnsi="宋体" w:eastAsia="宋体"/>
                <w:b/>
                <w:bCs/>
              </w:rPr>
              <w:t>指标</w:t>
            </w:r>
          </w:p>
        </w:tc>
        <w:tc>
          <w:tcPr>
            <w:tcW w:w="2753" w:type="dxa"/>
            <w:shd w:val="clear" w:color="auto" w:fill="auto"/>
            <w:tcMar>
              <w:top w:w="15" w:type="dxa"/>
              <w:left w:w="66" w:type="dxa"/>
              <w:bottom w:w="0" w:type="dxa"/>
              <w:right w:w="66" w:type="dxa"/>
            </w:tcMar>
            <w:vAlign w:val="center"/>
          </w:tcPr>
          <w:p w14:paraId="5D4B8263">
            <w:pPr>
              <w:pStyle w:val="22"/>
              <w:jc w:val="center"/>
              <w:rPr>
                <w:rFonts w:ascii="宋体" w:hAnsi="宋体" w:eastAsia="宋体"/>
              </w:rPr>
            </w:pPr>
            <w:r>
              <w:rPr>
                <w:rFonts w:ascii="宋体" w:hAnsi="宋体" w:eastAsia="宋体"/>
                <w:b/>
                <w:bCs/>
              </w:rPr>
              <w:t>单位</w:t>
            </w:r>
            <w:r>
              <w:rPr>
                <w:rFonts w:hint="eastAsia" w:ascii="宋体" w:hAnsi="宋体" w:eastAsia="宋体"/>
                <w:b/>
                <w:bCs/>
              </w:rPr>
              <w:t>/说明</w:t>
            </w:r>
          </w:p>
        </w:tc>
      </w:tr>
      <w:tr w14:paraId="78E19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2" w:hRule="atLeast"/>
        </w:trPr>
        <w:tc>
          <w:tcPr>
            <w:tcW w:w="1744" w:type="dxa"/>
            <w:vMerge w:val="restart"/>
            <w:vAlign w:val="center"/>
          </w:tcPr>
          <w:p w14:paraId="74A84F27">
            <w:pPr>
              <w:pStyle w:val="22"/>
              <w:rPr>
                <w:rFonts w:ascii="宋体" w:hAnsi="宋体" w:eastAsia="宋体"/>
                <w:b/>
                <w:bCs/>
              </w:rPr>
            </w:pPr>
            <w:r>
              <w:rPr>
                <w:rFonts w:ascii="宋体" w:hAnsi="宋体" w:eastAsia="宋体"/>
                <w:b/>
                <w:bCs/>
              </w:rPr>
              <w:t>排水管网</w:t>
            </w:r>
          </w:p>
        </w:tc>
        <w:tc>
          <w:tcPr>
            <w:tcW w:w="3764" w:type="dxa"/>
            <w:shd w:val="clear" w:color="auto" w:fill="auto"/>
            <w:tcMar>
              <w:top w:w="15" w:type="dxa"/>
              <w:left w:w="66" w:type="dxa"/>
              <w:bottom w:w="0" w:type="dxa"/>
              <w:right w:w="66" w:type="dxa"/>
            </w:tcMar>
            <w:vAlign w:val="center"/>
          </w:tcPr>
          <w:p w14:paraId="77F18DB1">
            <w:pPr>
              <w:pStyle w:val="22"/>
              <w:rPr>
                <w:rFonts w:ascii="宋体" w:hAnsi="宋体" w:eastAsia="宋体"/>
              </w:rPr>
            </w:pPr>
            <w:r>
              <w:rPr>
                <w:rFonts w:ascii="宋体" w:hAnsi="宋体" w:eastAsia="宋体"/>
              </w:rPr>
              <w:t>管道水位</w:t>
            </w:r>
          </w:p>
        </w:tc>
        <w:tc>
          <w:tcPr>
            <w:tcW w:w="2753" w:type="dxa"/>
            <w:shd w:val="clear" w:color="auto" w:fill="auto"/>
            <w:tcMar>
              <w:top w:w="15" w:type="dxa"/>
              <w:left w:w="66" w:type="dxa"/>
              <w:bottom w:w="0" w:type="dxa"/>
              <w:right w:w="66" w:type="dxa"/>
            </w:tcMar>
            <w:vAlign w:val="center"/>
          </w:tcPr>
          <w:p w14:paraId="08D5A954">
            <w:pPr>
              <w:pStyle w:val="22"/>
              <w:rPr>
                <w:rFonts w:ascii="宋体" w:hAnsi="宋体" w:eastAsia="宋体"/>
              </w:rPr>
            </w:pPr>
            <w:r>
              <w:rPr>
                <w:rFonts w:hint="eastAsia" w:ascii="宋体" w:hAnsi="宋体" w:eastAsia="宋体"/>
              </w:rPr>
              <w:t>mm</w:t>
            </w:r>
          </w:p>
        </w:tc>
      </w:tr>
      <w:tr w14:paraId="290D7D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2" w:hRule="atLeast"/>
        </w:trPr>
        <w:tc>
          <w:tcPr>
            <w:tcW w:w="1744" w:type="dxa"/>
            <w:vMerge w:val="continue"/>
            <w:vAlign w:val="center"/>
          </w:tcPr>
          <w:p w14:paraId="01536EFF">
            <w:pPr>
              <w:pStyle w:val="22"/>
              <w:rPr>
                <w:rFonts w:ascii="宋体" w:hAnsi="宋体" w:eastAsia="宋体"/>
                <w:b/>
                <w:bCs/>
              </w:rPr>
            </w:pPr>
          </w:p>
        </w:tc>
        <w:tc>
          <w:tcPr>
            <w:tcW w:w="3764" w:type="dxa"/>
            <w:shd w:val="clear" w:color="auto" w:fill="auto"/>
            <w:tcMar>
              <w:top w:w="15" w:type="dxa"/>
              <w:left w:w="66" w:type="dxa"/>
              <w:bottom w:w="0" w:type="dxa"/>
              <w:right w:w="66" w:type="dxa"/>
            </w:tcMar>
            <w:vAlign w:val="center"/>
          </w:tcPr>
          <w:p w14:paraId="78D5D911">
            <w:pPr>
              <w:pStyle w:val="22"/>
              <w:rPr>
                <w:rFonts w:ascii="宋体" w:hAnsi="宋体" w:eastAsia="宋体"/>
              </w:rPr>
            </w:pPr>
            <w:r>
              <w:rPr>
                <w:rFonts w:ascii="宋体" w:hAnsi="宋体" w:eastAsia="宋体"/>
              </w:rPr>
              <w:t>排口流量</w:t>
            </w:r>
          </w:p>
        </w:tc>
        <w:tc>
          <w:tcPr>
            <w:tcW w:w="2753" w:type="dxa"/>
            <w:shd w:val="clear" w:color="auto" w:fill="auto"/>
            <w:tcMar>
              <w:top w:w="15" w:type="dxa"/>
              <w:left w:w="66" w:type="dxa"/>
              <w:bottom w:w="0" w:type="dxa"/>
              <w:right w:w="66" w:type="dxa"/>
            </w:tcMar>
            <w:vAlign w:val="center"/>
          </w:tcPr>
          <w:p w14:paraId="3EF5565D">
            <w:pPr>
              <w:pStyle w:val="22"/>
              <w:rPr>
                <w:rFonts w:ascii="宋体" w:hAnsi="宋体" w:eastAsia="宋体"/>
              </w:rPr>
            </w:pPr>
            <w:r>
              <w:rPr>
                <w:rFonts w:hint="eastAsia" w:ascii="宋体" w:hAnsi="宋体" w:eastAsia="宋体"/>
              </w:rPr>
              <w:t>m</w:t>
            </w:r>
            <w:r>
              <w:rPr>
                <w:rFonts w:hint="eastAsia" w:ascii="宋体" w:hAnsi="宋体" w:eastAsia="宋体"/>
                <w:vertAlign w:val="superscript"/>
              </w:rPr>
              <w:t>3</w:t>
            </w:r>
          </w:p>
        </w:tc>
      </w:tr>
      <w:tr w14:paraId="67196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2" w:hRule="atLeast"/>
        </w:trPr>
        <w:tc>
          <w:tcPr>
            <w:tcW w:w="1744" w:type="dxa"/>
            <w:vMerge w:val="continue"/>
            <w:vAlign w:val="center"/>
          </w:tcPr>
          <w:p w14:paraId="05888FDB">
            <w:pPr>
              <w:pStyle w:val="22"/>
              <w:rPr>
                <w:rFonts w:ascii="宋体" w:hAnsi="宋体" w:eastAsia="宋体"/>
                <w:b/>
                <w:bCs/>
              </w:rPr>
            </w:pPr>
          </w:p>
        </w:tc>
        <w:tc>
          <w:tcPr>
            <w:tcW w:w="3764" w:type="dxa"/>
            <w:shd w:val="clear" w:color="auto" w:fill="auto"/>
            <w:tcMar>
              <w:top w:w="15" w:type="dxa"/>
              <w:left w:w="66" w:type="dxa"/>
              <w:bottom w:w="0" w:type="dxa"/>
              <w:right w:w="66" w:type="dxa"/>
            </w:tcMar>
            <w:vAlign w:val="center"/>
          </w:tcPr>
          <w:p w14:paraId="630369DF">
            <w:pPr>
              <w:pStyle w:val="22"/>
              <w:rPr>
                <w:rFonts w:ascii="宋体" w:hAnsi="宋体" w:eastAsia="宋体"/>
              </w:rPr>
            </w:pPr>
            <w:r>
              <w:rPr>
                <w:rFonts w:ascii="宋体" w:hAnsi="宋体" w:eastAsia="宋体"/>
              </w:rPr>
              <w:t>排口流速</w:t>
            </w:r>
          </w:p>
        </w:tc>
        <w:tc>
          <w:tcPr>
            <w:tcW w:w="2753" w:type="dxa"/>
            <w:shd w:val="clear" w:color="auto" w:fill="auto"/>
            <w:tcMar>
              <w:top w:w="15" w:type="dxa"/>
              <w:left w:w="66" w:type="dxa"/>
              <w:bottom w:w="0" w:type="dxa"/>
              <w:right w:w="66" w:type="dxa"/>
            </w:tcMar>
            <w:vAlign w:val="center"/>
          </w:tcPr>
          <w:p w14:paraId="15017B63">
            <w:pPr>
              <w:pStyle w:val="22"/>
              <w:rPr>
                <w:rFonts w:ascii="宋体" w:hAnsi="宋体" w:eastAsia="宋体"/>
              </w:rPr>
            </w:pPr>
            <w:r>
              <w:rPr>
                <w:rFonts w:hint="eastAsia" w:ascii="宋体" w:hAnsi="宋体" w:eastAsia="宋体"/>
              </w:rPr>
              <w:t>m/s</w:t>
            </w:r>
          </w:p>
        </w:tc>
      </w:tr>
      <w:tr w14:paraId="7CAFE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2" w:hRule="atLeast"/>
        </w:trPr>
        <w:tc>
          <w:tcPr>
            <w:tcW w:w="1744" w:type="dxa"/>
            <w:vMerge w:val="continue"/>
            <w:vAlign w:val="center"/>
          </w:tcPr>
          <w:p w14:paraId="5455EC61">
            <w:pPr>
              <w:pStyle w:val="22"/>
              <w:rPr>
                <w:rFonts w:ascii="宋体" w:hAnsi="宋体" w:eastAsia="宋体"/>
                <w:b/>
                <w:bCs/>
              </w:rPr>
            </w:pPr>
          </w:p>
        </w:tc>
        <w:tc>
          <w:tcPr>
            <w:tcW w:w="3764" w:type="dxa"/>
            <w:shd w:val="clear" w:color="auto" w:fill="auto"/>
            <w:tcMar>
              <w:top w:w="15" w:type="dxa"/>
              <w:left w:w="66" w:type="dxa"/>
              <w:bottom w:w="0" w:type="dxa"/>
              <w:right w:w="66" w:type="dxa"/>
            </w:tcMar>
            <w:vAlign w:val="center"/>
          </w:tcPr>
          <w:p w14:paraId="7F5A2BE3">
            <w:pPr>
              <w:pStyle w:val="22"/>
              <w:rPr>
                <w:rFonts w:ascii="宋体" w:hAnsi="宋体" w:eastAsia="宋体"/>
              </w:rPr>
            </w:pPr>
            <w:r>
              <w:rPr>
                <w:rFonts w:ascii="宋体" w:hAnsi="宋体" w:eastAsia="宋体"/>
              </w:rPr>
              <w:t>固体总悬浮物</w:t>
            </w:r>
            <w:r>
              <w:rPr>
                <w:rFonts w:hint="eastAsia" w:ascii="宋体" w:hAnsi="宋体" w:eastAsia="宋体"/>
              </w:rPr>
              <w:t>SS</w:t>
            </w:r>
          </w:p>
        </w:tc>
        <w:tc>
          <w:tcPr>
            <w:tcW w:w="2753" w:type="dxa"/>
            <w:shd w:val="clear" w:color="auto" w:fill="auto"/>
            <w:tcMar>
              <w:top w:w="15" w:type="dxa"/>
              <w:left w:w="66" w:type="dxa"/>
              <w:bottom w:w="0" w:type="dxa"/>
              <w:right w:w="66" w:type="dxa"/>
            </w:tcMar>
            <w:vAlign w:val="center"/>
          </w:tcPr>
          <w:p w14:paraId="41529DD3">
            <w:pPr>
              <w:pStyle w:val="22"/>
              <w:rPr>
                <w:rFonts w:ascii="宋体" w:hAnsi="宋体" w:eastAsia="宋体"/>
              </w:rPr>
            </w:pPr>
            <w:r>
              <w:rPr>
                <w:rFonts w:hint="eastAsia" w:ascii="宋体" w:hAnsi="宋体" w:eastAsia="宋体"/>
              </w:rPr>
              <w:t>mg/dm</w:t>
            </w:r>
            <w:r>
              <w:rPr>
                <w:rFonts w:hint="eastAsia" w:ascii="宋体" w:hAnsi="宋体" w:eastAsia="宋体"/>
                <w:vertAlign w:val="superscript"/>
              </w:rPr>
              <w:t>3</w:t>
            </w:r>
          </w:p>
        </w:tc>
      </w:tr>
      <w:tr w14:paraId="3DF17B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2" w:hRule="atLeast"/>
        </w:trPr>
        <w:tc>
          <w:tcPr>
            <w:tcW w:w="1744" w:type="dxa"/>
            <w:vMerge w:val="restart"/>
            <w:vAlign w:val="center"/>
          </w:tcPr>
          <w:p w14:paraId="039F0005">
            <w:pPr>
              <w:pStyle w:val="22"/>
              <w:rPr>
                <w:rFonts w:ascii="宋体" w:hAnsi="宋体" w:eastAsia="宋体"/>
                <w:b/>
                <w:bCs/>
              </w:rPr>
            </w:pPr>
            <w:r>
              <w:rPr>
                <w:rFonts w:ascii="宋体" w:hAnsi="宋体" w:eastAsia="宋体"/>
                <w:b/>
                <w:bCs/>
              </w:rPr>
              <w:t>雨水径流</w:t>
            </w:r>
          </w:p>
          <w:p w14:paraId="05D06BCE">
            <w:pPr>
              <w:pStyle w:val="22"/>
              <w:rPr>
                <w:rFonts w:ascii="宋体" w:hAnsi="宋体" w:eastAsia="宋体"/>
                <w:b/>
                <w:bCs/>
              </w:rPr>
            </w:pPr>
            <w:r>
              <w:rPr>
                <w:rFonts w:ascii="宋体" w:hAnsi="宋体" w:eastAsia="宋体"/>
                <w:b/>
                <w:bCs/>
              </w:rPr>
              <w:t>水质</w:t>
            </w:r>
          </w:p>
        </w:tc>
        <w:tc>
          <w:tcPr>
            <w:tcW w:w="3764" w:type="dxa"/>
            <w:shd w:val="clear" w:color="auto" w:fill="auto"/>
            <w:tcMar>
              <w:top w:w="15" w:type="dxa"/>
              <w:left w:w="66" w:type="dxa"/>
              <w:bottom w:w="0" w:type="dxa"/>
              <w:right w:w="66" w:type="dxa"/>
            </w:tcMar>
            <w:vAlign w:val="center"/>
          </w:tcPr>
          <w:p w14:paraId="27C462DA">
            <w:pPr>
              <w:pStyle w:val="22"/>
              <w:rPr>
                <w:rFonts w:ascii="宋体" w:hAnsi="宋体" w:eastAsia="宋体"/>
              </w:rPr>
            </w:pPr>
            <w:r>
              <w:rPr>
                <w:rFonts w:hint="eastAsia" w:ascii="宋体" w:hAnsi="宋体" w:eastAsia="宋体"/>
              </w:rPr>
              <w:t>PH</w:t>
            </w:r>
            <w:r>
              <w:rPr>
                <w:rFonts w:ascii="宋体" w:hAnsi="宋体" w:eastAsia="宋体"/>
              </w:rPr>
              <w:t>值</w:t>
            </w:r>
          </w:p>
        </w:tc>
        <w:tc>
          <w:tcPr>
            <w:tcW w:w="2753" w:type="dxa"/>
            <w:shd w:val="clear" w:color="auto" w:fill="auto"/>
            <w:tcMar>
              <w:top w:w="15" w:type="dxa"/>
              <w:left w:w="66" w:type="dxa"/>
              <w:bottom w:w="0" w:type="dxa"/>
              <w:right w:w="66" w:type="dxa"/>
            </w:tcMar>
            <w:vAlign w:val="center"/>
          </w:tcPr>
          <w:p w14:paraId="341114B2">
            <w:pPr>
              <w:pStyle w:val="22"/>
              <w:rPr>
                <w:rFonts w:ascii="宋体" w:hAnsi="宋体" w:eastAsia="宋体"/>
              </w:rPr>
            </w:pPr>
            <w:r>
              <w:rPr>
                <w:rFonts w:hint="eastAsia" w:ascii="宋体" w:hAnsi="宋体" w:eastAsia="宋体"/>
              </w:rPr>
              <w:t>—</w:t>
            </w:r>
          </w:p>
        </w:tc>
      </w:tr>
      <w:tr w14:paraId="553EB2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2" w:hRule="atLeast"/>
        </w:trPr>
        <w:tc>
          <w:tcPr>
            <w:tcW w:w="1744" w:type="dxa"/>
            <w:vMerge w:val="continue"/>
            <w:vAlign w:val="center"/>
          </w:tcPr>
          <w:p w14:paraId="7409A2CB">
            <w:pPr>
              <w:pStyle w:val="22"/>
              <w:rPr>
                <w:rFonts w:ascii="宋体" w:hAnsi="宋体" w:eastAsia="宋体"/>
                <w:b/>
                <w:bCs/>
              </w:rPr>
            </w:pPr>
          </w:p>
        </w:tc>
        <w:tc>
          <w:tcPr>
            <w:tcW w:w="3764" w:type="dxa"/>
            <w:shd w:val="clear" w:color="auto" w:fill="auto"/>
            <w:tcMar>
              <w:top w:w="15" w:type="dxa"/>
              <w:left w:w="66" w:type="dxa"/>
              <w:bottom w:w="0" w:type="dxa"/>
              <w:right w:w="66" w:type="dxa"/>
            </w:tcMar>
            <w:vAlign w:val="center"/>
          </w:tcPr>
          <w:p w14:paraId="30B72B20">
            <w:pPr>
              <w:pStyle w:val="22"/>
              <w:rPr>
                <w:rFonts w:ascii="宋体" w:hAnsi="宋体" w:eastAsia="宋体"/>
              </w:rPr>
            </w:pPr>
            <w:r>
              <w:rPr>
                <w:rFonts w:ascii="宋体" w:hAnsi="宋体" w:eastAsia="宋体"/>
              </w:rPr>
              <w:t>固体总悬浮物</w:t>
            </w:r>
            <w:r>
              <w:rPr>
                <w:rFonts w:hint="eastAsia" w:ascii="宋体" w:hAnsi="宋体" w:eastAsia="宋体"/>
              </w:rPr>
              <w:t>SS</w:t>
            </w:r>
          </w:p>
        </w:tc>
        <w:tc>
          <w:tcPr>
            <w:tcW w:w="2753" w:type="dxa"/>
            <w:shd w:val="clear" w:color="auto" w:fill="auto"/>
            <w:tcMar>
              <w:top w:w="15" w:type="dxa"/>
              <w:left w:w="66" w:type="dxa"/>
              <w:bottom w:w="0" w:type="dxa"/>
              <w:right w:w="66" w:type="dxa"/>
            </w:tcMar>
            <w:vAlign w:val="center"/>
          </w:tcPr>
          <w:p w14:paraId="7DFE3B52">
            <w:pPr>
              <w:pStyle w:val="22"/>
              <w:rPr>
                <w:rFonts w:ascii="宋体" w:hAnsi="宋体" w:eastAsia="宋体"/>
              </w:rPr>
            </w:pPr>
            <w:r>
              <w:rPr>
                <w:rFonts w:hint="eastAsia" w:ascii="宋体" w:hAnsi="宋体" w:eastAsia="宋体"/>
              </w:rPr>
              <w:t>mg/dm</w:t>
            </w:r>
            <w:r>
              <w:rPr>
                <w:rFonts w:hint="eastAsia" w:ascii="宋体" w:hAnsi="宋体" w:eastAsia="宋体"/>
                <w:vertAlign w:val="superscript"/>
              </w:rPr>
              <w:t>3</w:t>
            </w:r>
          </w:p>
        </w:tc>
      </w:tr>
      <w:tr w14:paraId="2BF41B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2" w:hRule="atLeast"/>
        </w:trPr>
        <w:tc>
          <w:tcPr>
            <w:tcW w:w="1744" w:type="dxa"/>
            <w:vMerge w:val="continue"/>
            <w:vAlign w:val="center"/>
          </w:tcPr>
          <w:p w14:paraId="6158512F">
            <w:pPr>
              <w:pStyle w:val="22"/>
              <w:rPr>
                <w:rFonts w:ascii="宋体" w:hAnsi="宋体" w:eastAsia="宋体"/>
                <w:b/>
                <w:bCs/>
              </w:rPr>
            </w:pPr>
          </w:p>
        </w:tc>
        <w:tc>
          <w:tcPr>
            <w:tcW w:w="3764" w:type="dxa"/>
            <w:shd w:val="clear" w:color="auto" w:fill="auto"/>
            <w:tcMar>
              <w:top w:w="15" w:type="dxa"/>
              <w:left w:w="66" w:type="dxa"/>
              <w:bottom w:w="0" w:type="dxa"/>
              <w:right w:w="66" w:type="dxa"/>
            </w:tcMar>
            <w:vAlign w:val="center"/>
          </w:tcPr>
          <w:p w14:paraId="142F71D6">
            <w:pPr>
              <w:pStyle w:val="22"/>
              <w:rPr>
                <w:rFonts w:ascii="宋体" w:hAnsi="宋体" w:eastAsia="宋体"/>
              </w:rPr>
            </w:pPr>
            <w:r>
              <w:rPr>
                <w:rFonts w:ascii="宋体" w:hAnsi="宋体" w:eastAsia="宋体"/>
              </w:rPr>
              <w:t>总磷</w:t>
            </w:r>
          </w:p>
        </w:tc>
        <w:tc>
          <w:tcPr>
            <w:tcW w:w="2753" w:type="dxa"/>
            <w:shd w:val="clear" w:color="auto" w:fill="auto"/>
            <w:tcMar>
              <w:top w:w="15" w:type="dxa"/>
              <w:left w:w="66" w:type="dxa"/>
              <w:bottom w:w="0" w:type="dxa"/>
              <w:right w:w="66" w:type="dxa"/>
            </w:tcMar>
            <w:vAlign w:val="center"/>
          </w:tcPr>
          <w:p w14:paraId="7B2ED895">
            <w:pPr>
              <w:pStyle w:val="22"/>
              <w:rPr>
                <w:rFonts w:ascii="宋体" w:hAnsi="宋体" w:eastAsia="宋体"/>
              </w:rPr>
            </w:pPr>
            <w:r>
              <w:rPr>
                <w:rFonts w:hint="eastAsia" w:ascii="宋体" w:hAnsi="宋体" w:eastAsia="宋体"/>
              </w:rPr>
              <w:t>mg/dm</w:t>
            </w:r>
            <w:r>
              <w:rPr>
                <w:rFonts w:hint="eastAsia" w:ascii="宋体" w:hAnsi="宋体" w:eastAsia="宋体"/>
                <w:vertAlign w:val="superscript"/>
              </w:rPr>
              <w:t>3</w:t>
            </w:r>
          </w:p>
        </w:tc>
      </w:tr>
      <w:tr w14:paraId="304161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2" w:hRule="atLeast"/>
        </w:trPr>
        <w:tc>
          <w:tcPr>
            <w:tcW w:w="1744" w:type="dxa"/>
            <w:vMerge w:val="continue"/>
            <w:vAlign w:val="center"/>
          </w:tcPr>
          <w:p w14:paraId="4ED497CD">
            <w:pPr>
              <w:pStyle w:val="22"/>
              <w:rPr>
                <w:rFonts w:ascii="宋体" w:hAnsi="宋体" w:eastAsia="宋体"/>
                <w:b/>
                <w:bCs/>
              </w:rPr>
            </w:pPr>
          </w:p>
        </w:tc>
        <w:tc>
          <w:tcPr>
            <w:tcW w:w="3764" w:type="dxa"/>
            <w:shd w:val="clear" w:color="auto" w:fill="auto"/>
            <w:tcMar>
              <w:top w:w="15" w:type="dxa"/>
              <w:left w:w="66" w:type="dxa"/>
              <w:bottom w:w="0" w:type="dxa"/>
              <w:right w:w="66" w:type="dxa"/>
            </w:tcMar>
            <w:vAlign w:val="center"/>
          </w:tcPr>
          <w:p w14:paraId="4CD062AC">
            <w:pPr>
              <w:pStyle w:val="22"/>
              <w:rPr>
                <w:rFonts w:ascii="宋体" w:hAnsi="宋体" w:eastAsia="宋体"/>
              </w:rPr>
            </w:pPr>
            <w:r>
              <w:rPr>
                <w:rFonts w:ascii="宋体" w:hAnsi="宋体" w:eastAsia="宋体"/>
              </w:rPr>
              <w:t>氨氮</w:t>
            </w:r>
          </w:p>
        </w:tc>
        <w:tc>
          <w:tcPr>
            <w:tcW w:w="2753" w:type="dxa"/>
            <w:shd w:val="clear" w:color="auto" w:fill="auto"/>
            <w:tcMar>
              <w:top w:w="15" w:type="dxa"/>
              <w:left w:w="66" w:type="dxa"/>
              <w:bottom w:w="0" w:type="dxa"/>
              <w:right w:w="66" w:type="dxa"/>
            </w:tcMar>
            <w:vAlign w:val="center"/>
          </w:tcPr>
          <w:p w14:paraId="71663A19">
            <w:pPr>
              <w:pStyle w:val="22"/>
              <w:rPr>
                <w:rFonts w:ascii="宋体" w:hAnsi="宋体" w:eastAsia="宋体"/>
              </w:rPr>
            </w:pPr>
            <w:r>
              <w:rPr>
                <w:rFonts w:hint="eastAsia" w:ascii="宋体" w:hAnsi="宋体" w:eastAsia="宋体"/>
              </w:rPr>
              <w:t>mg/dm</w:t>
            </w:r>
            <w:r>
              <w:rPr>
                <w:rFonts w:hint="eastAsia" w:ascii="宋体" w:hAnsi="宋体" w:eastAsia="宋体"/>
                <w:vertAlign w:val="superscript"/>
              </w:rPr>
              <w:t>3</w:t>
            </w:r>
          </w:p>
        </w:tc>
      </w:tr>
      <w:tr w14:paraId="15AD86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2" w:hRule="atLeast"/>
        </w:trPr>
        <w:tc>
          <w:tcPr>
            <w:tcW w:w="1744" w:type="dxa"/>
            <w:vMerge w:val="continue"/>
            <w:vAlign w:val="center"/>
          </w:tcPr>
          <w:p w14:paraId="5744268F">
            <w:pPr>
              <w:pStyle w:val="22"/>
              <w:rPr>
                <w:rFonts w:ascii="宋体" w:hAnsi="宋体" w:eastAsia="宋体"/>
                <w:b/>
                <w:bCs/>
              </w:rPr>
            </w:pPr>
          </w:p>
        </w:tc>
        <w:tc>
          <w:tcPr>
            <w:tcW w:w="3764" w:type="dxa"/>
            <w:shd w:val="clear" w:color="auto" w:fill="auto"/>
            <w:tcMar>
              <w:top w:w="15" w:type="dxa"/>
              <w:left w:w="66" w:type="dxa"/>
              <w:bottom w:w="0" w:type="dxa"/>
              <w:right w:w="66" w:type="dxa"/>
            </w:tcMar>
            <w:vAlign w:val="center"/>
          </w:tcPr>
          <w:p w14:paraId="6C88151D">
            <w:pPr>
              <w:pStyle w:val="22"/>
              <w:rPr>
                <w:rFonts w:ascii="宋体" w:hAnsi="宋体" w:eastAsia="宋体"/>
              </w:rPr>
            </w:pPr>
            <w:r>
              <w:rPr>
                <w:rFonts w:ascii="宋体" w:hAnsi="宋体" w:eastAsia="宋体"/>
              </w:rPr>
              <w:t>总氮</w:t>
            </w:r>
          </w:p>
        </w:tc>
        <w:tc>
          <w:tcPr>
            <w:tcW w:w="2753" w:type="dxa"/>
            <w:shd w:val="clear" w:color="auto" w:fill="auto"/>
            <w:tcMar>
              <w:top w:w="15" w:type="dxa"/>
              <w:left w:w="66" w:type="dxa"/>
              <w:bottom w:w="0" w:type="dxa"/>
              <w:right w:w="66" w:type="dxa"/>
            </w:tcMar>
            <w:vAlign w:val="center"/>
          </w:tcPr>
          <w:p w14:paraId="3B9ED938">
            <w:pPr>
              <w:pStyle w:val="22"/>
              <w:rPr>
                <w:rFonts w:ascii="宋体" w:hAnsi="宋体" w:eastAsia="宋体"/>
              </w:rPr>
            </w:pPr>
            <w:r>
              <w:rPr>
                <w:rFonts w:hint="eastAsia" w:ascii="宋体" w:hAnsi="宋体" w:eastAsia="宋体"/>
              </w:rPr>
              <w:t>mg/dm</w:t>
            </w:r>
            <w:r>
              <w:rPr>
                <w:rFonts w:hint="eastAsia" w:ascii="宋体" w:hAnsi="宋体" w:eastAsia="宋体"/>
                <w:vertAlign w:val="superscript"/>
              </w:rPr>
              <w:t>3</w:t>
            </w:r>
          </w:p>
        </w:tc>
      </w:tr>
      <w:tr w14:paraId="2B0D94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2" w:hRule="atLeast"/>
        </w:trPr>
        <w:tc>
          <w:tcPr>
            <w:tcW w:w="1744" w:type="dxa"/>
            <w:vMerge w:val="continue"/>
            <w:vAlign w:val="center"/>
          </w:tcPr>
          <w:p w14:paraId="3D11362F">
            <w:pPr>
              <w:pStyle w:val="22"/>
              <w:rPr>
                <w:rFonts w:ascii="宋体" w:hAnsi="宋体" w:eastAsia="宋体"/>
                <w:b/>
                <w:bCs/>
              </w:rPr>
            </w:pPr>
          </w:p>
        </w:tc>
        <w:tc>
          <w:tcPr>
            <w:tcW w:w="3764" w:type="dxa"/>
            <w:shd w:val="clear" w:color="auto" w:fill="auto"/>
            <w:tcMar>
              <w:top w:w="15" w:type="dxa"/>
              <w:left w:w="66" w:type="dxa"/>
              <w:bottom w:w="0" w:type="dxa"/>
              <w:right w:w="66" w:type="dxa"/>
            </w:tcMar>
            <w:vAlign w:val="center"/>
          </w:tcPr>
          <w:p w14:paraId="58586F0E">
            <w:pPr>
              <w:pStyle w:val="22"/>
              <w:rPr>
                <w:rFonts w:ascii="宋体" w:hAnsi="宋体" w:eastAsia="宋体"/>
              </w:rPr>
            </w:pPr>
            <w:r>
              <w:rPr>
                <w:rFonts w:ascii="宋体" w:hAnsi="宋体" w:eastAsia="宋体"/>
              </w:rPr>
              <w:t>化学需氧量</w:t>
            </w:r>
          </w:p>
        </w:tc>
        <w:tc>
          <w:tcPr>
            <w:tcW w:w="2753" w:type="dxa"/>
            <w:shd w:val="clear" w:color="auto" w:fill="auto"/>
            <w:tcMar>
              <w:top w:w="15" w:type="dxa"/>
              <w:left w:w="66" w:type="dxa"/>
              <w:bottom w:w="0" w:type="dxa"/>
              <w:right w:w="66" w:type="dxa"/>
            </w:tcMar>
            <w:vAlign w:val="center"/>
          </w:tcPr>
          <w:p w14:paraId="53A95EF3">
            <w:pPr>
              <w:pStyle w:val="22"/>
              <w:rPr>
                <w:rFonts w:ascii="宋体" w:hAnsi="宋体" w:eastAsia="宋体"/>
              </w:rPr>
            </w:pPr>
            <w:r>
              <w:rPr>
                <w:rFonts w:hint="eastAsia" w:ascii="宋体" w:hAnsi="宋体" w:eastAsia="宋体"/>
              </w:rPr>
              <w:t>mg/dm</w:t>
            </w:r>
            <w:r>
              <w:rPr>
                <w:rFonts w:hint="eastAsia" w:ascii="宋体" w:hAnsi="宋体" w:eastAsia="宋体"/>
                <w:vertAlign w:val="superscript"/>
              </w:rPr>
              <w:t>3</w:t>
            </w:r>
          </w:p>
        </w:tc>
      </w:tr>
      <w:tr w14:paraId="4D5AA9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2" w:hRule="atLeast"/>
        </w:trPr>
        <w:tc>
          <w:tcPr>
            <w:tcW w:w="1744" w:type="dxa"/>
            <w:vMerge w:val="restart"/>
            <w:vAlign w:val="center"/>
          </w:tcPr>
          <w:p w14:paraId="430464F4">
            <w:pPr>
              <w:pStyle w:val="22"/>
              <w:rPr>
                <w:rFonts w:ascii="宋体" w:hAnsi="宋体" w:eastAsia="宋体"/>
                <w:b/>
                <w:bCs/>
              </w:rPr>
            </w:pPr>
            <w:r>
              <w:rPr>
                <w:rFonts w:hint="eastAsia" w:ascii="宋体" w:hAnsi="宋体" w:eastAsia="宋体"/>
                <w:b/>
                <w:bCs/>
              </w:rPr>
              <w:t>鸟类多样性</w:t>
            </w:r>
          </w:p>
        </w:tc>
        <w:tc>
          <w:tcPr>
            <w:tcW w:w="3764" w:type="dxa"/>
            <w:shd w:val="clear" w:color="auto" w:fill="auto"/>
            <w:tcMar>
              <w:top w:w="15" w:type="dxa"/>
              <w:left w:w="66" w:type="dxa"/>
              <w:bottom w:w="0" w:type="dxa"/>
              <w:right w:w="66" w:type="dxa"/>
            </w:tcMar>
            <w:vAlign w:val="center"/>
          </w:tcPr>
          <w:p w14:paraId="1AA1BD6F">
            <w:pPr>
              <w:pStyle w:val="22"/>
              <w:rPr>
                <w:rFonts w:ascii="宋体" w:hAnsi="宋体" w:eastAsia="宋体"/>
              </w:rPr>
            </w:pPr>
            <w:r>
              <w:rPr>
                <w:rFonts w:hint="eastAsia" w:ascii="宋体" w:hAnsi="宋体" w:eastAsia="宋体"/>
                <w:bCs/>
              </w:rPr>
              <w:t>鸟类种类</w:t>
            </w:r>
          </w:p>
        </w:tc>
        <w:tc>
          <w:tcPr>
            <w:tcW w:w="2753" w:type="dxa"/>
            <w:shd w:val="clear" w:color="auto" w:fill="auto"/>
            <w:tcMar>
              <w:top w:w="15" w:type="dxa"/>
              <w:left w:w="66" w:type="dxa"/>
              <w:bottom w:w="0" w:type="dxa"/>
              <w:right w:w="66" w:type="dxa"/>
            </w:tcMar>
            <w:vAlign w:val="center"/>
          </w:tcPr>
          <w:p w14:paraId="49ED082A">
            <w:pPr>
              <w:pStyle w:val="22"/>
              <w:rPr>
                <w:rFonts w:ascii="宋体" w:hAnsi="宋体" w:eastAsia="宋体"/>
              </w:rPr>
            </w:pPr>
            <w:r>
              <w:rPr>
                <w:rFonts w:hint="eastAsia" w:ascii="宋体" w:hAnsi="宋体" w:eastAsia="宋体"/>
                <w:bCs/>
              </w:rPr>
              <w:t>种</w:t>
            </w:r>
          </w:p>
        </w:tc>
      </w:tr>
      <w:tr w14:paraId="6F29C6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2" w:hRule="atLeast"/>
        </w:trPr>
        <w:tc>
          <w:tcPr>
            <w:tcW w:w="1744" w:type="dxa"/>
            <w:vMerge w:val="continue"/>
            <w:vAlign w:val="center"/>
          </w:tcPr>
          <w:p w14:paraId="2A1886F4">
            <w:pPr>
              <w:pStyle w:val="22"/>
              <w:rPr>
                <w:rFonts w:ascii="宋体" w:hAnsi="宋体" w:eastAsia="宋体"/>
                <w:b/>
                <w:bCs/>
              </w:rPr>
            </w:pPr>
          </w:p>
        </w:tc>
        <w:tc>
          <w:tcPr>
            <w:tcW w:w="3764" w:type="dxa"/>
            <w:shd w:val="clear" w:color="auto" w:fill="auto"/>
            <w:tcMar>
              <w:top w:w="15" w:type="dxa"/>
              <w:left w:w="66" w:type="dxa"/>
              <w:bottom w:w="0" w:type="dxa"/>
              <w:right w:w="66" w:type="dxa"/>
            </w:tcMar>
            <w:vAlign w:val="center"/>
          </w:tcPr>
          <w:p w14:paraId="09FDF830">
            <w:pPr>
              <w:pStyle w:val="22"/>
              <w:rPr>
                <w:rFonts w:ascii="宋体" w:hAnsi="宋体" w:eastAsia="宋体"/>
                <w:b/>
                <w:bCs/>
              </w:rPr>
            </w:pPr>
            <w:r>
              <w:rPr>
                <w:rFonts w:hint="eastAsia" w:ascii="宋体" w:hAnsi="宋体" w:eastAsia="宋体"/>
                <w:bCs/>
              </w:rPr>
              <w:t>鸟巢数量</w:t>
            </w:r>
          </w:p>
        </w:tc>
        <w:tc>
          <w:tcPr>
            <w:tcW w:w="2753" w:type="dxa"/>
            <w:shd w:val="clear" w:color="auto" w:fill="auto"/>
            <w:tcMar>
              <w:top w:w="15" w:type="dxa"/>
              <w:left w:w="66" w:type="dxa"/>
              <w:bottom w:w="0" w:type="dxa"/>
              <w:right w:w="66" w:type="dxa"/>
            </w:tcMar>
            <w:vAlign w:val="center"/>
          </w:tcPr>
          <w:p w14:paraId="6F271018">
            <w:pPr>
              <w:pStyle w:val="22"/>
              <w:rPr>
                <w:rFonts w:ascii="宋体" w:hAnsi="宋体" w:eastAsia="宋体"/>
                <w:b/>
                <w:bCs/>
              </w:rPr>
            </w:pPr>
            <w:r>
              <w:rPr>
                <w:rFonts w:hint="eastAsia" w:ascii="宋体" w:hAnsi="宋体" w:eastAsia="宋体"/>
                <w:bCs/>
              </w:rPr>
              <w:t>个</w:t>
            </w:r>
          </w:p>
        </w:tc>
      </w:tr>
      <w:tr w14:paraId="164135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2" w:hRule="atLeast"/>
        </w:trPr>
        <w:tc>
          <w:tcPr>
            <w:tcW w:w="1744" w:type="dxa"/>
            <w:vAlign w:val="center"/>
          </w:tcPr>
          <w:p w14:paraId="30BAEFD2">
            <w:pPr>
              <w:pStyle w:val="22"/>
              <w:rPr>
                <w:rFonts w:ascii="宋体" w:hAnsi="宋体" w:eastAsia="宋体"/>
                <w:b/>
                <w:bCs/>
              </w:rPr>
            </w:pPr>
            <w:r>
              <w:rPr>
                <w:rFonts w:ascii="宋体" w:hAnsi="宋体" w:eastAsia="宋体"/>
                <w:b/>
              </w:rPr>
              <w:t>噪声</w:t>
            </w:r>
          </w:p>
        </w:tc>
        <w:tc>
          <w:tcPr>
            <w:tcW w:w="3764" w:type="dxa"/>
            <w:shd w:val="clear" w:color="auto" w:fill="auto"/>
            <w:tcMar>
              <w:top w:w="15" w:type="dxa"/>
              <w:left w:w="66" w:type="dxa"/>
              <w:bottom w:w="0" w:type="dxa"/>
              <w:right w:w="66" w:type="dxa"/>
            </w:tcMar>
            <w:vAlign w:val="center"/>
          </w:tcPr>
          <w:p w14:paraId="0E8F2222">
            <w:pPr>
              <w:pStyle w:val="22"/>
              <w:rPr>
                <w:rFonts w:ascii="宋体" w:hAnsi="宋体" w:eastAsia="宋体"/>
                <w:bCs/>
              </w:rPr>
            </w:pPr>
            <w:r>
              <w:rPr>
                <w:rFonts w:ascii="宋体" w:hAnsi="宋体" w:eastAsia="宋体"/>
              </w:rPr>
              <w:t>噪声强度</w:t>
            </w:r>
          </w:p>
        </w:tc>
        <w:tc>
          <w:tcPr>
            <w:tcW w:w="2753" w:type="dxa"/>
            <w:shd w:val="clear" w:color="auto" w:fill="auto"/>
            <w:tcMar>
              <w:top w:w="15" w:type="dxa"/>
              <w:left w:w="66" w:type="dxa"/>
              <w:bottom w:w="0" w:type="dxa"/>
              <w:right w:w="66" w:type="dxa"/>
            </w:tcMar>
            <w:vAlign w:val="center"/>
          </w:tcPr>
          <w:p w14:paraId="241D39D6">
            <w:pPr>
              <w:pStyle w:val="22"/>
              <w:rPr>
                <w:rFonts w:ascii="宋体" w:hAnsi="宋体" w:eastAsia="宋体"/>
                <w:bCs/>
              </w:rPr>
            </w:pPr>
            <w:r>
              <w:rPr>
                <w:rFonts w:hint="eastAsia" w:ascii="宋体" w:hAnsi="宋体" w:eastAsia="宋体"/>
              </w:rPr>
              <w:t>dB</w:t>
            </w:r>
          </w:p>
        </w:tc>
      </w:tr>
    </w:tbl>
    <w:p w14:paraId="6E260310">
      <w:pPr>
        <w:pStyle w:val="22"/>
        <w:spacing w:after="156" w:afterLines="50" w:line="480" w:lineRule="exact"/>
        <w:ind w:firstLine="560" w:firstLineChars="200"/>
        <w:jc w:val="both"/>
        <w:rPr>
          <w:rFonts w:ascii="宋体" w:hAnsi="宋体" w:eastAsia="宋体"/>
          <w:sz w:val="28"/>
          <w:szCs w:val="28"/>
        </w:rPr>
      </w:pPr>
    </w:p>
    <w:p w14:paraId="6B8AC088">
      <w:pPr>
        <w:pStyle w:val="22"/>
        <w:spacing w:after="156" w:afterLines="50" w:line="480" w:lineRule="exact"/>
        <w:ind w:firstLine="560" w:firstLineChars="200"/>
        <w:jc w:val="both"/>
        <w:rPr>
          <w:rFonts w:ascii="宋体" w:hAnsi="宋体" w:eastAsia="宋体"/>
          <w:sz w:val="28"/>
          <w:szCs w:val="28"/>
        </w:rPr>
      </w:pPr>
      <w:r>
        <w:rPr>
          <w:rFonts w:hint="eastAsia" w:ascii="宋体" w:hAnsi="宋体" w:eastAsia="宋体"/>
          <w:sz w:val="28"/>
          <w:szCs w:val="28"/>
        </w:rPr>
        <w:t>——</w:t>
      </w:r>
      <w:r>
        <w:rPr>
          <w:rFonts w:hint="eastAsia" w:ascii="宋体" w:hAnsi="宋体" w:eastAsia="宋体"/>
          <w:b/>
          <w:sz w:val="28"/>
          <w:szCs w:val="28"/>
        </w:rPr>
        <w:t>排水管网与雨水径流：</w:t>
      </w:r>
      <w:r>
        <w:rPr>
          <w:rFonts w:hint="eastAsia" w:ascii="宋体" w:hAnsi="宋体" w:eastAsia="宋体"/>
          <w:sz w:val="28"/>
          <w:szCs w:val="28"/>
        </w:rPr>
        <w:t>可采取在线监测与人工采样相结合的方式。在线监测宜采用将在线流量计和在线SS分析仪放置在社区雨水排口的管井内的方式进行，监测设备参考</w:t>
      </w:r>
      <w:r>
        <w:rPr>
          <w:rFonts w:ascii="宋体" w:hAnsi="宋体" w:eastAsia="宋体"/>
          <w:sz w:val="28"/>
          <w:szCs w:val="28"/>
        </w:rPr>
        <w:t>CJ/T 252</w:t>
      </w:r>
      <w:r>
        <w:rPr>
          <w:rFonts w:hint="eastAsia" w:ascii="宋体" w:hAnsi="宋体" w:eastAsia="宋体"/>
          <w:sz w:val="28"/>
          <w:szCs w:val="28"/>
        </w:rPr>
        <w:t>、</w:t>
      </w:r>
      <w:r>
        <w:rPr>
          <w:rFonts w:ascii="宋体" w:hAnsi="宋体" w:eastAsia="宋体"/>
          <w:sz w:val="28"/>
          <w:szCs w:val="28"/>
        </w:rPr>
        <w:t>HJ/T 372执行</w:t>
      </w:r>
      <w:r>
        <w:rPr>
          <w:rFonts w:hint="eastAsia" w:ascii="宋体" w:hAnsi="宋体" w:eastAsia="宋体"/>
          <w:sz w:val="28"/>
          <w:szCs w:val="28"/>
        </w:rPr>
        <w:t>。人工采样点宜设置在社区典型下垫面和雨水排口，采集完成后统一进行水质检测</w:t>
      </w:r>
      <w:r>
        <w:rPr>
          <w:rFonts w:ascii="宋体" w:hAnsi="宋体" w:eastAsia="宋体"/>
          <w:b/>
          <w:sz w:val="28"/>
          <w:szCs w:val="28"/>
        </w:rPr>
        <w:t>。</w:t>
      </w:r>
    </w:p>
    <w:p w14:paraId="450915EB">
      <w:pPr>
        <w:pStyle w:val="22"/>
        <w:spacing w:after="156" w:afterLines="50" w:line="480" w:lineRule="exact"/>
        <w:ind w:firstLine="560" w:firstLineChars="200"/>
        <w:rPr>
          <w:rFonts w:ascii="宋体" w:hAnsi="宋体" w:eastAsia="宋体"/>
          <w:sz w:val="28"/>
          <w:szCs w:val="28"/>
        </w:rPr>
      </w:pPr>
      <w:r>
        <w:rPr>
          <w:rFonts w:hint="eastAsia" w:ascii="宋体" w:hAnsi="宋体" w:eastAsia="宋体"/>
          <w:sz w:val="28"/>
          <w:szCs w:val="28"/>
        </w:rPr>
        <w:t>——</w:t>
      </w:r>
      <w:r>
        <w:rPr>
          <w:rFonts w:hint="eastAsia" w:ascii="宋体" w:hAnsi="宋体" w:eastAsia="宋体"/>
          <w:b/>
          <w:sz w:val="28"/>
          <w:szCs w:val="28"/>
        </w:rPr>
        <w:t>鸟类监测</w:t>
      </w:r>
      <w:r>
        <w:rPr>
          <w:rFonts w:hint="eastAsia" w:ascii="宋体" w:hAnsi="宋体" w:eastAsia="宋体"/>
          <w:sz w:val="28"/>
          <w:szCs w:val="28"/>
        </w:rPr>
        <w:t>：可采用在线监测或人工监测的方式。在线监测宜在社区植被种类、数量丰富的区域布置鸟类声纹监测仪，识别鸟类种类。人工监测可通过植被调查识别鸟类食源物种的数量种类、鸟巢数量、鸟粪等等作为鸟类多样性的参考。</w:t>
      </w:r>
    </w:p>
    <w:p w14:paraId="4F43F1F1">
      <w:pPr>
        <w:pStyle w:val="22"/>
        <w:spacing w:after="156" w:afterLines="50" w:line="480" w:lineRule="exact"/>
        <w:ind w:firstLine="560" w:firstLineChars="200"/>
        <w:rPr>
          <w:rFonts w:ascii="Times New Roman" w:eastAsia="宋体" w:cs="Times New Roman"/>
          <w:sz w:val="28"/>
          <w:szCs w:val="28"/>
        </w:rPr>
      </w:pPr>
      <w:r>
        <w:rPr>
          <w:rFonts w:hint="eastAsia" w:ascii="宋体" w:hAnsi="宋体" w:eastAsia="宋体"/>
          <w:sz w:val="28"/>
          <w:szCs w:val="28"/>
        </w:rPr>
        <w:t>——</w:t>
      </w:r>
      <w:r>
        <w:rPr>
          <w:rFonts w:ascii="Times New Roman" w:eastAsia="宋体" w:cs="Times New Roman"/>
          <w:b/>
          <w:sz w:val="28"/>
          <w:szCs w:val="28"/>
        </w:rPr>
        <w:t>噪声监测</w:t>
      </w:r>
      <w:r>
        <w:rPr>
          <w:rFonts w:hint="eastAsia" w:ascii="Times New Roman" w:eastAsia="宋体" w:cs="Times New Roman"/>
          <w:b/>
          <w:sz w:val="28"/>
          <w:szCs w:val="28"/>
        </w:rPr>
        <w:t>：</w:t>
      </w:r>
      <w:r>
        <w:rPr>
          <w:rFonts w:hint="eastAsia" w:ascii="Times New Roman" w:eastAsia="宋体" w:cs="Times New Roman"/>
          <w:sz w:val="28"/>
          <w:szCs w:val="28"/>
        </w:rPr>
        <w:t>应</w:t>
      </w:r>
      <w:r>
        <w:rPr>
          <w:rFonts w:ascii="Times New Roman" w:eastAsia="宋体" w:cs="Times New Roman"/>
          <w:sz w:val="28"/>
          <w:szCs w:val="28"/>
        </w:rPr>
        <w:t>采用GB3096中定点监测方法。</w:t>
      </w:r>
      <w:bookmarkEnd w:id="33"/>
      <w:r>
        <w:rPr>
          <w:rFonts w:hint="eastAsia" w:ascii="Times New Roman" w:eastAsia="宋体" w:cs="Times New Roman"/>
          <w:sz w:val="28"/>
          <w:szCs w:val="28"/>
        </w:rPr>
        <w:t>在社区道路旁、广场旁、住宅旁等典型区域开展检测，每种类型监测点不少于3个。</w:t>
      </w:r>
    </w:p>
    <w:p w14:paraId="37FA93DA">
      <w:pPr>
        <w:pStyle w:val="2"/>
        <w:pageBreakBefore/>
        <w:spacing w:before="312" w:beforeLines="100" w:after="312" w:afterLines="100" w:line="520" w:lineRule="exact"/>
        <w:jc w:val="center"/>
        <w:rPr>
          <w:rFonts w:ascii="黑体" w:hAnsi="黑体" w:eastAsia="黑体"/>
          <w:bCs w:val="0"/>
          <w:sz w:val="30"/>
          <w:szCs w:val="22"/>
          <w:lang w:val="zh-CN"/>
        </w:rPr>
      </w:pPr>
      <w:bookmarkStart w:id="38" w:name="_Toc220593727"/>
      <w:r>
        <w:rPr>
          <w:rFonts w:hint="eastAsia" w:ascii="黑体" w:hAnsi="黑体" w:eastAsia="黑体"/>
          <w:bCs w:val="0"/>
          <w:sz w:val="30"/>
          <w:szCs w:val="22"/>
          <w:lang w:val="zh-CN"/>
        </w:rPr>
        <w:t>附录</w:t>
      </w:r>
      <w:r>
        <w:rPr>
          <w:rFonts w:ascii="黑体" w:hAnsi="黑体" w:eastAsia="黑体"/>
          <w:bCs w:val="0"/>
          <w:sz w:val="30"/>
          <w:szCs w:val="22"/>
          <w:lang w:val="zh-CN"/>
        </w:rPr>
        <w:t>C</w:t>
      </w:r>
      <w:r>
        <w:rPr>
          <w:rFonts w:hint="eastAsia" w:ascii="黑体" w:hAnsi="黑体" w:eastAsia="黑体"/>
          <w:bCs w:val="0"/>
          <w:sz w:val="30"/>
          <w:szCs w:val="22"/>
          <w:lang w:val="zh-CN"/>
        </w:rPr>
        <w:t xml:space="preserve"> 强致敏植物名录表</w:t>
      </w:r>
      <w:bookmarkEnd w:id="38"/>
    </w:p>
    <w:tbl>
      <w:tblPr>
        <w:tblStyle w:val="15"/>
        <w:tblW w:w="75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57"/>
        <w:gridCol w:w="3325"/>
        <w:gridCol w:w="2160"/>
      </w:tblGrid>
      <w:tr w14:paraId="138B0B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2057" w:type="dxa"/>
            <w:noWrap/>
            <w:vAlign w:val="center"/>
          </w:tcPr>
          <w:p w14:paraId="35FAC325">
            <w:pPr>
              <w:pStyle w:val="22"/>
              <w:jc w:val="center"/>
              <w:rPr>
                <w:rFonts w:ascii="宋体" w:hAnsi="宋体" w:eastAsia="宋体"/>
                <w:b/>
              </w:rPr>
            </w:pPr>
            <w:r>
              <w:rPr>
                <w:rFonts w:hint="eastAsia" w:ascii="宋体" w:hAnsi="宋体" w:eastAsia="宋体"/>
                <w:b/>
              </w:rPr>
              <w:t>种名</w:t>
            </w:r>
          </w:p>
        </w:tc>
        <w:tc>
          <w:tcPr>
            <w:tcW w:w="3325" w:type="dxa"/>
            <w:noWrap/>
            <w:vAlign w:val="center"/>
          </w:tcPr>
          <w:p w14:paraId="701D2773">
            <w:pPr>
              <w:pStyle w:val="22"/>
              <w:jc w:val="center"/>
              <w:rPr>
                <w:rFonts w:ascii="宋体" w:hAnsi="宋体" w:eastAsia="宋体"/>
                <w:b/>
              </w:rPr>
            </w:pPr>
            <w:r>
              <w:rPr>
                <w:rFonts w:hint="eastAsia" w:ascii="宋体" w:hAnsi="宋体" w:eastAsia="宋体"/>
                <w:b/>
              </w:rPr>
              <w:t>科属</w:t>
            </w:r>
          </w:p>
        </w:tc>
        <w:tc>
          <w:tcPr>
            <w:tcW w:w="2160" w:type="dxa"/>
            <w:noWrap/>
            <w:vAlign w:val="center"/>
          </w:tcPr>
          <w:p w14:paraId="297F4BC8">
            <w:pPr>
              <w:pStyle w:val="22"/>
              <w:jc w:val="center"/>
              <w:rPr>
                <w:rFonts w:ascii="宋体" w:hAnsi="宋体" w:eastAsia="宋体"/>
                <w:b/>
              </w:rPr>
            </w:pPr>
            <w:r>
              <w:rPr>
                <w:rFonts w:hint="eastAsia" w:ascii="宋体" w:hAnsi="宋体" w:eastAsia="宋体"/>
                <w:b/>
              </w:rPr>
              <w:t>传粉类型</w:t>
            </w:r>
          </w:p>
        </w:tc>
      </w:tr>
      <w:tr w14:paraId="6887C0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2057" w:type="dxa"/>
            <w:noWrap/>
            <w:vAlign w:val="center"/>
          </w:tcPr>
          <w:p w14:paraId="585090A3">
            <w:pPr>
              <w:pStyle w:val="22"/>
              <w:jc w:val="center"/>
              <w:rPr>
                <w:rFonts w:ascii="宋体" w:hAnsi="宋体" w:eastAsia="宋体"/>
              </w:rPr>
            </w:pPr>
            <w:r>
              <w:rPr>
                <w:rFonts w:hint="eastAsia" w:ascii="宋体" w:hAnsi="宋体" w:eastAsia="宋体"/>
              </w:rPr>
              <w:t>梣叶槭</w:t>
            </w:r>
          </w:p>
        </w:tc>
        <w:tc>
          <w:tcPr>
            <w:tcW w:w="3325" w:type="dxa"/>
            <w:noWrap/>
            <w:vAlign w:val="center"/>
          </w:tcPr>
          <w:p w14:paraId="25C99CE6">
            <w:pPr>
              <w:pStyle w:val="22"/>
              <w:jc w:val="center"/>
              <w:rPr>
                <w:rFonts w:ascii="宋体" w:hAnsi="宋体" w:eastAsia="宋体"/>
              </w:rPr>
            </w:pPr>
            <w:r>
              <w:rPr>
                <w:rFonts w:hint="eastAsia" w:ascii="宋体" w:hAnsi="宋体" w:eastAsia="宋体"/>
              </w:rPr>
              <w:t>无患子科槭属</w:t>
            </w:r>
          </w:p>
        </w:tc>
        <w:tc>
          <w:tcPr>
            <w:tcW w:w="2160" w:type="dxa"/>
            <w:noWrap/>
            <w:vAlign w:val="center"/>
          </w:tcPr>
          <w:p w14:paraId="4294FBAC">
            <w:pPr>
              <w:pStyle w:val="22"/>
              <w:jc w:val="center"/>
              <w:rPr>
                <w:rFonts w:ascii="宋体" w:hAnsi="宋体" w:eastAsia="宋体"/>
              </w:rPr>
            </w:pPr>
            <w:r>
              <w:rPr>
                <w:rFonts w:hint="eastAsia" w:ascii="宋体" w:hAnsi="宋体" w:eastAsia="宋体"/>
              </w:rPr>
              <w:t>风媒</w:t>
            </w:r>
          </w:p>
        </w:tc>
      </w:tr>
      <w:tr w14:paraId="49D6B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2057" w:type="dxa"/>
            <w:noWrap/>
            <w:vAlign w:val="center"/>
          </w:tcPr>
          <w:p w14:paraId="3AEA8EB1">
            <w:pPr>
              <w:pStyle w:val="22"/>
              <w:jc w:val="center"/>
              <w:rPr>
                <w:rFonts w:ascii="宋体" w:hAnsi="宋体" w:eastAsia="宋体"/>
              </w:rPr>
            </w:pPr>
            <w:r>
              <w:rPr>
                <w:rFonts w:hint="eastAsia" w:ascii="宋体" w:hAnsi="宋体" w:eastAsia="宋体"/>
              </w:rPr>
              <w:t>黑桦</w:t>
            </w:r>
          </w:p>
        </w:tc>
        <w:tc>
          <w:tcPr>
            <w:tcW w:w="3325" w:type="dxa"/>
            <w:noWrap/>
            <w:vAlign w:val="center"/>
          </w:tcPr>
          <w:p w14:paraId="5370E1E9">
            <w:pPr>
              <w:pStyle w:val="22"/>
              <w:jc w:val="center"/>
              <w:rPr>
                <w:rFonts w:ascii="宋体" w:hAnsi="宋体" w:eastAsia="宋体"/>
              </w:rPr>
            </w:pPr>
            <w:r>
              <w:rPr>
                <w:rFonts w:hint="eastAsia" w:ascii="宋体" w:hAnsi="宋体" w:eastAsia="宋体"/>
              </w:rPr>
              <w:t>桦木科桦木属</w:t>
            </w:r>
          </w:p>
        </w:tc>
        <w:tc>
          <w:tcPr>
            <w:tcW w:w="2160" w:type="dxa"/>
            <w:noWrap/>
            <w:vAlign w:val="center"/>
          </w:tcPr>
          <w:p w14:paraId="2C9777AB">
            <w:pPr>
              <w:pStyle w:val="22"/>
              <w:jc w:val="center"/>
              <w:rPr>
                <w:rFonts w:ascii="宋体" w:hAnsi="宋体" w:eastAsia="宋体"/>
              </w:rPr>
            </w:pPr>
            <w:r>
              <w:rPr>
                <w:rFonts w:hint="eastAsia" w:ascii="宋体" w:hAnsi="宋体" w:eastAsia="宋体"/>
              </w:rPr>
              <w:t>风媒</w:t>
            </w:r>
          </w:p>
        </w:tc>
      </w:tr>
      <w:tr w14:paraId="5AA9A8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2057" w:type="dxa"/>
            <w:noWrap/>
            <w:vAlign w:val="center"/>
          </w:tcPr>
          <w:p w14:paraId="4CDD938E">
            <w:pPr>
              <w:pStyle w:val="22"/>
              <w:jc w:val="center"/>
              <w:rPr>
                <w:rFonts w:ascii="宋体" w:hAnsi="宋体" w:eastAsia="宋体"/>
              </w:rPr>
            </w:pPr>
            <w:r>
              <w:rPr>
                <w:rFonts w:hint="eastAsia" w:ascii="宋体" w:hAnsi="宋体" w:eastAsia="宋体"/>
              </w:rPr>
              <w:t>白桦</w:t>
            </w:r>
          </w:p>
        </w:tc>
        <w:tc>
          <w:tcPr>
            <w:tcW w:w="3325" w:type="dxa"/>
            <w:noWrap/>
            <w:vAlign w:val="center"/>
          </w:tcPr>
          <w:p w14:paraId="6B729875">
            <w:pPr>
              <w:pStyle w:val="22"/>
              <w:jc w:val="center"/>
              <w:rPr>
                <w:rFonts w:ascii="宋体" w:hAnsi="宋体" w:eastAsia="宋体"/>
              </w:rPr>
            </w:pPr>
            <w:r>
              <w:rPr>
                <w:rFonts w:hint="eastAsia" w:ascii="宋体" w:hAnsi="宋体" w:eastAsia="宋体"/>
              </w:rPr>
              <w:t>桦木科桦木属</w:t>
            </w:r>
          </w:p>
        </w:tc>
        <w:tc>
          <w:tcPr>
            <w:tcW w:w="2160" w:type="dxa"/>
            <w:noWrap/>
            <w:vAlign w:val="center"/>
          </w:tcPr>
          <w:p w14:paraId="264FB398">
            <w:pPr>
              <w:pStyle w:val="22"/>
              <w:jc w:val="center"/>
              <w:rPr>
                <w:rFonts w:ascii="宋体" w:hAnsi="宋体" w:eastAsia="宋体"/>
              </w:rPr>
            </w:pPr>
            <w:r>
              <w:rPr>
                <w:rFonts w:hint="eastAsia" w:ascii="宋体" w:hAnsi="宋体" w:eastAsia="宋体"/>
              </w:rPr>
              <w:t>风媒</w:t>
            </w:r>
          </w:p>
        </w:tc>
      </w:tr>
      <w:tr w14:paraId="58D48B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2057" w:type="dxa"/>
            <w:noWrap/>
            <w:vAlign w:val="center"/>
          </w:tcPr>
          <w:p w14:paraId="39A1191F">
            <w:pPr>
              <w:pStyle w:val="22"/>
              <w:jc w:val="center"/>
              <w:rPr>
                <w:rFonts w:ascii="宋体" w:hAnsi="宋体" w:eastAsia="宋体"/>
              </w:rPr>
            </w:pPr>
            <w:r>
              <w:rPr>
                <w:rFonts w:hint="eastAsia" w:ascii="宋体" w:hAnsi="宋体" w:eastAsia="宋体"/>
              </w:rPr>
              <w:t>英国梧桐</w:t>
            </w:r>
          </w:p>
        </w:tc>
        <w:tc>
          <w:tcPr>
            <w:tcW w:w="3325" w:type="dxa"/>
            <w:noWrap/>
            <w:vAlign w:val="center"/>
          </w:tcPr>
          <w:p w14:paraId="744D93A6">
            <w:pPr>
              <w:pStyle w:val="22"/>
              <w:jc w:val="center"/>
              <w:rPr>
                <w:rFonts w:ascii="宋体" w:hAnsi="宋体" w:eastAsia="宋体"/>
              </w:rPr>
            </w:pPr>
            <w:r>
              <w:rPr>
                <w:rFonts w:hint="eastAsia" w:ascii="宋体" w:hAnsi="宋体" w:eastAsia="宋体"/>
              </w:rPr>
              <w:t>悬铃木科悬铃木属</w:t>
            </w:r>
          </w:p>
        </w:tc>
        <w:tc>
          <w:tcPr>
            <w:tcW w:w="2160" w:type="dxa"/>
            <w:noWrap/>
            <w:vAlign w:val="center"/>
          </w:tcPr>
          <w:p w14:paraId="5F263BE4">
            <w:pPr>
              <w:pStyle w:val="22"/>
              <w:jc w:val="center"/>
              <w:rPr>
                <w:rFonts w:ascii="宋体" w:hAnsi="宋体" w:eastAsia="宋体"/>
              </w:rPr>
            </w:pPr>
            <w:r>
              <w:rPr>
                <w:rFonts w:hint="eastAsia" w:ascii="宋体" w:hAnsi="宋体" w:eastAsia="宋体"/>
              </w:rPr>
              <w:t>风媒</w:t>
            </w:r>
          </w:p>
        </w:tc>
      </w:tr>
      <w:tr w14:paraId="56C3FD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2057" w:type="dxa"/>
            <w:noWrap/>
            <w:vAlign w:val="center"/>
          </w:tcPr>
          <w:p w14:paraId="6D098EE4">
            <w:pPr>
              <w:pStyle w:val="22"/>
              <w:jc w:val="center"/>
              <w:rPr>
                <w:rFonts w:ascii="宋体" w:hAnsi="宋体" w:eastAsia="宋体"/>
              </w:rPr>
            </w:pPr>
            <w:r>
              <w:rPr>
                <w:rFonts w:hint="eastAsia" w:ascii="宋体" w:hAnsi="宋体" w:eastAsia="宋体"/>
              </w:rPr>
              <w:t>美国梧桐</w:t>
            </w:r>
          </w:p>
        </w:tc>
        <w:tc>
          <w:tcPr>
            <w:tcW w:w="3325" w:type="dxa"/>
            <w:noWrap/>
            <w:vAlign w:val="center"/>
          </w:tcPr>
          <w:p w14:paraId="22BBA1B6">
            <w:pPr>
              <w:pStyle w:val="22"/>
              <w:jc w:val="center"/>
              <w:rPr>
                <w:rFonts w:ascii="宋体" w:hAnsi="宋体" w:eastAsia="宋体"/>
              </w:rPr>
            </w:pPr>
            <w:r>
              <w:rPr>
                <w:rFonts w:hint="eastAsia" w:ascii="宋体" w:hAnsi="宋体" w:eastAsia="宋体"/>
              </w:rPr>
              <w:t>悬铃木科悬铃木属</w:t>
            </w:r>
          </w:p>
        </w:tc>
        <w:tc>
          <w:tcPr>
            <w:tcW w:w="2160" w:type="dxa"/>
            <w:noWrap/>
            <w:vAlign w:val="center"/>
          </w:tcPr>
          <w:p w14:paraId="133797B7">
            <w:pPr>
              <w:pStyle w:val="22"/>
              <w:jc w:val="center"/>
              <w:rPr>
                <w:rFonts w:ascii="宋体" w:hAnsi="宋体" w:eastAsia="宋体"/>
              </w:rPr>
            </w:pPr>
            <w:r>
              <w:rPr>
                <w:rFonts w:hint="eastAsia" w:ascii="宋体" w:hAnsi="宋体" w:eastAsia="宋体"/>
              </w:rPr>
              <w:t>风媒</w:t>
            </w:r>
          </w:p>
        </w:tc>
      </w:tr>
      <w:tr w14:paraId="16ABE4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2057" w:type="dxa"/>
            <w:noWrap/>
            <w:vAlign w:val="center"/>
          </w:tcPr>
          <w:p w14:paraId="37E9B5E4">
            <w:pPr>
              <w:pStyle w:val="22"/>
              <w:jc w:val="center"/>
              <w:rPr>
                <w:rFonts w:ascii="宋体" w:hAnsi="宋体" w:eastAsia="宋体"/>
              </w:rPr>
            </w:pPr>
            <w:r>
              <w:rPr>
                <w:rFonts w:hint="eastAsia" w:ascii="宋体" w:hAnsi="宋体" w:eastAsia="宋体"/>
              </w:rPr>
              <w:t>法国梧桐</w:t>
            </w:r>
          </w:p>
        </w:tc>
        <w:tc>
          <w:tcPr>
            <w:tcW w:w="3325" w:type="dxa"/>
            <w:noWrap/>
            <w:vAlign w:val="center"/>
          </w:tcPr>
          <w:p w14:paraId="1BF3C632">
            <w:pPr>
              <w:pStyle w:val="22"/>
              <w:jc w:val="center"/>
              <w:rPr>
                <w:rFonts w:ascii="宋体" w:hAnsi="宋体" w:eastAsia="宋体"/>
              </w:rPr>
            </w:pPr>
            <w:r>
              <w:rPr>
                <w:rFonts w:hint="eastAsia" w:ascii="宋体" w:hAnsi="宋体" w:eastAsia="宋体"/>
              </w:rPr>
              <w:t>悬铃木科悬铃木属</w:t>
            </w:r>
          </w:p>
        </w:tc>
        <w:tc>
          <w:tcPr>
            <w:tcW w:w="2160" w:type="dxa"/>
            <w:noWrap/>
            <w:vAlign w:val="center"/>
          </w:tcPr>
          <w:p w14:paraId="720721E3">
            <w:pPr>
              <w:pStyle w:val="22"/>
              <w:jc w:val="center"/>
              <w:rPr>
                <w:rFonts w:ascii="宋体" w:hAnsi="宋体" w:eastAsia="宋体"/>
              </w:rPr>
            </w:pPr>
            <w:r>
              <w:rPr>
                <w:rFonts w:hint="eastAsia" w:ascii="宋体" w:hAnsi="宋体" w:eastAsia="宋体"/>
              </w:rPr>
              <w:t>风媒</w:t>
            </w:r>
          </w:p>
        </w:tc>
      </w:tr>
      <w:tr w14:paraId="4AA487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2057" w:type="dxa"/>
            <w:noWrap/>
            <w:vAlign w:val="center"/>
          </w:tcPr>
          <w:p w14:paraId="5B64E15C">
            <w:pPr>
              <w:pStyle w:val="22"/>
              <w:jc w:val="center"/>
              <w:rPr>
                <w:rFonts w:ascii="宋体" w:hAnsi="宋体" w:eastAsia="宋体"/>
              </w:rPr>
            </w:pPr>
            <w:r>
              <w:rPr>
                <w:rFonts w:hint="eastAsia" w:ascii="宋体" w:hAnsi="宋体" w:eastAsia="宋体"/>
              </w:rPr>
              <w:t>加拿大杨</w:t>
            </w:r>
          </w:p>
        </w:tc>
        <w:tc>
          <w:tcPr>
            <w:tcW w:w="3325" w:type="dxa"/>
            <w:noWrap/>
            <w:vAlign w:val="center"/>
          </w:tcPr>
          <w:p w14:paraId="48265FE3">
            <w:pPr>
              <w:pStyle w:val="22"/>
              <w:jc w:val="center"/>
              <w:rPr>
                <w:rFonts w:ascii="宋体" w:hAnsi="宋体" w:eastAsia="宋体"/>
              </w:rPr>
            </w:pPr>
            <w:r>
              <w:rPr>
                <w:rFonts w:hint="eastAsia" w:ascii="宋体" w:hAnsi="宋体" w:eastAsia="宋体"/>
              </w:rPr>
              <w:t>杨柳科杨属</w:t>
            </w:r>
          </w:p>
        </w:tc>
        <w:tc>
          <w:tcPr>
            <w:tcW w:w="2160" w:type="dxa"/>
            <w:noWrap/>
            <w:vAlign w:val="center"/>
          </w:tcPr>
          <w:p w14:paraId="03395CAA">
            <w:pPr>
              <w:pStyle w:val="22"/>
              <w:jc w:val="center"/>
              <w:rPr>
                <w:rFonts w:ascii="宋体" w:hAnsi="宋体" w:eastAsia="宋体"/>
              </w:rPr>
            </w:pPr>
            <w:r>
              <w:rPr>
                <w:rFonts w:hint="eastAsia" w:ascii="宋体" w:hAnsi="宋体" w:eastAsia="宋体"/>
              </w:rPr>
              <w:t>风媒</w:t>
            </w:r>
          </w:p>
        </w:tc>
      </w:tr>
      <w:tr w14:paraId="23A11A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2057" w:type="dxa"/>
            <w:noWrap/>
            <w:vAlign w:val="center"/>
          </w:tcPr>
          <w:p w14:paraId="24DCE3E6">
            <w:pPr>
              <w:pStyle w:val="22"/>
              <w:jc w:val="center"/>
              <w:rPr>
                <w:rFonts w:ascii="宋体" w:hAnsi="宋体" w:eastAsia="宋体"/>
              </w:rPr>
            </w:pPr>
            <w:r>
              <w:rPr>
                <w:rFonts w:hint="eastAsia" w:ascii="宋体" w:hAnsi="宋体" w:eastAsia="宋体"/>
              </w:rPr>
              <w:t>青杨</w:t>
            </w:r>
          </w:p>
        </w:tc>
        <w:tc>
          <w:tcPr>
            <w:tcW w:w="3325" w:type="dxa"/>
            <w:noWrap/>
            <w:vAlign w:val="center"/>
          </w:tcPr>
          <w:p w14:paraId="491FBC8E">
            <w:pPr>
              <w:pStyle w:val="22"/>
              <w:jc w:val="center"/>
              <w:rPr>
                <w:rFonts w:ascii="宋体" w:hAnsi="宋体" w:eastAsia="宋体"/>
              </w:rPr>
            </w:pPr>
            <w:r>
              <w:rPr>
                <w:rFonts w:hint="eastAsia" w:ascii="宋体" w:hAnsi="宋体" w:eastAsia="宋体"/>
              </w:rPr>
              <w:t>杨柳科杨属</w:t>
            </w:r>
          </w:p>
        </w:tc>
        <w:tc>
          <w:tcPr>
            <w:tcW w:w="2160" w:type="dxa"/>
            <w:noWrap/>
            <w:vAlign w:val="center"/>
          </w:tcPr>
          <w:p w14:paraId="619170CC">
            <w:pPr>
              <w:pStyle w:val="22"/>
              <w:jc w:val="center"/>
              <w:rPr>
                <w:rFonts w:ascii="宋体" w:hAnsi="宋体" w:eastAsia="宋体"/>
              </w:rPr>
            </w:pPr>
            <w:r>
              <w:rPr>
                <w:rFonts w:hint="eastAsia" w:ascii="宋体" w:hAnsi="宋体" w:eastAsia="宋体"/>
              </w:rPr>
              <w:t>风媒</w:t>
            </w:r>
          </w:p>
        </w:tc>
      </w:tr>
      <w:tr w14:paraId="446CF1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2057" w:type="dxa"/>
            <w:noWrap/>
            <w:vAlign w:val="center"/>
          </w:tcPr>
          <w:p w14:paraId="76808D88">
            <w:pPr>
              <w:pStyle w:val="22"/>
              <w:jc w:val="center"/>
              <w:rPr>
                <w:rFonts w:ascii="宋体" w:hAnsi="宋体" w:eastAsia="宋体"/>
              </w:rPr>
            </w:pPr>
            <w:r>
              <w:rPr>
                <w:rFonts w:hint="eastAsia" w:ascii="宋体" w:hAnsi="宋体" w:eastAsia="宋体"/>
              </w:rPr>
              <w:t>毛白杨</w:t>
            </w:r>
          </w:p>
        </w:tc>
        <w:tc>
          <w:tcPr>
            <w:tcW w:w="3325" w:type="dxa"/>
            <w:noWrap/>
            <w:vAlign w:val="center"/>
          </w:tcPr>
          <w:p w14:paraId="3CC29FDB">
            <w:pPr>
              <w:pStyle w:val="22"/>
              <w:jc w:val="center"/>
              <w:rPr>
                <w:rFonts w:ascii="宋体" w:hAnsi="宋体" w:eastAsia="宋体"/>
              </w:rPr>
            </w:pPr>
            <w:r>
              <w:rPr>
                <w:rFonts w:hint="eastAsia" w:ascii="宋体" w:hAnsi="宋体" w:eastAsia="宋体"/>
              </w:rPr>
              <w:t>杨柳科杨属</w:t>
            </w:r>
          </w:p>
        </w:tc>
        <w:tc>
          <w:tcPr>
            <w:tcW w:w="2160" w:type="dxa"/>
            <w:noWrap/>
            <w:vAlign w:val="center"/>
          </w:tcPr>
          <w:p w14:paraId="117B5B5E">
            <w:pPr>
              <w:pStyle w:val="22"/>
              <w:jc w:val="center"/>
              <w:rPr>
                <w:rFonts w:ascii="宋体" w:hAnsi="宋体" w:eastAsia="宋体"/>
              </w:rPr>
            </w:pPr>
            <w:r>
              <w:rPr>
                <w:rFonts w:hint="eastAsia" w:ascii="宋体" w:hAnsi="宋体" w:eastAsia="宋体"/>
              </w:rPr>
              <w:t>风媒</w:t>
            </w:r>
          </w:p>
        </w:tc>
      </w:tr>
      <w:tr w14:paraId="4B91AF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2057" w:type="dxa"/>
            <w:noWrap/>
            <w:vAlign w:val="center"/>
          </w:tcPr>
          <w:p w14:paraId="227C78BC">
            <w:pPr>
              <w:pStyle w:val="22"/>
              <w:jc w:val="center"/>
              <w:rPr>
                <w:rFonts w:ascii="宋体" w:hAnsi="宋体" w:eastAsia="宋体"/>
              </w:rPr>
            </w:pPr>
            <w:r>
              <w:rPr>
                <w:rFonts w:hint="eastAsia" w:ascii="宋体" w:hAnsi="宋体" w:eastAsia="宋体"/>
              </w:rPr>
              <w:t>旱柳</w:t>
            </w:r>
          </w:p>
        </w:tc>
        <w:tc>
          <w:tcPr>
            <w:tcW w:w="3325" w:type="dxa"/>
            <w:noWrap/>
            <w:vAlign w:val="center"/>
          </w:tcPr>
          <w:p w14:paraId="1C308018">
            <w:pPr>
              <w:pStyle w:val="22"/>
              <w:jc w:val="center"/>
              <w:rPr>
                <w:rFonts w:ascii="宋体" w:hAnsi="宋体" w:eastAsia="宋体"/>
              </w:rPr>
            </w:pPr>
            <w:r>
              <w:rPr>
                <w:rFonts w:hint="eastAsia" w:ascii="宋体" w:hAnsi="宋体" w:eastAsia="宋体"/>
              </w:rPr>
              <w:t>杨柳科柳属</w:t>
            </w:r>
          </w:p>
        </w:tc>
        <w:tc>
          <w:tcPr>
            <w:tcW w:w="2160" w:type="dxa"/>
            <w:noWrap/>
            <w:vAlign w:val="center"/>
          </w:tcPr>
          <w:p w14:paraId="0BAECA40">
            <w:pPr>
              <w:pStyle w:val="22"/>
              <w:jc w:val="center"/>
              <w:rPr>
                <w:rFonts w:ascii="宋体" w:hAnsi="宋体" w:eastAsia="宋体"/>
              </w:rPr>
            </w:pPr>
            <w:r>
              <w:rPr>
                <w:rFonts w:hint="eastAsia" w:ascii="宋体" w:hAnsi="宋体" w:eastAsia="宋体"/>
              </w:rPr>
              <w:t>风媒</w:t>
            </w:r>
          </w:p>
        </w:tc>
      </w:tr>
      <w:tr w14:paraId="2DBCE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2057" w:type="dxa"/>
            <w:noWrap/>
            <w:vAlign w:val="center"/>
          </w:tcPr>
          <w:p w14:paraId="2EFB08FA">
            <w:pPr>
              <w:pStyle w:val="22"/>
              <w:jc w:val="center"/>
              <w:rPr>
                <w:rFonts w:ascii="宋体" w:hAnsi="宋体" w:eastAsia="宋体"/>
              </w:rPr>
            </w:pPr>
            <w:r>
              <w:rPr>
                <w:rFonts w:hint="eastAsia" w:ascii="宋体" w:hAnsi="宋体" w:eastAsia="宋体"/>
              </w:rPr>
              <w:t>垂柳</w:t>
            </w:r>
          </w:p>
        </w:tc>
        <w:tc>
          <w:tcPr>
            <w:tcW w:w="3325" w:type="dxa"/>
            <w:noWrap/>
            <w:vAlign w:val="center"/>
          </w:tcPr>
          <w:p w14:paraId="6F94234D">
            <w:pPr>
              <w:pStyle w:val="22"/>
              <w:jc w:val="center"/>
              <w:rPr>
                <w:rFonts w:ascii="宋体" w:hAnsi="宋体" w:eastAsia="宋体"/>
              </w:rPr>
            </w:pPr>
            <w:r>
              <w:rPr>
                <w:rFonts w:hint="eastAsia" w:ascii="宋体" w:hAnsi="宋体" w:eastAsia="宋体"/>
              </w:rPr>
              <w:t>杨柳科柳属</w:t>
            </w:r>
          </w:p>
        </w:tc>
        <w:tc>
          <w:tcPr>
            <w:tcW w:w="2160" w:type="dxa"/>
            <w:noWrap/>
            <w:vAlign w:val="center"/>
          </w:tcPr>
          <w:p w14:paraId="211B41ED">
            <w:pPr>
              <w:pStyle w:val="22"/>
              <w:jc w:val="center"/>
              <w:rPr>
                <w:rFonts w:ascii="宋体" w:hAnsi="宋体" w:eastAsia="宋体"/>
              </w:rPr>
            </w:pPr>
            <w:r>
              <w:rPr>
                <w:rFonts w:hint="eastAsia" w:ascii="宋体" w:hAnsi="宋体" w:eastAsia="宋体"/>
              </w:rPr>
              <w:t>风媒</w:t>
            </w:r>
          </w:p>
        </w:tc>
      </w:tr>
      <w:tr w14:paraId="1BA9CC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2057" w:type="dxa"/>
            <w:noWrap/>
            <w:vAlign w:val="center"/>
          </w:tcPr>
          <w:p w14:paraId="43AEF4FC">
            <w:pPr>
              <w:pStyle w:val="22"/>
              <w:jc w:val="center"/>
              <w:rPr>
                <w:rFonts w:ascii="宋体" w:hAnsi="宋体" w:eastAsia="宋体"/>
              </w:rPr>
            </w:pPr>
            <w:r>
              <w:rPr>
                <w:rFonts w:hint="eastAsia" w:ascii="宋体" w:hAnsi="宋体" w:eastAsia="宋体"/>
              </w:rPr>
              <w:t>国槐</w:t>
            </w:r>
          </w:p>
        </w:tc>
        <w:tc>
          <w:tcPr>
            <w:tcW w:w="3325" w:type="dxa"/>
            <w:noWrap/>
            <w:vAlign w:val="center"/>
          </w:tcPr>
          <w:p w14:paraId="29F93566">
            <w:pPr>
              <w:pStyle w:val="22"/>
              <w:jc w:val="center"/>
              <w:rPr>
                <w:rFonts w:ascii="宋体" w:hAnsi="宋体" w:eastAsia="宋体"/>
              </w:rPr>
            </w:pPr>
            <w:r>
              <w:rPr>
                <w:rFonts w:hint="eastAsia" w:ascii="宋体" w:hAnsi="宋体" w:eastAsia="宋体"/>
              </w:rPr>
              <w:t>豆科槐属</w:t>
            </w:r>
          </w:p>
        </w:tc>
        <w:tc>
          <w:tcPr>
            <w:tcW w:w="2160" w:type="dxa"/>
            <w:noWrap/>
            <w:vAlign w:val="center"/>
          </w:tcPr>
          <w:p w14:paraId="58825954">
            <w:pPr>
              <w:pStyle w:val="22"/>
              <w:jc w:val="center"/>
              <w:rPr>
                <w:rFonts w:ascii="宋体" w:hAnsi="宋体" w:eastAsia="宋体"/>
              </w:rPr>
            </w:pPr>
            <w:r>
              <w:rPr>
                <w:rFonts w:hint="eastAsia" w:ascii="宋体" w:hAnsi="宋体" w:eastAsia="宋体"/>
              </w:rPr>
              <w:t>虫媒</w:t>
            </w:r>
          </w:p>
        </w:tc>
      </w:tr>
      <w:tr w14:paraId="39C1C2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2057" w:type="dxa"/>
            <w:noWrap/>
            <w:vAlign w:val="center"/>
          </w:tcPr>
          <w:p w14:paraId="5C07BA17">
            <w:pPr>
              <w:pStyle w:val="22"/>
              <w:jc w:val="center"/>
              <w:rPr>
                <w:rFonts w:ascii="宋体" w:hAnsi="宋体" w:eastAsia="宋体"/>
              </w:rPr>
            </w:pPr>
            <w:r>
              <w:rPr>
                <w:rFonts w:hint="eastAsia" w:ascii="宋体" w:hAnsi="宋体" w:eastAsia="宋体"/>
              </w:rPr>
              <w:t>美国红梣</w:t>
            </w:r>
          </w:p>
        </w:tc>
        <w:tc>
          <w:tcPr>
            <w:tcW w:w="3325" w:type="dxa"/>
            <w:noWrap/>
            <w:vAlign w:val="center"/>
          </w:tcPr>
          <w:p w14:paraId="2F7AEA7C">
            <w:pPr>
              <w:pStyle w:val="22"/>
              <w:jc w:val="center"/>
              <w:rPr>
                <w:rFonts w:ascii="宋体" w:hAnsi="宋体" w:eastAsia="宋体"/>
              </w:rPr>
            </w:pPr>
            <w:r>
              <w:rPr>
                <w:rFonts w:hint="eastAsia" w:ascii="宋体" w:hAnsi="宋体" w:eastAsia="宋体"/>
              </w:rPr>
              <w:t>木樨科梣属</w:t>
            </w:r>
          </w:p>
        </w:tc>
        <w:tc>
          <w:tcPr>
            <w:tcW w:w="2160" w:type="dxa"/>
            <w:noWrap/>
            <w:vAlign w:val="center"/>
          </w:tcPr>
          <w:p w14:paraId="198260A1">
            <w:pPr>
              <w:pStyle w:val="22"/>
              <w:jc w:val="center"/>
              <w:rPr>
                <w:rFonts w:ascii="宋体" w:hAnsi="宋体" w:eastAsia="宋体"/>
              </w:rPr>
            </w:pPr>
            <w:r>
              <w:rPr>
                <w:rFonts w:hint="eastAsia" w:ascii="宋体" w:hAnsi="宋体" w:eastAsia="宋体"/>
              </w:rPr>
              <w:t>虫媒</w:t>
            </w:r>
          </w:p>
        </w:tc>
      </w:tr>
      <w:tr w14:paraId="44A07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2057" w:type="dxa"/>
            <w:noWrap/>
            <w:vAlign w:val="center"/>
          </w:tcPr>
          <w:p w14:paraId="594403D4">
            <w:pPr>
              <w:pStyle w:val="22"/>
              <w:jc w:val="center"/>
              <w:rPr>
                <w:rFonts w:ascii="宋体" w:hAnsi="宋体" w:eastAsia="宋体"/>
              </w:rPr>
            </w:pPr>
            <w:r>
              <w:rPr>
                <w:rFonts w:hint="eastAsia" w:ascii="宋体" w:hAnsi="宋体" w:eastAsia="宋体"/>
              </w:rPr>
              <w:t>栾树</w:t>
            </w:r>
          </w:p>
        </w:tc>
        <w:tc>
          <w:tcPr>
            <w:tcW w:w="3325" w:type="dxa"/>
            <w:noWrap/>
            <w:vAlign w:val="center"/>
          </w:tcPr>
          <w:p w14:paraId="2153CC09">
            <w:pPr>
              <w:pStyle w:val="22"/>
              <w:jc w:val="center"/>
              <w:rPr>
                <w:rFonts w:ascii="宋体" w:hAnsi="宋体" w:eastAsia="宋体"/>
              </w:rPr>
            </w:pPr>
            <w:r>
              <w:rPr>
                <w:rFonts w:hint="eastAsia" w:ascii="宋体" w:hAnsi="宋体" w:eastAsia="宋体"/>
              </w:rPr>
              <w:t>无患子科栾属</w:t>
            </w:r>
          </w:p>
        </w:tc>
        <w:tc>
          <w:tcPr>
            <w:tcW w:w="2160" w:type="dxa"/>
            <w:noWrap/>
            <w:vAlign w:val="center"/>
          </w:tcPr>
          <w:p w14:paraId="26C73DF4">
            <w:pPr>
              <w:pStyle w:val="22"/>
              <w:jc w:val="center"/>
              <w:rPr>
                <w:rFonts w:ascii="宋体" w:hAnsi="宋体" w:eastAsia="宋体"/>
              </w:rPr>
            </w:pPr>
            <w:r>
              <w:rPr>
                <w:rFonts w:hint="eastAsia" w:ascii="宋体" w:hAnsi="宋体" w:eastAsia="宋体"/>
              </w:rPr>
              <w:t>风媒</w:t>
            </w:r>
          </w:p>
        </w:tc>
      </w:tr>
      <w:tr w14:paraId="3F86E8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2057" w:type="dxa"/>
            <w:noWrap/>
            <w:vAlign w:val="center"/>
          </w:tcPr>
          <w:p w14:paraId="5AA09CE5">
            <w:pPr>
              <w:pStyle w:val="22"/>
              <w:jc w:val="center"/>
              <w:rPr>
                <w:rFonts w:ascii="宋体" w:hAnsi="宋体" w:eastAsia="宋体"/>
              </w:rPr>
            </w:pPr>
            <w:r>
              <w:rPr>
                <w:rFonts w:hint="eastAsia" w:ascii="宋体" w:hAnsi="宋体" w:eastAsia="宋体"/>
              </w:rPr>
              <w:t>榆树</w:t>
            </w:r>
          </w:p>
        </w:tc>
        <w:tc>
          <w:tcPr>
            <w:tcW w:w="3325" w:type="dxa"/>
            <w:noWrap/>
            <w:vAlign w:val="center"/>
          </w:tcPr>
          <w:p w14:paraId="5EAFE8B6">
            <w:pPr>
              <w:pStyle w:val="22"/>
              <w:jc w:val="center"/>
              <w:rPr>
                <w:rFonts w:ascii="宋体" w:hAnsi="宋体" w:eastAsia="宋体"/>
              </w:rPr>
            </w:pPr>
            <w:r>
              <w:rPr>
                <w:rFonts w:hint="eastAsia" w:ascii="宋体" w:hAnsi="宋体" w:eastAsia="宋体"/>
              </w:rPr>
              <w:t>榆科榆属</w:t>
            </w:r>
          </w:p>
        </w:tc>
        <w:tc>
          <w:tcPr>
            <w:tcW w:w="2160" w:type="dxa"/>
            <w:noWrap/>
            <w:vAlign w:val="center"/>
          </w:tcPr>
          <w:p w14:paraId="1D7F810F">
            <w:pPr>
              <w:pStyle w:val="22"/>
              <w:jc w:val="center"/>
              <w:rPr>
                <w:rFonts w:ascii="宋体" w:hAnsi="宋体" w:eastAsia="宋体"/>
              </w:rPr>
            </w:pPr>
            <w:r>
              <w:rPr>
                <w:rFonts w:hint="eastAsia" w:ascii="宋体" w:hAnsi="宋体" w:eastAsia="宋体"/>
              </w:rPr>
              <w:t>风媒</w:t>
            </w:r>
          </w:p>
        </w:tc>
      </w:tr>
      <w:tr w14:paraId="57FEAC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2057" w:type="dxa"/>
            <w:noWrap/>
            <w:vAlign w:val="center"/>
          </w:tcPr>
          <w:p w14:paraId="358C9E9C">
            <w:pPr>
              <w:pStyle w:val="22"/>
              <w:jc w:val="center"/>
              <w:rPr>
                <w:rFonts w:ascii="宋体" w:hAnsi="宋体" w:eastAsia="宋体"/>
              </w:rPr>
            </w:pPr>
            <w:r>
              <w:rPr>
                <w:rFonts w:hint="eastAsia" w:ascii="宋体" w:hAnsi="宋体" w:eastAsia="宋体"/>
              </w:rPr>
              <w:t>油松</w:t>
            </w:r>
          </w:p>
        </w:tc>
        <w:tc>
          <w:tcPr>
            <w:tcW w:w="3325" w:type="dxa"/>
            <w:noWrap/>
            <w:vAlign w:val="center"/>
          </w:tcPr>
          <w:p w14:paraId="6EAD9F4F">
            <w:pPr>
              <w:pStyle w:val="22"/>
              <w:jc w:val="center"/>
              <w:rPr>
                <w:rFonts w:ascii="宋体" w:hAnsi="宋体" w:eastAsia="宋体"/>
              </w:rPr>
            </w:pPr>
            <w:r>
              <w:rPr>
                <w:rFonts w:hint="eastAsia" w:ascii="宋体" w:hAnsi="宋体" w:eastAsia="宋体"/>
              </w:rPr>
              <w:t>松科松属</w:t>
            </w:r>
          </w:p>
        </w:tc>
        <w:tc>
          <w:tcPr>
            <w:tcW w:w="2160" w:type="dxa"/>
            <w:noWrap/>
            <w:vAlign w:val="center"/>
          </w:tcPr>
          <w:p w14:paraId="15C59555">
            <w:pPr>
              <w:pStyle w:val="22"/>
              <w:jc w:val="center"/>
              <w:rPr>
                <w:rFonts w:ascii="宋体" w:hAnsi="宋体" w:eastAsia="宋体"/>
              </w:rPr>
            </w:pPr>
            <w:r>
              <w:rPr>
                <w:rFonts w:hint="eastAsia" w:ascii="宋体" w:hAnsi="宋体" w:eastAsia="宋体"/>
              </w:rPr>
              <w:t>风媒</w:t>
            </w:r>
          </w:p>
        </w:tc>
      </w:tr>
      <w:tr w14:paraId="3136D1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2057" w:type="dxa"/>
            <w:noWrap/>
            <w:vAlign w:val="center"/>
          </w:tcPr>
          <w:p w14:paraId="603172A7">
            <w:pPr>
              <w:pStyle w:val="22"/>
              <w:jc w:val="center"/>
              <w:rPr>
                <w:rFonts w:ascii="宋体" w:hAnsi="宋体" w:eastAsia="宋体"/>
              </w:rPr>
            </w:pPr>
            <w:r>
              <w:rPr>
                <w:rFonts w:hint="eastAsia" w:ascii="宋体" w:hAnsi="宋体" w:eastAsia="宋体"/>
              </w:rPr>
              <w:t>槭树</w:t>
            </w:r>
          </w:p>
        </w:tc>
        <w:tc>
          <w:tcPr>
            <w:tcW w:w="3325" w:type="dxa"/>
            <w:noWrap/>
            <w:vAlign w:val="center"/>
          </w:tcPr>
          <w:p w14:paraId="64086C86">
            <w:pPr>
              <w:pStyle w:val="22"/>
              <w:jc w:val="center"/>
              <w:rPr>
                <w:rFonts w:ascii="宋体" w:hAnsi="宋体" w:eastAsia="宋体"/>
              </w:rPr>
            </w:pPr>
            <w:r>
              <w:rPr>
                <w:rFonts w:hint="eastAsia" w:ascii="宋体" w:hAnsi="宋体" w:eastAsia="宋体"/>
              </w:rPr>
              <w:t>无患子科槭属</w:t>
            </w:r>
          </w:p>
        </w:tc>
        <w:tc>
          <w:tcPr>
            <w:tcW w:w="2160" w:type="dxa"/>
            <w:noWrap/>
            <w:vAlign w:val="center"/>
          </w:tcPr>
          <w:p w14:paraId="32383430">
            <w:pPr>
              <w:pStyle w:val="22"/>
              <w:jc w:val="center"/>
              <w:rPr>
                <w:rFonts w:ascii="宋体" w:hAnsi="宋体" w:eastAsia="宋体"/>
              </w:rPr>
            </w:pPr>
            <w:r>
              <w:rPr>
                <w:rFonts w:hint="eastAsia" w:ascii="宋体" w:hAnsi="宋体" w:eastAsia="宋体"/>
              </w:rPr>
              <w:t>虫媒</w:t>
            </w:r>
          </w:p>
        </w:tc>
      </w:tr>
      <w:tr w14:paraId="4182B5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2057" w:type="dxa"/>
            <w:noWrap/>
            <w:vAlign w:val="center"/>
          </w:tcPr>
          <w:p w14:paraId="1F087C33">
            <w:pPr>
              <w:pStyle w:val="22"/>
              <w:jc w:val="center"/>
              <w:rPr>
                <w:rFonts w:ascii="宋体" w:hAnsi="宋体" w:eastAsia="宋体"/>
              </w:rPr>
            </w:pPr>
            <w:r>
              <w:rPr>
                <w:rFonts w:hint="eastAsia" w:ascii="宋体" w:hAnsi="宋体" w:eastAsia="宋体"/>
              </w:rPr>
              <w:t>银杏</w:t>
            </w:r>
          </w:p>
        </w:tc>
        <w:tc>
          <w:tcPr>
            <w:tcW w:w="3325" w:type="dxa"/>
            <w:noWrap/>
            <w:vAlign w:val="center"/>
          </w:tcPr>
          <w:p w14:paraId="2391625B">
            <w:pPr>
              <w:pStyle w:val="22"/>
              <w:jc w:val="center"/>
              <w:rPr>
                <w:rFonts w:ascii="宋体" w:hAnsi="宋体" w:eastAsia="宋体"/>
              </w:rPr>
            </w:pPr>
            <w:r>
              <w:rPr>
                <w:rFonts w:hint="eastAsia" w:ascii="宋体" w:hAnsi="宋体" w:eastAsia="宋体"/>
              </w:rPr>
              <w:t>银杏科银杏属</w:t>
            </w:r>
          </w:p>
        </w:tc>
        <w:tc>
          <w:tcPr>
            <w:tcW w:w="2160" w:type="dxa"/>
            <w:noWrap/>
            <w:vAlign w:val="center"/>
          </w:tcPr>
          <w:p w14:paraId="1B770EE2">
            <w:pPr>
              <w:pStyle w:val="22"/>
              <w:jc w:val="center"/>
              <w:rPr>
                <w:rFonts w:ascii="宋体" w:hAnsi="宋体" w:eastAsia="宋体"/>
              </w:rPr>
            </w:pPr>
            <w:r>
              <w:rPr>
                <w:rFonts w:hint="eastAsia" w:ascii="宋体" w:hAnsi="宋体" w:eastAsia="宋体"/>
              </w:rPr>
              <w:t>风媒</w:t>
            </w:r>
          </w:p>
        </w:tc>
      </w:tr>
      <w:tr w14:paraId="730318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2057" w:type="dxa"/>
            <w:noWrap/>
            <w:vAlign w:val="center"/>
          </w:tcPr>
          <w:p w14:paraId="4E691329">
            <w:pPr>
              <w:pStyle w:val="22"/>
              <w:jc w:val="center"/>
              <w:rPr>
                <w:rFonts w:ascii="宋体" w:hAnsi="宋体" w:eastAsia="宋体"/>
              </w:rPr>
            </w:pPr>
            <w:r>
              <w:rPr>
                <w:rFonts w:hint="eastAsia" w:ascii="宋体" w:hAnsi="宋体" w:eastAsia="宋体"/>
              </w:rPr>
              <w:t>玉兰</w:t>
            </w:r>
          </w:p>
        </w:tc>
        <w:tc>
          <w:tcPr>
            <w:tcW w:w="3325" w:type="dxa"/>
            <w:noWrap/>
            <w:vAlign w:val="center"/>
          </w:tcPr>
          <w:p w14:paraId="3010D866">
            <w:pPr>
              <w:pStyle w:val="22"/>
              <w:jc w:val="center"/>
              <w:rPr>
                <w:rFonts w:ascii="宋体" w:hAnsi="宋体" w:eastAsia="宋体"/>
              </w:rPr>
            </w:pPr>
            <w:r>
              <w:rPr>
                <w:rFonts w:hint="eastAsia" w:ascii="宋体" w:hAnsi="宋体" w:eastAsia="宋体"/>
              </w:rPr>
              <w:t>木兰科玉兰属</w:t>
            </w:r>
          </w:p>
        </w:tc>
        <w:tc>
          <w:tcPr>
            <w:tcW w:w="2160" w:type="dxa"/>
            <w:noWrap/>
            <w:vAlign w:val="center"/>
          </w:tcPr>
          <w:p w14:paraId="114A85FE">
            <w:pPr>
              <w:pStyle w:val="22"/>
              <w:jc w:val="center"/>
              <w:rPr>
                <w:rFonts w:ascii="宋体" w:hAnsi="宋体" w:eastAsia="宋体"/>
              </w:rPr>
            </w:pPr>
            <w:r>
              <w:rPr>
                <w:rFonts w:hint="eastAsia" w:ascii="宋体" w:hAnsi="宋体" w:eastAsia="宋体"/>
              </w:rPr>
              <w:t>风媒</w:t>
            </w:r>
          </w:p>
        </w:tc>
      </w:tr>
      <w:tr w14:paraId="0AED6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2057" w:type="dxa"/>
            <w:noWrap/>
            <w:vAlign w:val="center"/>
          </w:tcPr>
          <w:p w14:paraId="58E0D42E">
            <w:pPr>
              <w:pStyle w:val="22"/>
              <w:jc w:val="center"/>
              <w:rPr>
                <w:rFonts w:ascii="宋体" w:hAnsi="宋体" w:eastAsia="宋体"/>
              </w:rPr>
            </w:pPr>
            <w:r>
              <w:rPr>
                <w:rFonts w:hint="eastAsia" w:ascii="宋体" w:hAnsi="宋体" w:eastAsia="宋体"/>
              </w:rPr>
              <w:t>丁香</w:t>
            </w:r>
          </w:p>
        </w:tc>
        <w:tc>
          <w:tcPr>
            <w:tcW w:w="3325" w:type="dxa"/>
            <w:noWrap/>
            <w:vAlign w:val="center"/>
          </w:tcPr>
          <w:p w14:paraId="4438C1A7">
            <w:pPr>
              <w:pStyle w:val="22"/>
              <w:jc w:val="center"/>
              <w:rPr>
                <w:rFonts w:ascii="宋体" w:hAnsi="宋体" w:eastAsia="宋体"/>
              </w:rPr>
            </w:pPr>
            <w:r>
              <w:rPr>
                <w:rFonts w:hint="eastAsia" w:ascii="宋体" w:hAnsi="宋体" w:eastAsia="宋体"/>
              </w:rPr>
              <w:t>木樨科丁香属</w:t>
            </w:r>
          </w:p>
        </w:tc>
        <w:tc>
          <w:tcPr>
            <w:tcW w:w="2160" w:type="dxa"/>
            <w:noWrap/>
            <w:vAlign w:val="center"/>
          </w:tcPr>
          <w:p w14:paraId="5069EE72">
            <w:pPr>
              <w:pStyle w:val="22"/>
              <w:jc w:val="center"/>
              <w:rPr>
                <w:rFonts w:ascii="宋体" w:hAnsi="宋体" w:eastAsia="宋体"/>
              </w:rPr>
            </w:pPr>
            <w:r>
              <w:rPr>
                <w:rFonts w:hint="eastAsia" w:ascii="宋体" w:hAnsi="宋体" w:eastAsia="宋体"/>
              </w:rPr>
              <w:t>虫媒</w:t>
            </w:r>
          </w:p>
        </w:tc>
      </w:tr>
      <w:tr w14:paraId="1DB896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2057" w:type="dxa"/>
            <w:noWrap/>
            <w:vAlign w:val="center"/>
          </w:tcPr>
          <w:p w14:paraId="51EA6DEC">
            <w:pPr>
              <w:pStyle w:val="22"/>
              <w:jc w:val="center"/>
              <w:rPr>
                <w:rFonts w:ascii="宋体" w:hAnsi="宋体" w:eastAsia="宋体"/>
              </w:rPr>
            </w:pPr>
            <w:r>
              <w:rPr>
                <w:rFonts w:hint="eastAsia" w:ascii="宋体" w:hAnsi="宋体" w:eastAsia="宋体"/>
              </w:rPr>
              <w:t>白蜡树</w:t>
            </w:r>
          </w:p>
        </w:tc>
        <w:tc>
          <w:tcPr>
            <w:tcW w:w="3325" w:type="dxa"/>
            <w:noWrap/>
            <w:vAlign w:val="center"/>
          </w:tcPr>
          <w:p w14:paraId="2987C663">
            <w:pPr>
              <w:pStyle w:val="22"/>
              <w:jc w:val="center"/>
              <w:rPr>
                <w:rFonts w:ascii="宋体" w:hAnsi="宋体" w:eastAsia="宋体"/>
              </w:rPr>
            </w:pPr>
            <w:r>
              <w:rPr>
                <w:rFonts w:hint="eastAsia" w:ascii="宋体" w:hAnsi="宋体" w:eastAsia="宋体"/>
              </w:rPr>
              <w:t>木樨科梣属</w:t>
            </w:r>
          </w:p>
        </w:tc>
        <w:tc>
          <w:tcPr>
            <w:tcW w:w="2160" w:type="dxa"/>
            <w:noWrap/>
            <w:vAlign w:val="center"/>
          </w:tcPr>
          <w:p w14:paraId="58D27AA9">
            <w:pPr>
              <w:pStyle w:val="22"/>
              <w:jc w:val="center"/>
              <w:rPr>
                <w:rFonts w:ascii="宋体" w:hAnsi="宋体" w:eastAsia="宋体"/>
              </w:rPr>
            </w:pPr>
            <w:r>
              <w:rPr>
                <w:rFonts w:hint="eastAsia" w:ascii="宋体" w:hAnsi="宋体" w:eastAsia="宋体"/>
              </w:rPr>
              <w:t>风媒</w:t>
            </w:r>
          </w:p>
        </w:tc>
      </w:tr>
      <w:tr w14:paraId="30E6C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2057" w:type="dxa"/>
            <w:noWrap/>
            <w:vAlign w:val="center"/>
          </w:tcPr>
          <w:p w14:paraId="4D658AE5">
            <w:pPr>
              <w:pStyle w:val="22"/>
              <w:jc w:val="center"/>
              <w:rPr>
                <w:rFonts w:ascii="宋体" w:hAnsi="宋体" w:eastAsia="宋体"/>
              </w:rPr>
            </w:pPr>
            <w:r>
              <w:rPr>
                <w:rFonts w:hint="eastAsia" w:ascii="宋体" w:hAnsi="宋体" w:eastAsia="宋体"/>
              </w:rPr>
              <w:t>构树</w:t>
            </w:r>
          </w:p>
        </w:tc>
        <w:tc>
          <w:tcPr>
            <w:tcW w:w="3325" w:type="dxa"/>
            <w:noWrap/>
            <w:vAlign w:val="center"/>
          </w:tcPr>
          <w:p w14:paraId="4B8E5187">
            <w:pPr>
              <w:pStyle w:val="22"/>
              <w:jc w:val="center"/>
              <w:rPr>
                <w:rFonts w:ascii="宋体" w:hAnsi="宋体" w:eastAsia="宋体"/>
              </w:rPr>
            </w:pPr>
            <w:r>
              <w:rPr>
                <w:rFonts w:hint="eastAsia" w:ascii="宋体" w:hAnsi="宋体" w:eastAsia="宋体"/>
              </w:rPr>
              <w:t>桑科构属</w:t>
            </w:r>
          </w:p>
        </w:tc>
        <w:tc>
          <w:tcPr>
            <w:tcW w:w="2160" w:type="dxa"/>
            <w:noWrap/>
            <w:vAlign w:val="center"/>
          </w:tcPr>
          <w:p w14:paraId="2DDA75D2">
            <w:pPr>
              <w:pStyle w:val="22"/>
              <w:jc w:val="center"/>
              <w:rPr>
                <w:rFonts w:ascii="宋体" w:hAnsi="宋体" w:eastAsia="宋体"/>
              </w:rPr>
            </w:pPr>
            <w:r>
              <w:rPr>
                <w:rFonts w:hint="eastAsia" w:ascii="宋体" w:hAnsi="宋体" w:eastAsia="宋体"/>
              </w:rPr>
              <w:t>风媒</w:t>
            </w:r>
          </w:p>
        </w:tc>
      </w:tr>
      <w:tr w14:paraId="695417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2057" w:type="dxa"/>
            <w:noWrap/>
            <w:vAlign w:val="center"/>
          </w:tcPr>
          <w:p w14:paraId="1F9DC8ED">
            <w:pPr>
              <w:pStyle w:val="22"/>
              <w:jc w:val="center"/>
              <w:rPr>
                <w:rFonts w:ascii="宋体" w:hAnsi="宋体" w:eastAsia="宋体"/>
              </w:rPr>
            </w:pPr>
            <w:r>
              <w:rPr>
                <w:rFonts w:hint="eastAsia" w:ascii="宋体" w:hAnsi="宋体" w:eastAsia="宋体"/>
              </w:rPr>
              <w:t>国槐</w:t>
            </w:r>
          </w:p>
        </w:tc>
        <w:tc>
          <w:tcPr>
            <w:tcW w:w="3325" w:type="dxa"/>
            <w:noWrap/>
            <w:vAlign w:val="center"/>
          </w:tcPr>
          <w:p w14:paraId="0331E45F">
            <w:pPr>
              <w:pStyle w:val="22"/>
              <w:jc w:val="center"/>
              <w:rPr>
                <w:rFonts w:ascii="宋体" w:hAnsi="宋体" w:eastAsia="宋体"/>
              </w:rPr>
            </w:pPr>
            <w:r>
              <w:rPr>
                <w:rFonts w:hint="eastAsia" w:ascii="宋体" w:hAnsi="宋体" w:eastAsia="宋体"/>
              </w:rPr>
              <w:t>豆科槐属</w:t>
            </w:r>
          </w:p>
        </w:tc>
        <w:tc>
          <w:tcPr>
            <w:tcW w:w="2160" w:type="dxa"/>
            <w:noWrap/>
            <w:vAlign w:val="center"/>
          </w:tcPr>
          <w:p w14:paraId="2C12D3CD">
            <w:pPr>
              <w:pStyle w:val="22"/>
              <w:jc w:val="center"/>
              <w:rPr>
                <w:rFonts w:ascii="宋体" w:hAnsi="宋体" w:eastAsia="宋体"/>
              </w:rPr>
            </w:pPr>
            <w:r>
              <w:rPr>
                <w:rFonts w:hint="eastAsia" w:ascii="宋体" w:hAnsi="宋体" w:eastAsia="宋体"/>
              </w:rPr>
              <w:t>虫媒</w:t>
            </w:r>
          </w:p>
        </w:tc>
      </w:tr>
      <w:tr w14:paraId="066C85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2057" w:type="dxa"/>
            <w:noWrap/>
            <w:vAlign w:val="center"/>
          </w:tcPr>
          <w:p w14:paraId="5A0E9573">
            <w:pPr>
              <w:pStyle w:val="22"/>
              <w:jc w:val="center"/>
              <w:rPr>
                <w:rFonts w:ascii="宋体" w:hAnsi="宋体" w:eastAsia="宋体"/>
              </w:rPr>
            </w:pPr>
            <w:r>
              <w:rPr>
                <w:rFonts w:hint="eastAsia" w:ascii="宋体" w:hAnsi="宋体" w:eastAsia="宋体"/>
              </w:rPr>
              <w:t>棕榈</w:t>
            </w:r>
          </w:p>
        </w:tc>
        <w:tc>
          <w:tcPr>
            <w:tcW w:w="3325" w:type="dxa"/>
            <w:noWrap/>
            <w:vAlign w:val="center"/>
          </w:tcPr>
          <w:p w14:paraId="7C884A9E">
            <w:pPr>
              <w:pStyle w:val="22"/>
              <w:jc w:val="center"/>
              <w:rPr>
                <w:rFonts w:ascii="宋体" w:hAnsi="宋体" w:eastAsia="宋体"/>
              </w:rPr>
            </w:pPr>
            <w:r>
              <w:rPr>
                <w:rFonts w:hint="eastAsia" w:ascii="宋体" w:hAnsi="宋体" w:eastAsia="宋体"/>
              </w:rPr>
              <w:t>棕榈科棕榈属</w:t>
            </w:r>
          </w:p>
        </w:tc>
        <w:tc>
          <w:tcPr>
            <w:tcW w:w="2160" w:type="dxa"/>
            <w:noWrap/>
            <w:vAlign w:val="center"/>
          </w:tcPr>
          <w:p w14:paraId="13A39A8B">
            <w:pPr>
              <w:pStyle w:val="22"/>
              <w:jc w:val="center"/>
              <w:rPr>
                <w:rFonts w:ascii="宋体" w:hAnsi="宋体" w:eastAsia="宋体"/>
              </w:rPr>
            </w:pPr>
            <w:r>
              <w:rPr>
                <w:rFonts w:hint="eastAsia" w:ascii="宋体" w:hAnsi="宋体" w:eastAsia="宋体"/>
              </w:rPr>
              <w:t>风媒</w:t>
            </w:r>
          </w:p>
        </w:tc>
      </w:tr>
      <w:tr w14:paraId="2EDBFE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2057" w:type="dxa"/>
            <w:noWrap/>
            <w:vAlign w:val="center"/>
          </w:tcPr>
          <w:p w14:paraId="0C5642B3">
            <w:pPr>
              <w:pStyle w:val="22"/>
              <w:jc w:val="center"/>
              <w:rPr>
                <w:rFonts w:ascii="宋体" w:hAnsi="宋体" w:eastAsia="宋体"/>
              </w:rPr>
            </w:pPr>
            <w:r>
              <w:rPr>
                <w:rFonts w:hint="eastAsia" w:ascii="宋体" w:hAnsi="宋体" w:eastAsia="宋体"/>
              </w:rPr>
              <w:t>雪松</w:t>
            </w:r>
          </w:p>
        </w:tc>
        <w:tc>
          <w:tcPr>
            <w:tcW w:w="3325" w:type="dxa"/>
            <w:noWrap/>
            <w:vAlign w:val="center"/>
          </w:tcPr>
          <w:p w14:paraId="6449811A">
            <w:pPr>
              <w:pStyle w:val="22"/>
              <w:jc w:val="center"/>
              <w:rPr>
                <w:rFonts w:ascii="宋体" w:hAnsi="宋体" w:eastAsia="宋体"/>
              </w:rPr>
            </w:pPr>
            <w:r>
              <w:rPr>
                <w:rFonts w:hint="eastAsia" w:ascii="宋体" w:hAnsi="宋体" w:eastAsia="宋体"/>
              </w:rPr>
              <w:t>松科雪松属</w:t>
            </w:r>
          </w:p>
        </w:tc>
        <w:tc>
          <w:tcPr>
            <w:tcW w:w="2160" w:type="dxa"/>
            <w:noWrap/>
            <w:vAlign w:val="center"/>
          </w:tcPr>
          <w:p w14:paraId="72EAA57F">
            <w:pPr>
              <w:pStyle w:val="22"/>
              <w:jc w:val="center"/>
              <w:rPr>
                <w:rFonts w:ascii="宋体" w:hAnsi="宋体" w:eastAsia="宋体"/>
              </w:rPr>
            </w:pPr>
            <w:r>
              <w:rPr>
                <w:rFonts w:hint="eastAsia" w:ascii="宋体" w:hAnsi="宋体" w:eastAsia="宋体"/>
              </w:rPr>
              <w:t>风媒</w:t>
            </w:r>
          </w:p>
        </w:tc>
      </w:tr>
      <w:tr w14:paraId="1A60B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2057" w:type="dxa"/>
            <w:noWrap/>
            <w:vAlign w:val="center"/>
          </w:tcPr>
          <w:p w14:paraId="48B707D1">
            <w:pPr>
              <w:pStyle w:val="22"/>
              <w:jc w:val="center"/>
              <w:rPr>
                <w:rFonts w:ascii="宋体" w:hAnsi="宋体" w:eastAsia="宋体"/>
              </w:rPr>
            </w:pPr>
            <w:r>
              <w:rPr>
                <w:rFonts w:hint="eastAsia" w:ascii="宋体" w:hAnsi="宋体" w:eastAsia="宋体"/>
              </w:rPr>
              <w:t>水杉</w:t>
            </w:r>
          </w:p>
        </w:tc>
        <w:tc>
          <w:tcPr>
            <w:tcW w:w="3325" w:type="dxa"/>
            <w:noWrap/>
            <w:vAlign w:val="center"/>
          </w:tcPr>
          <w:p w14:paraId="30B3B9D7">
            <w:pPr>
              <w:pStyle w:val="22"/>
              <w:jc w:val="center"/>
              <w:rPr>
                <w:rFonts w:ascii="宋体" w:hAnsi="宋体" w:eastAsia="宋体"/>
              </w:rPr>
            </w:pPr>
            <w:r>
              <w:rPr>
                <w:rFonts w:hint="eastAsia" w:ascii="宋体" w:hAnsi="宋体" w:eastAsia="宋体"/>
              </w:rPr>
              <w:t>柏科水杉属</w:t>
            </w:r>
          </w:p>
        </w:tc>
        <w:tc>
          <w:tcPr>
            <w:tcW w:w="2160" w:type="dxa"/>
            <w:noWrap/>
            <w:vAlign w:val="center"/>
          </w:tcPr>
          <w:p w14:paraId="79ED2992">
            <w:pPr>
              <w:pStyle w:val="22"/>
              <w:jc w:val="center"/>
              <w:rPr>
                <w:rFonts w:ascii="宋体" w:hAnsi="宋体" w:eastAsia="宋体"/>
              </w:rPr>
            </w:pPr>
            <w:r>
              <w:rPr>
                <w:rFonts w:hint="eastAsia" w:ascii="宋体" w:hAnsi="宋体" w:eastAsia="宋体"/>
              </w:rPr>
              <w:t>风媒</w:t>
            </w:r>
          </w:p>
        </w:tc>
      </w:tr>
      <w:tr w14:paraId="529E88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2057" w:type="dxa"/>
            <w:noWrap/>
            <w:vAlign w:val="center"/>
          </w:tcPr>
          <w:p w14:paraId="0B3DC5E5">
            <w:pPr>
              <w:pStyle w:val="22"/>
              <w:jc w:val="center"/>
              <w:rPr>
                <w:rFonts w:ascii="宋体" w:hAnsi="宋体" w:eastAsia="宋体"/>
              </w:rPr>
            </w:pPr>
            <w:r>
              <w:rPr>
                <w:rFonts w:hint="eastAsia" w:ascii="宋体" w:hAnsi="宋体" w:eastAsia="宋体"/>
              </w:rPr>
              <w:t>鸡爪槭</w:t>
            </w:r>
          </w:p>
        </w:tc>
        <w:tc>
          <w:tcPr>
            <w:tcW w:w="3325" w:type="dxa"/>
            <w:noWrap/>
            <w:vAlign w:val="center"/>
          </w:tcPr>
          <w:p w14:paraId="5BDD9E95">
            <w:pPr>
              <w:pStyle w:val="22"/>
              <w:jc w:val="center"/>
              <w:rPr>
                <w:rFonts w:ascii="宋体" w:hAnsi="宋体" w:eastAsia="宋体"/>
              </w:rPr>
            </w:pPr>
            <w:r>
              <w:rPr>
                <w:rFonts w:hint="eastAsia" w:ascii="宋体" w:hAnsi="宋体" w:eastAsia="宋体"/>
              </w:rPr>
              <w:t>无患子科槭属</w:t>
            </w:r>
          </w:p>
        </w:tc>
        <w:tc>
          <w:tcPr>
            <w:tcW w:w="2160" w:type="dxa"/>
            <w:noWrap/>
            <w:vAlign w:val="center"/>
          </w:tcPr>
          <w:p w14:paraId="6019A367">
            <w:pPr>
              <w:pStyle w:val="22"/>
              <w:jc w:val="center"/>
              <w:rPr>
                <w:rFonts w:ascii="宋体" w:hAnsi="宋体" w:eastAsia="宋体"/>
              </w:rPr>
            </w:pPr>
            <w:r>
              <w:rPr>
                <w:rFonts w:hint="eastAsia" w:ascii="宋体" w:hAnsi="宋体" w:eastAsia="宋体"/>
              </w:rPr>
              <w:t>虫媒</w:t>
            </w:r>
          </w:p>
        </w:tc>
      </w:tr>
      <w:tr w14:paraId="6A8DE8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2057" w:type="dxa"/>
            <w:noWrap/>
            <w:vAlign w:val="center"/>
          </w:tcPr>
          <w:p w14:paraId="26D90812">
            <w:pPr>
              <w:pStyle w:val="22"/>
              <w:jc w:val="center"/>
              <w:rPr>
                <w:rFonts w:ascii="宋体" w:hAnsi="宋体" w:eastAsia="宋体"/>
              </w:rPr>
            </w:pPr>
            <w:r>
              <w:rPr>
                <w:rFonts w:hint="eastAsia" w:ascii="宋体" w:hAnsi="宋体" w:eastAsia="宋体"/>
              </w:rPr>
              <w:t>圆柏</w:t>
            </w:r>
          </w:p>
        </w:tc>
        <w:tc>
          <w:tcPr>
            <w:tcW w:w="3325" w:type="dxa"/>
            <w:noWrap/>
            <w:vAlign w:val="center"/>
          </w:tcPr>
          <w:p w14:paraId="6F176936">
            <w:pPr>
              <w:pStyle w:val="22"/>
              <w:jc w:val="center"/>
              <w:rPr>
                <w:rFonts w:ascii="宋体" w:hAnsi="宋体" w:eastAsia="宋体"/>
              </w:rPr>
            </w:pPr>
            <w:r>
              <w:rPr>
                <w:rFonts w:hint="eastAsia" w:ascii="宋体" w:hAnsi="宋体" w:eastAsia="宋体"/>
              </w:rPr>
              <w:t>柏科刺柏属</w:t>
            </w:r>
          </w:p>
        </w:tc>
        <w:tc>
          <w:tcPr>
            <w:tcW w:w="2160" w:type="dxa"/>
            <w:noWrap/>
            <w:vAlign w:val="center"/>
          </w:tcPr>
          <w:p w14:paraId="702C322D">
            <w:pPr>
              <w:pStyle w:val="22"/>
              <w:jc w:val="center"/>
              <w:rPr>
                <w:rFonts w:ascii="宋体" w:hAnsi="宋体" w:eastAsia="宋体"/>
              </w:rPr>
            </w:pPr>
            <w:r>
              <w:rPr>
                <w:rFonts w:hint="eastAsia" w:ascii="宋体" w:hAnsi="宋体" w:eastAsia="宋体"/>
              </w:rPr>
              <w:t>风媒</w:t>
            </w:r>
          </w:p>
        </w:tc>
      </w:tr>
      <w:tr w14:paraId="3CEA86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2057" w:type="dxa"/>
            <w:noWrap/>
            <w:vAlign w:val="center"/>
          </w:tcPr>
          <w:p w14:paraId="61197B3A">
            <w:pPr>
              <w:pStyle w:val="22"/>
              <w:jc w:val="center"/>
              <w:rPr>
                <w:rFonts w:ascii="宋体" w:hAnsi="宋体" w:eastAsia="宋体"/>
              </w:rPr>
            </w:pPr>
            <w:r>
              <w:rPr>
                <w:rFonts w:hint="eastAsia" w:ascii="宋体" w:hAnsi="宋体" w:eastAsia="宋体"/>
              </w:rPr>
              <w:t>构树</w:t>
            </w:r>
          </w:p>
        </w:tc>
        <w:tc>
          <w:tcPr>
            <w:tcW w:w="3325" w:type="dxa"/>
            <w:noWrap/>
            <w:vAlign w:val="center"/>
          </w:tcPr>
          <w:p w14:paraId="299948AC">
            <w:pPr>
              <w:pStyle w:val="22"/>
              <w:jc w:val="center"/>
              <w:rPr>
                <w:rFonts w:ascii="宋体" w:hAnsi="宋体" w:eastAsia="宋体"/>
              </w:rPr>
            </w:pPr>
            <w:r>
              <w:rPr>
                <w:rFonts w:hint="eastAsia" w:ascii="宋体" w:hAnsi="宋体" w:eastAsia="宋体"/>
              </w:rPr>
              <w:t>桑科构属</w:t>
            </w:r>
          </w:p>
        </w:tc>
        <w:tc>
          <w:tcPr>
            <w:tcW w:w="2160" w:type="dxa"/>
            <w:noWrap/>
            <w:vAlign w:val="center"/>
          </w:tcPr>
          <w:p w14:paraId="7885B7D6">
            <w:pPr>
              <w:pStyle w:val="22"/>
              <w:jc w:val="center"/>
              <w:rPr>
                <w:rFonts w:ascii="宋体" w:hAnsi="宋体" w:eastAsia="宋体"/>
              </w:rPr>
            </w:pPr>
            <w:r>
              <w:rPr>
                <w:rFonts w:hint="eastAsia" w:ascii="宋体" w:hAnsi="宋体" w:eastAsia="宋体"/>
              </w:rPr>
              <w:t>风媒</w:t>
            </w:r>
          </w:p>
        </w:tc>
      </w:tr>
      <w:tr w14:paraId="3A747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2057" w:type="dxa"/>
            <w:noWrap/>
            <w:vAlign w:val="center"/>
          </w:tcPr>
          <w:p w14:paraId="0C2E1D40">
            <w:pPr>
              <w:pStyle w:val="22"/>
              <w:jc w:val="center"/>
              <w:rPr>
                <w:rFonts w:ascii="宋体" w:hAnsi="宋体" w:eastAsia="宋体"/>
              </w:rPr>
            </w:pPr>
            <w:r>
              <w:rPr>
                <w:rFonts w:hint="eastAsia" w:ascii="宋体" w:hAnsi="宋体" w:eastAsia="宋体"/>
              </w:rPr>
              <w:t>桑树</w:t>
            </w:r>
          </w:p>
        </w:tc>
        <w:tc>
          <w:tcPr>
            <w:tcW w:w="3325" w:type="dxa"/>
            <w:noWrap/>
            <w:vAlign w:val="center"/>
          </w:tcPr>
          <w:p w14:paraId="6024D05A">
            <w:pPr>
              <w:pStyle w:val="22"/>
              <w:jc w:val="center"/>
              <w:rPr>
                <w:rFonts w:ascii="宋体" w:hAnsi="宋体" w:eastAsia="宋体"/>
              </w:rPr>
            </w:pPr>
            <w:r>
              <w:rPr>
                <w:rFonts w:hint="eastAsia" w:ascii="宋体" w:hAnsi="宋体" w:eastAsia="宋体"/>
              </w:rPr>
              <w:t>桑科桑属</w:t>
            </w:r>
          </w:p>
        </w:tc>
        <w:tc>
          <w:tcPr>
            <w:tcW w:w="2160" w:type="dxa"/>
            <w:noWrap/>
            <w:vAlign w:val="center"/>
          </w:tcPr>
          <w:p w14:paraId="7F59FE0F">
            <w:pPr>
              <w:pStyle w:val="22"/>
              <w:jc w:val="center"/>
              <w:rPr>
                <w:rFonts w:ascii="宋体" w:hAnsi="宋体" w:eastAsia="宋体"/>
              </w:rPr>
            </w:pPr>
            <w:r>
              <w:rPr>
                <w:rFonts w:hint="eastAsia" w:ascii="宋体" w:hAnsi="宋体" w:eastAsia="宋体"/>
              </w:rPr>
              <w:t>风媒</w:t>
            </w:r>
          </w:p>
        </w:tc>
      </w:tr>
      <w:tr w14:paraId="106F0E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2057" w:type="dxa"/>
            <w:noWrap/>
            <w:vAlign w:val="center"/>
          </w:tcPr>
          <w:p w14:paraId="2232951C">
            <w:pPr>
              <w:pStyle w:val="22"/>
              <w:jc w:val="center"/>
              <w:rPr>
                <w:rFonts w:ascii="宋体" w:hAnsi="宋体" w:eastAsia="宋体"/>
              </w:rPr>
            </w:pPr>
            <w:r>
              <w:rPr>
                <w:rFonts w:hint="eastAsia" w:ascii="宋体" w:hAnsi="宋体" w:eastAsia="宋体"/>
              </w:rPr>
              <w:t>银杏</w:t>
            </w:r>
          </w:p>
        </w:tc>
        <w:tc>
          <w:tcPr>
            <w:tcW w:w="3325" w:type="dxa"/>
            <w:noWrap/>
            <w:vAlign w:val="center"/>
          </w:tcPr>
          <w:p w14:paraId="098F23F3">
            <w:pPr>
              <w:pStyle w:val="22"/>
              <w:jc w:val="center"/>
              <w:rPr>
                <w:rFonts w:ascii="宋体" w:hAnsi="宋体" w:eastAsia="宋体"/>
              </w:rPr>
            </w:pPr>
            <w:r>
              <w:rPr>
                <w:rFonts w:hint="eastAsia" w:ascii="宋体" w:hAnsi="宋体" w:eastAsia="宋体"/>
              </w:rPr>
              <w:t>银杏科银杏属</w:t>
            </w:r>
          </w:p>
        </w:tc>
        <w:tc>
          <w:tcPr>
            <w:tcW w:w="2160" w:type="dxa"/>
            <w:noWrap/>
            <w:vAlign w:val="center"/>
          </w:tcPr>
          <w:p w14:paraId="5362CD69">
            <w:pPr>
              <w:pStyle w:val="22"/>
              <w:jc w:val="center"/>
              <w:rPr>
                <w:rFonts w:ascii="宋体" w:hAnsi="宋体" w:eastAsia="宋体"/>
              </w:rPr>
            </w:pPr>
            <w:r>
              <w:rPr>
                <w:rFonts w:hint="eastAsia" w:ascii="宋体" w:hAnsi="宋体" w:eastAsia="宋体"/>
              </w:rPr>
              <w:t>风媒</w:t>
            </w:r>
          </w:p>
        </w:tc>
      </w:tr>
      <w:tr w14:paraId="09210A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2057" w:type="dxa"/>
            <w:noWrap/>
            <w:vAlign w:val="center"/>
          </w:tcPr>
          <w:p w14:paraId="0F8A8C21">
            <w:pPr>
              <w:pStyle w:val="22"/>
              <w:jc w:val="center"/>
              <w:rPr>
                <w:rFonts w:ascii="宋体" w:hAnsi="宋体" w:eastAsia="宋体"/>
              </w:rPr>
            </w:pPr>
            <w:r>
              <w:rPr>
                <w:rFonts w:hint="eastAsia" w:ascii="宋体" w:hAnsi="宋体" w:eastAsia="宋体"/>
              </w:rPr>
              <w:t>臭椿</w:t>
            </w:r>
          </w:p>
        </w:tc>
        <w:tc>
          <w:tcPr>
            <w:tcW w:w="3325" w:type="dxa"/>
            <w:noWrap/>
            <w:vAlign w:val="center"/>
          </w:tcPr>
          <w:p w14:paraId="512E777F">
            <w:pPr>
              <w:pStyle w:val="22"/>
              <w:jc w:val="center"/>
              <w:rPr>
                <w:rFonts w:ascii="宋体" w:hAnsi="宋体" w:eastAsia="宋体"/>
              </w:rPr>
            </w:pPr>
            <w:r>
              <w:rPr>
                <w:rFonts w:hint="eastAsia" w:ascii="宋体" w:hAnsi="宋体" w:eastAsia="宋体"/>
              </w:rPr>
              <w:t>苦木科臭椿属</w:t>
            </w:r>
          </w:p>
        </w:tc>
        <w:tc>
          <w:tcPr>
            <w:tcW w:w="2160" w:type="dxa"/>
            <w:noWrap/>
            <w:vAlign w:val="center"/>
          </w:tcPr>
          <w:p w14:paraId="7EAB3519">
            <w:pPr>
              <w:pStyle w:val="22"/>
              <w:jc w:val="center"/>
              <w:rPr>
                <w:rFonts w:ascii="宋体" w:hAnsi="宋体" w:eastAsia="宋体"/>
              </w:rPr>
            </w:pPr>
            <w:r>
              <w:rPr>
                <w:rFonts w:hint="eastAsia" w:ascii="宋体" w:hAnsi="宋体" w:eastAsia="宋体"/>
              </w:rPr>
              <w:t>风媒</w:t>
            </w:r>
          </w:p>
        </w:tc>
      </w:tr>
      <w:tr w14:paraId="079988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2057" w:type="dxa"/>
            <w:noWrap/>
            <w:vAlign w:val="center"/>
          </w:tcPr>
          <w:p w14:paraId="53AA0FF5">
            <w:pPr>
              <w:pStyle w:val="22"/>
              <w:jc w:val="center"/>
              <w:rPr>
                <w:rFonts w:ascii="宋体" w:hAnsi="宋体" w:eastAsia="宋体"/>
              </w:rPr>
            </w:pPr>
            <w:r>
              <w:rPr>
                <w:rFonts w:hint="eastAsia" w:ascii="宋体" w:hAnsi="宋体" w:eastAsia="宋体"/>
              </w:rPr>
              <w:t>枫杨</w:t>
            </w:r>
          </w:p>
        </w:tc>
        <w:tc>
          <w:tcPr>
            <w:tcW w:w="3325" w:type="dxa"/>
            <w:noWrap/>
            <w:vAlign w:val="center"/>
          </w:tcPr>
          <w:p w14:paraId="3E32FDC6">
            <w:pPr>
              <w:pStyle w:val="22"/>
              <w:jc w:val="center"/>
              <w:rPr>
                <w:rFonts w:ascii="宋体" w:hAnsi="宋体" w:eastAsia="宋体"/>
              </w:rPr>
            </w:pPr>
            <w:r>
              <w:rPr>
                <w:rFonts w:hint="eastAsia" w:ascii="宋体" w:hAnsi="宋体" w:eastAsia="宋体"/>
              </w:rPr>
              <w:t>胡桃科枫杨属</w:t>
            </w:r>
          </w:p>
        </w:tc>
        <w:tc>
          <w:tcPr>
            <w:tcW w:w="2160" w:type="dxa"/>
            <w:noWrap/>
            <w:vAlign w:val="center"/>
          </w:tcPr>
          <w:p w14:paraId="453E719E">
            <w:pPr>
              <w:pStyle w:val="22"/>
              <w:jc w:val="center"/>
              <w:rPr>
                <w:rFonts w:ascii="宋体" w:hAnsi="宋体" w:eastAsia="宋体"/>
              </w:rPr>
            </w:pPr>
            <w:r>
              <w:rPr>
                <w:rFonts w:hint="eastAsia" w:ascii="宋体" w:hAnsi="宋体" w:eastAsia="宋体"/>
              </w:rPr>
              <w:t>风媒</w:t>
            </w:r>
          </w:p>
        </w:tc>
      </w:tr>
      <w:tr w14:paraId="5F951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2057" w:type="dxa"/>
            <w:noWrap/>
            <w:vAlign w:val="center"/>
          </w:tcPr>
          <w:p w14:paraId="280FAE66">
            <w:pPr>
              <w:pStyle w:val="22"/>
              <w:jc w:val="center"/>
              <w:rPr>
                <w:rFonts w:ascii="宋体" w:hAnsi="宋体" w:eastAsia="宋体"/>
              </w:rPr>
            </w:pPr>
            <w:r>
              <w:rPr>
                <w:rFonts w:hint="eastAsia" w:ascii="宋体" w:hAnsi="宋体" w:eastAsia="宋体"/>
              </w:rPr>
              <w:t>海桐</w:t>
            </w:r>
          </w:p>
        </w:tc>
        <w:tc>
          <w:tcPr>
            <w:tcW w:w="3325" w:type="dxa"/>
            <w:noWrap/>
            <w:vAlign w:val="center"/>
          </w:tcPr>
          <w:p w14:paraId="7CA23526">
            <w:pPr>
              <w:pStyle w:val="22"/>
              <w:jc w:val="center"/>
              <w:rPr>
                <w:rFonts w:ascii="宋体" w:hAnsi="宋体" w:eastAsia="宋体"/>
              </w:rPr>
            </w:pPr>
            <w:r>
              <w:rPr>
                <w:rFonts w:hint="eastAsia" w:ascii="宋体" w:hAnsi="宋体" w:eastAsia="宋体"/>
              </w:rPr>
              <w:t>海桐科海桐属</w:t>
            </w:r>
          </w:p>
        </w:tc>
        <w:tc>
          <w:tcPr>
            <w:tcW w:w="2160" w:type="dxa"/>
            <w:noWrap/>
            <w:vAlign w:val="center"/>
          </w:tcPr>
          <w:p w14:paraId="75DDF88C">
            <w:pPr>
              <w:pStyle w:val="22"/>
              <w:jc w:val="center"/>
              <w:rPr>
                <w:rFonts w:ascii="宋体" w:hAnsi="宋体" w:eastAsia="宋体"/>
              </w:rPr>
            </w:pPr>
            <w:r>
              <w:rPr>
                <w:rFonts w:hint="eastAsia" w:ascii="宋体" w:hAnsi="宋体" w:eastAsia="宋体"/>
              </w:rPr>
              <w:t>风媒</w:t>
            </w:r>
          </w:p>
        </w:tc>
      </w:tr>
      <w:tr w14:paraId="1F23E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2057" w:type="dxa"/>
            <w:noWrap/>
            <w:vAlign w:val="center"/>
          </w:tcPr>
          <w:p w14:paraId="765C4F4C">
            <w:pPr>
              <w:pStyle w:val="22"/>
              <w:jc w:val="center"/>
              <w:rPr>
                <w:rFonts w:ascii="宋体" w:hAnsi="宋体" w:eastAsia="宋体"/>
              </w:rPr>
            </w:pPr>
            <w:r>
              <w:rPr>
                <w:rFonts w:hint="eastAsia" w:ascii="宋体" w:hAnsi="宋体" w:eastAsia="宋体"/>
              </w:rPr>
              <w:t>黑松</w:t>
            </w:r>
          </w:p>
        </w:tc>
        <w:tc>
          <w:tcPr>
            <w:tcW w:w="3325" w:type="dxa"/>
            <w:noWrap/>
            <w:vAlign w:val="center"/>
          </w:tcPr>
          <w:p w14:paraId="4E5B0368">
            <w:pPr>
              <w:pStyle w:val="22"/>
              <w:jc w:val="center"/>
              <w:rPr>
                <w:rFonts w:ascii="宋体" w:hAnsi="宋体" w:eastAsia="宋体"/>
              </w:rPr>
            </w:pPr>
            <w:r>
              <w:rPr>
                <w:rFonts w:hint="eastAsia" w:ascii="宋体" w:hAnsi="宋体" w:eastAsia="宋体"/>
              </w:rPr>
              <w:t>松科松属</w:t>
            </w:r>
          </w:p>
        </w:tc>
        <w:tc>
          <w:tcPr>
            <w:tcW w:w="2160" w:type="dxa"/>
            <w:noWrap/>
            <w:vAlign w:val="center"/>
          </w:tcPr>
          <w:p w14:paraId="149E7CBC">
            <w:pPr>
              <w:pStyle w:val="22"/>
              <w:jc w:val="center"/>
              <w:rPr>
                <w:rFonts w:ascii="宋体" w:hAnsi="宋体" w:eastAsia="宋体"/>
              </w:rPr>
            </w:pPr>
            <w:r>
              <w:rPr>
                <w:rFonts w:hint="eastAsia" w:ascii="宋体" w:hAnsi="宋体" w:eastAsia="宋体"/>
              </w:rPr>
              <w:t>风媒</w:t>
            </w:r>
          </w:p>
        </w:tc>
      </w:tr>
      <w:tr w14:paraId="6952DA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2057" w:type="dxa"/>
            <w:noWrap/>
            <w:vAlign w:val="center"/>
          </w:tcPr>
          <w:p w14:paraId="3F020926">
            <w:pPr>
              <w:pStyle w:val="22"/>
              <w:jc w:val="center"/>
              <w:rPr>
                <w:rFonts w:ascii="宋体" w:hAnsi="宋体" w:eastAsia="宋体"/>
              </w:rPr>
            </w:pPr>
            <w:r>
              <w:rPr>
                <w:rFonts w:hint="eastAsia" w:ascii="宋体" w:hAnsi="宋体" w:eastAsia="宋体"/>
              </w:rPr>
              <w:t>黄杨</w:t>
            </w:r>
          </w:p>
        </w:tc>
        <w:tc>
          <w:tcPr>
            <w:tcW w:w="3325" w:type="dxa"/>
            <w:noWrap/>
            <w:vAlign w:val="center"/>
          </w:tcPr>
          <w:p w14:paraId="4C25B9F1">
            <w:pPr>
              <w:pStyle w:val="22"/>
              <w:jc w:val="center"/>
              <w:rPr>
                <w:rFonts w:ascii="宋体" w:hAnsi="宋体" w:eastAsia="宋体"/>
              </w:rPr>
            </w:pPr>
            <w:r>
              <w:rPr>
                <w:rFonts w:hint="eastAsia" w:ascii="宋体" w:hAnsi="宋体" w:eastAsia="宋体"/>
              </w:rPr>
              <w:t>黄杨科黄杨属</w:t>
            </w:r>
          </w:p>
        </w:tc>
        <w:tc>
          <w:tcPr>
            <w:tcW w:w="2160" w:type="dxa"/>
            <w:noWrap/>
            <w:vAlign w:val="center"/>
          </w:tcPr>
          <w:p w14:paraId="5E5B22CC">
            <w:pPr>
              <w:pStyle w:val="22"/>
              <w:jc w:val="center"/>
              <w:rPr>
                <w:rFonts w:ascii="宋体" w:hAnsi="宋体" w:eastAsia="宋体"/>
              </w:rPr>
            </w:pPr>
            <w:r>
              <w:rPr>
                <w:rFonts w:hint="eastAsia" w:ascii="宋体" w:hAnsi="宋体" w:eastAsia="宋体"/>
              </w:rPr>
              <w:t>风媒</w:t>
            </w:r>
          </w:p>
        </w:tc>
      </w:tr>
      <w:tr w14:paraId="09340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2057" w:type="dxa"/>
            <w:noWrap/>
            <w:vAlign w:val="center"/>
          </w:tcPr>
          <w:p w14:paraId="2A974963">
            <w:pPr>
              <w:pStyle w:val="22"/>
              <w:jc w:val="center"/>
              <w:rPr>
                <w:rFonts w:ascii="宋体" w:hAnsi="宋体" w:eastAsia="宋体"/>
              </w:rPr>
            </w:pPr>
            <w:r>
              <w:rPr>
                <w:rFonts w:hint="eastAsia" w:ascii="宋体" w:hAnsi="宋体" w:eastAsia="宋体"/>
              </w:rPr>
              <w:t>罗汉松</w:t>
            </w:r>
          </w:p>
        </w:tc>
        <w:tc>
          <w:tcPr>
            <w:tcW w:w="3325" w:type="dxa"/>
            <w:noWrap/>
            <w:vAlign w:val="center"/>
          </w:tcPr>
          <w:p w14:paraId="08E71F9A">
            <w:pPr>
              <w:pStyle w:val="22"/>
              <w:jc w:val="center"/>
              <w:rPr>
                <w:rFonts w:ascii="宋体" w:hAnsi="宋体" w:eastAsia="宋体"/>
              </w:rPr>
            </w:pPr>
            <w:r>
              <w:rPr>
                <w:rFonts w:hint="eastAsia" w:ascii="宋体" w:hAnsi="宋体" w:eastAsia="宋体"/>
              </w:rPr>
              <w:t>罗汉松科罗汉松属</w:t>
            </w:r>
          </w:p>
        </w:tc>
        <w:tc>
          <w:tcPr>
            <w:tcW w:w="2160" w:type="dxa"/>
            <w:noWrap/>
            <w:vAlign w:val="center"/>
          </w:tcPr>
          <w:p w14:paraId="25B4191C">
            <w:pPr>
              <w:pStyle w:val="22"/>
              <w:jc w:val="center"/>
              <w:rPr>
                <w:rFonts w:ascii="宋体" w:hAnsi="宋体" w:eastAsia="宋体"/>
              </w:rPr>
            </w:pPr>
            <w:r>
              <w:rPr>
                <w:rFonts w:hint="eastAsia" w:ascii="宋体" w:hAnsi="宋体" w:eastAsia="宋体"/>
              </w:rPr>
              <w:t>风媒</w:t>
            </w:r>
          </w:p>
        </w:tc>
      </w:tr>
      <w:tr w14:paraId="6C6424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2057" w:type="dxa"/>
            <w:noWrap/>
            <w:vAlign w:val="center"/>
          </w:tcPr>
          <w:p w14:paraId="2C5F8A3E">
            <w:pPr>
              <w:pStyle w:val="22"/>
              <w:jc w:val="center"/>
              <w:rPr>
                <w:rFonts w:ascii="宋体" w:hAnsi="宋体" w:eastAsia="宋体"/>
              </w:rPr>
            </w:pPr>
            <w:r>
              <w:rPr>
                <w:rFonts w:hint="eastAsia" w:ascii="宋体" w:hAnsi="宋体" w:eastAsia="宋体"/>
              </w:rPr>
              <w:t>榆树</w:t>
            </w:r>
          </w:p>
        </w:tc>
        <w:tc>
          <w:tcPr>
            <w:tcW w:w="3325" w:type="dxa"/>
            <w:noWrap/>
            <w:vAlign w:val="center"/>
          </w:tcPr>
          <w:p w14:paraId="68473773">
            <w:pPr>
              <w:pStyle w:val="22"/>
              <w:jc w:val="center"/>
              <w:rPr>
                <w:rFonts w:ascii="宋体" w:hAnsi="宋体" w:eastAsia="宋体"/>
              </w:rPr>
            </w:pPr>
            <w:r>
              <w:rPr>
                <w:rFonts w:hint="eastAsia" w:ascii="宋体" w:hAnsi="宋体" w:eastAsia="宋体"/>
              </w:rPr>
              <w:t>榆科榆属</w:t>
            </w:r>
          </w:p>
        </w:tc>
        <w:tc>
          <w:tcPr>
            <w:tcW w:w="2160" w:type="dxa"/>
            <w:noWrap/>
            <w:vAlign w:val="center"/>
          </w:tcPr>
          <w:p w14:paraId="0F272932">
            <w:pPr>
              <w:pStyle w:val="22"/>
              <w:jc w:val="center"/>
              <w:rPr>
                <w:rFonts w:ascii="宋体" w:hAnsi="宋体" w:eastAsia="宋体"/>
              </w:rPr>
            </w:pPr>
            <w:r>
              <w:rPr>
                <w:rFonts w:hint="eastAsia" w:ascii="宋体" w:hAnsi="宋体" w:eastAsia="宋体"/>
              </w:rPr>
              <w:t>风媒</w:t>
            </w:r>
          </w:p>
        </w:tc>
      </w:tr>
      <w:tr w14:paraId="2F6A82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2057" w:type="dxa"/>
            <w:noWrap/>
            <w:vAlign w:val="center"/>
          </w:tcPr>
          <w:p w14:paraId="58DEEB11">
            <w:pPr>
              <w:pStyle w:val="22"/>
              <w:jc w:val="center"/>
              <w:rPr>
                <w:rFonts w:ascii="宋体" w:hAnsi="宋体" w:eastAsia="宋体"/>
              </w:rPr>
            </w:pPr>
            <w:r>
              <w:rPr>
                <w:rFonts w:hint="eastAsia" w:ascii="宋体" w:hAnsi="宋体" w:eastAsia="宋体"/>
              </w:rPr>
              <w:t>接骨木</w:t>
            </w:r>
          </w:p>
        </w:tc>
        <w:tc>
          <w:tcPr>
            <w:tcW w:w="3325" w:type="dxa"/>
            <w:noWrap/>
            <w:vAlign w:val="center"/>
          </w:tcPr>
          <w:p w14:paraId="7AECC144">
            <w:pPr>
              <w:pStyle w:val="22"/>
              <w:jc w:val="center"/>
              <w:rPr>
                <w:rFonts w:ascii="宋体" w:hAnsi="宋体" w:eastAsia="宋体"/>
              </w:rPr>
            </w:pPr>
            <w:r>
              <w:rPr>
                <w:rFonts w:hint="eastAsia" w:ascii="宋体" w:hAnsi="宋体" w:eastAsia="宋体"/>
              </w:rPr>
              <w:t>五福花科接骨木属</w:t>
            </w:r>
          </w:p>
        </w:tc>
        <w:tc>
          <w:tcPr>
            <w:tcW w:w="2160" w:type="dxa"/>
            <w:noWrap/>
            <w:vAlign w:val="center"/>
          </w:tcPr>
          <w:p w14:paraId="67BF4297">
            <w:pPr>
              <w:pStyle w:val="22"/>
              <w:jc w:val="center"/>
              <w:rPr>
                <w:rFonts w:ascii="宋体" w:hAnsi="宋体" w:eastAsia="宋体"/>
              </w:rPr>
            </w:pPr>
            <w:r>
              <w:rPr>
                <w:rFonts w:hint="eastAsia" w:ascii="宋体" w:hAnsi="宋体" w:eastAsia="宋体"/>
              </w:rPr>
              <w:t>虫媒/风媒</w:t>
            </w:r>
          </w:p>
        </w:tc>
      </w:tr>
      <w:tr w14:paraId="0E0BFD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2057" w:type="dxa"/>
            <w:noWrap/>
            <w:vAlign w:val="center"/>
          </w:tcPr>
          <w:p w14:paraId="241C8A8B">
            <w:pPr>
              <w:pStyle w:val="22"/>
              <w:jc w:val="center"/>
              <w:rPr>
                <w:rFonts w:ascii="宋体" w:hAnsi="宋体" w:eastAsia="宋体"/>
              </w:rPr>
            </w:pPr>
            <w:r>
              <w:rPr>
                <w:rFonts w:hint="eastAsia" w:ascii="宋体" w:hAnsi="宋体" w:eastAsia="宋体"/>
              </w:rPr>
              <w:t>楝</w:t>
            </w:r>
          </w:p>
        </w:tc>
        <w:tc>
          <w:tcPr>
            <w:tcW w:w="3325" w:type="dxa"/>
            <w:noWrap/>
            <w:vAlign w:val="center"/>
          </w:tcPr>
          <w:p w14:paraId="75FBB283">
            <w:pPr>
              <w:pStyle w:val="22"/>
              <w:jc w:val="center"/>
              <w:rPr>
                <w:rFonts w:ascii="宋体" w:hAnsi="宋体" w:eastAsia="宋体"/>
              </w:rPr>
            </w:pPr>
            <w:r>
              <w:rPr>
                <w:rFonts w:hint="eastAsia" w:ascii="宋体" w:hAnsi="宋体" w:eastAsia="宋体"/>
              </w:rPr>
              <w:t>楝科楝属</w:t>
            </w:r>
          </w:p>
        </w:tc>
        <w:tc>
          <w:tcPr>
            <w:tcW w:w="2160" w:type="dxa"/>
            <w:noWrap/>
            <w:vAlign w:val="center"/>
          </w:tcPr>
          <w:p w14:paraId="53FC3863">
            <w:pPr>
              <w:pStyle w:val="22"/>
              <w:jc w:val="center"/>
              <w:rPr>
                <w:rFonts w:ascii="宋体" w:hAnsi="宋体" w:eastAsia="宋体"/>
              </w:rPr>
            </w:pPr>
            <w:r>
              <w:rPr>
                <w:rFonts w:hint="eastAsia" w:ascii="宋体" w:hAnsi="宋体" w:eastAsia="宋体"/>
              </w:rPr>
              <w:t>虫媒</w:t>
            </w:r>
          </w:p>
        </w:tc>
      </w:tr>
      <w:tr w14:paraId="351E63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2057" w:type="dxa"/>
            <w:noWrap/>
            <w:vAlign w:val="center"/>
          </w:tcPr>
          <w:p w14:paraId="7D18CC93">
            <w:pPr>
              <w:pStyle w:val="22"/>
              <w:jc w:val="center"/>
              <w:rPr>
                <w:rFonts w:ascii="宋体" w:hAnsi="宋体" w:eastAsia="宋体"/>
              </w:rPr>
            </w:pPr>
            <w:r>
              <w:rPr>
                <w:rFonts w:hint="eastAsia" w:ascii="宋体" w:hAnsi="宋体" w:eastAsia="宋体"/>
              </w:rPr>
              <w:t>侧柏</w:t>
            </w:r>
          </w:p>
        </w:tc>
        <w:tc>
          <w:tcPr>
            <w:tcW w:w="3325" w:type="dxa"/>
            <w:noWrap/>
            <w:vAlign w:val="center"/>
          </w:tcPr>
          <w:p w14:paraId="3B6D2A0D">
            <w:pPr>
              <w:pStyle w:val="22"/>
              <w:jc w:val="center"/>
              <w:rPr>
                <w:rFonts w:ascii="宋体" w:hAnsi="宋体" w:eastAsia="宋体"/>
              </w:rPr>
            </w:pPr>
            <w:r>
              <w:rPr>
                <w:rFonts w:hint="eastAsia" w:ascii="宋体" w:hAnsi="宋体" w:eastAsia="宋体"/>
              </w:rPr>
              <w:t>柏科侧柏属</w:t>
            </w:r>
          </w:p>
        </w:tc>
        <w:tc>
          <w:tcPr>
            <w:tcW w:w="2160" w:type="dxa"/>
            <w:noWrap/>
            <w:vAlign w:val="center"/>
          </w:tcPr>
          <w:p w14:paraId="65F2F7EE">
            <w:pPr>
              <w:pStyle w:val="22"/>
              <w:jc w:val="center"/>
              <w:rPr>
                <w:rFonts w:ascii="宋体" w:hAnsi="宋体" w:eastAsia="宋体"/>
              </w:rPr>
            </w:pPr>
            <w:r>
              <w:rPr>
                <w:rFonts w:hint="eastAsia" w:ascii="宋体" w:hAnsi="宋体" w:eastAsia="宋体"/>
              </w:rPr>
              <w:t>风媒</w:t>
            </w:r>
          </w:p>
        </w:tc>
      </w:tr>
      <w:tr w14:paraId="4B4F42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057" w:type="dxa"/>
            <w:noWrap/>
            <w:vAlign w:val="center"/>
          </w:tcPr>
          <w:p w14:paraId="69CA60F4">
            <w:pPr>
              <w:pStyle w:val="22"/>
              <w:jc w:val="center"/>
              <w:rPr>
                <w:rFonts w:ascii="宋体" w:hAnsi="宋体" w:eastAsia="宋体"/>
              </w:rPr>
            </w:pPr>
            <w:r>
              <w:rPr>
                <w:rFonts w:hint="eastAsia" w:ascii="宋体" w:hAnsi="宋体" w:eastAsia="宋体"/>
              </w:rPr>
              <w:t>桑树</w:t>
            </w:r>
          </w:p>
        </w:tc>
        <w:tc>
          <w:tcPr>
            <w:tcW w:w="3325" w:type="dxa"/>
            <w:noWrap/>
            <w:vAlign w:val="center"/>
          </w:tcPr>
          <w:p w14:paraId="13F6672E">
            <w:pPr>
              <w:pStyle w:val="22"/>
              <w:jc w:val="center"/>
              <w:rPr>
                <w:rFonts w:ascii="宋体" w:hAnsi="宋体" w:eastAsia="宋体"/>
              </w:rPr>
            </w:pPr>
            <w:r>
              <w:rPr>
                <w:rFonts w:hint="eastAsia" w:ascii="宋体" w:hAnsi="宋体" w:eastAsia="宋体"/>
              </w:rPr>
              <w:t>桑科桑属</w:t>
            </w:r>
          </w:p>
        </w:tc>
        <w:tc>
          <w:tcPr>
            <w:tcW w:w="2160" w:type="dxa"/>
            <w:noWrap/>
            <w:vAlign w:val="center"/>
          </w:tcPr>
          <w:p w14:paraId="6EE110D2">
            <w:pPr>
              <w:pStyle w:val="22"/>
              <w:jc w:val="center"/>
              <w:rPr>
                <w:rFonts w:ascii="宋体" w:hAnsi="宋体" w:eastAsia="宋体"/>
              </w:rPr>
            </w:pPr>
            <w:r>
              <w:rPr>
                <w:rFonts w:hint="eastAsia" w:ascii="宋体" w:hAnsi="宋体" w:eastAsia="宋体"/>
              </w:rPr>
              <w:t>风媒</w:t>
            </w:r>
          </w:p>
        </w:tc>
      </w:tr>
    </w:tbl>
    <w:p w14:paraId="37D2593A">
      <w:pPr>
        <w:pStyle w:val="2"/>
        <w:pageBreakBefore/>
        <w:spacing w:before="312" w:beforeLines="100" w:after="312" w:afterLines="100" w:line="520" w:lineRule="exact"/>
        <w:jc w:val="center"/>
        <w:rPr>
          <w:rFonts w:ascii="黑体" w:hAnsi="黑体" w:eastAsia="黑体"/>
          <w:bCs w:val="0"/>
          <w:sz w:val="30"/>
          <w:szCs w:val="22"/>
          <w:lang w:val="zh-CN"/>
        </w:rPr>
      </w:pPr>
      <w:bookmarkStart w:id="39" w:name="_Toc220593728"/>
      <w:r>
        <w:rPr>
          <w:rFonts w:hint="eastAsia" w:ascii="黑体" w:hAnsi="黑体" w:eastAsia="黑体"/>
          <w:bCs w:val="0"/>
          <w:sz w:val="30"/>
          <w:szCs w:val="22"/>
          <w:lang w:val="zh-CN"/>
        </w:rPr>
        <w:t>附录</w:t>
      </w:r>
      <w:r>
        <w:rPr>
          <w:rFonts w:ascii="黑体" w:hAnsi="黑体" w:eastAsia="黑体"/>
          <w:bCs w:val="0"/>
          <w:sz w:val="30"/>
          <w:szCs w:val="22"/>
          <w:lang w:val="zh-CN"/>
        </w:rPr>
        <w:t>D</w:t>
      </w:r>
      <w:r>
        <w:rPr>
          <w:rFonts w:hint="eastAsia" w:ascii="黑体" w:hAnsi="黑体" w:eastAsia="黑体"/>
          <w:bCs w:val="0"/>
          <w:sz w:val="30"/>
          <w:szCs w:val="22"/>
          <w:lang w:val="zh-CN"/>
        </w:rPr>
        <w:t xml:space="preserve"> 社区生态环境调查问卷</w:t>
      </w:r>
      <w:bookmarkEnd w:id="39"/>
    </w:p>
    <w:p w14:paraId="7B66DE80">
      <w:pPr>
        <w:ind w:firstLine="560" w:firstLineChars="200"/>
        <w:rPr>
          <w:color w:val="0D0D0D" w:themeColor="text1" w:themeTint="F2"/>
          <w:sz w:val="28"/>
          <w14:textFill>
            <w14:solidFill>
              <w14:schemeClr w14:val="tx1">
                <w14:lumMod w14:val="95000"/>
                <w14:lumOff w14:val="5000"/>
              </w14:schemeClr>
            </w14:solidFill>
          </w14:textFill>
        </w:rPr>
      </w:pPr>
      <w:r>
        <w:rPr>
          <w:rFonts w:hint="eastAsia"/>
          <w:color w:val="0D0D0D" w:themeColor="text1" w:themeTint="F2"/>
          <w:sz w:val="28"/>
          <w14:textFill>
            <w14:solidFill>
              <w14:schemeClr w14:val="tx1">
                <w14:lumMod w14:val="95000"/>
                <w14:lumOff w14:val="5000"/>
              </w14:schemeClr>
            </w14:solidFill>
          </w14:textFill>
        </w:rPr>
        <w:t>问卷调查基本原则：①《社区生态环境调查问卷》旨在评估社区居民对生态环境的满意度，是衡量社区生态状况的重要手段。②问卷应按照表</w:t>
      </w:r>
      <w:r>
        <w:rPr>
          <w:color w:val="0D0D0D" w:themeColor="text1" w:themeTint="F2"/>
          <w:sz w:val="28"/>
          <w14:textFill>
            <w14:solidFill>
              <w14:schemeClr w14:val="tx1">
                <w14:lumMod w14:val="95000"/>
                <w14:lumOff w14:val="5000"/>
              </w14:schemeClr>
            </w14:solidFill>
          </w14:textFill>
        </w:rPr>
        <w:t>D</w:t>
      </w:r>
      <w:r>
        <w:rPr>
          <w:rFonts w:hint="eastAsia"/>
          <w:color w:val="0D0D0D" w:themeColor="text1" w:themeTint="F2"/>
          <w:sz w:val="28"/>
          <w14:textFill>
            <w14:solidFill>
              <w14:schemeClr w14:val="tx1">
                <w14:lumMod w14:val="95000"/>
                <w14:lumOff w14:val="5000"/>
              </w14:schemeClr>
            </w14:solidFill>
          </w14:textFill>
        </w:rPr>
        <w:t>.1的格式发布，宜采用电子问卷与纸质问卷相结合的方式进行调查，确保回收率不低于总发放量的80%。③调查对象原则上应为在社区居住满6个月的居民，问卷发放时需保证受访者的年龄分布与社区实际居住人口的年龄结构相匹配。</w:t>
      </w:r>
    </w:p>
    <w:p w14:paraId="3239C6CB">
      <w:pPr>
        <w:widowControl/>
        <w:jc w:val="center"/>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表</w:t>
      </w:r>
      <w:r>
        <w:rPr>
          <w:color w:val="0D0D0D" w:themeColor="text1" w:themeTint="F2"/>
          <w14:textFill>
            <w14:solidFill>
              <w14:schemeClr w14:val="tx1">
                <w14:lumMod w14:val="95000"/>
                <w14:lumOff w14:val="5000"/>
              </w14:schemeClr>
            </w14:solidFill>
          </w14:textFill>
        </w:rPr>
        <w:t xml:space="preserve">D.1 </w:t>
      </w:r>
      <w:r>
        <w:rPr>
          <w:rFonts w:hint="eastAsia"/>
          <w:color w:val="0D0D0D" w:themeColor="text1" w:themeTint="F2"/>
          <w14:textFill>
            <w14:solidFill>
              <w14:schemeClr w14:val="tx1">
                <w14:lumMod w14:val="95000"/>
                <w14:lumOff w14:val="5000"/>
              </w14:schemeClr>
            </w14:solidFill>
          </w14:textFill>
        </w:rPr>
        <w:t>《社区生态环境调查问卷》</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2"/>
      </w:tblGrid>
      <w:tr w14:paraId="6074A5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302" w:type="dxa"/>
          </w:tcPr>
          <w:p w14:paraId="1A5218DB">
            <w:r>
              <w:rPr>
                <w:rFonts w:hint="eastAsia"/>
              </w:rPr>
              <w:t>第一部分，基本信息</w:t>
            </w:r>
          </w:p>
          <w:p w14:paraId="6CD3F7FF">
            <w:pPr>
              <w:pStyle w:val="23"/>
              <w:numPr>
                <w:ilvl w:val="0"/>
                <w:numId w:val="2"/>
              </w:numPr>
              <w:ind w:firstLineChars="0"/>
            </w:pPr>
            <w:r>
              <w:rPr>
                <w:rFonts w:hint="eastAsia"/>
              </w:rPr>
              <w:t>您的性别：</w:t>
            </w:r>
            <w:r>
              <w:t xml:space="preserve"> [</w:t>
            </w:r>
            <w:r>
              <w:rPr>
                <w:rFonts w:hint="eastAsia"/>
              </w:rPr>
              <w:t>单选题</w:t>
            </w:r>
            <w:r>
              <w:t xml:space="preserve">] </w:t>
            </w:r>
          </w:p>
          <w:tbl>
            <w:tblPr>
              <w:tblStyle w:val="15"/>
              <w:tblW w:w="4970" w:type="pct"/>
              <w:tblInd w:w="0" w:type="dxa"/>
              <w:tblLayout w:type="autofit"/>
              <w:tblCellMar>
                <w:top w:w="0" w:type="dxa"/>
                <w:left w:w="108" w:type="dxa"/>
                <w:bottom w:w="0" w:type="dxa"/>
                <w:right w:w="108" w:type="dxa"/>
              </w:tblCellMar>
            </w:tblPr>
            <w:tblGrid>
              <w:gridCol w:w="1004"/>
              <w:gridCol w:w="1005"/>
              <w:gridCol w:w="6028"/>
            </w:tblGrid>
            <w:tr w14:paraId="2691FF29">
              <w:tblPrEx>
                <w:tblCellMar>
                  <w:top w:w="0" w:type="dxa"/>
                  <w:left w:w="108" w:type="dxa"/>
                  <w:bottom w:w="0" w:type="dxa"/>
                  <w:right w:w="108" w:type="dxa"/>
                </w:tblCellMar>
              </w:tblPrEx>
              <w:trPr>
                <w:trHeight w:val="174" w:hRule="atLeast"/>
              </w:trPr>
              <w:tc>
                <w:tcPr>
                  <w:tcW w:w="1004" w:type="dxa"/>
                  <w:shd w:val="clear" w:color="auto" w:fill="FFFFFF"/>
                  <w:vAlign w:val="center"/>
                </w:tcPr>
                <w:p w14:paraId="1ADDEF5E">
                  <w:pPr>
                    <w:snapToGrid w:val="0"/>
                  </w:pPr>
                  <w:r>
                    <w:t>○</w:t>
                  </w:r>
                  <w:r>
                    <w:rPr>
                      <w:rFonts w:hint="eastAsia"/>
                    </w:rPr>
                    <w:t>男</w:t>
                  </w:r>
                </w:p>
              </w:tc>
              <w:tc>
                <w:tcPr>
                  <w:tcW w:w="1004" w:type="dxa"/>
                  <w:shd w:val="clear" w:color="auto" w:fill="FFFFFF"/>
                  <w:vAlign w:val="center"/>
                </w:tcPr>
                <w:p w14:paraId="4F34BB32">
                  <w:pPr>
                    <w:snapToGrid w:val="0"/>
                    <w:rPr>
                      <w:rFonts w:ascii="微软雅黑" w:hAnsi="微软雅黑" w:eastAsia="微软雅黑" w:cs="微软雅黑"/>
                      <w:sz w:val="28"/>
                    </w:rPr>
                  </w:pPr>
                  <w:r>
                    <w:t>○</w:t>
                  </w:r>
                  <w:r>
                    <w:rPr>
                      <w:rFonts w:hint="eastAsia"/>
                    </w:rPr>
                    <w:t>女</w:t>
                  </w:r>
                </w:p>
              </w:tc>
              <w:tc>
                <w:tcPr>
                  <w:tcW w:w="6024" w:type="dxa"/>
                  <w:shd w:val="clear" w:color="auto" w:fill="FFFFFF"/>
                  <w:vAlign w:val="center"/>
                </w:tcPr>
                <w:p w14:paraId="2F6A92E4">
                  <w:pPr>
                    <w:snapToGrid w:val="0"/>
                    <w:rPr>
                      <w:rFonts w:ascii="微软雅黑" w:hAnsi="微软雅黑" w:eastAsia="微软雅黑" w:cs="微软雅黑"/>
                    </w:rPr>
                  </w:pPr>
                </w:p>
              </w:tc>
            </w:tr>
          </w:tbl>
          <w:p w14:paraId="1DB60F0A">
            <w:pPr>
              <w:numPr>
                <w:ilvl w:val="0"/>
                <w:numId w:val="2"/>
              </w:numPr>
              <w:snapToGrid w:val="0"/>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您的年龄：</w:t>
            </w:r>
            <w:r>
              <w:rPr>
                <w:color w:val="0D0D0D" w:themeColor="text1" w:themeTint="F2"/>
                <w14:textFill>
                  <w14:solidFill>
                    <w14:schemeClr w14:val="tx1">
                      <w14:lumMod w14:val="95000"/>
                      <w14:lumOff w14:val="5000"/>
                    </w14:schemeClr>
                  </w14:solidFill>
                </w14:textFill>
              </w:rPr>
              <w:t xml:space="preserve"> [</w:t>
            </w:r>
            <w:r>
              <w:rPr>
                <w:rFonts w:hint="eastAsia"/>
                <w:color w:val="0D0D0D" w:themeColor="text1" w:themeTint="F2"/>
                <w14:textFill>
                  <w14:solidFill>
                    <w14:schemeClr w14:val="tx1">
                      <w14:lumMod w14:val="95000"/>
                      <w14:lumOff w14:val="5000"/>
                    </w14:schemeClr>
                  </w14:solidFill>
                </w14:textFill>
              </w:rPr>
              <w:t>单选题</w:t>
            </w:r>
            <w:r>
              <w:rPr>
                <w:color w:val="0D0D0D" w:themeColor="text1" w:themeTint="F2"/>
                <w14:textFill>
                  <w14:solidFill>
                    <w14:schemeClr w14:val="tx1">
                      <w14:lumMod w14:val="95000"/>
                      <w14:lumOff w14:val="5000"/>
                    </w14:schemeClr>
                  </w14:solidFill>
                </w14:textFill>
              </w:rPr>
              <w:t xml:space="preserve">] </w:t>
            </w:r>
          </w:p>
          <w:tbl>
            <w:tblPr>
              <w:tblStyle w:val="15"/>
              <w:tblW w:w="5000" w:type="pct"/>
              <w:tblInd w:w="0" w:type="dxa"/>
              <w:tblLayout w:type="autofit"/>
              <w:tblCellMar>
                <w:top w:w="0" w:type="dxa"/>
                <w:left w:w="108" w:type="dxa"/>
                <w:bottom w:w="0" w:type="dxa"/>
                <w:right w:w="108" w:type="dxa"/>
              </w:tblCellMar>
            </w:tblPr>
            <w:tblGrid>
              <w:gridCol w:w="2021"/>
              <w:gridCol w:w="2021"/>
              <w:gridCol w:w="2022"/>
              <w:gridCol w:w="2022"/>
            </w:tblGrid>
            <w:tr w14:paraId="7A294252">
              <w:tblPrEx>
                <w:tblCellMar>
                  <w:top w:w="0" w:type="dxa"/>
                  <w:left w:w="108" w:type="dxa"/>
                  <w:bottom w:w="0" w:type="dxa"/>
                  <w:right w:w="108" w:type="dxa"/>
                </w:tblCellMar>
              </w:tblPrEx>
              <w:trPr>
                <w:trHeight w:val="500" w:hRule="atLeast"/>
              </w:trPr>
              <w:tc>
                <w:tcPr>
                  <w:tcW w:w="2019" w:type="dxa"/>
                  <w:shd w:val="clear" w:color="auto" w:fill="FFFFFF"/>
                  <w:vAlign w:val="center"/>
                </w:tcPr>
                <w:p w14:paraId="6CA3A7B7">
                  <w:pPr>
                    <w:snapToGrid w:val="0"/>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○0</w:t>
                  </w:r>
                  <w:r>
                    <w:rPr>
                      <w:rFonts w:hint="eastAsia"/>
                      <w:color w:val="0D0D0D" w:themeColor="text1" w:themeTint="F2"/>
                      <w14:textFill>
                        <w14:solidFill>
                          <w14:schemeClr w14:val="tx1">
                            <w14:lumMod w14:val="95000"/>
                            <w14:lumOff w14:val="5000"/>
                          </w14:schemeClr>
                        </w14:solidFill>
                      </w14:textFill>
                    </w:rPr>
                    <w:t>到</w:t>
                  </w:r>
                  <w:r>
                    <w:rPr>
                      <w:color w:val="0D0D0D" w:themeColor="text1" w:themeTint="F2"/>
                      <w14:textFill>
                        <w14:solidFill>
                          <w14:schemeClr w14:val="tx1">
                            <w14:lumMod w14:val="95000"/>
                            <w14:lumOff w14:val="5000"/>
                          </w14:schemeClr>
                        </w14:solidFill>
                      </w14:textFill>
                    </w:rPr>
                    <w:t>18</w:t>
                  </w:r>
                  <w:r>
                    <w:rPr>
                      <w:rFonts w:hint="eastAsia"/>
                      <w:color w:val="0D0D0D" w:themeColor="text1" w:themeTint="F2"/>
                      <w14:textFill>
                        <w14:solidFill>
                          <w14:schemeClr w14:val="tx1">
                            <w14:lumMod w14:val="95000"/>
                            <w14:lumOff w14:val="5000"/>
                          </w14:schemeClr>
                        </w14:solidFill>
                      </w14:textFill>
                    </w:rPr>
                    <w:t xml:space="preserve">岁 </w:t>
                  </w:r>
                </w:p>
              </w:tc>
              <w:tc>
                <w:tcPr>
                  <w:tcW w:w="2019" w:type="dxa"/>
                  <w:shd w:val="clear" w:color="auto" w:fill="FFFFFF"/>
                  <w:vAlign w:val="center"/>
                </w:tcPr>
                <w:p w14:paraId="5D66197B">
                  <w:pPr>
                    <w:snapToGrid w:val="0"/>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○19</w:t>
                  </w:r>
                  <w:r>
                    <w:rPr>
                      <w:rFonts w:hint="eastAsia"/>
                      <w:color w:val="0D0D0D" w:themeColor="text1" w:themeTint="F2"/>
                      <w14:textFill>
                        <w14:solidFill>
                          <w14:schemeClr w14:val="tx1">
                            <w14:lumMod w14:val="95000"/>
                            <w14:lumOff w14:val="5000"/>
                          </w14:schemeClr>
                        </w14:solidFill>
                      </w14:textFill>
                    </w:rPr>
                    <w:t>到</w:t>
                  </w:r>
                  <w:r>
                    <w:rPr>
                      <w:color w:val="0D0D0D" w:themeColor="text1" w:themeTint="F2"/>
                      <w14:textFill>
                        <w14:solidFill>
                          <w14:schemeClr w14:val="tx1">
                            <w14:lumMod w14:val="95000"/>
                            <w14:lumOff w14:val="5000"/>
                          </w14:schemeClr>
                        </w14:solidFill>
                      </w14:textFill>
                    </w:rPr>
                    <w:t>35</w:t>
                  </w:r>
                  <w:r>
                    <w:rPr>
                      <w:rFonts w:hint="eastAsia"/>
                      <w:color w:val="0D0D0D" w:themeColor="text1" w:themeTint="F2"/>
                      <w14:textFill>
                        <w14:solidFill>
                          <w14:schemeClr w14:val="tx1">
                            <w14:lumMod w14:val="95000"/>
                            <w14:lumOff w14:val="5000"/>
                          </w14:schemeClr>
                        </w14:solidFill>
                      </w14:textFill>
                    </w:rPr>
                    <w:t>岁</w:t>
                  </w:r>
                </w:p>
              </w:tc>
              <w:tc>
                <w:tcPr>
                  <w:tcW w:w="2019" w:type="dxa"/>
                  <w:shd w:val="clear" w:color="auto" w:fill="FFFFFF"/>
                  <w:vAlign w:val="center"/>
                </w:tcPr>
                <w:p w14:paraId="30EC6338">
                  <w:pPr>
                    <w:snapToGrid w:val="0"/>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○36</w:t>
                  </w:r>
                  <w:r>
                    <w:rPr>
                      <w:rFonts w:hint="eastAsia"/>
                      <w:color w:val="0D0D0D" w:themeColor="text1" w:themeTint="F2"/>
                      <w14:textFill>
                        <w14:solidFill>
                          <w14:schemeClr w14:val="tx1">
                            <w14:lumMod w14:val="95000"/>
                            <w14:lumOff w14:val="5000"/>
                          </w14:schemeClr>
                        </w14:solidFill>
                      </w14:textFill>
                    </w:rPr>
                    <w:t>到</w:t>
                  </w:r>
                  <w:r>
                    <w:rPr>
                      <w:color w:val="0D0D0D" w:themeColor="text1" w:themeTint="F2"/>
                      <w14:textFill>
                        <w14:solidFill>
                          <w14:schemeClr w14:val="tx1">
                            <w14:lumMod w14:val="95000"/>
                            <w14:lumOff w14:val="5000"/>
                          </w14:schemeClr>
                        </w14:solidFill>
                      </w14:textFill>
                    </w:rPr>
                    <w:t>59</w:t>
                  </w:r>
                  <w:r>
                    <w:rPr>
                      <w:rFonts w:hint="eastAsia"/>
                      <w:color w:val="0D0D0D" w:themeColor="text1" w:themeTint="F2"/>
                      <w14:textFill>
                        <w14:solidFill>
                          <w14:schemeClr w14:val="tx1">
                            <w14:lumMod w14:val="95000"/>
                            <w14:lumOff w14:val="5000"/>
                          </w14:schemeClr>
                        </w14:solidFill>
                      </w14:textFill>
                    </w:rPr>
                    <w:t>岁</w:t>
                  </w:r>
                </w:p>
              </w:tc>
              <w:tc>
                <w:tcPr>
                  <w:tcW w:w="2019" w:type="dxa"/>
                  <w:shd w:val="clear" w:color="auto" w:fill="FFFFFF"/>
                  <w:vAlign w:val="center"/>
                </w:tcPr>
                <w:p w14:paraId="6C6BAF19">
                  <w:pPr>
                    <w:snapToGrid w:val="0"/>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○60</w:t>
                  </w:r>
                  <w:r>
                    <w:rPr>
                      <w:rFonts w:hint="eastAsia"/>
                      <w:color w:val="0D0D0D" w:themeColor="text1" w:themeTint="F2"/>
                      <w14:textFill>
                        <w14:solidFill>
                          <w14:schemeClr w14:val="tx1">
                            <w14:lumMod w14:val="95000"/>
                            <w14:lumOff w14:val="5000"/>
                          </w14:schemeClr>
                        </w14:solidFill>
                      </w14:textFill>
                    </w:rPr>
                    <w:t>岁及以上</w:t>
                  </w:r>
                </w:p>
              </w:tc>
            </w:tr>
          </w:tbl>
          <w:p w14:paraId="0F14AFD0">
            <w:pPr>
              <w:pStyle w:val="23"/>
              <w:numPr>
                <w:ilvl w:val="0"/>
                <w:numId w:val="2"/>
              </w:numPr>
              <w:ind w:firstLineChars="0"/>
            </w:pPr>
            <w:r>
              <w:rPr>
                <w:rFonts w:hint="eastAsia"/>
              </w:rPr>
              <w:t>您的职业是什么</w:t>
            </w:r>
            <w:r>
              <w:t xml:space="preserve"> [</w:t>
            </w:r>
            <w:r>
              <w:rPr>
                <w:rFonts w:hint="eastAsia"/>
              </w:rPr>
              <w:t>单选题</w:t>
            </w:r>
            <w:r>
              <w:t xml:space="preserve">] </w:t>
            </w:r>
          </w:p>
          <w:tbl>
            <w:tblPr>
              <w:tblStyle w:val="15"/>
              <w:tblW w:w="4838" w:type="pct"/>
              <w:tblInd w:w="0" w:type="dxa"/>
              <w:tblLayout w:type="autofit"/>
              <w:tblCellMar>
                <w:top w:w="0" w:type="dxa"/>
                <w:left w:w="108" w:type="dxa"/>
                <w:bottom w:w="0" w:type="dxa"/>
                <w:right w:w="108" w:type="dxa"/>
              </w:tblCellMar>
            </w:tblPr>
            <w:tblGrid>
              <w:gridCol w:w="1283"/>
              <w:gridCol w:w="1443"/>
              <w:gridCol w:w="1443"/>
              <w:gridCol w:w="2565"/>
              <w:gridCol w:w="1090"/>
            </w:tblGrid>
            <w:tr w14:paraId="2B3253AD">
              <w:tblPrEx>
                <w:tblCellMar>
                  <w:top w:w="0" w:type="dxa"/>
                  <w:left w:w="108" w:type="dxa"/>
                  <w:bottom w:w="0" w:type="dxa"/>
                  <w:right w:w="108" w:type="dxa"/>
                </w:tblCellMar>
              </w:tblPrEx>
              <w:trPr>
                <w:trHeight w:val="454" w:hRule="atLeast"/>
              </w:trPr>
              <w:tc>
                <w:tcPr>
                  <w:tcW w:w="1281" w:type="dxa"/>
                  <w:shd w:val="clear" w:color="auto" w:fill="FFFFFF"/>
                  <w:vAlign w:val="center"/>
                </w:tcPr>
                <w:p w14:paraId="64457D89">
                  <w:pPr>
                    <w:rPr>
                      <w:rFonts w:ascii="微软雅黑" w:hAnsi="微软雅黑" w:eastAsia="微软雅黑" w:cs="微软雅黑"/>
                      <w:sz w:val="28"/>
                    </w:rPr>
                  </w:pPr>
                  <w:r>
                    <w:t>○</w:t>
                  </w:r>
                  <w:r>
                    <w:rPr>
                      <w:rFonts w:hint="eastAsia"/>
                    </w:rPr>
                    <w:t>学生</w:t>
                  </w:r>
                </w:p>
              </w:tc>
              <w:tc>
                <w:tcPr>
                  <w:tcW w:w="1441" w:type="dxa"/>
                  <w:shd w:val="clear" w:color="auto" w:fill="FFFFFF"/>
                  <w:vAlign w:val="center"/>
                </w:tcPr>
                <w:p w14:paraId="58EDEDD3">
                  <w:pPr>
                    <w:rPr>
                      <w:rFonts w:ascii="微软雅黑" w:hAnsi="微软雅黑" w:eastAsia="微软雅黑" w:cs="微软雅黑"/>
                      <w:sz w:val="28"/>
                    </w:rPr>
                  </w:pPr>
                  <w:r>
                    <w:t>○</w:t>
                  </w:r>
                  <w:r>
                    <w:rPr>
                      <w:rFonts w:hint="eastAsia"/>
                    </w:rPr>
                    <w:t>自由职业</w:t>
                  </w:r>
                </w:p>
              </w:tc>
              <w:tc>
                <w:tcPr>
                  <w:tcW w:w="1441" w:type="dxa"/>
                  <w:shd w:val="clear" w:color="auto" w:fill="FFFFFF"/>
                  <w:vAlign w:val="center"/>
                </w:tcPr>
                <w:p w14:paraId="66E364C4">
                  <w:pPr>
                    <w:rPr>
                      <w:rFonts w:ascii="微软雅黑" w:hAnsi="微软雅黑" w:eastAsia="微软雅黑" w:cs="微软雅黑"/>
                      <w:sz w:val="28"/>
                    </w:rPr>
                  </w:pPr>
                  <w:r>
                    <w:t>○</w:t>
                  </w:r>
                  <w:r>
                    <w:rPr>
                      <w:rFonts w:hint="eastAsia"/>
                    </w:rPr>
                    <w:t>企业人员</w:t>
                  </w:r>
                </w:p>
              </w:tc>
              <w:tc>
                <w:tcPr>
                  <w:tcW w:w="2562" w:type="dxa"/>
                  <w:shd w:val="clear" w:color="auto" w:fill="FFFFFF"/>
                  <w:vAlign w:val="center"/>
                </w:tcPr>
                <w:p w14:paraId="4607D5FC">
                  <w:pPr>
                    <w:rPr>
                      <w:rFonts w:ascii="微软雅黑" w:hAnsi="微软雅黑" w:eastAsia="微软雅黑" w:cs="微软雅黑"/>
                      <w:sz w:val="28"/>
                    </w:rPr>
                  </w:pPr>
                  <w:r>
                    <w:t>○</w:t>
                  </w:r>
                  <w:r>
                    <w:rPr>
                      <w:rFonts w:hint="eastAsia"/>
                    </w:rPr>
                    <w:t>机关及事业单位人员</w:t>
                  </w:r>
                </w:p>
              </w:tc>
              <w:tc>
                <w:tcPr>
                  <w:tcW w:w="1089" w:type="dxa"/>
                  <w:shd w:val="clear" w:color="auto" w:fill="FFFFFF"/>
                  <w:vAlign w:val="center"/>
                </w:tcPr>
                <w:p w14:paraId="27A97676">
                  <w:pPr>
                    <w:rPr>
                      <w:rFonts w:ascii="微软雅黑" w:hAnsi="微软雅黑" w:eastAsia="微软雅黑" w:cs="微软雅黑"/>
                      <w:sz w:val="28"/>
                    </w:rPr>
                  </w:pPr>
                  <w:r>
                    <w:t>○</w:t>
                  </w:r>
                  <w:r>
                    <w:rPr>
                      <w:rFonts w:hint="eastAsia"/>
                    </w:rPr>
                    <w:t>其它</w:t>
                  </w:r>
                </w:p>
              </w:tc>
            </w:tr>
          </w:tbl>
          <w:p w14:paraId="1E7FEFF1">
            <w:pPr>
              <w:pStyle w:val="23"/>
              <w:numPr>
                <w:ilvl w:val="0"/>
                <w:numId w:val="2"/>
              </w:numPr>
              <w:ind w:firstLineChars="0"/>
            </w:pPr>
            <w:r>
              <w:rPr>
                <w:rFonts w:hint="eastAsia"/>
              </w:rPr>
              <w:t>您的学历？</w:t>
            </w:r>
            <w:r>
              <w:t xml:space="preserve"> [</w:t>
            </w:r>
            <w:r>
              <w:rPr>
                <w:rFonts w:hint="eastAsia"/>
              </w:rPr>
              <w:t>单选题</w:t>
            </w:r>
            <w:r>
              <w:t xml:space="preserve">] </w:t>
            </w:r>
          </w:p>
          <w:tbl>
            <w:tblPr>
              <w:tblStyle w:val="15"/>
              <w:tblW w:w="5000" w:type="pct"/>
              <w:tblInd w:w="0" w:type="dxa"/>
              <w:tblBorders>
                <w:top w:val="single" w:color="FFFFFF" w:sz="2" w:space="0"/>
                <w:left w:val="single" w:color="FFFFFF" w:sz="2" w:space="0"/>
                <w:bottom w:val="single" w:color="FFFFFF" w:sz="2" w:space="0"/>
                <w:right w:val="single" w:color="FFFFFF" w:sz="2" w:space="0"/>
                <w:insideH w:val="single" w:color="FFFFFF" w:sz="2" w:space="0"/>
                <w:insideV w:val="single" w:color="FFFFFF" w:sz="2" w:space="0"/>
              </w:tblBorders>
              <w:tblLayout w:type="autofit"/>
              <w:tblCellMar>
                <w:top w:w="0" w:type="dxa"/>
                <w:left w:w="108" w:type="dxa"/>
                <w:bottom w:w="0" w:type="dxa"/>
                <w:right w:w="108" w:type="dxa"/>
              </w:tblCellMar>
            </w:tblPr>
            <w:tblGrid>
              <w:gridCol w:w="1869"/>
              <w:gridCol w:w="1363"/>
              <w:gridCol w:w="1616"/>
              <w:gridCol w:w="1616"/>
              <w:gridCol w:w="1617"/>
            </w:tblGrid>
            <w:tr w14:paraId="73FCF7F5">
              <w:tblPrEx>
                <w:tblBorders>
                  <w:top w:val="single" w:color="FFFFFF" w:sz="2" w:space="0"/>
                  <w:left w:val="single" w:color="FFFFFF" w:sz="2" w:space="0"/>
                  <w:bottom w:val="single" w:color="FFFFFF" w:sz="2" w:space="0"/>
                  <w:right w:val="single" w:color="FFFFFF" w:sz="2" w:space="0"/>
                  <w:insideH w:val="single" w:color="FFFFFF" w:sz="2" w:space="0"/>
                  <w:insideV w:val="single" w:color="FFFFFF" w:sz="2" w:space="0"/>
                </w:tblBorders>
                <w:tblCellMar>
                  <w:top w:w="0" w:type="dxa"/>
                  <w:left w:w="108" w:type="dxa"/>
                  <w:bottom w:w="0" w:type="dxa"/>
                  <w:right w:w="108" w:type="dxa"/>
                </w:tblCellMar>
              </w:tblPrEx>
              <w:trPr>
                <w:trHeight w:val="500" w:hRule="atLeast"/>
              </w:trPr>
              <w:tc>
                <w:tcPr>
                  <w:tcW w:w="1869" w:type="dxa"/>
                  <w:tcBorders>
                    <w:top w:val="single" w:color="FFFFFF" w:sz="2" w:space="0"/>
                    <w:left w:val="single" w:color="FFFFFF" w:sz="2" w:space="0"/>
                    <w:bottom w:val="single" w:color="FFFFFF" w:sz="2" w:space="0"/>
                    <w:right w:val="single" w:color="FFFFFF" w:sz="2" w:space="0"/>
                  </w:tcBorders>
                  <w:shd w:val="clear" w:color="auto" w:fill="FFFFFF"/>
                  <w:vAlign w:val="center"/>
                </w:tcPr>
                <w:p w14:paraId="2FD9A98D">
                  <w:r>
                    <w:t>○</w:t>
                  </w:r>
                  <w:r>
                    <w:rPr>
                      <w:rFonts w:hint="eastAsia"/>
                    </w:rPr>
                    <w:t>大学本科及以上</w:t>
                  </w:r>
                </w:p>
              </w:tc>
              <w:tc>
                <w:tcPr>
                  <w:tcW w:w="1363" w:type="dxa"/>
                  <w:tcBorders>
                    <w:top w:val="single" w:color="FFFFFF" w:sz="2" w:space="0"/>
                    <w:left w:val="single" w:color="FFFFFF" w:sz="2" w:space="0"/>
                    <w:bottom w:val="single" w:color="FFFFFF" w:sz="2" w:space="0"/>
                    <w:right w:val="single" w:color="FFFFFF" w:sz="2" w:space="0"/>
                  </w:tcBorders>
                  <w:shd w:val="clear" w:color="auto" w:fill="FFFFFF"/>
                  <w:vAlign w:val="center"/>
                </w:tcPr>
                <w:p w14:paraId="4C4A5652">
                  <w:r>
                    <w:t>○</w:t>
                  </w:r>
                  <w:r>
                    <w:rPr>
                      <w:rFonts w:hint="eastAsia"/>
                    </w:rPr>
                    <w:t>大专</w:t>
                  </w:r>
                </w:p>
              </w:tc>
              <w:tc>
                <w:tcPr>
                  <w:tcW w:w="1616" w:type="dxa"/>
                  <w:tcBorders>
                    <w:top w:val="single" w:color="FFFFFF" w:sz="2" w:space="0"/>
                    <w:left w:val="single" w:color="FFFFFF" w:sz="2" w:space="0"/>
                    <w:bottom w:val="single" w:color="FFFFFF" w:sz="2" w:space="0"/>
                    <w:right w:val="single" w:color="FFFFFF" w:sz="2" w:space="0"/>
                  </w:tcBorders>
                  <w:shd w:val="clear" w:color="auto" w:fill="FFFFFF"/>
                  <w:vAlign w:val="center"/>
                </w:tcPr>
                <w:p w14:paraId="5ADE684C">
                  <w:r>
                    <w:t>○</w:t>
                  </w:r>
                  <w:r>
                    <w:rPr>
                      <w:rFonts w:hint="eastAsia"/>
                    </w:rPr>
                    <w:t>中专及高中</w:t>
                  </w:r>
                </w:p>
              </w:tc>
              <w:tc>
                <w:tcPr>
                  <w:tcW w:w="1616" w:type="dxa"/>
                  <w:tcBorders>
                    <w:top w:val="single" w:color="FFFFFF" w:sz="2" w:space="0"/>
                    <w:left w:val="single" w:color="FFFFFF" w:sz="2" w:space="0"/>
                    <w:bottom w:val="single" w:color="FFFFFF" w:sz="2" w:space="0"/>
                    <w:right w:val="single" w:color="FFFFFF" w:sz="2" w:space="0"/>
                  </w:tcBorders>
                  <w:shd w:val="clear" w:color="auto" w:fill="FFFFFF"/>
                  <w:vAlign w:val="center"/>
                </w:tcPr>
                <w:p w14:paraId="215403A7">
                  <w:r>
                    <w:t>○</w:t>
                  </w:r>
                  <w:r>
                    <w:rPr>
                      <w:rFonts w:hint="eastAsia"/>
                    </w:rPr>
                    <w:t>初中</w:t>
                  </w:r>
                </w:p>
              </w:tc>
              <w:tc>
                <w:tcPr>
                  <w:tcW w:w="1616" w:type="dxa"/>
                  <w:tcBorders>
                    <w:top w:val="single" w:color="FFFFFF" w:sz="2" w:space="0"/>
                    <w:left w:val="single" w:color="FFFFFF" w:sz="2" w:space="0"/>
                    <w:bottom w:val="single" w:color="FFFFFF" w:sz="2" w:space="0"/>
                    <w:right w:val="single" w:color="FFFFFF" w:sz="2" w:space="0"/>
                  </w:tcBorders>
                  <w:shd w:val="clear" w:color="auto" w:fill="FFFFFF"/>
                  <w:vAlign w:val="center"/>
                </w:tcPr>
                <w:p w14:paraId="2D24B33D">
                  <w:r>
                    <w:t>○</w:t>
                  </w:r>
                  <w:r>
                    <w:rPr>
                      <w:rFonts w:hint="eastAsia"/>
                    </w:rPr>
                    <w:t>小学及以下</w:t>
                  </w:r>
                </w:p>
              </w:tc>
            </w:tr>
          </w:tbl>
          <w:p w14:paraId="6AF9E37E">
            <w:pPr>
              <w:pStyle w:val="23"/>
              <w:numPr>
                <w:ilvl w:val="0"/>
                <w:numId w:val="2"/>
              </w:numPr>
              <w:ind w:firstLineChars="0"/>
            </w:pPr>
            <w:r>
              <w:rPr>
                <w:rFonts w:hint="eastAsia"/>
              </w:rPr>
              <w:t>您在这个社区居住的时间？</w:t>
            </w:r>
            <w:r>
              <w:t xml:space="preserve"> [</w:t>
            </w:r>
            <w:r>
              <w:rPr>
                <w:rFonts w:hint="eastAsia"/>
              </w:rPr>
              <w:t>单选题</w:t>
            </w:r>
            <w:r>
              <w:t xml:space="preserve">] </w:t>
            </w:r>
          </w:p>
          <w:tbl>
            <w:tblPr>
              <w:tblStyle w:val="15"/>
              <w:tblW w:w="5000" w:type="pct"/>
              <w:tblInd w:w="0" w:type="dxa"/>
              <w:tblBorders>
                <w:top w:val="single" w:color="FFFFFF" w:sz="2" w:space="0"/>
                <w:left w:val="single" w:color="FFFFFF" w:sz="2" w:space="0"/>
                <w:bottom w:val="single" w:color="FFFFFF" w:sz="2" w:space="0"/>
                <w:right w:val="single" w:color="FFFFFF" w:sz="2" w:space="0"/>
                <w:insideH w:val="single" w:color="FFFFFF" w:sz="2" w:space="0"/>
                <w:insideV w:val="single" w:color="FFFFFF" w:sz="2" w:space="0"/>
              </w:tblBorders>
              <w:tblLayout w:type="autofit"/>
              <w:tblCellMar>
                <w:top w:w="0" w:type="dxa"/>
                <w:left w:w="108" w:type="dxa"/>
                <w:bottom w:w="0" w:type="dxa"/>
                <w:right w:w="108" w:type="dxa"/>
              </w:tblCellMar>
            </w:tblPr>
            <w:tblGrid>
              <w:gridCol w:w="2020"/>
              <w:gridCol w:w="2020"/>
              <w:gridCol w:w="2020"/>
              <w:gridCol w:w="2021"/>
            </w:tblGrid>
            <w:tr w14:paraId="04EF4EED">
              <w:tblPrEx>
                <w:tblBorders>
                  <w:top w:val="single" w:color="FFFFFF" w:sz="2" w:space="0"/>
                  <w:left w:val="single" w:color="FFFFFF" w:sz="2" w:space="0"/>
                  <w:bottom w:val="single" w:color="FFFFFF" w:sz="2" w:space="0"/>
                  <w:right w:val="single" w:color="FFFFFF" w:sz="2" w:space="0"/>
                  <w:insideH w:val="single" w:color="FFFFFF" w:sz="2" w:space="0"/>
                  <w:insideV w:val="single" w:color="FFFFFF" w:sz="2" w:space="0"/>
                </w:tblBorders>
                <w:tblCellMar>
                  <w:top w:w="0" w:type="dxa"/>
                  <w:left w:w="108" w:type="dxa"/>
                  <w:bottom w:w="0" w:type="dxa"/>
                  <w:right w:w="108" w:type="dxa"/>
                </w:tblCellMar>
              </w:tblPrEx>
              <w:trPr>
                <w:trHeight w:val="500" w:hRule="atLeast"/>
              </w:trPr>
              <w:tc>
                <w:tcPr>
                  <w:tcW w:w="2020" w:type="dxa"/>
                  <w:tcBorders>
                    <w:top w:val="single" w:color="FFFFFF" w:sz="2" w:space="0"/>
                    <w:left w:val="single" w:color="FFFFFF" w:sz="2" w:space="0"/>
                    <w:bottom w:val="single" w:color="FFFFFF" w:sz="2" w:space="0"/>
                    <w:right w:val="single" w:color="FFFFFF" w:sz="2" w:space="0"/>
                  </w:tcBorders>
                  <w:shd w:val="clear" w:color="auto" w:fill="FFFFFF"/>
                  <w:vAlign w:val="center"/>
                </w:tcPr>
                <w:p w14:paraId="3EF5D16B">
                  <w:r>
                    <w:t>○</w:t>
                  </w:r>
                  <w:r>
                    <w:rPr>
                      <w:rFonts w:hint="eastAsia"/>
                    </w:rPr>
                    <w:t>一年以内</w:t>
                  </w:r>
                </w:p>
              </w:tc>
              <w:tc>
                <w:tcPr>
                  <w:tcW w:w="2020" w:type="dxa"/>
                  <w:tcBorders>
                    <w:top w:val="single" w:color="FFFFFF" w:sz="2" w:space="0"/>
                    <w:left w:val="single" w:color="FFFFFF" w:sz="2" w:space="0"/>
                    <w:bottom w:val="single" w:color="FFFFFF" w:sz="2" w:space="0"/>
                    <w:right w:val="single" w:color="FFFFFF" w:sz="2" w:space="0"/>
                  </w:tcBorders>
                  <w:shd w:val="clear" w:color="auto" w:fill="FFFFFF"/>
                  <w:vAlign w:val="center"/>
                </w:tcPr>
                <w:p w14:paraId="776FCD4F">
                  <w:r>
                    <w:t>○</w:t>
                  </w:r>
                  <w:r>
                    <w:rPr>
                      <w:rFonts w:hint="eastAsia"/>
                    </w:rPr>
                    <w:t>一年至五年</w:t>
                  </w:r>
                </w:p>
              </w:tc>
              <w:tc>
                <w:tcPr>
                  <w:tcW w:w="2020" w:type="dxa"/>
                  <w:tcBorders>
                    <w:top w:val="single" w:color="FFFFFF" w:sz="2" w:space="0"/>
                    <w:left w:val="single" w:color="FFFFFF" w:sz="2" w:space="0"/>
                    <w:bottom w:val="single" w:color="FFFFFF" w:sz="2" w:space="0"/>
                    <w:right w:val="single" w:color="FFFFFF" w:sz="2" w:space="0"/>
                  </w:tcBorders>
                  <w:shd w:val="clear" w:color="auto" w:fill="FFFFFF"/>
                  <w:vAlign w:val="center"/>
                </w:tcPr>
                <w:p w14:paraId="17244EEE">
                  <w:r>
                    <w:t>○</w:t>
                  </w:r>
                  <w:r>
                    <w:rPr>
                      <w:rFonts w:hint="eastAsia"/>
                    </w:rPr>
                    <w:t>五年至十年</w:t>
                  </w:r>
                </w:p>
              </w:tc>
              <w:tc>
                <w:tcPr>
                  <w:tcW w:w="2020" w:type="dxa"/>
                  <w:tcBorders>
                    <w:top w:val="single" w:color="FFFFFF" w:sz="2" w:space="0"/>
                    <w:left w:val="single" w:color="FFFFFF" w:sz="2" w:space="0"/>
                    <w:bottom w:val="single" w:color="FFFFFF" w:sz="2" w:space="0"/>
                    <w:right w:val="single" w:color="FFFFFF" w:sz="2" w:space="0"/>
                  </w:tcBorders>
                  <w:shd w:val="clear" w:color="auto" w:fill="FFFFFF"/>
                  <w:vAlign w:val="center"/>
                </w:tcPr>
                <w:p w14:paraId="0F993E14">
                  <w:r>
                    <w:t>○</w:t>
                  </w:r>
                  <w:r>
                    <w:rPr>
                      <w:rFonts w:hint="eastAsia"/>
                    </w:rPr>
                    <w:t>十年以上</w:t>
                  </w:r>
                </w:p>
              </w:tc>
            </w:tr>
          </w:tbl>
          <w:p w14:paraId="574AA17E">
            <w:r>
              <w:rPr>
                <w:rFonts w:hint="eastAsia"/>
              </w:rPr>
              <w:t>第二部分，问卷主体问题</w:t>
            </w:r>
          </w:p>
          <w:p w14:paraId="65224593">
            <w:r>
              <w:rPr>
                <w:rFonts w:hint="eastAsia"/>
              </w:rPr>
              <w:t>（一）生物多样性评价</w:t>
            </w:r>
          </w:p>
          <w:p w14:paraId="7B66C4AC">
            <w:pPr>
              <w:pStyle w:val="23"/>
              <w:numPr>
                <w:ilvl w:val="0"/>
                <w:numId w:val="2"/>
              </w:numPr>
              <w:ind w:firstLineChars="0"/>
            </w:pPr>
            <w:r>
              <w:rPr>
                <w:rFonts w:hint="eastAsia"/>
              </w:rPr>
              <w:t>您对所居住的社区植物数量和品种丰富度是否满意</w:t>
            </w:r>
            <w:r>
              <w:t xml:space="preserve"> [</w:t>
            </w:r>
            <w:r>
              <w:rPr>
                <w:rFonts w:hint="eastAsia"/>
              </w:rPr>
              <w:t>单选题</w:t>
            </w:r>
            <w:r>
              <w:t xml:space="preserve">] </w:t>
            </w:r>
          </w:p>
          <w:tbl>
            <w:tblPr>
              <w:tblStyle w:val="15"/>
              <w:tblW w:w="5000" w:type="pct"/>
              <w:tblInd w:w="0" w:type="dxa"/>
              <w:tblBorders>
                <w:top w:val="single" w:color="FFFFFF" w:sz="2" w:space="0"/>
                <w:left w:val="single" w:color="FFFFFF" w:sz="2" w:space="0"/>
                <w:bottom w:val="single" w:color="FFFFFF" w:sz="2" w:space="0"/>
                <w:right w:val="single" w:color="FFFFFF" w:sz="2" w:space="0"/>
                <w:insideH w:val="single" w:color="FFFFFF" w:sz="2" w:space="0"/>
                <w:insideV w:val="single" w:color="FFFFFF" w:sz="2" w:space="0"/>
              </w:tblBorders>
              <w:tblLayout w:type="autofit"/>
              <w:tblCellMar>
                <w:top w:w="0" w:type="dxa"/>
                <w:left w:w="108" w:type="dxa"/>
                <w:bottom w:w="0" w:type="dxa"/>
                <w:right w:w="108" w:type="dxa"/>
              </w:tblCellMar>
            </w:tblPr>
            <w:tblGrid>
              <w:gridCol w:w="1616"/>
              <w:gridCol w:w="1616"/>
              <w:gridCol w:w="1616"/>
              <w:gridCol w:w="1616"/>
              <w:gridCol w:w="1617"/>
            </w:tblGrid>
            <w:tr w14:paraId="397D92D1">
              <w:tblPrEx>
                <w:tblBorders>
                  <w:top w:val="single" w:color="FFFFFF" w:sz="2" w:space="0"/>
                  <w:left w:val="single" w:color="FFFFFF" w:sz="2" w:space="0"/>
                  <w:bottom w:val="single" w:color="FFFFFF" w:sz="2" w:space="0"/>
                  <w:right w:val="single" w:color="FFFFFF" w:sz="2" w:space="0"/>
                  <w:insideH w:val="single" w:color="FFFFFF" w:sz="2" w:space="0"/>
                  <w:insideV w:val="single" w:color="FFFFFF" w:sz="2" w:space="0"/>
                </w:tblBorders>
                <w:tblCellMar>
                  <w:top w:w="0" w:type="dxa"/>
                  <w:left w:w="108" w:type="dxa"/>
                  <w:bottom w:w="0" w:type="dxa"/>
                  <w:right w:w="108" w:type="dxa"/>
                </w:tblCellMar>
              </w:tblPrEx>
              <w:trPr>
                <w:trHeight w:val="500" w:hRule="atLeast"/>
              </w:trPr>
              <w:tc>
                <w:tcPr>
                  <w:tcW w:w="1616" w:type="dxa"/>
                  <w:tcBorders>
                    <w:top w:val="single" w:color="FFFFFF" w:sz="2" w:space="0"/>
                    <w:left w:val="single" w:color="FFFFFF" w:sz="2" w:space="0"/>
                    <w:bottom w:val="single" w:color="FFFFFF" w:sz="2" w:space="0"/>
                    <w:right w:val="single" w:color="FFFFFF" w:sz="2" w:space="0"/>
                  </w:tcBorders>
                  <w:shd w:val="clear" w:color="auto" w:fill="FFFFFF"/>
                  <w:vAlign w:val="center"/>
                </w:tcPr>
                <w:p w14:paraId="161A7390">
                  <w:r>
                    <w:t>○</w:t>
                  </w:r>
                  <w:r>
                    <w:rPr>
                      <w:rFonts w:hint="eastAsia"/>
                    </w:rPr>
                    <w:t>满意</w:t>
                  </w:r>
                </w:p>
              </w:tc>
              <w:tc>
                <w:tcPr>
                  <w:tcW w:w="1616" w:type="dxa"/>
                  <w:tcBorders>
                    <w:top w:val="single" w:color="FFFFFF" w:sz="2" w:space="0"/>
                    <w:left w:val="single" w:color="FFFFFF" w:sz="2" w:space="0"/>
                    <w:bottom w:val="single" w:color="FFFFFF" w:sz="2" w:space="0"/>
                    <w:right w:val="single" w:color="FFFFFF" w:sz="2" w:space="0"/>
                  </w:tcBorders>
                  <w:shd w:val="clear" w:color="auto" w:fill="FFFFFF"/>
                  <w:vAlign w:val="center"/>
                </w:tcPr>
                <w:p w14:paraId="0FD01B3B">
                  <w:r>
                    <w:t>○</w:t>
                  </w:r>
                  <w:r>
                    <w:rPr>
                      <w:rFonts w:hint="eastAsia"/>
                    </w:rPr>
                    <w:t>较满意</w:t>
                  </w:r>
                </w:p>
              </w:tc>
              <w:tc>
                <w:tcPr>
                  <w:tcW w:w="1616" w:type="dxa"/>
                  <w:tcBorders>
                    <w:top w:val="single" w:color="FFFFFF" w:sz="2" w:space="0"/>
                    <w:left w:val="single" w:color="FFFFFF" w:sz="2" w:space="0"/>
                    <w:bottom w:val="single" w:color="FFFFFF" w:sz="2" w:space="0"/>
                    <w:right w:val="single" w:color="FFFFFF" w:sz="2" w:space="0"/>
                  </w:tcBorders>
                  <w:shd w:val="clear" w:color="auto" w:fill="FFFFFF"/>
                  <w:vAlign w:val="center"/>
                </w:tcPr>
                <w:p w14:paraId="3DB15796">
                  <w:r>
                    <w:t>○</w:t>
                  </w:r>
                  <w:r>
                    <w:rPr>
                      <w:rFonts w:hint="eastAsia"/>
                    </w:rPr>
                    <w:t>一般</w:t>
                  </w:r>
                </w:p>
              </w:tc>
              <w:tc>
                <w:tcPr>
                  <w:tcW w:w="1616" w:type="dxa"/>
                  <w:tcBorders>
                    <w:top w:val="single" w:color="FFFFFF" w:sz="2" w:space="0"/>
                    <w:left w:val="single" w:color="FFFFFF" w:sz="2" w:space="0"/>
                    <w:bottom w:val="single" w:color="FFFFFF" w:sz="2" w:space="0"/>
                    <w:right w:val="single" w:color="FFFFFF" w:sz="2" w:space="0"/>
                  </w:tcBorders>
                  <w:shd w:val="clear" w:color="auto" w:fill="FFFFFF"/>
                  <w:vAlign w:val="center"/>
                </w:tcPr>
                <w:p w14:paraId="5779F553">
                  <w:r>
                    <w:t>○</w:t>
                  </w:r>
                  <w:r>
                    <w:rPr>
                      <w:rFonts w:hint="eastAsia"/>
                    </w:rPr>
                    <w:t>稍不满</w:t>
                  </w:r>
                </w:p>
              </w:tc>
              <w:tc>
                <w:tcPr>
                  <w:tcW w:w="1616" w:type="dxa"/>
                  <w:tcBorders>
                    <w:top w:val="single" w:color="FFFFFF" w:sz="2" w:space="0"/>
                    <w:left w:val="single" w:color="FFFFFF" w:sz="2" w:space="0"/>
                    <w:bottom w:val="single" w:color="FFFFFF" w:sz="2" w:space="0"/>
                    <w:right w:val="single" w:color="FFFFFF" w:sz="2" w:space="0"/>
                  </w:tcBorders>
                  <w:shd w:val="clear" w:color="auto" w:fill="FFFFFF"/>
                  <w:vAlign w:val="center"/>
                </w:tcPr>
                <w:p w14:paraId="30940481">
                  <w:r>
                    <w:t>○</w:t>
                  </w:r>
                  <w:r>
                    <w:rPr>
                      <w:rFonts w:hint="eastAsia"/>
                    </w:rPr>
                    <w:t>不满意</w:t>
                  </w:r>
                </w:p>
              </w:tc>
            </w:tr>
          </w:tbl>
          <w:p w14:paraId="42046D85">
            <w:r>
              <w:rPr>
                <w:rFonts w:hint="eastAsia"/>
              </w:rPr>
              <w:t>（二）花粉致敏性评价</w:t>
            </w:r>
          </w:p>
          <w:p w14:paraId="26290382">
            <w:pPr>
              <w:pStyle w:val="23"/>
              <w:numPr>
                <w:ilvl w:val="0"/>
                <w:numId w:val="2"/>
              </w:numPr>
              <w:ind w:firstLineChars="0"/>
            </w:pPr>
            <w:r>
              <w:rPr>
                <w:rFonts w:hint="eastAsia"/>
              </w:rPr>
              <w:t>您是否对花粉过敏</w:t>
            </w:r>
            <w:r>
              <w:t xml:space="preserve"> [</w:t>
            </w:r>
            <w:r>
              <w:rPr>
                <w:rFonts w:hint="eastAsia"/>
              </w:rPr>
              <w:t>单选题</w:t>
            </w:r>
            <w:r>
              <w:t xml:space="preserve">] </w:t>
            </w:r>
          </w:p>
          <w:tbl>
            <w:tblPr>
              <w:tblStyle w:val="15"/>
              <w:tblW w:w="5000" w:type="pct"/>
              <w:tblInd w:w="0" w:type="dxa"/>
              <w:tblBorders>
                <w:top w:val="single" w:color="FFFFFF" w:sz="2" w:space="0"/>
                <w:left w:val="single" w:color="FFFFFF" w:sz="2" w:space="0"/>
                <w:bottom w:val="single" w:color="FFFFFF" w:sz="2" w:space="0"/>
                <w:right w:val="single" w:color="FFFFFF" w:sz="2" w:space="0"/>
                <w:insideH w:val="single" w:color="FFFFFF" w:sz="2" w:space="0"/>
                <w:insideV w:val="single" w:color="FFFFFF" w:sz="2" w:space="0"/>
              </w:tblBorders>
              <w:tblLayout w:type="autofit"/>
              <w:tblCellMar>
                <w:top w:w="0" w:type="dxa"/>
                <w:left w:w="108" w:type="dxa"/>
                <w:bottom w:w="0" w:type="dxa"/>
                <w:right w:w="108" w:type="dxa"/>
              </w:tblCellMar>
            </w:tblPr>
            <w:tblGrid>
              <w:gridCol w:w="738"/>
              <w:gridCol w:w="7343"/>
            </w:tblGrid>
            <w:tr w14:paraId="3CE4F934">
              <w:tblPrEx>
                <w:tblBorders>
                  <w:top w:val="single" w:color="FFFFFF" w:sz="2" w:space="0"/>
                  <w:left w:val="single" w:color="FFFFFF" w:sz="2" w:space="0"/>
                  <w:bottom w:val="single" w:color="FFFFFF" w:sz="2" w:space="0"/>
                  <w:right w:val="single" w:color="FFFFFF" w:sz="2" w:space="0"/>
                  <w:insideH w:val="single" w:color="FFFFFF" w:sz="2" w:space="0"/>
                  <w:insideV w:val="single" w:color="FFFFFF" w:sz="2" w:space="0"/>
                </w:tblBorders>
                <w:tblCellMar>
                  <w:top w:w="0" w:type="dxa"/>
                  <w:left w:w="108" w:type="dxa"/>
                  <w:bottom w:w="0" w:type="dxa"/>
                  <w:right w:w="108" w:type="dxa"/>
                </w:tblCellMar>
              </w:tblPrEx>
              <w:trPr>
                <w:trHeight w:val="500" w:hRule="atLeast"/>
              </w:trPr>
              <w:tc>
                <w:tcPr>
                  <w:tcW w:w="738" w:type="dxa"/>
                  <w:tcBorders>
                    <w:top w:val="single" w:color="FFFFFF" w:sz="2" w:space="0"/>
                    <w:left w:val="single" w:color="FFFFFF" w:sz="2" w:space="0"/>
                    <w:bottom w:val="single" w:color="FFFFFF" w:sz="2" w:space="0"/>
                    <w:right w:val="single" w:color="FFFFFF" w:sz="2" w:space="0"/>
                  </w:tcBorders>
                  <w:shd w:val="clear" w:color="auto" w:fill="FFFFFF"/>
                  <w:vAlign w:val="center"/>
                </w:tcPr>
                <w:p w14:paraId="0EB00362">
                  <w:r>
                    <w:t>○</w:t>
                  </w:r>
                  <w:r>
                    <w:rPr>
                      <w:rFonts w:hint="eastAsia"/>
                    </w:rPr>
                    <w:t>是</w:t>
                  </w:r>
                  <w:r>
                    <w:rPr>
                      <w:color w:val="0066FF"/>
                    </w:rPr>
                    <w:t xml:space="preserve"> </w:t>
                  </w:r>
                </w:p>
              </w:tc>
              <w:tc>
                <w:tcPr>
                  <w:tcW w:w="7342" w:type="dxa"/>
                  <w:tcBorders>
                    <w:top w:val="single" w:color="FFFFFF" w:sz="2" w:space="0"/>
                    <w:left w:val="single" w:color="FFFFFF" w:sz="2" w:space="0"/>
                    <w:bottom w:val="single" w:color="FFFFFF" w:sz="2" w:space="0"/>
                    <w:right w:val="single" w:color="FFFFFF" w:sz="2" w:space="0"/>
                  </w:tcBorders>
                  <w:shd w:val="clear" w:color="auto" w:fill="FFFFFF"/>
                  <w:vAlign w:val="center"/>
                </w:tcPr>
                <w:p w14:paraId="0E786C72">
                  <w:pPr>
                    <w:rPr>
                      <w:color w:val="0066FF"/>
                    </w:rPr>
                  </w:pPr>
                  <w:r>
                    <w:t>○</w:t>
                  </w:r>
                  <w:r>
                    <w:rPr>
                      <w:rFonts w:hint="eastAsia"/>
                    </w:rPr>
                    <w:t>否</w:t>
                  </w:r>
                  <w:r>
                    <w:rPr>
                      <w:color w:val="0066FF"/>
                    </w:rPr>
                    <w:t xml:space="preserve"> </w:t>
                  </w:r>
                </w:p>
              </w:tc>
            </w:tr>
          </w:tbl>
          <w:p w14:paraId="3638F998">
            <w:pPr>
              <w:pStyle w:val="23"/>
              <w:numPr>
                <w:ilvl w:val="0"/>
                <w:numId w:val="2"/>
              </w:numPr>
              <w:ind w:firstLineChars="0"/>
            </w:pPr>
            <w:r>
              <w:rPr>
                <w:rFonts w:hint="eastAsia"/>
              </w:rPr>
              <w:t>如果您花粉过敏，请您回答，您在居住地花粉过敏的程度</w:t>
            </w:r>
            <w:r>
              <w:t xml:space="preserve"> [</w:t>
            </w:r>
            <w:r>
              <w:rPr>
                <w:rFonts w:hint="eastAsia"/>
              </w:rPr>
              <w:t>单选题</w:t>
            </w:r>
            <w:r>
              <w:t xml:space="preserve">] </w:t>
            </w:r>
          </w:p>
          <w:tbl>
            <w:tblPr>
              <w:tblStyle w:val="15"/>
              <w:tblW w:w="5000" w:type="pct"/>
              <w:tblInd w:w="0" w:type="dxa"/>
              <w:tblBorders>
                <w:top w:val="single" w:color="FFFFFF" w:sz="2" w:space="0"/>
                <w:left w:val="single" w:color="FFFFFF" w:sz="2" w:space="0"/>
                <w:bottom w:val="single" w:color="FFFFFF" w:sz="2" w:space="0"/>
                <w:right w:val="single" w:color="FFFFFF" w:sz="2" w:space="0"/>
                <w:insideH w:val="single" w:color="FFFFFF" w:sz="2" w:space="0"/>
                <w:insideV w:val="single" w:color="FFFFFF" w:sz="2" w:space="0"/>
              </w:tblBorders>
              <w:tblLayout w:type="autofit"/>
              <w:tblCellMar>
                <w:top w:w="0" w:type="dxa"/>
                <w:left w:w="108" w:type="dxa"/>
                <w:bottom w:w="0" w:type="dxa"/>
                <w:right w:w="108" w:type="dxa"/>
              </w:tblCellMar>
            </w:tblPr>
            <w:tblGrid>
              <w:gridCol w:w="1616"/>
              <w:gridCol w:w="1616"/>
              <w:gridCol w:w="1616"/>
              <w:gridCol w:w="1616"/>
              <w:gridCol w:w="1617"/>
            </w:tblGrid>
            <w:tr w14:paraId="57E000C3">
              <w:tblPrEx>
                <w:tblBorders>
                  <w:top w:val="single" w:color="FFFFFF" w:sz="2" w:space="0"/>
                  <w:left w:val="single" w:color="FFFFFF" w:sz="2" w:space="0"/>
                  <w:bottom w:val="single" w:color="FFFFFF" w:sz="2" w:space="0"/>
                  <w:right w:val="single" w:color="FFFFFF" w:sz="2" w:space="0"/>
                  <w:insideH w:val="single" w:color="FFFFFF" w:sz="2" w:space="0"/>
                  <w:insideV w:val="single" w:color="FFFFFF" w:sz="2" w:space="0"/>
                </w:tblBorders>
                <w:tblCellMar>
                  <w:top w:w="0" w:type="dxa"/>
                  <w:left w:w="108" w:type="dxa"/>
                  <w:bottom w:w="0" w:type="dxa"/>
                  <w:right w:w="108" w:type="dxa"/>
                </w:tblCellMar>
              </w:tblPrEx>
              <w:trPr>
                <w:trHeight w:val="500" w:hRule="atLeast"/>
              </w:trPr>
              <w:tc>
                <w:tcPr>
                  <w:tcW w:w="1616" w:type="dxa"/>
                  <w:tcBorders>
                    <w:top w:val="single" w:color="FFFFFF" w:sz="2" w:space="0"/>
                    <w:left w:val="single" w:color="FFFFFF" w:sz="2" w:space="0"/>
                    <w:bottom w:val="single" w:color="FFFFFF" w:sz="2" w:space="0"/>
                    <w:right w:val="single" w:color="FFFFFF" w:sz="2" w:space="0"/>
                  </w:tcBorders>
                  <w:shd w:val="clear" w:color="auto" w:fill="FFFFFF"/>
                  <w:vAlign w:val="center"/>
                </w:tcPr>
                <w:p w14:paraId="3E7D99A1">
                  <w:r>
                    <w:t>○</w:t>
                  </w:r>
                  <w:r>
                    <w:rPr>
                      <w:rFonts w:hint="eastAsia"/>
                    </w:rPr>
                    <w:t>非常严重</w:t>
                  </w:r>
                </w:p>
              </w:tc>
              <w:tc>
                <w:tcPr>
                  <w:tcW w:w="1616" w:type="dxa"/>
                  <w:tcBorders>
                    <w:top w:val="single" w:color="FFFFFF" w:sz="2" w:space="0"/>
                    <w:left w:val="single" w:color="FFFFFF" w:sz="2" w:space="0"/>
                    <w:bottom w:val="single" w:color="FFFFFF" w:sz="2" w:space="0"/>
                    <w:right w:val="single" w:color="FFFFFF" w:sz="2" w:space="0"/>
                  </w:tcBorders>
                  <w:shd w:val="clear" w:color="auto" w:fill="FFFFFF"/>
                  <w:vAlign w:val="center"/>
                </w:tcPr>
                <w:p w14:paraId="50BD9F35">
                  <w:r>
                    <w:t>○</w:t>
                  </w:r>
                  <w:r>
                    <w:rPr>
                      <w:rFonts w:hint="eastAsia"/>
                    </w:rPr>
                    <w:t>较为严重</w:t>
                  </w:r>
                </w:p>
              </w:tc>
              <w:tc>
                <w:tcPr>
                  <w:tcW w:w="1616" w:type="dxa"/>
                  <w:tcBorders>
                    <w:top w:val="single" w:color="FFFFFF" w:sz="2" w:space="0"/>
                    <w:left w:val="single" w:color="FFFFFF" w:sz="2" w:space="0"/>
                    <w:bottom w:val="single" w:color="FFFFFF" w:sz="2" w:space="0"/>
                    <w:right w:val="single" w:color="FFFFFF" w:sz="2" w:space="0"/>
                  </w:tcBorders>
                  <w:shd w:val="clear" w:color="auto" w:fill="FFFFFF"/>
                  <w:vAlign w:val="center"/>
                </w:tcPr>
                <w:p w14:paraId="1591A2A0">
                  <w:r>
                    <w:t>○</w:t>
                  </w:r>
                  <w:r>
                    <w:rPr>
                      <w:rFonts w:hint="eastAsia"/>
                    </w:rPr>
                    <w:t>一般严重</w:t>
                  </w:r>
                </w:p>
              </w:tc>
              <w:tc>
                <w:tcPr>
                  <w:tcW w:w="1616" w:type="dxa"/>
                  <w:tcBorders>
                    <w:top w:val="single" w:color="FFFFFF" w:sz="2" w:space="0"/>
                    <w:left w:val="single" w:color="FFFFFF" w:sz="2" w:space="0"/>
                    <w:bottom w:val="single" w:color="FFFFFF" w:sz="2" w:space="0"/>
                    <w:right w:val="single" w:color="FFFFFF" w:sz="2" w:space="0"/>
                  </w:tcBorders>
                  <w:shd w:val="clear" w:color="auto" w:fill="FFFFFF"/>
                  <w:vAlign w:val="center"/>
                </w:tcPr>
                <w:p w14:paraId="0F189CF5">
                  <w:r>
                    <w:t>○</w:t>
                  </w:r>
                  <w:r>
                    <w:rPr>
                      <w:rFonts w:hint="eastAsia"/>
                    </w:rPr>
                    <w:t>轻微过敏</w:t>
                  </w:r>
                </w:p>
              </w:tc>
              <w:tc>
                <w:tcPr>
                  <w:tcW w:w="1616" w:type="dxa"/>
                  <w:tcBorders>
                    <w:top w:val="single" w:color="FFFFFF" w:sz="2" w:space="0"/>
                    <w:left w:val="single" w:color="FFFFFF" w:sz="2" w:space="0"/>
                    <w:bottom w:val="single" w:color="FFFFFF" w:sz="2" w:space="0"/>
                    <w:right w:val="single" w:color="FFFFFF" w:sz="2" w:space="0"/>
                  </w:tcBorders>
                  <w:shd w:val="clear" w:color="auto" w:fill="FFFFFF"/>
                  <w:vAlign w:val="center"/>
                </w:tcPr>
                <w:p w14:paraId="2B2C26FA">
                  <w:r>
                    <w:t>○</w:t>
                  </w:r>
                  <w:r>
                    <w:rPr>
                      <w:rFonts w:hint="eastAsia"/>
                    </w:rPr>
                    <w:t>无花粉过敏</w:t>
                  </w:r>
                </w:p>
              </w:tc>
            </w:tr>
            <w:tr w14:paraId="4A047796">
              <w:tblPrEx>
                <w:tblBorders>
                  <w:top w:val="single" w:color="FFFFFF" w:sz="2" w:space="0"/>
                  <w:left w:val="single" w:color="FFFFFF" w:sz="2" w:space="0"/>
                  <w:bottom w:val="single" w:color="FFFFFF" w:sz="2" w:space="0"/>
                  <w:right w:val="single" w:color="FFFFFF" w:sz="2" w:space="0"/>
                  <w:insideH w:val="single" w:color="FFFFFF" w:sz="2" w:space="0"/>
                  <w:insideV w:val="single" w:color="FFFFFF" w:sz="2" w:space="0"/>
                </w:tblBorders>
                <w:tblCellMar>
                  <w:top w:w="0" w:type="dxa"/>
                  <w:left w:w="108" w:type="dxa"/>
                  <w:bottom w:w="0" w:type="dxa"/>
                  <w:right w:w="108" w:type="dxa"/>
                </w:tblCellMar>
              </w:tblPrEx>
              <w:trPr>
                <w:trHeight w:val="500" w:hRule="atLeast"/>
              </w:trPr>
              <w:tc>
                <w:tcPr>
                  <w:tcW w:w="8080" w:type="dxa"/>
                  <w:gridSpan w:val="5"/>
                  <w:tcBorders>
                    <w:top w:val="single" w:color="FFFFFF" w:sz="2" w:space="0"/>
                    <w:left w:val="single" w:color="FFFFFF" w:sz="2" w:space="0"/>
                    <w:bottom w:val="single" w:color="FFFFFF" w:sz="2" w:space="0"/>
                    <w:right w:val="single" w:color="FFFFFF" w:sz="2" w:space="0"/>
                  </w:tcBorders>
                  <w:shd w:val="clear" w:color="auto" w:fill="FFFFFF"/>
                  <w:vAlign w:val="center"/>
                </w:tcPr>
                <w:p w14:paraId="1E14D920">
                  <w:pPr>
                    <w:pStyle w:val="23"/>
                    <w:numPr>
                      <w:ilvl w:val="0"/>
                      <w:numId w:val="2"/>
                    </w:numPr>
                    <w:ind w:firstLineChars="0"/>
                  </w:pPr>
                  <w:r>
                    <w:rPr>
                      <w:rFonts w:hint="eastAsia"/>
                    </w:rPr>
                    <w:t>您身边邻居有花粉过敏者吗</w:t>
                  </w:r>
                  <w:r>
                    <w:t xml:space="preserve"> [</w:t>
                  </w:r>
                  <w:r>
                    <w:rPr>
                      <w:rFonts w:hint="eastAsia"/>
                    </w:rPr>
                    <w:t>单选题</w:t>
                  </w:r>
                  <w:r>
                    <w:t xml:space="preserve">] </w:t>
                  </w:r>
                </w:p>
                <w:tbl>
                  <w:tblPr>
                    <w:tblStyle w:val="15"/>
                    <w:tblW w:w="5000" w:type="pct"/>
                    <w:tblInd w:w="0" w:type="dxa"/>
                    <w:tblLayout w:type="autofit"/>
                    <w:tblCellMar>
                      <w:top w:w="0" w:type="dxa"/>
                      <w:left w:w="108" w:type="dxa"/>
                      <w:bottom w:w="0" w:type="dxa"/>
                      <w:right w:w="108" w:type="dxa"/>
                    </w:tblCellMar>
                  </w:tblPr>
                  <w:tblGrid>
                    <w:gridCol w:w="1052"/>
                    <w:gridCol w:w="852"/>
                    <w:gridCol w:w="1136"/>
                    <w:gridCol w:w="1845"/>
                    <w:gridCol w:w="2980"/>
                  </w:tblGrid>
                  <w:tr w14:paraId="0EFA8FC8">
                    <w:tblPrEx>
                      <w:tblCellMar>
                        <w:top w:w="0" w:type="dxa"/>
                        <w:left w:w="108" w:type="dxa"/>
                        <w:bottom w:w="0" w:type="dxa"/>
                        <w:right w:w="108" w:type="dxa"/>
                      </w:tblCellMar>
                    </w:tblPrEx>
                    <w:trPr>
                      <w:trHeight w:val="434" w:hRule="atLeast"/>
                    </w:trPr>
                    <w:tc>
                      <w:tcPr>
                        <w:tcW w:w="1051" w:type="dxa"/>
                        <w:shd w:val="clear" w:color="auto" w:fill="FFFFFF"/>
                        <w:vAlign w:val="center"/>
                      </w:tcPr>
                      <w:p w14:paraId="5B53E1EF">
                        <w:r>
                          <w:t>○</w:t>
                        </w:r>
                        <w:r>
                          <w:rPr>
                            <w:rFonts w:hint="eastAsia"/>
                          </w:rPr>
                          <w:t>非常多</w:t>
                        </w:r>
                      </w:p>
                    </w:tc>
                    <w:tc>
                      <w:tcPr>
                        <w:tcW w:w="851" w:type="dxa"/>
                        <w:shd w:val="clear" w:color="auto" w:fill="FFFFFF"/>
                        <w:vAlign w:val="center"/>
                      </w:tcPr>
                      <w:p w14:paraId="61579B0B">
                        <w:r>
                          <w:t>○</w:t>
                        </w:r>
                        <w:r>
                          <w:rPr>
                            <w:rFonts w:hint="eastAsia"/>
                          </w:rPr>
                          <w:t>较多</w:t>
                        </w:r>
                      </w:p>
                    </w:tc>
                    <w:tc>
                      <w:tcPr>
                        <w:tcW w:w="1134" w:type="dxa"/>
                        <w:shd w:val="clear" w:color="auto" w:fill="FFFFFF"/>
                        <w:vAlign w:val="center"/>
                      </w:tcPr>
                      <w:p w14:paraId="427A0C0D">
                        <w:r>
                          <w:t>○</w:t>
                        </w:r>
                        <w:r>
                          <w:rPr>
                            <w:rFonts w:hint="eastAsia"/>
                          </w:rPr>
                          <w:t>一般多</w:t>
                        </w:r>
                      </w:p>
                    </w:tc>
                    <w:tc>
                      <w:tcPr>
                        <w:tcW w:w="1842" w:type="dxa"/>
                        <w:shd w:val="clear" w:color="auto" w:fill="FFFFFF"/>
                        <w:vAlign w:val="center"/>
                      </w:tcPr>
                      <w:p w14:paraId="76086F35">
                        <w:pPr>
                          <w:rPr>
                            <w:rFonts w:ascii="微软雅黑" w:hAnsi="微软雅黑" w:eastAsia="微软雅黑" w:cs="微软雅黑"/>
                            <w:sz w:val="28"/>
                          </w:rPr>
                        </w:pPr>
                        <w:r>
                          <w:t>○</w:t>
                        </w:r>
                        <w:r>
                          <w:rPr>
                            <w:rFonts w:hint="eastAsia"/>
                          </w:rPr>
                          <w:t>个别邻居过敏</w:t>
                        </w:r>
                      </w:p>
                    </w:tc>
                    <w:tc>
                      <w:tcPr>
                        <w:tcW w:w="2976" w:type="dxa"/>
                        <w:shd w:val="clear" w:color="auto" w:fill="FFFFFF"/>
                        <w:vAlign w:val="center"/>
                      </w:tcPr>
                      <w:p w14:paraId="3630F382">
                        <w:r>
                          <w:t>○</w:t>
                        </w:r>
                        <w:r>
                          <w:rPr>
                            <w:rFonts w:hint="eastAsia"/>
                          </w:rPr>
                          <w:t>不知道有过敏的邻居</w:t>
                        </w:r>
                      </w:p>
                    </w:tc>
                  </w:tr>
                </w:tbl>
                <w:p w14:paraId="3184AD98">
                  <w:pPr>
                    <w:rPr>
                      <w:rFonts w:ascii="微软雅黑" w:hAnsi="微软雅黑" w:eastAsia="微软雅黑" w:cs="微软雅黑"/>
                      <w:sz w:val="28"/>
                    </w:rPr>
                  </w:pPr>
                </w:p>
              </w:tc>
            </w:tr>
          </w:tbl>
          <w:p w14:paraId="74963360">
            <w:pPr>
              <w:spacing w:line="288" w:lineRule="auto"/>
            </w:pPr>
            <w:r>
              <w:rPr>
                <w:rFonts w:hint="eastAsia"/>
              </w:rPr>
              <w:t>（三）社区微气候</w:t>
            </w:r>
          </w:p>
          <w:p w14:paraId="4258379D">
            <w:pPr>
              <w:pStyle w:val="23"/>
              <w:numPr>
                <w:ilvl w:val="0"/>
                <w:numId w:val="2"/>
              </w:numPr>
              <w:spacing w:line="288" w:lineRule="auto"/>
              <w:ind w:firstLineChars="0"/>
            </w:pPr>
            <w:r>
              <w:rPr>
                <w:rFonts w:hint="eastAsia"/>
              </w:rPr>
              <w:t>您夏季在社区里行走，日照满意程度</w:t>
            </w:r>
            <w:r>
              <w:t>[</w:t>
            </w:r>
            <w:r>
              <w:rPr>
                <w:rFonts w:hint="eastAsia"/>
              </w:rPr>
              <w:t>单选题</w:t>
            </w:r>
            <w:r>
              <w:t xml:space="preserve">] </w:t>
            </w:r>
          </w:p>
          <w:tbl>
            <w:tblPr>
              <w:tblStyle w:val="15"/>
              <w:tblW w:w="5000" w:type="pct"/>
              <w:tblInd w:w="0" w:type="dxa"/>
              <w:tblBorders>
                <w:top w:val="single" w:color="FFFFFF" w:sz="2" w:space="0"/>
                <w:left w:val="single" w:color="FFFFFF" w:sz="2" w:space="0"/>
                <w:bottom w:val="single" w:color="FFFFFF" w:sz="2" w:space="0"/>
                <w:right w:val="single" w:color="FFFFFF" w:sz="2" w:space="0"/>
                <w:insideH w:val="single" w:color="FFFFFF" w:sz="2" w:space="0"/>
                <w:insideV w:val="single" w:color="FFFFFF" w:sz="2" w:space="0"/>
              </w:tblBorders>
              <w:tblLayout w:type="autofit"/>
              <w:tblCellMar>
                <w:top w:w="0" w:type="dxa"/>
                <w:left w:w="108" w:type="dxa"/>
                <w:bottom w:w="0" w:type="dxa"/>
                <w:right w:w="108" w:type="dxa"/>
              </w:tblCellMar>
            </w:tblPr>
            <w:tblGrid>
              <w:gridCol w:w="1616"/>
              <w:gridCol w:w="1616"/>
              <w:gridCol w:w="1616"/>
              <w:gridCol w:w="1616"/>
              <w:gridCol w:w="1617"/>
            </w:tblGrid>
            <w:tr w14:paraId="5B5D332E">
              <w:tblPrEx>
                <w:tblBorders>
                  <w:top w:val="single" w:color="FFFFFF" w:sz="2" w:space="0"/>
                  <w:left w:val="single" w:color="FFFFFF" w:sz="2" w:space="0"/>
                  <w:bottom w:val="single" w:color="FFFFFF" w:sz="2" w:space="0"/>
                  <w:right w:val="single" w:color="FFFFFF" w:sz="2" w:space="0"/>
                  <w:insideH w:val="single" w:color="FFFFFF" w:sz="2" w:space="0"/>
                  <w:insideV w:val="single" w:color="FFFFFF" w:sz="2" w:space="0"/>
                </w:tblBorders>
                <w:tblCellMar>
                  <w:top w:w="0" w:type="dxa"/>
                  <w:left w:w="108" w:type="dxa"/>
                  <w:bottom w:w="0" w:type="dxa"/>
                  <w:right w:w="108" w:type="dxa"/>
                </w:tblCellMar>
              </w:tblPrEx>
              <w:trPr>
                <w:trHeight w:val="359" w:hRule="atLeast"/>
              </w:trPr>
              <w:tc>
                <w:tcPr>
                  <w:tcW w:w="1616" w:type="dxa"/>
                  <w:tcBorders>
                    <w:top w:val="single" w:color="FFFFFF" w:sz="2" w:space="0"/>
                    <w:left w:val="single" w:color="FFFFFF" w:sz="2" w:space="0"/>
                    <w:bottom w:val="single" w:color="FFFFFF" w:sz="2" w:space="0"/>
                    <w:right w:val="single" w:color="FFFFFF" w:sz="2" w:space="0"/>
                  </w:tcBorders>
                  <w:shd w:val="clear" w:color="auto" w:fill="FFFFFF"/>
                  <w:vAlign w:val="center"/>
                </w:tcPr>
                <w:p w14:paraId="769F9062">
                  <w:pPr>
                    <w:spacing w:line="288" w:lineRule="auto"/>
                  </w:pPr>
                  <w:r>
                    <w:t>○</w:t>
                  </w:r>
                  <w:r>
                    <w:rPr>
                      <w:rFonts w:hint="eastAsia"/>
                    </w:rPr>
                    <w:t>满意</w:t>
                  </w:r>
                </w:p>
              </w:tc>
              <w:tc>
                <w:tcPr>
                  <w:tcW w:w="1616" w:type="dxa"/>
                  <w:tcBorders>
                    <w:top w:val="single" w:color="FFFFFF" w:sz="2" w:space="0"/>
                    <w:left w:val="single" w:color="FFFFFF" w:sz="2" w:space="0"/>
                    <w:bottom w:val="single" w:color="FFFFFF" w:sz="2" w:space="0"/>
                    <w:right w:val="single" w:color="FFFFFF" w:sz="2" w:space="0"/>
                  </w:tcBorders>
                  <w:shd w:val="clear" w:color="auto" w:fill="FFFFFF"/>
                  <w:vAlign w:val="center"/>
                </w:tcPr>
                <w:p w14:paraId="6272FF6D">
                  <w:pPr>
                    <w:spacing w:line="288" w:lineRule="auto"/>
                    <w:rPr>
                      <w:rFonts w:ascii="微软雅黑" w:hAnsi="微软雅黑" w:eastAsia="微软雅黑" w:cs="微软雅黑"/>
                      <w:sz w:val="28"/>
                    </w:rPr>
                  </w:pPr>
                  <w:r>
                    <w:t>○</w:t>
                  </w:r>
                  <w:r>
                    <w:rPr>
                      <w:rFonts w:hint="eastAsia"/>
                    </w:rPr>
                    <w:t>较满意</w:t>
                  </w:r>
                </w:p>
              </w:tc>
              <w:tc>
                <w:tcPr>
                  <w:tcW w:w="1616" w:type="dxa"/>
                  <w:tcBorders>
                    <w:top w:val="single" w:color="FFFFFF" w:sz="2" w:space="0"/>
                    <w:left w:val="single" w:color="FFFFFF" w:sz="2" w:space="0"/>
                    <w:bottom w:val="single" w:color="FFFFFF" w:sz="2" w:space="0"/>
                    <w:right w:val="single" w:color="FFFFFF" w:sz="2" w:space="0"/>
                  </w:tcBorders>
                  <w:shd w:val="clear" w:color="auto" w:fill="FFFFFF"/>
                  <w:vAlign w:val="center"/>
                </w:tcPr>
                <w:p w14:paraId="70BDF44D">
                  <w:pPr>
                    <w:spacing w:line="288" w:lineRule="auto"/>
                  </w:pPr>
                  <w:r>
                    <w:t>○</w:t>
                  </w:r>
                  <w:r>
                    <w:rPr>
                      <w:rFonts w:hint="eastAsia"/>
                    </w:rPr>
                    <w:t>一般</w:t>
                  </w:r>
                </w:p>
              </w:tc>
              <w:tc>
                <w:tcPr>
                  <w:tcW w:w="1616" w:type="dxa"/>
                  <w:tcBorders>
                    <w:top w:val="single" w:color="FFFFFF" w:sz="2" w:space="0"/>
                    <w:left w:val="single" w:color="FFFFFF" w:sz="2" w:space="0"/>
                    <w:bottom w:val="single" w:color="FFFFFF" w:sz="2" w:space="0"/>
                    <w:right w:val="single" w:color="FFFFFF" w:sz="2" w:space="0"/>
                  </w:tcBorders>
                  <w:shd w:val="clear" w:color="auto" w:fill="FFFFFF"/>
                  <w:vAlign w:val="center"/>
                </w:tcPr>
                <w:p w14:paraId="425229E7">
                  <w:pPr>
                    <w:spacing w:line="288" w:lineRule="auto"/>
                    <w:rPr>
                      <w:rFonts w:ascii="微软雅黑" w:hAnsi="微软雅黑" w:eastAsia="微软雅黑" w:cs="微软雅黑"/>
                      <w:sz w:val="28"/>
                    </w:rPr>
                  </w:pPr>
                  <w:r>
                    <w:t>○</w:t>
                  </w:r>
                  <w:r>
                    <w:rPr>
                      <w:rFonts w:hint="eastAsia"/>
                    </w:rPr>
                    <w:t>稍不满</w:t>
                  </w:r>
                </w:p>
              </w:tc>
              <w:tc>
                <w:tcPr>
                  <w:tcW w:w="1616" w:type="dxa"/>
                  <w:tcBorders>
                    <w:top w:val="single" w:color="FFFFFF" w:sz="2" w:space="0"/>
                    <w:left w:val="single" w:color="FFFFFF" w:sz="2" w:space="0"/>
                    <w:bottom w:val="single" w:color="FFFFFF" w:sz="2" w:space="0"/>
                    <w:right w:val="single" w:color="FFFFFF" w:sz="2" w:space="0"/>
                  </w:tcBorders>
                  <w:shd w:val="clear" w:color="auto" w:fill="FFFFFF"/>
                  <w:vAlign w:val="center"/>
                </w:tcPr>
                <w:p w14:paraId="651E6D8A">
                  <w:pPr>
                    <w:spacing w:line="288" w:lineRule="auto"/>
                  </w:pPr>
                  <w:r>
                    <w:t>○</w:t>
                  </w:r>
                  <w:r>
                    <w:rPr>
                      <w:rFonts w:hint="eastAsia"/>
                    </w:rPr>
                    <w:t>不满意</w:t>
                  </w:r>
                </w:p>
              </w:tc>
            </w:tr>
          </w:tbl>
          <w:p w14:paraId="622FA725">
            <w:pPr>
              <w:pStyle w:val="23"/>
              <w:numPr>
                <w:ilvl w:val="0"/>
                <w:numId w:val="2"/>
              </w:numPr>
              <w:spacing w:line="288" w:lineRule="auto"/>
              <w:ind w:firstLineChars="0"/>
            </w:pPr>
            <w:r>
              <w:rPr>
                <w:rFonts w:hint="eastAsia"/>
              </w:rPr>
              <w:t>您冬季在社区里行走，日照满意程度</w:t>
            </w:r>
            <w:r>
              <w:t>[</w:t>
            </w:r>
            <w:r>
              <w:rPr>
                <w:rFonts w:hint="eastAsia"/>
              </w:rPr>
              <w:t>单选题</w:t>
            </w:r>
            <w:r>
              <w:t>]</w:t>
            </w:r>
            <w:r>
              <w:rPr>
                <w:rFonts w:hint="eastAsia"/>
              </w:rPr>
              <w:t xml:space="preserve"> </w:t>
            </w:r>
          </w:p>
          <w:tbl>
            <w:tblPr>
              <w:tblStyle w:val="15"/>
              <w:tblW w:w="5000" w:type="pct"/>
              <w:tblInd w:w="0" w:type="dxa"/>
              <w:tblBorders>
                <w:top w:val="single" w:color="FFFFFF" w:sz="2" w:space="0"/>
                <w:left w:val="single" w:color="FFFFFF" w:sz="2" w:space="0"/>
                <w:bottom w:val="single" w:color="FFFFFF" w:sz="2" w:space="0"/>
                <w:right w:val="single" w:color="FFFFFF" w:sz="2" w:space="0"/>
                <w:insideH w:val="single" w:color="FFFFFF" w:sz="2" w:space="0"/>
                <w:insideV w:val="single" w:color="FFFFFF" w:sz="2" w:space="0"/>
              </w:tblBorders>
              <w:tblLayout w:type="autofit"/>
              <w:tblCellMar>
                <w:top w:w="0" w:type="dxa"/>
                <w:left w:w="108" w:type="dxa"/>
                <w:bottom w:w="0" w:type="dxa"/>
                <w:right w:w="108" w:type="dxa"/>
              </w:tblCellMar>
            </w:tblPr>
            <w:tblGrid>
              <w:gridCol w:w="1616"/>
              <w:gridCol w:w="1616"/>
              <w:gridCol w:w="1616"/>
              <w:gridCol w:w="1616"/>
              <w:gridCol w:w="1617"/>
            </w:tblGrid>
            <w:tr w14:paraId="0D9887E1">
              <w:tblPrEx>
                <w:tblBorders>
                  <w:top w:val="single" w:color="FFFFFF" w:sz="2" w:space="0"/>
                  <w:left w:val="single" w:color="FFFFFF" w:sz="2" w:space="0"/>
                  <w:bottom w:val="single" w:color="FFFFFF" w:sz="2" w:space="0"/>
                  <w:right w:val="single" w:color="FFFFFF" w:sz="2" w:space="0"/>
                  <w:insideH w:val="single" w:color="FFFFFF" w:sz="2" w:space="0"/>
                  <w:insideV w:val="single" w:color="FFFFFF" w:sz="2" w:space="0"/>
                </w:tblBorders>
                <w:tblCellMar>
                  <w:top w:w="0" w:type="dxa"/>
                  <w:left w:w="108" w:type="dxa"/>
                  <w:bottom w:w="0" w:type="dxa"/>
                  <w:right w:w="108" w:type="dxa"/>
                </w:tblCellMar>
              </w:tblPrEx>
              <w:trPr>
                <w:trHeight w:val="336" w:hRule="atLeast"/>
              </w:trPr>
              <w:tc>
                <w:tcPr>
                  <w:tcW w:w="1616" w:type="dxa"/>
                  <w:tcBorders>
                    <w:top w:val="single" w:color="FFFFFF" w:sz="2" w:space="0"/>
                    <w:left w:val="single" w:color="FFFFFF" w:sz="2" w:space="0"/>
                    <w:bottom w:val="single" w:color="FFFFFF" w:sz="2" w:space="0"/>
                    <w:right w:val="single" w:color="FFFFFF" w:sz="2" w:space="0"/>
                  </w:tcBorders>
                  <w:shd w:val="clear" w:color="auto" w:fill="FFFFFF"/>
                  <w:vAlign w:val="center"/>
                </w:tcPr>
                <w:p w14:paraId="4CA4C49C">
                  <w:pPr>
                    <w:spacing w:line="288" w:lineRule="auto"/>
                  </w:pPr>
                  <w:r>
                    <w:t>○</w:t>
                  </w:r>
                  <w:r>
                    <w:rPr>
                      <w:rFonts w:hint="eastAsia"/>
                    </w:rPr>
                    <w:t>满意</w:t>
                  </w:r>
                </w:p>
              </w:tc>
              <w:tc>
                <w:tcPr>
                  <w:tcW w:w="1616" w:type="dxa"/>
                  <w:tcBorders>
                    <w:top w:val="single" w:color="FFFFFF" w:sz="2" w:space="0"/>
                    <w:left w:val="single" w:color="FFFFFF" w:sz="2" w:space="0"/>
                    <w:bottom w:val="single" w:color="FFFFFF" w:sz="2" w:space="0"/>
                    <w:right w:val="single" w:color="FFFFFF" w:sz="2" w:space="0"/>
                  </w:tcBorders>
                  <w:shd w:val="clear" w:color="auto" w:fill="FFFFFF"/>
                  <w:vAlign w:val="center"/>
                </w:tcPr>
                <w:p w14:paraId="65547BA7">
                  <w:pPr>
                    <w:spacing w:line="288" w:lineRule="auto"/>
                    <w:rPr>
                      <w:rFonts w:ascii="微软雅黑" w:hAnsi="微软雅黑" w:eastAsia="微软雅黑" w:cs="微软雅黑"/>
                      <w:sz w:val="28"/>
                    </w:rPr>
                  </w:pPr>
                  <w:r>
                    <w:t>○</w:t>
                  </w:r>
                  <w:r>
                    <w:rPr>
                      <w:rFonts w:hint="eastAsia"/>
                    </w:rPr>
                    <w:t>较满意</w:t>
                  </w:r>
                </w:p>
              </w:tc>
              <w:tc>
                <w:tcPr>
                  <w:tcW w:w="1616" w:type="dxa"/>
                  <w:tcBorders>
                    <w:top w:val="single" w:color="FFFFFF" w:sz="2" w:space="0"/>
                    <w:left w:val="single" w:color="FFFFFF" w:sz="2" w:space="0"/>
                    <w:bottom w:val="single" w:color="FFFFFF" w:sz="2" w:space="0"/>
                    <w:right w:val="single" w:color="FFFFFF" w:sz="2" w:space="0"/>
                  </w:tcBorders>
                  <w:shd w:val="clear" w:color="auto" w:fill="FFFFFF"/>
                  <w:vAlign w:val="center"/>
                </w:tcPr>
                <w:p w14:paraId="6FF79E2A">
                  <w:pPr>
                    <w:spacing w:line="288" w:lineRule="auto"/>
                    <w:rPr>
                      <w:rFonts w:ascii="微软雅黑" w:hAnsi="微软雅黑" w:eastAsia="微软雅黑" w:cs="微软雅黑"/>
                      <w:sz w:val="28"/>
                    </w:rPr>
                  </w:pPr>
                  <w:r>
                    <w:t>○</w:t>
                  </w:r>
                  <w:r>
                    <w:rPr>
                      <w:rFonts w:hint="eastAsia"/>
                    </w:rPr>
                    <w:t>一般</w:t>
                  </w:r>
                </w:p>
              </w:tc>
              <w:tc>
                <w:tcPr>
                  <w:tcW w:w="1616" w:type="dxa"/>
                  <w:tcBorders>
                    <w:top w:val="single" w:color="FFFFFF" w:sz="2" w:space="0"/>
                    <w:left w:val="single" w:color="FFFFFF" w:sz="2" w:space="0"/>
                    <w:bottom w:val="single" w:color="FFFFFF" w:sz="2" w:space="0"/>
                    <w:right w:val="single" w:color="FFFFFF" w:sz="2" w:space="0"/>
                  </w:tcBorders>
                  <w:shd w:val="clear" w:color="auto" w:fill="FFFFFF"/>
                  <w:vAlign w:val="center"/>
                </w:tcPr>
                <w:p w14:paraId="16F83E9E">
                  <w:pPr>
                    <w:spacing w:line="288" w:lineRule="auto"/>
                  </w:pPr>
                  <w:r>
                    <w:t>○</w:t>
                  </w:r>
                  <w:r>
                    <w:rPr>
                      <w:rFonts w:hint="eastAsia"/>
                    </w:rPr>
                    <w:t>稍不满</w:t>
                  </w:r>
                </w:p>
              </w:tc>
              <w:tc>
                <w:tcPr>
                  <w:tcW w:w="1616" w:type="dxa"/>
                  <w:tcBorders>
                    <w:top w:val="single" w:color="FFFFFF" w:sz="2" w:space="0"/>
                    <w:left w:val="single" w:color="FFFFFF" w:sz="2" w:space="0"/>
                    <w:bottom w:val="single" w:color="FFFFFF" w:sz="2" w:space="0"/>
                    <w:right w:val="single" w:color="FFFFFF" w:sz="2" w:space="0"/>
                  </w:tcBorders>
                  <w:shd w:val="clear" w:color="auto" w:fill="FFFFFF"/>
                  <w:vAlign w:val="center"/>
                </w:tcPr>
                <w:p w14:paraId="592C251C">
                  <w:pPr>
                    <w:spacing w:line="288" w:lineRule="auto"/>
                  </w:pPr>
                  <w:r>
                    <w:t>○</w:t>
                  </w:r>
                  <w:r>
                    <w:rPr>
                      <w:rFonts w:hint="eastAsia"/>
                    </w:rPr>
                    <w:t>不满意</w:t>
                  </w:r>
                </w:p>
              </w:tc>
            </w:tr>
          </w:tbl>
          <w:p w14:paraId="33DC0498">
            <w:pPr>
              <w:pStyle w:val="23"/>
              <w:numPr>
                <w:ilvl w:val="0"/>
                <w:numId w:val="2"/>
              </w:numPr>
              <w:spacing w:line="288" w:lineRule="auto"/>
              <w:ind w:firstLineChars="0"/>
            </w:pPr>
            <w:r>
              <w:rPr>
                <w:rFonts w:hint="eastAsia"/>
              </w:rPr>
              <w:t>您对所居住的社区的通风满意程度</w:t>
            </w:r>
            <w:r>
              <w:t xml:space="preserve"> [</w:t>
            </w:r>
            <w:r>
              <w:rPr>
                <w:rFonts w:hint="eastAsia"/>
              </w:rPr>
              <w:t>单选题</w:t>
            </w:r>
            <w:r>
              <w:t xml:space="preserve">] </w:t>
            </w:r>
          </w:p>
          <w:tbl>
            <w:tblPr>
              <w:tblStyle w:val="15"/>
              <w:tblW w:w="5000" w:type="pct"/>
              <w:tblInd w:w="0" w:type="dxa"/>
              <w:tblBorders>
                <w:top w:val="single" w:color="FFFFFF" w:sz="2" w:space="0"/>
                <w:left w:val="single" w:color="FFFFFF" w:sz="2" w:space="0"/>
                <w:bottom w:val="single" w:color="FFFFFF" w:sz="2" w:space="0"/>
                <w:right w:val="single" w:color="FFFFFF" w:sz="2" w:space="0"/>
                <w:insideH w:val="single" w:color="FFFFFF" w:sz="2" w:space="0"/>
                <w:insideV w:val="single" w:color="FFFFFF" w:sz="2" w:space="0"/>
              </w:tblBorders>
              <w:tblLayout w:type="autofit"/>
              <w:tblCellMar>
                <w:top w:w="0" w:type="dxa"/>
                <w:left w:w="108" w:type="dxa"/>
                <w:bottom w:w="0" w:type="dxa"/>
                <w:right w:w="108" w:type="dxa"/>
              </w:tblCellMar>
            </w:tblPr>
            <w:tblGrid>
              <w:gridCol w:w="1616"/>
              <w:gridCol w:w="1616"/>
              <w:gridCol w:w="1616"/>
              <w:gridCol w:w="1616"/>
              <w:gridCol w:w="1617"/>
            </w:tblGrid>
            <w:tr w14:paraId="60A89401">
              <w:tblPrEx>
                <w:tblBorders>
                  <w:top w:val="single" w:color="FFFFFF" w:sz="2" w:space="0"/>
                  <w:left w:val="single" w:color="FFFFFF" w:sz="2" w:space="0"/>
                  <w:bottom w:val="single" w:color="FFFFFF" w:sz="2" w:space="0"/>
                  <w:right w:val="single" w:color="FFFFFF" w:sz="2" w:space="0"/>
                  <w:insideH w:val="single" w:color="FFFFFF" w:sz="2" w:space="0"/>
                  <w:insideV w:val="single" w:color="FFFFFF" w:sz="2" w:space="0"/>
                </w:tblBorders>
                <w:tblCellMar>
                  <w:top w:w="0" w:type="dxa"/>
                  <w:left w:w="108" w:type="dxa"/>
                  <w:bottom w:w="0" w:type="dxa"/>
                  <w:right w:w="108" w:type="dxa"/>
                </w:tblCellMar>
              </w:tblPrEx>
              <w:trPr>
                <w:trHeight w:val="359" w:hRule="atLeast"/>
              </w:trPr>
              <w:tc>
                <w:tcPr>
                  <w:tcW w:w="1616" w:type="dxa"/>
                  <w:tcBorders>
                    <w:top w:val="single" w:color="FFFFFF" w:sz="2" w:space="0"/>
                    <w:left w:val="single" w:color="FFFFFF" w:sz="2" w:space="0"/>
                    <w:bottom w:val="single" w:color="FFFFFF" w:sz="2" w:space="0"/>
                    <w:right w:val="single" w:color="FFFFFF" w:sz="2" w:space="0"/>
                  </w:tcBorders>
                  <w:shd w:val="clear" w:color="auto" w:fill="FFFFFF"/>
                  <w:vAlign w:val="center"/>
                </w:tcPr>
                <w:p w14:paraId="269F041C">
                  <w:pPr>
                    <w:spacing w:line="288" w:lineRule="auto"/>
                  </w:pPr>
                  <w:r>
                    <w:t>○</w:t>
                  </w:r>
                  <w:r>
                    <w:rPr>
                      <w:rFonts w:hint="eastAsia"/>
                    </w:rPr>
                    <w:t>满意</w:t>
                  </w:r>
                </w:p>
              </w:tc>
              <w:tc>
                <w:tcPr>
                  <w:tcW w:w="1616" w:type="dxa"/>
                  <w:tcBorders>
                    <w:top w:val="single" w:color="FFFFFF" w:sz="2" w:space="0"/>
                    <w:left w:val="single" w:color="FFFFFF" w:sz="2" w:space="0"/>
                    <w:bottom w:val="single" w:color="FFFFFF" w:sz="2" w:space="0"/>
                    <w:right w:val="single" w:color="FFFFFF" w:sz="2" w:space="0"/>
                  </w:tcBorders>
                  <w:shd w:val="clear" w:color="auto" w:fill="FFFFFF"/>
                  <w:vAlign w:val="center"/>
                </w:tcPr>
                <w:p w14:paraId="45528B64">
                  <w:pPr>
                    <w:spacing w:line="288" w:lineRule="auto"/>
                    <w:rPr>
                      <w:rFonts w:ascii="微软雅黑" w:hAnsi="微软雅黑" w:eastAsia="微软雅黑" w:cs="微软雅黑"/>
                      <w:sz w:val="28"/>
                    </w:rPr>
                  </w:pPr>
                  <w:r>
                    <w:t>○</w:t>
                  </w:r>
                  <w:r>
                    <w:rPr>
                      <w:rFonts w:hint="eastAsia"/>
                    </w:rPr>
                    <w:t>较满意</w:t>
                  </w:r>
                </w:p>
              </w:tc>
              <w:tc>
                <w:tcPr>
                  <w:tcW w:w="1616" w:type="dxa"/>
                  <w:tcBorders>
                    <w:top w:val="single" w:color="FFFFFF" w:sz="2" w:space="0"/>
                    <w:left w:val="single" w:color="FFFFFF" w:sz="2" w:space="0"/>
                    <w:bottom w:val="single" w:color="FFFFFF" w:sz="2" w:space="0"/>
                    <w:right w:val="single" w:color="FFFFFF" w:sz="2" w:space="0"/>
                  </w:tcBorders>
                  <w:shd w:val="clear" w:color="auto" w:fill="FFFFFF"/>
                  <w:vAlign w:val="center"/>
                </w:tcPr>
                <w:p w14:paraId="2333B35D">
                  <w:pPr>
                    <w:spacing w:line="288" w:lineRule="auto"/>
                  </w:pPr>
                  <w:r>
                    <w:t>○</w:t>
                  </w:r>
                  <w:r>
                    <w:rPr>
                      <w:rFonts w:hint="eastAsia"/>
                    </w:rPr>
                    <w:t>一般</w:t>
                  </w:r>
                </w:p>
              </w:tc>
              <w:tc>
                <w:tcPr>
                  <w:tcW w:w="1616" w:type="dxa"/>
                  <w:tcBorders>
                    <w:top w:val="single" w:color="FFFFFF" w:sz="2" w:space="0"/>
                    <w:left w:val="single" w:color="FFFFFF" w:sz="2" w:space="0"/>
                    <w:bottom w:val="single" w:color="FFFFFF" w:sz="2" w:space="0"/>
                    <w:right w:val="single" w:color="FFFFFF" w:sz="2" w:space="0"/>
                  </w:tcBorders>
                  <w:shd w:val="clear" w:color="auto" w:fill="FFFFFF"/>
                  <w:vAlign w:val="center"/>
                </w:tcPr>
                <w:p w14:paraId="1251B9B5">
                  <w:pPr>
                    <w:spacing w:line="288" w:lineRule="auto"/>
                    <w:rPr>
                      <w:rFonts w:ascii="微软雅黑" w:hAnsi="微软雅黑" w:eastAsia="微软雅黑" w:cs="微软雅黑"/>
                      <w:sz w:val="28"/>
                    </w:rPr>
                  </w:pPr>
                  <w:r>
                    <w:t>○</w:t>
                  </w:r>
                  <w:r>
                    <w:rPr>
                      <w:rFonts w:hint="eastAsia"/>
                    </w:rPr>
                    <w:t>稍不满</w:t>
                  </w:r>
                </w:p>
              </w:tc>
              <w:tc>
                <w:tcPr>
                  <w:tcW w:w="1616" w:type="dxa"/>
                  <w:tcBorders>
                    <w:top w:val="single" w:color="FFFFFF" w:sz="2" w:space="0"/>
                    <w:left w:val="single" w:color="FFFFFF" w:sz="2" w:space="0"/>
                    <w:bottom w:val="single" w:color="FFFFFF" w:sz="2" w:space="0"/>
                    <w:right w:val="single" w:color="FFFFFF" w:sz="2" w:space="0"/>
                  </w:tcBorders>
                  <w:shd w:val="clear" w:color="auto" w:fill="FFFFFF"/>
                  <w:vAlign w:val="center"/>
                </w:tcPr>
                <w:p w14:paraId="1AA9016E">
                  <w:pPr>
                    <w:spacing w:line="288" w:lineRule="auto"/>
                  </w:pPr>
                  <w:r>
                    <w:t>○</w:t>
                  </w:r>
                  <w:r>
                    <w:rPr>
                      <w:rFonts w:hint="eastAsia"/>
                    </w:rPr>
                    <w:t>不满意</w:t>
                  </w:r>
                </w:p>
              </w:tc>
            </w:tr>
          </w:tbl>
          <w:p w14:paraId="29766B90">
            <w:pPr>
              <w:spacing w:line="288" w:lineRule="auto"/>
            </w:pPr>
            <w:r>
              <w:rPr>
                <w:rFonts w:hint="eastAsia"/>
              </w:rPr>
              <w:t>（五）社区生态环境满意度整体评价</w:t>
            </w:r>
          </w:p>
          <w:p w14:paraId="12412C8C">
            <w:pPr>
              <w:pStyle w:val="23"/>
              <w:numPr>
                <w:ilvl w:val="0"/>
                <w:numId w:val="2"/>
              </w:numPr>
              <w:spacing w:line="288" w:lineRule="auto"/>
              <w:ind w:firstLineChars="0"/>
            </w:pPr>
            <w:r>
              <w:rPr>
                <w:rFonts w:hint="eastAsia"/>
              </w:rPr>
              <w:t>您对社区环境整体是否满意</w:t>
            </w:r>
            <w:r>
              <w:t xml:space="preserve"> [</w:t>
            </w:r>
            <w:r>
              <w:rPr>
                <w:rFonts w:hint="eastAsia"/>
              </w:rPr>
              <w:t>单选题</w:t>
            </w:r>
            <w:r>
              <w:t xml:space="preserve">] </w:t>
            </w:r>
          </w:p>
          <w:tbl>
            <w:tblPr>
              <w:tblStyle w:val="15"/>
              <w:tblW w:w="5000" w:type="pct"/>
              <w:tblInd w:w="0" w:type="dxa"/>
              <w:tblBorders>
                <w:top w:val="single" w:color="FFFFFF" w:sz="2" w:space="0"/>
                <w:left w:val="single" w:color="FFFFFF" w:sz="2" w:space="0"/>
                <w:bottom w:val="single" w:color="FFFFFF" w:sz="2" w:space="0"/>
                <w:right w:val="single" w:color="FFFFFF" w:sz="2" w:space="0"/>
                <w:insideH w:val="single" w:color="FFFFFF" w:sz="2" w:space="0"/>
                <w:insideV w:val="single" w:color="FFFFFF" w:sz="2" w:space="0"/>
              </w:tblBorders>
              <w:tblLayout w:type="autofit"/>
              <w:tblCellMar>
                <w:top w:w="0" w:type="dxa"/>
                <w:left w:w="108" w:type="dxa"/>
                <w:bottom w:w="0" w:type="dxa"/>
                <w:right w:w="108" w:type="dxa"/>
              </w:tblCellMar>
            </w:tblPr>
            <w:tblGrid>
              <w:gridCol w:w="1616"/>
              <w:gridCol w:w="1616"/>
              <w:gridCol w:w="1616"/>
              <w:gridCol w:w="1616"/>
              <w:gridCol w:w="1617"/>
            </w:tblGrid>
            <w:tr w14:paraId="3C307E28">
              <w:tblPrEx>
                <w:tblBorders>
                  <w:top w:val="single" w:color="FFFFFF" w:sz="2" w:space="0"/>
                  <w:left w:val="single" w:color="FFFFFF" w:sz="2" w:space="0"/>
                  <w:bottom w:val="single" w:color="FFFFFF" w:sz="2" w:space="0"/>
                  <w:right w:val="single" w:color="FFFFFF" w:sz="2" w:space="0"/>
                  <w:insideH w:val="single" w:color="FFFFFF" w:sz="2" w:space="0"/>
                  <w:insideV w:val="single" w:color="FFFFFF" w:sz="2" w:space="0"/>
                </w:tblBorders>
                <w:tblCellMar>
                  <w:top w:w="0" w:type="dxa"/>
                  <w:left w:w="108" w:type="dxa"/>
                  <w:bottom w:w="0" w:type="dxa"/>
                  <w:right w:w="108" w:type="dxa"/>
                </w:tblCellMar>
              </w:tblPrEx>
              <w:trPr>
                <w:trHeight w:val="336" w:hRule="atLeast"/>
              </w:trPr>
              <w:tc>
                <w:tcPr>
                  <w:tcW w:w="1616" w:type="dxa"/>
                  <w:tcBorders>
                    <w:top w:val="single" w:color="FFFFFF" w:sz="2" w:space="0"/>
                    <w:left w:val="single" w:color="FFFFFF" w:sz="2" w:space="0"/>
                    <w:bottom w:val="single" w:color="FFFFFF" w:sz="2" w:space="0"/>
                    <w:right w:val="single" w:color="FFFFFF" w:sz="2" w:space="0"/>
                  </w:tcBorders>
                  <w:shd w:val="clear" w:color="auto" w:fill="FFFFFF"/>
                  <w:vAlign w:val="center"/>
                </w:tcPr>
                <w:p w14:paraId="717C092E">
                  <w:pPr>
                    <w:spacing w:line="288" w:lineRule="auto"/>
                  </w:pPr>
                  <w:r>
                    <w:t>○</w:t>
                  </w:r>
                  <w:r>
                    <w:rPr>
                      <w:rFonts w:hint="eastAsia"/>
                    </w:rPr>
                    <w:t>满意</w:t>
                  </w:r>
                </w:p>
              </w:tc>
              <w:tc>
                <w:tcPr>
                  <w:tcW w:w="1616" w:type="dxa"/>
                  <w:tcBorders>
                    <w:top w:val="single" w:color="FFFFFF" w:sz="2" w:space="0"/>
                    <w:left w:val="single" w:color="FFFFFF" w:sz="2" w:space="0"/>
                    <w:bottom w:val="single" w:color="FFFFFF" w:sz="2" w:space="0"/>
                    <w:right w:val="single" w:color="FFFFFF" w:sz="2" w:space="0"/>
                  </w:tcBorders>
                  <w:shd w:val="clear" w:color="auto" w:fill="FFFFFF"/>
                  <w:vAlign w:val="center"/>
                </w:tcPr>
                <w:p w14:paraId="61578ACC">
                  <w:pPr>
                    <w:spacing w:line="288" w:lineRule="auto"/>
                    <w:rPr>
                      <w:rFonts w:ascii="微软雅黑" w:hAnsi="微软雅黑" w:eastAsia="微软雅黑" w:cs="微软雅黑"/>
                      <w:sz w:val="28"/>
                    </w:rPr>
                  </w:pPr>
                  <w:r>
                    <w:t>○</w:t>
                  </w:r>
                  <w:r>
                    <w:rPr>
                      <w:rFonts w:hint="eastAsia"/>
                    </w:rPr>
                    <w:t>较满意</w:t>
                  </w:r>
                </w:p>
              </w:tc>
              <w:tc>
                <w:tcPr>
                  <w:tcW w:w="1616" w:type="dxa"/>
                  <w:tcBorders>
                    <w:top w:val="single" w:color="FFFFFF" w:sz="2" w:space="0"/>
                    <w:left w:val="single" w:color="FFFFFF" w:sz="2" w:space="0"/>
                    <w:bottom w:val="single" w:color="FFFFFF" w:sz="2" w:space="0"/>
                    <w:right w:val="single" w:color="FFFFFF" w:sz="2" w:space="0"/>
                  </w:tcBorders>
                  <w:shd w:val="clear" w:color="auto" w:fill="FFFFFF"/>
                  <w:vAlign w:val="center"/>
                </w:tcPr>
                <w:p w14:paraId="60A18429">
                  <w:pPr>
                    <w:spacing w:line="288" w:lineRule="auto"/>
                    <w:rPr>
                      <w:rFonts w:ascii="微软雅黑" w:hAnsi="微软雅黑" w:eastAsia="微软雅黑" w:cs="微软雅黑"/>
                      <w:sz w:val="28"/>
                    </w:rPr>
                  </w:pPr>
                  <w:r>
                    <w:t>○</w:t>
                  </w:r>
                  <w:r>
                    <w:rPr>
                      <w:rFonts w:hint="eastAsia"/>
                    </w:rPr>
                    <w:t>一般</w:t>
                  </w:r>
                </w:p>
              </w:tc>
              <w:tc>
                <w:tcPr>
                  <w:tcW w:w="1616" w:type="dxa"/>
                  <w:tcBorders>
                    <w:top w:val="single" w:color="FFFFFF" w:sz="2" w:space="0"/>
                    <w:left w:val="single" w:color="FFFFFF" w:sz="2" w:space="0"/>
                    <w:bottom w:val="single" w:color="FFFFFF" w:sz="2" w:space="0"/>
                    <w:right w:val="single" w:color="FFFFFF" w:sz="2" w:space="0"/>
                  </w:tcBorders>
                  <w:shd w:val="clear" w:color="auto" w:fill="FFFFFF"/>
                  <w:vAlign w:val="center"/>
                </w:tcPr>
                <w:p w14:paraId="3F79338D">
                  <w:pPr>
                    <w:spacing w:line="288" w:lineRule="auto"/>
                    <w:rPr>
                      <w:rFonts w:ascii="微软雅黑" w:hAnsi="微软雅黑" w:eastAsia="微软雅黑" w:cs="微软雅黑"/>
                      <w:sz w:val="28"/>
                    </w:rPr>
                  </w:pPr>
                  <w:r>
                    <w:t>○</w:t>
                  </w:r>
                  <w:r>
                    <w:rPr>
                      <w:rFonts w:hint="eastAsia"/>
                    </w:rPr>
                    <w:t>稍不满</w:t>
                  </w:r>
                </w:p>
              </w:tc>
              <w:tc>
                <w:tcPr>
                  <w:tcW w:w="1616" w:type="dxa"/>
                  <w:tcBorders>
                    <w:top w:val="single" w:color="FFFFFF" w:sz="2" w:space="0"/>
                    <w:left w:val="single" w:color="FFFFFF" w:sz="2" w:space="0"/>
                    <w:bottom w:val="single" w:color="FFFFFF" w:sz="2" w:space="0"/>
                    <w:right w:val="single" w:color="FFFFFF" w:sz="2" w:space="0"/>
                  </w:tcBorders>
                  <w:shd w:val="clear" w:color="auto" w:fill="FFFFFF"/>
                  <w:vAlign w:val="center"/>
                </w:tcPr>
                <w:p w14:paraId="6956A623">
                  <w:pPr>
                    <w:spacing w:line="288" w:lineRule="auto"/>
                  </w:pPr>
                  <w:r>
                    <w:t>○</w:t>
                  </w:r>
                  <w:r>
                    <w:rPr>
                      <w:rFonts w:hint="eastAsia"/>
                    </w:rPr>
                    <w:t>不满意</w:t>
                  </w:r>
                </w:p>
              </w:tc>
            </w:tr>
          </w:tbl>
          <w:p w14:paraId="42F43214">
            <w:pPr>
              <w:pStyle w:val="23"/>
              <w:numPr>
                <w:ilvl w:val="0"/>
                <w:numId w:val="2"/>
              </w:numPr>
              <w:spacing w:line="288" w:lineRule="auto"/>
              <w:ind w:firstLineChars="0"/>
            </w:pPr>
            <w:r>
              <w:rPr>
                <w:rFonts w:hint="eastAsia"/>
              </w:rPr>
              <w:t>您觉得您所处社区的生态环境变化趋势怎么样</w:t>
            </w:r>
            <w:r>
              <w:t xml:space="preserve"> [</w:t>
            </w:r>
            <w:r>
              <w:rPr>
                <w:rFonts w:hint="eastAsia"/>
              </w:rPr>
              <w:t>单选题</w:t>
            </w:r>
            <w:r>
              <w:t xml:space="preserve">] </w:t>
            </w:r>
          </w:p>
          <w:tbl>
            <w:tblPr>
              <w:tblStyle w:val="15"/>
              <w:tblW w:w="5000" w:type="pct"/>
              <w:tblInd w:w="0" w:type="dxa"/>
              <w:tblBorders>
                <w:top w:val="single" w:color="FFFFFF" w:sz="2" w:space="0"/>
                <w:left w:val="single" w:color="FFFFFF" w:sz="2" w:space="0"/>
                <w:bottom w:val="single" w:color="FFFFFF" w:sz="2" w:space="0"/>
                <w:right w:val="single" w:color="FFFFFF" w:sz="2" w:space="0"/>
                <w:insideH w:val="single" w:color="FFFFFF" w:sz="2" w:space="0"/>
                <w:insideV w:val="single" w:color="FFFFFF" w:sz="2" w:space="0"/>
              </w:tblBorders>
              <w:tblLayout w:type="autofit"/>
              <w:tblCellMar>
                <w:top w:w="0" w:type="dxa"/>
                <w:left w:w="108" w:type="dxa"/>
                <w:bottom w:w="0" w:type="dxa"/>
                <w:right w:w="108" w:type="dxa"/>
              </w:tblCellMar>
            </w:tblPr>
            <w:tblGrid>
              <w:gridCol w:w="1616"/>
              <w:gridCol w:w="1616"/>
              <w:gridCol w:w="1616"/>
              <w:gridCol w:w="1616"/>
              <w:gridCol w:w="1617"/>
            </w:tblGrid>
            <w:tr w14:paraId="55765CEF">
              <w:tblPrEx>
                <w:tblBorders>
                  <w:top w:val="single" w:color="FFFFFF" w:sz="2" w:space="0"/>
                  <w:left w:val="single" w:color="FFFFFF" w:sz="2" w:space="0"/>
                  <w:bottom w:val="single" w:color="FFFFFF" w:sz="2" w:space="0"/>
                  <w:right w:val="single" w:color="FFFFFF" w:sz="2" w:space="0"/>
                  <w:insideH w:val="single" w:color="FFFFFF" w:sz="2" w:space="0"/>
                  <w:insideV w:val="single" w:color="FFFFFF" w:sz="2" w:space="0"/>
                </w:tblBorders>
                <w:tblCellMar>
                  <w:top w:w="0" w:type="dxa"/>
                  <w:left w:w="108" w:type="dxa"/>
                  <w:bottom w:w="0" w:type="dxa"/>
                  <w:right w:w="108" w:type="dxa"/>
                </w:tblCellMar>
              </w:tblPrEx>
              <w:trPr>
                <w:trHeight w:val="390" w:hRule="atLeast"/>
              </w:trPr>
              <w:tc>
                <w:tcPr>
                  <w:tcW w:w="1616" w:type="dxa"/>
                  <w:tcBorders>
                    <w:top w:val="single" w:color="FFFFFF" w:sz="2" w:space="0"/>
                    <w:left w:val="single" w:color="FFFFFF" w:sz="2" w:space="0"/>
                    <w:bottom w:val="single" w:color="FFFFFF" w:sz="2" w:space="0"/>
                    <w:right w:val="single" w:color="FFFFFF" w:sz="2" w:space="0"/>
                  </w:tcBorders>
                  <w:shd w:val="clear" w:color="auto" w:fill="FFFFFF"/>
                  <w:vAlign w:val="center"/>
                </w:tcPr>
                <w:p w14:paraId="42FFEAA9">
                  <w:pPr>
                    <w:spacing w:line="288" w:lineRule="auto"/>
                  </w:pPr>
                  <w:r>
                    <w:t>○</w:t>
                  </w:r>
                  <w:r>
                    <w:rPr>
                      <w:rFonts w:hint="eastAsia"/>
                    </w:rPr>
                    <w:t>日趋好转</w:t>
                  </w:r>
                </w:p>
              </w:tc>
              <w:tc>
                <w:tcPr>
                  <w:tcW w:w="1616" w:type="dxa"/>
                  <w:tcBorders>
                    <w:top w:val="single" w:color="FFFFFF" w:sz="2" w:space="0"/>
                    <w:left w:val="single" w:color="FFFFFF" w:sz="2" w:space="0"/>
                    <w:bottom w:val="single" w:color="FFFFFF" w:sz="2" w:space="0"/>
                    <w:right w:val="single" w:color="FFFFFF" w:sz="2" w:space="0"/>
                  </w:tcBorders>
                  <w:shd w:val="clear" w:color="auto" w:fill="FFFFFF"/>
                  <w:vAlign w:val="center"/>
                </w:tcPr>
                <w:p w14:paraId="1D25767F">
                  <w:pPr>
                    <w:spacing w:line="288" w:lineRule="auto"/>
                  </w:pPr>
                  <w:r>
                    <w:t>○</w:t>
                  </w:r>
                  <w:r>
                    <w:rPr>
                      <w:rFonts w:hint="eastAsia"/>
                    </w:rPr>
                    <w:t>部分改善</w:t>
                  </w:r>
                </w:p>
              </w:tc>
              <w:tc>
                <w:tcPr>
                  <w:tcW w:w="1616" w:type="dxa"/>
                  <w:tcBorders>
                    <w:top w:val="single" w:color="FFFFFF" w:sz="2" w:space="0"/>
                    <w:left w:val="single" w:color="FFFFFF" w:sz="2" w:space="0"/>
                    <w:bottom w:val="single" w:color="FFFFFF" w:sz="2" w:space="0"/>
                    <w:right w:val="single" w:color="FFFFFF" w:sz="2" w:space="0"/>
                  </w:tcBorders>
                  <w:shd w:val="clear" w:color="auto" w:fill="FFFFFF"/>
                  <w:vAlign w:val="center"/>
                </w:tcPr>
                <w:p w14:paraId="6E517A6E">
                  <w:pPr>
                    <w:spacing w:line="288" w:lineRule="auto"/>
                  </w:pPr>
                  <w:r>
                    <w:t>○</w:t>
                  </w:r>
                  <w:r>
                    <w:rPr>
                      <w:rFonts w:hint="eastAsia"/>
                    </w:rPr>
                    <w:t>相对稳定</w:t>
                  </w:r>
                </w:p>
              </w:tc>
              <w:tc>
                <w:tcPr>
                  <w:tcW w:w="1616" w:type="dxa"/>
                  <w:tcBorders>
                    <w:top w:val="single" w:color="FFFFFF" w:sz="2" w:space="0"/>
                    <w:left w:val="single" w:color="FFFFFF" w:sz="2" w:space="0"/>
                    <w:bottom w:val="single" w:color="FFFFFF" w:sz="2" w:space="0"/>
                    <w:right w:val="single" w:color="FFFFFF" w:sz="2" w:space="0"/>
                  </w:tcBorders>
                  <w:shd w:val="clear" w:color="auto" w:fill="FFFFFF"/>
                  <w:vAlign w:val="center"/>
                </w:tcPr>
                <w:p w14:paraId="75BDDC3B">
                  <w:pPr>
                    <w:spacing w:line="288" w:lineRule="auto"/>
                    <w:rPr>
                      <w:rFonts w:ascii="微软雅黑" w:hAnsi="微软雅黑" w:eastAsia="微软雅黑" w:cs="微软雅黑"/>
                      <w:sz w:val="28"/>
                    </w:rPr>
                  </w:pPr>
                  <w:r>
                    <w:t>○</w:t>
                  </w:r>
                  <w:r>
                    <w:rPr>
                      <w:rFonts w:hint="eastAsia"/>
                    </w:rPr>
                    <w:t>部分恶化</w:t>
                  </w:r>
                </w:p>
              </w:tc>
              <w:tc>
                <w:tcPr>
                  <w:tcW w:w="1616" w:type="dxa"/>
                  <w:tcBorders>
                    <w:top w:val="single" w:color="FFFFFF" w:sz="2" w:space="0"/>
                    <w:left w:val="single" w:color="FFFFFF" w:sz="2" w:space="0"/>
                    <w:bottom w:val="single" w:color="FFFFFF" w:sz="2" w:space="0"/>
                    <w:right w:val="single" w:color="FFFFFF" w:sz="2" w:space="0"/>
                  </w:tcBorders>
                  <w:shd w:val="clear" w:color="auto" w:fill="FFFFFF"/>
                  <w:vAlign w:val="center"/>
                </w:tcPr>
                <w:p w14:paraId="73350E66">
                  <w:pPr>
                    <w:spacing w:line="288" w:lineRule="auto"/>
                  </w:pPr>
                  <w:r>
                    <w:t>○</w:t>
                  </w:r>
                  <w:r>
                    <w:rPr>
                      <w:rFonts w:hint="eastAsia"/>
                    </w:rPr>
                    <w:t>持续恶化</w:t>
                  </w:r>
                </w:p>
              </w:tc>
            </w:tr>
          </w:tbl>
          <w:p w14:paraId="1C9E6483">
            <w:pPr>
              <w:pStyle w:val="23"/>
              <w:numPr>
                <w:ilvl w:val="0"/>
                <w:numId w:val="2"/>
              </w:numPr>
              <w:spacing w:line="288" w:lineRule="auto"/>
              <w:ind w:firstLineChars="0"/>
            </w:pPr>
            <w:r>
              <w:rPr>
                <w:rFonts w:hint="eastAsia"/>
              </w:rPr>
              <w:t>您对社区环境的空气质量的满意程度（如</w:t>
            </w:r>
            <w:r>
              <w:t>:</w:t>
            </w:r>
            <w:r>
              <w:rPr>
                <w:rFonts w:hint="eastAsia"/>
              </w:rPr>
              <w:t>有无废气、臭气、有害气体等）</w:t>
            </w:r>
            <w:r>
              <w:t xml:space="preserve"> [</w:t>
            </w:r>
            <w:r>
              <w:rPr>
                <w:rFonts w:hint="eastAsia"/>
              </w:rPr>
              <w:t>单选题</w:t>
            </w:r>
            <w:r>
              <w:t xml:space="preserve">] </w:t>
            </w:r>
          </w:p>
          <w:tbl>
            <w:tblPr>
              <w:tblStyle w:val="15"/>
              <w:tblW w:w="5000" w:type="pct"/>
              <w:tblInd w:w="0" w:type="dxa"/>
              <w:tblBorders>
                <w:top w:val="single" w:color="FFFFFF" w:sz="2" w:space="0"/>
                <w:left w:val="single" w:color="FFFFFF" w:sz="2" w:space="0"/>
                <w:bottom w:val="single" w:color="FFFFFF" w:sz="2" w:space="0"/>
                <w:right w:val="single" w:color="FFFFFF" w:sz="2" w:space="0"/>
                <w:insideH w:val="single" w:color="FFFFFF" w:sz="2" w:space="0"/>
                <w:insideV w:val="single" w:color="FFFFFF" w:sz="2" w:space="0"/>
              </w:tblBorders>
              <w:tblLayout w:type="autofit"/>
              <w:tblCellMar>
                <w:top w:w="0" w:type="dxa"/>
                <w:left w:w="108" w:type="dxa"/>
                <w:bottom w:w="0" w:type="dxa"/>
                <w:right w:w="108" w:type="dxa"/>
              </w:tblCellMar>
            </w:tblPr>
            <w:tblGrid>
              <w:gridCol w:w="1616"/>
              <w:gridCol w:w="1616"/>
              <w:gridCol w:w="1616"/>
              <w:gridCol w:w="1616"/>
              <w:gridCol w:w="1617"/>
            </w:tblGrid>
            <w:tr w14:paraId="49E9DCD3">
              <w:tblPrEx>
                <w:tblBorders>
                  <w:top w:val="single" w:color="FFFFFF" w:sz="2" w:space="0"/>
                  <w:left w:val="single" w:color="FFFFFF" w:sz="2" w:space="0"/>
                  <w:bottom w:val="single" w:color="FFFFFF" w:sz="2" w:space="0"/>
                  <w:right w:val="single" w:color="FFFFFF" w:sz="2" w:space="0"/>
                  <w:insideH w:val="single" w:color="FFFFFF" w:sz="2" w:space="0"/>
                  <w:insideV w:val="single" w:color="FFFFFF" w:sz="2" w:space="0"/>
                </w:tblBorders>
              </w:tblPrEx>
              <w:trPr>
                <w:trHeight w:val="336" w:hRule="atLeast"/>
              </w:trPr>
              <w:tc>
                <w:tcPr>
                  <w:tcW w:w="1616" w:type="dxa"/>
                  <w:tcBorders>
                    <w:top w:val="single" w:color="FFFFFF" w:sz="2" w:space="0"/>
                    <w:left w:val="single" w:color="FFFFFF" w:sz="2" w:space="0"/>
                    <w:bottom w:val="single" w:color="FFFFFF" w:sz="2" w:space="0"/>
                    <w:right w:val="single" w:color="FFFFFF" w:sz="2" w:space="0"/>
                  </w:tcBorders>
                  <w:shd w:val="clear" w:color="auto" w:fill="FFFFFF"/>
                  <w:vAlign w:val="center"/>
                </w:tcPr>
                <w:p w14:paraId="7BAD729B">
                  <w:pPr>
                    <w:spacing w:line="288" w:lineRule="auto"/>
                  </w:pPr>
                  <w:r>
                    <w:t>○</w:t>
                  </w:r>
                  <w:r>
                    <w:rPr>
                      <w:rFonts w:hint="eastAsia"/>
                    </w:rPr>
                    <w:t>满意</w:t>
                  </w:r>
                </w:p>
              </w:tc>
              <w:tc>
                <w:tcPr>
                  <w:tcW w:w="1616" w:type="dxa"/>
                  <w:tcBorders>
                    <w:top w:val="single" w:color="FFFFFF" w:sz="2" w:space="0"/>
                    <w:left w:val="single" w:color="FFFFFF" w:sz="2" w:space="0"/>
                    <w:bottom w:val="single" w:color="FFFFFF" w:sz="2" w:space="0"/>
                    <w:right w:val="single" w:color="FFFFFF" w:sz="2" w:space="0"/>
                  </w:tcBorders>
                  <w:shd w:val="clear" w:color="auto" w:fill="FFFFFF"/>
                  <w:vAlign w:val="center"/>
                </w:tcPr>
                <w:p w14:paraId="67C9D320">
                  <w:pPr>
                    <w:spacing w:line="288" w:lineRule="auto"/>
                    <w:rPr>
                      <w:rFonts w:ascii="微软雅黑" w:hAnsi="微软雅黑" w:eastAsia="微软雅黑" w:cs="微软雅黑"/>
                      <w:sz w:val="28"/>
                    </w:rPr>
                  </w:pPr>
                  <w:r>
                    <w:t>○</w:t>
                  </w:r>
                  <w:r>
                    <w:rPr>
                      <w:rFonts w:hint="eastAsia"/>
                    </w:rPr>
                    <w:t>较满意</w:t>
                  </w:r>
                </w:p>
              </w:tc>
              <w:tc>
                <w:tcPr>
                  <w:tcW w:w="1616" w:type="dxa"/>
                  <w:tcBorders>
                    <w:top w:val="single" w:color="FFFFFF" w:sz="2" w:space="0"/>
                    <w:left w:val="single" w:color="FFFFFF" w:sz="2" w:space="0"/>
                    <w:bottom w:val="single" w:color="FFFFFF" w:sz="2" w:space="0"/>
                    <w:right w:val="single" w:color="FFFFFF" w:sz="2" w:space="0"/>
                  </w:tcBorders>
                  <w:shd w:val="clear" w:color="auto" w:fill="FFFFFF"/>
                  <w:vAlign w:val="center"/>
                </w:tcPr>
                <w:p w14:paraId="41777B08">
                  <w:pPr>
                    <w:spacing w:line="288" w:lineRule="auto"/>
                    <w:rPr>
                      <w:rFonts w:ascii="微软雅黑" w:hAnsi="微软雅黑" w:eastAsia="微软雅黑" w:cs="微软雅黑"/>
                      <w:sz w:val="28"/>
                    </w:rPr>
                  </w:pPr>
                  <w:r>
                    <w:t>○</w:t>
                  </w:r>
                  <w:r>
                    <w:rPr>
                      <w:rFonts w:hint="eastAsia"/>
                    </w:rPr>
                    <w:t>一般</w:t>
                  </w:r>
                </w:p>
              </w:tc>
              <w:tc>
                <w:tcPr>
                  <w:tcW w:w="1616" w:type="dxa"/>
                  <w:tcBorders>
                    <w:top w:val="single" w:color="FFFFFF" w:sz="2" w:space="0"/>
                    <w:left w:val="single" w:color="FFFFFF" w:sz="2" w:space="0"/>
                    <w:bottom w:val="single" w:color="FFFFFF" w:sz="2" w:space="0"/>
                    <w:right w:val="single" w:color="FFFFFF" w:sz="2" w:space="0"/>
                  </w:tcBorders>
                  <w:shd w:val="clear" w:color="auto" w:fill="FFFFFF"/>
                  <w:vAlign w:val="center"/>
                </w:tcPr>
                <w:p w14:paraId="26C959AF">
                  <w:pPr>
                    <w:spacing w:line="288" w:lineRule="auto"/>
                    <w:rPr>
                      <w:rFonts w:ascii="微软雅黑" w:hAnsi="微软雅黑" w:eastAsia="微软雅黑" w:cs="微软雅黑"/>
                      <w:sz w:val="28"/>
                    </w:rPr>
                  </w:pPr>
                  <w:r>
                    <w:t>○</w:t>
                  </w:r>
                  <w:r>
                    <w:rPr>
                      <w:rFonts w:hint="eastAsia"/>
                    </w:rPr>
                    <w:t>稍不满</w:t>
                  </w:r>
                </w:p>
              </w:tc>
              <w:tc>
                <w:tcPr>
                  <w:tcW w:w="1616" w:type="dxa"/>
                  <w:tcBorders>
                    <w:top w:val="single" w:color="FFFFFF" w:sz="2" w:space="0"/>
                    <w:left w:val="single" w:color="FFFFFF" w:sz="2" w:space="0"/>
                    <w:bottom w:val="single" w:color="FFFFFF" w:sz="2" w:space="0"/>
                    <w:right w:val="single" w:color="FFFFFF" w:sz="2" w:space="0"/>
                  </w:tcBorders>
                  <w:shd w:val="clear" w:color="auto" w:fill="FFFFFF"/>
                  <w:vAlign w:val="center"/>
                </w:tcPr>
                <w:p w14:paraId="0382BF19">
                  <w:pPr>
                    <w:spacing w:line="288" w:lineRule="auto"/>
                  </w:pPr>
                  <w:r>
                    <w:t>○</w:t>
                  </w:r>
                  <w:r>
                    <w:rPr>
                      <w:rFonts w:hint="eastAsia"/>
                    </w:rPr>
                    <w:t>不满意</w:t>
                  </w:r>
                </w:p>
              </w:tc>
            </w:tr>
          </w:tbl>
          <w:p w14:paraId="6F925464">
            <w:pPr>
              <w:pStyle w:val="23"/>
              <w:numPr>
                <w:ilvl w:val="0"/>
                <w:numId w:val="2"/>
              </w:numPr>
              <w:spacing w:line="288" w:lineRule="auto"/>
              <w:ind w:firstLineChars="0"/>
            </w:pPr>
            <w:r>
              <w:rPr>
                <w:rFonts w:hint="eastAsia"/>
              </w:rPr>
              <w:t>您认为目前社区困扰您的生态环境问题是什么？</w:t>
            </w:r>
            <w:r>
              <w:t xml:space="preserve"> [</w:t>
            </w:r>
            <w:r>
              <w:rPr>
                <w:rFonts w:hint="eastAsia"/>
              </w:rPr>
              <w:t>多选题，最多选3个</w:t>
            </w:r>
            <w:r>
              <w:t>]</w:t>
            </w:r>
            <w:r>
              <w:rPr>
                <w:color w:val="FF0000"/>
              </w:rPr>
              <w:t xml:space="preserve"> </w:t>
            </w:r>
          </w:p>
          <w:tbl>
            <w:tblPr>
              <w:tblStyle w:val="15"/>
              <w:tblW w:w="5000" w:type="pct"/>
              <w:tblInd w:w="0" w:type="dxa"/>
              <w:tblBorders>
                <w:top w:val="single" w:color="FFFFFF" w:sz="2" w:space="0"/>
                <w:left w:val="single" w:color="FFFFFF" w:sz="2" w:space="0"/>
                <w:bottom w:val="single" w:color="FFFFFF" w:sz="2" w:space="0"/>
                <w:right w:val="single" w:color="FFFFFF" w:sz="2" w:space="0"/>
                <w:insideH w:val="single" w:color="FFFFFF" w:sz="2" w:space="0"/>
                <w:insideV w:val="single" w:color="FFFFFF" w:sz="2" w:space="0"/>
              </w:tblBorders>
              <w:tblLayout w:type="autofit"/>
              <w:tblCellMar>
                <w:top w:w="0" w:type="dxa"/>
                <w:left w:w="108" w:type="dxa"/>
                <w:bottom w:w="0" w:type="dxa"/>
                <w:right w:w="108" w:type="dxa"/>
              </w:tblCellMar>
            </w:tblPr>
            <w:tblGrid>
              <w:gridCol w:w="2020"/>
              <w:gridCol w:w="1836"/>
              <w:gridCol w:w="2204"/>
              <w:gridCol w:w="2021"/>
            </w:tblGrid>
            <w:tr w14:paraId="698793FB">
              <w:tblPrEx>
                <w:tblBorders>
                  <w:top w:val="single" w:color="FFFFFF" w:sz="2" w:space="0"/>
                  <w:left w:val="single" w:color="FFFFFF" w:sz="2" w:space="0"/>
                  <w:bottom w:val="single" w:color="FFFFFF" w:sz="2" w:space="0"/>
                  <w:right w:val="single" w:color="FFFFFF" w:sz="2" w:space="0"/>
                  <w:insideH w:val="single" w:color="FFFFFF" w:sz="2" w:space="0"/>
                  <w:insideV w:val="single" w:color="FFFFFF" w:sz="2" w:space="0"/>
                </w:tblBorders>
                <w:tblCellMar>
                  <w:top w:w="0" w:type="dxa"/>
                  <w:left w:w="108" w:type="dxa"/>
                  <w:bottom w:w="0" w:type="dxa"/>
                  <w:right w:w="108" w:type="dxa"/>
                </w:tblCellMar>
              </w:tblPrEx>
              <w:trPr>
                <w:trHeight w:val="338" w:hRule="atLeast"/>
              </w:trPr>
              <w:tc>
                <w:tcPr>
                  <w:tcW w:w="2020" w:type="dxa"/>
                  <w:tcBorders>
                    <w:top w:val="single" w:color="FFFFFF" w:sz="2" w:space="0"/>
                    <w:left w:val="single" w:color="FFFFFF" w:sz="2" w:space="0"/>
                    <w:bottom w:val="single" w:color="FFFFFF" w:sz="2" w:space="0"/>
                    <w:right w:val="single" w:color="FFFFFF" w:sz="2" w:space="0"/>
                  </w:tcBorders>
                  <w:shd w:val="clear" w:color="auto" w:fill="FFFFFF"/>
                  <w:vAlign w:val="center"/>
                </w:tcPr>
                <w:p w14:paraId="551DACD2">
                  <w:pPr>
                    <w:spacing w:line="288" w:lineRule="auto"/>
                  </w:pPr>
                  <w:r>
                    <w:t>□</w:t>
                  </w:r>
                  <w:r>
                    <w:rPr>
                      <w:rFonts w:hint="eastAsia"/>
                    </w:rPr>
                    <w:t>致敏花粉的传播</w:t>
                  </w:r>
                </w:p>
              </w:tc>
              <w:tc>
                <w:tcPr>
                  <w:tcW w:w="1836" w:type="dxa"/>
                  <w:tcBorders>
                    <w:top w:val="single" w:color="FFFFFF" w:sz="2" w:space="0"/>
                    <w:left w:val="single" w:color="FFFFFF" w:sz="2" w:space="0"/>
                    <w:bottom w:val="single" w:color="FFFFFF" w:sz="2" w:space="0"/>
                    <w:right w:val="single" w:color="FFFFFF" w:sz="2" w:space="0"/>
                  </w:tcBorders>
                  <w:shd w:val="clear" w:color="auto" w:fill="FFFFFF"/>
                  <w:vAlign w:val="center"/>
                </w:tcPr>
                <w:p w14:paraId="02171CDB">
                  <w:pPr>
                    <w:spacing w:line="288" w:lineRule="auto"/>
                    <w:rPr>
                      <w:rFonts w:ascii="微软雅黑" w:hAnsi="微软雅黑" w:eastAsia="微软雅黑" w:cs="微软雅黑"/>
                      <w:sz w:val="28"/>
                    </w:rPr>
                  </w:pPr>
                  <w:r>
                    <w:t>□</w:t>
                  </w:r>
                  <w:r>
                    <w:rPr>
                      <w:rFonts w:hint="eastAsia"/>
                    </w:rPr>
                    <w:t>空气污染</w:t>
                  </w:r>
                </w:p>
              </w:tc>
              <w:tc>
                <w:tcPr>
                  <w:tcW w:w="2204" w:type="dxa"/>
                  <w:tcBorders>
                    <w:top w:val="single" w:color="FFFFFF" w:sz="2" w:space="0"/>
                    <w:left w:val="single" w:color="FFFFFF" w:sz="2" w:space="0"/>
                    <w:bottom w:val="single" w:color="FFFFFF" w:sz="2" w:space="0"/>
                    <w:right w:val="single" w:color="FFFFFF" w:sz="2" w:space="0"/>
                  </w:tcBorders>
                  <w:shd w:val="clear" w:color="auto" w:fill="FFFFFF"/>
                  <w:vAlign w:val="center"/>
                </w:tcPr>
                <w:p w14:paraId="77BF3313">
                  <w:pPr>
                    <w:spacing w:line="288" w:lineRule="auto"/>
                    <w:rPr>
                      <w:rFonts w:ascii="微软雅黑" w:hAnsi="微软雅黑" w:eastAsia="微软雅黑" w:cs="微软雅黑"/>
                      <w:sz w:val="28"/>
                    </w:rPr>
                  </w:pPr>
                  <w:r>
                    <w:t>□</w:t>
                  </w:r>
                  <w:r>
                    <w:rPr>
                      <w:rFonts w:hint="eastAsia"/>
                    </w:rPr>
                    <w:t>各类噪声持续扰民</w:t>
                  </w:r>
                </w:p>
              </w:tc>
              <w:tc>
                <w:tcPr>
                  <w:tcW w:w="2020" w:type="dxa"/>
                  <w:tcBorders>
                    <w:top w:val="single" w:color="FFFFFF" w:sz="2" w:space="0"/>
                    <w:left w:val="single" w:color="FFFFFF" w:sz="2" w:space="0"/>
                    <w:bottom w:val="single" w:color="FFFFFF" w:sz="2" w:space="0"/>
                    <w:right w:val="single" w:color="FFFFFF" w:sz="2" w:space="0"/>
                  </w:tcBorders>
                  <w:shd w:val="clear" w:color="auto" w:fill="FFFFFF"/>
                  <w:vAlign w:val="center"/>
                </w:tcPr>
                <w:p w14:paraId="5BBC8001">
                  <w:pPr>
                    <w:spacing w:line="288" w:lineRule="auto"/>
                    <w:rPr>
                      <w:rFonts w:ascii="微软雅黑" w:hAnsi="微软雅黑" w:eastAsia="微软雅黑" w:cs="微软雅黑"/>
                      <w:sz w:val="28"/>
                    </w:rPr>
                  </w:pPr>
                  <w:r>
                    <w:t>□</w:t>
                  </w:r>
                  <w:r>
                    <w:rPr>
                      <w:rFonts w:hint="eastAsia"/>
                    </w:rPr>
                    <w:t>绿化空间不足</w:t>
                  </w:r>
                </w:p>
              </w:tc>
            </w:tr>
            <w:tr w14:paraId="280D042B">
              <w:tblPrEx>
                <w:tblBorders>
                  <w:top w:val="single" w:color="FFFFFF" w:sz="2" w:space="0"/>
                  <w:left w:val="single" w:color="FFFFFF" w:sz="2" w:space="0"/>
                  <w:bottom w:val="single" w:color="FFFFFF" w:sz="2" w:space="0"/>
                  <w:right w:val="single" w:color="FFFFFF" w:sz="2" w:space="0"/>
                  <w:insideH w:val="single" w:color="FFFFFF" w:sz="2" w:space="0"/>
                  <w:insideV w:val="single" w:color="FFFFFF" w:sz="2" w:space="0"/>
                </w:tblBorders>
                <w:tblCellMar>
                  <w:top w:w="0" w:type="dxa"/>
                  <w:left w:w="108" w:type="dxa"/>
                  <w:bottom w:w="0" w:type="dxa"/>
                  <w:right w:w="108" w:type="dxa"/>
                </w:tblCellMar>
              </w:tblPrEx>
              <w:trPr>
                <w:trHeight w:val="336" w:hRule="atLeast"/>
              </w:trPr>
              <w:tc>
                <w:tcPr>
                  <w:tcW w:w="2020" w:type="dxa"/>
                  <w:tcBorders>
                    <w:top w:val="single" w:color="FFFFFF" w:sz="2" w:space="0"/>
                    <w:left w:val="single" w:color="FFFFFF" w:sz="2" w:space="0"/>
                    <w:bottom w:val="single" w:color="FFFFFF" w:sz="2" w:space="0"/>
                    <w:right w:val="single" w:color="FFFFFF" w:sz="2" w:space="0"/>
                  </w:tcBorders>
                  <w:shd w:val="clear" w:color="auto" w:fill="FFFFFF"/>
                  <w:vAlign w:val="center"/>
                </w:tcPr>
                <w:p w14:paraId="06BE075F">
                  <w:pPr>
                    <w:spacing w:line="288" w:lineRule="auto"/>
                  </w:pPr>
                  <w:r>
                    <w:t>□</w:t>
                  </w:r>
                  <w:r>
                    <w:rPr>
                      <w:rFonts w:hint="eastAsia"/>
                    </w:rPr>
                    <w:t>热舒适度低</w:t>
                  </w:r>
                </w:p>
              </w:tc>
              <w:tc>
                <w:tcPr>
                  <w:tcW w:w="1836" w:type="dxa"/>
                  <w:tcBorders>
                    <w:top w:val="single" w:color="FFFFFF" w:sz="2" w:space="0"/>
                    <w:left w:val="single" w:color="FFFFFF" w:sz="2" w:space="0"/>
                    <w:bottom w:val="single" w:color="FFFFFF" w:sz="2" w:space="0"/>
                    <w:right w:val="single" w:color="FFFFFF" w:sz="2" w:space="0"/>
                  </w:tcBorders>
                  <w:shd w:val="clear" w:color="auto" w:fill="FFFFFF"/>
                  <w:vAlign w:val="center"/>
                </w:tcPr>
                <w:p w14:paraId="432D840E">
                  <w:pPr>
                    <w:spacing w:line="288" w:lineRule="auto"/>
                  </w:pPr>
                  <w:r>
                    <w:t>□</w:t>
                  </w:r>
                  <w:r>
                    <w:rPr>
                      <w:rFonts w:hint="eastAsia"/>
                    </w:rPr>
                    <w:t>水质污染</w:t>
                  </w:r>
                </w:p>
              </w:tc>
              <w:tc>
                <w:tcPr>
                  <w:tcW w:w="2204" w:type="dxa"/>
                  <w:tcBorders>
                    <w:top w:val="single" w:color="FFFFFF" w:sz="2" w:space="0"/>
                    <w:left w:val="single" w:color="FFFFFF" w:sz="2" w:space="0"/>
                    <w:bottom w:val="single" w:color="FFFFFF" w:sz="2" w:space="0"/>
                    <w:right w:val="single" w:color="FFFFFF" w:sz="2" w:space="0"/>
                  </w:tcBorders>
                  <w:shd w:val="clear" w:color="auto" w:fill="FFFFFF"/>
                  <w:vAlign w:val="center"/>
                </w:tcPr>
                <w:p w14:paraId="442FDDEF">
                  <w:pPr>
                    <w:spacing w:line="288" w:lineRule="auto"/>
                  </w:pPr>
                  <w:r>
                    <w:t>□</w:t>
                  </w:r>
                  <w:r>
                    <w:rPr>
                      <w:rFonts w:hint="eastAsia"/>
                    </w:rPr>
                    <w:t>垃圾混杂乱放</w:t>
                  </w:r>
                </w:p>
              </w:tc>
              <w:tc>
                <w:tcPr>
                  <w:tcW w:w="2020" w:type="dxa"/>
                  <w:tcBorders>
                    <w:top w:val="single" w:color="FFFFFF" w:sz="2" w:space="0"/>
                    <w:left w:val="single" w:color="FFFFFF" w:sz="2" w:space="0"/>
                    <w:bottom w:val="single" w:color="FFFFFF" w:sz="2" w:space="0"/>
                    <w:right w:val="single" w:color="FFFFFF" w:sz="2" w:space="0"/>
                  </w:tcBorders>
                  <w:shd w:val="clear" w:color="auto" w:fill="FFFFFF"/>
                  <w:vAlign w:val="center"/>
                </w:tcPr>
                <w:p w14:paraId="21BB432E">
                  <w:pPr>
                    <w:spacing w:line="288" w:lineRule="auto"/>
                  </w:pPr>
                  <w:r>
                    <w:t>□</w:t>
                  </w:r>
                  <w:r>
                    <w:rPr>
                      <w:rFonts w:hint="eastAsia"/>
                    </w:rPr>
                    <w:t>其他</w:t>
                  </w:r>
                  <w:r>
                    <w:rPr>
                      <w:rFonts w:hint="eastAsia"/>
                      <w:u w:val="single"/>
                    </w:rPr>
                    <w:t xml:space="preserve"> </w:t>
                  </w:r>
                  <w:r>
                    <w:rPr>
                      <w:u w:val="single"/>
                    </w:rPr>
                    <w:t xml:space="preserve">           </w:t>
                  </w:r>
                </w:p>
              </w:tc>
            </w:tr>
          </w:tbl>
          <w:p w14:paraId="3B69AF3E">
            <w:pPr>
              <w:pStyle w:val="23"/>
              <w:spacing w:line="288" w:lineRule="auto"/>
              <w:ind w:left="360" w:firstLine="0" w:firstLineChars="0"/>
              <w:rPr>
                <w:color w:val="666666"/>
              </w:rPr>
            </w:pPr>
          </w:p>
        </w:tc>
      </w:tr>
    </w:tbl>
    <w:p w14:paraId="39A7BA43">
      <w:pPr>
        <w:rPr>
          <w:color w:val="666666"/>
        </w:rPr>
      </w:pPr>
    </w:p>
    <w:p w14:paraId="7CD5117D">
      <w:pPr>
        <w:rPr>
          <w:color w:val="666666"/>
        </w:rPr>
      </w:pPr>
    </w:p>
    <w:p w14:paraId="4FA1A6DA">
      <w:pPr>
        <w:rPr>
          <w:color w:val="666666"/>
        </w:rPr>
      </w:pPr>
    </w:p>
    <w:p w14:paraId="2B3C091E">
      <w:pPr>
        <w:pStyle w:val="2"/>
        <w:pageBreakBefore/>
        <w:spacing w:before="312" w:beforeLines="100" w:after="312" w:afterLines="100" w:line="520" w:lineRule="exact"/>
        <w:jc w:val="center"/>
        <w:rPr>
          <w:rFonts w:ascii="黑体" w:hAnsi="黑体" w:eastAsia="黑体"/>
          <w:bCs w:val="0"/>
          <w:sz w:val="30"/>
          <w:szCs w:val="22"/>
          <w:lang w:val="zh-CN"/>
        </w:rPr>
      </w:pPr>
      <w:bookmarkStart w:id="40" w:name="_Toc220593729"/>
      <w:r>
        <w:rPr>
          <w:rFonts w:hint="eastAsia" w:ascii="黑体" w:hAnsi="黑体" w:eastAsia="黑体"/>
          <w:bCs w:val="0"/>
          <w:sz w:val="30"/>
          <w:szCs w:val="22"/>
          <w:lang w:val="zh-CN"/>
        </w:rPr>
        <w:t>附录</w:t>
      </w:r>
      <w:r>
        <w:rPr>
          <w:rFonts w:ascii="黑体" w:hAnsi="黑体" w:eastAsia="黑体"/>
          <w:bCs w:val="0"/>
          <w:sz w:val="30"/>
          <w:szCs w:val="22"/>
          <w:lang w:val="zh-CN"/>
        </w:rPr>
        <w:t>E</w:t>
      </w:r>
      <w:r>
        <w:rPr>
          <w:rFonts w:hint="eastAsia" w:ascii="黑体" w:hAnsi="黑体" w:eastAsia="黑体"/>
          <w:bCs w:val="0"/>
          <w:sz w:val="30"/>
          <w:szCs w:val="22"/>
          <w:lang w:val="zh-CN"/>
        </w:rPr>
        <w:t xml:space="preserve"> 生态评估报告编写格式</w:t>
      </w:r>
      <w:bookmarkEnd w:id="40"/>
    </w:p>
    <w:p w14:paraId="257A00D1">
      <w:pPr>
        <w:snapToGrid w:val="0"/>
        <w:ind w:firstLine="560" w:firstLineChars="20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社区生态评估报告由封面、报告目录、正文、参考文献、附录等组成。</w:t>
      </w:r>
    </w:p>
    <w:p w14:paraId="1C557D01">
      <w:pPr>
        <w:snapToGrid w:val="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1</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封面</w:t>
      </w:r>
    </w:p>
    <w:p w14:paraId="01D8AFA3">
      <w:pPr>
        <w:snapToGrid w:val="0"/>
        <w:ind w:firstLine="560" w:firstLineChars="20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包括报告标题、编写单位及编写时间等。</w:t>
      </w:r>
    </w:p>
    <w:p w14:paraId="20C63547">
      <w:pPr>
        <w:snapToGrid w:val="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2</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报告目录</w:t>
      </w:r>
    </w:p>
    <w:p w14:paraId="776AC277">
      <w:pPr>
        <w:snapToGrid w:val="0"/>
        <w:ind w:firstLine="560" w:firstLineChars="20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一般列出二到三级目录。</w:t>
      </w:r>
    </w:p>
    <w:p w14:paraId="55B33BCD">
      <w:pPr>
        <w:snapToGrid w:val="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3</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正文</w:t>
      </w:r>
    </w:p>
    <w:p w14:paraId="580A08F4">
      <w:pPr>
        <w:snapToGrid w:val="0"/>
        <w:ind w:firstLine="560" w:firstLineChars="20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包括：</w:t>
      </w:r>
    </w:p>
    <w:p w14:paraId="14065E8C">
      <w:pPr>
        <w:snapToGrid w:val="0"/>
        <w:ind w:firstLine="560" w:firstLineChars="20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（1）前言；</w:t>
      </w:r>
    </w:p>
    <w:p w14:paraId="5365D588">
      <w:pPr>
        <w:snapToGrid w:val="0"/>
        <w:ind w:firstLine="560" w:firstLineChars="20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（2）被评估社区概况；</w:t>
      </w:r>
    </w:p>
    <w:p w14:paraId="04BDB6D9">
      <w:pPr>
        <w:snapToGrid w:val="0"/>
        <w:ind w:firstLine="560" w:firstLineChars="20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（3）监测评估数据获取方法；</w:t>
      </w:r>
    </w:p>
    <w:p w14:paraId="2C8008DF">
      <w:pPr>
        <w:snapToGrid w:val="0"/>
        <w:ind w:firstLine="560" w:firstLineChars="20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（4）生态评估指标空间分布特点，社区生态风险；</w:t>
      </w:r>
    </w:p>
    <w:p w14:paraId="5EB2B8D0">
      <w:pPr>
        <w:snapToGrid w:val="0"/>
        <w:ind w:firstLine="560" w:firstLineChars="20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（5）评估结论；</w:t>
      </w:r>
    </w:p>
    <w:p w14:paraId="0968DF21">
      <w:pPr>
        <w:snapToGrid w:val="0"/>
        <w:ind w:firstLine="560" w:firstLineChars="20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（6）生态更新改造建议。</w:t>
      </w:r>
    </w:p>
    <w:p w14:paraId="1744A71E">
      <w:pPr>
        <w:snapToGrid w:val="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4</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参考文献</w:t>
      </w:r>
    </w:p>
    <w:p w14:paraId="43357965">
      <w:pPr>
        <w:snapToGrid w:val="0"/>
        <w:ind w:firstLine="560" w:firstLineChars="20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按照《文后参考文献著录规则》（G</w:t>
      </w:r>
      <w:r>
        <w:rPr>
          <w:rFonts w:ascii="宋体" w:hAnsi="宋体"/>
          <w:color w:val="000000" w:themeColor="text1"/>
          <w:sz w:val="28"/>
          <w:szCs w:val="28"/>
          <w14:textFill>
            <w14:solidFill>
              <w14:schemeClr w14:val="tx1"/>
            </w14:solidFill>
          </w14:textFill>
        </w:rPr>
        <w:t>B/T 7714-2005</w:t>
      </w:r>
      <w:r>
        <w:rPr>
          <w:rFonts w:hint="eastAsia" w:ascii="宋体" w:hAnsi="宋体"/>
          <w:color w:val="000000" w:themeColor="text1"/>
          <w:sz w:val="28"/>
          <w:szCs w:val="28"/>
          <w14:textFill>
            <w14:solidFill>
              <w14:schemeClr w14:val="tx1"/>
            </w14:solidFill>
          </w14:textFill>
        </w:rPr>
        <w:t>）的标准执行。</w:t>
      </w:r>
    </w:p>
    <w:p w14:paraId="4EA29F3D">
      <w:pPr>
        <w:jc w:val="center"/>
        <w:rPr>
          <w:b/>
          <w:sz w:val="28"/>
        </w:rPr>
      </w:pPr>
    </w:p>
    <w:p w14:paraId="4FC3BD8D">
      <w:pPr>
        <w:jc w:val="center"/>
        <w:rPr>
          <w:b/>
          <w:sz w:val="28"/>
        </w:rPr>
      </w:pPr>
    </w:p>
    <w:p w14:paraId="234BB49F">
      <w:pPr>
        <w:jc w:val="center"/>
        <w:rPr>
          <w:b/>
          <w:sz w:val="28"/>
        </w:rPr>
      </w:pPr>
    </w:p>
    <w:p w14:paraId="2A5D0EE8">
      <w:pPr>
        <w:jc w:val="center"/>
        <w:rPr>
          <w:b/>
          <w:sz w:val="28"/>
        </w:rPr>
      </w:pPr>
    </w:p>
    <w:p w14:paraId="1C3F7A05">
      <w:pPr>
        <w:jc w:val="center"/>
        <w:rPr>
          <w:b/>
          <w:sz w:val="28"/>
        </w:rPr>
      </w:pPr>
    </w:p>
    <w:p w14:paraId="7E2F48D7">
      <w:pPr>
        <w:jc w:val="center"/>
        <w:rPr>
          <w:b/>
          <w:sz w:val="28"/>
        </w:rPr>
      </w:pPr>
    </w:p>
    <w:p w14:paraId="60AB1013">
      <w:pPr>
        <w:jc w:val="center"/>
        <w:rPr>
          <w:b/>
          <w:sz w:val="28"/>
        </w:rPr>
      </w:pPr>
    </w:p>
    <w:p w14:paraId="653A86C3">
      <w:pPr>
        <w:jc w:val="center"/>
        <w:rPr>
          <w:b/>
          <w:sz w:val="28"/>
        </w:rPr>
      </w:pPr>
    </w:p>
    <w:p w14:paraId="47E2CA40">
      <w:pPr>
        <w:pageBreakBefore/>
        <w:jc w:val="center"/>
        <w:rPr>
          <w:b/>
          <w:sz w:val="28"/>
        </w:rPr>
      </w:pPr>
      <w:r>
        <w:rPr>
          <w:rFonts w:hint="eastAsia"/>
          <w:b/>
          <w:sz w:val="28"/>
        </w:rPr>
        <w:t>引用标准名录</w:t>
      </w:r>
    </w:p>
    <w:p w14:paraId="7E03B5C7">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本标准引用下列标准。其中，注日期的，仅对该日期对应的版本适用于本导则；不注日期的，其最新版适用于本导则。</w:t>
      </w:r>
    </w:p>
    <w:p w14:paraId="4FADFEC5">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《城市居住区规划设计标准》</w:t>
      </w:r>
      <w:r>
        <w:rPr>
          <w:rFonts w:ascii="宋体" w:hAnsi="宋体" w:cs="宋体"/>
          <w:kern w:val="0"/>
          <w:sz w:val="24"/>
        </w:rPr>
        <w:t>GB50180-2018</w:t>
      </w:r>
    </w:p>
    <w:p w14:paraId="337F5F0A">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《生态社区评价指南》GB/T 40240-2021</w:t>
      </w:r>
    </w:p>
    <w:p w14:paraId="5FFB09DB">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《城市园林绿化评价标准》</w:t>
      </w:r>
      <w:r>
        <w:rPr>
          <w:rFonts w:ascii="宋体" w:hAnsi="宋体" w:cs="宋体"/>
          <w:kern w:val="0"/>
          <w:sz w:val="24"/>
        </w:rPr>
        <w:t>GB/T 50563-2010</w:t>
      </w:r>
    </w:p>
    <w:p w14:paraId="2E793A8F">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《声环境质量标准》GB 3096-2008</w:t>
      </w:r>
    </w:p>
    <w:p w14:paraId="7BC83ED0">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《生活垃圾分类标志》GB/T 19095-2019</w:t>
      </w:r>
    </w:p>
    <w:p w14:paraId="7EC6A057">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《无障碍设计规范》GB 50763-2012</w:t>
      </w:r>
    </w:p>
    <w:p w14:paraId="17C4AA08">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《建筑与小区雨水控制及利用工程技术规范》</w:t>
      </w:r>
      <w:r>
        <w:rPr>
          <w:rFonts w:ascii="宋体" w:hAnsi="宋体" w:cs="宋体"/>
          <w:kern w:val="0"/>
          <w:sz w:val="24"/>
        </w:rPr>
        <w:t>GB 50400-2016</w:t>
      </w:r>
    </w:p>
    <w:p w14:paraId="45DF225B">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《居住绿地设计标准》</w:t>
      </w:r>
      <w:r>
        <w:rPr>
          <w:rFonts w:ascii="宋体" w:hAnsi="宋体" w:cs="宋体"/>
          <w:kern w:val="0"/>
          <w:sz w:val="24"/>
        </w:rPr>
        <w:t>CJJ/T294-2019</w:t>
      </w:r>
    </w:p>
    <w:p w14:paraId="63C003A8">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《园林绿化养护标准》</w:t>
      </w:r>
      <w:r>
        <w:rPr>
          <w:rFonts w:ascii="宋体" w:hAnsi="宋体" w:cs="宋体"/>
          <w:kern w:val="0"/>
          <w:sz w:val="24"/>
        </w:rPr>
        <w:t>CJJ/T 287-2018</w:t>
      </w:r>
    </w:p>
    <w:p w14:paraId="73655BB2">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《气候可行性论证规范 城市通风廊道》</w:t>
      </w:r>
      <w:r>
        <w:rPr>
          <w:rFonts w:ascii="宋体" w:hAnsi="宋体" w:cs="宋体"/>
          <w:kern w:val="0"/>
          <w:sz w:val="24"/>
        </w:rPr>
        <w:t>QX/T 437-2018</w:t>
      </w:r>
    </w:p>
    <w:p w14:paraId="3C1CF5AD">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《健康社区评价标准》T/CECS 650-2020</w:t>
      </w:r>
    </w:p>
    <w:p w14:paraId="7197EDBF">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《中国绿色低碳住区技术评估手册》</w:t>
      </w:r>
    </w:p>
    <w:p w14:paraId="3D39D6C4">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《社区生活圈规划技术指南》</w:t>
      </w:r>
    </w:p>
    <w:p w14:paraId="649C5866">
      <w:pPr>
        <w:jc w:val="center"/>
        <w:rPr>
          <w:b/>
          <w:sz w:val="28"/>
        </w:rPr>
      </w:pPr>
    </w:p>
    <w:p w14:paraId="51BCDDBC">
      <w:pPr>
        <w:jc w:val="center"/>
        <w:rPr>
          <w:b/>
          <w:sz w:val="28"/>
        </w:rPr>
      </w:pPr>
      <w:r>
        <w:rPr>
          <w:b/>
          <w:sz w:val="28"/>
        </w:rPr>
        <w:br w:type="page"/>
      </w:r>
    </w:p>
    <w:p w14:paraId="0EB0F86E">
      <w:pPr>
        <w:spacing w:before="1560" w:beforeLines="500"/>
        <w:jc w:val="center"/>
        <w:rPr>
          <w:rFonts w:ascii="黑体" w:hAnsi="黑体" w:eastAsia="黑体"/>
          <w:sz w:val="36"/>
          <w:szCs w:val="36"/>
        </w:rPr>
      </w:pPr>
    </w:p>
    <w:p w14:paraId="4F119746">
      <w:pPr>
        <w:spacing w:before="1560" w:beforeLines="500"/>
        <w:jc w:val="center"/>
        <w:rPr>
          <w:rFonts w:ascii="黑体" w:hAnsi="黑体" w:eastAsia="黑体"/>
          <w:sz w:val="36"/>
          <w:szCs w:val="36"/>
        </w:rPr>
      </w:pPr>
      <w:r>
        <w:rPr>
          <w:rFonts w:hint="eastAsia" w:ascii="黑体" w:hAnsi="黑体" w:eastAsia="黑体"/>
          <w:sz w:val="36"/>
          <w:szCs w:val="36"/>
        </w:rPr>
        <w:t>中国工程建设标准化协会标准</w:t>
      </w:r>
    </w:p>
    <w:p w14:paraId="70E52CB9">
      <w:pPr>
        <w:jc w:val="center"/>
        <w:rPr>
          <w:b/>
          <w:sz w:val="28"/>
        </w:rPr>
      </w:pPr>
      <w:r>
        <w:rPr>
          <w:rFonts w:hint="eastAsia"/>
          <w:b/>
          <w:sz w:val="28"/>
        </w:rPr>
        <w:t>城市社区生态评估标准</w:t>
      </w:r>
    </w:p>
    <w:p w14:paraId="22F19C4F">
      <w:pPr>
        <w:jc w:val="center"/>
        <w:rPr>
          <w:b/>
          <w:sz w:val="22"/>
        </w:rPr>
      </w:pPr>
      <w:r>
        <w:rPr>
          <w:b/>
          <w:sz w:val="28"/>
          <w:u w:val="single"/>
        </w:rPr>
        <w:t>T/CECS XXXX-202X</w:t>
      </w:r>
    </w:p>
    <w:p w14:paraId="2A065A24">
      <w:pPr>
        <w:jc w:val="center"/>
        <w:rPr>
          <w:sz w:val="28"/>
        </w:rPr>
      </w:pPr>
      <w:r>
        <w:rPr>
          <w:rFonts w:hint="eastAsia"/>
          <w:sz w:val="28"/>
        </w:rPr>
        <w:t>条文说明</w:t>
      </w:r>
    </w:p>
    <w:p w14:paraId="61B7436D">
      <w:pPr>
        <w:snapToGrid w:val="0"/>
        <w:ind w:firstLine="480" w:firstLineChars="200"/>
        <w:rPr>
          <w:sz w:val="24"/>
        </w:rPr>
      </w:pPr>
    </w:p>
    <w:p w14:paraId="223D4771">
      <w:pPr>
        <w:snapToGrid w:val="0"/>
        <w:ind w:firstLine="480" w:firstLineChars="200"/>
        <w:rPr>
          <w:sz w:val="24"/>
        </w:rPr>
      </w:pPr>
      <w:r>
        <w:rPr>
          <w:sz w:val="24"/>
        </w:rPr>
        <w:br w:type="page"/>
      </w:r>
    </w:p>
    <w:sdt>
      <w:sdtPr>
        <w:rPr>
          <w:rFonts w:ascii="Times New Roman" w:hAnsi="Times New Roman" w:eastAsia="宋体" w:cs="Times New Roman"/>
          <w:color w:val="auto"/>
          <w:kern w:val="2"/>
          <w:sz w:val="21"/>
          <w:szCs w:val="24"/>
          <w:lang w:val="zh-CN"/>
        </w:rPr>
        <w:id w:val="2039696194"/>
        <w:docPartObj>
          <w:docPartGallery w:val="Table of Contents"/>
          <w:docPartUnique/>
        </w:docPartObj>
      </w:sdtPr>
      <w:sdtEndPr>
        <w:rPr>
          <w:rFonts w:ascii="Times New Roman" w:hAnsi="Times New Roman" w:eastAsia="宋体" w:cs="Times New Roman"/>
          <w:b/>
          <w:bCs/>
          <w:color w:val="auto"/>
          <w:kern w:val="2"/>
          <w:sz w:val="21"/>
          <w:szCs w:val="24"/>
          <w:lang w:val="zh-CN"/>
        </w:rPr>
      </w:sdtEndPr>
      <w:sdtContent>
        <w:p w14:paraId="02BBF18F">
          <w:pPr>
            <w:pStyle w:val="30"/>
            <w:spacing w:line="360" w:lineRule="auto"/>
            <w:jc w:val="center"/>
            <w:rPr>
              <w:rFonts w:ascii="宋体" w:hAnsi="宋体" w:eastAsia="宋体"/>
              <w:b/>
              <w:color w:val="0D0D0D" w:themeColor="text1" w:themeTint="F2"/>
              <w:szCs w:val="21"/>
              <w14:textFill>
                <w14:solidFill>
                  <w14:schemeClr w14:val="tx1">
                    <w14:lumMod w14:val="95000"/>
                    <w14:lumOff w14:val="5000"/>
                  </w14:schemeClr>
                </w14:solidFill>
              </w14:textFill>
            </w:rPr>
          </w:pPr>
          <w:r>
            <w:rPr>
              <w:rFonts w:hint="eastAsia" w:ascii="宋体" w:hAnsi="宋体" w:eastAsia="宋体"/>
              <w:b/>
              <w:color w:val="0D0D0D" w:themeColor="text1" w:themeTint="F2"/>
              <w:szCs w:val="21"/>
              <w:lang w:val="zh-CN"/>
              <w14:textFill>
                <w14:solidFill>
                  <w14:schemeClr w14:val="tx1">
                    <w14:lumMod w14:val="95000"/>
                    <w14:lumOff w14:val="5000"/>
                  </w14:schemeClr>
                </w14:solidFill>
              </w14:textFill>
            </w:rPr>
            <w:t xml:space="preserve">目 </w:t>
          </w:r>
          <w:r>
            <w:rPr>
              <w:rFonts w:ascii="宋体" w:hAnsi="宋体" w:eastAsia="宋体"/>
              <w:b/>
              <w:color w:val="0D0D0D" w:themeColor="text1" w:themeTint="F2"/>
              <w:szCs w:val="21"/>
              <w:lang w:val="zh-CN"/>
              <w14:textFill>
                <w14:solidFill>
                  <w14:schemeClr w14:val="tx1">
                    <w14:lumMod w14:val="95000"/>
                    <w14:lumOff w14:val="5000"/>
                  </w14:schemeClr>
                </w14:solidFill>
              </w14:textFill>
            </w:rPr>
            <w:t xml:space="preserve"> </w:t>
          </w:r>
          <w:r>
            <w:rPr>
              <w:rFonts w:hint="eastAsia" w:ascii="宋体" w:hAnsi="宋体" w:eastAsia="宋体"/>
              <w:b/>
              <w:color w:val="0D0D0D" w:themeColor="text1" w:themeTint="F2"/>
              <w:szCs w:val="21"/>
              <w:lang w:val="zh-CN"/>
              <w14:textFill>
                <w14:solidFill>
                  <w14:schemeClr w14:val="tx1">
                    <w14:lumMod w14:val="95000"/>
                    <w14:lumOff w14:val="5000"/>
                  </w14:schemeClr>
                </w14:solidFill>
              </w14:textFill>
            </w:rPr>
            <w:t>次</w:t>
          </w:r>
          <w:r>
            <w:rPr>
              <w:rFonts w:ascii="宋体" w:hAnsi="宋体" w:eastAsia="宋体"/>
              <w:color w:val="0D0D0D" w:themeColor="text1" w:themeTint="F2"/>
              <w:sz w:val="21"/>
              <w:szCs w:val="21"/>
              <w14:textFill>
                <w14:solidFill>
                  <w14:schemeClr w14:val="tx1">
                    <w14:lumMod w14:val="95000"/>
                    <w14:lumOff w14:val="5000"/>
                  </w14:schemeClr>
                </w14:solidFill>
              </w14:textFill>
            </w:rPr>
            <w:fldChar w:fldCharType="begin"/>
          </w:r>
          <w:r>
            <w:rPr>
              <w:rFonts w:ascii="宋体" w:hAnsi="宋体" w:eastAsia="宋体"/>
              <w:color w:val="0D0D0D" w:themeColor="text1" w:themeTint="F2"/>
              <w:sz w:val="21"/>
              <w:szCs w:val="21"/>
              <w14:textFill>
                <w14:solidFill>
                  <w14:schemeClr w14:val="tx1">
                    <w14:lumMod w14:val="95000"/>
                    <w14:lumOff w14:val="5000"/>
                  </w14:schemeClr>
                </w14:solidFill>
              </w14:textFill>
            </w:rPr>
            <w:instrText xml:space="preserve"> TOC \o "1-2" \h \z \u </w:instrText>
          </w:r>
          <w:r>
            <w:rPr>
              <w:rFonts w:ascii="宋体" w:hAnsi="宋体" w:eastAsia="宋体"/>
              <w:color w:val="0D0D0D" w:themeColor="text1" w:themeTint="F2"/>
              <w:sz w:val="21"/>
              <w:szCs w:val="21"/>
              <w14:textFill>
                <w14:solidFill>
                  <w14:schemeClr w14:val="tx1">
                    <w14:lumMod w14:val="95000"/>
                    <w14:lumOff w14:val="5000"/>
                  </w14:schemeClr>
                </w14:solidFill>
              </w14:textFill>
            </w:rPr>
            <w:fldChar w:fldCharType="separate"/>
          </w:r>
        </w:p>
        <w:p w14:paraId="7F2EAF19">
          <w:pPr>
            <w:pStyle w:val="11"/>
            <w:rPr>
              <w:rFonts w:ascii="宋体" w:hAnsi="宋体" w:cstheme="minorBidi"/>
              <w:color w:val="0D0D0D" w:themeColor="text1" w:themeTint="F2"/>
              <w:szCs w:val="21"/>
              <w14:textFill>
                <w14:solidFill>
                  <w14:schemeClr w14:val="tx1">
                    <w14:lumMod w14:val="95000"/>
                    <w14:lumOff w14:val="5000"/>
                  </w14:schemeClr>
                </w14:solidFill>
              </w14:textFill>
            </w:rPr>
          </w:pPr>
          <w:r>
            <w:fldChar w:fldCharType="begin"/>
          </w:r>
          <w:r>
            <w:instrText xml:space="preserve"> HYPERLINK \l "_Toc220593712" </w:instrText>
          </w:r>
          <w:r>
            <w:fldChar w:fldCharType="separate"/>
          </w:r>
          <w:r>
            <w:rPr>
              <w:rStyle w:val="18"/>
              <w:rFonts w:ascii="宋体" w:hAnsi="宋体"/>
              <w:color w:val="0D0D0D" w:themeColor="text1" w:themeTint="F2"/>
              <w:szCs w:val="21"/>
              <w14:textFill>
                <w14:solidFill>
                  <w14:schemeClr w14:val="tx1">
                    <w14:lumMod w14:val="95000"/>
                    <w14:lumOff w14:val="5000"/>
                  </w14:schemeClr>
                </w14:solidFill>
              </w14:textFill>
              <w14:ligatures w14:val="standardContextual"/>
            </w:rPr>
            <w:t>1 总则</w:t>
          </w:r>
          <w:r>
            <w:rPr>
              <w:rFonts w:ascii="宋体" w:hAnsi="宋体"/>
              <w:color w:val="0D0D0D" w:themeColor="text1" w:themeTint="F2"/>
              <w:szCs w:val="21"/>
              <w14:textFill>
                <w14:solidFill>
                  <w14:schemeClr w14:val="tx1">
                    <w14:lumMod w14:val="95000"/>
                    <w14:lumOff w14:val="5000"/>
                  </w14:schemeClr>
                </w14:solidFill>
              </w14:textFill>
            </w:rPr>
            <w:tab/>
          </w:r>
          <w:r>
            <w:rPr>
              <w:rFonts w:ascii="宋体" w:hAnsi="宋体"/>
              <w:color w:val="0D0D0D" w:themeColor="text1" w:themeTint="F2"/>
              <w:szCs w:val="21"/>
              <w14:textFill>
                <w14:solidFill>
                  <w14:schemeClr w14:val="tx1">
                    <w14:lumMod w14:val="95000"/>
                    <w14:lumOff w14:val="5000"/>
                  </w14:schemeClr>
                </w14:solidFill>
              </w14:textFill>
            </w:rPr>
            <w:t>2</w:t>
          </w:r>
          <w:r>
            <w:rPr>
              <w:rFonts w:hint="eastAsia" w:ascii="宋体" w:hAnsi="宋体"/>
              <w:color w:val="0D0D0D" w:themeColor="text1" w:themeTint="F2"/>
              <w:szCs w:val="21"/>
              <w:lang w:val="en-US" w:eastAsia="zh-CN"/>
              <w14:textFill>
                <w14:solidFill>
                  <w14:schemeClr w14:val="tx1">
                    <w14:lumMod w14:val="95000"/>
                    <w14:lumOff w14:val="5000"/>
                  </w14:schemeClr>
                </w14:solidFill>
              </w14:textFill>
            </w:rPr>
            <w:t>4</w:t>
          </w:r>
          <w:r>
            <w:rPr>
              <w:rFonts w:ascii="宋体" w:hAnsi="宋体"/>
              <w:color w:val="0D0D0D" w:themeColor="text1" w:themeTint="F2"/>
              <w:szCs w:val="21"/>
              <w14:textFill>
                <w14:solidFill>
                  <w14:schemeClr w14:val="tx1">
                    <w14:lumMod w14:val="95000"/>
                    <w14:lumOff w14:val="5000"/>
                  </w14:schemeClr>
                </w14:solidFill>
              </w14:textFill>
            </w:rPr>
            <w:fldChar w:fldCharType="end"/>
          </w:r>
        </w:p>
        <w:p w14:paraId="3D003C1C">
          <w:pPr>
            <w:pStyle w:val="11"/>
            <w:rPr>
              <w:rFonts w:cstheme="minorBidi"/>
            </w:rPr>
          </w:pPr>
          <w:r>
            <w:fldChar w:fldCharType="begin"/>
          </w:r>
          <w:r>
            <w:instrText xml:space="preserve"> HYPERLINK \l "_Toc220593713" </w:instrText>
          </w:r>
          <w:r>
            <w:fldChar w:fldCharType="separate"/>
          </w:r>
          <w:r>
            <w:rPr>
              <w:rStyle w:val="18"/>
              <w:rFonts w:ascii="宋体" w:hAnsi="宋体"/>
              <w:color w:val="0D0D0D" w:themeColor="text1" w:themeTint="F2"/>
              <w:szCs w:val="21"/>
              <w14:textFill>
                <w14:solidFill>
                  <w14:schemeClr w14:val="tx1">
                    <w14:lumMod w14:val="95000"/>
                    <w14:lumOff w14:val="5000"/>
                  </w14:schemeClr>
                </w14:solidFill>
              </w14:textFill>
              <w14:ligatures w14:val="standardContextual"/>
            </w:rPr>
            <w:t>2 术语</w:t>
          </w:r>
          <w:r>
            <w:tab/>
          </w:r>
          <w:r>
            <w:t>2</w:t>
          </w:r>
          <w:r>
            <w:rPr>
              <w:rFonts w:hint="eastAsia"/>
              <w:lang w:val="en-US" w:eastAsia="zh-CN"/>
            </w:rPr>
            <w:t>5</w:t>
          </w:r>
          <w:r>
            <w:fldChar w:fldCharType="end"/>
          </w:r>
        </w:p>
        <w:p w14:paraId="4D0EC979">
          <w:pPr>
            <w:pStyle w:val="11"/>
            <w:rPr>
              <w:rFonts w:ascii="宋体" w:hAnsi="宋体" w:cstheme="minorBidi"/>
              <w:color w:val="0D0D0D" w:themeColor="text1" w:themeTint="F2"/>
              <w:szCs w:val="21"/>
              <w14:textFill>
                <w14:solidFill>
                  <w14:schemeClr w14:val="tx1">
                    <w14:lumMod w14:val="95000"/>
                    <w14:lumOff w14:val="5000"/>
                  </w14:schemeClr>
                </w14:solidFill>
              </w14:textFill>
            </w:rPr>
          </w:pPr>
          <w:r>
            <w:fldChar w:fldCharType="begin"/>
          </w:r>
          <w:r>
            <w:instrText xml:space="preserve"> HYPERLINK \l "_Toc220593714" </w:instrText>
          </w:r>
          <w:r>
            <w:fldChar w:fldCharType="separate"/>
          </w:r>
          <w:r>
            <w:rPr>
              <w:rStyle w:val="18"/>
              <w:rFonts w:ascii="宋体" w:hAnsi="宋体"/>
              <w:color w:val="0D0D0D" w:themeColor="text1" w:themeTint="F2"/>
              <w:szCs w:val="21"/>
              <w:lang w:val="zh-CN"/>
              <w14:textFill>
                <w14:solidFill>
                  <w14:schemeClr w14:val="tx1">
                    <w14:lumMod w14:val="95000"/>
                    <w14:lumOff w14:val="5000"/>
                  </w14:schemeClr>
                </w14:solidFill>
              </w14:textFill>
            </w:rPr>
            <w:t>3 基本规定</w:t>
          </w:r>
          <w:r>
            <w:rPr>
              <w:rFonts w:ascii="宋体" w:hAnsi="宋体"/>
              <w:color w:val="0D0D0D" w:themeColor="text1" w:themeTint="F2"/>
              <w:szCs w:val="21"/>
              <w14:textFill>
                <w14:solidFill>
                  <w14:schemeClr w14:val="tx1">
                    <w14:lumMod w14:val="95000"/>
                    <w14:lumOff w14:val="5000"/>
                  </w14:schemeClr>
                </w14:solidFill>
              </w14:textFill>
            </w:rPr>
            <w:tab/>
          </w:r>
          <w:r>
            <w:rPr>
              <w:rFonts w:ascii="宋体" w:hAnsi="宋体"/>
              <w:color w:val="0D0D0D" w:themeColor="text1" w:themeTint="F2"/>
              <w:szCs w:val="21"/>
              <w14:textFill>
                <w14:solidFill>
                  <w14:schemeClr w14:val="tx1">
                    <w14:lumMod w14:val="95000"/>
                    <w14:lumOff w14:val="5000"/>
                  </w14:schemeClr>
                </w14:solidFill>
              </w14:textFill>
            </w:rPr>
            <w:t>2</w:t>
          </w:r>
          <w:r>
            <w:rPr>
              <w:rFonts w:hint="eastAsia" w:ascii="宋体" w:hAnsi="宋体"/>
              <w:color w:val="0D0D0D" w:themeColor="text1" w:themeTint="F2"/>
              <w:szCs w:val="21"/>
              <w:lang w:val="en-US" w:eastAsia="zh-CN"/>
              <w14:textFill>
                <w14:solidFill>
                  <w14:schemeClr w14:val="tx1">
                    <w14:lumMod w14:val="95000"/>
                    <w14:lumOff w14:val="5000"/>
                  </w14:schemeClr>
                </w14:solidFill>
              </w14:textFill>
            </w:rPr>
            <w:t>6</w:t>
          </w:r>
          <w:r>
            <w:rPr>
              <w:rFonts w:ascii="宋体" w:hAnsi="宋体"/>
              <w:color w:val="0D0D0D" w:themeColor="text1" w:themeTint="F2"/>
              <w:szCs w:val="21"/>
              <w14:textFill>
                <w14:solidFill>
                  <w14:schemeClr w14:val="tx1">
                    <w14:lumMod w14:val="95000"/>
                    <w14:lumOff w14:val="5000"/>
                  </w14:schemeClr>
                </w14:solidFill>
              </w14:textFill>
            </w:rPr>
            <w:fldChar w:fldCharType="end"/>
          </w:r>
        </w:p>
        <w:p w14:paraId="4B5415DA">
          <w:pPr>
            <w:pStyle w:val="11"/>
            <w:rPr>
              <w:rFonts w:ascii="宋体" w:hAnsi="宋体" w:cstheme="minorBidi"/>
              <w:color w:val="0D0D0D" w:themeColor="text1" w:themeTint="F2"/>
              <w:szCs w:val="21"/>
              <w14:textFill>
                <w14:solidFill>
                  <w14:schemeClr w14:val="tx1">
                    <w14:lumMod w14:val="95000"/>
                    <w14:lumOff w14:val="5000"/>
                  </w14:schemeClr>
                </w14:solidFill>
              </w14:textFill>
            </w:rPr>
          </w:pPr>
          <w:r>
            <w:fldChar w:fldCharType="begin"/>
          </w:r>
          <w:r>
            <w:instrText xml:space="preserve"> HYPERLINK \l "_Toc220593715" </w:instrText>
          </w:r>
          <w:r>
            <w:fldChar w:fldCharType="separate"/>
          </w:r>
          <w:r>
            <w:rPr>
              <w:rStyle w:val="18"/>
              <w:rFonts w:ascii="宋体" w:hAnsi="宋体"/>
              <w:color w:val="0D0D0D" w:themeColor="text1" w:themeTint="F2"/>
              <w:szCs w:val="21"/>
              <w:lang w:val="zh-CN"/>
              <w14:textFill>
                <w14:solidFill>
                  <w14:schemeClr w14:val="tx1">
                    <w14:lumMod w14:val="95000"/>
                    <w14:lumOff w14:val="5000"/>
                  </w14:schemeClr>
                </w14:solidFill>
              </w14:textFill>
            </w:rPr>
            <w:t>4 生态评估指标体系及计算方法</w:t>
          </w:r>
          <w:r>
            <w:rPr>
              <w:rFonts w:ascii="宋体" w:hAnsi="宋体"/>
              <w:color w:val="0D0D0D" w:themeColor="text1" w:themeTint="F2"/>
              <w:szCs w:val="21"/>
              <w14:textFill>
                <w14:solidFill>
                  <w14:schemeClr w14:val="tx1">
                    <w14:lumMod w14:val="95000"/>
                    <w14:lumOff w14:val="5000"/>
                  </w14:schemeClr>
                </w14:solidFill>
              </w14:textFill>
            </w:rPr>
            <w:tab/>
          </w:r>
          <w:r>
            <w:rPr>
              <w:rFonts w:ascii="宋体" w:hAnsi="宋体"/>
              <w:color w:val="0D0D0D" w:themeColor="text1" w:themeTint="F2"/>
              <w:szCs w:val="21"/>
              <w14:textFill>
                <w14:solidFill>
                  <w14:schemeClr w14:val="tx1">
                    <w14:lumMod w14:val="95000"/>
                    <w14:lumOff w14:val="5000"/>
                  </w14:schemeClr>
                </w14:solidFill>
              </w14:textFill>
            </w:rPr>
            <w:t>2</w:t>
          </w:r>
          <w:r>
            <w:rPr>
              <w:rFonts w:hint="eastAsia" w:ascii="宋体" w:hAnsi="宋体"/>
              <w:color w:val="0D0D0D" w:themeColor="text1" w:themeTint="F2"/>
              <w:szCs w:val="21"/>
              <w:lang w:val="en-US" w:eastAsia="zh-CN"/>
              <w14:textFill>
                <w14:solidFill>
                  <w14:schemeClr w14:val="tx1">
                    <w14:lumMod w14:val="95000"/>
                    <w14:lumOff w14:val="5000"/>
                  </w14:schemeClr>
                </w14:solidFill>
              </w14:textFill>
            </w:rPr>
            <w:t>7</w:t>
          </w:r>
          <w:r>
            <w:rPr>
              <w:rFonts w:ascii="宋体" w:hAnsi="宋体"/>
              <w:color w:val="0D0D0D" w:themeColor="text1" w:themeTint="F2"/>
              <w:szCs w:val="21"/>
              <w14:textFill>
                <w14:solidFill>
                  <w14:schemeClr w14:val="tx1">
                    <w14:lumMod w14:val="95000"/>
                    <w14:lumOff w14:val="5000"/>
                  </w14:schemeClr>
                </w14:solidFill>
              </w14:textFill>
            </w:rPr>
            <w:fldChar w:fldCharType="end"/>
          </w:r>
        </w:p>
        <w:p w14:paraId="4658A8B6">
          <w:pPr>
            <w:pStyle w:val="11"/>
            <w:rPr>
              <w:rFonts w:hint="eastAsia" w:ascii="宋体" w:hAnsi="宋体" w:eastAsia="宋体" w:cstheme="minorBidi"/>
              <w:color w:val="0D0D0D" w:themeColor="text1" w:themeTint="F2"/>
              <w:szCs w:val="21"/>
              <w:lang w:val="en-US" w:eastAsia="zh-CN"/>
              <w14:textFill>
                <w14:solidFill>
                  <w14:schemeClr w14:val="tx1">
                    <w14:lumMod w14:val="95000"/>
                    <w14:lumOff w14:val="5000"/>
                  </w14:schemeClr>
                </w14:solidFill>
              </w14:textFill>
            </w:rPr>
          </w:pPr>
          <w:r>
            <w:fldChar w:fldCharType="begin"/>
          </w:r>
          <w:r>
            <w:instrText xml:space="preserve"> HYPERLINK \l "_Toc220593718" </w:instrText>
          </w:r>
          <w:r>
            <w:fldChar w:fldCharType="separate"/>
          </w:r>
          <w:r>
            <w:rPr>
              <w:rStyle w:val="18"/>
              <w:rFonts w:ascii="宋体" w:hAnsi="宋体"/>
              <w:color w:val="0D0D0D" w:themeColor="text1" w:themeTint="F2"/>
              <w:szCs w:val="21"/>
              <w:lang w:val="zh-CN"/>
              <w14:textFill>
                <w14:solidFill>
                  <w14:schemeClr w14:val="tx1">
                    <w14:lumMod w14:val="95000"/>
                    <w14:lumOff w14:val="5000"/>
                  </w14:schemeClr>
                </w14:solidFill>
              </w14:textFill>
            </w:rPr>
            <w:t>5 评估方法与流程</w:t>
          </w:r>
          <w:r>
            <w:rPr>
              <w:rFonts w:ascii="宋体" w:hAnsi="宋体"/>
              <w:color w:val="0D0D0D" w:themeColor="text1" w:themeTint="F2"/>
              <w:szCs w:val="21"/>
              <w14:textFill>
                <w14:solidFill>
                  <w14:schemeClr w14:val="tx1">
                    <w14:lumMod w14:val="95000"/>
                    <w14:lumOff w14:val="5000"/>
                  </w14:schemeClr>
                </w14:solidFill>
              </w14:textFill>
            </w:rPr>
            <w:tab/>
          </w:r>
          <w:r>
            <w:rPr>
              <w:rFonts w:hint="eastAsia" w:ascii="宋体" w:hAnsi="宋体"/>
              <w:color w:val="0D0D0D" w:themeColor="text1" w:themeTint="F2"/>
              <w:szCs w:val="21"/>
              <w:lang w:val="en-US" w:eastAsia="zh-CN"/>
              <w14:textFill>
                <w14:solidFill>
                  <w14:schemeClr w14:val="tx1">
                    <w14:lumMod w14:val="95000"/>
                    <w14:lumOff w14:val="5000"/>
                  </w14:schemeClr>
                </w14:solidFill>
              </w14:textFill>
            </w:rPr>
            <w:t>3</w:t>
          </w:r>
          <w:r>
            <w:rPr>
              <w:rFonts w:ascii="宋体" w:hAnsi="宋体"/>
              <w:color w:val="0D0D0D" w:themeColor="text1" w:themeTint="F2"/>
              <w:szCs w:val="21"/>
              <w14:textFill>
                <w14:solidFill>
                  <w14:schemeClr w14:val="tx1">
                    <w14:lumMod w14:val="95000"/>
                    <w14:lumOff w14:val="5000"/>
                  </w14:schemeClr>
                </w14:solidFill>
              </w14:textFill>
            </w:rPr>
            <w:fldChar w:fldCharType="end"/>
          </w:r>
          <w:r>
            <w:rPr>
              <w:rFonts w:hint="eastAsia" w:ascii="宋体" w:hAnsi="宋体"/>
              <w:color w:val="0D0D0D" w:themeColor="text1" w:themeTint="F2"/>
              <w:szCs w:val="21"/>
              <w:lang w:val="en-US" w:eastAsia="zh-CN"/>
              <w14:textFill>
                <w14:solidFill>
                  <w14:schemeClr w14:val="tx1">
                    <w14:lumMod w14:val="95000"/>
                    <w14:lumOff w14:val="5000"/>
                  </w14:schemeClr>
                </w14:solidFill>
              </w14:textFill>
            </w:rPr>
            <w:t>8</w:t>
          </w:r>
        </w:p>
        <w:p w14:paraId="620867F9">
          <w:pPr>
            <w:pStyle w:val="11"/>
            <w:rPr>
              <w:rFonts w:hint="eastAsia" w:ascii="宋体" w:hAnsi="宋体" w:eastAsia="宋体" w:cstheme="minorBidi"/>
              <w:color w:val="0D0D0D" w:themeColor="text1" w:themeTint="F2"/>
              <w:szCs w:val="21"/>
              <w:lang w:val="en-US" w:eastAsia="zh-CN"/>
              <w14:textFill>
                <w14:solidFill>
                  <w14:schemeClr w14:val="tx1">
                    <w14:lumMod w14:val="95000"/>
                    <w14:lumOff w14:val="5000"/>
                  </w14:schemeClr>
                </w14:solidFill>
              </w14:textFill>
            </w:rPr>
          </w:pPr>
          <w:r>
            <w:fldChar w:fldCharType="begin"/>
          </w:r>
          <w:r>
            <w:instrText xml:space="preserve"> HYPERLINK \l "_Toc220593721" </w:instrText>
          </w:r>
          <w:r>
            <w:fldChar w:fldCharType="separate"/>
          </w:r>
          <w:r>
            <w:rPr>
              <w:rStyle w:val="18"/>
              <w:rFonts w:ascii="宋体" w:hAnsi="宋体"/>
              <w:color w:val="0D0D0D" w:themeColor="text1" w:themeTint="F2"/>
              <w:szCs w:val="21"/>
              <w:lang w:val="zh-CN"/>
              <w14:textFill>
                <w14:solidFill>
                  <w14:schemeClr w14:val="tx1">
                    <w14:lumMod w14:val="95000"/>
                    <w14:lumOff w14:val="5000"/>
                  </w14:schemeClr>
                </w14:solidFill>
              </w14:textFill>
            </w:rPr>
            <w:t>6 评价报告编写</w:t>
          </w:r>
          <w:r>
            <w:rPr>
              <w:rFonts w:ascii="宋体" w:hAnsi="宋体"/>
              <w:color w:val="0D0D0D" w:themeColor="text1" w:themeTint="F2"/>
              <w:szCs w:val="21"/>
              <w14:textFill>
                <w14:solidFill>
                  <w14:schemeClr w14:val="tx1">
                    <w14:lumMod w14:val="95000"/>
                    <w14:lumOff w14:val="5000"/>
                  </w14:schemeClr>
                </w14:solidFill>
              </w14:textFill>
            </w:rPr>
            <w:tab/>
          </w:r>
          <w:r>
            <w:rPr>
              <w:rFonts w:hint="eastAsia" w:ascii="宋体" w:hAnsi="宋体"/>
              <w:color w:val="0D0D0D" w:themeColor="text1" w:themeTint="F2"/>
              <w:szCs w:val="21"/>
              <w:lang w:val="en-US" w:eastAsia="zh-CN"/>
              <w14:textFill>
                <w14:solidFill>
                  <w14:schemeClr w14:val="tx1">
                    <w14:lumMod w14:val="95000"/>
                    <w14:lumOff w14:val="5000"/>
                  </w14:schemeClr>
                </w14:solidFill>
              </w14:textFill>
            </w:rPr>
            <w:t>3</w:t>
          </w:r>
          <w:r>
            <w:rPr>
              <w:rFonts w:ascii="宋体" w:hAnsi="宋体"/>
              <w:color w:val="0D0D0D" w:themeColor="text1" w:themeTint="F2"/>
              <w:szCs w:val="21"/>
              <w14:textFill>
                <w14:solidFill>
                  <w14:schemeClr w14:val="tx1">
                    <w14:lumMod w14:val="95000"/>
                    <w14:lumOff w14:val="5000"/>
                  </w14:schemeClr>
                </w14:solidFill>
              </w14:textFill>
            </w:rPr>
            <w:fldChar w:fldCharType="end"/>
          </w:r>
          <w:r>
            <w:rPr>
              <w:rFonts w:hint="eastAsia" w:ascii="宋体" w:hAnsi="宋体"/>
              <w:color w:val="0D0D0D" w:themeColor="text1" w:themeTint="F2"/>
              <w:szCs w:val="21"/>
              <w:lang w:val="en-US" w:eastAsia="zh-CN"/>
              <w14:textFill>
                <w14:solidFill>
                  <w14:schemeClr w14:val="tx1">
                    <w14:lumMod w14:val="95000"/>
                    <w14:lumOff w14:val="5000"/>
                  </w14:schemeClr>
                </w14:solidFill>
              </w14:textFill>
            </w:rPr>
            <w:t>9</w:t>
          </w:r>
        </w:p>
        <w:p w14:paraId="4E28B3A8">
          <w:pPr>
            <w:rPr>
              <w:b/>
              <w:bCs/>
              <w:lang w:val="zh-CN"/>
            </w:rPr>
          </w:pPr>
          <w:r>
            <w:rPr>
              <w:rFonts w:ascii="宋体" w:hAnsi="宋体"/>
              <w:color w:val="0D0D0D" w:themeColor="text1" w:themeTint="F2"/>
              <w:szCs w:val="21"/>
              <w14:textFill>
                <w14:solidFill>
                  <w14:schemeClr w14:val="tx1">
                    <w14:lumMod w14:val="95000"/>
                    <w14:lumOff w14:val="5000"/>
                  </w14:schemeClr>
                </w14:solidFill>
              </w14:textFill>
            </w:rPr>
            <w:fldChar w:fldCharType="end"/>
          </w:r>
        </w:p>
      </w:sdtContent>
    </w:sdt>
    <w:p w14:paraId="277BD9C0">
      <w:pPr>
        <w:snapToGrid w:val="0"/>
        <w:rPr>
          <w:sz w:val="24"/>
        </w:rPr>
      </w:pPr>
    </w:p>
    <w:p w14:paraId="48803F05">
      <w:pPr>
        <w:pageBreakBefore/>
        <w:spacing w:after="156" w:afterLines="50" w:line="520" w:lineRule="exact"/>
        <w:jc w:val="center"/>
        <w:outlineLvl w:val="0"/>
        <w:rPr>
          <w:rFonts w:ascii="黑体" w:hAnsi="黑体" w:eastAsia="黑体"/>
          <w:sz w:val="32"/>
          <w:szCs w:val="32"/>
          <w14:ligatures w14:val="standardContextual"/>
        </w:rPr>
      </w:pPr>
      <w:r>
        <w:rPr>
          <w:rFonts w:hint="eastAsia" w:ascii="黑体" w:hAnsi="黑体" w:eastAsia="黑体"/>
          <w:sz w:val="32"/>
          <w:szCs w:val="32"/>
          <w14:ligatures w14:val="standardContextual"/>
        </w:rPr>
        <w:t>1</w:t>
      </w:r>
      <w:r>
        <w:rPr>
          <w:rFonts w:ascii="黑体" w:hAnsi="黑体" w:eastAsia="黑体"/>
          <w:sz w:val="32"/>
          <w:szCs w:val="32"/>
          <w14:ligatures w14:val="standardContextual"/>
        </w:rPr>
        <w:t xml:space="preserve"> </w:t>
      </w:r>
      <w:r>
        <w:rPr>
          <w:rFonts w:hint="eastAsia" w:ascii="黑体" w:hAnsi="黑体" w:eastAsia="黑体"/>
          <w:sz w:val="32"/>
          <w:szCs w:val="32"/>
          <w14:ligatures w14:val="standardContextual"/>
        </w:rPr>
        <w:t>总则</w:t>
      </w:r>
    </w:p>
    <w:p w14:paraId="7AFE88CA">
      <w:pPr>
        <w:widowControl/>
        <w:spacing w:line="360" w:lineRule="auto"/>
        <w:jc w:val="left"/>
        <w:rPr>
          <w:rFonts w:ascii="宋体" w:hAnsi="宋体" w:cs="宋体"/>
          <w:kern w:val="0"/>
          <w:sz w:val="24"/>
        </w:rPr>
      </w:pPr>
      <w:r>
        <w:rPr>
          <w:rFonts w:hint="eastAsia" w:ascii="宋体" w:hAnsi="宋体" w:cs="宋体"/>
          <w:kern w:val="0"/>
          <w:sz w:val="24"/>
        </w:rPr>
        <w:t>1</w:t>
      </w:r>
      <w:r>
        <w:rPr>
          <w:rFonts w:ascii="宋体" w:hAnsi="宋体" w:cs="宋体"/>
          <w:kern w:val="0"/>
          <w:sz w:val="24"/>
        </w:rPr>
        <w:t xml:space="preserve">.0.1 </w:t>
      </w:r>
      <w:r>
        <w:rPr>
          <w:rFonts w:hint="eastAsia" w:ascii="宋体" w:hAnsi="宋体" w:cs="宋体"/>
          <w:kern w:val="0"/>
          <w:sz w:val="24"/>
        </w:rPr>
        <w:t>本标准可作为社区生态功能评估工作开展的技术支撑。</w:t>
      </w:r>
    </w:p>
    <w:p w14:paraId="11E21F0A">
      <w:pPr>
        <w:widowControl/>
        <w:spacing w:line="360" w:lineRule="auto"/>
        <w:jc w:val="left"/>
        <w:rPr>
          <w:rFonts w:ascii="宋体" w:hAnsi="宋体" w:cs="宋体"/>
          <w:kern w:val="0"/>
          <w:sz w:val="24"/>
        </w:rPr>
      </w:pPr>
      <w:r>
        <w:rPr>
          <w:rFonts w:hint="eastAsia" w:ascii="宋体" w:hAnsi="宋体" w:cs="宋体"/>
          <w:kern w:val="0"/>
          <w:sz w:val="24"/>
        </w:rPr>
        <w:t>1</w:t>
      </w:r>
      <w:r>
        <w:rPr>
          <w:rFonts w:ascii="宋体" w:hAnsi="宋体" w:cs="宋体"/>
          <w:kern w:val="0"/>
          <w:sz w:val="24"/>
        </w:rPr>
        <w:t xml:space="preserve">.0.2 </w:t>
      </w:r>
      <w:r>
        <w:rPr>
          <w:rFonts w:hint="eastAsia" w:ascii="宋体" w:hAnsi="宋体" w:cs="宋体"/>
          <w:kern w:val="0"/>
          <w:sz w:val="24"/>
        </w:rPr>
        <w:t>本条通过借鉴国内外城市社区生态评估相关经验，衔接城乡生态建设、社区治理等相关国家标准及行业规范，明确本标准的适用边界和核心适用对象，提炼各类城市社区生态评估的共性要求和差异化适配要点，为各类城市社区规范开展生态评估工作提供统一指引。</w:t>
      </w:r>
    </w:p>
    <w:p w14:paraId="4A9C0AD9">
      <w:pPr>
        <w:widowControl/>
        <w:spacing w:line="360" w:lineRule="auto"/>
        <w:jc w:val="left"/>
        <w:rPr>
          <w:rFonts w:ascii="宋体" w:hAnsi="宋体" w:cs="宋体"/>
          <w:kern w:val="0"/>
          <w:sz w:val="24"/>
        </w:rPr>
      </w:pPr>
      <w:r>
        <w:rPr>
          <w:rFonts w:hint="eastAsia" w:ascii="宋体" w:hAnsi="宋体" w:cs="宋体"/>
          <w:kern w:val="0"/>
          <w:sz w:val="24"/>
        </w:rPr>
        <w:t>1</w:t>
      </w:r>
      <w:r>
        <w:rPr>
          <w:rFonts w:ascii="宋体" w:hAnsi="宋体" w:cs="宋体"/>
          <w:kern w:val="0"/>
          <w:sz w:val="24"/>
        </w:rPr>
        <w:t xml:space="preserve">.0.3 </w:t>
      </w:r>
      <w:r>
        <w:rPr>
          <w:rFonts w:hint="eastAsia" w:ascii="宋体" w:hAnsi="宋体" w:cs="宋体"/>
          <w:kern w:val="0"/>
          <w:sz w:val="24"/>
        </w:rPr>
        <w:t>标准强调生态评估的地域适应性与科学性。我国幅员辽阔，不同气候区、不同地理条件下的社区，其生态环境本底、资源禀赋和主要生态问题存在显著差异。因此，评估不能采用统一的绝对指标，而应基于所在地域的自然条件，判断社区建设与自然环境的协调程度。同时，标准强调评估旨在保证评估的客观性与准确性。社区生态状况是动态的、具体的，不能仅依赖于图纸或统计数据。通过实地勘察、现场监测以及必要的问卷访谈，才能获取真实、全面的第一手资料，从而对社区的生态环境质量、生态服务功能及居民生态满意度做出客观、公正的综合评价。这一原则是确保评估结果科学、可信，并能真正指导社区生态化改造与提升的根本前提。</w:t>
      </w:r>
    </w:p>
    <w:p w14:paraId="018F9CB9">
      <w:pPr>
        <w:widowControl/>
        <w:spacing w:line="360" w:lineRule="auto"/>
        <w:jc w:val="left"/>
        <w:rPr>
          <w:rFonts w:ascii="宋体" w:hAnsi="宋体" w:cs="宋体"/>
          <w:kern w:val="0"/>
          <w:sz w:val="24"/>
        </w:rPr>
      </w:pPr>
      <w:r>
        <w:rPr>
          <w:rFonts w:ascii="宋体" w:hAnsi="宋体" w:cs="宋体"/>
          <w:kern w:val="0"/>
          <w:sz w:val="24"/>
        </w:rPr>
        <w:t xml:space="preserve">1.0.4 </w:t>
      </w:r>
      <w:r>
        <w:rPr>
          <w:rFonts w:hint="eastAsia" w:ascii="宋体" w:hAnsi="宋体" w:cs="宋体"/>
          <w:kern w:val="0"/>
          <w:sz w:val="24"/>
        </w:rPr>
        <w:t>本标准对城市社区的生态指标和评估方法做出了规定，但城市社区生态涉及的专业较多，相关专业均制定了相应的标准，因此，城市社区生态评估除应符合本标准外，尚应符合国家现行有关标准的规定。</w:t>
      </w:r>
    </w:p>
    <w:p w14:paraId="4907F5A2">
      <w:pPr>
        <w:pageBreakBefore/>
        <w:spacing w:after="156" w:afterLines="50" w:line="520" w:lineRule="exact"/>
        <w:jc w:val="center"/>
        <w:outlineLvl w:val="0"/>
        <w:rPr>
          <w:rFonts w:ascii="黑体" w:hAnsi="黑体" w:eastAsia="黑体"/>
          <w:sz w:val="32"/>
          <w:szCs w:val="32"/>
          <w14:ligatures w14:val="standardContextual"/>
        </w:rPr>
      </w:pPr>
      <w:r>
        <w:rPr>
          <w:rFonts w:hint="eastAsia" w:ascii="黑体" w:hAnsi="黑体" w:eastAsia="黑体"/>
          <w:sz w:val="32"/>
          <w:szCs w:val="32"/>
          <w14:ligatures w14:val="standardContextual"/>
        </w:rPr>
        <w:t>2</w:t>
      </w:r>
      <w:r>
        <w:rPr>
          <w:rFonts w:ascii="黑体" w:hAnsi="黑体" w:eastAsia="黑体"/>
          <w:sz w:val="32"/>
          <w:szCs w:val="32"/>
          <w14:ligatures w14:val="standardContextual"/>
        </w:rPr>
        <w:t xml:space="preserve"> </w:t>
      </w:r>
      <w:r>
        <w:rPr>
          <w:rFonts w:hint="eastAsia" w:ascii="黑体" w:hAnsi="黑体" w:eastAsia="黑体"/>
          <w:sz w:val="32"/>
          <w:szCs w:val="32"/>
          <w14:ligatures w14:val="standardContextual"/>
        </w:rPr>
        <w:t>术语</w:t>
      </w:r>
    </w:p>
    <w:p w14:paraId="1F60F51F">
      <w:pPr>
        <w:widowControl/>
        <w:spacing w:line="360" w:lineRule="auto"/>
        <w:rPr>
          <w:rFonts w:ascii="宋体" w:hAnsi="宋体" w:cs="宋体"/>
          <w:kern w:val="0"/>
          <w:sz w:val="24"/>
        </w:rPr>
      </w:pPr>
      <w:r>
        <w:rPr>
          <w:rFonts w:ascii="宋体" w:hAnsi="宋体" w:cs="宋体"/>
          <w:kern w:val="0"/>
          <w:sz w:val="24"/>
        </w:rPr>
        <w:t>2.0.1</w:t>
      </w:r>
      <w:r>
        <w:rPr>
          <w:rFonts w:hint="eastAsia" w:ascii="宋体" w:hAnsi="宋体" w:cs="宋体"/>
          <w:kern w:val="0"/>
          <w:sz w:val="24"/>
        </w:rPr>
        <w:t>本标准界定了“社区”的概念，是本标准的核心内涵与生态评估边界，主要参考《生态社区评价指南》（GB/T 40240—2021）中对“社区”的术语定义，同时衔接《城市居住区规划设计标准》（GB 50180-2018）中关于生活圈的相关要求，将生态评估最小单元确定为5—10分钟生活圈范围，是结合居民日常生活半径、社区服务覆盖范围及生态要素关联性划定，既保证评估范围的合理性，又便于开展实地调查与监测，确保评估工作贴合社区实际需求、具有可操作性。</w:t>
      </w:r>
    </w:p>
    <w:p w14:paraId="0D0A9A90">
      <w:pPr>
        <w:widowControl/>
        <w:spacing w:line="360" w:lineRule="auto"/>
        <w:rPr>
          <w:rFonts w:ascii="宋体" w:hAnsi="宋体" w:cs="宋体"/>
          <w:kern w:val="0"/>
          <w:sz w:val="24"/>
        </w:rPr>
      </w:pPr>
      <w:r>
        <w:rPr>
          <w:rFonts w:hint="eastAsia" w:ascii="宋体" w:hAnsi="宋体" w:cs="宋体"/>
          <w:kern w:val="0"/>
          <w:sz w:val="24"/>
        </w:rPr>
        <w:t>2</w:t>
      </w:r>
      <w:r>
        <w:rPr>
          <w:rFonts w:ascii="宋体" w:hAnsi="宋体" w:cs="宋体"/>
          <w:kern w:val="0"/>
          <w:sz w:val="24"/>
        </w:rPr>
        <w:t xml:space="preserve">.0.2 </w:t>
      </w:r>
      <w:r>
        <w:rPr>
          <w:rFonts w:hint="eastAsia" w:ascii="宋体" w:hAnsi="宋体" w:cs="宋体"/>
          <w:kern w:val="0"/>
          <w:sz w:val="24"/>
        </w:rPr>
        <w:t>社区生态监测的术语本条主要参考《城市生态系统监测技术指南》及《生态监测技术规范》（HJ/T 191）的相关技术要求。</w:t>
      </w:r>
    </w:p>
    <w:p w14:paraId="04884941">
      <w:pPr>
        <w:widowControl/>
        <w:spacing w:line="360" w:lineRule="auto"/>
        <w:rPr>
          <w:rFonts w:ascii="宋体" w:hAnsi="宋体" w:cs="宋体"/>
          <w:kern w:val="0"/>
          <w:sz w:val="24"/>
        </w:rPr>
      </w:pPr>
      <w:r>
        <w:rPr>
          <w:rFonts w:hint="eastAsia" w:ascii="宋体" w:hAnsi="宋体" w:cs="宋体"/>
          <w:kern w:val="0"/>
          <w:sz w:val="24"/>
        </w:rPr>
        <w:t>2</w:t>
      </w:r>
      <w:r>
        <w:rPr>
          <w:rFonts w:ascii="宋体" w:hAnsi="宋体" w:cs="宋体"/>
          <w:kern w:val="0"/>
          <w:sz w:val="24"/>
        </w:rPr>
        <w:t xml:space="preserve">.0.3 </w:t>
      </w:r>
      <w:r>
        <w:rPr>
          <w:rFonts w:hint="eastAsia" w:ascii="宋体" w:hAnsi="宋体" w:cs="宋体"/>
          <w:kern w:val="0"/>
          <w:sz w:val="24"/>
        </w:rPr>
        <w:t>生态监测是反映社区生态环境质量、生态系统结构与功能变化的关键载体，分为定量和定性两类参数，贴合社区生态评估的实际需求；该指标是连接生态监测数据与生态评估结果的核心纽带，其科学性与合理性直接影响评估结果的准确性，为后续社区生态监测指标的选取、设定提供明确指引。</w:t>
      </w:r>
    </w:p>
    <w:p w14:paraId="41675057">
      <w:pPr>
        <w:widowControl/>
        <w:spacing w:line="360" w:lineRule="auto"/>
        <w:rPr>
          <w:rFonts w:ascii="宋体" w:hAnsi="宋体" w:cs="宋体"/>
          <w:kern w:val="0"/>
          <w:sz w:val="24"/>
        </w:rPr>
      </w:pPr>
      <w:r>
        <w:rPr>
          <w:rFonts w:hint="eastAsia" w:ascii="宋体" w:hAnsi="宋体" w:cs="宋体"/>
          <w:kern w:val="0"/>
          <w:sz w:val="24"/>
        </w:rPr>
        <w:t>2</w:t>
      </w:r>
      <w:r>
        <w:rPr>
          <w:rFonts w:ascii="宋体" w:hAnsi="宋体" w:cs="宋体"/>
          <w:kern w:val="0"/>
          <w:sz w:val="24"/>
        </w:rPr>
        <w:t xml:space="preserve">.0.4 </w:t>
      </w:r>
      <w:r>
        <w:rPr>
          <w:rFonts w:hint="eastAsia" w:ascii="宋体" w:hAnsi="宋体" w:cs="宋体"/>
          <w:kern w:val="0"/>
          <w:sz w:val="24"/>
        </w:rPr>
        <w:t>社区公共开放空间的术语解释改编自《社区“十五分钟生活圈"绿色开放空间规划设计指南》(TCECA20021-2022)，是明确社区生态评估中此类空间的评估边界与范围，为后续评估其生态服务功能、环境质量等提供清晰依据。</w:t>
      </w:r>
    </w:p>
    <w:p w14:paraId="68D5591E">
      <w:pPr>
        <w:widowControl/>
        <w:spacing w:line="360" w:lineRule="auto"/>
        <w:rPr>
          <w:rFonts w:ascii="宋体" w:hAnsi="宋体" w:cs="宋体"/>
          <w:kern w:val="0"/>
          <w:sz w:val="24"/>
        </w:rPr>
      </w:pPr>
      <w:r>
        <w:rPr>
          <w:rFonts w:hint="eastAsia" w:ascii="宋体" w:hAnsi="宋体" w:cs="宋体"/>
          <w:kern w:val="0"/>
          <w:sz w:val="24"/>
        </w:rPr>
        <w:t>2</w:t>
      </w:r>
      <w:r>
        <w:rPr>
          <w:rFonts w:ascii="宋体" w:hAnsi="宋体" w:cs="宋体"/>
          <w:kern w:val="0"/>
          <w:sz w:val="24"/>
        </w:rPr>
        <w:t xml:space="preserve">.0.5 </w:t>
      </w:r>
      <w:r>
        <w:rPr>
          <w:rFonts w:hint="eastAsia" w:ascii="宋体" w:hAnsi="宋体" w:cs="宋体"/>
          <w:kern w:val="0"/>
          <w:sz w:val="24"/>
        </w:rPr>
        <w:t>生态服务功能的术语解释参考《生态系统评估 生态系统服务评估方法》GB/T 43678-2024。</w:t>
      </w:r>
    </w:p>
    <w:p w14:paraId="7846F6FD">
      <w:pPr>
        <w:widowControl/>
        <w:spacing w:line="360" w:lineRule="auto"/>
        <w:rPr>
          <w:rFonts w:ascii="宋体" w:hAnsi="宋体" w:cs="宋体"/>
          <w:kern w:val="0"/>
          <w:sz w:val="24"/>
        </w:rPr>
      </w:pPr>
      <w:r>
        <w:rPr>
          <w:rFonts w:hint="eastAsia" w:ascii="宋体" w:hAnsi="宋体" w:cs="宋体"/>
          <w:kern w:val="0"/>
          <w:sz w:val="24"/>
        </w:rPr>
        <w:t>2</w:t>
      </w:r>
      <w:r>
        <w:rPr>
          <w:rFonts w:ascii="宋体" w:hAnsi="宋体" w:cs="宋体"/>
          <w:kern w:val="0"/>
          <w:sz w:val="24"/>
        </w:rPr>
        <w:t xml:space="preserve">.0.6 </w:t>
      </w:r>
      <w:r>
        <w:rPr>
          <w:rFonts w:hint="eastAsia" w:ascii="宋体" w:hAnsi="宋体" w:cs="宋体"/>
          <w:kern w:val="0"/>
          <w:sz w:val="24"/>
        </w:rPr>
        <w:t>老旧社区的术语解释主要参考《城市旧居住区综合改造技术标准》中关于旧居住区的界定要求，以建成年代（20-25年以上）为基础，结合物业管理、植物管护、市政及社区服务设施等实际问题，同时兼顾居民改造意愿，贴合我国老旧社区改造与生态评估的实际现状，为后续开展针对性生态评估、制定优化措施提供明确指引。</w:t>
      </w:r>
    </w:p>
    <w:p w14:paraId="78499C6B">
      <w:pPr>
        <w:pStyle w:val="2"/>
        <w:pageBreakBefore/>
        <w:spacing w:before="312" w:beforeLines="100" w:after="312" w:afterLines="100" w:line="520" w:lineRule="exact"/>
        <w:jc w:val="center"/>
        <w:rPr>
          <w:rFonts w:ascii="黑体" w:hAnsi="黑体" w:eastAsia="黑体"/>
          <w:bCs w:val="0"/>
          <w:sz w:val="30"/>
          <w:szCs w:val="22"/>
          <w:lang w:val="zh-CN"/>
        </w:rPr>
      </w:pPr>
      <w:r>
        <w:rPr>
          <w:rFonts w:hint="eastAsia" w:ascii="黑体" w:hAnsi="黑体" w:eastAsia="黑体"/>
          <w:bCs w:val="0"/>
          <w:sz w:val="30"/>
          <w:szCs w:val="22"/>
          <w:lang w:val="zh-CN"/>
        </w:rPr>
        <w:t>3</w:t>
      </w:r>
      <w:r>
        <w:rPr>
          <w:rFonts w:ascii="黑体" w:hAnsi="黑体" w:eastAsia="黑体"/>
          <w:bCs w:val="0"/>
          <w:sz w:val="30"/>
          <w:szCs w:val="22"/>
          <w:lang w:val="zh-CN"/>
        </w:rPr>
        <w:t xml:space="preserve"> </w:t>
      </w:r>
      <w:r>
        <w:rPr>
          <w:rFonts w:hint="eastAsia" w:ascii="黑体" w:hAnsi="黑体" w:eastAsia="黑体"/>
          <w:bCs w:val="0"/>
          <w:sz w:val="30"/>
          <w:szCs w:val="22"/>
          <w:lang w:val="zh-CN"/>
        </w:rPr>
        <w:t>基本规定</w:t>
      </w:r>
    </w:p>
    <w:p w14:paraId="0679FF42">
      <w:pPr>
        <w:widowControl/>
        <w:spacing w:line="360" w:lineRule="auto"/>
        <w:rPr>
          <w:rFonts w:ascii="宋体" w:hAnsi="宋体" w:cs="宋体"/>
          <w:kern w:val="0"/>
          <w:sz w:val="24"/>
        </w:rPr>
      </w:pPr>
      <w:r>
        <w:rPr>
          <w:rFonts w:ascii="宋体" w:hAnsi="宋体" w:cs="宋体"/>
          <w:kern w:val="0"/>
          <w:sz w:val="24"/>
        </w:rPr>
        <w:t>3.0.1</w:t>
      </w:r>
      <w:r>
        <w:rPr>
          <w:rFonts w:hint="eastAsia" w:ascii="宋体" w:hAnsi="宋体" w:cs="宋体"/>
          <w:kern w:val="0"/>
          <w:sz w:val="24"/>
        </w:rPr>
        <w:t>本标准明确了城市社区生态评估的具体实施要求，结合不同类型、不同阶段社区的生态特点与管理需求，划分评估周期与评估类型：年度评估、专项评估可精准对接社区日常管理与专项优化需求；针对老旧社区生态问题突出、变化较快的特点，明确其每3-5年开展一次评估，新建社区生态系统相对稳定，故设定每5年一次评估，兼顾评估的科学性与经济性；同时强调数据的可溯性、准确性与可比性，是确保评估结果有效、可用于纵向对比（自身不同时期）与横向对比（不同社区）的核心前提，注重公众参与可贴合居民实际需求，提升评估结果的实用性与落地性，实现科学评估与实践应用的有机结合。</w:t>
      </w:r>
    </w:p>
    <w:p w14:paraId="31799403">
      <w:pPr>
        <w:widowControl/>
        <w:spacing w:line="360" w:lineRule="auto"/>
        <w:rPr>
          <w:rFonts w:ascii="宋体" w:hAnsi="宋体" w:cs="宋体"/>
          <w:kern w:val="0"/>
          <w:sz w:val="24"/>
        </w:rPr>
      </w:pPr>
      <w:r>
        <w:rPr>
          <w:rFonts w:ascii="宋体" w:hAnsi="宋体" w:cs="宋体"/>
          <w:kern w:val="0"/>
          <w:sz w:val="24"/>
        </w:rPr>
        <w:t>3.0.</w:t>
      </w:r>
      <w:bookmarkStart w:id="41" w:name="_Hlk220664207"/>
      <w:r>
        <w:rPr>
          <w:rFonts w:ascii="宋体" w:hAnsi="宋体" w:cs="宋体"/>
          <w:kern w:val="0"/>
          <w:sz w:val="24"/>
        </w:rPr>
        <w:t>2</w:t>
      </w:r>
      <w:r>
        <w:rPr>
          <w:rFonts w:hint="eastAsia" w:ascii="宋体" w:hAnsi="宋体" w:cs="宋体"/>
          <w:kern w:val="0"/>
          <w:sz w:val="24"/>
        </w:rPr>
        <w:t>社区生态功能评估的核心内容，涵盖绿地与植被、生物多样性等七大核心维度，全面覆盖社区生态系统的结构、功能及人居适配性等关键层面：绿地与植被、生物多样性是社区生态系统的核心载体，水文与水环境、通风与热环境、大气与声环境直接影响居民居住舒适度，能源与废弃物关乎社区节能降碳目标实现，人居生态适配性则聚焦生态环境与居民生活需求的匹配度。</w:t>
      </w:r>
    </w:p>
    <w:bookmarkEnd w:id="41"/>
    <w:p w14:paraId="66B6FA4D">
      <w:pPr>
        <w:widowControl/>
        <w:spacing w:line="360" w:lineRule="auto"/>
        <w:rPr>
          <w:rFonts w:ascii="宋体" w:hAnsi="宋体" w:cs="宋体"/>
          <w:kern w:val="0"/>
          <w:sz w:val="24"/>
        </w:rPr>
      </w:pPr>
      <w:r>
        <w:rPr>
          <w:rFonts w:ascii="宋体" w:hAnsi="宋体" w:cs="宋体"/>
          <w:kern w:val="0"/>
          <w:sz w:val="24"/>
        </w:rPr>
        <w:t xml:space="preserve">3.0.3 </w:t>
      </w:r>
      <w:r>
        <w:rPr>
          <w:rFonts w:hint="eastAsia" w:ascii="宋体" w:hAnsi="宋体" w:cs="宋体"/>
          <w:kern w:val="0"/>
          <w:sz w:val="24"/>
        </w:rPr>
        <w:t>城市社区生态管理机制建立的核心是推动社区生态管理常态化、长效化。鼓励公众参与，契合社区治理的核心理念，既能充分调动居民与社会力量参与社区生态维护的积极性，提升居民生态环保意识，又能让生态管理措施更贴合居民需求，增强生态管理的实效性，推动社区生态环境持续改善、长效提升。</w:t>
      </w:r>
    </w:p>
    <w:p w14:paraId="0B80DE8F">
      <w:pPr>
        <w:pStyle w:val="2"/>
        <w:pageBreakBefore/>
        <w:spacing w:before="312" w:beforeLines="100" w:after="312" w:afterLines="100" w:line="520" w:lineRule="exact"/>
        <w:jc w:val="center"/>
        <w:rPr>
          <w:rFonts w:ascii="黑体" w:hAnsi="黑体" w:eastAsia="黑体"/>
          <w:bCs w:val="0"/>
          <w:sz w:val="30"/>
          <w:szCs w:val="22"/>
          <w:lang w:val="zh-CN"/>
        </w:rPr>
      </w:pPr>
      <w:r>
        <w:rPr>
          <w:rFonts w:ascii="黑体" w:hAnsi="黑体" w:eastAsia="黑体"/>
          <w:bCs w:val="0"/>
          <w:sz w:val="30"/>
          <w:szCs w:val="22"/>
          <w:lang w:val="zh-CN"/>
        </w:rPr>
        <w:t xml:space="preserve">4 </w:t>
      </w:r>
      <w:r>
        <w:rPr>
          <w:rFonts w:hint="eastAsia" w:ascii="黑体" w:hAnsi="黑体" w:eastAsia="黑体"/>
          <w:bCs w:val="0"/>
          <w:sz w:val="30"/>
          <w:szCs w:val="22"/>
          <w:lang w:val="zh-CN"/>
        </w:rPr>
        <w:t>生态评估指标体系及计算方法</w:t>
      </w:r>
    </w:p>
    <w:p w14:paraId="69E6C267">
      <w:pPr>
        <w:pStyle w:val="3"/>
        <w:spacing w:before="156" w:after="156"/>
        <w:jc w:val="center"/>
      </w:pPr>
      <w:r>
        <w:t xml:space="preserve">4.1 </w:t>
      </w:r>
      <w:r>
        <w:rPr>
          <w:rFonts w:hint="eastAsia"/>
        </w:rPr>
        <w:t>生态评估指标体系</w:t>
      </w:r>
    </w:p>
    <w:p w14:paraId="54BCDAEF">
      <w:pPr>
        <w:widowControl/>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生态评估以综合指数反映社区生态功能，根据生态为居民提供的宜居性与安全性支撑确定评估指标，并细化为相应评估因子。</w:t>
      </w:r>
    </w:p>
    <w:p w14:paraId="407FD5DC">
      <w:pPr>
        <w:pStyle w:val="22"/>
        <w:snapToGrid w:val="0"/>
        <w:spacing w:line="360" w:lineRule="auto"/>
        <w:ind w:firstLine="480" w:firstLineChars="200"/>
        <w:rPr>
          <w:rFonts w:ascii="宋体" w:hAnsi="宋体" w:eastAsia="宋体"/>
        </w:rPr>
      </w:pPr>
      <w:r>
        <w:rPr>
          <w:rFonts w:hint="eastAsia" w:ascii="宋体" w:hAnsi="宋体" w:eastAsia="宋体"/>
        </w:rPr>
        <w:t>1 绿化覆盖率</w:t>
      </w:r>
    </w:p>
    <w:p w14:paraId="46F69A27">
      <w:pPr>
        <w:widowControl/>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【指标来源】</w:t>
      </w:r>
    </w:p>
    <w:p w14:paraId="34795FFB">
      <w:pPr>
        <w:pStyle w:val="22"/>
        <w:snapToGrid w:val="0"/>
        <w:spacing w:line="360" w:lineRule="auto"/>
        <w:ind w:firstLine="480" w:firstLineChars="200"/>
        <w:rPr>
          <w:rFonts w:ascii="宋体" w:hAnsi="宋体" w:eastAsia="宋体"/>
        </w:rPr>
      </w:pPr>
      <w:r>
        <w:rPr>
          <w:rFonts w:hint="eastAsia" w:ascii="宋体" w:hAnsi="宋体" w:eastAsia="宋体"/>
        </w:rPr>
        <w:t>《城市居住区规划设计标准》GB50180-2018、《生态社区评价指南》（GBT40240-2021）、《环境标志产品技术要求生态住宅（住区）》HJ/T 351。</w:t>
      </w:r>
    </w:p>
    <w:p w14:paraId="50B81A12">
      <w:pPr>
        <w:widowControl/>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【指标解读】</w:t>
      </w:r>
    </w:p>
    <w:p w14:paraId="6283CA31">
      <w:pPr>
        <w:pStyle w:val="22"/>
        <w:snapToGrid w:val="0"/>
        <w:spacing w:line="360" w:lineRule="auto"/>
        <w:ind w:firstLine="480" w:firstLineChars="200"/>
        <w:rPr>
          <w:rFonts w:ascii="宋体" w:hAnsi="宋体" w:eastAsia="宋体"/>
        </w:rPr>
      </w:pPr>
      <w:r>
        <w:rPr>
          <w:rFonts w:hint="eastAsia" w:ascii="宋体" w:hAnsi="宋体" w:eastAsia="宋体"/>
        </w:rPr>
        <w:t>绿化覆盖率指社区范围内，所有绿化植被的垂直投影面积占社区总占地面积的比例，是衡量社区绿化规模、生态基底质量的核心基础指标。其中，绿化植被垂直投影面积涵盖乔木、灌木、草坪等地被植物枝叶垂直投影所覆盖的全部地面面积，具体包括公共绿地、居住区集中绿地、住宅附属绿地、道路两侧绿地、立体绿化、屋顶绿化的有效覆盖面积，以及社区内零散分布树木的覆盖面积，核算时不遗漏任何具备绿化功能的植被投影区域，确保数据全面准确。绿化覆盖率直接反映社区生态空间的基础供给能力，较高的绿化覆盖率能够有效发挥植被生态功能，同时为居民提供舒适的居住环境和休闲空间，兼顾生态价值与人居价值；其数值高低与社区生态系统的稳定性、生态服务功能的发挥呈正相关，是社区生态评估中不可或缺的基础性指标。</w:t>
      </w:r>
    </w:p>
    <w:p w14:paraId="033C40ED">
      <w:pPr>
        <w:pStyle w:val="22"/>
        <w:snapToGrid w:val="0"/>
        <w:spacing w:line="360" w:lineRule="auto"/>
        <w:ind w:firstLine="480" w:firstLineChars="200"/>
        <w:rPr>
          <w:rFonts w:ascii="宋体" w:hAnsi="宋体" w:eastAsia="宋体"/>
        </w:rPr>
      </w:pPr>
      <w:r>
        <w:rPr>
          <w:rFonts w:hint="eastAsia" w:ascii="宋体" w:hAnsi="宋体" w:eastAsia="宋体"/>
        </w:rPr>
        <w:t>2</w:t>
      </w:r>
      <w:r>
        <w:rPr>
          <w:rFonts w:ascii="宋体" w:hAnsi="宋体" w:eastAsia="宋体"/>
        </w:rPr>
        <w:t xml:space="preserve"> </w:t>
      </w:r>
      <w:r>
        <w:rPr>
          <w:rFonts w:hint="eastAsia" w:ascii="宋体" w:hAnsi="宋体" w:eastAsia="宋体"/>
        </w:rPr>
        <w:t>本土木本植物占比</w:t>
      </w:r>
    </w:p>
    <w:p w14:paraId="667766ED">
      <w:pPr>
        <w:widowControl/>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【指标来源】</w:t>
      </w:r>
    </w:p>
    <w:p w14:paraId="0DB47767">
      <w:pPr>
        <w:pStyle w:val="22"/>
        <w:snapToGrid w:val="0"/>
        <w:spacing w:line="360" w:lineRule="auto"/>
        <w:ind w:firstLine="480" w:firstLineChars="200"/>
        <w:rPr>
          <w:rFonts w:ascii="宋体" w:hAnsi="宋体" w:eastAsia="宋体"/>
        </w:rPr>
      </w:pPr>
      <w:r>
        <w:rPr>
          <w:rFonts w:hint="eastAsia" w:ascii="宋体" w:hAnsi="宋体" w:eastAsia="宋体"/>
        </w:rPr>
        <w:t>《国家森林城市评价指标》GB/T 37342—2024</w:t>
      </w:r>
    </w:p>
    <w:p w14:paraId="6C52C595">
      <w:pPr>
        <w:widowControl/>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【指标解读】</w:t>
      </w:r>
    </w:p>
    <w:p w14:paraId="1DF014F2">
      <w:pPr>
        <w:pStyle w:val="22"/>
        <w:snapToGrid w:val="0"/>
        <w:spacing w:line="360" w:lineRule="auto"/>
        <w:ind w:firstLine="480" w:firstLineChars="200"/>
        <w:rPr>
          <w:rFonts w:ascii="宋体" w:hAnsi="宋体" w:eastAsia="宋体"/>
        </w:rPr>
      </w:pPr>
      <w:r>
        <w:rPr>
          <w:rFonts w:hint="eastAsia" w:ascii="宋体" w:hAnsi="宋体" w:eastAsia="宋体"/>
        </w:rPr>
        <w:t>本土木本植物占比指社区绿化植被中，本土乔木、灌木的物种数量占全部木本植物物种总数量的比例（核算单位为株，以实际种植存活株数为统计依据），核心反映社区绿化植物配置的乡土性和生态合理性。其中，本土树种明确界定为两类：一是本地区天然分布、经过长期自然演化适应本地气候、土壤、水文等环境条件的树种；二是经过长期引种栽培，已完全适应本地环境、无生态入侵风险的归化树种，排除具有生态入侵性的外来木本树种。本土木本植物适应性强、养护成本低，且能与本地生物群落形成稳定的共生关系，提升本土木本植物占比，可有效增强社区生态系统的稳定性和自我修复能力，减少外来物种入侵带来的生态风险，同时助力本土生物多样性保护，契合低碳、生态的社区建设理念。</w:t>
      </w:r>
    </w:p>
    <w:p w14:paraId="39937C12">
      <w:pPr>
        <w:pStyle w:val="22"/>
        <w:snapToGrid w:val="0"/>
        <w:spacing w:line="360" w:lineRule="auto"/>
        <w:ind w:firstLine="480" w:firstLineChars="200"/>
        <w:rPr>
          <w:rFonts w:ascii="宋体" w:hAnsi="宋体" w:eastAsia="宋体"/>
        </w:rPr>
      </w:pPr>
      <w:r>
        <w:rPr>
          <w:rFonts w:hint="eastAsia" w:ascii="宋体" w:hAnsi="宋体" w:eastAsia="宋体"/>
        </w:rPr>
        <w:t>3 植被健康度</w:t>
      </w:r>
    </w:p>
    <w:p w14:paraId="3E72C650">
      <w:pPr>
        <w:widowControl/>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【指标来源】</w:t>
      </w:r>
    </w:p>
    <w:p w14:paraId="542EB52A">
      <w:pPr>
        <w:pStyle w:val="22"/>
        <w:snapToGrid w:val="0"/>
        <w:spacing w:line="360" w:lineRule="auto"/>
        <w:ind w:firstLine="480" w:firstLineChars="200"/>
        <w:rPr>
          <w:rFonts w:ascii="宋体" w:hAnsi="宋体" w:eastAsia="宋体"/>
        </w:rPr>
      </w:pPr>
      <w:r>
        <w:rPr>
          <w:rFonts w:hint="eastAsia" w:ascii="宋体" w:hAnsi="宋体" w:eastAsia="宋体"/>
        </w:rPr>
        <w:t>《园林绿化养护标准》CJJ/T 287-2018、《森林生态系统健康评价规范》DB11/T 725—2024。</w:t>
      </w:r>
    </w:p>
    <w:p w14:paraId="6B81D434">
      <w:pPr>
        <w:widowControl/>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【指标解读】</w:t>
      </w:r>
    </w:p>
    <w:p w14:paraId="77571248">
      <w:pPr>
        <w:pStyle w:val="22"/>
        <w:snapToGrid w:val="0"/>
        <w:spacing w:line="360" w:lineRule="auto"/>
        <w:ind w:firstLine="480" w:firstLineChars="200"/>
        <w:rPr>
          <w:rFonts w:ascii="宋体" w:hAnsi="宋体" w:eastAsia="宋体"/>
        </w:rPr>
      </w:pPr>
      <w:r>
        <w:rPr>
          <w:rFonts w:hint="eastAsia" w:ascii="宋体" w:hAnsi="宋体" w:eastAsia="宋体"/>
        </w:rPr>
        <w:t>植被健康度是一项多维度综合评价指标，严格遵循《园林绿化养护标准》（CJJ/T 287-2018）中关于园林植被养护质量的要求，结合《森林生态系统健康评价规范》（DB11/T 725—2024）中生态系统健康的评价原则，核心以社区范围内乔木、灌木等树种的健康状况为评价核心，具体以无病虫害侵染、无枝叶枯萎、生长态势良好的木本植物数量，占社区植被总数量的比例进行量化核算。其评价维度涵盖病虫害发生情况、枝叶生长状态、植株存活情况等核心方面，其中，无病虫害指未发生明显病虫害侵染、无病虫害导致的枝叶畸形、脱落等现象；无枯萎指植株无整株枯萎、大面积枝叶枯萎等情况，生长态势良好。</w:t>
      </w:r>
    </w:p>
    <w:p w14:paraId="6A0B8C51">
      <w:pPr>
        <w:pStyle w:val="22"/>
        <w:snapToGrid w:val="0"/>
        <w:spacing w:line="360" w:lineRule="auto"/>
        <w:ind w:firstLine="480" w:firstLineChars="200"/>
        <w:rPr>
          <w:rFonts w:ascii="宋体" w:hAnsi="宋体" w:eastAsia="宋体"/>
        </w:rPr>
      </w:pPr>
      <w:r>
        <w:rPr>
          <w:rFonts w:hint="eastAsia" w:ascii="宋体" w:hAnsi="宋体" w:eastAsia="宋体"/>
        </w:rPr>
        <w:t>4</w:t>
      </w:r>
      <w:r>
        <w:rPr>
          <w:rFonts w:ascii="宋体" w:hAnsi="宋体" w:eastAsia="宋体"/>
        </w:rPr>
        <w:t xml:space="preserve"> </w:t>
      </w:r>
      <w:r>
        <w:rPr>
          <w:rFonts w:hint="eastAsia" w:ascii="宋体" w:hAnsi="宋体" w:eastAsia="宋体"/>
        </w:rPr>
        <w:t>强致敏植物占比</w:t>
      </w:r>
    </w:p>
    <w:p w14:paraId="6EB6C187">
      <w:pPr>
        <w:widowControl/>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【指标来源】</w:t>
      </w:r>
    </w:p>
    <w:p w14:paraId="0076CF5A">
      <w:pPr>
        <w:pStyle w:val="22"/>
        <w:snapToGrid w:val="0"/>
        <w:spacing w:line="360" w:lineRule="auto"/>
        <w:ind w:firstLine="480" w:firstLineChars="200"/>
        <w:rPr>
          <w:rFonts w:ascii="宋体" w:hAnsi="宋体" w:eastAsia="宋体"/>
        </w:rPr>
      </w:pPr>
      <w:r>
        <w:rPr>
          <w:rFonts w:hint="eastAsia" w:ascii="宋体" w:hAnsi="宋体" w:eastAsia="宋体"/>
        </w:rPr>
        <w:t>基于现有前沿研究综合确定。</w:t>
      </w:r>
    </w:p>
    <w:p w14:paraId="29ED0619">
      <w:pPr>
        <w:widowControl/>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【指标解读】</w:t>
      </w:r>
    </w:p>
    <w:p w14:paraId="0D722489">
      <w:pPr>
        <w:pStyle w:val="22"/>
        <w:snapToGrid w:val="0"/>
        <w:spacing w:line="360" w:lineRule="auto"/>
        <w:ind w:firstLine="480" w:firstLineChars="200"/>
        <w:rPr>
          <w:rFonts w:ascii="宋体" w:hAnsi="宋体" w:eastAsia="宋体"/>
        </w:rPr>
      </w:pPr>
      <w:r>
        <w:rPr>
          <w:rFonts w:hint="eastAsia" w:ascii="宋体" w:hAnsi="宋体" w:eastAsia="宋体"/>
        </w:rPr>
        <w:t>强致敏植物占比是社区生态健康风险评估的重要指标，核心聚焦社区绿化植物对居民健康的潜在影响，具体指社区范围内，具有强致敏性植物的个体数量，占社区总绿化植物个体数量的比例。该指标与社区人居生态适配性密切相关，较低的强致敏植物占比，能够有效降低居民接触致敏源的概率，减少过敏相关健康风险，提升社区居住的健康性和舒适性；若强致敏植物占比过高，会增加空气中致敏花粉、飞絮的浓度，尤其在致敏高发季节，会严重影响敏感人群的日常生活，甚至引发呼吸系统不适等健康问题。因此，该指标的设定旨在引导社区绿化植物配置兼顾生态性与健康性，合理控制强致敏植物的种植比例，营造宜居、健康的社区生态环境。</w:t>
      </w:r>
    </w:p>
    <w:p w14:paraId="5812DEBC">
      <w:pPr>
        <w:pStyle w:val="22"/>
        <w:snapToGrid w:val="0"/>
        <w:spacing w:line="360" w:lineRule="auto"/>
        <w:ind w:firstLine="480" w:firstLineChars="200"/>
        <w:rPr>
          <w:rFonts w:ascii="宋体" w:hAnsi="宋体" w:eastAsia="宋体"/>
        </w:rPr>
      </w:pPr>
      <w:r>
        <w:rPr>
          <w:rFonts w:hint="eastAsia" w:ascii="宋体" w:hAnsi="宋体" w:eastAsia="宋体"/>
        </w:rPr>
        <w:t>5</w:t>
      </w:r>
      <w:r>
        <w:rPr>
          <w:rFonts w:ascii="宋体" w:hAnsi="宋体" w:eastAsia="宋体"/>
        </w:rPr>
        <w:t xml:space="preserve"> </w:t>
      </w:r>
      <w:r>
        <w:rPr>
          <w:rFonts w:hint="eastAsia" w:ascii="宋体" w:hAnsi="宋体" w:eastAsia="宋体"/>
        </w:rPr>
        <w:t>本土植物种类数量</w:t>
      </w:r>
    </w:p>
    <w:p w14:paraId="02885A1E">
      <w:pPr>
        <w:widowControl/>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【指标来源】</w:t>
      </w:r>
    </w:p>
    <w:p w14:paraId="43F5DEAE">
      <w:pPr>
        <w:pStyle w:val="22"/>
        <w:snapToGrid w:val="0"/>
        <w:spacing w:line="360" w:lineRule="auto"/>
        <w:ind w:firstLine="480" w:firstLineChars="200"/>
        <w:rPr>
          <w:rFonts w:ascii="宋体" w:hAnsi="宋体" w:eastAsia="宋体"/>
        </w:rPr>
      </w:pPr>
      <w:r>
        <w:rPr>
          <w:rFonts w:hint="eastAsia" w:ascii="宋体" w:hAnsi="宋体" w:eastAsia="宋体"/>
        </w:rPr>
        <w:t>基于现有前沿研究综合确定。</w:t>
      </w:r>
    </w:p>
    <w:p w14:paraId="4A6C9261">
      <w:pPr>
        <w:widowControl/>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【指标解读】</w:t>
      </w:r>
    </w:p>
    <w:p w14:paraId="748A1493">
      <w:pPr>
        <w:pStyle w:val="22"/>
        <w:snapToGrid w:val="0"/>
        <w:spacing w:line="360" w:lineRule="auto"/>
        <w:ind w:firstLine="480" w:firstLineChars="200"/>
        <w:rPr>
          <w:rFonts w:ascii="宋体" w:hAnsi="宋体" w:eastAsia="宋体"/>
        </w:rPr>
      </w:pPr>
      <w:r>
        <w:rPr>
          <w:rFonts w:hint="eastAsia" w:ascii="宋体" w:hAnsi="宋体" w:eastAsia="宋体"/>
        </w:rPr>
        <w:t>本土植物作为区域生态系统长期演化形成的优势物种，具有极强的环境适应性，能够自然适应当地降水、气温、土壤肥力等气候土壤条件，无需过多人工干预即可正常生长，相较于外来植物，不仅养护成本大幅降低，还能减少水肥消耗、病虫害防治等人工投入，契合低碳社区建设理念。同时，本土植物与本地鸟类、昆虫、微生物等生物群落形成了紧密的共生关系，能够为本土生物提供充足的觅食场所、栖息空间和繁殖载体，是支撑社区生物多样性的核心基础。其种类数量直接决定了社区生物群落的丰富度，进而影响社区生态系统生态功能——本土植物种类越丰富，越能完善社区生态系统的食物链和营养结构，提升生态系统的稳定性和抗干扰能力，减少生态失衡、病虫害爆发等问题，推动社区生态系统形成自我循环、持续健康的良性发展格局。</w:t>
      </w:r>
    </w:p>
    <w:p w14:paraId="66F7ADEF">
      <w:pPr>
        <w:pStyle w:val="22"/>
        <w:snapToGrid w:val="0"/>
        <w:spacing w:line="360" w:lineRule="auto"/>
        <w:ind w:firstLine="480" w:firstLineChars="200"/>
        <w:rPr>
          <w:rFonts w:ascii="宋体" w:hAnsi="宋体" w:eastAsia="宋体"/>
        </w:rPr>
      </w:pPr>
      <w:r>
        <w:rPr>
          <w:rFonts w:hint="eastAsia" w:ascii="宋体" w:hAnsi="宋体" w:eastAsia="宋体"/>
        </w:rPr>
        <w:t>6</w:t>
      </w:r>
      <w:r>
        <w:rPr>
          <w:rFonts w:ascii="宋体" w:hAnsi="宋体" w:eastAsia="宋体"/>
        </w:rPr>
        <w:t xml:space="preserve"> </w:t>
      </w:r>
      <w:r>
        <w:rPr>
          <w:rFonts w:hint="eastAsia" w:ascii="宋体" w:hAnsi="宋体" w:eastAsia="宋体"/>
        </w:rPr>
        <w:t>生态栖息地占比</w:t>
      </w:r>
    </w:p>
    <w:p w14:paraId="55032604">
      <w:pPr>
        <w:widowControl/>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【指标来源】</w:t>
      </w:r>
    </w:p>
    <w:p w14:paraId="335D7FAF">
      <w:pPr>
        <w:pStyle w:val="22"/>
        <w:snapToGrid w:val="0"/>
        <w:spacing w:line="360" w:lineRule="auto"/>
        <w:ind w:firstLine="480" w:firstLineChars="200"/>
        <w:rPr>
          <w:rFonts w:ascii="宋体" w:hAnsi="宋体" w:eastAsia="宋体"/>
        </w:rPr>
      </w:pPr>
      <w:r>
        <w:rPr>
          <w:rFonts w:hint="eastAsia" w:ascii="宋体" w:hAnsi="宋体" w:eastAsia="宋体"/>
        </w:rPr>
        <w:t>基于现有前沿研究综合确定。</w:t>
      </w:r>
    </w:p>
    <w:p w14:paraId="7188839C">
      <w:pPr>
        <w:widowControl/>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【指标解读】</w:t>
      </w:r>
    </w:p>
    <w:p w14:paraId="190FBC54">
      <w:pPr>
        <w:pStyle w:val="22"/>
        <w:snapToGrid w:val="0"/>
        <w:spacing w:line="360" w:lineRule="auto"/>
        <w:ind w:firstLine="480" w:firstLineChars="200"/>
        <w:rPr>
          <w:rFonts w:ascii="宋体" w:hAnsi="宋体" w:eastAsia="宋体"/>
        </w:rPr>
      </w:pPr>
      <w:r>
        <w:rPr>
          <w:rFonts w:hint="eastAsia" w:ascii="宋体" w:hAnsi="宋体" w:eastAsia="宋体"/>
        </w:rPr>
        <w:t>本指标指社区内绿道、湿地斑块、植被组团等具有生态涵养、生物栖息功能的区域总面积，与社区总用地面积的比值，核心反映社区生态空间的供给能力和质量。生态栖息地是社区生物多样性保护的核心载体，直接承接前文所述本土植物的栖息支撑作用，为鸟类、昆虫等指示物种提供觅食、栖息、繁殖的完整空间，其占比高低直接关系到社区生态系统的结构完整性、功能稳定性及生态服务功能的有效发挥。较高的生态栖息地占比，能够有效提升社区水土保持、空气净化、噪声消减、气候调节等生态功能，缓解城市热岛效应，为居民营造宜居的生态环境，同时支撑社区生物多样性水平提升；若占比偏低，则会导致生态空间不足、生物栖息环境碎片化，制约生态系统自我调节能力，影响指示物种栖息稳定性，进而降低社区生态环境质量和居民居住舒适度。</w:t>
      </w:r>
    </w:p>
    <w:p w14:paraId="46D88948">
      <w:pPr>
        <w:pStyle w:val="22"/>
        <w:snapToGrid w:val="0"/>
        <w:spacing w:line="360" w:lineRule="auto"/>
        <w:ind w:firstLine="480" w:firstLineChars="200"/>
        <w:rPr>
          <w:rFonts w:ascii="宋体" w:hAnsi="宋体" w:eastAsia="宋体"/>
        </w:rPr>
      </w:pPr>
      <w:r>
        <w:rPr>
          <w:rFonts w:hint="eastAsia" w:ascii="宋体" w:hAnsi="宋体" w:eastAsia="宋体"/>
        </w:rPr>
        <w:t>7</w:t>
      </w:r>
      <w:r>
        <w:rPr>
          <w:rFonts w:ascii="宋体" w:hAnsi="宋体" w:eastAsia="宋体"/>
        </w:rPr>
        <w:t xml:space="preserve"> </w:t>
      </w:r>
      <w:r>
        <w:rPr>
          <w:rFonts w:hint="eastAsia" w:ascii="宋体" w:hAnsi="宋体" w:eastAsia="宋体"/>
        </w:rPr>
        <w:t>指示物种栖息情况</w:t>
      </w:r>
    </w:p>
    <w:p w14:paraId="1D2DDD21">
      <w:pPr>
        <w:widowControl/>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【指标来源】</w:t>
      </w:r>
    </w:p>
    <w:p w14:paraId="5B0A409C">
      <w:pPr>
        <w:pStyle w:val="22"/>
        <w:snapToGrid w:val="0"/>
        <w:spacing w:line="360" w:lineRule="auto"/>
        <w:ind w:firstLine="480" w:firstLineChars="200"/>
        <w:rPr>
          <w:rFonts w:ascii="宋体" w:hAnsi="宋体" w:eastAsia="宋体"/>
        </w:rPr>
      </w:pPr>
      <w:r>
        <w:rPr>
          <w:rFonts w:hint="eastAsia" w:ascii="宋体" w:hAnsi="宋体" w:eastAsia="宋体"/>
        </w:rPr>
        <w:t>基于现有前沿研究综合确定。</w:t>
      </w:r>
    </w:p>
    <w:p w14:paraId="627B0E5E">
      <w:pPr>
        <w:widowControl/>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【指标解读】</w:t>
      </w:r>
    </w:p>
    <w:p w14:paraId="7787A83D">
      <w:pPr>
        <w:pStyle w:val="22"/>
        <w:snapToGrid w:val="0"/>
        <w:spacing w:line="360" w:lineRule="auto"/>
        <w:ind w:firstLine="480" w:firstLineChars="200"/>
        <w:rPr>
          <w:rFonts w:ascii="宋体" w:hAnsi="宋体" w:eastAsia="宋体"/>
        </w:rPr>
      </w:pPr>
      <w:r>
        <w:rPr>
          <w:rFonts w:hint="eastAsia" w:ascii="宋体" w:hAnsi="宋体" w:eastAsia="宋体"/>
        </w:rPr>
        <w:t>本指标核心反映社区生态环境质量的优劣，以鸟类（如麻雀、喜鹊）、昆虫（如蜜蜂、蝴蝶）等对生态环境敏感的指示物种为评价对象，衡量其在社区内的常态化栖息覆盖率，核算方式可采用单位面积（每公顷）鸟巢数量进行量化。指示物种的栖息情况是反映社区生态环境质量的“直观标尺”，因其对生态环境变化反应灵敏，其栖息密度、种群数量与社区生态系统的结构完整性、功能稳定性呈显著正相关——指示物种密度越高、种群越稳定，表明社区生态环境越优良，生态系统的自我调节能力和生物承载能力越强；反之，若指示物种栖息密度偏低、种群不稳定，则反映社区可能存在植被退化、环境污染等生态问题，需针对性改善栖息条件。</w:t>
      </w:r>
    </w:p>
    <w:p w14:paraId="7C1778BA">
      <w:pPr>
        <w:pStyle w:val="22"/>
        <w:snapToGrid w:val="0"/>
        <w:spacing w:line="360" w:lineRule="auto"/>
        <w:ind w:firstLine="480" w:firstLineChars="200"/>
        <w:rPr>
          <w:rFonts w:ascii="宋体" w:hAnsi="宋体" w:eastAsia="宋体"/>
        </w:rPr>
      </w:pPr>
      <w:r>
        <w:rPr>
          <w:rFonts w:hint="eastAsia" w:ascii="宋体" w:hAnsi="宋体" w:eastAsia="宋体"/>
        </w:rPr>
        <w:t>8</w:t>
      </w:r>
      <w:r>
        <w:rPr>
          <w:rFonts w:ascii="宋体" w:hAnsi="宋体" w:eastAsia="宋体"/>
        </w:rPr>
        <w:t xml:space="preserve"> </w:t>
      </w:r>
      <w:r>
        <w:rPr>
          <w:rFonts w:hint="eastAsia" w:ascii="宋体" w:hAnsi="宋体" w:eastAsia="宋体"/>
        </w:rPr>
        <w:t>食源植物和蜜源植物的种类占比</w:t>
      </w:r>
    </w:p>
    <w:p w14:paraId="25E31640">
      <w:pPr>
        <w:widowControl/>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【指标来源】</w:t>
      </w:r>
    </w:p>
    <w:p w14:paraId="13D95085">
      <w:pPr>
        <w:pStyle w:val="22"/>
        <w:snapToGrid w:val="0"/>
        <w:spacing w:line="360" w:lineRule="auto"/>
        <w:ind w:firstLine="480" w:firstLineChars="200"/>
        <w:rPr>
          <w:rFonts w:ascii="宋体" w:hAnsi="宋体" w:eastAsia="宋体"/>
        </w:rPr>
      </w:pPr>
      <w:r>
        <w:rPr>
          <w:rFonts w:hint="eastAsia" w:ascii="宋体" w:hAnsi="宋体" w:eastAsia="宋体"/>
        </w:rPr>
        <w:t>《国家森林城市评价指标》（GB/T 37342-2024）、《居住绿地设计标准》（CJJ/T 294-2019）。</w:t>
      </w:r>
    </w:p>
    <w:p w14:paraId="0780FD8C">
      <w:pPr>
        <w:widowControl/>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【指标解读】</w:t>
      </w:r>
    </w:p>
    <w:p w14:paraId="51F112C1">
      <w:pPr>
        <w:pStyle w:val="22"/>
        <w:snapToGrid w:val="0"/>
        <w:spacing w:line="360" w:lineRule="auto"/>
        <w:ind w:firstLine="480" w:firstLineChars="200"/>
        <w:rPr>
          <w:rFonts w:ascii="宋体" w:hAnsi="宋体" w:eastAsia="宋体"/>
        </w:rPr>
      </w:pPr>
      <w:r>
        <w:rPr>
          <w:rFonts w:hint="eastAsia" w:ascii="宋体" w:hAnsi="宋体" w:eastAsia="宋体"/>
        </w:rPr>
        <w:t>本指标指社区内株数达5株及以上的食源木本植物物种数量，与社区全部木本植物物种数量的比值，核心反映社区植物配置对本土生物的支撑能力。食源与蜜源植物作为连接植物与动物的核心纽带，其种类占比直接关系到指示物种的栖息稳定性，进而影响社区生态系统的完整性与生态服务功能发挥。较高的食源与蜜源植物种类占比，表明社区植物配置注重生态功能性，能够为鸟类、昆虫等指示物种提供充足的食物供给，有效促进社区生物多样性提升。</w:t>
      </w:r>
    </w:p>
    <w:p w14:paraId="2B7F7527">
      <w:pPr>
        <w:pStyle w:val="22"/>
        <w:snapToGrid w:val="0"/>
        <w:spacing w:line="360" w:lineRule="auto"/>
        <w:ind w:firstLine="480" w:firstLineChars="200"/>
        <w:rPr>
          <w:rFonts w:ascii="宋体" w:hAnsi="宋体" w:eastAsia="宋体"/>
        </w:rPr>
      </w:pPr>
      <w:r>
        <w:rPr>
          <w:rFonts w:hint="eastAsia" w:ascii="宋体" w:hAnsi="宋体" w:eastAsia="宋体"/>
        </w:rPr>
        <w:t>9</w:t>
      </w:r>
      <w:r>
        <w:rPr>
          <w:rFonts w:ascii="宋体" w:hAnsi="宋体" w:eastAsia="宋体"/>
        </w:rPr>
        <w:t xml:space="preserve"> </w:t>
      </w:r>
      <w:r>
        <w:rPr>
          <w:rFonts w:hint="eastAsia" w:ascii="宋体" w:hAnsi="宋体" w:eastAsia="宋体"/>
        </w:rPr>
        <w:t>日降雨量控制值（mm）</w:t>
      </w:r>
    </w:p>
    <w:p w14:paraId="7A8B8C51">
      <w:pPr>
        <w:widowControl/>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【指标来源】</w:t>
      </w:r>
    </w:p>
    <w:p w14:paraId="569302ED">
      <w:pPr>
        <w:pStyle w:val="22"/>
        <w:snapToGrid w:val="0"/>
        <w:spacing w:line="360" w:lineRule="auto"/>
        <w:ind w:firstLine="480" w:firstLineChars="200"/>
        <w:rPr>
          <w:rFonts w:ascii="宋体" w:hAnsi="宋体" w:eastAsia="宋体"/>
        </w:rPr>
      </w:pPr>
      <w:r>
        <w:rPr>
          <w:rFonts w:hint="eastAsia" w:ascii="宋体" w:hAnsi="宋体" w:eastAsia="宋体"/>
        </w:rPr>
        <w:t>基于现有前沿研究综合确定。</w:t>
      </w:r>
    </w:p>
    <w:p w14:paraId="28353258">
      <w:pPr>
        <w:widowControl/>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【指标解读】</w:t>
      </w:r>
    </w:p>
    <w:p w14:paraId="1A73DF97">
      <w:pPr>
        <w:pStyle w:val="22"/>
        <w:snapToGrid w:val="0"/>
        <w:spacing w:line="360" w:lineRule="auto"/>
        <w:ind w:firstLine="480" w:firstLineChars="200"/>
        <w:rPr>
          <w:rFonts w:ascii="宋体" w:hAnsi="宋体" w:eastAsia="宋体"/>
        </w:rPr>
      </w:pPr>
      <w:r>
        <w:rPr>
          <w:rFonts w:hint="eastAsia" w:ascii="宋体" w:hAnsi="宋体" w:eastAsia="宋体"/>
        </w:rPr>
        <w:t>日降雨量控制值是雨水径流控制对应的设计降雨量指标，其制定参考了现有前沿研究成果，综合考量了不同区域的降雨特征、地形地貌、排水系统承载能力等多方面因素，旨在为社区雨水管理提供科学合理的控制标准。通过明确该控制值，能够指导社区排水管网建设、雨水调蓄设施规划等工作，有效减少降雨引发的城市内涝、地表径流污染等问题，提升社区雨水资源利用效率和防洪排涝能力。该项指标数据主要通过排水管网与雨水径流监测、实地调查以及文献调研等方式获取，确保数据的准确性和科学性，为指标的应用和调整提供可靠支撑。</w:t>
      </w:r>
    </w:p>
    <w:p w14:paraId="53BE1D21">
      <w:pPr>
        <w:pStyle w:val="22"/>
        <w:snapToGrid w:val="0"/>
        <w:spacing w:line="360" w:lineRule="auto"/>
        <w:ind w:firstLine="480" w:firstLineChars="200"/>
        <w:rPr>
          <w:rFonts w:ascii="宋体" w:hAnsi="宋体" w:eastAsia="宋体"/>
        </w:rPr>
      </w:pPr>
      <w:r>
        <w:rPr>
          <w:rFonts w:hint="eastAsia" w:ascii="宋体" w:hAnsi="宋体" w:eastAsia="宋体"/>
        </w:rPr>
        <w:t>1</w:t>
      </w:r>
      <w:r>
        <w:rPr>
          <w:rFonts w:ascii="宋体" w:hAnsi="宋体" w:eastAsia="宋体"/>
        </w:rPr>
        <w:t xml:space="preserve">0 </w:t>
      </w:r>
      <w:r>
        <w:rPr>
          <w:rFonts w:hint="eastAsia" w:ascii="宋体" w:hAnsi="宋体" w:eastAsia="宋体"/>
        </w:rPr>
        <w:t>地表径流污染控制</w:t>
      </w:r>
    </w:p>
    <w:p w14:paraId="1BD9348F">
      <w:pPr>
        <w:widowControl/>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【指标来源】</w:t>
      </w:r>
    </w:p>
    <w:p w14:paraId="038C991A">
      <w:pPr>
        <w:snapToGrid w:val="0"/>
        <w:spacing w:line="360" w:lineRule="auto"/>
        <w:ind w:firstLine="480" w:firstLineChars="200"/>
        <w:rPr>
          <w:rFonts w:ascii="宋体" w:hAnsi="宋体" w:cs="宋体"/>
          <w:sz w:val="24"/>
        </w:rPr>
      </w:pPr>
      <w:r>
        <w:rPr>
          <w:rFonts w:hint="eastAsia" w:ascii="宋体" w:hAnsi="宋体" w:cs="宋体"/>
          <w:sz w:val="24"/>
        </w:rPr>
        <w:t>《地表水环境质量标准》GB3838-2002IV类水标准、《建筑与小区雨水控制及利用工程技术规范》GB50400-2016。</w:t>
      </w:r>
    </w:p>
    <w:p w14:paraId="1A7D18C0">
      <w:pPr>
        <w:widowControl/>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【指标解读】</w:t>
      </w:r>
    </w:p>
    <w:p w14:paraId="59466BA5">
      <w:pPr>
        <w:pStyle w:val="22"/>
        <w:snapToGrid w:val="0"/>
        <w:spacing w:line="360" w:lineRule="auto"/>
        <w:ind w:firstLine="480" w:firstLineChars="200"/>
        <w:rPr>
          <w:rFonts w:ascii="宋体" w:hAnsi="宋体" w:eastAsia="宋体"/>
        </w:rPr>
      </w:pPr>
      <w:r>
        <w:rPr>
          <w:rFonts w:hint="eastAsia" w:ascii="宋体" w:hAnsi="宋体" w:eastAsia="宋体"/>
        </w:rPr>
        <w:t>地表径流污染控制是衡量社区水环境质量的重要指标，其评价依据《地表水环境质量标准》GB3838-2002IV类水标准以及《建筑与小区雨水控制及利用工程技术规范》GB50400-2016相关要求，核心评价内容为社区降雨后地表径流COD浓度达标率。降雨过程中，地表径流会携带路面灰尘、垃圾、污染物等进入水体，对水环境造成破坏。通过控制地表径流污染，能够有效降低污染物入河量，保护周边水体生态环境。该指标数据通过排水管网与雨水径流监测、实地调查、文献调研等多种方式收集，全面掌握社区地表径流污染状况，为制定针对性的污染治理措施、提升社区水环境治理水平提供数据支持。</w:t>
      </w:r>
    </w:p>
    <w:p w14:paraId="3F704B29">
      <w:pPr>
        <w:pStyle w:val="22"/>
        <w:snapToGrid w:val="0"/>
        <w:spacing w:line="360" w:lineRule="auto"/>
        <w:ind w:firstLine="480" w:firstLineChars="200"/>
        <w:rPr>
          <w:rFonts w:ascii="宋体" w:hAnsi="宋体" w:eastAsia="宋体"/>
        </w:rPr>
      </w:pPr>
      <w:r>
        <w:rPr>
          <w:rFonts w:hint="eastAsia" w:ascii="宋体" w:hAnsi="宋体" w:eastAsia="宋体"/>
        </w:rPr>
        <w:t>1</w:t>
      </w:r>
      <w:r>
        <w:rPr>
          <w:rFonts w:ascii="宋体" w:hAnsi="宋体" w:eastAsia="宋体"/>
        </w:rPr>
        <w:t xml:space="preserve">1 </w:t>
      </w:r>
      <w:r>
        <w:rPr>
          <w:rFonts w:hint="eastAsia" w:ascii="宋体" w:hAnsi="宋体" w:eastAsia="宋体"/>
        </w:rPr>
        <w:t>水资源循环利用率</w:t>
      </w:r>
    </w:p>
    <w:p w14:paraId="4C2B2D41">
      <w:pPr>
        <w:widowControl/>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【指标来源】</w:t>
      </w:r>
    </w:p>
    <w:p w14:paraId="2F73F699">
      <w:pPr>
        <w:pStyle w:val="22"/>
        <w:snapToGrid w:val="0"/>
        <w:spacing w:line="360" w:lineRule="auto"/>
        <w:ind w:firstLine="480" w:firstLineChars="200"/>
        <w:rPr>
          <w:rFonts w:ascii="宋体" w:hAnsi="宋体" w:eastAsia="宋体"/>
        </w:rPr>
      </w:pPr>
      <w:r>
        <w:rPr>
          <w:rFonts w:hint="eastAsia" w:ascii="宋体" w:hAnsi="宋体" w:eastAsia="宋体"/>
        </w:rPr>
        <w:t>《建筑与小区雨水控制及利用工程技术规范》GB 50400-2016、《节水载体评价规范 第2部分：居民小区》DB4403T 643.2-2025。</w:t>
      </w:r>
    </w:p>
    <w:p w14:paraId="2D7BE6FD">
      <w:pPr>
        <w:widowControl/>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【指标解读】</w:t>
      </w:r>
    </w:p>
    <w:p w14:paraId="7CD2BA59">
      <w:pPr>
        <w:pStyle w:val="22"/>
        <w:snapToGrid w:val="0"/>
        <w:spacing w:line="360" w:lineRule="auto"/>
        <w:ind w:firstLine="480" w:firstLineChars="200"/>
        <w:rPr>
          <w:rFonts w:ascii="宋体" w:hAnsi="宋体" w:eastAsia="宋体"/>
        </w:rPr>
      </w:pPr>
      <w:r>
        <w:rPr>
          <w:rFonts w:hint="eastAsia" w:ascii="宋体" w:hAnsi="宋体" w:eastAsia="宋体"/>
        </w:rPr>
        <w:t>水资源循环利用率是指社区中水回用、雨水灌溉等循环利用水资源量占社区总用水量的比例，是体现社区水资源节约与循环利用水平的关键指标。其评价参考《建筑与小区雨水控制及利用工程技术规范》GB 50400-2016和《节水载体评价规范 第2部分：居民小区》DB4403T 643.2-2025的相关要求。在水资源日益短缺的背景下，提高社区水资源循环利用率，能够减少对市政供水的依赖，降低水资源消耗，缓解城市供水压力，同时减少污水排放，保护生态环境。该项指标数据通过实地调查获取，详细统计社区中水回用系统处理水量、雨水收集及灌溉用水量等循环利用水资源量，以及社区总用水量，科学核算水资源循环利用率，为社区水资源管理优化、节水措施制定提供依据。</w:t>
      </w:r>
    </w:p>
    <w:p w14:paraId="52004B5F">
      <w:pPr>
        <w:pStyle w:val="22"/>
        <w:snapToGrid w:val="0"/>
        <w:spacing w:line="360" w:lineRule="auto"/>
        <w:ind w:firstLine="480" w:firstLineChars="200"/>
        <w:rPr>
          <w:rFonts w:ascii="宋体" w:hAnsi="宋体" w:eastAsia="宋体"/>
        </w:rPr>
      </w:pPr>
      <w:r>
        <w:rPr>
          <w:rFonts w:hint="eastAsia" w:ascii="宋体" w:hAnsi="宋体" w:eastAsia="宋体"/>
        </w:rPr>
        <w:t>1</w:t>
      </w:r>
      <w:r>
        <w:rPr>
          <w:rFonts w:ascii="宋体" w:hAnsi="宋体" w:eastAsia="宋体"/>
        </w:rPr>
        <w:t xml:space="preserve">2 </w:t>
      </w:r>
      <w:r>
        <w:rPr>
          <w:rFonts w:hint="eastAsia" w:ascii="宋体" w:hAnsi="宋体" w:eastAsia="宋体"/>
        </w:rPr>
        <w:t>热舒适度指数（UTCI）</w:t>
      </w:r>
    </w:p>
    <w:p w14:paraId="05593E7F">
      <w:pPr>
        <w:widowControl/>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【指标来源】</w:t>
      </w:r>
    </w:p>
    <w:p w14:paraId="24F81C57">
      <w:pPr>
        <w:pStyle w:val="22"/>
        <w:snapToGrid w:val="0"/>
        <w:spacing w:line="360" w:lineRule="auto"/>
        <w:ind w:firstLine="480" w:firstLineChars="200"/>
        <w:rPr>
          <w:rFonts w:ascii="宋体" w:hAnsi="宋体" w:eastAsia="宋体"/>
        </w:rPr>
      </w:pPr>
      <w:r>
        <w:rPr>
          <w:rFonts w:hint="eastAsia" w:ascii="宋体" w:hAnsi="宋体" w:eastAsia="宋体"/>
        </w:rPr>
        <w:t>基于现有前沿研究综合确定。</w:t>
      </w:r>
    </w:p>
    <w:p w14:paraId="4A6D503D">
      <w:pPr>
        <w:widowControl/>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【指标解读】</w:t>
      </w:r>
    </w:p>
    <w:p w14:paraId="5A718FC9">
      <w:pPr>
        <w:pStyle w:val="22"/>
        <w:spacing w:line="360" w:lineRule="auto"/>
        <w:ind w:firstLine="480" w:firstLineChars="200"/>
        <w:rPr>
          <w:rFonts w:ascii="宋体" w:hAnsi="宋体" w:eastAsia="宋体"/>
        </w:rPr>
      </w:pPr>
      <w:r>
        <w:rPr>
          <w:rFonts w:hint="eastAsia" w:ascii="宋体" w:hAnsi="宋体" w:eastAsia="宋体"/>
        </w:rPr>
        <w:t>微气候调节应用热舒适度</w:t>
      </w:r>
      <w:r>
        <w:rPr>
          <w:rFonts w:ascii="宋体" w:hAnsi="宋体" w:eastAsia="宋体"/>
        </w:rPr>
        <w:t>UTCI</w:t>
      </w:r>
      <w:r>
        <w:rPr>
          <w:rFonts w:hint="eastAsia" w:ascii="宋体" w:hAnsi="宋体" w:eastAsia="宋体"/>
        </w:rPr>
        <w:t>核算。通过人体处于稳态的热环境下，人体产热量与人体向外界散出的热量之间的差值计算得出。热舒适度公式如下：</w:t>
      </w:r>
    </w:p>
    <w:p w14:paraId="51A5F885">
      <w:pPr>
        <w:pStyle w:val="22"/>
        <w:spacing w:line="360" w:lineRule="auto"/>
        <w:rPr>
          <w:rFonts w:ascii="宋体" w:hAnsi="宋体" w:eastAsia="宋体" w:cs="Times New Roman"/>
        </w:rPr>
      </w:pPr>
      <m:oMathPara>
        <m:oMath>
          <m:r>
            <m:rPr/>
            <w:rPr>
              <w:rFonts w:ascii="Cambria Math" w:hAnsi="Cambria Math" w:eastAsia="宋体" w:cs="Times New Roman"/>
            </w:rPr>
            <m:t>UTCI</m:t>
          </m:r>
          <m:r>
            <m:rPr>
              <m:sty m:val="p"/>
            </m:rPr>
            <w:rPr>
              <w:rFonts w:ascii="Cambria Math" w:hAnsi="Cambria Math" w:eastAsia="宋体" w:cs="Times New Roman"/>
            </w:rPr>
            <m:t>=f</m:t>
          </m:r>
          <m:d>
            <m:dPr>
              <m:begChr m:val="（"/>
              <m:endChr m:val="）"/>
              <m:ctrlPr>
                <w:rPr>
                  <w:rFonts w:ascii="Cambria Math" w:hAnsi="Cambria Math" w:eastAsia="宋体" w:cs="Times New Roman"/>
                </w:rPr>
              </m:ctrlPr>
            </m:dPr>
            <m:e>
              <m:sSub>
                <m:sSubPr>
                  <m:ctrlPr>
                    <w:rPr>
                      <w:rFonts w:ascii="Cambria Math" w:hAnsi="Cambria Math" w:eastAsia="宋体" w:cs="Times New Roman"/>
                    </w:rPr>
                  </m:ctrlPr>
                </m:sSubPr>
                <m:e>
                  <m:r>
                    <m:rPr/>
                    <w:rPr>
                      <w:rFonts w:ascii="Cambria Math" w:hAnsi="Cambria Math" w:eastAsia="宋体" w:cs="Times New Roman"/>
                    </w:rPr>
                    <m:t>T</m:t>
                  </m:r>
                  <m:ctrlPr>
                    <w:rPr>
                      <w:rFonts w:ascii="Cambria Math" w:hAnsi="Cambria Math" w:eastAsia="宋体" w:cs="Times New Roman"/>
                    </w:rPr>
                  </m:ctrlPr>
                </m:e>
                <m:sub>
                  <m:r>
                    <m:rPr/>
                    <w:rPr>
                      <w:rFonts w:ascii="Cambria Math" w:hAnsi="Cambria Math" w:eastAsia="宋体" w:cs="Times New Roman"/>
                    </w:rPr>
                    <m:t>a</m:t>
                  </m:r>
                  <m:ctrlPr>
                    <w:rPr>
                      <w:rFonts w:ascii="Cambria Math" w:hAnsi="Cambria Math" w:eastAsia="宋体" w:cs="Times New Roman"/>
                    </w:rPr>
                  </m:ctrlPr>
                </m:sub>
              </m:sSub>
              <m:r>
                <m:rPr>
                  <m:sty m:val="p"/>
                </m:rPr>
                <w:rPr>
                  <w:rFonts w:ascii="Cambria Math" w:hAnsi="Cambria Math" w:eastAsia="宋体" w:cs="Times New Roman"/>
                </w:rPr>
                <m:t>，</m:t>
              </m:r>
              <m:sSub>
                <m:sSubPr>
                  <m:ctrlPr>
                    <w:rPr>
                      <w:rFonts w:ascii="Cambria Math" w:hAnsi="Cambria Math" w:eastAsia="宋体" w:cs="Times New Roman"/>
                    </w:rPr>
                  </m:ctrlPr>
                </m:sSubPr>
                <m:e>
                  <m:r>
                    <m:rPr/>
                    <w:rPr>
                      <w:rFonts w:ascii="Cambria Math" w:hAnsi="Cambria Math" w:eastAsia="宋体" w:cs="Times New Roman"/>
                    </w:rPr>
                    <m:t>V</m:t>
                  </m:r>
                  <m:ctrlPr>
                    <w:rPr>
                      <w:rFonts w:ascii="Cambria Math" w:hAnsi="Cambria Math" w:eastAsia="宋体" w:cs="Times New Roman"/>
                    </w:rPr>
                  </m:ctrlPr>
                </m:e>
                <m:sub>
                  <m:r>
                    <m:rPr/>
                    <w:rPr>
                      <w:rFonts w:ascii="Cambria Math" w:hAnsi="Cambria Math" w:eastAsia="宋体" w:cs="Times New Roman"/>
                    </w:rPr>
                    <m:t>a</m:t>
                  </m:r>
                  <m:ctrlPr>
                    <w:rPr>
                      <w:rFonts w:ascii="Cambria Math" w:hAnsi="Cambria Math" w:eastAsia="宋体" w:cs="Times New Roman"/>
                    </w:rPr>
                  </m:ctrlPr>
                </m:sub>
              </m:sSub>
              <m:r>
                <m:rPr>
                  <m:sty m:val="p"/>
                </m:rPr>
                <w:rPr>
                  <w:rFonts w:ascii="Cambria Math" w:hAnsi="Cambria Math" w:eastAsia="宋体" w:cs="Times New Roman"/>
                </w:rPr>
                <m:t>，</m:t>
              </m:r>
              <m:r>
                <m:rPr/>
                <w:rPr>
                  <w:rFonts w:ascii="Cambria Math" w:hAnsi="Cambria Math" w:eastAsia="宋体" w:cs="Times New Roman"/>
                </w:rPr>
                <m:t>RH</m:t>
              </m:r>
              <m:r>
                <m:rPr>
                  <m:sty m:val="p"/>
                </m:rPr>
                <w:rPr>
                  <w:rFonts w:ascii="Cambria Math" w:hAnsi="Cambria Math" w:eastAsia="宋体" w:cs="Times New Roman"/>
                </w:rPr>
                <m:t>，</m:t>
              </m:r>
              <m:sSub>
                <m:sSubPr>
                  <m:ctrlPr>
                    <w:rPr>
                      <w:rFonts w:ascii="Cambria Math" w:hAnsi="Cambria Math" w:eastAsia="宋体" w:cs="Times New Roman"/>
                    </w:rPr>
                  </m:ctrlPr>
                </m:sSubPr>
                <m:e>
                  <m:r>
                    <m:rPr/>
                    <w:rPr>
                      <w:rFonts w:ascii="Cambria Math" w:hAnsi="Cambria Math" w:eastAsia="宋体" w:cs="Times New Roman"/>
                    </w:rPr>
                    <m:t>T</m:t>
                  </m:r>
                  <m:ctrlPr>
                    <w:rPr>
                      <w:rFonts w:ascii="Cambria Math" w:hAnsi="Cambria Math" w:eastAsia="宋体" w:cs="Times New Roman"/>
                    </w:rPr>
                  </m:ctrlPr>
                </m:e>
                <m:sub>
                  <m:r>
                    <m:rPr/>
                    <w:rPr>
                      <w:rFonts w:ascii="Cambria Math" w:hAnsi="Cambria Math" w:eastAsia="宋体" w:cs="Times New Roman"/>
                    </w:rPr>
                    <m:t>mrt</m:t>
                  </m:r>
                  <m:ctrlPr>
                    <w:rPr>
                      <w:rFonts w:ascii="Cambria Math" w:hAnsi="Cambria Math" w:eastAsia="宋体" w:cs="Times New Roman"/>
                    </w:rPr>
                  </m:ctrlPr>
                </m:sub>
              </m:sSub>
              <m:ctrlPr>
                <w:rPr>
                  <w:rFonts w:ascii="Cambria Math" w:hAnsi="Cambria Math" w:eastAsia="宋体" w:cs="Times New Roman"/>
                </w:rPr>
              </m:ctrlPr>
            </m:e>
          </m:d>
          <m:r>
            <m:rPr>
              <m:sty m:val="p"/>
            </m:rPr>
            <w:rPr>
              <w:rFonts w:ascii="Cambria Math" w:hAnsi="Cambria Math" w:eastAsia="宋体" w:cs="Times New Roman"/>
            </w:rPr>
            <m:t>=</m:t>
          </m:r>
          <m:sSub>
            <m:sSubPr>
              <m:ctrlPr>
                <w:rPr>
                  <w:rFonts w:ascii="Cambria Math" w:hAnsi="Cambria Math" w:eastAsia="宋体" w:cs="Times New Roman"/>
                </w:rPr>
              </m:ctrlPr>
            </m:sSubPr>
            <m:e>
              <m:r>
                <m:rPr/>
                <w:rPr>
                  <w:rFonts w:ascii="Cambria Math" w:hAnsi="Cambria Math" w:eastAsia="宋体" w:cs="Times New Roman"/>
                </w:rPr>
                <m:t>T</m:t>
              </m:r>
              <m:ctrlPr>
                <w:rPr>
                  <w:rFonts w:ascii="Cambria Math" w:hAnsi="Cambria Math" w:eastAsia="宋体" w:cs="Times New Roman"/>
                </w:rPr>
              </m:ctrlPr>
            </m:e>
            <m:sub>
              <m:r>
                <m:rPr/>
                <w:rPr>
                  <w:rFonts w:ascii="Cambria Math" w:hAnsi="Cambria Math" w:eastAsia="宋体" w:cs="Times New Roman"/>
                </w:rPr>
                <m:t>a</m:t>
              </m:r>
              <m:ctrlPr>
                <w:rPr>
                  <w:rFonts w:ascii="Cambria Math" w:hAnsi="Cambria Math" w:eastAsia="宋体" w:cs="Times New Roman"/>
                </w:rPr>
              </m:ctrlPr>
            </m:sub>
          </m:sSub>
          <m:r>
            <m:rPr/>
            <w:rPr>
              <w:rFonts w:ascii="Cambria Math" w:hAnsi="Cambria Math" w:eastAsia="宋体" w:cs="Times New Roman"/>
            </w:rPr>
            <m:t>+offset</m:t>
          </m:r>
          <m:r>
            <m:rPr>
              <m:sty m:val="p"/>
            </m:rPr>
            <w:rPr>
              <w:rFonts w:ascii="Cambria Math" w:hAnsi="Cambria Math" w:eastAsia="宋体" w:cs="Times New Roman"/>
            </w:rPr>
            <m:t>（</m:t>
          </m:r>
          <m:sSub>
            <m:sSubPr>
              <m:ctrlPr>
                <w:rPr>
                  <w:rFonts w:ascii="Cambria Math" w:hAnsi="Cambria Math" w:eastAsia="宋体" w:cs="Times New Roman"/>
                </w:rPr>
              </m:ctrlPr>
            </m:sSubPr>
            <m:e>
              <m:r>
                <m:rPr/>
                <w:rPr>
                  <w:rFonts w:ascii="Cambria Math" w:hAnsi="Cambria Math" w:eastAsia="宋体" w:cs="Times New Roman"/>
                </w:rPr>
                <m:t>T</m:t>
              </m:r>
              <m:ctrlPr>
                <w:rPr>
                  <w:rFonts w:ascii="Cambria Math" w:hAnsi="Cambria Math" w:eastAsia="宋体" w:cs="Times New Roman"/>
                </w:rPr>
              </m:ctrlPr>
            </m:e>
            <m:sub>
              <m:r>
                <m:rPr/>
                <w:rPr>
                  <w:rFonts w:ascii="Cambria Math" w:hAnsi="Cambria Math" w:eastAsia="宋体" w:cs="Times New Roman"/>
                </w:rPr>
                <m:t>a</m:t>
              </m:r>
              <m:ctrlPr>
                <w:rPr>
                  <w:rFonts w:ascii="Cambria Math" w:hAnsi="Cambria Math" w:eastAsia="宋体" w:cs="Times New Roman"/>
                </w:rPr>
              </m:ctrlPr>
            </m:sub>
          </m:sSub>
          <m:r>
            <m:rPr>
              <m:sty m:val="p"/>
            </m:rPr>
            <w:rPr>
              <w:rFonts w:ascii="Cambria Math" w:hAnsi="Cambria Math" w:eastAsia="宋体" w:cs="Times New Roman"/>
            </w:rPr>
            <m:t>，</m:t>
          </m:r>
          <m:sSub>
            <m:sSubPr>
              <m:ctrlPr>
                <w:rPr>
                  <w:rFonts w:ascii="Cambria Math" w:hAnsi="Cambria Math" w:eastAsia="宋体" w:cs="Times New Roman"/>
                </w:rPr>
              </m:ctrlPr>
            </m:sSubPr>
            <m:e>
              <m:r>
                <m:rPr/>
                <w:rPr>
                  <w:rFonts w:ascii="Cambria Math" w:hAnsi="Cambria Math" w:eastAsia="宋体" w:cs="Times New Roman"/>
                </w:rPr>
                <m:t>V</m:t>
              </m:r>
              <m:ctrlPr>
                <w:rPr>
                  <w:rFonts w:ascii="Cambria Math" w:hAnsi="Cambria Math" w:eastAsia="宋体" w:cs="Times New Roman"/>
                </w:rPr>
              </m:ctrlPr>
            </m:e>
            <m:sub>
              <m:r>
                <m:rPr/>
                <w:rPr>
                  <w:rFonts w:ascii="Cambria Math" w:hAnsi="Cambria Math" w:eastAsia="宋体" w:cs="Times New Roman"/>
                </w:rPr>
                <m:t>a</m:t>
              </m:r>
              <m:ctrlPr>
                <w:rPr>
                  <w:rFonts w:ascii="Cambria Math" w:hAnsi="Cambria Math" w:eastAsia="宋体" w:cs="Times New Roman"/>
                </w:rPr>
              </m:ctrlPr>
            </m:sub>
          </m:sSub>
          <m:r>
            <m:rPr>
              <m:sty m:val="p"/>
            </m:rPr>
            <w:rPr>
              <w:rFonts w:ascii="Cambria Math" w:hAnsi="Cambria Math" w:eastAsia="宋体" w:cs="Times New Roman"/>
            </w:rPr>
            <m:t>，RH，</m:t>
          </m:r>
          <m:sSub>
            <m:sSubPr>
              <m:ctrlPr>
                <w:rPr>
                  <w:rFonts w:ascii="Cambria Math" w:hAnsi="Cambria Math" w:eastAsia="宋体" w:cs="Times New Roman"/>
                </w:rPr>
              </m:ctrlPr>
            </m:sSubPr>
            <m:e>
              <m:r>
                <m:rPr/>
                <w:rPr>
                  <w:rFonts w:ascii="Cambria Math" w:hAnsi="Cambria Math" w:eastAsia="宋体" w:cs="Times New Roman"/>
                </w:rPr>
                <m:t>T</m:t>
              </m:r>
              <m:ctrlPr>
                <w:rPr>
                  <w:rFonts w:ascii="Cambria Math" w:hAnsi="Cambria Math" w:eastAsia="宋体" w:cs="Times New Roman"/>
                </w:rPr>
              </m:ctrlPr>
            </m:e>
            <m:sub>
              <m:r>
                <m:rPr/>
                <w:rPr>
                  <w:rFonts w:ascii="Cambria Math" w:hAnsi="Cambria Math" w:eastAsia="宋体" w:cs="Times New Roman"/>
                </w:rPr>
                <m:t>mrt</m:t>
              </m:r>
              <m:ctrlPr>
                <w:rPr>
                  <w:rFonts w:ascii="Cambria Math" w:hAnsi="Cambria Math" w:eastAsia="宋体" w:cs="Times New Roman"/>
                </w:rPr>
              </m:ctrlPr>
            </m:sub>
          </m:sSub>
          <m:r>
            <m:rPr>
              <m:sty m:val="p"/>
            </m:rPr>
            <w:rPr>
              <w:rFonts w:ascii="Cambria Math" w:hAnsi="Cambria Math" w:eastAsia="宋体" w:cs="Times New Roman"/>
            </w:rPr>
            <m:t>）</m:t>
          </m:r>
        </m:oMath>
      </m:oMathPara>
    </w:p>
    <w:p w14:paraId="673BF2BC">
      <w:pPr>
        <w:pStyle w:val="22"/>
        <w:spacing w:line="360" w:lineRule="auto"/>
        <w:ind w:firstLine="480" w:firstLineChars="200"/>
        <w:rPr>
          <w:rFonts w:ascii="宋体" w:hAnsi="宋体" w:eastAsia="宋体"/>
        </w:rPr>
      </w:pPr>
      <w:r>
        <w:rPr>
          <w:rFonts w:hint="eastAsia" w:ascii="宋体" w:hAnsi="宋体" w:eastAsia="宋体"/>
        </w:rPr>
        <w:t>式中：</w:t>
      </w:r>
      <m:oMath>
        <m:sSub>
          <m:sSubPr>
            <m:ctrlPr>
              <w:rPr>
                <w:rFonts w:ascii="Cambria Math" w:hAnsi="Cambria Math" w:eastAsia="宋体" w:cs="Times New Roman"/>
              </w:rPr>
            </m:ctrlPr>
          </m:sSubPr>
          <m:e>
            <m:r>
              <m:rPr/>
              <w:rPr>
                <w:rFonts w:ascii="Cambria Math" w:hAnsi="Cambria Math" w:eastAsia="宋体" w:cs="Times New Roman"/>
              </w:rPr>
              <m:t>T</m:t>
            </m:r>
            <m:ctrlPr>
              <w:rPr>
                <w:rFonts w:ascii="Cambria Math" w:hAnsi="Cambria Math" w:eastAsia="宋体" w:cs="Times New Roman"/>
              </w:rPr>
            </m:ctrlPr>
          </m:e>
          <m:sub>
            <m:r>
              <m:rPr/>
              <w:rPr>
                <w:rFonts w:ascii="Cambria Math" w:hAnsi="Cambria Math" w:eastAsia="宋体" w:cs="Times New Roman"/>
              </w:rPr>
              <m:t>a</m:t>
            </m:r>
            <m:ctrlPr>
              <w:rPr>
                <w:rFonts w:ascii="Cambria Math" w:hAnsi="Cambria Math" w:eastAsia="宋体" w:cs="Times New Roman"/>
              </w:rPr>
            </m:ctrlPr>
          </m:sub>
        </m:sSub>
      </m:oMath>
      <w:r>
        <w:rPr>
          <w:rFonts w:hint="eastAsia" w:ascii="宋体" w:hAnsi="宋体" w:eastAsia="宋体"/>
        </w:rPr>
        <w:t>是2m高的空气温度；</w:t>
      </w:r>
      <m:oMath>
        <m:sSub>
          <m:sSubPr>
            <m:ctrlPr>
              <w:rPr>
                <w:rFonts w:ascii="Cambria Math" w:hAnsi="Cambria Math" w:eastAsia="宋体" w:cs="Times New Roman"/>
              </w:rPr>
            </m:ctrlPr>
          </m:sSubPr>
          <m:e>
            <m:r>
              <m:rPr/>
              <w:rPr>
                <w:rFonts w:ascii="Cambria Math" w:hAnsi="Cambria Math" w:eastAsia="宋体" w:cs="Times New Roman"/>
              </w:rPr>
              <m:t>V</m:t>
            </m:r>
            <m:ctrlPr>
              <w:rPr>
                <w:rFonts w:ascii="Cambria Math" w:hAnsi="Cambria Math" w:eastAsia="宋体" w:cs="Times New Roman"/>
              </w:rPr>
            </m:ctrlPr>
          </m:e>
          <m:sub>
            <m:r>
              <m:rPr/>
              <w:rPr>
                <w:rFonts w:ascii="Cambria Math" w:hAnsi="Cambria Math" w:eastAsia="宋体" w:cs="Times New Roman"/>
              </w:rPr>
              <m:t>a</m:t>
            </m:r>
            <m:ctrlPr>
              <w:rPr>
                <w:rFonts w:ascii="Cambria Math" w:hAnsi="Cambria Math" w:eastAsia="宋体" w:cs="Times New Roman"/>
              </w:rPr>
            </m:ctrlPr>
          </m:sub>
        </m:sSub>
      </m:oMath>
      <w:r>
        <w:rPr>
          <w:rFonts w:hint="eastAsia" w:ascii="宋体" w:hAnsi="宋体" w:eastAsia="宋体"/>
        </w:rPr>
        <w:t>是1</w:t>
      </w:r>
      <w:r>
        <w:rPr>
          <w:rFonts w:ascii="宋体" w:hAnsi="宋体" w:eastAsia="宋体"/>
        </w:rPr>
        <w:t>0</w:t>
      </w:r>
      <w:r>
        <w:rPr>
          <w:rFonts w:hint="eastAsia" w:ascii="宋体" w:hAnsi="宋体" w:eastAsia="宋体"/>
        </w:rPr>
        <w:t>m高的风速；</w:t>
      </w:r>
      <m:oMath>
        <m:r>
          <m:rPr/>
          <w:rPr>
            <w:rFonts w:ascii="Cambria Math" w:hAnsi="Cambria Math" w:eastAsia="宋体" w:cs="Times New Roman"/>
          </w:rPr>
          <m:t>RH</m:t>
        </m:r>
      </m:oMath>
      <w:r>
        <w:rPr>
          <w:rFonts w:hint="eastAsia" w:ascii="宋体" w:hAnsi="宋体" w:eastAsia="宋体"/>
        </w:rPr>
        <w:t>是相对湿度；</w:t>
      </w:r>
      <m:oMath>
        <m:sSub>
          <m:sSubPr>
            <m:ctrlPr>
              <w:rPr>
                <w:rFonts w:ascii="Cambria Math" w:hAnsi="Cambria Math" w:eastAsia="宋体" w:cs="Times New Roman"/>
              </w:rPr>
            </m:ctrlPr>
          </m:sSubPr>
          <m:e>
            <m:r>
              <m:rPr/>
              <w:rPr>
                <w:rFonts w:ascii="Cambria Math" w:hAnsi="Cambria Math" w:eastAsia="宋体" w:cs="Times New Roman"/>
              </w:rPr>
              <m:t>T</m:t>
            </m:r>
            <m:ctrlPr>
              <w:rPr>
                <w:rFonts w:ascii="Cambria Math" w:hAnsi="Cambria Math" w:eastAsia="宋体" w:cs="Times New Roman"/>
              </w:rPr>
            </m:ctrlPr>
          </m:e>
          <m:sub>
            <m:r>
              <m:rPr/>
              <w:rPr>
                <w:rFonts w:ascii="Cambria Math" w:hAnsi="Cambria Math" w:eastAsia="宋体" w:cs="Times New Roman"/>
              </w:rPr>
              <m:t>mrt</m:t>
            </m:r>
            <m:ctrlPr>
              <w:rPr>
                <w:rFonts w:ascii="Cambria Math" w:hAnsi="Cambria Math" w:eastAsia="宋体" w:cs="Times New Roman"/>
              </w:rPr>
            </m:ctrlPr>
          </m:sub>
        </m:sSub>
      </m:oMath>
      <w:r>
        <w:rPr>
          <w:rFonts w:hint="eastAsia" w:ascii="宋体" w:hAnsi="宋体" w:eastAsia="宋体"/>
        </w:rPr>
        <w:t>是平均辐射温度；</w:t>
      </w:r>
      <m:oMath>
        <m:r>
          <m:rPr/>
          <w:rPr>
            <w:rFonts w:ascii="Cambria Math" w:hAnsi="Cambria Math" w:eastAsia="宋体" w:cs="Times New Roman"/>
          </w:rPr>
          <m:t>offset</m:t>
        </m:r>
      </m:oMath>
      <w:r>
        <w:rPr>
          <w:rFonts w:hint="eastAsia" w:ascii="宋体" w:hAnsi="宋体" w:eastAsia="宋体"/>
        </w:rPr>
        <w:t>表示与空气温度、风速、相对湿度和平均辐射温度相关的偏移函数。</w:t>
      </w:r>
      <m:oMath>
        <m:r>
          <m:rPr/>
          <w:rPr>
            <w:rFonts w:ascii="Cambria Math" w:hAnsi="Cambria Math" w:eastAsia="宋体" w:cs="Times New Roman"/>
          </w:rPr>
          <m:t>UTCI</m:t>
        </m:r>
      </m:oMath>
      <w:r>
        <w:rPr>
          <w:rFonts w:hint="eastAsia" w:ascii="宋体" w:hAnsi="宋体" w:eastAsia="宋体"/>
        </w:rPr>
        <w:t>输出结果是一个等效温度，不同的等效温度代表了不同的热压力水平。</w:t>
      </w:r>
    </w:p>
    <w:p w14:paraId="1E2AF372">
      <w:pPr>
        <w:pStyle w:val="22"/>
        <w:snapToGrid w:val="0"/>
        <w:spacing w:line="360" w:lineRule="auto"/>
        <w:ind w:firstLine="480" w:firstLineChars="200"/>
        <w:rPr>
          <w:rFonts w:ascii="宋体" w:hAnsi="宋体" w:eastAsia="宋体"/>
        </w:rPr>
      </w:pPr>
      <w:r>
        <w:rPr>
          <w:rFonts w:hint="eastAsia" w:ascii="宋体" w:hAnsi="宋体" w:eastAsia="宋体" w:cs="宋体"/>
        </w:rPr>
        <w:t>该指标的参考标准基于现有前沿研究综合划定，充分考虑了不同气候区域、季节变化等因素对人体热舒适度的影响。通过对社区热舒适度指数的监测与评估，能够了解社区内不同区域的热环境状况，识别热环境较差的区域，为社区绿化布局优化、通风廊道建设、建筑设计改进等提供科学依据，进而提升居民居住的舒适度和幸福感。指标数据通过现场测定及模拟、实地调查等方式获取，确保数据能够真实反映社区热环境实际情况。</w:t>
      </w:r>
    </w:p>
    <w:p w14:paraId="70584F6E">
      <w:pPr>
        <w:pStyle w:val="22"/>
        <w:snapToGrid w:val="0"/>
        <w:spacing w:line="360" w:lineRule="auto"/>
        <w:ind w:firstLine="480" w:firstLineChars="200"/>
        <w:rPr>
          <w:rFonts w:ascii="宋体" w:hAnsi="宋体" w:eastAsia="宋体"/>
        </w:rPr>
      </w:pPr>
      <w:r>
        <w:rPr>
          <w:rFonts w:hint="eastAsia" w:ascii="宋体" w:hAnsi="宋体" w:eastAsia="宋体"/>
        </w:rPr>
        <w:t>1</w:t>
      </w:r>
      <w:r>
        <w:rPr>
          <w:rFonts w:ascii="宋体" w:hAnsi="宋体" w:eastAsia="宋体"/>
        </w:rPr>
        <w:t xml:space="preserve">3 </w:t>
      </w:r>
      <w:r>
        <w:rPr>
          <w:rFonts w:hint="eastAsia" w:ascii="宋体" w:hAnsi="宋体" w:eastAsia="宋体"/>
        </w:rPr>
        <w:t>道路和公共开放空间夏季遮阳度</w:t>
      </w:r>
    </w:p>
    <w:p w14:paraId="5EAC169D">
      <w:pPr>
        <w:widowControl/>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【指标来源】</w:t>
      </w:r>
    </w:p>
    <w:p w14:paraId="0AEC78CE">
      <w:pPr>
        <w:pStyle w:val="22"/>
        <w:snapToGrid w:val="0"/>
        <w:spacing w:line="360" w:lineRule="auto"/>
        <w:ind w:firstLine="480" w:firstLineChars="200"/>
        <w:rPr>
          <w:rFonts w:ascii="宋体" w:hAnsi="宋体" w:eastAsia="宋体"/>
        </w:rPr>
      </w:pPr>
      <w:r>
        <w:rPr>
          <w:rFonts w:hint="eastAsia" w:ascii="宋体" w:hAnsi="宋体" w:eastAsia="宋体"/>
        </w:rPr>
        <w:t>《健康社区评价标准》T/CECS 650-2020、《生态社区评价指南》GB/T 40240-2021。</w:t>
      </w:r>
    </w:p>
    <w:p w14:paraId="1FC188EC">
      <w:pPr>
        <w:widowControl/>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【指标解读】</w:t>
      </w:r>
    </w:p>
    <w:p w14:paraId="5FE7DD90">
      <w:pPr>
        <w:pStyle w:val="22"/>
        <w:snapToGrid w:val="0"/>
        <w:spacing w:line="360" w:lineRule="auto"/>
        <w:ind w:firstLine="480" w:firstLineChars="200"/>
        <w:rPr>
          <w:rFonts w:ascii="宋体" w:hAnsi="宋体" w:eastAsia="宋体"/>
        </w:rPr>
      </w:pPr>
      <w:r>
        <w:rPr>
          <w:rFonts w:hint="eastAsia" w:ascii="宋体" w:hAnsi="宋体" w:eastAsia="宋体"/>
        </w:rPr>
        <w:t>道路和公共开放空间夏季遮阳度是指社区内部道路和公共开放空间等地面范围内，遮阳体正投影面积总和占该场地地面面积的比率，其评价依据《健康社区评价标准》T/CECS 650-2020和《生态社区评价指南》GB/T 40240-2021的相关要求。夏季高温天气下，充足的遮阳能够有效降低地面温度，减少太阳辐射对居民户外活动的影响，提升居民在道路和公共开放空间活动的舒适度和安全性，同时也有助于降低城市热岛效应。遮阳体包括树木、遮阳棚、建筑物阴影等。该指标数据通过无人机影像分析和实地调查相结合的方式获取，精准统计遮阳体正投影面积和场地地面面积，科学核算夏季遮阳度，为社区遮阳设施规划建设、绿化树种选择与布局优化等提供数据支撑，助力打造舒适宜居的社区公共空间。</w:t>
      </w:r>
    </w:p>
    <w:p w14:paraId="06EC1996">
      <w:pPr>
        <w:pStyle w:val="22"/>
        <w:snapToGrid w:val="0"/>
        <w:spacing w:line="360" w:lineRule="auto"/>
        <w:ind w:firstLine="480" w:firstLineChars="200"/>
        <w:rPr>
          <w:rFonts w:ascii="宋体" w:hAnsi="宋体" w:eastAsia="宋体"/>
        </w:rPr>
      </w:pPr>
      <w:r>
        <w:rPr>
          <w:rFonts w:hint="eastAsia" w:ascii="宋体" w:hAnsi="宋体" w:eastAsia="宋体"/>
        </w:rPr>
        <w:t>1</w:t>
      </w:r>
      <w:r>
        <w:rPr>
          <w:rFonts w:ascii="宋体" w:hAnsi="宋体" w:eastAsia="宋体"/>
        </w:rPr>
        <w:t xml:space="preserve">4 </w:t>
      </w:r>
      <w:r>
        <w:rPr>
          <w:rFonts w:hint="eastAsia" w:ascii="宋体" w:hAnsi="宋体" w:eastAsia="宋体"/>
        </w:rPr>
        <w:t>道路和公共开放空间的冬季日照度</w:t>
      </w:r>
    </w:p>
    <w:p w14:paraId="5EAE7C21">
      <w:pPr>
        <w:widowControl/>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【指标来源】</w:t>
      </w:r>
    </w:p>
    <w:p w14:paraId="66DCF93E">
      <w:pPr>
        <w:pStyle w:val="22"/>
        <w:snapToGrid w:val="0"/>
        <w:spacing w:line="360" w:lineRule="auto"/>
        <w:ind w:firstLine="480" w:firstLineChars="200"/>
        <w:rPr>
          <w:rFonts w:ascii="宋体" w:hAnsi="宋体" w:eastAsia="宋体"/>
        </w:rPr>
      </w:pPr>
      <w:r>
        <w:rPr>
          <w:rFonts w:hint="eastAsia" w:ascii="宋体" w:hAnsi="宋体" w:eastAsia="宋体"/>
        </w:rPr>
        <w:t>《中国绿色低碳住区技术评估手册》。</w:t>
      </w:r>
    </w:p>
    <w:p w14:paraId="6E6A018F">
      <w:pPr>
        <w:widowControl/>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【指标解读】</w:t>
      </w:r>
    </w:p>
    <w:p w14:paraId="56CCDC6D">
      <w:pPr>
        <w:pStyle w:val="22"/>
        <w:snapToGrid w:val="0"/>
        <w:spacing w:line="360" w:lineRule="auto"/>
        <w:ind w:firstLine="480" w:firstLineChars="200"/>
        <w:rPr>
          <w:rFonts w:ascii="宋体" w:hAnsi="宋体" w:eastAsia="宋体"/>
        </w:rPr>
      </w:pPr>
      <w:r>
        <w:rPr>
          <w:rFonts w:hint="eastAsia" w:ascii="宋体" w:hAnsi="宋体" w:eastAsia="宋体"/>
        </w:rPr>
        <w:t>道路和公共开放空间的冬季日照度是衡量社区冬季居住环境质量的重要指标，评价标准依据《中国绿色低碳住区技术评估手册》确定，具体为大寒日公共开放空间获得不少于1h的日照的比例。冬季日照对居民生活至关重要，充足的日照不仅能够提升环境温度，为居民户外活动提供舒适的条件，还能起到杀菌消毒的作用，有利于居民身体健康。同时，合理的日照布局也符合绿色低碳住区的建设理念，能够减少冬季供暖能源消耗。该指标数据通过无人机影像分析和实地调查获取，全面掌握社区内道路和公共开放空间的日照情况，准确核算大寒日获得规定时长日照的公共开放空间比例。针对日照不足的区域，可通过调整建筑布局、优化绿化配置等方式进行改进，提升社区冬季日照条件，增强居民居住的舒适度和满意度。</w:t>
      </w:r>
    </w:p>
    <w:p w14:paraId="2A9E5541">
      <w:pPr>
        <w:pStyle w:val="22"/>
        <w:snapToGrid w:val="0"/>
        <w:spacing w:line="360" w:lineRule="auto"/>
        <w:ind w:firstLine="480" w:firstLineChars="200"/>
        <w:rPr>
          <w:rFonts w:ascii="宋体" w:hAnsi="宋体" w:eastAsia="宋体"/>
        </w:rPr>
      </w:pPr>
      <w:r>
        <w:rPr>
          <w:rFonts w:hint="eastAsia" w:ascii="宋体" w:hAnsi="宋体" w:eastAsia="宋体"/>
        </w:rPr>
        <w:t>1</w:t>
      </w:r>
      <w:r>
        <w:rPr>
          <w:rFonts w:ascii="宋体" w:hAnsi="宋体" w:eastAsia="宋体"/>
        </w:rPr>
        <w:t xml:space="preserve">5 </w:t>
      </w:r>
      <w:r>
        <w:rPr>
          <w:rFonts w:hint="eastAsia" w:ascii="宋体" w:hAnsi="宋体" w:eastAsia="宋体"/>
        </w:rPr>
        <w:t>通风廊道与完整性</w:t>
      </w:r>
    </w:p>
    <w:p w14:paraId="73CACD2C">
      <w:pPr>
        <w:widowControl/>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【指标来源】</w:t>
      </w:r>
    </w:p>
    <w:p w14:paraId="462E057F">
      <w:pPr>
        <w:pStyle w:val="22"/>
        <w:snapToGrid w:val="0"/>
        <w:spacing w:line="360" w:lineRule="auto"/>
        <w:ind w:firstLine="480" w:firstLineChars="200"/>
        <w:rPr>
          <w:rFonts w:ascii="宋体" w:hAnsi="宋体" w:eastAsia="宋体"/>
        </w:rPr>
      </w:pPr>
      <w:r>
        <w:rPr>
          <w:rFonts w:hint="eastAsia" w:ascii="宋体" w:hAnsi="宋体" w:eastAsia="宋体"/>
        </w:rPr>
        <w:t>《气候可行性论证规范 城市通风廊道》QX/T 437-2018、《住宅设计规范》DB11/T 1710-2020。</w:t>
      </w:r>
    </w:p>
    <w:p w14:paraId="029AD47E">
      <w:pPr>
        <w:widowControl/>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【指标解读】</w:t>
      </w:r>
    </w:p>
    <w:p w14:paraId="18F0D00C">
      <w:pPr>
        <w:pStyle w:val="22"/>
        <w:snapToGrid w:val="0"/>
        <w:spacing w:line="360" w:lineRule="auto"/>
        <w:ind w:firstLine="480" w:firstLineChars="200"/>
        <w:rPr>
          <w:rFonts w:ascii="宋体" w:hAnsi="宋体" w:eastAsia="宋体"/>
        </w:rPr>
      </w:pPr>
      <w:r>
        <w:rPr>
          <w:rFonts w:hint="eastAsia" w:ascii="宋体" w:hAnsi="宋体" w:eastAsia="宋体"/>
        </w:rPr>
        <w:t>通风廊道与完整性指标主要评价社区规划通风廊道（宽度≥15m）的实际落地率及无遮挡率，其评价参考《气候可行性论证规范 城市通风廊道》QX/T 437-2018和《住宅设计规范》DB11/T 1710-2020的相关要求。通风廊道是改善社区通风条件、降低热岛效应、提升空气质量的重要基础设施，合理规划并保障通风廊道的完整性，能够促进社区内外空气流通，加速污染物扩散，提升居民居住环境的舒适度和健康性。该指标数据通过无人机影像分析和实地调查获取，详细核查社区规划通风廊道的建设情况，统计实际落地的通风廊道长度、宽度以及无遮挡的段落情况，准确核算落地率和无遮挡率。对于未按规划落地或存在遮挡的通风廊道，应及时采取整改措施，确保通风廊道发挥其应有的生态环境效益。</w:t>
      </w:r>
    </w:p>
    <w:p w14:paraId="17395637">
      <w:pPr>
        <w:pStyle w:val="22"/>
        <w:snapToGrid w:val="0"/>
        <w:spacing w:line="360" w:lineRule="auto"/>
        <w:ind w:firstLine="480" w:firstLineChars="200"/>
        <w:rPr>
          <w:rFonts w:ascii="宋体" w:hAnsi="宋体" w:eastAsia="宋体"/>
        </w:rPr>
      </w:pPr>
      <w:r>
        <w:rPr>
          <w:rFonts w:ascii="宋体" w:hAnsi="宋体" w:eastAsia="宋体"/>
        </w:rPr>
        <w:t xml:space="preserve">16 </w:t>
      </w:r>
      <w:r>
        <w:rPr>
          <w:rFonts w:hint="eastAsia" w:ascii="宋体" w:hAnsi="宋体" w:eastAsia="宋体"/>
        </w:rPr>
        <w:t>PM2.5年均浓度</w:t>
      </w:r>
    </w:p>
    <w:p w14:paraId="08D69BF3">
      <w:pPr>
        <w:widowControl/>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【指标来源】</w:t>
      </w:r>
    </w:p>
    <w:p w14:paraId="785228FA">
      <w:pPr>
        <w:snapToGrid w:val="0"/>
        <w:spacing w:line="360" w:lineRule="auto"/>
        <w:ind w:firstLine="480" w:firstLineChars="200"/>
        <w:rPr>
          <w:rFonts w:ascii="宋体" w:hAnsi="宋体" w:cs="宋体"/>
          <w:sz w:val="24"/>
        </w:rPr>
      </w:pPr>
      <w:r>
        <w:rPr>
          <w:rFonts w:hint="eastAsia" w:ascii="宋体" w:hAnsi="宋体" w:cs="宋体"/>
          <w:sz w:val="24"/>
        </w:rPr>
        <w:t>《环境空气质量标准》GB 3095-2018。</w:t>
      </w:r>
    </w:p>
    <w:p w14:paraId="74059D78">
      <w:pPr>
        <w:widowControl/>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【指标解读】</w:t>
      </w:r>
    </w:p>
    <w:p w14:paraId="6BF921A6">
      <w:pPr>
        <w:pStyle w:val="22"/>
        <w:snapToGrid w:val="0"/>
        <w:spacing w:line="360" w:lineRule="auto"/>
        <w:ind w:firstLine="480" w:firstLineChars="200"/>
        <w:rPr>
          <w:rFonts w:ascii="宋体" w:hAnsi="宋体" w:eastAsia="宋体"/>
        </w:rPr>
      </w:pPr>
      <w:r>
        <w:rPr>
          <w:rFonts w:hint="eastAsia" w:ascii="宋体" w:hAnsi="宋体" w:eastAsia="宋体" w:cs="宋体"/>
        </w:rPr>
        <w:t>PM2.5年均浓度是评价社区空气质量的核心指标之一，其评价标准依据《环境空气质量标准》GB 3095-2018确定。PM2.5是指环境空气中空气动力学当量直径小于等于2.5微米的颗粒物，它能较长时间悬浮于空气中，其在空气中含量浓度越高，就代表空气污染越严重。PM2.5对人体健康危害较大，长期暴露会增加呼吸系统、心血管系统等疾病的发病风险。该指标数据优先采用社区内监测站点数据，无站点的可参考周边1km内官方监测数据，确保数据的准确性和代表性。通过对PM2.5年均浓度的监测与评估，能够及时掌握社区空气质量状况，识别空气污染来源，为制定针对性的空气污染治理措施、提升社区空气质量、保障居民身体健康提供科学依据。</w:t>
      </w:r>
    </w:p>
    <w:p w14:paraId="0DAD26EB">
      <w:pPr>
        <w:pStyle w:val="22"/>
        <w:snapToGrid w:val="0"/>
        <w:spacing w:line="360" w:lineRule="auto"/>
        <w:ind w:firstLine="480" w:firstLineChars="200"/>
        <w:rPr>
          <w:rFonts w:ascii="宋体" w:hAnsi="宋体" w:eastAsia="宋体"/>
        </w:rPr>
      </w:pPr>
      <w:r>
        <w:rPr>
          <w:rFonts w:ascii="宋体" w:hAnsi="宋体" w:eastAsia="宋体"/>
        </w:rPr>
        <w:t xml:space="preserve">17 </w:t>
      </w:r>
      <w:r>
        <w:rPr>
          <w:rFonts w:hint="eastAsia" w:ascii="宋体" w:hAnsi="宋体" w:eastAsia="宋体"/>
        </w:rPr>
        <w:t>PM10年均浓度</w:t>
      </w:r>
    </w:p>
    <w:p w14:paraId="16770061">
      <w:pPr>
        <w:widowControl/>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【指标来源】</w:t>
      </w:r>
    </w:p>
    <w:p w14:paraId="3F05249B">
      <w:pPr>
        <w:snapToGrid w:val="0"/>
        <w:spacing w:line="360" w:lineRule="auto"/>
        <w:ind w:firstLine="480" w:firstLineChars="200"/>
        <w:rPr>
          <w:rFonts w:ascii="宋体" w:hAnsi="宋体" w:cs="宋体"/>
          <w:sz w:val="24"/>
        </w:rPr>
      </w:pPr>
      <w:r>
        <w:rPr>
          <w:rFonts w:hint="eastAsia" w:ascii="宋体" w:hAnsi="宋体" w:cs="宋体"/>
          <w:sz w:val="24"/>
        </w:rPr>
        <w:t>《环境空气质量标准》GB 3095-2018。</w:t>
      </w:r>
    </w:p>
    <w:p w14:paraId="03CD37C6">
      <w:pPr>
        <w:widowControl/>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【指标解读】</w:t>
      </w:r>
    </w:p>
    <w:p w14:paraId="17EF99DA">
      <w:pPr>
        <w:pStyle w:val="22"/>
        <w:snapToGrid w:val="0"/>
        <w:spacing w:line="360" w:lineRule="auto"/>
        <w:ind w:firstLine="480" w:firstLineChars="200"/>
        <w:rPr>
          <w:rFonts w:ascii="宋体" w:hAnsi="宋体" w:eastAsia="宋体"/>
        </w:rPr>
      </w:pPr>
      <w:r>
        <w:rPr>
          <w:rFonts w:hint="eastAsia" w:ascii="宋体" w:hAnsi="宋体" w:eastAsia="宋体"/>
        </w:rPr>
        <w:t>PM10年均浓度是衡量社区空气质量的重要指标，评价标准遵循《环境空气质量标准》GB 3095-2018的相关规定。PM10是指环境空气中空气动力学当量直径小于等于10微米的颗粒物，又称可吸入颗粒物，其来源广泛，包括工业排放、机动车尾气、道路扬尘、建筑施工扬尘等。PM10会对人体呼吸系统造成损害，同时也会影响大气能见度，对生态环境和居民生活产生不利影响。该指标数据获取方式与PM2.5年均浓度一致，优先采用社区内监测站点数据，无站点时参考周边1km内官方监测数据。通过监测和分析PM10年均浓度，能够全面了解社区空气污染状况，为精准施策治理扬尘污染、控制工业排放、优化交通结构等提供数据支持，推动社区空气质量持续改善，为居民营造健康清洁的居住环境。</w:t>
      </w:r>
    </w:p>
    <w:p w14:paraId="46BABBEB">
      <w:pPr>
        <w:pStyle w:val="22"/>
        <w:snapToGrid w:val="0"/>
        <w:spacing w:line="360" w:lineRule="auto"/>
        <w:ind w:firstLine="480" w:firstLineChars="200"/>
        <w:rPr>
          <w:rFonts w:ascii="宋体" w:hAnsi="宋体" w:eastAsia="宋体"/>
        </w:rPr>
      </w:pPr>
      <w:r>
        <w:rPr>
          <w:rFonts w:hint="eastAsia" w:ascii="宋体" w:hAnsi="宋体" w:eastAsia="宋体"/>
        </w:rPr>
        <w:t>1</w:t>
      </w:r>
      <w:r>
        <w:rPr>
          <w:rFonts w:ascii="宋体" w:hAnsi="宋体" w:eastAsia="宋体"/>
        </w:rPr>
        <w:t xml:space="preserve">8 </w:t>
      </w:r>
      <w:r>
        <w:rPr>
          <w:rFonts w:hint="eastAsia" w:ascii="宋体" w:hAnsi="宋体" w:eastAsia="宋体"/>
        </w:rPr>
        <w:t>噪声达标率</w:t>
      </w:r>
    </w:p>
    <w:p w14:paraId="72E16A4A">
      <w:pPr>
        <w:widowControl/>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【指标来源】</w:t>
      </w:r>
    </w:p>
    <w:p w14:paraId="099B5018">
      <w:pPr>
        <w:widowControl/>
        <w:adjustRightInd w:val="0"/>
        <w:snapToGrid w:val="0"/>
        <w:spacing w:line="360" w:lineRule="auto"/>
        <w:ind w:firstLine="480" w:firstLineChars="200"/>
        <w:jc w:val="left"/>
        <w:rPr>
          <w:rFonts w:ascii="宋体" w:hAnsi="宋体" w:cs="宋体"/>
          <w:kern w:val="0"/>
          <w:sz w:val="24"/>
        </w:rPr>
      </w:pPr>
      <w:r>
        <w:rPr>
          <w:rFonts w:hint="eastAsia" w:ascii="宋体" w:hAnsi="宋体" w:cs="宋体"/>
          <w:sz w:val="24"/>
        </w:rPr>
        <w:t>《声环境质量标准》GB 3096-2008。</w:t>
      </w:r>
    </w:p>
    <w:p w14:paraId="42256A5C">
      <w:pPr>
        <w:widowControl/>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【指标解读】</w:t>
      </w:r>
    </w:p>
    <w:p w14:paraId="037DCBE5">
      <w:pPr>
        <w:pStyle w:val="22"/>
        <w:snapToGrid w:val="0"/>
        <w:spacing w:line="360" w:lineRule="auto"/>
        <w:ind w:firstLine="480" w:firstLineChars="200"/>
        <w:rPr>
          <w:rFonts w:ascii="宋体" w:hAnsi="宋体" w:eastAsia="宋体"/>
        </w:rPr>
      </w:pPr>
      <w:r>
        <w:rPr>
          <w:rFonts w:hint="eastAsia" w:ascii="宋体" w:hAnsi="宋体" w:eastAsia="宋体"/>
        </w:rPr>
        <w:t>噪声达标率是评价社区声环境质量的关键指标，其评价依据《声环境质量标准》GB 3096-2008的要求，具体为社区昼间（6:00-22:00）噪声≤55dB(A)、夜间（22:00-次日6:00）噪声≤45dB(A)的区域面积占社区总面积的比例。噪声污染会对居民的身心健康产生诸多负面影响，如影响睡眠质量、导致情绪烦躁、降低工作和学习效率等，严重时还可能引发听力损伤等健康问题。该指标数据按照《声环境质量标准》GB3096开展实地监测获取，全面覆盖社区各个区域，准确统计噪声达标区域面积和社区总面积，科学核算噪声达标率。通过对噪声达标率的评估，能够识别社区内噪声污染严重的区域和污染源，为采取噪声治理措施，如设置隔声屏障、优化交通路线、规范商业经营活动等提供依据，有效降低噪声污染，营造安静舒适的社区居住环境。</w:t>
      </w:r>
    </w:p>
    <w:p w14:paraId="04C80935">
      <w:pPr>
        <w:pStyle w:val="22"/>
        <w:snapToGrid w:val="0"/>
        <w:spacing w:line="360" w:lineRule="auto"/>
        <w:ind w:firstLine="480" w:firstLineChars="200"/>
        <w:rPr>
          <w:rFonts w:ascii="宋体" w:hAnsi="宋体" w:eastAsia="宋体"/>
        </w:rPr>
      </w:pPr>
      <w:r>
        <w:rPr>
          <w:rFonts w:hint="eastAsia" w:ascii="宋体" w:hAnsi="宋体" w:eastAsia="宋体"/>
        </w:rPr>
        <w:t>1</w:t>
      </w:r>
      <w:r>
        <w:rPr>
          <w:rFonts w:ascii="宋体" w:hAnsi="宋体" w:eastAsia="宋体"/>
        </w:rPr>
        <w:t xml:space="preserve">9 </w:t>
      </w:r>
      <w:r>
        <w:rPr>
          <w:rFonts w:hint="eastAsia" w:ascii="宋体" w:hAnsi="宋体" w:eastAsia="宋体"/>
        </w:rPr>
        <w:t>生活垃圾分类准确率</w:t>
      </w:r>
    </w:p>
    <w:p w14:paraId="28B3BD57">
      <w:pPr>
        <w:widowControl/>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【指标来源】</w:t>
      </w:r>
    </w:p>
    <w:p w14:paraId="12738987">
      <w:pPr>
        <w:pStyle w:val="22"/>
        <w:snapToGrid w:val="0"/>
        <w:spacing w:line="360" w:lineRule="auto"/>
        <w:ind w:firstLine="480" w:firstLineChars="200"/>
        <w:rPr>
          <w:rFonts w:ascii="宋体" w:hAnsi="宋体" w:eastAsia="宋体"/>
        </w:rPr>
      </w:pPr>
      <w:r>
        <w:rPr>
          <w:rFonts w:hint="eastAsia" w:ascii="宋体" w:hAnsi="宋体" w:eastAsia="宋体"/>
        </w:rPr>
        <w:t>《生活垃圾分类标志》GB/T 19095-2019、《生活垃圾分类制度实施方案》（国办发〔2017〕26号）。</w:t>
      </w:r>
    </w:p>
    <w:p w14:paraId="756FA820">
      <w:pPr>
        <w:widowControl/>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【指标解读】</w:t>
      </w:r>
    </w:p>
    <w:p w14:paraId="5791DAA5">
      <w:pPr>
        <w:pStyle w:val="22"/>
        <w:snapToGrid w:val="0"/>
        <w:spacing w:line="360" w:lineRule="auto"/>
        <w:ind w:firstLine="480" w:firstLineChars="200"/>
        <w:rPr>
          <w:rFonts w:ascii="宋体" w:hAnsi="宋体" w:eastAsia="宋体"/>
        </w:rPr>
      </w:pPr>
      <w:r>
        <w:rPr>
          <w:rFonts w:hint="eastAsia" w:ascii="宋体" w:hAnsi="宋体" w:eastAsia="宋体"/>
        </w:rPr>
        <w:t>生活垃圾分类准确率是评价居民垃圾分类投放行为规范性的关键指标，指正确分类投放的垃圾量占分类投放垃圾总量的比例。该指标主要通过对投放点进行现场抽查、核对垃圾清运台账等方式进行核查，旨在推动居民形成准确分类习惯，提升垃圾源头减量与资源化利用水平。本标准以《生活垃圾分类标志》为技术依据，结合当前城市垃圾分类管理要求，将优秀级和良好级指标值设定为≥90%，达标级指标值设定为≥80%</w:t>
      </w:r>
    </w:p>
    <w:p w14:paraId="0915D9C6">
      <w:pPr>
        <w:pStyle w:val="22"/>
        <w:snapToGrid w:val="0"/>
        <w:spacing w:line="360" w:lineRule="auto"/>
        <w:ind w:firstLine="480" w:firstLineChars="200"/>
        <w:rPr>
          <w:rFonts w:ascii="宋体" w:hAnsi="宋体" w:eastAsia="宋体"/>
        </w:rPr>
      </w:pPr>
      <w:r>
        <w:rPr>
          <w:rFonts w:ascii="宋体" w:hAnsi="宋体" w:eastAsia="宋体"/>
        </w:rPr>
        <w:t xml:space="preserve">20 </w:t>
      </w:r>
      <w:r>
        <w:rPr>
          <w:rFonts w:hint="eastAsia" w:ascii="宋体" w:hAnsi="宋体" w:eastAsia="宋体"/>
        </w:rPr>
        <w:t>建筑节能达标率</w:t>
      </w:r>
    </w:p>
    <w:p w14:paraId="7B4C2D47">
      <w:pPr>
        <w:widowControl/>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【指标来源】</w:t>
      </w:r>
    </w:p>
    <w:p w14:paraId="3471E817">
      <w:pPr>
        <w:pStyle w:val="22"/>
        <w:snapToGrid w:val="0"/>
        <w:spacing w:line="360" w:lineRule="auto"/>
        <w:ind w:firstLine="480" w:firstLineChars="200"/>
        <w:rPr>
          <w:rFonts w:ascii="宋体" w:hAnsi="宋体" w:eastAsia="宋体"/>
        </w:rPr>
      </w:pPr>
      <w:r>
        <w:rPr>
          <w:rFonts w:hint="eastAsia" w:ascii="宋体" w:hAnsi="宋体" w:eastAsia="宋体"/>
        </w:rPr>
        <w:t>《公共建筑节能设计标准》GB 50189-2015、《绿色建筑评价标准》GB/T 50378-2019及《建筑节能与可再生能源利用通用规范》GB 55015-2021。</w:t>
      </w:r>
    </w:p>
    <w:p w14:paraId="39A00C98">
      <w:pPr>
        <w:widowControl/>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【指标解读】</w:t>
      </w:r>
    </w:p>
    <w:p w14:paraId="59675EA9">
      <w:pPr>
        <w:pStyle w:val="22"/>
        <w:snapToGrid w:val="0"/>
        <w:spacing w:line="360" w:lineRule="auto"/>
        <w:ind w:firstLine="480" w:firstLineChars="200"/>
        <w:rPr>
          <w:rFonts w:ascii="宋体" w:hAnsi="宋体" w:eastAsia="宋体"/>
        </w:rPr>
      </w:pPr>
      <w:r>
        <w:rPr>
          <w:rFonts w:hint="eastAsia" w:ascii="宋体" w:hAnsi="宋体" w:eastAsia="宋体"/>
        </w:rPr>
        <w:t>建筑节能达标率是衡量社区建筑能效水平的重要指标，指符合现行建筑节能设计标准的建筑面积占社区总建筑面积的比例。该指标聚焦于建成区建筑的围护结构、供暖空调、照明等系统的节能性能，旨在推动建筑领域节能减排，促进绿色建筑普及。本标准依据《绿色建筑评价标准》的相关要求，将优秀级和良好级指标值设定为≥95%，达标级指标值设定为≥85%。</w:t>
      </w:r>
    </w:p>
    <w:p w14:paraId="26503827">
      <w:pPr>
        <w:pStyle w:val="22"/>
        <w:snapToGrid w:val="0"/>
        <w:spacing w:line="360" w:lineRule="auto"/>
        <w:ind w:firstLine="480" w:firstLineChars="200"/>
        <w:rPr>
          <w:rFonts w:ascii="宋体" w:hAnsi="宋体" w:eastAsia="宋体"/>
        </w:rPr>
      </w:pPr>
      <w:r>
        <w:rPr>
          <w:rFonts w:hint="eastAsia" w:ascii="宋体" w:hAnsi="宋体" w:eastAsia="宋体"/>
        </w:rPr>
        <w:t>2</w:t>
      </w:r>
      <w:r>
        <w:rPr>
          <w:rFonts w:ascii="宋体" w:hAnsi="宋体" w:eastAsia="宋体"/>
        </w:rPr>
        <w:t xml:space="preserve">1 </w:t>
      </w:r>
      <w:r>
        <w:rPr>
          <w:rFonts w:hint="eastAsia" w:ascii="宋体" w:hAnsi="宋体" w:eastAsia="宋体"/>
        </w:rPr>
        <w:t>生态设施可达性</w:t>
      </w:r>
    </w:p>
    <w:p w14:paraId="4C0FFC02">
      <w:pPr>
        <w:widowControl/>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【指标来源】</w:t>
      </w:r>
    </w:p>
    <w:p w14:paraId="1C43BBEF">
      <w:pPr>
        <w:pStyle w:val="22"/>
        <w:snapToGrid w:val="0"/>
        <w:spacing w:line="360" w:lineRule="auto"/>
        <w:ind w:firstLine="480" w:firstLineChars="200"/>
        <w:rPr>
          <w:rFonts w:ascii="宋体" w:hAnsi="宋体" w:eastAsia="宋体"/>
        </w:rPr>
      </w:pPr>
      <w:r>
        <w:rPr>
          <w:rFonts w:hint="eastAsia" w:ascii="宋体" w:hAnsi="宋体" w:eastAsia="宋体"/>
        </w:rPr>
        <w:t>《城市居住区规划设计标准》GB 50180-2018、《社区生活圈规划技术指南》。</w:t>
      </w:r>
    </w:p>
    <w:p w14:paraId="6961820D">
      <w:pPr>
        <w:widowControl/>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【指标解读】</w:t>
      </w:r>
    </w:p>
    <w:p w14:paraId="2832C3EA">
      <w:pPr>
        <w:pStyle w:val="22"/>
        <w:snapToGrid w:val="0"/>
        <w:spacing w:line="360" w:lineRule="auto"/>
        <w:ind w:firstLine="480" w:firstLineChars="200"/>
        <w:rPr>
          <w:rFonts w:ascii="宋体" w:hAnsi="宋体" w:eastAsia="宋体"/>
        </w:rPr>
      </w:pPr>
      <w:r>
        <w:rPr>
          <w:rFonts w:hint="eastAsia" w:ascii="宋体" w:hAnsi="宋体" w:eastAsia="宋体"/>
        </w:rPr>
        <w:t>生态设施可达性是衡量居民就近享受绿色生态福祉便利性的核心指标，指社区内步行5分钟内可到达的绿地、广场、健身场地、生态科普场地等生态设施覆盖的住宅户数占社区总住宅户数的比例。该指标聚焦于满足居民日常游憩、健身、社交需求的绿色公共空间，强调生态服务的均等化与可达性。</w:t>
      </w:r>
    </w:p>
    <w:p w14:paraId="6E8704FC">
      <w:pPr>
        <w:pStyle w:val="22"/>
        <w:snapToGrid w:val="0"/>
        <w:spacing w:line="360" w:lineRule="auto"/>
        <w:ind w:firstLine="480" w:firstLineChars="200"/>
        <w:rPr>
          <w:rFonts w:ascii="宋体" w:hAnsi="宋体" w:eastAsia="宋体"/>
        </w:rPr>
      </w:pPr>
      <w:r>
        <w:rPr>
          <w:rFonts w:hint="eastAsia" w:ascii="宋体" w:hAnsi="宋体" w:eastAsia="宋体"/>
        </w:rPr>
        <w:t>2</w:t>
      </w:r>
      <w:r>
        <w:rPr>
          <w:rFonts w:ascii="宋体" w:hAnsi="宋体" w:eastAsia="宋体"/>
        </w:rPr>
        <w:t xml:space="preserve">2 </w:t>
      </w:r>
      <w:r>
        <w:rPr>
          <w:rFonts w:hint="eastAsia" w:ascii="宋体" w:hAnsi="宋体" w:eastAsia="宋体"/>
        </w:rPr>
        <w:t>设施完善度</w:t>
      </w:r>
    </w:p>
    <w:p w14:paraId="5CC729ED">
      <w:pPr>
        <w:widowControl/>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【指标来源】</w:t>
      </w:r>
    </w:p>
    <w:p w14:paraId="5FA056F1">
      <w:pPr>
        <w:pStyle w:val="22"/>
        <w:snapToGrid w:val="0"/>
        <w:spacing w:line="360" w:lineRule="auto"/>
        <w:ind w:firstLine="480" w:firstLineChars="200"/>
        <w:rPr>
          <w:rFonts w:ascii="宋体" w:hAnsi="宋体" w:eastAsia="宋体"/>
        </w:rPr>
      </w:pPr>
      <w:r>
        <w:rPr>
          <w:rFonts w:hint="eastAsia" w:ascii="宋体" w:hAnsi="宋体" w:eastAsia="宋体"/>
        </w:rPr>
        <w:t>《城市居住区规划设计标准》GB 50180-2018、《完整居住社区建设标准》GB/T 40240-2021。</w:t>
      </w:r>
    </w:p>
    <w:p w14:paraId="6094BC1E">
      <w:pPr>
        <w:widowControl/>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【指标解读】</w:t>
      </w:r>
    </w:p>
    <w:p w14:paraId="3CDD7F2E">
      <w:pPr>
        <w:pStyle w:val="22"/>
        <w:snapToGrid w:val="0"/>
        <w:spacing w:line="360" w:lineRule="auto"/>
        <w:ind w:firstLine="480" w:firstLineChars="200"/>
        <w:rPr>
          <w:rFonts w:ascii="宋体" w:hAnsi="宋体" w:eastAsia="宋体"/>
        </w:rPr>
      </w:pPr>
      <w:r>
        <w:rPr>
          <w:rFonts w:hint="eastAsia" w:ascii="宋体" w:hAnsi="宋体" w:eastAsia="宋体"/>
        </w:rPr>
        <w:t>设施完善度是评价社区基础服务功能完整性与生活便利性的关键指标，指社区内步行5分钟范围内可到达配置齐全的社区管理、便民商业、文化、养老、医疗、教育等公共服务设施的住宅户数占社区总住宅户数的比例。该指标关注满足居民日常物质与文化生活的各类公益性、商业性配套设施的可达性，旨在推动构建功能完善的“五分钟生活圈”。其测算范围不限于设施是否位于社区地理边界内，而以居民住所为起点，评估实际获得服务的便利程度。</w:t>
      </w:r>
    </w:p>
    <w:p w14:paraId="4CD72910">
      <w:pPr>
        <w:pStyle w:val="22"/>
        <w:snapToGrid w:val="0"/>
        <w:spacing w:line="360" w:lineRule="auto"/>
        <w:ind w:firstLine="480" w:firstLineChars="200"/>
        <w:rPr>
          <w:rFonts w:ascii="宋体" w:hAnsi="宋体" w:eastAsia="宋体"/>
        </w:rPr>
      </w:pPr>
      <w:r>
        <w:rPr>
          <w:rFonts w:hint="eastAsia" w:ascii="宋体" w:hAnsi="宋体" w:eastAsia="宋体"/>
        </w:rPr>
        <w:t>2</w:t>
      </w:r>
      <w:r>
        <w:rPr>
          <w:rFonts w:ascii="宋体" w:hAnsi="宋体" w:eastAsia="宋体"/>
        </w:rPr>
        <w:t xml:space="preserve">3 </w:t>
      </w:r>
      <w:r>
        <w:rPr>
          <w:rFonts w:hint="eastAsia" w:ascii="宋体" w:hAnsi="宋体" w:eastAsia="宋体"/>
        </w:rPr>
        <w:t>无障碍设施建设率</w:t>
      </w:r>
    </w:p>
    <w:p w14:paraId="4501B06D">
      <w:pPr>
        <w:widowControl/>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【指标来源】</w:t>
      </w:r>
    </w:p>
    <w:p w14:paraId="07A9F537">
      <w:pPr>
        <w:pStyle w:val="22"/>
        <w:snapToGrid w:val="0"/>
        <w:spacing w:line="360" w:lineRule="auto"/>
        <w:ind w:firstLine="480" w:firstLineChars="200"/>
        <w:rPr>
          <w:rFonts w:ascii="宋体" w:hAnsi="宋体" w:eastAsia="宋体"/>
        </w:rPr>
      </w:pPr>
      <w:r>
        <w:rPr>
          <w:rFonts w:hint="eastAsia" w:ascii="宋体" w:hAnsi="宋体" w:eastAsia="宋体"/>
        </w:rPr>
        <w:t>《无障碍设计规范》GB 50763-2012、《完整居住社区建设标准》GB/T 40240-2021及《中华人民共和国无障碍环境建设法》。</w:t>
      </w:r>
    </w:p>
    <w:p w14:paraId="1E30FB00">
      <w:pPr>
        <w:widowControl/>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【指标解读】</w:t>
      </w:r>
    </w:p>
    <w:p w14:paraId="1FF2E308">
      <w:pPr>
        <w:pStyle w:val="22"/>
        <w:snapToGrid w:val="0"/>
        <w:spacing w:line="360" w:lineRule="auto"/>
        <w:ind w:firstLine="480" w:firstLineChars="200"/>
        <w:rPr>
          <w:rFonts w:ascii="宋体" w:hAnsi="宋体" w:eastAsia="宋体"/>
        </w:rPr>
      </w:pPr>
      <w:r>
        <w:rPr>
          <w:rFonts w:hint="eastAsia" w:ascii="宋体" w:hAnsi="宋体" w:eastAsia="宋体"/>
        </w:rPr>
        <w:t>无障碍设施建设率是衡量社区包容性和对老年人、残疾人等群体友好程度的关键指标，指居住建筑、公共开放空间等场所中符合现行无障碍设施工程建设标准的区域所占比例。该指标旨在保障全体社会成员平等参与社会生活、共享发展成果的权利。综合以上标准与法规要求，本标准将优秀级和良好级指标值设定为≥95%，达标级指标值设定为≥85%。</w:t>
      </w:r>
    </w:p>
    <w:p w14:paraId="41650BC7">
      <w:pPr>
        <w:pStyle w:val="22"/>
        <w:snapToGrid w:val="0"/>
        <w:spacing w:line="360" w:lineRule="auto"/>
        <w:ind w:firstLine="480" w:firstLineChars="200"/>
        <w:rPr>
          <w:rFonts w:ascii="宋体" w:hAnsi="宋体" w:eastAsia="宋体"/>
        </w:rPr>
      </w:pPr>
      <w:r>
        <w:rPr>
          <w:rFonts w:hint="eastAsia" w:ascii="宋体" w:hAnsi="宋体" w:eastAsia="宋体"/>
        </w:rPr>
        <w:t>2</w:t>
      </w:r>
      <w:r>
        <w:rPr>
          <w:rFonts w:ascii="宋体" w:hAnsi="宋体" w:eastAsia="宋体"/>
        </w:rPr>
        <w:t xml:space="preserve">4 </w:t>
      </w:r>
      <w:r>
        <w:rPr>
          <w:rFonts w:hint="eastAsia" w:ascii="宋体" w:hAnsi="宋体" w:eastAsia="宋体"/>
        </w:rPr>
        <w:t>生态教育设施步行覆盖率</w:t>
      </w:r>
    </w:p>
    <w:p w14:paraId="5819F56E">
      <w:pPr>
        <w:widowControl/>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【指标来源】</w:t>
      </w:r>
    </w:p>
    <w:p w14:paraId="74F816FF">
      <w:pPr>
        <w:pStyle w:val="22"/>
        <w:snapToGrid w:val="0"/>
        <w:spacing w:line="360" w:lineRule="auto"/>
        <w:ind w:firstLine="480" w:firstLineChars="200"/>
        <w:rPr>
          <w:rFonts w:ascii="宋体" w:hAnsi="宋体" w:eastAsia="宋体"/>
        </w:rPr>
      </w:pPr>
      <w:r>
        <w:rPr>
          <w:rFonts w:hint="eastAsia" w:ascii="宋体" w:hAnsi="宋体" w:eastAsia="宋体"/>
        </w:rPr>
        <w:t>《完整居住社区建设标准》GB/T 40240-2021、《园林绿化科普基地建设技术导则》DB11/T 2288-2024。</w:t>
      </w:r>
    </w:p>
    <w:p w14:paraId="6C973B6E">
      <w:pPr>
        <w:widowControl/>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【指标解读】</w:t>
      </w:r>
    </w:p>
    <w:p w14:paraId="2935B05C">
      <w:pPr>
        <w:pStyle w:val="22"/>
        <w:snapToGrid w:val="0"/>
        <w:spacing w:line="360" w:lineRule="auto"/>
        <w:ind w:firstLine="480" w:firstLineChars="200"/>
        <w:rPr>
          <w:rFonts w:ascii="宋体" w:hAnsi="宋体" w:eastAsia="宋体"/>
          <w:lang w:val="zh-CN"/>
        </w:rPr>
      </w:pPr>
      <w:r>
        <w:rPr>
          <w:rFonts w:hint="eastAsia" w:ascii="宋体" w:hAnsi="宋体" w:eastAsia="宋体"/>
        </w:rPr>
        <w:t>生态教育设施步行覆盖率是评价社区基础生态科普服务可达性的指标，指社区内步行10分钟范围内至少设有1处（含）以上生态科普标识系统、科普宣传栏或自然教育场地等固定设施的住宅户数占社区总住宅户数的比例。该指标旨在保障居民能够便捷地接触到基础的生态科普信息，激发社区生态意识。考核重点是设施的覆盖情况，而非简单计数。建议优秀级和良好级指标值设定为≥80%，达标级设定为≥70%。</w:t>
      </w:r>
    </w:p>
    <w:p w14:paraId="16A58A69">
      <w:pPr>
        <w:pStyle w:val="2"/>
        <w:pageBreakBefore/>
        <w:spacing w:before="312" w:beforeLines="100" w:after="312" w:afterLines="100" w:line="520" w:lineRule="exact"/>
        <w:jc w:val="center"/>
        <w:rPr>
          <w:rFonts w:ascii="黑体" w:hAnsi="黑体" w:eastAsia="黑体"/>
          <w:bCs w:val="0"/>
          <w:sz w:val="30"/>
          <w:szCs w:val="22"/>
          <w:lang w:val="zh-CN"/>
        </w:rPr>
      </w:pPr>
      <w:r>
        <w:rPr>
          <w:rFonts w:hint="eastAsia" w:ascii="黑体" w:hAnsi="黑体" w:eastAsia="黑体"/>
          <w:bCs w:val="0"/>
          <w:sz w:val="30"/>
          <w:szCs w:val="22"/>
          <w:lang w:val="zh-CN"/>
        </w:rPr>
        <w:t>5 评估方法与流程</w:t>
      </w:r>
    </w:p>
    <w:p w14:paraId="775CCA7C">
      <w:pPr>
        <w:widowControl/>
        <w:spacing w:line="360" w:lineRule="auto"/>
        <w:rPr>
          <w:rFonts w:ascii="宋体" w:hAnsi="宋体" w:cs="宋体"/>
          <w:kern w:val="0"/>
          <w:sz w:val="24"/>
        </w:rPr>
      </w:pPr>
      <w:r>
        <w:rPr>
          <w:rFonts w:hint="eastAsia" w:ascii="宋体" w:hAnsi="宋体" w:cs="宋体"/>
          <w:kern w:val="0"/>
          <w:sz w:val="24"/>
        </w:rPr>
        <w:t>5</w:t>
      </w:r>
      <w:r>
        <w:rPr>
          <w:rFonts w:ascii="宋体" w:hAnsi="宋体" w:cs="宋体"/>
          <w:kern w:val="0"/>
          <w:sz w:val="24"/>
        </w:rPr>
        <w:t>.2.1</w:t>
      </w:r>
      <w:r>
        <w:rPr>
          <w:rFonts w:hint="eastAsia" w:ascii="宋体" w:hAnsi="宋体" w:cs="宋体"/>
          <w:kern w:val="0"/>
          <w:sz w:val="24"/>
        </w:rPr>
        <w:t>本标准明确了社区生态评估等级划分的核心流程与要求，旨在统一评估等级划分的操作规范，确保不同社区、不同批次的评估等级具有可比性和科学性。评估工作需严格遵循本标准规定的各项评估指标依次开展，确保评估过程的规范性；通过对各指标评估结果的系统整理、科学分析，结合定量数据与定性判断进行综合研判，最终确定社区生态功能等级，为后续针对性制定社区生态优化措施、开展生态管理工作提供明确的等级依据，同时便于社区之间开展横向对比、自身不同时期纵向对比，推动社区生态持续提升。</w:t>
      </w:r>
    </w:p>
    <w:p w14:paraId="7F4F0904">
      <w:pPr>
        <w:widowControl/>
        <w:spacing w:line="360" w:lineRule="auto"/>
        <w:rPr>
          <w:rFonts w:ascii="宋体" w:hAnsi="宋体" w:cs="宋体"/>
          <w:kern w:val="0"/>
          <w:sz w:val="24"/>
        </w:rPr>
      </w:pPr>
      <w:r>
        <w:rPr>
          <w:rFonts w:ascii="宋体" w:hAnsi="宋体" w:cs="宋体"/>
          <w:kern w:val="0"/>
          <w:sz w:val="24"/>
        </w:rPr>
        <w:t>5.2.2</w:t>
      </w:r>
      <w:r>
        <w:rPr>
          <w:rFonts w:hint="eastAsia" w:ascii="宋体" w:hAnsi="宋体" w:cs="宋体"/>
          <w:kern w:val="0"/>
          <w:sz w:val="24"/>
        </w:rPr>
        <w:t>社区生态评估应形成“评估—分级—成果输出—后续处置”的完整闭环。生态评估报告是评估工作的核心成果，需系统梳理评估过程、指标数据、分析结论，明确出具社区生态等级，确保成果的完整性、规范性和可追溯性，为社区生态管理、决策优化提供书面依据；表1明确了Ⅰ、Ⅱ、Ⅲ三个生态等级的划分依据、对应要求，结合不同等级社区的生态状况差异，针对性提出更新改造、补救管理、定期监测等处置措施，避免等级划分与实际应用脱节，既让评估等级有明确的判定标准，也让不同生态状况的社区有清晰的后续工作指引，确保评估成果能够切实落地，真正发挥指导社区生态环境提升的作用。</w:t>
      </w:r>
    </w:p>
    <w:p w14:paraId="0B4F0C0D">
      <w:pPr>
        <w:pStyle w:val="2"/>
        <w:pageBreakBefore/>
        <w:spacing w:before="312" w:beforeLines="100" w:after="312" w:afterLines="100" w:line="520" w:lineRule="exact"/>
        <w:jc w:val="center"/>
        <w:rPr>
          <w:rFonts w:ascii="黑体" w:hAnsi="黑体" w:eastAsia="黑体"/>
          <w:bCs w:val="0"/>
          <w:sz w:val="30"/>
          <w:szCs w:val="22"/>
          <w:lang w:val="zh-CN"/>
        </w:rPr>
      </w:pPr>
      <w:r>
        <w:rPr>
          <w:rFonts w:ascii="黑体" w:hAnsi="黑体" w:eastAsia="黑体"/>
          <w:bCs w:val="0"/>
          <w:sz w:val="30"/>
          <w:szCs w:val="22"/>
          <w:lang w:val="zh-CN"/>
        </w:rPr>
        <w:t>6</w:t>
      </w:r>
      <w:r>
        <w:rPr>
          <w:rFonts w:hint="eastAsia" w:ascii="黑体" w:hAnsi="黑体" w:eastAsia="黑体"/>
          <w:bCs w:val="0"/>
          <w:sz w:val="30"/>
          <w:szCs w:val="22"/>
          <w:lang w:val="zh-CN"/>
        </w:rPr>
        <w:t xml:space="preserve"> 评价报告编写</w:t>
      </w:r>
    </w:p>
    <w:p w14:paraId="3CB9AA5E">
      <w:pPr>
        <w:widowControl/>
        <w:spacing w:line="360" w:lineRule="auto"/>
        <w:rPr>
          <w:rFonts w:ascii="宋体" w:hAnsi="宋体" w:cs="宋体"/>
          <w:kern w:val="0"/>
          <w:sz w:val="24"/>
        </w:rPr>
      </w:pPr>
      <w:r>
        <w:rPr>
          <w:rFonts w:hint="eastAsia" w:ascii="宋体" w:hAnsi="宋体" w:cs="宋体"/>
          <w:kern w:val="0"/>
          <w:sz w:val="24"/>
        </w:rPr>
        <w:t>6</w:t>
      </w:r>
      <w:r>
        <w:rPr>
          <w:rFonts w:ascii="宋体" w:hAnsi="宋体" w:cs="宋体"/>
          <w:kern w:val="0"/>
          <w:sz w:val="24"/>
        </w:rPr>
        <w:t>.0.1</w:t>
      </w:r>
      <w:r>
        <w:rPr>
          <w:rFonts w:hint="eastAsia" w:ascii="宋体" w:hAnsi="宋体" w:cs="宋体"/>
          <w:kern w:val="0"/>
          <w:sz w:val="24"/>
        </w:rPr>
        <w:t>本标准明确了社区生态评估报告的编写依据、核心构成及格式要求，是生态评估工作成果落地、规范呈现的关键要求，确保评估报告的完整性、系统性和可操作性。评估报告需以客观监测数据、定量分析结果及主观评价为核心依据，全面汇总评估全过程信息，不得脱离实际数据或遗漏关键内容；明确的报告构成模块各有侧重：前言阐明评估背景、目的及依据，被评估社区概况界定评估范围与基础条件，监测评估数据获取方法保障数据可信度与可追溯性，主要生态问题梳理精准识别短板，评估等级明确生态质量定位，生态更新改造对策建议结合等级与问题提供针对性解决方案，各模块相互衔接、形成闭环，为社区生态管理、更新改造决策提供全面、清晰的书面支撑。同时，明确评估报告编写格式参照附录E，旨在统一报告体例、规范表述标准，便于不同社区、不同批次的评估报告进行横向对比，也方便管理部门查阅、归档及后续监督检查，推动社区生态评估工作的标准化、规范化开展。</w:t>
      </w:r>
    </w:p>
    <w:sectPr>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Cambria Math">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9C3B60">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59808480"/>
    </w:sdtPr>
    <w:sdtContent>
      <w:p w14:paraId="72D8AC64">
        <w:pPr>
          <w:pStyle w:val="9"/>
          <w:jc w:val="center"/>
        </w:pPr>
        <w:r>
          <w:fldChar w:fldCharType="begin"/>
        </w:r>
        <w:r>
          <w:instrText xml:space="preserve">PAGE   \* MERGEFORMAT</w:instrText>
        </w:r>
        <w:r>
          <w:fldChar w:fldCharType="separate"/>
        </w:r>
        <w:r>
          <w:rPr>
            <w:lang w:val="zh-CN"/>
          </w:rPr>
          <w:t>2</w:t>
        </w:r>
        <w:r>
          <w:fldChar w:fldCharType="end"/>
        </w:r>
      </w:p>
    </w:sdtContent>
  </w:sdt>
  <w:p w14:paraId="7D5A698B">
    <w:pPr>
      <w:pStyle w:val="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2B70B45"/>
    <w:multiLevelType w:val="multilevel"/>
    <w:tmpl w:val="22B70B45"/>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6CEA2025"/>
    <w:multiLevelType w:val="multilevel"/>
    <w:tmpl w:val="6CEA2025"/>
    <w:lvl w:ilvl="0" w:tentative="0">
      <w:start w:val="1"/>
      <w:numFmt w:val="none"/>
      <w:pStyle w:val="38"/>
      <w:suff w:val="nothing"/>
      <w:lvlText w:val="%1"/>
      <w:lvlJc w:val="left"/>
      <w:pPr>
        <w:ind w:left="0" w:firstLine="0"/>
      </w:pPr>
    </w:lvl>
    <w:lvl w:ilvl="1" w:tentative="0">
      <w:start w:val="1"/>
      <w:numFmt w:val="decimal"/>
      <w:pStyle w:val="36"/>
      <w:suff w:val="nothing"/>
      <w:lvlText w:val="%1%2　"/>
      <w:lvlJc w:val="left"/>
      <w:pPr>
        <w:ind w:left="0" w:firstLine="0"/>
      </w:pPr>
      <w:rPr>
        <w:rFonts w:hint="eastAsia" w:ascii="黑体" w:hAnsi="Times New Roman" w:eastAsia="黑体"/>
        <w:b w:val="0"/>
        <w:i w:val="0"/>
        <w:sz w:val="21"/>
      </w:rPr>
    </w:lvl>
    <w:lvl w:ilvl="2" w:tentative="0">
      <w:start w:val="1"/>
      <w:numFmt w:val="decimal"/>
      <w:pStyle w:val="37"/>
      <w:suff w:val="nothing"/>
      <w:lvlText w:val="%1%2.%3　"/>
      <w:lvlJc w:val="left"/>
      <w:pPr>
        <w:ind w:left="993"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rPr>
    </w:lvl>
    <w:lvl w:ilvl="3" w:tentative="0">
      <w:start w:val="1"/>
      <w:numFmt w:val="decimal"/>
      <w:pStyle w:val="32"/>
      <w:suff w:val="nothing"/>
      <w:lvlText w:val="%1%2.%3.%4　"/>
      <w:lvlJc w:val="left"/>
      <w:pPr>
        <w:ind w:left="1702" w:firstLine="0"/>
      </w:pPr>
      <w:rPr>
        <w:rFonts w:hint="eastAsia" w:ascii="黑体" w:hAnsi="Times New Roman" w:eastAsia="黑体"/>
        <w:b w:val="0"/>
        <w:i w:val="0"/>
        <w:sz w:val="21"/>
      </w:rPr>
    </w:lvl>
    <w:lvl w:ilvl="4" w:tentative="0">
      <w:start w:val="1"/>
      <w:numFmt w:val="decimal"/>
      <w:pStyle w:val="33"/>
      <w:suff w:val="nothing"/>
      <w:lvlText w:val="%1%2.%3.%4.%5　"/>
      <w:lvlJc w:val="left"/>
      <w:pPr>
        <w:ind w:left="0" w:firstLine="0"/>
      </w:pPr>
      <w:rPr>
        <w:rFonts w:hint="eastAsia" w:ascii="黑体" w:hAnsi="Times New Roman" w:eastAsia="黑体"/>
        <w:b w:val="0"/>
        <w:i w:val="0"/>
        <w:sz w:val="21"/>
      </w:rPr>
    </w:lvl>
    <w:lvl w:ilvl="5" w:tentative="0">
      <w:start w:val="1"/>
      <w:numFmt w:val="decimal"/>
      <w:pStyle w:val="34"/>
      <w:suff w:val="nothing"/>
      <w:lvlText w:val="%1%2.%3.%4.%5.%6　"/>
      <w:lvlJc w:val="left"/>
      <w:pPr>
        <w:ind w:left="0" w:firstLine="0"/>
      </w:pPr>
      <w:rPr>
        <w:rFonts w:hint="eastAsia" w:ascii="黑体" w:hAnsi="Times New Roman" w:eastAsia="黑体"/>
        <w:b w:val="0"/>
        <w:i w:val="0"/>
        <w:sz w:val="21"/>
      </w:rPr>
    </w:lvl>
    <w:lvl w:ilvl="6" w:tentative="0">
      <w:start w:val="1"/>
      <w:numFmt w:val="decimal"/>
      <w:pStyle w:val="35"/>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lvl>
    <w:lvl w:ilvl="8" w:tentative="0">
      <w:start w:val="1"/>
      <w:numFmt w:val="decimal"/>
      <w:lvlText w:val="%1.%2.%3.%4.%5.%6.%7.%8.%9"/>
      <w:lvlJc w:val="left"/>
      <w:pPr>
        <w:tabs>
          <w:tab w:val="left" w:pos="4777"/>
        </w:tabs>
        <w:ind w:left="4677" w:hanging="170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3371"/>
    <w:rsid w:val="000002D3"/>
    <w:rsid w:val="000004EF"/>
    <w:rsid w:val="00000628"/>
    <w:rsid w:val="000017EE"/>
    <w:rsid w:val="0000206C"/>
    <w:rsid w:val="0000457B"/>
    <w:rsid w:val="00004670"/>
    <w:rsid w:val="00004DC1"/>
    <w:rsid w:val="00004E3D"/>
    <w:rsid w:val="00006C7C"/>
    <w:rsid w:val="00006D2E"/>
    <w:rsid w:val="0001036F"/>
    <w:rsid w:val="00010485"/>
    <w:rsid w:val="0001105C"/>
    <w:rsid w:val="0001153C"/>
    <w:rsid w:val="000116BF"/>
    <w:rsid w:val="0001240A"/>
    <w:rsid w:val="000133E7"/>
    <w:rsid w:val="000139CB"/>
    <w:rsid w:val="000139F0"/>
    <w:rsid w:val="00015EFF"/>
    <w:rsid w:val="000161D7"/>
    <w:rsid w:val="000216F4"/>
    <w:rsid w:val="0002251C"/>
    <w:rsid w:val="00022547"/>
    <w:rsid w:val="000225EE"/>
    <w:rsid w:val="000259CA"/>
    <w:rsid w:val="00026324"/>
    <w:rsid w:val="00030197"/>
    <w:rsid w:val="0003164C"/>
    <w:rsid w:val="00031CAB"/>
    <w:rsid w:val="00032B58"/>
    <w:rsid w:val="00033595"/>
    <w:rsid w:val="0003560C"/>
    <w:rsid w:val="000359C5"/>
    <w:rsid w:val="00036524"/>
    <w:rsid w:val="0003707D"/>
    <w:rsid w:val="00037A6E"/>
    <w:rsid w:val="00040072"/>
    <w:rsid w:val="000403C3"/>
    <w:rsid w:val="00040814"/>
    <w:rsid w:val="000410CE"/>
    <w:rsid w:val="00042168"/>
    <w:rsid w:val="00045D9B"/>
    <w:rsid w:val="00046B0F"/>
    <w:rsid w:val="00046D88"/>
    <w:rsid w:val="00053DB0"/>
    <w:rsid w:val="000540DB"/>
    <w:rsid w:val="000548E7"/>
    <w:rsid w:val="000567EF"/>
    <w:rsid w:val="00056AA0"/>
    <w:rsid w:val="00056B3E"/>
    <w:rsid w:val="00056C7C"/>
    <w:rsid w:val="00057347"/>
    <w:rsid w:val="0006002C"/>
    <w:rsid w:val="00060914"/>
    <w:rsid w:val="00061B4B"/>
    <w:rsid w:val="0006283E"/>
    <w:rsid w:val="000629C9"/>
    <w:rsid w:val="00062EBD"/>
    <w:rsid w:val="0006498F"/>
    <w:rsid w:val="00064A03"/>
    <w:rsid w:val="00066B1B"/>
    <w:rsid w:val="00066B25"/>
    <w:rsid w:val="00066E64"/>
    <w:rsid w:val="00067481"/>
    <w:rsid w:val="000675DA"/>
    <w:rsid w:val="000700CE"/>
    <w:rsid w:val="00071A63"/>
    <w:rsid w:val="00071B82"/>
    <w:rsid w:val="000722FA"/>
    <w:rsid w:val="00072E15"/>
    <w:rsid w:val="00073584"/>
    <w:rsid w:val="00073680"/>
    <w:rsid w:val="00074BD6"/>
    <w:rsid w:val="00075F47"/>
    <w:rsid w:val="0007652A"/>
    <w:rsid w:val="000771B8"/>
    <w:rsid w:val="000779BA"/>
    <w:rsid w:val="00077BE7"/>
    <w:rsid w:val="00080505"/>
    <w:rsid w:val="00080C37"/>
    <w:rsid w:val="00080E5D"/>
    <w:rsid w:val="00081C5D"/>
    <w:rsid w:val="000833BD"/>
    <w:rsid w:val="000836FE"/>
    <w:rsid w:val="00083D19"/>
    <w:rsid w:val="00087326"/>
    <w:rsid w:val="00090295"/>
    <w:rsid w:val="00091ED2"/>
    <w:rsid w:val="0009319D"/>
    <w:rsid w:val="00093F50"/>
    <w:rsid w:val="00094493"/>
    <w:rsid w:val="000954FA"/>
    <w:rsid w:val="000955E2"/>
    <w:rsid w:val="000964C2"/>
    <w:rsid w:val="00096E28"/>
    <w:rsid w:val="000971E4"/>
    <w:rsid w:val="0009797B"/>
    <w:rsid w:val="000A1DCF"/>
    <w:rsid w:val="000A3650"/>
    <w:rsid w:val="000A7447"/>
    <w:rsid w:val="000A7498"/>
    <w:rsid w:val="000B11F0"/>
    <w:rsid w:val="000B1415"/>
    <w:rsid w:val="000B2847"/>
    <w:rsid w:val="000B29B1"/>
    <w:rsid w:val="000B2C6F"/>
    <w:rsid w:val="000B353E"/>
    <w:rsid w:val="000B3E75"/>
    <w:rsid w:val="000B4C93"/>
    <w:rsid w:val="000B6E14"/>
    <w:rsid w:val="000B7249"/>
    <w:rsid w:val="000B7432"/>
    <w:rsid w:val="000B7BE2"/>
    <w:rsid w:val="000C098F"/>
    <w:rsid w:val="000C54B9"/>
    <w:rsid w:val="000D01E5"/>
    <w:rsid w:val="000D0677"/>
    <w:rsid w:val="000D2B11"/>
    <w:rsid w:val="000D2EF9"/>
    <w:rsid w:val="000D399E"/>
    <w:rsid w:val="000D4EBC"/>
    <w:rsid w:val="000D7345"/>
    <w:rsid w:val="000D7989"/>
    <w:rsid w:val="000E024B"/>
    <w:rsid w:val="000E08ED"/>
    <w:rsid w:val="000E0DAE"/>
    <w:rsid w:val="000E21FC"/>
    <w:rsid w:val="000E259A"/>
    <w:rsid w:val="000E27D0"/>
    <w:rsid w:val="000E3B6F"/>
    <w:rsid w:val="000E43F8"/>
    <w:rsid w:val="000E51A2"/>
    <w:rsid w:val="000E60CB"/>
    <w:rsid w:val="000E72C8"/>
    <w:rsid w:val="000F042B"/>
    <w:rsid w:val="000F0FC7"/>
    <w:rsid w:val="000F38AC"/>
    <w:rsid w:val="000F3A92"/>
    <w:rsid w:val="000F42DE"/>
    <w:rsid w:val="000F45AC"/>
    <w:rsid w:val="000F5B41"/>
    <w:rsid w:val="000F606A"/>
    <w:rsid w:val="000F7272"/>
    <w:rsid w:val="000F77DA"/>
    <w:rsid w:val="00103817"/>
    <w:rsid w:val="00105830"/>
    <w:rsid w:val="0011077F"/>
    <w:rsid w:val="001116C4"/>
    <w:rsid w:val="00111F6F"/>
    <w:rsid w:val="00112F89"/>
    <w:rsid w:val="00113555"/>
    <w:rsid w:val="001141DA"/>
    <w:rsid w:val="00115594"/>
    <w:rsid w:val="00115AFF"/>
    <w:rsid w:val="00116F96"/>
    <w:rsid w:val="00117786"/>
    <w:rsid w:val="0011786C"/>
    <w:rsid w:val="00117CC7"/>
    <w:rsid w:val="00117DE0"/>
    <w:rsid w:val="00117F6E"/>
    <w:rsid w:val="00117F86"/>
    <w:rsid w:val="001206C7"/>
    <w:rsid w:val="001224E1"/>
    <w:rsid w:val="001261BE"/>
    <w:rsid w:val="001276F2"/>
    <w:rsid w:val="00130284"/>
    <w:rsid w:val="00131BEF"/>
    <w:rsid w:val="001331BC"/>
    <w:rsid w:val="00133AF1"/>
    <w:rsid w:val="00135BB3"/>
    <w:rsid w:val="00135F02"/>
    <w:rsid w:val="00136EDD"/>
    <w:rsid w:val="00137A6F"/>
    <w:rsid w:val="00140A0F"/>
    <w:rsid w:val="0014185D"/>
    <w:rsid w:val="00142691"/>
    <w:rsid w:val="00143493"/>
    <w:rsid w:val="00143F64"/>
    <w:rsid w:val="00144313"/>
    <w:rsid w:val="00145618"/>
    <w:rsid w:val="00145C2B"/>
    <w:rsid w:val="00152B59"/>
    <w:rsid w:val="00153D14"/>
    <w:rsid w:val="00154AA3"/>
    <w:rsid w:val="001554B8"/>
    <w:rsid w:val="001565FD"/>
    <w:rsid w:val="0015684A"/>
    <w:rsid w:val="001571AA"/>
    <w:rsid w:val="0015745E"/>
    <w:rsid w:val="00157731"/>
    <w:rsid w:val="001577AE"/>
    <w:rsid w:val="00157EDC"/>
    <w:rsid w:val="00160BBD"/>
    <w:rsid w:val="001614D1"/>
    <w:rsid w:val="0016161C"/>
    <w:rsid w:val="00161BD2"/>
    <w:rsid w:val="001628A2"/>
    <w:rsid w:val="001631A1"/>
    <w:rsid w:val="001646BF"/>
    <w:rsid w:val="001661A1"/>
    <w:rsid w:val="00166CD9"/>
    <w:rsid w:val="00170112"/>
    <w:rsid w:val="00170A01"/>
    <w:rsid w:val="00171227"/>
    <w:rsid w:val="00171F4E"/>
    <w:rsid w:val="001727DD"/>
    <w:rsid w:val="00173A82"/>
    <w:rsid w:val="00173DF3"/>
    <w:rsid w:val="0017420F"/>
    <w:rsid w:val="00175820"/>
    <w:rsid w:val="0017652A"/>
    <w:rsid w:val="001765CB"/>
    <w:rsid w:val="001767C7"/>
    <w:rsid w:val="00180664"/>
    <w:rsid w:val="001809FE"/>
    <w:rsid w:val="00181A76"/>
    <w:rsid w:val="00182997"/>
    <w:rsid w:val="00182CF5"/>
    <w:rsid w:val="00183842"/>
    <w:rsid w:val="00183BD4"/>
    <w:rsid w:val="00183BE2"/>
    <w:rsid w:val="00184C04"/>
    <w:rsid w:val="001857EA"/>
    <w:rsid w:val="00185B80"/>
    <w:rsid w:val="00186BBA"/>
    <w:rsid w:val="0019153C"/>
    <w:rsid w:val="00192F23"/>
    <w:rsid w:val="001943F2"/>
    <w:rsid w:val="00194C0F"/>
    <w:rsid w:val="00195C64"/>
    <w:rsid w:val="00195FAE"/>
    <w:rsid w:val="001969CD"/>
    <w:rsid w:val="001A1FF5"/>
    <w:rsid w:val="001A2A21"/>
    <w:rsid w:val="001A2DE7"/>
    <w:rsid w:val="001A3BDF"/>
    <w:rsid w:val="001A5492"/>
    <w:rsid w:val="001A6EB8"/>
    <w:rsid w:val="001A789F"/>
    <w:rsid w:val="001B1560"/>
    <w:rsid w:val="001B15CD"/>
    <w:rsid w:val="001B1A26"/>
    <w:rsid w:val="001B356D"/>
    <w:rsid w:val="001B37CC"/>
    <w:rsid w:val="001B49ED"/>
    <w:rsid w:val="001B4F31"/>
    <w:rsid w:val="001B51CD"/>
    <w:rsid w:val="001B611B"/>
    <w:rsid w:val="001B682E"/>
    <w:rsid w:val="001B69CE"/>
    <w:rsid w:val="001B7044"/>
    <w:rsid w:val="001B7F1F"/>
    <w:rsid w:val="001C094E"/>
    <w:rsid w:val="001C378C"/>
    <w:rsid w:val="001C4955"/>
    <w:rsid w:val="001C55C1"/>
    <w:rsid w:val="001C7550"/>
    <w:rsid w:val="001C7FC7"/>
    <w:rsid w:val="001D02C8"/>
    <w:rsid w:val="001D04E2"/>
    <w:rsid w:val="001D1AD0"/>
    <w:rsid w:val="001D3C8E"/>
    <w:rsid w:val="001D3D7C"/>
    <w:rsid w:val="001D4D1C"/>
    <w:rsid w:val="001D5BB9"/>
    <w:rsid w:val="001D5F26"/>
    <w:rsid w:val="001D775C"/>
    <w:rsid w:val="001E12F3"/>
    <w:rsid w:val="001E2DDE"/>
    <w:rsid w:val="001E39F8"/>
    <w:rsid w:val="001E3D00"/>
    <w:rsid w:val="001E45D3"/>
    <w:rsid w:val="001E7653"/>
    <w:rsid w:val="001F013A"/>
    <w:rsid w:val="001F038C"/>
    <w:rsid w:val="001F3A68"/>
    <w:rsid w:val="001F3CA7"/>
    <w:rsid w:val="001F440C"/>
    <w:rsid w:val="001F5B6F"/>
    <w:rsid w:val="001F614E"/>
    <w:rsid w:val="001F6258"/>
    <w:rsid w:val="001F7AC8"/>
    <w:rsid w:val="001F7EDB"/>
    <w:rsid w:val="001F7EE5"/>
    <w:rsid w:val="002007FA"/>
    <w:rsid w:val="00200A2E"/>
    <w:rsid w:val="00201D0C"/>
    <w:rsid w:val="0020262A"/>
    <w:rsid w:val="0020275E"/>
    <w:rsid w:val="002035FD"/>
    <w:rsid w:val="0020396C"/>
    <w:rsid w:val="00203AEF"/>
    <w:rsid w:val="00203C9E"/>
    <w:rsid w:val="00204018"/>
    <w:rsid w:val="002049B7"/>
    <w:rsid w:val="00205141"/>
    <w:rsid w:val="002064FE"/>
    <w:rsid w:val="00207138"/>
    <w:rsid w:val="002075F2"/>
    <w:rsid w:val="00212BEF"/>
    <w:rsid w:val="002131D3"/>
    <w:rsid w:val="0021391E"/>
    <w:rsid w:val="002142BD"/>
    <w:rsid w:val="00214C94"/>
    <w:rsid w:val="00215826"/>
    <w:rsid w:val="00215BBC"/>
    <w:rsid w:val="00216362"/>
    <w:rsid w:val="00216811"/>
    <w:rsid w:val="00217CF8"/>
    <w:rsid w:val="00220444"/>
    <w:rsid w:val="00221224"/>
    <w:rsid w:val="002217EF"/>
    <w:rsid w:val="002219E4"/>
    <w:rsid w:val="00224793"/>
    <w:rsid w:val="002303ED"/>
    <w:rsid w:val="0023117F"/>
    <w:rsid w:val="00231FC8"/>
    <w:rsid w:val="00233AFE"/>
    <w:rsid w:val="002359EA"/>
    <w:rsid w:val="002377B4"/>
    <w:rsid w:val="00240414"/>
    <w:rsid w:val="00240FC4"/>
    <w:rsid w:val="0024163D"/>
    <w:rsid w:val="00242A16"/>
    <w:rsid w:val="00242BEF"/>
    <w:rsid w:val="00243B7E"/>
    <w:rsid w:val="0024621F"/>
    <w:rsid w:val="00246372"/>
    <w:rsid w:val="00246562"/>
    <w:rsid w:val="00250534"/>
    <w:rsid w:val="0025117C"/>
    <w:rsid w:val="00252EBE"/>
    <w:rsid w:val="00253102"/>
    <w:rsid w:val="002532A5"/>
    <w:rsid w:val="00253318"/>
    <w:rsid w:val="002533CE"/>
    <w:rsid w:val="00253A0A"/>
    <w:rsid w:val="00254112"/>
    <w:rsid w:val="00254B27"/>
    <w:rsid w:val="00255851"/>
    <w:rsid w:val="00255E30"/>
    <w:rsid w:val="0025725D"/>
    <w:rsid w:val="0025746A"/>
    <w:rsid w:val="002575BE"/>
    <w:rsid w:val="002575ED"/>
    <w:rsid w:val="00257BB6"/>
    <w:rsid w:val="00262106"/>
    <w:rsid w:val="00262CFC"/>
    <w:rsid w:val="002630A1"/>
    <w:rsid w:val="002632DE"/>
    <w:rsid w:val="00263C9A"/>
    <w:rsid w:val="00264189"/>
    <w:rsid w:val="00264F02"/>
    <w:rsid w:val="002659D3"/>
    <w:rsid w:val="00266798"/>
    <w:rsid w:val="00270981"/>
    <w:rsid w:val="00270EFC"/>
    <w:rsid w:val="002713E9"/>
    <w:rsid w:val="00271AF0"/>
    <w:rsid w:val="002723A9"/>
    <w:rsid w:val="002746A9"/>
    <w:rsid w:val="002751E6"/>
    <w:rsid w:val="002766F1"/>
    <w:rsid w:val="00277F1B"/>
    <w:rsid w:val="0028020C"/>
    <w:rsid w:val="00281667"/>
    <w:rsid w:val="00281CDB"/>
    <w:rsid w:val="0028242F"/>
    <w:rsid w:val="00282CD9"/>
    <w:rsid w:val="002837AE"/>
    <w:rsid w:val="00283955"/>
    <w:rsid w:val="0028476B"/>
    <w:rsid w:val="002848D2"/>
    <w:rsid w:val="002868F3"/>
    <w:rsid w:val="002875E3"/>
    <w:rsid w:val="002904DA"/>
    <w:rsid w:val="002906FF"/>
    <w:rsid w:val="0029135A"/>
    <w:rsid w:val="00293643"/>
    <w:rsid w:val="00294211"/>
    <w:rsid w:val="002947CC"/>
    <w:rsid w:val="00294E9F"/>
    <w:rsid w:val="002972A5"/>
    <w:rsid w:val="00297425"/>
    <w:rsid w:val="00297BE4"/>
    <w:rsid w:val="002A074F"/>
    <w:rsid w:val="002A0A8B"/>
    <w:rsid w:val="002A1972"/>
    <w:rsid w:val="002A1A3F"/>
    <w:rsid w:val="002A2B02"/>
    <w:rsid w:val="002A2BC1"/>
    <w:rsid w:val="002A38C5"/>
    <w:rsid w:val="002A409B"/>
    <w:rsid w:val="002A5297"/>
    <w:rsid w:val="002A6BC6"/>
    <w:rsid w:val="002A7ACA"/>
    <w:rsid w:val="002B073E"/>
    <w:rsid w:val="002B101A"/>
    <w:rsid w:val="002B148B"/>
    <w:rsid w:val="002B168B"/>
    <w:rsid w:val="002B377A"/>
    <w:rsid w:val="002B494C"/>
    <w:rsid w:val="002B5785"/>
    <w:rsid w:val="002B7527"/>
    <w:rsid w:val="002B7D93"/>
    <w:rsid w:val="002C0526"/>
    <w:rsid w:val="002C25E0"/>
    <w:rsid w:val="002C2710"/>
    <w:rsid w:val="002C272A"/>
    <w:rsid w:val="002C2F72"/>
    <w:rsid w:val="002C39F2"/>
    <w:rsid w:val="002C3E45"/>
    <w:rsid w:val="002C49D5"/>
    <w:rsid w:val="002C52C4"/>
    <w:rsid w:val="002C617E"/>
    <w:rsid w:val="002C6E73"/>
    <w:rsid w:val="002C7833"/>
    <w:rsid w:val="002D0BC5"/>
    <w:rsid w:val="002D167C"/>
    <w:rsid w:val="002D1BAC"/>
    <w:rsid w:val="002D2D14"/>
    <w:rsid w:val="002D4814"/>
    <w:rsid w:val="002D4FB1"/>
    <w:rsid w:val="002D527F"/>
    <w:rsid w:val="002D65F4"/>
    <w:rsid w:val="002D7342"/>
    <w:rsid w:val="002D7D14"/>
    <w:rsid w:val="002E0CF8"/>
    <w:rsid w:val="002E19CC"/>
    <w:rsid w:val="002E1A48"/>
    <w:rsid w:val="002E2547"/>
    <w:rsid w:val="002E3371"/>
    <w:rsid w:val="002E36B2"/>
    <w:rsid w:val="002E5997"/>
    <w:rsid w:val="002E6154"/>
    <w:rsid w:val="002E61F1"/>
    <w:rsid w:val="002E6EC2"/>
    <w:rsid w:val="002E7117"/>
    <w:rsid w:val="002E7624"/>
    <w:rsid w:val="002E78B3"/>
    <w:rsid w:val="002F28E4"/>
    <w:rsid w:val="002F2DC8"/>
    <w:rsid w:val="002F3520"/>
    <w:rsid w:val="002F5290"/>
    <w:rsid w:val="002F603C"/>
    <w:rsid w:val="003008A6"/>
    <w:rsid w:val="00300F16"/>
    <w:rsid w:val="00302B54"/>
    <w:rsid w:val="003036CC"/>
    <w:rsid w:val="00303B73"/>
    <w:rsid w:val="00303B7F"/>
    <w:rsid w:val="00303D2C"/>
    <w:rsid w:val="00304C57"/>
    <w:rsid w:val="00306021"/>
    <w:rsid w:val="00306B98"/>
    <w:rsid w:val="00310C43"/>
    <w:rsid w:val="0031130F"/>
    <w:rsid w:val="0031258F"/>
    <w:rsid w:val="003132F5"/>
    <w:rsid w:val="00313436"/>
    <w:rsid w:val="003140DA"/>
    <w:rsid w:val="00315A06"/>
    <w:rsid w:val="00315E06"/>
    <w:rsid w:val="00316340"/>
    <w:rsid w:val="00317778"/>
    <w:rsid w:val="00317BEC"/>
    <w:rsid w:val="00321127"/>
    <w:rsid w:val="00321579"/>
    <w:rsid w:val="0032207F"/>
    <w:rsid w:val="003222D2"/>
    <w:rsid w:val="00323E18"/>
    <w:rsid w:val="003249E8"/>
    <w:rsid w:val="00325131"/>
    <w:rsid w:val="00325664"/>
    <w:rsid w:val="00325716"/>
    <w:rsid w:val="00325A74"/>
    <w:rsid w:val="003274F3"/>
    <w:rsid w:val="00327B8B"/>
    <w:rsid w:val="00330377"/>
    <w:rsid w:val="003324E5"/>
    <w:rsid w:val="00332650"/>
    <w:rsid w:val="00332794"/>
    <w:rsid w:val="00337E9D"/>
    <w:rsid w:val="0034088F"/>
    <w:rsid w:val="00342E79"/>
    <w:rsid w:val="00342EC2"/>
    <w:rsid w:val="003450D2"/>
    <w:rsid w:val="003451F4"/>
    <w:rsid w:val="00346319"/>
    <w:rsid w:val="003465FD"/>
    <w:rsid w:val="00346BCC"/>
    <w:rsid w:val="00347AFC"/>
    <w:rsid w:val="00347BA2"/>
    <w:rsid w:val="003512A7"/>
    <w:rsid w:val="003517AD"/>
    <w:rsid w:val="00351869"/>
    <w:rsid w:val="00352A57"/>
    <w:rsid w:val="00352E73"/>
    <w:rsid w:val="003531B4"/>
    <w:rsid w:val="0035327F"/>
    <w:rsid w:val="00353830"/>
    <w:rsid w:val="00353E6E"/>
    <w:rsid w:val="0035472C"/>
    <w:rsid w:val="00354B53"/>
    <w:rsid w:val="00355CA8"/>
    <w:rsid w:val="00356A04"/>
    <w:rsid w:val="003577E5"/>
    <w:rsid w:val="00360659"/>
    <w:rsid w:val="003610EE"/>
    <w:rsid w:val="0036125C"/>
    <w:rsid w:val="00362B7C"/>
    <w:rsid w:val="0036378F"/>
    <w:rsid w:val="00365294"/>
    <w:rsid w:val="00366C4B"/>
    <w:rsid w:val="003739D9"/>
    <w:rsid w:val="00373CFE"/>
    <w:rsid w:val="00374881"/>
    <w:rsid w:val="00374BCE"/>
    <w:rsid w:val="00374E11"/>
    <w:rsid w:val="00375AFD"/>
    <w:rsid w:val="003760A9"/>
    <w:rsid w:val="00377F22"/>
    <w:rsid w:val="00381B97"/>
    <w:rsid w:val="00381CF6"/>
    <w:rsid w:val="00382328"/>
    <w:rsid w:val="0038407A"/>
    <w:rsid w:val="00384DAB"/>
    <w:rsid w:val="003852D8"/>
    <w:rsid w:val="00385491"/>
    <w:rsid w:val="00386DD2"/>
    <w:rsid w:val="0038702B"/>
    <w:rsid w:val="003909D9"/>
    <w:rsid w:val="003915AD"/>
    <w:rsid w:val="00391ABC"/>
    <w:rsid w:val="00392F3B"/>
    <w:rsid w:val="003934F4"/>
    <w:rsid w:val="003935BA"/>
    <w:rsid w:val="00393604"/>
    <w:rsid w:val="0039499A"/>
    <w:rsid w:val="00394C06"/>
    <w:rsid w:val="0039556D"/>
    <w:rsid w:val="00395CE4"/>
    <w:rsid w:val="00395F1A"/>
    <w:rsid w:val="00396EC5"/>
    <w:rsid w:val="00397653"/>
    <w:rsid w:val="00397655"/>
    <w:rsid w:val="003A0A07"/>
    <w:rsid w:val="003A1BAE"/>
    <w:rsid w:val="003A25D9"/>
    <w:rsid w:val="003A2A51"/>
    <w:rsid w:val="003A32F0"/>
    <w:rsid w:val="003A3F53"/>
    <w:rsid w:val="003A3FF8"/>
    <w:rsid w:val="003A569D"/>
    <w:rsid w:val="003A5CC3"/>
    <w:rsid w:val="003A76C0"/>
    <w:rsid w:val="003B118F"/>
    <w:rsid w:val="003B42E9"/>
    <w:rsid w:val="003B4A6C"/>
    <w:rsid w:val="003B5494"/>
    <w:rsid w:val="003B5611"/>
    <w:rsid w:val="003B6B2A"/>
    <w:rsid w:val="003B6C6F"/>
    <w:rsid w:val="003B70B8"/>
    <w:rsid w:val="003B73B8"/>
    <w:rsid w:val="003C0BB2"/>
    <w:rsid w:val="003C1FCB"/>
    <w:rsid w:val="003C2004"/>
    <w:rsid w:val="003C21F6"/>
    <w:rsid w:val="003C2605"/>
    <w:rsid w:val="003C31D3"/>
    <w:rsid w:val="003C41AE"/>
    <w:rsid w:val="003C5067"/>
    <w:rsid w:val="003C5555"/>
    <w:rsid w:val="003C5FB6"/>
    <w:rsid w:val="003C6B48"/>
    <w:rsid w:val="003C7526"/>
    <w:rsid w:val="003C7A9E"/>
    <w:rsid w:val="003D0727"/>
    <w:rsid w:val="003D0AA4"/>
    <w:rsid w:val="003D0CD9"/>
    <w:rsid w:val="003D173E"/>
    <w:rsid w:val="003D1CBF"/>
    <w:rsid w:val="003D1D12"/>
    <w:rsid w:val="003D461C"/>
    <w:rsid w:val="003D4D6A"/>
    <w:rsid w:val="003D5170"/>
    <w:rsid w:val="003D5CFD"/>
    <w:rsid w:val="003D6EAB"/>
    <w:rsid w:val="003E05C8"/>
    <w:rsid w:val="003E15BD"/>
    <w:rsid w:val="003E44F8"/>
    <w:rsid w:val="003E72B5"/>
    <w:rsid w:val="003E7931"/>
    <w:rsid w:val="003F0AF2"/>
    <w:rsid w:val="003F1170"/>
    <w:rsid w:val="003F2B6C"/>
    <w:rsid w:val="003F2FAE"/>
    <w:rsid w:val="003F355C"/>
    <w:rsid w:val="003F4337"/>
    <w:rsid w:val="003F47BC"/>
    <w:rsid w:val="003F5C98"/>
    <w:rsid w:val="003F6973"/>
    <w:rsid w:val="0040183D"/>
    <w:rsid w:val="00402E63"/>
    <w:rsid w:val="0040314B"/>
    <w:rsid w:val="004038EA"/>
    <w:rsid w:val="00403ECA"/>
    <w:rsid w:val="00404264"/>
    <w:rsid w:val="00404401"/>
    <w:rsid w:val="00404CCC"/>
    <w:rsid w:val="00405741"/>
    <w:rsid w:val="004059DA"/>
    <w:rsid w:val="0040731D"/>
    <w:rsid w:val="00407844"/>
    <w:rsid w:val="0041179A"/>
    <w:rsid w:val="004121E0"/>
    <w:rsid w:val="00412D00"/>
    <w:rsid w:val="0041309A"/>
    <w:rsid w:val="00413A47"/>
    <w:rsid w:val="00415B61"/>
    <w:rsid w:val="00415E54"/>
    <w:rsid w:val="00416029"/>
    <w:rsid w:val="00416A14"/>
    <w:rsid w:val="00416B5D"/>
    <w:rsid w:val="004170AF"/>
    <w:rsid w:val="00417F5D"/>
    <w:rsid w:val="0042015B"/>
    <w:rsid w:val="0042118B"/>
    <w:rsid w:val="004216DE"/>
    <w:rsid w:val="004221F8"/>
    <w:rsid w:val="004221FF"/>
    <w:rsid w:val="004238A9"/>
    <w:rsid w:val="00424D42"/>
    <w:rsid w:val="00426382"/>
    <w:rsid w:val="0042667C"/>
    <w:rsid w:val="00426834"/>
    <w:rsid w:val="004270FB"/>
    <w:rsid w:val="0042755B"/>
    <w:rsid w:val="00427DE5"/>
    <w:rsid w:val="00430EC4"/>
    <w:rsid w:val="004318D0"/>
    <w:rsid w:val="00432002"/>
    <w:rsid w:val="00432DAD"/>
    <w:rsid w:val="00434BC5"/>
    <w:rsid w:val="00434E17"/>
    <w:rsid w:val="00436468"/>
    <w:rsid w:val="00441EF1"/>
    <w:rsid w:val="004433F6"/>
    <w:rsid w:val="0044365E"/>
    <w:rsid w:val="0044483C"/>
    <w:rsid w:val="00445515"/>
    <w:rsid w:val="00445A35"/>
    <w:rsid w:val="004466F0"/>
    <w:rsid w:val="004470C5"/>
    <w:rsid w:val="00450329"/>
    <w:rsid w:val="00450B2F"/>
    <w:rsid w:val="00450D60"/>
    <w:rsid w:val="00450F29"/>
    <w:rsid w:val="00451405"/>
    <w:rsid w:val="00451D31"/>
    <w:rsid w:val="00452366"/>
    <w:rsid w:val="00452611"/>
    <w:rsid w:val="004539CA"/>
    <w:rsid w:val="004540F8"/>
    <w:rsid w:val="00457B97"/>
    <w:rsid w:val="00457F91"/>
    <w:rsid w:val="0046066A"/>
    <w:rsid w:val="00462204"/>
    <w:rsid w:val="00462BC8"/>
    <w:rsid w:val="00462E6E"/>
    <w:rsid w:val="00463983"/>
    <w:rsid w:val="00463D4C"/>
    <w:rsid w:val="00463F85"/>
    <w:rsid w:val="00464BC1"/>
    <w:rsid w:val="00464C00"/>
    <w:rsid w:val="004657EC"/>
    <w:rsid w:val="00465A3F"/>
    <w:rsid w:val="00467056"/>
    <w:rsid w:val="00471770"/>
    <w:rsid w:val="00471BE2"/>
    <w:rsid w:val="004729E8"/>
    <w:rsid w:val="00472E3F"/>
    <w:rsid w:val="00473501"/>
    <w:rsid w:val="00473720"/>
    <w:rsid w:val="00473E88"/>
    <w:rsid w:val="004772BE"/>
    <w:rsid w:val="004774D4"/>
    <w:rsid w:val="0047751D"/>
    <w:rsid w:val="00480A47"/>
    <w:rsid w:val="00482C8B"/>
    <w:rsid w:val="00482F57"/>
    <w:rsid w:val="004836E6"/>
    <w:rsid w:val="00483D12"/>
    <w:rsid w:val="00483E68"/>
    <w:rsid w:val="00485078"/>
    <w:rsid w:val="00485734"/>
    <w:rsid w:val="00485B61"/>
    <w:rsid w:val="00486A20"/>
    <w:rsid w:val="0049081D"/>
    <w:rsid w:val="00490A38"/>
    <w:rsid w:val="0049166D"/>
    <w:rsid w:val="004940AE"/>
    <w:rsid w:val="004946BF"/>
    <w:rsid w:val="004951EC"/>
    <w:rsid w:val="004962F1"/>
    <w:rsid w:val="004965F7"/>
    <w:rsid w:val="00497EC1"/>
    <w:rsid w:val="004A07B8"/>
    <w:rsid w:val="004A13A4"/>
    <w:rsid w:val="004A2691"/>
    <w:rsid w:val="004A29EC"/>
    <w:rsid w:val="004A40F2"/>
    <w:rsid w:val="004A487F"/>
    <w:rsid w:val="004A4CA4"/>
    <w:rsid w:val="004A526D"/>
    <w:rsid w:val="004A5773"/>
    <w:rsid w:val="004A5CEF"/>
    <w:rsid w:val="004A6541"/>
    <w:rsid w:val="004A671A"/>
    <w:rsid w:val="004A6956"/>
    <w:rsid w:val="004A6C1C"/>
    <w:rsid w:val="004A7489"/>
    <w:rsid w:val="004B1A1A"/>
    <w:rsid w:val="004B1F3F"/>
    <w:rsid w:val="004B23FD"/>
    <w:rsid w:val="004B24D0"/>
    <w:rsid w:val="004B3FAB"/>
    <w:rsid w:val="004B417F"/>
    <w:rsid w:val="004B4F10"/>
    <w:rsid w:val="004B675C"/>
    <w:rsid w:val="004C0CA8"/>
    <w:rsid w:val="004C0EB1"/>
    <w:rsid w:val="004C327E"/>
    <w:rsid w:val="004C552C"/>
    <w:rsid w:val="004C55AF"/>
    <w:rsid w:val="004C5974"/>
    <w:rsid w:val="004C65EB"/>
    <w:rsid w:val="004C6977"/>
    <w:rsid w:val="004C6D01"/>
    <w:rsid w:val="004D0152"/>
    <w:rsid w:val="004D0E1F"/>
    <w:rsid w:val="004D168B"/>
    <w:rsid w:val="004D24D0"/>
    <w:rsid w:val="004D26DA"/>
    <w:rsid w:val="004D2A9A"/>
    <w:rsid w:val="004D365D"/>
    <w:rsid w:val="004D36F4"/>
    <w:rsid w:val="004D3F1D"/>
    <w:rsid w:val="004D456F"/>
    <w:rsid w:val="004D4DBE"/>
    <w:rsid w:val="004D5458"/>
    <w:rsid w:val="004D6109"/>
    <w:rsid w:val="004D6314"/>
    <w:rsid w:val="004D64AD"/>
    <w:rsid w:val="004D7602"/>
    <w:rsid w:val="004E00DA"/>
    <w:rsid w:val="004E1265"/>
    <w:rsid w:val="004E1957"/>
    <w:rsid w:val="004E2198"/>
    <w:rsid w:val="004E276A"/>
    <w:rsid w:val="004E3749"/>
    <w:rsid w:val="004E3FB4"/>
    <w:rsid w:val="004E5A5F"/>
    <w:rsid w:val="004E6C6E"/>
    <w:rsid w:val="004E71A1"/>
    <w:rsid w:val="004E789E"/>
    <w:rsid w:val="004F0CFE"/>
    <w:rsid w:val="004F1615"/>
    <w:rsid w:val="004F2D5D"/>
    <w:rsid w:val="004F4317"/>
    <w:rsid w:val="004F4B49"/>
    <w:rsid w:val="004F5380"/>
    <w:rsid w:val="004F5965"/>
    <w:rsid w:val="004F73C9"/>
    <w:rsid w:val="005019E3"/>
    <w:rsid w:val="00502096"/>
    <w:rsid w:val="0050399A"/>
    <w:rsid w:val="005054A7"/>
    <w:rsid w:val="00505A55"/>
    <w:rsid w:val="00505CF1"/>
    <w:rsid w:val="00505DE2"/>
    <w:rsid w:val="00506363"/>
    <w:rsid w:val="0050689A"/>
    <w:rsid w:val="00507314"/>
    <w:rsid w:val="005100F7"/>
    <w:rsid w:val="0051025E"/>
    <w:rsid w:val="0051096F"/>
    <w:rsid w:val="00511CFE"/>
    <w:rsid w:val="00511E9B"/>
    <w:rsid w:val="0051248B"/>
    <w:rsid w:val="00513698"/>
    <w:rsid w:val="00516902"/>
    <w:rsid w:val="00520345"/>
    <w:rsid w:val="00520712"/>
    <w:rsid w:val="00520BB4"/>
    <w:rsid w:val="00520CC4"/>
    <w:rsid w:val="005239C5"/>
    <w:rsid w:val="00525B77"/>
    <w:rsid w:val="0052652B"/>
    <w:rsid w:val="00526CCD"/>
    <w:rsid w:val="00530E1E"/>
    <w:rsid w:val="005312EC"/>
    <w:rsid w:val="00531C4D"/>
    <w:rsid w:val="005345AB"/>
    <w:rsid w:val="0053674C"/>
    <w:rsid w:val="00537617"/>
    <w:rsid w:val="00537A45"/>
    <w:rsid w:val="00537BD5"/>
    <w:rsid w:val="00540EEF"/>
    <w:rsid w:val="00541CB6"/>
    <w:rsid w:val="005426C5"/>
    <w:rsid w:val="0054379E"/>
    <w:rsid w:val="00544E81"/>
    <w:rsid w:val="005450E6"/>
    <w:rsid w:val="005452BF"/>
    <w:rsid w:val="00546630"/>
    <w:rsid w:val="00546E07"/>
    <w:rsid w:val="00546F57"/>
    <w:rsid w:val="0055054C"/>
    <w:rsid w:val="00550F75"/>
    <w:rsid w:val="00551856"/>
    <w:rsid w:val="005547AD"/>
    <w:rsid w:val="00554D06"/>
    <w:rsid w:val="00555D56"/>
    <w:rsid w:val="00555EEF"/>
    <w:rsid w:val="00556C40"/>
    <w:rsid w:val="00557E33"/>
    <w:rsid w:val="0056013B"/>
    <w:rsid w:val="0056071A"/>
    <w:rsid w:val="00561C9F"/>
    <w:rsid w:val="00562A50"/>
    <w:rsid w:val="005632E4"/>
    <w:rsid w:val="00564B71"/>
    <w:rsid w:val="00565324"/>
    <w:rsid w:val="0056728B"/>
    <w:rsid w:val="0057020F"/>
    <w:rsid w:val="00572CDB"/>
    <w:rsid w:val="005753DD"/>
    <w:rsid w:val="00575C64"/>
    <w:rsid w:val="005761FC"/>
    <w:rsid w:val="0057745A"/>
    <w:rsid w:val="00577DCB"/>
    <w:rsid w:val="0058147F"/>
    <w:rsid w:val="005822F4"/>
    <w:rsid w:val="005825FC"/>
    <w:rsid w:val="00583204"/>
    <w:rsid w:val="00584193"/>
    <w:rsid w:val="005844D1"/>
    <w:rsid w:val="00584C80"/>
    <w:rsid w:val="005851A2"/>
    <w:rsid w:val="005853C7"/>
    <w:rsid w:val="00586E34"/>
    <w:rsid w:val="005875A1"/>
    <w:rsid w:val="0058778D"/>
    <w:rsid w:val="00587A7F"/>
    <w:rsid w:val="0059168B"/>
    <w:rsid w:val="00591776"/>
    <w:rsid w:val="00591E54"/>
    <w:rsid w:val="00592319"/>
    <w:rsid w:val="005923F9"/>
    <w:rsid w:val="0059281A"/>
    <w:rsid w:val="00592CB2"/>
    <w:rsid w:val="00593DAC"/>
    <w:rsid w:val="00594299"/>
    <w:rsid w:val="0059479D"/>
    <w:rsid w:val="00595C4A"/>
    <w:rsid w:val="0059600D"/>
    <w:rsid w:val="0059712B"/>
    <w:rsid w:val="005A15D0"/>
    <w:rsid w:val="005A1C36"/>
    <w:rsid w:val="005A258E"/>
    <w:rsid w:val="005A2EE1"/>
    <w:rsid w:val="005A5E5B"/>
    <w:rsid w:val="005B10B5"/>
    <w:rsid w:val="005B14C8"/>
    <w:rsid w:val="005B1A9C"/>
    <w:rsid w:val="005B1B87"/>
    <w:rsid w:val="005B1FCE"/>
    <w:rsid w:val="005B32FE"/>
    <w:rsid w:val="005B3AEB"/>
    <w:rsid w:val="005B5A7E"/>
    <w:rsid w:val="005B6B1E"/>
    <w:rsid w:val="005B6DA8"/>
    <w:rsid w:val="005C147E"/>
    <w:rsid w:val="005C20DB"/>
    <w:rsid w:val="005C556E"/>
    <w:rsid w:val="005C6470"/>
    <w:rsid w:val="005C6E7B"/>
    <w:rsid w:val="005D0AF0"/>
    <w:rsid w:val="005D2F33"/>
    <w:rsid w:val="005D3733"/>
    <w:rsid w:val="005D40B5"/>
    <w:rsid w:val="005D4A99"/>
    <w:rsid w:val="005D566D"/>
    <w:rsid w:val="005D67AE"/>
    <w:rsid w:val="005D6CB2"/>
    <w:rsid w:val="005D6F41"/>
    <w:rsid w:val="005D703B"/>
    <w:rsid w:val="005E0438"/>
    <w:rsid w:val="005E10D1"/>
    <w:rsid w:val="005E34FA"/>
    <w:rsid w:val="005E36F9"/>
    <w:rsid w:val="005E3A6B"/>
    <w:rsid w:val="005E4565"/>
    <w:rsid w:val="005E4C17"/>
    <w:rsid w:val="005E5E37"/>
    <w:rsid w:val="005F26AF"/>
    <w:rsid w:val="005F3B32"/>
    <w:rsid w:val="005F4A20"/>
    <w:rsid w:val="005F5E3B"/>
    <w:rsid w:val="005F6DCB"/>
    <w:rsid w:val="005F733E"/>
    <w:rsid w:val="005F79BB"/>
    <w:rsid w:val="00600164"/>
    <w:rsid w:val="006015DF"/>
    <w:rsid w:val="006025BF"/>
    <w:rsid w:val="00604FF1"/>
    <w:rsid w:val="00605918"/>
    <w:rsid w:val="00605DC7"/>
    <w:rsid w:val="0060716D"/>
    <w:rsid w:val="006072BD"/>
    <w:rsid w:val="006076D1"/>
    <w:rsid w:val="00607B4C"/>
    <w:rsid w:val="006109A5"/>
    <w:rsid w:val="006109C7"/>
    <w:rsid w:val="00611834"/>
    <w:rsid w:val="0061320D"/>
    <w:rsid w:val="00613F46"/>
    <w:rsid w:val="00615254"/>
    <w:rsid w:val="006166DA"/>
    <w:rsid w:val="006167FA"/>
    <w:rsid w:val="00616D5F"/>
    <w:rsid w:val="0061741E"/>
    <w:rsid w:val="006178DC"/>
    <w:rsid w:val="006233C2"/>
    <w:rsid w:val="00624CA9"/>
    <w:rsid w:val="006254B7"/>
    <w:rsid w:val="00625528"/>
    <w:rsid w:val="006307A1"/>
    <w:rsid w:val="00631F0F"/>
    <w:rsid w:val="00633521"/>
    <w:rsid w:val="00634029"/>
    <w:rsid w:val="00634E75"/>
    <w:rsid w:val="00636C65"/>
    <w:rsid w:val="006415B2"/>
    <w:rsid w:val="006422C9"/>
    <w:rsid w:val="00643B56"/>
    <w:rsid w:val="00644954"/>
    <w:rsid w:val="00644ED1"/>
    <w:rsid w:val="0064531F"/>
    <w:rsid w:val="0064565F"/>
    <w:rsid w:val="006462E6"/>
    <w:rsid w:val="00646E00"/>
    <w:rsid w:val="0064770E"/>
    <w:rsid w:val="006501E0"/>
    <w:rsid w:val="00650FA4"/>
    <w:rsid w:val="0065166D"/>
    <w:rsid w:val="00652596"/>
    <w:rsid w:val="00653437"/>
    <w:rsid w:val="00653932"/>
    <w:rsid w:val="006568B6"/>
    <w:rsid w:val="00656B23"/>
    <w:rsid w:val="0066003B"/>
    <w:rsid w:val="006604EA"/>
    <w:rsid w:val="006609F3"/>
    <w:rsid w:val="00663183"/>
    <w:rsid w:val="00663D34"/>
    <w:rsid w:val="00663DD5"/>
    <w:rsid w:val="00665846"/>
    <w:rsid w:val="006665EF"/>
    <w:rsid w:val="0066680F"/>
    <w:rsid w:val="00666DAB"/>
    <w:rsid w:val="00673283"/>
    <w:rsid w:val="0067378C"/>
    <w:rsid w:val="00673D69"/>
    <w:rsid w:val="00674037"/>
    <w:rsid w:val="006742A0"/>
    <w:rsid w:val="00674B2F"/>
    <w:rsid w:val="0067752A"/>
    <w:rsid w:val="00680F97"/>
    <w:rsid w:val="006827C3"/>
    <w:rsid w:val="00682FDB"/>
    <w:rsid w:val="00683698"/>
    <w:rsid w:val="00683914"/>
    <w:rsid w:val="0068644C"/>
    <w:rsid w:val="00687FBF"/>
    <w:rsid w:val="00691111"/>
    <w:rsid w:val="00692AE2"/>
    <w:rsid w:val="006931DD"/>
    <w:rsid w:val="00693F20"/>
    <w:rsid w:val="00694057"/>
    <w:rsid w:val="0069597E"/>
    <w:rsid w:val="0069711E"/>
    <w:rsid w:val="0069718C"/>
    <w:rsid w:val="006A11F4"/>
    <w:rsid w:val="006A3BC2"/>
    <w:rsid w:val="006A4B33"/>
    <w:rsid w:val="006A5D3B"/>
    <w:rsid w:val="006A679A"/>
    <w:rsid w:val="006A682C"/>
    <w:rsid w:val="006A6E14"/>
    <w:rsid w:val="006B013A"/>
    <w:rsid w:val="006B0ADB"/>
    <w:rsid w:val="006B130B"/>
    <w:rsid w:val="006B260C"/>
    <w:rsid w:val="006B324D"/>
    <w:rsid w:val="006B3E9F"/>
    <w:rsid w:val="006B3ED5"/>
    <w:rsid w:val="006B554A"/>
    <w:rsid w:val="006B725A"/>
    <w:rsid w:val="006B7E9F"/>
    <w:rsid w:val="006C0C6A"/>
    <w:rsid w:val="006C314C"/>
    <w:rsid w:val="006C38B5"/>
    <w:rsid w:val="006C39A4"/>
    <w:rsid w:val="006C5B12"/>
    <w:rsid w:val="006C7047"/>
    <w:rsid w:val="006C7427"/>
    <w:rsid w:val="006D0FEC"/>
    <w:rsid w:val="006D26B0"/>
    <w:rsid w:val="006D4B07"/>
    <w:rsid w:val="006D51E2"/>
    <w:rsid w:val="006D5473"/>
    <w:rsid w:val="006D6161"/>
    <w:rsid w:val="006D67DF"/>
    <w:rsid w:val="006D75BB"/>
    <w:rsid w:val="006E0756"/>
    <w:rsid w:val="006E0BE1"/>
    <w:rsid w:val="006E127F"/>
    <w:rsid w:val="006E13E6"/>
    <w:rsid w:val="006E2984"/>
    <w:rsid w:val="006E3A3C"/>
    <w:rsid w:val="006E5241"/>
    <w:rsid w:val="006E5E25"/>
    <w:rsid w:val="006F0A43"/>
    <w:rsid w:val="006F1476"/>
    <w:rsid w:val="006F14DC"/>
    <w:rsid w:val="006F16CF"/>
    <w:rsid w:val="006F19A9"/>
    <w:rsid w:val="006F2814"/>
    <w:rsid w:val="006F7831"/>
    <w:rsid w:val="0070091F"/>
    <w:rsid w:val="00700CA2"/>
    <w:rsid w:val="0070235C"/>
    <w:rsid w:val="00702415"/>
    <w:rsid w:val="00702AEC"/>
    <w:rsid w:val="00703318"/>
    <w:rsid w:val="007036C3"/>
    <w:rsid w:val="007038D2"/>
    <w:rsid w:val="00703D49"/>
    <w:rsid w:val="00703E5D"/>
    <w:rsid w:val="00704AC7"/>
    <w:rsid w:val="007051FA"/>
    <w:rsid w:val="0070618E"/>
    <w:rsid w:val="00706AC7"/>
    <w:rsid w:val="00707A8E"/>
    <w:rsid w:val="00710457"/>
    <w:rsid w:val="0071205E"/>
    <w:rsid w:val="007134BA"/>
    <w:rsid w:val="00713B2E"/>
    <w:rsid w:val="00714A87"/>
    <w:rsid w:val="007151FA"/>
    <w:rsid w:val="007168F3"/>
    <w:rsid w:val="0072028B"/>
    <w:rsid w:val="00720664"/>
    <w:rsid w:val="00721610"/>
    <w:rsid w:val="00721B10"/>
    <w:rsid w:val="0072247E"/>
    <w:rsid w:val="00723D98"/>
    <w:rsid w:val="007256E3"/>
    <w:rsid w:val="00725861"/>
    <w:rsid w:val="007268DB"/>
    <w:rsid w:val="00727CE3"/>
    <w:rsid w:val="007318B2"/>
    <w:rsid w:val="00732D80"/>
    <w:rsid w:val="00734E64"/>
    <w:rsid w:val="00735E4F"/>
    <w:rsid w:val="00736244"/>
    <w:rsid w:val="007362B4"/>
    <w:rsid w:val="0073686B"/>
    <w:rsid w:val="00737F2E"/>
    <w:rsid w:val="00740B78"/>
    <w:rsid w:val="00741362"/>
    <w:rsid w:val="00741ACB"/>
    <w:rsid w:val="0074257B"/>
    <w:rsid w:val="007432A0"/>
    <w:rsid w:val="00743B23"/>
    <w:rsid w:val="00744641"/>
    <w:rsid w:val="007503D8"/>
    <w:rsid w:val="00751969"/>
    <w:rsid w:val="007525EB"/>
    <w:rsid w:val="00752666"/>
    <w:rsid w:val="007537B2"/>
    <w:rsid w:val="00753E71"/>
    <w:rsid w:val="00754120"/>
    <w:rsid w:val="007556A0"/>
    <w:rsid w:val="00755B78"/>
    <w:rsid w:val="00755E81"/>
    <w:rsid w:val="007561DC"/>
    <w:rsid w:val="00756275"/>
    <w:rsid w:val="00756CFE"/>
    <w:rsid w:val="007572E2"/>
    <w:rsid w:val="0075797E"/>
    <w:rsid w:val="00757BDE"/>
    <w:rsid w:val="00760B14"/>
    <w:rsid w:val="0076184E"/>
    <w:rsid w:val="00763EE5"/>
    <w:rsid w:val="0076437E"/>
    <w:rsid w:val="00764A6B"/>
    <w:rsid w:val="0076603D"/>
    <w:rsid w:val="007672F7"/>
    <w:rsid w:val="00767977"/>
    <w:rsid w:val="00767AC6"/>
    <w:rsid w:val="00767BB0"/>
    <w:rsid w:val="00770998"/>
    <w:rsid w:val="00771172"/>
    <w:rsid w:val="007714F6"/>
    <w:rsid w:val="0077224C"/>
    <w:rsid w:val="00772E2E"/>
    <w:rsid w:val="00773B88"/>
    <w:rsid w:val="00773C3C"/>
    <w:rsid w:val="00773C7A"/>
    <w:rsid w:val="00774E02"/>
    <w:rsid w:val="0077502B"/>
    <w:rsid w:val="00775484"/>
    <w:rsid w:val="007757BF"/>
    <w:rsid w:val="00775B1B"/>
    <w:rsid w:val="00776337"/>
    <w:rsid w:val="00776C4C"/>
    <w:rsid w:val="00777A10"/>
    <w:rsid w:val="007809E8"/>
    <w:rsid w:val="0078103B"/>
    <w:rsid w:val="0078245F"/>
    <w:rsid w:val="00783E80"/>
    <w:rsid w:val="0078632F"/>
    <w:rsid w:val="007865B3"/>
    <w:rsid w:val="00786F71"/>
    <w:rsid w:val="00787402"/>
    <w:rsid w:val="007879CF"/>
    <w:rsid w:val="00791C3B"/>
    <w:rsid w:val="007929C5"/>
    <w:rsid w:val="00793131"/>
    <w:rsid w:val="007952CB"/>
    <w:rsid w:val="00795F5F"/>
    <w:rsid w:val="00796134"/>
    <w:rsid w:val="00797437"/>
    <w:rsid w:val="007A12E3"/>
    <w:rsid w:val="007A14A4"/>
    <w:rsid w:val="007A273C"/>
    <w:rsid w:val="007A5DF9"/>
    <w:rsid w:val="007A5F01"/>
    <w:rsid w:val="007A6D61"/>
    <w:rsid w:val="007A74A2"/>
    <w:rsid w:val="007A786B"/>
    <w:rsid w:val="007A7973"/>
    <w:rsid w:val="007B1555"/>
    <w:rsid w:val="007B32AC"/>
    <w:rsid w:val="007B4181"/>
    <w:rsid w:val="007B41B1"/>
    <w:rsid w:val="007B5B1C"/>
    <w:rsid w:val="007B5D6F"/>
    <w:rsid w:val="007B782E"/>
    <w:rsid w:val="007C1357"/>
    <w:rsid w:val="007C33B9"/>
    <w:rsid w:val="007C3A7C"/>
    <w:rsid w:val="007C3CD7"/>
    <w:rsid w:val="007C4695"/>
    <w:rsid w:val="007C4BFB"/>
    <w:rsid w:val="007C4E2A"/>
    <w:rsid w:val="007C6A26"/>
    <w:rsid w:val="007C6D85"/>
    <w:rsid w:val="007C7F30"/>
    <w:rsid w:val="007D00B8"/>
    <w:rsid w:val="007D057A"/>
    <w:rsid w:val="007D2461"/>
    <w:rsid w:val="007D33E8"/>
    <w:rsid w:val="007D3AF0"/>
    <w:rsid w:val="007D3F03"/>
    <w:rsid w:val="007D40C5"/>
    <w:rsid w:val="007D4553"/>
    <w:rsid w:val="007D4950"/>
    <w:rsid w:val="007E0167"/>
    <w:rsid w:val="007E01FA"/>
    <w:rsid w:val="007E18A5"/>
    <w:rsid w:val="007E21A8"/>
    <w:rsid w:val="007E2534"/>
    <w:rsid w:val="007E493F"/>
    <w:rsid w:val="007E608D"/>
    <w:rsid w:val="007E7702"/>
    <w:rsid w:val="007F15C0"/>
    <w:rsid w:val="007F1FD4"/>
    <w:rsid w:val="007F3502"/>
    <w:rsid w:val="007F3C21"/>
    <w:rsid w:val="007F3E85"/>
    <w:rsid w:val="007F4958"/>
    <w:rsid w:val="007F4DA1"/>
    <w:rsid w:val="007F53CC"/>
    <w:rsid w:val="007F7273"/>
    <w:rsid w:val="007F7AA2"/>
    <w:rsid w:val="0080040D"/>
    <w:rsid w:val="008024BD"/>
    <w:rsid w:val="00802C06"/>
    <w:rsid w:val="00803517"/>
    <w:rsid w:val="008037F2"/>
    <w:rsid w:val="0080381C"/>
    <w:rsid w:val="0080406E"/>
    <w:rsid w:val="00804CBD"/>
    <w:rsid w:val="00805123"/>
    <w:rsid w:val="00805403"/>
    <w:rsid w:val="0080768B"/>
    <w:rsid w:val="008078C5"/>
    <w:rsid w:val="0081020C"/>
    <w:rsid w:val="00810ED9"/>
    <w:rsid w:val="00811BE2"/>
    <w:rsid w:val="00812443"/>
    <w:rsid w:val="00813CD5"/>
    <w:rsid w:val="00813F35"/>
    <w:rsid w:val="00814044"/>
    <w:rsid w:val="00814072"/>
    <w:rsid w:val="0081452D"/>
    <w:rsid w:val="00814A16"/>
    <w:rsid w:val="0081768C"/>
    <w:rsid w:val="0081793F"/>
    <w:rsid w:val="0082041C"/>
    <w:rsid w:val="00821250"/>
    <w:rsid w:val="00821FCC"/>
    <w:rsid w:val="00822232"/>
    <w:rsid w:val="0082299D"/>
    <w:rsid w:val="00823C35"/>
    <w:rsid w:val="00824F65"/>
    <w:rsid w:val="00825418"/>
    <w:rsid w:val="00825582"/>
    <w:rsid w:val="00825B98"/>
    <w:rsid w:val="0082701A"/>
    <w:rsid w:val="008309B9"/>
    <w:rsid w:val="008333F4"/>
    <w:rsid w:val="00835D08"/>
    <w:rsid w:val="00835F7F"/>
    <w:rsid w:val="00835FA3"/>
    <w:rsid w:val="00837A3B"/>
    <w:rsid w:val="0084123D"/>
    <w:rsid w:val="00842848"/>
    <w:rsid w:val="00842F1A"/>
    <w:rsid w:val="008432D7"/>
    <w:rsid w:val="00843C4F"/>
    <w:rsid w:val="00844D66"/>
    <w:rsid w:val="008457B1"/>
    <w:rsid w:val="00846E2E"/>
    <w:rsid w:val="00847349"/>
    <w:rsid w:val="00847828"/>
    <w:rsid w:val="008479E9"/>
    <w:rsid w:val="00850E55"/>
    <w:rsid w:val="008513C0"/>
    <w:rsid w:val="00851AE3"/>
    <w:rsid w:val="00853B25"/>
    <w:rsid w:val="0085465B"/>
    <w:rsid w:val="00855016"/>
    <w:rsid w:val="00855258"/>
    <w:rsid w:val="00855516"/>
    <w:rsid w:val="00856FB8"/>
    <w:rsid w:val="0085710D"/>
    <w:rsid w:val="008573B3"/>
    <w:rsid w:val="0085770A"/>
    <w:rsid w:val="0086036F"/>
    <w:rsid w:val="00860AAE"/>
    <w:rsid w:val="00862811"/>
    <w:rsid w:val="00863866"/>
    <w:rsid w:val="00864888"/>
    <w:rsid w:val="008649CE"/>
    <w:rsid w:val="00864EC3"/>
    <w:rsid w:val="008665CE"/>
    <w:rsid w:val="00866BA4"/>
    <w:rsid w:val="008671CC"/>
    <w:rsid w:val="00867895"/>
    <w:rsid w:val="008718E2"/>
    <w:rsid w:val="00871A2F"/>
    <w:rsid w:val="0087336C"/>
    <w:rsid w:val="008738CB"/>
    <w:rsid w:val="00873980"/>
    <w:rsid w:val="00874D32"/>
    <w:rsid w:val="00880381"/>
    <w:rsid w:val="0088066A"/>
    <w:rsid w:val="0088225E"/>
    <w:rsid w:val="00883A0C"/>
    <w:rsid w:val="00883BB6"/>
    <w:rsid w:val="008851A4"/>
    <w:rsid w:val="0088573F"/>
    <w:rsid w:val="00885B80"/>
    <w:rsid w:val="0088603D"/>
    <w:rsid w:val="00890BEA"/>
    <w:rsid w:val="008921B0"/>
    <w:rsid w:val="00892815"/>
    <w:rsid w:val="008937FA"/>
    <w:rsid w:val="008942DB"/>
    <w:rsid w:val="00897C7B"/>
    <w:rsid w:val="008A0CA0"/>
    <w:rsid w:val="008A10AC"/>
    <w:rsid w:val="008A18FC"/>
    <w:rsid w:val="008A20EE"/>
    <w:rsid w:val="008A368A"/>
    <w:rsid w:val="008A40D5"/>
    <w:rsid w:val="008A4550"/>
    <w:rsid w:val="008A4918"/>
    <w:rsid w:val="008A5A11"/>
    <w:rsid w:val="008A5E11"/>
    <w:rsid w:val="008A7439"/>
    <w:rsid w:val="008A762B"/>
    <w:rsid w:val="008A779F"/>
    <w:rsid w:val="008A7960"/>
    <w:rsid w:val="008B3698"/>
    <w:rsid w:val="008B4D36"/>
    <w:rsid w:val="008B5200"/>
    <w:rsid w:val="008B6A2D"/>
    <w:rsid w:val="008B7586"/>
    <w:rsid w:val="008C09E0"/>
    <w:rsid w:val="008C211B"/>
    <w:rsid w:val="008C3670"/>
    <w:rsid w:val="008C3B69"/>
    <w:rsid w:val="008C45D6"/>
    <w:rsid w:val="008C5428"/>
    <w:rsid w:val="008C6713"/>
    <w:rsid w:val="008C7383"/>
    <w:rsid w:val="008C772E"/>
    <w:rsid w:val="008D0DF6"/>
    <w:rsid w:val="008D1B14"/>
    <w:rsid w:val="008D22BE"/>
    <w:rsid w:val="008D2C19"/>
    <w:rsid w:val="008D2F1A"/>
    <w:rsid w:val="008D38B6"/>
    <w:rsid w:val="008D51C6"/>
    <w:rsid w:val="008D5CC8"/>
    <w:rsid w:val="008D65F7"/>
    <w:rsid w:val="008D6DAA"/>
    <w:rsid w:val="008D7D8F"/>
    <w:rsid w:val="008E1662"/>
    <w:rsid w:val="008E4379"/>
    <w:rsid w:val="008E4926"/>
    <w:rsid w:val="008F030B"/>
    <w:rsid w:val="008F1311"/>
    <w:rsid w:val="008F3863"/>
    <w:rsid w:val="008F3E15"/>
    <w:rsid w:val="008F6497"/>
    <w:rsid w:val="008F6A6E"/>
    <w:rsid w:val="008F78ED"/>
    <w:rsid w:val="008F7B07"/>
    <w:rsid w:val="00900DC1"/>
    <w:rsid w:val="00902487"/>
    <w:rsid w:val="00905250"/>
    <w:rsid w:val="00905FCB"/>
    <w:rsid w:val="00907845"/>
    <w:rsid w:val="00907FDE"/>
    <w:rsid w:val="00910F4E"/>
    <w:rsid w:val="00912224"/>
    <w:rsid w:val="00912432"/>
    <w:rsid w:val="0091253F"/>
    <w:rsid w:val="00912919"/>
    <w:rsid w:val="00912CD7"/>
    <w:rsid w:val="00913700"/>
    <w:rsid w:val="009138C6"/>
    <w:rsid w:val="00913B76"/>
    <w:rsid w:val="00913C6C"/>
    <w:rsid w:val="009155B4"/>
    <w:rsid w:val="00916EE0"/>
    <w:rsid w:val="00917E4F"/>
    <w:rsid w:val="00922680"/>
    <w:rsid w:val="00922B81"/>
    <w:rsid w:val="009230C4"/>
    <w:rsid w:val="00923C11"/>
    <w:rsid w:val="00923EB1"/>
    <w:rsid w:val="009251E0"/>
    <w:rsid w:val="00926069"/>
    <w:rsid w:val="00926E13"/>
    <w:rsid w:val="009278FB"/>
    <w:rsid w:val="00930653"/>
    <w:rsid w:val="0093109D"/>
    <w:rsid w:val="0093138C"/>
    <w:rsid w:val="009332D5"/>
    <w:rsid w:val="00933EFB"/>
    <w:rsid w:val="009348D7"/>
    <w:rsid w:val="00935ED3"/>
    <w:rsid w:val="009376EB"/>
    <w:rsid w:val="00937F73"/>
    <w:rsid w:val="00940265"/>
    <w:rsid w:val="00940A69"/>
    <w:rsid w:val="009410B0"/>
    <w:rsid w:val="009421F6"/>
    <w:rsid w:val="00943BEF"/>
    <w:rsid w:val="0094508F"/>
    <w:rsid w:val="00945427"/>
    <w:rsid w:val="00950259"/>
    <w:rsid w:val="00951C5B"/>
    <w:rsid w:val="00952206"/>
    <w:rsid w:val="00952D4B"/>
    <w:rsid w:val="009543F0"/>
    <w:rsid w:val="00954E60"/>
    <w:rsid w:val="00955AB1"/>
    <w:rsid w:val="0095670B"/>
    <w:rsid w:val="00956BD8"/>
    <w:rsid w:val="0095761D"/>
    <w:rsid w:val="00957B51"/>
    <w:rsid w:val="00963122"/>
    <w:rsid w:val="009636B0"/>
    <w:rsid w:val="0097058B"/>
    <w:rsid w:val="00971E40"/>
    <w:rsid w:val="00972498"/>
    <w:rsid w:val="00972E31"/>
    <w:rsid w:val="00972FA5"/>
    <w:rsid w:val="00974979"/>
    <w:rsid w:val="00977A6C"/>
    <w:rsid w:val="00980027"/>
    <w:rsid w:val="009804CD"/>
    <w:rsid w:val="009805A1"/>
    <w:rsid w:val="00983647"/>
    <w:rsid w:val="0098397F"/>
    <w:rsid w:val="0098433B"/>
    <w:rsid w:val="009854B3"/>
    <w:rsid w:val="0098715D"/>
    <w:rsid w:val="009878D8"/>
    <w:rsid w:val="00987C6C"/>
    <w:rsid w:val="00990955"/>
    <w:rsid w:val="00992545"/>
    <w:rsid w:val="0099284C"/>
    <w:rsid w:val="0099405E"/>
    <w:rsid w:val="00994370"/>
    <w:rsid w:val="0099463F"/>
    <w:rsid w:val="00994FDB"/>
    <w:rsid w:val="0099569C"/>
    <w:rsid w:val="00995A3E"/>
    <w:rsid w:val="0099625D"/>
    <w:rsid w:val="009964C9"/>
    <w:rsid w:val="00996795"/>
    <w:rsid w:val="00996AC7"/>
    <w:rsid w:val="00996E1C"/>
    <w:rsid w:val="009975DB"/>
    <w:rsid w:val="0099777A"/>
    <w:rsid w:val="009A0DD5"/>
    <w:rsid w:val="009A17FE"/>
    <w:rsid w:val="009A22ED"/>
    <w:rsid w:val="009A2533"/>
    <w:rsid w:val="009A2DA2"/>
    <w:rsid w:val="009A4F68"/>
    <w:rsid w:val="009A5115"/>
    <w:rsid w:val="009A540B"/>
    <w:rsid w:val="009A5DA3"/>
    <w:rsid w:val="009A66CA"/>
    <w:rsid w:val="009A6A1E"/>
    <w:rsid w:val="009A7B3D"/>
    <w:rsid w:val="009A7C8C"/>
    <w:rsid w:val="009A7FB6"/>
    <w:rsid w:val="009B1F69"/>
    <w:rsid w:val="009B65F1"/>
    <w:rsid w:val="009B6692"/>
    <w:rsid w:val="009B788A"/>
    <w:rsid w:val="009B7DA2"/>
    <w:rsid w:val="009C019E"/>
    <w:rsid w:val="009C14FE"/>
    <w:rsid w:val="009C1806"/>
    <w:rsid w:val="009C252F"/>
    <w:rsid w:val="009C2A01"/>
    <w:rsid w:val="009C2C62"/>
    <w:rsid w:val="009C2D91"/>
    <w:rsid w:val="009C2F02"/>
    <w:rsid w:val="009C60AF"/>
    <w:rsid w:val="009C6851"/>
    <w:rsid w:val="009C6B26"/>
    <w:rsid w:val="009C6C36"/>
    <w:rsid w:val="009C7DC3"/>
    <w:rsid w:val="009C7E58"/>
    <w:rsid w:val="009C7E59"/>
    <w:rsid w:val="009D1C0F"/>
    <w:rsid w:val="009D2A2E"/>
    <w:rsid w:val="009D303A"/>
    <w:rsid w:val="009D33DE"/>
    <w:rsid w:val="009D36DB"/>
    <w:rsid w:val="009D4E0C"/>
    <w:rsid w:val="009D5440"/>
    <w:rsid w:val="009D72E8"/>
    <w:rsid w:val="009D750B"/>
    <w:rsid w:val="009E0451"/>
    <w:rsid w:val="009E0E1B"/>
    <w:rsid w:val="009E23AB"/>
    <w:rsid w:val="009E2DD1"/>
    <w:rsid w:val="009E3256"/>
    <w:rsid w:val="009E37A4"/>
    <w:rsid w:val="009E4391"/>
    <w:rsid w:val="009E48A4"/>
    <w:rsid w:val="009E50CA"/>
    <w:rsid w:val="009E6E6A"/>
    <w:rsid w:val="009E7F0B"/>
    <w:rsid w:val="009F28EF"/>
    <w:rsid w:val="009F6648"/>
    <w:rsid w:val="009F666E"/>
    <w:rsid w:val="009F7187"/>
    <w:rsid w:val="009F7584"/>
    <w:rsid w:val="00A00875"/>
    <w:rsid w:val="00A06B63"/>
    <w:rsid w:val="00A12162"/>
    <w:rsid w:val="00A12F40"/>
    <w:rsid w:val="00A131A4"/>
    <w:rsid w:val="00A15421"/>
    <w:rsid w:val="00A15553"/>
    <w:rsid w:val="00A15A05"/>
    <w:rsid w:val="00A1687A"/>
    <w:rsid w:val="00A16B3D"/>
    <w:rsid w:val="00A16DAF"/>
    <w:rsid w:val="00A1798D"/>
    <w:rsid w:val="00A17AFA"/>
    <w:rsid w:val="00A200D5"/>
    <w:rsid w:val="00A2024F"/>
    <w:rsid w:val="00A2139F"/>
    <w:rsid w:val="00A216F4"/>
    <w:rsid w:val="00A22258"/>
    <w:rsid w:val="00A222E4"/>
    <w:rsid w:val="00A23558"/>
    <w:rsid w:val="00A23A5B"/>
    <w:rsid w:val="00A23FEF"/>
    <w:rsid w:val="00A268C2"/>
    <w:rsid w:val="00A27A34"/>
    <w:rsid w:val="00A31329"/>
    <w:rsid w:val="00A31FF8"/>
    <w:rsid w:val="00A33044"/>
    <w:rsid w:val="00A33581"/>
    <w:rsid w:val="00A335D0"/>
    <w:rsid w:val="00A3603F"/>
    <w:rsid w:val="00A40195"/>
    <w:rsid w:val="00A40637"/>
    <w:rsid w:val="00A40CF2"/>
    <w:rsid w:val="00A40E1C"/>
    <w:rsid w:val="00A416B7"/>
    <w:rsid w:val="00A4271D"/>
    <w:rsid w:val="00A43D5E"/>
    <w:rsid w:val="00A43EE3"/>
    <w:rsid w:val="00A44D9C"/>
    <w:rsid w:val="00A4645A"/>
    <w:rsid w:val="00A46587"/>
    <w:rsid w:val="00A46B10"/>
    <w:rsid w:val="00A47F14"/>
    <w:rsid w:val="00A50437"/>
    <w:rsid w:val="00A5055B"/>
    <w:rsid w:val="00A5228A"/>
    <w:rsid w:val="00A539CD"/>
    <w:rsid w:val="00A54245"/>
    <w:rsid w:val="00A55AF8"/>
    <w:rsid w:val="00A55D23"/>
    <w:rsid w:val="00A56275"/>
    <w:rsid w:val="00A571D2"/>
    <w:rsid w:val="00A577AA"/>
    <w:rsid w:val="00A57C43"/>
    <w:rsid w:val="00A60026"/>
    <w:rsid w:val="00A60CA2"/>
    <w:rsid w:val="00A61048"/>
    <w:rsid w:val="00A61126"/>
    <w:rsid w:val="00A61A18"/>
    <w:rsid w:val="00A6218C"/>
    <w:rsid w:val="00A62B77"/>
    <w:rsid w:val="00A62DC9"/>
    <w:rsid w:val="00A64A20"/>
    <w:rsid w:val="00A661CF"/>
    <w:rsid w:val="00A67353"/>
    <w:rsid w:val="00A6788A"/>
    <w:rsid w:val="00A67DA9"/>
    <w:rsid w:val="00A72560"/>
    <w:rsid w:val="00A74139"/>
    <w:rsid w:val="00A74B6F"/>
    <w:rsid w:val="00A74EC8"/>
    <w:rsid w:val="00A756A0"/>
    <w:rsid w:val="00A75B4B"/>
    <w:rsid w:val="00A75F6A"/>
    <w:rsid w:val="00A76695"/>
    <w:rsid w:val="00A76ECF"/>
    <w:rsid w:val="00A80794"/>
    <w:rsid w:val="00A825DE"/>
    <w:rsid w:val="00A83190"/>
    <w:rsid w:val="00A83551"/>
    <w:rsid w:val="00A84D0D"/>
    <w:rsid w:val="00A85976"/>
    <w:rsid w:val="00A86D94"/>
    <w:rsid w:val="00A874B0"/>
    <w:rsid w:val="00A8765F"/>
    <w:rsid w:val="00A91BD6"/>
    <w:rsid w:val="00A92DFE"/>
    <w:rsid w:val="00A93B47"/>
    <w:rsid w:val="00A9618A"/>
    <w:rsid w:val="00A961AD"/>
    <w:rsid w:val="00A97B73"/>
    <w:rsid w:val="00A97E20"/>
    <w:rsid w:val="00AA0988"/>
    <w:rsid w:val="00AA1443"/>
    <w:rsid w:val="00AA1558"/>
    <w:rsid w:val="00AA3171"/>
    <w:rsid w:val="00AA39C0"/>
    <w:rsid w:val="00AA4548"/>
    <w:rsid w:val="00AA5ECF"/>
    <w:rsid w:val="00AA6378"/>
    <w:rsid w:val="00AA6CB1"/>
    <w:rsid w:val="00AA6E99"/>
    <w:rsid w:val="00AA7526"/>
    <w:rsid w:val="00AA7B01"/>
    <w:rsid w:val="00AA7E88"/>
    <w:rsid w:val="00AB01BE"/>
    <w:rsid w:val="00AB0F37"/>
    <w:rsid w:val="00AB4818"/>
    <w:rsid w:val="00AB4D2A"/>
    <w:rsid w:val="00AB5494"/>
    <w:rsid w:val="00AB65FF"/>
    <w:rsid w:val="00AB694B"/>
    <w:rsid w:val="00AB6BA8"/>
    <w:rsid w:val="00AB6DA2"/>
    <w:rsid w:val="00AB7B53"/>
    <w:rsid w:val="00AC0FA0"/>
    <w:rsid w:val="00AC1684"/>
    <w:rsid w:val="00AC1B7E"/>
    <w:rsid w:val="00AC1D56"/>
    <w:rsid w:val="00AC1DE0"/>
    <w:rsid w:val="00AC2194"/>
    <w:rsid w:val="00AC263C"/>
    <w:rsid w:val="00AC45B6"/>
    <w:rsid w:val="00AC4B49"/>
    <w:rsid w:val="00AC4C30"/>
    <w:rsid w:val="00AC4E5A"/>
    <w:rsid w:val="00AC5EC1"/>
    <w:rsid w:val="00AC617F"/>
    <w:rsid w:val="00AC69B3"/>
    <w:rsid w:val="00AC6CE0"/>
    <w:rsid w:val="00AC79E2"/>
    <w:rsid w:val="00AD03F5"/>
    <w:rsid w:val="00AD18A8"/>
    <w:rsid w:val="00AD1926"/>
    <w:rsid w:val="00AD1EBF"/>
    <w:rsid w:val="00AD217A"/>
    <w:rsid w:val="00AD2BDF"/>
    <w:rsid w:val="00AD2C6F"/>
    <w:rsid w:val="00AD4790"/>
    <w:rsid w:val="00AD520A"/>
    <w:rsid w:val="00AD61F7"/>
    <w:rsid w:val="00AE1B2B"/>
    <w:rsid w:val="00AE2218"/>
    <w:rsid w:val="00AE286F"/>
    <w:rsid w:val="00AE5772"/>
    <w:rsid w:val="00AE6CCA"/>
    <w:rsid w:val="00AE728A"/>
    <w:rsid w:val="00AE74FE"/>
    <w:rsid w:val="00AF0A9B"/>
    <w:rsid w:val="00AF0BEA"/>
    <w:rsid w:val="00AF0C8E"/>
    <w:rsid w:val="00AF28FE"/>
    <w:rsid w:val="00AF2958"/>
    <w:rsid w:val="00AF2E80"/>
    <w:rsid w:val="00AF2F89"/>
    <w:rsid w:val="00AF3BA9"/>
    <w:rsid w:val="00AF40ED"/>
    <w:rsid w:val="00AF441C"/>
    <w:rsid w:val="00AF5BB4"/>
    <w:rsid w:val="00AF637C"/>
    <w:rsid w:val="00AF6A2E"/>
    <w:rsid w:val="00B0041B"/>
    <w:rsid w:val="00B005AF"/>
    <w:rsid w:val="00B008E8"/>
    <w:rsid w:val="00B01A77"/>
    <w:rsid w:val="00B01BC0"/>
    <w:rsid w:val="00B01E80"/>
    <w:rsid w:val="00B0287B"/>
    <w:rsid w:val="00B02E04"/>
    <w:rsid w:val="00B032AE"/>
    <w:rsid w:val="00B03943"/>
    <w:rsid w:val="00B04CF5"/>
    <w:rsid w:val="00B053A9"/>
    <w:rsid w:val="00B05444"/>
    <w:rsid w:val="00B05768"/>
    <w:rsid w:val="00B05E16"/>
    <w:rsid w:val="00B074F2"/>
    <w:rsid w:val="00B07E57"/>
    <w:rsid w:val="00B100F9"/>
    <w:rsid w:val="00B101A4"/>
    <w:rsid w:val="00B103A6"/>
    <w:rsid w:val="00B10FC1"/>
    <w:rsid w:val="00B11390"/>
    <w:rsid w:val="00B11B83"/>
    <w:rsid w:val="00B13385"/>
    <w:rsid w:val="00B135F1"/>
    <w:rsid w:val="00B15C5E"/>
    <w:rsid w:val="00B1698D"/>
    <w:rsid w:val="00B204E7"/>
    <w:rsid w:val="00B21900"/>
    <w:rsid w:val="00B21D94"/>
    <w:rsid w:val="00B231E1"/>
    <w:rsid w:val="00B2356D"/>
    <w:rsid w:val="00B24349"/>
    <w:rsid w:val="00B268C4"/>
    <w:rsid w:val="00B27EA3"/>
    <w:rsid w:val="00B3074A"/>
    <w:rsid w:val="00B30CB3"/>
    <w:rsid w:val="00B31A2E"/>
    <w:rsid w:val="00B32941"/>
    <w:rsid w:val="00B32CA2"/>
    <w:rsid w:val="00B32E57"/>
    <w:rsid w:val="00B3424C"/>
    <w:rsid w:val="00B358D3"/>
    <w:rsid w:val="00B35BE4"/>
    <w:rsid w:val="00B36C0C"/>
    <w:rsid w:val="00B41840"/>
    <w:rsid w:val="00B41C99"/>
    <w:rsid w:val="00B41DFF"/>
    <w:rsid w:val="00B426F6"/>
    <w:rsid w:val="00B43DA1"/>
    <w:rsid w:val="00B4425F"/>
    <w:rsid w:val="00B452F9"/>
    <w:rsid w:val="00B46CC3"/>
    <w:rsid w:val="00B50B44"/>
    <w:rsid w:val="00B5294E"/>
    <w:rsid w:val="00B544CC"/>
    <w:rsid w:val="00B54C69"/>
    <w:rsid w:val="00B5532B"/>
    <w:rsid w:val="00B55F3D"/>
    <w:rsid w:val="00B568C9"/>
    <w:rsid w:val="00B57301"/>
    <w:rsid w:val="00B61FEC"/>
    <w:rsid w:val="00B62B8B"/>
    <w:rsid w:val="00B6322D"/>
    <w:rsid w:val="00B64B1A"/>
    <w:rsid w:val="00B65880"/>
    <w:rsid w:val="00B673E7"/>
    <w:rsid w:val="00B675CB"/>
    <w:rsid w:val="00B67B15"/>
    <w:rsid w:val="00B7083B"/>
    <w:rsid w:val="00B71756"/>
    <w:rsid w:val="00B7461D"/>
    <w:rsid w:val="00B74A77"/>
    <w:rsid w:val="00B7610F"/>
    <w:rsid w:val="00B76CD1"/>
    <w:rsid w:val="00B77292"/>
    <w:rsid w:val="00B772DE"/>
    <w:rsid w:val="00B7784A"/>
    <w:rsid w:val="00B77E8A"/>
    <w:rsid w:val="00B8301B"/>
    <w:rsid w:val="00B837A4"/>
    <w:rsid w:val="00B842B1"/>
    <w:rsid w:val="00B85BC7"/>
    <w:rsid w:val="00B85DCA"/>
    <w:rsid w:val="00B85FBA"/>
    <w:rsid w:val="00B8782F"/>
    <w:rsid w:val="00B878FA"/>
    <w:rsid w:val="00B8792D"/>
    <w:rsid w:val="00B91380"/>
    <w:rsid w:val="00B91646"/>
    <w:rsid w:val="00B92DE6"/>
    <w:rsid w:val="00B934E8"/>
    <w:rsid w:val="00B93D78"/>
    <w:rsid w:val="00B95EC6"/>
    <w:rsid w:val="00B9678B"/>
    <w:rsid w:val="00B975CC"/>
    <w:rsid w:val="00B97874"/>
    <w:rsid w:val="00B97889"/>
    <w:rsid w:val="00B978CD"/>
    <w:rsid w:val="00BA0C7C"/>
    <w:rsid w:val="00BA0F29"/>
    <w:rsid w:val="00BA1F36"/>
    <w:rsid w:val="00BA3B07"/>
    <w:rsid w:val="00BA5527"/>
    <w:rsid w:val="00BA57A7"/>
    <w:rsid w:val="00BA6257"/>
    <w:rsid w:val="00BB15BE"/>
    <w:rsid w:val="00BB3268"/>
    <w:rsid w:val="00BB32D9"/>
    <w:rsid w:val="00BB43F6"/>
    <w:rsid w:val="00BB48E1"/>
    <w:rsid w:val="00BB4C81"/>
    <w:rsid w:val="00BB5826"/>
    <w:rsid w:val="00BB625E"/>
    <w:rsid w:val="00BB6713"/>
    <w:rsid w:val="00BB672A"/>
    <w:rsid w:val="00BB7BE7"/>
    <w:rsid w:val="00BC00E6"/>
    <w:rsid w:val="00BC13B2"/>
    <w:rsid w:val="00BC2265"/>
    <w:rsid w:val="00BC2B4A"/>
    <w:rsid w:val="00BC348C"/>
    <w:rsid w:val="00BC415E"/>
    <w:rsid w:val="00BC4A78"/>
    <w:rsid w:val="00BC4AFE"/>
    <w:rsid w:val="00BC4F40"/>
    <w:rsid w:val="00BC68A9"/>
    <w:rsid w:val="00BC6C2D"/>
    <w:rsid w:val="00BD0AA6"/>
    <w:rsid w:val="00BD1FCF"/>
    <w:rsid w:val="00BD231E"/>
    <w:rsid w:val="00BD2C92"/>
    <w:rsid w:val="00BD2EC7"/>
    <w:rsid w:val="00BD3A79"/>
    <w:rsid w:val="00BD3AB2"/>
    <w:rsid w:val="00BD4F27"/>
    <w:rsid w:val="00BD592D"/>
    <w:rsid w:val="00BD5E35"/>
    <w:rsid w:val="00BD6769"/>
    <w:rsid w:val="00BD7484"/>
    <w:rsid w:val="00BE0324"/>
    <w:rsid w:val="00BE0C9D"/>
    <w:rsid w:val="00BE1A30"/>
    <w:rsid w:val="00BE265E"/>
    <w:rsid w:val="00BE2B4D"/>
    <w:rsid w:val="00BE49E1"/>
    <w:rsid w:val="00BE5D35"/>
    <w:rsid w:val="00BE7EA4"/>
    <w:rsid w:val="00BF0999"/>
    <w:rsid w:val="00BF0BEA"/>
    <w:rsid w:val="00BF2020"/>
    <w:rsid w:val="00BF7C4F"/>
    <w:rsid w:val="00C00DDD"/>
    <w:rsid w:val="00C01123"/>
    <w:rsid w:val="00C01429"/>
    <w:rsid w:val="00C01857"/>
    <w:rsid w:val="00C0286D"/>
    <w:rsid w:val="00C02F16"/>
    <w:rsid w:val="00C03333"/>
    <w:rsid w:val="00C0337E"/>
    <w:rsid w:val="00C03F75"/>
    <w:rsid w:val="00C04729"/>
    <w:rsid w:val="00C0552B"/>
    <w:rsid w:val="00C0741D"/>
    <w:rsid w:val="00C07681"/>
    <w:rsid w:val="00C07686"/>
    <w:rsid w:val="00C07C13"/>
    <w:rsid w:val="00C10014"/>
    <w:rsid w:val="00C10CBE"/>
    <w:rsid w:val="00C13B03"/>
    <w:rsid w:val="00C13C01"/>
    <w:rsid w:val="00C13DCE"/>
    <w:rsid w:val="00C15D5E"/>
    <w:rsid w:val="00C1734D"/>
    <w:rsid w:val="00C204DA"/>
    <w:rsid w:val="00C20BA2"/>
    <w:rsid w:val="00C2148B"/>
    <w:rsid w:val="00C21E2C"/>
    <w:rsid w:val="00C22B21"/>
    <w:rsid w:val="00C23DFE"/>
    <w:rsid w:val="00C23E93"/>
    <w:rsid w:val="00C24C6B"/>
    <w:rsid w:val="00C2521D"/>
    <w:rsid w:val="00C256F4"/>
    <w:rsid w:val="00C25CD5"/>
    <w:rsid w:val="00C261D9"/>
    <w:rsid w:val="00C305EE"/>
    <w:rsid w:val="00C31816"/>
    <w:rsid w:val="00C31DA8"/>
    <w:rsid w:val="00C33058"/>
    <w:rsid w:val="00C33B97"/>
    <w:rsid w:val="00C373A5"/>
    <w:rsid w:val="00C376CD"/>
    <w:rsid w:val="00C40813"/>
    <w:rsid w:val="00C427FA"/>
    <w:rsid w:val="00C430BE"/>
    <w:rsid w:val="00C4450E"/>
    <w:rsid w:val="00C45E1A"/>
    <w:rsid w:val="00C46616"/>
    <w:rsid w:val="00C4784C"/>
    <w:rsid w:val="00C500F1"/>
    <w:rsid w:val="00C52B3A"/>
    <w:rsid w:val="00C53626"/>
    <w:rsid w:val="00C54720"/>
    <w:rsid w:val="00C54FA3"/>
    <w:rsid w:val="00C5583C"/>
    <w:rsid w:val="00C60B98"/>
    <w:rsid w:val="00C62046"/>
    <w:rsid w:val="00C64727"/>
    <w:rsid w:val="00C64C2D"/>
    <w:rsid w:val="00C6780A"/>
    <w:rsid w:val="00C70394"/>
    <w:rsid w:val="00C71974"/>
    <w:rsid w:val="00C7201E"/>
    <w:rsid w:val="00C7349B"/>
    <w:rsid w:val="00C73990"/>
    <w:rsid w:val="00C74215"/>
    <w:rsid w:val="00C746A1"/>
    <w:rsid w:val="00C74BE2"/>
    <w:rsid w:val="00C74D33"/>
    <w:rsid w:val="00C7528C"/>
    <w:rsid w:val="00C7556B"/>
    <w:rsid w:val="00C765B5"/>
    <w:rsid w:val="00C82005"/>
    <w:rsid w:val="00C83255"/>
    <w:rsid w:val="00C8360D"/>
    <w:rsid w:val="00C839CB"/>
    <w:rsid w:val="00C83A72"/>
    <w:rsid w:val="00C85160"/>
    <w:rsid w:val="00C85DD0"/>
    <w:rsid w:val="00C85FD1"/>
    <w:rsid w:val="00C87178"/>
    <w:rsid w:val="00C91781"/>
    <w:rsid w:val="00C91890"/>
    <w:rsid w:val="00C919A9"/>
    <w:rsid w:val="00C9213B"/>
    <w:rsid w:val="00C945B7"/>
    <w:rsid w:val="00C94CB1"/>
    <w:rsid w:val="00C95304"/>
    <w:rsid w:val="00C96418"/>
    <w:rsid w:val="00C96E4A"/>
    <w:rsid w:val="00C976D9"/>
    <w:rsid w:val="00CA1C12"/>
    <w:rsid w:val="00CA368E"/>
    <w:rsid w:val="00CA51C3"/>
    <w:rsid w:val="00CA5236"/>
    <w:rsid w:val="00CA58CE"/>
    <w:rsid w:val="00CA646F"/>
    <w:rsid w:val="00CA6A43"/>
    <w:rsid w:val="00CB068B"/>
    <w:rsid w:val="00CB0CC7"/>
    <w:rsid w:val="00CB0EDD"/>
    <w:rsid w:val="00CB13E1"/>
    <w:rsid w:val="00CB1B09"/>
    <w:rsid w:val="00CB1BBB"/>
    <w:rsid w:val="00CB1C01"/>
    <w:rsid w:val="00CB1E13"/>
    <w:rsid w:val="00CB21A6"/>
    <w:rsid w:val="00CB359D"/>
    <w:rsid w:val="00CB4715"/>
    <w:rsid w:val="00CB4B6C"/>
    <w:rsid w:val="00CB5D54"/>
    <w:rsid w:val="00CB604E"/>
    <w:rsid w:val="00CB7B19"/>
    <w:rsid w:val="00CC0543"/>
    <w:rsid w:val="00CC0554"/>
    <w:rsid w:val="00CC1DFD"/>
    <w:rsid w:val="00CC1ECF"/>
    <w:rsid w:val="00CC2211"/>
    <w:rsid w:val="00CC2BF5"/>
    <w:rsid w:val="00CC5855"/>
    <w:rsid w:val="00CC6ADB"/>
    <w:rsid w:val="00CC7093"/>
    <w:rsid w:val="00CC7AF9"/>
    <w:rsid w:val="00CC7ED8"/>
    <w:rsid w:val="00CD09D3"/>
    <w:rsid w:val="00CD2064"/>
    <w:rsid w:val="00CD3BEE"/>
    <w:rsid w:val="00CD3EA4"/>
    <w:rsid w:val="00CD593F"/>
    <w:rsid w:val="00CD7A96"/>
    <w:rsid w:val="00CD7D06"/>
    <w:rsid w:val="00CD7DA8"/>
    <w:rsid w:val="00CE02D4"/>
    <w:rsid w:val="00CE0A36"/>
    <w:rsid w:val="00CE10C0"/>
    <w:rsid w:val="00CE20BC"/>
    <w:rsid w:val="00CE367F"/>
    <w:rsid w:val="00CE3A7B"/>
    <w:rsid w:val="00CE4A07"/>
    <w:rsid w:val="00CE4C69"/>
    <w:rsid w:val="00CE57AB"/>
    <w:rsid w:val="00CE589E"/>
    <w:rsid w:val="00CE5C6C"/>
    <w:rsid w:val="00CF043C"/>
    <w:rsid w:val="00CF08D2"/>
    <w:rsid w:val="00CF0C4B"/>
    <w:rsid w:val="00CF0ED8"/>
    <w:rsid w:val="00CF10F9"/>
    <w:rsid w:val="00CF3624"/>
    <w:rsid w:val="00CF5717"/>
    <w:rsid w:val="00CF5792"/>
    <w:rsid w:val="00CF63F2"/>
    <w:rsid w:val="00CF7526"/>
    <w:rsid w:val="00D00527"/>
    <w:rsid w:val="00D03AB5"/>
    <w:rsid w:val="00D03E0D"/>
    <w:rsid w:val="00D0494E"/>
    <w:rsid w:val="00D05494"/>
    <w:rsid w:val="00D066DE"/>
    <w:rsid w:val="00D06822"/>
    <w:rsid w:val="00D105B2"/>
    <w:rsid w:val="00D107C3"/>
    <w:rsid w:val="00D117D8"/>
    <w:rsid w:val="00D11DD1"/>
    <w:rsid w:val="00D1438E"/>
    <w:rsid w:val="00D15644"/>
    <w:rsid w:val="00D15D9F"/>
    <w:rsid w:val="00D15E49"/>
    <w:rsid w:val="00D16F88"/>
    <w:rsid w:val="00D17339"/>
    <w:rsid w:val="00D17ED1"/>
    <w:rsid w:val="00D2041A"/>
    <w:rsid w:val="00D24F18"/>
    <w:rsid w:val="00D26D54"/>
    <w:rsid w:val="00D2728C"/>
    <w:rsid w:val="00D27629"/>
    <w:rsid w:val="00D3060E"/>
    <w:rsid w:val="00D3078F"/>
    <w:rsid w:val="00D30C6E"/>
    <w:rsid w:val="00D313D1"/>
    <w:rsid w:val="00D314E0"/>
    <w:rsid w:val="00D31B2D"/>
    <w:rsid w:val="00D3364F"/>
    <w:rsid w:val="00D347C1"/>
    <w:rsid w:val="00D35370"/>
    <w:rsid w:val="00D35478"/>
    <w:rsid w:val="00D3549F"/>
    <w:rsid w:val="00D3644A"/>
    <w:rsid w:val="00D36AB0"/>
    <w:rsid w:val="00D373DF"/>
    <w:rsid w:val="00D37EEF"/>
    <w:rsid w:val="00D400B6"/>
    <w:rsid w:val="00D41022"/>
    <w:rsid w:val="00D42B72"/>
    <w:rsid w:val="00D44443"/>
    <w:rsid w:val="00D45894"/>
    <w:rsid w:val="00D45B31"/>
    <w:rsid w:val="00D470C0"/>
    <w:rsid w:val="00D479DF"/>
    <w:rsid w:val="00D50D24"/>
    <w:rsid w:val="00D51529"/>
    <w:rsid w:val="00D517DE"/>
    <w:rsid w:val="00D51AD1"/>
    <w:rsid w:val="00D5620C"/>
    <w:rsid w:val="00D56249"/>
    <w:rsid w:val="00D56918"/>
    <w:rsid w:val="00D57ACC"/>
    <w:rsid w:val="00D601DF"/>
    <w:rsid w:val="00D614CC"/>
    <w:rsid w:val="00D61505"/>
    <w:rsid w:val="00D6497B"/>
    <w:rsid w:val="00D64BF1"/>
    <w:rsid w:val="00D657AB"/>
    <w:rsid w:val="00D65B14"/>
    <w:rsid w:val="00D66DDB"/>
    <w:rsid w:val="00D713C9"/>
    <w:rsid w:val="00D714A4"/>
    <w:rsid w:val="00D71822"/>
    <w:rsid w:val="00D73816"/>
    <w:rsid w:val="00D73944"/>
    <w:rsid w:val="00D73F7C"/>
    <w:rsid w:val="00D74040"/>
    <w:rsid w:val="00D74FD8"/>
    <w:rsid w:val="00D7559E"/>
    <w:rsid w:val="00D757DA"/>
    <w:rsid w:val="00D75B82"/>
    <w:rsid w:val="00D76B5D"/>
    <w:rsid w:val="00D76B7A"/>
    <w:rsid w:val="00D778B6"/>
    <w:rsid w:val="00D77B24"/>
    <w:rsid w:val="00D811F5"/>
    <w:rsid w:val="00D81F99"/>
    <w:rsid w:val="00D845C0"/>
    <w:rsid w:val="00D846DC"/>
    <w:rsid w:val="00D84BB7"/>
    <w:rsid w:val="00D84BE5"/>
    <w:rsid w:val="00D860D6"/>
    <w:rsid w:val="00D86658"/>
    <w:rsid w:val="00D867BE"/>
    <w:rsid w:val="00D87017"/>
    <w:rsid w:val="00D873DC"/>
    <w:rsid w:val="00D87666"/>
    <w:rsid w:val="00D907ED"/>
    <w:rsid w:val="00D9423B"/>
    <w:rsid w:val="00D94B79"/>
    <w:rsid w:val="00D94CE3"/>
    <w:rsid w:val="00D94E9C"/>
    <w:rsid w:val="00D95421"/>
    <w:rsid w:val="00D976F0"/>
    <w:rsid w:val="00DA050A"/>
    <w:rsid w:val="00DA0825"/>
    <w:rsid w:val="00DA1907"/>
    <w:rsid w:val="00DA23B9"/>
    <w:rsid w:val="00DA2613"/>
    <w:rsid w:val="00DA2680"/>
    <w:rsid w:val="00DA4119"/>
    <w:rsid w:val="00DA412D"/>
    <w:rsid w:val="00DA49A8"/>
    <w:rsid w:val="00DA6C13"/>
    <w:rsid w:val="00DA7129"/>
    <w:rsid w:val="00DA778C"/>
    <w:rsid w:val="00DA79E3"/>
    <w:rsid w:val="00DB0506"/>
    <w:rsid w:val="00DB05CD"/>
    <w:rsid w:val="00DB081A"/>
    <w:rsid w:val="00DB1377"/>
    <w:rsid w:val="00DB142A"/>
    <w:rsid w:val="00DB1A73"/>
    <w:rsid w:val="00DB1D09"/>
    <w:rsid w:val="00DB1E83"/>
    <w:rsid w:val="00DB2ED6"/>
    <w:rsid w:val="00DB449F"/>
    <w:rsid w:val="00DB5B30"/>
    <w:rsid w:val="00DB6DD6"/>
    <w:rsid w:val="00DB77AE"/>
    <w:rsid w:val="00DC0E66"/>
    <w:rsid w:val="00DC0F2C"/>
    <w:rsid w:val="00DC116B"/>
    <w:rsid w:val="00DC1241"/>
    <w:rsid w:val="00DC535C"/>
    <w:rsid w:val="00DC6EFF"/>
    <w:rsid w:val="00DC7A67"/>
    <w:rsid w:val="00DD066C"/>
    <w:rsid w:val="00DD0C7F"/>
    <w:rsid w:val="00DD39C7"/>
    <w:rsid w:val="00DD4517"/>
    <w:rsid w:val="00DD5C8B"/>
    <w:rsid w:val="00DE115B"/>
    <w:rsid w:val="00DE2625"/>
    <w:rsid w:val="00DE31C1"/>
    <w:rsid w:val="00DE3FA7"/>
    <w:rsid w:val="00DE4858"/>
    <w:rsid w:val="00DE593A"/>
    <w:rsid w:val="00DE661F"/>
    <w:rsid w:val="00DF1557"/>
    <w:rsid w:val="00DF1F34"/>
    <w:rsid w:val="00DF41E7"/>
    <w:rsid w:val="00DF5270"/>
    <w:rsid w:val="00DF61B5"/>
    <w:rsid w:val="00DF778E"/>
    <w:rsid w:val="00E00012"/>
    <w:rsid w:val="00E00C2C"/>
    <w:rsid w:val="00E02274"/>
    <w:rsid w:val="00E05077"/>
    <w:rsid w:val="00E05686"/>
    <w:rsid w:val="00E0735D"/>
    <w:rsid w:val="00E10A3A"/>
    <w:rsid w:val="00E11787"/>
    <w:rsid w:val="00E120FA"/>
    <w:rsid w:val="00E12B28"/>
    <w:rsid w:val="00E144A8"/>
    <w:rsid w:val="00E14864"/>
    <w:rsid w:val="00E15319"/>
    <w:rsid w:val="00E15AFA"/>
    <w:rsid w:val="00E1612A"/>
    <w:rsid w:val="00E1663C"/>
    <w:rsid w:val="00E21224"/>
    <w:rsid w:val="00E22236"/>
    <w:rsid w:val="00E23109"/>
    <w:rsid w:val="00E23AD2"/>
    <w:rsid w:val="00E23ECB"/>
    <w:rsid w:val="00E255B6"/>
    <w:rsid w:val="00E25D74"/>
    <w:rsid w:val="00E264C7"/>
    <w:rsid w:val="00E268F4"/>
    <w:rsid w:val="00E26CA1"/>
    <w:rsid w:val="00E27098"/>
    <w:rsid w:val="00E27643"/>
    <w:rsid w:val="00E27658"/>
    <w:rsid w:val="00E27A79"/>
    <w:rsid w:val="00E27C28"/>
    <w:rsid w:val="00E30DD3"/>
    <w:rsid w:val="00E30FED"/>
    <w:rsid w:val="00E3191E"/>
    <w:rsid w:val="00E321DF"/>
    <w:rsid w:val="00E33A5D"/>
    <w:rsid w:val="00E33D60"/>
    <w:rsid w:val="00E33E72"/>
    <w:rsid w:val="00E35756"/>
    <w:rsid w:val="00E36142"/>
    <w:rsid w:val="00E36757"/>
    <w:rsid w:val="00E36D6B"/>
    <w:rsid w:val="00E37A46"/>
    <w:rsid w:val="00E4226A"/>
    <w:rsid w:val="00E44727"/>
    <w:rsid w:val="00E44FFB"/>
    <w:rsid w:val="00E451BF"/>
    <w:rsid w:val="00E45310"/>
    <w:rsid w:val="00E46901"/>
    <w:rsid w:val="00E46A5C"/>
    <w:rsid w:val="00E47960"/>
    <w:rsid w:val="00E5059D"/>
    <w:rsid w:val="00E5387C"/>
    <w:rsid w:val="00E53904"/>
    <w:rsid w:val="00E543BB"/>
    <w:rsid w:val="00E54A87"/>
    <w:rsid w:val="00E55007"/>
    <w:rsid w:val="00E55901"/>
    <w:rsid w:val="00E566D9"/>
    <w:rsid w:val="00E5687F"/>
    <w:rsid w:val="00E5720C"/>
    <w:rsid w:val="00E5789D"/>
    <w:rsid w:val="00E60CF8"/>
    <w:rsid w:val="00E612A6"/>
    <w:rsid w:val="00E617F6"/>
    <w:rsid w:val="00E63453"/>
    <w:rsid w:val="00E64985"/>
    <w:rsid w:val="00E65069"/>
    <w:rsid w:val="00E654A0"/>
    <w:rsid w:val="00E66D9A"/>
    <w:rsid w:val="00E66DFC"/>
    <w:rsid w:val="00E71FC3"/>
    <w:rsid w:val="00E72C3A"/>
    <w:rsid w:val="00E7307F"/>
    <w:rsid w:val="00E7308C"/>
    <w:rsid w:val="00E74D2F"/>
    <w:rsid w:val="00E806C9"/>
    <w:rsid w:val="00E810E9"/>
    <w:rsid w:val="00E81F28"/>
    <w:rsid w:val="00E827AF"/>
    <w:rsid w:val="00E82B36"/>
    <w:rsid w:val="00E831CE"/>
    <w:rsid w:val="00E844FC"/>
    <w:rsid w:val="00E86262"/>
    <w:rsid w:val="00E86AF3"/>
    <w:rsid w:val="00E86C40"/>
    <w:rsid w:val="00E87177"/>
    <w:rsid w:val="00E90171"/>
    <w:rsid w:val="00E904A4"/>
    <w:rsid w:val="00E92C7A"/>
    <w:rsid w:val="00E93279"/>
    <w:rsid w:val="00E93AE0"/>
    <w:rsid w:val="00E93BA2"/>
    <w:rsid w:val="00E942E0"/>
    <w:rsid w:val="00E94724"/>
    <w:rsid w:val="00E948D7"/>
    <w:rsid w:val="00E94912"/>
    <w:rsid w:val="00E95E35"/>
    <w:rsid w:val="00E96476"/>
    <w:rsid w:val="00E96851"/>
    <w:rsid w:val="00E96A70"/>
    <w:rsid w:val="00E96BD8"/>
    <w:rsid w:val="00EA46BB"/>
    <w:rsid w:val="00EA54A2"/>
    <w:rsid w:val="00EA6964"/>
    <w:rsid w:val="00EA6F5E"/>
    <w:rsid w:val="00EA71D8"/>
    <w:rsid w:val="00EB01AF"/>
    <w:rsid w:val="00EB157C"/>
    <w:rsid w:val="00EB1C25"/>
    <w:rsid w:val="00EB1C9A"/>
    <w:rsid w:val="00EB283A"/>
    <w:rsid w:val="00EB31A5"/>
    <w:rsid w:val="00EB3A06"/>
    <w:rsid w:val="00EB4842"/>
    <w:rsid w:val="00EB4FF6"/>
    <w:rsid w:val="00EB6A47"/>
    <w:rsid w:val="00EB6BB9"/>
    <w:rsid w:val="00EB7F34"/>
    <w:rsid w:val="00EC0637"/>
    <w:rsid w:val="00EC0B02"/>
    <w:rsid w:val="00EC130C"/>
    <w:rsid w:val="00EC1DE4"/>
    <w:rsid w:val="00EC3530"/>
    <w:rsid w:val="00EC4615"/>
    <w:rsid w:val="00EC485E"/>
    <w:rsid w:val="00EC5104"/>
    <w:rsid w:val="00EC5F8B"/>
    <w:rsid w:val="00EC64B5"/>
    <w:rsid w:val="00EC6CDE"/>
    <w:rsid w:val="00EC7C9D"/>
    <w:rsid w:val="00ED0EE2"/>
    <w:rsid w:val="00ED1040"/>
    <w:rsid w:val="00ED1B55"/>
    <w:rsid w:val="00ED2AF8"/>
    <w:rsid w:val="00ED2D8C"/>
    <w:rsid w:val="00ED3735"/>
    <w:rsid w:val="00ED3937"/>
    <w:rsid w:val="00ED4F40"/>
    <w:rsid w:val="00ED59C0"/>
    <w:rsid w:val="00EE0888"/>
    <w:rsid w:val="00EE12ED"/>
    <w:rsid w:val="00EE130A"/>
    <w:rsid w:val="00EE276D"/>
    <w:rsid w:val="00EE2869"/>
    <w:rsid w:val="00EE429D"/>
    <w:rsid w:val="00EE6C14"/>
    <w:rsid w:val="00EE6FC8"/>
    <w:rsid w:val="00EE76AD"/>
    <w:rsid w:val="00EF2B6E"/>
    <w:rsid w:val="00EF3575"/>
    <w:rsid w:val="00EF37E1"/>
    <w:rsid w:val="00EF39E4"/>
    <w:rsid w:val="00EF41B2"/>
    <w:rsid w:val="00EF4C22"/>
    <w:rsid w:val="00EF599B"/>
    <w:rsid w:val="00EF6761"/>
    <w:rsid w:val="00EF6ED7"/>
    <w:rsid w:val="00F0083F"/>
    <w:rsid w:val="00F01380"/>
    <w:rsid w:val="00F0152D"/>
    <w:rsid w:val="00F016C6"/>
    <w:rsid w:val="00F01B23"/>
    <w:rsid w:val="00F0268F"/>
    <w:rsid w:val="00F032A5"/>
    <w:rsid w:val="00F036B0"/>
    <w:rsid w:val="00F04CC6"/>
    <w:rsid w:val="00F05DF6"/>
    <w:rsid w:val="00F06A46"/>
    <w:rsid w:val="00F06BBB"/>
    <w:rsid w:val="00F06F19"/>
    <w:rsid w:val="00F071FD"/>
    <w:rsid w:val="00F07DAD"/>
    <w:rsid w:val="00F10294"/>
    <w:rsid w:val="00F10857"/>
    <w:rsid w:val="00F1117B"/>
    <w:rsid w:val="00F15EC2"/>
    <w:rsid w:val="00F1631C"/>
    <w:rsid w:val="00F20556"/>
    <w:rsid w:val="00F20674"/>
    <w:rsid w:val="00F20952"/>
    <w:rsid w:val="00F20C54"/>
    <w:rsid w:val="00F21E05"/>
    <w:rsid w:val="00F22628"/>
    <w:rsid w:val="00F243EB"/>
    <w:rsid w:val="00F25A9E"/>
    <w:rsid w:val="00F25DF4"/>
    <w:rsid w:val="00F27622"/>
    <w:rsid w:val="00F27DEE"/>
    <w:rsid w:val="00F30542"/>
    <w:rsid w:val="00F30B86"/>
    <w:rsid w:val="00F31261"/>
    <w:rsid w:val="00F332A2"/>
    <w:rsid w:val="00F340CC"/>
    <w:rsid w:val="00F34F01"/>
    <w:rsid w:val="00F35AEF"/>
    <w:rsid w:val="00F36B83"/>
    <w:rsid w:val="00F40BB2"/>
    <w:rsid w:val="00F4197D"/>
    <w:rsid w:val="00F4205C"/>
    <w:rsid w:val="00F431D5"/>
    <w:rsid w:val="00F43560"/>
    <w:rsid w:val="00F45EEF"/>
    <w:rsid w:val="00F4726B"/>
    <w:rsid w:val="00F4752A"/>
    <w:rsid w:val="00F47B39"/>
    <w:rsid w:val="00F47FC4"/>
    <w:rsid w:val="00F51711"/>
    <w:rsid w:val="00F52FF7"/>
    <w:rsid w:val="00F53211"/>
    <w:rsid w:val="00F5324D"/>
    <w:rsid w:val="00F5357E"/>
    <w:rsid w:val="00F53657"/>
    <w:rsid w:val="00F540EB"/>
    <w:rsid w:val="00F546A5"/>
    <w:rsid w:val="00F555BF"/>
    <w:rsid w:val="00F576F0"/>
    <w:rsid w:val="00F60EBD"/>
    <w:rsid w:val="00F622E4"/>
    <w:rsid w:val="00F62BA3"/>
    <w:rsid w:val="00F62CE3"/>
    <w:rsid w:val="00F63909"/>
    <w:rsid w:val="00F64125"/>
    <w:rsid w:val="00F64759"/>
    <w:rsid w:val="00F6645A"/>
    <w:rsid w:val="00F7299D"/>
    <w:rsid w:val="00F72D39"/>
    <w:rsid w:val="00F72E93"/>
    <w:rsid w:val="00F7328E"/>
    <w:rsid w:val="00F73D32"/>
    <w:rsid w:val="00F7533D"/>
    <w:rsid w:val="00F75A29"/>
    <w:rsid w:val="00F77449"/>
    <w:rsid w:val="00F776C7"/>
    <w:rsid w:val="00F77A5C"/>
    <w:rsid w:val="00F77DA1"/>
    <w:rsid w:val="00F80037"/>
    <w:rsid w:val="00F8060B"/>
    <w:rsid w:val="00F80B37"/>
    <w:rsid w:val="00F80DD3"/>
    <w:rsid w:val="00F8146B"/>
    <w:rsid w:val="00F831BC"/>
    <w:rsid w:val="00F84198"/>
    <w:rsid w:val="00F8526E"/>
    <w:rsid w:val="00F86544"/>
    <w:rsid w:val="00F906DE"/>
    <w:rsid w:val="00F922B0"/>
    <w:rsid w:val="00F926C8"/>
    <w:rsid w:val="00F92E9C"/>
    <w:rsid w:val="00F934FA"/>
    <w:rsid w:val="00F94625"/>
    <w:rsid w:val="00F94EC4"/>
    <w:rsid w:val="00F95C91"/>
    <w:rsid w:val="00F96A07"/>
    <w:rsid w:val="00F97A91"/>
    <w:rsid w:val="00FA09AD"/>
    <w:rsid w:val="00FA1157"/>
    <w:rsid w:val="00FA17D7"/>
    <w:rsid w:val="00FA2E38"/>
    <w:rsid w:val="00FA39EE"/>
    <w:rsid w:val="00FA49BD"/>
    <w:rsid w:val="00FA6598"/>
    <w:rsid w:val="00FA6AD8"/>
    <w:rsid w:val="00FA6BF7"/>
    <w:rsid w:val="00FA6D46"/>
    <w:rsid w:val="00FA7661"/>
    <w:rsid w:val="00FB0A24"/>
    <w:rsid w:val="00FB1CDC"/>
    <w:rsid w:val="00FB27F5"/>
    <w:rsid w:val="00FB28D9"/>
    <w:rsid w:val="00FB2A6C"/>
    <w:rsid w:val="00FB4C2B"/>
    <w:rsid w:val="00FB53B6"/>
    <w:rsid w:val="00FB576C"/>
    <w:rsid w:val="00FB5AF6"/>
    <w:rsid w:val="00FB63CC"/>
    <w:rsid w:val="00FB6F46"/>
    <w:rsid w:val="00FB7A35"/>
    <w:rsid w:val="00FB7C40"/>
    <w:rsid w:val="00FB7E38"/>
    <w:rsid w:val="00FC0D8C"/>
    <w:rsid w:val="00FC0E4E"/>
    <w:rsid w:val="00FC0F3E"/>
    <w:rsid w:val="00FC159D"/>
    <w:rsid w:val="00FC1683"/>
    <w:rsid w:val="00FC234A"/>
    <w:rsid w:val="00FC302A"/>
    <w:rsid w:val="00FC3B84"/>
    <w:rsid w:val="00FC3E6B"/>
    <w:rsid w:val="00FC4789"/>
    <w:rsid w:val="00FC5417"/>
    <w:rsid w:val="00FC5E28"/>
    <w:rsid w:val="00FC60EB"/>
    <w:rsid w:val="00FC7682"/>
    <w:rsid w:val="00FC78C9"/>
    <w:rsid w:val="00FC7D22"/>
    <w:rsid w:val="00FC7D6D"/>
    <w:rsid w:val="00FD0010"/>
    <w:rsid w:val="00FD12C3"/>
    <w:rsid w:val="00FD13DE"/>
    <w:rsid w:val="00FD1486"/>
    <w:rsid w:val="00FD1AB8"/>
    <w:rsid w:val="00FD1CDE"/>
    <w:rsid w:val="00FD411B"/>
    <w:rsid w:val="00FD48AE"/>
    <w:rsid w:val="00FD49B2"/>
    <w:rsid w:val="00FD4B37"/>
    <w:rsid w:val="00FD56AD"/>
    <w:rsid w:val="00FD7BAF"/>
    <w:rsid w:val="00FE0494"/>
    <w:rsid w:val="00FE0967"/>
    <w:rsid w:val="00FE2724"/>
    <w:rsid w:val="00FE389D"/>
    <w:rsid w:val="00FE44E6"/>
    <w:rsid w:val="00FE6956"/>
    <w:rsid w:val="00FE6FBA"/>
    <w:rsid w:val="00FE7B24"/>
    <w:rsid w:val="00FF1152"/>
    <w:rsid w:val="00FF11D2"/>
    <w:rsid w:val="00FF3CC5"/>
    <w:rsid w:val="00FF455E"/>
    <w:rsid w:val="00FF5FDB"/>
    <w:rsid w:val="02720839"/>
    <w:rsid w:val="09842C00"/>
    <w:rsid w:val="17F11DA8"/>
    <w:rsid w:val="2047413B"/>
    <w:rsid w:val="22A04256"/>
    <w:rsid w:val="297840D8"/>
    <w:rsid w:val="3A7E7BB6"/>
    <w:rsid w:val="4D8B0371"/>
    <w:rsid w:val="54E71D36"/>
    <w:rsid w:val="56D26326"/>
    <w:rsid w:val="5DD15589"/>
    <w:rsid w:val="627834CC"/>
    <w:rsid w:val="69F76E56"/>
    <w:rsid w:val="6FBB1B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0" w:semiHidden="0"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9"/>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1"/>
    <w:qFormat/>
    <w:uiPriority w:val="0"/>
    <w:pPr>
      <w:keepNext/>
      <w:keepLines/>
      <w:spacing w:before="50" w:beforeLines="50" w:after="50" w:afterLines="50" w:line="520" w:lineRule="exact"/>
      <w:jc w:val="left"/>
      <w:outlineLvl w:val="1"/>
    </w:pPr>
    <w:rPr>
      <w:rFonts w:ascii="黑体" w:hAnsi="黑体" w:eastAsia="黑体"/>
      <w:b/>
      <w:sz w:val="28"/>
      <w:szCs w:val="22"/>
      <w:lang w:val="zh-CN"/>
    </w:rPr>
  </w:style>
  <w:style w:type="character" w:default="1" w:styleId="17">
    <w:name w:val="Default Paragraph Font"/>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caption"/>
    <w:basedOn w:val="1"/>
    <w:next w:val="1"/>
    <w:unhideWhenUsed/>
    <w:qFormat/>
    <w:uiPriority w:val="0"/>
    <w:rPr>
      <w:rFonts w:eastAsia="黑体" w:asciiTheme="majorHAnsi" w:hAnsiTheme="majorHAnsi" w:cstheme="majorBidi"/>
      <w:sz w:val="20"/>
      <w:szCs w:val="20"/>
    </w:rPr>
  </w:style>
  <w:style w:type="paragraph" w:styleId="5">
    <w:name w:val="annotation text"/>
    <w:basedOn w:val="1"/>
    <w:link w:val="24"/>
    <w:semiHidden/>
    <w:unhideWhenUsed/>
    <w:qFormat/>
    <w:uiPriority w:val="99"/>
    <w:pPr>
      <w:jc w:val="left"/>
    </w:pPr>
  </w:style>
  <w:style w:type="paragraph" w:styleId="6">
    <w:name w:val="toc 3"/>
    <w:basedOn w:val="1"/>
    <w:next w:val="1"/>
    <w:autoRedefine/>
    <w:unhideWhenUsed/>
    <w:qFormat/>
    <w:uiPriority w:val="39"/>
    <w:pPr>
      <w:ind w:left="840" w:leftChars="400"/>
    </w:pPr>
  </w:style>
  <w:style w:type="paragraph" w:styleId="7">
    <w:name w:val="Date"/>
    <w:basedOn w:val="1"/>
    <w:next w:val="1"/>
    <w:link w:val="27"/>
    <w:qFormat/>
    <w:uiPriority w:val="99"/>
    <w:pPr>
      <w:ind w:left="100" w:leftChars="2500"/>
    </w:pPr>
    <w:rPr>
      <w:szCs w:val="20"/>
    </w:rPr>
  </w:style>
  <w:style w:type="paragraph" w:styleId="8">
    <w:name w:val="Balloon Text"/>
    <w:basedOn w:val="1"/>
    <w:link w:val="26"/>
    <w:semiHidden/>
    <w:unhideWhenUsed/>
    <w:qFormat/>
    <w:uiPriority w:val="99"/>
    <w:rPr>
      <w:sz w:val="18"/>
      <w:szCs w:val="18"/>
    </w:rPr>
  </w:style>
  <w:style w:type="paragraph" w:styleId="9">
    <w:name w:val="footer"/>
    <w:basedOn w:val="1"/>
    <w:link w:val="21"/>
    <w:unhideWhenUsed/>
    <w:qFormat/>
    <w:uiPriority w:val="99"/>
    <w:pPr>
      <w:tabs>
        <w:tab w:val="center" w:pos="4153"/>
        <w:tab w:val="right" w:pos="8306"/>
      </w:tabs>
      <w:snapToGrid w:val="0"/>
      <w:jc w:val="left"/>
    </w:pPr>
    <w:rPr>
      <w:sz w:val="18"/>
      <w:szCs w:val="18"/>
    </w:rPr>
  </w:style>
  <w:style w:type="paragraph" w:styleId="10">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autoRedefine/>
    <w:unhideWhenUsed/>
    <w:qFormat/>
    <w:uiPriority w:val="39"/>
    <w:pPr>
      <w:tabs>
        <w:tab w:val="right" w:leader="dot" w:pos="8296"/>
      </w:tabs>
      <w:spacing w:line="360" w:lineRule="auto"/>
      <w:jc w:val="left"/>
    </w:pPr>
  </w:style>
  <w:style w:type="paragraph" w:styleId="12">
    <w:name w:val="toc 2"/>
    <w:basedOn w:val="1"/>
    <w:next w:val="1"/>
    <w:autoRedefine/>
    <w:unhideWhenUsed/>
    <w:uiPriority w:val="39"/>
    <w:pPr>
      <w:ind w:left="420" w:leftChars="200"/>
    </w:pPr>
  </w:style>
  <w:style w:type="paragraph" w:styleId="13">
    <w:name w:val="Normal (Web)"/>
    <w:basedOn w:val="1"/>
    <w:semiHidden/>
    <w:unhideWhenUsed/>
    <w:qFormat/>
    <w:uiPriority w:val="99"/>
    <w:pPr>
      <w:widowControl/>
      <w:spacing w:before="100" w:beforeAutospacing="1" w:after="100" w:afterAutospacing="1"/>
      <w:jc w:val="left"/>
    </w:pPr>
    <w:rPr>
      <w:rFonts w:ascii="宋体" w:hAnsi="宋体" w:cs="宋体"/>
      <w:kern w:val="0"/>
      <w:sz w:val="24"/>
    </w:rPr>
  </w:style>
  <w:style w:type="paragraph" w:styleId="14">
    <w:name w:val="annotation subject"/>
    <w:basedOn w:val="5"/>
    <w:next w:val="5"/>
    <w:link w:val="25"/>
    <w:semiHidden/>
    <w:unhideWhenUsed/>
    <w:qFormat/>
    <w:uiPriority w:val="99"/>
    <w:rPr>
      <w:b/>
      <w:bCs/>
    </w:rPr>
  </w:style>
  <w:style w:type="table" w:styleId="16">
    <w:name w:val="Table Grid"/>
    <w:basedOn w:val="1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Hyperlink"/>
    <w:basedOn w:val="17"/>
    <w:qFormat/>
    <w:uiPriority w:val="99"/>
    <w:rPr>
      <w:color w:val="000000"/>
      <w:u w:val="none"/>
    </w:rPr>
  </w:style>
  <w:style w:type="character" w:styleId="19">
    <w:name w:val="annotation reference"/>
    <w:basedOn w:val="17"/>
    <w:semiHidden/>
    <w:unhideWhenUsed/>
    <w:qFormat/>
    <w:uiPriority w:val="99"/>
    <w:rPr>
      <w:sz w:val="21"/>
      <w:szCs w:val="21"/>
    </w:rPr>
  </w:style>
  <w:style w:type="character" w:customStyle="1" w:styleId="20">
    <w:name w:val="页眉 字符"/>
    <w:basedOn w:val="17"/>
    <w:link w:val="10"/>
    <w:qFormat/>
    <w:uiPriority w:val="99"/>
    <w:rPr>
      <w:sz w:val="18"/>
      <w:szCs w:val="18"/>
    </w:rPr>
  </w:style>
  <w:style w:type="character" w:customStyle="1" w:styleId="21">
    <w:name w:val="页脚 字符"/>
    <w:basedOn w:val="17"/>
    <w:link w:val="9"/>
    <w:qFormat/>
    <w:uiPriority w:val="99"/>
    <w:rPr>
      <w:sz w:val="18"/>
      <w:szCs w:val="18"/>
    </w:rPr>
  </w:style>
  <w:style w:type="paragraph" w:customStyle="1" w:styleId="22">
    <w:name w:val="Default"/>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23">
    <w:name w:val="List Paragraph"/>
    <w:basedOn w:val="1"/>
    <w:qFormat/>
    <w:uiPriority w:val="34"/>
    <w:pPr>
      <w:ind w:firstLine="420" w:firstLineChars="200"/>
    </w:pPr>
  </w:style>
  <w:style w:type="character" w:customStyle="1" w:styleId="24">
    <w:name w:val="批注文字 字符"/>
    <w:basedOn w:val="17"/>
    <w:link w:val="5"/>
    <w:semiHidden/>
    <w:qFormat/>
    <w:uiPriority w:val="99"/>
    <w:rPr>
      <w:rFonts w:ascii="Times New Roman" w:hAnsi="Times New Roman" w:eastAsia="宋体" w:cs="Times New Roman"/>
      <w:szCs w:val="24"/>
    </w:rPr>
  </w:style>
  <w:style w:type="character" w:customStyle="1" w:styleId="25">
    <w:name w:val="批注主题 字符"/>
    <w:basedOn w:val="24"/>
    <w:link w:val="14"/>
    <w:semiHidden/>
    <w:qFormat/>
    <w:uiPriority w:val="99"/>
    <w:rPr>
      <w:rFonts w:ascii="Times New Roman" w:hAnsi="Times New Roman" w:eastAsia="宋体" w:cs="Times New Roman"/>
      <w:b/>
      <w:bCs/>
      <w:szCs w:val="24"/>
    </w:rPr>
  </w:style>
  <w:style w:type="character" w:customStyle="1" w:styleId="26">
    <w:name w:val="批注框文本 字符"/>
    <w:basedOn w:val="17"/>
    <w:link w:val="8"/>
    <w:semiHidden/>
    <w:qFormat/>
    <w:uiPriority w:val="99"/>
    <w:rPr>
      <w:rFonts w:ascii="Times New Roman" w:hAnsi="Times New Roman" w:eastAsia="宋体" w:cs="Times New Roman"/>
      <w:sz w:val="18"/>
      <w:szCs w:val="18"/>
    </w:rPr>
  </w:style>
  <w:style w:type="character" w:customStyle="1" w:styleId="27">
    <w:name w:val="日期 字符"/>
    <w:basedOn w:val="17"/>
    <w:link w:val="7"/>
    <w:qFormat/>
    <w:uiPriority w:val="99"/>
    <w:rPr>
      <w:rFonts w:ascii="Times New Roman" w:hAnsi="Times New Roman" w:eastAsia="宋体" w:cs="Times New Roman"/>
      <w:szCs w:val="20"/>
    </w:rPr>
  </w:style>
  <w:style w:type="character" w:styleId="28">
    <w:name w:val="Placeholder Text"/>
    <w:basedOn w:val="17"/>
    <w:semiHidden/>
    <w:qFormat/>
    <w:uiPriority w:val="99"/>
    <w:rPr>
      <w:color w:val="808080"/>
    </w:rPr>
  </w:style>
  <w:style w:type="character" w:customStyle="1" w:styleId="29">
    <w:name w:val="标题 1 字符"/>
    <w:basedOn w:val="17"/>
    <w:link w:val="2"/>
    <w:qFormat/>
    <w:uiPriority w:val="0"/>
    <w:rPr>
      <w:rFonts w:ascii="Times New Roman" w:hAnsi="Times New Roman" w:eastAsia="宋体" w:cs="Times New Roman"/>
      <w:b/>
      <w:bCs/>
      <w:kern w:val="44"/>
      <w:sz w:val="44"/>
      <w:szCs w:val="44"/>
    </w:rPr>
  </w:style>
  <w:style w:type="paragraph" w:customStyle="1" w:styleId="30">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character" w:customStyle="1" w:styleId="31">
    <w:name w:val="标题 2 字符"/>
    <w:basedOn w:val="17"/>
    <w:link w:val="3"/>
    <w:qFormat/>
    <w:uiPriority w:val="0"/>
    <w:rPr>
      <w:rFonts w:ascii="黑体" w:hAnsi="黑体" w:eastAsia="黑体" w:cs="Times New Roman"/>
      <w:b/>
      <w:sz w:val="28"/>
      <w:lang w:val="zh-CN"/>
    </w:rPr>
  </w:style>
  <w:style w:type="paragraph" w:customStyle="1" w:styleId="32">
    <w:name w:val="标准文件_二级条标题"/>
    <w:next w:val="1"/>
    <w:autoRedefine/>
    <w:qFormat/>
    <w:uiPriority w:val="0"/>
    <w:pPr>
      <w:widowControl w:val="0"/>
      <w:numPr>
        <w:ilvl w:val="3"/>
        <w:numId w:val="1"/>
      </w:numPr>
      <w:spacing w:beforeLines="50"/>
      <w:jc w:val="both"/>
      <w:outlineLvl w:val="2"/>
    </w:pPr>
    <w:rPr>
      <w:rFonts w:ascii="黑体" w:hAnsi="Times New Roman" w:eastAsia="黑体" w:cs="Times New Roman"/>
      <w:sz w:val="21"/>
      <w:lang w:val="en-US" w:eastAsia="zh-CN" w:bidi="ar-SA"/>
    </w:rPr>
  </w:style>
  <w:style w:type="paragraph" w:customStyle="1" w:styleId="33">
    <w:name w:val="标准文件_三级条标题"/>
    <w:basedOn w:val="32"/>
    <w:next w:val="1"/>
    <w:qFormat/>
    <w:uiPriority w:val="0"/>
    <w:pPr>
      <w:widowControl/>
      <w:numPr>
        <w:ilvl w:val="4"/>
      </w:numPr>
      <w:outlineLvl w:val="3"/>
    </w:pPr>
  </w:style>
  <w:style w:type="paragraph" w:customStyle="1" w:styleId="34">
    <w:name w:val="标准文件_四级条标题"/>
    <w:next w:val="1"/>
    <w:qFormat/>
    <w:uiPriority w:val="0"/>
    <w:pPr>
      <w:widowControl w:val="0"/>
      <w:numPr>
        <w:ilvl w:val="5"/>
        <w:numId w:val="1"/>
      </w:numPr>
      <w:spacing w:beforeLines="50"/>
      <w:jc w:val="both"/>
      <w:outlineLvl w:val="4"/>
    </w:pPr>
    <w:rPr>
      <w:rFonts w:ascii="黑体" w:hAnsi="Times New Roman" w:eastAsia="黑体" w:cs="Times New Roman"/>
      <w:sz w:val="21"/>
      <w:lang w:val="en-US" w:eastAsia="zh-CN" w:bidi="ar-SA"/>
    </w:rPr>
  </w:style>
  <w:style w:type="paragraph" w:customStyle="1" w:styleId="35">
    <w:name w:val="标准文件_五级条标题"/>
    <w:next w:val="1"/>
    <w:qFormat/>
    <w:uiPriority w:val="0"/>
    <w:pPr>
      <w:widowControl w:val="0"/>
      <w:numPr>
        <w:ilvl w:val="6"/>
        <w:numId w:val="1"/>
      </w:numPr>
      <w:spacing w:beforeLines="50"/>
      <w:jc w:val="both"/>
      <w:outlineLvl w:val="5"/>
    </w:pPr>
    <w:rPr>
      <w:rFonts w:ascii="黑体" w:hAnsi="Times New Roman" w:eastAsia="黑体" w:cs="Times New Roman"/>
      <w:sz w:val="21"/>
      <w:lang w:val="en-US" w:eastAsia="zh-CN" w:bidi="ar-SA"/>
    </w:rPr>
  </w:style>
  <w:style w:type="paragraph" w:customStyle="1" w:styleId="36">
    <w:name w:val="标准文件_章标题"/>
    <w:next w:val="1"/>
    <w:qFormat/>
    <w:uiPriority w:val="0"/>
    <w:pPr>
      <w:numPr>
        <w:ilvl w:val="1"/>
        <w:numId w:val="1"/>
      </w:numPr>
      <w:spacing w:beforeLines="100"/>
      <w:jc w:val="both"/>
      <w:outlineLvl w:val="0"/>
    </w:pPr>
    <w:rPr>
      <w:rFonts w:ascii="黑体" w:hAnsi="Times New Roman" w:eastAsia="黑体" w:cs="Times New Roman"/>
      <w:sz w:val="21"/>
      <w:lang w:val="en-US" w:eastAsia="zh-CN" w:bidi="ar-SA"/>
    </w:rPr>
  </w:style>
  <w:style w:type="paragraph" w:customStyle="1" w:styleId="37">
    <w:name w:val="标准文件_一级条标题"/>
    <w:basedOn w:val="36"/>
    <w:next w:val="1"/>
    <w:qFormat/>
    <w:uiPriority w:val="0"/>
    <w:pPr>
      <w:numPr>
        <w:ilvl w:val="2"/>
      </w:numPr>
      <w:spacing w:beforeLines="50"/>
      <w:ind w:left="1986"/>
      <w:outlineLvl w:val="1"/>
    </w:pPr>
  </w:style>
  <w:style w:type="paragraph" w:customStyle="1" w:styleId="38">
    <w:name w:val="前言标题"/>
    <w:next w:val="1"/>
    <w:qFormat/>
    <w:uiPriority w:val="0"/>
    <w:pPr>
      <w:numPr>
        <w:ilvl w:val="0"/>
        <w:numId w:val="1"/>
      </w:numPr>
      <w:shd w:val="clear" w:color="auto" w:fill="FFFFFF"/>
      <w:spacing w:before="540" w:after="600"/>
      <w:jc w:val="center"/>
      <w:outlineLvl w:val="0"/>
    </w:pPr>
    <w:rPr>
      <w:rFonts w:ascii="黑体" w:hAnsi="Times New Roman" w:eastAsia="黑体" w:cs="Times New Roman"/>
      <w:sz w:val="32"/>
      <w:lang w:val="en-US" w:eastAsia="zh-CN" w:bidi="ar-SA"/>
    </w:rPr>
  </w:style>
  <w:style w:type="paragraph" w:customStyle="1" w:styleId="39">
    <w:name w:val="ng-star-inserted"/>
    <w:basedOn w:val="1"/>
    <w:qFormat/>
    <w:uiPriority w:val="0"/>
    <w:pPr>
      <w:widowControl/>
      <w:spacing w:before="100" w:beforeAutospacing="1" w:after="100" w:afterAutospacing="1"/>
      <w:jc w:val="left"/>
    </w:pPr>
    <w:rPr>
      <w:rFonts w:ascii="宋体" w:hAnsi="宋体" w:cs="宋体"/>
      <w:kern w:val="0"/>
      <w:sz w:val="24"/>
    </w:rPr>
  </w:style>
  <w:style w:type="character" w:customStyle="1" w:styleId="40">
    <w:name w:val="ng-star-inserted1"/>
    <w:basedOn w:val="17"/>
    <w:qFormat/>
    <w:uiPriority w:val="0"/>
  </w:style>
  <w:style w:type="paragraph" w:customStyle="1" w:styleId="41">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character" w:customStyle="1" w:styleId="42">
    <w:name w:val="Unresolved Mention"/>
    <w:basedOn w:val="17"/>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image" Target="media/image2.pn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3BB108-02DC-47B1-BFEE-B2C07FD1D7D6}">
  <ds:schemaRefs/>
</ds:datastoreItem>
</file>

<file path=docProps/app.xml><?xml version="1.0" encoding="utf-8"?>
<Properties xmlns="http://schemas.openxmlformats.org/officeDocument/2006/extended-properties" xmlns:vt="http://schemas.openxmlformats.org/officeDocument/2006/docPropsVTypes">
  <Template>Normal.dotm</Template>
  <Pages>44</Pages>
  <Words>3724</Words>
  <Characters>21227</Characters>
  <Lines>176</Lines>
  <Paragraphs>49</Paragraphs>
  <TotalTime>538</TotalTime>
  <ScaleCrop>false</ScaleCrop>
  <LinksUpToDate>false</LinksUpToDate>
  <CharactersWithSpaces>24902</CharactersWithSpaces>
  <Application>WPS Office_12.8.2.21549_F1E327BC-269C-435d-A152-05C5408002CA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2026-01-20T02:50:00Z</dcterms:created>
  <dc:creator>wwj</dc:creator>
  <cp:lastModifiedBy>78164</cp:lastModifiedBy>
  <cp:lastPrinted>2026-01-30T08:06:00Z</cp:lastPrinted>
  <dcterms:modified xsi:type="dcterms:W3CDTF">2026-02-10T06:13:05Z</dcterms:modified>
  <cp:revision>220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eyJoZGlkIjoiYzdjM2UyN2E1MjhiMzliOWJkYTRkMDkwZTAxZjQwMDUiLCJ1c2VySWQiOiI0NDQwNDUyMjAifQ==</vt:lpwstr>
  </property>
  <property fmtid="{D5CDD505-2E9C-101B-9397-08002B2CF9AE}" pid="3" name="KSOProductBuildVer">
    <vt:lpwstr>2052-12.8.2.21549</vt:lpwstr>
  </property>
  <property fmtid="{D5CDD505-2E9C-101B-9397-08002B2CF9AE}" pid="4" name="ICV">
    <vt:lpwstr>432E0FDC8D6141148B9C1E41773DFFBF_12</vt:lpwstr>
  </property>
</Properties>
</file>