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6F141E">
      <w:pPr>
        <w:pStyle w:val="91"/>
        <w:rPr>
          <w:sz w:val="28"/>
          <w:szCs w:val="28"/>
        </w:rPr>
      </w:pPr>
      <w: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8891270</wp:posOffset>
                </wp:positionV>
                <wp:extent cx="5287010" cy="10160"/>
                <wp:effectExtent l="0" t="0" r="27940" b="28575"/>
                <wp:wrapNone/>
                <wp:docPr id="23" name="直接连接符 23"/>
                <wp:cNvGraphicFramePr/>
                <a:graphic xmlns:a="http://schemas.openxmlformats.org/drawingml/2006/main">
                  <a:graphicData uri="http://schemas.microsoft.com/office/word/2010/wordprocessingShape">
                    <wps:wsp>
                      <wps:cNvCnPr>
                        <a:cxnSpLocks noChangeShapeType="1"/>
                      </wps:cNvCnPr>
                      <wps:spPr bwMode="auto">
                        <a:xfrm>
                          <a:off x="0" y="0"/>
                          <a:ext cx="5287108" cy="9965"/>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margin-top:700.1pt;height:0.8pt;width:416.3pt;mso-position-horizontal:left;mso-position-horizontal-relative:margin;z-index:251667456;mso-width-relative:page;mso-height-relative:page;" filled="f" stroked="t" coordsize="21600,21600" o:gfxdata="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r7rj/YAAAACgEAAA8AAAAAAAAAAQAgAAAAIgAAAGRycy9kb3ducmV2LnhtbFBLAQIUABQA&#10;AAAIAIdO4kDQStjR8AEAAL4DAAAOAAAAAAAAAAEAIAAAACcBAABkcnMvZTJvRG9jLnhtbFBLBQYA&#10;AAAABgAGAFkBAACJ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2259965</wp:posOffset>
                </wp:positionV>
                <wp:extent cx="5320030" cy="12700"/>
                <wp:effectExtent l="0" t="0" r="33020" b="26035"/>
                <wp:wrapNone/>
                <wp:docPr id="22" name="直接连接符 22"/>
                <wp:cNvGraphicFramePr/>
                <a:graphic xmlns:a="http://schemas.openxmlformats.org/drawingml/2006/main">
                  <a:graphicData uri="http://schemas.microsoft.com/office/word/2010/wordprocessingShape">
                    <wps:wsp>
                      <wps:cNvCnPr>
                        <a:cxnSpLocks noChangeShapeType="1"/>
                      </wps:cNvCnPr>
                      <wps:spPr bwMode="auto">
                        <a:xfrm flipV="1">
                          <a:off x="0" y="0"/>
                          <a:ext cx="5320145" cy="12411"/>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flip:y;margin-top:177.95pt;height:1pt;width:418.9pt;mso-position-horizontal:left;mso-position-horizontal-relative:margin;z-index:251666432;mso-width-relative:page;mso-height-relative:page;" filled="f" stroked="t" coordsize="21600,21600" o:gfxdata="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JyuxjZAAAACAEAAA8AAAAAAAAAAQAgAAAAIgAAAGRycy9kb3ducmV2LnhtbFBL&#10;AQIUABQAAAAIAIdO4kD/5PHu9QEAAMkDAAAOAAAAAAAAAAEAIAAAACgBAABkcnMvZTJvRG9jLnht&#10;bFBLBQYAAAAABgAGAFkBAACPBQAAAAA=&#10;">
                <v:fill on="f" focussize="0,0"/>
                <v:stroke weight="1pt" color="#080000" joinstyle="round"/>
                <v:imagedata o:title=""/>
                <o:lock v:ext="edit" aspectratio="f"/>
              </v:line>
            </w:pict>
          </mc:Fallback>
        </mc:AlternateContent>
      </w:r>
      <w:r>
        <w:br w:type="page"/>
      </w:r>
      <w:bookmarkStart w:id="0" w:name="_Hlk511724828"/>
      <w:bookmarkEnd w:id="0"/>
      <w:bookmarkStart w:id="1" w:name="SectionMark0"/>
      <w:r>
        <mc:AlternateContent>
          <mc:Choice Requires="wps">
            <w:drawing>
              <wp:anchor distT="0" distB="0" distL="114300" distR="114300" simplePos="0" relativeHeight="251668480" behindDoc="0" locked="1" layoutInCell="1" allowOverlap="1">
                <wp:simplePos x="0" y="0"/>
                <wp:positionH relativeFrom="margin">
                  <wp:align>right</wp:align>
                </wp:positionH>
                <wp:positionV relativeFrom="margin">
                  <wp:posOffset>107315</wp:posOffset>
                </wp:positionV>
                <wp:extent cx="1795780" cy="720090"/>
                <wp:effectExtent l="0" t="0" r="0" b="381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1795780" cy="720090"/>
                        </a:xfrm>
                        <a:prstGeom prst="rect">
                          <a:avLst/>
                        </a:prstGeom>
                        <a:noFill/>
                        <a:ln>
                          <a:noFill/>
                        </a:ln>
                        <a:effectLst/>
                      </wps:spPr>
                      <wps:txbx>
                        <w:txbxContent>
                          <w:p w14:paraId="1718BE62">
                            <w:pPr>
                              <w:pStyle w:val="74"/>
                              <w:rPr>
                                <w:spacing w:val="-20"/>
                                <w:w w:val="90"/>
                              </w:rPr>
                            </w:pPr>
                            <w:r>
                              <w:rPr>
                                <w:spacing w:val="-20"/>
                                <w:w w:val="90"/>
                              </w:rPr>
                              <w:t>CECS</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8.45pt;height:56.7pt;width:141.4pt;mso-position-horizontal:right;mso-position-horizontal-relative:margin;mso-position-vertical-relative:margin;z-index:251668480;mso-width-relative:page;mso-height-relative:page;" filled="f" stroked="f" coordsize="21600,21600" o:gfxdata="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j2C4JtUAAAAHAQAADwAAAAAAAAAB&#10;ACAAAAAiAAAAZHJzL2Rvd25yZXYueG1sUEsBAhQAFAAAAAgAh07iQMCjIaITAgAAFQQAAA4AAAAA&#10;AAAAAQAgAAAAJAEAAGRycy9lMm9Eb2MueG1sUEsFBgAAAAAGAAYAWQEAAKkFAAAAAA==&#10;">
                <v:fill on="f" focussize="0,0"/>
                <v:stroke on="f"/>
                <v:imagedata o:title=""/>
                <o:lock v:ext="edit" aspectratio="f"/>
                <v:textbox inset="0mm,0mm,0mm,0mm">
                  <w:txbxContent>
                    <w:p w14:paraId="1718BE62">
                      <w:pPr>
                        <w:pStyle w:val="74"/>
                        <w:rPr>
                          <w:spacing w:val="-20"/>
                          <w:w w:val="90"/>
                        </w:rPr>
                      </w:pPr>
                      <w:r>
                        <w:rPr>
                          <w:spacing w:val="-20"/>
                          <w:w w:val="90"/>
                        </w:rPr>
                        <w:t>CECS</w:t>
                      </w:r>
                    </w:p>
                  </w:txbxContent>
                </v:textbox>
                <w10:anchorlock/>
              </v:shape>
            </w:pict>
          </mc:Fallback>
        </mc:AlternateContent>
      </w:r>
      <w:r>
        <mc:AlternateContent>
          <mc:Choice Requires="wps">
            <w:drawing>
              <wp:anchor distT="0" distB="0" distL="114300" distR="114300" simplePos="0" relativeHeight="251665408" behindDoc="0" locked="1" layoutInCell="1" allowOverlap="1">
                <wp:simplePos x="0" y="0"/>
                <wp:positionH relativeFrom="margin">
                  <wp:align>center</wp:align>
                </wp:positionH>
                <wp:positionV relativeFrom="margin">
                  <wp:posOffset>9102090</wp:posOffset>
                </wp:positionV>
                <wp:extent cx="6120130" cy="36322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noFill/>
                        <a:ln>
                          <a:noFill/>
                        </a:ln>
                        <a:effectLst/>
                      </wps:spPr>
                      <wps:txbx>
                        <w:txbxContent>
                          <w:p w14:paraId="30C64F24">
                            <w:pPr>
                              <w:pStyle w:val="119"/>
                              <w:shd w:val="clear"/>
                            </w:pPr>
                            <w:r>
                              <w:rPr>
                                <w:rFonts w:hint="eastAsia"/>
                              </w:rPr>
                              <w:t xml:space="preserve">中国工程建设标准化协会     </w:t>
                            </w:r>
                            <w:r>
                              <w:rPr>
                                <w:rStyle w:val="81"/>
                                <w:rFonts w:hint="eastAsia"/>
                              </w:rPr>
                              <w:t>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716.7pt;height:28.6pt;width:481.9pt;mso-position-horizontal:center;mso-position-horizontal-relative:margin;mso-position-vertical-relative:margin;z-index:251665408;mso-width-relative:page;mso-height-relative:page;" filled="f" stroked="f" coordsize="21600,21600" o:gfxdata="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uHzcfYAAAACgEAAA8AAAAAAAAA&#10;AQAgAAAAIgAAAGRycy9kb3ducmV2LnhtbFBLAQIUABQAAAAIAIdO4kCL0SfBEQIAABUEAAAOAAAA&#10;AAAAAAEAIAAAACcBAABkcnMvZTJvRG9jLnhtbFBLBQYAAAAABgAGAFkBAACqBQAAAAA=&#10;">
                <v:fill on="f" focussize="0,0"/>
                <v:stroke on="f"/>
                <v:imagedata o:title=""/>
                <o:lock v:ext="edit" aspectratio="f"/>
                <v:textbox inset="0mm,0mm,0mm,0mm">
                  <w:txbxContent>
                    <w:p w14:paraId="30C64F24">
                      <w:pPr>
                        <w:pStyle w:val="119"/>
                        <w:shd w:val="clear"/>
                      </w:pPr>
                      <w:r>
                        <w:rPr>
                          <w:rFonts w:hint="eastAsia"/>
                        </w:rPr>
                        <w:t xml:space="preserve">中国工程建设标准化协会     </w:t>
                      </w:r>
                      <w:r>
                        <w:rPr>
                          <w:rStyle w:val="81"/>
                          <w:rFonts w:hint="eastAsia"/>
                        </w:rPr>
                        <w:t>发布</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align>right</wp:align>
                </wp:positionH>
                <wp:positionV relativeFrom="margin">
                  <wp:posOffset>8569325</wp:posOffset>
                </wp:positionV>
                <wp:extent cx="2019300" cy="312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noFill/>
                        <a:ln>
                          <a:noFill/>
                        </a:ln>
                        <a:effectLst/>
                      </wps:spPr>
                      <wps:txbx>
                        <w:txbxContent>
                          <w:p w14:paraId="49ACE5D2">
                            <w:pPr>
                              <w:pStyle w:val="122"/>
                            </w:pPr>
                            <w:r>
                              <w:rPr>
                                <w:rFonts w:hint="eastAsia"/>
                              </w:rPr>
                              <w:t>202X-xx-xx实施</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674.75pt;height:24.6pt;width:159pt;mso-position-horizontal:right;mso-position-horizontal-relative:margin;mso-position-vertical-relative:margin;z-index:251664384;mso-width-relative:page;mso-height-relative:page;" filled="f" stroked="f" coordsize="21600,21600" o:gfxdata="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AXJz9gAAAAKAQAADwAAAAAAAAAB&#10;ACAAAAAiAAAAZHJzL2Rvd25yZXYueG1sUEsBAhQAFAAAAAgAh07iQMnYVjkQAgAAFQQAAA4AAAAA&#10;AAAAAQAgAAAAJwEAAGRycy9lMm9Eb2MueG1sUEsFBgAAAAAGAAYAWQEAAKkFAAAAAA==&#10;">
                <v:fill on="f" focussize="0,0"/>
                <v:stroke on="f"/>
                <v:imagedata o:title=""/>
                <o:lock v:ext="edit" aspectratio="f"/>
                <v:textbox inset="0mm,0mm,0mm,0mm">
                  <w:txbxContent>
                    <w:p w14:paraId="49ACE5D2">
                      <w:pPr>
                        <w:pStyle w:val="122"/>
                      </w:pPr>
                      <w:r>
                        <w:rPr>
                          <w:rFonts w:hint="eastAsia"/>
                        </w:rPr>
                        <w:t>202X-xx-xx实施</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8563610</wp:posOffset>
                </wp:positionV>
                <wp:extent cx="2019300" cy="312420"/>
                <wp:effectExtent l="0" t="0" r="0" b="1143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noFill/>
                        <a:ln>
                          <a:noFill/>
                        </a:ln>
                        <a:effectLst/>
                      </wps:spPr>
                      <wps:txbx>
                        <w:txbxContent>
                          <w:p w14:paraId="67B25473">
                            <w:pPr>
                              <w:pStyle w:val="83"/>
                            </w:pPr>
                            <w:r>
                              <w:rPr>
                                <w:rFonts w:hint="eastAsia"/>
                              </w:rPr>
                              <w:t>202X-0X-XX发布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3360;mso-width-relative:page;mso-height-relative:page;" filled="f" stroked="f" coordsize="21600,21600" o:gfxdata="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XoqPPYAAAACgEAAA8AAAAAAAAA&#10;AQAgAAAAIgAAAGRycy9kb3ducmV2LnhtbFBLAQIUABQAAAAIAIdO4kBLeaXnEQIAABUEAAAOAAAA&#10;AAAAAAEAIAAAACcBAABkcnMvZTJvRG9jLnhtbFBLBQYAAAAABgAGAFkBAACqBQAAAAA=&#10;">
                <v:fill on="f" focussize="0,0"/>
                <v:stroke on="f"/>
                <v:imagedata o:title=""/>
                <o:lock v:ext="edit" aspectratio="f"/>
                <v:textbox inset="0mm,0mm,0mm,0mm">
                  <w:txbxContent>
                    <w:p w14:paraId="67B25473">
                      <w:pPr>
                        <w:pStyle w:val="83"/>
                      </w:pPr>
                      <w:r>
                        <w:rPr>
                          <w:rFonts w:hint="eastAsia"/>
                        </w:rPr>
                        <w:t>202X-0X-XX发布</w:t>
                      </w: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align>left</wp:align>
                </wp:positionH>
                <wp:positionV relativeFrom="margin">
                  <wp:posOffset>3632835</wp:posOffset>
                </wp:positionV>
                <wp:extent cx="5264785" cy="4681220"/>
                <wp:effectExtent l="0" t="0" r="0" b="508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5264785" cy="4681220"/>
                        </a:xfrm>
                        <a:prstGeom prst="rect">
                          <a:avLst/>
                        </a:prstGeom>
                        <a:noFill/>
                        <a:ln>
                          <a:noFill/>
                        </a:ln>
                        <a:effectLst/>
                      </wps:spPr>
                      <wps:txbx>
                        <w:txbxContent>
                          <w:p w14:paraId="30009CFB">
                            <w:pPr>
                              <w:pStyle w:val="86"/>
                              <w:spacing w:before="312" w:after="312"/>
                              <w:rPr>
                                <w:spacing w:val="40"/>
                                <w:szCs w:val="52"/>
                              </w:rPr>
                            </w:pPr>
                            <w:r>
                              <w:rPr>
                                <w:rFonts w:hint="eastAsia"/>
                                <w:spacing w:val="40"/>
                                <w:szCs w:val="52"/>
                              </w:rPr>
                              <w:t>建筑隔减震技术应用评价标准</w:t>
                            </w:r>
                          </w:p>
                          <w:p w14:paraId="7D412210">
                            <w:pPr>
                              <w:pStyle w:val="87"/>
                            </w:pPr>
                            <w:r>
                              <w:rPr>
                                <w:rFonts w:hint="eastAsia"/>
                              </w:rPr>
                              <w:t>Assessment standard for a</w:t>
                            </w:r>
                            <w:r>
                              <w:t xml:space="preserve">pplication </w:t>
                            </w:r>
                            <w:r>
                              <w:rPr>
                                <w:rFonts w:hint="eastAsia"/>
                              </w:rPr>
                              <w:t>e</w:t>
                            </w:r>
                            <w:r>
                              <w:t>valuation</w:t>
                            </w:r>
                            <w:r>
                              <w:rPr>
                                <w:rFonts w:hint="eastAsia"/>
                              </w:rPr>
                              <w:t xml:space="preserve"> of </w:t>
                            </w:r>
                            <w:r>
                              <w:t>seismic isolation and energy dissipation</w:t>
                            </w:r>
                            <w:r>
                              <w:rPr>
                                <w:rFonts w:hint="eastAsia"/>
                              </w:rPr>
                              <w:t xml:space="preserve"> in buildings</w:t>
                            </w:r>
                          </w:p>
                          <w:p w14:paraId="46C4ADE2">
                            <w:pPr>
                              <w:pStyle w:val="88"/>
                              <w:rPr>
                                <w:rFonts w:ascii="黑体" w:eastAsia="黑体"/>
                                <w:spacing w:val="40"/>
                                <w:sz w:val="36"/>
                                <w:szCs w:val="36"/>
                              </w:rPr>
                            </w:pPr>
                            <w:r>
                              <w:rPr>
                                <w:rFonts w:hint="eastAsia" w:ascii="黑体" w:eastAsia="黑体"/>
                                <w:spacing w:val="40"/>
                                <w:sz w:val="36"/>
                                <w:szCs w:val="36"/>
                              </w:rPr>
                              <w:t>（征求意见</w:t>
                            </w:r>
                            <w:r>
                              <w:rPr>
                                <w:rFonts w:ascii="黑体" w:eastAsia="黑体"/>
                                <w:spacing w:val="40"/>
                                <w:sz w:val="36"/>
                                <w:szCs w:val="36"/>
                              </w:rPr>
                              <w:t>稿</w:t>
                            </w:r>
                            <w:r>
                              <w:rPr>
                                <w:rFonts w:hint="eastAsia" w:ascii="黑体" w:eastAsia="黑体"/>
                                <w:spacing w:val="40"/>
                                <w:sz w:val="36"/>
                                <w:szCs w:val="36"/>
                              </w:rPr>
                              <w:t>）</w:t>
                            </w:r>
                          </w:p>
                          <w:p w14:paraId="024F8A80">
                            <w:pPr>
                              <w:pStyle w:val="88"/>
                            </w:pPr>
                          </w:p>
                          <w:p w14:paraId="40810A58">
                            <w:pPr>
                              <w:pStyle w:val="89"/>
                            </w:pPr>
                          </w:p>
                          <w:p w14:paraId="3176B481">
                            <w:pPr>
                              <w:pStyle w:val="90"/>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286.05pt;height:368.6pt;width:414.55pt;mso-position-horizontal:left;mso-position-horizontal-relative:margin;mso-position-vertical-relative:margin;z-index:251662336;mso-width-relative:page;mso-height-relative:page;" filled="f" stroked="f" coordsize="21600,21600" o:gfxdata="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ZwKaDYAAAACQEAAA8AAAAA&#10;AAAAAQAgAAAAIgAAAGRycy9kb3ducmV2LnhtbFBLAQIUABQAAAAIAIdO4kDZJpedFAIAABYEAAAO&#10;AAAAAAAAAAEAIAAAACcBAABkcnMvZTJvRG9jLnhtbFBLBQYAAAAABgAGAFkBAACtBQAAAAA=&#10;">
                <v:fill on="f" focussize="0,0"/>
                <v:stroke on="f"/>
                <v:imagedata o:title=""/>
                <o:lock v:ext="edit" aspectratio="f"/>
                <v:textbox inset="0mm,0mm,0mm,0mm">
                  <w:txbxContent>
                    <w:p w14:paraId="30009CFB">
                      <w:pPr>
                        <w:pStyle w:val="86"/>
                        <w:spacing w:before="312" w:after="312"/>
                        <w:rPr>
                          <w:spacing w:val="40"/>
                          <w:szCs w:val="52"/>
                        </w:rPr>
                      </w:pPr>
                      <w:r>
                        <w:rPr>
                          <w:rFonts w:hint="eastAsia"/>
                          <w:spacing w:val="40"/>
                          <w:szCs w:val="52"/>
                        </w:rPr>
                        <w:t>建筑隔减震技术应用评价标准</w:t>
                      </w:r>
                    </w:p>
                    <w:p w14:paraId="7D412210">
                      <w:pPr>
                        <w:pStyle w:val="87"/>
                      </w:pPr>
                      <w:r>
                        <w:rPr>
                          <w:rFonts w:hint="eastAsia"/>
                        </w:rPr>
                        <w:t>Assessment standard for a</w:t>
                      </w:r>
                      <w:r>
                        <w:t xml:space="preserve">pplication </w:t>
                      </w:r>
                      <w:r>
                        <w:rPr>
                          <w:rFonts w:hint="eastAsia"/>
                        </w:rPr>
                        <w:t>e</w:t>
                      </w:r>
                      <w:r>
                        <w:t>valuation</w:t>
                      </w:r>
                      <w:r>
                        <w:rPr>
                          <w:rFonts w:hint="eastAsia"/>
                        </w:rPr>
                        <w:t xml:space="preserve"> of </w:t>
                      </w:r>
                      <w:r>
                        <w:t>seismic isolation and energy dissipation</w:t>
                      </w:r>
                      <w:r>
                        <w:rPr>
                          <w:rFonts w:hint="eastAsia"/>
                        </w:rPr>
                        <w:t xml:space="preserve"> in buildings</w:t>
                      </w:r>
                    </w:p>
                    <w:p w14:paraId="46C4ADE2">
                      <w:pPr>
                        <w:pStyle w:val="88"/>
                        <w:rPr>
                          <w:rFonts w:ascii="黑体" w:eastAsia="黑体"/>
                          <w:spacing w:val="40"/>
                          <w:sz w:val="36"/>
                          <w:szCs w:val="36"/>
                        </w:rPr>
                      </w:pPr>
                      <w:r>
                        <w:rPr>
                          <w:rFonts w:hint="eastAsia" w:ascii="黑体" w:eastAsia="黑体"/>
                          <w:spacing w:val="40"/>
                          <w:sz w:val="36"/>
                          <w:szCs w:val="36"/>
                        </w:rPr>
                        <w:t>（征求意见</w:t>
                      </w:r>
                      <w:r>
                        <w:rPr>
                          <w:rFonts w:ascii="黑体" w:eastAsia="黑体"/>
                          <w:spacing w:val="40"/>
                          <w:sz w:val="36"/>
                          <w:szCs w:val="36"/>
                        </w:rPr>
                        <w:t>稿</w:t>
                      </w:r>
                      <w:r>
                        <w:rPr>
                          <w:rFonts w:hint="eastAsia" w:ascii="黑体" w:eastAsia="黑体"/>
                          <w:spacing w:val="40"/>
                          <w:sz w:val="36"/>
                          <w:szCs w:val="36"/>
                        </w:rPr>
                        <w:t>）</w:t>
                      </w:r>
                    </w:p>
                    <w:p w14:paraId="024F8A80">
                      <w:pPr>
                        <w:pStyle w:val="88"/>
                      </w:pPr>
                    </w:p>
                    <w:p w14:paraId="40810A58">
                      <w:pPr>
                        <w:pStyle w:val="89"/>
                      </w:pPr>
                    </w:p>
                    <w:p w14:paraId="3176B481">
                      <w:pPr>
                        <w:pStyle w:val="90"/>
                      </w:pP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align>right</wp:align>
                </wp:positionH>
                <wp:positionV relativeFrom="margin">
                  <wp:posOffset>1400810</wp:posOffset>
                </wp:positionV>
                <wp:extent cx="5273675" cy="860425"/>
                <wp:effectExtent l="0" t="0" r="3175"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5273675" cy="860425"/>
                        </a:xfrm>
                        <a:prstGeom prst="rect">
                          <a:avLst/>
                        </a:prstGeom>
                        <a:noFill/>
                        <a:ln>
                          <a:noFill/>
                        </a:ln>
                        <a:effectLst/>
                      </wps:spPr>
                      <wps:txbx>
                        <w:txbxContent>
                          <w:p w14:paraId="7EA4B903">
                            <w:pPr>
                              <w:pStyle w:val="85"/>
                            </w:pPr>
                            <w:r>
                              <w:t>T/CECS xx</w:t>
                            </w:r>
                            <w:r>
                              <w:rPr>
                                <w:rFonts w:hint="eastAsia"/>
                              </w:rPr>
                              <w:t>—20</w:t>
                            </w:r>
                            <w:r>
                              <w:t>2X</w:t>
                            </w:r>
                          </w:p>
                          <w:p w14:paraId="105AA29A">
                            <w:pPr>
                              <w:pStyle w:val="85"/>
                              <w:jc w:val="center"/>
                            </w:pPr>
                          </w:p>
                          <w:p w14:paraId="001CA0D3">
                            <w:pPr>
                              <w:pStyle w:val="85"/>
                              <w:jc w:val="center"/>
                            </w:pPr>
                          </w:p>
                          <w:p w14:paraId="65527EF0">
                            <w:pPr>
                              <w:pStyle w:val="84"/>
                            </w:pPr>
                          </w:p>
                          <w:p w14:paraId="28DCB78C">
                            <w:pPr>
                              <w:pStyle w:val="84"/>
                            </w:pPr>
                          </w:p>
                          <w:p w14:paraId="367A4F79">
                            <w:pPr>
                              <w:pStyle w:val="85"/>
                            </w:pPr>
                          </w:p>
                          <w:p w14:paraId="0D47B817">
                            <w:pPr>
                              <w:pStyle w:val="85"/>
                            </w:pPr>
                          </w:p>
                          <w:p w14:paraId="136E09BF">
                            <w:pPr>
                              <w:pStyle w:val="85"/>
                            </w:pPr>
                          </w:p>
                          <w:p w14:paraId="7F78B17C">
                            <w:pPr>
                              <w:pStyle w:val="85"/>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110.3pt;height:67.75pt;width:415.25pt;mso-position-horizontal:right;mso-position-horizontal-relative:margin;mso-position-vertical-relative:margin;z-index:251661312;mso-width-relative:page;mso-height-relative:page;" filled="f" stroked="f" coordsize="21600,21600" o:gfxdata="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gFkSLYAAAACAEAAA8AAAAA&#10;AAAAAQAgAAAAIgAAAGRycy9kb3ducmV2LnhtbFBLAQIUABQAAAAIAIdO4kCdS6QdFAIAABUEAAAO&#10;AAAAAAAAAAEAIAAAACcBAABkcnMvZTJvRG9jLnhtbFBLBQYAAAAABgAGAFkBAACtBQAAAAA=&#10;">
                <v:fill on="f" focussize="0,0"/>
                <v:stroke on="f"/>
                <v:imagedata o:title=""/>
                <o:lock v:ext="edit" aspectratio="f"/>
                <v:textbox inset="0mm,0mm,0mm,0mm">
                  <w:txbxContent>
                    <w:p w14:paraId="7EA4B903">
                      <w:pPr>
                        <w:pStyle w:val="85"/>
                      </w:pPr>
                      <w:r>
                        <w:t>T/CECS xx</w:t>
                      </w:r>
                      <w:r>
                        <w:rPr>
                          <w:rFonts w:hint="eastAsia"/>
                        </w:rPr>
                        <w:t>—20</w:t>
                      </w:r>
                      <w:r>
                        <w:t>2X</w:t>
                      </w:r>
                    </w:p>
                    <w:p w14:paraId="105AA29A">
                      <w:pPr>
                        <w:pStyle w:val="85"/>
                        <w:jc w:val="center"/>
                      </w:pPr>
                    </w:p>
                    <w:p w14:paraId="001CA0D3">
                      <w:pPr>
                        <w:pStyle w:val="85"/>
                        <w:jc w:val="center"/>
                      </w:pPr>
                    </w:p>
                    <w:p w14:paraId="65527EF0">
                      <w:pPr>
                        <w:pStyle w:val="84"/>
                      </w:pPr>
                    </w:p>
                    <w:p w14:paraId="28DCB78C">
                      <w:pPr>
                        <w:pStyle w:val="84"/>
                      </w:pPr>
                    </w:p>
                    <w:p w14:paraId="367A4F79">
                      <w:pPr>
                        <w:pStyle w:val="85"/>
                      </w:pPr>
                    </w:p>
                    <w:p w14:paraId="0D47B817">
                      <w:pPr>
                        <w:pStyle w:val="85"/>
                      </w:pPr>
                    </w:p>
                    <w:p w14:paraId="136E09BF">
                      <w:pPr>
                        <w:pStyle w:val="85"/>
                      </w:pPr>
                    </w:p>
                    <w:p w14:paraId="7F78B17C">
                      <w:pPr>
                        <w:pStyle w:val="85"/>
                      </w:pP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align>center</wp:align>
                </wp:positionH>
                <wp:positionV relativeFrom="margin">
                  <wp:posOffset>1009015</wp:posOffset>
                </wp:positionV>
                <wp:extent cx="5921375" cy="391160"/>
                <wp:effectExtent l="0" t="0" r="3175" b="889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5921375" cy="391160"/>
                        </a:xfrm>
                        <a:prstGeom prst="rect">
                          <a:avLst/>
                        </a:prstGeom>
                        <a:noFill/>
                        <a:ln>
                          <a:noFill/>
                        </a:ln>
                        <a:effectLst/>
                      </wps:spPr>
                      <wps:txbx>
                        <w:txbxContent>
                          <w:p w14:paraId="64966900">
                            <w:pPr>
                              <w:pStyle w:val="118"/>
                              <w:jc w:val="center"/>
                              <w:rPr>
                                <w:spacing w:val="216"/>
                              </w:rPr>
                            </w:pPr>
                            <w:r>
                              <w:rPr>
                                <w:rFonts w:hint="eastAsia"/>
                                <w:spacing w:val="151"/>
                              </w:rPr>
                              <w:t>中国工程建设标准化协会</w:t>
                            </w:r>
                            <w:r>
                              <w:rPr>
                                <w:spacing w:val="1326"/>
                                <w:kern w:val="0"/>
                                <w:fitText w:val="9880" w:id="1"/>
                              </w:rPr>
                              <w:t>协会</w:t>
                            </w:r>
                            <w:r>
                              <w:rPr>
                                <w:rFonts w:hint="eastAsia"/>
                                <w:spacing w:val="1326"/>
                                <w:kern w:val="0"/>
                                <w:fitText w:val="9880" w:id="1"/>
                              </w:rPr>
                              <w:t>标</w:t>
                            </w:r>
                            <w:r>
                              <w:rPr>
                                <w:rFonts w:hint="eastAsia"/>
                                <w:spacing w:val="2"/>
                                <w:kern w:val="0"/>
                                <w:fitText w:val="9880" w:id="1"/>
                              </w:rPr>
                              <w:t>准</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79.45pt;height:30.8pt;width:466.25pt;mso-position-horizontal:center;mso-position-horizontal-relative:margin;mso-position-vertical-relative:margin;z-index:251660288;mso-width-relative:page;mso-height-relative:page;" filled="f" stroked="f" coordsize="21600,21600" o:gfxdata="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Xer7YAAAACAEAAA8AAAAA&#10;AAAAAQAgAAAAIgAAAGRycy9kb3ducmV2LnhtbFBLAQIUABQAAAAIAIdO4kB9OFQaFAIAABUEAAAO&#10;AAAAAAAAAAEAIAAAACcBAABkcnMvZTJvRG9jLnhtbFBLBQYAAAAABgAGAFkBAACtBQAAAAA=&#10;">
                <v:fill on="f" focussize="0,0"/>
                <v:stroke on="f"/>
                <v:imagedata o:title=""/>
                <o:lock v:ext="edit" aspectratio="f"/>
                <v:textbox inset="0mm,0mm,0mm,0mm">
                  <w:txbxContent>
                    <w:p w14:paraId="64966900">
                      <w:pPr>
                        <w:pStyle w:val="118"/>
                        <w:jc w:val="center"/>
                        <w:rPr>
                          <w:spacing w:val="216"/>
                        </w:rPr>
                      </w:pPr>
                      <w:r>
                        <w:rPr>
                          <w:rFonts w:hint="eastAsia"/>
                          <w:spacing w:val="151"/>
                        </w:rPr>
                        <w:t>中国工程建设标准化协会</w:t>
                      </w:r>
                      <w:r>
                        <w:rPr>
                          <w:spacing w:val="1326"/>
                          <w:kern w:val="0"/>
                          <w:fitText w:val="9880" w:id="1"/>
                        </w:rPr>
                        <w:t>协会</w:t>
                      </w:r>
                      <w:r>
                        <w:rPr>
                          <w:rFonts w:hint="eastAsia"/>
                          <w:spacing w:val="1326"/>
                          <w:kern w:val="0"/>
                          <w:fitText w:val="9880" w:id="1"/>
                        </w:rPr>
                        <w:t>标</w:t>
                      </w:r>
                      <w:r>
                        <w:rPr>
                          <w:rFonts w:hint="eastAsia"/>
                          <w:spacing w:val="2"/>
                          <w:kern w:val="0"/>
                          <w:fitText w:val="9880" w:id="1"/>
                        </w:rPr>
                        <w:t>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12700" b="889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noFill/>
                        <a:ln>
                          <a:noFill/>
                        </a:ln>
                        <a:effectLst/>
                      </wps:spPr>
                      <wps:txbx>
                        <w:txbxContent>
                          <w:p w14:paraId="33E1ED52">
                            <w:pPr>
                              <w:pStyle w:val="131"/>
                              <w:rPr>
                                <w:rFonts w:ascii="Times New Roman"/>
                              </w:rPr>
                            </w:pPr>
                            <w:r>
                              <w:rPr>
                                <w:rFonts w:ascii="Times New Roman"/>
                              </w:rPr>
                              <w:t>ICS 91.060</w:t>
                            </w:r>
                          </w:p>
                          <w:p w14:paraId="7D5A3AAD">
                            <w:pPr>
                              <w:pStyle w:val="131"/>
                              <w:rPr>
                                <w:rFonts w:ascii="Times New Roman"/>
                              </w:rPr>
                            </w:pPr>
                            <w:r>
                              <w:rPr>
                                <w:rFonts w:ascii="Times New Roman"/>
                              </w:rPr>
                              <w:t>CCS Q73</w:t>
                            </w:r>
                          </w:p>
                          <w:p w14:paraId="098A0187">
                            <w:pPr>
                              <w:pStyle w:val="131"/>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ed="f" stroked="f" coordsize="21600,21600" o:gfxdata="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E5KEPUAAAABQEAAA8AAAAAAAAAAQAg&#10;AAAAIgAAAGRycy9kb3ducmV2LnhtbFBLAQIUABQAAAAIAIdO4kA1y1MoEgIAABUEAAAOAAAAAAAA&#10;AAEAIAAAACMBAABkcnMvZTJvRG9jLnhtbFBLBQYAAAAABgAGAFkBAACnBQAAAAA=&#10;">
                <v:fill on="f" focussize="0,0"/>
                <v:stroke on="f"/>
                <v:imagedata o:title=""/>
                <o:lock v:ext="edit" aspectratio="f"/>
                <v:textbox inset="0mm,0mm,0mm,0mm">
                  <w:txbxContent>
                    <w:p w14:paraId="33E1ED52">
                      <w:pPr>
                        <w:pStyle w:val="131"/>
                        <w:rPr>
                          <w:rFonts w:ascii="Times New Roman"/>
                        </w:rPr>
                      </w:pPr>
                      <w:r>
                        <w:rPr>
                          <w:rFonts w:ascii="Times New Roman"/>
                        </w:rPr>
                        <w:t>ICS 91.060</w:t>
                      </w:r>
                    </w:p>
                    <w:p w14:paraId="7D5A3AAD">
                      <w:pPr>
                        <w:pStyle w:val="131"/>
                        <w:rPr>
                          <w:rFonts w:ascii="Times New Roman"/>
                        </w:rPr>
                      </w:pPr>
                      <w:r>
                        <w:rPr>
                          <w:rFonts w:ascii="Times New Roman"/>
                        </w:rPr>
                        <w:t>CCS Q73</w:t>
                      </w:r>
                    </w:p>
                    <w:p w14:paraId="098A0187">
                      <w:pPr>
                        <w:pStyle w:val="131"/>
                      </w:pPr>
                    </w:p>
                  </w:txbxContent>
                </v:textbox>
                <w10:anchorlock/>
              </v:shape>
            </w:pict>
          </mc:Fallback>
        </mc:AlternateContent>
      </w:r>
      <w:bookmarkEnd w:id="1"/>
    </w:p>
    <w:p w14:paraId="78864BCF">
      <w:pPr>
        <w:pStyle w:val="120"/>
        <w:shd w:val="clear" w:color="FFFFFF"/>
        <w:spacing w:line="360" w:lineRule="auto"/>
        <w:outlineLvl w:val="1"/>
        <w:rPr>
          <w:rFonts w:ascii="Times New Roman"/>
        </w:rPr>
      </w:pPr>
      <w:bookmarkStart w:id="2" w:name="_Toc7123"/>
      <w:bookmarkStart w:id="3" w:name="_Toc207375976"/>
      <w:bookmarkStart w:id="4" w:name="_Toc204941344"/>
      <w:r>
        <w:rPr>
          <w:rFonts w:ascii="Times New Roman"/>
        </w:rPr>
        <w:t>前</w:t>
      </w:r>
      <w:bookmarkStart w:id="5" w:name="BKQY"/>
      <w:r>
        <w:rPr>
          <w:rFonts w:ascii="Times New Roman"/>
        </w:rPr>
        <w:t>  言</w:t>
      </w:r>
      <w:bookmarkEnd w:id="2"/>
      <w:bookmarkEnd w:id="3"/>
      <w:bookmarkEnd w:id="4"/>
      <w:bookmarkEnd w:id="5"/>
    </w:p>
    <w:p w14:paraId="6A76E60D">
      <w:pPr>
        <w:spacing w:line="360" w:lineRule="auto"/>
        <w:ind w:right="124" w:firstLine="420" w:firstLineChars="200"/>
        <w:rPr>
          <w:kern w:val="0"/>
          <w:szCs w:val="20"/>
        </w:rPr>
      </w:pPr>
      <w:r>
        <w:rPr>
          <w:rFonts w:hint="eastAsia"/>
          <w:kern w:val="0"/>
          <w:szCs w:val="20"/>
        </w:rPr>
        <w:t>根据中国工程建设标准化协会《关于印发〈2022年第二批协会标准制订、修订计划〉的通知》（建标协字〔2022〕40号）的要求，标准编制组经广泛调查研究，认真总结实践经验，参考相关国外和国内先进标准，并在广泛征求意见的基础上，制定了本标准。</w:t>
      </w:r>
    </w:p>
    <w:p w14:paraId="75DCD7B4">
      <w:pPr>
        <w:spacing w:line="360" w:lineRule="auto"/>
        <w:ind w:right="124" w:firstLine="420" w:firstLineChars="200"/>
        <w:rPr>
          <w:kern w:val="0"/>
          <w:szCs w:val="20"/>
          <w:highlight w:val="none"/>
        </w:rPr>
      </w:pPr>
      <w:r>
        <w:rPr>
          <w:rFonts w:hint="eastAsia"/>
          <w:kern w:val="0"/>
          <w:szCs w:val="20"/>
          <w:highlight w:val="none"/>
        </w:rPr>
        <w:t>本标准共分6章，主要技术内容包括：总则、术语、基本规定、隔减震设计、</w:t>
      </w:r>
      <w:r>
        <w:rPr>
          <w:rFonts w:hint="eastAsia"/>
          <w:kern w:val="0"/>
          <w:szCs w:val="20"/>
          <w:highlight w:val="none"/>
          <w:lang w:eastAsia="zh-CN"/>
        </w:rPr>
        <w:t>隔减震装置</w:t>
      </w:r>
      <w:r>
        <w:rPr>
          <w:rFonts w:hint="eastAsia"/>
          <w:kern w:val="0"/>
          <w:szCs w:val="20"/>
          <w:highlight w:val="none"/>
        </w:rPr>
        <w:t>、隔减震施工构造措施、提高与创新。</w:t>
      </w:r>
    </w:p>
    <w:p w14:paraId="7127B5DF">
      <w:pPr>
        <w:spacing w:line="360" w:lineRule="auto"/>
        <w:ind w:right="124" w:firstLine="420" w:firstLineChars="200"/>
        <w:rPr>
          <w:kern w:val="0"/>
          <w:szCs w:val="20"/>
        </w:rPr>
      </w:pPr>
      <w:r>
        <w:rPr>
          <w:rFonts w:hint="eastAsia"/>
          <w:kern w:val="0"/>
          <w:szCs w:val="20"/>
        </w:rPr>
        <w:t>请注意本规程的某些内容可能直接或间接涉及专利，本规程的发布机构不承担识别这些专利的责任。</w:t>
      </w:r>
    </w:p>
    <w:p w14:paraId="46D9844F">
      <w:pPr>
        <w:spacing w:line="360" w:lineRule="auto"/>
        <w:ind w:right="124" w:firstLine="420" w:firstLineChars="200"/>
      </w:pPr>
      <w:r>
        <w:rPr>
          <w:rFonts w:hint="eastAsia"/>
          <w:kern w:val="0"/>
          <w:szCs w:val="20"/>
        </w:rPr>
        <w:t>本标准</w:t>
      </w:r>
      <w:r>
        <w:rPr>
          <w:kern w:val="0"/>
          <w:szCs w:val="20"/>
        </w:rPr>
        <w:t>由</w:t>
      </w:r>
      <w:r>
        <w:t>中国工程建设标准化协会建筑产业化分会</w:t>
      </w:r>
      <w:r>
        <w:rPr>
          <w:kern w:val="0"/>
          <w:szCs w:val="20"/>
        </w:rPr>
        <w:t>归口管理</w:t>
      </w:r>
      <w:r>
        <w:rPr>
          <w:rFonts w:hint="eastAsia"/>
          <w:kern w:val="0"/>
          <w:szCs w:val="20"/>
        </w:rPr>
        <w:t>，由</w:t>
      </w:r>
      <w:r>
        <w:rPr>
          <w:rFonts w:hint="eastAsia"/>
          <w:kern w:val="0"/>
          <w:szCs w:val="20"/>
          <w:lang w:val="en-US" w:eastAsia="zh-CN"/>
        </w:rPr>
        <w:t>中国建筑标准设计研究院有限公司</w:t>
      </w:r>
      <w:r>
        <w:rPr>
          <w:rFonts w:hint="eastAsia"/>
        </w:rPr>
        <w:t>负责具体技术内容的</w:t>
      </w:r>
      <w:r>
        <w:rPr>
          <w:rFonts w:hint="eastAsia"/>
          <w:lang w:val="en-US" w:eastAsia="zh-CN"/>
        </w:rPr>
        <w:t>解释</w:t>
      </w:r>
      <w:r>
        <w:rPr>
          <w:rFonts w:hint="eastAsia"/>
        </w:rPr>
        <w:t>。执行过程中如有意见或建议，请寄送至解释单位（地址：北京市海淀区首体南路9号；邮编：100048）</w:t>
      </w:r>
    </w:p>
    <w:p w14:paraId="3F1DAF26">
      <w:pPr>
        <w:spacing w:line="360" w:lineRule="auto"/>
        <w:ind w:firstLine="420" w:firstLineChars="200"/>
      </w:pPr>
      <w:r>
        <w:t>本文件负责起草单位：</w:t>
      </w:r>
      <w:r>
        <w:rPr>
          <w:rFonts w:hint="eastAsia"/>
        </w:rPr>
        <w:t>中国建筑标准设计研究院有限公司</w:t>
      </w:r>
      <w:r>
        <w:t>。</w:t>
      </w:r>
    </w:p>
    <w:p w14:paraId="70D52D41">
      <w:pPr>
        <w:spacing w:line="360" w:lineRule="auto"/>
        <w:ind w:firstLine="420" w:firstLineChars="200"/>
        <w:rPr>
          <w:rFonts w:hint="default"/>
          <w:lang w:val="en-US"/>
        </w:rPr>
      </w:pPr>
      <w:r>
        <w:t>本文件参加起草单位：</w:t>
      </w:r>
    </w:p>
    <w:p w14:paraId="3D35F865">
      <w:pPr>
        <w:spacing w:line="360" w:lineRule="auto"/>
        <w:ind w:firstLine="420" w:firstLineChars="200"/>
      </w:pPr>
      <w:r>
        <w:t>本文件主要起草人：</w:t>
      </w:r>
    </w:p>
    <w:p w14:paraId="199D7AE6">
      <w:pPr>
        <w:spacing w:line="360" w:lineRule="auto"/>
        <w:ind w:firstLine="420" w:firstLineChars="200"/>
      </w:pPr>
    </w:p>
    <w:p w14:paraId="609175DA">
      <w:pPr>
        <w:spacing w:line="360" w:lineRule="auto"/>
        <w:ind w:firstLine="420" w:firstLineChars="200"/>
      </w:pPr>
    </w:p>
    <w:p w14:paraId="4732C98B">
      <w:pPr>
        <w:spacing w:line="360" w:lineRule="auto"/>
        <w:ind w:firstLine="420" w:firstLineChars="200"/>
        <w:sectPr>
          <w:headerReference r:id="rId3" w:type="default"/>
          <w:footerReference r:id="rId5" w:type="default"/>
          <w:headerReference r:id="rId4" w:type="even"/>
          <w:footerReference r:id="rId6" w:type="even"/>
          <w:pgSz w:w="11906" w:h="16838"/>
          <w:pgMar w:top="1440" w:right="1797" w:bottom="1440" w:left="1797" w:header="1418" w:footer="1134" w:gutter="0"/>
          <w:pgNumType w:start="1"/>
          <w:cols w:space="425" w:num="1"/>
          <w:formProt w:val="0"/>
          <w:docGrid w:type="lines" w:linePitch="312" w:charSpace="0"/>
        </w:sectPr>
      </w:pPr>
    </w:p>
    <w:p w14:paraId="6B2ADC41">
      <w:pPr>
        <w:pStyle w:val="120"/>
        <w:shd w:val="clear"/>
        <w:tabs>
          <w:tab w:val="center" w:pos="4819"/>
          <w:tab w:val="left" w:pos="8520"/>
        </w:tabs>
        <w:rPr>
          <w:rFonts w:ascii="Times New Roman"/>
        </w:rPr>
      </w:pPr>
      <w:bookmarkStart w:id="6" w:name="_Toc207375977"/>
      <w:bookmarkStart w:id="7" w:name="_Toc11165"/>
      <w:r>
        <w:rPr>
          <w:rFonts w:ascii="Times New Roman"/>
        </w:rPr>
        <w:t>目  次</w:t>
      </w:r>
      <w:bookmarkEnd w:id="6"/>
      <w:bookmarkEnd w:id="7"/>
    </w:p>
    <w:p w14:paraId="399A6F39">
      <w:pPr>
        <w:pStyle w:val="24"/>
        <w:tabs>
          <w:tab w:val="right" w:leader="dot" w:pos="8306"/>
          <w:tab w:val="clear" w:pos="9242"/>
        </w:tabs>
      </w:pPr>
      <w:r>
        <w:rPr>
          <w:rFonts w:ascii="Times New Roman"/>
          <w:b/>
          <w:bCs/>
          <w:sz w:val="22"/>
          <w:szCs w:val="22"/>
          <w:lang w:val="zh-CN"/>
        </w:rPr>
        <w:fldChar w:fldCharType="begin"/>
      </w:r>
      <w:r>
        <w:rPr>
          <w:rFonts w:ascii="Times New Roman"/>
          <w:b/>
          <w:bCs/>
          <w:sz w:val="22"/>
          <w:szCs w:val="22"/>
          <w:lang w:val="zh-CN"/>
        </w:rPr>
        <w:instrText xml:space="preserve"> TOC \o "1-3" \h \z \u </w:instrText>
      </w:r>
      <w:r>
        <w:rPr>
          <w:rFonts w:ascii="Times New Roman"/>
          <w:b/>
          <w:bCs/>
          <w:sz w:val="22"/>
          <w:szCs w:val="22"/>
          <w:lang w:val="zh-CN"/>
        </w:rPr>
        <w:fldChar w:fldCharType="separate"/>
      </w:r>
      <w:r>
        <w:rPr>
          <w:bCs/>
          <w:szCs w:val="28"/>
          <w:lang w:val="zh-CN"/>
        </w:rPr>
        <w:fldChar w:fldCharType="begin"/>
      </w:r>
      <w:r>
        <w:rPr>
          <w:bCs/>
          <w:szCs w:val="28"/>
          <w:lang w:val="zh-CN"/>
        </w:rPr>
        <w:instrText xml:space="preserve"> HYPERLINK \l _Toc7629 </w:instrText>
      </w:r>
      <w:r>
        <w:rPr>
          <w:bCs/>
          <w:szCs w:val="28"/>
          <w:lang w:val="zh-CN"/>
        </w:rPr>
        <w:fldChar w:fldCharType="separate"/>
      </w:r>
      <w:r>
        <w:rPr>
          <w:rFonts w:hint="default" w:ascii="Times New Roman" w:hAnsi="Times New Roman" w:cs="Times New Roman"/>
          <w:bCs/>
          <w:kern w:val="0"/>
          <w:szCs w:val="30"/>
        </w:rPr>
        <w:t xml:space="preserve">1 </w:t>
      </w:r>
      <w:r>
        <w:rPr>
          <w:rFonts w:ascii="Times New Roman" w:hAnsi="Times New Roman" w:cs="Times New Roman"/>
          <w:bCs/>
          <w:szCs w:val="30"/>
        </w:rPr>
        <w:t>总则</w:t>
      </w:r>
      <w:r>
        <w:tab/>
      </w:r>
      <w:r>
        <w:rPr>
          <w:rFonts w:hint="eastAsia"/>
          <w:lang w:val="en-US" w:eastAsia="zh-CN"/>
        </w:rPr>
        <w:t>2</w:t>
      </w:r>
      <w:r>
        <w:rPr>
          <w:bCs/>
          <w:szCs w:val="28"/>
          <w:lang w:val="zh-CN"/>
        </w:rPr>
        <w:fldChar w:fldCharType="end"/>
      </w:r>
    </w:p>
    <w:p w14:paraId="3A78245A">
      <w:pPr>
        <w:pStyle w:val="24"/>
        <w:tabs>
          <w:tab w:val="right" w:leader="dot" w:pos="8306"/>
          <w:tab w:val="clear" w:pos="9242"/>
        </w:tabs>
      </w:pPr>
      <w:r>
        <w:rPr>
          <w:bCs/>
          <w:szCs w:val="28"/>
          <w:lang w:val="zh-CN"/>
        </w:rPr>
        <w:fldChar w:fldCharType="begin"/>
      </w:r>
      <w:r>
        <w:rPr>
          <w:bCs/>
          <w:szCs w:val="28"/>
          <w:lang w:val="zh-CN"/>
        </w:rPr>
        <w:instrText xml:space="preserve"> HYPERLINK \l _Toc20808 </w:instrText>
      </w:r>
      <w:r>
        <w:rPr>
          <w:bCs/>
          <w:szCs w:val="28"/>
          <w:lang w:val="zh-CN"/>
        </w:rPr>
        <w:fldChar w:fldCharType="separate"/>
      </w:r>
      <w:r>
        <w:rPr>
          <w:rFonts w:hint="default" w:ascii="Times New Roman" w:hAnsi="Times New Roman" w:cs="Times New Roman"/>
          <w:bCs/>
          <w:kern w:val="0"/>
          <w:szCs w:val="30"/>
        </w:rPr>
        <w:t xml:space="preserve">2 </w:t>
      </w:r>
      <w:r>
        <w:rPr>
          <w:rFonts w:ascii="Times New Roman" w:hAnsi="Times New Roman" w:cs="Times New Roman"/>
          <w:bCs/>
          <w:szCs w:val="30"/>
        </w:rPr>
        <w:t>术语</w:t>
      </w:r>
      <w:r>
        <w:tab/>
      </w:r>
      <w:r>
        <w:fldChar w:fldCharType="begin"/>
      </w:r>
      <w:r>
        <w:instrText xml:space="preserve"> PAGEREF _Toc20808 \h </w:instrText>
      </w:r>
      <w:r>
        <w:fldChar w:fldCharType="separate"/>
      </w:r>
      <w:r>
        <w:t>3</w:t>
      </w:r>
      <w:r>
        <w:fldChar w:fldCharType="end"/>
      </w:r>
      <w:r>
        <w:rPr>
          <w:bCs/>
          <w:szCs w:val="28"/>
          <w:lang w:val="zh-CN"/>
        </w:rPr>
        <w:fldChar w:fldCharType="end"/>
      </w:r>
    </w:p>
    <w:p w14:paraId="499A5ED9">
      <w:pPr>
        <w:pStyle w:val="24"/>
        <w:tabs>
          <w:tab w:val="right" w:leader="dot" w:pos="8306"/>
          <w:tab w:val="clear" w:pos="9242"/>
        </w:tabs>
      </w:pPr>
      <w:r>
        <w:rPr>
          <w:bCs/>
          <w:szCs w:val="28"/>
          <w:lang w:val="zh-CN"/>
        </w:rPr>
        <w:fldChar w:fldCharType="begin"/>
      </w:r>
      <w:r>
        <w:rPr>
          <w:bCs/>
          <w:szCs w:val="28"/>
          <w:lang w:val="zh-CN"/>
        </w:rPr>
        <w:instrText xml:space="preserve"> HYPERLINK \l _Toc3233 </w:instrText>
      </w:r>
      <w:r>
        <w:rPr>
          <w:bCs/>
          <w:szCs w:val="28"/>
          <w:lang w:val="zh-CN"/>
        </w:rPr>
        <w:fldChar w:fldCharType="separate"/>
      </w:r>
      <w:r>
        <w:rPr>
          <w:rFonts w:hint="default" w:ascii="Times New Roman" w:hAnsi="Times New Roman" w:cs="Times New Roman"/>
          <w:bCs/>
          <w:kern w:val="0"/>
          <w:szCs w:val="30"/>
        </w:rPr>
        <w:t xml:space="preserve">3 </w:t>
      </w:r>
      <w:r>
        <w:rPr>
          <w:rFonts w:ascii="Times New Roman" w:hAnsi="Times New Roman" w:cs="Times New Roman"/>
          <w:bCs/>
          <w:szCs w:val="30"/>
        </w:rPr>
        <w:t>基本规定</w:t>
      </w:r>
      <w:r>
        <w:tab/>
      </w:r>
      <w:r>
        <w:fldChar w:fldCharType="begin"/>
      </w:r>
      <w:r>
        <w:instrText xml:space="preserve"> PAGEREF _Toc3233 \h </w:instrText>
      </w:r>
      <w:r>
        <w:fldChar w:fldCharType="separate"/>
      </w:r>
      <w:r>
        <w:t>5</w:t>
      </w:r>
      <w:r>
        <w:fldChar w:fldCharType="end"/>
      </w:r>
      <w:r>
        <w:rPr>
          <w:bCs/>
          <w:szCs w:val="28"/>
          <w:lang w:val="zh-CN"/>
        </w:rPr>
        <w:fldChar w:fldCharType="end"/>
      </w:r>
    </w:p>
    <w:p w14:paraId="66E68523">
      <w:pPr>
        <w:pStyle w:val="33"/>
        <w:tabs>
          <w:tab w:val="right" w:leader="dot" w:pos="8306"/>
          <w:tab w:val="clear" w:pos="9242"/>
        </w:tabs>
      </w:pPr>
      <w:r>
        <w:rPr>
          <w:bCs/>
          <w:szCs w:val="28"/>
          <w:lang w:val="zh-CN"/>
        </w:rPr>
        <w:fldChar w:fldCharType="begin"/>
      </w:r>
      <w:r>
        <w:rPr>
          <w:bCs/>
          <w:szCs w:val="28"/>
          <w:lang w:val="zh-CN"/>
        </w:rPr>
        <w:instrText xml:space="preserve"> HYPERLINK \l _Toc15717 </w:instrText>
      </w:r>
      <w:r>
        <w:rPr>
          <w:bCs/>
          <w:szCs w:val="28"/>
          <w:lang w:val="zh-CN"/>
        </w:rPr>
        <w:fldChar w:fldCharType="separate"/>
      </w:r>
      <w:r>
        <w:rPr>
          <w:rFonts w:hint="eastAsia" w:ascii="Times New Roman"/>
          <w:bCs/>
          <w:szCs w:val="28"/>
        </w:rPr>
        <w:t xml:space="preserve">3.1 </w:t>
      </w:r>
      <w:r>
        <w:rPr>
          <w:rFonts w:ascii="Times New Roman"/>
          <w:bCs/>
          <w:szCs w:val="28"/>
        </w:rPr>
        <w:t>评价原则</w:t>
      </w:r>
      <w:r>
        <w:tab/>
      </w:r>
      <w:r>
        <w:fldChar w:fldCharType="begin"/>
      </w:r>
      <w:r>
        <w:instrText xml:space="preserve"> PAGEREF _Toc15717 \h </w:instrText>
      </w:r>
      <w:r>
        <w:fldChar w:fldCharType="separate"/>
      </w:r>
      <w:r>
        <w:t>5</w:t>
      </w:r>
      <w:r>
        <w:fldChar w:fldCharType="end"/>
      </w:r>
      <w:r>
        <w:rPr>
          <w:bCs/>
          <w:szCs w:val="28"/>
          <w:lang w:val="zh-CN"/>
        </w:rPr>
        <w:fldChar w:fldCharType="end"/>
      </w:r>
    </w:p>
    <w:p w14:paraId="4E12E224">
      <w:pPr>
        <w:pStyle w:val="33"/>
        <w:tabs>
          <w:tab w:val="right" w:leader="dot" w:pos="8306"/>
          <w:tab w:val="clear" w:pos="9242"/>
        </w:tabs>
      </w:pPr>
      <w:r>
        <w:rPr>
          <w:bCs/>
          <w:szCs w:val="28"/>
          <w:lang w:val="zh-CN"/>
        </w:rPr>
        <w:fldChar w:fldCharType="begin"/>
      </w:r>
      <w:r>
        <w:rPr>
          <w:bCs/>
          <w:szCs w:val="28"/>
          <w:lang w:val="zh-CN"/>
        </w:rPr>
        <w:instrText xml:space="preserve"> HYPERLINK \l _Toc5663 </w:instrText>
      </w:r>
      <w:r>
        <w:rPr>
          <w:bCs/>
          <w:szCs w:val="28"/>
          <w:lang w:val="zh-CN"/>
        </w:rPr>
        <w:fldChar w:fldCharType="separate"/>
      </w:r>
      <w:r>
        <w:rPr>
          <w:rFonts w:ascii="Times New Roman"/>
          <w:bCs/>
          <w:szCs w:val="24"/>
        </w:rPr>
        <w:t>3.</w:t>
      </w:r>
      <w:r>
        <w:rPr>
          <w:rFonts w:hint="eastAsia" w:ascii="Times New Roman"/>
          <w:bCs/>
          <w:szCs w:val="24"/>
        </w:rPr>
        <w:t>2</w:t>
      </w:r>
      <w:r>
        <w:rPr>
          <w:rFonts w:ascii="Times New Roman"/>
          <w:bCs/>
          <w:szCs w:val="24"/>
        </w:rPr>
        <w:t xml:space="preserve"> 评价</w:t>
      </w:r>
      <w:r>
        <w:rPr>
          <w:rFonts w:hint="eastAsia" w:ascii="Times New Roman"/>
          <w:bCs/>
          <w:szCs w:val="24"/>
        </w:rPr>
        <w:t>要求</w:t>
      </w:r>
      <w:r>
        <w:tab/>
      </w:r>
      <w:r>
        <w:fldChar w:fldCharType="begin"/>
      </w:r>
      <w:r>
        <w:instrText xml:space="preserve"> PAGEREF _Toc5663 \h </w:instrText>
      </w:r>
      <w:r>
        <w:fldChar w:fldCharType="separate"/>
      </w:r>
      <w:r>
        <w:t>5</w:t>
      </w:r>
      <w:r>
        <w:fldChar w:fldCharType="end"/>
      </w:r>
      <w:r>
        <w:rPr>
          <w:bCs/>
          <w:szCs w:val="28"/>
          <w:lang w:val="zh-CN"/>
        </w:rPr>
        <w:fldChar w:fldCharType="end"/>
      </w:r>
    </w:p>
    <w:p w14:paraId="430DAD04">
      <w:pPr>
        <w:pStyle w:val="33"/>
        <w:tabs>
          <w:tab w:val="right" w:leader="dot" w:pos="8306"/>
          <w:tab w:val="clear" w:pos="9242"/>
        </w:tabs>
      </w:pPr>
      <w:r>
        <w:rPr>
          <w:bCs/>
          <w:szCs w:val="28"/>
          <w:lang w:val="zh-CN"/>
        </w:rPr>
        <w:fldChar w:fldCharType="begin"/>
      </w:r>
      <w:r>
        <w:rPr>
          <w:bCs/>
          <w:szCs w:val="28"/>
          <w:lang w:val="zh-CN"/>
        </w:rPr>
        <w:instrText xml:space="preserve"> HYPERLINK \l _Toc20623 </w:instrText>
      </w:r>
      <w:r>
        <w:rPr>
          <w:bCs/>
          <w:szCs w:val="28"/>
          <w:lang w:val="zh-CN"/>
        </w:rPr>
        <w:fldChar w:fldCharType="separate"/>
      </w:r>
      <w:r>
        <w:rPr>
          <w:rFonts w:hint="eastAsia" w:ascii="Times New Roman"/>
          <w:bCs/>
          <w:szCs w:val="24"/>
        </w:rPr>
        <w:t>3.3 评价方法</w:t>
      </w:r>
      <w:r>
        <w:tab/>
      </w:r>
      <w:r>
        <w:fldChar w:fldCharType="begin"/>
      </w:r>
      <w:r>
        <w:instrText xml:space="preserve"> PAGEREF _Toc20623 \h </w:instrText>
      </w:r>
      <w:r>
        <w:fldChar w:fldCharType="separate"/>
      </w:r>
      <w:r>
        <w:t>5</w:t>
      </w:r>
      <w:r>
        <w:fldChar w:fldCharType="end"/>
      </w:r>
      <w:r>
        <w:rPr>
          <w:bCs/>
          <w:szCs w:val="28"/>
          <w:lang w:val="zh-CN"/>
        </w:rPr>
        <w:fldChar w:fldCharType="end"/>
      </w:r>
    </w:p>
    <w:p w14:paraId="72C73969">
      <w:pPr>
        <w:pStyle w:val="33"/>
        <w:tabs>
          <w:tab w:val="right" w:leader="dot" w:pos="8306"/>
          <w:tab w:val="clear" w:pos="9242"/>
        </w:tabs>
      </w:pPr>
      <w:r>
        <w:rPr>
          <w:bCs/>
          <w:szCs w:val="28"/>
          <w:lang w:val="zh-CN"/>
        </w:rPr>
        <w:fldChar w:fldCharType="begin"/>
      </w:r>
      <w:r>
        <w:rPr>
          <w:bCs/>
          <w:szCs w:val="28"/>
          <w:lang w:val="zh-CN"/>
        </w:rPr>
        <w:instrText xml:space="preserve"> HYPERLINK \l _Toc594 </w:instrText>
      </w:r>
      <w:r>
        <w:rPr>
          <w:bCs/>
          <w:szCs w:val="28"/>
          <w:lang w:val="zh-CN"/>
        </w:rPr>
        <w:fldChar w:fldCharType="separate"/>
      </w:r>
      <w:r>
        <w:rPr>
          <w:rFonts w:hint="eastAsia" w:ascii="Times New Roman"/>
          <w:bCs/>
          <w:szCs w:val="28"/>
        </w:rPr>
        <w:t>3.4 等级划分</w:t>
      </w:r>
      <w:r>
        <w:tab/>
      </w:r>
      <w:r>
        <w:fldChar w:fldCharType="begin"/>
      </w:r>
      <w:r>
        <w:instrText xml:space="preserve"> PAGEREF _Toc594 \h </w:instrText>
      </w:r>
      <w:r>
        <w:fldChar w:fldCharType="separate"/>
      </w:r>
      <w:r>
        <w:t>6</w:t>
      </w:r>
      <w:r>
        <w:fldChar w:fldCharType="end"/>
      </w:r>
      <w:r>
        <w:rPr>
          <w:bCs/>
          <w:szCs w:val="28"/>
          <w:lang w:val="zh-CN"/>
        </w:rPr>
        <w:fldChar w:fldCharType="end"/>
      </w:r>
    </w:p>
    <w:p w14:paraId="10D3A060">
      <w:pPr>
        <w:pStyle w:val="33"/>
        <w:tabs>
          <w:tab w:val="right" w:leader="dot" w:pos="8306"/>
          <w:tab w:val="clear" w:pos="9242"/>
        </w:tabs>
      </w:pPr>
      <w:r>
        <w:rPr>
          <w:bCs/>
          <w:szCs w:val="28"/>
          <w:lang w:val="zh-CN"/>
        </w:rPr>
        <w:fldChar w:fldCharType="begin"/>
      </w:r>
      <w:r>
        <w:rPr>
          <w:bCs/>
          <w:szCs w:val="28"/>
          <w:lang w:val="zh-CN"/>
        </w:rPr>
        <w:instrText xml:space="preserve"> HYPERLINK \l _Toc32001 </w:instrText>
      </w:r>
      <w:r>
        <w:rPr>
          <w:bCs/>
          <w:szCs w:val="28"/>
          <w:lang w:val="zh-CN"/>
        </w:rPr>
        <w:fldChar w:fldCharType="separate"/>
      </w:r>
      <w:r>
        <w:rPr>
          <w:rFonts w:hint="eastAsia" w:ascii="Times New Roman"/>
          <w:bCs/>
          <w:szCs w:val="28"/>
        </w:rPr>
        <w:t>3.5 评价报告</w:t>
      </w:r>
      <w:r>
        <w:tab/>
      </w:r>
      <w:r>
        <w:fldChar w:fldCharType="begin"/>
      </w:r>
      <w:r>
        <w:instrText xml:space="preserve"> PAGEREF _Toc32001 \h </w:instrText>
      </w:r>
      <w:r>
        <w:fldChar w:fldCharType="separate"/>
      </w:r>
      <w:r>
        <w:t>6</w:t>
      </w:r>
      <w:r>
        <w:fldChar w:fldCharType="end"/>
      </w:r>
      <w:r>
        <w:rPr>
          <w:bCs/>
          <w:szCs w:val="28"/>
          <w:lang w:val="zh-CN"/>
        </w:rPr>
        <w:fldChar w:fldCharType="end"/>
      </w:r>
    </w:p>
    <w:p w14:paraId="48146955">
      <w:pPr>
        <w:pStyle w:val="24"/>
        <w:tabs>
          <w:tab w:val="right" w:leader="dot" w:pos="8306"/>
          <w:tab w:val="clear" w:pos="9242"/>
        </w:tabs>
      </w:pPr>
      <w:r>
        <w:rPr>
          <w:bCs/>
          <w:szCs w:val="28"/>
          <w:lang w:val="zh-CN"/>
        </w:rPr>
        <w:fldChar w:fldCharType="begin"/>
      </w:r>
      <w:r>
        <w:rPr>
          <w:bCs/>
          <w:szCs w:val="28"/>
          <w:lang w:val="zh-CN"/>
        </w:rPr>
        <w:instrText xml:space="preserve"> HYPERLINK \l _Toc894 </w:instrText>
      </w:r>
      <w:r>
        <w:rPr>
          <w:bCs/>
          <w:szCs w:val="28"/>
          <w:lang w:val="zh-CN"/>
        </w:rPr>
        <w:fldChar w:fldCharType="separate"/>
      </w:r>
      <w:r>
        <w:rPr>
          <w:rFonts w:hint="default" w:ascii="Times New Roman" w:hAnsi="Times New Roman" w:cs="Times New Roman"/>
          <w:bCs/>
          <w:szCs w:val="30"/>
        </w:rPr>
        <w:t xml:space="preserve">4 </w:t>
      </w:r>
      <w:r>
        <w:rPr>
          <w:rFonts w:hint="eastAsia" w:ascii="Times New Roman" w:hAnsi="Times New Roman" w:cs="Times New Roman"/>
          <w:bCs/>
          <w:szCs w:val="30"/>
        </w:rPr>
        <w:t>隔减震设计</w:t>
      </w:r>
      <w:r>
        <w:tab/>
      </w:r>
      <w:r>
        <w:fldChar w:fldCharType="begin"/>
      </w:r>
      <w:r>
        <w:instrText xml:space="preserve"> PAGEREF _Toc894 \h </w:instrText>
      </w:r>
      <w:r>
        <w:fldChar w:fldCharType="separate"/>
      </w:r>
      <w:r>
        <w:t>8</w:t>
      </w:r>
      <w:r>
        <w:fldChar w:fldCharType="end"/>
      </w:r>
      <w:r>
        <w:rPr>
          <w:bCs/>
          <w:szCs w:val="28"/>
          <w:lang w:val="zh-CN"/>
        </w:rPr>
        <w:fldChar w:fldCharType="end"/>
      </w:r>
    </w:p>
    <w:p w14:paraId="15E5D131">
      <w:pPr>
        <w:pStyle w:val="33"/>
        <w:tabs>
          <w:tab w:val="right" w:leader="dot" w:pos="8306"/>
          <w:tab w:val="clear" w:pos="9242"/>
        </w:tabs>
      </w:pPr>
      <w:r>
        <w:rPr>
          <w:bCs/>
          <w:szCs w:val="28"/>
          <w:lang w:val="zh-CN"/>
        </w:rPr>
        <w:fldChar w:fldCharType="begin"/>
      </w:r>
      <w:r>
        <w:rPr>
          <w:bCs/>
          <w:szCs w:val="28"/>
          <w:lang w:val="zh-CN"/>
        </w:rPr>
        <w:instrText xml:space="preserve"> HYPERLINK \l _Toc22805 </w:instrText>
      </w:r>
      <w:r>
        <w:rPr>
          <w:bCs/>
          <w:szCs w:val="28"/>
          <w:lang w:val="zh-CN"/>
        </w:rPr>
        <w:fldChar w:fldCharType="separate"/>
      </w:r>
      <w:r>
        <w:rPr>
          <w:rFonts w:hint="eastAsia" w:ascii="Times New Roman"/>
          <w:bCs/>
          <w:szCs w:val="28"/>
        </w:rPr>
        <w:t>4.1 隔震设计</w:t>
      </w:r>
      <w:r>
        <w:tab/>
      </w:r>
      <w:r>
        <w:fldChar w:fldCharType="begin"/>
      </w:r>
      <w:r>
        <w:instrText xml:space="preserve"> PAGEREF _Toc22805 \h </w:instrText>
      </w:r>
      <w:r>
        <w:fldChar w:fldCharType="separate"/>
      </w:r>
      <w:r>
        <w:t>8</w:t>
      </w:r>
      <w:r>
        <w:fldChar w:fldCharType="end"/>
      </w:r>
      <w:r>
        <w:rPr>
          <w:bCs/>
          <w:szCs w:val="28"/>
          <w:lang w:val="zh-CN"/>
        </w:rPr>
        <w:fldChar w:fldCharType="end"/>
      </w:r>
    </w:p>
    <w:p w14:paraId="560715BF">
      <w:pPr>
        <w:pStyle w:val="16"/>
        <w:tabs>
          <w:tab w:val="right" w:leader="dot" w:pos="8306"/>
          <w:tab w:val="clear" w:pos="9241"/>
        </w:tabs>
      </w:pPr>
      <w:r>
        <w:rPr>
          <w:bCs/>
          <w:szCs w:val="28"/>
          <w:lang w:val="zh-CN"/>
        </w:rPr>
        <w:fldChar w:fldCharType="begin"/>
      </w:r>
      <w:r>
        <w:rPr>
          <w:bCs/>
          <w:szCs w:val="28"/>
          <w:lang w:val="zh-CN"/>
        </w:rPr>
        <w:instrText xml:space="preserve"> HYPERLINK \l _Toc30488 </w:instrText>
      </w:r>
      <w:r>
        <w:rPr>
          <w:bCs/>
          <w:szCs w:val="28"/>
          <w:lang w:val="zh-CN"/>
        </w:rPr>
        <w:fldChar w:fldCharType="separate"/>
      </w:r>
      <w:r>
        <w:rPr>
          <w:rFonts w:hint="eastAsia" w:ascii="Times New Roman"/>
          <w:bCs/>
          <w:szCs w:val="22"/>
        </w:rPr>
        <w:t>I 控制项</w:t>
      </w:r>
      <w:r>
        <w:tab/>
      </w:r>
      <w:r>
        <w:fldChar w:fldCharType="begin"/>
      </w:r>
      <w:r>
        <w:instrText xml:space="preserve"> PAGEREF _Toc30488 \h </w:instrText>
      </w:r>
      <w:r>
        <w:fldChar w:fldCharType="separate"/>
      </w:r>
      <w:r>
        <w:t>8</w:t>
      </w:r>
      <w:r>
        <w:fldChar w:fldCharType="end"/>
      </w:r>
      <w:r>
        <w:rPr>
          <w:bCs/>
          <w:szCs w:val="28"/>
          <w:lang w:val="zh-CN"/>
        </w:rPr>
        <w:fldChar w:fldCharType="end"/>
      </w:r>
    </w:p>
    <w:p w14:paraId="45229CF4">
      <w:pPr>
        <w:pStyle w:val="16"/>
        <w:tabs>
          <w:tab w:val="right" w:leader="dot" w:pos="8306"/>
          <w:tab w:val="clear" w:pos="9241"/>
        </w:tabs>
      </w:pPr>
      <w:r>
        <w:rPr>
          <w:bCs/>
          <w:szCs w:val="28"/>
          <w:lang w:val="zh-CN"/>
        </w:rPr>
        <w:fldChar w:fldCharType="begin"/>
      </w:r>
      <w:r>
        <w:rPr>
          <w:bCs/>
          <w:szCs w:val="28"/>
          <w:lang w:val="zh-CN"/>
        </w:rPr>
        <w:instrText xml:space="preserve"> HYPERLINK \l _Toc29418 </w:instrText>
      </w:r>
      <w:r>
        <w:rPr>
          <w:bCs/>
          <w:szCs w:val="28"/>
          <w:lang w:val="zh-CN"/>
        </w:rPr>
        <w:fldChar w:fldCharType="separate"/>
      </w:r>
      <w:r>
        <w:rPr>
          <w:rFonts w:hint="eastAsia" w:ascii="Times New Roman"/>
          <w:bCs/>
          <w:szCs w:val="22"/>
        </w:rPr>
        <w:t>II 评分项</w:t>
      </w:r>
      <w:r>
        <w:tab/>
      </w:r>
      <w:r>
        <w:fldChar w:fldCharType="begin"/>
      </w:r>
      <w:r>
        <w:instrText xml:space="preserve"> PAGEREF _Toc29418 \h </w:instrText>
      </w:r>
      <w:r>
        <w:fldChar w:fldCharType="separate"/>
      </w:r>
      <w:r>
        <w:t>8</w:t>
      </w:r>
      <w:r>
        <w:fldChar w:fldCharType="end"/>
      </w:r>
      <w:r>
        <w:rPr>
          <w:bCs/>
          <w:szCs w:val="28"/>
          <w:lang w:val="zh-CN"/>
        </w:rPr>
        <w:fldChar w:fldCharType="end"/>
      </w:r>
    </w:p>
    <w:p w14:paraId="5C6D0699">
      <w:pPr>
        <w:pStyle w:val="33"/>
        <w:tabs>
          <w:tab w:val="right" w:leader="dot" w:pos="8306"/>
          <w:tab w:val="clear" w:pos="9242"/>
        </w:tabs>
      </w:pPr>
      <w:r>
        <w:rPr>
          <w:bCs/>
          <w:szCs w:val="28"/>
          <w:lang w:val="zh-CN"/>
        </w:rPr>
        <w:fldChar w:fldCharType="begin"/>
      </w:r>
      <w:r>
        <w:rPr>
          <w:bCs/>
          <w:szCs w:val="28"/>
          <w:lang w:val="zh-CN"/>
        </w:rPr>
        <w:instrText xml:space="preserve"> HYPERLINK \l _Toc10065 </w:instrText>
      </w:r>
      <w:r>
        <w:rPr>
          <w:bCs/>
          <w:szCs w:val="28"/>
          <w:lang w:val="zh-CN"/>
        </w:rPr>
        <w:fldChar w:fldCharType="separate"/>
      </w:r>
      <w:r>
        <w:rPr>
          <w:rFonts w:hint="eastAsia" w:ascii="Times New Roman"/>
          <w:bCs/>
          <w:szCs w:val="28"/>
        </w:rPr>
        <w:t>4.2 减震设计</w:t>
      </w:r>
      <w:r>
        <w:tab/>
      </w:r>
      <w:r>
        <w:fldChar w:fldCharType="begin"/>
      </w:r>
      <w:r>
        <w:instrText xml:space="preserve"> PAGEREF _Toc10065 \h </w:instrText>
      </w:r>
      <w:r>
        <w:fldChar w:fldCharType="separate"/>
      </w:r>
      <w:r>
        <w:t>11</w:t>
      </w:r>
      <w:r>
        <w:fldChar w:fldCharType="end"/>
      </w:r>
      <w:r>
        <w:rPr>
          <w:bCs/>
          <w:szCs w:val="28"/>
          <w:lang w:val="zh-CN"/>
        </w:rPr>
        <w:fldChar w:fldCharType="end"/>
      </w:r>
    </w:p>
    <w:p w14:paraId="3B700C6C">
      <w:pPr>
        <w:pStyle w:val="16"/>
        <w:tabs>
          <w:tab w:val="right" w:leader="dot" w:pos="8306"/>
          <w:tab w:val="clear" w:pos="9241"/>
        </w:tabs>
      </w:pPr>
      <w:r>
        <w:rPr>
          <w:bCs/>
          <w:szCs w:val="28"/>
          <w:lang w:val="zh-CN"/>
        </w:rPr>
        <w:fldChar w:fldCharType="begin"/>
      </w:r>
      <w:r>
        <w:rPr>
          <w:bCs/>
          <w:szCs w:val="28"/>
          <w:lang w:val="zh-CN"/>
        </w:rPr>
        <w:instrText xml:space="preserve"> HYPERLINK \l _Toc22069 </w:instrText>
      </w:r>
      <w:r>
        <w:rPr>
          <w:bCs/>
          <w:szCs w:val="28"/>
          <w:lang w:val="zh-CN"/>
        </w:rPr>
        <w:fldChar w:fldCharType="separate"/>
      </w:r>
      <w:r>
        <w:rPr>
          <w:rFonts w:hint="eastAsia" w:ascii="Times New Roman"/>
          <w:bCs/>
          <w:szCs w:val="22"/>
        </w:rPr>
        <w:t>I 控制项</w:t>
      </w:r>
      <w:r>
        <w:tab/>
      </w:r>
      <w:r>
        <w:fldChar w:fldCharType="begin"/>
      </w:r>
      <w:r>
        <w:instrText xml:space="preserve"> PAGEREF _Toc22069 \h </w:instrText>
      </w:r>
      <w:r>
        <w:fldChar w:fldCharType="separate"/>
      </w:r>
      <w:r>
        <w:t>11</w:t>
      </w:r>
      <w:r>
        <w:fldChar w:fldCharType="end"/>
      </w:r>
      <w:r>
        <w:rPr>
          <w:bCs/>
          <w:szCs w:val="28"/>
          <w:lang w:val="zh-CN"/>
        </w:rPr>
        <w:fldChar w:fldCharType="end"/>
      </w:r>
    </w:p>
    <w:p w14:paraId="3EC2CEBA">
      <w:pPr>
        <w:pStyle w:val="16"/>
        <w:tabs>
          <w:tab w:val="right" w:leader="dot" w:pos="8306"/>
          <w:tab w:val="clear" w:pos="9241"/>
        </w:tabs>
      </w:pPr>
      <w:r>
        <w:rPr>
          <w:bCs/>
          <w:szCs w:val="28"/>
          <w:lang w:val="zh-CN"/>
        </w:rPr>
        <w:fldChar w:fldCharType="begin"/>
      </w:r>
      <w:r>
        <w:rPr>
          <w:bCs/>
          <w:szCs w:val="28"/>
          <w:lang w:val="zh-CN"/>
        </w:rPr>
        <w:instrText xml:space="preserve"> HYPERLINK \l _Toc23088 </w:instrText>
      </w:r>
      <w:r>
        <w:rPr>
          <w:bCs/>
          <w:szCs w:val="28"/>
          <w:lang w:val="zh-CN"/>
        </w:rPr>
        <w:fldChar w:fldCharType="separate"/>
      </w:r>
      <w:r>
        <w:rPr>
          <w:rFonts w:hint="eastAsia" w:ascii="Times New Roman"/>
          <w:bCs/>
          <w:szCs w:val="22"/>
        </w:rPr>
        <w:t>II 评分项</w:t>
      </w:r>
      <w:r>
        <w:tab/>
      </w:r>
      <w:r>
        <w:fldChar w:fldCharType="begin"/>
      </w:r>
      <w:r>
        <w:instrText xml:space="preserve"> PAGEREF _Toc23088 \h </w:instrText>
      </w:r>
      <w:r>
        <w:fldChar w:fldCharType="separate"/>
      </w:r>
      <w:r>
        <w:t>12</w:t>
      </w:r>
      <w:r>
        <w:fldChar w:fldCharType="end"/>
      </w:r>
      <w:r>
        <w:rPr>
          <w:bCs/>
          <w:szCs w:val="28"/>
          <w:lang w:val="zh-CN"/>
        </w:rPr>
        <w:fldChar w:fldCharType="end"/>
      </w:r>
    </w:p>
    <w:p w14:paraId="399CD21B">
      <w:pPr>
        <w:pStyle w:val="24"/>
        <w:tabs>
          <w:tab w:val="right" w:leader="dot" w:pos="8306"/>
          <w:tab w:val="clear" w:pos="9242"/>
        </w:tabs>
      </w:pPr>
      <w:r>
        <w:rPr>
          <w:bCs/>
          <w:szCs w:val="28"/>
          <w:lang w:val="zh-CN"/>
        </w:rPr>
        <w:fldChar w:fldCharType="begin"/>
      </w:r>
      <w:r>
        <w:rPr>
          <w:bCs/>
          <w:szCs w:val="28"/>
          <w:lang w:val="zh-CN"/>
        </w:rPr>
        <w:instrText xml:space="preserve"> HYPERLINK \l _Toc32124 </w:instrText>
      </w:r>
      <w:r>
        <w:rPr>
          <w:bCs/>
          <w:szCs w:val="28"/>
          <w:lang w:val="zh-CN"/>
        </w:rPr>
        <w:fldChar w:fldCharType="separate"/>
      </w:r>
      <w:r>
        <w:rPr>
          <w:rFonts w:hint="default" w:ascii="Times New Roman" w:hAnsi="Times New Roman" w:cs="Times New Roman"/>
          <w:bCs/>
          <w:szCs w:val="30"/>
        </w:rPr>
        <w:t xml:space="preserve">5 </w:t>
      </w:r>
      <w:r>
        <w:rPr>
          <w:rFonts w:hint="eastAsia" w:ascii="Times New Roman" w:hAnsi="Times New Roman" w:cs="Times New Roman"/>
          <w:bCs/>
          <w:szCs w:val="30"/>
          <w:lang w:eastAsia="zh-CN"/>
        </w:rPr>
        <w:t>隔减震装置</w:t>
      </w:r>
      <w:r>
        <w:tab/>
      </w:r>
      <w:r>
        <w:fldChar w:fldCharType="begin"/>
      </w:r>
      <w:r>
        <w:instrText xml:space="preserve"> PAGEREF _Toc32124 \h </w:instrText>
      </w:r>
      <w:r>
        <w:fldChar w:fldCharType="separate"/>
      </w:r>
      <w:r>
        <w:t>15</w:t>
      </w:r>
      <w:r>
        <w:fldChar w:fldCharType="end"/>
      </w:r>
      <w:r>
        <w:rPr>
          <w:bCs/>
          <w:szCs w:val="28"/>
          <w:lang w:val="zh-CN"/>
        </w:rPr>
        <w:fldChar w:fldCharType="end"/>
      </w:r>
    </w:p>
    <w:p w14:paraId="01E5928F">
      <w:pPr>
        <w:pStyle w:val="33"/>
        <w:tabs>
          <w:tab w:val="right" w:leader="dot" w:pos="8306"/>
          <w:tab w:val="clear" w:pos="9242"/>
        </w:tabs>
      </w:pPr>
      <w:r>
        <w:rPr>
          <w:bCs/>
          <w:szCs w:val="28"/>
          <w:lang w:val="zh-CN"/>
        </w:rPr>
        <w:fldChar w:fldCharType="begin"/>
      </w:r>
      <w:r>
        <w:rPr>
          <w:bCs/>
          <w:szCs w:val="28"/>
          <w:lang w:val="zh-CN"/>
        </w:rPr>
        <w:instrText xml:space="preserve"> HYPERLINK \l _Toc8785 </w:instrText>
      </w:r>
      <w:r>
        <w:rPr>
          <w:bCs/>
          <w:szCs w:val="28"/>
          <w:lang w:val="zh-CN"/>
        </w:rPr>
        <w:fldChar w:fldCharType="separate"/>
      </w:r>
      <w:r>
        <w:rPr>
          <w:rFonts w:hint="eastAsia" w:ascii="Times New Roman"/>
          <w:bCs/>
          <w:szCs w:val="28"/>
        </w:rPr>
        <w:t xml:space="preserve">5.1 </w:t>
      </w:r>
      <w:r>
        <w:rPr>
          <w:rFonts w:hint="eastAsia" w:ascii="Times New Roman"/>
          <w:bCs/>
          <w:szCs w:val="28"/>
          <w:lang w:eastAsia="zh-CN"/>
        </w:rPr>
        <w:t>隔震装置</w:t>
      </w:r>
      <w:r>
        <w:tab/>
      </w:r>
      <w:r>
        <w:fldChar w:fldCharType="begin"/>
      </w:r>
      <w:r>
        <w:instrText xml:space="preserve"> PAGEREF _Toc8785 \h </w:instrText>
      </w:r>
      <w:r>
        <w:fldChar w:fldCharType="separate"/>
      </w:r>
      <w:r>
        <w:t>15</w:t>
      </w:r>
      <w:r>
        <w:fldChar w:fldCharType="end"/>
      </w:r>
      <w:r>
        <w:rPr>
          <w:bCs/>
          <w:szCs w:val="28"/>
          <w:lang w:val="zh-CN"/>
        </w:rPr>
        <w:fldChar w:fldCharType="end"/>
      </w:r>
    </w:p>
    <w:p w14:paraId="1EFEED73">
      <w:pPr>
        <w:pStyle w:val="16"/>
        <w:tabs>
          <w:tab w:val="right" w:leader="dot" w:pos="8306"/>
          <w:tab w:val="clear" w:pos="9241"/>
        </w:tabs>
      </w:pPr>
      <w:r>
        <w:rPr>
          <w:bCs/>
          <w:szCs w:val="28"/>
          <w:lang w:val="zh-CN"/>
        </w:rPr>
        <w:fldChar w:fldCharType="begin"/>
      </w:r>
      <w:r>
        <w:rPr>
          <w:bCs/>
          <w:szCs w:val="28"/>
          <w:lang w:val="zh-CN"/>
        </w:rPr>
        <w:instrText xml:space="preserve"> HYPERLINK \l _Toc29266 </w:instrText>
      </w:r>
      <w:r>
        <w:rPr>
          <w:bCs/>
          <w:szCs w:val="28"/>
          <w:lang w:val="zh-CN"/>
        </w:rPr>
        <w:fldChar w:fldCharType="separate"/>
      </w:r>
      <w:r>
        <w:rPr>
          <w:rFonts w:hint="eastAsia" w:ascii="Times New Roman"/>
          <w:bCs/>
          <w:szCs w:val="22"/>
        </w:rPr>
        <w:t>I 控制项</w:t>
      </w:r>
      <w:r>
        <w:tab/>
      </w:r>
      <w:r>
        <w:fldChar w:fldCharType="begin"/>
      </w:r>
      <w:r>
        <w:instrText xml:space="preserve"> PAGEREF _Toc29266 \h </w:instrText>
      </w:r>
      <w:r>
        <w:fldChar w:fldCharType="separate"/>
      </w:r>
      <w:r>
        <w:t>15</w:t>
      </w:r>
      <w:r>
        <w:fldChar w:fldCharType="end"/>
      </w:r>
      <w:r>
        <w:rPr>
          <w:bCs/>
          <w:szCs w:val="28"/>
          <w:lang w:val="zh-CN"/>
        </w:rPr>
        <w:fldChar w:fldCharType="end"/>
      </w:r>
    </w:p>
    <w:p w14:paraId="5FE86E76">
      <w:pPr>
        <w:pStyle w:val="16"/>
        <w:tabs>
          <w:tab w:val="right" w:leader="dot" w:pos="8306"/>
          <w:tab w:val="clear" w:pos="9241"/>
        </w:tabs>
      </w:pPr>
      <w:r>
        <w:rPr>
          <w:bCs/>
          <w:szCs w:val="28"/>
          <w:lang w:val="zh-CN"/>
        </w:rPr>
        <w:fldChar w:fldCharType="begin"/>
      </w:r>
      <w:r>
        <w:rPr>
          <w:bCs/>
          <w:szCs w:val="28"/>
          <w:lang w:val="zh-CN"/>
        </w:rPr>
        <w:instrText xml:space="preserve"> HYPERLINK \l _Toc18113 </w:instrText>
      </w:r>
      <w:r>
        <w:rPr>
          <w:bCs/>
          <w:szCs w:val="28"/>
          <w:lang w:val="zh-CN"/>
        </w:rPr>
        <w:fldChar w:fldCharType="separate"/>
      </w:r>
      <w:r>
        <w:rPr>
          <w:rFonts w:hint="eastAsia" w:ascii="Times New Roman"/>
          <w:bCs/>
          <w:szCs w:val="22"/>
        </w:rPr>
        <w:t>II 评分项</w:t>
      </w:r>
      <w:r>
        <w:tab/>
      </w:r>
      <w:r>
        <w:fldChar w:fldCharType="begin"/>
      </w:r>
      <w:r>
        <w:instrText xml:space="preserve"> PAGEREF _Toc18113 \h </w:instrText>
      </w:r>
      <w:r>
        <w:fldChar w:fldCharType="separate"/>
      </w:r>
      <w:r>
        <w:t>15</w:t>
      </w:r>
      <w:r>
        <w:fldChar w:fldCharType="end"/>
      </w:r>
      <w:r>
        <w:rPr>
          <w:bCs/>
          <w:szCs w:val="28"/>
          <w:lang w:val="zh-CN"/>
        </w:rPr>
        <w:fldChar w:fldCharType="end"/>
      </w:r>
    </w:p>
    <w:p w14:paraId="16A4566C">
      <w:pPr>
        <w:pStyle w:val="33"/>
        <w:tabs>
          <w:tab w:val="right" w:leader="dot" w:pos="8306"/>
          <w:tab w:val="clear" w:pos="9242"/>
        </w:tabs>
      </w:pPr>
      <w:r>
        <w:rPr>
          <w:bCs/>
          <w:szCs w:val="28"/>
          <w:lang w:val="zh-CN"/>
        </w:rPr>
        <w:fldChar w:fldCharType="begin"/>
      </w:r>
      <w:r>
        <w:rPr>
          <w:bCs/>
          <w:szCs w:val="28"/>
          <w:lang w:val="zh-CN"/>
        </w:rPr>
        <w:instrText xml:space="preserve"> HYPERLINK \l _Toc15437 </w:instrText>
      </w:r>
      <w:r>
        <w:rPr>
          <w:bCs/>
          <w:szCs w:val="28"/>
          <w:lang w:val="zh-CN"/>
        </w:rPr>
        <w:fldChar w:fldCharType="separate"/>
      </w:r>
      <w:r>
        <w:rPr>
          <w:rFonts w:hint="eastAsia" w:ascii="Times New Roman"/>
          <w:bCs/>
          <w:szCs w:val="28"/>
        </w:rPr>
        <w:t xml:space="preserve">5.2 </w:t>
      </w:r>
      <w:r>
        <w:rPr>
          <w:rFonts w:hint="eastAsia" w:ascii="Times New Roman"/>
          <w:bCs/>
          <w:szCs w:val="28"/>
          <w:lang w:eastAsia="zh-CN"/>
        </w:rPr>
        <w:t>消能减震装置</w:t>
      </w:r>
      <w:r>
        <w:tab/>
      </w:r>
      <w:r>
        <w:fldChar w:fldCharType="begin"/>
      </w:r>
      <w:r>
        <w:instrText xml:space="preserve"> PAGEREF _Toc15437 \h </w:instrText>
      </w:r>
      <w:r>
        <w:fldChar w:fldCharType="separate"/>
      </w:r>
      <w:r>
        <w:t>18</w:t>
      </w:r>
      <w:r>
        <w:fldChar w:fldCharType="end"/>
      </w:r>
      <w:r>
        <w:rPr>
          <w:bCs/>
          <w:szCs w:val="28"/>
          <w:lang w:val="zh-CN"/>
        </w:rPr>
        <w:fldChar w:fldCharType="end"/>
      </w:r>
    </w:p>
    <w:p w14:paraId="4196FD27">
      <w:pPr>
        <w:pStyle w:val="16"/>
        <w:tabs>
          <w:tab w:val="right" w:leader="dot" w:pos="8306"/>
          <w:tab w:val="clear" w:pos="9241"/>
        </w:tabs>
      </w:pPr>
      <w:r>
        <w:rPr>
          <w:bCs/>
          <w:szCs w:val="28"/>
          <w:lang w:val="zh-CN"/>
        </w:rPr>
        <w:fldChar w:fldCharType="begin"/>
      </w:r>
      <w:r>
        <w:rPr>
          <w:bCs/>
          <w:szCs w:val="28"/>
          <w:lang w:val="zh-CN"/>
        </w:rPr>
        <w:instrText xml:space="preserve"> HYPERLINK \l _Toc656 </w:instrText>
      </w:r>
      <w:r>
        <w:rPr>
          <w:bCs/>
          <w:szCs w:val="28"/>
          <w:lang w:val="zh-CN"/>
        </w:rPr>
        <w:fldChar w:fldCharType="separate"/>
      </w:r>
      <w:r>
        <w:rPr>
          <w:rFonts w:hint="eastAsia" w:ascii="Times New Roman"/>
          <w:bCs/>
          <w:szCs w:val="22"/>
        </w:rPr>
        <w:t>I 控制项</w:t>
      </w:r>
      <w:r>
        <w:tab/>
      </w:r>
      <w:r>
        <w:fldChar w:fldCharType="begin"/>
      </w:r>
      <w:r>
        <w:instrText xml:space="preserve"> PAGEREF _Toc656 \h </w:instrText>
      </w:r>
      <w:r>
        <w:fldChar w:fldCharType="separate"/>
      </w:r>
      <w:r>
        <w:t>18</w:t>
      </w:r>
      <w:r>
        <w:fldChar w:fldCharType="end"/>
      </w:r>
      <w:r>
        <w:rPr>
          <w:bCs/>
          <w:szCs w:val="28"/>
          <w:lang w:val="zh-CN"/>
        </w:rPr>
        <w:fldChar w:fldCharType="end"/>
      </w:r>
    </w:p>
    <w:p w14:paraId="07D4B016">
      <w:pPr>
        <w:pStyle w:val="16"/>
        <w:tabs>
          <w:tab w:val="right" w:leader="dot" w:pos="8306"/>
          <w:tab w:val="clear" w:pos="9241"/>
        </w:tabs>
      </w:pPr>
      <w:r>
        <w:rPr>
          <w:bCs/>
          <w:szCs w:val="28"/>
          <w:lang w:val="zh-CN"/>
        </w:rPr>
        <w:fldChar w:fldCharType="begin"/>
      </w:r>
      <w:r>
        <w:rPr>
          <w:bCs/>
          <w:szCs w:val="28"/>
          <w:lang w:val="zh-CN"/>
        </w:rPr>
        <w:instrText xml:space="preserve"> HYPERLINK \l _Toc31945 </w:instrText>
      </w:r>
      <w:r>
        <w:rPr>
          <w:bCs/>
          <w:szCs w:val="28"/>
          <w:lang w:val="zh-CN"/>
        </w:rPr>
        <w:fldChar w:fldCharType="separate"/>
      </w:r>
      <w:r>
        <w:rPr>
          <w:rFonts w:hint="eastAsia" w:ascii="Times New Roman"/>
          <w:bCs/>
          <w:szCs w:val="22"/>
        </w:rPr>
        <w:t>II 评分项</w:t>
      </w:r>
      <w:r>
        <w:tab/>
      </w:r>
      <w:r>
        <w:fldChar w:fldCharType="begin"/>
      </w:r>
      <w:r>
        <w:instrText xml:space="preserve"> PAGEREF _Toc31945 \h </w:instrText>
      </w:r>
      <w:r>
        <w:fldChar w:fldCharType="separate"/>
      </w:r>
      <w:r>
        <w:t>18</w:t>
      </w:r>
      <w:r>
        <w:fldChar w:fldCharType="end"/>
      </w:r>
      <w:r>
        <w:rPr>
          <w:bCs/>
          <w:szCs w:val="28"/>
          <w:lang w:val="zh-CN"/>
        </w:rPr>
        <w:fldChar w:fldCharType="end"/>
      </w:r>
    </w:p>
    <w:p w14:paraId="422C063D">
      <w:pPr>
        <w:pStyle w:val="24"/>
        <w:tabs>
          <w:tab w:val="right" w:leader="dot" w:pos="8306"/>
          <w:tab w:val="clear" w:pos="9242"/>
        </w:tabs>
      </w:pPr>
      <w:r>
        <w:rPr>
          <w:bCs/>
          <w:szCs w:val="28"/>
          <w:lang w:val="zh-CN"/>
        </w:rPr>
        <w:fldChar w:fldCharType="begin"/>
      </w:r>
      <w:r>
        <w:rPr>
          <w:bCs/>
          <w:szCs w:val="28"/>
          <w:lang w:val="zh-CN"/>
        </w:rPr>
        <w:instrText xml:space="preserve"> HYPERLINK \l _Toc8712 </w:instrText>
      </w:r>
      <w:r>
        <w:rPr>
          <w:bCs/>
          <w:szCs w:val="28"/>
          <w:lang w:val="zh-CN"/>
        </w:rPr>
        <w:fldChar w:fldCharType="separate"/>
      </w:r>
      <w:r>
        <w:rPr>
          <w:rFonts w:hint="default" w:ascii="Times New Roman" w:hAnsi="Times New Roman" w:cs="Times New Roman"/>
          <w:bCs/>
          <w:szCs w:val="30"/>
        </w:rPr>
        <w:t xml:space="preserve">6 </w:t>
      </w:r>
      <w:r>
        <w:rPr>
          <w:rFonts w:hint="eastAsia" w:ascii="Times New Roman" w:hAnsi="Times New Roman" w:cs="Times New Roman"/>
          <w:bCs/>
          <w:szCs w:val="30"/>
        </w:rPr>
        <w:t>隔减震</w:t>
      </w:r>
      <w:r>
        <w:rPr>
          <w:rFonts w:hint="eastAsia" w:ascii="Times New Roman" w:hAnsi="Times New Roman" w:cs="Times New Roman"/>
          <w:bCs/>
          <w:szCs w:val="30"/>
          <w:lang w:val="en-US" w:eastAsia="zh-CN"/>
        </w:rPr>
        <w:t>专项施工</w:t>
      </w:r>
      <w:r>
        <w:tab/>
      </w:r>
      <w:r>
        <w:fldChar w:fldCharType="begin"/>
      </w:r>
      <w:r>
        <w:instrText xml:space="preserve"> PAGEREF _Toc8712 \h </w:instrText>
      </w:r>
      <w:r>
        <w:fldChar w:fldCharType="separate"/>
      </w:r>
      <w:r>
        <w:t>22</w:t>
      </w:r>
      <w:r>
        <w:fldChar w:fldCharType="end"/>
      </w:r>
      <w:r>
        <w:rPr>
          <w:bCs/>
          <w:szCs w:val="28"/>
          <w:lang w:val="zh-CN"/>
        </w:rPr>
        <w:fldChar w:fldCharType="end"/>
      </w:r>
    </w:p>
    <w:p w14:paraId="3A232CAE">
      <w:pPr>
        <w:pStyle w:val="33"/>
        <w:tabs>
          <w:tab w:val="right" w:leader="dot" w:pos="8306"/>
          <w:tab w:val="clear" w:pos="9242"/>
        </w:tabs>
      </w:pPr>
      <w:r>
        <w:rPr>
          <w:bCs/>
          <w:szCs w:val="28"/>
          <w:lang w:val="zh-CN"/>
        </w:rPr>
        <w:fldChar w:fldCharType="begin"/>
      </w:r>
      <w:r>
        <w:rPr>
          <w:bCs/>
          <w:szCs w:val="28"/>
          <w:lang w:val="zh-CN"/>
        </w:rPr>
        <w:instrText xml:space="preserve"> HYPERLINK \l _Toc17852 </w:instrText>
      </w:r>
      <w:r>
        <w:rPr>
          <w:bCs/>
          <w:szCs w:val="28"/>
          <w:lang w:val="zh-CN"/>
        </w:rPr>
        <w:fldChar w:fldCharType="separate"/>
      </w:r>
      <w:r>
        <w:rPr>
          <w:rFonts w:hint="eastAsia" w:ascii="Times New Roman"/>
          <w:bCs/>
          <w:szCs w:val="28"/>
        </w:rPr>
        <w:t>6.1 隔震施工</w:t>
      </w:r>
      <w:r>
        <w:tab/>
      </w:r>
      <w:r>
        <w:fldChar w:fldCharType="begin"/>
      </w:r>
      <w:r>
        <w:instrText xml:space="preserve"> PAGEREF _Toc17852 \h </w:instrText>
      </w:r>
      <w:r>
        <w:fldChar w:fldCharType="separate"/>
      </w:r>
      <w:r>
        <w:t>22</w:t>
      </w:r>
      <w:r>
        <w:fldChar w:fldCharType="end"/>
      </w:r>
      <w:r>
        <w:rPr>
          <w:bCs/>
          <w:szCs w:val="28"/>
          <w:lang w:val="zh-CN"/>
        </w:rPr>
        <w:fldChar w:fldCharType="end"/>
      </w:r>
    </w:p>
    <w:p w14:paraId="5C6BE7CB">
      <w:pPr>
        <w:pStyle w:val="16"/>
        <w:tabs>
          <w:tab w:val="right" w:leader="dot" w:pos="8306"/>
          <w:tab w:val="clear" w:pos="9241"/>
        </w:tabs>
      </w:pPr>
      <w:r>
        <w:rPr>
          <w:bCs/>
          <w:szCs w:val="28"/>
          <w:lang w:val="zh-CN"/>
        </w:rPr>
        <w:fldChar w:fldCharType="begin"/>
      </w:r>
      <w:r>
        <w:rPr>
          <w:bCs/>
          <w:szCs w:val="28"/>
          <w:lang w:val="zh-CN"/>
        </w:rPr>
        <w:instrText xml:space="preserve"> HYPERLINK \l _Toc29369 </w:instrText>
      </w:r>
      <w:r>
        <w:rPr>
          <w:bCs/>
          <w:szCs w:val="28"/>
          <w:lang w:val="zh-CN"/>
        </w:rPr>
        <w:fldChar w:fldCharType="separate"/>
      </w:r>
      <w:r>
        <w:rPr>
          <w:rFonts w:hint="eastAsia" w:ascii="Times New Roman"/>
          <w:bCs/>
          <w:szCs w:val="22"/>
        </w:rPr>
        <w:t>I 控制项</w:t>
      </w:r>
      <w:r>
        <w:tab/>
      </w:r>
      <w:r>
        <w:fldChar w:fldCharType="begin"/>
      </w:r>
      <w:r>
        <w:instrText xml:space="preserve"> PAGEREF _Toc29369 \h </w:instrText>
      </w:r>
      <w:r>
        <w:fldChar w:fldCharType="separate"/>
      </w:r>
      <w:r>
        <w:t>22</w:t>
      </w:r>
      <w:r>
        <w:fldChar w:fldCharType="end"/>
      </w:r>
      <w:r>
        <w:rPr>
          <w:bCs/>
          <w:szCs w:val="28"/>
          <w:lang w:val="zh-CN"/>
        </w:rPr>
        <w:fldChar w:fldCharType="end"/>
      </w:r>
    </w:p>
    <w:p w14:paraId="201D58FE">
      <w:pPr>
        <w:pStyle w:val="16"/>
        <w:tabs>
          <w:tab w:val="right" w:leader="dot" w:pos="8306"/>
          <w:tab w:val="clear" w:pos="9241"/>
        </w:tabs>
      </w:pPr>
      <w:r>
        <w:rPr>
          <w:bCs/>
          <w:szCs w:val="28"/>
          <w:lang w:val="zh-CN"/>
        </w:rPr>
        <w:fldChar w:fldCharType="begin"/>
      </w:r>
      <w:r>
        <w:rPr>
          <w:bCs/>
          <w:szCs w:val="28"/>
          <w:lang w:val="zh-CN"/>
        </w:rPr>
        <w:instrText xml:space="preserve"> HYPERLINK \l _Toc27683 </w:instrText>
      </w:r>
      <w:r>
        <w:rPr>
          <w:bCs/>
          <w:szCs w:val="28"/>
          <w:lang w:val="zh-CN"/>
        </w:rPr>
        <w:fldChar w:fldCharType="separate"/>
      </w:r>
      <w:r>
        <w:rPr>
          <w:rFonts w:hint="eastAsia" w:ascii="Times New Roman"/>
          <w:bCs/>
          <w:szCs w:val="22"/>
        </w:rPr>
        <w:t>II 评分项</w:t>
      </w:r>
      <w:r>
        <w:tab/>
      </w:r>
      <w:r>
        <w:fldChar w:fldCharType="begin"/>
      </w:r>
      <w:r>
        <w:instrText xml:space="preserve"> PAGEREF _Toc27683 \h </w:instrText>
      </w:r>
      <w:r>
        <w:fldChar w:fldCharType="separate"/>
      </w:r>
      <w:r>
        <w:t>22</w:t>
      </w:r>
      <w:r>
        <w:fldChar w:fldCharType="end"/>
      </w:r>
      <w:r>
        <w:rPr>
          <w:bCs/>
          <w:szCs w:val="28"/>
          <w:lang w:val="zh-CN"/>
        </w:rPr>
        <w:fldChar w:fldCharType="end"/>
      </w:r>
    </w:p>
    <w:p w14:paraId="60BCC5A4">
      <w:pPr>
        <w:pStyle w:val="33"/>
        <w:tabs>
          <w:tab w:val="right" w:leader="dot" w:pos="8306"/>
          <w:tab w:val="clear" w:pos="9242"/>
        </w:tabs>
      </w:pPr>
      <w:r>
        <w:rPr>
          <w:bCs/>
          <w:szCs w:val="28"/>
          <w:lang w:val="zh-CN"/>
        </w:rPr>
        <w:fldChar w:fldCharType="begin"/>
      </w:r>
      <w:r>
        <w:rPr>
          <w:bCs/>
          <w:szCs w:val="28"/>
          <w:lang w:val="zh-CN"/>
        </w:rPr>
        <w:instrText xml:space="preserve"> HYPERLINK \l _Toc25778 </w:instrText>
      </w:r>
      <w:r>
        <w:rPr>
          <w:bCs/>
          <w:szCs w:val="28"/>
          <w:lang w:val="zh-CN"/>
        </w:rPr>
        <w:fldChar w:fldCharType="separate"/>
      </w:r>
      <w:r>
        <w:rPr>
          <w:rFonts w:hint="eastAsia" w:ascii="Times New Roman"/>
          <w:bCs/>
          <w:szCs w:val="28"/>
        </w:rPr>
        <w:t xml:space="preserve">6.2 </w:t>
      </w:r>
      <w:r>
        <w:rPr>
          <w:rFonts w:hint="eastAsia" w:ascii="Times New Roman"/>
          <w:bCs/>
          <w:szCs w:val="28"/>
          <w:lang w:val="en-US" w:eastAsia="zh-CN"/>
        </w:rPr>
        <w:t>消能</w:t>
      </w:r>
      <w:r>
        <w:rPr>
          <w:rFonts w:hint="eastAsia" w:ascii="Times New Roman"/>
          <w:bCs/>
          <w:szCs w:val="28"/>
        </w:rPr>
        <w:t>减震施工</w:t>
      </w:r>
      <w:r>
        <w:tab/>
      </w:r>
      <w:r>
        <w:fldChar w:fldCharType="begin"/>
      </w:r>
      <w:r>
        <w:instrText xml:space="preserve"> PAGEREF _Toc25778 \h </w:instrText>
      </w:r>
      <w:r>
        <w:fldChar w:fldCharType="separate"/>
      </w:r>
      <w:r>
        <w:t>25</w:t>
      </w:r>
      <w:r>
        <w:fldChar w:fldCharType="end"/>
      </w:r>
      <w:r>
        <w:rPr>
          <w:bCs/>
          <w:szCs w:val="28"/>
          <w:lang w:val="zh-CN"/>
        </w:rPr>
        <w:fldChar w:fldCharType="end"/>
      </w:r>
    </w:p>
    <w:p w14:paraId="1E4577A6">
      <w:pPr>
        <w:pStyle w:val="16"/>
        <w:tabs>
          <w:tab w:val="right" w:leader="dot" w:pos="8306"/>
          <w:tab w:val="clear" w:pos="9241"/>
        </w:tabs>
      </w:pPr>
      <w:r>
        <w:rPr>
          <w:bCs/>
          <w:szCs w:val="28"/>
          <w:lang w:val="zh-CN"/>
        </w:rPr>
        <w:fldChar w:fldCharType="begin"/>
      </w:r>
      <w:r>
        <w:rPr>
          <w:bCs/>
          <w:szCs w:val="28"/>
          <w:lang w:val="zh-CN"/>
        </w:rPr>
        <w:instrText xml:space="preserve"> HYPERLINK \l _Toc23245 </w:instrText>
      </w:r>
      <w:r>
        <w:rPr>
          <w:bCs/>
          <w:szCs w:val="28"/>
          <w:lang w:val="zh-CN"/>
        </w:rPr>
        <w:fldChar w:fldCharType="separate"/>
      </w:r>
      <w:r>
        <w:rPr>
          <w:rFonts w:hint="eastAsia" w:ascii="Times New Roman"/>
          <w:bCs/>
          <w:szCs w:val="22"/>
        </w:rPr>
        <w:t>I 控制项</w:t>
      </w:r>
      <w:r>
        <w:tab/>
      </w:r>
      <w:r>
        <w:fldChar w:fldCharType="begin"/>
      </w:r>
      <w:r>
        <w:instrText xml:space="preserve"> PAGEREF _Toc23245 \h </w:instrText>
      </w:r>
      <w:r>
        <w:fldChar w:fldCharType="separate"/>
      </w:r>
      <w:r>
        <w:t>25</w:t>
      </w:r>
      <w:r>
        <w:fldChar w:fldCharType="end"/>
      </w:r>
      <w:r>
        <w:rPr>
          <w:bCs/>
          <w:szCs w:val="28"/>
          <w:lang w:val="zh-CN"/>
        </w:rPr>
        <w:fldChar w:fldCharType="end"/>
      </w:r>
    </w:p>
    <w:p w14:paraId="76339E76">
      <w:pPr>
        <w:pStyle w:val="16"/>
        <w:tabs>
          <w:tab w:val="right" w:leader="dot" w:pos="8306"/>
          <w:tab w:val="clear" w:pos="9241"/>
        </w:tabs>
      </w:pPr>
      <w:r>
        <w:rPr>
          <w:bCs/>
          <w:szCs w:val="28"/>
          <w:lang w:val="zh-CN"/>
        </w:rPr>
        <w:fldChar w:fldCharType="begin"/>
      </w:r>
      <w:r>
        <w:rPr>
          <w:bCs/>
          <w:szCs w:val="28"/>
          <w:lang w:val="zh-CN"/>
        </w:rPr>
        <w:instrText xml:space="preserve"> HYPERLINK \l _Toc28313 </w:instrText>
      </w:r>
      <w:r>
        <w:rPr>
          <w:bCs/>
          <w:szCs w:val="28"/>
          <w:lang w:val="zh-CN"/>
        </w:rPr>
        <w:fldChar w:fldCharType="separate"/>
      </w:r>
      <w:r>
        <w:rPr>
          <w:rFonts w:hint="eastAsia" w:ascii="Times New Roman"/>
          <w:bCs/>
          <w:szCs w:val="22"/>
        </w:rPr>
        <w:t>II 评分项</w:t>
      </w:r>
      <w:r>
        <w:tab/>
      </w:r>
      <w:r>
        <w:fldChar w:fldCharType="begin"/>
      </w:r>
      <w:r>
        <w:instrText xml:space="preserve"> PAGEREF _Toc28313 \h </w:instrText>
      </w:r>
      <w:r>
        <w:fldChar w:fldCharType="separate"/>
      </w:r>
      <w:r>
        <w:t>25</w:t>
      </w:r>
      <w:r>
        <w:fldChar w:fldCharType="end"/>
      </w:r>
      <w:r>
        <w:rPr>
          <w:bCs/>
          <w:szCs w:val="28"/>
          <w:lang w:val="zh-CN"/>
        </w:rPr>
        <w:fldChar w:fldCharType="end"/>
      </w:r>
    </w:p>
    <w:p w14:paraId="0EB2A2BD">
      <w:pPr>
        <w:pStyle w:val="24"/>
        <w:tabs>
          <w:tab w:val="right" w:leader="dot" w:pos="8306"/>
          <w:tab w:val="clear" w:pos="9242"/>
        </w:tabs>
      </w:pPr>
      <w:r>
        <w:rPr>
          <w:bCs/>
          <w:szCs w:val="28"/>
          <w:lang w:val="zh-CN"/>
        </w:rPr>
        <w:fldChar w:fldCharType="begin"/>
      </w:r>
      <w:r>
        <w:rPr>
          <w:bCs/>
          <w:szCs w:val="28"/>
          <w:lang w:val="zh-CN"/>
        </w:rPr>
        <w:instrText xml:space="preserve"> HYPERLINK \l _Toc20624 </w:instrText>
      </w:r>
      <w:r>
        <w:rPr>
          <w:bCs/>
          <w:szCs w:val="28"/>
          <w:lang w:val="zh-CN"/>
        </w:rPr>
        <w:fldChar w:fldCharType="separate"/>
      </w:r>
      <w:r>
        <w:rPr>
          <w:rFonts w:hint="default" w:ascii="Times New Roman" w:hAnsi="Times New Roman" w:cs="Times New Roman"/>
          <w:bCs/>
          <w:szCs w:val="30"/>
        </w:rPr>
        <w:t xml:space="preserve">7 </w:t>
      </w:r>
      <w:r>
        <w:rPr>
          <w:rFonts w:hint="eastAsia" w:ascii="Times New Roman" w:hAnsi="Times New Roman" w:cs="Times New Roman"/>
          <w:bCs/>
          <w:szCs w:val="30"/>
        </w:rPr>
        <w:t>提高与创新</w:t>
      </w:r>
      <w:r>
        <w:tab/>
      </w:r>
      <w:r>
        <w:fldChar w:fldCharType="begin"/>
      </w:r>
      <w:r>
        <w:instrText xml:space="preserve"> PAGEREF _Toc20624 \h </w:instrText>
      </w:r>
      <w:r>
        <w:fldChar w:fldCharType="separate"/>
      </w:r>
      <w:r>
        <w:t>28</w:t>
      </w:r>
      <w:r>
        <w:fldChar w:fldCharType="end"/>
      </w:r>
      <w:r>
        <w:rPr>
          <w:bCs/>
          <w:szCs w:val="28"/>
          <w:lang w:val="zh-CN"/>
        </w:rPr>
        <w:fldChar w:fldCharType="end"/>
      </w:r>
    </w:p>
    <w:p w14:paraId="058062DD">
      <w:pPr>
        <w:pStyle w:val="33"/>
        <w:tabs>
          <w:tab w:val="right" w:leader="dot" w:pos="8306"/>
          <w:tab w:val="clear" w:pos="9242"/>
        </w:tabs>
      </w:pPr>
      <w:r>
        <w:rPr>
          <w:bCs/>
          <w:szCs w:val="28"/>
          <w:lang w:val="zh-CN"/>
        </w:rPr>
        <w:fldChar w:fldCharType="begin"/>
      </w:r>
      <w:r>
        <w:rPr>
          <w:bCs/>
          <w:szCs w:val="28"/>
          <w:lang w:val="zh-CN"/>
        </w:rPr>
        <w:instrText xml:space="preserve"> HYPERLINK \l _Toc5001 </w:instrText>
      </w:r>
      <w:r>
        <w:rPr>
          <w:bCs/>
          <w:szCs w:val="28"/>
          <w:lang w:val="zh-CN"/>
        </w:rPr>
        <w:fldChar w:fldCharType="separate"/>
      </w:r>
      <w:r>
        <w:rPr>
          <w:rFonts w:hint="eastAsia" w:ascii="Times New Roman"/>
          <w:bCs/>
          <w:szCs w:val="28"/>
        </w:rPr>
        <w:t>7.1 一般规定</w:t>
      </w:r>
      <w:r>
        <w:tab/>
      </w:r>
      <w:r>
        <w:fldChar w:fldCharType="begin"/>
      </w:r>
      <w:r>
        <w:instrText xml:space="preserve"> PAGEREF _Toc5001 \h </w:instrText>
      </w:r>
      <w:r>
        <w:fldChar w:fldCharType="separate"/>
      </w:r>
      <w:r>
        <w:t>28</w:t>
      </w:r>
      <w:r>
        <w:fldChar w:fldCharType="end"/>
      </w:r>
      <w:r>
        <w:rPr>
          <w:bCs/>
          <w:szCs w:val="28"/>
          <w:lang w:val="zh-CN"/>
        </w:rPr>
        <w:fldChar w:fldCharType="end"/>
      </w:r>
    </w:p>
    <w:p w14:paraId="31A76B72">
      <w:pPr>
        <w:pStyle w:val="33"/>
        <w:tabs>
          <w:tab w:val="right" w:leader="dot" w:pos="8306"/>
          <w:tab w:val="clear" w:pos="9242"/>
        </w:tabs>
      </w:pPr>
      <w:r>
        <w:rPr>
          <w:bCs/>
          <w:szCs w:val="28"/>
          <w:lang w:val="zh-CN"/>
        </w:rPr>
        <w:fldChar w:fldCharType="begin"/>
      </w:r>
      <w:r>
        <w:rPr>
          <w:bCs/>
          <w:szCs w:val="28"/>
          <w:lang w:val="zh-CN"/>
        </w:rPr>
        <w:instrText xml:space="preserve"> HYPERLINK \l _Toc3380 </w:instrText>
      </w:r>
      <w:r>
        <w:rPr>
          <w:bCs/>
          <w:szCs w:val="28"/>
          <w:lang w:val="zh-CN"/>
        </w:rPr>
        <w:fldChar w:fldCharType="separate"/>
      </w:r>
      <w:r>
        <w:rPr>
          <w:rFonts w:hint="eastAsia" w:ascii="Times New Roman"/>
          <w:bCs/>
          <w:szCs w:val="28"/>
        </w:rPr>
        <w:t>7.2 隔震加分项</w:t>
      </w:r>
      <w:r>
        <w:tab/>
      </w:r>
      <w:r>
        <w:fldChar w:fldCharType="begin"/>
      </w:r>
      <w:r>
        <w:instrText xml:space="preserve"> PAGEREF _Toc3380 \h </w:instrText>
      </w:r>
      <w:r>
        <w:fldChar w:fldCharType="separate"/>
      </w:r>
      <w:r>
        <w:t>28</w:t>
      </w:r>
      <w:r>
        <w:fldChar w:fldCharType="end"/>
      </w:r>
      <w:r>
        <w:rPr>
          <w:bCs/>
          <w:szCs w:val="28"/>
          <w:lang w:val="zh-CN"/>
        </w:rPr>
        <w:fldChar w:fldCharType="end"/>
      </w:r>
    </w:p>
    <w:p w14:paraId="434B22D9">
      <w:pPr>
        <w:pStyle w:val="33"/>
        <w:tabs>
          <w:tab w:val="right" w:leader="dot" w:pos="8306"/>
          <w:tab w:val="clear" w:pos="9242"/>
        </w:tabs>
      </w:pPr>
      <w:r>
        <w:rPr>
          <w:bCs/>
          <w:szCs w:val="28"/>
          <w:lang w:val="zh-CN"/>
        </w:rPr>
        <w:fldChar w:fldCharType="begin"/>
      </w:r>
      <w:r>
        <w:rPr>
          <w:bCs/>
          <w:szCs w:val="28"/>
          <w:lang w:val="zh-CN"/>
        </w:rPr>
        <w:instrText xml:space="preserve"> HYPERLINK \l _Toc8414 </w:instrText>
      </w:r>
      <w:r>
        <w:rPr>
          <w:bCs/>
          <w:szCs w:val="28"/>
          <w:lang w:val="zh-CN"/>
        </w:rPr>
        <w:fldChar w:fldCharType="separate"/>
      </w:r>
      <w:r>
        <w:rPr>
          <w:rFonts w:hint="eastAsia" w:ascii="Times New Roman"/>
          <w:bCs/>
          <w:szCs w:val="28"/>
        </w:rPr>
        <w:t>7.3 减震加分项</w:t>
      </w:r>
      <w:r>
        <w:tab/>
      </w:r>
      <w:r>
        <w:fldChar w:fldCharType="begin"/>
      </w:r>
      <w:r>
        <w:instrText xml:space="preserve"> PAGEREF _Toc8414 \h </w:instrText>
      </w:r>
      <w:r>
        <w:fldChar w:fldCharType="separate"/>
      </w:r>
      <w:r>
        <w:t>29</w:t>
      </w:r>
      <w:r>
        <w:fldChar w:fldCharType="end"/>
      </w:r>
      <w:r>
        <w:rPr>
          <w:bCs/>
          <w:szCs w:val="28"/>
          <w:lang w:val="zh-CN"/>
        </w:rPr>
        <w:fldChar w:fldCharType="end"/>
      </w:r>
    </w:p>
    <w:p w14:paraId="6423DC55">
      <w:pPr>
        <w:pStyle w:val="24"/>
        <w:tabs>
          <w:tab w:val="right" w:leader="dot" w:pos="8306"/>
          <w:tab w:val="clear" w:pos="9242"/>
        </w:tabs>
      </w:pPr>
      <w:r>
        <w:rPr>
          <w:bCs/>
          <w:szCs w:val="28"/>
          <w:lang w:val="zh-CN"/>
        </w:rPr>
        <w:fldChar w:fldCharType="begin"/>
      </w:r>
      <w:r>
        <w:rPr>
          <w:bCs/>
          <w:szCs w:val="28"/>
          <w:lang w:val="zh-CN"/>
        </w:rPr>
        <w:instrText xml:space="preserve"> HYPERLINK \l _Toc19089 </w:instrText>
      </w:r>
      <w:r>
        <w:rPr>
          <w:bCs/>
          <w:szCs w:val="28"/>
          <w:lang w:val="zh-CN"/>
        </w:rPr>
        <w:fldChar w:fldCharType="separate"/>
      </w:r>
      <w:r>
        <w:rPr>
          <w:rFonts w:hint="eastAsia" w:ascii="Times New Roman" w:hAnsi="Times New Roman" w:cs="Times New Roman"/>
          <w:bCs/>
          <w:szCs w:val="30"/>
        </w:rPr>
        <w:t>附录A 建筑隔减震技术应用评价得分与结果汇总表</w:t>
      </w:r>
      <w:r>
        <w:tab/>
      </w:r>
      <w:r>
        <w:fldChar w:fldCharType="begin"/>
      </w:r>
      <w:r>
        <w:instrText xml:space="preserve"> PAGEREF _Toc19089 \h </w:instrText>
      </w:r>
      <w:r>
        <w:fldChar w:fldCharType="separate"/>
      </w:r>
      <w:r>
        <w:t>31</w:t>
      </w:r>
      <w:r>
        <w:fldChar w:fldCharType="end"/>
      </w:r>
      <w:r>
        <w:rPr>
          <w:bCs/>
          <w:szCs w:val="28"/>
          <w:lang w:val="zh-CN"/>
        </w:rPr>
        <w:fldChar w:fldCharType="end"/>
      </w:r>
    </w:p>
    <w:p w14:paraId="77A94CAE">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bCs/>
          <w:sz w:val="22"/>
          <w:szCs w:val="28"/>
          <w:lang w:val="zh-CN"/>
        </w:rPr>
        <w:fldChar w:fldCharType="end"/>
      </w:r>
      <w:r>
        <w:rPr>
          <w:rFonts w:hint="eastAsia" w:ascii="Times New Roman" w:hAnsi="Times New Roman" w:cs="Times New Roman"/>
          <w:b/>
          <w:bCs/>
          <w:sz w:val="30"/>
          <w:szCs w:val="30"/>
          <w:lang w:val="en-US" w:eastAsia="zh-CN"/>
        </w:rPr>
        <w:t>总则</w:t>
      </w:r>
    </w:p>
    <w:p w14:paraId="4BCB9A43">
      <w:pPr>
        <w:pStyle w:val="174"/>
        <w:spacing w:line="360" w:lineRule="auto"/>
        <w:ind w:firstLine="0" w:firstLineChars="0"/>
        <w:rPr>
          <w:rFonts w:hint="default" w:ascii="Times New Roman" w:eastAsia="宋体"/>
          <w:sz w:val="24"/>
          <w:szCs w:val="24"/>
          <w:lang w:val="en-US" w:eastAsia="zh-CN"/>
        </w:rPr>
      </w:pPr>
      <w:r>
        <w:rPr>
          <w:rFonts w:hint="eastAsia" w:ascii="Times New Roman"/>
          <w:b/>
          <w:bCs/>
          <w:sz w:val="24"/>
          <w:szCs w:val="24"/>
        </w:rPr>
        <w:t xml:space="preserve">1.0.1 </w:t>
      </w:r>
      <w:r>
        <w:rPr>
          <w:rFonts w:hint="eastAsia" w:ascii="Times New Roman"/>
          <w:sz w:val="24"/>
          <w:szCs w:val="24"/>
          <w:lang w:val="en-US" w:eastAsia="zh-CN"/>
        </w:rPr>
        <w:t>为了提高建筑隔减震工程抗震防灾能力与实施质量，降低地震灾害风险，保障人民生命财产安全，规范建筑隔减震技术应用效果的评价方法及指标制定本标准。</w:t>
      </w:r>
    </w:p>
    <w:p w14:paraId="04852D9D">
      <w:pPr>
        <w:pStyle w:val="174"/>
        <w:spacing w:line="360" w:lineRule="auto"/>
        <w:ind w:firstLine="0" w:firstLineChars="0"/>
        <w:rPr>
          <w:rFonts w:ascii="Times New Roman"/>
          <w:sz w:val="24"/>
          <w:szCs w:val="24"/>
        </w:rPr>
      </w:pPr>
      <w:r>
        <w:rPr>
          <w:rFonts w:hint="eastAsia" w:ascii="Times New Roman"/>
          <w:b/>
          <w:bCs/>
          <w:sz w:val="24"/>
          <w:szCs w:val="24"/>
        </w:rPr>
        <w:t xml:space="preserve">1.0.2 </w:t>
      </w:r>
      <w:r>
        <w:rPr>
          <w:rFonts w:hint="eastAsia" w:ascii="Times New Roman"/>
          <w:sz w:val="24"/>
          <w:szCs w:val="24"/>
        </w:rPr>
        <w:t>本标准适用于各类新建及</w:t>
      </w:r>
      <w:r>
        <w:rPr>
          <w:rFonts w:hint="eastAsia" w:ascii="Times New Roman"/>
          <w:b w:val="0"/>
          <w:bCs/>
          <w:color w:val="auto"/>
          <w:sz w:val="24"/>
          <w:szCs w:val="24"/>
        </w:rPr>
        <w:t>既有</w:t>
      </w:r>
      <w:r>
        <w:rPr>
          <w:rFonts w:hint="eastAsia" w:ascii="Times New Roman"/>
          <w:sz w:val="24"/>
          <w:szCs w:val="24"/>
          <w:lang w:val="en-US" w:eastAsia="zh-CN"/>
        </w:rPr>
        <w:t>工业与民用</w:t>
      </w:r>
      <w:r>
        <w:rPr>
          <w:rFonts w:hint="eastAsia" w:ascii="Times New Roman"/>
          <w:sz w:val="24"/>
          <w:szCs w:val="24"/>
        </w:rPr>
        <w:t>建筑的隔减震技术应用评价。</w:t>
      </w:r>
    </w:p>
    <w:p w14:paraId="066121B0">
      <w:pPr>
        <w:pStyle w:val="174"/>
        <w:spacing w:line="360" w:lineRule="auto"/>
        <w:ind w:firstLine="0" w:firstLineChars="0"/>
        <w:rPr>
          <w:rFonts w:ascii="Times New Roman"/>
          <w:sz w:val="24"/>
          <w:szCs w:val="24"/>
        </w:rPr>
      </w:pPr>
      <w:r>
        <w:rPr>
          <w:rFonts w:hint="eastAsia" w:ascii="Times New Roman"/>
          <w:b/>
          <w:bCs/>
          <w:sz w:val="24"/>
          <w:szCs w:val="24"/>
        </w:rPr>
        <w:t xml:space="preserve">1.0.3 </w:t>
      </w:r>
      <w:r>
        <w:rPr>
          <w:rFonts w:hint="eastAsia" w:ascii="Times New Roman"/>
          <w:sz w:val="24"/>
          <w:szCs w:val="24"/>
        </w:rPr>
        <w:t>建筑隔减震技术应用评价应遵循应用全流程覆盖</w:t>
      </w:r>
      <w:r>
        <w:rPr>
          <w:rFonts w:hint="eastAsia" w:ascii="Times New Roman"/>
          <w:color w:val="auto"/>
          <w:sz w:val="24"/>
          <w:szCs w:val="24"/>
        </w:rPr>
        <w:t>、全专业协同</w:t>
      </w:r>
      <w:r>
        <w:rPr>
          <w:rFonts w:hint="eastAsia" w:ascii="Times New Roman"/>
          <w:sz w:val="24"/>
          <w:szCs w:val="24"/>
        </w:rPr>
        <w:t>的原则，结合不同类型</w:t>
      </w:r>
      <w:r>
        <w:rPr>
          <w:rFonts w:hint="eastAsia" w:ascii="Times New Roman"/>
          <w:sz w:val="24"/>
          <w:szCs w:val="24"/>
          <w:lang w:eastAsia="zh-CN"/>
        </w:rPr>
        <w:t>隔减震装置</w:t>
      </w:r>
      <w:r>
        <w:rPr>
          <w:rFonts w:hint="eastAsia" w:ascii="Times New Roman"/>
          <w:sz w:val="24"/>
          <w:szCs w:val="24"/>
        </w:rPr>
        <w:t>的实际使用，对隔减震技术实施过程中的</w:t>
      </w:r>
      <w:r>
        <w:rPr>
          <w:rFonts w:hint="eastAsia" w:ascii="Times New Roman"/>
          <w:sz w:val="24"/>
          <w:szCs w:val="24"/>
          <w:highlight w:val="none"/>
          <w:shd w:val="clear"/>
        </w:rPr>
        <w:t>设计、</w:t>
      </w:r>
      <w:r>
        <w:rPr>
          <w:rFonts w:hint="eastAsia" w:ascii="Times New Roman"/>
          <w:sz w:val="24"/>
          <w:szCs w:val="24"/>
          <w:highlight w:val="none"/>
          <w:shd w:val="clear"/>
          <w:lang w:val="en-US" w:eastAsia="zh-CN"/>
        </w:rPr>
        <w:t>隔减震装置和</w:t>
      </w:r>
      <w:r>
        <w:rPr>
          <w:rFonts w:hint="eastAsia" w:ascii="Times New Roman"/>
          <w:sz w:val="24"/>
          <w:szCs w:val="24"/>
          <w:highlight w:val="none"/>
          <w:shd w:val="clear"/>
        </w:rPr>
        <w:t>施工</w:t>
      </w:r>
      <w:r>
        <w:rPr>
          <w:rFonts w:hint="eastAsia" w:ascii="Times New Roman"/>
          <w:sz w:val="24"/>
          <w:szCs w:val="24"/>
          <w:highlight w:val="none"/>
          <w:shd w:val="clear"/>
          <w:lang w:val="en-US" w:eastAsia="zh-CN"/>
        </w:rPr>
        <w:t>实施</w:t>
      </w:r>
      <w:r>
        <w:rPr>
          <w:rFonts w:hint="eastAsia" w:ascii="Times New Roman"/>
          <w:sz w:val="24"/>
          <w:szCs w:val="24"/>
        </w:rPr>
        <w:t>环节进行综合评价。</w:t>
      </w:r>
    </w:p>
    <w:p w14:paraId="41E1DFC8">
      <w:pPr>
        <w:pStyle w:val="33"/>
        <w:spacing w:line="360" w:lineRule="auto"/>
        <w:ind w:firstLine="0" w:firstLineChars="0"/>
      </w:pPr>
      <w:r>
        <w:rPr>
          <w:rFonts w:hint="eastAsia" w:ascii="Times New Roman"/>
          <w:b/>
          <w:bCs/>
          <w:sz w:val="24"/>
          <w:szCs w:val="24"/>
        </w:rPr>
        <w:t>1</w:t>
      </w:r>
      <w:r>
        <w:rPr>
          <w:rFonts w:ascii="Times New Roman"/>
          <w:b/>
          <w:bCs/>
          <w:sz w:val="24"/>
          <w:szCs w:val="24"/>
        </w:rPr>
        <w:t>.0.4</w:t>
      </w:r>
      <w:r>
        <w:rPr>
          <w:rFonts w:ascii="Times New Roman"/>
          <w:sz w:val="24"/>
          <w:szCs w:val="24"/>
        </w:rPr>
        <w:t xml:space="preserve"> </w:t>
      </w:r>
      <w:r>
        <w:rPr>
          <w:rFonts w:hint="eastAsia" w:ascii="Times New Roman"/>
          <w:sz w:val="24"/>
          <w:szCs w:val="24"/>
        </w:rPr>
        <w:t>建筑隔减震技术应用效果</w:t>
      </w:r>
      <w:r>
        <w:rPr>
          <w:rFonts w:hint="eastAsia" w:ascii="Times New Roman"/>
          <w:sz w:val="24"/>
          <w:szCs w:val="24"/>
          <w:lang w:val="en-US" w:eastAsia="zh-CN"/>
        </w:rPr>
        <w:t>评价</w:t>
      </w:r>
      <w:r>
        <w:rPr>
          <w:rFonts w:hint="eastAsia" w:ascii="Times New Roman"/>
          <w:sz w:val="24"/>
          <w:szCs w:val="24"/>
        </w:rPr>
        <w:t>除应符合本标准外，尚应符合国家现行有关标准的规定。</w:t>
      </w:r>
    </w:p>
    <w:p w14:paraId="3199BE9E">
      <w:pPr>
        <w:pStyle w:val="174"/>
        <w:spacing w:line="360" w:lineRule="auto"/>
        <w:ind w:firstLine="0" w:firstLineChars="0"/>
        <w:rPr>
          <w:rFonts w:hint="eastAsia" w:ascii="Times New Roman" w:eastAsia="宋体"/>
          <w:lang w:val="en-US" w:eastAsia="zh-CN"/>
        </w:rPr>
        <w:sectPr>
          <w:pgSz w:w="11906" w:h="16838"/>
          <w:pgMar w:top="1440" w:right="1800" w:bottom="1440" w:left="1800" w:header="1418" w:footer="1134" w:gutter="0"/>
          <w:pgNumType w:start="1"/>
          <w:cols w:space="425" w:num="1"/>
          <w:formProt w:val="0"/>
          <w:docGrid w:type="lines" w:linePitch="312" w:charSpace="0"/>
        </w:sectPr>
      </w:pPr>
    </w:p>
    <w:p w14:paraId="7AD926C1">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kern w:val="0"/>
          <w:sz w:val="30"/>
          <w:szCs w:val="30"/>
        </w:rPr>
      </w:pPr>
      <w:bookmarkStart w:id="8" w:name="_Toc20808"/>
      <w:bookmarkStart w:id="9" w:name="_Toc207375979"/>
      <w:r>
        <w:rPr>
          <w:rFonts w:ascii="Times New Roman" w:hAnsi="Times New Roman" w:cs="Times New Roman"/>
          <w:b/>
          <w:bCs/>
          <w:sz w:val="30"/>
          <w:szCs w:val="30"/>
        </w:rPr>
        <w:t>术语</w:t>
      </w:r>
      <w:bookmarkEnd w:id="8"/>
      <w:bookmarkEnd w:id="9"/>
    </w:p>
    <w:p w14:paraId="583835DE">
      <w:pPr>
        <w:pStyle w:val="174"/>
        <w:spacing w:line="360" w:lineRule="auto"/>
        <w:ind w:firstLine="0" w:firstLineChars="0"/>
        <w:rPr>
          <w:rFonts w:ascii="Times New Roman"/>
          <w:sz w:val="24"/>
          <w:szCs w:val="24"/>
        </w:rPr>
      </w:pPr>
      <w:bookmarkStart w:id="10" w:name="OLE_LINK2"/>
      <w:r>
        <w:rPr>
          <w:rFonts w:hint="eastAsia" w:ascii="Times New Roman"/>
          <w:b/>
          <w:bCs/>
          <w:sz w:val="24"/>
          <w:szCs w:val="24"/>
        </w:rPr>
        <w:t xml:space="preserve">2.0.1 </w:t>
      </w:r>
      <w:r>
        <w:rPr>
          <w:rFonts w:hint="eastAsia" w:ascii="Times New Roman"/>
          <w:sz w:val="24"/>
          <w:szCs w:val="24"/>
        </w:rPr>
        <w:t>隔减震技术</w:t>
      </w:r>
      <w:bookmarkEnd w:id="10"/>
      <w:r>
        <w:rPr>
          <w:rFonts w:hint="eastAsia" w:ascii="Times New Roman"/>
          <w:sz w:val="24"/>
          <w:szCs w:val="24"/>
        </w:rPr>
        <w:t xml:space="preserve"> seismic </w:t>
      </w:r>
      <w:r>
        <w:rPr>
          <w:rFonts w:ascii="Times New Roman"/>
          <w:sz w:val="24"/>
          <w:szCs w:val="24"/>
        </w:rPr>
        <w:t xml:space="preserve">isolation and </w:t>
      </w:r>
      <w:r>
        <w:rPr>
          <w:rFonts w:hint="eastAsia" w:ascii="Times New Roman"/>
          <w:sz w:val="24"/>
          <w:szCs w:val="24"/>
        </w:rPr>
        <w:t>energy dissipation</w:t>
      </w:r>
      <w:r>
        <w:rPr>
          <w:rFonts w:ascii="Times New Roman"/>
          <w:sz w:val="24"/>
          <w:szCs w:val="24"/>
        </w:rPr>
        <w:t xml:space="preserve"> technology</w:t>
      </w:r>
    </w:p>
    <w:p w14:paraId="7F776FE5">
      <w:pPr>
        <w:pStyle w:val="174"/>
        <w:spacing w:line="360" w:lineRule="auto"/>
        <w:ind w:firstLine="0" w:firstLineChars="0"/>
        <w:rPr>
          <w:rFonts w:ascii="Times New Roman"/>
          <w:sz w:val="24"/>
          <w:szCs w:val="22"/>
        </w:rPr>
      </w:pPr>
      <w:r>
        <w:rPr>
          <w:rFonts w:ascii="Times New Roman"/>
        </w:rPr>
        <w:tab/>
      </w:r>
      <w:r>
        <w:rPr>
          <w:rFonts w:hint="eastAsia" w:ascii="Times New Roman"/>
          <w:sz w:val="24"/>
          <w:szCs w:val="22"/>
        </w:rPr>
        <w:t>建筑隔震技术与消能减震技术的合称。</w:t>
      </w:r>
    </w:p>
    <w:p w14:paraId="1FBCB485">
      <w:pPr>
        <w:pStyle w:val="174"/>
        <w:spacing w:line="360" w:lineRule="auto"/>
        <w:ind w:firstLine="0" w:firstLineChars="0"/>
        <w:rPr>
          <w:rFonts w:hint="default" w:ascii="Times New Roman" w:eastAsia="宋体"/>
          <w:sz w:val="24"/>
          <w:szCs w:val="22"/>
          <w:lang w:val="en-US" w:eastAsia="zh-CN"/>
        </w:rPr>
      </w:pPr>
      <w:r>
        <w:rPr>
          <w:rFonts w:hint="eastAsia" w:ascii="Times New Roman"/>
          <w:b/>
          <w:bCs/>
          <w:sz w:val="24"/>
          <w:szCs w:val="22"/>
        </w:rPr>
        <w:t>2.0.</w:t>
      </w:r>
      <w:r>
        <w:rPr>
          <w:rFonts w:hint="eastAsia" w:ascii="Times New Roman"/>
          <w:b/>
          <w:bCs/>
          <w:sz w:val="24"/>
          <w:szCs w:val="22"/>
          <w:lang w:val="en-US" w:eastAsia="zh-CN"/>
        </w:rPr>
        <w:t>2</w:t>
      </w:r>
      <w:r>
        <w:rPr>
          <w:rFonts w:hint="eastAsia" w:ascii="Times New Roman"/>
          <w:b/>
          <w:bCs/>
          <w:sz w:val="24"/>
          <w:szCs w:val="22"/>
        </w:rPr>
        <w:t xml:space="preserve"> </w:t>
      </w:r>
      <w:r>
        <w:rPr>
          <w:rFonts w:hint="eastAsia" w:ascii="Times New Roman"/>
          <w:sz w:val="24"/>
          <w:szCs w:val="22"/>
          <w:lang w:eastAsia="zh-CN"/>
        </w:rPr>
        <w:t>隔震装置</w:t>
      </w:r>
      <w:r>
        <w:rPr>
          <w:rFonts w:hint="eastAsia" w:ascii="Times New Roman"/>
          <w:sz w:val="24"/>
          <w:szCs w:val="22"/>
        </w:rPr>
        <w:t xml:space="preserve"> </w:t>
      </w:r>
      <w:r>
        <w:rPr>
          <w:rFonts w:ascii="Times New Roman"/>
          <w:sz w:val="24"/>
          <w:szCs w:val="22"/>
        </w:rPr>
        <w:t xml:space="preserve">isolation </w:t>
      </w:r>
      <w:r>
        <w:rPr>
          <w:rFonts w:hint="eastAsia" w:ascii="Times New Roman"/>
          <w:sz w:val="24"/>
          <w:szCs w:val="22"/>
          <w:highlight w:val="none"/>
          <w:lang w:val="en-US" w:eastAsia="zh-CN"/>
        </w:rPr>
        <w:t>devices</w:t>
      </w:r>
    </w:p>
    <w:p w14:paraId="25660485">
      <w:pPr>
        <w:pStyle w:val="174"/>
        <w:spacing w:line="360" w:lineRule="auto"/>
        <w:ind w:firstLine="480"/>
        <w:rPr>
          <w:rFonts w:ascii="Times New Roman"/>
          <w:sz w:val="24"/>
          <w:szCs w:val="22"/>
        </w:rPr>
      </w:pPr>
      <w:r>
        <w:rPr>
          <w:rFonts w:hint="eastAsia" w:ascii="Times New Roman"/>
          <w:sz w:val="24"/>
          <w:szCs w:val="22"/>
        </w:rPr>
        <w:t>为降低地震响应，设置在隔震层中实现隔震功能的</w:t>
      </w:r>
      <w:r>
        <w:rPr>
          <w:rFonts w:hint="eastAsia" w:ascii="Times New Roman"/>
          <w:sz w:val="24"/>
          <w:szCs w:val="22"/>
          <w:lang w:val="en-US" w:eastAsia="zh-CN"/>
        </w:rPr>
        <w:t>装置</w:t>
      </w:r>
      <w:r>
        <w:rPr>
          <w:rFonts w:hint="eastAsia" w:ascii="Times New Roman"/>
          <w:sz w:val="24"/>
          <w:szCs w:val="22"/>
        </w:rPr>
        <w:t>，本标准中主要包含橡胶隔震支座、弹性滑板支座及摩擦摆隔震支座等。</w:t>
      </w:r>
    </w:p>
    <w:p w14:paraId="55C8309E">
      <w:pPr>
        <w:pStyle w:val="174"/>
        <w:spacing w:line="360" w:lineRule="auto"/>
        <w:ind w:firstLine="0" w:firstLineChars="0"/>
        <w:rPr>
          <w:rFonts w:hint="default" w:ascii="Times New Roman" w:eastAsia="宋体"/>
          <w:sz w:val="24"/>
          <w:szCs w:val="22"/>
          <w:lang w:val="en-US" w:eastAsia="zh-CN"/>
        </w:rPr>
      </w:pPr>
      <w:r>
        <w:rPr>
          <w:rFonts w:hint="eastAsia" w:ascii="Times New Roman"/>
          <w:b/>
          <w:bCs/>
          <w:sz w:val="24"/>
          <w:szCs w:val="22"/>
        </w:rPr>
        <w:t>2.0.</w:t>
      </w:r>
      <w:r>
        <w:rPr>
          <w:rFonts w:hint="eastAsia" w:ascii="Times New Roman"/>
          <w:b/>
          <w:bCs/>
          <w:sz w:val="24"/>
          <w:szCs w:val="22"/>
          <w:lang w:val="en-US" w:eastAsia="zh-CN"/>
        </w:rPr>
        <w:t>3</w:t>
      </w:r>
      <w:r>
        <w:rPr>
          <w:rFonts w:hint="eastAsia" w:ascii="Times New Roman"/>
          <w:b/>
          <w:bCs/>
          <w:sz w:val="24"/>
          <w:szCs w:val="22"/>
        </w:rPr>
        <w:t xml:space="preserve"> </w:t>
      </w:r>
      <w:r>
        <w:rPr>
          <w:rFonts w:hint="eastAsia" w:ascii="Times New Roman"/>
          <w:b w:val="0"/>
          <w:bCs/>
          <w:sz w:val="24"/>
          <w:szCs w:val="22"/>
        </w:rPr>
        <w:t>消能</w:t>
      </w:r>
      <w:r>
        <w:rPr>
          <w:rFonts w:hint="eastAsia" w:ascii="Times New Roman"/>
          <w:sz w:val="24"/>
          <w:szCs w:val="22"/>
        </w:rPr>
        <w:t>减震</w:t>
      </w:r>
      <w:r>
        <w:rPr>
          <w:rFonts w:hint="eastAsia" w:ascii="Times New Roman"/>
          <w:sz w:val="24"/>
          <w:szCs w:val="22"/>
          <w:lang w:val="en-US" w:eastAsia="zh-CN"/>
        </w:rPr>
        <w:t>装置</w:t>
      </w:r>
      <w:r>
        <w:rPr>
          <w:rFonts w:hint="eastAsia" w:ascii="Times New Roman"/>
          <w:sz w:val="24"/>
          <w:szCs w:val="22"/>
        </w:rPr>
        <w:t xml:space="preserve"> </w:t>
      </w:r>
      <w:r>
        <w:rPr>
          <w:rFonts w:hint="eastAsia" w:ascii="Times New Roman"/>
          <w:sz w:val="24"/>
          <w:szCs w:val="24"/>
        </w:rPr>
        <w:t xml:space="preserve">energy dissipation </w:t>
      </w:r>
      <w:r>
        <w:rPr>
          <w:rFonts w:hint="eastAsia" w:ascii="Times New Roman"/>
          <w:sz w:val="24"/>
          <w:szCs w:val="22"/>
          <w:lang w:val="en-US" w:eastAsia="zh-CN"/>
        </w:rPr>
        <w:t>devices</w:t>
      </w:r>
    </w:p>
    <w:p w14:paraId="7BFDF01E">
      <w:pPr>
        <w:pStyle w:val="174"/>
        <w:spacing w:line="360" w:lineRule="auto"/>
        <w:ind w:firstLine="480"/>
        <w:rPr>
          <w:rFonts w:ascii="Times New Roman"/>
          <w:sz w:val="24"/>
          <w:szCs w:val="22"/>
        </w:rPr>
      </w:pPr>
      <w:r>
        <w:rPr>
          <w:rFonts w:hint="eastAsia" w:ascii="Times New Roman"/>
          <w:sz w:val="24"/>
          <w:szCs w:val="22"/>
        </w:rPr>
        <w:t>通过内部材料或构件的摩擦、弹塑性滞回变形或黏（弹）性滞回变形来耗散或吸收能量的</w:t>
      </w:r>
      <w:r>
        <w:rPr>
          <w:rFonts w:hint="eastAsia" w:ascii="Times New Roman"/>
          <w:sz w:val="24"/>
          <w:szCs w:val="22"/>
          <w:lang w:val="en-US" w:eastAsia="zh-CN"/>
        </w:rPr>
        <w:t>装置</w:t>
      </w:r>
      <w:r>
        <w:rPr>
          <w:rFonts w:hint="eastAsia" w:ascii="Times New Roman"/>
          <w:sz w:val="24"/>
          <w:szCs w:val="22"/>
        </w:rPr>
        <w:t>，本标准中主要包含金属屈服型阻尼器、摩擦阻尼器、屈曲约束支撑、黏滞阻尼器、黏弹性阻尼器等。</w:t>
      </w:r>
    </w:p>
    <w:p w14:paraId="56DFE04F">
      <w:pPr>
        <w:pStyle w:val="174"/>
        <w:spacing w:line="360" w:lineRule="auto"/>
        <w:ind w:firstLine="0" w:firstLineChars="0"/>
        <w:rPr>
          <w:rFonts w:ascii="Times New Roman"/>
          <w:sz w:val="24"/>
          <w:szCs w:val="22"/>
        </w:rPr>
      </w:pPr>
      <w:r>
        <w:rPr>
          <w:rFonts w:hint="eastAsia" w:ascii="Times New Roman"/>
          <w:b/>
          <w:bCs/>
          <w:sz w:val="24"/>
          <w:szCs w:val="22"/>
        </w:rPr>
        <w:t>2.0.</w:t>
      </w:r>
      <w:r>
        <w:rPr>
          <w:rFonts w:hint="eastAsia" w:ascii="Times New Roman"/>
          <w:b/>
          <w:bCs/>
          <w:sz w:val="24"/>
          <w:szCs w:val="22"/>
          <w:lang w:val="en-US" w:eastAsia="zh-CN"/>
        </w:rPr>
        <w:t>4</w:t>
      </w:r>
      <w:r>
        <w:rPr>
          <w:rFonts w:hint="eastAsia" w:ascii="Times New Roman"/>
          <w:b/>
          <w:bCs/>
          <w:sz w:val="24"/>
          <w:szCs w:val="22"/>
        </w:rPr>
        <w:t xml:space="preserve"> </w:t>
      </w:r>
      <w:r>
        <w:rPr>
          <w:rFonts w:hint="eastAsia" w:ascii="Times New Roman"/>
          <w:sz w:val="24"/>
          <w:szCs w:val="22"/>
        </w:rPr>
        <w:t xml:space="preserve">隔离缝 </w:t>
      </w:r>
      <w:r>
        <w:rPr>
          <w:rFonts w:ascii="Times New Roman"/>
          <w:sz w:val="24"/>
          <w:szCs w:val="22"/>
        </w:rPr>
        <w:t>isolation seam</w:t>
      </w:r>
    </w:p>
    <w:p w14:paraId="65AD19AD">
      <w:pPr>
        <w:pStyle w:val="174"/>
        <w:spacing w:line="360" w:lineRule="auto"/>
        <w:ind w:firstLine="480"/>
        <w:rPr>
          <w:rFonts w:hint="default" w:ascii="Times New Roman" w:eastAsia="宋体"/>
          <w:sz w:val="24"/>
          <w:szCs w:val="22"/>
          <w:lang w:val="en-US" w:eastAsia="zh-CN"/>
        </w:rPr>
      </w:pPr>
      <w:r>
        <w:rPr>
          <w:rFonts w:hint="eastAsia" w:ascii="Times New Roman"/>
          <w:sz w:val="24"/>
          <w:szCs w:val="22"/>
        </w:rPr>
        <w:t>隔震层相关部位预留的结构</w:t>
      </w:r>
      <w:bookmarkStart w:id="73" w:name="_GoBack"/>
      <w:bookmarkEnd w:id="73"/>
      <w:r>
        <w:rPr>
          <w:rFonts w:hint="eastAsia" w:ascii="Times New Roman"/>
          <w:sz w:val="24"/>
          <w:szCs w:val="22"/>
        </w:rPr>
        <w:t>变形缝，</w:t>
      </w:r>
      <w:r>
        <w:rPr>
          <w:rFonts w:hint="eastAsia" w:ascii="Times New Roman"/>
          <w:sz w:val="24"/>
          <w:szCs w:val="22"/>
          <w:lang w:val="en-US" w:eastAsia="zh-CN"/>
        </w:rPr>
        <w:t>包含水平隔离缝与竖向隔离缝。</w:t>
      </w:r>
    </w:p>
    <w:p w14:paraId="18C55E36">
      <w:pPr>
        <w:pStyle w:val="174"/>
        <w:spacing w:line="360" w:lineRule="auto"/>
        <w:ind w:firstLine="0" w:firstLineChars="0"/>
        <w:rPr>
          <w:rFonts w:hint="default" w:ascii="Times New Roman" w:eastAsia="宋体"/>
          <w:sz w:val="24"/>
          <w:szCs w:val="22"/>
          <w:lang w:val="en-US" w:eastAsia="zh-CN"/>
        </w:rPr>
      </w:pPr>
      <w:r>
        <w:rPr>
          <w:rFonts w:hint="eastAsia" w:ascii="Times New Roman"/>
          <w:b/>
          <w:bCs/>
          <w:sz w:val="24"/>
          <w:szCs w:val="22"/>
          <w:lang w:val="en-US" w:eastAsia="zh-CN"/>
        </w:rPr>
        <w:t>2.0.5</w:t>
      </w:r>
      <w:r>
        <w:rPr>
          <w:rFonts w:hint="eastAsia" w:ascii="Times New Roman"/>
          <w:sz w:val="24"/>
          <w:szCs w:val="22"/>
          <w:lang w:val="en-US" w:eastAsia="zh-CN"/>
        </w:rPr>
        <w:t xml:space="preserve"> </w:t>
      </w:r>
      <w:r>
        <w:rPr>
          <w:rFonts w:hint="eastAsia" w:ascii="Times New Roman"/>
          <w:sz w:val="24"/>
          <w:szCs w:val="22"/>
        </w:rPr>
        <w:t>水平向减震系数</w:t>
      </w:r>
      <w:r>
        <w:rPr>
          <w:rFonts w:hint="eastAsia"/>
          <w:lang w:val="en-US" w:eastAsia="zh-CN"/>
        </w:rPr>
        <w:t xml:space="preserve"> </w:t>
      </w:r>
      <w:r>
        <w:rPr>
          <w:rFonts w:hint="default" w:ascii="Times New Roman"/>
          <w:sz w:val="24"/>
          <w:szCs w:val="22"/>
          <w:lang w:val="en-US" w:eastAsia="zh-CN"/>
        </w:rPr>
        <w:t>damping</w:t>
      </w:r>
      <w:r>
        <w:rPr>
          <w:rFonts w:hint="eastAsia" w:ascii="Times New Roman"/>
          <w:sz w:val="24"/>
          <w:szCs w:val="22"/>
          <w:lang w:val="en-US" w:eastAsia="zh-CN"/>
        </w:rPr>
        <w:t xml:space="preserve"> coefficient in horizontal direction</w:t>
      </w:r>
    </w:p>
    <w:p w14:paraId="3CC6B32C">
      <w:pPr>
        <w:pStyle w:val="174"/>
        <w:spacing w:line="360" w:lineRule="auto"/>
        <w:ind w:firstLine="480" w:firstLineChars="0"/>
        <w:rPr>
          <w:rFonts w:hint="eastAsia" w:ascii="Times New Roman"/>
          <w:sz w:val="24"/>
          <w:szCs w:val="22"/>
        </w:rPr>
      </w:pPr>
      <w:r>
        <w:rPr>
          <w:rFonts w:hint="eastAsia" w:ascii="Times New Roman"/>
          <w:sz w:val="24"/>
          <w:szCs w:val="22"/>
        </w:rPr>
        <w:t>对于多层建筑，为按弹性计算所得的隔震与非隔震各层层间剪力的最大比值。对高层建筑结构，尚应计算隔震与非隔震各层倾覆力矩的最大比值，并与层间剪力的最大比值相比较，取二者的较大值</w:t>
      </w:r>
      <w:r>
        <w:rPr>
          <w:rFonts w:hint="eastAsia" w:ascii="Times New Roman"/>
          <w:sz w:val="24"/>
          <w:szCs w:val="22"/>
          <w:lang w:eastAsia="zh-CN"/>
        </w:rPr>
        <w:t>。</w:t>
      </w:r>
    </w:p>
    <w:p w14:paraId="5F417F59">
      <w:pPr>
        <w:pStyle w:val="174"/>
        <w:spacing w:line="360" w:lineRule="auto"/>
        <w:ind w:firstLine="0" w:firstLineChars="0"/>
        <w:rPr>
          <w:rFonts w:ascii="Times New Roman"/>
          <w:sz w:val="24"/>
          <w:szCs w:val="22"/>
        </w:rPr>
      </w:pPr>
      <w:r>
        <w:rPr>
          <w:rFonts w:hint="eastAsia" w:ascii="Times New Roman"/>
          <w:b/>
          <w:bCs/>
          <w:sz w:val="24"/>
          <w:szCs w:val="22"/>
        </w:rPr>
        <w:t>2.0.</w:t>
      </w:r>
      <w:r>
        <w:rPr>
          <w:rFonts w:hint="eastAsia" w:ascii="Times New Roman"/>
          <w:b/>
          <w:bCs/>
          <w:sz w:val="24"/>
          <w:szCs w:val="22"/>
          <w:lang w:val="en-US" w:eastAsia="zh-CN"/>
        </w:rPr>
        <w:t>6</w:t>
      </w:r>
      <w:r>
        <w:rPr>
          <w:rFonts w:hint="eastAsia" w:ascii="Times New Roman"/>
          <w:b/>
          <w:bCs/>
          <w:sz w:val="24"/>
          <w:szCs w:val="22"/>
        </w:rPr>
        <w:t xml:space="preserve"> </w:t>
      </w:r>
      <w:r>
        <w:rPr>
          <w:rFonts w:hint="eastAsia" w:ascii="Times New Roman"/>
          <w:sz w:val="24"/>
          <w:szCs w:val="22"/>
        </w:rPr>
        <w:t>型式检验报告 t</w:t>
      </w:r>
      <w:r>
        <w:rPr>
          <w:rFonts w:ascii="Times New Roman"/>
          <w:sz w:val="24"/>
          <w:szCs w:val="22"/>
        </w:rPr>
        <w:t>ype inspection report</w:t>
      </w:r>
    </w:p>
    <w:p w14:paraId="6EBF5890">
      <w:pPr>
        <w:pStyle w:val="174"/>
        <w:spacing w:line="360" w:lineRule="auto"/>
        <w:ind w:firstLine="480"/>
        <w:rPr>
          <w:rFonts w:hint="default" w:ascii="Times New Roman"/>
          <w:sz w:val="24"/>
          <w:szCs w:val="22"/>
          <w:lang w:val="en-US"/>
        </w:rPr>
      </w:pPr>
      <w:r>
        <w:rPr>
          <w:rFonts w:hint="eastAsia" w:ascii="Times New Roman"/>
          <w:sz w:val="24"/>
          <w:szCs w:val="22"/>
        </w:rPr>
        <w:t>由具有资质的检测机构或认证机构出具的文件，用于证明</w:t>
      </w:r>
      <w:r>
        <w:rPr>
          <w:rFonts w:hint="eastAsia" w:ascii="Times New Roman"/>
          <w:sz w:val="24"/>
          <w:szCs w:val="22"/>
          <w:lang w:eastAsia="zh-CN"/>
        </w:rPr>
        <w:t>装置</w:t>
      </w:r>
      <w:r>
        <w:rPr>
          <w:rFonts w:hint="eastAsia" w:ascii="Times New Roman"/>
          <w:sz w:val="24"/>
          <w:szCs w:val="22"/>
        </w:rPr>
        <w:t>的质量和性能符合特定的技术规范或标准。</w:t>
      </w:r>
      <w:r>
        <w:rPr>
          <w:rFonts w:hint="default" w:ascii="Times New Roman"/>
          <w:sz w:val="24"/>
          <w:szCs w:val="22"/>
          <w:lang w:val="en-US"/>
        </w:rPr>
        <w:t xml:space="preserve"> </w:t>
      </w:r>
    </w:p>
    <w:p w14:paraId="3DB58758">
      <w:pPr>
        <w:pStyle w:val="174"/>
        <w:spacing w:line="360" w:lineRule="auto"/>
        <w:ind w:firstLine="0" w:firstLineChars="0"/>
        <w:rPr>
          <w:rFonts w:ascii="Times New Roman"/>
          <w:sz w:val="24"/>
          <w:szCs w:val="22"/>
        </w:rPr>
      </w:pPr>
      <w:r>
        <w:rPr>
          <w:rFonts w:hint="eastAsia" w:ascii="Times New Roman"/>
          <w:b/>
          <w:bCs/>
          <w:sz w:val="24"/>
          <w:szCs w:val="22"/>
        </w:rPr>
        <w:t>2.0.</w:t>
      </w:r>
      <w:r>
        <w:rPr>
          <w:rFonts w:hint="eastAsia" w:ascii="Times New Roman"/>
          <w:b/>
          <w:bCs/>
          <w:sz w:val="24"/>
          <w:szCs w:val="22"/>
          <w:lang w:val="en-US" w:eastAsia="zh-CN"/>
        </w:rPr>
        <w:t>7</w:t>
      </w:r>
      <w:r>
        <w:rPr>
          <w:rFonts w:hint="eastAsia" w:ascii="Times New Roman"/>
          <w:b/>
          <w:bCs/>
          <w:sz w:val="24"/>
          <w:szCs w:val="22"/>
        </w:rPr>
        <w:t xml:space="preserve"> </w:t>
      </w:r>
      <w:r>
        <w:rPr>
          <w:rFonts w:hint="eastAsia" w:ascii="Times New Roman"/>
          <w:sz w:val="24"/>
          <w:szCs w:val="22"/>
        </w:rPr>
        <w:t>第三方检测报告 t</w:t>
      </w:r>
      <w:r>
        <w:rPr>
          <w:rFonts w:ascii="Times New Roman"/>
          <w:sz w:val="24"/>
          <w:szCs w:val="22"/>
        </w:rPr>
        <w:t>hird-party inspection report</w:t>
      </w:r>
    </w:p>
    <w:p w14:paraId="4F7980AA">
      <w:pPr>
        <w:pStyle w:val="174"/>
        <w:spacing w:line="360" w:lineRule="auto"/>
        <w:ind w:firstLine="480"/>
        <w:rPr>
          <w:rFonts w:ascii="Times New Roman"/>
          <w:sz w:val="24"/>
          <w:szCs w:val="22"/>
        </w:rPr>
      </w:pPr>
      <w:r>
        <w:rPr>
          <w:rFonts w:hint="eastAsia" w:ascii="Times New Roman"/>
          <w:sz w:val="24"/>
          <w:szCs w:val="22"/>
        </w:rPr>
        <w:t>由独立于产品生产者和消费者之外的第三方机构，根据一定的标准和程序，对产品或服务的质量、性能、安全性等进行检测和评估后出具的书面证明。</w:t>
      </w:r>
    </w:p>
    <w:p w14:paraId="14C95838">
      <w:pPr>
        <w:widowControl/>
        <w:spacing w:line="360" w:lineRule="auto"/>
        <w:outlineLvl w:val="0"/>
        <w:rPr>
          <w:rFonts w:eastAsia="黑体"/>
          <w:kern w:val="0"/>
          <w:szCs w:val="20"/>
        </w:rPr>
        <w:sectPr>
          <w:pgSz w:w="11906" w:h="16838"/>
          <w:pgMar w:top="1440" w:right="1800" w:bottom="1440" w:left="1800" w:header="1418" w:footer="1134" w:gutter="0"/>
          <w:cols w:space="425" w:num="1"/>
          <w:formProt w:val="0"/>
          <w:docGrid w:type="lines" w:linePitch="312" w:charSpace="0"/>
        </w:sectPr>
      </w:pPr>
    </w:p>
    <w:p w14:paraId="7D418AF7">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kern w:val="0"/>
          <w:sz w:val="30"/>
          <w:szCs w:val="30"/>
        </w:rPr>
      </w:pPr>
      <w:bookmarkStart w:id="11" w:name="_Toc207375980"/>
      <w:bookmarkStart w:id="12" w:name="_Toc3233"/>
      <w:r>
        <w:rPr>
          <w:rFonts w:ascii="Times New Roman" w:hAnsi="Times New Roman" w:cs="Times New Roman"/>
          <w:b/>
          <w:bCs/>
          <w:sz w:val="30"/>
          <w:szCs w:val="30"/>
        </w:rPr>
        <w:t>基本规定</w:t>
      </w:r>
      <w:bookmarkEnd w:id="11"/>
      <w:bookmarkEnd w:id="12"/>
    </w:p>
    <w:p w14:paraId="67F1F695">
      <w:pPr>
        <w:pStyle w:val="174"/>
        <w:spacing w:after="156" w:afterLines="50" w:line="360" w:lineRule="auto"/>
        <w:ind w:firstLine="0" w:firstLineChars="0"/>
        <w:jc w:val="center"/>
        <w:outlineLvl w:val="1"/>
        <w:rPr>
          <w:rFonts w:ascii="Times New Roman"/>
          <w:b/>
          <w:bCs/>
          <w:sz w:val="28"/>
          <w:szCs w:val="28"/>
        </w:rPr>
      </w:pPr>
      <w:bookmarkStart w:id="13" w:name="_Toc207375981"/>
      <w:bookmarkStart w:id="14" w:name="_Toc15717"/>
      <w:r>
        <w:rPr>
          <w:rFonts w:hint="eastAsia" w:ascii="Times New Roman"/>
          <w:b/>
          <w:bCs/>
          <w:sz w:val="28"/>
          <w:szCs w:val="28"/>
        </w:rPr>
        <w:t xml:space="preserve">3.1 </w:t>
      </w:r>
      <w:r>
        <w:rPr>
          <w:rFonts w:ascii="Times New Roman"/>
          <w:b/>
          <w:bCs/>
          <w:sz w:val="28"/>
          <w:szCs w:val="28"/>
        </w:rPr>
        <w:t>评价原则</w:t>
      </w:r>
      <w:bookmarkEnd w:id="13"/>
      <w:bookmarkEnd w:id="14"/>
    </w:p>
    <w:p w14:paraId="51B2434C">
      <w:pPr>
        <w:pStyle w:val="174"/>
        <w:spacing w:line="360" w:lineRule="auto"/>
        <w:ind w:firstLine="0" w:firstLineChars="0"/>
        <w:rPr>
          <w:rFonts w:ascii="Times New Roman"/>
          <w:sz w:val="24"/>
          <w:szCs w:val="24"/>
        </w:rPr>
      </w:pPr>
      <w:r>
        <w:rPr>
          <w:rFonts w:hint="eastAsia" w:ascii="Times New Roman"/>
          <w:b/>
          <w:bCs/>
          <w:sz w:val="24"/>
          <w:szCs w:val="24"/>
        </w:rPr>
        <w:t xml:space="preserve">3.1.1 </w:t>
      </w:r>
      <w:r>
        <w:rPr>
          <w:rFonts w:hint="eastAsia" w:ascii="Times New Roman"/>
          <w:sz w:val="24"/>
          <w:szCs w:val="24"/>
        </w:rPr>
        <w:t>建筑隔减震技术应用评价应覆盖隔减震专项实施全流程，包含对</w:t>
      </w:r>
      <w:r>
        <w:rPr>
          <w:rFonts w:hint="eastAsia" w:ascii="Times New Roman"/>
          <w:sz w:val="24"/>
          <w:szCs w:val="24"/>
          <w:highlight w:val="none"/>
        </w:rPr>
        <w:t>设计、</w:t>
      </w:r>
      <w:r>
        <w:rPr>
          <w:rFonts w:hint="eastAsia" w:ascii="Times New Roman"/>
          <w:sz w:val="24"/>
          <w:szCs w:val="24"/>
          <w:highlight w:val="none"/>
          <w:lang w:val="en-US" w:eastAsia="zh-CN"/>
        </w:rPr>
        <w:t>隔减震装置和</w:t>
      </w:r>
      <w:r>
        <w:rPr>
          <w:rFonts w:hint="eastAsia" w:ascii="Times New Roman"/>
          <w:sz w:val="24"/>
          <w:szCs w:val="24"/>
          <w:highlight w:val="none"/>
        </w:rPr>
        <w:t>施工</w:t>
      </w:r>
      <w:r>
        <w:rPr>
          <w:rFonts w:hint="eastAsia" w:ascii="Times New Roman"/>
          <w:sz w:val="24"/>
          <w:szCs w:val="24"/>
          <w:highlight w:val="none"/>
          <w:lang w:val="en-US" w:eastAsia="zh-CN"/>
        </w:rPr>
        <w:t>实施</w:t>
      </w:r>
      <w:r>
        <w:rPr>
          <w:rFonts w:hint="eastAsia" w:ascii="Times New Roman"/>
          <w:sz w:val="24"/>
          <w:szCs w:val="24"/>
        </w:rPr>
        <w:t>等环节的评价。</w:t>
      </w:r>
    </w:p>
    <w:p w14:paraId="20D38355">
      <w:pPr>
        <w:pStyle w:val="174"/>
        <w:spacing w:line="360" w:lineRule="auto"/>
        <w:ind w:firstLine="0" w:firstLineChars="0"/>
        <w:rPr>
          <w:rFonts w:ascii="Times New Roman"/>
          <w:sz w:val="24"/>
          <w:szCs w:val="24"/>
        </w:rPr>
      </w:pPr>
      <w:r>
        <w:rPr>
          <w:rFonts w:hint="eastAsia" w:ascii="Times New Roman"/>
          <w:b/>
          <w:bCs/>
          <w:sz w:val="24"/>
          <w:szCs w:val="24"/>
        </w:rPr>
        <w:t>3.1.</w:t>
      </w:r>
      <w:r>
        <w:rPr>
          <w:rFonts w:hint="eastAsia" w:ascii="Times New Roman"/>
          <w:b/>
          <w:bCs/>
          <w:sz w:val="24"/>
          <w:szCs w:val="24"/>
          <w:lang w:val="en-US" w:eastAsia="zh-CN"/>
        </w:rPr>
        <w:t>2</w:t>
      </w:r>
      <w:r>
        <w:rPr>
          <w:rFonts w:hint="eastAsia" w:ascii="Times New Roman"/>
          <w:b/>
          <w:bCs/>
          <w:sz w:val="24"/>
          <w:szCs w:val="24"/>
        </w:rPr>
        <w:t xml:space="preserve"> </w:t>
      </w:r>
      <w:r>
        <w:rPr>
          <w:rFonts w:hint="eastAsia" w:ascii="Times New Roman"/>
          <w:sz w:val="24"/>
          <w:szCs w:val="24"/>
        </w:rPr>
        <w:t>评价机构应按照本评价标准的有关要求，对申请评价方提交的设计图纸、计算报告、检测报告、施工记录等文件进行审查和施工</w:t>
      </w:r>
      <w:r>
        <w:rPr>
          <w:rFonts w:hint="eastAsia" w:ascii="Times New Roman"/>
          <w:sz w:val="24"/>
          <w:szCs w:val="24"/>
          <w:lang w:val="en-US" w:eastAsia="zh-CN"/>
        </w:rPr>
        <w:t>结束后的</w:t>
      </w:r>
      <w:r>
        <w:rPr>
          <w:rFonts w:hint="eastAsia" w:ascii="Times New Roman"/>
          <w:sz w:val="24"/>
          <w:szCs w:val="24"/>
        </w:rPr>
        <w:t>现场核查，出具评价报告，确定等级。</w:t>
      </w:r>
    </w:p>
    <w:p w14:paraId="3CD3DB57">
      <w:pPr>
        <w:pStyle w:val="174"/>
        <w:spacing w:before="156" w:beforeLines="50" w:after="156" w:afterLines="50" w:line="360" w:lineRule="auto"/>
        <w:ind w:firstLine="0" w:firstLineChars="0"/>
        <w:jc w:val="center"/>
        <w:outlineLvl w:val="1"/>
        <w:rPr>
          <w:rFonts w:ascii="Times New Roman"/>
          <w:b/>
          <w:bCs/>
          <w:sz w:val="28"/>
          <w:szCs w:val="24"/>
        </w:rPr>
      </w:pPr>
      <w:bookmarkStart w:id="15" w:name="_Toc5663"/>
      <w:r>
        <w:rPr>
          <w:rFonts w:ascii="Times New Roman"/>
          <w:b/>
          <w:bCs/>
          <w:sz w:val="28"/>
          <w:szCs w:val="24"/>
        </w:rPr>
        <w:t>3.</w:t>
      </w:r>
      <w:r>
        <w:rPr>
          <w:rFonts w:hint="eastAsia" w:ascii="Times New Roman"/>
          <w:b/>
          <w:bCs/>
          <w:sz w:val="28"/>
          <w:szCs w:val="24"/>
        </w:rPr>
        <w:t>2</w:t>
      </w:r>
      <w:r>
        <w:rPr>
          <w:rFonts w:ascii="Times New Roman"/>
          <w:b/>
          <w:bCs/>
          <w:sz w:val="28"/>
          <w:szCs w:val="24"/>
        </w:rPr>
        <w:t xml:space="preserve"> 评价</w:t>
      </w:r>
      <w:r>
        <w:rPr>
          <w:rFonts w:hint="eastAsia" w:ascii="Times New Roman"/>
          <w:b/>
          <w:bCs/>
          <w:sz w:val="28"/>
          <w:szCs w:val="24"/>
        </w:rPr>
        <w:t>要求</w:t>
      </w:r>
      <w:bookmarkEnd w:id="15"/>
    </w:p>
    <w:p w14:paraId="224BEC94">
      <w:pPr>
        <w:pStyle w:val="152"/>
        <w:widowControl/>
        <w:autoSpaceDE w:val="0"/>
        <w:autoSpaceDN w:val="0"/>
        <w:spacing w:line="360" w:lineRule="auto"/>
        <w:ind w:firstLine="0" w:firstLineChars="0"/>
        <w:rPr>
          <w:rFonts w:hint="default" w:ascii="Times New Roman"/>
          <w:sz w:val="24"/>
          <w:szCs w:val="24"/>
          <w:lang w:val="en-US"/>
        </w:rPr>
      </w:pPr>
      <w:r>
        <w:rPr>
          <w:rFonts w:hint="eastAsia" w:ascii="Times New Roman"/>
          <w:b/>
          <w:bCs/>
          <w:sz w:val="24"/>
          <w:szCs w:val="24"/>
        </w:rPr>
        <w:t xml:space="preserve">3.2.1 </w:t>
      </w:r>
      <w:r>
        <w:rPr>
          <w:rFonts w:hint="eastAsia" w:ascii="Times New Roman"/>
          <w:sz w:val="24"/>
          <w:szCs w:val="24"/>
        </w:rPr>
        <w:t>申请评价方应</w:t>
      </w:r>
      <w:r>
        <w:rPr>
          <w:rFonts w:hint="eastAsia" w:ascii="Times New Roman"/>
          <w:sz w:val="24"/>
          <w:szCs w:val="24"/>
          <w:lang w:val="en-US" w:eastAsia="zh-CN"/>
        </w:rPr>
        <w:t>提供以下资料或工作条件</w:t>
      </w:r>
      <w:r>
        <w:rPr>
          <w:rFonts w:hint="eastAsia" w:ascii="Times New Roman"/>
          <w:sz w:val="24"/>
          <w:szCs w:val="24"/>
        </w:rPr>
        <w:t>：</w:t>
      </w:r>
    </w:p>
    <w:p w14:paraId="1FE7743C">
      <w:pPr>
        <w:pStyle w:val="152"/>
        <w:widowControl/>
        <w:autoSpaceDE w:val="0"/>
        <w:autoSpaceDN w:val="0"/>
        <w:spacing w:line="360" w:lineRule="auto"/>
        <w:ind w:firstLine="480"/>
        <w:rPr>
          <w:rFonts w:hint="eastAsia" w:ascii="Times New Roman"/>
          <w:sz w:val="24"/>
          <w:szCs w:val="24"/>
        </w:rPr>
      </w:pPr>
      <w:r>
        <w:rPr>
          <w:rFonts w:hint="eastAsia" w:ascii="Times New Roman"/>
          <w:sz w:val="24"/>
          <w:szCs w:val="24"/>
          <w:lang w:val="en-US" w:eastAsia="zh-CN"/>
        </w:rPr>
        <w:t>1</w:t>
      </w:r>
      <w:r>
        <w:rPr>
          <w:rFonts w:hint="eastAsia" w:ascii="Times New Roman"/>
          <w:sz w:val="24"/>
          <w:szCs w:val="24"/>
        </w:rPr>
        <w:t xml:space="preserve"> </w:t>
      </w:r>
      <w:r>
        <w:rPr>
          <w:rFonts w:hint="eastAsia" w:ascii="Times New Roman"/>
          <w:sz w:val="24"/>
          <w:szCs w:val="24"/>
          <w:lang w:val="en-US" w:eastAsia="zh-CN"/>
        </w:rPr>
        <w:t>建筑隔减震专项设计文件，包括设计图纸、计算报告等</w:t>
      </w:r>
      <w:r>
        <w:rPr>
          <w:rFonts w:hint="eastAsia" w:ascii="Times New Roman"/>
          <w:sz w:val="24"/>
          <w:szCs w:val="24"/>
        </w:rPr>
        <w:t>；</w:t>
      </w:r>
    </w:p>
    <w:p w14:paraId="4898963B">
      <w:pPr>
        <w:pStyle w:val="152"/>
        <w:widowControl/>
        <w:autoSpaceDE w:val="0"/>
        <w:autoSpaceDN w:val="0"/>
        <w:spacing w:line="360" w:lineRule="auto"/>
        <w:ind w:firstLine="480"/>
        <w:rPr>
          <w:rFonts w:hint="eastAsia" w:ascii="Times New Roman"/>
          <w:sz w:val="24"/>
          <w:szCs w:val="24"/>
          <w:lang w:val="en-US" w:eastAsia="zh-CN"/>
        </w:rPr>
      </w:pPr>
      <w:r>
        <w:rPr>
          <w:rFonts w:hint="eastAsia" w:ascii="Times New Roman"/>
          <w:sz w:val="24"/>
          <w:szCs w:val="24"/>
          <w:lang w:val="en-US" w:eastAsia="zh-CN"/>
        </w:rPr>
        <w:t>2 隔减震装置相关技术文件，包括型式检验报告、出厂检验报告、第三方检测报告等；</w:t>
      </w:r>
    </w:p>
    <w:p w14:paraId="5CF3C5BD">
      <w:pPr>
        <w:pStyle w:val="152"/>
        <w:widowControl/>
        <w:autoSpaceDE w:val="0"/>
        <w:autoSpaceDN w:val="0"/>
        <w:spacing w:line="360" w:lineRule="auto"/>
        <w:ind w:firstLine="480"/>
        <w:rPr>
          <w:rFonts w:hint="eastAsia" w:ascii="Times New Roman"/>
          <w:sz w:val="24"/>
          <w:szCs w:val="24"/>
          <w:lang w:val="en-US" w:eastAsia="zh-CN"/>
        </w:rPr>
      </w:pPr>
      <w:r>
        <w:rPr>
          <w:rFonts w:hint="eastAsia" w:ascii="Times New Roman"/>
          <w:sz w:val="24"/>
          <w:szCs w:val="24"/>
          <w:lang w:val="en-US" w:eastAsia="zh-CN"/>
        </w:rPr>
        <w:t>3 隔减震专项施工资料，包括施工记录、现场核查记录、验收报告等；</w:t>
      </w:r>
    </w:p>
    <w:p w14:paraId="3A08B4AE">
      <w:pPr>
        <w:pStyle w:val="152"/>
        <w:widowControl/>
        <w:autoSpaceDE w:val="0"/>
        <w:autoSpaceDN w:val="0"/>
        <w:spacing w:line="360" w:lineRule="auto"/>
        <w:ind w:firstLine="480"/>
        <w:rPr>
          <w:rFonts w:hint="default" w:ascii="Times New Roman"/>
          <w:sz w:val="24"/>
          <w:szCs w:val="24"/>
          <w:lang w:val="en-US" w:eastAsia="zh-CN"/>
        </w:rPr>
      </w:pPr>
      <w:r>
        <w:rPr>
          <w:rFonts w:hint="eastAsia" w:ascii="Times New Roman"/>
          <w:sz w:val="24"/>
          <w:szCs w:val="24"/>
          <w:lang w:val="en-US" w:eastAsia="zh-CN"/>
        </w:rPr>
        <w:t>4 与评价工作相关的其他技术资料，包括必要的补充说明文件等。</w:t>
      </w:r>
    </w:p>
    <w:p w14:paraId="45032C55">
      <w:pPr>
        <w:pStyle w:val="152"/>
        <w:widowControl/>
        <w:autoSpaceDE w:val="0"/>
        <w:autoSpaceDN w:val="0"/>
        <w:spacing w:line="360" w:lineRule="auto"/>
        <w:ind w:firstLine="480"/>
        <w:rPr>
          <w:rFonts w:ascii="Times New Roman"/>
          <w:sz w:val="24"/>
          <w:szCs w:val="24"/>
        </w:rPr>
      </w:pPr>
      <w:r>
        <w:rPr>
          <w:rFonts w:hint="eastAsia" w:ascii="Times New Roman"/>
          <w:sz w:val="24"/>
          <w:szCs w:val="24"/>
          <w:lang w:val="en-US" w:eastAsia="zh-CN"/>
        </w:rPr>
        <w:t>5</w:t>
      </w:r>
      <w:r>
        <w:rPr>
          <w:rFonts w:hint="eastAsia" w:ascii="Times New Roman"/>
          <w:sz w:val="24"/>
          <w:szCs w:val="24"/>
        </w:rPr>
        <w:t xml:space="preserve"> 若涉及新型建筑</w:t>
      </w:r>
      <w:r>
        <w:rPr>
          <w:rFonts w:hint="eastAsia" w:ascii="Times New Roman"/>
          <w:sz w:val="24"/>
          <w:szCs w:val="24"/>
          <w:lang w:eastAsia="zh-CN"/>
        </w:rPr>
        <w:t>隔减震装置</w:t>
      </w:r>
      <w:r>
        <w:rPr>
          <w:rFonts w:hint="eastAsia" w:ascii="Times New Roman"/>
          <w:sz w:val="24"/>
          <w:szCs w:val="24"/>
        </w:rPr>
        <w:t>或特殊使用环境，需额外提交对应的技术说明资料。</w:t>
      </w:r>
    </w:p>
    <w:p w14:paraId="1C404BA0">
      <w:pPr>
        <w:pStyle w:val="152"/>
        <w:widowControl/>
        <w:autoSpaceDE w:val="0"/>
        <w:autoSpaceDN w:val="0"/>
        <w:spacing w:line="360" w:lineRule="auto"/>
        <w:ind w:firstLine="0" w:firstLineChars="0"/>
        <w:rPr>
          <w:rFonts w:hint="default" w:ascii="Times New Roman"/>
          <w:sz w:val="24"/>
          <w:szCs w:val="24"/>
          <w:lang w:val="en-US"/>
        </w:rPr>
      </w:pPr>
      <w:r>
        <w:rPr>
          <w:rFonts w:hint="eastAsia" w:ascii="Times New Roman"/>
          <w:b/>
          <w:bCs/>
          <w:sz w:val="24"/>
          <w:szCs w:val="24"/>
        </w:rPr>
        <w:t xml:space="preserve">3.2.2 </w:t>
      </w:r>
      <w:r>
        <w:rPr>
          <w:rFonts w:hint="eastAsia" w:ascii="Times New Roman"/>
          <w:sz w:val="24"/>
          <w:szCs w:val="24"/>
        </w:rPr>
        <w:t>评价机构应符合以下条件：</w:t>
      </w:r>
    </w:p>
    <w:p w14:paraId="69A20314">
      <w:pPr>
        <w:pStyle w:val="152"/>
        <w:widowControl/>
        <w:autoSpaceDE w:val="0"/>
        <w:autoSpaceDN w:val="0"/>
        <w:spacing w:line="360" w:lineRule="auto"/>
        <w:ind w:firstLine="480"/>
        <w:rPr>
          <w:rFonts w:ascii="Times New Roman"/>
          <w:sz w:val="24"/>
          <w:szCs w:val="24"/>
        </w:rPr>
      </w:pPr>
      <w:r>
        <w:rPr>
          <w:rFonts w:hint="eastAsia" w:ascii="Times New Roman"/>
          <w:sz w:val="24"/>
          <w:szCs w:val="24"/>
        </w:rPr>
        <w:t>1 具备独立法人资格，通过市场监管部门注册登记，具备相应</w:t>
      </w:r>
      <w:r>
        <w:rPr>
          <w:rFonts w:hint="eastAsia" w:ascii="Times New Roman"/>
          <w:sz w:val="24"/>
          <w:szCs w:val="24"/>
          <w:lang w:val="en-US" w:eastAsia="zh-CN"/>
        </w:rPr>
        <w:t>设计或认证</w:t>
      </w:r>
      <w:r>
        <w:rPr>
          <w:rFonts w:hint="eastAsia" w:ascii="Times New Roman"/>
          <w:sz w:val="24"/>
          <w:szCs w:val="24"/>
        </w:rPr>
        <w:t>资质；</w:t>
      </w:r>
    </w:p>
    <w:p w14:paraId="48C7CC82">
      <w:pPr>
        <w:pStyle w:val="152"/>
        <w:widowControl/>
        <w:autoSpaceDE w:val="0"/>
        <w:autoSpaceDN w:val="0"/>
        <w:spacing w:line="360" w:lineRule="auto"/>
        <w:ind w:firstLine="480"/>
        <w:rPr>
          <w:rFonts w:ascii="Times New Roman"/>
          <w:sz w:val="24"/>
          <w:szCs w:val="24"/>
        </w:rPr>
      </w:pPr>
      <w:r>
        <w:rPr>
          <w:rFonts w:hint="eastAsia" w:ascii="Times New Roman"/>
          <w:sz w:val="24"/>
          <w:szCs w:val="24"/>
        </w:rPr>
        <w:t>2 具有结构工程、材料工程等专业人</w:t>
      </w:r>
      <w:r>
        <w:rPr>
          <w:rFonts w:hint="eastAsia" w:ascii="Times New Roman"/>
          <w:sz w:val="24"/>
          <w:szCs w:val="24"/>
          <w:lang w:val="en-US" w:eastAsia="zh-CN"/>
        </w:rPr>
        <w:t>员</w:t>
      </w:r>
      <w:r>
        <w:rPr>
          <w:rFonts w:hint="eastAsia" w:ascii="Times New Roman"/>
          <w:sz w:val="24"/>
          <w:szCs w:val="24"/>
        </w:rPr>
        <w:t>，能对结构设计资料、</w:t>
      </w:r>
      <w:r>
        <w:rPr>
          <w:rFonts w:hint="eastAsia" w:ascii="Times New Roman"/>
          <w:sz w:val="24"/>
          <w:szCs w:val="24"/>
          <w:lang w:val="en-US" w:eastAsia="zh-CN"/>
        </w:rPr>
        <w:t>装置</w:t>
      </w:r>
      <w:r>
        <w:rPr>
          <w:rFonts w:hint="eastAsia" w:ascii="Times New Roman"/>
          <w:sz w:val="24"/>
          <w:szCs w:val="24"/>
        </w:rPr>
        <w:t>检测数据、施工</w:t>
      </w:r>
      <w:r>
        <w:rPr>
          <w:rFonts w:hint="eastAsia" w:ascii="Times New Roman"/>
          <w:sz w:val="24"/>
          <w:szCs w:val="24"/>
          <w:lang w:val="en-US" w:eastAsia="zh-CN"/>
        </w:rPr>
        <w:t>验收报告和工程现场核查</w:t>
      </w:r>
      <w:r>
        <w:rPr>
          <w:rFonts w:hint="eastAsia" w:ascii="Times New Roman"/>
          <w:sz w:val="24"/>
          <w:szCs w:val="24"/>
        </w:rPr>
        <w:t>等内容进行技术测评。</w:t>
      </w:r>
    </w:p>
    <w:p w14:paraId="79587015">
      <w:pPr>
        <w:pStyle w:val="174"/>
        <w:spacing w:before="156" w:beforeLines="50" w:after="156" w:afterLines="50" w:line="360" w:lineRule="auto"/>
        <w:ind w:firstLine="0" w:firstLineChars="0"/>
        <w:jc w:val="center"/>
        <w:outlineLvl w:val="1"/>
        <w:rPr>
          <w:rFonts w:ascii="Times New Roman"/>
          <w:b/>
          <w:bCs/>
          <w:sz w:val="28"/>
          <w:szCs w:val="24"/>
        </w:rPr>
      </w:pPr>
      <w:bookmarkStart w:id="16" w:name="_Toc207375982"/>
      <w:bookmarkStart w:id="17" w:name="_Toc20623"/>
      <w:r>
        <w:rPr>
          <w:rFonts w:hint="eastAsia" w:ascii="Times New Roman"/>
          <w:b/>
          <w:bCs/>
          <w:sz w:val="28"/>
          <w:szCs w:val="24"/>
        </w:rPr>
        <w:t>3.3 评价方法</w:t>
      </w:r>
      <w:bookmarkEnd w:id="16"/>
      <w:bookmarkEnd w:id="17"/>
    </w:p>
    <w:p w14:paraId="4C352035">
      <w:pPr>
        <w:pStyle w:val="174"/>
        <w:spacing w:line="360" w:lineRule="auto"/>
        <w:ind w:firstLine="0" w:firstLineChars="0"/>
        <w:rPr>
          <w:rFonts w:hint="eastAsia" w:ascii="Times New Roman" w:eastAsia="宋体"/>
          <w:sz w:val="24"/>
          <w:szCs w:val="22"/>
          <w:lang w:eastAsia="zh-CN"/>
        </w:rPr>
      </w:pPr>
      <w:r>
        <w:rPr>
          <w:rFonts w:hint="eastAsia" w:ascii="Times New Roman"/>
          <w:b/>
          <w:bCs/>
          <w:sz w:val="24"/>
          <w:szCs w:val="22"/>
        </w:rPr>
        <w:t xml:space="preserve">3.3.1 </w:t>
      </w:r>
      <w:r>
        <w:rPr>
          <w:rFonts w:hint="eastAsia" w:ascii="Times New Roman"/>
          <w:sz w:val="24"/>
          <w:szCs w:val="22"/>
        </w:rPr>
        <w:t>建筑隔减震技术应用评价指标由隔减震设计评价、</w:t>
      </w:r>
      <w:r>
        <w:rPr>
          <w:rFonts w:hint="eastAsia" w:ascii="Times New Roman"/>
          <w:sz w:val="24"/>
          <w:szCs w:val="22"/>
          <w:lang w:eastAsia="zh-CN"/>
        </w:rPr>
        <w:t>隔减震装置</w:t>
      </w:r>
      <w:r>
        <w:rPr>
          <w:rFonts w:hint="eastAsia" w:ascii="Times New Roman"/>
          <w:sz w:val="24"/>
          <w:szCs w:val="22"/>
        </w:rPr>
        <w:t>评价、隔减震专项施工评价3类指标组成，每类指标均包括控制项和评分项，并统一设置提高与创新加分项。</w:t>
      </w:r>
    </w:p>
    <w:p w14:paraId="47CCE399">
      <w:pPr>
        <w:pStyle w:val="152"/>
        <w:widowControl/>
        <w:autoSpaceDE w:val="0"/>
        <w:autoSpaceDN w:val="0"/>
        <w:spacing w:line="360" w:lineRule="auto"/>
        <w:ind w:firstLine="0" w:firstLineChars="0"/>
        <w:rPr>
          <w:rFonts w:hint="eastAsia" w:ascii="Times New Roman"/>
          <w:sz w:val="24"/>
          <w:szCs w:val="28"/>
        </w:rPr>
      </w:pPr>
      <w:r>
        <w:rPr>
          <w:rFonts w:hint="eastAsia" w:ascii="Times New Roman"/>
          <w:b/>
          <w:bCs/>
          <w:sz w:val="24"/>
          <w:szCs w:val="28"/>
        </w:rPr>
        <w:t xml:space="preserve">3.3.2 </w:t>
      </w:r>
      <w:r>
        <w:rPr>
          <w:rFonts w:hint="eastAsia" w:ascii="Times New Roman"/>
          <w:sz w:val="24"/>
          <w:szCs w:val="28"/>
        </w:rPr>
        <w:t>控制项的评价结果应为达标或不达标</w:t>
      </w:r>
      <w:r>
        <w:rPr>
          <w:rFonts w:hint="eastAsia" w:ascii="Times New Roman"/>
          <w:sz w:val="24"/>
          <w:szCs w:val="28"/>
          <w:lang w:eastAsia="zh-CN"/>
        </w:rPr>
        <w:t>。</w:t>
      </w:r>
      <w:r>
        <w:rPr>
          <w:rFonts w:hint="eastAsia" w:ascii="Times New Roman"/>
          <w:sz w:val="24"/>
          <w:szCs w:val="28"/>
          <w:lang w:val="en-US" w:eastAsia="zh-CN"/>
        </w:rPr>
        <w:t>若不达标，评价机构不予评价并终止评价。</w:t>
      </w:r>
      <w:r>
        <w:rPr>
          <w:rFonts w:hint="eastAsia" w:ascii="Times New Roman"/>
          <w:sz w:val="24"/>
          <w:szCs w:val="28"/>
        </w:rPr>
        <w:t>评分项和加分项的评价结果应为分值，当加分项得分之和大于100分时，应取为100分。</w:t>
      </w:r>
    </w:p>
    <w:p w14:paraId="534A418C">
      <w:pPr>
        <w:pStyle w:val="152"/>
        <w:widowControl/>
        <w:autoSpaceDE w:val="0"/>
        <w:autoSpaceDN w:val="0"/>
        <w:spacing w:line="360" w:lineRule="auto"/>
        <w:ind w:firstLine="0" w:firstLineChars="0"/>
        <w:rPr>
          <w:rFonts w:hint="default" w:ascii="Times New Roman" w:eastAsiaTheme="minorEastAsia"/>
          <w:b/>
          <w:bCs/>
          <w:sz w:val="24"/>
          <w:szCs w:val="28"/>
          <w:lang w:val="en-US" w:eastAsia="zh-CN"/>
        </w:rPr>
      </w:pPr>
      <w:r>
        <w:rPr>
          <w:rFonts w:hint="eastAsia" w:ascii="Times New Roman"/>
          <w:b/>
          <w:bCs/>
          <w:sz w:val="24"/>
          <w:szCs w:val="28"/>
          <w:lang w:val="en-US" w:eastAsia="zh-CN"/>
        </w:rPr>
        <w:t xml:space="preserve">3.3.3 </w:t>
      </w:r>
      <w:r>
        <w:rPr>
          <w:rFonts w:hint="eastAsia" w:ascii="Times New Roman"/>
          <w:b w:val="0"/>
          <w:bCs w:val="0"/>
          <w:sz w:val="24"/>
          <w:szCs w:val="28"/>
          <w:lang w:val="en-US" w:eastAsia="zh-CN"/>
        </w:rPr>
        <w:t>当同一隔减震建筑中采用多种不同的隔减震装置时，应根据隔减震装置的实际使用数量进行加权平均计算。</w:t>
      </w:r>
    </w:p>
    <w:p w14:paraId="1912413A">
      <w:pPr>
        <w:pStyle w:val="152"/>
        <w:widowControl/>
        <w:autoSpaceDE w:val="0"/>
        <w:autoSpaceDN w:val="0"/>
        <w:spacing w:line="360" w:lineRule="auto"/>
        <w:ind w:firstLine="0" w:firstLineChars="0"/>
        <w:rPr>
          <w:rFonts w:ascii="Times New Roman"/>
          <w:sz w:val="24"/>
          <w:szCs w:val="28"/>
        </w:rPr>
      </w:pPr>
      <w:r>
        <w:rPr>
          <w:rFonts w:hint="eastAsia" w:ascii="Times New Roman"/>
          <w:b/>
          <w:bCs/>
          <w:sz w:val="24"/>
          <w:szCs w:val="28"/>
        </w:rPr>
        <w:t>3.3.</w:t>
      </w:r>
      <w:r>
        <w:rPr>
          <w:rFonts w:hint="eastAsia" w:ascii="Times New Roman"/>
          <w:b/>
          <w:bCs/>
          <w:sz w:val="24"/>
          <w:szCs w:val="28"/>
          <w:lang w:val="en-US" w:eastAsia="zh-CN"/>
        </w:rPr>
        <w:t>4</w:t>
      </w:r>
      <w:r>
        <w:rPr>
          <w:rFonts w:hint="eastAsia" w:ascii="Times New Roman"/>
          <w:b/>
          <w:bCs/>
          <w:sz w:val="24"/>
          <w:szCs w:val="28"/>
        </w:rPr>
        <w:t xml:space="preserve"> </w:t>
      </w:r>
      <w:r>
        <w:rPr>
          <w:rFonts w:hint="eastAsia" w:ascii="Times New Roman"/>
          <w:sz w:val="24"/>
          <w:szCs w:val="28"/>
        </w:rPr>
        <w:t>若</w:t>
      </w:r>
      <w:r>
        <w:rPr>
          <w:rFonts w:hint="eastAsia" w:ascii="Times New Roman"/>
          <w:sz w:val="24"/>
          <w:szCs w:val="28"/>
          <w:lang w:eastAsia="zh-CN"/>
        </w:rPr>
        <w:t>消能减震装置</w:t>
      </w:r>
      <w:r>
        <w:rPr>
          <w:rFonts w:hint="eastAsia" w:ascii="Times New Roman"/>
          <w:sz w:val="24"/>
          <w:szCs w:val="28"/>
        </w:rPr>
        <w:t>用于隔震层以上结构，应取隔震技术应用评价与减震技术应用评价的</w:t>
      </w:r>
      <w:r>
        <w:rPr>
          <w:rFonts w:hint="eastAsia" w:ascii="Times New Roman"/>
          <w:sz w:val="24"/>
          <w:szCs w:val="28"/>
          <w:lang w:val="en-US" w:eastAsia="zh-CN"/>
        </w:rPr>
        <w:t>最低值</w:t>
      </w:r>
      <w:r>
        <w:rPr>
          <w:rFonts w:hint="eastAsia" w:ascii="Times New Roman"/>
          <w:sz w:val="24"/>
          <w:szCs w:val="28"/>
        </w:rPr>
        <w:t>作为最终得分。</w:t>
      </w:r>
    </w:p>
    <w:p w14:paraId="3A8AA5F8">
      <w:pPr>
        <w:pStyle w:val="152"/>
        <w:widowControl/>
        <w:autoSpaceDE w:val="0"/>
        <w:autoSpaceDN w:val="0"/>
        <w:spacing w:line="360" w:lineRule="auto"/>
        <w:ind w:firstLine="0" w:firstLineChars="0"/>
        <w:rPr>
          <w:rFonts w:ascii="Times New Roman"/>
          <w:sz w:val="24"/>
          <w:szCs w:val="28"/>
        </w:rPr>
      </w:pPr>
      <w:r>
        <w:rPr>
          <w:rFonts w:hint="eastAsia" w:ascii="Times New Roman"/>
          <w:b/>
          <w:bCs/>
          <w:sz w:val="24"/>
          <w:szCs w:val="28"/>
        </w:rPr>
        <w:t>3.3.</w:t>
      </w:r>
      <w:r>
        <w:rPr>
          <w:rFonts w:hint="eastAsia" w:ascii="Times New Roman"/>
          <w:b/>
          <w:bCs/>
          <w:sz w:val="24"/>
          <w:szCs w:val="28"/>
          <w:lang w:val="en-US" w:eastAsia="zh-CN"/>
        </w:rPr>
        <w:t>5</w:t>
      </w:r>
      <w:r>
        <w:rPr>
          <w:rFonts w:hint="eastAsia" w:ascii="Times New Roman"/>
          <w:b/>
          <w:bCs/>
          <w:sz w:val="24"/>
          <w:szCs w:val="28"/>
        </w:rPr>
        <w:t xml:space="preserve"> </w:t>
      </w:r>
      <w:r>
        <w:rPr>
          <w:rFonts w:hint="eastAsia" w:ascii="Times New Roman"/>
          <w:sz w:val="24"/>
          <w:szCs w:val="28"/>
        </w:rPr>
        <w:t>建筑隔减震技术应用评价指标分值应符合表3.3.4的规定。</w:t>
      </w:r>
    </w:p>
    <w:p w14:paraId="582C52F7">
      <w:pPr>
        <w:pStyle w:val="174"/>
        <w:spacing w:line="360" w:lineRule="auto"/>
        <w:ind w:firstLine="0" w:firstLineChars="0"/>
        <w:jc w:val="center"/>
        <w:rPr>
          <w:rFonts w:ascii="Times New Roman"/>
        </w:rPr>
      </w:pPr>
      <w:r>
        <w:rPr>
          <w:rFonts w:hint="eastAsia" w:ascii="Times New Roman"/>
        </w:rPr>
        <w:t>表3.3.4 建筑隔减震技术应用评价指标分值</w:t>
      </w:r>
    </w:p>
    <w:tbl>
      <w:tblPr>
        <w:tblStyle w:val="4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57"/>
        <w:gridCol w:w="1016"/>
        <w:gridCol w:w="1176"/>
        <w:gridCol w:w="1376"/>
        <w:gridCol w:w="1312"/>
        <w:gridCol w:w="1063"/>
      </w:tblGrid>
      <w:tr w14:paraId="046E75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jc w:val="center"/>
        </w:trPr>
        <w:tc>
          <w:tcPr>
            <w:tcW w:w="1057" w:type="dxa"/>
            <w:vMerge w:val="restart"/>
            <w:vAlign w:val="center"/>
          </w:tcPr>
          <w:p w14:paraId="19003802">
            <w:pPr>
              <w:pStyle w:val="174"/>
              <w:ind w:firstLine="0" w:firstLineChars="0"/>
              <w:jc w:val="center"/>
              <w:rPr>
                <w:rFonts w:ascii="Times New Roman"/>
                <w:color w:val="000000" w:themeColor="text1"/>
                <w:szCs w:val="18"/>
                <w14:textFill>
                  <w14:solidFill>
                    <w14:schemeClr w14:val="tx1"/>
                  </w14:solidFill>
                </w14:textFill>
              </w:rPr>
            </w:pPr>
            <w:r>
              <w:rPr>
                <w:rFonts w:ascii="Times New Roman"/>
                <w:color w:val="000000" w:themeColor="text1"/>
                <w:szCs w:val="18"/>
                <w14:textFill>
                  <w14:solidFill>
                    <w14:schemeClr w14:val="tx1"/>
                  </w14:solidFill>
                </w14:textFill>
              </w:rPr>
              <w:t>评价指标</w:t>
            </w:r>
          </w:p>
        </w:tc>
        <w:tc>
          <w:tcPr>
            <w:tcW w:w="3568" w:type="dxa"/>
            <w:gridSpan w:val="3"/>
            <w:vAlign w:val="center"/>
          </w:tcPr>
          <w:p w14:paraId="1D41D488">
            <w:pPr>
              <w:pStyle w:val="174"/>
              <w:ind w:firstLine="0" w:firstLineChars="0"/>
              <w:jc w:val="center"/>
              <w:rPr>
                <w:rFonts w:ascii="Times New Roman"/>
                <w:color w:val="000000" w:themeColor="text1"/>
                <w:szCs w:val="18"/>
                <w14:textFill>
                  <w14:solidFill>
                    <w14:schemeClr w14:val="tx1"/>
                  </w14:solidFill>
                </w14:textFill>
              </w:rPr>
            </w:pPr>
            <w:r>
              <w:rPr>
                <w:rFonts w:hint="eastAsia" w:ascii="Times New Roman"/>
                <w:color w:val="000000" w:themeColor="text1"/>
                <w:szCs w:val="18"/>
                <w14:textFill>
                  <w14:solidFill>
                    <w14:schemeClr w14:val="tx1"/>
                  </w14:solidFill>
                </w14:textFill>
              </w:rPr>
              <w:t>评价指标评分项满分值</w:t>
            </w:r>
          </w:p>
        </w:tc>
        <w:tc>
          <w:tcPr>
            <w:tcW w:w="1312" w:type="dxa"/>
            <w:vMerge w:val="restart"/>
            <w:vAlign w:val="center"/>
          </w:tcPr>
          <w:p w14:paraId="018319A3">
            <w:pPr>
              <w:pStyle w:val="174"/>
              <w:ind w:firstLine="0" w:firstLineChars="0"/>
              <w:jc w:val="center"/>
              <w:rPr>
                <w:rFonts w:hint="default" w:ascii="Times New Roman"/>
                <w:color w:val="000000" w:themeColor="text1"/>
                <w:szCs w:val="18"/>
                <w:lang w:val="en-US"/>
                <w14:textFill>
                  <w14:solidFill>
                    <w14:schemeClr w14:val="tx1"/>
                  </w14:solidFill>
                </w14:textFill>
              </w:rPr>
            </w:pPr>
            <w:r>
              <w:rPr>
                <w:rFonts w:hint="eastAsia" w:ascii="Times New Roman"/>
                <w:color w:val="000000" w:themeColor="text1"/>
                <w:szCs w:val="18"/>
                <w14:textFill>
                  <w14:solidFill>
                    <w14:schemeClr w14:val="tx1"/>
                  </w14:solidFill>
                </w14:textFill>
              </w:rPr>
              <w:t>提高与创新</w:t>
            </w:r>
            <w:r>
              <w:rPr>
                <w:rFonts w:ascii="Times New Roman"/>
                <w:color w:val="000000" w:themeColor="text1"/>
                <w:szCs w:val="18"/>
                <w14:textFill>
                  <w14:solidFill>
                    <w14:schemeClr w14:val="tx1"/>
                  </w14:solidFill>
                </w14:textFill>
              </w:rPr>
              <w:t>加分项</w:t>
            </w:r>
            <w:r>
              <w:rPr>
                <w:rFonts w:hint="eastAsia" w:ascii="Times New Roman"/>
                <w:color w:val="000000" w:themeColor="text1"/>
                <w:szCs w:val="18"/>
                <w14:textFill>
                  <w14:solidFill>
                    <w14:schemeClr w14:val="tx1"/>
                  </w14:solidFill>
                </w14:textFill>
              </w:rPr>
              <w:t>满分值</w:t>
            </w:r>
            <w:r>
              <w:rPr>
                <w:rFonts w:hint="eastAsia" w:ascii="Times New Roman"/>
                <w:i/>
                <w:iCs/>
                <w:color w:val="000000" w:themeColor="text1"/>
                <w:szCs w:val="18"/>
                <w:lang w:val="en-US" w:eastAsia="zh-CN"/>
                <w14:textFill>
                  <w14:solidFill>
                    <w14:schemeClr w14:val="tx1"/>
                  </w14:solidFill>
                </w14:textFill>
              </w:rPr>
              <w:t>Q</w:t>
            </w:r>
            <w:r>
              <w:rPr>
                <w:rFonts w:hint="eastAsia" w:ascii="Times New Roman"/>
                <w:i w:val="0"/>
                <w:iCs w:val="0"/>
                <w:color w:val="000000" w:themeColor="text1"/>
                <w:szCs w:val="18"/>
                <w:vertAlign w:val="subscript"/>
                <w:lang w:val="en-US" w:eastAsia="zh-CN"/>
                <w14:textFill>
                  <w14:solidFill>
                    <w14:schemeClr w14:val="tx1"/>
                  </w14:solidFill>
                </w14:textFill>
              </w:rPr>
              <w:t>A</w:t>
            </w:r>
          </w:p>
        </w:tc>
        <w:tc>
          <w:tcPr>
            <w:tcW w:w="1063" w:type="dxa"/>
            <w:vMerge w:val="restart"/>
            <w:vAlign w:val="center"/>
          </w:tcPr>
          <w:p w14:paraId="1C910EF1">
            <w:pPr>
              <w:pStyle w:val="174"/>
              <w:ind w:firstLine="0" w:firstLineChars="0"/>
              <w:jc w:val="center"/>
              <w:rPr>
                <w:rFonts w:ascii="Times New Roman"/>
                <w:color w:val="000000" w:themeColor="text1"/>
                <w:szCs w:val="18"/>
                <w14:textFill>
                  <w14:solidFill>
                    <w14:schemeClr w14:val="tx1"/>
                  </w14:solidFill>
                </w14:textFill>
              </w:rPr>
            </w:pPr>
            <w:r>
              <w:rPr>
                <w:rFonts w:ascii="Times New Roman"/>
                <w:color w:val="000000" w:themeColor="text1"/>
                <w:szCs w:val="18"/>
                <w14:textFill>
                  <w14:solidFill>
                    <w14:schemeClr w14:val="tx1"/>
                  </w14:solidFill>
                </w14:textFill>
              </w:rPr>
              <w:t>分值合计</w:t>
            </w:r>
            <w:r>
              <w:rPr>
                <w:rFonts w:hint="eastAsia" w:ascii="Times New Roman"/>
                <w:i/>
                <w:iCs/>
                <w:color w:val="000000" w:themeColor="text1"/>
                <w:szCs w:val="18"/>
                <w:lang w:val="en-US" w:eastAsia="zh-CN"/>
                <w14:textFill>
                  <w14:solidFill>
                    <w14:schemeClr w14:val="tx1"/>
                  </w14:solidFill>
                </w14:textFill>
              </w:rPr>
              <w:t>Q</w:t>
            </w:r>
          </w:p>
        </w:tc>
      </w:tr>
      <w:tr w14:paraId="47CE5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jc w:val="center"/>
        </w:trPr>
        <w:tc>
          <w:tcPr>
            <w:tcW w:w="1057" w:type="dxa"/>
            <w:vMerge w:val="continue"/>
            <w:vAlign w:val="center"/>
          </w:tcPr>
          <w:p w14:paraId="1CA0330C">
            <w:pPr>
              <w:pStyle w:val="174"/>
              <w:ind w:firstLine="0" w:firstLineChars="0"/>
              <w:jc w:val="center"/>
              <w:rPr>
                <w:rFonts w:ascii="Times New Roman"/>
                <w:color w:val="000000" w:themeColor="text1"/>
                <w:szCs w:val="18"/>
                <w14:textFill>
                  <w14:solidFill>
                    <w14:schemeClr w14:val="tx1"/>
                  </w14:solidFill>
                </w14:textFill>
              </w:rPr>
            </w:pPr>
          </w:p>
        </w:tc>
        <w:tc>
          <w:tcPr>
            <w:tcW w:w="1016" w:type="dxa"/>
            <w:vAlign w:val="center"/>
          </w:tcPr>
          <w:p w14:paraId="48D31183">
            <w:pPr>
              <w:pStyle w:val="174"/>
              <w:ind w:firstLine="0" w:firstLineChars="0"/>
              <w:jc w:val="center"/>
              <w:rPr>
                <w:rFonts w:hint="default" w:ascii="Times New Roman"/>
                <w:color w:val="000000" w:themeColor="text1"/>
                <w:szCs w:val="18"/>
                <w:lang w:val="en-US"/>
                <w14:textFill>
                  <w14:solidFill>
                    <w14:schemeClr w14:val="tx1"/>
                  </w14:solidFill>
                </w14:textFill>
              </w:rPr>
            </w:pPr>
            <w:r>
              <w:rPr>
                <w:rFonts w:ascii="Times New Roman"/>
                <w:color w:val="000000" w:themeColor="text1"/>
                <w:szCs w:val="18"/>
                <w14:textFill>
                  <w14:solidFill>
                    <w14:schemeClr w14:val="tx1"/>
                  </w14:solidFill>
                </w14:textFill>
              </w:rPr>
              <w:t>设计</w:t>
            </w:r>
            <w:r>
              <w:rPr>
                <w:rFonts w:hint="eastAsia" w:ascii="Times New Roman"/>
                <w:i/>
                <w:iCs/>
                <w:color w:val="000000" w:themeColor="text1"/>
                <w:szCs w:val="18"/>
                <w:lang w:val="en-US" w:eastAsia="zh-CN"/>
                <w14:textFill>
                  <w14:solidFill>
                    <w14:schemeClr w14:val="tx1"/>
                  </w14:solidFill>
                </w14:textFill>
              </w:rPr>
              <w:t>Q</w:t>
            </w:r>
            <w:r>
              <w:rPr>
                <w:rFonts w:hint="eastAsia" w:ascii="Times New Roman"/>
                <w:color w:val="000000" w:themeColor="text1"/>
                <w:szCs w:val="18"/>
                <w:vertAlign w:val="subscript"/>
                <w:lang w:val="en-US" w:eastAsia="zh-CN"/>
                <w14:textFill>
                  <w14:solidFill>
                    <w14:schemeClr w14:val="tx1"/>
                  </w14:solidFill>
                </w14:textFill>
              </w:rPr>
              <w:t>1</w:t>
            </w:r>
          </w:p>
        </w:tc>
        <w:tc>
          <w:tcPr>
            <w:tcW w:w="1176" w:type="dxa"/>
            <w:vAlign w:val="center"/>
          </w:tcPr>
          <w:p w14:paraId="6453AEFC">
            <w:pPr>
              <w:pStyle w:val="174"/>
              <w:ind w:firstLine="0" w:firstLineChars="0"/>
              <w:jc w:val="center"/>
              <w:rPr>
                <w:rFonts w:hint="default" w:ascii="Times New Roman" w:eastAsia="宋体"/>
                <w:color w:val="000000" w:themeColor="text1"/>
                <w:szCs w:val="18"/>
                <w:lang w:val="en-US" w:eastAsia="zh-CN"/>
                <w14:textFill>
                  <w14:solidFill>
                    <w14:schemeClr w14:val="tx1"/>
                  </w14:solidFill>
                </w14:textFill>
              </w:rPr>
            </w:pPr>
            <w:r>
              <w:rPr>
                <w:rFonts w:hint="eastAsia" w:ascii="Times New Roman"/>
                <w:color w:val="000000" w:themeColor="text1"/>
                <w:szCs w:val="18"/>
                <w:lang w:val="en-US" w:eastAsia="zh-CN"/>
                <w14:textFill>
                  <w14:solidFill>
                    <w14:schemeClr w14:val="tx1"/>
                  </w14:solidFill>
                </w14:textFill>
              </w:rPr>
              <w:t>装置</w:t>
            </w:r>
            <w:r>
              <w:rPr>
                <w:rFonts w:hint="eastAsia" w:ascii="Times New Roman"/>
                <w:i/>
                <w:iCs/>
                <w:color w:val="000000" w:themeColor="text1"/>
                <w:szCs w:val="18"/>
                <w:lang w:val="en-US" w:eastAsia="zh-CN"/>
                <w14:textFill>
                  <w14:solidFill>
                    <w14:schemeClr w14:val="tx1"/>
                  </w14:solidFill>
                </w14:textFill>
              </w:rPr>
              <w:t>Q</w:t>
            </w:r>
            <w:r>
              <w:rPr>
                <w:rFonts w:hint="eastAsia" w:ascii="Times New Roman"/>
                <w:color w:val="000000" w:themeColor="text1"/>
                <w:szCs w:val="18"/>
                <w:vertAlign w:val="subscript"/>
                <w:lang w:val="en-US" w:eastAsia="zh-CN"/>
                <w14:textFill>
                  <w14:solidFill>
                    <w14:schemeClr w14:val="tx1"/>
                  </w14:solidFill>
                </w14:textFill>
              </w:rPr>
              <w:t>2</w:t>
            </w:r>
          </w:p>
        </w:tc>
        <w:tc>
          <w:tcPr>
            <w:tcW w:w="1376" w:type="dxa"/>
            <w:vAlign w:val="center"/>
          </w:tcPr>
          <w:p w14:paraId="796CDA5A">
            <w:pPr>
              <w:pStyle w:val="174"/>
              <w:ind w:firstLine="0" w:firstLineChars="0"/>
              <w:jc w:val="center"/>
              <w:rPr>
                <w:rFonts w:hint="eastAsia" w:ascii="Times New Roman"/>
                <w:color w:val="000000" w:themeColor="text1"/>
                <w:szCs w:val="18"/>
                <w14:textFill>
                  <w14:solidFill>
                    <w14:schemeClr w14:val="tx1"/>
                  </w14:solidFill>
                </w14:textFill>
              </w:rPr>
            </w:pPr>
            <w:r>
              <w:rPr>
                <w:rFonts w:hint="eastAsia" w:ascii="Times New Roman"/>
                <w:color w:val="000000" w:themeColor="text1"/>
                <w:szCs w:val="18"/>
                <w:lang w:val="en-US" w:eastAsia="zh-CN"/>
                <w14:textFill>
                  <w14:solidFill>
                    <w14:schemeClr w14:val="tx1"/>
                  </w14:solidFill>
                </w14:textFill>
              </w:rPr>
              <w:t>专项</w:t>
            </w:r>
            <w:r>
              <w:rPr>
                <w:rFonts w:hint="eastAsia" w:ascii="Times New Roman"/>
                <w:color w:val="000000" w:themeColor="text1"/>
                <w:szCs w:val="18"/>
                <w14:textFill>
                  <w14:solidFill>
                    <w14:schemeClr w14:val="tx1"/>
                  </w14:solidFill>
                </w14:textFill>
              </w:rPr>
              <w:t>施工</w:t>
            </w:r>
            <w:r>
              <w:rPr>
                <w:rFonts w:hint="eastAsia" w:ascii="Times New Roman"/>
                <w:i/>
                <w:iCs/>
                <w:color w:val="000000" w:themeColor="text1"/>
                <w:szCs w:val="18"/>
                <w:lang w:val="en-US" w:eastAsia="zh-CN"/>
                <w14:textFill>
                  <w14:solidFill>
                    <w14:schemeClr w14:val="tx1"/>
                  </w14:solidFill>
                </w14:textFill>
              </w:rPr>
              <w:t>Q</w:t>
            </w:r>
            <w:r>
              <w:rPr>
                <w:rFonts w:hint="eastAsia" w:ascii="Times New Roman"/>
                <w:color w:val="000000" w:themeColor="text1"/>
                <w:szCs w:val="18"/>
                <w:vertAlign w:val="subscript"/>
                <w:lang w:val="en-US" w:eastAsia="zh-CN"/>
                <w14:textFill>
                  <w14:solidFill>
                    <w14:schemeClr w14:val="tx1"/>
                  </w14:solidFill>
                </w14:textFill>
              </w:rPr>
              <w:t>3</w:t>
            </w:r>
          </w:p>
        </w:tc>
        <w:tc>
          <w:tcPr>
            <w:tcW w:w="1312" w:type="dxa"/>
            <w:vMerge w:val="continue"/>
            <w:vAlign w:val="center"/>
          </w:tcPr>
          <w:p w14:paraId="6001A29C">
            <w:pPr>
              <w:pStyle w:val="174"/>
              <w:ind w:firstLine="0" w:firstLineChars="0"/>
              <w:jc w:val="center"/>
              <w:rPr>
                <w:rFonts w:ascii="Times New Roman"/>
                <w:color w:val="000000" w:themeColor="text1"/>
                <w:szCs w:val="18"/>
                <w14:textFill>
                  <w14:solidFill>
                    <w14:schemeClr w14:val="tx1"/>
                  </w14:solidFill>
                </w14:textFill>
              </w:rPr>
            </w:pPr>
          </w:p>
        </w:tc>
        <w:tc>
          <w:tcPr>
            <w:tcW w:w="1063" w:type="dxa"/>
            <w:vMerge w:val="continue"/>
            <w:vAlign w:val="center"/>
          </w:tcPr>
          <w:p w14:paraId="3151D17E">
            <w:pPr>
              <w:pStyle w:val="174"/>
              <w:ind w:firstLine="0" w:firstLineChars="0"/>
              <w:jc w:val="center"/>
              <w:rPr>
                <w:rFonts w:ascii="Times New Roman"/>
                <w:color w:val="000000" w:themeColor="text1"/>
                <w:szCs w:val="18"/>
                <w14:textFill>
                  <w14:solidFill>
                    <w14:schemeClr w14:val="tx1"/>
                  </w14:solidFill>
                </w14:textFill>
              </w:rPr>
            </w:pPr>
          </w:p>
        </w:tc>
      </w:tr>
      <w:tr w14:paraId="3F86C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057" w:type="dxa"/>
            <w:vAlign w:val="center"/>
          </w:tcPr>
          <w:p w14:paraId="5314FA28">
            <w:pPr>
              <w:pStyle w:val="174"/>
              <w:ind w:firstLine="0" w:firstLineChars="0"/>
              <w:jc w:val="center"/>
              <w:rPr>
                <w:rFonts w:ascii="Times New Roman"/>
                <w:color w:val="000000" w:themeColor="text1"/>
                <w:szCs w:val="18"/>
                <w14:textFill>
                  <w14:solidFill>
                    <w14:schemeClr w14:val="tx1"/>
                  </w14:solidFill>
                </w14:textFill>
              </w:rPr>
            </w:pPr>
            <w:r>
              <w:rPr>
                <w:rFonts w:ascii="Times New Roman"/>
                <w:color w:val="000000" w:themeColor="text1"/>
                <w:szCs w:val="18"/>
                <w14:textFill>
                  <w14:solidFill>
                    <w14:schemeClr w14:val="tx1"/>
                  </w14:solidFill>
                </w14:textFill>
              </w:rPr>
              <w:t>满分值</w:t>
            </w:r>
          </w:p>
        </w:tc>
        <w:tc>
          <w:tcPr>
            <w:tcW w:w="1016" w:type="dxa"/>
            <w:vAlign w:val="center"/>
          </w:tcPr>
          <w:p w14:paraId="66CDC2A5">
            <w:pPr>
              <w:pStyle w:val="174"/>
              <w:ind w:firstLine="0" w:firstLineChars="0"/>
              <w:jc w:val="center"/>
              <w:rPr>
                <w:rFonts w:ascii="Times New Roman"/>
                <w:color w:val="000000" w:themeColor="text1"/>
                <w:szCs w:val="18"/>
                <w14:textFill>
                  <w14:solidFill>
                    <w14:schemeClr w14:val="tx1"/>
                  </w14:solidFill>
                </w14:textFill>
              </w:rPr>
            </w:pPr>
            <w:r>
              <w:rPr>
                <w:rFonts w:hint="default" w:ascii="Times New Roman"/>
                <w:color w:val="000000" w:themeColor="text1"/>
                <w:szCs w:val="18"/>
                <w:lang w:val="en-US"/>
                <w14:textFill>
                  <w14:solidFill>
                    <w14:schemeClr w14:val="tx1"/>
                  </w14:solidFill>
                </w14:textFill>
              </w:rPr>
              <w:t>2</w:t>
            </w:r>
            <w:r>
              <w:rPr>
                <w:rFonts w:ascii="Times New Roman"/>
                <w:color w:val="000000" w:themeColor="text1"/>
                <w:szCs w:val="18"/>
                <w14:textFill>
                  <w14:solidFill>
                    <w14:schemeClr w14:val="tx1"/>
                  </w14:solidFill>
                </w14:textFill>
              </w:rPr>
              <w:t>00</w:t>
            </w:r>
          </w:p>
        </w:tc>
        <w:tc>
          <w:tcPr>
            <w:tcW w:w="1176" w:type="dxa"/>
            <w:vAlign w:val="center"/>
          </w:tcPr>
          <w:p w14:paraId="7EB12647">
            <w:pPr>
              <w:pStyle w:val="174"/>
              <w:ind w:firstLine="0" w:firstLineChars="0"/>
              <w:jc w:val="center"/>
              <w:rPr>
                <w:rFonts w:ascii="Times New Roman"/>
                <w:color w:val="000000" w:themeColor="text1"/>
                <w:szCs w:val="18"/>
                <w14:textFill>
                  <w14:solidFill>
                    <w14:schemeClr w14:val="tx1"/>
                  </w14:solidFill>
                </w14:textFill>
              </w:rPr>
            </w:pPr>
            <w:r>
              <w:rPr>
                <w:rFonts w:hint="default" w:ascii="Times New Roman"/>
                <w:color w:val="000000" w:themeColor="text1"/>
                <w:szCs w:val="18"/>
                <w:lang w:val="en-US"/>
                <w14:textFill>
                  <w14:solidFill>
                    <w14:schemeClr w14:val="tx1"/>
                  </w14:solidFill>
                </w14:textFill>
              </w:rPr>
              <w:t>2</w:t>
            </w:r>
            <w:r>
              <w:rPr>
                <w:rFonts w:ascii="Times New Roman"/>
                <w:color w:val="000000" w:themeColor="text1"/>
                <w:szCs w:val="18"/>
                <w14:textFill>
                  <w14:solidFill>
                    <w14:schemeClr w14:val="tx1"/>
                  </w14:solidFill>
                </w14:textFill>
              </w:rPr>
              <w:t>00</w:t>
            </w:r>
          </w:p>
        </w:tc>
        <w:tc>
          <w:tcPr>
            <w:tcW w:w="1376" w:type="dxa"/>
            <w:vAlign w:val="center"/>
          </w:tcPr>
          <w:p w14:paraId="6D167909">
            <w:pPr>
              <w:pStyle w:val="174"/>
              <w:ind w:firstLine="0" w:firstLineChars="0"/>
              <w:jc w:val="center"/>
              <w:rPr>
                <w:rFonts w:ascii="Times New Roman"/>
                <w:color w:val="000000" w:themeColor="text1"/>
                <w:szCs w:val="18"/>
                <w14:textFill>
                  <w14:solidFill>
                    <w14:schemeClr w14:val="tx1"/>
                  </w14:solidFill>
                </w14:textFill>
              </w:rPr>
            </w:pPr>
            <w:r>
              <w:rPr>
                <w:rFonts w:hint="default" w:ascii="Times New Roman"/>
                <w:color w:val="000000" w:themeColor="text1"/>
                <w:szCs w:val="18"/>
                <w:lang w:val="en-US"/>
                <w14:textFill>
                  <w14:solidFill>
                    <w14:schemeClr w14:val="tx1"/>
                  </w14:solidFill>
                </w14:textFill>
              </w:rPr>
              <w:t>2</w:t>
            </w:r>
            <w:r>
              <w:rPr>
                <w:rFonts w:ascii="Times New Roman"/>
                <w:color w:val="000000" w:themeColor="text1"/>
                <w:szCs w:val="18"/>
                <w14:textFill>
                  <w14:solidFill>
                    <w14:schemeClr w14:val="tx1"/>
                  </w14:solidFill>
                </w14:textFill>
              </w:rPr>
              <w:t>00</w:t>
            </w:r>
          </w:p>
        </w:tc>
        <w:tc>
          <w:tcPr>
            <w:tcW w:w="1312" w:type="dxa"/>
            <w:vAlign w:val="center"/>
          </w:tcPr>
          <w:p w14:paraId="122E493B">
            <w:pPr>
              <w:pStyle w:val="174"/>
              <w:ind w:firstLine="0" w:firstLineChars="0"/>
              <w:jc w:val="center"/>
              <w:rPr>
                <w:rFonts w:ascii="Times New Roman"/>
                <w:color w:val="000000" w:themeColor="text1"/>
                <w:szCs w:val="18"/>
                <w14:textFill>
                  <w14:solidFill>
                    <w14:schemeClr w14:val="tx1"/>
                  </w14:solidFill>
                </w14:textFill>
              </w:rPr>
            </w:pPr>
            <w:r>
              <w:rPr>
                <w:rFonts w:ascii="Times New Roman"/>
                <w:color w:val="000000" w:themeColor="text1"/>
                <w:szCs w:val="18"/>
                <w14:textFill>
                  <w14:solidFill>
                    <w14:schemeClr w14:val="tx1"/>
                  </w14:solidFill>
                </w14:textFill>
              </w:rPr>
              <w:t>100</w:t>
            </w:r>
          </w:p>
        </w:tc>
        <w:tc>
          <w:tcPr>
            <w:tcW w:w="1063" w:type="dxa"/>
            <w:vAlign w:val="center"/>
          </w:tcPr>
          <w:p w14:paraId="3A2E29C3">
            <w:pPr>
              <w:pStyle w:val="174"/>
              <w:ind w:firstLine="0" w:firstLineChars="0"/>
              <w:jc w:val="center"/>
              <w:rPr>
                <w:rFonts w:hint="default" w:ascii="Times New Roman" w:eastAsia="宋体"/>
                <w:color w:val="000000" w:themeColor="text1"/>
                <w:szCs w:val="18"/>
                <w:lang w:val="en-US" w:eastAsia="zh-CN"/>
                <w14:textFill>
                  <w14:solidFill>
                    <w14:schemeClr w14:val="tx1"/>
                  </w14:solidFill>
                </w14:textFill>
              </w:rPr>
            </w:pPr>
            <w:r>
              <w:rPr>
                <w:rFonts w:hint="default" w:ascii="Times New Roman"/>
                <w:color w:val="000000" w:themeColor="text1"/>
                <w:szCs w:val="18"/>
                <w:lang w:val="en-US"/>
                <w14:textFill>
                  <w14:solidFill>
                    <w14:schemeClr w14:val="tx1"/>
                  </w14:solidFill>
                </w14:textFill>
              </w:rPr>
              <w:t>7</w:t>
            </w:r>
            <w:r>
              <w:rPr>
                <w:rFonts w:hint="eastAsia" w:ascii="Times New Roman"/>
                <w:color w:val="000000" w:themeColor="text1"/>
                <w:szCs w:val="18"/>
                <w:lang w:val="en-US" w:eastAsia="zh-CN"/>
                <w14:textFill>
                  <w14:solidFill>
                    <w14:schemeClr w14:val="tx1"/>
                  </w14:solidFill>
                </w14:textFill>
              </w:rPr>
              <w:t>00</w:t>
            </w:r>
          </w:p>
        </w:tc>
      </w:tr>
    </w:tbl>
    <w:p w14:paraId="38C0E19C">
      <w:pPr>
        <w:pStyle w:val="174"/>
        <w:spacing w:before="156" w:beforeLines="50" w:line="360" w:lineRule="auto"/>
        <w:ind w:firstLine="0" w:firstLineChars="0"/>
        <w:rPr>
          <w:rFonts w:ascii="Times New Roman"/>
          <w:sz w:val="24"/>
          <w:szCs w:val="24"/>
        </w:rPr>
      </w:pPr>
      <w:r>
        <w:rPr>
          <w:rFonts w:hint="eastAsia" w:ascii="Times New Roman"/>
          <w:b/>
          <w:bCs/>
          <w:sz w:val="24"/>
          <w:szCs w:val="24"/>
        </w:rPr>
        <w:t>3.3.</w:t>
      </w:r>
      <w:r>
        <w:rPr>
          <w:rFonts w:hint="eastAsia" w:ascii="Times New Roman"/>
          <w:b/>
          <w:bCs/>
          <w:sz w:val="24"/>
          <w:szCs w:val="24"/>
          <w:lang w:val="en-US" w:eastAsia="zh-CN"/>
        </w:rPr>
        <w:t>6</w:t>
      </w:r>
      <w:r>
        <w:rPr>
          <w:rFonts w:hint="eastAsia" w:ascii="Times New Roman"/>
          <w:b/>
          <w:bCs/>
          <w:sz w:val="24"/>
          <w:szCs w:val="24"/>
        </w:rPr>
        <w:t xml:space="preserve"> </w:t>
      </w:r>
      <w:r>
        <w:rPr>
          <w:rFonts w:hint="eastAsia" w:ascii="Times New Roman"/>
          <w:sz w:val="24"/>
          <w:szCs w:val="24"/>
        </w:rPr>
        <w:t>评价总得分应按下式计算：</w:t>
      </w:r>
    </w:p>
    <w:p w14:paraId="2B455F55">
      <w:pPr>
        <w:pStyle w:val="174"/>
        <w:spacing w:line="360" w:lineRule="auto"/>
        <w:ind w:firstLine="0" w:firstLineChars="0"/>
        <w:jc w:val="center"/>
        <w:rPr>
          <w:rFonts w:ascii="Times New Roman"/>
          <w:sz w:val="24"/>
          <w:szCs w:val="24"/>
        </w:rPr>
      </w:pPr>
      <w:r>
        <w:rPr>
          <w:color w:val="000000" w:themeColor="text1"/>
          <w:position w:val="-14"/>
          <w:sz w:val="24"/>
          <w:szCs w:val="24"/>
          <w14:textFill>
            <w14:solidFill>
              <w14:schemeClr w14:val="tx1"/>
            </w14:solidFill>
          </w14:textFill>
        </w:rPr>
        <w:object>
          <v:shape id="_x0000_i1025" o:spt="75" type="#_x0000_t75" style="height:20.25pt;width:128.7pt;" o:ole="t" filled="f" o:preferrelative="t" stroked="f" coordsize="21600,21600">
            <v:path/>
            <v:fill on="f" focussize="0,0"/>
            <v:stroke on="f"/>
            <v:imagedata r:id="rId9" o:title=""/>
            <o:lock v:ext="edit" aspectratio="t"/>
            <w10:wrap type="none"/>
            <w10:anchorlock/>
          </v:shape>
          <o:OLEObject Type="Embed" ProgID="Equation.DSMT4" ShapeID="_x0000_i1025" DrawAspect="Content" ObjectID="_1468075725" r:id="rId8">
            <o:LockedField>false</o:LockedField>
          </o:OLEObject>
        </w:object>
      </w:r>
    </w:p>
    <w:p w14:paraId="44D3D77C">
      <w:pPr>
        <w:pStyle w:val="174"/>
        <w:spacing w:line="360" w:lineRule="auto"/>
        <w:ind w:firstLine="0" w:firstLineChars="0"/>
        <w:rPr>
          <w:rFonts w:hint="default"/>
          <w:color w:val="000000" w:themeColor="text1"/>
          <w:sz w:val="24"/>
          <w:szCs w:val="24"/>
          <w:lang w:val="en-US"/>
          <w14:textFill>
            <w14:solidFill>
              <w14:schemeClr w14:val="tx1"/>
            </w14:solidFill>
          </w14:textFill>
        </w:rPr>
      </w:pPr>
      <w:r>
        <w:rPr>
          <w:rFonts w:hint="eastAsia" w:ascii="Times New Roman"/>
          <w:sz w:val="24"/>
          <w:szCs w:val="24"/>
        </w:rPr>
        <w:t>式中：</w:t>
      </w:r>
      <w:r>
        <w:rPr>
          <w:color w:val="000000" w:themeColor="text1"/>
          <w:position w:val="-10"/>
          <w:sz w:val="24"/>
          <w:szCs w:val="24"/>
          <w14:textFill>
            <w14:solidFill>
              <w14:schemeClr w14:val="tx1"/>
            </w14:solidFill>
          </w14:textFill>
        </w:rPr>
        <w:object>
          <v:shape id="_x0000_i1026" o:spt="75" type="#_x0000_t75" style="height:15.75pt;width:12pt;" o:ole="t" filled="f" o:preferrelative="t" stroked="f" coordsize="21600,21600">
            <v:path/>
            <v:fill on="f" focussize="0,0"/>
            <v:stroke on="f" joinstyle="miter"/>
            <v:imagedata r:id="rId11" o:title=""/>
            <o:lock v:ext="edit" aspectratio="t"/>
            <w10:wrap type="none"/>
            <w10:anchorlock/>
          </v:shape>
          <o:OLEObject Type="Embed" ProgID="Equation.DSMT4" ShapeID="_x0000_i1026" DrawAspect="Content" ObjectID="_1468075726" r:id="rId10">
            <o:LockedField>false</o:LockedField>
          </o:OLEObject>
        </w:object>
      </w:r>
      <w:r>
        <w:rPr>
          <w:rFonts w:hint="eastAsia"/>
          <w:color w:val="000000" w:themeColor="text1"/>
          <w:sz w:val="24"/>
          <w:szCs w:val="24"/>
          <w14:textFill>
            <w14:solidFill>
              <w14:schemeClr w14:val="tx1"/>
            </w14:solidFill>
          </w14:textFill>
        </w:rPr>
        <w:t>——建筑减隔震技术应用总得分；</w:t>
      </w:r>
    </w:p>
    <w:p w14:paraId="4CAA6CA4">
      <w:pPr>
        <w:pStyle w:val="174"/>
        <w:spacing w:line="360" w:lineRule="auto"/>
        <w:ind w:firstLine="720" w:firstLineChars="300"/>
        <w:rPr>
          <w:color w:val="000000" w:themeColor="text1"/>
          <w:sz w:val="24"/>
          <w:szCs w:val="24"/>
          <w14:textFill>
            <w14:solidFill>
              <w14:schemeClr w14:val="tx1"/>
            </w14:solidFill>
          </w14:textFill>
        </w:rPr>
      </w:pPr>
      <w:r>
        <w:rPr>
          <w:rFonts w:ascii="Times New Roman"/>
          <w:color w:val="000000" w:themeColor="text1"/>
          <w:position w:val="-12"/>
          <w:sz w:val="24"/>
          <w:szCs w:val="24"/>
          <w14:textFill>
            <w14:solidFill>
              <w14:schemeClr w14:val="tx1"/>
            </w14:solidFill>
          </w14:textFill>
        </w:rPr>
        <w:object>
          <v:shape id="_x0000_i1027" o:spt="75" type="#_x0000_t75" style="height:19.5pt;width:14.25pt;" o:ole="t" filled="f" o:preferrelative="t" stroked="f" coordsize="21600,21600">
            <v:path/>
            <v:fill on="f" focussize="0,0"/>
            <v:stroke on="f" joinstyle="miter"/>
            <v:imagedata r:id="rId13" o:title=""/>
            <o:lock v:ext="edit" aspectratio="t"/>
            <w10:wrap type="none"/>
            <w10:anchorlock/>
          </v:shape>
          <o:OLEObject Type="Embed" ProgID="Equation.DSMT4" ShapeID="_x0000_i1027" DrawAspect="Content" ObjectID="_1468075727" r:id="rId12">
            <o:LockedField>false</o:LockedField>
          </o:OLEObject>
        </w:object>
      </w:r>
      <w:r>
        <w:rPr>
          <w:rFonts w:ascii="Times New Roman"/>
          <w:color w:val="000000" w:themeColor="text1"/>
          <w:sz w:val="24"/>
          <w:szCs w:val="24"/>
          <w14:textFill>
            <w14:solidFill>
              <w14:schemeClr w14:val="tx1"/>
            </w14:solidFill>
          </w14:textFill>
        </w:rPr>
        <w:t>~</w:t>
      </w:r>
      <w:r>
        <w:rPr>
          <w:rFonts w:ascii="Times New Roman"/>
          <w:color w:val="000000" w:themeColor="text1"/>
          <w:position w:val="-12"/>
          <w:sz w:val="24"/>
          <w:szCs w:val="24"/>
          <w14:textFill>
            <w14:solidFill>
              <w14:schemeClr w14:val="tx1"/>
            </w14:solidFill>
          </w14:textFill>
        </w:rPr>
        <w:object>
          <v:shape id="_x0000_i1028" o:spt="75" type="#_x0000_t75" style="height:19.5pt;width:15pt;" o:ole="t" filled="f" o:preferrelative="t" stroked="f" coordsize="21600,21600">
            <v:path/>
            <v:fill on="f" focussize="0,0"/>
            <v:stroke on="f" joinstyle="miter"/>
            <v:imagedata r:id="rId15" o:title=""/>
            <o:lock v:ext="edit" aspectratio="t"/>
            <w10:wrap type="none"/>
            <w10:anchorlock/>
          </v:shape>
          <o:OLEObject Type="Embed" ProgID="Equation.DSMT4" ShapeID="_x0000_i1028" DrawAspect="Content" ObjectID="_1468075728" r:id="rId14">
            <o:LockedField>false</o:LockedField>
          </o:OLEObject>
        </w:object>
      </w:r>
      <w:r>
        <w:rPr>
          <w:rFonts w:ascii="Times New Roman"/>
          <w:color w:val="000000" w:themeColor="text1"/>
          <w:sz w:val="24"/>
          <w:szCs w:val="24"/>
          <w14:textFill>
            <w14:solidFill>
              <w14:schemeClr w14:val="tx1"/>
            </w14:solidFill>
          </w14:textFill>
        </w:rPr>
        <w:t>——</w:t>
      </w:r>
      <w:r>
        <w:rPr>
          <w:rFonts w:hint="eastAsia" w:ascii="Times New Roman"/>
          <w:color w:val="000000" w:themeColor="text1"/>
          <w:sz w:val="24"/>
          <w:szCs w:val="24"/>
          <w14:textFill>
            <w14:solidFill>
              <w14:schemeClr w14:val="tx1"/>
            </w14:solidFill>
          </w14:textFill>
        </w:rPr>
        <w:t>评分项指标得分，分别对应隔减震设计、隔减震</w:t>
      </w:r>
      <w:r>
        <w:rPr>
          <w:rFonts w:hint="eastAsia" w:ascii="Times New Roman"/>
          <w:color w:val="000000" w:themeColor="text1"/>
          <w:sz w:val="24"/>
          <w:szCs w:val="24"/>
          <w:lang w:val="en-US" w:eastAsia="zh-CN"/>
          <w14:textFill>
            <w14:solidFill>
              <w14:schemeClr w14:val="tx1"/>
            </w14:solidFill>
          </w14:textFill>
        </w:rPr>
        <w:t>装置</w:t>
      </w:r>
      <w:r>
        <w:rPr>
          <w:rFonts w:hint="eastAsia" w:ascii="Times New Roman"/>
          <w:color w:val="000000" w:themeColor="text1"/>
          <w:sz w:val="24"/>
          <w:szCs w:val="24"/>
          <w14:textFill>
            <w14:solidFill>
              <w14:schemeClr w14:val="tx1"/>
            </w14:solidFill>
          </w14:textFill>
        </w:rPr>
        <w:t>、隔减震</w:t>
      </w:r>
      <w:r>
        <w:rPr>
          <w:rFonts w:hint="eastAsia" w:ascii="Times New Roman"/>
          <w:color w:val="000000" w:themeColor="text1"/>
          <w:sz w:val="24"/>
          <w:szCs w:val="24"/>
          <w:lang w:val="en-US" w:eastAsia="zh-CN"/>
          <w14:textFill>
            <w14:solidFill>
              <w14:schemeClr w14:val="tx1"/>
            </w14:solidFill>
          </w14:textFill>
        </w:rPr>
        <w:t>专项施工</w:t>
      </w:r>
      <w:r>
        <w:rPr>
          <w:rFonts w:hint="eastAsia" w:ascii="Times New Roman"/>
          <w:color w:val="000000" w:themeColor="text1"/>
          <w:sz w:val="24"/>
          <w:szCs w:val="24"/>
          <w14:textFill>
            <w14:solidFill>
              <w14:schemeClr w14:val="tx1"/>
            </w14:solidFill>
          </w14:textFill>
        </w:rPr>
        <w:t>的得分；</w:t>
      </w:r>
    </w:p>
    <w:p w14:paraId="5E209EFB">
      <w:pPr>
        <w:pStyle w:val="174"/>
        <w:spacing w:line="360" w:lineRule="auto"/>
        <w:ind w:firstLine="720" w:firstLineChars="300"/>
        <w:rPr>
          <w:color w:val="000000" w:themeColor="text1"/>
          <w:sz w:val="24"/>
          <w:szCs w:val="24"/>
          <w14:textFill>
            <w14:solidFill>
              <w14:schemeClr w14:val="tx1"/>
            </w14:solidFill>
          </w14:textFill>
        </w:rPr>
      </w:pPr>
      <w:r>
        <w:rPr>
          <w:rFonts w:ascii="Times New Roman"/>
          <w:color w:val="000000" w:themeColor="text1"/>
          <w:position w:val="-12"/>
          <w:sz w:val="24"/>
          <w:szCs w:val="24"/>
          <w14:textFill>
            <w14:solidFill>
              <w14:schemeClr w14:val="tx1"/>
            </w14:solidFill>
          </w14:textFill>
        </w:rPr>
        <w:object>
          <v:shape id="_x0000_i1029" o:spt="75" type="#_x0000_t75" style="height:19.5pt;width:17.25pt;" o:ole="t" filled="f" o:preferrelative="t" stroked="f" coordsize="21600,21600">
            <v:path/>
            <v:fill on="f" focussize="0,0"/>
            <v:stroke on="f" joinstyle="miter"/>
            <v:imagedata r:id="rId17" o:title=""/>
            <o:lock v:ext="edit" aspectratio="t"/>
            <w10:wrap type="none"/>
            <w10:anchorlock/>
          </v:shape>
          <o:OLEObject Type="Embed" ProgID="Equation.DSMT4" ShapeID="_x0000_i1029" DrawAspect="Content" ObjectID="_1468075729" r:id="rId16">
            <o:LockedField>false</o:LockedField>
          </o:OLEObject>
        </w:object>
      </w:r>
      <w:r>
        <w:rPr>
          <w:rFonts w:ascii="Times New Roman"/>
          <w:color w:val="000000" w:themeColor="text1"/>
          <w:sz w:val="24"/>
          <w:szCs w:val="24"/>
          <w14:textFill>
            <w14:solidFill>
              <w14:schemeClr w14:val="tx1"/>
            </w14:solidFill>
          </w14:textFill>
        </w:rPr>
        <w:t>——</w:t>
      </w:r>
      <w:r>
        <w:rPr>
          <w:rFonts w:hint="eastAsia" w:ascii="Times New Roman"/>
          <w:color w:val="000000" w:themeColor="text1"/>
          <w:sz w:val="24"/>
          <w:szCs w:val="24"/>
          <w14:textFill>
            <w14:solidFill>
              <w14:schemeClr w14:val="tx1"/>
            </w14:solidFill>
          </w14:textFill>
        </w:rPr>
        <w:t>提高与创新加分项得分。</w:t>
      </w:r>
    </w:p>
    <w:p w14:paraId="0EB7E15D">
      <w:pPr>
        <w:pStyle w:val="174"/>
        <w:spacing w:before="156" w:beforeLines="50" w:after="156" w:afterLines="50" w:line="360" w:lineRule="auto"/>
        <w:ind w:firstLine="0" w:firstLineChars="0"/>
        <w:jc w:val="center"/>
        <w:outlineLvl w:val="1"/>
        <w:rPr>
          <w:rFonts w:ascii="Times New Roman"/>
          <w:b/>
          <w:bCs/>
          <w:sz w:val="28"/>
          <w:szCs w:val="28"/>
        </w:rPr>
      </w:pPr>
      <w:bookmarkStart w:id="18" w:name="_Toc594"/>
      <w:bookmarkStart w:id="19" w:name="_Toc207375983"/>
      <w:r>
        <w:rPr>
          <w:rFonts w:hint="eastAsia" w:ascii="Times New Roman"/>
          <w:b/>
          <w:bCs/>
          <w:sz w:val="28"/>
          <w:szCs w:val="28"/>
        </w:rPr>
        <w:t>3.4 等级划分</w:t>
      </w:r>
      <w:bookmarkEnd w:id="18"/>
      <w:bookmarkEnd w:id="19"/>
    </w:p>
    <w:p w14:paraId="3F4D5F36">
      <w:pPr>
        <w:pStyle w:val="174"/>
        <w:spacing w:line="360" w:lineRule="auto"/>
        <w:ind w:firstLine="0" w:firstLineChars="0"/>
        <w:rPr>
          <w:rFonts w:ascii="Times New Roman"/>
          <w:sz w:val="24"/>
          <w:szCs w:val="22"/>
        </w:rPr>
      </w:pPr>
      <w:r>
        <w:rPr>
          <w:rFonts w:hint="eastAsia" w:ascii="Times New Roman"/>
          <w:b/>
          <w:bCs/>
          <w:sz w:val="24"/>
          <w:szCs w:val="22"/>
        </w:rPr>
        <w:t xml:space="preserve">3.4.1 </w:t>
      </w:r>
      <w:r>
        <w:rPr>
          <w:rFonts w:hint="eastAsia" w:ascii="Times New Roman"/>
          <w:sz w:val="24"/>
          <w:szCs w:val="22"/>
        </w:rPr>
        <w:t>建筑隔减震技术应用等级应划分为</w:t>
      </w:r>
      <w:r>
        <w:rPr>
          <w:rFonts w:hint="eastAsia" w:ascii="Times New Roman"/>
          <w:sz w:val="24"/>
          <w:szCs w:val="22"/>
          <w:lang w:val="en-US" w:eastAsia="zh-CN"/>
        </w:rPr>
        <w:t>A</w:t>
      </w:r>
      <w:r>
        <w:rPr>
          <w:rFonts w:hint="eastAsia" w:ascii="Times New Roman"/>
          <w:sz w:val="24"/>
          <w:szCs w:val="22"/>
        </w:rPr>
        <w:t>、</w:t>
      </w:r>
      <w:r>
        <w:rPr>
          <w:rFonts w:hint="eastAsia" w:ascii="Times New Roman"/>
          <w:sz w:val="24"/>
          <w:szCs w:val="22"/>
          <w:lang w:val="en-US" w:eastAsia="zh-CN"/>
        </w:rPr>
        <w:t>AA</w:t>
      </w:r>
      <w:r>
        <w:rPr>
          <w:rFonts w:hint="eastAsia" w:ascii="Times New Roman"/>
          <w:sz w:val="24"/>
          <w:szCs w:val="22"/>
        </w:rPr>
        <w:t>、</w:t>
      </w:r>
      <w:r>
        <w:rPr>
          <w:rFonts w:hint="eastAsia" w:ascii="Times New Roman"/>
          <w:sz w:val="24"/>
          <w:szCs w:val="22"/>
          <w:lang w:val="en-US" w:eastAsia="zh-CN"/>
        </w:rPr>
        <w:t>AAA</w:t>
      </w:r>
      <w:r>
        <w:rPr>
          <w:rFonts w:hint="eastAsia" w:ascii="Times New Roman"/>
          <w:sz w:val="24"/>
          <w:szCs w:val="22"/>
        </w:rPr>
        <w:t>、</w:t>
      </w:r>
      <w:r>
        <w:rPr>
          <w:rFonts w:hint="eastAsia" w:ascii="Times New Roman"/>
          <w:sz w:val="24"/>
          <w:szCs w:val="22"/>
          <w:lang w:val="en-US" w:eastAsia="zh-CN"/>
        </w:rPr>
        <w:t>AAAA、AAAAA五</w:t>
      </w:r>
      <w:r>
        <w:rPr>
          <w:rFonts w:hint="eastAsia" w:ascii="Times New Roman"/>
          <w:sz w:val="24"/>
          <w:szCs w:val="22"/>
        </w:rPr>
        <w:t>个</w:t>
      </w:r>
      <w:r>
        <w:rPr>
          <w:rFonts w:hint="eastAsia" w:ascii="Times New Roman"/>
          <w:sz w:val="24"/>
          <w:szCs w:val="22"/>
          <w:lang w:val="en-US" w:eastAsia="zh-CN"/>
        </w:rPr>
        <w:t>级别</w:t>
      </w:r>
      <w:r>
        <w:rPr>
          <w:rFonts w:hint="eastAsia" w:ascii="Times New Roman"/>
          <w:sz w:val="24"/>
          <w:szCs w:val="22"/>
        </w:rPr>
        <w:t>。</w:t>
      </w:r>
    </w:p>
    <w:p w14:paraId="2BF1E7C5">
      <w:pPr>
        <w:pStyle w:val="174"/>
        <w:spacing w:line="360" w:lineRule="auto"/>
        <w:ind w:firstLine="0" w:firstLineChars="0"/>
        <w:rPr>
          <w:rFonts w:ascii="Times New Roman"/>
          <w:sz w:val="24"/>
          <w:szCs w:val="22"/>
        </w:rPr>
      </w:pPr>
      <w:r>
        <w:rPr>
          <w:rFonts w:hint="eastAsia" w:ascii="Times New Roman"/>
          <w:b/>
          <w:bCs/>
          <w:sz w:val="24"/>
          <w:szCs w:val="22"/>
        </w:rPr>
        <w:t xml:space="preserve">3.4.2 </w:t>
      </w:r>
      <w:r>
        <w:rPr>
          <w:rFonts w:hint="eastAsia" w:ascii="Times New Roman"/>
          <w:sz w:val="24"/>
          <w:szCs w:val="22"/>
        </w:rPr>
        <w:t>当满足全部控制项要求时，建筑隔减震技术应用等级应为</w:t>
      </w:r>
      <w:r>
        <w:rPr>
          <w:rFonts w:hint="eastAsia" w:ascii="Times New Roman"/>
          <w:sz w:val="24"/>
          <w:szCs w:val="22"/>
          <w:lang w:val="en-US" w:eastAsia="zh-CN"/>
        </w:rPr>
        <w:t>A级</w:t>
      </w:r>
      <w:r>
        <w:rPr>
          <w:rFonts w:hint="eastAsia" w:ascii="Times New Roman"/>
          <w:sz w:val="24"/>
          <w:szCs w:val="22"/>
        </w:rPr>
        <w:t>。</w:t>
      </w:r>
    </w:p>
    <w:p w14:paraId="00AFE224">
      <w:pPr>
        <w:pStyle w:val="174"/>
        <w:spacing w:line="360" w:lineRule="auto"/>
        <w:ind w:firstLine="0" w:firstLineChars="0"/>
        <w:rPr>
          <w:rFonts w:ascii="Times New Roman"/>
          <w:sz w:val="24"/>
          <w:szCs w:val="22"/>
        </w:rPr>
      </w:pPr>
      <w:r>
        <w:rPr>
          <w:rFonts w:hint="eastAsia" w:ascii="Times New Roman"/>
          <w:b/>
          <w:bCs/>
          <w:sz w:val="24"/>
          <w:szCs w:val="22"/>
        </w:rPr>
        <w:t xml:space="preserve">3.4.3 </w:t>
      </w:r>
      <w:r>
        <w:rPr>
          <w:rFonts w:hint="eastAsia" w:ascii="Times New Roman"/>
          <w:sz w:val="24"/>
          <w:szCs w:val="22"/>
        </w:rPr>
        <w:t>当总得分分别达到</w:t>
      </w:r>
      <w:r>
        <w:rPr>
          <w:rFonts w:hint="eastAsia" w:ascii="Times New Roman"/>
          <w:sz w:val="24"/>
          <w:szCs w:val="22"/>
          <w:lang w:val="en-US" w:eastAsia="zh-CN"/>
        </w:rPr>
        <w:t>60分、70</w:t>
      </w:r>
      <w:r>
        <w:rPr>
          <w:rFonts w:hint="eastAsia" w:ascii="Times New Roman"/>
          <w:sz w:val="24"/>
          <w:szCs w:val="22"/>
        </w:rPr>
        <w:t>分、</w:t>
      </w:r>
      <w:r>
        <w:rPr>
          <w:rFonts w:hint="eastAsia" w:ascii="Times New Roman"/>
          <w:sz w:val="24"/>
          <w:szCs w:val="22"/>
          <w:lang w:val="en-US" w:eastAsia="zh-CN"/>
        </w:rPr>
        <w:t>80</w:t>
      </w:r>
      <w:r>
        <w:rPr>
          <w:rFonts w:hint="eastAsia" w:ascii="Times New Roman"/>
          <w:sz w:val="24"/>
          <w:szCs w:val="22"/>
        </w:rPr>
        <w:t>分、</w:t>
      </w:r>
      <w:r>
        <w:rPr>
          <w:rFonts w:hint="eastAsia" w:ascii="Times New Roman"/>
          <w:sz w:val="24"/>
          <w:szCs w:val="22"/>
          <w:lang w:val="en-US" w:eastAsia="zh-CN"/>
        </w:rPr>
        <w:t>90</w:t>
      </w:r>
      <w:r>
        <w:rPr>
          <w:rFonts w:hint="eastAsia" w:ascii="Times New Roman"/>
          <w:sz w:val="24"/>
          <w:szCs w:val="22"/>
        </w:rPr>
        <w:t>分时，建筑隔减震技术应用等级分别为</w:t>
      </w:r>
      <w:r>
        <w:rPr>
          <w:rFonts w:hint="eastAsia" w:ascii="Times New Roman"/>
          <w:sz w:val="24"/>
          <w:szCs w:val="22"/>
          <w:lang w:val="en-US" w:eastAsia="zh-CN"/>
        </w:rPr>
        <w:t>AA</w:t>
      </w:r>
      <w:r>
        <w:rPr>
          <w:rFonts w:hint="eastAsia" w:ascii="Times New Roman"/>
          <w:sz w:val="24"/>
          <w:szCs w:val="22"/>
        </w:rPr>
        <w:t>级、</w:t>
      </w:r>
      <w:r>
        <w:rPr>
          <w:rFonts w:hint="eastAsia" w:ascii="Times New Roman"/>
          <w:sz w:val="24"/>
          <w:szCs w:val="22"/>
          <w:lang w:val="en-US" w:eastAsia="zh-CN"/>
        </w:rPr>
        <w:t>AAA</w:t>
      </w:r>
      <w:r>
        <w:rPr>
          <w:rFonts w:hint="eastAsia" w:ascii="Times New Roman"/>
          <w:sz w:val="24"/>
          <w:szCs w:val="22"/>
        </w:rPr>
        <w:t>级、</w:t>
      </w:r>
      <w:r>
        <w:rPr>
          <w:rFonts w:hint="eastAsia" w:ascii="Times New Roman"/>
          <w:sz w:val="24"/>
          <w:szCs w:val="22"/>
          <w:lang w:val="en-US" w:eastAsia="zh-CN"/>
        </w:rPr>
        <w:t>AAAA</w:t>
      </w:r>
      <w:r>
        <w:rPr>
          <w:rFonts w:hint="eastAsia" w:ascii="Times New Roman"/>
          <w:sz w:val="24"/>
          <w:szCs w:val="22"/>
        </w:rPr>
        <w:t>级、</w:t>
      </w:r>
      <w:r>
        <w:rPr>
          <w:rFonts w:hint="eastAsia" w:ascii="Times New Roman"/>
          <w:sz w:val="24"/>
          <w:szCs w:val="22"/>
          <w:lang w:val="en-US" w:eastAsia="zh-CN"/>
        </w:rPr>
        <w:t>AAAAA</w:t>
      </w:r>
      <w:r>
        <w:rPr>
          <w:rFonts w:hint="eastAsia" w:ascii="Times New Roman"/>
          <w:sz w:val="24"/>
          <w:szCs w:val="22"/>
        </w:rPr>
        <w:t>级。</w:t>
      </w:r>
    </w:p>
    <w:p w14:paraId="67E92C4F">
      <w:pPr>
        <w:pStyle w:val="174"/>
        <w:spacing w:before="156" w:beforeLines="50" w:after="156" w:afterLines="50" w:line="360" w:lineRule="auto"/>
        <w:ind w:firstLine="0" w:firstLineChars="0"/>
        <w:jc w:val="center"/>
        <w:outlineLvl w:val="1"/>
        <w:rPr>
          <w:rFonts w:ascii="Times New Roman"/>
          <w:b/>
          <w:bCs/>
          <w:sz w:val="28"/>
          <w:szCs w:val="28"/>
        </w:rPr>
      </w:pPr>
      <w:bookmarkStart w:id="20" w:name="_Toc32001"/>
      <w:r>
        <w:rPr>
          <w:rFonts w:hint="eastAsia" w:ascii="Times New Roman"/>
          <w:b/>
          <w:bCs/>
          <w:sz w:val="28"/>
          <w:szCs w:val="28"/>
        </w:rPr>
        <w:t>3.5 评价报告</w:t>
      </w:r>
      <w:bookmarkEnd w:id="20"/>
    </w:p>
    <w:p w14:paraId="7755B261">
      <w:pPr>
        <w:pStyle w:val="174"/>
        <w:spacing w:line="360" w:lineRule="auto"/>
        <w:ind w:firstLine="0" w:firstLineChars="0"/>
        <w:rPr>
          <w:rFonts w:ascii="Times New Roman"/>
          <w:sz w:val="24"/>
          <w:szCs w:val="22"/>
        </w:rPr>
      </w:pPr>
      <w:r>
        <w:rPr>
          <w:rFonts w:hint="eastAsia" w:ascii="Times New Roman"/>
          <w:b/>
          <w:bCs/>
          <w:sz w:val="24"/>
          <w:szCs w:val="22"/>
        </w:rPr>
        <w:t xml:space="preserve">3.5.1 </w:t>
      </w:r>
      <w:r>
        <w:rPr>
          <w:rFonts w:hint="eastAsia" w:ascii="Times New Roman"/>
          <w:sz w:val="24"/>
          <w:szCs w:val="22"/>
        </w:rPr>
        <w:t>对建筑隔减震技术应用的各个环节进行综合评价，并给出评价结论，形成评价报告。</w:t>
      </w:r>
    </w:p>
    <w:p w14:paraId="0B185C71">
      <w:pPr>
        <w:pStyle w:val="174"/>
        <w:spacing w:line="360" w:lineRule="auto"/>
        <w:ind w:firstLine="0" w:firstLineChars="0"/>
        <w:rPr>
          <w:rFonts w:ascii="Times New Roman"/>
          <w:sz w:val="24"/>
          <w:szCs w:val="22"/>
        </w:rPr>
      </w:pPr>
      <w:r>
        <w:rPr>
          <w:rFonts w:hint="eastAsia" w:ascii="Times New Roman"/>
          <w:b/>
          <w:bCs/>
          <w:sz w:val="24"/>
          <w:szCs w:val="22"/>
        </w:rPr>
        <w:t xml:space="preserve">3.5.2 </w:t>
      </w:r>
      <w:r>
        <w:rPr>
          <w:rFonts w:hint="eastAsia" w:ascii="Times New Roman"/>
          <w:sz w:val="24"/>
          <w:szCs w:val="22"/>
        </w:rPr>
        <w:t>建筑隔减震技术应用评价报告应至少包含以下内容：</w:t>
      </w:r>
    </w:p>
    <w:p w14:paraId="62C2E712">
      <w:pPr>
        <w:pStyle w:val="152"/>
        <w:widowControl/>
        <w:autoSpaceDE w:val="0"/>
        <w:autoSpaceDN w:val="0"/>
        <w:spacing w:line="360" w:lineRule="auto"/>
        <w:ind w:firstLine="480"/>
        <w:rPr>
          <w:rFonts w:ascii="Times New Roman"/>
          <w:sz w:val="24"/>
        </w:rPr>
      </w:pPr>
      <w:r>
        <w:rPr>
          <w:rFonts w:hint="eastAsia" w:ascii="Times New Roman"/>
          <w:sz w:val="24"/>
        </w:rPr>
        <w:t>1 建筑隔减震技术应用的基本情况，包括项目名称、隔减震技术类型、</w:t>
      </w:r>
      <w:r>
        <w:rPr>
          <w:rFonts w:hint="eastAsia" w:ascii="Times New Roman"/>
          <w:sz w:val="24"/>
          <w:lang w:val="en-US" w:eastAsia="zh-CN"/>
        </w:rPr>
        <w:t>装置</w:t>
      </w:r>
      <w:r>
        <w:rPr>
          <w:rFonts w:hint="eastAsia" w:ascii="Times New Roman"/>
          <w:sz w:val="24"/>
        </w:rPr>
        <w:t>种类数量、设计单位、</w:t>
      </w:r>
      <w:r>
        <w:rPr>
          <w:rFonts w:hint="eastAsia" w:ascii="Times New Roman"/>
          <w:sz w:val="24"/>
          <w:lang w:eastAsia="zh-CN"/>
        </w:rPr>
        <w:t>装置</w:t>
      </w:r>
      <w:r>
        <w:rPr>
          <w:rFonts w:hint="eastAsia" w:ascii="Times New Roman"/>
          <w:sz w:val="24"/>
        </w:rPr>
        <w:t>供货单位、施工单位等信息；</w:t>
      </w:r>
    </w:p>
    <w:p w14:paraId="5CBD0436">
      <w:pPr>
        <w:pStyle w:val="152"/>
        <w:widowControl/>
        <w:autoSpaceDE w:val="0"/>
        <w:autoSpaceDN w:val="0"/>
        <w:spacing w:line="360" w:lineRule="auto"/>
        <w:ind w:firstLine="480"/>
        <w:rPr>
          <w:rFonts w:ascii="Times New Roman"/>
          <w:sz w:val="24"/>
        </w:rPr>
      </w:pPr>
      <w:r>
        <w:rPr>
          <w:rFonts w:hint="eastAsia" w:ascii="Times New Roman"/>
          <w:sz w:val="24"/>
        </w:rPr>
        <w:t>2 申请评价方的基本情况；</w:t>
      </w:r>
    </w:p>
    <w:p w14:paraId="64546C97">
      <w:pPr>
        <w:pStyle w:val="152"/>
        <w:widowControl/>
        <w:autoSpaceDE w:val="0"/>
        <w:autoSpaceDN w:val="0"/>
        <w:spacing w:line="360" w:lineRule="auto"/>
        <w:ind w:firstLine="480"/>
        <w:rPr>
          <w:rFonts w:ascii="Times New Roman"/>
          <w:sz w:val="24"/>
        </w:rPr>
      </w:pPr>
      <w:r>
        <w:rPr>
          <w:rFonts w:hint="eastAsia" w:ascii="Times New Roman"/>
          <w:sz w:val="24"/>
        </w:rPr>
        <w:t>3 评价机构及评价人员信息；</w:t>
      </w:r>
    </w:p>
    <w:p w14:paraId="64EC2B6C">
      <w:pPr>
        <w:pStyle w:val="152"/>
        <w:widowControl/>
        <w:autoSpaceDE w:val="0"/>
        <w:autoSpaceDN w:val="0"/>
        <w:spacing w:line="360" w:lineRule="auto"/>
        <w:ind w:firstLine="480"/>
        <w:rPr>
          <w:rFonts w:ascii="Times New Roman"/>
          <w:sz w:val="24"/>
        </w:rPr>
      </w:pPr>
      <w:r>
        <w:rPr>
          <w:rFonts w:hint="eastAsia" w:ascii="Times New Roman"/>
          <w:sz w:val="24"/>
        </w:rPr>
        <w:t>4 控制项、评分项、加分项详细得分；</w:t>
      </w:r>
    </w:p>
    <w:p w14:paraId="397AFEC3">
      <w:pPr>
        <w:pStyle w:val="152"/>
        <w:widowControl/>
        <w:autoSpaceDE w:val="0"/>
        <w:autoSpaceDN w:val="0"/>
        <w:spacing w:line="360" w:lineRule="auto"/>
        <w:ind w:firstLine="480"/>
        <w:rPr>
          <w:rFonts w:ascii="Times New Roman"/>
          <w:sz w:val="24"/>
        </w:rPr>
      </w:pPr>
      <w:r>
        <w:rPr>
          <w:rFonts w:hint="eastAsia" w:ascii="Times New Roman"/>
          <w:sz w:val="24"/>
        </w:rPr>
        <w:t>5 建筑隔减震技术应用评价得分与结果汇总表，格式参考附录A；</w:t>
      </w:r>
    </w:p>
    <w:p w14:paraId="6A894558">
      <w:pPr>
        <w:pStyle w:val="152"/>
        <w:widowControl/>
        <w:autoSpaceDE w:val="0"/>
        <w:autoSpaceDN w:val="0"/>
        <w:spacing w:line="360" w:lineRule="auto"/>
        <w:ind w:firstLine="480"/>
        <w:rPr>
          <w:rFonts w:ascii="Times New Roman"/>
          <w:sz w:val="24"/>
        </w:rPr>
      </w:pPr>
      <w:r>
        <w:rPr>
          <w:rFonts w:hint="eastAsia" w:ascii="Times New Roman"/>
          <w:sz w:val="24"/>
        </w:rPr>
        <w:t>6 存在的主要问题；</w:t>
      </w:r>
    </w:p>
    <w:p w14:paraId="14942699">
      <w:pPr>
        <w:pStyle w:val="152"/>
        <w:widowControl/>
        <w:autoSpaceDE w:val="0"/>
        <w:autoSpaceDN w:val="0"/>
        <w:spacing w:line="360" w:lineRule="auto"/>
        <w:ind w:firstLine="480"/>
        <w:rPr>
          <w:rFonts w:ascii="Times New Roman"/>
          <w:sz w:val="24"/>
        </w:rPr>
      </w:pPr>
      <w:r>
        <w:rPr>
          <w:rFonts w:hint="eastAsia" w:ascii="Times New Roman"/>
          <w:sz w:val="24"/>
        </w:rPr>
        <w:t>7 改进建议或意见。</w:t>
      </w:r>
    </w:p>
    <w:p w14:paraId="43CDB432">
      <w:pPr>
        <w:pStyle w:val="174"/>
        <w:spacing w:line="360" w:lineRule="auto"/>
        <w:ind w:firstLine="0" w:firstLineChars="0"/>
        <w:rPr>
          <w:rFonts w:ascii="Times New Roman"/>
          <w:sz w:val="24"/>
          <w:szCs w:val="22"/>
        </w:rPr>
      </w:pPr>
    </w:p>
    <w:p w14:paraId="5EA7AFDC">
      <w:pPr>
        <w:pStyle w:val="174"/>
        <w:spacing w:line="360" w:lineRule="auto"/>
        <w:ind w:firstLine="0" w:firstLineChars="0"/>
        <w:rPr>
          <w:rFonts w:ascii="Times New Roman"/>
          <w:sz w:val="24"/>
          <w:szCs w:val="22"/>
        </w:rPr>
      </w:pPr>
    </w:p>
    <w:p w14:paraId="78038F40">
      <w:pPr>
        <w:pStyle w:val="174"/>
        <w:spacing w:line="360" w:lineRule="auto"/>
        <w:ind w:firstLine="0" w:firstLineChars="0"/>
        <w:rPr>
          <w:rFonts w:ascii="Times New Roman"/>
          <w:sz w:val="24"/>
          <w:szCs w:val="22"/>
        </w:rPr>
      </w:pPr>
    </w:p>
    <w:p w14:paraId="0B4A1DE9">
      <w:pPr>
        <w:widowControl/>
        <w:spacing w:line="360" w:lineRule="auto"/>
        <w:outlineLvl w:val="0"/>
        <w:rPr>
          <w:rFonts w:eastAsia="黑体"/>
          <w:kern w:val="0"/>
          <w:szCs w:val="20"/>
        </w:rPr>
        <w:sectPr>
          <w:pgSz w:w="11906" w:h="16838"/>
          <w:pgMar w:top="1440" w:right="1800" w:bottom="1440" w:left="1800" w:header="1418" w:footer="1134" w:gutter="0"/>
          <w:cols w:space="425" w:num="1"/>
          <w:formProt w:val="0"/>
          <w:docGrid w:type="lines" w:linePitch="312" w:charSpace="0"/>
        </w:sectPr>
      </w:pPr>
    </w:p>
    <w:p w14:paraId="167FFF0F">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bookmarkStart w:id="21" w:name="_Toc207375984"/>
      <w:bookmarkStart w:id="22" w:name="_Toc894"/>
      <w:r>
        <w:rPr>
          <w:rFonts w:hint="eastAsia" w:ascii="Times New Roman" w:hAnsi="Times New Roman" w:cs="Times New Roman"/>
          <w:b/>
          <w:bCs/>
          <w:sz w:val="30"/>
          <w:szCs w:val="30"/>
        </w:rPr>
        <w:t>隔减震设计</w:t>
      </w:r>
      <w:bookmarkEnd w:id="21"/>
      <w:bookmarkEnd w:id="22"/>
    </w:p>
    <w:p w14:paraId="21F8B841">
      <w:pPr>
        <w:pStyle w:val="174"/>
        <w:spacing w:after="156" w:afterLines="50" w:line="360" w:lineRule="auto"/>
        <w:ind w:firstLine="0" w:firstLineChars="0"/>
        <w:jc w:val="center"/>
        <w:outlineLvl w:val="1"/>
        <w:rPr>
          <w:rFonts w:ascii="Times New Roman"/>
          <w:b/>
          <w:bCs/>
          <w:sz w:val="28"/>
          <w:szCs w:val="28"/>
        </w:rPr>
      </w:pPr>
      <w:bookmarkStart w:id="23" w:name="_Toc207375985"/>
      <w:bookmarkStart w:id="24" w:name="_Toc22805"/>
      <w:r>
        <w:rPr>
          <w:rFonts w:hint="eastAsia" w:ascii="Times New Roman"/>
          <w:b/>
          <w:bCs/>
          <w:sz w:val="28"/>
          <w:szCs w:val="28"/>
        </w:rPr>
        <w:t>4.1 隔震设计</w:t>
      </w:r>
      <w:bookmarkEnd w:id="23"/>
      <w:bookmarkEnd w:id="24"/>
    </w:p>
    <w:p w14:paraId="1434C5CD">
      <w:pPr>
        <w:pStyle w:val="174"/>
        <w:spacing w:line="360" w:lineRule="auto"/>
        <w:ind w:left="420" w:hanging="420" w:firstLineChars="0"/>
        <w:jc w:val="center"/>
        <w:outlineLvl w:val="2"/>
        <w:rPr>
          <w:rFonts w:ascii="Times New Roman"/>
          <w:b/>
          <w:bCs/>
          <w:sz w:val="24"/>
          <w:szCs w:val="22"/>
        </w:rPr>
      </w:pPr>
      <w:bookmarkStart w:id="25" w:name="_Toc207375986"/>
      <w:bookmarkStart w:id="26" w:name="_Toc30488"/>
      <w:r>
        <w:rPr>
          <w:rFonts w:hint="eastAsia" w:ascii="Times New Roman"/>
          <w:b/>
          <w:bCs/>
          <w:sz w:val="24"/>
          <w:szCs w:val="22"/>
        </w:rPr>
        <w:t>I 控制项</w:t>
      </w:r>
      <w:bookmarkEnd w:id="25"/>
      <w:bookmarkEnd w:id="26"/>
    </w:p>
    <w:p w14:paraId="49CC6542">
      <w:pPr>
        <w:pStyle w:val="174"/>
        <w:spacing w:line="360" w:lineRule="auto"/>
        <w:ind w:firstLine="0" w:firstLineChars="0"/>
        <w:rPr>
          <w:rFonts w:ascii="Times New Roman"/>
          <w:sz w:val="24"/>
          <w:szCs w:val="22"/>
        </w:rPr>
      </w:pPr>
      <w:r>
        <w:rPr>
          <w:rFonts w:hint="eastAsia" w:ascii="Times New Roman"/>
          <w:b/>
          <w:bCs/>
          <w:sz w:val="24"/>
          <w:szCs w:val="22"/>
        </w:rPr>
        <w:t xml:space="preserve">4.1.1 </w:t>
      </w:r>
      <w:r>
        <w:rPr>
          <w:rFonts w:hint="eastAsia" w:ascii="Times New Roman"/>
          <w:sz w:val="24"/>
          <w:szCs w:val="22"/>
        </w:rPr>
        <w:t>在建筑方案设计阶段（含可行性研究分析）应进行隔震技术的应用策划，明确应用目标及技术实施方案。</w:t>
      </w:r>
    </w:p>
    <w:p w14:paraId="2C303FDF">
      <w:pPr>
        <w:pStyle w:val="174"/>
        <w:spacing w:line="360" w:lineRule="auto"/>
        <w:ind w:firstLine="0" w:firstLineChars="0"/>
        <w:rPr>
          <w:rFonts w:ascii="Times New Roman"/>
          <w:sz w:val="24"/>
          <w:szCs w:val="22"/>
        </w:rPr>
      </w:pPr>
      <w:r>
        <w:rPr>
          <w:rFonts w:hint="eastAsia" w:ascii="Times New Roman"/>
          <w:b/>
          <w:bCs/>
          <w:sz w:val="24"/>
          <w:szCs w:val="22"/>
        </w:rPr>
        <w:t xml:space="preserve">4.1.2 </w:t>
      </w:r>
      <w:r>
        <w:rPr>
          <w:rFonts w:hint="eastAsia" w:ascii="Times New Roman"/>
          <w:sz w:val="24"/>
          <w:szCs w:val="22"/>
        </w:rPr>
        <w:t>采用隔震技术的建筑，其基本设防目标不应低于《建筑抗震设计标准》GB/T 50011的要求</w:t>
      </w:r>
      <w:r>
        <w:rPr>
          <w:rFonts w:hint="eastAsia" w:ascii="Times New Roman"/>
          <w:sz w:val="24"/>
          <w:szCs w:val="22"/>
          <w:lang w:eastAsia="zh-CN"/>
        </w:rPr>
        <w:t>：</w:t>
      </w:r>
      <w:r>
        <w:rPr>
          <w:rFonts w:hint="eastAsia" w:ascii="Times New Roman"/>
          <w:sz w:val="24"/>
          <w:szCs w:val="22"/>
        </w:rPr>
        <w:t>当遭受低于本地区抗震设防烈度的多遇地震影响时，主体结构不受损坏或不需修理可继续使用；当遭受相当于本地区抗震设防烈度的设防地震影响时，可能发生损坏，但经一般性修理仍可继续使用；当遭受高于本地区抗震设防烈度的罕遇地震影响时，不致倒塌或发生危及生命的严重破坏</w:t>
      </w:r>
      <w:r>
        <w:rPr>
          <w:rFonts w:hint="eastAsia" w:ascii="Times New Roman"/>
          <w:sz w:val="24"/>
          <w:szCs w:val="22"/>
          <w:lang w:eastAsia="zh-CN"/>
        </w:rPr>
        <w:t>。</w:t>
      </w:r>
      <w:r>
        <w:rPr>
          <w:rFonts w:hint="eastAsia" w:ascii="Times New Roman"/>
          <w:sz w:val="24"/>
          <w:szCs w:val="22"/>
        </w:rPr>
        <w:t>对于</w:t>
      </w:r>
      <w:r>
        <w:rPr>
          <w:rFonts w:hint="eastAsia" w:ascii="Times New Roman"/>
          <w:sz w:val="24"/>
          <w:szCs w:val="22"/>
          <w:lang w:val="en-US" w:eastAsia="zh-CN"/>
        </w:rPr>
        <w:t>位于高烈度设防地区、地震重点监视防御区的新建学校、幼儿园、医院、养老机构、儿童福利机构、应急指挥中心、应急避难场所、广播电视等</w:t>
      </w:r>
      <w:r>
        <w:rPr>
          <w:rFonts w:hint="eastAsia" w:ascii="Times New Roman"/>
          <w:sz w:val="24"/>
          <w:szCs w:val="22"/>
        </w:rPr>
        <w:t>建筑，其基本设防目标</w:t>
      </w:r>
      <w:r>
        <w:rPr>
          <w:rStyle w:val="41"/>
          <w:rFonts w:hint="eastAsia" w:ascii="Times New Roman"/>
          <w:kern w:val="0"/>
          <w:sz w:val="24"/>
          <w:szCs w:val="22"/>
          <w:lang w:val="en-US" w:eastAsia="zh-CN"/>
        </w:rPr>
        <w:t>是：</w:t>
      </w:r>
      <w:r>
        <w:rPr>
          <w:rFonts w:hint="eastAsia" w:ascii="Times New Roman"/>
          <w:sz w:val="24"/>
          <w:szCs w:val="22"/>
        </w:rPr>
        <w:t>当遭受相当于本地区基本烈度的设防地震时，主体结构基本不受损坏或不需修理即可继续使用</w:t>
      </w:r>
      <w:r>
        <w:rPr>
          <w:rFonts w:hint="eastAsia" w:ascii="Times New Roman"/>
          <w:sz w:val="24"/>
          <w:szCs w:val="22"/>
          <w:lang w:eastAsia="zh-CN"/>
        </w:rPr>
        <w:t>；</w:t>
      </w:r>
      <w:r>
        <w:rPr>
          <w:rFonts w:hint="eastAsia" w:ascii="Times New Roman"/>
          <w:sz w:val="24"/>
          <w:szCs w:val="22"/>
        </w:rPr>
        <w:t>当遭受罕遇地震时，结构可能发生损坏，经修复后可继续使用</w:t>
      </w:r>
      <w:r>
        <w:rPr>
          <w:rFonts w:hint="eastAsia" w:ascii="Times New Roman"/>
          <w:sz w:val="24"/>
          <w:szCs w:val="22"/>
          <w:lang w:eastAsia="zh-CN"/>
        </w:rPr>
        <w:t>；</w:t>
      </w:r>
      <w:r>
        <w:rPr>
          <w:rFonts w:hint="eastAsia" w:ascii="Times New Roman"/>
          <w:sz w:val="24"/>
          <w:szCs w:val="22"/>
        </w:rPr>
        <w:t>特殊设防类建筑遭受极罕遇地震时，不致倒塌或发生危及生命的严重破坏</w:t>
      </w:r>
      <w:r>
        <w:rPr>
          <w:rFonts w:hint="eastAsia" w:ascii="Times New Roman"/>
          <w:sz w:val="24"/>
          <w:szCs w:val="22"/>
          <w:lang w:val="en-US" w:eastAsia="zh-CN"/>
        </w:rPr>
        <w:t>。</w:t>
      </w:r>
    </w:p>
    <w:p w14:paraId="2B04635F">
      <w:pPr>
        <w:pStyle w:val="174"/>
        <w:spacing w:line="360" w:lineRule="auto"/>
        <w:ind w:firstLine="0" w:firstLineChars="0"/>
        <w:rPr>
          <w:rFonts w:ascii="Times New Roman"/>
          <w:sz w:val="24"/>
          <w:szCs w:val="22"/>
        </w:rPr>
      </w:pPr>
      <w:r>
        <w:rPr>
          <w:rFonts w:hint="eastAsia" w:ascii="Times New Roman"/>
          <w:b/>
          <w:bCs/>
          <w:sz w:val="24"/>
          <w:szCs w:val="22"/>
        </w:rPr>
        <w:t xml:space="preserve">4.1.3 </w:t>
      </w:r>
      <w:r>
        <w:rPr>
          <w:rFonts w:hint="eastAsia" w:ascii="Times New Roman"/>
          <w:sz w:val="24"/>
          <w:szCs w:val="22"/>
        </w:rPr>
        <w:t>隔震结构计算应建立包含隔震层及上部结构的整体模型，有效模拟隔震装置非线性特性，分析结果应能反映结构真实动力响应。</w:t>
      </w:r>
    </w:p>
    <w:p w14:paraId="0E243762">
      <w:pPr>
        <w:pStyle w:val="174"/>
        <w:spacing w:line="360" w:lineRule="auto"/>
        <w:ind w:firstLine="0" w:firstLineChars="0"/>
        <w:rPr>
          <w:rFonts w:ascii="Times New Roman"/>
          <w:sz w:val="24"/>
          <w:szCs w:val="22"/>
        </w:rPr>
      </w:pPr>
      <w:r>
        <w:rPr>
          <w:rFonts w:hint="eastAsia" w:ascii="Times New Roman"/>
          <w:b/>
          <w:bCs/>
          <w:sz w:val="24"/>
          <w:szCs w:val="22"/>
        </w:rPr>
        <w:t xml:space="preserve">4.1.4 </w:t>
      </w:r>
      <w:r>
        <w:rPr>
          <w:rFonts w:hint="eastAsia" w:ascii="Times New Roman"/>
          <w:sz w:val="24"/>
          <w:szCs w:val="22"/>
        </w:rPr>
        <w:t>设计文件应包含完整的隔震设计专篇和隔震支座施工安装指导方案，确保可供施工单位使用，保障隔震层施工阶段的结构稳定性与安装安全性。</w:t>
      </w:r>
    </w:p>
    <w:p w14:paraId="5887E941">
      <w:pPr>
        <w:pStyle w:val="174"/>
        <w:spacing w:line="360" w:lineRule="auto"/>
        <w:ind w:firstLine="0" w:firstLineChars="0"/>
        <w:rPr>
          <w:rFonts w:ascii="Times New Roman"/>
          <w:sz w:val="24"/>
          <w:szCs w:val="22"/>
        </w:rPr>
      </w:pPr>
      <w:r>
        <w:rPr>
          <w:rFonts w:hint="eastAsia" w:ascii="Times New Roman"/>
          <w:b/>
          <w:bCs/>
          <w:sz w:val="24"/>
          <w:szCs w:val="22"/>
        </w:rPr>
        <w:t xml:space="preserve">4.1.5 </w:t>
      </w:r>
      <w:r>
        <w:rPr>
          <w:rFonts w:hint="eastAsia" w:ascii="Times New Roman"/>
          <w:sz w:val="24"/>
          <w:szCs w:val="22"/>
        </w:rPr>
        <w:t>复杂高层建筑、大跨屋盖建筑等特殊复杂项目应进行专项论证。</w:t>
      </w:r>
    </w:p>
    <w:p w14:paraId="5FBA4C4F">
      <w:pPr>
        <w:pStyle w:val="174"/>
        <w:spacing w:line="360" w:lineRule="auto"/>
        <w:ind w:left="420" w:hanging="420" w:firstLineChars="0"/>
        <w:jc w:val="center"/>
        <w:outlineLvl w:val="2"/>
        <w:rPr>
          <w:rFonts w:ascii="Times New Roman"/>
          <w:b/>
          <w:bCs/>
          <w:sz w:val="24"/>
          <w:szCs w:val="22"/>
        </w:rPr>
      </w:pPr>
      <w:bookmarkStart w:id="27" w:name="_Toc29418"/>
      <w:bookmarkStart w:id="28" w:name="_Toc207375987"/>
      <w:r>
        <w:rPr>
          <w:rFonts w:hint="eastAsia" w:ascii="Times New Roman"/>
          <w:b/>
          <w:bCs/>
          <w:sz w:val="24"/>
          <w:szCs w:val="22"/>
        </w:rPr>
        <w:t>II 评分项</w:t>
      </w:r>
      <w:bookmarkEnd w:id="27"/>
      <w:bookmarkEnd w:id="28"/>
    </w:p>
    <w:p w14:paraId="0FAD9DE5">
      <w:pPr>
        <w:pStyle w:val="174"/>
        <w:spacing w:line="360" w:lineRule="auto"/>
        <w:ind w:firstLine="0" w:firstLineChars="0"/>
        <w:rPr>
          <w:rFonts w:ascii="Times New Roman"/>
          <w:sz w:val="24"/>
          <w:szCs w:val="24"/>
        </w:rPr>
      </w:pPr>
      <w:r>
        <w:rPr>
          <w:rFonts w:hint="eastAsia" w:ascii="Times New Roman"/>
          <w:b/>
          <w:bCs/>
          <w:sz w:val="24"/>
          <w:szCs w:val="24"/>
        </w:rPr>
        <w:t xml:space="preserve">4.1.6 </w:t>
      </w:r>
      <w:r>
        <w:rPr>
          <w:rFonts w:hint="eastAsia" w:ascii="Times New Roman"/>
          <w:sz w:val="24"/>
          <w:szCs w:val="24"/>
        </w:rPr>
        <w:t>隔震技术的应用应保证合理性与协同性，评价总分值为</w:t>
      </w:r>
      <w:r>
        <w:rPr>
          <w:rFonts w:hint="eastAsia" w:ascii="Times New Roman"/>
          <w:sz w:val="24"/>
          <w:szCs w:val="24"/>
          <w:lang w:val="en-US" w:eastAsia="zh-CN"/>
        </w:rPr>
        <w:t>3</w:t>
      </w:r>
      <w:r>
        <w:rPr>
          <w:rFonts w:hint="eastAsia" w:ascii="Times New Roman"/>
          <w:sz w:val="24"/>
          <w:szCs w:val="24"/>
        </w:rPr>
        <w:t>0分，应按下列规则分别评分并累计：</w:t>
      </w:r>
    </w:p>
    <w:p w14:paraId="430DB1B6">
      <w:pPr>
        <w:pStyle w:val="174"/>
        <w:spacing w:line="360" w:lineRule="auto"/>
        <w:ind w:firstLine="480"/>
        <w:rPr>
          <w:rFonts w:ascii="Times New Roman"/>
          <w:sz w:val="24"/>
          <w:szCs w:val="24"/>
        </w:rPr>
      </w:pPr>
      <w:r>
        <w:rPr>
          <w:rFonts w:hint="eastAsia" w:ascii="Times New Roman"/>
          <w:sz w:val="24"/>
          <w:szCs w:val="24"/>
        </w:rPr>
        <w:t>1 设计技术文件中含隔震技术的应用必要性论证及成本分析，得</w:t>
      </w:r>
      <w:r>
        <w:rPr>
          <w:rFonts w:hint="eastAsia" w:ascii="Times New Roman"/>
          <w:sz w:val="24"/>
          <w:szCs w:val="24"/>
          <w:lang w:val="en-US" w:eastAsia="zh-CN"/>
        </w:rPr>
        <w:t>5</w:t>
      </w:r>
      <w:r>
        <w:rPr>
          <w:rFonts w:hint="eastAsia" w:ascii="Times New Roman"/>
          <w:sz w:val="24"/>
          <w:szCs w:val="24"/>
        </w:rPr>
        <w:t>分；仅进行其中一项，得</w:t>
      </w:r>
      <w:r>
        <w:rPr>
          <w:rFonts w:hint="eastAsia" w:ascii="Times New Roman"/>
          <w:sz w:val="24"/>
          <w:szCs w:val="24"/>
          <w:lang w:val="en-US" w:eastAsia="zh-CN"/>
        </w:rPr>
        <w:t>3</w:t>
      </w:r>
      <w:r>
        <w:rPr>
          <w:rFonts w:hint="eastAsia" w:ascii="Times New Roman"/>
          <w:sz w:val="24"/>
          <w:szCs w:val="24"/>
        </w:rPr>
        <w:t>分；两项均缺项，得0分；</w:t>
      </w:r>
    </w:p>
    <w:p w14:paraId="5332122A">
      <w:pPr>
        <w:pStyle w:val="174"/>
        <w:spacing w:line="360" w:lineRule="auto"/>
        <w:ind w:firstLine="480"/>
        <w:rPr>
          <w:rFonts w:ascii="Times New Roman"/>
          <w:sz w:val="24"/>
          <w:szCs w:val="24"/>
        </w:rPr>
      </w:pPr>
      <w:r>
        <w:rPr>
          <w:rFonts w:hint="eastAsia" w:ascii="Times New Roman"/>
          <w:sz w:val="24"/>
          <w:szCs w:val="24"/>
        </w:rPr>
        <w:t>2 隔震建筑的场地为I、II、III类，得5分；场地为IV类且采取有效措施，得3分；</w:t>
      </w:r>
    </w:p>
    <w:p w14:paraId="2E96F4BE">
      <w:pPr>
        <w:pStyle w:val="174"/>
        <w:spacing w:line="360" w:lineRule="auto"/>
        <w:ind w:firstLine="480"/>
        <w:rPr>
          <w:rFonts w:ascii="Times New Roman"/>
          <w:sz w:val="24"/>
          <w:szCs w:val="24"/>
        </w:rPr>
      </w:pPr>
      <w:r>
        <w:rPr>
          <w:rFonts w:hint="eastAsia" w:ascii="Times New Roman"/>
          <w:sz w:val="24"/>
          <w:szCs w:val="24"/>
        </w:rPr>
        <w:t>3 建筑设计阶段考虑隔震装置后期检修、更换方案，得5分；未考虑，得0分；</w:t>
      </w:r>
    </w:p>
    <w:p w14:paraId="07B4368A">
      <w:pPr>
        <w:pStyle w:val="174"/>
        <w:spacing w:line="360" w:lineRule="auto"/>
        <w:ind w:firstLine="480"/>
        <w:rPr>
          <w:rFonts w:ascii="Times New Roman"/>
          <w:sz w:val="24"/>
          <w:szCs w:val="24"/>
        </w:rPr>
      </w:pPr>
      <w:r>
        <w:rPr>
          <w:rFonts w:hint="eastAsia" w:ascii="Times New Roman"/>
          <w:sz w:val="24"/>
          <w:szCs w:val="24"/>
        </w:rPr>
        <w:t>4 对非结构构件（如建筑装饰、围护墙）或附属设备（如电梯、机电管线）提出明确抗震性能要求，包括连接方式、变形限值等，得5分；仅提出一般性要求，得3分；未提特殊要求，得0分；</w:t>
      </w:r>
    </w:p>
    <w:p w14:paraId="6B26FC6B">
      <w:pPr>
        <w:pStyle w:val="174"/>
        <w:spacing w:line="360" w:lineRule="auto"/>
        <w:ind w:firstLine="480"/>
        <w:rPr>
          <w:rFonts w:ascii="Times New Roman"/>
          <w:sz w:val="24"/>
          <w:szCs w:val="24"/>
        </w:rPr>
      </w:pPr>
      <w:r>
        <w:rPr>
          <w:rFonts w:hint="eastAsia" w:ascii="Times New Roman"/>
          <w:sz w:val="24"/>
          <w:szCs w:val="24"/>
        </w:rPr>
        <w:t>5 隔震设计同时采用反应谱法及时程分析法，得</w:t>
      </w:r>
      <w:r>
        <w:rPr>
          <w:rFonts w:hint="eastAsia" w:ascii="Times New Roman"/>
          <w:sz w:val="24"/>
          <w:szCs w:val="24"/>
          <w:lang w:val="en-US" w:eastAsia="zh-CN"/>
        </w:rPr>
        <w:t>5</w:t>
      </w:r>
      <w:r>
        <w:rPr>
          <w:rFonts w:hint="eastAsia" w:ascii="Times New Roman"/>
          <w:sz w:val="24"/>
          <w:szCs w:val="24"/>
        </w:rPr>
        <w:t>分；未进行时程分析法，得5分；</w:t>
      </w:r>
    </w:p>
    <w:p w14:paraId="792B9BF2">
      <w:pPr>
        <w:pStyle w:val="174"/>
        <w:spacing w:line="360" w:lineRule="auto"/>
        <w:ind w:firstLine="480"/>
        <w:rPr>
          <w:rFonts w:ascii="Times New Roman"/>
          <w:sz w:val="24"/>
          <w:szCs w:val="24"/>
        </w:rPr>
      </w:pPr>
      <w:r>
        <w:rPr>
          <w:rFonts w:hint="eastAsia" w:ascii="Times New Roman"/>
          <w:sz w:val="24"/>
          <w:szCs w:val="24"/>
        </w:rPr>
        <w:t>6 重力荷载代表值作用下，上部结构总重力不超过隔震支座总</w:t>
      </w:r>
      <w:r>
        <w:rPr>
          <w:rFonts w:hint="eastAsia" w:ascii="Times New Roman"/>
          <w:sz w:val="24"/>
          <w:szCs w:val="24"/>
          <w:lang w:val="en-US" w:eastAsia="zh-CN"/>
        </w:rPr>
        <w:t>压力限值</w:t>
      </w:r>
      <w:r>
        <w:rPr>
          <w:rFonts w:hint="eastAsia" w:ascii="Times New Roman"/>
          <w:sz w:val="24"/>
          <w:szCs w:val="24"/>
        </w:rPr>
        <w:t>的90%，得5分。</w:t>
      </w:r>
    </w:p>
    <w:p w14:paraId="7A29985C">
      <w:pPr>
        <w:pStyle w:val="174"/>
        <w:spacing w:line="360" w:lineRule="auto"/>
        <w:ind w:firstLine="0" w:firstLineChars="0"/>
        <w:rPr>
          <w:rFonts w:ascii="Times New Roman"/>
          <w:sz w:val="24"/>
          <w:szCs w:val="24"/>
        </w:rPr>
      </w:pPr>
      <w:r>
        <w:rPr>
          <w:rFonts w:hint="eastAsia" w:ascii="Times New Roman"/>
          <w:b/>
          <w:bCs/>
          <w:sz w:val="24"/>
          <w:szCs w:val="24"/>
        </w:rPr>
        <w:t xml:space="preserve">4.1.7 </w:t>
      </w:r>
      <w:r>
        <w:rPr>
          <w:rFonts w:hint="eastAsia" w:ascii="Times New Roman"/>
          <w:sz w:val="24"/>
          <w:szCs w:val="24"/>
        </w:rPr>
        <w:t>隔震结构力学性能及地震响应满足设计目标，评价总分值为</w:t>
      </w:r>
      <w:r>
        <w:rPr>
          <w:rFonts w:hint="eastAsia" w:ascii="Times New Roman"/>
          <w:sz w:val="24"/>
          <w:szCs w:val="24"/>
          <w:lang w:val="en-US" w:eastAsia="zh-CN"/>
        </w:rPr>
        <w:t>80</w:t>
      </w:r>
      <w:r>
        <w:rPr>
          <w:rFonts w:hint="eastAsia" w:ascii="Times New Roman"/>
          <w:sz w:val="24"/>
          <w:szCs w:val="24"/>
        </w:rPr>
        <w:t>分，应按下列规则分别评分并累计：</w:t>
      </w:r>
    </w:p>
    <w:p w14:paraId="5CEAE624">
      <w:pPr>
        <w:pStyle w:val="174"/>
        <w:spacing w:line="360" w:lineRule="auto"/>
        <w:ind w:firstLine="480"/>
        <w:rPr>
          <w:rFonts w:ascii="Times New Roman"/>
          <w:sz w:val="24"/>
          <w:szCs w:val="24"/>
        </w:rPr>
      </w:pPr>
      <w:r>
        <w:rPr>
          <w:rFonts w:hint="eastAsia" w:ascii="Times New Roman"/>
          <w:sz w:val="24"/>
          <w:szCs w:val="24"/>
        </w:rPr>
        <w:t>1 按照隔震装置实际非线性本构关系输入</w:t>
      </w:r>
      <w:r>
        <w:rPr>
          <w:rFonts w:hint="eastAsia" w:ascii="Times New Roman"/>
          <w:sz w:val="24"/>
          <w:szCs w:val="24"/>
          <w:lang w:val="en-US" w:eastAsia="zh-CN"/>
        </w:rPr>
        <w:t>整体设计模型或分部设计法的水平向减震系数</w:t>
      </w:r>
      <w:r>
        <w:rPr>
          <w:rFonts w:hint="eastAsia" w:ascii="Times New Roman"/>
          <w:sz w:val="24"/>
          <w:szCs w:val="24"/>
        </w:rPr>
        <w:t>计算模型，得10分；采用简化线性本构关系进行计算，得5分；</w:t>
      </w:r>
    </w:p>
    <w:p w14:paraId="41AB78F6">
      <w:pPr>
        <w:pStyle w:val="174"/>
        <w:spacing w:line="360" w:lineRule="auto"/>
        <w:ind w:firstLine="480"/>
        <w:rPr>
          <w:rFonts w:ascii="Times New Roman"/>
          <w:sz w:val="24"/>
          <w:szCs w:val="24"/>
        </w:rPr>
      </w:pPr>
      <w:r>
        <w:rPr>
          <w:rFonts w:hint="eastAsia" w:ascii="Times New Roman"/>
          <w:sz w:val="24"/>
          <w:szCs w:val="24"/>
        </w:rPr>
        <w:t>2 隔震层刚度中心与质量中心的偏心率不大于1%，得</w:t>
      </w:r>
      <w:r>
        <w:rPr>
          <w:rFonts w:hint="eastAsia" w:ascii="Times New Roman"/>
          <w:sz w:val="24"/>
          <w:szCs w:val="24"/>
          <w:lang w:val="en-US" w:eastAsia="zh-CN"/>
        </w:rPr>
        <w:t>5</w:t>
      </w:r>
      <w:r>
        <w:rPr>
          <w:rFonts w:hint="eastAsia" w:ascii="Times New Roman"/>
          <w:sz w:val="24"/>
          <w:szCs w:val="24"/>
        </w:rPr>
        <w:t>分；偏心率不大于3%，得</w:t>
      </w:r>
      <w:r>
        <w:rPr>
          <w:rFonts w:hint="eastAsia" w:ascii="Times New Roman"/>
          <w:sz w:val="24"/>
          <w:szCs w:val="24"/>
          <w:lang w:val="en-US" w:eastAsia="zh-CN"/>
        </w:rPr>
        <w:t>3</w:t>
      </w:r>
      <w:r>
        <w:rPr>
          <w:rFonts w:hint="eastAsia" w:ascii="Times New Roman"/>
          <w:sz w:val="24"/>
          <w:szCs w:val="24"/>
        </w:rPr>
        <w:t>分；</w:t>
      </w:r>
    </w:p>
    <w:p w14:paraId="211E212E">
      <w:pPr>
        <w:pStyle w:val="174"/>
        <w:spacing w:line="360" w:lineRule="auto"/>
        <w:ind w:firstLine="480"/>
        <w:rPr>
          <w:rFonts w:ascii="Times New Roman"/>
          <w:sz w:val="24"/>
          <w:szCs w:val="24"/>
        </w:rPr>
      </w:pPr>
      <w:r>
        <w:rPr>
          <w:rFonts w:hint="eastAsia" w:ascii="Times New Roman"/>
          <w:sz w:val="24"/>
          <w:szCs w:val="24"/>
        </w:rPr>
        <w:t>3 隔震层以上结构扭转位移比不大于</w:t>
      </w:r>
      <w:r>
        <w:rPr>
          <w:rFonts w:ascii="Times New Roman"/>
          <w:sz w:val="24"/>
          <w:szCs w:val="24"/>
        </w:rPr>
        <w:t>1.</w:t>
      </w:r>
      <w:r>
        <w:rPr>
          <w:rFonts w:hint="eastAsia" w:ascii="Times New Roman"/>
          <w:sz w:val="24"/>
          <w:szCs w:val="24"/>
        </w:rPr>
        <w:t>2，得5分；不大于1.5，得3分；</w:t>
      </w:r>
    </w:p>
    <w:p w14:paraId="0861F48D">
      <w:pPr>
        <w:pStyle w:val="174"/>
        <w:spacing w:line="360" w:lineRule="auto"/>
        <w:ind w:firstLine="480"/>
        <w:rPr>
          <w:rFonts w:ascii="Times New Roman"/>
          <w:sz w:val="24"/>
          <w:szCs w:val="24"/>
        </w:rPr>
      </w:pPr>
      <w:r>
        <w:rPr>
          <w:rFonts w:hint="eastAsia" w:ascii="Times New Roman"/>
          <w:sz w:val="24"/>
          <w:szCs w:val="24"/>
        </w:rPr>
        <w:t>4 隔震层抗风承载力验算合格且不需要另设抗风装置，得</w:t>
      </w:r>
      <w:r>
        <w:rPr>
          <w:rFonts w:hint="eastAsia" w:ascii="Times New Roman"/>
          <w:sz w:val="24"/>
          <w:szCs w:val="24"/>
          <w:lang w:val="en-US" w:eastAsia="zh-CN"/>
        </w:rPr>
        <w:t>5</w:t>
      </w:r>
      <w:r>
        <w:rPr>
          <w:rFonts w:hint="eastAsia" w:ascii="Times New Roman"/>
          <w:sz w:val="24"/>
          <w:szCs w:val="24"/>
        </w:rPr>
        <w:t>分；设置抗风装置，得</w:t>
      </w:r>
      <w:r>
        <w:rPr>
          <w:rFonts w:hint="eastAsia" w:ascii="Times New Roman"/>
          <w:sz w:val="24"/>
          <w:szCs w:val="24"/>
          <w:lang w:val="en-US" w:eastAsia="zh-CN"/>
        </w:rPr>
        <w:t>3</w:t>
      </w:r>
      <w:r>
        <w:rPr>
          <w:rFonts w:hint="eastAsia" w:ascii="Times New Roman"/>
          <w:sz w:val="24"/>
          <w:szCs w:val="24"/>
        </w:rPr>
        <w:t>分；</w:t>
      </w:r>
    </w:p>
    <w:p w14:paraId="673D3B1D">
      <w:pPr>
        <w:pStyle w:val="174"/>
        <w:spacing w:line="360" w:lineRule="auto"/>
        <w:ind w:firstLine="480"/>
        <w:rPr>
          <w:rFonts w:ascii="Times New Roman"/>
          <w:sz w:val="24"/>
          <w:szCs w:val="24"/>
        </w:rPr>
      </w:pPr>
      <w:r>
        <w:rPr>
          <w:rFonts w:hint="eastAsia" w:ascii="Times New Roman"/>
          <w:sz w:val="24"/>
          <w:szCs w:val="24"/>
        </w:rPr>
        <w:t>5 隔震结构底部剪力比</w:t>
      </w:r>
      <w:r>
        <w:rPr>
          <w:rFonts w:hint="eastAsia" w:ascii="Times New Roman"/>
          <w:sz w:val="24"/>
          <w:szCs w:val="24"/>
          <w:lang w:val="en-US" w:eastAsia="zh-CN"/>
        </w:rPr>
        <w:t>或水平向减震系数</w:t>
      </w:r>
      <w:r>
        <w:rPr>
          <w:rFonts w:hint="eastAsia" w:ascii="Times New Roman"/>
          <w:sz w:val="24"/>
          <w:szCs w:val="24"/>
        </w:rPr>
        <w:t>不大于0.4，得10分；</w:t>
      </w:r>
      <w:r>
        <w:rPr>
          <w:rFonts w:hint="eastAsia" w:ascii="Times New Roman"/>
          <w:sz w:val="24"/>
          <w:szCs w:val="24"/>
          <w:lang w:val="en-US" w:eastAsia="zh-CN"/>
        </w:rPr>
        <w:t>不</w:t>
      </w:r>
      <w:r>
        <w:rPr>
          <w:rFonts w:hint="eastAsia" w:ascii="Times New Roman"/>
          <w:sz w:val="24"/>
          <w:szCs w:val="24"/>
        </w:rPr>
        <w:t>大于0.5，得5分；大于0.5，得0分；</w:t>
      </w:r>
    </w:p>
    <w:p w14:paraId="5E71B344">
      <w:pPr>
        <w:pStyle w:val="174"/>
        <w:spacing w:line="360" w:lineRule="auto"/>
        <w:ind w:firstLine="480"/>
        <w:rPr>
          <w:rFonts w:ascii="Times New Roman"/>
          <w:sz w:val="24"/>
          <w:szCs w:val="24"/>
        </w:rPr>
      </w:pPr>
      <w:r>
        <w:rPr>
          <w:rFonts w:hint="eastAsia" w:ascii="Times New Roman"/>
          <w:sz w:val="24"/>
          <w:szCs w:val="24"/>
        </w:rPr>
        <w:t>6 多遇地震或设防地震作用下，上部结构弹性层间位移角最大值不超过对应限值的90%，得</w:t>
      </w:r>
      <w:r>
        <w:rPr>
          <w:rFonts w:hint="eastAsia" w:ascii="Times New Roman"/>
          <w:sz w:val="24"/>
          <w:szCs w:val="24"/>
          <w:lang w:val="en-US" w:eastAsia="zh-CN"/>
        </w:rPr>
        <w:t>5</w:t>
      </w:r>
      <w:r>
        <w:rPr>
          <w:rFonts w:hint="eastAsia" w:ascii="Times New Roman"/>
          <w:sz w:val="24"/>
          <w:szCs w:val="24"/>
        </w:rPr>
        <w:t>分；不超过对应限值，得</w:t>
      </w:r>
      <w:r>
        <w:rPr>
          <w:rFonts w:hint="eastAsia" w:ascii="Times New Roman"/>
          <w:sz w:val="24"/>
          <w:szCs w:val="24"/>
          <w:lang w:val="en-US" w:eastAsia="zh-CN"/>
        </w:rPr>
        <w:t>3</w:t>
      </w:r>
      <w:r>
        <w:rPr>
          <w:rFonts w:hint="eastAsia" w:ascii="Times New Roman"/>
          <w:sz w:val="24"/>
          <w:szCs w:val="24"/>
        </w:rPr>
        <w:t>分；</w:t>
      </w:r>
    </w:p>
    <w:p w14:paraId="5D32EE68">
      <w:pPr>
        <w:pStyle w:val="174"/>
        <w:spacing w:line="360" w:lineRule="auto"/>
        <w:ind w:firstLine="480"/>
        <w:rPr>
          <w:rFonts w:ascii="Times New Roman"/>
          <w:sz w:val="24"/>
          <w:szCs w:val="24"/>
        </w:rPr>
      </w:pPr>
      <w:r>
        <w:rPr>
          <w:rFonts w:hint="eastAsia" w:ascii="Times New Roman"/>
          <w:sz w:val="24"/>
          <w:szCs w:val="24"/>
        </w:rPr>
        <w:t>7 隔震结构弹塑性分析模型的结构质量及</w:t>
      </w:r>
      <w:r>
        <w:rPr>
          <w:rFonts w:hint="eastAsia" w:ascii="Times New Roman"/>
          <w:sz w:val="24"/>
          <w:szCs w:val="24"/>
          <w:lang w:val="en-US" w:eastAsia="zh-CN"/>
        </w:rPr>
        <w:t>周期</w:t>
      </w:r>
      <w:r>
        <w:rPr>
          <w:rFonts w:hint="eastAsia" w:ascii="Times New Roman"/>
          <w:sz w:val="24"/>
          <w:szCs w:val="24"/>
        </w:rPr>
        <w:t>与反应谱分析模型的差距均不超过3%，得5分；均不超过5%，得3分；</w:t>
      </w:r>
    </w:p>
    <w:p w14:paraId="2F44AA8B">
      <w:pPr>
        <w:pStyle w:val="174"/>
        <w:spacing w:line="360" w:lineRule="auto"/>
        <w:ind w:firstLine="480"/>
        <w:rPr>
          <w:rFonts w:ascii="Times New Roman"/>
          <w:sz w:val="24"/>
          <w:szCs w:val="24"/>
        </w:rPr>
      </w:pPr>
      <w:r>
        <w:rPr>
          <w:rFonts w:hint="eastAsia" w:ascii="Times New Roman"/>
          <w:sz w:val="24"/>
          <w:szCs w:val="24"/>
        </w:rPr>
        <w:t>8 罕遇地震作用下，上部结构弹塑性层间位移角最大值不超过对应限值的90%，得10分；不超过对应限值，得5分；</w:t>
      </w:r>
    </w:p>
    <w:p w14:paraId="203025AA">
      <w:pPr>
        <w:pStyle w:val="174"/>
        <w:spacing w:line="360" w:lineRule="auto"/>
        <w:ind w:firstLine="480"/>
        <w:rPr>
          <w:rFonts w:ascii="Times New Roman"/>
          <w:sz w:val="24"/>
          <w:szCs w:val="24"/>
        </w:rPr>
      </w:pPr>
      <w:r>
        <w:rPr>
          <w:rFonts w:hint="eastAsia" w:ascii="Times New Roman"/>
          <w:sz w:val="24"/>
          <w:szCs w:val="24"/>
        </w:rPr>
        <w:t>9 通过反应谱计算或时程分析包络设计，罕遇地震作用下隔震层零应力面积占比为0，得10分；占比不超过15%，得8分；不超过30%，得5分；</w:t>
      </w:r>
    </w:p>
    <w:p w14:paraId="10EB0756">
      <w:pPr>
        <w:pStyle w:val="174"/>
        <w:spacing w:line="360" w:lineRule="auto"/>
        <w:ind w:firstLine="480"/>
        <w:rPr>
          <w:rFonts w:ascii="Times New Roman"/>
          <w:sz w:val="24"/>
          <w:szCs w:val="24"/>
        </w:rPr>
      </w:pPr>
      <w:r>
        <w:rPr>
          <w:rFonts w:hint="eastAsia" w:ascii="Times New Roman"/>
          <w:sz w:val="24"/>
          <w:szCs w:val="24"/>
        </w:rPr>
        <w:t>10 罕遇地震作用下，建筑摩擦摆隔震支座不出现受拉提离，建筑隔震橡胶支座最大拉应力不大于1MPa，得10分；建筑摩擦摆隔震支座出现受拉提离，建筑隔震橡胶支座最大拉应力大于1MPa，且设置受拉措施，得5分；</w:t>
      </w:r>
    </w:p>
    <w:p w14:paraId="48401B44">
      <w:pPr>
        <w:pStyle w:val="174"/>
        <w:spacing w:line="360" w:lineRule="auto"/>
        <w:ind w:firstLine="480"/>
        <w:rPr>
          <w:rFonts w:ascii="Times New Roman"/>
          <w:sz w:val="24"/>
          <w:szCs w:val="24"/>
        </w:rPr>
      </w:pPr>
      <w:r>
        <w:rPr>
          <w:rFonts w:hint="eastAsia" w:ascii="Times New Roman"/>
          <w:sz w:val="24"/>
          <w:szCs w:val="24"/>
        </w:rPr>
        <w:t>11 开展隔震结构罕遇地震作用下的整体损伤分析和楼面</w:t>
      </w:r>
      <w:r>
        <w:rPr>
          <w:rFonts w:hint="eastAsia" w:ascii="Times New Roman"/>
          <w:sz w:val="24"/>
          <w:szCs w:val="24"/>
          <w:lang w:val="en-US" w:eastAsia="zh-CN"/>
        </w:rPr>
        <w:t>加速度</w:t>
      </w:r>
      <w:r>
        <w:rPr>
          <w:rFonts w:hint="eastAsia" w:ascii="Times New Roman"/>
          <w:sz w:val="24"/>
          <w:szCs w:val="24"/>
        </w:rPr>
        <w:t>验算，得</w:t>
      </w:r>
      <w:r>
        <w:rPr>
          <w:rFonts w:hint="eastAsia" w:ascii="Times New Roman"/>
          <w:sz w:val="24"/>
          <w:szCs w:val="24"/>
          <w:lang w:val="en-US" w:eastAsia="zh-CN"/>
        </w:rPr>
        <w:t>5</w:t>
      </w:r>
      <w:r>
        <w:rPr>
          <w:rFonts w:hint="eastAsia" w:ascii="Times New Roman"/>
          <w:sz w:val="24"/>
          <w:szCs w:val="24"/>
        </w:rPr>
        <w:t>分；二者仅缺一项，得</w:t>
      </w:r>
      <w:r>
        <w:rPr>
          <w:rFonts w:hint="eastAsia" w:ascii="Times New Roman"/>
          <w:sz w:val="24"/>
          <w:szCs w:val="24"/>
          <w:lang w:val="en-US" w:eastAsia="zh-CN"/>
        </w:rPr>
        <w:t>3</w:t>
      </w:r>
      <w:r>
        <w:rPr>
          <w:rFonts w:hint="eastAsia" w:ascii="Times New Roman"/>
          <w:sz w:val="24"/>
          <w:szCs w:val="24"/>
        </w:rPr>
        <w:t>分；二者全部缺项，得0分。</w:t>
      </w:r>
    </w:p>
    <w:p w14:paraId="75315BA9">
      <w:pPr>
        <w:pStyle w:val="174"/>
        <w:spacing w:line="360" w:lineRule="auto"/>
        <w:ind w:firstLine="0" w:firstLineChars="0"/>
        <w:rPr>
          <w:rFonts w:ascii="Times New Roman"/>
          <w:sz w:val="24"/>
          <w:szCs w:val="24"/>
        </w:rPr>
      </w:pPr>
      <w:r>
        <w:rPr>
          <w:rFonts w:hint="eastAsia" w:ascii="Times New Roman"/>
          <w:b/>
          <w:bCs/>
          <w:sz w:val="24"/>
          <w:szCs w:val="24"/>
        </w:rPr>
        <w:t xml:space="preserve">4.1.8 </w:t>
      </w:r>
      <w:r>
        <w:rPr>
          <w:rFonts w:hint="eastAsia" w:ascii="Times New Roman"/>
          <w:sz w:val="24"/>
          <w:szCs w:val="24"/>
        </w:rPr>
        <w:t>隔震设计及后续深化设计的相关文件应能指导后续隔震层施工，评价总分值为</w:t>
      </w:r>
      <w:r>
        <w:rPr>
          <w:rFonts w:hint="eastAsia" w:ascii="Times New Roman"/>
          <w:sz w:val="24"/>
          <w:szCs w:val="24"/>
          <w:lang w:val="en-US" w:eastAsia="zh-CN"/>
        </w:rPr>
        <w:t>3</w:t>
      </w:r>
      <w:r>
        <w:rPr>
          <w:rFonts w:hint="eastAsia" w:ascii="Times New Roman"/>
          <w:sz w:val="24"/>
          <w:szCs w:val="24"/>
        </w:rPr>
        <w:t>0分，应按下列规则分别评分并累计：</w:t>
      </w:r>
    </w:p>
    <w:p w14:paraId="3CC9AFCD">
      <w:pPr>
        <w:pStyle w:val="174"/>
        <w:spacing w:line="360" w:lineRule="auto"/>
        <w:ind w:firstLine="480"/>
        <w:rPr>
          <w:rFonts w:ascii="Times New Roman"/>
          <w:sz w:val="24"/>
          <w:szCs w:val="24"/>
        </w:rPr>
      </w:pPr>
      <w:r>
        <w:rPr>
          <w:rFonts w:hint="eastAsia" w:ascii="Times New Roman"/>
          <w:sz w:val="24"/>
          <w:szCs w:val="24"/>
        </w:rPr>
        <w:t>1 隔震设计专项图纸包含隔震设计主要计算结果、隔震装置（隔震支座、抗拉装置、抗风装置等）力学参数表、隔震装置平面布置图、隔震装置检测要求、隔震装置施工安装要求，得10分；缺1项，扣2分；</w:t>
      </w:r>
    </w:p>
    <w:p w14:paraId="7DA4D4DE">
      <w:pPr>
        <w:pStyle w:val="174"/>
        <w:spacing w:line="360" w:lineRule="auto"/>
        <w:ind w:firstLine="480"/>
        <w:rPr>
          <w:rFonts w:ascii="Times New Roman"/>
          <w:sz w:val="24"/>
          <w:szCs w:val="24"/>
        </w:rPr>
      </w:pPr>
      <w:r>
        <w:rPr>
          <w:rFonts w:hint="eastAsia" w:ascii="Times New Roman"/>
          <w:sz w:val="24"/>
          <w:szCs w:val="24"/>
        </w:rPr>
        <w:t>2 隔震设计大样图包含供隔震装置连接大样图、柔性管道连接节点大样图、隔震缝设计大样图、支墩配筋表、隔震装置深化确认图，得</w:t>
      </w:r>
      <w:r>
        <w:rPr>
          <w:rFonts w:hint="eastAsia" w:ascii="Times New Roman"/>
          <w:sz w:val="24"/>
          <w:szCs w:val="24"/>
          <w:lang w:val="en-US" w:eastAsia="zh-CN"/>
        </w:rPr>
        <w:t>5</w:t>
      </w:r>
      <w:r>
        <w:rPr>
          <w:rFonts w:hint="eastAsia" w:ascii="Times New Roman"/>
          <w:sz w:val="24"/>
          <w:szCs w:val="24"/>
        </w:rPr>
        <w:t>分；缺1项，扣</w:t>
      </w:r>
      <w:r>
        <w:rPr>
          <w:rFonts w:hint="eastAsia" w:ascii="Times New Roman"/>
          <w:sz w:val="24"/>
          <w:szCs w:val="24"/>
          <w:lang w:val="en-US" w:eastAsia="zh-CN"/>
        </w:rPr>
        <w:t>1</w:t>
      </w:r>
      <w:r>
        <w:rPr>
          <w:rFonts w:hint="eastAsia" w:ascii="Times New Roman"/>
          <w:sz w:val="24"/>
          <w:szCs w:val="24"/>
        </w:rPr>
        <w:t>分；</w:t>
      </w:r>
    </w:p>
    <w:p w14:paraId="523F6D08">
      <w:pPr>
        <w:pStyle w:val="174"/>
        <w:spacing w:line="360" w:lineRule="auto"/>
        <w:ind w:firstLine="480"/>
        <w:rPr>
          <w:rFonts w:ascii="Times New Roman"/>
          <w:sz w:val="24"/>
          <w:szCs w:val="24"/>
        </w:rPr>
      </w:pPr>
      <w:r>
        <w:rPr>
          <w:rFonts w:hint="eastAsia" w:ascii="Times New Roman"/>
          <w:sz w:val="24"/>
          <w:szCs w:val="24"/>
        </w:rPr>
        <w:t>3 提供隔震装置施工安装方案，包含施工准备、施工流程、施工方法、维护检查要求、安全注意事项，得10分；缺1项，扣2分；</w:t>
      </w:r>
    </w:p>
    <w:p w14:paraId="1619DB55">
      <w:pPr>
        <w:pStyle w:val="174"/>
        <w:spacing w:line="360" w:lineRule="auto"/>
        <w:ind w:firstLine="480"/>
        <w:rPr>
          <w:rFonts w:ascii="Times New Roman"/>
          <w:sz w:val="24"/>
          <w:szCs w:val="24"/>
        </w:rPr>
      </w:pPr>
      <w:r>
        <w:rPr>
          <w:rFonts w:hint="eastAsia" w:ascii="Times New Roman"/>
          <w:sz w:val="24"/>
          <w:szCs w:val="24"/>
        </w:rPr>
        <w:t>4 提供隔震装置与主体结构连接（连接螺栓、连接板、预埋件）计算书，得</w:t>
      </w:r>
      <w:r>
        <w:rPr>
          <w:rFonts w:hint="eastAsia" w:ascii="Times New Roman"/>
          <w:sz w:val="24"/>
          <w:szCs w:val="24"/>
          <w:lang w:val="en-US" w:eastAsia="zh-CN"/>
        </w:rPr>
        <w:t>5</w:t>
      </w:r>
      <w:r>
        <w:rPr>
          <w:rFonts w:hint="eastAsia" w:ascii="Times New Roman"/>
          <w:sz w:val="24"/>
          <w:szCs w:val="24"/>
        </w:rPr>
        <w:t>分；连接计算书存在缺项，得0分。</w:t>
      </w:r>
    </w:p>
    <w:p w14:paraId="5B546037">
      <w:pPr>
        <w:pStyle w:val="174"/>
        <w:spacing w:line="360" w:lineRule="auto"/>
        <w:ind w:firstLine="0" w:firstLineChars="0"/>
        <w:rPr>
          <w:rFonts w:ascii="Times New Roman"/>
          <w:sz w:val="24"/>
          <w:szCs w:val="24"/>
        </w:rPr>
      </w:pPr>
      <w:r>
        <w:rPr>
          <w:rFonts w:hint="eastAsia" w:ascii="Times New Roman"/>
          <w:b/>
          <w:bCs/>
          <w:sz w:val="24"/>
          <w:szCs w:val="24"/>
        </w:rPr>
        <w:t xml:space="preserve">4.1.9 </w:t>
      </w:r>
      <w:r>
        <w:rPr>
          <w:rFonts w:hint="eastAsia" w:ascii="Times New Roman"/>
          <w:sz w:val="24"/>
          <w:szCs w:val="24"/>
        </w:rPr>
        <w:t>隔震结构构造设计应能保证结构施工质量与震后功能可持续，评价总分值为</w:t>
      </w:r>
      <w:r>
        <w:rPr>
          <w:rFonts w:hint="eastAsia" w:ascii="Times New Roman"/>
          <w:sz w:val="24"/>
          <w:szCs w:val="24"/>
          <w:lang w:val="en-US" w:eastAsia="zh-CN"/>
        </w:rPr>
        <w:t>1</w:t>
      </w:r>
      <w:r>
        <w:rPr>
          <w:rFonts w:hint="eastAsia" w:ascii="Times New Roman"/>
          <w:sz w:val="24"/>
          <w:szCs w:val="24"/>
        </w:rPr>
        <w:t>0分，应按下列规则分别评分并累计：</w:t>
      </w:r>
    </w:p>
    <w:p w14:paraId="584AA11E">
      <w:pPr>
        <w:pStyle w:val="174"/>
        <w:spacing w:line="360" w:lineRule="auto"/>
        <w:ind w:firstLine="480"/>
        <w:rPr>
          <w:rFonts w:ascii="Times New Roman"/>
          <w:sz w:val="24"/>
          <w:szCs w:val="24"/>
        </w:rPr>
      </w:pPr>
      <w:r>
        <w:rPr>
          <w:rFonts w:hint="eastAsia" w:ascii="Times New Roman"/>
          <w:sz w:val="24"/>
          <w:szCs w:val="24"/>
        </w:rPr>
        <w:t>1 在隔震结构设计阶段，位于隔震层的各专业管线全部采用柔性体系，得</w:t>
      </w:r>
      <w:r>
        <w:rPr>
          <w:rFonts w:hint="eastAsia" w:ascii="Times New Roman"/>
          <w:sz w:val="24"/>
          <w:szCs w:val="24"/>
          <w:lang w:val="en-US" w:eastAsia="zh-CN"/>
        </w:rPr>
        <w:t>5</w:t>
      </w:r>
      <w:r>
        <w:rPr>
          <w:rFonts w:hint="eastAsia" w:ascii="Times New Roman"/>
          <w:sz w:val="24"/>
          <w:szCs w:val="24"/>
        </w:rPr>
        <w:t>分；仅部分专业管线采用柔性体系，得</w:t>
      </w:r>
      <w:r>
        <w:rPr>
          <w:rFonts w:hint="eastAsia" w:ascii="Times New Roman"/>
          <w:sz w:val="24"/>
          <w:szCs w:val="24"/>
          <w:lang w:val="en-US" w:eastAsia="zh-CN"/>
        </w:rPr>
        <w:t>3</w:t>
      </w:r>
      <w:r>
        <w:rPr>
          <w:rFonts w:hint="eastAsia" w:ascii="Times New Roman"/>
          <w:sz w:val="24"/>
          <w:szCs w:val="24"/>
        </w:rPr>
        <w:t>分；未采用柔性管道体系，得0分；</w:t>
      </w:r>
    </w:p>
    <w:p w14:paraId="5812B493">
      <w:pPr>
        <w:pStyle w:val="174"/>
        <w:spacing w:line="360" w:lineRule="auto"/>
        <w:ind w:firstLine="480"/>
        <w:rPr>
          <w:rFonts w:hint="eastAsia" w:ascii="Times New Roman"/>
          <w:sz w:val="24"/>
          <w:szCs w:val="24"/>
        </w:rPr>
      </w:pPr>
      <w:r>
        <w:rPr>
          <w:rFonts w:hint="eastAsia" w:ascii="Times New Roman"/>
          <w:sz w:val="24"/>
          <w:szCs w:val="24"/>
        </w:rPr>
        <w:t>2 穿越隔震层的固定设施（楼梯、扶手、门厅入口、踏步、电梯、地下室坡道、车道入口等）及隔震区域内外连接处做断开或可变形的构造措施，得</w:t>
      </w:r>
      <w:r>
        <w:rPr>
          <w:rFonts w:hint="eastAsia" w:ascii="Times New Roman"/>
          <w:sz w:val="24"/>
          <w:szCs w:val="24"/>
          <w:lang w:val="en-US" w:eastAsia="zh-CN"/>
        </w:rPr>
        <w:t>5</w:t>
      </w:r>
      <w:r>
        <w:rPr>
          <w:rFonts w:hint="eastAsia" w:ascii="Times New Roman"/>
          <w:sz w:val="24"/>
          <w:szCs w:val="24"/>
        </w:rPr>
        <w:t>分；存在缺项，得</w:t>
      </w:r>
      <w:r>
        <w:rPr>
          <w:rFonts w:ascii="Times New Roman"/>
          <w:sz w:val="24"/>
          <w:szCs w:val="24"/>
        </w:rPr>
        <w:t>0</w:t>
      </w:r>
      <w:r>
        <w:rPr>
          <w:rFonts w:hint="eastAsia" w:ascii="Times New Roman"/>
          <w:sz w:val="24"/>
          <w:szCs w:val="24"/>
        </w:rPr>
        <w:t>分。</w:t>
      </w:r>
    </w:p>
    <w:p w14:paraId="07CCE359">
      <w:pPr>
        <w:pStyle w:val="174"/>
        <w:spacing w:line="360" w:lineRule="auto"/>
        <w:ind w:firstLine="0" w:firstLineChars="0"/>
        <w:rPr>
          <w:rFonts w:ascii="Times New Roman"/>
          <w:sz w:val="24"/>
          <w:szCs w:val="22"/>
        </w:rPr>
      </w:pPr>
      <w:r>
        <w:rPr>
          <w:rFonts w:hint="eastAsia" w:ascii="Times New Roman"/>
          <w:b/>
          <w:bCs/>
          <w:sz w:val="24"/>
          <w:szCs w:val="22"/>
          <w:lang w:val="en-US" w:eastAsia="zh-CN"/>
        </w:rPr>
        <w:t>4</w:t>
      </w:r>
      <w:r>
        <w:rPr>
          <w:rFonts w:hint="eastAsia" w:ascii="Times New Roman"/>
          <w:b/>
          <w:bCs/>
          <w:sz w:val="24"/>
          <w:szCs w:val="22"/>
        </w:rPr>
        <w:t>.1.</w:t>
      </w:r>
      <w:r>
        <w:rPr>
          <w:rFonts w:hint="eastAsia" w:ascii="Times New Roman"/>
          <w:b/>
          <w:bCs/>
          <w:sz w:val="24"/>
          <w:szCs w:val="22"/>
          <w:lang w:val="en-US" w:eastAsia="zh-CN"/>
        </w:rPr>
        <w:t>10</w:t>
      </w:r>
      <w:r>
        <w:rPr>
          <w:rFonts w:hint="eastAsia" w:ascii="Times New Roman"/>
          <w:b/>
          <w:bCs/>
          <w:sz w:val="24"/>
          <w:szCs w:val="22"/>
        </w:rPr>
        <w:t xml:space="preserve"> </w:t>
      </w:r>
      <w:r>
        <w:rPr>
          <w:rFonts w:hint="eastAsia" w:ascii="Times New Roman"/>
          <w:sz w:val="24"/>
          <w:szCs w:val="22"/>
        </w:rPr>
        <w:t>隔震层的构造措施应能保证上部结构与下部结构的协同运动，评价总分值为</w:t>
      </w:r>
      <w:r>
        <w:rPr>
          <w:rFonts w:hint="eastAsia" w:ascii="Times New Roman"/>
          <w:sz w:val="24"/>
          <w:szCs w:val="22"/>
          <w:lang w:val="en-US" w:eastAsia="zh-CN"/>
        </w:rPr>
        <w:t>50</w:t>
      </w:r>
      <w:r>
        <w:rPr>
          <w:rFonts w:hint="eastAsia" w:ascii="Times New Roman"/>
          <w:sz w:val="24"/>
          <w:szCs w:val="22"/>
        </w:rPr>
        <w:t>分，应分别评分并累计：</w:t>
      </w:r>
    </w:p>
    <w:p w14:paraId="045050D0">
      <w:pPr>
        <w:pStyle w:val="174"/>
        <w:spacing w:line="360" w:lineRule="auto"/>
        <w:ind w:firstLine="480"/>
        <w:rPr>
          <w:rFonts w:ascii="Times New Roman"/>
          <w:sz w:val="24"/>
          <w:szCs w:val="22"/>
        </w:rPr>
      </w:pPr>
      <w:r>
        <w:rPr>
          <w:rFonts w:hint="eastAsia" w:ascii="Times New Roman"/>
          <w:sz w:val="24"/>
          <w:szCs w:val="22"/>
        </w:rPr>
        <w:t>1 隔震层梁底面到下部结构顶面之间的净空不小于1500mm，得</w:t>
      </w:r>
      <w:r>
        <w:rPr>
          <w:rFonts w:hint="eastAsia" w:ascii="Times New Roman"/>
          <w:sz w:val="24"/>
          <w:szCs w:val="22"/>
          <w:lang w:val="en-US" w:eastAsia="zh-CN"/>
        </w:rPr>
        <w:t>5</w:t>
      </w:r>
      <w:r>
        <w:rPr>
          <w:rFonts w:hint="eastAsia" w:ascii="Times New Roman"/>
          <w:sz w:val="24"/>
          <w:szCs w:val="22"/>
        </w:rPr>
        <w:t>分；不小于1200mm，得</w:t>
      </w:r>
      <w:r>
        <w:rPr>
          <w:rFonts w:hint="eastAsia" w:ascii="Times New Roman"/>
          <w:sz w:val="24"/>
          <w:szCs w:val="22"/>
          <w:lang w:val="en-US" w:eastAsia="zh-CN"/>
        </w:rPr>
        <w:t>3</w:t>
      </w:r>
      <w:r>
        <w:rPr>
          <w:rFonts w:hint="eastAsia" w:ascii="Times New Roman"/>
          <w:sz w:val="24"/>
          <w:szCs w:val="22"/>
        </w:rPr>
        <w:t>分；不小于800mm，得</w:t>
      </w:r>
      <w:r>
        <w:rPr>
          <w:rFonts w:hint="eastAsia" w:ascii="Times New Roman"/>
          <w:sz w:val="24"/>
          <w:szCs w:val="22"/>
          <w:lang w:val="en-US" w:eastAsia="zh-CN"/>
        </w:rPr>
        <w:t>2</w:t>
      </w:r>
      <w:r>
        <w:rPr>
          <w:rFonts w:hint="eastAsia" w:ascii="Times New Roman"/>
          <w:sz w:val="24"/>
          <w:szCs w:val="22"/>
        </w:rPr>
        <w:t>分；小于800mm，得0分；</w:t>
      </w:r>
    </w:p>
    <w:p w14:paraId="41369F33">
      <w:pPr>
        <w:pStyle w:val="174"/>
        <w:spacing w:line="360" w:lineRule="auto"/>
        <w:ind w:firstLine="480"/>
        <w:rPr>
          <w:rFonts w:ascii="Times New Roman"/>
          <w:sz w:val="24"/>
          <w:szCs w:val="22"/>
        </w:rPr>
      </w:pPr>
      <w:r>
        <w:rPr>
          <w:rFonts w:ascii="Times New Roman"/>
          <w:sz w:val="24"/>
          <w:szCs w:val="22"/>
        </w:rPr>
        <w:t xml:space="preserve">2 </w:t>
      </w:r>
      <w:r>
        <w:rPr>
          <w:rFonts w:hint="eastAsia" w:ascii="Times New Roman"/>
          <w:sz w:val="24"/>
          <w:szCs w:val="22"/>
        </w:rPr>
        <w:t>隔震层底板采用厚度不小于</w:t>
      </w:r>
      <w:r>
        <w:rPr>
          <w:rFonts w:ascii="Times New Roman"/>
          <w:sz w:val="24"/>
          <w:szCs w:val="22"/>
        </w:rPr>
        <w:t>160mm</w:t>
      </w:r>
      <w:r>
        <w:rPr>
          <w:rFonts w:hint="eastAsia" w:ascii="Times New Roman"/>
          <w:sz w:val="24"/>
          <w:szCs w:val="22"/>
        </w:rPr>
        <w:t>的现浇混凝土板，或采用总厚度不小于</w:t>
      </w:r>
      <w:r>
        <w:rPr>
          <w:rFonts w:ascii="Times New Roman"/>
          <w:sz w:val="24"/>
          <w:szCs w:val="22"/>
        </w:rPr>
        <w:t>180mm</w:t>
      </w:r>
      <w:r>
        <w:rPr>
          <w:rFonts w:hint="eastAsia" w:ascii="Times New Roman"/>
          <w:sz w:val="24"/>
          <w:szCs w:val="22"/>
        </w:rPr>
        <w:t>且配筋现浇面层不小于</w:t>
      </w:r>
      <w:r>
        <w:rPr>
          <w:rFonts w:ascii="Times New Roman"/>
          <w:sz w:val="24"/>
          <w:szCs w:val="22"/>
        </w:rPr>
        <w:t>100mm</w:t>
      </w:r>
      <w:r>
        <w:rPr>
          <w:rFonts w:hint="eastAsia" w:ascii="Times New Roman"/>
          <w:sz w:val="24"/>
          <w:szCs w:val="22"/>
        </w:rPr>
        <w:t>的整体装配式混凝土板，得</w:t>
      </w:r>
      <w:r>
        <w:rPr>
          <w:rFonts w:hint="eastAsia" w:ascii="Times New Roman"/>
          <w:sz w:val="24"/>
          <w:szCs w:val="22"/>
          <w:lang w:val="en-US" w:eastAsia="zh-CN"/>
        </w:rPr>
        <w:t>5</w:t>
      </w:r>
      <w:r>
        <w:rPr>
          <w:rFonts w:hint="eastAsia" w:ascii="Times New Roman"/>
          <w:sz w:val="24"/>
          <w:szCs w:val="22"/>
        </w:rPr>
        <w:t>分；不满足以上要求，得</w:t>
      </w:r>
      <w:r>
        <w:rPr>
          <w:rFonts w:ascii="Times New Roman"/>
          <w:sz w:val="24"/>
          <w:szCs w:val="22"/>
        </w:rPr>
        <w:t>0</w:t>
      </w:r>
      <w:r>
        <w:rPr>
          <w:rFonts w:hint="eastAsia" w:ascii="Times New Roman"/>
          <w:sz w:val="24"/>
          <w:szCs w:val="22"/>
        </w:rPr>
        <w:t>分；</w:t>
      </w:r>
    </w:p>
    <w:p w14:paraId="2AF7EBBE">
      <w:pPr>
        <w:pStyle w:val="174"/>
        <w:spacing w:line="360" w:lineRule="auto"/>
        <w:ind w:firstLine="480"/>
        <w:rPr>
          <w:rFonts w:ascii="Times New Roman"/>
          <w:sz w:val="24"/>
          <w:szCs w:val="22"/>
        </w:rPr>
      </w:pPr>
      <w:r>
        <w:rPr>
          <w:rFonts w:ascii="Times New Roman"/>
          <w:sz w:val="24"/>
          <w:szCs w:val="22"/>
        </w:rPr>
        <w:t xml:space="preserve">3 </w:t>
      </w:r>
      <w:r>
        <w:rPr>
          <w:rFonts w:hint="eastAsia" w:ascii="Times New Roman"/>
          <w:sz w:val="24"/>
          <w:szCs w:val="22"/>
        </w:rPr>
        <w:t>隔震建筑周圈竖向隔离缝宽度不低于罕遇地震下隔震层最大水平位移值的</w:t>
      </w:r>
      <w:r>
        <w:rPr>
          <w:rFonts w:ascii="Times New Roman"/>
          <w:sz w:val="24"/>
          <w:szCs w:val="22"/>
        </w:rPr>
        <w:t>1.4</w:t>
      </w:r>
      <w:r>
        <w:rPr>
          <w:rFonts w:hint="eastAsia" w:ascii="Times New Roman"/>
          <w:sz w:val="24"/>
          <w:szCs w:val="22"/>
        </w:rPr>
        <w:t>倍，得</w:t>
      </w:r>
      <w:r>
        <w:rPr>
          <w:rFonts w:hint="eastAsia" w:ascii="Times New Roman"/>
          <w:sz w:val="24"/>
          <w:szCs w:val="22"/>
          <w:lang w:val="en-US" w:eastAsia="zh-CN"/>
        </w:rPr>
        <w:t>10</w:t>
      </w:r>
      <w:r>
        <w:rPr>
          <w:rFonts w:hint="eastAsia" w:ascii="Times New Roman"/>
          <w:sz w:val="24"/>
          <w:szCs w:val="22"/>
        </w:rPr>
        <w:t>分；不低于罕遇地震最大水平位移值的</w:t>
      </w:r>
      <w:r>
        <w:rPr>
          <w:rFonts w:ascii="Times New Roman"/>
          <w:sz w:val="24"/>
          <w:szCs w:val="22"/>
        </w:rPr>
        <w:t>1.2</w:t>
      </w:r>
      <w:r>
        <w:rPr>
          <w:rFonts w:hint="eastAsia" w:ascii="Times New Roman"/>
          <w:sz w:val="24"/>
          <w:szCs w:val="22"/>
        </w:rPr>
        <w:t>倍，得</w:t>
      </w:r>
      <w:r>
        <w:rPr>
          <w:rFonts w:hint="eastAsia" w:ascii="Times New Roman"/>
          <w:sz w:val="24"/>
          <w:szCs w:val="22"/>
          <w:lang w:val="en-US" w:eastAsia="zh-CN"/>
        </w:rPr>
        <w:t>5</w:t>
      </w:r>
      <w:r>
        <w:rPr>
          <w:rFonts w:hint="eastAsia" w:ascii="Times New Roman"/>
          <w:sz w:val="24"/>
          <w:szCs w:val="22"/>
        </w:rPr>
        <w:t>分；小于</w:t>
      </w:r>
      <w:r>
        <w:rPr>
          <w:rFonts w:ascii="Times New Roman"/>
          <w:sz w:val="24"/>
          <w:szCs w:val="22"/>
        </w:rPr>
        <w:t>300mm</w:t>
      </w:r>
      <w:r>
        <w:rPr>
          <w:rFonts w:hint="eastAsia" w:ascii="Times New Roman"/>
          <w:sz w:val="24"/>
          <w:szCs w:val="22"/>
        </w:rPr>
        <w:t>或低于罕遇地震最大水平位移值的</w:t>
      </w:r>
      <w:r>
        <w:rPr>
          <w:rFonts w:ascii="Times New Roman"/>
          <w:sz w:val="24"/>
          <w:szCs w:val="22"/>
        </w:rPr>
        <w:t>1.2</w:t>
      </w:r>
      <w:r>
        <w:rPr>
          <w:rFonts w:hint="eastAsia" w:ascii="Times New Roman"/>
          <w:sz w:val="24"/>
          <w:szCs w:val="22"/>
        </w:rPr>
        <w:t>倍，得</w:t>
      </w:r>
      <w:r>
        <w:rPr>
          <w:rFonts w:ascii="Times New Roman"/>
          <w:sz w:val="24"/>
          <w:szCs w:val="22"/>
        </w:rPr>
        <w:t>0</w:t>
      </w:r>
      <w:r>
        <w:rPr>
          <w:rFonts w:hint="eastAsia" w:ascii="Times New Roman"/>
          <w:sz w:val="24"/>
          <w:szCs w:val="22"/>
        </w:rPr>
        <w:t>分；</w:t>
      </w:r>
    </w:p>
    <w:p w14:paraId="2A948A93">
      <w:pPr>
        <w:pStyle w:val="174"/>
        <w:spacing w:line="360" w:lineRule="auto"/>
        <w:ind w:firstLine="480"/>
        <w:rPr>
          <w:rFonts w:ascii="Times New Roman"/>
          <w:sz w:val="24"/>
          <w:szCs w:val="22"/>
          <w:highlight w:val="none"/>
        </w:rPr>
      </w:pPr>
      <w:r>
        <w:rPr>
          <w:rFonts w:hint="eastAsia" w:ascii="Times New Roman"/>
          <w:sz w:val="24"/>
          <w:szCs w:val="22"/>
          <w:highlight w:val="none"/>
          <w:lang w:val="en-US" w:eastAsia="zh-CN"/>
        </w:rPr>
        <w:t>4</w:t>
      </w:r>
      <w:r>
        <w:rPr>
          <w:rFonts w:hint="eastAsia" w:ascii="Times New Roman"/>
          <w:sz w:val="24"/>
          <w:szCs w:val="22"/>
          <w:highlight w:val="none"/>
        </w:rPr>
        <w:t xml:space="preserve"> 隔震沟及隔震沟盖板周圈无杂物且能保证隔震层水平向自由运动，得</w:t>
      </w:r>
      <w:r>
        <w:rPr>
          <w:rFonts w:hint="eastAsia" w:ascii="Times New Roman"/>
          <w:sz w:val="24"/>
          <w:szCs w:val="22"/>
          <w:highlight w:val="none"/>
          <w:lang w:val="en-US" w:eastAsia="zh-CN"/>
        </w:rPr>
        <w:t>5</w:t>
      </w:r>
      <w:r>
        <w:rPr>
          <w:rFonts w:hint="eastAsia" w:ascii="Times New Roman"/>
          <w:sz w:val="24"/>
          <w:szCs w:val="22"/>
          <w:highlight w:val="none"/>
        </w:rPr>
        <w:t>分；周圈存在杂物或不能满足隔震层自由运动的要求，得0分；</w:t>
      </w:r>
    </w:p>
    <w:p w14:paraId="7BCB1A1D">
      <w:pPr>
        <w:pStyle w:val="174"/>
        <w:spacing w:line="360" w:lineRule="auto"/>
        <w:ind w:firstLine="480"/>
        <w:rPr>
          <w:rFonts w:ascii="Times New Roman"/>
          <w:sz w:val="24"/>
          <w:szCs w:val="22"/>
        </w:rPr>
      </w:pPr>
      <w:r>
        <w:rPr>
          <w:rFonts w:hint="eastAsia" w:ascii="Times New Roman"/>
          <w:sz w:val="24"/>
          <w:szCs w:val="22"/>
          <w:lang w:val="en-US" w:eastAsia="zh-CN"/>
        </w:rPr>
        <w:t>5</w:t>
      </w:r>
      <w:r>
        <w:rPr>
          <w:rFonts w:ascii="Times New Roman"/>
          <w:sz w:val="24"/>
          <w:szCs w:val="22"/>
        </w:rPr>
        <w:t xml:space="preserve"> </w:t>
      </w:r>
      <w:r>
        <w:rPr>
          <w:rFonts w:hint="eastAsia" w:ascii="Times New Roman"/>
          <w:sz w:val="24"/>
          <w:szCs w:val="22"/>
        </w:rPr>
        <w:t>隔震建筑上部结构与下部结构之间的水平隔离缝缝高不小于2</w:t>
      </w:r>
      <w:r>
        <w:rPr>
          <w:rFonts w:ascii="Times New Roman"/>
          <w:sz w:val="24"/>
          <w:szCs w:val="22"/>
        </w:rPr>
        <w:t>0mm</w:t>
      </w:r>
      <w:r>
        <w:rPr>
          <w:rFonts w:hint="eastAsia" w:ascii="Times New Roman"/>
          <w:sz w:val="24"/>
          <w:szCs w:val="22"/>
        </w:rPr>
        <w:t>，得</w:t>
      </w:r>
      <w:r>
        <w:rPr>
          <w:rFonts w:hint="eastAsia" w:ascii="Times New Roman"/>
          <w:sz w:val="24"/>
          <w:szCs w:val="22"/>
          <w:lang w:val="en-US" w:eastAsia="zh-CN"/>
        </w:rPr>
        <w:t>5</w:t>
      </w:r>
      <w:r>
        <w:rPr>
          <w:rFonts w:hint="eastAsia" w:ascii="Times New Roman"/>
          <w:sz w:val="24"/>
          <w:szCs w:val="22"/>
        </w:rPr>
        <w:t>分；缝高小于</w:t>
      </w:r>
      <w:r>
        <w:rPr>
          <w:rFonts w:ascii="Times New Roman"/>
          <w:sz w:val="24"/>
          <w:szCs w:val="22"/>
        </w:rPr>
        <w:t>20mm</w:t>
      </w:r>
      <w:r>
        <w:rPr>
          <w:rFonts w:hint="eastAsia" w:ascii="Times New Roman"/>
          <w:sz w:val="24"/>
          <w:szCs w:val="22"/>
        </w:rPr>
        <w:t>，得</w:t>
      </w:r>
      <w:r>
        <w:rPr>
          <w:rFonts w:ascii="Times New Roman"/>
          <w:sz w:val="24"/>
          <w:szCs w:val="22"/>
        </w:rPr>
        <w:t>0</w:t>
      </w:r>
      <w:r>
        <w:rPr>
          <w:rFonts w:hint="eastAsia" w:ascii="Times New Roman"/>
          <w:sz w:val="24"/>
          <w:szCs w:val="22"/>
        </w:rPr>
        <w:t>分；</w:t>
      </w:r>
    </w:p>
    <w:p w14:paraId="549E6473">
      <w:pPr>
        <w:pStyle w:val="174"/>
        <w:spacing w:line="360" w:lineRule="auto"/>
        <w:ind w:firstLine="480"/>
        <w:rPr>
          <w:rFonts w:ascii="Times New Roman"/>
          <w:sz w:val="24"/>
          <w:szCs w:val="22"/>
        </w:rPr>
      </w:pPr>
      <w:r>
        <w:rPr>
          <w:rFonts w:hint="eastAsia" w:ascii="Times New Roman"/>
          <w:sz w:val="24"/>
          <w:szCs w:val="22"/>
          <w:lang w:val="en-US" w:eastAsia="zh-CN"/>
        </w:rPr>
        <w:t>6</w:t>
      </w:r>
      <w:r>
        <w:rPr>
          <w:rFonts w:hint="eastAsia" w:ascii="Times New Roman"/>
          <w:sz w:val="24"/>
          <w:szCs w:val="22"/>
        </w:rPr>
        <w:t xml:space="preserve"> 水平隔离缝应采用柔性材料或低强度脆性材料填充且满足相应的防水防火要求，得</w:t>
      </w:r>
      <w:r>
        <w:rPr>
          <w:rFonts w:hint="eastAsia" w:ascii="Times New Roman"/>
          <w:sz w:val="24"/>
          <w:szCs w:val="22"/>
          <w:lang w:val="en-US" w:eastAsia="zh-CN"/>
        </w:rPr>
        <w:t>5</w:t>
      </w:r>
      <w:r>
        <w:rPr>
          <w:rFonts w:hint="eastAsia" w:ascii="Times New Roman"/>
          <w:sz w:val="24"/>
          <w:szCs w:val="22"/>
        </w:rPr>
        <w:t>分；未进行填充或填充材料不满足相应要求，得0分；</w:t>
      </w:r>
    </w:p>
    <w:p w14:paraId="0A403844">
      <w:pPr>
        <w:pStyle w:val="174"/>
        <w:spacing w:line="360" w:lineRule="auto"/>
        <w:ind w:firstLine="480"/>
        <w:rPr>
          <w:rFonts w:ascii="Times New Roman"/>
          <w:sz w:val="24"/>
          <w:szCs w:val="22"/>
        </w:rPr>
      </w:pPr>
      <w:r>
        <w:rPr>
          <w:rFonts w:hint="eastAsia" w:ascii="Times New Roman"/>
          <w:sz w:val="24"/>
          <w:szCs w:val="22"/>
          <w:lang w:val="en-US" w:eastAsia="zh-CN"/>
        </w:rPr>
        <w:t>7</w:t>
      </w:r>
      <w:r>
        <w:rPr>
          <w:rFonts w:hint="eastAsia" w:ascii="Times New Roman"/>
          <w:sz w:val="24"/>
          <w:szCs w:val="22"/>
        </w:rPr>
        <w:t xml:space="preserve"> 隔震层顶板检修口或隔震装置吊装口的边长不小于1200mm</w:t>
      </w:r>
      <w:r>
        <w:rPr>
          <w:rFonts w:hint="eastAsia" w:ascii="Times New Roman"/>
          <w:sz w:val="24"/>
          <w:szCs w:val="22"/>
          <w:lang w:val="en-US" w:eastAsia="zh-CN"/>
        </w:rPr>
        <w:t>或隔震支座外尺寸</w:t>
      </w:r>
      <w:r>
        <w:rPr>
          <w:rFonts w:hint="eastAsia" w:ascii="Times New Roman"/>
          <w:sz w:val="24"/>
          <w:szCs w:val="22"/>
        </w:rPr>
        <w:t>，得</w:t>
      </w:r>
      <w:r>
        <w:rPr>
          <w:rFonts w:hint="eastAsia" w:ascii="Times New Roman"/>
          <w:sz w:val="24"/>
          <w:szCs w:val="22"/>
          <w:lang w:val="en-US" w:eastAsia="zh-CN"/>
        </w:rPr>
        <w:t>5</w:t>
      </w:r>
      <w:r>
        <w:rPr>
          <w:rFonts w:hint="eastAsia" w:ascii="Times New Roman"/>
          <w:sz w:val="24"/>
          <w:szCs w:val="22"/>
        </w:rPr>
        <w:t>分；不小于800mm</w:t>
      </w:r>
      <w:r>
        <w:rPr>
          <w:rFonts w:hint="eastAsia" w:ascii="Times New Roman"/>
          <w:sz w:val="24"/>
          <w:szCs w:val="22"/>
          <w:lang w:val="en-US" w:eastAsia="zh-CN"/>
        </w:rPr>
        <w:t>或隔震支座外尺寸</w:t>
      </w:r>
      <w:r>
        <w:rPr>
          <w:rFonts w:hint="eastAsia" w:ascii="Times New Roman"/>
          <w:sz w:val="24"/>
          <w:szCs w:val="22"/>
        </w:rPr>
        <w:t>，得</w:t>
      </w:r>
      <w:r>
        <w:rPr>
          <w:rFonts w:hint="eastAsia" w:ascii="Times New Roman"/>
          <w:sz w:val="24"/>
          <w:szCs w:val="22"/>
          <w:lang w:val="en-US" w:eastAsia="zh-CN"/>
        </w:rPr>
        <w:t>3</w:t>
      </w:r>
      <w:r>
        <w:rPr>
          <w:rFonts w:hint="eastAsia" w:ascii="Times New Roman"/>
          <w:sz w:val="24"/>
          <w:szCs w:val="22"/>
        </w:rPr>
        <w:t>分；小于800mm</w:t>
      </w:r>
      <w:r>
        <w:rPr>
          <w:rFonts w:hint="eastAsia" w:ascii="Times New Roman"/>
          <w:sz w:val="24"/>
          <w:szCs w:val="22"/>
          <w:lang w:val="en-US" w:eastAsia="zh-CN"/>
        </w:rPr>
        <w:t>或隔震支座外尺寸</w:t>
      </w:r>
      <w:r>
        <w:rPr>
          <w:rFonts w:hint="eastAsia" w:ascii="Times New Roman"/>
          <w:sz w:val="24"/>
          <w:szCs w:val="22"/>
        </w:rPr>
        <w:t>，得0分；</w:t>
      </w:r>
    </w:p>
    <w:p w14:paraId="35B8FDCD">
      <w:pPr>
        <w:pStyle w:val="174"/>
        <w:spacing w:line="360" w:lineRule="auto"/>
        <w:ind w:firstLine="480"/>
        <w:rPr>
          <w:rFonts w:ascii="Times New Roman"/>
          <w:sz w:val="24"/>
          <w:szCs w:val="22"/>
        </w:rPr>
      </w:pPr>
      <w:r>
        <w:rPr>
          <w:rFonts w:hint="eastAsia" w:ascii="Times New Roman"/>
          <w:sz w:val="24"/>
          <w:szCs w:val="22"/>
          <w:lang w:val="en-US" w:eastAsia="zh-CN"/>
        </w:rPr>
        <w:t>8</w:t>
      </w:r>
      <w:r>
        <w:rPr>
          <w:rFonts w:hint="eastAsia" w:ascii="Times New Roman"/>
          <w:sz w:val="24"/>
          <w:szCs w:val="22"/>
        </w:rPr>
        <w:t xml:space="preserve"> 竖向隔离缝顶部、电梯井与下部结构之间、人员出入户及车辆主要出入口位置应设置滑动盖板，采取防滑落措施，得</w:t>
      </w:r>
      <w:r>
        <w:rPr>
          <w:rFonts w:hint="eastAsia" w:ascii="Times New Roman"/>
          <w:sz w:val="24"/>
          <w:szCs w:val="22"/>
          <w:lang w:val="en-US" w:eastAsia="zh-CN"/>
        </w:rPr>
        <w:t>5</w:t>
      </w:r>
      <w:r>
        <w:rPr>
          <w:rFonts w:hint="eastAsia" w:ascii="Times New Roman"/>
          <w:sz w:val="24"/>
          <w:szCs w:val="22"/>
        </w:rPr>
        <w:t>分；未采取相应措施，得0分；</w:t>
      </w:r>
    </w:p>
    <w:p w14:paraId="54729D7C">
      <w:pPr>
        <w:pStyle w:val="174"/>
        <w:spacing w:line="360" w:lineRule="auto"/>
        <w:ind w:firstLine="480"/>
        <w:rPr>
          <w:rFonts w:ascii="Times New Roman"/>
          <w:sz w:val="24"/>
          <w:szCs w:val="22"/>
        </w:rPr>
      </w:pPr>
      <w:r>
        <w:rPr>
          <w:rFonts w:hint="eastAsia" w:ascii="Times New Roman"/>
          <w:sz w:val="24"/>
          <w:szCs w:val="22"/>
          <w:lang w:val="en-US" w:eastAsia="zh-CN"/>
        </w:rPr>
        <w:t>9</w:t>
      </w:r>
      <w:r>
        <w:rPr>
          <w:rFonts w:hint="eastAsia" w:ascii="Times New Roman"/>
          <w:sz w:val="24"/>
          <w:szCs w:val="22"/>
        </w:rPr>
        <w:t xml:space="preserve"> 对于穿越隔震建筑主体结构隔震层的电梯井，悬挂式电梯井结构底面与下部结构顶面净高不小于400mm，支承式电梯井净高不小于1000mm，得</w:t>
      </w:r>
      <w:r>
        <w:rPr>
          <w:rFonts w:hint="eastAsia" w:ascii="Times New Roman"/>
          <w:sz w:val="24"/>
          <w:szCs w:val="22"/>
          <w:lang w:val="en-US" w:eastAsia="zh-CN"/>
        </w:rPr>
        <w:t>5</w:t>
      </w:r>
      <w:r>
        <w:rPr>
          <w:rFonts w:hint="eastAsia" w:ascii="Times New Roman"/>
          <w:sz w:val="24"/>
          <w:szCs w:val="22"/>
        </w:rPr>
        <w:t>分；悬挂式电梯井净高不小于200mm，支承式电梯井净高不小于800mm，得</w:t>
      </w:r>
      <w:r>
        <w:rPr>
          <w:rFonts w:hint="eastAsia" w:ascii="Times New Roman"/>
          <w:sz w:val="24"/>
          <w:szCs w:val="22"/>
          <w:lang w:val="en-US" w:eastAsia="zh-CN"/>
        </w:rPr>
        <w:t>3</w:t>
      </w:r>
      <w:r>
        <w:rPr>
          <w:rFonts w:hint="eastAsia" w:ascii="Times New Roman"/>
          <w:sz w:val="24"/>
          <w:szCs w:val="22"/>
        </w:rPr>
        <w:t>分；悬挂式电梯井净高小于200mm，支承式电梯井净高小于800mm，得0分；</w:t>
      </w:r>
    </w:p>
    <w:p w14:paraId="20E698F1">
      <w:pPr>
        <w:pStyle w:val="174"/>
        <w:spacing w:line="360" w:lineRule="auto"/>
        <w:ind w:firstLine="480"/>
        <w:rPr>
          <w:rFonts w:hint="eastAsia" w:ascii="Times New Roman"/>
          <w:sz w:val="24"/>
          <w:szCs w:val="24"/>
        </w:rPr>
      </w:pPr>
    </w:p>
    <w:p w14:paraId="2511C788">
      <w:pPr>
        <w:pStyle w:val="174"/>
        <w:spacing w:after="156" w:afterLines="50" w:line="360" w:lineRule="auto"/>
        <w:ind w:firstLine="0" w:firstLineChars="0"/>
        <w:jc w:val="center"/>
        <w:outlineLvl w:val="1"/>
        <w:rPr>
          <w:rFonts w:ascii="Times New Roman"/>
          <w:b/>
          <w:bCs/>
          <w:sz w:val="28"/>
          <w:szCs w:val="28"/>
        </w:rPr>
      </w:pPr>
      <w:bookmarkStart w:id="29" w:name="_Toc10065"/>
      <w:bookmarkStart w:id="30" w:name="_Toc207375988"/>
      <w:r>
        <w:rPr>
          <w:rFonts w:hint="eastAsia" w:ascii="Times New Roman"/>
          <w:b/>
          <w:bCs/>
          <w:sz w:val="28"/>
          <w:szCs w:val="28"/>
        </w:rPr>
        <w:t>4.2 减震设计</w:t>
      </w:r>
      <w:bookmarkEnd w:id="29"/>
      <w:bookmarkEnd w:id="30"/>
    </w:p>
    <w:p w14:paraId="3620705E">
      <w:pPr>
        <w:pStyle w:val="174"/>
        <w:spacing w:line="360" w:lineRule="auto"/>
        <w:ind w:left="420" w:hanging="420" w:firstLineChars="0"/>
        <w:jc w:val="center"/>
        <w:outlineLvl w:val="2"/>
        <w:rPr>
          <w:rFonts w:ascii="Times New Roman"/>
          <w:b/>
          <w:bCs/>
          <w:sz w:val="24"/>
          <w:szCs w:val="22"/>
        </w:rPr>
      </w:pPr>
      <w:bookmarkStart w:id="31" w:name="_Toc207375989"/>
      <w:bookmarkStart w:id="32" w:name="_Toc22069"/>
      <w:r>
        <w:rPr>
          <w:rFonts w:hint="eastAsia" w:ascii="Times New Roman"/>
          <w:b/>
          <w:bCs/>
          <w:sz w:val="24"/>
          <w:szCs w:val="22"/>
        </w:rPr>
        <w:t>I 控制项</w:t>
      </w:r>
      <w:bookmarkEnd w:id="31"/>
      <w:bookmarkEnd w:id="32"/>
    </w:p>
    <w:p w14:paraId="1904F292">
      <w:pPr>
        <w:pStyle w:val="174"/>
        <w:spacing w:line="360" w:lineRule="auto"/>
        <w:ind w:firstLine="0" w:firstLineChars="0"/>
        <w:rPr>
          <w:rFonts w:ascii="Times New Roman"/>
          <w:sz w:val="24"/>
          <w:szCs w:val="22"/>
        </w:rPr>
      </w:pPr>
      <w:r>
        <w:rPr>
          <w:rFonts w:hint="eastAsia" w:ascii="Times New Roman"/>
          <w:b/>
          <w:bCs/>
          <w:sz w:val="24"/>
          <w:szCs w:val="22"/>
        </w:rPr>
        <w:t xml:space="preserve">4.2.1 </w:t>
      </w:r>
      <w:r>
        <w:rPr>
          <w:rFonts w:hint="eastAsia" w:ascii="Times New Roman"/>
          <w:sz w:val="24"/>
          <w:szCs w:val="22"/>
        </w:rPr>
        <w:t>在建筑方案设计阶段应进行减震技术的应用策划，明确应用目标及技术实施方案。</w:t>
      </w:r>
    </w:p>
    <w:p w14:paraId="55AEC467">
      <w:pPr>
        <w:pStyle w:val="174"/>
        <w:spacing w:line="360" w:lineRule="auto"/>
        <w:ind w:firstLine="0" w:firstLineChars="0"/>
        <w:rPr>
          <w:rFonts w:ascii="Times New Roman"/>
          <w:sz w:val="24"/>
          <w:szCs w:val="22"/>
        </w:rPr>
      </w:pPr>
      <w:r>
        <w:rPr>
          <w:rFonts w:hint="eastAsia" w:ascii="Times New Roman"/>
          <w:b/>
          <w:bCs/>
          <w:sz w:val="24"/>
          <w:szCs w:val="22"/>
        </w:rPr>
        <w:t xml:space="preserve">4.2.2 </w:t>
      </w:r>
      <w:r>
        <w:rPr>
          <w:rFonts w:hint="eastAsia" w:ascii="Times New Roman"/>
          <w:sz w:val="24"/>
          <w:szCs w:val="22"/>
        </w:rPr>
        <w:t>采用减震技术设计的建筑，需根据基本设防目标达到对应的性能目标，符合《建设工程抗震管理条例》、《建筑抗震设计标准》GB/T 50011、《建筑消能减震技术规程》</w:t>
      </w:r>
      <w:r>
        <w:rPr>
          <w:rFonts w:ascii="Times New Roman"/>
          <w:sz w:val="24"/>
          <w:szCs w:val="22"/>
        </w:rPr>
        <w:t>JGJ 297</w:t>
      </w:r>
      <w:r>
        <w:rPr>
          <w:rFonts w:hint="eastAsia" w:ascii="Times New Roman"/>
          <w:sz w:val="24"/>
          <w:szCs w:val="22"/>
        </w:rPr>
        <w:t>等标准的相关要求。</w:t>
      </w:r>
    </w:p>
    <w:p w14:paraId="470E5553">
      <w:pPr>
        <w:pStyle w:val="174"/>
        <w:spacing w:line="360" w:lineRule="auto"/>
        <w:ind w:firstLine="0" w:firstLineChars="0"/>
        <w:rPr>
          <w:rFonts w:ascii="Times New Roman"/>
          <w:sz w:val="24"/>
          <w:szCs w:val="22"/>
        </w:rPr>
      </w:pPr>
      <w:r>
        <w:rPr>
          <w:rFonts w:hint="eastAsia" w:ascii="Times New Roman"/>
          <w:b/>
          <w:bCs/>
          <w:sz w:val="24"/>
          <w:szCs w:val="22"/>
        </w:rPr>
        <w:t xml:space="preserve">4.2.3 </w:t>
      </w:r>
      <w:r>
        <w:rPr>
          <w:rFonts w:hint="eastAsia" w:ascii="Times New Roman"/>
          <w:sz w:val="24"/>
          <w:szCs w:val="22"/>
        </w:rPr>
        <w:t>减震结构计算应建立包含减震装置的整体模型，有效模拟减震装置力学性能，确保分析结果真实反映结构动力响应。</w:t>
      </w:r>
    </w:p>
    <w:p w14:paraId="0CD23F70">
      <w:pPr>
        <w:pStyle w:val="174"/>
        <w:spacing w:line="360" w:lineRule="auto"/>
        <w:ind w:firstLine="0" w:firstLineChars="0"/>
        <w:rPr>
          <w:rFonts w:hint="eastAsia" w:ascii="Times New Roman"/>
          <w:sz w:val="24"/>
          <w:szCs w:val="22"/>
        </w:rPr>
      </w:pPr>
      <w:r>
        <w:rPr>
          <w:rFonts w:hint="eastAsia" w:ascii="Times New Roman"/>
          <w:b/>
          <w:bCs/>
          <w:sz w:val="24"/>
          <w:szCs w:val="22"/>
        </w:rPr>
        <w:t xml:space="preserve">4.2.4 </w:t>
      </w:r>
      <w:r>
        <w:rPr>
          <w:rFonts w:hint="eastAsia" w:ascii="Times New Roman"/>
          <w:sz w:val="24"/>
          <w:szCs w:val="22"/>
        </w:rPr>
        <w:t>设计文件应包含抗震设防专篇（含减震分析报告与减震设计专项图纸）和减震装置施工安装指导方案，确保可供施工单位使用，保障施工阶段的结构稳定性与安装安全性。</w:t>
      </w:r>
    </w:p>
    <w:p w14:paraId="5A593AAB">
      <w:pPr>
        <w:pStyle w:val="174"/>
        <w:spacing w:line="360" w:lineRule="auto"/>
        <w:ind w:firstLine="0" w:firstLineChars="0"/>
        <w:rPr>
          <w:rFonts w:hint="eastAsia" w:ascii="Times New Roman"/>
          <w:sz w:val="24"/>
          <w:szCs w:val="22"/>
        </w:rPr>
      </w:pPr>
      <w:r>
        <w:rPr>
          <w:rFonts w:hint="eastAsia" w:ascii="Times New Roman"/>
          <w:b/>
          <w:bCs/>
          <w:sz w:val="24"/>
          <w:szCs w:val="22"/>
        </w:rPr>
        <w:t>4.2.</w:t>
      </w:r>
      <w:r>
        <w:rPr>
          <w:rFonts w:hint="eastAsia" w:ascii="Times New Roman"/>
          <w:b/>
          <w:bCs/>
          <w:sz w:val="24"/>
          <w:szCs w:val="22"/>
          <w:lang w:val="en-US" w:eastAsia="zh-CN"/>
        </w:rPr>
        <w:t>5</w:t>
      </w:r>
      <w:r>
        <w:rPr>
          <w:rFonts w:hint="eastAsia" w:ascii="Times New Roman"/>
          <w:b/>
          <w:bCs/>
          <w:sz w:val="24"/>
          <w:szCs w:val="22"/>
        </w:rPr>
        <w:t xml:space="preserve"> </w:t>
      </w:r>
      <w:r>
        <w:rPr>
          <w:rFonts w:hint="eastAsia" w:ascii="Times New Roman"/>
          <w:sz w:val="24"/>
          <w:szCs w:val="22"/>
        </w:rPr>
        <w:t>应保证减震装置与主体结构的连接节点安全性，满足传递荷载的可靠要求，并应通过力学设计计算与构造设计验证。</w:t>
      </w:r>
    </w:p>
    <w:p w14:paraId="6BDB5651">
      <w:pPr>
        <w:pStyle w:val="174"/>
        <w:spacing w:line="360" w:lineRule="auto"/>
        <w:ind w:firstLine="0" w:firstLineChars="0"/>
        <w:rPr>
          <w:rFonts w:ascii="Times New Roman"/>
          <w:sz w:val="24"/>
          <w:szCs w:val="22"/>
        </w:rPr>
      </w:pPr>
      <w:r>
        <w:rPr>
          <w:rFonts w:hint="eastAsia" w:ascii="Times New Roman"/>
          <w:b/>
          <w:bCs/>
          <w:sz w:val="24"/>
          <w:szCs w:val="22"/>
        </w:rPr>
        <w:t>4.2.</w:t>
      </w:r>
      <w:r>
        <w:rPr>
          <w:rFonts w:hint="eastAsia" w:ascii="Times New Roman"/>
          <w:b/>
          <w:bCs/>
          <w:sz w:val="24"/>
          <w:szCs w:val="22"/>
          <w:lang w:val="en-US" w:eastAsia="zh-CN"/>
        </w:rPr>
        <w:t>6</w:t>
      </w:r>
      <w:r>
        <w:rPr>
          <w:rFonts w:hint="eastAsia" w:ascii="Times New Roman"/>
          <w:b/>
          <w:bCs/>
          <w:sz w:val="24"/>
          <w:szCs w:val="22"/>
        </w:rPr>
        <w:t xml:space="preserve"> </w:t>
      </w:r>
      <w:r>
        <w:rPr>
          <w:rFonts w:hint="eastAsia" w:ascii="Times New Roman"/>
          <w:sz w:val="24"/>
          <w:szCs w:val="22"/>
        </w:rPr>
        <w:t>复杂高层建筑、大跨屋盖等特殊建筑，减震设计需通过专项论证。</w:t>
      </w:r>
    </w:p>
    <w:p w14:paraId="2AF93251">
      <w:pPr>
        <w:pStyle w:val="174"/>
        <w:spacing w:line="360" w:lineRule="auto"/>
        <w:ind w:left="420" w:hanging="420" w:firstLineChars="0"/>
        <w:jc w:val="center"/>
        <w:outlineLvl w:val="2"/>
        <w:rPr>
          <w:rFonts w:ascii="Times New Roman"/>
          <w:b/>
          <w:bCs/>
          <w:sz w:val="24"/>
          <w:szCs w:val="22"/>
        </w:rPr>
      </w:pPr>
      <w:bookmarkStart w:id="33" w:name="_Toc23088"/>
      <w:bookmarkStart w:id="34" w:name="_Toc207375990"/>
      <w:r>
        <w:rPr>
          <w:rFonts w:hint="eastAsia" w:ascii="Times New Roman"/>
          <w:b/>
          <w:bCs/>
          <w:sz w:val="24"/>
          <w:szCs w:val="22"/>
        </w:rPr>
        <w:t>II 评分项</w:t>
      </w:r>
      <w:bookmarkEnd w:id="33"/>
      <w:bookmarkEnd w:id="34"/>
    </w:p>
    <w:p w14:paraId="7EAB8EA2">
      <w:pPr>
        <w:pStyle w:val="174"/>
        <w:spacing w:line="360" w:lineRule="auto"/>
        <w:ind w:firstLine="0" w:firstLineChars="0"/>
        <w:rPr>
          <w:rFonts w:ascii="Times New Roman"/>
          <w:sz w:val="24"/>
          <w:szCs w:val="22"/>
        </w:rPr>
      </w:pPr>
      <w:r>
        <w:rPr>
          <w:rFonts w:hint="eastAsia" w:ascii="Times New Roman"/>
          <w:b/>
          <w:bCs/>
          <w:sz w:val="24"/>
          <w:szCs w:val="22"/>
        </w:rPr>
        <w:t xml:space="preserve">4.2.7 </w:t>
      </w:r>
      <w:r>
        <w:rPr>
          <w:rFonts w:hint="eastAsia" w:ascii="Times New Roman"/>
          <w:sz w:val="24"/>
          <w:szCs w:val="22"/>
        </w:rPr>
        <w:t>减震技术的应用应保证合理性与协同性，评价总分值为40分，应按下列规则分别评分并累计：</w:t>
      </w:r>
    </w:p>
    <w:p w14:paraId="46503A47">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4"/>
          <w:lang w:eastAsia="zh-CN"/>
        </w:rPr>
        <w:t>设计文件</w:t>
      </w:r>
      <w:r>
        <w:rPr>
          <w:rFonts w:hint="eastAsia" w:ascii="Times New Roman"/>
          <w:sz w:val="24"/>
          <w:szCs w:val="24"/>
        </w:rPr>
        <w:t>中含</w:t>
      </w:r>
      <w:r>
        <w:rPr>
          <w:rFonts w:hint="eastAsia" w:ascii="Times New Roman"/>
          <w:sz w:val="24"/>
          <w:szCs w:val="22"/>
        </w:rPr>
        <w:t>减震技术的应用必要性论证及成本分析，得10分；仅进行其中一项，得5分；两项均缺项，得0分；</w:t>
      </w:r>
    </w:p>
    <w:p w14:paraId="45C49860">
      <w:pPr>
        <w:pStyle w:val="174"/>
        <w:spacing w:line="360" w:lineRule="auto"/>
        <w:ind w:firstLine="480"/>
        <w:rPr>
          <w:rFonts w:ascii="Times New Roman"/>
          <w:sz w:val="24"/>
          <w:szCs w:val="22"/>
        </w:rPr>
      </w:pPr>
      <w:r>
        <w:rPr>
          <w:rFonts w:hint="eastAsia" w:ascii="Times New Roman"/>
          <w:sz w:val="24"/>
          <w:szCs w:val="22"/>
        </w:rPr>
        <w:t>2 减震装置的布置沿结构主轴方向设置，且平面布置均匀、合理，得10分；因建筑方案要求导致布置设置略微不规则，得8分；布置设置不规则，但减震设计满足目标要求，得5分；</w:t>
      </w:r>
    </w:p>
    <w:p w14:paraId="3B958F68">
      <w:pPr>
        <w:pStyle w:val="174"/>
        <w:spacing w:line="360" w:lineRule="auto"/>
        <w:ind w:firstLine="480"/>
        <w:rPr>
          <w:rFonts w:ascii="Times New Roman"/>
          <w:sz w:val="24"/>
          <w:szCs w:val="22"/>
        </w:rPr>
      </w:pPr>
      <w:r>
        <w:rPr>
          <w:rFonts w:hint="eastAsia" w:ascii="Times New Roman"/>
          <w:sz w:val="24"/>
          <w:szCs w:val="22"/>
        </w:rPr>
        <w:t>3 建筑设计阶段考虑减震装置后期检修、更换方案，得10分；未考虑，得0分；</w:t>
      </w:r>
    </w:p>
    <w:p w14:paraId="3BF3F6EF">
      <w:pPr>
        <w:pStyle w:val="174"/>
        <w:spacing w:line="360" w:lineRule="auto"/>
        <w:ind w:firstLine="480"/>
        <w:rPr>
          <w:rFonts w:ascii="Times New Roman"/>
          <w:sz w:val="24"/>
          <w:szCs w:val="22"/>
        </w:rPr>
      </w:pPr>
      <w:r>
        <w:rPr>
          <w:rFonts w:hint="eastAsia" w:ascii="Times New Roman"/>
          <w:sz w:val="24"/>
          <w:szCs w:val="22"/>
        </w:rPr>
        <w:t>4 对非结构构件或附属设备提出明确抗震性能要求，包括连接方式、变形限值等，得10分；仅提出一般性要求，得5分；未提特殊要求，得0分。</w:t>
      </w:r>
    </w:p>
    <w:p w14:paraId="034D5B17">
      <w:pPr>
        <w:pStyle w:val="174"/>
        <w:spacing w:line="360" w:lineRule="auto"/>
        <w:ind w:firstLine="0" w:firstLineChars="0"/>
        <w:rPr>
          <w:rFonts w:ascii="Times New Roman"/>
          <w:sz w:val="24"/>
          <w:szCs w:val="22"/>
        </w:rPr>
      </w:pPr>
      <w:r>
        <w:rPr>
          <w:rFonts w:hint="eastAsia" w:ascii="Times New Roman"/>
          <w:b/>
          <w:bCs/>
          <w:sz w:val="24"/>
          <w:szCs w:val="22"/>
        </w:rPr>
        <w:t xml:space="preserve">4.2.8 </w:t>
      </w:r>
      <w:r>
        <w:rPr>
          <w:rFonts w:hint="eastAsia" w:ascii="Times New Roman"/>
          <w:sz w:val="24"/>
          <w:szCs w:val="22"/>
        </w:rPr>
        <w:t>减震结构力学性能及地震响应满足设计目标，评价总分值为110分，应按下列规则分别评分并累计：</w:t>
      </w:r>
    </w:p>
    <w:p w14:paraId="3C2394E9">
      <w:pPr>
        <w:pStyle w:val="174"/>
        <w:spacing w:line="360" w:lineRule="auto"/>
        <w:ind w:firstLine="480"/>
        <w:jc w:val="left"/>
        <w:rPr>
          <w:rFonts w:ascii="Times New Roman"/>
          <w:sz w:val="24"/>
          <w:szCs w:val="22"/>
        </w:rPr>
      </w:pPr>
      <w:r>
        <w:rPr>
          <w:rFonts w:hint="eastAsia" w:ascii="Times New Roman"/>
          <w:sz w:val="24"/>
          <w:szCs w:val="22"/>
        </w:rPr>
        <w:t>1 按照减震装置实际非线性本构关系输入计算模型，得1</w:t>
      </w:r>
      <w:r>
        <w:rPr>
          <w:rFonts w:hint="eastAsia" w:ascii="Times New Roman"/>
          <w:sz w:val="24"/>
          <w:szCs w:val="22"/>
          <w:lang w:val="en-US" w:eastAsia="zh-CN"/>
        </w:rPr>
        <w:t>5</w:t>
      </w:r>
      <w:r>
        <w:rPr>
          <w:rFonts w:hint="eastAsia" w:ascii="Times New Roman"/>
          <w:sz w:val="24"/>
          <w:szCs w:val="22"/>
        </w:rPr>
        <w:t>分；采用简化线性本构关系进行计算</w:t>
      </w:r>
      <w:r>
        <w:rPr>
          <w:rStyle w:val="47"/>
          <w:rFonts w:hint="eastAsia" w:ascii="Times New Roman"/>
          <w:kern w:val="2"/>
          <w:lang w:eastAsia="zh-CN"/>
        </w:rPr>
        <w:t>，</w:t>
      </w:r>
      <w:r>
        <w:rPr>
          <w:rFonts w:hint="eastAsia" w:ascii="Times New Roman"/>
          <w:sz w:val="24"/>
          <w:szCs w:val="22"/>
          <w:lang w:val="en-US" w:eastAsia="zh-CN"/>
        </w:rPr>
        <w:t>且未进行迭代计算</w:t>
      </w:r>
      <w:r>
        <w:rPr>
          <w:rFonts w:hint="eastAsia" w:ascii="Times New Roman"/>
          <w:sz w:val="24"/>
          <w:szCs w:val="22"/>
        </w:rPr>
        <w:t>，得</w:t>
      </w:r>
      <w:r>
        <w:rPr>
          <w:rFonts w:hint="eastAsia" w:ascii="Times New Roman"/>
          <w:sz w:val="24"/>
          <w:szCs w:val="22"/>
          <w:lang w:val="en-US" w:eastAsia="zh-CN"/>
        </w:rPr>
        <w:t>8</w:t>
      </w:r>
      <w:r>
        <w:rPr>
          <w:rFonts w:hint="eastAsia" w:ascii="Times New Roman"/>
          <w:sz w:val="24"/>
          <w:szCs w:val="22"/>
        </w:rPr>
        <w:t>分；</w:t>
      </w:r>
    </w:p>
    <w:p w14:paraId="30337E03">
      <w:pPr>
        <w:pStyle w:val="174"/>
        <w:spacing w:line="360" w:lineRule="auto"/>
        <w:ind w:firstLine="480"/>
        <w:rPr>
          <w:rFonts w:ascii="Times New Roman"/>
          <w:sz w:val="24"/>
          <w:szCs w:val="22"/>
        </w:rPr>
      </w:pPr>
      <w:r>
        <w:rPr>
          <w:rFonts w:hint="eastAsia" w:ascii="Times New Roman"/>
          <w:sz w:val="24"/>
          <w:szCs w:val="22"/>
        </w:rPr>
        <w:t>2 减震设计同时采用反应谱法及时程分析法，得1</w:t>
      </w:r>
      <w:r>
        <w:rPr>
          <w:rFonts w:hint="eastAsia" w:ascii="Times New Roman"/>
          <w:sz w:val="24"/>
          <w:szCs w:val="22"/>
          <w:lang w:val="en-US" w:eastAsia="zh-CN"/>
        </w:rPr>
        <w:t>5</w:t>
      </w:r>
      <w:r>
        <w:rPr>
          <w:rFonts w:hint="eastAsia" w:ascii="Times New Roman"/>
          <w:sz w:val="24"/>
          <w:szCs w:val="22"/>
        </w:rPr>
        <w:t>分；未进行时程分析法，得</w:t>
      </w:r>
      <w:r>
        <w:rPr>
          <w:rFonts w:hint="eastAsia" w:ascii="Times New Roman"/>
          <w:sz w:val="24"/>
          <w:szCs w:val="22"/>
          <w:lang w:val="en-US" w:eastAsia="zh-CN"/>
        </w:rPr>
        <w:t>8</w:t>
      </w:r>
      <w:r>
        <w:rPr>
          <w:rFonts w:hint="eastAsia" w:ascii="Times New Roman"/>
          <w:sz w:val="24"/>
          <w:szCs w:val="22"/>
        </w:rPr>
        <w:t>分；</w:t>
      </w:r>
    </w:p>
    <w:p w14:paraId="747F3AA5">
      <w:pPr>
        <w:pStyle w:val="174"/>
        <w:spacing w:line="360" w:lineRule="auto"/>
        <w:ind w:firstLine="480"/>
        <w:rPr>
          <w:rFonts w:ascii="Times New Roman"/>
          <w:sz w:val="24"/>
          <w:szCs w:val="22"/>
        </w:rPr>
      </w:pPr>
      <w:r>
        <w:rPr>
          <w:rFonts w:hint="eastAsia" w:ascii="Times New Roman"/>
          <w:sz w:val="24"/>
          <w:szCs w:val="22"/>
        </w:rPr>
        <w:t>3 时程分析法基底剪力计算结果平均值与反应谱计算结果的差距不超过10%，得</w:t>
      </w:r>
      <w:r>
        <w:rPr>
          <w:rFonts w:hint="eastAsia" w:ascii="Times New Roman"/>
          <w:sz w:val="24"/>
          <w:szCs w:val="22"/>
          <w:lang w:val="en-US" w:eastAsia="zh-CN"/>
        </w:rPr>
        <w:t>10</w:t>
      </w:r>
      <w:r>
        <w:rPr>
          <w:rFonts w:hint="eastAsia" w:ascii="Times New Roman"/>
          <w:sz w:val="24"/>
          <w:szCs w:val="22"/>
        </w:rPr>
        <w:t>分；不超过20%，得</w:t>
      </w:r>
      <w:r>
        <w:rPr>
          <w:rFonts w:hint="eastAsia" w:ascii="Times New Roman"/>
          <w:sz w:val="24"/>
          <w:szCs w:val="22"/>
          <w:lang w:val="en-US" w:eastAsia="zh-CN"/>
        </w:rPr>
        <w:t>5</w:t>
      </w:r>
      <w:r>
        <w:rPr>
          <w:rFonts w:hint="eastAsia" w:ascii="Times New Roman"/>
          <w:sz w:val="24"/>
          <w:szCs w:val="22"/>
        </w:rPr>
        <w:t>分；</w:t>
      </w:r>
    </w:p>
    <w:p w14:paraId="714DA96C">
      <w:pPr>
        <w:pStyle w:val="174"/>
        <w:spacing w:line="360" w:lineRule="auto"/>
        <w:ind w:firstLine="480"/>
        <w:rPr>
          <w:rFonts w:ascii="Times New Roman"/>
          <w:sz w:val="24"/>
          <w:szCs w:val="22"/>
        </w:rPr>
      </w:pPr>
      <w:r>
        <w:rPr>
          <w:rFonts w:hint="eastAsia" w:ascii="Times New Roman"/>
          <w:sz w:val="24"/>
          <w:szCs w:val="22"/>
        </w:rPr>
        <w:t>4 减震结构时程分析，采用匹配</w:t>
      </w:r>
      <w:r>
        <w:rPr>
          <w:rFonts w:hint="eastAsia" w:ascii="Times New Roman"/>
          <w:sz w:val="24"/>
          <w:szCs w:val="22"/>
          <w:lang w:val="en-US" w:eastAsia="zh-CN"/>
        </w:rPr>
        <w:t>不同</w:t>
      </w:r>
      <w:r>
        <w:rPr>
          <w:rFonts w:hint="eastAsia" w:ascii="Times New Roman"/>
          <w:sz w:val="24"/>
          <w:szCs w:val="22"/>
        </w:rPr>
        <w:t>地震</w:t>
      </w:r>
      <w:r>
        <w:rPr>
          <w:rFonts w:hint="eastAsia" w:ascii="Times New Roman"/>
          <w:sz w:val="24"/>
          <w:szCs w:val="22"/>
          <w:lang w:val="en-US" w:eastAsia="zh-CN"/>
        </w:rPr>
        <w:t>水准</w:t>
      </w:r>
      <w:r>
        <w:rPr>
          <w:rFonts w:hint="eastAsia" w:ascii="Times New Roman"/>
          <w:sz w:val="24"/>
          <w:szCs w:val="22"/>
        </w:rPr>
        <w:t>结构自振周期的加速度时程曲线，得10分；</w:t>
      </w:r>
      <w:r>
        <w:rPr>
          <w:rFonts w:hint="eastAsia" w:ascii="Times New Roman"/>
          <w:sz w:val="24"/>
          <w:szCs w:val="22"/>
          <w:lang w:val="en-US" w:eastAsia="zh-CN"/>
        </w:rPr>
        <w:t>不同地震作用下，</w:t>
      </w:r>
      <w:r>
        <w:rPr>
          <w:rFonts w:hint="eastAsia" w:ascii="Times New Roman"/>
          <w:sz w:val="24"/>
          <w:szCs w:val="22"/>
        </w:rPr>
        <w:t>采用</w:t>
      </w:r>
      <w:r>
        <w:rPr>
          <w:rFonts w:hint="eastAsia" w:ascii="Times New Roman"/>
          <w:sz w:val="24"/>
          <w:szCs w:val="22"/>
          <w:lang w:val="en-US" w:eastAsia="zh-CN"/>
        </w:rPr>
        <w:t>相同</w:t>
      </w:r>
      <w:r>
        <w:rPr>
          <w:rFonts w:hint="eastAsia" w:ascii="Times New Roman"/>
          <w:sz w:val="24"/>
          <w:szCs w:val="22"/>
        </w:rPr>
        <w:t>加速度时程曲线进行时程分析，得5分；</w:t>
      </w:r>
    </w:p>
    <w:p w14:paraId="3830617F">
      <w:pPr>
        <w:pStyle w:val="174"/>
        <w:spacing w:line="360" w:lineRule="auto"/>
        <w:ind w:firstLine="480"/>
        <w:rPr>
          <w:rFonts w:ascii="Times New Roman"/>
          <w:sz w:val="24"/>
          <w:szCs w:val="22"/>
        </w:rPr>
      </w:pPr>
      <w:r>
        <w:rPr>
          <w:rFonts w:hint="eastAsia" w:ascii="Times New Roman"/>
          <w:sz w:val="24"/>
          <w:szCs w:val="22"/>
        </w:rPr>
        <w:t>5 多遇地震或设防地震作用下，结构弹性层间位移角最大值不超过对应限值的90%，得5分；不超过对应限值，得3分；</w:t>
      </w:r>
    </w:p>
    <w:p w14:paraId="5C31920E">
      <w:pPr>
        <w:pStyle w:val="174"/>
        <w:spacing w:line="360" w:lineRule="auto"/>
        <w:ind w:firstLine="480"/>
        <w:rPr>
          <w:rFonts w:ascii="Times New Roman"/>
          <w:sz w:val="24"/>
          <w:szCs w:val="22"/>
        </w:rPr>
      </w:pPr>
      <w:r>
        <w:rPr>
          <w:rFonts w:hint="eastAsia" w:ascii="Times New Roman"/>
          <w:sz w:val="24"/>
          <w:szCs w:val="22"/>
        </w:rPr>
        <w:t>6 罕遇地震作用下，采用弹塑性分析软件进行大变形非线性时程分析，得10分；仅进行弹性时程分析或等效弹塑性时程分析，得5分；</w:t>
      </w:r>
    </w:p>
    <w:p w14:paraId="27ABA80C">
      <w:pPr>
        <w:pStyle w:val="174"/>
        <w:spacing w:line="360" w:lineRule="auto"/>
        <w:ind w:firstLine="480"/>
        <w:rPr>
          <w:rFonts w:ascii="Times New Roman"/>
          <w:sz w:val="24"/>
          <w:szCs w:val="22"/>
        </w:rPr>
      </w:pPr>
      <w:r>
        <w:rPr>
          <w:rFonts w:hint="eastAsia" w:ascii="Times New Roman"/>
          <w:sz w:val="24"/>
          <w:szCs w:val="22"/>
        </w:rPr>
        <w:t>7 罕遇地震作用下，结构弹塑性层间位移角最大值不超过对应限值的90%，得5分；不超过对应限值，得3分；</w:t>
      </w:r>
    </w:p>
    <w:p w14:paraId="14763740">
      <w:pPr>
        <w:pStyle w:val="174"/>
        <w:spacing w:line="360" w:lineRule="auto"/>
        <w:ind w:firstLine="480"/>
        <w:rPr>
          <w:rFonts w:ascii="Times New Roman"/>
          <w:sz w:val="24"/>
          <w:szCs w:val="22"/>
        </w:rPr>
      </w:pPr>
      <w:r>
        <w:rPr>
          <w:rFonts w:hint="eastAsia" w:ascii="Times New Roman"/>
          <w:sz w:val="24"/>
          <w:szCs w:val="22"/>
          <w:lang w:val="en-US" w:eastAsia="zh-CN"/>
        </w:rPr>
        <w:t>8</w:t>
      </w:r>
      <w:r>
        <w:rPr>
          <w:rFonts w:hint="eastAsia" w:ascii="Times New Roman"/>
          <w:sz w:val="24"/>
          <w:szCs w:val="22"/>
        </w:rPr>
        <w:t xml:space="preserve"> 采用“往复一周能量比法”与“时程累积耗能比法”分别计算结构附加阻尼比并取最小包络值作为减震结构附加阻尼比，得10分；仅采用其中一种方法计算附加阻尼比，得5分；</w:t>
      </w:r>
    </w:p>
    <w:p w14:paraId="6A5239B2">
      <w:pPr>
        <w:pStyle w:val="174"/>
        <w:spacing w:line="360" w:lineRule="auto"/>
        <w:ind w:firstLine="480"/>
        <w:rPr>
          <w:rFonts w:ascii="Times New Roman"/>
          <w:sz w:val="24"/>
          <w:szCs w:val="22"/>
        </w:rPr>
      </w:pPr>
      <w:r>
        <w:rPr>
          <w:rFonts w:hint="eastAsia" w:ascii="Times New Roman"/>
          <w:sz w:val="24"/>
          <w:szCs w:val="22"/>
          <w:lang w:val="en-US" w:eastAsia="zh-CN"/>
        </w:rPr>
        <w:t>9</w:t>
      </w:r>
      <w:r>
        <w:rPr>
          <w:rFonts w:hint="eastAsia" w:ascii="Times New Roman"/>
          <w:sz w:val="24"/>
          <w:szCs w:val="22"/>
        </w:rPr>
        <w:t xml:space="preserve"> 减震结构两个主向的附加阻尼比差值不超过10%，得10分；不超过20%，得8分；超过20%，得5分；</w:t>
      </w:r>
    </w:p>
    <w:p w14:paraId="2DF7DD50">
      <w:pPr>
        <w:pStyle w:val="174"/>
        <w:spacing w:line="360" w:lineRule="auto"/>
        <w:ind w:firstLine="480"/>
        <w:rPr>
          <w:rFonts w:ascii="Times New Roman"/>
          <w:sz w:val="24"/>
          <w:szCs w:val="22"/>
        </w:rPr>
      </w:pPr>
      <w:r>
        <w:rPr>
          <w:rFonts w:hint="eastAsia" w:ascii="Times New Roman"/>
          <w:sz w:val="24"/>
          <w:szCs w:val="22"/>
        </w:rPr>
        <w:t>1</w:t>
      </w:r>
      <w:r>
        <w:rPr>
          <w:rFonts w:hint="eastAsia" w:ascii="Times New Roman"/>
          <w:sz w:val="24"/>
          <w:szCs w:val="22"/>
          <w:lang w:val="en-US" w:eastAsia="zh-CN"/>
        </w:rPr>
        <w:t>0</w:t>
      </w:r>
      <w:r>
        <w:rPr>
          <w:rFonts w:hint="eastAsia" w:ascii="Times New Roman"/>
          <w:sz w:val="24"/>
          <w:szCs w:val="22"/>
        </w:rPr>
        <w:t xml:space="preserve"> 进行减震结构罕遇地震作用下的整体损伤分析和楼面</w:t>
      </w:r>
      <w:r>
        <w:rPr>
          <w:rFonts w:hint="eastAsia" w:ascii="Times New Roman"/>
          <w:sz w:val="24"/>
          <w:szCs w:val="22"/>
          <w:lang w:val="en-US" w:eastAsia="zh-CN"/>
        </w:rPr>
        <w:t>加速度</w:t>
      </w:r>
      <w:r>
        <w:rPr>
          <w:rFonts w:hint="eastAsia" w:ascii="Times New Roman"/>
          <w:sz w:val="24"/>
          <w:szCs w:val="22"/>
        </w:rPr>
        <w:t>验算，得10分；二者仅缺一项，得5分；二者全部缺项，得0分；</w:t>
      </w:r>
    </w:p>
    <w:p w14:paraId="2B91C614">
      <w:pPr>
        <w:pStyle w:val="174"/>
        <w:spacing w:line="360" w:lineRule="auto"/>
        <w:ind w:firstLine="480"/>
        <w:rPr>
          <w:rFonts w:ascii="Times New Roman"/>
          <w:sz w:val="24"/>
          <w:szCs w:val="22"/>
        </w:rPr>
      </w:pPr>
      <w:r>
        <w:rPr>
          <w:rFonts w:hint="eastAsia" w:ascii="Times New Roman"/>
          <w:sz w:val="24"/>
          <w:szCs w:val="22"/>
        </w:rPr>
        <w:t>1</w:t>
      </w:r>
      <w:r>
        <w:rPr>
          <w:rFonts w:hint="eastAsia" w:ascii="Times New Roman"/>
          <w:sz w:val="24"/>
          <w:szCs w:val="22"/>
          <w:lang w:val="en-US" w:eastAsia="zh-CN"/>
        </w:rPr>
        <w:t>1</w:t>
      </w:r>
      <w:r>
        <w:rPr>
          <w:rFonts w:hint="eastAsia" w:ascii="Times New Roman"/>
          <w:sz w:val="24"/>
          <w:szCs w:val="22"/>
        </w:rPr>
        <w:t xml:space="preserve"> 提供减震子结构框架梁和框架柱的验算过程，得10分；二者仅缺一项，得5分；二者全部缺项，得0分；</w:t>
      </w:r>
    </w:p>
    <w:p w14:paraId="38A2350B">
      <w:pPr>
        <w:pStyle w:val="174"/>
        <w:spacing w:line="360" w:lineRule="auto"/>
        <w:ind w:firstLine="0" w:firstLineChars="0"/>
        <w:rPr>
          <w:rFonts w:hint="eastAsia" w:ascii="Times New Roman" w:eastAsia="宋体"/>
          <w:sz w:val="24"/>
          <w:szCs w:val="22"/>
          <w:lang w:val="en-US" w:eastAsia="zh-CN"/>
        </w:rPr>
      </w:pPr>
      <w:r>
        <w:rPr>
          <w:rFonts w:hint="eastAsia" w:ascii="Times New Roman"/>
          <w:b/>
          <w:bCs/>
          <w:sz w:val="24"/>
          <w:szCs w:val="22"/>
        </w:rPr>
        <w:t xml:space="preserve">4.2.9 </w:t>
      </w:r>
      <w:r>
        <w:rPr>
          <w:rFonts w:hint="eastAsia" w:ascii="Times New Roman"/>
          <w:sz w:val="24"/>
          <w:szCs w:val="22"/>
        </w:rPr>
        <w:t>减震设计相关文件完整性与深度匹配后续施工，评价总分值为30分，应按下列规则分别评分并累计：</w:t>
      </w:r>
      <w:r>
        <w:rPr>
          <w:rFonts w:hint="eastAsia" w:ascii="Times New Roman"/>
          <w:sz w:val="24"/>
          <w:szCs w:val="22"/>
          <w:lang w:val="en-US" w:eastAsia="zh-CN"/>
        </w:rPr>
        <w:t xml:space="preserve"> </w:t>
      </w:r>
    </w:p>
    <w:p w14:paraId="7BF1EF2D">
      <w:pPr>
        <w:pStyle w:val="174"/>
        <w:spacing w:line="360" w:lineRule="auto"/>
        <w:ind w:firstLine="480"/>
        <w:rPr>
          <w:rFonts w:ascii="Times New Roman"/>
          <w:sz w:val="24"/>
          <w:szCs w:val="22"/>
        </w:rPr>
      </w:pPr>
      <w:r>
        <w:rPr>
          <w:rFonts w:hint="eastAsia" w:ascii="Times New Roman"/>
          <w:sz w:val="24"/>
          <w:szCs w:val="22"/>
        </w:rPr>
        <w:t>1 减震设计专项图纸包含减震设计主要计算结果、减震装置力学参数表、减震装置平面布置图、减震装置检测要求、减震装置施工安装要求，得10分；缺1项，扣2分；</w:t>
      </w:r>
    </w:p>
    <w:p w14:paraId="5BDE860A">
      <w:pPr>
        <w:pStyle w:val="174"/>
        <w:spacing w:line="360" w:lineRule="auto"/>
        <w:ind w:firstLine="480"/>
        <w:rPr>
          <w:rFonts w:ascii="Times New Roman"/>
          <w:sz w:val="24"/>
          <w:szCs w:val="22"/>
        </w:rPr>
      </w:pPr>
      <w:r>
        <w:rPr>
          <w:rFonts w:hint="eastAsia" w:ascii="Times New Roman"/>
          <w:sz w:val="24"/>
          <w:szCs w:val="22"/>
        </w:rPr>
        <w:t>2 减震设计大样图包含供减震装置安装大样图、减震装置与主体结构连接处配筋图、节点板或预埋件大样图、减震装置连接内墙或外墙做法大样图、减震装置深化确认图，得10分；缺1项，扣2分；</w:t>
      </w:r>
    </w:p>
    <w:p w14:paraId="13DCE80D">
      <w:pPr>
        <w:pStyle w:val="174"/>
        <w:spacing w:line="360" w:lineRule="auto"/>
        <w:ind w:firstLine="480"/>
        <w:rPr>
          <w:rFonts w:ascii="Times New Roman"/>
          <w:sz w:val="24"/>
          <w:szCs w:val="22"/>
        </w:rPr>
      </w:pPr>
      <w:r>
        <w:rPr>
          <w:rFonts w:hint="eastAsia" w:ascii="Times New Roman"/>
          <w:sz w:val="24"/>
          <w:szCs w:val="22"/>
        </w:rPr>
        <w:t>3 提供减震装置施工安装方案，包含施工准备、施工流程、施工方法、维护检查要求、安全注意事项，得5分；缺1项，扣1分；</w:t>
      </w:r>
    </w:p>
    <w:p w14:paraId="672C4A0F">
      <w:pPr>
        <w:pStyle w:val="174"/>
        <w:spacing w:line="360" w:lineRule="auto"/>
        <w:ind w:firstLine="480"/>
        <w:rPr>
          <w:rFonts w:ascii="Times New Roman"/>
          <w:sz w:val="24"/>
          <w:szCs w:val="22"/>
        </w:rPr>
      </w:pPr>
      <w:r>
        <w:rPr>
          <w:rFonts w:hint="eastAsia" w:ascii="Times New Roman"/>
          <w:sz w:val="24"/>
          <w:szCs w:val="22"/>
        </w:rPr>
        <w:t>4 提供减震装置与主体结构连接计算书，得5分；连接计算书存在缺项，得0分；</w:t>
      </w:r>
    </w:p>
    <w:p w14:paraId="3722BC85">
      <w:pPr>
        <w:pStyle w:val="174"/>
        <w:spacing w:line="360" w:lineRule="auto"/>
        <w:ind w:firstLine="0" w:firstLineChars="0"/>
        <w:rPr>
          <w:rFonts w:ascii="Times New Roman"/>
          <w:sz w:val="24"/>
          <w:szCs w:val="22"/>
        </w:rPr>
      </w:pPr>
      <w:r>
        <w:rPr>
          <w:rFonts w:hint="eastAsia" w:ascii="Times New Roman"/>
          <w:b/>
          <w:bCs/>
          <w:sz w:val="24"/>
          <w:szCs w:val="22"/>
        </w:rPr>
        <w:t xml:space="preserve">4.2.10 </w:t>
      </w:r>
      <w:r>
        <w:rPr>
          <w:rFonts w:hint="eastAsia" w:ascii="Times New Roman"/>
          <w:sz w:val="24"/>
          <w:szCs w:val="22"/>
        </w:rPr>
        <w:t>减震结构构造设计应能保证震时减震装置自由运动，评价总分值为20分，应按下列规则分别评分并累计：</w:t>
      </w:r>
    </w:p>
    <w:p w14:paraId="32D924FE">
      <w:pPr>
        <w:pStyle w:val="174"/>
        <w:spacing w:line="360" w:lineRule="auto"/>
        <w:ind w:firstLine="480"/>
        <w:rPr>
          <w:rFonts w:ascii="Times New Roman"/>
          <w:sz w:val="24"/>
          <w:szCs w:val="22"/>
        </w:rPr>
      </w:pPr>
      <w:r>
        <w:rPr>
          <w:rFonts w:hint="eastAsia" w:ascii="Times New Roman"/>
          <w:sz w:val="24"/>
          <w:szCs w:val="22"/>
        </w:rPr>
        <w:t>1 构造设计为减震装置预留充足的轴向或法向运动空间，得10分；未考虑预留减震装置预留空间，得0分；</w:t>
      </w:r>
    </w:p>
    <w:p w14:paraId="534B341C">
      <w:pPr>
        <w:pStyle w:val="174"/>
        <w:spacing w:line="360" w:lineRule="auto"/>
        <w:ind w:firstLine="480"/>
        <w:rPr>
          <w:rFonts w:ascii="Times New Roman"/>
          <w:sz w:val="24"/>
          <w:szCs w:val="22"/>
        </w:rPr>
      </w:pPr>
      <w:r>
        <w:rPr>
          <w:rFonts w:hint="eastAsia" w:ascii="Times New Roman"/>
          <w:sz w:val="24"/>
          <w:szCs w:val="22"/>
        </w:rPr>
        <w:t>2 与减震装置相连的支撑、支墩、剪力墙等构件的承载力取值不低于减震装置在设计位移或设计速度下对应阻尼力作用效应的1.4倍，得10分；不低于对应阻尼力作用效应的1.2倍，得5分；低于对应阻尼力作用效应的1.2倍，得0分。</w:t>
      </w:r>
    </w:p>
    <w:p w14:paraId="78C3DF23">
      <w:pPr>
        <w:pStyle w:val="174"/>
        <w:spacing w:line="360" w:lineRule="auto"/>
        <w:ind w:firstLine="0" w:firstLineChars="0"/>
        <w:rPr>
          <w:rFonts w:ascii="Times New Roman"/>
        </w:rPr>
      </w:pPr>
    </w:p>
    <w:p w14:paraId="356A24A6">
      <w:pPr>
        <w:widowControl/>
        <w:spacing w:line="360" w:lineRule="auto"/>
        <w:outlineLvl w:val="0"/>
        <w:rPr>
          <w:rFonts w:eastAsia="黑体"/>
          <w:kern w:val="0"/>
          <w:szCs w:val="20"/>
        </w:rPr>
        <w:sectPr>
          <w:pgSz w:w="11906" w:h="16838"/>
          <w:pgMar w:top="1440" w:right="1800" w:bottom="1440" w:left="1800" w:header="1418" w:footer="1134" w:gutter="0"/>
          <w:cols w:space="425" w:num="1"/>
          <w:formProt w:val="0"/>
          <w:docGrid w:type="lines" w:linePitch="312" w:charSpace="0"/>
        </w:sectPr>
      </w:pPr>
    </w:p>
    <w:p w14:paraId="5E59CD8F">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bookmarkStart w:id="35" w:name="_Toc32124"/>
      <w:r>
        <w:rPr>
          <w:rFonts w:hint="eastAsia" w:ascii="Times New Roman" w:hAnsi="Times New Roman" w:cs="Times New Roman"/>
          <w:b/>
          <w:bCs/>
          <w:sz w:val="30"/>
          <w:szCs w:val="30"/>
          <w:lang w:eastAsia="zh-CN"/>
        </w:rPr>
        <w:t>隔减震装置</w:t>
      </w:r>
      <w:bookmarkEnd w:id="35"/>
    </w:p>
    <w:p w14:paraId="362FE1C2">
      <w:pPr>
        <w:pStyle w:val="174"/>
        <w:spacing w:after="156" w:afterLines="50" w:line="360" w:lineRule="auto"/>
        <w:ind w:firstLine="0" w:firstLineChars="0"/>
        <w:jc w:val="center"/>
        <w:outlineLvl w:val="1"/>
        <w:rPr>
          <w:rFonts w:hint="eastAsia" w:ascii="Times New Roman" w:eastAsia="宋体"/>
          <w:b/>
          <w:bCs/>
          <w:sz w:val="28"/>
          <w:szCs w:val="28"/>
          <w:lang w:eastAsia="zh-CN"/>
        </w:rPr>
      </w:pPr>
      <w:bookmarkStart w:id="36" w:name="_Toc207375992"/>
      <w:bookmarkStart w:id="37" w:name="_Toc8785"/>
      <w:r>
        <w:rPr>
          <w:rFonts w:hint="eastAsia" w:ascii="Times New Roman"/>
          <w:b/>
          <w:bCs/>
          <w:sz w:val="28"/>
          <w:szCs w:val="28"/>
        </w:rPr>
        <w:t xml:space="preserve">5.1 </w:t>
      </w:r>
      <w:bookmarkEnd w:id="36"/>
      <w:r>
        <w:rPr>
          <w:rFonts w:hint="eastAsia" w:ascii="Times New Roman"/>
          <w:b/>
          <w:bCs/>
          <w:sz w:val="28"/>
          <w:szCs w:val="28"/>
          <w:lang w:eastAsia="zh-CN"/>
        </w:rPr>
        <w:t>隔震装置</w:t>
      </w:r>
      <w:bookmarkEnd w:id="37"/>
    </w:p>
    <w:p w14:paraId="65F49E26">
      <w:pPr>
        <w:pStyle w:val="174"/>
        <w:spacing w:line="360" w:lineRule="auto"/>
        <w:ind w:left="420" w:hanging="420" w:firstLineChars="0"/>
        <w:jc w:val="center"/>
        <w:outlineLvl w:val="2"/>
        <w:rPr>
          <w:rFonts w:ascii="Times New Roman"/>
          <w:b/>
          <w:bCs/>
          <w:sz w:val="24"/>
          <w:szCs w:val="22"/>
        </w:rPr>
      </w:pPr>
      <w:bookmarkStart w:id="38" w:name="_Toc207375993"/>
      <w:bookmarkStart w:id="39" w:name="_Toc29266"/>
      <w:r>
        <w:rPr>
          <w:rFonts w:hint="eastAsia" w:ascii="Times New Roman"/>
          <w:b/>
          <w:bCs/>
          <w:sz w:val="24"/>
          <w:szCs w:val="22"/>
        </w:rPr>
        <w:t>I 控制项</w:t>
      </w:r>
      <w:bookmarkEnd w:id="38"/>
      <w:bookmarkEnd w:id="39"/>
    </w:p>
    <w:p w14:paraId="74640D5D">
      <w:pPr>
        <w:pStyle w:val="174"/>
        <w:spacing w:line="360" w:lineRule="auto"/>
        <w:ind w:firstLine="0" w:firstLineChars="0"/>
        <w:rPr>
          <w:rFonts w:ascii="Times New Roman"/>
          <w:sz w:val="24"/>
          <w:szCs w:val="22"/>
        </w:rPr>
      </w:pPr>
      <w:r>
        <w:rPr>
          <w:rFonts w:hint="eastAsia" w:ascii="Times New Roman"/>
          <w:b/>
          <w:bCs/>
          <w:sz w:val="24"/>
          <w:szCs w:val="22"/>
        </w:rPr>
        <w:t xml:space="preserve">5.1.1 </w:t>
      </w:r>
      <w:r>
        <w:rPr>
          <w:rFonts w:hint="eastAsia" w:ascii="Times New Roman"/>
          <w:sz w:val="24"/>
          <w:szCs w:val="22"/>
          <w:lang w:eastAsia="zh-CN"/>
        </w:rPr>
        <w:t>隔震装置</w:t>
      </w:r>
      <w:r>
        <w:rPr>
          <w:rFonts w:hint="eastAsia" w:ascii="Times New Roman"/>
          <w:sz w:val="24"/>
          <w:szCs w:val="22"/>
        </w:rPr>
        <w:t>应具备相应国家标准及行业标准规定的型式检验报告及出厂检验报告，且每个隔震项目提供的第三方检测报告参数结果应满足隔震结构设计文件中对相关力学参数的要求。</w:t>
      </w:r>
    </w:p>
    <w:p w14:paraId="6176C499">
      <w:pPr>
        <w:pStyle w:val="174"/>
        <w:spacing w:line="360" w:lineRule="auto"/>
        <w:ind w:firstLine="0" w:firstLineChars="0"/>
        <w:rPr>
          <w:rFonts w:ascii="Times New Roman"/>
          <w:sz w:val="24"/>
          <w:szCs w:val="22"/>
        </w:rPr>
      </w:pPr>
      <w:r>
        <w:rPr>
          <w:rFonts w:hint="eastAsia" w:ascii="Times New Roman"/>
          <w:b/>
          <w:bCs/>
          <w:sz w:val="24"/>
          <w:szCs w:val="22"/>
        </w:rPr>
        <w:t xml:space="preserve">5.1.2 </w:t>
      </w:r>
      <w:r>
        <w:rPr>
          <w:rFonts w:hint="eastAsia" w:ascii="Times New Roman"/>
          <w:sz w:val="24"/>
          <w:szCs w:val="22"/>
        </w:rPr>
        <w:t>出具</w:t>
      </w:r>
      <w:r>
        <w:rPr>
          <w:rFonts w:hint="eastAsia" w:ascii="Times New Roman"/>
          <w:sz w:val="24"/>
          <w:szCs w:val="22"/>
          <w:lang w:eastAsia="zh-CN"/>
        </w:rPr>
        <w:t>隔震装置</w:t>
      </w:r>
      <w:r>
        <w:rPr>
          <w:rFonts w:hint="eastAsia" w:ascii="Times New Roman"/>
          <w:sz w:val="24"/>
          <w:szCs w:val="22"/>
        </w:rPr>
        <w:t>型式检验报告及第三方检测报告的检测机构应具备CMA资质。</w:t>
      </w:r>
    </w:p>
    <w:p w14:paraId="0DE3EF44">
      <w:pPr>
        <w:pStyle w:val="174"/>
        <w:spacing w:line="360" w:lineRule="auto"/>
        <w:ind w:firstLine="0" w:firstLineChars="0"/>
        <w:rPr>
          <w:rFonts w:ascii="Times New Roman"/>
          <w:sz w:val="24"/>
          <w:szCs w:val="22"/>
        </w:rPr>
      </w:pPr>
      <w:r>
        <w:rPr>
          <w:rFonts w:hint="eastAsia" w:ascii="Times New Roman"/>
          <w:b/>
          <w:bCs/>
          <w:sz w:val="24"/>
          <w:szCs w:val="22"/>
        </w:rPr>
        <w:t xml:space="preserve">5.1.3 </w:t>
      </w:r>
      <w:r>
        <w:rPr>
          <w:rFonts w:hint="eastAsia" w:ascii="Times New Roman"/>
          <w:sz w:val="24"/>
          <w:szCs w:val="22"/>
          <w:lang w:eastAsia="zh-CN"/>
        </w:rPr>
        <w:t>隔震装置</w:t>
      </w:r>
      <w:r>
        <w:rPr>
          <w:rFonts w:hint="eastAsia" w:ascii="Times New Roman"/>
          <w:sz w:val="24"/>
          <w:szCs w:val="22"/>
        </w:rPr>
        <w:t>本体应明确标注生产厂家、</w:t>
      </w:r>
      <w:r>
        <w:rPr>
          <w:rFonts w:hint="eastAsia" w:ascii="Times New Roman"/>
          <w:sz w:val="24"/>
          <w:szCs w:val="22"/>
          <w:lang w:eastAsia="zh-CN"/>
        </w:rPr>
        <w:t>装置</w:t>
      </w:r>
      <w:r>
        <w:rPr>
          <w:rFonts w:hint="eastAsia" w:ascii="Times New Roman"/>
          <w:sz w:val="24"/>
          <w:szCs w:val="22"/>
        </w:rPr>
        <w:t>型号、出厂编号、主要力学参数、生产日期等信息。</w:t>
      </w:r>
    </w:p>
    <w:p w14:paraId="06A5B734">
      <w:pPr>
        <w:pStyle w:val="174"/>
        <w:spacing w:line="360" w:lineRule="auto"/>
        <w:ind w:firstLine="0" w:firstLineChars="0"/>
        <w:rPr>
          <w:rFonts w:ascii="Times New Roman"/>
          <w:sz w:val="24"/>
          <w:szCs w:val="22"/>
        </w:rPr>
      </w:pPr>
      <w:r>
        <w:rPr>
          <w:rFonts w:hint="eastAsia" w:ascii="Times New Roman"/>
          <w:b/>
          <w:bCs/>
          <w:sz w:val="24"/>
          <w:szCs w:val="22"/>
        </w:rPr>
        <w:t xml:space="preserve">5.1.4 </w:t>
      </w:r>
      <w:r>
        <w:rPr>
          <w:rFonts w:hint="eastAsia" w:ascii="Times New Roman"/>
          <w:sz w:val="24"/>
          <w:szCs w:val="22"/>
          <w:lang w:eastAsia="zh-CN"/>
        </w:rPr>
        <w:t>隔震装置</w:t>
      </w:r>
      <w:r>
        <w:rPr>
          <w:rFonts w:hint="eastAsia" w:ascii="Times New Roman"/>
          <w:sz w:val="24"/>
          <w:szCs w:val="22"/>
        </w:rPr>
        <w:t>设计</w:t>
      </w:r>
      <w:r>
        <w:rPr>
          <w:rFonts w:hint="eastAsia" w:ascii="Times New Roman"/>
          <w:sz w:val="24"/>
          <w:szCs w:val="22"/>
          <w:lang w:val="en-US" w:eastAsia="zh-CN"/>
        </w:rPr>
        <w:t>工作</w:t>
      </w:r>
      <w:r>
        <w:rPr>
          <w:rFonts w:hint="eastAsia" w:ascii="Times New Roman"/>
          <w:sz w:val="24"/>
          <w:szCs w:val="22"/>
        </w:rPr>
        <w:t>年限不应低于隔震建筑的设计工作年限。</w:t>
      </w:r>
    </w:p>
    <w:p w14:paraId="2C94AAE9">
      <w:pPr>
        <w:pStyle w:val="174"/>
        <w:spacing w:line="360" w:lineRule="auto"/>
        <w:ind w:firstLine="0" w:firstLineChars="0"/>
        <w:rPr>
          <w:rFonts w:ascii="Times New Roman"/>
          <w:sz w:val="24"/>
          <w:szCs w:val="22"/>
        </w:rPr>
      </w:pPr>
      <w:r>
        <w:rPr>
          <w:rFonts w:hint="eastAsia" w:ascii="Times New Roman"/>
          <w:b/>
          <w:bCs/>
          <w:sz w:val="24"/>
          <w:szCs w:val="22"/>
        </w:rPr>
        <w:t xml:space="preserve">5.1.5 </w:t>
      </w:r>
      <w:r>
        <w:rPr>
          <w:rFonts w:hint="eastAsia" w:ascii="Times New Roman"/>
          <w:sz w:val="24"/>
          <w:szCs w:val="22"/>
        </w:rPr>
        <w:t>隔震项目所选取的</w:t>
      </w:r>
      <w:r>
        <w:rPr>
          <w:rFonts w:hint="eastAsia" w:ascii="Times New Roman"/>
          <w:sz w:val="24"/>
          <w:szCs w:val="22"/>
          <w:lang w:eastAsia="zh-CN"/>
        </w:rPr>
        <w:t>隔震装置</w:t>
      </w:r>
      <w:r>
        <w:rPr>
          <w:rFonts w:hint="eastAsia" w:ascii="Times New Roman"/>
          <w:sz w:val="24"/>
          <w:szCs w:val="22"/>
        </w:rPr>
        <w:t>参数性能应符合国家现行标准《建筑隔震橡胶支座》JG/T 118、《橡胶支座第3部分：建筑隔震橡胶支座》GB/T 20688.3、《橡胶支座第5部分：建筑隔震弹性滑板支座》GB/T 20688.5和《建筑摩擦摆隔震支座》GB/T 37358的相关要求。</w:t>
      </w:r>
    </w:p>
    <w:p w14:paraId="69CF4952">
      <w:pPr>
        <w:pStyle w:val="174"/>
        <w:spacing w:line="360" w:lineRule="auto"/>
        <w:ind w:firstLine="0" w:firstLineChars="0"/>
        <w:rPr>
          <w:rFonts w:ascii="Times New Roman"/>
          <w:sz w:val="24"/>
          <w:szCs w:val="22"/>
        </w:rPr>
      </w:pPr>
      <w:r>
        <w:rPr>
          <w:rFonts w:hint="eastAsia" w:ascii="Times New Roman"/>
          <w:b/>
          <w:bCs/>
          <w:sz w:val="24"/>
          <w:szCs w:val="22"/>
        </w:rPr>
        <w:t xml:space="preserve">5.1.6 </w:t>
      </w:r>
      <w:r>
        <w:rPr>
          <w:rFonts w:hint="eastAsia" w:ascii="Times New Roman"/>
          <w:sz w:val="24"/>
          <w:szCs w:val="22"/>
        </w:rPr>
        <w:t>隔震项目若选取除橡胶隔震支座、弹性滑板支座及摩擦摆隔震支座以外的新型</w:t>
      </w:r>
      <w:r>
        <w:rPr>
          <w:rFonts w:hint="eastAsia" w:ascii="Times New Roman"/>
          <w:sz w:val="24"/>
          <w:szCs w:val="22"/>
          <w:lang w:eastAsia="zh-CN"/>
        </w:rPr>
        <w:t>隔震装置</w:t>
      </w:r>
      <w:r>
        <w:rPr>
          <w:rFonts w:hint="eastAsia" w:ascii="Times New Roman"/>
          <w:sz w:val="24"/>
          <w:szCs w:val="22"/>
        </w:rPr>
        <w:t>，应提供相应的第三方检测报告，且报告检测项目</w:t>
      </w:r>
      <w:r>
        <w:rPr>
          <w:rFonts w:hint="eastAsia" w:ascii="Times New Roman"/>
          <w:sz w:val="24"/>
          <w:szCs w:val="22"/>
          <w:lang w:val="en-US" w:eastAsia="zh-CN"/>
        </w:rPr>
        <w:t>及力学性能指标</w:t>
      </w:r>
      <w:r>
        <w:rPr>
          <w:rFonts w:hint="eastAsia" w:ascii="Times New Roman"/>
          <w:sz w:val="24"/>
          <w:szCs w:val="22"/>
        </w:rPr>
        <w:t>应涵盖新型</w:t>
      </w:r>
      <w:r>
        <w:rPr>
          <w:rFonts w:hint="eastAsia" w:ascii="Times New Roman"/>
          <w:sz w:val="24"/>
          <w:szCs w:val="22"/>
          <w:lang w:eastAsia="zh-CN"/>
        </w:rPr>
        <w:t>装置</w:t>
      </w:r>
      <w:r>
        <w:rPr>
          <w:rFonts w:hint="eastAsia" w:ascii="Times New Roman"/>
          <w:sz w:val="24"/>
          <w:szCs w:val="22"/>
        </w:rPr>
        <w:t>的主要设计参数。</w:t>
      </w:r>
    </w:p>
    <w:p w14:paraId="7EF9340F">
      <w:pPr>
        <w:pStyle w:val="174"/>
        <w:spacing w:line="360" w:lineRule="auto"/>
        <w:ind w:firstLine="0" w:firstLineChars="0"/>
        <w:rPr>
          <w:rFonts w:ascii="Times New Roman"/>
        </w:rPr>
      </w:pPr>
      <w:r>
        <w:rPr>
          <w:rFonts w:hint="eastAsia" w:ascii="Times New Roman"/>
          <w:b/>
          <w:bCs/>
          <w:sz w:val="24"/>
          <w:szCs w:val="22"/>
        </w:rPr>
        <w:t xml:space="preserve">5.1.7 </w:t>
      </w:r>
      <w:r>
        <w:rPr>
          <w:rFonts w:hint="eastAsia" w:ascii="Times New Roman"/>
          <w:sz w:val="24"/>
          <w:szCs w:val="22"/>
        </w:rPr>
        <w:t>对于有特殊环境需求的隔震项目，应</w:t>
      </w:r>
      <w:r>
        <w:rPr>
          <w:rFonts w:hint="eastAsia" w:ascii="Times New Roman"/>
          <w:sz w:val="24"/>
          <w:szCs w:val="22"/>
          <w:lang w:val="en-US" w:eastAsia="zh-CN"/>
        </w:rPr>
        <w:t>提供相应的装置</w:t>
      </w:r>
      <w:r>
        <w:rPr>
          <w:rFonts w:hint="eastAsia" w:ascii="Times New Roman"/>
          <w:sz w:val="24"/>
          <w:szCs w:val="22"/>
        </w:rPr>
        <w:t>检测报告</w:t>
      </w:r>
      <w:r>
        <w:rPr>
          <w:rFonts w:hint="eastAsia" w:ascii="Times New Roman"/>
          <w:sz w:val="24"/>
          <w:szCs w:val="22"/>
          <w:lang w:val="en-US" w:eastAsia="zh-CN"/>
        </w:rPr>
        <w:t>或设置相关措施</w:t>
      </w:r>
      <w:r>
        <w:rPr>
          <w:rFonts w:hint="eastAsia" w:ascii="Times New Roman"/>
          <w:sz w:val="24"/>
          <w:szCs w:val="22"/>
        </w:rPr>
        <w:t>。</w:t>
      </w:r>
    </w:p>
    <w:p w14:paraId="35E13256">
      <w:pPr>
        <w:pStyle w:val="174"/>
        <w:spacing w:line="360" w:lineRule="auto"/>
        <w:ind w:left="420" w:hanging="420" w:firstLineChars="0"/>
        <w:jc w:val="center"/>
        <w:outlineLvl w:val="2"/>
        <w:rPr>
          <w:rFonts w:ascii="Times New Roman"/>
          <w:b/>
          <w:bCs/>
          <w:sz w:val="24"/>
          <w:szCs w:val="22"/>
        </w:rPr>
      </w:pPr>
      <w:bookmarkStart w:id="40" w:name="_Toc18113"/>
      <w:bookmarkStart w:id="41" w:name="_Toc207375994"/>
      <w:r>
        <w:rPr>
          <w:rFonts w:hint="eastAsia" w:ascii="Times New Roman"/>
          <w:b/>
          <w:bCs/>
          <w:sz w:val="24"/>
          <w:szCs w:val="22"/>
        </w:rPr>
        <w:t>II 评分项</w:t>
      </w:r>
      <w:bookmarkEnd w:id="40"/>
      <w:bookmarkEnd w:id="41"/>
    </w:p>
    <w:p w14:paraId="082D02C2">
      <w:pPr>
        <w:pStyle w:val="174"/>
        <w:spacing w:line="360" w:lineRule="auto"/>
        <w:ind w:firstLine="0" w:firstLineChars="0"/>
        <w:rPr>
          <w:rFonts w:ascii="Times New Roman"/>
          <w:sz w:val="24"/>
          <w:szCs w:val="22"/>
        </w:rPr>
      </w:pPr>
      <w:r>
        <w:rPr>
          <w:rFonts w:hint="eastAsia" w:ascii="Times New Roman"/>
          <w:b/>
          <w:bCs/>
          <w:sz w:val="24"/>
          <w:szCs w:val="22"/>
        </w:rPr>
        <w:t xml:space="preserve">5.1.8 </w:t>
      </w:r>
      <w:r>
        <w:rPr>
          <w:rFonts w:hint="eastAsia" w:ascii="Times New Roman"/>
          <w:sz w:val="24"/>
          <w:szCs w:val="22"/>
          <w:lang w:eastAsia="zh-CN"/>
        </w:rPr>
        <w:t>隔震装置</w:t>
      </w:r>
      <w:r>
        <w:rPr>
          <w:rFonts w:hint="eastAsia" w:ascii="Times New Roman"/>
          <w:sz w:val="24"/>
          <w:szCs w:val="22"/>
        </w:rPr>
        <w:t>的外观尺寸和检测报告应满足相关标准及设计图纸的要求，评价总分值为40分，应按下列规则分别评分并累计：</w:t>
      </w:r>
    </w:p>
    <w:p w14:paraId="3081DCF8">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隔震装置</w:t>
      </w:r>
      <w:r>
        <w:rPr>
          <w:rFonts w:hint="eastAsia" w:ascii="Times New Roman"/>
          <w:sz w:val="24"/>
          <w:szCs w:val="22"/>
        </w:rPr>
        <w:t>主要部件外观无缺陷、尺寸误差满足规范要求，得10分；外观存在缺陷但</w:t>
      </w:r>
      <w:r>
        <w:rPr>
          <w:rFonts w:hint="eastAsia" w:ascii="Times New Roman"/>
          <w:sz w:val="24"/>
          <w:szCs w:val="22"/>
          <w:lang w:eastAsia="zh-CN"/>
        </w:rPr>
        <w:t>装置</w:t>
      </w:r>
      <w:r>
        <w:rPr>
          <w:rFonts w:hint="eastAsia" w:ascii="Times New Roman"/>
          <w:sz w:val="24"/>
          <w:szCs w:val="22"/>
        </w:rPr>
        <w:t>满足标准质量要求，且第三方检测报告合格，得8分；</w:t>
      </w:r>
    </w:p>
    <w:p w14:paraId="18AA804C">
      <w:pPr>
        <w:pStyle w:val="174"/>
        <w:spacing w:line="360" w:lineRule="auto"/>
        <w:ind w:firstLine="480"/>
        <w:rPr>
          <w:rFonts w:ascii="Times New Roman"/>
          <w:sz w:val="24"/>
          <w:szCs w:val="22"/>
        </w:rPr>
      </w:pPr>
      <w:r>
        <w:rPr>
          <w:rFonts w:hint="eastAsia" w:ascii="Times New Roman"/>
          <w:sz w:val="24"/>
          <w:szCs w:val="22"/>
        </w:rPr>
        <w:t>2 型式检验报告覆盖隔震项目实际使用的主要设计参数，得10分；存在缺项，得0分；</w:t>
      </w:r>
    </w:p>
    <w:p w14:paraId="00362F2E">
      <w:pPr>
        <w:pStyle w:val="174"/>
        <w:spacing w:line="360" w:lineRule="auto"/>
        <w:ind w:firstLine="480"/>
        <w:rPr>
          <w:rFonts w:ascii="Times New Roman"/>
          <w:sz w:val="24"/>
          <w:szCs w:val="22"/>
        </w:rPr>
      </w:pPr>
      <w:r>
        <w:rPr>
          <w:rFonts w:hint="eastAsia" w:ascii="Times New Roman"/>
          <w:sz w:val="24"/>
          <w:szCs w:val="22"/>
        </w:rPr>
        <w:t>3 出厂检验报告的检测项覆盖相关标准规定的所有检测项，得10分；仅覆盖必选检测项，得8分；必选检测项缺项，得0分；</w:t>
      </w:r>
    </w:p>
    <w:p w14:paraId="0178BA9B">
      <w:pPr>
        <w:pStyle w:val="174"/>
        <w:spacing w:line="360" w:lineRule="auto"/>
        <w:ind w:firstLine="480"/>
        <w:rPr>
          <w:rFonts w:ascii="Times New Roman"/>
          <w:sz w:val="24"/>
          <w:szCs w:val="22"/>
        </w:rPr>
      </w:pPr>
      <w:r>
        <w:rPr>
          <w:rFonts w:hint="eastAsia" w:ascii="Times New Roman"/>
          <w:sz w:val="24"/>
          <w:szCs w:val="22"/>
        </w:rPr>
        <w:t>4 见证检验报告覆盖项目使用所有型号</w:t>
      </w:r>
      <w:r>
        <w:rPr>
          <w:rFonts w:hint="eastAsia" w:ascii="Times New Roman"/>
          <w:sz w:val="24"/>
          <w:szCs w:val="22"/>
          <w:lang w:eastAsia="zh-CN"/>
        </w:rPr>
        <w:t>装置</w:t>
      </w:r>
      <w:r>
        <w:rPr>
          <w:rFonts w:hint="eastAsia" w:ascii="Times New Roman"/>
          <w:sz w:val="24"/>
          <w:szCs w:val="22"/>
        </w:rPr>
        <w:t>及相关标准规定的必选检测项，得10分；存在型号缺项或必选检测项缺项，得0分；</w:t>
      </w:r>
    </w:p>
    <w:p w14:paraId="5DC30F5A">
      <w:pPr>
        <w:pStyle w:val="174"/>
        <w:spacing w:line="360" w:lineRule="auto"/>
        <w:ind w:firstLine="0" w:firstLineChars="0"/>
        <w:rPr>
          <w:rFonts w:ascii="Times New Roman"/>
          <w:sz w:val="24"/>
          <w:szCs w:val="22"/>
        </w:rPr>
      </w:pPr>
      <w:r>
        <w:rPr>
          <w:rFonts w:hint="eastAsia" w:ascii="Times New Roman"/>
          <w:b/>
          <w:bCs/>
          <w:sz w:val="24"/>
          <w:szCs w:val="22"/>
        </w:rPr>
        <w:t xml:space="preserve">5.1.9 </w:t>
      </w:r>
      <w:r>
        <w:rPr>
          <w:rFonts w:hint="eastAsia" w:ascii="Times New Roman"/>
          <w:sz w:val="24"/>
          <w:szCs w:val="22"/>
        </w:rPr>
        <w:t>橡胶隔震支座力学性能应满足《建筑隔震橡胶支座》JG/T 118及隔震设计专项图纸的相关要求，评价总分值为130分，应按下列规则分别评分并累计：</w:t>
      </w:r>
    </w:p>
    <w:p w14:paraId="189B7F65">
      <w:pPr>
        <w:pStyle w:val="174"/>
        <w:spacing w:line="360" w:lineRule="auto"/>
        <w:ind w:firstLine="480"/>
        <w:rPr>
          <w:rFonts w:ascii="Times New Roman"/>
          <w:sz w:val="24"/>
          <w:szCs w:val="22"/>
        </w:rPr>
      </w:pPr>
      <w:r>
        <w:rPr>
          <w:rFonts w:hint="eastAsia" w:ascii="Times New Roman"/>
          <w:sz w:val="24"/>
          <w:szCs w:val="22"/>
        </w:rPr>
        <w:t>1 橡胶隔震支座的竖向压缩刚度偏差均不超过±20%，得15分；部分支座超过±20%但不超过±30%，得12分；均不超过±30%，得10分；</w:t>
      </w:r>
    </w:p>
    <w:p w14:paraId="3FA836CE">
      <w:pPr>
        <w:pStyle w:val="174"/>
        <w:spacing w:line="360" w:lineRule="auto"/>
        <w:ind w:firstLine="480"/>
        <w:rPr>
          <w:rFonts w:ascii="Times New Roman"/>
          <w:sz w:val="24"/>
          <w:szCs w:val="22"/>
        </w:rPr>
      </w:pPr>
      <w:r>
        <w:rPr>
          <w:rFonts w:hint="eastAsia" w:ascii="Times New Roman"/>
          <w:sz w:val="24"/>
          <w:szCs w:val="22"/>
        </w:rPr>
        <w:t>2 橡胶隔震支座的水平性能参数偏差均不超过±10%，得80分；部分支座的水平性能参数超过±10%但不超过±15%，得60分；均不超过±15%，得40分；</w:t>
      </w:r>
    </w:p>
    <w:p w14:paraId="2CC57C58">
      <w:pPr>
        <w:pStyle w:val="174"/>
        <w:spacing w:line="360" w:lineRule="auto"/>
        <w:ind w:firstLine="480"/>
        <w:rPr>
          <w:rFonts w:ascii="Times New Roman"/>
          <w:sz w:val="24"/>
          <w:szCs w:val="22"/>
        </w:rPr>
      </w:pPr>
      <w:r>
        <w:rPr>
          <w:rFonts w:hint="eastAsia" w:ascii="Times New Roman"/>
          <w:sz w:val="24"/>
          <w:szCs w:val="22"/>
        </w:rPr>
        <w:t>3 橡胶隔震支座开展水平极限变形能力试验，得20分；开展水平极限变形能力试验的支座型号存在缺失，或未开展水平极限变形能力试验，得0分；</w:t>
      </w:r>
    </w:p>
    <w:p w14:paraId="53A834B2">
      <w:pPr>
        <w:pStyle w:val="174"/>
        <w:spacing w:line="360" w:lineRule="auto"/>
        <w:ind w:firstLine="480"/>
        <w:rPr>
          <w:rFonts w:ascii="Times New Roman"/>
          <w:sz w:val="24"/>
          <w:szCs w:val="22"/>
        </w:rPr>
      </w:pPr>
      <w:r>
        <w:rPr>
          <w:rFonts w:hint="eastAsia" w:ascii="Times New Roman"/>
          <w:sz w:val="24"/>
          <w:szCs w:val="22"/>
        </w:rPr>
        <w:t>4 橡胶隔震支座荷载-位移检测曲线光滑饱满且无异常，得15分；曲线存在异常，得0分。</w:t>
      </w:r>
    </w:p>
    <w:p w14:paraId="51595781">
      <w:pPr>
        <w:pStyle w:val="174"/>
        <w:spacing w:line="360" w:lineRule="auto"/>
        <w:ind w:firstLine="0" w:firstLineChars="0"/>
        <w:rPr>
          <w:rFonts w:ascii="Times New Roman"/>
          <w:sz w:val="24"/>
          <w:szCs w:val="22"/>
        </w:rPr>
      </w:pPr>
      <w:r>
        <w:rPr>
          <w:rFonts w:hint="eastAsia" w:ascii="Times New Roman"/>
          <w:b/>
          <w:bCs/>
          <w:sz w:val="24"/>
          <w:szCs w:val="22"/>
        </w:rPr>
        <w:t xml:space="preserve">5.1.10 </w:t>
      </w:r>
      <w:r>
        <w:rPr>
          <w:rFonts w:hint="eastAsia" w:ascii="Times New Roman"/>
          <w:sz w:val="24"/>
          <w:szCs w:val="22"/>
        </w:rPr>
        <w:t>弹性滑板支座力学性能应满足《橡胶支座第5部分：建筑隔震弹性滑板支座》GB/T 20688.5及隔震设计专项图纸的相关要求，评价总分值为130分，应按下列规则分别评分并累计：</w:t>
      </w:r>
    </w:p>
    <w:p w14:paraId="4319AD9A">
      <w:pPr>
        <w:pStyle w:val="174"/>
        <w:spacing w:line="360" w:lineRule="auto"/>
        <w:ind w:firstLine="480"/>
        <w:rPr>
          <w:rFonts w:ascii="Times New Roman"/>
          <w:sz w:val="24"/>
          <w:szCs w:val="22"/>
        </w:rPr>
      </w:pPr>
      <w:r>
        <w:rPr>
          <w:rFonts w:hint="eastAsia" w:ascii="Times New Roman"/>
          <w:sz w:val="24"/>
          <w:szCs w:val="22"/>
        </w:rPr>
        <w:t>1 弹性滑板支座的竖向压缩刚度偏差均不超过±20%，得15分；部分支座超过±20%但不超过±30%，得12分；均不超过±30%，得10分；</w:t>
      </w:r>
    </w:p>
    <w:p w14:paraId="053B56CA">
      <w:pPr>
        <w:pStyle w:val="174"/>
        <w:spacing w:line="360" w:lineRule="auto"/>
        <w:ind w:firstLine="480"/>
        <w:rPr>
          <w:rFonts w:ascii="Times New Roman"/>
          <w:sz w:val="24"/>
          <w:szCs w:val="22"/>
        </w:rPr>
      </w:pPr>
      <w:r>
        <w:rPr>
          <w:rFonts w:hint="eastAsia" w:ascii="Times New Roman"/>
          <w:sz w:val="24"/>
          <w:szCs w:val="22"/>
        </w:rPr>
        <w:t>2 弹性滑板支座的初始刚度偏差均不超过±10%，得40分；部分支座超过±10%但不超过±15%，得30分；均不超过±15%，得20分；</w:t>
      </w:r>
    </w:p>
    <w:p w14:paraId="4DDB87E3">
      <w:pPr>
        <w:pStyle w:val="174"/>
        <w:spacing w:line="360" w:lineRule="auto"/>
        <w:ind w:firstLine="480"/>
        <w:rPr>
          <w:rFonts w:ascii="Times New Roman"/>
          <w:sz w:val="24"/>
          <w:szCs w:val="22"/>
        </w:rPr>
      </w:pPr>
      <w:r>
        <w:rPr>
          <w:rFonts w:hint="eastAsia" w:ascii="Times New Roman"/>
          <w:sz w:val="24"/>
          <w:szCs w:val="22"/>
        </w:rPr>
        <w:t>3 低摩擦弹性滑板支座的动摩擦系数偏差均不超过±30%，中、高摩擦弹性滑板支座的动摩擦系数偏差均不超过±20%，得40分；部分低摩擦弹性滑板支座超过±30%但不超过±50%，部分中、高摩擦弹性滑板支座±20%但不超过±30%，得30分；低摩擦弹性滑板支座均不超过±50%，中、高摩擦弹性滑板支座均不超过±30%，得20分；</w:t>
      </w:r>
    </w:p>
    <w:p w14:paraId="0BBBB28C">
      <w:pPr>
        <w:pStyle w:val="174"/>
        <w:spacing w:line="360" w:lineRule="auto"/>
        <w:ind w:firstLine="480"/>
        <w:rPr>
          <w:rFonts w:ascii="Times New Roman"/>
          <w:sz w:val="24"/>
          <w:szCs w:val="22"/>
        </w:rPr>
      </w:pPr>
      <w:r>
        <w:rPr>
          <w:rFonts w:hint="eastAsia" w:ascii="Times New Roman"/>
          <w:sz w:val="24"/>
          <w:szCs w:val="22"/>
        </w:rPr>
        <w:t>4 弹性滑板支座开展水平极限变形能力试验，得20分；开展水平极限变形能力试验的支座型号存在缺失，或未开展水平极限变形能力试验，得0分；</w:t>
      </w:r>
    </w:p>
    <w:p w14:paraId="465AD2CA">
      <w:pPr>
        <w:pStyle w:val="174"/>
        <w:spacing w:line="360" w:lineRule="auto"/>
        <w:ind w:firstLine="480"/>
        <w:rPr>
          <w:rFonts w:ascii="Times New Roman"/>
          <w:sz w:val="24"/>
          <w:szCs w:val="22"/>
        </w:rPr>
      </w:pPr>
      <w:r>
        <w:rPr>
          <w:rFonts w:hint="eastAsia" w:ascii="Times New Roman"/>
          <w:sz w:val="24"/>
          <w:szCs w:val="22"/>
        </w:rPr>
        <w:t>5 弹性滑板支座荷载-位移检测曲线光滑饱满且无异常，得15分；曲线存在异常，得0分。</w:t>
      </w:r>
    </w:p>
    <w:p w14:paraId="002F314C">
      <w:pPr>
        <w:pStyle w:val="174"/>
        <w:spacing w:line="360" w:lineRule="auto"/>
        <w:ind w:firstLine="0" w:firstLineChars="0"/>
        <w:rPr>
          <w:rFonts w:ascii="Times New Roman"/>
          <w:sz w:val="24"/>
          <w:szCs w:val="22"/>
        </w:rPr>
      </w:pPr>
      <w:r>
        <w:rPr>
          <w:rFonts w:hint="eastAsia" w:ascii="Times New Roman"/>
          <w:b/>
          <w:bCs/>
          <w:sz w:val="24"/>
          <w:szCs w:val="22"/>
        </w:rPr>
        <w:t xml:space="preserve">5.1.11 </w:t>
      </w:r>
      <w:r>
        <w:rPr>
          <w:rFonts w:hint="eastAsia" w:ascii="Times New Roman"/>
          <w:sz w:val="24"/>
          <w:szCs w:val="22"/>
        </w:rPr>
        <w:t>摩擦摆隔震支座力学性能应满足《建筑摩擦摆隔震支座》GB/T 37358及隔震设计专项图纸的相关要求，评价总分值为130分，应按下列规则分别评分并累计：</w:t>
      </w:r>
    </w:p>
    <w:p w14:paraId="3B34F556">
      <w:pPr>
        <w:pStyle w:val="174"/>
        <w:spacing w:line="360" w:lineRule="auto"/>
        <w:ind w:firstLine="480"/>
        <w:rPr>
          <w:rFonts w:ascii="Times New Roman"/>
          <w:sz w:val="24"/>
          <w:szCs w:val="22"/>
        </w:rPr>
      </w:pPr>
      <w:r>
        <w:rPr>
          <w:rFonts w:hint="eastAsia" w:ascii="Times New Roman"/>
          <w:sz w:val="24"/>
          <w:szCs w:val="22"/>
        </w:rPr>
        <w:t>1 摩擦摆隔震支座的静摩擦系数均处于对应动摩擦系数上限的100%至120%范围内，得25分；超出动摩擦系数上限的100%至120%范围，得15分；</w:t>
      </w:r>
    </w:p>
    <w:p w14:paraId="24B3A315">
      <w:pPr>
        <w:pStyle w:val="174"/>
        <w:spacing w:line="360" w:lineRule="auto"/>
        <w:ind w:firstLine="480"/>
        <w:rPr>
          <w:rFonts w:ascii="Times New Roman"/>
          <w:sz w:val="24"/>
          <w:szCs w:val="22"/>
        </w:rPr>
      </w:pPr>
      <w:r>
        <w:rPr>
          <w:rFonts w:hint="eastAsia" w:ascii="Times New Roman"/>
          <w:sz w:val="24"/>
          <w:szCs w:val="22"/>
        </w:rPr>
        <w:t>2 摩擦摆隔震支座的动摩擦系数（下限）偏差均不超过标准规定限值的80%，得25分；部分支座超过80%但不超过标准规定限值，得20分；均不超过标准规定限值，得15分；</w:t>
      </w:r>
    </w:p>
    <w:p w14:paraId="55E8670C">
      <w:pPr>
        <w:pStyle w:val="174"/>
        <w:spacing w:line="360" w:lineRule="auto"/>
        <w:ind w:firstLine="480"/>
        <w:rPr>
          <w:rFonts w:ascii="Times New Roman"/>
          <w:sz w:val="24"/>
          <w:szCs w:val="22"/>
        </w:rPr>
      </w:pPr>
      <w:r>
        <w:rPr>
          <w:rFonts w:hint="eastAsia" w:ascii="Times New Roman"/>
          <w:sz w:val="24"/>
          <w:szCs w:val="22"/>
        </w:rPr>
        <w:t>3 摩擦摆隔震支座的动摩擦系数（上限）偏差均不超过标准规定限值的80%，得25分；部分支座超过80%但不超过标准规定限值，得20分；均不超过标准规定限值，得15分；</w:t>
      </w:r>
    </w:p>
    <w:p w14:paraId="54E3DCE5">
      <w:pPr>
        <w:pStyle w:val="174"/>
        <w:spacing w:line="360" w:lineRule="auto"/>
        <w:ind w:firstLine="480"/>
        <w:rPr>
          <w:rFonts w:ascii="Times New Roman"/>
          <w:sz w:val="24"/>
          <w:szCs w:val="22"/>
        </w:rPr>
      </w:pPr>
      <w:r>
        <w:rPr>
          <w:rFonts w:hint="eastAsia" w:ascii="Times New Roman"/>
          <w:sz w:val="24"/>
          <w:szCs w:val="22"/>
        </w:rPr>
        <w:t>4 摩擦摆隔震支座的屈服后刚度偏差均不超过±15%，得20分；部分支座超过±15%但不超过±20%，得15分；均不超过±20%，得10分；</w:t>
      </w:r>
    </w:p>
    <w:p w14:paraId="11A1BCAB">
      <w:pPr>
        <w:pStyle w:val="174"/>
        <w:spacing w:line="360" w:lineRule="auto"/>
        <w:ind w:firstLine="480"/>
        <w:rPr>
          <w:rFonts w:ascii="Times New Roman"/>
          <w:sz w:val="24"/>
          <w:szCs w:val="22"/>
        </w:rPr>
      </w:pPr>
      <w:r>
        <w:rPr>
          <w:rFonts w:hint="eastAsia" w:ascii="Times New Roman"/>
          <w:sz w:val="24"/>
          <w:szCs w:val="22"/>
        </w:rPr>
        <w:t>5 摩擦摆隔震支座开展水平极限变形能力试验，得20分；开展水平极限变形能力试验的支座型号存在缺失，或未开展水平极限变形能力试验，得0分；</w:t>
      </w:r>
    </w:p>
    <w:p w14:paraId="709E2F42">
      <w:pPr>
        <w:pStyle w:val="174"/>
        <w:spacing w:line="360" w:lineRule="auto"/>
        <w:ind w:firstLine="480"/>
        <w:rPr>
          <w:rFonts w:ascii="Times New Roman"/>
          <w:sz w:val="24"/>
          <w:szCs w:val="22"/>
        </w:rPr>
      </w:pPr>
      <w:r>
        <w:rPr>
          <w:rFonts w:hint="eastAsia" w:ascii="Times New Roman"/>
          <w:sz w:val="24"/>
          <w:szCs w:val="22"/>
        </w:rPr>
        <w:t>6 摩擦摆隔震支座荷载-位移检测曲线光滑饱满且无异常，得15分；曲线存在异常，得0分。</w:t>
      </w:r>
    </w:p>
    <w:p w14:paraId="2C6A0D76">
      <w:pPr>
        <w:pStyle w:val="174"/>
        <w:spacing w:line="360" w:lineRule="auto"/>
        <w:ind w:firstLine="0" w:firstLineChars="0"/>
        <w:rPr>
          <w:rFonts w:ascii="Times New Roman"/>
          <w:sz w:val="24"/>
          <w:szCs w:val="22"/>
        </w:rPr>
      </w:pPr>
      <w:r>
        <w:rPr>
          <w:rFonts w:hint="eastAsia" w:ascii="Times New Roman"/>
          <w:b/>
          <w:bCs/>
          <w:sz w:val="24"/>
          <w:szCs w:val="22"/>
        </w:rPr>
        <w:t xml:space="preserve">5.1.12 </w:t>
      </w:r>
      <w:r>
        <w:rPr>
          <w:rFonts w:hint="eastAsia" w:ascii="Times New Roman"/>
          <w:sz w:val="24"/>
          <w:szCs w:val="22"/>
          <w:lang w:eastAsia="zh-CN"/>
        </w:rPr>
        <w:t>隔震装置</w:t>
      </w:r>
      <w:r>
        <w:rPr>
          <w:rFonts w:hint="eastAsia" w:ascii="Times New Roman"/>
          <w:sz w:val="24"/>
          <w:szCs w:val="22"/>
        </w:rPr>
        <w:t>到场后应检查支座尺寸偏差及平整度，评价总分值为30分，应按下列规则分别评分并累计：</w:t>
      </w:r>
    </w:p>
    <w:p w14:paraId="73E64395">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隔震装置</w:t>
      </w:r>
      <w:r>
        <w:rPr>
          <w:rFonts w:hint="eastAsia" w:ascii="Times New Roman"/>
          <w:sz w:val="24"/>
          <w:szCs w:val="22"/>
        </w:rPr>
        <w:t>平面尺寸偏差均不超过现行标准《建筑隔震橡胶支座》JG/T 118、《橡胶支座第3部分：建筑隔震橡胶支座》GB/T 20688.3、《橡胶支座第5部分：建筑隔震弹性滑板支座》GB/T 20688.5和《建筑摩擦摆隔震支座》GB/T 37358规定限值的</w:t>
      </w:r>
      <w:r>
        <w:rPr>
          <w:rFonts w:hint="eastAsia" w:ascii="Times New Roman"/>
          <w:sz w:val="24"/>
          <w:szCs w:val="22"/>
          <w:lang w:val="en-US" w:eastAsia="zh-CN"/>
        </w:rPr>
        <w:t>90</w:t>
      </w:r>
      <w:r>
        <w:rPr>
          <w:rFonts w:hint="eastAsia" w:ascii="Times New Roman"/>
          <w:sz w:val="24"/>
          <w:szCs w:val="22"/>
        </w:rPr>
        <w:t>%，得10分；均不超过标准规定限值，得5分；</w:t>
      </w:r>
    </w:p>
    <w:p w14:paraId="6E16D489">
      <w:pPr>
        <w:pStyle w:val="174"/>
        <w:spacing w:line="360" w:lineRule="auto"/>
        <w:ind w:firstLine="480"/>
        <w:rPr>
          <w:rFonts w:ascii="Times New Roman"/>
          <w:sz w:val="24"/>
          <w:szCs w:val="22"/>
        </w:rPr>
      </w:pPr>
      <w:r>
        <w:rPr>
          <w:rFonts w:hint="eastAsia" w:ascii="Times New Roman"/>
          <w:sz w:val="24"/>
          <w:szCs w:val="22"/>
        </w:rPr>
        <w:t xml:space="preserve">2 </w:t>
      </w:r>
      <w:r>
        <w:rPr>
          <w:rFonts w:hint="eastAsia" w:ascii="Times New Roman"/>
          <w:sz w:val="24"/>
          <w:szCs w:val="22"/>
          <w:lang w:eastAsia="zh-CN"/>
        </w:rPr>
        <w:t>隔震装置</w:t>
      </w:r>
      <w:r>
        <w:rPr>
          <w:rFonts w:hint="eastAsia" w:ascii="Times New Roman"/>
          <w:sz w:val="24"/>
          <w:szCs w:val="22"/>
        </w:rPr>
        <w:t>整体高度偏差不超过标准规定限值的</w:t>
      </w:r>
      <w:r>
        <w:rPr>
          <w:rFonts w:hint="eastAsia" w:ascii="Times New Roman"/>
          <w:sz w:val="24"/>
          <w:szCs w:val="22"/>
          <w:lang w:val="en-US" w:eastAsia="zh-CN"/>
        </w:rPr>
        <w:t>90</w:t>
      </w:r>
      <w:r>
        <w:rPr>
          <w:rFonts w:hint="eastAsia" w:ascii="Times New Roman"/>
          <w:sz w:val="24"/>
          <w:szCs w:val="22"/>
        </w:rPr>
        <w:t>%，得10分；均不超过标准规定限值，得5分；</w:t>
      </w:r>
    </w:p>
    <w:p w14:paraId="4825D69D">
      <w:pPr>
        <w:pStyle w:val="174"/>
        <w:spacing w:line="360" w:lineRule="auto"/>
        <w:ind w:firstLine="480"/>
        <w:rPr>
          <w:rFonts w:ascii="Times New Roman"/>
        </w:rPr>
      </w:pPr>
      <w:r>
        <w:rPr>
          <w:rFonts w:hint="eastAsia" w:ascii="Times New Roman"/>
          <w:sz w:val="24"/>
          <w:szCs w:val="22"/>
        </w:rPr>
        <w:t xml:space="preserve">3 </w:t>
      </w:r>
      <w:r>
        <w:rPr>
          <w:rFonts w:hint="eastAsia" w:ascii="Times New Roman"/>
          <w:sz w:val="24"/>
          <w:szCs w:val="22"/>
          <w:lang w:eastAsia="zh-CN"/>
        </w:rPr>
        <w:t>隔震装置</w:t>
      </w:r>
      <w:r>
        <w:rPr>
          <w:rFonts w:hint="eastAsia" w:ascii="Times New Roman"/>
          <w:sz w:val="24"/>
          <w:szCs w:val="22"/>
        </w:rPr>
        <w:t>平整度偏差不超过标准规定限值的</w:t>
      </w:r>
      <w:r>
        <w:rPr>
          <w:rFonts w:hint="eastAsia" w:ascii="Times New Roman"/>
          <w:sz w:val="24"/>
          <w:szCs w:val="22"/>
          <w:lang w:val="en-US" w:eastAsia="zh-CN"/>
        </w:rPr>
        <w:t>90</w:t>
      </w:r>
      <w:r>
        <w:rPr>
          <w:rFonts w:hint="eastAsia" w:ascii="Times New Roman"/>
          <w:sz w:val="24"/>
          <w:szCs w:val="22"/>
        </w:rPr>
        <w:t>%，得10分；均不超过标准规定限值，得5分。</w:t>
      </w:r>
    </w:p>
    <w:p w14:paraId="04E206A7">
      <w:pPr>
        <w:pStyle w:val="174"/>
        <w:spacing w:after="156" w:afterLines="50" w:line="360" w:lineRule="auto"/>
        <w:ind w:firstLine="0" w:firstLineChars="0"/>
        <w:jc w:val="center"/>
        <w:outlineLvl w:val="1"/>
        <w:rPr>
          <w:rFonts w:hint="eastAsia" w:ascii="Times New Roman" w:eastAsia="宋体"/>
          <w:b/>
          <w:bCs/>
          <w:sz w:val="28"/>
          <w:szCs w:val="28"/>
          <w:lang w:eastAsia="zh-CN"/>
        </w:rPr>
      </w:pPr>
      <w:bookmarkStart w:id="42" w:name="_Toc207375995"/>
      <w:bookmarkStart w:id="43" w:name="_Toc15437"/>
      <w:r>
        <w:rPr>
          <w:rFonts w:hint="eastAsia" w:ascii="Times New Roman"/>
          <w:b/>
          <w:bCs/>
          <w:sz w:val="28"/>
          <w:szCs w:val="28"/>
        </w:rPr>
        <w:t xml:space="preserve">5.2 </w:t>
      </w:r>
      <w:bookmarkEnd w:id="42"/>
      <w:r>
        <w:rPr>
          <w:rFonts w:hint="eastAsia" w:ascii="Times New Roman"/>
          <w:b/>
          <w:bCs/>
          <w:sz w:val="28"/>
          <w:szCs w:val="28"/>
          <w:lang w:eastAsia="zh-CN"/>
        </w:rPr>
        <w:t>消能减震装置</w:t>
      </w:r>
      <w:bookmarkEnd w:id="43"/>
    </w:p>
    <w:p w14:paraId="6E25F002">
      <w:pPr>
        <w:pStyle w:val="174"/>
        <w:spacing w:line="360" w:lineRule="auto"/>
        <w:ind w:left="420" w:hanging="420" w:firstLineChars="0"/>
        <w:jc w:val="center"/>
        <w:outlineLvl w:val="2"/>
        <w:rPr>
          <w:rFonts w:ascii="Times New Roman"/>
          <w:b/>
          <w:bCs/>
          <w:sz w:val="24"/>
          <w:szCs w:val="22"/>
        </w:rPr>
      </w:pPr>
      <w:bookmarkStart w:id="44" w:name="_Toc656"/>
      <w:bookmarkStart w:id="45" w:name="_Toc207375996"/>
      <w:r>
        <w:rPr>
          <w:rFonts w:hint="eastAsia" w:ascii="Times New Roman"/>
          <w:b/>
          <w:bCs/>
          <w:sz w:val="24"/>
          <w:szCs w:val="22"/>
        </w:rPr>
        <w:t>I 控制项</w:t>
      </w:r>
      <w:bookmarkEnd w:id="44"/>
      <w:bookmarkEnd w:id="45"/>
    </w:p>
    <w:p w14:paraId="25994383">
      <w:pPr>
        <w:pStyle w:val="174"/>
        <w:spacing w:line="360" w:lineRule="auto"/>
        <w:ind w:firstLine="0" w:firstLineChars="0"/>
        <w:rPr>
          <w:rFonts w:ascii="Times New Roman"/>
          <w:sz w:val="24"/>
          <w:szCs w:val="22"/>
        </w:rPr>
      </w:pPr>
      <w:r>
        <w:rPr>
          <w:rFonts w:hint="eastAsia" w:ascii="Times New Roman"/>
          <w:b/>
          <w:bCs/>
          <w:sz w:val="24"/>
          <w:szCs w:val="22"/>
        </w:rPr>
        <w:t xml:space="preserve">5.2.1 </w:t>
      </w:r>
      <w:r>
        <w:rPr>
          <w:rFonts w:hint="eastAsia" w:ascii="Times New Roman"/>
          <w:sz w:val="24"/>
          <w:szCs w:val="22"/>
          <w:lang w:eastAsia="zh-CN"/>
        </w:rPr>
        <w:t>消能减震装置</w:t>
      </w:r>
      <w:r>
        <w:rPr>
          <w:rFonts w:hint="eastAsia" w:ascii="Times New Roman"/>
          <w:sz w:val="24"/>
          <w:szCs w:val="22"/>
        </w:rPr>
        <w:t>应具备相应国家标准及行业标准规定的型式检验报告及出厂检验报告，且每个</w:t>
      </w:r>
      <w:r>
        <w:rPr>
          <w:rFonts w:hint="eastAsia" w:ascii="Times New Roman"/>
          <w:sz w:val="24"/>
          <w:szCs w:val="22"/>
          <w:lang w:eastAsia="zh-CN"/>
        </w:rPr>
        <w:t>消能减震项目</w:t>
      </w:r>
      <w:r>
        <w:rPr>
          <w:rFonts w:hint="eastAsia" w:ascii="Times New Roman"/>
          <w:sz w:val="24"/>
          <w:szCs w:val="22"/>
        </w:rPr>
        <w:t>提供的第三方检测报告参数结果应满足减震结构设计文件中对</w:t>
      </w:r>
      <w:r>
        <w:rPr>
          <w:rFonts w:hint="eastAsia" w:ascii="Times New Roman"/>
          <w:sz w:val="24"/>
          <w:szCs w:val="22"/>
          <w:lang w:eastAsia="zh-CN"/>
        </w:rPr>
        <w:t>装置</w:t>
      </w:r>
      <w:r>
        <w:rPr>
          <w:rFonts w:hint="eastAsia" w:ascii="Times New Roman"/>
          <w:sz w:val="24"/>
          <w:szCs w:val="22"/>
        </w:rPr>
        <w:t>力学参数的要求。</w:t>
      </w:r>
    </w:p>
    <w:p w14:paraId="2BD1F28A">
      <w:pPr>
        <w:pStyle w:val="174"/>
        <w:spacing w:line="360" w:lineRule="auto"/>
        <w:ind w:firstLine="0" w:firstLineChars="0"/>
        <w:rPr>
          <w:rFonts w:ascii="Times New Roman"/>
          <w:b/>
          <w:bCs/>
          <w:sz w:val="24"/>
          <w:szCs w:val="22"/>
        </w:rPr>
      </w:pPr>
      <w:r>
        <w:rPr>
          <w:rFonts w:hint="eastAsia" w:ascii="Times New Roman"/>
          <w:b/>
          <w:bCs/>
          <w:sz w:val="24"/>
          <w:szCs w:val="22"/>
        </w:rPr>
        <w:t xml:space="preserve">5.2.2 </w:t>
      </w:r>
      <w:r>
        <w:rPr>
          <w:rFonts w:hint="eastAsia" w:ascii="Times New Roman"/>
          <w:sz w:val="24"/>
          <w:szCs w:val="22"/>
        </w:rPr>
        <w:t>出具</w:t>
      </w:r>
      <w:r>
        <w:rPr>
          <w:rFonts w:hint="eastAsia" w:ascii="Times New Roman"/>
          <w:sz w:val="24"/>
          <w:szCs w:val="22"/>
          <w:lang w:eastAsia="zh-CN"/>
        </w:rPr>
        <w:t>消能减震装置</w:t>
      </w:r>
      <w:r>
        <w:rPr>
          <w:rFonts w:hint="eastAsia" w:ascii="Times New Roman"/>
          <w:sz w:val="24"/>
          <w:szCs w:val="22"/>
        </w:rPr>
        <w:t>型式检验报告及第三方检测报告的检测机构应具备CMA资质。</w:t>
      </w:r>
    </w:p>
    <w:p w14:paraId="1C41D667">
      <w:pPr>
        <w:pStyle w:val="174"/>
        <w:spacing w:line="360" w:lineRule="auto"/>
        <w:ind w:firstLine="0" w:firstLineChars="0"/>
        <w:rPr>
          <w:rFonts w:ascii="Times New Roman"/>
          <w:sz w:val="24"/>
          <w:szCs w:val="22"/>
        </w:rPr>
      </w:pPr>
      <w:r>
        <w:rPr>
          <w:rFonts w:hint="eastAsia" w:ascii="Times New Roman"/>
          <w:b/>
          <w:bCs/>
          <w:sz w:val="24"/>
          <w:szCs w:val="22"/>
        </w:rPr>
        <w:t xml:space="preserve">5.2.3 </w:t>
      </w:r>
      <w:r>
        <w:rPr>
          <w:rFonts w:hint="eastAsia" w:ascii="Times New Roman"/>
          <w:sz w:val="24"/>
          <w:szCs w:val="22"/>
          <w:lang w:eastAsia="zh-CN"/>
        </w:rPr>
        <w:t>消能减震装置</w:t>
      </w:r>
      <w:r>
        <w:rPr>
          <w:rFonts w:hint="eastAsia" w:ascii="Times New Roman"/>
          <w:sz w:val="24"/>
          <w:szCs w:val="22"/>
        </w:rPr>
        <w:t>本体应明确标注生产厂家、</w:t>
      </w:r>
      <w:r>
        <w:rPr>
          <w:rFonts w:hint="eastAsia" w:ascii="Times New Roman"/>
          <w:sz w:val="24"/>
          <w:szCs w:val="22"/>
          <w:lang w:eastAsia="zh-CN"/>
        </w:rPr>
        <w:t>装置</w:t>
      </w:r>
      <w:r>
        <w:rPr>
          <w:rFonts w:hint="eastAsia" w:ascii="Times New Roman"/>
          <w:sz w:val="24"/>
          <w:szCs w:val="22"/>
        </w:rPr>
        <w:t>型号、出厂编号、主要力学参数、生产日期等信息。</w:t>
      </w:r>
    </w:p>
    <w:p w14:paraId="134D3C7A">
      <w:pPr>
        <w:pStyle w:val="174"/>
        <w:spacing w:line="360" w:lineRule="auto"/>
        <w:ind w:firstLine="0" w:firstLineChars="0"/>
        <w:rPr>
          <w:rFonts w:ascii="Times New Roman"/>
          <w:sz w:val="24"/>
          <w:szCs w:val="22"/>
        </w:rPr>
      </w:pPr>
      <w:r>
        <w:rPr>
          <w:rFonts w:hint="eastAsia" w:ascii="Times New Roman"/>
          <w:b/>
          <w:bCs/>
          <w:sz w:val="24"/>
          <w:szCs w:val="22"/>
        </w:rPr>
        <w:t xml:space="preserve">5.2.4 </w:t>
      </w:r>
      <w:r>
        <w:rPr>
          <w:rFonts w:hint="eastAsia" w:ascii="Times New Roman"/>
          <w:sz w:val="24"/>
          <w:szCs w:val="22"/>
          <w:lang w:eastAsia="zh-CN"/>
        </w:rPr>
        <w:t>消能减震装置</w:t>
      </w:r>
      <w:r>
        <w:rPr>
          <w:rFonts w:hint="eastAsia" w:ascii="Times New Roman"/>
          <w:sz w:val="24"/>
          <w:szCs w:val="22"/>
        </w:rPr>
        <w:t>的外观应表面平整、无机械损伤、无锈蚀、无毛刺，外表应采用防锈措施，涂层应均匀。</w:t>
      </w:r>
    </w:p>
    <w:p w14:paraId="62A280FB">
      <w:pPr>
        <w:pStyle w:val="174"/>
        <w:spacing w:line="360" w:lineRule="auto"/>
        <w:ind w:firstLine="0" w:firstLineChars="0"/>
        <w:rPr>
          <w:rFonts w:ascii="Times New Roman"/>
          <w:sz w:val="24"/>
          <w:szCs w:val="22"/>
        </w:rPr>
      </w:pPr>
      <w:r>
        <w:rPr>
          <w:rFonts w:hint="eastAsia" w:ascii="Times New Roman"/>
          <w:b/>
          <w:bCs/>
          <w:sz w:val="24"/>
          <w:szCs w:val="22"/>
        </w:rPr>
        <w:t xml:space="preserve">5.2.5 </w:t>
      </w:r>
      <w:r>
        <w:rPr>
          <w:rFonts w:hint="eastAsia" w:ascii="Times New Roman"/>
          <w:sz w:val="24"/>
          <w:szCs w:val="22"/>
        </w:rPr>
        <w:t>黏滞阻尼器的设计使用年限不应低于30年，其他</w:t>
      </w:r>
      <w:r>
        <w:rPr>
          <w:rFonts w:hint="eastAsia" w:ascii="Times New Roman"/>
          <w:sz w:val="24"/>
          <w:szCs w:val="22"/>
          <w:lang w:val="en-US" w:eastAsia="zh-CN"/>
        </w:rPr>
        <w:t>消能</w:t>
      </w:r>
      <w:r>
        <w:rPr>
          <w:rFonts w:hint="eastAsia" w:ascii="Times New Roman"/>
          <w:sz w:val="24"/>
          <w:szCs w:val="22"/>
        </w:rPr>
        <w:t>减震装置设计使用年限不应低于50年。</w:t>
      </w:r>
    </w:p>
    <w:p w14:paraId="16E68E53">
      <w:pPr>
        <w:pStyle w:val="174"/>
        <w:spacing w:line="360" w:lineRule="auto"/>
        <w:ind w:firstLine="0" w:firstLineChars="0"/>
        <w:rPr>
          <w:rFonts w:ascii="Times New Roman"/>
          <w:sz w:val="24"/>
          <w:szCs w:val="22"/>
        </w:rPr>
      </w:pPr>
      <w:r>
        <w:rPr>
          <w:rFonts w:hint="eastAsia" w:ascii="Times New Roman"/>
          <w:b/>
          <w:bCs/>
          <w:sz w:val="24"/>
          <w:szCs w:val="22"/>
        </w:rPr>
        <w:t xml:space="preserve">5.2.6 </w:t>
      </w:r>
      <w:r>
        <w:rPr>
          <w:rFonts w:hint="eastAsia" w:ascii="Times New Roman"/>
          <w:sz w:val="24"/>
          <w:szCs w:val="22"/>
          <w:lang w:eastAsia="zh-CN"/>
        </w:rPr>
        <w:t>消能减震项目</w:t>
      </w:r>
      <w:r>
        <w:rPr>
          <w:rFonts w:hint="eastAsia" w:ascii="Times New Roman"/>
          <w:sz w:val="24"/>
          <w:szCs w:val="22"/>
        </w:rPr>
        <w:t>所选取的</w:t>
      </w:r>
      <w:r>
        <w:rPr>
          <w:rFonts w:hint="eastAsia" w:ascii="Times New Roman"/>
          <w:sz w:val="24"/>
          <w:szCs w:val="22"/>
          <w:lang w:val="en-US" w:eastAsia="zh-CN"/>
        </w:rPr>
        <w:t>消能</w:t>
      </w:r>
      <w:r>
        <w:rPr>
          <w:rFonts w:hint="eastAsia" w:ascii="Times New Roman"/>
          <w:sz w:val="24"/>
          <w:szCs w:val="22"/>
        </w:rPr>
        <w:t>减震装置性能应符合现行标准《建筑消能阻尼器》JG/T 209、《建筑消能减震技术规程》JGJ 297等标准的相关要求。</w:t>
      </w:r>
    </w:p>
    <w:p w14:paraId="25EED0A2">
      <w:pPr>
        <w:pStyle w:val="174"/>
        <w:spacing w:line="360" w:lineRule="auto"/>
        <w:ind w:firstLine="0" w:firstLineChars="0"/>
        <w:rPr>
          <w:rFonts w:ascii="Times New Roman"/>
          <w:sz w:val="24"/>
          <w:szCs w:val="22"/>
        </w:rPr>
      </w:pPr>
      <w:r>
        <w:rPr>
          <w:rFonts w:hint="eastAsia" w:ascii="Times New Roman"/>
          <w:b/>
          <w:bCs/>
          <w:sz w:val="24"/>
          <w:szCs w:val="22"/>
        </w:rPr>
        <w:t xml:space="preserve">5.2.7 </w:t>
      </w:r>
      <w:r>
        <w:rPr>
          <w:rFonts w:hint="eastAsia" w:ascii="Times New Roman"/>
          <w:sz w:val="24"/>
          <w:szCs w:val="22"/>
          <w:lang w:eastAsia="zh-CN"/>
        </w:rPr>
        <w:t>消能减震项目</w:t>
      </w:r>
      <w:r>
        <w:rPr>
          <w:rFonts w:hint="eastAsia" w:ascii="Times New Roman"/>
          <w:sz w:val="24"/>
          <w:szCs w:val="22"/>
        </w:rPr>
        <w:t>若选取除以上标准包含</w:t>
      </w:r>
      <w:r>
        <w:rPr>
          <w:rFonts w:hint="eastAsia" w:ascii="Times New Roman"/>
          <w:sz w:val="24"/>
          <w:szCs w:val="22"/>
          <w:lang w:eastAsia="zh-CN"/>
        </w:rPr>
        <w:t>装置</w:t>
      </w:r>
      <w:r>
        <w:rPr>
          <w:rFonts w:hint="eastAsia" w:ascii="Times New Roman"/>
          <w:sz w:val="24"/>
          <w:szCs w:val="22"/>
        </w:rPr>
        <w:t>类型以外的新型减震装置，应提供相应的第三方检测报告，且报告检测项目应涵盖新型</w:t>
      </w:r>
      <w:r>
        <w:rPr>
          <w:rFonts w:hint="eastAsia" w:ascii="Times New Roman"/>
          <w:sz w:val="24"/>
          <w:szCs w:val="22"/>
          <w:lang w:eastAsia="zh-CN"/>
        </w:rPr>
        <w:t>装置</w:t>
      </w:r>
      <w:r>
        <w:rPr>
          <w:rFonts w:hint="eastAsia" w:ascii="Times New Roman"/>
          <w:sz w:val="24"/>
          <w:szCs w:val="22"/>
        </w:rPr>
        <w:t>的主要设计参数。</w:t>
      </w:r>
    </w:p>
    <w:p w14:paraId="55589F5F">
      <w:pPr>
        <w:pStyle w:val="174"/>
        <w:spacing w:line="360" w:lineRule="auto"/>
        <w:ind w:firstLine="0" w:firstLineChars="0"/>
        <w:rPr>
          <w:rFonts w:ascii="Times New Roman"/>
        </w:rPr>
      </w:pPr>
      <w:r>
        <w:rPr>
          <w:rFonts w:hint="eastAsia" w:ascii="Times New Roman"/>
          <w:b/>
          <w:bCs/>
          <w:sz w:val="24"/>
          <w:szCs w:val="22"/>
        </w:rPr>
        <w:t xml:space="preserve">5.2.8 </w:t>
      </w:r>
      <w:r>
        <w:rPr>
          <w:rFonts w:hint="eastAsia" w:ascii="Times New Roman"/>
          <w:sz w:val="24"/>
          <w:szCs w:val="22"/>
        </w:rPr>
        <w:t>对于有特殊环境需求的</w:t>
      </w:r>
      <w:r>
        <w:rPr>
          <w:rFonts w:hint="eastAsia" w:ascii="Times New Roman"/>
          <w:sz w:val="24"/>
          <w:szCs w:val="22"/>
          <w:lang w:val="en-US" w:eastAsia="zh-CN"/>
        </w:rPr>
        <w:t>消能减</w:t>
      </w:r>
      <w:r>
        <w:rPr>
          <w:rFonts w:hint="eastAsia" w:ascii="Times New Roman"/>
          <w:sz w:val="24"/>
          <w:szCs w:val="22"/>
        </w:rPr>
        <w:t>震项目，应</w:t>
      </w:r>
      <w:r>
        <w:rPr>
          <w:rFonts w:hint="eastAsia" w:ascii="Times New Roman"/>
          <w:sz w:val="24"/>
          <w:szCs w:val="22"/>
          <w:lang w:val="en-US" w:eastAsia="zh-CN"/>
        </w:rPr>
        <w:t>提供相应的装置</w:t>
      </w:r>
      <w:r>
        <w:rPr>
          <w:rFonts w:hint="eastAsia" w:ascii="Times New Roman"/>
          <w:sz w:val="24"/>
          <w:szCs w:val="22"/>
        </w:rPr>
        <w:t>检测报告</w:t>
      </w:r>
      <w:r>
        <w:rPr>
          <w:rFonts w:hint="eastAsia" w:ascii="Times New Roman"/>
          <w:sz w:val="24"/>
          <w:szCs w:val="22"/>
          <w:lang w:val="en-US" w:eastAsia="zh-CN"/>
        </w:rPr>
        <w:t>或设置相关措施</w:t>
      </w:r>
      <w:r>
        <w:rPr>
          <w:rFonts w:hint="eastAsia" w:ascii="Times New Roman"/>
          <w:sz w:val="24"/>
          <w:szCs w:val="22"/>
        </w:rPr>
        <w:t>。</w:t>
      </w:r>
    </w:p>
    <w:p w14:paraId="5BAACE1A">
      <w:pPr>
        <w:pStyle w:val="174"/>
        <w:spacing w:line="360" w:lineRule="auto"/>
        <w:ind w:left="420" w:hanging="420" w:firstLineChars="0"/>
        <w:jc w:val="center"/>
        <w:outlineLvl w:val="2"/>
        <w:rPr>
          <w:rFonts w:ascii="Times New Roman"/>
          <w:b/>
          <w:bCs/>
          <w:sz w:val="24"/>
          <w:szCs w:val="22"/>
        </w:rPr>
      </w:pPr>
      <w:bookmarkStart w:id="46" w:name="_Toc207375997"/>
      <w:bookmarkStart w:id="47" w:name="_Toc31945"/>
      <w:r>
        <w:rPr>
          <w:rFonts w:hint="eastAsia" w:ascii="Times New Roman"/>
          <w:b/>
          <w:bCs/>
          <w:sz w:val="24"/>
          <w:szCs w:val="22"/>
        </w:rPr>
        <w:t>II 评分项</w:t>
      </w:r>
      <w:bookmarkEnd w:id="46"/>
      <w:bookmarkEnd w:id="47"/>
    </w:p>
    <w:p w14:paraId="45FAEB5E">
      <w:pPr>
        <w:pStyle w:val="174"/>
        <w:spacing w:line="360" w:lineRule="auto"/>
        <w:ind w:firstLine="0" w:firstLineChars="0"/>
        <w:rPr>
          <w:rFonts w:ascii="Times New Roman"/>
          <w:sz w:val="24"/>
          <w:szCs w:val="22"/>
        </w:rPr>
      </w:pPr>
      <w:r>
        <w:rPr>
          <w:rFonts w:hint="eastAsia" w:ascii="Times New Roman"/>
          <w:b/>
          <w:bCs/>
          <w:sz w:val="24"/>
          <w:szCs w:val="22"/>
        </w:rPr>
        <w:t xml:space="preserve">5.2.9 </w:t>
      </w:r>
      <w:r>
        <w:rPr>
          <w:rFonts w:hint="eastAsia" w:ascii="Times New Roman"/>
          <w:sz w:val="24"/>
          <w:szCs w:val="22"/>
          <w:lang w:eastAsia="zh-CN"/>
        </w:rPr>
        <w:t>消能减震装置</w:t>
      </w:r>
      <w:r>
        <w:rPr>
          <w:rFonts w:hint="eastAsia" w:ascii="Times New Roman"/>
          <w:sz w:val="24"/>
          <w:szCs w:val="22"/>
        </w:rPr>
        <w:t>的外观尺寸和检测报告应满足相关标准及设计图纸的要求，评价总分值为50分，应按下列规则分别评分并累计：</w:t>
      </w:r>
    </w:p>
    <w:p w14:paraId="74A3A4F7">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消能减震装置</w:t>
      </w:r>
      <w:r>
        <w:rPr>
          <w:rFonts w:hint="eastAsia" w:ascii="Times New Roman"/>
          <w:sz w:val="24"/>
          <w:szCs w:val="22"/>
        </w:rPr>
        <w:t>沿阻尼力作用主向的长度尺寸偏差不超过±2mm，得10分；不超过±3mm，得8分；</w:t>
      </w:r>
    </w:p>
    <w:p w14:paraId="6DCD3CBC">
      <w:pPr>
        <w:pStyle w:val="174"/>
        <w:spacing w:line="360" w:lineRule="auto"/>
        <w:ind w:firstLine="480"/>
        <w:rPr>
          <w:rFonts w:ascii="Times New Roman"/>
          <w:sz w:val="24"/>
          <w:szCs w:val="22"/>
        </w:rPr>
      </w:pPr>
      <w:r>
        <w:rPr>
          <w:rFonts w:hint="eastAsia" w:ascii="Times New Roman"/>
          <w:sz w:val="24"/>
          <w:szCs w:val="22"/>
        </w:rPr>
        <w:t xml:space="preserve">2 </w:t>
      </w:r>
      <w:r>
        <w:rPr>
          <w:rFonts w:hint="eastAsia" w:ascii="Times New Roman"/>
          <w:sz w:val="24"/>
          <w:szCs w:val="22"/>
          <w:lang w:eastAsia="zh-CN"/>
        </w:rPr>
        <w:t>消能减震装置</w:t>
      </w:r>
      <w:r>
        <w:rPr>
          <w:rFonts w:hint="eastAsia" w:ascii="Times New Roman"/>
          <w:sz w:val="24"/>
          <w:szCs w:val="22"/>
        </w:rPr>
        <w:t>截面有效尺寸的尺寸偏差不超过±1mm，得10分；不超过±2mm，得8分；</w:t>
      </w:r>
    </w:p>
    <w:p w14:paraId="6F818070">
      <w:pPr>
        <w:pStyle w:val="174"/>
        <w:spacing w:line="360" w:lineRule="auto"/>
        <w:ind w:firstLine="480"/>
        <w:rPr>
          <w:rFonts w:ascii="Times New Roman"/>
          <w:sz w:val="24"/>
          <w:szCs w:val="22"/>
        </w:rPr>
      </w:pPr>
      <w:r>
        <w:rPr>
          <w:rFonts w:hint="eastAsia" w:ascii="Times New Roman"/>
          <w:sz w:val="24"/>
          <w:szCs w:val="22"/>
        </w:rPr>
        <w:t xml:space="preserve">3 </w:t>
      </w:r>
      <w:r>
        <w:rPr>
          <w:rFonts w:hint="eastAsia" w:ascii="Times New Roman"/>
          <w:sz w:val="24"/>
          <w:szCs w:val="22"/>
          <w:lang w:eastAsia="zh-CN"/>
        </w:rPr>
        <w:t>消能减震装置</w:t>
      </w:r>
      <w:r>
        <w:rPr>
          <w:rFonts w:hint="eastAsia" w:ascii="Times New Roman"/>
          <w:sz w:val="24"/>
          <w:szCs w:val="22"/>
        </w:rPr>
        <w:t>型式检验报告覆盖项目实际使用</w:t>
      </w:r>
      <w:r>
        <w:rPr>
          <w:rFonts w:hint="eastAsia" w:ascii="Times New Roman"/>
          <w:sz w:val="24"/>
          <w:szCs w:val="22"/>
          <w:lang w:eastAsia="zh-CN"/>
        </w:rPr>
        <w:t>装置</w:t>
      </w:r>
      <w:r>
        <w:rPr>
          <w:rFonts w:hint="eastAsia" w:ascii="Times New Roman"/>
          <w:sz w:val="24"/>
          <w:szCs w:val="22"/>
        </w:rPr>
        <w:t>的主要设计参数，得10分；存在缺项，得0分；</w:t>
      </w:r>
    </w:p>
    <w:p w14:paraId="0DAD4911">
      <w:pPr>
        <w:pStyle w:val="174"/>
        <w:spacing w:line="360" w:lineRule="auto"/>
        <w:ind w:firstLine="480"/>
        <w:rPr>
          <w:rFonts w:hint="default" w:ascii="Times New Roman" w:eastAsia="宋体"/>
          <w:sz w:val="24"/>
          <w:szCs w:val="22"/>
          <w:lang w:val="en-US" w:eastAsia="zh-CN"/>
        </w:rPr>
      </w:pPr>
      <w:r>
        <w:rPr>
          <w:rFonts w:hint="eastAsia" w:ascii="Times New Roman"/>
          <w:sz w:val="24"/>
          <w:szCs w:val="22"/>
        </w:rPr>
        <w:t xml:space="preserve">4 </w:t>
      </w:r>
      <w:r>
        <w:rPr>
          <w:rFonts w:hint="eastAsia" w:ascii="Times New Roman"/>
          <w:sz w:val="24"/>
          <w:szCs w:val="22"/>
          <w:lang w:eastAsia="zh-CN"/>
        </w:rPr>
        <w:t>消能减震装置</w:t>
      </w:r>
      <w:r>
        <w:rPr>
          <w:rFonts w:hint="eastAsia" w:ascii="Times New Roman"/>
          <w:sz w:val="24"/>
          <w:szCs w:val="22"/>
        </w:rPr>
        <w:t>出厂检验报告的检测项覆盖相关标准规定的所有检测项，得10分；仅覆盖必选检测项，得8分；</w:t>
      </w:r>
      <w:r>
        <w:rPr>
          <w:rFonts w:hint="eastAsia" w:ascii="Times New Roman"/>
          <w:sz w:val="24"/>
          <w:szCs w:val="22"/>
          <w:lang w:val="en-US" w:eastAsia="zh-CN"/>
        </w:rPr>
        <w:t>必选检测项存在缺项，得0分；</w:t>
      </w:r>
    </w:p>
    <w:p w14:paraId="2CA57CD1">
      <w:pPr>
        <w:pStyle w:val="174"/>
        <w:spacing w:line="360" w:lineRule="auto"/>
        <w:ind w:firstLine="480"/>
        <w:rPr>
          <w:rFonts w:ascii="Times New Roman"/>
          <w:sz w:val="24"/>
          <w:szCs w:val="22"/>
        </w:rPr>
      </w:pPr>
      <w:r>
        <w:rPr>
          <w:rFonts w:hint="eastAsia" w:ascii="Times New Roman"/>
          <w:sz w:val="24"/>
          <w:szCs w:val="22"/>
        </w:rPr>
        <w:t xml:space="preserve">5 </w:t>
      </w:r>
      <w:r>
        <w:rPr>
          <w:rFonts w:hint="eastAsia" w:ascii="Times New Roman"/>
          <w:sz w:val="24"/>
          <w:szCs w:val="22"/>
          <w:lang w:eastAsia="zh-CN"/>
        </w:rPr>
        <w:t>消能减震装置</w:t>
      </w:r>
      <w:r>
        <w:rPr>
          <w:rFonts w:hint="eastAsia" w:ascii="Times New Roman"/>
          <w:sz w:val="24"/>
          <w:szCs w:val="22"/>
        </w:rPr>
        <w:t>见证检验报告覆盖项目使用所有型号</w:t>
      </w:r>
      <w:r>
        <w:rPr>
          <w:rFonts w:hint="eastAsia" w:ascii="Times New Roman"/>
          <w:sz w:val="24"/>
          <w:szCs w:val="22"/>
          <w:lang w:eastAsia="zh-CN"/>
        </w:rPr>
        <w:t>装置</w:t>
      </w:r>
      <w:r>
        <w:rPr>
          <w:rFonts w:hint="eastAsia" w:ascii="Times New Roman"/>
          <w:sz w:val="24"/>
          <w:szCs w:val="22"/>
        </w:rPr>
        <w:t>及相关标准规定的必选检测项，得10分；存在型号</w:t>
      </w:r>
      <w:r>
        <w:rPr>
          <w:rFonts w:hint="eastAsia" w:ascii="Times New Roman"/>
          <w:sz w:val="24"/>
          <w:szCs w:val="22"/>
          <w:lang w:val="en-US" w:eastAsia="zh-CN"/>
        </w:rPr>
        <w:t>或必选检测项缺项</w:t>
      </w:r>
      <w:r>
        <w:rPr>
          <w:rFonts w:hint="eastAsia" w:ascii="Times New Roman"/>
          <w:sz w:val="24"/>
          <w:szCs w:val="22"/>
        </w:rPr>
        <w:t>，得0分；</w:t>
      </w:r>
    </w:p>
    <w:p w14:paraId="6CAAA123">
      <w:pPr>
        <w:pStyle w:val="174"/>
        <w:spacing w:line="360" w:lineRule="auto"/>
        <w:ind w:firstLine="0" w:firstLineChars="0"/>
        <w:rPr>
          <w:rFonts w:ascii="Times New Roman"/>
          <w:sz w:val="24"/>
          <w:szCs w:val="22"/>
        </w:rPr>
      </w:pPr>
      <w:r>
        <w:rPr>
          <w:rFonts w:hint="eastAsia" w:ascii="Times New Roman"/>
          <w:b/>
          <w:bCs/>
          <w:sz w:val="24"/>
          <w:szCs w:val="22"/>
        </w:rPr>
        <w:t xml:space="preserve">5.2.11 </w:t>
      </w:r>
      <w:r>
        <w:rPr>
          <w:rFonts w:hint="eastAsia" w:ascii="Times New Roman"/>
          <w:sz w:val="24"/>
          <w:szCs w:val="22"/>
        </w:rPr>
        <w:t>金属屈服型阻尼器和屈曲约束支撑力学性能应满足《建筑消能阻尼器》JG/T 209及隔震设计专项图纸的相关要求，评价总分值为150分，应按下列规则分别评分并累计：</w:t>
      </w:r>
    </w:p>
    <w:p w14:paraId="3BFF4A51">
      <w:pPr>
        <w:pStyle w:val="174"/>
        <w:spacing w:line="360" w:lineRule="auto"/>
        <w:ind w:firstLine="480"/>
        <w:rPr>
          <w:rFonts w:ascii="Times New Roman"/>
          <w:sz w:val="24"/>
          <w:szCs w:val="22"/>
        </w:rPr>
      </w:pPr>
      <w:r>
        <w:rPr>
          <w:rFonts w:hint="eastAsia" w:ascii="Times New Roman"/>
          <w:sz w:val="24"/>
          <w:szCs w:val="22"/>
        </w:rPr>
        <w:t>1 屈服承载力偏差均不超过±10%，得30分；部分超过±10%但不超过±15%，得25分；均不超过±15%，得20分；</w:t>
      </w:r>
    </w:p>
    <w:p w14:paraId="1853FFB9">
      <w:pPr>
        <w:pStyle w:val="174"/>
        <w:spacing w:line="360" w:lineRule="auto"/>
        <w:ind w:firstLine="480"/>
        <w:rPr>
          <w:rFonts w:ascii="Times New Roman"/>
          <w:sz w:val="24"/>
          <w:szCs w:val="22"/>
        </w:rPr>
      </w:pPr>
      <w:r>
        <w:rPr>
          <w:rFonts w:hint="eastAsia" w:ascii="Times New Roman"/>
          <w:sz w:val="24"/>
          <w:szCs w:val="22"/>
        </w:rPr>
        <w:t>2 屈服位移偏差均不超过±10%，得30分；部分超过±10%但不超过±15%，得25分；均不超过±15%，得20分；</w:t>
      </w:r>
    </w:p>
    <w:p w14:paraId="7FE5255D">
      <w:pPr>
        <w:pStyle w:val="174"/>
        <w:spacing w:line="360" w:lineRule="auto"/>
        <w:ind w:firstLine="480"/>
        <w:rPr>
          <w:rFonts w:ascii="Times New Roman"/>
          <w:sz w:val="24"/>
          <w:szCs w:val="22"/>
        </w:rPr>
      </w:pPr>
      <w:r>
        <w:rPr>
          <w:rFonts w:hint="eastAsia" w:ascii="Times New Roman"/>
          <w:sz w:val="24"/>
          <w:szCs w:val="22"/>
        </w:rPr>
        <w:t>3 弹性刚度偏差均不超过±10%，得20分；部分超过±10%但不超过±15%，得15分；均不超过±15%，得10分；</w:t>
      </w:r>
    </w:p>
    <w:p w14:paraId="5F51BB40">
      <w:pPr>
        <w:pStyle w:val="174"/>
        <w:spacing w:line="360" w:lineRule="auto"/>
        <w:ind w:firstLine="480"/>
        <w:rPr>
          <w:rFonts w:ascii="Times New Roman"/>
          <w:sz w:val="24"/>
          <w:szCs w:val="22"/>
        </w:rPr>
      </w:pPr>
      <w:r>
        <w:rPr>
          <w:rFonts w:hint="eastAsia" w:ascii="Times New Roman"/>
          <w:sz w:val="24"/>
          <w:szCs w:val="22"/>
        </w:rPr>
        <w:t>4 最大承载力偏差均不超过±10%，得20分；部分超过±10%但不超过±15%，得15分；均不超过±15%，得10分；</w:t>
      </w:r>
    </w:p>
    <w:p w14:paraId="186760B0">
      <w:pPr>
        <w:pStyle w:val="174"/>
        <w:spacing w:line="360" w:lineRule="auto"/>
        <w:ind w:firstLine="480"/>
        <w:rPr>
          <w:rFonts w:ascii="Times New Roman"/>
          <w:sz w:val="24"/>
          <w:szCs w:val="22"/>
        </w:rPr>
      </w:pPr>
      <w:r>
        <w:rPr>
          <w:rFonts w:hint="eastAsia" w:ascii="Times New Roman"/>
          <w:sz w:val="24"/>
          <w:szCs w:val="22"/>
        </w:rPr>
        <w:t>5 第2刚度偏差均不超过±10%，得20分；部分超过±10%但不超过±15%，得15分；均不超过±15%，得10分；</w:t>
      </w:r>
    </w:p>
    <w:p w14:paraId="15EA9186">
      <w:pPr>
        <w:pStyle w:val="174"/>
        <w:spacing w:line="360" w:lineRule="auto"/>
        <w:ind w:firstLine="480"/>
        <w:rPr>
          <w:rFonts w:ascii="Times New Roman"/>
          <w:sz w:val="24"/>
          <w:szCs w:val="22"/>
        </w:rPr>
      </w:pPr>
      <w:r>
        <w:rPr>
          <w:rFonts w:hint="eastAsia" w:ascii="Times New Roman"/>
          <w:sz w:val="24"/>
          <w:szCs w:val="22"/>
        </w:rPr>
        <w:t>6 滞回曲线包络面积偏差均不超过±10%，得20分；部分超过±10%但不超过±15%，得15分；均不超过±15%，得10分；</w:t>
      </w:r>
    </w:p>
    <w:p w14:paraId="3A546A4D">
      <w:pPr>
        <w:pStyle w:val="174"/>
        <w:spacing w:line="360" w:lineRule="auto"/>
        <w:ind w:firstLine="480"/>
        <w:rPr>
          <w:rFonts w:ascii="Times New Roman"/>
          <w:sz w:val="24"/>
          <w:szCs w:val="22"/>
        </w:rPr>
      </w:pPr>
      <w:r>
        <w:rPr>
          <w:rFonts w:hint="eastAsia" w:ascii="Times New Roman"/>
          <w:sz w:val="24"/>
          <w:szCs w:val="22"/>
        </w:rPr>
        <w:t>7 荷载-位移检测曲线光滑饱满且无异常，得10分；曲线存在异常，得0分。</w:t>
      </w:r>
    </w:p>
    <w:p w14:paraId="49B65DAD">
      <w:pPr>
        <w:pStyle w:val="174"/>
        <w:spacing w:line="360" w:lineRule="auto"/>
        <w:ind w:firstLine="0" w:firstLineChars="0"/>
        <w:rPr>
          <w:rFonts w:ascii="Times New Roman"/>
          <w:sz w:val="24"/>
          <w:szCs w:val="22"/>
        </w:rPr>
      </w:pPr>
      <w:r>
        <w:rPr>
          <w:rFonts w:hint="eastAsia" w:ascii="Times New Roman"/>
          <w:b/>
          <w:bCs/>
          <w:sz w:val="24"/>
          <w:szCs w:val="22"/>
        </w:rPr>
        <w:t xml:space="preserve">5.2.12 </w:t>
      </w:r>
      <w:r>
        <w:rPr>
          <w:rFonts w:hint="eastAsia" w:ascii="Times New Roman"/>
          <w:sz w:val="24"/>
          <w:szCs w:val="22"/>
        </w:rPr>
        <w:t>摩擦阻尼器力学性能应满足《建筑消能减震技术规程》JGJ 297及隔震设计专项图纸的相关要求，评价总分值为150分，应按下列规则分别评分并累计：</w:t>
      </w:r>
    </w:p>
    <w:p w14:paraId="6BBB8162">
      <w:pPr>
        <w:pStyle w:val="174"/>
        <w:spacing w:line="360" w:lineRule="auto"/>
        <w:ind w:firstLine="480"/>
        <w:rPr>
          <w:rFonts w:ascii="Times New Roman"/>
          <w:sz w:val="24"/>
          <w:szCs w:val="22"/>
        </w:rPr>
      </w:pPr>
      <w:r>
        <w:rPr>
          <w:rFonts w:hint="eastAsia" w:ascii="Times New Roman"/>
          <w:sz w:val="24"/>
          <w:szCs w:val="22"/>
        </w:rPr>
        <w:t>1 起滑阻尼力偏差均不超过±10%，得30分；部分超过±10%但不超过±15%，得25分；均不超过±15%，得20分；</w:t>
      </w:r>
    </w:p>
    <w:p w14:paraId="17B58548">
      <w:pPr>
        <w:pStyle w:val="174"/>
        <w:spacing w:line="360" w:lineRule="auto"/>
        <w:ind w:firstLine="480"/>
        <w:rPr>
          <w:rFonts w:ascii="Times New Roman"/>
          <w:sz w:val="24"/>
          <w:szCs w:val="22"/>
        </w:rPr>
      </w:pPr>
      <w:r>
        <w:rPr>
          <w:rFonts w:hint="eastAsia" w:ascii="Times New Roman"/>
          <w:sz w:val="24"/>
          <w:szCs w:val="22"/>
        </w:rPr>
        <w:t>2 起滑位移偏差均不超过±10%，得30分；部分超过±10%但不超过±15%，得25分；均不超过±15%，得20分；</w:t>
      </w:r>
    </w:p>
    <w:p w14:paraId="0E062EF6">
      <w:pPr>
        <w:pStyle w:val="174"/>
        <w:spacing w:line="360" w:lineRule="auto"/>
        <w:ind w:firstLine="480"/>
        <w:rPr>
          <w:rFonts w:ascii="Times New Roman"/>
          <w:sz w:val="24"/>
          <w:szCs w:val="22"/>
        </w:rPr>
      </w:pPr>
      <w:r>
        <w:rPr>
          <w:rFonts w:hint="eastAsia" w:ascii="Times New Roman"/>
          <w:sz w:val="24"/>
          <w:szCs w:val="22"/>
        </w:rPr>
        <w:t>3 初始刚度偏差均不超过±10%，得30分；部分超过±10%但不超过±15%，得25分；均不超过±15%，得20分；</w:t>
      </w:r>
    </w:p>
    <w:p w14:paraId="261095E7">
      <w:pPr>
        <w:pStyle w:val="174"/>
        <w:spacing w:line="360" w:lineRule="auto"/>
        <w:ind w:firstLine="480"/>
        <w:rPr>
          <w:rFonts w:ascii="Times New Roman"/>
          <w:sz w:val="24"/>
          <w:szCs w:val="22"/>
        </w:rPr>
      </w:pPr>
      <w:r>
        <w:rPr>
          <w:rFonts w:hint="eastAsia" w:ascii="Times New Roman"/>
          <w:sz w:val="24"/>
          <w:szCs w:val="22"/>
        </w:rPr>
        <w:t>4 极限荷载偏差均不超过±10%，得30分；部分超过±10%但不超过±15%，得25分；均不超过±15%，得20分；</w:t>
      </w:r>
    </w:p>
    <w:p w14:paraId="548EAABA">
      <w:pPr>
        <w:pStyle w:val="174"/>
        <w:spacing w:line="360" w:lineRule="auto"/>
        <w:ind w:firstLine="480"/>
        <w:rPr>
          <w:rFonts w:ascii="Times New Roman"/>
          <w:sz w:val="24"/>
          <w:szCs w:val="22"/>
        </w:rPr>
      </w:pPr>
      <w:r>
        <w:rPr>
          <w:rFonts w:hint="eastAsia" w:ascii="Times New Roman"/>
          <w:sz w:val="24"/>
          <w:szCs w:val="22"/>
        </w:rPr>
        <w:t>5 滞回曲线包络面积偏差均不超过±10%，得20分；部分超过±10%但不超过±15%，得15分；均不超过±15%，得10分；</w:t>
      </w:r>
    </w:p>
    <w:p w14:paraId="5F0A0314">
      <w:pPr>
        <w:pStyle w:val="174"/>
        <w:spacing w:line="360" w:lineRule="auto"/>
        <w:ind w:firstLine="480"/>
        <w:rPr>
          <w:rFonts w:ascii="Times New Roman"/>
          <w:sz w:val="24"/>
          <w:szCs w:val="22"/>
        </w:rPr>
      </w:pPr>
      <w:r>
        <w:rPr>
          <w:rFonts w:hint="eastAsia" w:ascii="Times New Roman"/>
          <w:sz w:val="24"/>
          <w:szCs w:val="22"/>
        </w:rPr>
        <w:t>6 荷载-位移检测曲线光滑饱满且无异常，得10分；曲线存在异常，得0分。</w:t>
      </w:r>
    </w:p>
    <w:p w14:paraId="1E1041BB">
      <w:pPr>
        <w:pStyle w:val="174"/>
        <w:spacing w:line="360" w:lineRule="auto"/>
        <w:ind w:firstLine="0" w:firstLineChars="0"/>
        <w:rPr>
          <w:rFonts w:ascii="Times New Roman"/>
          <w:sz w:val="24"/>
          <w:szCs w:val="22"/>
        </w:rPr>
      </w:pPr>
      <w:r>
        <w:rPr>
          <w:rFonts w:hint="eastAsia" w:ascii="Times New Roman"/>
          <w:b/>
          <w:bCs/>
          <w:sz w:val="24"/>
          <w:szCs w:val="22"/>
        </w:rPr>
        <w:t>5.2.13</w:t>
      </w:r>
      <w:r>
        <w:rPr>
          <w:rFonts w:hint="eastAsia" w:ascii="Times New Roman"/>
          <w:sz w:val="24"/>
          <w:szCs w:val="22"/>
        </w:rPr>
        <w:t xml:space="preserve"> 黏滞阻尼器力学性能应满足《建筑消能阻尼器》JG/T 209及隔震设计专项图纸的相关要求，评价总分值为150分，应按下列规则分别评分并累计：</w:t>
      </w:r>
    </w:p>
    <w:p w14:paraId="5E7CF670">
      <w:pPr>
        <w:pStyle w:val="174"/>
        <w:spacing w:line="360" w:lineRule="auto"/>
        <w:ind w:firstLine="480"/>
        <w:rPr>
          <w:rFonts w:ascii="Times New Roman"/>
          <w:sz w:val="24"/>
          <w:szCs w:val="22"/>
        </w:rPr>
      </w:pPr>
      <w:r>
        <w:rPr>
          <w:rFonts w:hint="eastAsia" w:ascii="Times New Roman"/>
          <w:sz w:val="24"/>
          <w:szCs w:val="22"/>
        </w:rPr>
        <w:t>1 极限位移均不低于最低限值的110%，得30分；部分</w:t>
      </w:r>
      <w:r>
        <w:rPr>
          <w:rFonts w:hint="eastAsia" w:ascii="Times New Roman"/>
          <w:sz w:val="24"/>
          <w:szCs w:val="22"/>
          <w:highlight w:val="none"/>
          <w:lang w:eastAsia="zh-CN"/>
        </w:rPr>
        <w:t>装置</w:t>
      </w:r>
      <w:r>
        <w:rPr>
          <w:rFonts w:hint="eastAsia" w:ascii="Times New Roman"/>
          <w:sz w:val="24"/>
          <w:szCs w:val="22"/>
        </w:rPr>
        <w:t>低于110%但不低于100%，得25分；均不低于100%，得20分；</w:t>
      </w:r>
    </w:p>
    <w:p w14:paraId="22EC4D47">
      <w:pPr>
        <w:pStyle w:val="174"/>
        <w:spacing w:line="360" w:lineRule="auto"/>
        <w:ind w:firstLine="480"/>
        <w:rPr>
          <w:rFonts w:ascii="Times New Roman"/>
          <w:sz w:val="24"/>
          <w:szCs w:val="22"/>
        </w:rPr>
      </w:pPr>
      <w:r>
        <w:rPr>
          <w:rFonts w:hint="eastAsia" w:ascii="Times New Roman"/>
          <w:sz w:val="24"/>
          <w:szCs w:val="22"/>
        </w:rPr>
        <w:t>2 最大阻尼力偏差均不超过±10%，得30分；部分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6A85B52F">
      <w:pPr>
        <w:pStyle w:val="174"/>
        <w:spacing w:line="360" w:lineRule="auto"/>
        <w:ind w:firstLine="480"/>
        <w:rPr>
          <w:rFonts w:ascii="Times New Roman"/>
          <w:sz w:val="24"/>
          <w:szCs w:val="22"/>
        </w:rPr>
      </w:pPr>
      <w:r>
        <w:rPr>
          <w:rFonts w:hint="eastAsia" w:ascii="Times New Roman"/>
          <w:sz w:val="24"/>
          <w:szCs w:val="22"/>
        </w:rPr>
        <w:t>3 阻尼系数偏差均不超过±10%，得30分；部分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29EF9C8A">
      <w:pPr>
        <w:pStyle w:val="174"/>
        <w:spacing w:line="360" w:lineRule="auto"/>
        <w:ind w:firstLine="480"/>
        <w:rPr>
          <w:rFonts w:ascii="Times New Roman"/>
          <w:sz w:val="24"/>
          <w:szCs w:val="22"/>
        </w:rPr>
      </w:pPr>
      <w:r>
        <w:rPr>
          <w:rFonts w:hint="eastAsia" w:ascii="Times New Roman"/>
          <w:sz w:val="24"/>
          <w:szCs w:val="22"/>
        </w:rPr>
        <w:t>4 阻尼指数偏差均不超过±10%，得30分；部分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08B0247B">
      <w:pPr>
        <w:pStyle w:val="174"/>
        <w:spacing w:line="360" w:lineRule="auto"/>
        <w:ind w:firstLine="480"/>
        <w:rPr>
          <w:rFonts w:ascii="Times New Roman"/>
          <w:sz w:val="24"/>
          <w:szCs w:val="22"/>
        </w:rPr>
      </w:pPr>
      <w:r>
        <w:rPr>
          <w:rFonts w:hint="eastAsia" w:ascii="Times New Roman"/>
          <w:sz w:val="24"/>
          <w:szCs w:val="22"/>
        </w:rPr>
        <w:t>5 滞回曲线包络面积偏差均不超过±10%，得20分；部分</w:t>
      </w:r>
      <w:r>
        <w:rPr>
          <w:rFonts w:hint="eastAsia" w:ascii="Times New Roman"/>
          <w:sz w:val="24"/>
          <w:szCs w:val="22"/>
          <w:lang w:eastAsia="zh-CN"/>
        </w:rPr>
        <w:t>装置</w:t>
      </w:r>
      <w:r>
        <w:rPr>
          <w:rFonts w:hint="eastAsia" w:ascii="Times New Roman"/>
          <w:sz w:val="24"/>
          <w:szCs w:val="22"/>
        </w:rPr>
        <w:t>超过±10%但不超过±15%，得15分；均不超过±15%，得10分；</w:t>
      </w:r>
    </w:p>
    <w:p w14:paraId="0ED3572B">
      <w:pPr>
        <w:pStyle w:val="174"/>
        <w:spacing w:line="360" w:lineRule="auto"/>
        <w:ind w:firstLine="480"/>
        <w:rPr>
          <w:rFonts w:ascii="Times New Roman"/>
          <w:sz w:val="24"/>
          <w:szCs w:val="22"/>
        </w:rPr>
      </w:pPr>
      <w:r>
        <w:rPr>
          <w:rFonts w:hint="eastAsia" w:ascii="Times New Roman"/>
          <w:sz w:val="24"/>
          <w:szCs w:val="22"/>
        </w:rPr>
        <w:t>6 黏滞阻尼器的荷载-位移检测曲线光滑饱满且无异常，得10分；曲线存在异常，得0分。</w:t>
      </w:r>
    </w:p>
    <w:p w14:paraId="62DAE34B">
      <w:pPr>
        <w:pStyle w:val="174"/>
        <w:spacing w:line="360" w:lineRule="auto"/>
        <w:ind w:firstLine="0" w:firstLineChars="0"/>
        <w:rPr>
          <w:rFonts w:ascii="Times New Roman"/>
          <w:sz w:val="24"/>
          <w:szCs w:val="22"/>
        </w:rPr>
      </w:pPr>
      <w:r>
        <w:rPr>
          <w:rFonts w:hint="eastAsia" w:ascii="Times New Roman"/>
          <w:b/>
          <w:bCs/>
          <w:sz w:val="24"/>
          <w:szCs w:val="22"/>
        </w:rPr>
        <w:t xml:space="preserve">5.2.14 </w:t>
      </w:r>
      <w:r>
        <w:rPr>
          <w:rFonts w:hint="eastAsia" w:ascii="Times New Roman"/>
          <w:sz w:val="24"/>
          <w:szCs w:val="22"/>
        </w:rPr>
        <w:t>黏弹性阻尼器性能应满足《建筑消能阻尼器》JG/T 209及隔震设计专项图纸的相关要求，评价总分值为150分，应按下列规则分别评分并累计</w:t>
      </w:r>
    </w:p>
    <w:p w14:paraId="704ED0CE">
      <w:pPr>
        <w:pStyle w:val="174"/>
        <w:spacing w:line="360" w:lineRule="auto"/>
        <w:ind w:firstLine="480"/>
        <w:rPr>
          <w:rFonts w:ascii="Times New Roman"/>
          <w:sz w:val="24"/>
          <w:szCs w:val="22"/>
        </w:rPr>
      </w:pPr>
      <w:r>
        <w:rPr>
          <w:rFonts w:hint="eastAsia" w:ascii="Times New Roman"/>
          <w:sz w:val="24"/>
          <w:szCs w:val="22"/>
        </w:rPr>
        <w:t>1 表观剪应变极限值偏差均不超过±10%，得30分；部分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7ACB7083">
      <w:pPr>
        <w:pStyle w:val="174"/>
        <w:spacing w:line="360" w:lineRule="auto"/>
        <w:ind w:firstLine="480"/>
        <w:rPr>
          <w:rFonts w:ascii="Times New Roman"/>
          <w:sz w:val="24"/>
          <w:szCs w:val="22"/>
        </w:rPr>
      </w:pPr>
      <w:r>
        <w:rPr>
          <w:rFonts w:hint="eastAsia" w:ascii="Times New Roman"/>
          <w:sz w:val="24"/>
          <w:szCs w:val="22"/>
        </w:rPr>
        <w:t>2 最大阻尼力偏差均不超过±10%，得30分；部分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5075DEBD">
      <w:pPr>
        <w:pStyle w:val="174"/>
        <w:spacing w:line="360" w:lineRule="auto"/>
        <w:ind w:firstLine="480"/>
        <w:rPr>
          <w:rFonts w:ascii="Times New Roman"/>
          <w:sz w:val="24"/>
          <w:szCs w:val="22"/>
        </w:rPr>
      </w:pPr>
      <w:r>
        <w:rPr>
          <w:rFonts w:hint="eastAsia" w:ascii="Times New Roman"/>
          <w:sz w:val="24"/>
          <w:szCs w:val="22"/>
        </w:rPr>
        <w:t>3 表观剪切模量偏差均不超过±10%，得30分；部分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32E3D0DB">
      <w:pPr>
        <w:pStyle w:val="174"/>
        <w:spacing w:line="360" w:lineRule="auto"/>
        <w:ind w:firstLine="480"/>
        <w:rPr>
          <w:rFonts w:ascii="Times New Roman"/>
          <w:sz w:val="24"/>
          <w:szCs w:val="22"/>
        </w:rPr>
      </w:pPr>
      <w:r>
        <w:rPr>
          <w:rFonts w:hint="eastAsia" w:ascii="Times New Roman"/>
          <w:sz w:val="24"/>
          <w:szCs w:val="22"/>
        </w:rPr>
        <w:t>4 损耗因子偏差均不超过±10%，得30分；部分</w:t>
      </w:r>
      <w:r>
        <w:rPr>
          <w:rFonts w:hint="eastAsia" w:ascii="Times New Roman"/>
          <w:sz w:val="24"/>
          <w:szCs w:val="22"/>
          <w:lang w:eastAsia="zh-CN"/>
        </w:rPr>
        <w:t>装置</w:t>
      </w:r>
      <w:r>
        <w:rPr>
          <w:rFonts w:hint="eastAsia" w:ascii="Times New Roman"/>
          <w:sz w:val="24"/>
          <w:szCs w:val="22"/>
        </w:rPr>
        <w:t>超过±10%但不超过±15%，得25分；均不超过±15%，得20分；</w:t>
      </w:r>
    </w:p>
    <w:p w14:paraId="306366D0">
      <w:pPr>
        <w:pStyle w:val="174"/>
        <w:spacing w:line="360" w:lineRule="auto"/>
        <w:ind w:firstLine="480"/>
        <w:rPr>
          <w:rFonts w:ascii="Times New Roman"/>
          <w:sz w:val="24"/>
          <w:szCs w:val="22"/>
        </w:rPr>
      </w:pPr>
      <w:r>
        <w:rPr>
          <w:rFonts w:hint="eastAsia" w:ascii="Times New Roman"/>
          <w:sz w:val="24"/>
          <w:szCs w:val="22"/>
        </w:rPr>
        <w:t>5 滞回曲线包络面积偏差均不超过±10%，得20分；部分</w:t>
      </w:r>
      <w:r>
        <w:rPr>
          <w:rFonts w:hint="eastAsia" w:ascii="Times New Roman"/>
          <w:sz w:val="24"/>
          <w:szCs w:val="22"/>
          <w:lang w:eastAsia="zh-CN"/>
        </w:rPr>
        <w:t>装置</w:t>
      </w:r>
      <w:r>
        <w:rPr>
          <w:rFonts w:hint="eastAsia" w:ascii="Times New Roman"/>
          <w:sz w:val="24"/>
          <w:szCs w:val="22"/>
        </w:rPr>
        <w:t>超过±10%但不超过±15%，得15分；均不超过±15%，得10分；</w:t>
      </w:r>
    </w:p>
    <w:p w14:paraId="6B12C2BD">
      <w:pPr>
        <w:pStyle w:val="174"/>
        <w:spacing w:line="360" w:lineRule="auto"/>
        <w:ind w:firstLine="480"/>
        <w:rPr>
          <w:rFonts w:ascii="Times New Roman"/>
        </w:rPr>
      </w:pPr>
      <w:r>
        <w:rPr>
          <w:rFonts w:hint="eastAsia" w:ascii="Times New Roman"/>
          <w:sz w:val="24"/>
          <w:szCs w:val="22"/>
        </w:rPr>
        <w:t>6 黏弹性阻尼器的荷载-位移检测曲线光滑饱满且无异常，得10分；曲线存在异常，得0分。</w:t>
      </w:r>
    </w:p>
    <w:p w14:paraId="440CC634">
      <w:pPr>
        <w:widowControl/>
        <w:spacing w:line="360" w:lineRule="auto"/>
        <w:outlineLvl w:val="0"/>
        <w:rPr>
          <w:rFonts w:eastAsia="黑体"/>
          <w:kern w:val="0"/>
          <w:szCs w:val="20"/>
        </w:rPr>
        <w:sectPr>
          <w:pgSz w:w="11906" w:h="16838"/>
          <w:pgMar w:top="1440" w:right="1800" w:bottom="1440" w:left="1800" w:header="1418" w:footer="1134" w:gutter="0"/>
          <w:cols w:space="425" w:num="1"/>
          <w:formProt w:val="0"/>
          <w:docGrid w:type="lines" w:linePitch="312" w:charSpace="0"/>
        </w:sectPr>
      </w:pPr>
    </w:p>
    <w:p w14:paraId="49C5B21D">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bookmarkStart w:id="48" w:name="_Toc207375998"/>
      <w:bookmarkStart w:id="49" w:name="_Toc8712"/>
      <w:r>
        <w:rPr>
          <w:rFonts w:hint="eastAsia" w:ascii="Times New Roman" w:hAnsi="Times New Roman" w:cs="Times New Roman"/>
          <w:b/>
          <w:bCs/>
          <w:sz w:val="30"/>
          <w:szCs w:val="30"/>
        </w:rPr>
        <w:t>隔减震</w:t>
      </w:r>
      <w:bookmarkEnd w:id="48"/>
      <w:r>
        <w:rPr>
          <w:rFonts w:hint="eastAsia" w:ascii="Times New Roman" w:hAnsi="Times New Roman" w:cs="Times New Roman"/>
          <w:b/>
          <w:bCs/>
          <w:sz w:val="30"/>
          <w:szCs w:val="30"/>
          <w:lang w:val="en-US" w:eastAsia="zh-CN"/>
        </w:rPr>
        <w:t>专项施工</w:t>
      </w:r>
      <w:bookmarkEnd w:id="49"/>
    </w:p>
    <w:p w14:paraId="404EDA47">
      <w:pPr>
        <w:pStyle w:val="174"/>
        <w:spacing w:before="156" w:beforeLines="50" w:after="156" w:afterLines="50" w:line="360" w:lineRule="auto"/>
        <w:ind w:firstLine="0" w:firstLineChars="0"/>
        <w:jc w:val="center"/>
        <w:outlineLvl w:val="1"/>
        <w:rPr>
          <w:rFonts w:ascii="Times New Roman"/>
          <w:b/>
          <w:bCs/>
          <w:sz w:val="28"/>
          <w:szCs w:val="28"/>
        </w:rPr>
      </w:pPr>
      <w:bookmarkStart w:id="50" w:name="_Toc207375999"/>
      <w:bookmarkStart w:id="51" w:name="_Toc17852"/>
      <w:r>
        <w:rPr>
          <w:rFonts w:hint="eastAsia" w:ascii="Times New Roman"/>
          <w:b/>
          <w:bCs/>
          <w:sz w:val="28"/>
          <w:szCs w:val="28"/>
        </w:rPr>
        <w:t>6.1 隔震施工</w:t>
      </w:r>
      <w:bookmarkEnd w:id="50"/>
      <w:bookmarkEnd w:id="51"/>
    </w:p>
    <w:p w14:paraId="2C18A42B">
      <w:pPr>
        <w:pStyle w:val="174"/>
        <w:spacing w:line="360" w:lineRule="auto"/>
        <w:ind w:left="420" w:hanging="420" w:firstLineChars="0"/>
        <w:jc w:val="center"/>
        <w:outlineLvl w:val="2"/>
        <w:rPr>
          <w:rFonts w:ascii="Times New Roman"/>
          <w:b/>
          <w:bCs/>
          <w:sz w:val="24"/>
          <w:szCs w:val="22"/>
        </w:rPr>
      </w:pPr>
      <w:bookmarkStart w:id="52" w:name="_Toc29369"/>
      <w:bookmarkStart w:id="53" w:name="_Toc207376000"/>
      <w:r>
        <w:rPr>
          <w:rFonts w:hint="eastAsia" w:ascii="Times New Roman"/>
          <w:b/>
          <w:bCs/>
          <w:sz w:val="24"/>
          <w:szCs w:val="22"/>
        </w:rPr>
        <w:t>I 控制项</w:t>
      </w:r>
      <w:bookmarkEnd w:id="52"/>
      <w:bookmarkEnd w:id="53"/>
    </w:p>
    <w:p w14:paraId="1A222519">
      <w:pPr>
        <w:pStyle w:val="174"/>
        <w:spacing w:line="360" w:lineRule="auto"/>
        <w:ind w:firstLine="0" w:firstLineChars="0"/>
        <w:rPr>
          <w:rFonts w:ascii="Times New Roman"/>
          <w:sz w:val="24"/>
          <w:szCs w:val="22"/>
        </w:rPr>
      </w:pPr>
      <w:r>
        <w:rPr>
          <w:rFonts w:hint="eastAsia" w:ascii="Times New Roman"/>
          <w:b/>
          <w:bCs/>
          <w:sz w:val="24"/>
          <w:szCs w:val="22"/>
        </w:rPr>
        <w:t xml:space="preserve">6.1.1 </w:t>
      </w:r>
      <w:r>
        <w:rPr>
          <w:rFonts w:hint="eastAsia" w:ascii="Times New Roman"/>
          <w:sz w:val="24"/>
          <w:szCs w:val="22"/>
        </w:rPr>
        <w:t>隔震层施工前应编制经设计单位、监理单位审批后的隔震施工专项方案，明确</w:t>
      </w:r>
      <w:r>
        <w:rPr>
          <w:rFonts w:hint="eastAsia" w:ascii="Times New Roman"/>
          <w:sz w:val="24"/>
          <w:szCs w:val="22"/>
          <w:lang w:eastAsia="zh-CN"/>
        </w:rPr>
        <w:t>隔震装置</w:t>
      </w:r>
      <w:r>
        <w:rPr>
          <w:rFonts w:hint="eastAsia" w:ascii="Times New Roman"/>
          <w:sz w:val="24"/>
          <w:szCs w:val="22"/>
        </w:rPr>
        <w:t>安装流程、安装精度、临时支撑措施等关键内容。</w:t>
      </w:r>
    </w:p>
    <w:p w14:paraId="07B463B1">
      <w:pPr>
        <w:pStyle w:val="174"/>
        <w:spacing w:line="360" w:lineRule="auto"/>
        <w:ind w:firstLine="0" w:firstLineChars="0"/>
        <w:rPr>
          <w:rFonts w:ascii="Times New Roman"/>
          <w:sz w:val="24"/>
          <w:szCs w:val="22"/>
        </w:rPr>
      </w:pPr>
      <w:r>
        <w:rPr>
          <w:rFonts w:hint="eastAsia" w:ascii="Times New Roman"/>
          <w:b/>
          <w:bCs/>
          <w:sz w:val="24"/>
          <w:szCs w:val="22"/>
        </w:rPr>
        <w:t xml:space="preserve">6.1.2 </w:t>
      </w:r>
      <w:r>
        <w:rPr>
          <w:rFonts w:hint="eastAsia" w:ascii="Times New Roman"/>
          <w:sz w:val="24"/>
          <w:szCs w:val="22"/>
          <w:lang w:eastAsia="zh-CN"/>
        </w:rPr>
        <w:t>隔震装置</w:t>
      </w:r>
      <w:r>
        <w:rPr>
          <w:rFonts w:hint="eastAsia" w:ascii="Times New Roman"/>
          <w:sz w:val="24"/>
          <w:szCs w:val="22"/>
        </w:rPr>
        <w:t>安装前，应严格核对</w:t>
      </w:r>
      <w:r>
        <w:rPr>
          <w:rFonts w:hint="eastAsia" w:ascii="Times New Roman"/>
          <w:sz w:val="24"/>
          <w:szCs w:val="22"/>
          <w:lang w:eastAsia="zh-CN"/>
        </w:rPr>
        <w:t>装置</w:t>
      </w:r>
      <w:r>
        <w:rPr>
          <w:rFonts w:hint="eastAsia" w:ascii="Times New Roman"/>
          <w:sz w:val="24"/>
          <w:szCs w:val="22"/>
        </w:rPr>
        <w:t>的出厂合格证、出场检验报告、第三方抽检报告，保证</w:t>
      </w:r>
      <w:r>
        <w:rPr>
          <w:rFonts w:hint="eastAsia" w:ascii="Times New Roman"/>
          <w:sz w:val="24"/>
          <w:szCs w:val="22"/>
          <w:lang w:eastAsia="zh-CN"/>
        </w:rPr>
        <w:t>装置</w:t>
      </w:r>
      <w:r>
        <w:rPr>
          <w:rFonts w:hint="eastAsia" w:ascii="Times New Roman"/>
          <w:sz w:val="24"/>
          <w:szCs w:val="22"/>
        </w:rPr>
        <w:t>实际性能与设计文件一致。</w:t>
      </w:r>
    </w:p>
    <w:p w14:paraId="5404691B">
      <w:pPr>
        <w:pStyle w:val="174"/>
        <w:spacing w:line="360" w:lineRule="auto"/>
        <w:ind w:firstLine="0" w:firstLineChars="0"/>
        <w:rPr>
          <w:rFonts w:ascii="Times New Roman"/>
          <w:sz w:val="24"/>
          <w:szCs w:val="22"/>
        </w:rPr>
      </w:pPr>
      <w:r>
        <w:rPr>
          <w:rFonts w:hint="eastAsia" w:ascii="Times New Roman"/>
          <w:b/>
          <w:bCs/>
          <w:sz w:val="24"/>
          <w:szCs w:val="22"/>
        </w:rPr>
        <w:t xml:space="preserve">6.1.3 </w:t>
      </w:r>
      <w:r>
        <w:rPr>
          <w:rFonts w:hint="eastAsia" w:ascii="Times New Roman"/>
          <w:sz w:val="24"/>
          <w:szCs w:val="22"/>
        </w:rPr>
        <w:t>隔震层顶板应有足够的平面内水平刚度，可采用现浇钢筋混凝土板或整体装配式混凝土板，顶板板厚和配筋应满足《建筑隔震设计标准》GB/T 51408等国家标准、图集及</w:t>
      </w:r>
      <w:r>
        <w:rPr>
          <w:rFonts w:hint="eastAsia" w:ascii="Times New Roman"/>
          <w:sz w:val="24"/>
          <w:szCs w:val="22"/>
          <w:lang w:val="en-US" w:eastAsia="zh-CN"/>
        </w:rPr>
        <w:t>行业</w:t>
      </w:r>
      <w:r>
        <w:rPr>
          <w:rFonts w:hint="eastAsia" w:ascii="Times New Roman"/>
          <w:sz w:val="24"/>
          <w:szCs w:val="22"/>
        </w:rPr>
        <w:t>标准的相关要求。</w:t>
      </w:r>
    </w:p>
    <w:p w14:paraId="71A2CB06">
      <w:pPr>
        <w:pStyle w:val="174"/>
        <w:spacing w:line="360" w:lineRule="auto"/>
        <w:ind w:firstLine="0" w:firstLineChars="0"/>
        <w:rPr>
          <w:rFonts w:ascii="Times New Roman"/>
          <w:sz w:val="24"/>
          <w:szCs w:val="22"/>
        </w:rPr>
      </w:pPr>
      <w:r>
        <w:rPr>
          <w:rFonts w:hint="eastAsia" w:ascii="Times New Roman"/>
          <w:b/>
          <w:bCs/>
          <w:sz w:val="24"/>
          <w:szCs w:val="22"/>
        </w:rPr>
        <w:t xml:space="preserve">6.1.4 </w:t>
      </w:r>
      <w:r>
        <w:rPr>
          <w:rFonts w:hint="eastAsia" w:ascii="Times New Roman"/>
          <w:sz w:val="24"/>
          <w:szCs w:val="22"/>
        </w:rPr>
        <w:t>外露预埋件应做可靠防锈措施，预埋件锚固钢筋或连接套筒应与钢板牢固连接。</w:t>
      </w:r>
    </w:p>
    <w:p w14:paraId="2D51E52B">
      <w:pPr>
        <w:pStyle w:val="174"/>
        <w:spacing w:line="360" w:lineRule="auto"/>
        <w:ind w:firstLine="0" w:firstLineChars="0"/>
        <w:rPr>
          <w:rFonts w:ascii="Times New Roman"/>
          <w:sz w:val="24"/>
          <w:szCs w:val="22"/>
        </w:rPr>
      </w:pPr>
      <w:r>
        <w:rPr>
          <w:rFonts w:hint="eastAsia" w:ascii="Times New Roman"/>
          <w:b/>
          <w:bCs/>
          <w:sz w:val="24"/>
          <w:szCs w:val="22"/>
        </w:rPr>
        <w:t xml:space="preserve">6.1.5 </w:t>
      </w:r>
      <w:r>
        <w:rPr>
          <w:rFonts w:hint="eastAsia" w:ascii="Times New Roman"/>
          <w:sz w:val="24"/>
          <w:szCs w:val="22"/>
        </w:rPr>
        <w:t>隔震层上部结构与周围固定物之间、电梯井与下部结构之间均应设置竖向隔离缝，上部结构与下部结构或室外地面之间应设置水平隔离缝，隔离缝的缝宽和构造做法应满足《建筑隔震设计标准》GB/T 51408、《建筑隔震构造详图》22G610-1等国家标准、图集及</w:t>
      </w:r>
      <w:r>
        <w:rPr>
          <w:rFonts w:hint="eastAsia" w:ascii="Times New Roman"/>
          <w:sz w:val="24"/>
          <w:szCs w:val="22"/>
          <w:lang w:val="en-US" w:eastAsia="zh-CN"/>
        </w:rPr>
        <w:t>行业</w:t>
      </w:r>
      <w:r>
        <w:rPr>
          <w:rFonts w:hint="eastAsia" w:ascii="Times New Roman"/>
          <w:sz w:val="24"/>
          <w:szCs w:val="22"/>
        </w:rPr>
        <w:t>标准的相关要求。</w:t>
      </w:r>
    </w:p>
    <w:p w14:paraId="226DE862">
      <w:pPr>
        <w:pStyle w:val="174"/>
        <w:spacing w:line="360" w:lineRule="auto"/>
        <w:ind w:firstLine="0" w:firstLineChars="0"/>
        <w:rPr>
          <w:rFonts w:ascii="Times New Roman"/>
          <w:sz w:val="24"/>
          <w:szCs w:val="22"/>
        </w:rPr>
      </w:pPr>
      <w:r>
        <w:rPr>
          <w:rFonts w:hint="eastAsia" w:ascii="Times New Roman"/>
          <w:b/>
          <w:bCs/>
          <w:sz w:val="24"/>
          <w:szCs w:val="22"/>
        </w:rPr>
        <w:t>6.1.</w:t>
      </w:r>
      <w:r>
        <w:rPr>
          <w:rFonts w:hint="eastAsia" w:ascii="Times New Roman"/>
          <w:b/>
          <w:bCs/>
          <w:sz w:val="24"/>
          <w:szCs w:val="22"/>
          <w:lang w:val="en-US" w:eastAsia="zh-CN"/>
        </w:rPr>
        <w:t>6</w:t>
      </w:r>
      <w:r>
        <w:rPr>
          <w:rFonts w:hint="eastAsia" w:ascii="Times New Roman"/>
          <w:b/>
          <w:bCs/>
          <w:sz w:val="24"/>
          <w:szCs w:val="22"/>
        </w:rPr>
        <w:t xml:space="preserve"> </w:t>
      </w:r>
      <w:r>
        <w:rPr>
          <w:rFonts w:hint="eastAsia" w:ascii="Times New Roman"/>
          <w:sz w:val="24"/>
          <w:szCs w:val="22"/>
        </w:rPr>
        <w:t>隔震层应设置人员检修出入口、隔震装置进出口或吊装口，隔震支座附近应留有便于观测和维修更换隔震支座的空间。</w:t>
      </w:r>
    </w:p>
    <w:p w14:paraId="2113F21D">
      <w:pPr>
        <w:pStyle w:val="174"/>
        <w:spacing w:line="360" w:lineRule="auto"/>
        <w:ind w:firstLine="0" w:firstLineChars="0"/>
        <w:rPr>
          <w:rFonts w:ascii="Times New Roman"/>
        </w:rPr>
      </w:pPr>
      <w:r>
        <w:rPr>
          <w:rFonts w:hint="eastAsia" w:ascii="Times New Roman"/>
          <w:b/>
          <w:bCs/>
          <w:sz w:val="24"/>
          <w:szCs w:val="22"/>
        </w:rPr>
        <w:t>6.1.</w:t>
      </w:r>
      <w:r>
        <w:rPr>
          <w:rFonts w:hint="eastAsia" w:ascii="Times New Roman"/>
          <w:b/>
          <w:bCs/>
          <w:sz w:val="24"/>
          <w:szCs w:val="22"/>
          <w:lang w:val="en-US" w:eastAsia="zh-CN"/>
        </w:rPr>
        <w:t>7</w:t>
      </w:r>
      <w:r>
        <w:rPr>
          <w:rFonts w:hint="eastAsia" w:ascii="Times New Roman"/>
          <w:b/>
          <w:bCs/>
          <w:sz w:val="24"/>
          <w:szCs w:val="22"/>
        </w:rPr>
        <w:t xml:space="preserve"> </w:t>
      </w:r>
      <w:r>
        <w:rPr>
          <w:rFonts w:hint="eastAsia" w:ascii="Times New Roman"/>
          <w:sz w:val="24"/>
          <w:szCs w:val="22"/>
        </w:rPr>
        <w:t>隔震层施工完成后，应在隐蔽前由相关单位进行隐蔽工程验收，确认合格后形成隐蔽验收文件。</w:t>
      </w:r>
    </w:p>
    <w:p w14:paraId="4ACF314D">
      <w:pPr>
        <w:pStyle w:val="174"/>
        <w:spacing w:line="360" w:lineRule="auto"/>
        <w:ind w:left="420" w:hanging="420" w:firstLineChars="0"/>
        <w:jc w:val="center"/>
        <w:outlineLvl w:val="2"/>
        <w:rPr>
          <w:rFonts w:ascii="Times New Roman"/>
          <w:b/>
          <w:bCs/>
          <w:sz w:val="24"/>
          <w:szCs w:val="22"/>
        </w:rPr>
      </w:pPr>
      <w:bookmarkStart w:id="54" w:name="_Toc27683"/>
      <w:bookmarkStart w:id="55" w:name="_Toc207376001"/>
      <w:r>
        <w:rPr>
          <w:rFonts w:hint="eastAsia" w:ascii="Times New Roman"/>
          <w:b/>
          <w:bCs/>
          <w:sz w:val="24"/>
          <w:szCs w:val="22"/>
        </w:rPr>
        <w:t>II 评分项</w:t>
      </w:r>
      <w:bookmarkEnd w:id="54"/>
      <w:bookmarkEnd w:id="55"/>
    </w:p>
    <w:p w14:paraId="3742648C">
      <w:pPr>
        <w:pStyle w:val="174"/>
        <w:spacing w:line="360" w:lineRule="auto"/>
        <w:ind w:firstLine="0" w:firstLineChars="0"/>
        <w:rPr>
          <w:rFonts w:ascii="Times New Roman"/>
          <w:sz w:val="24"/>
          <w:szCs w:val="22"/>
        </w:rPr>
      </w:pPr>
      <w:r>
        <w:rPr>
          <w:rFonts w:hint="eastAsia" w:ascii="Times New Roman"/>
          <w:b/>
          <w:bCs/>
          <w:sz w:val="24"/>
          <w:szCs w:val="22"/>
        </w:rPr>
        <w:t>6.1.</w:t>
      </w:r>
      <w:r>
        <w:rPr>
          <w:rFonts w:hint="eastAsia" w:ascii="Times New Roman"/>
          <w:b/>
          <w:bCs/>
          <w:sz w:val="24"/>
          <w:szCs w:val="22"/>
          <w:lang w:val="en-US" w:eastAsia="zh-CN"/>
        </w:rPr>
        <w:t>8</w:t>
      </w:r>
      <w:r>
        <w:rPr>
          <w:rFonts w:hint="eastAsia" w:ascii="Times New Roman"/>
          <w:b/>
          <w:bCs/>
          <w:sz w:val="24"/>
          <w:szCs w:val="22"/>
        </w:rPr>
        <w:t xml:space="preserve"> </w:t>
      </w:r>
      <w:r>
        <w:rPr>
          <w:rFonts w:hint="eastAsia" w:ascii="Times New Roman"/>
          <w:sz w:val="24"/>
          <w:szCs w:val="22"/>
        </w:rPr>
        <w:t>隔震层的构造措施应能保证上部结构与下部结构的协同运动，评价总分值为100分，应按下列规则分别评分并累计：</w:t>
      </w:r>
    </w:p>
    <w:p w14:paraId="72907B03">
      <w:pPr>
        <w:pStyle w:val="174"/>
        <w:spacing w:line="360" w:lineRule="auto"/>
        <w:ind w:firstLine="480"/>
        <w:rPr>
          <w:rFonts w:ascii="Times New Roman"/>
          <w:sz w:val="24"/>
          <w:szCs w:val="22"/>
        </w:rPr>
      </w:pPr>
      <w:r>
        <w:rPr>
          <w:rFonts w:hint="eastAsia" w:ascii="Times New Roman"/>
          <w:sz w:val="24"/>
          <w:szCs w:val="22"/>
        </w:rPr>
        <w:t>1 隔震层梁底面到下部结构顶面之间的净空满足设计及相关标准要求，得10分；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4315A50A">
      <w:pPr>
        <w:pStyle w:val="174"/>
        <w:spacing w:line="360" w:lineRule="auto"/>
        <w:ind w:firstLine="480"/>
        <w:rPr>
          <w:rFonts w:ascii="Times New Roman"/>
          <w:sz w:val="24"/>
          <w:szCs w:val="22"/>
        </w:rPr>
      </w:pPr>
      <w:r>
        <w:rPr>
          <w:rFonts w:ascii="Times New Roman"/>
          <w:sz w:val="24"/>
          <w:szCs w:val="22"/>
        </w:rPr>
        <w:t xml:space="preserve">2 </w:t>
      </w:r>
      <w:r>
        <w:rPr>
          <w:rFonts w:hint="eastAsia" w:ascii="Times New Roman"/>
          <w:sz w:val="24"/>
          <w:szCs w:val="22"/>
        </w:rPr>
        <w:t>隔震层底板满足设计及相关标准要求，得</w:t>
      </w:r>
      <w:r>
        <w:rPr>
          <w:rFonts w:ascii="Times New Roman"/>
          <w:sz w:val="24"/>
          <w:szCs w:val="22"/>
        </w:rPr>
        <w:t>10</w:t>
      </w:r>
      <w:r>
        <w:rPr>
          <w:rFonts w:hint="eastAsia" w:ascii="Times New Roman"/>
          <w:sz w:val="24"/>
          <w:szCs w:val="22"/>
        </w:rPr>
        <w:t>分；不满足，得</w:t>
      </w:r>
      <w:r>
        <w:rPr>
          <w:rFonts w:ascii="Times New Roman"/>
          <w:sz w:val="24"/>
          <w:szCs w:val="22"/>
        </w:rPr>
        <w:t>0</w:t>
      </w:r>
      <w:r>
        <w:rPr>
          <w:rFonts w:hint="eastAsia" w:ascii="Times New Roman"/>
          <w:sz w:val="24"/>
          <w:szCs w:val="22"/>
        </w:rPr>
        <w:t>分；</w:t>
      </w:r>
    </w:p>
    <w:p w14:paraId="1B781C88">
      <w:pPr>
        <w:pStyle w:val="174"/>
        <w:spacing w:line="360" w:lineRule="auto"/>
        <w:ind w:firstLine="480"/>
        <w:rPr>
          <w:rFonts w:ascii="Times New Roman"/>
          <w:sz w:val="24"/>
          <w:szCs w:val="22"/>
        </w:rPr>
      </w:pPr>
      <w:r>
        <w:rPr>
          <w:rFonts w:ascii="Times New Roman"/>
          <w:sz w:val="24"/>
          <w:szCs w:val="22"/>
        </w:rPr>
        <w:t xml:space="preserve">3 </w:t>
      </w:r>
      <w:r>
        <w:rPr>
          <w:rFonts w:hint="eastAsia" w:ascii="Times New Roman"/>
          <w:sz w:val="24"/>
          <w:szCs w:val="22"/>
        </w:rPr>
        <w:t>隔震建筑周圈竖向隔离缝宽度满足设计及相关标准要求，得</w:t>
      </w:r>
      <w:r>
        <w:rPr>
          <w:rFonts w:ascii="Times New Roman"/>
          <w:sz w:val="24"/>
          <w:szCs w:val="22"/>
        </w:rPr>
        <w:t>10</w:t>
      </w:r>
      <w:r>
        <w:rPr>
          <w:rFonts w:hint="eastAsia" w:ascii="Times New Roman"/>
          <w:sz w:val="24"/>
          <w:szCs w:val="22"/>
        </w:rPr>
        <w:t>分；</w:t>
      </w:r>
      <w:r>
        <w:rPr>
          <w:rFonts w:hint="eastAsia" w:ascii="Times New Roman"/>
          <w:sz w:val="24"/>
          <w:szCs w:val="22"/>
          <w:lang w:val="en-US" w:eastAsia="zh-CN"/>
        </w:rPr>
        <w:t>不满足</w:t>
      </w:r>
      <w:r>
        <w:rPr>
          <w:rFonts w:hint="eastAsia" w:ascii="Times New Roman"/>
          <w:sz w:val="24"/>
          <w:szCs w:val="22"/>
        </w:rPr>
        <w:t>，得</w:t>
      </w:r>
      <w:r>
        <w:rPr>
          <w:rFonts w:ascii="Times New Roman"/>
          <w:sz w:val="24"/>
          <w:szCs w:val="22"/>
        </w:rPr>
        <w:t>0</w:t>
      </w:r>
      <w:r>
        <w:rPr>
          <w:rFonts w:hint="eastAsia" w:ascii="Times New Roman"/>
          <w:sz w:val="24"/>
          <w:szCs w:val="22"/>
        </w:rPr>
        <w:t>分；</w:t>
      </w:r>
    </w:p>
    <w:p w14:paraId="43C62ED0">
      <w:pPr>
        <w:pStyle w:val="174"/>
        <w:spacing w:line="360" w:lineRule="auto"/>
        <w:ind w:firstLine="480"/>
        <w:rPr>
          <w:rFonts w:ascii="Times New Roman"/>
          <w:sz w:val="24"/>
          <w:szCs w:val="22"/>
        </w:rPr>
      </w:pPr>
      <w:r>
        <w:rPr>
          <w:rFonts w:hint="eastAsia" w:ascii="Times New Roman"/>
          <w:sz w:val="24"/>
          <w:szCs w:val="22"/>
        </w:rPr>
        <w:t>4 隔震建筑周圈隔震沟采取柔性封堵措施满足设计及相关标准要求，得10分；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49D88EE2">
      <w:pPr>
        <w:pStyle w:val="174"/>
        <w:spacing w:line="360" w:lineRule="auto"/>
        <w:ind w:firstLine="480"/>
        <w:rPr>
          <w:rFonts w:ascii="Times New Roman"/>
          <w:sz w:val="24"/>
          <w:szCs w:val="22"/>
        </w:rPr>
      </w:pPr>
      <w:r>
        <w:rPr>
          <w:rFonts w:hint="eastAsia" w:ascii="Times New Roman"/>
          <w:sz w:val="24"/>
          <w:szCs w:val="22"/>
        </w:rPr>
        <w:t>5 隔震沟及隔震沟盖板周圈无杂物且满足设计及相关标准要求，得10分；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444C8643">
      <w:pPr>
        <w:pStyle w:val="174"/>
        <w:spacing w:line="360" w:lineRule="auto"/>
        <w:ind w:firstLine="480"/>
        <w:rPr>
          <w:rFonts w:ascii="Times New Roman"/>
          <w:sz w:val="24"/>
          <w:szCs w:val="22"/>
        </w:rPr>
      </w:pPr>
      <w:r>
        <w:rPr>
          <w:rFonts w:ascii="Times New Roman"/>
          <w:sz w:val="24"/>
          <w:szCs w:val="22"/>
        </w:rPr>
        <w:t xml:space="preserve">6 </w:t>
      </w:r>
      <w:r>
        <w:rPr>
          <w:rFonts w:hint="eastAsia" w:ascii="Times New Roman"/>
          <w:sz w:val="24"/>
          <w:szCs w:val="22"/>
        </w:rPr>
        <w:t>隔震建筑上部结构与下部结构之间的水平隔离缝缝高满足设计及相关标准要求，得</w:t>
      </w:r>
      <w:r>
        <w:rPr>
          <w:rFonts w:ascii="Times New Roman"/>
          <w:sz w:val="24"/>
          <w:szCs w:val="22"/>
        </w:rPr>
        <w:t>10</w:t>
      </w:r>
      <w:r>
        <w:rPr>
          <w:rFonts w:hint="eastAsia" w:ascii="Times New Roman"/>
          <w:sz w:val="24"/>
          <w:szCs w:val="22"/>
        </w:rPr>
        <w:t>分；</w:t>
      </w:r>
      <w:r>
        <w:rPr>
          <w:rFonts w:hint="eastAsia" w:ascii="Times New Roman"/>
          <w:sz w:val="24"/>
          <w:szCs w:val="22"/>
          <w:lang w:val="en-US" w:eastAsia="zh-CN"/>
        </w:rPr>
        <w:t>不满足</w:t>
      </w:r>
      <w:r>
        <w:rPr>
          <w:rFonts w:hint="eastAsia" w:ascii="Times New Roman"/>
          <w:sz w:val="24"/>
          <w:szCs w:val="22"/>
        </w:rPr>
        <w:t>，得</w:t>
      </w:r>
      <w:r>
        <w:rPr>
          <w:rFonts w:ascii="Times New Roman"/>
          <w:sz w:val="24"/>
          <w:szCs w:val="22"/>
        </w:rPr>
        <w:t>0</w:t>
      </w:r>
      <w:r>
        <w:rPr>
          <w:rFonts w:hint="eastAsia" w:ascii="Times New Roman"/>
          <w:sz w:val="24"/>
          <w:szCs w:val="22"/>
        </w:rPr>
        <w:t>分；</w:t>
      </w:r>
    </w:p>
    <w:p w14:paraId="2A42ED79">
      <w:pPr>
        <w:pStyle w:val="174"/>
        <w:spacing w:line="360" w:lineRule="auto"/>
        <w:ind w:firstLine="480"/>
        <w:rPr>
          <w:rFonts w:ascii="Times New Roman"/>
          <w:sz w:val="24"/>
          <w:szCs w:val="22"/>
        </w:rPr>
      </w:pPr>
      <w:r>
        <w:rPr>
          <w:rFonts w:hint="eastAsia" w:ascii="Times New Roman"/>
          <w:sz w:val="24"/>
          <w:szCs w:val="22"/>
        </w:rPr>
        <w:t>7 水平隔离缝采用柔性材料或低强度脆性材料填充</w:t>
      </w:r>
      <w:r>
        <w:rPr>
          <w:rFonts w:hint="eastAsia" w:ascii="Times New Roman"/>
          <w:sz w:val="24"/>
          <w:szCs w:val="22"/>
          <w:lang w:eastAsia="zh-CN"/>
        </w:rPr>
        <w:t>，</w:t>
      </w:r>
      <w:r>
        <w:rPr>
          <w:rFonts w:hint="eastAsia" w:ascii="Times New Roman"/>
          <w:sz w:val="24"/>
          <w:szCs w:val="22"/>
        </w:rPr>
        <w:t>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5575EA46">
      <w:pPr>
        <w:pStyle w:val="174"/>
        <w:spacing w:line="360" w:lineRule="auto"/>
        <w:ind w:firstLine="480"/>
        <w:rPr>
          <w:rFonts w:ascii="Times New Roman"/>
          <w:sz w:val="24"/>
          <w:szCs w:val="22"/>
        </w:rPr>
      </w:pPr>
      <w:r>
        <w:rPr>
          <w:rFonts w:hint="eastAsia" w:ascii="Times New Roman"/>
          <w:sz w:val="24"/>
          <w:szCs w:val="22"/>
        </w:rPr>
        <w:t>8 隔震层顶板检修口或隔震装置吊装口满足设计及相关标准要求，得10分；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18C57BF5">
      <w:pPr>
        <w:pStyle w:val="174"/>
        <w:spacing w:line="360" w:lineRule="auto"/>
        <w:ind w:firstLine="480"/>
        <w:rPr>
          <w:rFonts w:ascii="Times New Roman"/>
          <w:sz w:val="24"/>
          <w:szCs w:val="22"/>
        </w:rPr>
      </w:pPr>
      <w:r>
        <w:rPr>
          <w:rFonts w:hint="eastAsia" w:ascii="Times New Roman"/>
          <w:sz w:val="24"/>
          <w:szCs w:val="22"/>
        </w:rPr>
        <w:t>9 竖向隔离缝顶部、电梯井与下部结构之间、人员出入户及车辆主要出入口位置设置滑动盖板满足设计及相关标准要求，得10分；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26EF8C29">
      <w:pPr>
        <w:pStyle w:val="174"/>
        <w:spacing w:line="360" w:lineRule="auto"/>
        <w:ind w:firstLine="480"/>
        <w:rPr>
          <w:rFonts w:ascii="Times New Roman"/>
          <w:sz w:val="24"/>
          <w:szCs w:val="22"/>
        </w:rPr>
      </w:pPr>
      <w:r>
        <w:rPr>
          <w:rFonts w:hint="eastAsia" w:ascii="Times New Roman"/>
          <w:sz w:val="24"/>
          <w:szCs w:val="22"/>
        </w:rPr>
        <w:t>10 对于穿越隔震建筑主体结构隔震层的电梯井，满足设计及相关标准要求，得10分；</w:t>
      </w:r>
      <w:r>
        <w:rPr>
          <w:rFonts w:hint="eastAsia" w:ascii="Times New Roman"/>
          <w:sz w:val="24"/>
          <w:szCs w:val="22"/>
          <w:lang w:val="en-US" w:eastAsia="zh-CN"/>
        </w:rPr>
        <w:t>不满足</w:t>
      </w:r>
      <w:r>
        <w:rPr>
          <w:rFonts w:hint="eastAsia" w:ascii="Times New Roman"/>
          <w:sz w:val="24"/>
          <w:szCs w:val="22"/>
        </w:rPr>
        <w:t>，得0分；</w:t>
      </w:r>
    </w:p>
    <w:p w14:paraId="10A3BD4C">
      <w:pPr>
        <w:pStyle w:val="174"/>
        <w:spacing w:line="360" w:lineRule="auto"/>
        <w:ind w:firstLine="0" w:firstLineChars="0"/>
        <w:rPr>
          <w:rFonts w:ascii="Times New Roman"/>
          <w:sz w:val="24"/>
          <w:szCs w:val="22"/>
        </w:rPr>
      </w:pPr>
      <w:r>
        <w:rPr>
          <w:rFonts w:hint="eastAsia" w:ascii="Times New Roman"/>
          <w:b/>
          <w:bCs/>
          <w:sz w:val="24"/>
          <w:szCs w:val="22"/>
        </w:rPr>
        <w:t>6.1.</w:t>
      </w:r>
      <w:r>
        <w:rPr>
          <w:rFonts w:hint="eastAsia" w:ascii="Times New Roman"/>
          <w:b/>
          <w:bCs/>
          <w:sz w:val="24"/>
          <w:szCs w:val="22"/>
          <w:lang w:val="en-US" w:eastAsia="zh-CN"/>
        </w:rPr>
        <w:t>9</w:t>
      </w:r>
      <w:r>
        <w:rPr>
          <w:rFonts w:hint="eastAsia" w:ascii="Times New Roman"/>
          <w:b/>
          <w:bCs/>
          <w:sz w:val="24"/>
          <w:szCs w:val="22"/>
        </w:rPr>
        <w:t xml:space="preserve"> </w:t>
      </w:r>
      <w:r>
        <w:rPr>
          <w:rFonts w:hint="eastAsia" w:ascii="Times New Roman"/>
          <w:sz w:val="24"/>
          <w:szCs w:val="22"/>
        </w:rPr>
        <w:t>隔震层施工工艺应保证隔震层及隔震建筑的安全可靠性，评价总分值为50分，应按下列规则分别评分并累计：</w:t>
      </w:r>
    </w:p>
    <w:p w14:paraId="0B0D1020">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隔震装置</w:t>
      </w:r>
      <w:r>
        <w:rPr>
          <w:rFonts w:hint="eastAsia" w:ascii="Times New Roman"/>
          <w:sz w:val="24"/>
          <w:szCs w:val="22"/>
        </w:rPr>
        <w:t>下连接板预埋安装就位后，校核下连接板上表面标高、平面位置及水平度并记录，得10分；未进行校核或缺项，得0分；</w:t>
      </w:r>
    </w:p>
    <w:p w14:paraId="378E466E">
      <w:pPr>
        <w:pStyle w:val="174"/>
        <w:spacing w:line="360" w:lineRule="auto"/>
        <w:ind w:firstLine="480"/>
        <w:rPr>
          <w:rFonts w:ascii="Times New Roman"/>
          <w:sz w:val="24"/>
          <w:szCs w:val="22"/>
        </w:rPr>
      </w:pPr>
      <w:r>
        <w:rPr>
          <w:rFonts w:hint="eastAsia" w:ascii="Times New Roman"/>
          <w:sz w:val="24"/>
          <w:szCs w:val="22"/>
        </w:rPr>
        <w:t xml:space="preserve">2 </w:t>
      </w:r>
      <w:r>
        <w:rPr>
          <w:rFonts w:hint="eastAsia" w:ascii="Times New Roman"/>
          <w:sz w:val="24"/>
          <w:szCs w:val="22"/>
          <w:lang w:eastAsia="zh-CN"/>
        </w:rPr>
        <w:t>隔震装置</w:t>
      </w:r>
      <w:r>
        <w:rPr>
          <w:rFonts w:hint="eastAsia" w:ascii="Times New Roman"/>
          <w:sz w:val="24"/>
          <w:szCs w:val="22"/>
        </w:rPr>
        <w:t>下支墩分二次浇筑，得5分；下支墩一次浇筑成型，得0分；</w:t>
      </w:r>
    </w:p>
    <w:p w14:paraId="6830C466">
      <w:pPr>
        <w:pStyle w:val="174"/>
        <w:spacing w:line="360" w:lineRule="auto"/>
        <w:ind w:firstLine="480"/>
        <w:rPr>
          <w:rFonts w:ascii="Times New Roman"/>
          <w:sz w:val="24"/>
          <w:szCs w:val="22"/>
        </w:rPr>
      </w:pPr>
      <w:r>
        <w:rPr>
          <w:rFonts w:hint="eastAsia" w:ascii="Times New Roman"/>
          <w:sz w:val="24"/>
          <w:szCs w:val="22"/>
        </w:rPr>
        <w:t>3 下支墩混凝土初凝前，复核下连接板的水平度并记录，得5分；未复核水平度，得0分；</w:t>
      </w:r>
    </w:p>
    <w:p w14:paraId="2DD2F0F5">
      <w:pPr>
        <w:pStyle w:val="174"/>
        <w:spacing w:line="360" w:lineRule="auto"/>
        <w:ind w:firstLine="480"/>
        <w:rPr>
          <w:rFonts w:ascii="Times New Roman"/>
          <w:sz w:val="24"/>
          <w:szCs w:val="22"/>
        </w:rPr>
      </w:pPr>
      <w:r>
        <w:rPr>
          <w:rFonts w:hint="eastAsia" w:ascii="Times New Roman"/>
          <w:sz w:val="24"/>
          <w:szCs w:val="22"/>
        </w:rPr>
        <w:t xml:space="preserve">5 </w:t>
      </w:r>
      <w:r>
        <w:rPr>
          <w:rFonts w:hint="eastAsia" w:ascii="Times New Roman"/>
          <w:sz w:val="24"/>
          <w:szCs w:val="22"/>
          <w:lang w:eastAsia="zh-CN"/>
        </w:rPr>
        <w:t>隔震装置</w:t>
      </w:r>
      <w:r>
        <w:rPr>
          <w:rFonts w:hint="eastAsia" w:ascii="Times New Roman"/>
          <w:sz w:val="24"/>
          <w:szCs w:val="22"/>
        </w:rPr>
        <w:t>安装完成后，复核顶面的水平度并记录，得10分；未复核水平度，得0分；</w:t>
      </w:r>
    </w:p>
    <w:p w14:paraId="7BFA4A15">
      <w:pPr>
        <w:pStyle w:val="174"/>
        <w:spacing w:line="360" w:lineRule="auto"/>
        <w:ind w:firstLine="480"/>
        <w:rPr>
          <w:rFonts w:hint="eastAsia" w:ascii="Times New Roman"/>
          <w:sz w:val="24"/>
          <w:szCs w:val="22"/>
        </w:rPr>
      </w:pPr>
      <w:r>
        <w:rPr>
          <w:rFonts w:hint="eastAsia" w:ascii="Times New Roman"/>
          <w:sz w:val="24"/>
          <w:szCs w:val="22"/>
        </w:rPr>
        <w:t>7 上部结构施工过程中对支座进行采取保护措施，下连接板及</w:t>
      </w:r>
      <w:r>
        <w:rPr>
          <w:rFonts w:hint="eastAsia" w:ascii="Times New Roman"/>
          <w:sz w:val="24"/>
          <w:szCs w:val="22"/>
          <w:lang w:eastAsia="zh-CN"/>
        </w:rPr>
        <w:t>隔震装置</w:t>
      </w:r>
      <w:r>
        <w:rPr>
          <w:rFonts w:hint="eastAsia" w:ascii="Times New Roman"/>
          <w:sz w:val="24"/>
          <w:szCs w:val="22"/>
        </w:rPr>
        <w:t>表面或内部无砂浆石子等异物，得5分；未采取保护措施，异物覆盖下连接板及</w:t>
      </w:r>
      <w:r>
        <w:rPr>
          <w:rFonts w:hint="eastAsia" w:ascii="Times New Roman"/>
          <w:sz w:val="24"/>
          <w:szCs w:val="22"/>
          <w:lang w:eastAsia="zh-CN"/>
        </w:rPr>
        <w:t>隔震装置</w:t>
      </w:r>
      <w:r>
        <w:rPr>
          <w:rFonts w:hint="eastAsia" w:ascii="Times New Roman"/>
          <w:sz w:val="24"/>
          <w:szCs w:val="22"/>
        </w:rPr>
        <w:t>表面或进入</w:t>
      </w:r>
      <w:r>
        <w:rPr>
          <w:rFonts w:hint="eastAsia" w:ascii="Times New Roman"/>
          <w:sz w:val="24"/>
          <w:szCs w:val="22"/>
          <w:lang w:eastAsia="zh-CN"/>
        </w:rPr>
        <w:t>隔震装置</w:t>
      </w:r>
      <w:r>
        <w:rPr>
          <w:rFonts w:hint="eastAsia" w:ascii="Times New Roman"/>
          <w:sz w:val="24"/>
          <w:szCs w:val="22"/>
        </w:rPr>
        <w:t>内部，得0分</w:t>
      </w:r>
      <w:r>
        <w:rPr>
          <w:rFonts w:hint="eastAsia" w:ascii="Times New Roman"/>
          <w:sz w:val="24"/>
          <w:szCs w:val="22"/>
          <w:lang w:eastAsia="zh-CN"/>
        </w:rPr>
        <w:t>；</w:t>
      </w:r>
    </w:p>
    <w:p w14:paraId="45AAF7E9">
      <w:pPr>
        <w:pStyle w:val="174"/>
        <w:spacing w:line="360" w:lineRule="auto"/>
        <w:ind w:firstLine="480"/>
        <w:rPr>
          <w:rFonts w:hint="default" w:ascii="Times New Roman" w:eastAsia="宋体"/>
          <w:sz w:val="24"/>
          <w:szCs w:val="22"/>
          <w:lang w:val="en-US" w:eastAsia="zh-CN"/>
        </w:rPr>
      </w:pPr>
      <w:r>
        <w:rPr>
          <w:rFonts w:hint="eastAsia" w:ascii="Times New Roman"/>
          <w:sz w:val="24"/>
          <w:szCs w:val="22"/>
          <w:lang w:val="en-US" w:eastAsia="zh-CN"/>
        </w:rPr>
        <w:t xml:space="preserve">8 </w:t>
      </w:r>
      <w:r>
        <w:rPr>
          <w:rFonts w:hint="eastAsia" w:ascii="Times New Roman"/>
          <w:sz w:val="24"/>
          <w:szCs w:val="22"/>
        </w:rPr>
        <w:t>穿越隔震层的楼梯、扶手、门厅入口、踏步、电梯、地下室坡道、车道入口及其他固定设施，做断开或可变形的构造措施</w:t>
      </w:r>
      <w:r>
        <w:rPr>
          <w:rFonts w:hint="eastAsia" w:ascii="Times New Roman"/>
          <w:sz w:val="24"/>
          <w:szCs w:val="22"/>
          <w:lang w:eastAsia="zh-CN"/>
        </w:rPr>
        <w:t>，</w:t>
      </w:r>
      <w:r>
        <w:rPr>
          <w:rFonts w:hint="eastAsia" w:ascii="Times New Roman"/>
          <w:sz w:val="24"/>
          <w:szCs w:val="22"/>
          <w:lang w:val="en-US" w:eastAsia="zh-CN"/>
        </w:rPr>
        <w:t>得15分</w:t>
      </w:r>
      <w:r>
        <w:rPr>
          <w:rFonts w:hint="eastAsia" w:ascii="Times New Roman"/>
          <w:sz w:val="24"/>
          <w:szCs w:val="22"/>
        </w:rPr>
        <w:t>。</w:t>
      </w:r>
      <w:r>
        <w:rPr>
          <w:rFonts w:hint="eastAsia" w:ascii="Times New Roman"/>
          <w:sz w:val="24"/>
          <w:szCs w:val="22"/>
          <w:lang w:val="en-US" w:eastAsia="zh-CN"/>
        </w:rPr>
        <w:t>未做构造措施，得0分。</w:t>
      </w:r>
    </w:p>
    <w:p w14:paraId="1A186EE7">
      <w:pPr>
        <w:pStyle w:val="174"/>
        <w:spacing w:line="360" w:lineRule="auto"/>
        <w:ind w:firstLine="0" w:firstLineChars="0"/>
        <w:rPr>
          <w:rFonts w:ascii="Times New Roman"/>
          <w:sz w:val="24"/>
          <w:szCs w:val="22"/>
        </w:rPr>
      </w:pPr>
      <w:r>
        <w:rPr>
          <w:rFonts w:hint="eastAsia" w:ascii="Times New Roman"/>
          <w:b/>
          <w:bCs/>
          <w:sz w:val="24"/>
          <w:szCs w:val="22"/>
        </w:rPr>
        <w:t>6.1.</w:t>
      </w:r>
      <w:r>
        <w:rPr>
          <w:rFonts w:hint="eastAsia" w:ascii="Times New Roman"/>
          <w:b/>
          <w:bCs/>
          <w:sz w:val="24"/>
          <w:szCs w:val="22"/>
          <w:lang w:val="en-US" w:eastAsia="zh-CN"/>
        </w:rPr>
        <w:t>10</w:t>
      </w:r>
      <w:r>
        <w:rPr>
          <w:rFonts w:hint="eastAsia" w:ascii="Times New Roman"/>
          <w:b/>
          <w:bCs/>
          <w:sz w:val="24"/>
          <w:szCs w:val="22"/>
        </w:rPr>
        <w:t xml:space="preserve"> </w:t>
      </w:r>
      <w:r>
        <w:rPr>
          <w:rFonts w:hint="eastAsia" w:ascii="Times New Roman"/>
          <w:sz w:val="24"/>
          <w:szCs w:val="22"/>
        </w:rPr>
        <w:t>穿越隔震层的设备管线采用柔性连接处理或其他有效措施，评价总分值为30分，应按下列规则分别评分并累计：</w:t>
      </w:r>
    </w:p>
    <w:p w14:paraId="660A9685">
      <w:pPr>
        <w:pStyle w:val="174"/>
        <w:spacing w:line="360" w:lineRule="auto"/>
        <w:ind w:firstLine="480"/>
        <w:rPr>
          <w:rFonts w:ascii="Times New Roman"/>
          <w:sz w:val="24"/>
          <w:szCs w:val="22"/>
        </w:rPr>
      </w:pPr>
      <w:r>
        <w:rPr>
          <w:rFonts w:hint="eastAsia" w:ascii="Times New Roman"/>
          <w:sz w:val="24"/>
          <w:szCs w:val="22"/>
        </w:rPr>
        <w:t>1 穿越隔震层的一般管道柔性水平变形量不低于隔震缝宽度的1.2倍，可能泄露有害介质或可燃介质的重要管道柔性水平变形量不低于隔震缝宽度的1.4倍，得10分；一般管道不低于计算最大位移量的1.2倍，重要管道不低于计算最大位移量的1.4倍，得5分；管道柔性水平变形量不满足上述要求，得0分；</w:t>
      </w:r>
    </w:p>
    <w:p w14:paraId="1D88A6B7">
      <w:pPr>
        <w:pStyle w:val="174"/>
        <w:spacing w:line="360" w:lineRule="auto"/>
        <w:ind w:firstLine="480"/>
        <w:rPr>
          <w:rFonts w:ascii="Times New Roman"/>
          <w:sz w:val="24"/>
          <w:szCs w:val="22"/>
        </w:rPr>
      </w:pPr>
      <w:r>
        <w:rPr>
          <w:rFonts w:hint="eastAsia" w:ascii="Times New Roman"/>
          <w:sz w:val="24"/>
          <w:szCs w:val="22"/>
        </w:rPr>
        <w:t>2 穿越隔震层的各类电缆预留长度不低于隔震缝宽度的1.2倍，得10分；预留长度不低于计算最大位移量的1.2倍，得5分；预留长度不满足上述要求，得0分；</w:t>
      </w:r>
    </w:p>
    <w:p w14:paraId="30FD8D0F">
      <w:pPr>
        <w:pStyle w:val="174"/>
        <w:spacing w:line="360" w:lineRule="auto"/>
        <w:ind w:firstLine="480"/>
        <w:rPr>
          <w:rFonts w:ascii="Times New Roman"/>
          <w:sz w:val="24"/>
          <w:szCs w:val="22"/>
        </w:rPr>
      </w:pPr>
      <w:r>
        <w:rPr>
          <w:rFonts w:hint="eastAsia" w:ascii="Times New Roman"/>
          <w:sz w:val="24"/>
          <w:szCs w:val="22"/>
        </w:rPr>
        <w:t>3 固定于隔震层顶部的机电管线边缘与非隔震区域的最小间距不低于隔震缝宽度的1.2倍，得5分；最小间距不低于计算最大位移量的1.2倍，得3分；最小间距不满足上述要求，得0分；</w:t>
      </w:r>
    </w:p>
    <w:p w14:paraId="690AA330">
      <w:pPr>
        <w:pStyle w:val="174"/>
        <w:spacing w:line="360" w:lineRule="auto"/>
        <w:ind w:firstLine="480"/>
        <w:rPr>
          <w:rFonts w:ascii="Times New Roman"/>
          <w:sz w:val="24"/>
          <w:szCs w:val="22"/>
        </w:rPr>
      </w:pPr>
      <w:r>
        <w:rPr>
          <w:rFonts w:hint="eastAsia" w:ascii="Times New Roman"/>
          <w:sz w:val="24"/>
          <w:szCs w:val="22"/>
        </w:rPr>
        <w:t>4 防雷接地引线柔性跨接措施的水平变形量不低于隔震缝宽度的1.2倍，得5分；水平变形量不低于计算最大位移量的1.2倍，得3分；水平变形量不满足上述要求，得0分。</w:t>
      </w:r>
    </w:p>
    <w:p w14:paraId="01435EFE">
      <w:pPr>
        <w:pStyle w:val="174"/>
        <w:spacing w:line="360" w:lineRule="auto"/>
        <w:ind w:firstLine="0" w:firstLineChars="0"/>
        <w:rPr>
          <w:rFonts w:ascii="Times New Roman"/>
          <w:sz w:val="24"/>
          <w:szCs w:val="22"/>
        </w:rPr>
      </w:pPr>
      <w:r>
        <w:rPr>
          <w:rFonts w:hint="eastAsia" w:ascii="Times New Roman"/>
          <w:b/>
          <w:bCs/>
          <w:sz w:val="24"/>
          <w:szCs w:val="22"/>
        </w:rPr>
        <w:t>6.1.</w:t>
      </w:r>
      <w:r>
        <w:rPr>
          <w:rFonts w:hint="eastAsia" w:ascii="Times New Roman"/>
          <w:b/>
          <w:bCs/>
          <w:sz w:val="24"/>
          <w:szCs w:val="22"/>
          <w:lang w:val="en-US" w:eastAsia="zh-CN"/>
        </w:rPr>
        <w:t>11</w:t>
      </w:r>
      <w:r>
        <w:rPr>
          <w:rFonts w:hint="eastAsia" w:ascii="Times New Roman"/>
          <w:b/>
          <w:bCs/>
          <w:sz w:val="24"/>
          <w:szCs w:val="22"/>
        </w:rPr>
        <w:t xml:space="preserve"> </w:t>
      </w:r>
      <w:r>
        <w:rPr>
          <w:rFonts w:hint="eastAsia" w:ascii="Times New Roman"/>
          <w:sz w:val="24"/>
          <w:szCs w:val="22"/>
        </w:rPr>
        <w:t>隔震建筑应设置隔震工程专用标识，评价总分值为20分，应按下列规则分别评分并累计：</w:t>
      </w:r>
    </w:p>
    <w:p w14:paraId="5404B65B">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隔震装置</w:t>
      </w:r>
      <w:r>
        <w:rPr>
          <w:rFonts w:hint="eastAsia" w:ascii="Times New Roman"/>
          <w:sz w:val="24"/>
          <w:szCs w:val="22"/>
        </w:rPr>
        <w:t>附带标识包含生产单位、</w:t>
      </w:r>
      <w:r>
        <w:rPr>
          <w:rFonts w:hint="eastAsia" w:ascii="Times New Roman"/>
          <w:sz w:val="24"/>
          <w:szCs w:val="22"/>
          <w:lang w:eastAsia="zh-CN"/>
        </w:rPr>
        <w:t>装置</w:t>
      </w:r>
      <w:r>
        <w:rPr>
          <w:rFonts w:hint="eastAsia" w:ascii="Times New Roman"/>
          <w:sz w:val="24"/>
          <w:szCs w:val="22"/>
        </w:rPr>
        <w:t>型号、出厂编号、主要力学性能、生产或出厂日期等关键信息，得5分；附带标识关键信息存在缺项，得3分；无附带标识，得0分；</w:t>
      </w:r>
    </w:p>
    <w:p w14:paraId="21EF9AFC">
      <w:pPr>
        <w:pStyle w:val="174"/>
        <w:spacing w:line="360" w:lineRule="auto"/>
        <w:ind w:firstLine="480"/>
        <w:rPr>
          <w:rFonts w:ascii="Times New Roman"/>
          <w:sz w:val="24"/>
          <w:szCs w:val="22"/>
        </w:rPr>
      </w:pPr>
      <w:r>
        <w:rPr>
          <w:rFonts w:hint="eastAsia" w:ascii="Times New Roman"/>
          <w:sz w:val="24"/>
          <w:szCs w:val="22"/>
        </w:rPr>
        <w:t>2 在隔震建筑主要出入口显著位置设置隔震工程主标识，包含隔震工程标志、项目名称、建设单位、设计单位、施工单位、监理单位、主要隔震装置的</w:t>
      </w:r>
      <w:r>
        <w:rPr>
          <w:rFonts w:hint="eastAsia" w:ascii="Times New Roman"/>
          <w:sz w:val="24"/>
          <w:szCs w:val="22"/>
          <w:lang w:eastAsia="zh-CN"/>
        </w:rPr>
        <w:t>装置</w:t>
      </w:r>
      <w:r>
        <w:rPr>
          <w:rFonts w:hint="eastAsia" w:ascii="Times New Roman"/>
          <w:sz w:val="24"/>
          <w:szCs w:val="22"/>
        </w:rPr>
        <w:t>供应商、隔震专项工程验收日期，得5分；未设置主标识或主标识信息缺项，得0分；</w:t>
      </w:r>
    </w:p>
    <w:p w14:paraId="7D31A41A">
      <w:pPr>
        <w:pStyle w:val="174"/>
        <w:spacing w:line="360" w:lineRule="auto"/>
        <w:ind w:firstLine="480"/>
        <w:rPr>
          <w:rFonts w:ascii="Times New Roman"/>
          <w:sz w:val="24"/>
          <w:szCs w:val="22"/>
        </w:rPr>
      </w:pPr>
      <w:r>
        <w:rPr>
          <w:rFonts w:hint="eastAsia" w:ascii="Times New Roman"/>
          <w:sz w:val="24"/>
          <w:szCs w:val="22"/>
        </w:rPr>
        <w:t>3 在隔震层指定位置</w:t>
      </w:r>
      <w:r>
        <w:rPr>
          <w:rFonts w:hint="eastAsia" w:ascii="Times New Roman"/>
          <w:sz w:val="24"/>
          <w:szCs w:val="22"/>
          <w:lang w:val="en-US" w:eastAsia="zh-CN"/>
        </w:rPr>
        <w:t>处</w:t>
      </w:r>
      <w:r>
        <w:rPr>
          <w:rFonts w:hint="eastAsia" w:ascii="Times New Roman"/>
          <w:sz w:val="24"/>
          <w:szCs w:val="22"/>
        </w:rPr>
        <w:t>设置相应的隔震工程专用标识，包含隔震支座标识、隔离缝标识、隔震楼层标识、穿越隔震层部位的可移动管线标识、隔震层检修口标识、疏散避让标识、地面隔震间距标识等，得5分；专用标识缺项，得3分；未设置专用标识，得0分；</w:t>
      </w:r>
    </w:p>
    <w:p w14:paraId="16D44F3A">
      <w:pPr>
        <w:pStyle w:val="174"/>
        <w:spacing w:line="360" w:lineRule="auto"/>
        <w:ind w:firstLine="480"/>
        <w:rPr>
          <w:rFonts w:ascii="Times New Roman"/>
          <w:sz w:val="24"/>
          <w:szCs w:val="22"/>
        </w:rPr>
      </w:pPr>
      <w:r>
        <w:rPr>
          <w:rFonts w:hint="eastAsia" w:ascii="Times New Roman"/>
          <w:sz w:val="24"/>
          <w:szCs w:val="22"/>
        </w:rPr>
        <w:t>4 在隔震建筑周圈人员或车辆出入口设置地面隔震间距标识或标线，得5分；部分出入口未设置，得3分；未设置地面隔震间距标识或标线，得0分。</w:t>
      </w:r>
    </w:p>
    <w:p w14:paraId="17A75771">
      <w:pPr>
        <w:pStyle w:val="174"/>
        <w:spacing w:before="156" w:beforeLines="50" w:after="156" w:afterLines="50" w:line="360" w:lineRule="auto"/>
        <w:ind w:firstLine="0" w:firstLineChars="0"/>
        <w:jc w:val="center"/>
        <w:outlineLvl w:val="1"/>
        <w:rPr>
          <w:rFonts w:ascii="Times New Roman"/>
          <w:b/>
          <w:bCs/>
          <w:sz w:val="28"/>
          <w:szCs w:val="28"/>
        </w:rPr>
      </w:pPr>
      <w:bookmarkStart w:id="56" w:name="_Toc207376002"/>
      <w:bookmarkStart w:id="57" w:name="_Toc25778"/>
      <w:r>
        <w:rPr>
          <w:rFonts w:hint="eastAsia" w:ascii="Times New Roman"/>
          <w:b/>
          <w:bCs/>
          <w:sz w:val="28"/>
          <w:szCs w:val="28"/>
        </w:rPr>
        <w:t xml:space="preserve">6.2 </w:t>
      </w:r>
      <w:r>
        <w:rPr>
          <w:rFonts w:hint="eastAsia" w:ascii="Times New Roman"/>
          <w:b/>
          <w:bCs/>
          <w:sz w:val="28"/>
          <w:szCs w:val="28"/>
          <w:lang w:val="en-US" w:eastAsia="zh-CN"/>
        </w:rPr>
        <w:t>消能</w:t>
      </w:r>
      <w:r>
        <w:rPr>
          <w:rFonts w:hint="eastAsia" w:ascii="Times New Roman"/>
          <w:b/>
          <w:bCs/>
          <w:sz w:val="28"/>
          <w:szCs w:val="28"/>
        </w:rPr>
        <w:t>减震施工</w:t>
      </w:r>
      <w:bookmarkEnd w:id="56"/>
      <w:bookmarkEnd w:id="57"/>
    </w:p>
    <w:p w14:paraId="09D24D6A">
      <w:pPr>
        <w:pStyle w:val="174"/>
        <w:spacing w:line="360" w:lineRule="auto"/>
        <w:ind w:left="420" w:hanging="420" w:firstLineChars="0"/>
        <w:jc w:val="center"/>
        <w:outlineLvl w:val="2"/>
        <w:rPr>
          <w:rFonts w:ascii="Times New Roman"/>
          <w:b/>
          <w:bCs/>
          <w:sz w:val="24"/>
          <w:szCs w:val="22"/>
        </w:rPr>
      </w:pPr>
      <w:bookmarkStart w:id="58" w:name="_Toc23245"/>
      <w:bookmarkStart w:id="59" w:name="_Toc207376003"/>
      <w:r>
        <w:rPr>
          <w:rFonts w:hint="eastAsia" w:ascii="Times New Roman"/>
          <w:b/>
          <w:bCs/>
          <w:sz w:val="24"/>
          <w:szCs w:val="22"/>
        </w:rPr>
        <w:t>I 控制项</w:t>
      </w:r>
      <w:bookmarkEnd w:id="58"/>
      <w:bookmarkEnd w:id="59"/>
    </w:p>
    <w:p w14:paraId="77598E10">
      <w:pPr>
        <w:pStyle w:val="174"/>
        <w:spacing w:line="360" w:lineRule="auto"/>
        <w:ind w:firstLine="0" w:firstLineChars="0"/>
        <w:rPr>
          <w:rFonts w:ascii="Times New Roman"/>
          <w:sz w:val="24"/>
          <w:szCs w:val="22"/>
        </w:rPr>
      </w:pPr>
      <w:r>
        <w:rPr>
          <w:rFonts w:hint="eastAsia" w:ascii="Times New Roman"/>
          <w:b/>
          <w:bCs/>
          <w:sz w:val="24"/>
          <w:szCs w:val="22"/>
        </w:rPr>
        <w:t xml:space="preserve">6.2.1 </w:t>
      </w:r>
      <w:r>
        <w:rPr>
          <w:rFonts w:hint="eastAsia" w:ascii="Times New Roman"/>
          <w:sz w:val="24"/>
          <w:szCs w:val="22"/>
        </w:rPr>
        <w:t>减震施工前应编制经设计单位、监理单位审批后的减震施工专项方案，明确减震装置安装流程、</w:t>
      </w:r>
      <w:r>
        <w:rPr>
          <w:rFonts w:hint="eastAsia" w:ascii="Times New Roman"/>
          <w:sz w:val="24"/>
          <w:szCs w:val="22"/>
          <w:lang w:eastAsia="zh-CN"/>
        </w:rPr>
        <w:t>装置</w:t>
      </w:r>
      <w:r>
        <w:rPr>
          <w:rFonts w:hint="eastAsia" w:ascii="Times New Roman"/>
          <w:sz w:val="24"/>
          <w:szCs w:val="22"/>
        </w:rPr>
        <w:t>安装精度、</w:t>
      </w:r>
      <w:r>
        <w:rPr>
          <w:rFonts w:hint="eastAsia" w:ascii="Times New Roman"/>
          <w:sz w:val="24"/>
          <w:szCs w:val="22"/>
          <w:lang w:eastAsia="zh-CN"/>
        </w:rPr>
        <w:t>装置</w:t>
      </w:r>
      <w:r>
        <w:rPr>
          <w:rFonts w:hint="eastAsia" w:ascii="Times New Roman"/>
          <w:sz w:val="24"/>
          <w:szCs w:val="22"/>
        </w:rPr>
        <w:t>封装工艺等关键内容。</w:t>
      </w:r>
    </w:p>
    <w:p w14:paraId="41ABFA24">
      <w:pPr>
        <w:pStyle w:val="174"/>
        <w:spacing w:line="360" w:lineRule="auto"/>
        <w:ind w:firstLine="0" w:firstLineChars="0"/>
        <w:rPr>
          <w:rFonts w:ascii="Times New Roman"/>
          <w:sz w:val="24"/>
          <w:szCs w:val="22"/>
        </w:rPr>
      </w:pPr>
      <w:r>
        <w:rPr>
          <w:rFonts w:hint="eastAsia" w:ascii="Times New Roman"/>
          <w:b/>
          <w:bCs/>
          <w:sz w:val="24"/>
          <w:szCs w:val="22"/>
        </w:rPr>
        <w:t xml:space="preserve">6.2.2 </w:t>
      </w:r>
      <w:r>
        <w:rPr>
          <w:rFonts w:hint="eastAsia" w:ascii="Times New Roman"/>
          <w:sz w:val="24"/>
          <w:szCs w:val="22"/>
          <w:lang w:eastAsia="zh-CN"/>
        </w:rPr>
        <w:t>消能减震装置</w:t>
      </w:r>
      <w:r>
        <w:rPr>
          <w:rFonts w:hint="eastAsia" w:ascii="Times New Roman"/>
          <w:sz w:val="24"/>
          <w:szCs w:val="22"/>
        </w:rPr>
        <w:t>安装前，应严格核对</w:t>
      </w:r>
      <w:r>
        <w:rPr>
          <w:rFonts w:hint="eastAsia" w:ascii="Times New Roman"/>
          <w:sz w:val="24"/>
          <w:szCs w:val="22"/>
          <w:lang w:eastAsia="zh-CN"/>
        </w:rPr>
        <w:t>装置</w:t>
      </w:r>
      <w:r>
        <w:rPr>
          <w:rFonts w:hint="eastAsia" w:ascii="Times New Roman"/>
          <w:sz w:val="24"/>
          <w:szCs w:val="22"/>
        </w:rPr>
        <w:t>的出厂合格证、出场检验报告、第三方抽检报告，保证</w:t>
      </w:r>
      <w:r>
        <w:rPr>
          <w:rFonts w:hint="eastAsia" w:ascii="Times New Roman"/>
          <w:sz w:val="24"/>
          <w:szCs w:val="22"/>
          <w:lang w:eastAsia="zh-CN"/>
        </w:rPr>
        <w:t>装置</w:t>
      </w:r>
      <w:r>
        <w:rPr>
          <w:rFonts w:hint="eastAsia" w:ascii="Times New Roman"/>
          <w:sz w:val="24"/>
          <w:szCs w:val="22"/>
        </w:rPr>
        <w:t>实际性能与设计文件一致。</w:t>
      </w:r>
    </w:p>
    <w:p w14:paraId="079C0076">
      <w:pPr>
        <w:pStyle w:val="174"/>
        <w:spacing w:line="360" w:lineRule="auto"/>
        <w:ind w:firstLine="0" w:firstLineChars="0"/>
        <w:rPr>
          <w:rFonts w:ascii="Times New Roman"/>
          <w:sz w:val="24"/>
          <w:szCs w:val="22"/>
        </w:rPr>
      </w:pPr>
      <w:r>
        <w:rPr>
          <w:rFonts w:hint="eastAsia" w:ascii="Times New Roman"/>
          <w:b/>
          <w:bCs/>
          <w:sz w:val="24"/>
          <w:szCs w:val="22"/>
        </w:rPr>
        <w:t xml:space="preserve">6.2.3 </w:t>
      </w:r>
      <w:r>
        <w:rPr>
          <w:rFonts w:hint="eastAsia" w:ascii="Times New Roman"/>
          <w:sz w:val="24"/>
          <w:szCs w:val="22"/>
          <w:lang w:eastAsia="zh-CN"/>
        </w:rPr>
        <w:t>消能减震装置</w:t>
      </w:r>
      <w:r>
        <w:rPr>
          <w:rFonts w:hint="eastAsia" w:ascii="Times New Roman"/>
          <w:sz w:val="24"/>
          <w:szCs w:val="22"/>
        </w:rPr>
        <w:t>与主体结构的连接应保证</w:t>
      </w:r>
      <w:r>
        <w:rPr>
          <w:rFonts w:hint="eastAsia" w:ascii="Times New Roman"/>
          <w:sz w:val="24"/>
          <w:szCs w:val="22"/>
          <w:lang w:eastAsia="zh-CN"/>
        </w:rPr>
        <w:t>装置</w:t>
      </w:r>
      <w:r>
        <w:rPr>
          <w:rFonts w:hint="eastAsia" w:ascii="Times New Roman"/>
          <w:sz w:val="24"/>
          <w:szCs w:val="22"/>
        </w:rPr>
        <w:t>正常工作并能充分发挥耗能效果，</w:t>
      </w:r>
      <w:r>
        <w:rPr>
          <w:rFonts w:hint="eastAsia" w:ascii="Times New Roman"/>
          <w:sz w:val="24"/>
          <w:szCs w:val="22"/>
          <w:lang w:eastAsia="zh-CN"/>
        </w:rPr>
        <w:t>消能减震装置</w:t>
      </w:r>
      <w:r>
        <w:rPr>
          <w:rFonts w:hint="eastAsia" w:ascii="Times New Roman"/>
          <w:sz w:val="24"/>
          <w:szCs w:val="22"/>
        </w:rPr>
        <w:t>连接形式应满足《建筑消能减震技术规程》JGJ 297等行业标准、图集的相关要求。</w:t>
      </w:r>
    </w:p>
    <w:p w14:paraId="6E038237">
      <w:pPr>
        <w:pStyle w:val="174"/>
        <w:spacing w:line="360" w:lineRule="auto"/>
        <w:ind w:firstLine="0" w:firstLineChars="0"/>
        <w:rPr>
          <w:rFonts w:ascii="Times New Roman"/>
          <w:sz w:val="24"/>
          <w:szCs w:val="22"/>
        </w:rPr>
      </w:pPr>
      <w:r>
        <w:rPr>
          <w:rFonts w:hint="eastAsia" w:ascii="Times New Roman"/>
          <w:b/>
          <w:bCs/>
          <w:sz w:val="24"/>
          <w:szCs w:val="22"/>
        </w:rPr>
        <w:t xml:space="preserve">6.2.4 </w:t>
      </w:r>
      <w:r>
        <w:rPr>
          <w:rFonts w:hint="eastAsia" w:ascii="Times New Roman"/>
          <w:sz w:val="24"/>
          <w:szCs w:val="22"/>
          <w:lang w:eastAsia="zh-CN"/>
        </w:rPr>
        <w:t>消能减震装置</w:t>
      </w:r>
      <w:r>
        <w:rPr>
          <w:rFonts w:hint="eastAsia" w:ascii="Times New Roman"/>
          <w:sz w:val="24"/>
          <w:szCs w:val="22"/>
        </w:rPr>
        <w:t>与节点板、预埋件或支撑可采用焊接、销轴连接或高强螺栓等形式连接，不同连接形式的强度验算、构造要求应符合现行国家标准《钢结构设计标准》GB 50017、《钢结构焊接规范》GB 50661、《混凝土结构后锚固技术规程》JGJ 145和《钢结构高强度螺栓连接技术规程》JGJ 82的相关规定。</w:t>
      </w:r>
    </w:p>
    <w:p w14:paraId="286E5BDE">
      <w:pPr>
        <w:pStyle w:val="174"/>
        <w:spacing w:line="360" w:lineRule="auto"/>
        <w:ind w:firstLine="0" w:firstLineChars="0"/>
        <w:rPr>
          <w:rFonts w:ascii="Times New Roman"/>
          <w:sz w:val="24"/>
          <w:szCs w:val="22"/>
        </w:rPr>
      </w:pPr>
      <w:r>
        <w:rPr>
          <w:rFonts w:hint="eastAsia" w:ascii="Times New Roman"/>
          <w:b/>
          <w:bCs/>
          <w:sz w:val="24"/>
          <w:szCs w:val="22"/>
        </w:rPr>
        <w:t xml:space="preserve">6.2.5 </w:t>
      </w:r>
      <w:r>
        <w:rPr>
          <w:rFonts w:hint="eastAsia" w:ascii="Times New Roman"/>
          <w:sz w:val="24"/>
          <w:szCs w:val="22"/>
          <w:lang w:eastAsia="zh-CN"/>
        </w:rPr>
        <w:t>消能减震装置</w:t>
      </w:r>
      <w:r>
        <w:rPr>
          <w:rFonts w:hint="eastAsia" w:ascii="Times New Roman"/>
          <w:sz w:val="24"/>
          <w:szCs w:val="22"/>
        </w:rPr>
        <w:t>与非结构构件之间应采用柔性连接或进行柔性材料填充，保证</w:t>
      </w:r>
      <w:r>
        <w:rPr>
          <w:rFonts w:hint="eastAsia" w:ascii="Times New Roman"/>
          <w:sz w:val="24"/>
          <w:szCs w:val="22"/>
          <w:lang w:eastAsia="zh-CN"/>
        </w:rPr>
        <w:t>消能减震装置</w:t>
      </w:r>
      <w:r>
        <w:rPr>
          <w:rFonts w:hint="eastAsia" w:ascii="Times New Roman"/>
          <w:sz w:val="24"/>
          <w:szCs w:val="22"/>
        </w:rPr>
        <w:t>的有效变形空间。</w:t>
      </w:r>
    </w:p>
    <w:p w14:paraId="49602E1B">
      <w:pPr>
        <w:pStyle w:val="174"/>
        <w:spacing w:line="360" w:lineRule="auto"/>
        <w:ind w:firstLine="0" w:firstLineChars="0"/>
        <w:rPr>
          <w:rFonts w:ascii="Times New Roman"/>
          <w:sz w:val="24"/>
          <w:szCs w:val="22"/>
        </w:rPr>
      </w:pPr>
      <w:r>
        <w:rPr>
          <w:rFonts w:hint="eastAsia" w:ascii="Times New Roman"/>
          <w:b/>
          <w:bCs/>
          <w:sz w:val="24"/>
          <w:szCs w:val="22"/>
        </w:rPr>
        <w:t xml:space="preserve">6.2.6 </w:t>
      </w:r>
      <w:r>
        <w:rPr>
          <w:rFonts w:hint="eastAsia" w:ascii="Times New Roman"/>
          <w:sz w:val="24"/>
          <w:szCs w:val="22"/>
        </w:rPr>
        <w:t>与</w:t>
      </w:r>
      <w:r>
        <w:rPr>
          <w:rFonts w:hint="eastAsia" w:ascii="Times New Roman"/>
          <w:sz w:val="24"/>
          <w:szCs w:val="22"/>
          <w:lang w:eastAsia="zh-CN"/>
        </w:rPr>
        <w:t>消能减震装置</w:t>
      </w:r>
      <w:r>
        <w:rPr>
          <w:rFonts w:hint="eastAsia" w:ascii="Times New Roman"/>
          <w:sz w:val="24"/>
          <w:szCs w:val="22"/>
        </w:rPr>
        <w:t>相连的连接墙、支墩应沿</w:t>
      </w:r>
      <w:r>
        <w:rPr>
          <w:rFonts w:hint="eastAsia" w:ascii="Times New Roman"/>
          <w:sz w:val="24"/>
          <w:szCs w:val="22"/>
          <w:lang w:eastAsia="zh-CN"/>
        </w:rPr>
        <w:t>装置</w:t>
      </w:r>
      <w:r>
        <w:rPr>
          <w:rFonts w:hint="eastAsia" w:ascii="Times New Roman"/>
          <w:sz w:val="24"/>
          <w:szCs w:val="22"/>
        </w:rPr>
        <w:t>作用力方向全截面箍筋加密，并配置网状钢筋。</w:t>
      </w:r>
    </w:p>
    <w:p w14:paraId="686A40FE">
      <w:pPr>
        <w:pStyle w:val="174"/>
        <w:spacing w:line="360" w:lineRule="auto"/>
        <w:ind w:left="420" w:hanging="420" w:firstLineChars="0"/>
        <w:jc w:val="center"/>
        <w:outlineLvl w:val="2"/>
        <w:rPr>
          <w:rFonts w:ascii="Times New Roman"/>
          <w:b/>
          <w:bCs/>
          <w:sz w:val="24"/>
          <w:szCs w:val="22"/>
        </w:rPr>
      </w:pPr>
      <w:bookmarkStart w:id="60" w:name="_Toc28313"/>
      <w:bookmarkStart w:id="61" w:name="_Toc207376004"/>
      <w:r>
        <w:rPr>
          <w:rFonts w:hint="eastAsia" w:ascii="Times New Roman"/>
          <w:b/>
          <w:bCs/>
          <w:sz w:val="24"/>
          <w:szCs w:val="22"/>
        </w:rPr>
        <w:t>II 评分项</w:t>
      </w:r>
      <w:bookmarkEnd w:id="60"/>
      <w:bookmarkEnd w:id="61"/>
    </w:p>
    <w:p w14:paraId="4F4C4DED">
      <w:pPr>
        <w:pStyle w:val="174"/>
        <w:spacing w:line="360" w:lineRule="auto"/>
        <w:ind w:firstLine="0" w:firstLineChars="0"/>
        <w:rPr>
          <w:rFonts w:ascii="Times New Roman"/>
          <w:sz w:val="24"/>
          <w:szCs w:val="22"/>
        </w:rPr>
      </w:pPr>
      <w:r>
        <w:rPr>
          <w:rFonts w:hint="eastAsia" w:ascii="Times New Roman"/>
          <w:b/>
          <w:bCs/>
          <w:sz w:val="24"/>
          <w:szCs w:val="22"/>
        </w:rPr>
        <w:t xml:space="preserve">6.2.8 </w:t>
      </w:r>
      <w:r>
        <w:rPr>
          <w:rFonts w:hint="eastAsia" w:ascii="Times New Roman"/>
          <w:sz w:val="24"/>
          <w:szCs w:val="22"/>
          <w:lang w:eastAsia="zh-CN"/>
        </w:rPr>
        <w:t>消能减震装置</w:t>
      </w:r>
      <w:r>
        <w:rPr>
          <w:rFonts w:hint="eastAsia" w:ascii="Times New Roman"/>
          <w:sz w:val="24"/>
          <w:szCs w:val="22"/>
        </w:rPr>
        <w:t>安装的节点构造应保证</w:t>
      </w:r>
      <w:r>
        <w:rPr>
          <w:rFonts w:hint="eastAsia" w:ascii="Times New Roman"/>
          <w:sz w:val="24"/>
          <w:szCs w:val="22"/>
          <w:lang w:eastAsia="zh-CN"/>
        </w:rPr>
        <w:t>装置</w:t>
      </w:r>
      <w:r>
        <w:rPr>
          <w:rFonts w:hint="eastAsia" w:ascii="Times New Roman"/>
          <w:sz w:val="24"/>
          <w:szCs w:val="22"/>
        </w:rPr>
        <w:t>耗能能力充分发挥，且与主体结构协同运动，评价总分值为60分，应按下列规则分别评分并累计：</w:t>
      </w:r>
    </w:p>
    <w:p w14:paraId="42E9C5FD">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消能减震装置</w:t>
      </w:r>
      <w:r>
        <w:rPr>
          <w:rFonts w:hint="eastAsia" w:ascii="Times New Roman"/>
          <w:sz w:val="24"/>
          <w:szCs w:val="22"/>
        </w:rPr>
        <w:t>安装预留的水平或竖向工作空间不低于</w:t>
      </w:r>
      <w:r>
        <w:rPr>
          <w:rFonts w:hint="eastAsia" w:ascii="Times New Roman"/>
          <w:sz w:val="24"/>
          <w:szCs w:val="22"/>
          <w:lang w:eastAsia="zh-CN"/>
        </w:rPr>
        <w:t>装置</w:t>
      </w:r>
      <w:r>
        <w:rPr>
          <w:rFonts w:hint="eastAsia" w:ascii="Times New Roman"/>
          <w:sz w:val="24"/>
          <w:szCs w:val="22"/>
        </w:rPr>
        <w:t>极限位移的1.5倍，得15分；不低于</w:t>
      </w:r>
      <w:r>
        <w:rPr>
          <w:rFonts w:hint="eastAsia" w:ascii="Times New Roman"/>
          <w:sz w:val="24"/>
          <w:szCs w:val="22"/>
          <w:lang w:eastAsia="zh-CN"/>
        </w:rPr>
        <w:t>装置</w:t>
      </w:r>
      <w:r>
        <w:rPr>
          <w:rFonts w:hint="eastAsia" w:ascii="Times New Roman"/>
          <w:sz w:val="24"/>
          <w:szCs w:val="22"/>
        </w:rPr>
        <w:t>极限位移，得10分；低于</w:t>
      </w:r>
      <w:r>
        <w:rPr>
          <w:rFonts w:hint="eastAsia" w:ascii="Times New Roman"/>
          <w:sz w:val="24"/>
          <w:szCs w:val="22"/>
          <w:lang w:eastAsia="zh-CN"/>
        </w:rPr>
        <w:t>装置</w:t>
      </w:r>
      <w:r>
        <w:rPr>
          <w:rFonts w:hint="eastAsia" w:ascii="Times New Roman"/>
          <w:sz w:val="24"/>
          <w:szCs w:val="22"/>
        </w:rPr>
        <w:t>极限位移，得0分；</w:t>
      </w:r>
    </w:p>
    <w:p w14:paraId="1F4F3962">
      <w:pPr>
        <w:pStyle w:val="174"/>
        <w:spacing w:line="360" w:lineRule="auto"/>
        <w:ind w:firstLine="480"/>
        <w:rPr>
          <w:rFonts w:ascii="Times New Roman"/>
          <w:sz w:val="24"/>
          <w:szCs w:val="22"/>
        </w:rPr>
      </w:pPr>
      <w:r>
        <w:rPr>
          <w:rFonts w:hint="eastAsia" w:ascii="Times New Roman"/>
          <w:sz w:val="24"/>
          <w:szCs w:val="22"/>
        </w:rPr>
        <w:t xml:space="preserve">2 </w:t>
      </w:r>
      <w:r>
        <w:rPr>
          <w:rFonts w:hint="eastAsia" w:ascii="Times New Roman"/>
          <w:sz w:val="24"/>
          <w:szCs w:val="22"/>
          <w:lang w:eastAsia="zh-CN"/>
        </w:rPr>
        <w:t>消能减震装置</w:t>
      </w:r>
      <w:r>
        <w:rPr>
          <w:rFonts w:hint="eastAsia" w:ascii="Times New Roman"/>
          <w:sz w:val="24"/>
          <w:szCs w:val="22"/>
        </w:rPr>
        <w:t>连接节点与附近填充墙、隔墙或主体结构预留缝隙采用柔性材料填充</w:t>
      </w:r>
      <w:r>
        <w:rPr>
          <w:rFonts w:hint="eastAsia" w:ascii="Times New Roman"/>
          <w:sz w:val="24"/>
          <w:szCs w:val="22"/>
          <w:lang w:val="en-US" w:eastAsia="zh-CN"/>
        </w:rPr>
        <w:t>或预留空间</w:t>
      </w:r>
      <w:r>
        <w:rPr>
          <w:rFonts w:hint="eastAsia" w:ascii="Times New Roman"/>
          <w:sz w:val="24"/>
          <w:szCs w:val="22"/>
        </w:rPr>
        <w:t>，得15分；未采用柔性材料填充</w:t>
      </w:r>
      <w:r>
        <w:rPr>
          <w:rFonts w:hint="eastAsia" w:ascii="Times New Roman"/>
          <w:sz w:val="24"/>
          <w:szCs w:val="22"/>
          <w:lang w:val="en-US" w:eastAsia="zh-CN"/>
        </w:rPr>
        <w:t>或预留空间</w:t>
      </w:r>
      <w:r>
        <w:rPr>
          <w:rFonts w:hint="eastAsia" w:ascii="Times New Roman"/>
          <w:sz w:val="24"/>
          <w:szCs w:val="22"/>
        </w:rPr>
        <w:t>，得0分；</w:t>
      </w:r>
    </w:p>
    <w:p w14:paraId="4D50849A">
      <w:pPr>
        <w:pStyle w:val="174"/>
        <w:spacing w:line="360" w:lineRule="auto"/>
        <w:ind w:firstLine="480"/>
        <w:rPr>
          <w:rFonts w:ascii="Times New Roman"/>
          <w:sz w:val="24"/>
          <w:szCs w:val="22"/>
        </w:rPr>
      </w:pPr>
      <w:r>
        <w:rPr>
          <w:rFonts w:hint="eastAsia" w:ascii="Times New Roman"/>
          <w:sz w:val="24"/>
          <w:szCs w:val="22"/>
        </w:rPr>
        <w:t xml:space="preserve">3 </w:t>
      </w:r>
      <w:r>
        <w:rPr>
          <w:rFonts w:hint="eastAsia" w:ascii="Times New Roman"/>
          <w:sz w:val="24"/>
          <w:szCs w:val="22"/>
          <w:lang w:eastAsia="zh-CN"/>
        </w:rPr>
        <w:t>消能减震装置</w:t>
      </w:r>
      <w:r>
        <w:rPr>
          <w:rFonts w:hint="eastAsia" w:ascii="Times New Roman"/>
          <w:sz w:val="24"/>
          <w:szCs w:val="22"/>
        </w:rPr>
        <w:t>连接节点预埋件平面位置偏差不超过±3mm，得10分；不超过±5mm，得5分；超过±5mm，得0分；</w:t>
      </w:r>
    </w:p>
    <w:p w14:paraId="24FBE336">
      <w:pPr>
        <w:pStyle w:val="174"/>
        <w:spacing w:line="360" w:lineRule="auto"/>
        <w:ind w:firstLine="480"/>
        <w:rPr>
          <w:rFonts w:ascii="Times New Roman"/>
          <w:sz w:val="24"/>
          <w:szCs w:val="22"/>
        </w:rPr>
      </w:pPr>
      <w:r>
        <w:rPr>
          <w:rFonts w:hint="eastAsia" w:ascii="Times New Roman"/>
          <w:sz w:val="24"/>
          <w:szCs w:val="22"/>
        </w:rPr>
        <w:t>4 预埋件标高偏差不超过±3mm，得10分；不超过±5mm，得5分；超过±5mm，得0分；</w:t>
      </w:r>
    </w:p>
    <w:p w14:paraId="6E484B3B">
      <w:pPr>
        <w:pStyle w:val="174"/>
        <w:spacing w:line="360" w:lineRule="auto"/>
        <w:ind w:firstLine="480"/>
        <w:rPr>
          <w:rFonts w:ascii="Times New Roman"/>
          <w:sz w:val="24"/>
          <w:szCs w:val="22"/>
        </w:rPr>
      </w:pPr>
      <w:r>
        <w:rPr>
          <w:rFonts w:hint="eastAsia" w:ascii="Times New Roman"/>
          <w:sz w:val="24"/>
          <w:szCs w:val="22"/>
        </w:rPr>
        <w:t>5 预埋件水平度偏差不超过2‰，得10分；不超过3‰，得5分；超过3‰，得0分；</w:t>
      </w:r>
    </w:p>
    <w:p w14:paraId="55D290C4">
      <w:pPr>
        <w:pStyle w:val="174"/>
        <w:spacing w:line="360" w:lineRule="auto"/>
        <w:ind w:firstLine="0" w:firstLineChars="0"/>
        <w:rPr>
          <w:rFonts w:ascii="Times New Roman"/>
          <w:sz w:val="24"/>
          <w:szCs w:val="22"/>
        </w:rPr>
      </w:pPr>
      <w:r>
        <w:rPr>
          <w:rFonts w:hint="eastAsia" w:ascii="Times New Roman"/>
          <w:b/>
          <w:bCs/>
          <w:sz w:val="24"/>
          <w:szCs w:val="22"/>
        </w:rPr>
        <w:t xml:space="preserve">6.2.9 </w:t>
      </w:r>
      <w:r>
        <w:rPr>
          <w:rFonts w:hint="eastAsia" w:ascii="Times New Roman"/>
          <w:sz w:val="24"/>
          <w:szCs w:val="22"/>
          <w:lang w:eastAsia="zh-CN"/>
        </w:rPr>
        <w:t>消能减震装置</w:t>
      </w:r>
      <w:r>
        <w:rPr>
          <w:rFonts w:hint="eastAsia" w:ascii="Times New Roman"/>
          <w:sz w:val="24"/>
          <w:szCs w:val="22"/>
        </w:rPr>
        <w:t>施工安装工艺应保证安装质量，评价总分值为100分，应按下列规则分别评分并累计：</w:t>
      </w:r>
    </w:p>
    <w:p w14:paraId="36370C5B">
      <w:pPr>
        <w:pStyle w:val="174"/>
        <w:spacing w:line="360" w:lineRule="auto"/>
        <w:ind w:firstLine="480"/>
        <w:rPr>
          <w:rFonts w:ascii="Times New Roman"/>
          <w:sz w:val="24"/>
          <w:szCs w:val="22"/>
        </w:rPr>
      </w:pPr>
      <w:r>
        <w:rPr>
          <w:rFonts w:ascii="Times New Roman"/>
          <w:sz w:val="24"/>
          <w:szCs w:val="22"/>
        </w:rPr>
        <w:t xml:space="preserve">1 </w:t>
      </w:r>
      <w:r>
        <w:rPr>
          <w:rFonts w:hint="eastAsia" w:ascii="Times New Roman"/>
          <w:sz w:val="24"/>
          <w:szCs w:val="22"/>
        </w:rPr>
        <w:t>螺栓连接节点的螺栓型号、强度等级、数量符合设计要求，焊接节点的焊缝等级、高度、长度符合设计要求，得</w:t>
      </w:r>
      <w:r>
        <w:rPr>
          <w:rFonts w:ascii="Times New Roman"/>
          <w:sz w:val="24"/>
          <w:szCs w:val="22"/>
        </w:rPr>
        <w:t>1</w:t>
      </w:r>
      <w:r>
        <w:rPr>
          <w:rFonts w:hint="eastAsia" w:ascii="Times New Roman"/>
          <w:sz w:val="24"/>
          <w:szCs w:val="22"/>
          <w:lang w:val="en-US" w:eastAsia="zh-CN"/>
        </w:rPr>
        <w:t>5</w:t>
      </w:r>
      <w:r>
        <w:rPr>
          <w:rFonts w:hint="eastAsia" w:ascii="Times New Roman"/>
          <w:sz w:val="24"/>
          <w:szCs w:val="22"/>
        </w:rPr>
        <w:t>分；任一项低于设计要求，得</w:t>
      </w:r>
      <w:r>
        <w:rPr>
          <w:rFonts w:ascii="Times New Roman"/>
          <w:sz w:val="24"/>
          <w:szCs w:val="22"/>
        </w:rPr>
        <w:t>0</w:t>
      </w:r>
      <w:r>
        <w:rPr>
          <w:rFonts w:hint="eastAsia" w:ascii="Times New Roman"/>
          <w:sz w:val="24"/>
          <w:szCs w:val="22"/>
        </w:rPr>
        <w:t>分；</w:t>
      </w:r>
    </w:p>
    <w:p w14:paraId="7B3CA875">
      <w:pPr>
        <w:pStyle w:val="174"/>
        <w:spacing w:line="360" w:lineRule="auto"/>
        <w:ind w:firstLine="480"/>
        <w:rPr>
          <w:rFonts w:ascii="Times New Roman"/>
          <w:sz w:val="24"/>
          <w:szCs w:val="22"/>
        </w:rPr>
      </w:pPr>
      <w:r>
        <w:rPr>
          <w:rFonts w:hint="eastAsia" w:ascii="Times New Roman"/>
          <w:sz w:val="24"/>
          <w:szCs w:val="22"/>
        </w:rPr>
        <w:t>2 连接节点无锈蚀痕迹且采用防腐处理，如涂刷防腐涂料、采用防腐螺栓等，得10分；节点有锈蚀痕迹或未采用防腐处理，得0分；</w:t>
      </w:r>
    </w:p>
    <w:p w14:paraId="78E1DA05">
      <w:pPr>
        <w:pStyle w:val="174"/>
        <w:spacing w:line="360" w:lineRule="auto"/>
        <w:ind w:firstLine="480"/>
        <w:rPr>
          <w:rFonts w:ascii="Times New Roman"/>
          <w:sz w:val="24"/>
          <w:szCs w:val="22"/>
        </w:rPr>
      </w:pPr>
      <w:r>
        <w:rPr>
          <w:rFonts w:hint="eastAsia" w:ascii="Times New Roman"/>
          <w:sz w:val="24"/>
          <w:szCs w:val="22"/>
        </w:rPr>
        <w:t xml:space="preserve">3 </w:t>
      </w:r>
      <w:r>
        <w:rPr>
          <w:rFonts w:hint="eastAsia" w:ascii="Times New Roman"/>
          <w:sz w:val="24"/>
          <w:szCs w:val="22"/>
          <w:lang w:eastAsia="zh-CN"/>
        </w:rPr>
        <w:t>消能减震装置</w:t>
      </w:r>
      <w:r>
        <w:rPr>
          <w:rFonts w:hint="eastAsia" w:ascii="Times New Roman"/>
          <w:sz w:val="24"/>
          <w:szCs w:val="22"/>
        </w:rPr>
        <w:t>安装角度与设计角度偏差不超过2%，得10分；安装角度不超过3%，得5分；超过3%，得0分；</w:t>
      </w:r>
    </w:p>
    <w:p w14:paraId="0B75DF4A">
      <w:pPr>
        <w:pStyle w:val="174"/>
        <w:spacing w:line="360" w:lineRule="auto"/>
        <w:ind w:firstLine="480"/>
        <w:rPr>
          <w:rFonts w:ascii="Times New Roman"/>
          <w:sz w:val="24"/>
          <w:szCs w:val="22"/>
        </w:rPr>
      </w:pPr>
      <w:r>
        <w:rPr>
          <w:rFonts w:hint="eastAsia" w:ascii="Times New Roman"/>
          <w:sz w:val="24"/>
          <w:szCs w:val="22"/>
        </w:rPr>
        <w:t xml:space="preserve">4 </w:t>
      </w:r>
      <w:r>
        <w:rPr>
          <w:rFonts w:hint="eastAsia" w:ascii="Times New Roman"/>
          <w:sz w:val="24"/>
          <w:szCs w:val="22"/>
          <w:lang w:eastAsia="zh-CN"/>
        </w:rPr>
        <w:t>消能减震装置</w:t>
      </w:r>
      <w:r>
        <w:rPr>
          <w:rFonts w:hint="eastAsia" w:ascii="Times New Roman"/>
          <w:sz w:val="24"/>
          <w:szCs w:val="22"/>
        </w:rPr>
        <w:t>面外倾斜角度不超过1%，得10分；不超过2%，得5分；超过2%，得0分；</w:t>
      </w:r>
    </w:p>
    <w:p w14:paraId="3CE74F60">
      <w:pPr>
        <w:pStyle w:val="174"/>
        <w:spacing w:line="360" w:lineRule="auto"/>
        <w:ind w:firstLine="480"/>
        <w:rPr>
          <w:rFonts w:ascii="Times New Roman"/>
          <w:sz w:val="24"/>
          <w:szCs w:val="22"/>
        </w:rPr>
      </w:pPr>
      <w:r>
        <w:rPr>
          <w:rFonts w:hint="eastAsia" w:ascii="Times New Roman"/>
          <w:sz w:val="24"/>
          <w:szCs w:val="22"/>
        </w:rPr>
        <w:t xml:space="preserve">5 </w:t>
      </w:r>
      <w:r>
        <w:rPr>
          <w:rFonts w:hint="eastAsia" w:ascii="Times New Roman"/>
          <w:sz w:val="24"/>
          <w:szCs w:val="22"/>
          <w:lang w:eastAsia="zh-CN"/>
        </w:rPr>
        <w:t>消能减震装置</w:t>
      </w:r>
      <w:r>
        <w:rPr>
          <w:rFonts w:hint="eastAsia" w:ascii="Times New Roman"/>
          <w:sz w:val="24"/>
          <w:szCs w:val="22"/>
        </w:rPr>
        <w:t>与预埋件间的最大间隙不大于0.5mm，得10分；不大于1mm，得5分；大于1mm，得0分；</w:t>
      </w:r>
    </w:p>
    <w:p w14:paraId="3558E5BC">
      <w:pPr>
        <w:pStyle w:val="174"/>
        <w:spacing w:line="360" w:lineRule="auto"/>
        <w:ind w:firstLine="480"/>
        <w:rPr>
          <w:rFonts w:ascii="Times New Roman"/>
          <w:sz w:val="24"/>
          <w:szCs w:val="22"/>
        </w:rPr>
      </w:pPr>
      <w:r>
        <w:rPr>
          <w:rFonts w:hint="eastAsia" w:ascii="Times New Roman"/>
          <w:sz w:val="24"/>
          <w:szCs w:val="22"/>
        </w:rPr>
        <w:t xml:space="preserve">6 </w:t>
      </w:r>
      <w:r>
        <w:rPr>
          <w:rFonts w:hint="eastAsia" w:ascii="Times New Roman"/>
          <w:sz w:val="24"/>
          <w:szCs w:val="22"/>
          <w:lang w:eastAsia="zh-CN"/>
        </w:rPr>
        <w:t>消能减震装置</w:t>
      </w:r>
      <w:r>
        <w:rPr>
          <w:rFonts w:hint="eastAsia" w:ascii="Times New Roman"/>
          <w:sz w:val="24"/>
          <w:szCs w:val="22"/>
        </w:rPr>
        <w:t>及预埋件表面无施工损伤，如划痕、变形、漏液等，得10分；存在轻微损伤且不影响使用功能，得5分；存在严重损伤、影响使用功能，得0分；</w:t>
      </w:r>
    </w:p>
    <w:p w14:paraId="1D85BE4B">
      <w:pPr>
        <w:pStyle w:val="174"/>
        <w:spacing w:line="360" w:lineRule="auto"/>
        <w:ind w:firstLine="480"/>
        <w:rPr>
          <w:rFonts w:ascii="Times New Roman"/>
          <w:sz w:val="24"/>
          <w:szCs w:val="22"/>
        </w:rPr>
      </w:pPr>
      <w:r>
        <w:rPr>
          <w:rFonts w:hint="eastAsia" w:ascii="Times New Roman"/>
          <w:sz w:val="24"/>
          <w:szCs w:val="22"/>
        </w:rPr>
        <w:t xml:space="preserve">7 </w:t>
      </w:r>
      <w:r>
        <w:rPr>
          <w:rFonts w:hint="eastAsia" w:ascii="Times New Roman"/>
          <w:sz w:val="24"/>
          <w:szCs w:val="22"/>
          <w:lang w:eastAsia="zh-CN"/>
        </w:rPr>
        <w:t>消能减震装置</w:t>
      </w:r>
      <w:r>
        <w:rPr>
          <w:rFonts w:hint="eastAsia" w:ascii="Times New Roman"/>
          <w:sz w:val="24"/>
          <w:szCs w:val="22"/>
        </w:rPr>
        <w:t>安装区域连接墙、柱子、梁表面无突出预埋件及裸露钢筋等，得10分；未满足以上要求，得0分；</w:t>
      </w:r>
    </w:p>
    <w:p w14:paraId="61B0E6F6">
      <w:pPr>
        <w:pStyle w:val="174"/>
        <w:spacing w:line="360" w:lineRule="auto"/>
        <w:ind w:firstLine="480"/>
        <w:rPr>
          <w:rFonts w:ascii="Times New Roman"/>
          <w:sz w:val="24"/>
          <w:szCs w:val="22"/>
        </w:rPr>
      </w:pPr>
      <w:r>
        <w:rPr>
          <w:rFonts w:hint="eastAsia" w:ascii="Times New Roman"/>
          <w:sz w:val="24"/>
          <w:szCs w:val="22"/>
        </w:rPr>
        <w:t xml:space="preserve">8 </w:t>
      </w:r>
      <w:r>
        <w:rPr>
          <w:rFonts w:hint="eastAsia" w:ascii="Times New Roman"/>
          <w:sz w:val="24"/>
          <w:szCs w:val="22"/>
          <w:lang w:eastAsia="zh-CN"/>
        </w:rPr>
        <w:t>消能减震装置</w:t>
      </w:r>
      <w:r>
        <w:rPr>
          <w:rFonts w:hint="eastAsia" w:ascii="Times New Roman"/>
          <w:sz w:val="24"/>
          <w:szCs w:val="22"/>
        </w:rPr>
        <w:t>安装过程中无锤击、气割等非专业安装工艺，得10分；存在非专业安装工艺但未影响</w:t>
      </w:r>
      <w:r>
        <w:rPr>
          <w:rFonts w:hint="eastAsia" w:ascii="Times New Roman"/>
          <w:sz w:val="24"/>
          <w:szCs w:val="22"/>
          <w:lang w:eastAsia="zh-CN"/>
        </w:rPr>
        <w:t>装置</w:t>
      </w:r>
      <w:r>
        <w:rPr>
          <w:rFonts w:hint="eastAsia" w:ascii="Times New Roman"/>
          <w:sz w:val="24"/>
          <w:szCs w:val="22"/>
        </w:rPr>
        <w:t>消能减震效果，得5分；非专业安装工艺严重影响</w:t>
      </w:r>
      <w:r>
        <w:rPr>
          <w:rFonts w:hint="eastAsia" w:ascii="Times New Roman"/>
          <w:sz w:val="24"/>
          <w:szCs w:val="22"/>
          <w:lang w:eastAsia="zh-CN"/>
        </w:rPr>
        <w:t>消能减震装置</w:t>
      </w:r>
      <w:r>
        <w:rPr>
          <w:rFonts w:hint="eastAsia" w:ascii="Times New Roman"/>
          <w:sz w:val="24"/>
          <w:szCs w:val="22"/>
        </w:rPr>
        <w:t>性能，得0分；</w:t>
      </w:r>
    </w:p>
    <w:p w14:paraId="552DF739">
      <w:pPr>
        <w:pStyle w:val="174"/>
        <w:spacing w:line="360" w:lineRule="auto"/>
        <w:ind w:firstLine="480"/>
        <w:rPr>
          <w:rFonts w:ascii="Times New Roman"/>
          <w:sz w:val="24"/>
          <w:szCs w:val="22"/>
        </w:rPr>
      </w:pPr>
      <w:r>
        <w:rPr>
          <w:rFonts w:hint="eastAsia" w:ascii="Times New Roman"/>
          <w:sz w:val="24"/>
          <w:szCs w:val="22"/>
          <w:lang w:val="en-US" w:eastAsia="zh-CN"/>
        </w:rPr>
        <w:t>9</w:t>
      </w:r>
      <w:r>
        <w:rPr>
          <w:rFonts w:ascii="Times New Roman"/>
          <w:sz w:val="24"/>
          <w:szCs w:val="22"/>
        </w:rPr>
        <w:t xml:space="preserve"> </w:t>
      </w:r>
      <w:r>
        <w:rPr>
          <w:rFonts w:hint="eastAsia"/>
          <w:sz w:val="24"/>
          <w:szCs w:val="22"/>
        </w:rPr>
        <w:t>减震子</w:t>
      </w:r>
      <w:r>
        <w:rPr>
          <w:rFonts w:hint="eastAsia" w:ascii="Times New Roman"/>
          <w:sz w:val="24"/>
          <w:szCs w:val="22"/>
        </w:rPr>
        <w:t>结构施工及</w:t>
      </w:r>
      <w:r>
        <w:rPr>
          <w:rFonts w:hint="eastAsia" w:ascii="Times New Roman"/>
          <w:sz w:val="24"/>
          <w:szCs w:val="22"/>
          <w:lang w:eastAsia="zh-CN"/>
        </w:rPr>
        <w:t>消能减震装置</w:t>
      </w:r>
      <w:r>
        <w:rPr>
          <w:rFonts w:hint="eastAsia" w:ascii="Times New Roman"/>
          <w:sz w:val="24"/>
          <w:szCs w:val="22"/>
        </w:rPr>
        <w:t>安装过程记录完整率达到100%，得1</w:t>
      </w:r>
      <w:r>
        <w:rPr>
          <w:rFonts w:hint="eastAsia" w:ascii="Times New Roman"/>
          <w:sz w:val="24"/>
          <w:szCs w:val="22"/>
          <w:lang w:val="en-US" w:eastAsia="zh-CN"/>
        </w:rPr>
        <w:t>5</w:t>
      </w:r>
      <w:r>
        <w:rPr>
          <w:rFonts w:hint="eastAsia" w:ascii="Times New Roman"/>
          <w:sz w:val="24"/>
          <w:szCs w:val="22"/>
        </w:rPr>
        <w:t>分；施工及安装过程记录存在缺陷，得</w:t>
      </w:r>
      <w:r>
        <w:rPr>
          <w:rFonts w:hint="eastAsia" w:ascii="Times New Roman"/>
          <w:sz w:val="24"/>
          <w:szCs w:val="22"/>
          <w:lang w:val="en-US" w:eastAsia="zh-CN"/>
        </w:rPr>
        <w:t>8</w:t>
      </w:r>
      <w:r>
        <w:rPr>
          <w:rFonts w:hint="eastAsia" w:ascii="Times New Roman"/>
          <w:sz w:val="24"/>
          <w:szCs w:val="22"/>
        </w:rPr>
        <w:t>分；未保留记录，得0分。</w:t>
      </w:r>
    </w:p>
    <w:p w14:paraId="37AFB55A">
      <w:pPr>
        <w:pStyle w:val="174"/>
        <w:spacing w:line="360" w:lineRule="auto"/>
        <w:ind w:firstLine="0" w:firstLineChars="0"/>
        <w:rPr>
          <w:rFonts w:ascii="Times New Roman"/>
          <w:sz w:val="24"/>
          <w:szCs w:val="22"/>
        </w:rPr>
      </w:pPr>
      <w:r>
        <w:rPr>
          <w:rFonts w:hint="eastAsia" w:ascii="Times New Roman"/>
          <w:b/>
          <w:bCs/>
          <w:sz w:val="24"/>
          <w:szCs w:val="22"/>
        </w:rPr>
        <w:t xml:space="preserve">6.2.10 </w:t>
      </w:r>
      <w:r>
        <w:rPr>
          <w:rFonts w:hint="eastAsia" w:ascii="Times New Roman"/>
          <w:sz w:val="24"/>
          <w:szCs w:val="22"/>
          <w:lang w:eastAsia="zh-CN"/>
        </w:rPr>
        <w:t>消能减震建筑</w:t>
      </w:r>
      <w:r>
        <w:rPr>
          <w:rFonts w:hint="eastAsia" w:ascii="Times New Roman"/>
          <w:sz w:val="24"/>
          <w:szCs w:val="22"/>
        </w:rPr>
        <w:t>应设置减震工程专用标识，评价总分值为40分，应按下列规则分别评分并累计：</w:t>
      </w:r>
    </w:p>
    <w:p w14:paraId="0B6F6821">
      <w:pPr>
        <w:pStyle w:val="174"/>
        <w:spacing w:line="360" w:lineRule="auto"/>
        <w:ind w:firstLine="480"/>
        <w:rPr>
          <w:rFonts w:ascii="Times New Roman"/>
          <w:sz w:val="24"/>
          <w:szCs w:val="22"/>
        </w:rPr>
      </w:pPr>
      <w:r>
        <w:rPr>
          <w:rFonts w:hint="eastAsia" w:ascii="Times New Roman"/>
          <w:sz w:val="24"/>
          <w:szCs w:val="22"/>
        </w:rPr>
        <w:t xml:space="preserve">1 </w:t>
      </w:r>
      <w:r>
        <w:rPr>
          <w:rFonts w:hint="eastAsia" w:ascii="Times New Roman"/>
          <w:sz w:val="24"/>
          <w:szCs w:val="22"/>
          <w:lang w:eastAsia="zh-CN"/>
        </w:rPr>
        <w:t>消能减震装置</w:t>
      </w:r>
      <w:r>
        <w:rPr>
          <w:rFonts w:hint="eastAsia" w:ascii="Times New Roman"/>
          <w:sz w:val="24"/>
          <w:szCs w:val="22"/>
        </w:rPr>
        <w:t>附带标识包含生产单位、</w:t>
      </w:r>
      <w:r>
        <w:rPr>
          <w:rFonts w:hint="eastAsia" w:ascii="Times New Roman"/>
          <w:sz w:val="24"/>
          <w:szCs w:val="22"/>
          <w:lang w:eastAsia="zh-CN"/>
        </w:rPr>
        <w:t>装置</w:t>
      </w:r>
      <w:r>
        <w:rPr>
          <w:rFonts w:hint="eastAsia" w:ascii="Times New Roman"/>
          <w:sz w:val="24"/>
          <w:szCs w:val="22"/>
        </w:rPr>
        <w:t>型号、出厂编号、主要力学性能、生产或出厂日期等关键信息，得20分；附带标识关键信息存在缺项，得10分；无附带标识，得0分；</w:t>
      </w:r>
    </w:p>
    <w:p w14:paraId="6AFC17EE">
      <w:pPr>
        <w:pStyle w:val="174"/>
        <w:spacing w:line="360" w:lineRule="auto"/>
        <w:ind w:firstLine="480"/>
        <w:rPr>
          <w:rFonts w:ascii="Times New Roman"/>
        </w:rPr>
      </w:pPr>
      <w:r>
        <w:rPr>
          <w:rFonts w:hint="eastAsia" w:ascii="Times New Roman"/>
          <w:sz w:val="24"/>
          <w:szCs w:val="22"/>
        </w:rPr>
        <w:t>2 在</w:t>
      </w:r>
      <w:r>
        <w:rPr>
          <w:rFonts w:hint="eastAsia" w:ascii="Times New Roman"/>
          <w:sz w:val="24"/>
          <w:szCs w:val="22"/>
          <w:lang w:val="en-US" w:eastAsia="zh-CN"/>
        </w:rPr>
        <w:t>消能</w:t>
      </w:r>
      <w:r>
        <w:rPr>
          <w:rFonts w:hint="eastAsia" w:ascii="Times New Roman"/>
          <w:sz w:val="24"/>
          <w:szCs w:val="22"/>
        </w:rPr>
        <w:t>减震建筑主要出入口显著位置设置</w:t>
      </w:r>
      <w:r>
        <w:rPr>
          <w:rFonts w:hint="eastAsia" w:ascii="Times New Roman"/>
          <w:sz w:val="24"/>
          <w:szCs w:val="22"/>
          <w:lang w:val="en-US" w:eastAsia="zh-CN"/>
        </w:rPr>
        <w:t>消能</w:t>
      </w:r>
      <w:r>
        <w:rPr>
          <w:rFonts w:hint="eastAsia" w:ascii="Times New Roman"/>
          <w:sz w:val="24"/>
          <w:szCs w:val="22"/>
        </w:rPr>
        <w:t>减震工程主标识，在减震装置或减震构造临近位置设置减震专用标识，得20分；仅设置减震工程主标识，得10分；未设置减震工程主标识和减震专用标识，得0分。</w:t>
      </w:r>
    </w:p>
    <w:p w14:paraId="391C80D3">
      <w:pPr>
        <w:widowControl/>
        <w:spacing w:line="360" w:lineRule="auto"/>
        <w:outlineLvl w:val="0"/>
        <w:rPr>
          <w:rFonts w:eastAsia="黑体"/>
          <w:kern w:val="0"/>
          <w:szCs w:val="20"/>
        </w:rPr>
        <w:sectPr>
          <w:pgSz w:w="11906" w:h="16838"/>
          <w:pgMar w:top="1440" w:right="1800" w:bottom="1440" w:left="1800" w:header="1418" w:footer="1134" w:gutter="0"/>
          <w:cols w:space="425" w:num="1"/>
          <w:formProt w:val="0"/>
          <w:docGrid w:type="lines" w:linePitch="312" w:charSpace="0"/>
        </w:sectPr>
      </w:pPr>
    </w:p>
    <w:p w14:paraId="2B9A39BE">
      <w:pPr>
        <w:pStyle w:val="152"/>
        <w:widowControl/>
        <w:numPr>
          <w:ilvl w:val="0"/>
          <w:numId w:val="12"/>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bookmarkStart w:id="62" w:name="_Toc20624"/>
      <w:bookmarkStart w:id="63" w:name="_Toc207376005"/>
      <w:r>
        <w:rPr>
          <w:rFonts w:hint="eastAsia" w:ascii="Times New Roman" w:hAnsi="Times New Roman" w:cs="Times New Roman"/>
          <w:b/>
          <w:bCs/>
          <w:sz w:val="30"/>
          <w:szCs w:val="30"/>
        </w:rPr>
        <w:t>提高与创新</w:t>
      </w:r>
      <w:bookmarkEnd w:id="62"/>
      <w:bookmarkEnd w:id="63"/>
    </w:p>
    <w:p w14:paraId="2D218399">
      <w:pPr>
        <w:pStyle w:val="174"/>
        <w:spacing w:before="156" w:beforeLines="50" w:after="156" w:afterLines="50" w:line="360" w:lineRule="auto"/>
        <w:ind w:firstLine="0" w:firstLineChars="0"/>
        <w:jc w:val="center"/>
        <w:outlineLvl w:val="1"/>
        <w:rPr>
          <w:rFonts w:ascii="Times New Roman"/>
          <w:b/>
          <w:bCs/>
          <w:sz w:val="28"/>
          <w:szCs w:val="28"/>
        </w:rPr>
      </w:pPr>
      <w:bookmarkStart w:id="64" w:name="_Toc5001"/>
      <w:bookmarkStart w:id="65" w:name="_Toc207376006"/>
      <w:r>
        <w:rPr>
          <w:rFonts w:hint="eastAsia" w:ascii="Times New Roman"/>
          <w:b/>
          <w:bCs/>
          <w:sz w:val="28"/>
          <w:szCs w:val="28"/>
        </w:rPr>
        <w:t>7.1 一般规定</w:t>
      </w:r>
      <w:bookmarkEnd w:id="64"/>
      <w:bookmarkEnd w:id="65"/>
    </w:p>
    <w:p w14:paraId="0FBB704E">
      <w:pPr>
        <w:pStyle w:val="174"/>
        <w:spacing w:line="360" w:lineRule="auto"/>
        <w:ind w:firstLine="0" w:firstLineChars="0"/>
        <w:rPr>
          <w:rFonts w:ascii="Times New Roman"/>
          <w:sz w:val="24"/>
          <w:szCs w:val="22"/>
        </w:rPr>
      </w:pPr>
      <w:r>
        <w:rPr>
          <w:rFonts w:hint="eastAsia" w:ascii="Times New Roman"/>
          <w:b/>
          <w:bCs/>
          <w:sz w:val="24"/>
          <w:szCs w:val="22"/>
        </w:rPr>
        <w:t xml:space="preserve">7.1.1 </w:t>
      </w:r>
      <w:r>
        <w:rPr>
          <w:rFonts w:hint="eastAsia" w:ascii="Times New Roman"/>
          <w:sz w:val="24"/>
          <w:szCs w:val="22"/>
        </w:rPr>
        <w:t>建筑隔减震技术应用评价时，应按本章规定对提高与创新项进行评价。</w:t>
      </w:r>
    </w:p>
    <w:p w14:paraId="5792E68C">
      <w:pPr>
        <w:pStyle w:val="174"/>
        <w:spacing w:line="360" w:lineRule="auto"/>
        <w:ind w:firstLine="0" w:firstLineChars="0"/>
        <w:rPr>
          <w:rFonts w:ascii="Times New Roman"/>
          <w:sz w:val="24"/>
          <w:szCs w:val="22"/>
        </w:rPr>
      </w:pPr>
      <w:r>
        <w:rPr>
          <w:rFonts w:hint="eastAsia" w:ascii="Times New Roman"/>
          <w:b/>
          <w:bCs/>
          <w:sz w:val="24"/>
          <w:szCs w:val="22"/>
        </w:rPr>
        <w:t xml:space="preserve">7.1.2 </w:t>
      </w:r>
      <w:r>
        <w:rPr>
          <w:rFonts w:hint="eastAsia" w:ascii="Times New Roman"/>
          <w:sz w:val="24"/>
          <w:szCs w:val="22"/>
        </w:rPr>
        <w:t>提高与创新项得分为加分项得分之和，当得分大于100分时，应取为100分。</w:t>
      </w:r>
    </w:p>
    <w:p w14:paraId="0FFD76C0">
      <w:pPr>
        <w:pStyle w:val="174"/>
        <w:spacing w:before="156" w:beforeLines="50" w:after="156" w:afterLines="50" w:line="360" w:lineRule="auto"/>
        <w:ind w:firstLine="0" w:firstLineChars="0"/>
        <w:jc w:val="center"/>
        <w:outlineLvl w:val="1"/>
        <w:rPr>
          <w:rFonts w:ascii="Times New Roman"/>
          <w:b/>
          <w:bCs/>
          <w:sz w:val="28"/>
          <w:szCs w:val="28"/>
        </w:rPr>
      </w:pPr>
      <w:bookmarkStart w:id="66" w:name="_Toc3380"/>
      <w:bookmarkStart w:id="67" w:name="_Toc207376007"/>
      <w:r>
        <w:rPr>
          <w:rFonts w:hint="eastAsia" w:ascii="Times New Roman"/>
          <w:b/>
          <w:bCs/>
          <w:sz w:val="28"/>
          <w:szCs w:val="28"/>
        </w:rPr>
        <w:t>7.2 隔震加分项</w:t>
      </w:r>
      <w:bookmarkEnd w:id="66"/>
      <w:bookmarkEnd w:id="67"/>
    </w:p>
    <w:p w14:paraId="1387D121">
      <w:pPr>
        <w:pStyle w:val="174"/>
        <w:spacing w:line="360" w:lineRule="auto"/>
        <w:ind w:firstLine="0" w:firstLineChars="0"/>
        <w:rPr>
          <w:rFonts w:ascii="Times New Roman"/>
          <w:sz w:val="24"/>
          <w:szCs w:val="22"/>
        </w:rPr>
      </w:pPr>
      <w:r>
        <w:rPr>
          <w:rFonts w:hint="eastAsia" w:ascii="Times New Roman"/>
          <w:b/>
          <w:bCs/>
          <w:sz w:val="24"/>
          <w:szCs w:val="22"/>
        </w:rPr>
        <w:t xml:space="preserve">7.2.1 </w:t>
      </w:r>
      <w:r>
        <w:rPr>
          <w:rFonts w:hint="eastAsia" w:ascii="Times New Roman"/>
          <w:sz w:val="24"/>
          <w:szCs w:val="22"/>
        </w:rPr>
        <w:t>地震动参数采用场地专用地震安全性评价结果取值，评价分值为10分。</w:t>
      </w:r>
    </w:p>
    <w:p w14:paraId="3A514789">
      <w:pPr>
        <w:pStyle w:val="174"/>
        <w:spacing w:line="360" w:lineRule="auto"/>
        <w:ind w:firstLine="0" w:firstLineChars="0"/>
        <w:rPr>
          <w:rFonts w:ascii="Times New Roman"/>
          <w:sz w:val="24"/>
          <w:szCs w:val="22"/>
        </w:rPr>
      </w:pPr>
      <w:r>
        <w:rPr>
          <w:rFonts w:ascii="Times New Roman"/>
          <w:b/>
          <w:bCs/>
          <w:sz w:val="24"/>
          <w:szCs w:val="22"/>
        </w:rPr>
        <w:t xml:space="preserve">7.2.2 </w:t>
      </w:r>
      <w:r>
        <w:rPr>
          <w:rFonts w:hint="eastAsia" w:ascii="Times New Roman"/>
          <w:sz w:val="24"/>
          <w:szCs w:val="22"/>
          <w:lang w:eastAsia="zh-CN"/>
        </w:rPr>
        <w:t>隔震装置</w:t>
      </w:r>
      <w:r>
        <w:rPr>
          <w:rFonts w:hint="eastAsia" w:ascii="Times New Roman"/>
          <w:sz w:val="24"/>
          <w:szCs w:val="22"/>
        </w:rPr>
        <w:t>取得对应</w:t>
      </w:r>
      <w:r>
        <w:rPr>
          <w:rFonts w:hint="eastAsia" w:ascii="Times New Roman"/>
          <w:sz w:val="24"/>
          <w:szCs w:val="22"/>
          <w:lang w:eastAsia="zh-CN"/>
        </w:rPr>
        <w:t>装置</w:t>
      </w:r>
      <w:r>
        <w:rPr>
          <w:rFonts w:hint="eastAsia" w:ascii="Times New Roman"/>
          <w:sz w:val="24"/>
          <w:szCs w:val="22"/>
        </w:rPr>
        <w:t>类型的认证证书，且覆盖隔震项目使用的</w:t>
      </w:r>
      <w:r>
        <w:rPr>
          <w:rFonts w:hint="eastAsia" w:ascii="Times New Roman"/>
          <w:sz w:val="24"/>
          <w:szCs w:val="22"/>
          <w:lang w:eastAsia="zh-CN"/>
        </w:rPr>
        <w:t>装置</w:t>
      </w:r>
      <w:r>
        <w:rPr>
          <w:rFonts w:hint="eastAsia" w:ascii="Times New Roman"/>
          <w:sz w:val="24"/>
          <w:szCs w:val="22"/>
        </w:rPr>
        <w:t>规格，评价分值为10分。</w:t>
      </w:r>
    </w:p>
    <w:p w14:paraId="7D8553CB">
      <w:pPr>
        <w:pStyle w:val="174"/>
        <w:spacing w:line="360" w:lineRule="auto"/>
        <w:ind w:firstLine="0" w:firstLineChars="0"/>
        <w:rPr>
          <w:rFonts w:ascii="Times New Roman"/>
          <w:sz w:val="24"/>
          <w:szCs w:val="22"/>
        </w:rPr>
      </w:pPr>
      <w:r>
        <w:rPr>
          <w:rFonts w:hint="eastAsia" w:ascii="Times New Roman"/>
          <w:b/>
          <w:bCs/>
          <w:sz w:val="24"/>
          <w:szCs w:val="22"/>
        </w:rPr>
        <w:t xml:space="preserve">7.2.3 </w:t>
      </w:r>
      <w:r>
        <w:rPr>
          <w:rFonts w:hint="eastAsia" w:ascii="Times New Roman"/>
          <w:sz w:val="24"/>
          <w:szCs w:val="22"/>
        </w:rPr>
        <w:t>隔震结构引入结构健康监测系统方案，采用具有地震位移监测功能的</w:t>
      </w:r>
      <w:r>
        <w:rPr>
          <w:rFonts w:hint="eastAsia" w:ascii="Times New Roman"/>
          <w:sz w:val="24"/>
          <w:szCs w:val="22"/>
          <w:lang w:eastAsia="zh-CN"/>
        </w:rPr>
        <w:t>隔震装置</w:t>
      </w:r>
      <w:r>
        <w:rPr>
          <w:rFonts w:hint="eastAsia" w:ascii="Times New Roman"/>
          <w:sz w:val="24"/>
          <w:szCs w:val="22"/>
        </w:rPr>
        <w:t>，或在隔震层设置地震位移监测系统，实时监测</w:t>
      </w:r>
      <w:r>
        <w:rPr>
          <w:rFonts w:hint="eastAsia" w:ascii="Times New Roman"/>
          <w:sz w:val="24"/>
          <w:szCs w:val="22"/>
          <w:lang w:eastAsia="zh-CN"/>
        </w:rPr>
        <w:t>隔震装置</w:t>
      </w:r>
      <w:r>
        <w:rPr>
          <w:rFonts w:hint="eastAsia" w:ascii="Times New Roman"/>
          <w:sz w:val="24"/>
          <w:szCs w:val="22"/>
        </w:rPr>
        <w:t>工作状态，评价分值为10分。</w:t>
      </w:r>
    </w:p>
    <w:p w14:paraId="5382539D">
      <w:pPr>
        <w:pStyle w:val="174"/>
        <w:spacing w:line="360" w:lineRule="auto"/>
        <w:ind w:firstLine="0" w:firstLineChars="0"/>
        <w:rPr>
          <w:rFonts w:ascii="Times New Roman"/>
          <w:sz w:val="24"/>
          <w:szCs w:val="22"/>
        </w:rPr>
      </w:pPr>
      <w:r>
        <w:rPr>
          <w:rFonts w:hint="eastAsia" w:ascii="Times New Roman"/>
          <w:b/>
          <w:bCs/>
          <w:sz w:val="24"/>
          <w:szCs w:val="22"/>
        </w:rPr>
        <w:t xml:space="preserve">7.2.4 </w:t>
      </w:r>
      <w:r>
        <w:rPr>
          <w:rFonts w:hint="eastAsia" w:ascii="Times New Roman"/>
          <w:sz w:val="24"/>
          <w:szCs w:val="22"/>
        </w:rPr>
        <w:t>隔震层与建筑功能空间相结合，具备使用功能区域的面积超过20%且不影响隔震效果，评价分值为10分。</w:t>
      </w:r>
    </w:p>
    <w:p w14:paraId="0F91138C">
      <w:pPr>
        <w:pStyle w:val="174"/>
        <w:spacing w:line="360" w:lineRule="auto"/>
        <w:ind w:firstLine="0" w:firstLineChars="0"/>
        <w:rPr>
          <w:rFonts w:ascii="Times New Roman"/>
          <w:sz w:val="24"/>
          <w:szCs w:val="22"/>
        </w:rPr>
      </w:pPr>
      <w:r>
        <w:rPr>
          <w:rFonts w:hint="eastAsia" w:ascii="Times New Roman"/>
          <w:b/>
          <w:bCs/>
          <w:sz w:val="24"/>
          <w:szCs w:val="22"/>
        </w:rPr>
        <w:t xml:space="preserve">7.2.5 </w:t>
      </w:r>
      <w:r>
        <w:rPr>
          <w:rFonts w:hint="eastAsia" w:ascii="Times New Roman"/>
          <w:sz w:val="24"/>
          <w:szCs w:val="22"/>
          <w:lang w:eastAsia="zh-CN"/>
        </w:rPr>
        <w:t>隔震装置</w:t>
      </w:r>
      <w:r>
        <w:rPr>
          <w:rFonts w:hint="eastAsia" w:ascii="Times New Roman"/>
          <w:sz w:val="24"/>
          <w:szCs w:val="22"/>
        </w:rPr>
        <w:t>各力学性能指标偏差平均值均不超过±5%，评价分值为10分。</w:t>
      </w:r>
    </w:p>
    <w:p w14:paraId="49749409">
      <w:pPr>
        <w:pStyle w:val="174"/>
        <w:spacing w:line="360" w:lineRule="auto"/>
        <w:ind w:firstLine="0" w:firstLineChars="0"/>
        <w:rPr>
          <w:rFonts w:ascii="Times New Roman"/>
          <w:sz w:val="24"/>
          <w:szCs w:val="22"/>
        </w:rPr>
      </w:pPr>
      <w:r>
        <w:rPr>
          <w:rFonts w:hint="eastAsia" w:ascii="Times New Roman"/>
          <w:b/>
          <w:bCs/>
          <w:sz w:val="24"/>
          <w:szCs w:val="22"/>
        </w:rPr>
        <w:t xml:space="preserve">7.2.6 </w:t>
      </w:r>
      <w:r>
        <w:rPr>
          <w:rFonts w:hint="eastAsia" w:ascii="Times New Roman"/>
          <w:sz w:val="24"/>
          <w:szCs w:val="22"/>
          <w:lang w:eastAsia="zh-CN"/>
        </w:rPr>
        <w:t>隔震装置</w:t>
      </w:r>
      <w:r>
        <w:rPr>
          <w:rFonts w:hint="eastAsia" w:ascii="Times New Roman"/>
          <w:sz w:val="24"/>
          <w:szCs w:val="22"/>
        </w:rPr>
        <w:t>具备耐火性能不低于3小时的耐火性能检测报告，评价分值为10分。</w:t>
      </w:r>
    </w:p>
    <w:p w14:paraId="32EF0157">
      <w:pPr>
        <w:pStyle w:val="174"/>
        <w:spacing w:line="360" w:lineRule="auto"/>
        <w:ind w:firstLine="0" w:firstLineChars="0"/>
        <w:rPr>
          <w:rFonts w:ascii="Times New Roman"/>
          <w:sz w:val="24"/>
          <w:szCs w:val="22"/>
        </w:rPr>
      </w:pPr>
      <w:r>
        <w:rPr>
          <w:rFonts w:hint="eastAsia" w:ascii="Times New Roman"/>
          <w:b/>
          <w:bCs/>
          <w:sz w:val="24"/>
          <w:szCs w:val="22"/>
        </w:rPr>
        <w:t xml:space="preserve">7.2.7 </w:t>
      </w:r>
      <w:r>
        <w:rPr>
          <w:rFonts w:hint="eastAsia" w:ascii="Times New Roman"/>
          <w:sz w:val="24"/>
          <w:szCs w:val="22"/>
        </w:rPr>
        <w:t>采用同时进行水平地震控制和竖向振动控制的技术产品，且竖向隔振效率超过50%，评价分值为10分。</w:t>
      </w:r>
    </w:p>
    <w:p w14:paraId="29A24F13">
      <w:pPr>
        <w:pStyle w:val="174"/>
        <w:spacing w:line="360" w:lineRule="auto"/>
        <w:ind w:firstLine="0" w:firstLineChars="0"/>
        <w:rPr>
          <w:rFonts w:ascii="Times New Roman"/>
          <w:sz w:val="24"/>
          <w:szCs w:val="22"/>
        </w:rPr>
      </w:pPr>
      <w:r>
        <w:rPr>
          <w:rFonts w:hint="eastAsia" w:ascii="Times New Roman"/>
          <w:b/>
          <w:bCs/>
          <w:sz w:val="24"/>
          <w:szCs w:val="22"/>
        </w:rPr>
        <w:t>7.2.</w:t>
      </w:r>
      <w:r>
        <w:rPr>
          <w:rFonts w:hint="eastAsia" w:ascii="Times New Roman"/>
          <w:b/>
          <w:bCs/>
          <w:sz w:val="24"/>
          <w:szCs w:val="22"/>
          <w:lang w:val="en-US" w:eastAsia="zh-CN"/>
        </w:rPr>
        <w:t>8</w:t>
      </w:r>
      <w:r>
        <w:rPr>
          <w:rFonts w:hint="eastAsia" w:ascii="Times New Roman"/>
          <w:b/>
          <w:bCs/>
          <w:sz w:val="24"/>
          <w:szCs w:val="22"/>
        </w:rPr>
        <w:t xml:space="preserve"> </w:t>
      </w:r>
      <w:r>
        <w:rPr>
          <w:rFonts w:hint="eastAsia" w:ascii="Times New Roman"/>
          <w:sz w:val="24"/>
          <w:szCs w:val="22"/>
        </w:rPr>
        <w:t>对于海拔4000m以上或年最低温度不超过</w:t>
      </w:r>
      <w:r>
        <w:rPr>
          <w:rFonts w:ascii="Times New Roman"/>
          <w:sz w:val="24"/>
          <w:szCs w:val="22"/>
        </w:rPr>
        <w:t>-10℃</w:t>
      </w:r>
      <w:r>
        <w:rPr>
          <w:rFonts w:hint="eastAsia" w:ascii="Times New Roman"/>
          <w:sz w:val="24"/>
          <w:szCs w:val="22"/>
        </w:rPr>
        <w:t>的地区，隔震建筑采用耐低温隔震支座或采取保温措施，且具备相应的产品合格检测报告，评价分值为10分。</w:t>
      </w:r>
    </w:p>
    <w:p w14:paraId="11656453">
      <w:pPr>
        <w:pStyle w:val="174"/>
        <w:spacing w:line="360" w:lineRule="auto"/>
        <w:ind w:firstLine="0" w:firstLineChars="0"/>
        <w:rPr>
          <w:rFonts w:ascii="Times New Roman"/>
          <w:sz w:val="24"/>
          <w:szCs w:val="22"/>
        </w:rPr>
      </w:pPr>
      <w:r>
        <w:rPr>
          <w:rFonts w:hint="eastAsia" w:ascii="Times New Roman"/>
          <w:b/>
          <w:bCs/>
          <w:sz w:val="24"/>
          <w:szCs w:val="22"/>
        </w:rPr>
        <w:t>7.2.</w:t>
      </w:r>
      <w:r>
        <w:rPr>
          <w:rFonts w:hint="eastAsia" w:ascii="Times New Roman"/>
          <w:b/>
          <w:bCs/>
          <w:sz w:val="24"/>
          <w:szCs w:val="22"/>
          <w:lang w:val="en-US" w:eastAsia="zh-CN"/>
        </w:rPr>
        <w:t>9</w:t>
      </w:r>
      <w:r>
        <w:rPr>
          <w:rFonts w:hint="eastAsia" w:ascii="Times New Roman"/>
          <w:b/>
          <w:bCs/>
          <w:sz w:val="24"/>
          <w:szCs w:val="22"/>
        </w:rPr>
        <w:t xml:space="preserve"> </w:t>
      </w:r>
      <w:r>
        <w:rPr>
          <w:rFonts w:hint="eastAsia" w:ascii="Times New Roman"/>
          <w:sz w:val="24"/>
          <w:szCs w:val="22"/>
        </w:rPr>
        <w:t>采用新型</w:t>
      </w:r>
      <w:r>
        <w:rPr>
          <w:rFonts w:hint="eastAsia" w:ascii="Times New Roman"/>
          <w:sz w:val="24"/>
          <w:szCs w:val="22"/>
          <w:lang w:eastAsia="zh-CN"/>
        </w:rPr>
        <w:t>隔震装置</w:t>
      </w:r>
      <w:r>
        <w:rPr>
          <w:rFonts w:hint="eastAsia" w:ascii="Times New Roman"/>
          <w:sz w:val="24"/>
          <w:szCs w:val="22"/>
        </w:rPr>
        <w:t>解决高层或超高层隔震结构的隔震支座竖向受拉问题，使隔震层在具备正常水平隔震功能的同时兼具受拉或防分离功能，评价分值为20分。</w:t>
      </w:r>
    </w:p>
    <w:p w14:paraId="5819926F">
      <w:pPr>
        <w:pStyle w:val="174"/>
        <w:spacing w:line="360" w:lineRule="auto"/>
        <w:ind w:firstLine="0" w:firstLineChars="0"/>
        <w:rPr>
          <w:rFonts w:hint="eastAsia" w:ascii="Times New Roman"/>
          <w:sz w:val="24"/>
          <w:szCs w:val="22"/>
        </w:rPr>
      </w:pPr>
      <w:r>
        <w:rPr>
          <w:rFonts w:hint="eastAsia" w:ascii="Times New Roman"/>
          <w:b/>
          <w:bCs/>
          <w:sz w:val="24"/>
          <w:szCs w:val="22"/>
        </w:rPr>
        <w:t>7.2.1</w:t>
      </w:r>
      <w:r>
        <w:rPr>
          <w:rFonts w:hint="eastAsia" w:ascii="Times New Roman"/>
          <w:b/>
          <w:bCs/>
          <w:sz w:val="24"/>
          <w:szCs w:val="22"/>
          <w:lang w:val="en-US" w:eastAsia="zh-CN"/>
        </w:rPr>
        <w:t>0</w:t>
      </w:r>
      <w:r>
        <w:rPr>
          <w:rFonts w:hint="eastAsia" w:ascii="Times New Roman"/>
          <w:b/>
          <w:bCs/>
          <w:sz w:val="24"/>
          <w:szCs w:val="22"/>
        </w:rPr>
        <w:t xml:space="preserve"> </w:t>
      </w:r>
      <w:r>
        <w:rPr>
          <w:rFonts w:hint="eastAsia" w:ascii="Times New Roman"/>
          <w:sz w:val="24"/>
          <w:szCs w:val="22"/>
        </w:rPr>
        <w:t>沿海地区隔震建筑采用的</w:t>
      </w:r>
      <w:r>
        <w:rPr>
          <w:rFonts w:hint="eastAsia" w:ascii="Times New Roman"/>
          <w:sz w:val="24"/>
          <w:szCs w:val="22"/>
          <w:lang w:eastAsia="zh-CN"/>
        </w:rPr>
        <w:t>隔震装置</w:t>
      </w:r>
      <w:r>
        <w:rPr>
          <w:rFonts w:hint="eastAsia" w:ascii="Times New Roman"/>
          <w:sz w:val="24"/>
          <w:szCs w:val="22"/>
        </w:rPr>
        <w:t>具备较强的耐腐蚀能力，</w:t>
      </w:r>
      <w:r>
        <w:rPr>
          <w:rFonts w:hint="eastAsia" w:ascii="Times New Roman"/>
          <w:sz w:val="24"/>
          <w:szCs w:val="22"/>
          <w:lang w:eastAsia="zh-CN"/>
        </w:rPr>
        <w:t>隔震装置</w:t>
      </w:r>
      <w:r>
        <w:rPr>
          <w:rFonts w:hint="eastAsia" w:ascii="Times New Roman"/>
          <w:sz w:val="24"/>
          <w:szCs w:val="22"/>
        </w:rPr>
        <w:t>或关键部件具有不低于1000h的盐雾试验报告，评价分值为10分。</w:t>
      </w:r>
    </w:p>
    <w:p w14:paraId="39D146BC">
      <w:pPr>
        <w:pStyle w:val="174"/>
        <w:spacing w:line="360" w:lineRule="auto"/>
        <w:ind w:firstLine="0" w:firstLineChars="0"/>
        <w:rPr>
          <w:rFonts w:hint="eastAsia" w:ascii="Times New Roman"/>
          <w:sz w:val="24"/>
          <w:szCs w:val="22"/>
          <w:lang w:val="en-US" w:eastAsia="zh-CN"/>
        </w:rPr>
      </w:pPr>
      <w:r>
        <w:rPr>
          <w:rFonts w:hint="eastAsia" w:ascii="Times New Roman"/>
          <w:b/>
          <w:bCs/>
          <w:sz w:val="24"/>
          <w:szCs w:val="22"/>
          <w:lang w:val="en-US" w:eastAsia="zh-CN"/>
        </w:rPr>
        <w:t>7.2.11</w:t>
      </w:r>
      <w:r>
        <w:rPr>
          <w:rFonts w:hint="eastAsia" w:ascii="Times New Roman"/>
          <w:sz w:val="24"/>
          <w:szCs w:val="22"/>
          <w:lang w:val="en-US" w:eastAsia="zh-CN"/>
        </w:rPr>
        <w:t xml:space="preserve"> 隔震建筑工程竣工验收前，支座和阻尼器生产厂家、设计等单位编写使用维护手册及维护管理计划，包括</w:t>
      </w:r>
      <w:r>
        <w:rPr>
          <w:rFonts w:hint="eastAsia" w:ascii="Times New Roman"/>
          <w:sz w:val="24"/>
          <w:szCs w:val="22"/>
        </w:rPr>
        <w:t>灾后</w:t>
      </w:r>
      <w:r>
        <w:rPr>
          <w:rFonts w:hint="eastAsia" w:ascii="Times New Roman"/>
          <w:sz w:val="24"/>
          <w:szCs w:val="22"/>
          <w:lang w:val="en-US" w:eastAsia="zh-CN"/>
        </w:rPr>
        <w:t>应急检查计划和方法，评价分值为5分。</w:t>
      </w:r>
    </w:p>
    <w:p w14:paraId="7210DF96">
      <w:pPr>
        <w:pStyle w:val="174"/>
        <w:spacing w:line="360" w:lineRule="auto"/>
        <w:ind w:firstLine="0" w:firstLineChars="0"/>
        <w:rPr>
          <w:rFonts w:hint="eastAsia" w:ascii="Times New Roman"/>
          <w:sz w:val="24"/>
          <w:szCs w:val="22"/>
          <w:lang w:val="en-US" w:eastAsia="zh-CN"/>
        </w:rPr>
      </w:pPr>
      <w:r>
        <w:rPr>
          <w:rFonts w:hint="eastAsia" w:ascii="Times New Roman"/>
          <w:b/>
          <w:bCs/>
          <w:sz w:val="24"/>
          <w:szCs w:val="22"/>
          <w:lang w:val="en-US" w:eastAsia="zh-CN"/>
        </w:rPr>
        <w:t>7.2.12</w:t>
      </w:r>
      <w:r>
        <w:rPr>
          <w:rFonts w:hint="eastAsia" w:ascii="Times New Roman"/>
          <w:sz w:val="24"/>
          <w:szCs w:val="22"/>
          <w:lang w:val="en-US" w:eastAsia="zh-CN"/>
        </w:rPr>
        <w:t xml:space="preserve"> </w:t>
      </w:r>
      <w:r>
        <w:rPr>
          <w:rFonts w:hint="eastAsia" w:ascii="Times New Roman"/>
          <w:sz w:val="24"/>
          <w:szCs w:val="22"/>
        </w:rPr>
        <w:t>隔震建筑工程除对建筑常规维护项目进行检验、检查外，</w:t>
      </w:r>
      <w:r>
        <w:rPr>
          <w:rFonts w:hint="eastAsia" w:ascii="Times New Roman"/>
          <w:sz w:val="24"/>
          <w:szCs w:val="22"/>
          <w:lang w:val="en-US" w:eastAsia="zh-CN"/>
        </w:rPr>
        <w:t>还</w:t>
      </w:r>
      <w:r>
        <w:rPr>
          <w:rFonts w:hint="eastAsia" w:ascii="Times New Roman"/>
          <w:sz w:val="24"/>
          <w:szCs w:val="22"/>
        </w:rPr>
        <w:t>对隔震建筑特有的项目进行检验、检查</w:t>
      </w:r>
      <w:r>
        <w:rPr>
          <w:rFonts w:hint="eastAsia" w:ascii="Times New Roman"/>
          <w:sz w:val="24"/>
          <w:szCs w:val="22"/>
          <w:lang w:eastAsia="zh-CN"/>
        </w:rPr>
        <w:t>，</w:t>
      </w:r>
      <w:r>
        <w:rPr>
          <w:rFonts w:hint="eastAsia" w:ascii="Times New Roman"/>
          <w:sz w:val="24"/>
          <w:szCs w:val="22"/>
          <w:lang w:val="en-US" w:eastAsia="zh-CN"/>
        </w:rPr>
        <w:t>建立专项定期检查制度，且完成一次以上专项定期检查，评价分值为10分。</w:t>
      </w:r>
    </w:p>
    <w:p w14:paraId="67751F64">
      <w:pPr>
        <w:pStyle w:val="174"/>
        <w:spacing w:line="360" w:lineRule="auto"/>
        <w:ind w:firstLine="0" w:firstLineChars="0"/>
        <w:rPr>
          <w:rFonts w:hint="eastAsia" w:ascii="Times New Roman"/>
          <w:sz w:val="24"/>
          <w:szCs w:val="22"/>
        </w:rPr>
      </w:pPr>
    </w:p>
    <w:p w14:paraId="038E23AC">
      <w:pPr>
        <w:pStyle w:val="174"/>
        <w:spacing w:after="156" w:afterLines="50" w:line="360" w:lineRule="auto"/>
        <w:ind w:firstLine="0" w:firstLineChars="0"/>
        <w:jc w:val="center"/>
        <w:outlineLvl w:val="1"/>
        <w:rPr>
          <w:rFonts w:ascii="Times New Roman"/>
          <w:b/>
          <w:bCs/>
          <w:sz w:val="28"/>
          <w:szCs w:val="28"/>
        </w:rPr>
      </w:pPr>
      <w:bookmarkStart w:id="68" w:name="_Toc207376008"/>
      <w:bookmarkStart w:id="69" w:name="_Toc8414"/>
      <w:r>
        <w:rPr>
          <w:rFonts w:hint="eastAsia" w:ascii="Times New Roman"/>
          <w:b/>
          <w:bCs/>
          <w:sz w:val="28"/>
          <w:szCs w:val="28"/>
        </w:rPr>
        <w:t>7.3 减震加分项</w:t>
      </w:r>
      <w:bookmarkEnd w:id="68"/>
      <w:bookmarkEnd w:id="69"/>
    </w:p>
    <w:p w14:paraId="3C94CBAF">
      <w:pPr>
        <w:pStyle w:val="174"/>
        <w:spacing w:line="360" w:lineRule="auto"/>
        <w:ind w:firstLine="0" w:firstLineChars="0"/>
        <w:rPr>
          <w:rFonts w:ascii="Times New Roman"/>
          <w:sz w:val="24"/>
          <w:szCs w:val="22"/>
        </w:rPr>
      </w:pPr>
      <w:r>
        <w:rPr>
          <w:rFonts w:hint="eastAsia" w:ascii="Times New Roman"/>
          <w:b/>
          <w:bCs/>
          <w:sz w:val="24"/>
          <w:szCs w:val="22"/>
        </w:rPr>
        <w:t xml:space="preserve">7.3.1 </w:t>
      </w:r>
      <w:r>
        <w:rPr>
          <w:rFonts w:hint="eastAsia" w:ascii="Times New Roman"/>
          <w:sz w:val="24"/>
          <w:szCs w:val="22"/>
        </w:rPr>
        <w:t>地震动参数采用场地专用地震安全性评价结果取值，评价分值为10分。</w:t>
      </w:r>
    </w:p>
    <w:p w14:paraId="7398F634">
      <w:pPr>
        <w:pStyle w:val="174"/>
        <w:spacing w:line="360" w:lineRule="auto"/>
        <w:ind w:firstLine="0" w:firstLineChars="0"/>
        <w:rPr>
          <w:rFonts w:ascii="Times New Roman"/>
          <w:sz w:val="24"/>
          <w:szCs w:val="22"/>
        </w:rPr>
      </w:pPr>
      <w:r>
        <w:rPr>
          <w:rFonts w:ascii="Times New Roman"/>
          <w:b/>
          <w:bCs/>
          <w:sz w:val="24"/>
          <w:szCs w:val="22"/>
        </w:rPr>
        <w:t>7.3.2</w:t>
      </w:r>
      <w:r>
        <w:rPr>
          <w:rFonts w:hint="eastAsia" w:ascii="Times New Roman"/>
          <w:b/>
          <w:bCs/>
          <w:sz w:val="24"/>
          <w:szCs w:val="22"/>
        </w:rPr>
        <w:t xml:space="preserve"> </w:t>
      </w:r>
      <w:r>
        <w:rPr>
          <w:rFonts w:hint="eastAsia" w:ascii="Times New Roman"/>
          <w:sz w:val="24"/>
          <w:szCs w:val="22"/>
          <w:lang w:eastAsia="zh-CN"/>
        </w:rPr>
        <w:t>消能减震装置</w:t>
      </w:r>
      <w:r>
        <w:rPr>
          <w:rFonts w:hint="eastAsia" w:ascii="Times New Roman"/>
          <w:sz w:val="24"/>
          <w:szCs w:val="22"/>
        </w:rPr>
        <w:t>应取得对应</w:t>
      </w:r>
      <w:r>
        <w:rPr>
          <w:rFonts w:hint="eastAsia" w:ascii="Times New Roman"/>
          <w:sz w:val="24"/>
          <w:szCs w:val="22"/>
          <w:lang w:eastAsia="zh-CN"/>
        </w:rPr>
        <w:t>装置</w:t>
      </w:r>
      <w:r>
        <w:rPr>
          <w:rFonts w:hint="eastAsia" w:ascii="Times New Roman"/>
          <w:sz w:val="24"/>
          <w:szCs w:val="22"/>
        </w:rPr>
        <w:t>类型的认证证书，且应覆盖</w:t>
      </w:r>
      <w:r>
        <w:rPr>
          <w:rFonts w:hint="eastAsia" w:ascii="Times New Roman"/>
          <w:sz w:val="24"/>
          <w:szCs w:val="22"/>
          <w:lang w:eastAsia="zh-CN"/>
        </w:rPr>
        <w:t>消能减震项目</w:t>
      </w:r>
      <w:r>
        <w:rPr>
          <w:rFonts w:hint="eastAsia" w:ascii="Times New Roman"/>
          <w:sz w:val="24"/>
          <w:szCs w:val="22"/>
        </w:rPr>
        <w:t>使用的</w:t>
      </w:r>
      <w:r>
        <w:rPr>
          <w:rFonts w:hint="eastAsia" w:ascii="Times New Roman"/>
          <w:sz w:val="24"/>
          <w:szCs w:val="22"/>
          <w:lang w:eastAsia="zh-CN"/>
        </w:rPr>
        <w:t>装置</w:t>
      </w:r>
      <w:r>
        <w:rPr>
          <w:rFonts w:hint="eastAsia" w:ascii="Times New Roman"/>
          <w:sz w:val="24"/>
          <w:szCs w:val="22"/>
        </w:rPr>
        <w:t>规格。</w:t>
      </w:r>
    </w:p>
    <w:p w14:paraId="16A98D09">
      <w:pPr>
        <w:pStyle w:val="174"/>
        <w:spacing w:line="360" w:lineRule="auto"/>
        <w:ind w:firstLine="0" w:firstLineChars="0"/>
        <w:rPr>
          <w:rFonts w:ascii="Times New Roman"/>
          <w:sz w:val="24"/>
          <w:szCs w:val="22"/>
        </w:rPr>
      </w:pPr>
      <w:r>
        <w:rPr>
          <w:rFonts w:hint="eastAsia" w:ascii="Times New Roman"/>
          <w:b/>
          <w:bCs/>
          <w:sz w:val="24"/>
          <w:szCs w:val="22"/>
        </w:rPr>
        <w:t xml:space="preserve">7.3.3 </w:t>
      </w:r>
      <w:r>
        <w:rPr>
          <w:rFonts w:hint="eastAsia" w:ascii="Times New Roman"/>
          <w:sz w:val="24"/>
          <w:szCs w:val="22"/>
        </w:rPr>
        <w:t>减震结构引入结构健康监测系统方案，采用具有地震位移监测功能的</w:t>
      </w:r>
      <w:r>
        <w:rPr>
          <w:rFonts w:hint="eastAsia" w:ascii="Times New Roman"/>
          <w:sz w:val="24"/>
          <w:szCs w:val="22"/>
          <w:lang w:eastAsia="zh-CN"/>
        </w:rPr>
        <w:t>消能减震装置</w:t>
      </w:r>
      <w:r>
        <w:rPr>
          <w:rFonts w:hint="eastAsia" w:ascii="Times New Roman"/>
          <w:sz w:val="24"/>
          <w:szCs w:val="22"/>
        </w:rPr>
        <w:t>，或在减震子结构处设置地震位移监测系统，实时监测</w:t>
      </w:r>
      <w:r>
        <w:rPr>
          <w:rFonts w:hint="eastAsia" w:ascii="Times New Roman"/>
          <w:sz w:val="24"/>
          <w:szCs w:val="22"/>
          <w:lang w:eastAsia="zh-CN"/>
        </w:rPr>
        <w:t>消能减震装置</w:t>
      </w:r>
      <w:r>
        <w:rPr>
          <w:rFonts w:hint="eastAsia" w:ascii="Times New Roman"/>
          <w:sz w:val="24"/>
          <w:szCs w:val="22"/>
        </w:rPr>
        <w:t>工作状态，评价分值为10分。</w:t>
      </w:r>
    </w:p>
    <w:p w14:paraId="3DD13C75">
      <w:pPr>
        <w:pStyle w:val="174"/>
        <w:spacing w:line="360" w:lineRule="auto"/>
        <w:ind w:firstLine="0" w:firstLineChars="0"/>
        <w:rPr>
          <w:rFonts w:ascii="Times New Roman"/>
          <w:sz w:val="24"/>
          <w:szCs w:val="22"/>
        </w:rPr>
      </w:pPr>
      <w:r>
        <w:rPr>
          <w:rFonts w:hint="eastAsia" w:ascii="Times New Roman"/>
          <w:b/>
          <w:bCs/>
          <w:sz w:val="24"/>
          <w:szCs w:val="22"/>
        </w:rPr>
        <w:t xml:space="preserve">7.3.4 </w:t>
      </w:r>
      <w:r>
        <w:rPr>
          <w:rFonts w:hint="eastAsia" w:ascii="Times New Roman"/>
          <w:sz w:val="24"/>
          <w:szCs w:val="22"/>
          <w:lang w:eastAsia="zh-CN"/>
        </w:rPr>
        <w:t>消能减震装置</w:t>
      </w:r>
      <w:r>
        <w:rPr>
          <w:rFonts w:hint="eastAsia" w:ascii="Times New Roman"/>
          <w:sz w:val="24"/>
          <w:szCs w:val="22"/>
        </w:rPr>
        <w:t>各力学性能指标偏差平均值均不超过±5%，评价分值为10分。</w:t>
      </w:r>
    </w:p>
    <w:p w14:paraId="162FBB11">
      <w:pPr>
        <w:pStyle w:val="174"/>
        <w:spacing w:line="360" w:lineRule="auto"/>
        <w:ind w:firstLine="0" w:firstLineChars="0"/>
        <w:rPr>
          <w:rFonts w:ascii="Times New Roman"/>
          <w:b/>
          <w:bCs/>
          <w:sz w:val="24"/>
          <w:szCs w:val="22"/>
        </w:rPr>
      </w:pPr>
      <w:r>
        <w:rPr>
          <w:rFonts w:hint="eastAsia" w:ascii="Times New Roman"/>
          <w:b/>
          <w:bCs/>
          <w:sz w:val="24"/>
          <w:szCs w:val="22"/>
        </w:rPr>
        <w:t>7.3.</w:t>
      </w:r>
      <w:r>
        <w:rPr>
          <w:rFonts w:hint="eastAsia" w:ascii="Times New Roman"/>
          <w:b/>
          <w:bCs/>
          <w:sz w:val="24"/>
          <w:szCs w:val="22"/>
          <w:lang w:val="en-US" w:eastAsia="zh-CN"/>
        </w:rPr>
        <w:t>5</w:t>
      </w:r>
      <w:r>
        <w:rPr>
          <w:rFonts w:hint="eastAsia" w:ascii="Times New Roman"/>
          <w:b/>
          <w:bCs/>
          <w:sz w:val="24"/>
          <w:szCs w:val="22"/>
        </w:rPr>
        <w:t xml:space="preserve"> </w:t>
      </w:r>
      <w:r>
        <w:rPr>
          <w:rFonts w:hint="eastAsia" w:ascii="Times New Roman"/>
          <w:sz w:val="24"/>
          <w:szCs w:val="22"/>
          <w:lang w:eastAsia="zh-CN"/>
        </w:rPr>
        <w:t>消能减震装置</w:t>
      </w:r>
      <w:r>
        <w:rPr>
          <w:rFonts w:hint="eastAsia" w:ascii="Times New Roman"/>
          <w:sz w:val="24"/>
          <w:szCs w:val="22"/>
        </w:rPr>
        <w:t>施工预留可拆卸检修窗或检修门，无需拆除外部装饰即可观察或检修</w:t>
      </w:r>
      <w:r>
        <w:rPr>
          <w:rFonts w:hint="eastAsia" w:ascii="Times New Roman"/>
          <w:sz w:val="24"/>
          <w:szCs w:val="22"/>
          <w:lang w:eastAsia="zh-CN"/>
        </w:rPr>
        <w:t>装置</w:t>
      </w:r>
      <w:r>
        <w:rPr>
          <w:rFonts w:hint="eastAsia" w:ascii="Times New Roman"/>
          <w:sz w:val="24"/>
          <w:szCs w:val="22"/>
        </w:rPr>
        <w:t>状态，评价分值为10分。</w:t>
      </w:r>
    </w:p>
    <w:p w14:paraId="62DCB0DA">
      <w:pPr>
        <w:pStyle w:val="174"/>
        <w:spacing w:line="360" w:lineRule="auto"/>
        <w:ind w:firstLine="0" w:firstLineChars="0"/>
        <w:rPr>
          <w:rFonts w:ascii="Times New Roman"/>
          <w:sz w:val="24"/>
          <w:szCs w:val="22"/>
        </w:rPr>
      </w:pPr>
      <w:r>
        <w:rPr>
          <w:rFonts w:hint="eastAsia" w:ascii="Times New Roman"/>
          <w:b/>
          <w:bCs/>
          <w:sz w:val="24"/>
          <w:szCs w:val="22"/>
        </w:rPr>
        <w:t>7.3.</w:t>
      </w:r>
      <w:r>
        <w:rPr>
          <w:rFonts w:hint="eastAsia" w:ascii="Times New Roman"/>
          <w:b/>
          <w:bCs/>
          <w:sz w:val="24"/>
          <w:szCs w:val="22"/>
          <w:lang w:val="en-US" w:eastAsia="zh-CN"/>
        </w:rPr>
        <w:t>6</w:t>
      </w:r>
      <w:r>
        <w:rPr>
          <w:rFonts w:hint="eastAsia" w:ascii="Times New Roman"/>
          <w:b/>
          <w:bCs/>
          <w:sz w:val="24"/>
          <w:szCs w:val="22"/>
        </w:rPr>
        <w:t xml:space="preserve"> </w:t>
      </w:r>
      <w:r>
        <w:rPr>
          <w:rFonts w:hint="eastAsia" w:ascii="Times New Roman"/>
          <w:sz w:val="24"/>
          <w:szCs w:val="22"/>
        </w:rPr>
        <w:t>采用可同时进行水平地震控制和竖向振动或风致振动控制的技术产品，评价分值为10分。</w:t>
      </w:r>
    </w:p>
    <w:p w14:paraId="28C6734F">
      <w:pPr>
        <w:pStyle w:val="174"/>
        <w:spacing w:line="360" w:lineRule="auto"/>
        <w:ind w:firstLine="0" w:firstLineChars="0"/>
        <w:rPr>
          <w:rFonts w:ascii="Times New Roman"/>
          <w:sz w:val="24"/>
          <w:szCs w:val="22"/>
        </w:rPr>
      </w:pPr>
      <w:r>
        <w:rPr>
          <w:rFonts w:hint="eastAsia" w:ascii="Times New Roman"/>
          <w:b/>
          <w:bCs/>
          <w:sz w:val="24"/>
          <w:szCs w:val="22"/>
        </w:rPr>
        <w:t>7.3.</w:t>
      </w:r>
      <w:r>
        <w:rPr>
          <w:rFonts w:hint="eastAsia" w:ascii="Times New Roman"/>
          <w:b/>
          <w:bCs/>
          <w:sz w:val="24"/>
          <w:szCs w:val="22"/>
          <w:lang w:val="en-US" w:eastAsia="zh-CN"/>
        </w:rPr>
        <w:t>7</w:t>
      </w:r>
      <w:r>
        <w:rPr>
          <w:rFonts w:hint="eastAsia" w:ascii="Times New Roman"/>
          <w:b/>
          <w:bCs/>
          <w:sz w:val="24"/>
          <w:szCs w:val="22"/>
        </w:rPr>
        <w:t xml:space="preserve"> </w:t>
      </w:r>
      <w:r>
        <w:rPr>
          <w:rFonts w:hint="eastAsia" w:ascii="Times New Roman"/>
          <w:sz w:val="24"/>
          <w:szCs w:val="22"/>
          <w:lang w:eastAsia="zh-CN"/>
        </w:rPr>
        <w:t>消能减震装置</w:t>
      </w:r>
      <w:r>
        <w:rPr>
          <w:rFonts w:hint="eastAsia" w:ascii="Times New Roman"/>
          <w:sz w:val="24"/>
          <w:szCs w:val="22"/>
        </w:rPr>
        <w:t>与机电管线协同布置，附近管线采用波纹管或滑动支架等柔性跨接措施，评价分值为10分。</w:t>
      </w:r>
    </w:p>
    <w:p w14:paraId="3909EE14">
      <w:pPr>
        <w:pStyle w:val="174"/>
        <w:spacing w:line="360" w:lineRule="auto"/>
        <w:ind w:firstLine="0" w:firstLineChars="0"/>
        <w:rPr>
          <w:rFonts w:ascii="Times New Roman"/>
          <w:sz w:val="24"/>
          <w:szCs w:val="22"/>
        </w:rPr>
      </w:pPr>
      <w:r>
        <w:rPr>
          <w:rFonts w:ascii="Times New Roman"/>
          <w:b/>
          <w:bCs/>
          <w:sz w:val="24"/>
          <w:szCs w:val="22"/>
        </w:rPr>
        <w:t>7.3.</w:t>
      </w:r>
      <w:r>
        <w:rPr>
          <w:rFonts w:hint="eastAsia" w:ascii="Times New Roman"/>
          <w:b/>
          <w:bCs/>
          <w:sz w:val="24"/>
          <w:szCs w:val="22"/>
          <w:lang w:val="en-US" w:eastAsia="zh-CN"/>
        </w:rPr>
        <w:t>8</w:t>
      </w:r>
      <w:r>
        <w:rPr>
          <w:rFonts w:ascii="Times New Roman"/>
          <w:b/>
          <w:bCs/>
          <w:sz w:val="24"/>
          <w:szCs w:val="22"/>
        </w:rPr>
        <w:t xml:space="preserve"> </w:t>
      </w:r>
      <w:r>
        <w:rPr>
          <w:rFonts w:hint="eastAsia"/>
          <w:sz w:val="24"/>
          <w:szCs w:val="22"/>
        </w:rPr>
        <w:t>为减震装置设置</w:t>
      </w:r>
      <w:r>
        <w:rPr>
          <w:rFonts w:hint="eastAsia" w:ascii="Times New Roman"/>
          <w:sz w:val="24"/>
          <w:szCs w:val="22"/>
        </w:rPr>
        <w:t>专用检修通道、更换空间及更换辅助构造，评价分值为10分。</w:t>
      </w:r>
    </w:p>
    <w:p w14:paraId="13970951">
      <w:pPr>
        <w:pStyle w:val="174"/>
        <w:spacing w:line="360" w:lineRule="auto"/>
        <w:ind w:firstLine="0" w:firstLineChars="0"/>
        <w:rPr>
          <w:rFonts w:hint="eastAsia" w:ascii="Times New Roman"/>
          <w:sz w:val="24"/>
          <w:szCs w:val="22"/>
        </w:rPr>
      </w:pPr>
      <w:r>
        <w:rPr>
          <w:rFonts w:hint="eastAsia" w:ascii="Times New Roman"/>
          <w:b/>
          <w:bCs/>
          <w:sz w:val="24"/>
          <w:szCs w:val="22"/>
        </w:rPr>
        <w:t>7.3.</w:t>
      </w:r>
      <w:r>
        <w:rPr>
          <w:rFonts w:hint="eastAsia" w:ascii="Times New Roman"/>
          <w:b/>
          <w:bCs/>
          <w:sz w:val="24"/>
          <w:szCs w:val="22"/>
          <w:lang w:val="en-US" w:eastAsia="zh-CN"/>
        </w:rPr>
        <w:t>9</w:t>
      </w:r>
      <w:r>
        <w:rPr>
          <w:rFonts w:hint="eastAsia" w:ascii="Times New Roman"/>
          <w:b/>
          <w:bCs/>
          <w:sz w:val="24"/>
          <w:szCs w:val="22"/>
        </w:rPr>
        <w:t xml:space="preserve"> </w:t>
      </w:r>
      <w:r>
        <w:rPr>
          <w:rFonts w:hint="eastAsia" w:ascii="Times New Roman"/>
          <w:sz w:val="24"/>
          <w:szCs w:val="22"/>
        </w:rPr>
        <w:t>沿海地区</w:t>
      </w:r>
      <w:r>
        <w:rPr>
          <w:rFonts w:hint="eastAsia" w:ascii="Times New Roman"/>
          <w:sz w:val="24"/>
          <w:szCs w:val="22"/>
          <w:lang w:eastAsia="zh-CN"/>
        </w:rPr>
        <w:t>消能减震建筑</w:t>
      </w:r>
      <w:r>
        <w:rPr>
          <w:rFonts w:hint="eastAsia" w:ascii="Times New Roman"/>
          <w:sz w:val="24"/>
          <w:szCs w:val="22"/>
        </w:rPr>
        <w:t>采用的</w:t>
      </w:r>
      <w:r>
        <w:rPr>
          <w:rFonts w:hint="eastAsia" w:ascii="Times New Roman"/>
          <w:sz w:val="24"/>
          <w:szCs w:val="22"/>
          <w:lang w:eastAsia="zh-CN"/>
        </w:rPr>
        <w:t>消能减震装置</w:t>
      </w:r>
      <w:r>
        <w:rPr>
          <w:rFonts w:hint="eastAsia" w:ascii="Times New Roman"/>
          <w:sz w:val="24"/>
          <w:szCs w:val="22"/>
        </w:rPr>
        <w:t>具备较强的耐腐蚀能力，</w:t>
      </w:r>
      <w:r>
        <w:rPr>
          <w:rFonts w:hint="eastAsia" w:ascii="Times New Roman"/>
          <w:sz w:val="24"/>
          <w:szCs w:val="22"/>
          <w:lang w:eastAsia="zh-CN"/>
        </w:rPr>
        <w:t>消能减震装置</w:t>
      </w:r>
      <w:r>
        <w:rPr>
          <w:rFonts w:hint="eastAsia" w:ascii="Times New Roman"/>
          <w:sz w:val="24"/>
          <w:szCs w:val="22"/>
        </w:rPr>
        <w:t>或关键部件具有不低于1000h的盐雾试验报告，评价分值为10分。</w:t>
      </w:r>
    </w:p>
    <w:p w14:paraId="50C97CA3">
      <w:pPr>
        <w:pStyle w:val="174"/>
        <w:spacing w:line="360" w:lineRule="auto"/>
        <w:ind w:firstLine="0" w:firstLineChars="0"/>
        <w:rPr>
          <w:rFonts w:hint="eastAsia" w:ascii="Times New Roman"/>
          <w:sz w:val="24"/>
          <w:szCs w:val="22"/>
          <w:lang w:val="en-US" w:eastAsia="zh-CN"/>
        </w:rPr>
      </w:pPr>
      <w:r>
        <w:rPr>
          <w:rFonts w:hint="eastAsia" w:ascii="Times New Roman"/>
          <w:b/>
          <w:bCs/>
          <w:sz w:val="24"/>
          <w:szCs w:val="22"/>
          <w:lang w:val="en-US" w:eastAsia="zh-CN"/>
        </w:rPr>
        <w:t>7.3.10</w:t>
      </w:r>
      <w:r>
        <w:rPr>
          <w:rFonts w:hint="eastAsia" w:ascii="Times New Roman"/>
          <w:sz w:val="24"/>
          <w:szCs w:val="22"/>
          <w:lang w:val="en-US" w:eastAsia="zh-CN"/>
        </w:rPr>
        <w:t xml:space="preserve"> 消能减震建筑工程竣工验收前，消能减震装置生产厂家、设计等单位编写使用维护手册及维护管理计划，包括</w:t>
      </w:r>
      <w:r>
        <w:rPr>
          <w:rFonts w:hint="eastAsia" w:ascii="Times New Roman"/>
          <w:sz w:val="24"/>
          <w:szCs w:val="22"/>
        </w:rPr>
        <w:t>灾后</w:t>
      </w:r>
      <w:r>
        <w:rPr>
          <w:rFonts w:hint="eastAsia" w:ascii="Times New Roman"/>
          <w:sz w:val="24"/>
          <w:szCs w:val="22"/>
          <w:lang w:val="en-US" w:eastAsia="zh-CN"/>
        </w:rPr>
        <w:t>应急检查计划和方法，评价分值为5分。</w:t>
      </w:r>
    </w:p>
    <w:p w14:paraId="25D31FA1">
      <w:pPr>
        <w:pStyle w:val="174"/>
        <w:spacing w:line="360" w:lineRule="auto"/>
        <w:ind w:firstLine="0" w:firstLineChars="0"/>
        <w:rPr>
          <w:rFonts w:hint="eastAsia" w:ascii="Times New Roman"/>
          <w:sz w:val="24"/>
          <w:szCs w:val="22"/>
          <w:lang w:val="en-US" w:eastAsia="zh-CN"/>
        </w:rPr>
      </w:pPr>
      <w:r>
        <w:rPr>
          <w:rFonts w:hint="eastAsia" w:ascii="Times New Roman"/>
          <w:b/>
          <w:bCs/>
          <w:sz w:val="24"/>
          <w:szCs w:val="22"/>
          <w:lang w:val="en-US" w:eastAsia="zh-CN"/>
        </w:rPr>
        <w:t>7.3.11</w:t>
      </w:r>
      <w:r>
        <w:rPr>
          <w:rFonts w:hint="eastAsia" w:ascii="Times New Roman"/>
          <w:sz w:val="24"/>
          <w:szCs w:val="22"/>
          <w:lang w:val="en-US" w:eastAsia="zh-CN"/>
        </w:rPr>
        <w:t xml:space="preserve"> 消能减震建筑</w:t>
      </w:r>
      <w:r>
        <w:rPr>
          <w:rFonts w:hint="eastAsia" w:ascii="Times New Roman"/>
          <w:sz w:val="24"/>
          <w:szCs w:val="22"/>
        </w:rPr>
        <w:t>工程除对建筑常规维护项目进行检验、检查外，</w:t>
      </w:r>
      <w:r>
        <w:rPr>
          <w:rFonts w:hint="eastAsia" w:ascii="Times New Roman"/>
          <w:sz w:val="24"/>
          <w:szCs w:val="22"/>
          <w:lang w:val="en-US" w:eastAsia="zh-CN"/>
        </w:rPr>
        <w:t>还</w:t>
      </w:r>
      <w:r>
        <w:rPr>
          <w:rFonts w:hint="eastAsia" w:ascii="Times New Roman"/>
          <w:sz w:val="24"/>
          <w:szCs w:val="22"/>
        </w:rPr>
        <w:t>对</w:t>
      </w:r>
      <w:r>
        <w:rPr>
          <w:rFonts w:hint="eastAsia" w:ascii="Times New Roman"/>
          <w:sz w:val="24"/>
          <w:szCs w:val="22"/>
          <w:lang w:val="en-US" w:eastAsia="zh-CN"/>
        </w:rPr>
        <w:t>消能减震建筑</w:t>
      </w:r>
      <w:r>
        <w:rPr>
          <w:rFonts w:hint="eastAsia" w:ascii="Times New Roman"/>
          <w:sz w:val="24"/>
          <w:szCs w:val="22"/>
        </w:rPr>
        <w:t>特有的项目进行检验、检查</w:t>
      </w:r>
      <w:r>
        <w:rPr>
          <w:rFonts w:hint="eastAsia" w:ascii="Times New Roman"/>
          <w:sz w:val="24"/>
          <w:szCs w:val="22"/>
          <w:lang w:eastAsia="zh-CN"/>
        </w:rPr>
        <w:t>，</w:t>
      </w:r>
      <w:r>
        <w:rPr>
          <w:rFonts w:hint="eastAsia" w:ascii="Times New Roman"/>
          <w:sz w:val="24"/>
          <w:szCs w:val="22"/>
          <w:lang w:val="en-US" w:eastAsia="zh-CN"/>
        </w:rPr>
        <w:t>建立专项定期检查制度，且完成一次以上专项定期检查，评价分值为10分。</w:t>
      </w:r>
    </w:p>
    <w:p w14:paraId="195DEA84">
      <w:pPr>
        <w:pStyle w:val="174"/>
        <w:spacing w:line="360" w:lineRule="auto"/>
        <w:ind w:firstLine="0" w:firstLineChars="0"/>
        <w:rPr>
          <w:rFonts w:ascii="Times New Roman"/>
          <w:sz w:val="24"/>
          <w:szCs w:val="22"/>
        </w:rPr>
      </w:pPr>
    </w:p>
    <w:p w14:paraId="501416F7">
      <w:pPr>
        <w:pStyle w:val="174"/>
        <w:spacing w:line="360" w:lineRule="auto"/>
        <w:ind w:firstLine="0" w:firstLineChars="0"/>
        <w:rPr>
          <w:rFonts w:ascii="Times New Roman"/>
          <w:sz w:val="24"/>
          <w:szCs w:val="22"/>
        </w:rPr>
        <w:sectPr>
          <w:pgSz w:w="11906" w:h="16838"/>
          <w:pgMar w:top="1440" w:right="1800" w:bottom="1440" w:left="1800" w:header="1418" w:footer="1134" w:gutter="0"/>
          <w:cols w:space="425" w:num="1"/>
          <w:formProt w:val="0"/>
          <w:docGrid w:type="lines" w:linePitch="312" w:charSpace="0"/>
        </w:sectPr>
      </w:pPr>
    </w:p>
    <w:p w14:paraId="2A2A4C5E">
      <w:pPr>
        <w:pStyle w:val="152"/>
        <w:widowControl/>
        <w:spacing w:before="156" w:beforeLines="50" w:after="312" w:afterLines="100" w:line="360" w:lineRule="auto"/>
        <w:ind w:firstLine="0" w:firstLineChars="0"/>
        <w:jc w:val="center"/>
        <w:outlineLvl w:val="0"/>
        <w:rPr>
          <w:rFonts w:ascii="Times New Roman" w:hAnsi="Times New Roman" w:cs="Times New Roman"/>
          <w:b/>
          <w:bCs/>
          <w:sz w:val="30"/>
          <w:szCs w:val="30"/>
        </w:rPr>
      </w:pPr>
      <w:bookmarkStart w:id="70" w:name="_Toc19089"/>
      <w:r>
        <w:rPr>
          <w:rFonts w:hint="eastAsia" w:ascii="Times New Roman" w:hAnsi="Times New Roman" w:cs="Times New Roman"/>
          <w:b/>
          <w:bCs/>
          <w:sz w:val="30"/>
          <w:szCs w:val="30"/>
        </w:rPr>
        <w:t>附录A 建筑隔减震技术应用评价得分与结果汇总表</w:t>
      </w:r>
      <w:bookmarkEnd w:id="70"/>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2"/>
        <w:gridCol w:w="993"/>
        <w:gridCol w:w="1842"/>
        <w:gridCol w:w="993"/>
        <w:gridCol w:w="1275"/>
        <w:gridCol w:w="1701"/>
        <w:gridCol w:w="930"/>
      </w:tblGrid>
      <w:tr w14:paraId="1FA43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1555" w:type="dxa"/>
            <w:gridSpan w:val="2"/>
            <w:vAlign w:val="center"/>
          </w:tcPr>
          <w:p w14:paraId="7B86861E">
            <w:pPr>
              <w:pStyle w:val="174"/>
              <w:ind w:firstLine="0" w:firstLineChars="0"/>
              <w:jc w:val="left"/>
              <w:rPr>
                <w:rFonts w:ascii="Times New Roman"/>
                <w:szCs w:val="20"/>
              </w:rPr>
            </w:pPr>
            <w:r>
              <w:rPr>
                <w:rFonts w:hint="eastAsia" w:ascii="Times New Roman"/>
                <w:szCs w:val="20"/>
              </w:rPr>
              <w:t>工程项目名称</w:t>
            </w:r>
          </w:p>
        </w:tc>
        <w:tc>
          <w:tcPr>
            <w:tcW w:w="6741" w:type="dxa"/>
            <w:gridSpan w:val="5"/>
            <w:vAlign w:val="center"/>
          </w:tcPr>
          <w:p w14:paraId="6472B55A">
            <w:pPr>
              <w:pStyle w:val="174"/>
              <w:ind w:firstLine="0" w:firstLineChars="0"/>
              <w:jc w:val="center"/>
              <w:rPr>
                <w:rFonts w:ascii="Times New Roman"/>
                <w:szCs w:val="20"/>
              </w:rPr>
            </w:pPr>
          </w:p>
        </w:tc>
      </w:tr>
      <w:tr w14:paraId="2DA0D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555" w:type="dxa"/>
            <w:gridSpan w:val="2"/>
            <w:vAlign w:val="center"/>
          </w:tcPr>
          <w:p w14:paraId="19E78412">
            <w:pPr>
              <w:pStyle w:val="174"/>
              <w:ind w:firstLine="0" w:firstLineChars="0"/>
              <w:jc w:val="left"/>
              <w:rPr>
                <w:rFonts w:ascii="Times New Roman"/>
                <w:szCs w:val="20"/>
              </w:rPr>
            </w:pPr>
            <w:r>
              <w:rPr>
                <w:rFonts w:hint="eastAsia" w:ascii="Times New Roman"/>
                <w:szCs w:val="20"/>
              </w:rPr>
              <w:t>设计单位</w:t>
            </w:r>
          </w:p>
        </w:tc>
        <w:tc>
          <w:tcPr>
            <w:tcW w:w="2835" w:type="dxa"/>
            <w:gridSpan w:val="2"/>
            <w:vAlign w:val="center"/>
          </w:tcPr>
          <w:p w14:paraId="1709D7D0">
            <w:pPr>
              <w:pStyle w:val="174"/>
              <w:ind w:firstLine="0" w:firstLineChars="0"/>
              <w:jc w:val="center"/>
              <w:rPr>
                <w:rFonts w:ascii="Times New Roman"/>
                <w:szCs w:val="20"/>
              </w:rPr>
            </w:pPr>
          </w:p>
        </w:tc>
        <w:tc>
          <w:tcPr>
            <w:tcW w:w="1275" w:type="dxa"/>
            <w:vAlign w:val="center"/>
          </w:tcPr>
          <w:p w14:paraId="6FA90C05">
            <w:pPr>
              <w:pStyle w:val="174"/>
              <w:ind w:firstLine="0" w:firstLineChars="0"/>
              <w:jc w:val="left"/>
              <w:rPr>
                <w:rFonts w:ascii="Times New Roman"/>
                <w:szCs w:val="20"/>
              </w:rPr>
            </w:pPr>
            <w:r>
              <w:rPr>
                <w:rFonts w:hint="eastAsia" w:ascii="Times New Roman"/>
                <w:szCs w:val="20"/>
              </w:rPr>
              <w:t>施工单位</w:t>
            </w:r>
          </w:p>
        </w:tc>
        <w:tc>
          <w:tcPr>
            <w:tcW w:w="2631" w:type="dxa"/>
            <w:gridSpan w:val="2"/>
            <w:vAlign w:val="center"/>
          </w:tcPr>
          <w:p w14:paraId="639386A2">
            <w:pPr>
              <w:pStyle w:val="174"/>
              <w:ind w:firstLine="0" w:firstLineChars="0"/>
              <w:jc w:val="center"/>
              <w:rPr>
                <w:rFonts w:ascii="Times New Roman"/>
                <w:szCs w:val="20"/>
              </w:rPr>
            </w:pPr>
          </w:p>
        </w:tc>
      </w:tr>
      <w:tr w14:paraId="5AE39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trPr>
        <w:tc>
          <w:tcPr>
            <w:tcW w:w="1555" w:type="dxa"/>
            <w:gridSpan w:val="2"/>
            <w:vAlign w:val="center"/>
          </w:tcPr>
          <w:p w14:paraId="0DFEDE68">
            <w:pPr>
              <w:pStyle w:val="174"/>
              <w:ind w:firstLine="0" w:firstLineChars="0"/>
              <w:jc w:val="left"/>
              <w:rPr>
                <w:rFonts w:hint="eastAsia" w:ascii="Times New Roman" w:eastAsia="宋体"/>
                <w:szCs w:val="18"/>
                <w:lang w:eastAsia="zh-CN"/>
              </w:rPr>
            </w:pPr>
            <w:r>
              <w:rPr>
                <w:rFonts w:hint="eastAsia" w:ascii="Times New Roman"/>
                <w:szCs w:val="18"/>
                <w:lang w:eastAsia="zh-CN"/>
              </w:rPr>
              <w:t>隔减震装置</w:t>
            </w:r>
          </w:p>
          <w:p w14:paraId="6DF85888">
            <w:pPr>
              <w:pStyle w:val="174"/>
              <w:ind w:firstLine="0" w:firstLineChars="0"/>
              <w:jc w:val="left"/>
              <w:rPr>
                <w:rFonts w:ascii="Times New Roman"/>
                <w:szCs w:val="18"/>
              </w:rPr>
            </w:pPr>
            <w:r>
              <w:rPr>
                <w:rFonts w:hint="eastAsia" w:ascii="Times New Roman"/>
                <w:szCs w:val="18"/>
              </w:rPr>
              <w:t>供货单位</w:t>
            </w:r>
          </w:p>
        </w:tc>
        <w:tc>
          <w:tcPr>
            <w:tcW w:w="2835" w:type="dxa"/>
            <w:gridSpan w:val="2"/>
            <w:vAlign w:val="center"/>
          </w:tcPr>
          <w:p w14:paraId="4699973D">
            <w:pPr>
              <w:pStyle w:val="174"/>
              <w:ind w:firstLine="0" w:firstLineChars="0"/>
              <w:jc w:val="center"/>
              <w:rPr>
                <w:rFonts w:ascii="Times New Roman"/>
                <w:szCs w:val="18"/>
              </w:rPr>
            </w:pPr>
          </w:p>
        </w:tc>
        <w:tc>
          <w:tcPr>
            <w:tcW w:w="1275" w:type="dxa"/>
            <w:vAlign w:val="center"/>
          </w:tcPr>
          <w:p w14:paraId="0D4BD123">
            <w:pPr>
              <w:pStyle w:val="174"/>
              <w:ind w:firstLine="0" w:firstLineChars="0"/>
              <w:jc w:val="left"/>
              <w:rPr>
                <w:rFonts w:ascii="Times New Roman"/>
                <w:szCs w:val="18"/>
              </w:rPr>
            </w:pPr>
            <w:r>
              <w:rPr>
                <w:rFonts w:hint="eastAsia" w:ascii="Times New Roman"/>
                <w:szCs w:val="18"/>
              </w:rPr>
              <w:t>运营单位</w:t>
            </w:r>
          </w:p>
        </w:tc>
        <w:tc>
          <w:tcPr>
            <w:tcW w:w="2631" w:type="dxa"/>
            <w:gridSpan w:val="2"/>
            <w:vAlign w:val="center"/>
          </w:tcPr>
          <w:p w14:paraId="71B57F5A">
            <w:pPr>
              <w:pStyle w:val="174"/>
              <w:ind w:firstLine="0" w:firstLineChars="0"/>
              <w:jc w:val="center"/>
              <w:rPr>
                <w:rFonts w:ascii="Times New Roman"/>
                <w:szCs w:val="18"/>
              </w:rPr>
            </w:pPr>
          </w:p>
        </w:tc>
      </w:tr>
      <w:tr w14:paraId="4C38E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555" w:type="dxa"/>
            <w:gridSpan w:val="2"/>
            <w:vAlign w:val="center"/>
          </w:tcPr>
          <w:p w14:paraId="0F793335">
            <w:pPr>
              <w:pStyle w:val="174"/>
              <w:ind w:firstLine="0" w:firstLineChars="0"/>
              <w:jc w:val="left"/>
              <w:rPr>
                <w:rFonts w:ascii="Times New Roman"/>
                <w:szCs w:val="20"/>
              </w:rPr>
            </w:pPr>
            <w:r>
              <w:rPr>
                <w:rFonts w:hint="eastAsia" w:ascii="Times New Roman"/>
                <w:szCs w:val="20"/>
              </w:rPr>
              <w:t>申请评价方</w:t>
            </w:r>
          </w:p>
        </w:tc>
        <w:tc>
          <w:tcPr>
            <w:tcW w:w="2835" w:type="dxa"/>
            <w:gridSpan w:val="2"/>
            <w:vAlign w:val="center"/>
          </w:tcPr>
          <w:p w14:paraId="36746996">
            <w:pPr>
              <w:pStyle w:val="174"/>
              <w:ind w:firstLine="0" w:firstLineChars="0"/>
              <w:jc w:val="center"/>
              <w:rPr>
                <w:rFonts w:ascii="Times New Roman"/>
                <w:szCs w:val="20"/>
              </w:rPr>
            </w:pPr>
          </w:p>
        </w:tc>
        <w:tc>
          <w:tcPr>
            <w:tcW w:w="1275" w:type="dxa"/>
            <w:vAlign w:val="center"/>
          </w:tcPr>
          <w:p w14:paraId="2B036481">
            <w:pPr>
              <w:pStyle w:val="174"/>
              <w:ind w:firstLine="0" w:firstLineChars="0"/>
              <w:jc w:val="left"/>
              <w:rPr>
                <w:rFonts w:ascii="Times New Roman"/>
                <w:szCs w:val="20"/>
              </w:rPr>
            </w:pPr>
            <w:r>
              <w:rPr>
                <w:rFonts w:hint="eastAsia" w:ascii="Times New Roman"/>
                <w:szCs w:val="20"/>
              </w:rPr>
              <w:t>评价机构</w:t>
            </w:r>
          </w:p>
        </w:tc>
        <w:tc>
          <w:tcPr>
            <w:tcW w:w="2631" w:type="dxa"/>
            <w:gridSpan w:val="2"/>
            <w:vAlign w:val="center"/>
          </w:tcPr>
          <w:p w14:paraId="1B169403">
            <w:pPr>
              <w:pStyle w:val="174"/>
              <w:ind w:firstLine="0" w:firstLineChars="0"/>
              <w:jc w:val="center"/>
              <w:rPr>
                <w:rFonts w:ascii="Times New Roman"/>
                <w:szCs w:val="20"/>
              </w:rPr>
            </w:pPr>
          </w:p>
        </w:tc>
      </w:tr>
      <w:tr w14:paraId="23E58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1555" w:type="dxa"/>
            <w:gridSpan w:val="2"/>
            <w:vMerge w:val="restart"/>
            <w:vAlign w:val="center"/>
          </w:tcPr>
          <w:p w14:paraId="3E71AF83">
            <w:pPr>
              <w:pStyle w:val="174"/>
              <w:ind w:firstLine="0" w:firstLineChars="0"/>
              <w:jc w:val="left"/>
              <w:rPr>
                <w:rFonts w:hint="eastAsia" w:ascii="Times New Roman" w:eastAsia="宋体"/>
                <w:szCs w:val="20"/>
                <w:lang w:eastAsia="zh-CN"/>
              </w:rPr>
            </w:pPr>
            <w:r>
              <w:rPr>
                <w:rFonts w:hint="eastAsia" w:ascii="Times New Roman"/>
                <w:szCs w:val="20"/>
                <w:lang w:eastAsia="zh-CN"/>
              </w:rPr>
              <w:t>隔震装置</w:t>
            </w:r>
          </w:p>
        </w:tc>
        <w:tc>
          <w:tcPr>
            <w:tcW w:w="1842" w:type="dxa"/>
            <w:vAlign w:val="center"/>
          </w:tcPr>
          <w:p w14:paraId="3862CE4B">
            <w:pPr>
              <w:pStyle w:val="174"/>
              <w:ind w:firstLine="0" w:firstLineChars="0"/>
              <w:jc w:val="center"/>
              <w:rPr>
                <w:rFonts w:ascii="Times New Roman"/>
                <w:szCs w:val="18"/>
              </w:rPr>
            </w:pPr>
            <w:r>
              <w:rPr>
                <w:rFonts w:hint="eastAsia" w:ascii="Times New Roman"/>
                <w:szCs w:val="18"/>
              </w:rPr>
              <w:t>型号</w:t>
            </w:r>
          </w:p>
        </w:tc>
        <w:tc>
          <w:tcPr>
            <w:tcW w:w="993" w:type="dxa"/>
            <w:vAlign w:val="center"/>
          </w:tcPr>
          <w:p w14:paraId="382493C2">
            <w:pPr>
              <w:pStyle w:val="174"/>
              <w:ind w:firstLine="0" w:firstLineChars="0"/>
              <w:jc w:val="center"/>
              <w:rPr>
                <w:rFonts w:ascii="Times New Roman"/>
                <w:szCs w:val="20"/>
              </w:rPr>
            </w:pPr>
            <w:r>
              <w:rPr>
                <w:rFonts w:hint="eastAsia" w:ascii="Times New Roman"/>
                <w:szCs w:val="20"/>
              </w:rPr>
              <w:t>数量</w:t>
            </w:r>
          </w:p>
        </w:tc>
        <w:tc>
          <w:tcPr>
            <w:tcW w:w="1275" w:type="dxa"/>
            <w:vMerge w:val="restart"/>
            <w:vAlign w:val="center"/>
          </w:tcPr>
          <w:p w14:paraId="6E453F15">
            <w:pPr>
              <w:pStyle w:val="174"/>
              <w:ind w:firstLine="0" w:firstLineChars="0"/>
              <w:jc w:val="left"/>
              <w:rPr>
                <w:rFonts w:hint="eastAsia" w:ascii="Times New Roman" w:eastAsia="宋体"/>
                <w:szCs w:val="20"/>
                <w:lang w:eastAsia="zh-CN"/>
              </w:rPr>
            </w:pPr>
            <w:r>
              <w:rPr>
                <w:rFonts w:hint="eastAsia" w:ascii="Times New Roman"/>
                <w:szCs w:val="20"/>
                <w:lang w:eastAsia="zh-CN"/>
              </w:rPr>
              <w:t>消能减震装置</w:t>
            </w:r>
          </w:p>
        </w:tc>
        <w:tc>
          <w:tcPr>
            <w:tcW w:w="1701" w:type="dxa"/>
            <w:vAlign w:val="center"/>
          </w:tcPr>
          <w:p w14:paraId="5FDB986A">
            <w:pPr>
              <w:pStyle w:val="174"/>
              <w:ind w:firstLine="0" w:firstLineChars="0"/>
              <w:jc w:val="center"/>
              <w:rPr>
                <w:rFonts w:ascii="Times New Roman"/>
                <w:szCs w:val="18"/>
              </w:rPr>
            </w:pPr>
            <w:r>
              <w:rPr>
                <w:rFonts w:hint="eastAsia" w:ascii="Times New Roman"/>
                <w:szCs w:val="18"/>
              </w:rPr>
              <w:t>型号</w:t>
            </w:r>
          </w:p>
        </w:tc>
        <w:tc>
          <w:tcPr>
            <w:tcW w:w="930" w:type="dxa"/>
            <w:vAlign w:val="center"/>
          </w:tcPr>
          <w:p w14:paraId="08F115FF">
            <w:pPr>
              <w:pStyle w:val="174"/>
              <w:ind w:firstLine="0" w:firstLineChars="0"/>
              <w:jc w:val="center"/>
              <w:rPr>
                <w:rFonts w:ascii="Times New Roman"/>
                <w:szCs w:val="20"/>
              </w:rPr>
            </w:pPr>
            <w:r>
              <w:rPr>
                <w:rFonts w:hint="eastAsia" w:ascii="Times New Roman"/>
                <w:szCs w:val="20"/>
              </w:rPr>
              <w:t>数量</w:t>
            </w:r>
          </w:p>
        </w:tc>
      </w:tr>
      <w:tr w14:paraId="6FD134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trPr>
        <w:tc>
          <w:tcPr>
            <w:tcW w:w="1555" w:type="dxa"/>
            <w:gridSpan w:val="2"/>
            <w:vMerge w:val="continue"/>
            <w:vAlign w:val="center"/>
          </w:tcPr>
          <w:p w14:paraId="3635F4D0">
            <w:pPr>
              <w:pStyle w:val="174"/>
              <w:ind w:firstLine="0" w:firstLineChars="0"/>
              <w:jc w:val="left"/>
              <w:rPr>
                <w:rFonts w:ascii="Times New Roman"/>
                <w:szCs w:val="18"/>
              </w:rPr>
            </w:pPr>
          </w:p>
        </w:tc>
        <w:tc>
          <w:tcPr>
            <w:tcW w:w="1842" w:type="dxa"/>
            <w:vAlign w:val="center"/>
          </w:tcPr>
          <w:p w14:paraId="4EFDB264">
            <w:pPr>
              <w:pStyle w:val="174"/>
              <w:ind w:firstLine="0" w:firstLineChars="0"/>
              <w:jc w:val="center"/>
              <w:rPr>
                <w:rFonts w:ascii="Times New Roman"/>
                <w:szCs w:val="18"/>
              </w:rPr>
            </w:pPr>
          </w:p>
        </w:tc>
        <w:tc>
          <w:tcPr>
            <w:tcW w:w="993" w:type="dxa"/>
            <w:vAlign w:val="center"/>
          </w:tcPr>
          <w:p w14:paraId="75B19691">
            <w:pPr>
              <w:pStyle w:val="174"/>
              <w:ind w:firstLine="0" w:firstLineChars="0"/>
              <w:jc w:val="center"/>
              <w:rPr>
                <w:rFonts w:ascii="Times New Roman"/>
                <w:szCs w:val="18"/>
              </w:rPr>
            </w:pPr>
          </w:p>
        </w:tc>
        <w:tc>
          <w:tcPr>
            <w:tcW w:w="1275" w:type="dxa"/>
            <w:vMerge w:val="continue"/>
            <w:vAlign w:val="center"/>
          </w:tcPr>
          <w:p w14:paraId="38EA3CA0">
            <w:pPr>
              <w:pStyle w:val="174"/>
              <w:ind w:firstLine="0" w:firstLineChars="0"/>
              <w:jc w:val="center"/>
              <w:rPr>
                <w:rFonts w:ascii="Times New Roman"/>
                <w:szCs w:val="18"/>
              </w:rPr>
            </w:pPr>
          </w:p>
        </w:tc>
        <w:tc>
          <w:tcPr>
            <w:tcW w:w="1701" w:type="dxa"/>
            <w:vAlign w:val="center"/>
          </w:tcPr>
          <w:p w14:paraId="0D249B06">
            <w:pPr>
              <w:pStyle w:val="174"/>
              <w:ind w:firstLine="0" w:firstLineChars="0"/>
              <w:jc w:val="center"/>
              <w:rPr>
                <w:rFonts w:ascii="Times New Roman"/>
                <w:szCs w:val="18"/>
              </w:rPr>
            </w:pPr>
          </w:p>
        </w:tc>
        <w:tc>
          <w:tcPr>
            <w:tcW w:w="930" w:type="dxa"/>
            <w:vAlign w:val="center"/>
          </w:tcPr>
          <w:p w14:paraId="505BE0F0">
            <w:pPr>
              <w:pStyle w:val="174"/>
              <w:ind w:firstLine="0" w:firstLineChars="0"/>
              <w:jc w:val="center"/>
              <w:rPr>
                <w:rFonts w:ascii="Times New Roman"/>
                <w:szCs w:val="18"/>
              </w:rPr>
            </w:pPr>
          </w:p>
        </w:tc>
      </w:tr>
      <w:tr w14:paraId="3F496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1555" w:type="dxa"/>
            <w:gridSpan w:val="2"/>
            <w:vMerge w:val="continue"/>
            <w:vAlign w:val="center"/>
          </w:tcPr>
          <w:p w14:paraId="7E5B052A">
            <w:pPr>
              <w:pStyle w:val="174"/>
              <w:ind w:firstLine="0" w:firstLineChars="0"/>
              <w:jc w:val="left"/>
              <w:rPr>
                <w:rFonts w:ascii="Times New Roman"/>
                <w:szCs w:val="18"/>
              </w:rPr>
            </w:pPr>
          </w:p>
        </w:tc>
        <w:tc>
          <w:tcPr>
            <w:tcW w:w="1842" w:type="dxa"/>
            <w:vAlign w:val="center"/>
          </w:tcPr>
          <w:p w14:paraId="04E22827">
            <w:pPr>
              <w:pStyle w:val="174"/>
              <w:ind w:firstLine="0" w:firstLineChars="0"/>
              <w:jc w:val="center"/>
              <w:rPr>
                <w:rFonts w:ascii="Times New Roman"/>
                <w:szCs w:val="18"/>
              </w:rPr>
            </w:pPr>
          </w:p>
        </w:tc>
        <w:tc>
          <w:tcPr>
            <w:tcW w:w="993" w:type="dxa"/>
            <w:vAlign w:val="center"/>
          </w:tcPr>
          <w:p w14:paraId="732B1870">
            <w:pPr>
              <w:pStyle w:val="174"/>
              <w:ind w:firstLine="0" w:firstLineChars="0"/>
              <w:jc w:val="center"/>
              <w:rPr>
                <w:rFonts w:ascii="Times New Roman"/>
                <w:szCs w:val="18"/>
              </w:rPr>
            </w:pPr>
          </w:p>
        </w:tc>
        <w:tc>
          <w:tcPr>
            <w:tcW w:w="1275" w:type="dxa"/>
            <w:vMerge w:val="continue"/>
            <w:vAlign w:val="center"/>
          </w:tcPr>
          <w:p w14:paraId="57556A56">
            <w:pPr>
              <w:pStyle w:val="174"/>
              <w:ind w:firstLine="0" w:firstLineChars="0"/>
              <w:jc w:val="center"/>
              <w:rPr>
                <w:rFonts w:ascii="Times New Roman"/>
                <w:szCs w:val="18"/>
              </w:rPr>
            </w:pPr>
          </w:p>
        </w:tc>
        <w:tc>
          <w:tcPr>
            <w:tcW w:w="1701" w:type="dxa"/>
            <w:vAlign w:val="center"/>
          </w:tcPr>
          <w:p w14:paraId="02DD4395">
            <w:pPr>
              <w:pStyle w:val="174"/>
              <w:ind w:firstLine="0" w:firstLineChars="0"/>
              <w:jc w:val="center"/>
              <w:rPr>
                <w:rFonts w:ascii="Times New Roman"/>
                <w:szCs w:val="18"/>
              </w:rPr>
            </w:pPr>
          </w:p>
        </w:tc>
        <w:tc>
          <w:tcPr>
            <w:tcW w:w="930" w:type="dxa"/>
            <w:vAlign w:val="center"/>
          </w:tcPr>
          <w:p w14:paraId="7D76528A">
            <w:pPr>
              <w:pStyle w:val="174"/>
              <w:ind w:firstLine="0" w:firstLineChars="0"/>
              <w:jc w:val="center"/>
              <w:rPr>
                <w:rFonts w:ascii="Times New Roman"/>
                <w:szCs w:val="18"/>
              </w:rPr>
            </w:pPr>
          </w:p>
        </w:tc>
      </w:tr>
      <w:tr w14:paraId="05666C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1555" w:type="dxa"/>
            <w:gridSpan w:val="2"/>
            <w:vMerge w:val="continue"/>
            <w:vAlign w:val="center"/>
          </w:tcPr>
          <w:p w14:paraId="5883770B">
            <w:pPr>
              <w:pStyle w:val="174"/>
              <w:ind w:firstLine="0" w:firstLineChars="0"/>
              <w:jc w:val="left"/>
              <w:rPr>
                <w:rFonts w:ascii="Times New Roman"/>
                <w:szCs w:val="18"/>
              </w:rPr>
            </w:pPr>
          </w:p>
        </w:tc>
        <w:tc>
          <w:tcPr>
            <w:tcW w:w="1842" w:type="dxa"/>
            <w:vAlign w:val="center"/>
          </w:tcPr>
          <w:p w14:paraId="467ACADF">
            <w:pPr>
              <w:pStyle w:val="174"/>
              <w:ind w:firstLine="0" w:firstLineChars="0"/>
              <w:jc w:val="center"/>
              <w:rPr>
                <w:rFonts w:ascii="Times New Roman"/>
                <w:szCs w:val="18"/>
              </w:rPr>
            </w:pPr>
          </w:p>
        </w:tc>
        <w:tc>
          <w:tcPr>
            <w:tcW w:w="993" w:type="dxa"/>
            <w:vAlign w:val="center"/>
          </w:tcPr>
          <w:p w14:paraId="6FC599BC">
            <w:pPr>
              <w:pStyle w:val="174"/>
              <w:ind w:firstLine="0" w:firstLineChars="0"/>
              <w:jc w:val="center"/>
              <w:rPr>
                <w:rFonts w:ascii="Times New Roman"/>
                <w:szCs w:val="18"/>
              </w:rPr>
            </w:pPr>
          </w:p>
        </w:tc>
        <w:tc>
          <w:tcPr>
            <w:tcW w:w="1275" w:type="dxa"/>
            <w:vMerge w:val="continue"/>
            <w:vAlign w:val="center"/>
          </w:tcPr>
          <w:p w14:paraId="0AA7C181">
            <w:pPr>
              <w:pStyle w:val="174"/>
              <w:ind w:firstLine="0" w:firstLineChars="0"/>
              <w:jc w:val="center"/>
              <w:rPr>
                <w:rFonts w:ascii="Times New Roman"/>
                <w:szCs w:val="18"/>
              </w:rPr>
            </w:pPr>
          </w:p>
        </w:tc>
        <w:tc>
          <w:tcPr>
            <w:tcW w:w="1701" w:type="dxa"/>
            <w:vAlign w:val="center"/>
          </w:tcPr>
          <w:p w14:paraId="60B71D3F">
            <w:pPr>
              <w:pStyle w:val="174"/>
              <w:ind w:firstLine="0" w:firstLineChars="0"/>
              <w:jc w:val="center"/>
              <w:rPr>
                <w:rFonts w:ascii="Times New Roman"/>
                <w:szCs w:val="18"/>
              </w:rPr>
            </w:pPr>
          </w:p>
        </w:tc>
        <w:tc>
          <w:tcPr>
            <w:tcW w:w="930" w:type="dxa"/>
            <w:vAlign w:val="center"/>
          </w:tcPr>
          <w:p w14:paraId="6BE9DA3E">
            <w:pPr>
              <w:pStyle w:val="174"/>
              <w:ind w:firstLine="0" w:firstLineChars="0"/>
              <w:jc w:val="center"/>
              <w:rPr>
                <w:rFonts w:ascii="Times New Roman"/>
                <w:szCs w:val="18"/>
              </w:rPr>
            </w:pPr>
          </w:p>
        </w:tc>
      </w:tr>
      <w:tr w14:paraId="1A7973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1555" w:type="dxa"/>
            <w:gridSpan w:val="2"/>
            <w:vAlign w:val="center"/>
          </w:tcPr>
          <w:p w14:paraId="3872A512">
            <w:pPr>
              <w:pStyle w:val="174"/>
              <w:ind w:firstLine="0" w:firstLineChars="0"/>
              <w:jc w:val="left"/>
              <w:rPr>
                <w:rFonts w:ascii="Times New Roman"/>
                <w:szCs w:val="20"/>
              </w:rPr>
            </w:pPr>
            <w:r>
              <w:rPr>
                <w:rFonts w:hint="eastAsia" w:ascii="Times New Roman"/>
                <w:szCs w:val="20"/>
              </w:rPr>
              <w:t>评价指标</w:t>
            </w:r>
          </w:p>
        </w:tc>
        <w:tc>
          <w:tcPr>
            <w:tcW w:w="1842" w:type="dxa"/>
            <w:vAlign w:val="center"/>
          </w:tcPr>
          <w:p w14:paraId="4CC8A1A8">
            <w:pPr>
              <w:pStyle w:val="174"/>
              <w:ind w:firstLine="0" w:firstLineChars="0"/>
              <w:jc w:val="center"/>
              <w:rPr>
                <w:rFonts w:ascii="Times New Roman"/>
                <w:szCs w:val="20"/>
              </w:rPr>
            </w:pPr>
            <w:r>
              <w:rPr>
                <w:rFonts w:hint="eastAsia" w:ascii="Times New Roman"/>
                <w:szCs w:val="20"/>
              </w:rPr>
              <w:t>隔减震设计</w:t>
            </w:r>
          </w:p>
        </w:tc>
        <w:tc>
          <w:tcPr>
            <w:tcW w:w="2268" w:type="dxa"/>
            <w:gridSpan w:val="2"/>
            <w:vAlign w:val="center"/>
          </w:tcPr>
          <w:p w14:paraId="228567DC">
            <w:pPr>
              <w:pStyle w:val="174"/>
              <w:ind w:firstLine="0" w:firstLineChars="0"/>
              <w:jc w:val="center"/>
              <w:rPr>
                <w:rFonts w:hint="eastAsia" w:ascii="Times New Roman" w:eastAsia="宋体"/>
                <w:szCs w:val="20"/>
                <w:lang w:eastAsia="zh-CN"/>
              </w:rPr>
            </w:pPr>
            <w:r>
              <w:rPr>
                <w:rFonts w:hint="eastAsia" w:ascii="Times New Roman"/>
                <w:szCs w:val="20"/>
                <w:lang w:eastAsia="zh-CN"/>
              </w:rPr>
              <w:t>隔减震装置</w:t>
            </w:r>
          </w:p>
        </w:tc>
        <w:tc>
          <w:tcPr>
            <w:tcW w:w="2631" w:type="dxa"/>
            <w:gridSpan w:val="2"/>
            <w:vAlign w:val="center"/>
          </w:tcPr>
          <w:p w14:paraId="37282753">
            <w:pPr>
              <w:pStyle w:val="174"/>
              <w:ind w:firstLine="0" w:firstLineChars="0"/>
              <w:jc w:val="center"/>
              <w:rPr>
                <w:rFonts w:hint="default" w:ascii="Times New Roman" w:eastAsia="宋体"/>
                <w:szCs w:val="20"/>
                <w:lang w:val="en-US" w:eastAsia="zh-CN"/>
              </w:rPr>
            </w:pPr>
            <w:r>
              <w:rPr>
                <w:rFonts w:hint="eastAsia" w:ascii="Times New Roman"/>
                <w:szCs w:val="20"/>
              </w:rPr>
              <w:t>隔减震</w:t>
            </w:r>
            <w:r>
              <w:rPr>
                <w:rFonts w:hint="eastAsia" w:ascii="Times New Roman"/>
                <w:szCs w:val="20"/>
                <w:lang w:val="en-US" w:eastAsia="zh-CN"/>
              </w:rPr>
              <w:t>专项施工</w:t>
            </w:r>
          </w:p>
        </w:tc>
      </w:tr>
      <w:tr w14:paraId="2BD99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562" w:type="dxa"/>
            <w:vMerge w:val="restart"/>
            <w:vAlign w:val="center"/>
          </w:tcPr>
          <w:p w14:paraId="11CBC34C">
            <w:pPr>
              <w:pStyle w:val="174"/>
              <w:ind w:firstLine="0" w:firstLineChars="0"/>
              <w:jc w:val="center"/>
              <w:rPr>
                <w:rFonts w:ascii="Times New Roman"/>
                <w:szCs w:val="18"/>
              </w:rPr>
            </w:pPr>
            <w:r>
              <w:rPr>
                <w:rFonts w:hint="eastAsia" w:ascii="Times New Roman"/>
                <w:szCs w:val="20"/>
              </w:rPr>
              <w:t>控制项</w:t>
            </w:r>
          </w:p>
        </w:tc>
        <w:tc>
          <w:tcPr>
            <w:tcW w:w="993" w:type="dxa"/>
            <w:vAlign w:val="center"/>
          </w:tcPr>
          <w:p w14:paraId="323E4744">
            <w:pPr>
              <w:pStyle w:val="174"/>
              <w:ind w:firstLine="0" w:firstLineChars="0"/>
              <w:jc w:val="left"/>
              <w:rPr>
                <w:rFonts w:ascii="Times New Roman"/>
                <w:szCs w:val="20"/>
              </w:rPr>
            </w:pPr>
            <w:r>
              <w:rPr>
                <w:rFonts w:hint="eastAsia" w:ascii="Times New Roman"/>
                <w:szCs w:val="20"/>
              </w:rPr>
              <w:t>评定</w:t>
            </w:r>
          </w:p>
          <w:p w14:paraId="510FED43">
            <w:pPr>
              <w:pStyle w:val="174"/>
              <w:ind w:firstLine="0" w:firstLineChars="0"/>
              <w:jc w:val="left"/>
              <w:rPr>
                <w:rFonts w:ascii="Times New Roman"/>
                <w:szCs w:val="18"/>
              </w:rPr>
            </w:pPr>
            <w:r>
              <w:rPr>
                <w:rFonts w:hint="eastAsia" w:ascii="Times New Roman"/>
                <w:szCs w:val="20"/>
              </w:rPr>
              <w:t>结果</w:t>
            </w:r>
          </w:p>
        </w:tc>
        <w:tc>
          <w:tcPr>
            <w:tcW w:w="1842" w:type="dxa"/>
            <w:vAlign w:val="center"/>
          </w:tcPr>
          <w:p w14:paraId="11802D5A">
            <w:pPr>
              <w:pStyle w:val="174"/>
              <w:ind w:firstLine="0" w:firstLineChars="0"/>
              <w:jc w:val="center"/>
              <w:rPr>
                <w:rFonts w:ascii="Times New Roman"/>
                <w:szCs w:val="18"/>
              </w:rPr>
            </w:pPr>
            <w:r>
              <w:rPr>
                <w:rFonts w:hint="eastAsia" w:ascii="Times New Roman"/>
                <w:szCs w:val="18"/>
              </w:rPr>
              <w:t>□满足 □不满足</w:t>
            </w:r>
          </w:p>
        </w:tc>
        <w:tc>
          <w:tcPr>
            <w:tcW w:w="2268" w:type="dxa"/>
            <w:gridSpan w:val="2"/>
            <w:vAlign w:val="center"/>
          </w:tcPr>
          <w:p w14:paraId="4BFD0757">
            <w:pPr>
              <w:pStyle w:val="174"/>
              <w:ind w:firstLine="0" w:firstLineChars="0"/>
              <w:jc w:val="center"/>
              <w:rPr>
                <w:rFonts w:ascii="Times New Roman"/>
                <w:szCs w:val="18"/>
              </w:rPr>
            </w:pPr>
            <w:r>
              <w:rPr>
                <w:rFonts w:hint="eastAsia" w:ascii="Times New Roman"/>
                <w:szCs w:val="18"/>
              </w:rPr>
              <w:t>□满足 □不满足</w:t>
            </w:r>
          </w:p>
        </w:tc>
        <w:tc>
          <w:tcPr>
            <w:tcW w:w="2631" w:type="dxa"/>
            <w:gridSpan w:val="2"/>
            <w:vAlign w:val="center"/>
          </w:tcPr>
          <w:p w14:paraId="7DFB46D7">
            <w:pPr>
              <w:pStyle w:val="174"/>
              <w:ind w:firstLine="0" w:firstLineChars="0"/>
              <w:jc w:val="center"/>
              <w:rPr>
                <w:rFonts w:ascii="Times New Roman"/>
                <w:szCs w:val="18"/>
              </w:rPr>
            </w:pPr>
            <w:r>
              <w:rPr>
                <w:rFonts w:hint="eastAsia" w:ascii="Times New Roman"/>
                <w:szCs w:val="18"/>
              </w:rPr>
              <w:t>□满足 □不满足</w:t>
            </w:r>
          </w:p>
        </w:tc>
      </w:tr>
      <w:tr w14:paraId="11EE9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trPr>
        <w:tc>
          <w:tcPr>
            <w:tcW w:w="562" w:type="dxa"/>
            <w:vMerge w:val="continue"/>
            <w:vAlign w:val="center"/>
          </w:tcPr>
          <w:p w14:paraId="71873870">
            <w:pPr>
              <w:pStyle w:val="174"/>
              <w:ind w:firstLine="0" w:firstLineChars="0"/>
              <w:jc w:val="center"/>
              <w:rPr>
                <w:rFonts w:ascii="Times New Roman"/>
                <w:szCs w:val="18"/>
              </w:rPr>
            </w:pPr>
          </w:p>
        </w:tc>
        <w:tc>
          <w:tcPr>
            <w:tcW w:w="993" w:type="dxa"/>
            <w:vAlign w:val="center"/>
          </w:tcPr>
          <w:p w14:paraId="45AA7E77">
            <w:pPr>
              <w:pStyle w:val="174"/>
              <w:ind w:firstLine="0" w:firstLineChars="0"/>
              <w:jc w:val="left"/>
              <w:rPr>
                <w:rFonts w:ascii="Times New Roman"/>
                <w:szCs w:val="18"/>
              </w:rPr>
            </w:pPr>
            <w:r>
              <w:rPr>
                <w:rFonts w:hint="eastAsia" w:ascii="Times New Roman"/>
                <w:szCs w:val="18"/>
              </w:rPr>
              <w:t>说明</w:t>
            </w:r>
          </w:p>
        </w:tc>
        <w:tc>
          <w:tcPr>
            <w:tcW w:w="1842" w:type="dxa"/>
            <w:vAlign w:val="center"/>
          </w:tcPr>
          <w:p w14:paraId="1749FBBA">
            <w:pPr>
              <w:pStyle w:val="174"/>
              <w:ind w:firstLine="0" w:firstLineChars="0"/>
              <w:jc w:val="center"/>
              <w:rPr>
                <w:rFonts w:ascii="Times New Roman"/>
                <w:szCs w:val="18"/>
              </w:rPr>
            </w:pPr>
          </w:p>
        </w:tc>
        <w:tc>
          <w:tcPr>
            <w:tcW w:w="2268" w:type="dxa"/>
            <w:gridSpan w:val="2"/>
            <w:vAlign w:val="center"/>
          </w:tcPr>
          <w:p w14:paraId="2C47E96B">
            <w:pPr>
              <w:pStyle w:val="174"/>
              <w:ind w:firstLine="0" w:firstLineChars="0"/>
              <w:jc w:val="center"/>
              <w:rPr>
                <w:rFonts w:ascii="Times New Roman"/>
                <w:szCs w:val="18"/>
              </w:rPr>
            </w:pPr>
          </w:p>
        </w:tc>
        <w:tc>
          <w:tcPr>
            <w:tcW w:w="2631" w:type="dxa"/>
            <w:gridSpan w:val="2"/>
            <w:vAlign w:val="center"/>
          </w:tcPr>
          <w:p w14:paraId="6FCFCCBF">
            <w:pPr>
              <w:pStyle w:val="174"/>
              <w:ind w:firstLine="0" w:firstLineChars="0"/>
              <w:jc w:val="center"/>
              <w:rPr>
                <w:rFonts w:ascii="Times New Roman"/>
                <w:szCs w:val="18"/>
              </w:rPr>
            </w:pPr>
          </w:p>
        </w:tc>
      </w:tr>
      <w:tr w14:paraId="7DC7A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562" w:type="dxa"/>
            <w:vMerge w:val="continue"/>
            <w:vAlign w:val="center"/>
          </w:tcPr>
          <w:p w14:paraId="418D82D9">
            <w:pPr>
              <w:pStyle w:val="174"/>
              <w:ind w:firstLine="0" w:firstLineChars="0"/>
              <w:jc w:val="center"/>
              <w:rPr>
                <w:rFonts w:ascii="Times New Roman"/>
                <w:szCs w:val="18"/>
              </w:rPr>
            </w:pPr>
          </w:p>
        </w:tc>
        <w:tc>
          <w:tcPr>
            <w:tcW w:w="993" w:type="dxa"/>
            <w:vAlign w:val="center"/>
          </w:tcPr>
          <w:p w14:paraId="2D8C2C7E">
            <w:pPr>
              <w:pStyle w:val="174"/>
              <w:ind w:firstLine="0" w:firstLineChars="0"/>
              <w:jc w:val="left"/>
              <w:rPr>
                <w:rFonts w:hint="eastAsia" w:ascii="Times New Roman"/>
                <w:szCs w:val="20"/>
                <w:lang w:val="en-US" w:eastAsia="zh-CN"/>
              </w:rPr>
            </w:pPr>
            <w:r>
              <w:rPr>
                <w:rFonts w:hint="eastAsia" w:ascii="Times New Roman"/>
                <w:szCs w:val="20"/>
                <w:lang w:val="en-US" w:eastAsia="zh-CN"/>
              </w:rPr>
              <w:t>最终</w:t>
            </w:r>
          </w:p>
          <w:p w14:paraId="0378C495">
            <w:pPr>
              <w:pStyle w:val="174"/>
              <w:ind w:firstLine="0" w:firstLineChars="0"/>
              <w:jc w:val="left"/>
              <w:rPr>
                <w:rFonts w:hint="default" w:ascii="Times New Roman" w:eastAsia="宋体"/>
                <w:szCs w:val="18"/>
                <w:lang w:val="en-US" w:eastAsia="zh-CN"/>
              </w:rPr>
            </w:pPr>
            <w:r>
              <w:rPr>
                <w:rFonts w:hint="eastAsia" w:ascii="Times New Roman"/>
                <w:szCs w:val="20"/>
                <w:vertAlign w:val="baseline"/>
                <w:lang w:val="en-US" w:eastAsia="zh-CN"/>
              </w:rPr>
              <w:t>结果</w:t>
            </w:r>
          </w:p>
        </w:tc>
        <w:tc>
          <w:tcPr>
            <w:tcW w:w="6741" w:type="dxa"/>
            <w:gridSpan w:val="5"/>
            <w:vAlign w:val="center"/>
          </w:tcPr>
          <w:p w14:paraId="3A12C977">
            <w:pPr>
              <w:pStyle w:val="174"/>
              <w:ind w:firstLine="0" w:firstLineChars="0"/>
              <w:jc w:val="center"/>
              <w:rPr>
                <w:rFonts w:hint="eastAsia" w:ascii="Times New Roman" w:eastAsia="宋体"/>
                <w:szCs w:val="18"/>
                <w:lang w:val="en-US" w:eastAsia="zh-CN"/>
              </w:rPr>
            </w:pPr>
            <w:r>
              <w:rPr>
                <w:rFonts w:hint="eastAsia" w:ascii="Times New Roman"/>
                <w:szCs w:val="18"/>
              </w:rPr>
              <w:t>□</w:t>
            </w:r>
            <w:r>
              <w:rPr>
                <w:rFonts w:hint="eastAsia" w:ascii="Times New Roman"/>
                <w:szCs w:val="18"/>
                <w:lang w:val="en-US" w:eastAsia="zh-CN"/>
              </w:rPr>
              <w:t>达标</w:t>
            </w:r>
            <w:r>
              <w:rPr>
                <w:rFonts w:hint="eastAsia" w:ascii="Times New Roman"/>
                <w:szCs w:val="18"/>
              </w:rPr>
              <w:t xml:space="preserve"> </w:t>
            </w:r>
            <w:r>
              <w:rPr>
                <w:rFonts w:hint="eastAsia" w:ascii="Times New Roman"/>
                <w:szCs w:val="18"/>
                <w:lang w:eastAsia="zh-CN"/>
              </w:rPr>
              <w:t>□</w:t>
            </w:r>
            <w:r>
              <w:rPr>
                <w:rFonts w:hint="eastAsia" w:ascii="Times New Roman"/>
                <w:szCs w:val="18"/>
              </w:rPr>
              <w:t>不</w:t>
            </w:r>
            <w:r>
              <w:rPr>
                <w:rFonts w:hint="eastAsia" w:ascii="Times New Roman"/>
                <w:szCs w:val="18"/>
                <w:lang w:val="en-US" w:eastAsia="zh-CN"/>
              </w:rPr>
              <w:t>达标</w:t>
            </w:r>
          </w:p>
        </w:tc>
      </w:tr>
      <w:tr w14:paraId="03FFC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trPr>
        <w:tc>
          <w:tcPr>
            <w:tcW w:w="562" w:type="dxa"/>
            <w:vMerge w:val="restart"/>
            <w:vAlign w:val="center"/>
          </w:tcPr>
          <w:p w14:paraId="39929940">
            <w:pPr>
              <w:pStyle w:val="174"/>
              <w:ind w:firstLine="0" w:firstLineChars="0"/>
              <w:jc w:val="center"/>
              <w:rPr>
                <w:rFonts w:ascii="Times New Roman"/>
                <w:szCs w:val="18"/>
              </w:rPr>
            </w:pPr>
            <w:r>
              <w:rPr>
                <w:rFonts w:hint="eastAsia" w:ascii="Times New Roman"/>
                <w:szCs w:val="18"/>
              </w:rPr>
              <w:t>评分项</w:t>
            </w:r>
          </w:p>
        </w:tc>
        <w:tc>
          <w:tcPr>
            <w:tcW w:w="993" w:type="dxa"/>
            <w:vAlign w:val="center"/>
          </w:tcPr>
          <w:p w14:paraId="57AB4A46">
            <w:pPr>
              <w:pStyle w:val="174"/>
              <w:ind w:firstLine="0" w:firstLineChars="0"/>
              <w:jc w:val="left"/>
              <w:rPr>
                <w:rFonts w:ascii="Times New Roman"/>
                <w:szCs w:val="18"/>
              </w:rPr>
            </w:pPr>
            <w:r>
              <w:rPr>
                <w:rFonts w:hint="eastAsia" w:ascii="Times New Roman"/>
                <w:szCs w:val="18"/>
              </w:rPr>
              <w:t>总参</w:t>
            </w:r>
          </w:p>
          <w:p w14:paraId="480E0BA2">
            <w:pPr>
              <w:pStyle w:val="174"/>
              <w:ind w:firstLine="0" w:firstLineChars="0"/>
              <w:jc w:val="left"/>
              <w:rPr>
                <w:rFonts w:ascii="Times New Roman"/>
                <w:szCs w:val="18"/>
              </w:rPr>
            </w:pPr>
            <w:r>
              <w:rPr>
                <w:rFonts w:hint="eastAsia" w:ascii="Times New Roman"/>
                <w:szCs w:val="18"/>
              </w:rPr>
              <w:t>评分</w:t>
            </w:r>
          </w:p>
        </w:tc>
        <w:tc>
          <w:tcPr>
            <w:tcW w:w="1842" w:type="dxa"/>
            <w:vAlign w:val="center"/>
          </w:tcPr>
          <w:p w14:paraId="21D9EBD8">
            <w:pPr>
              <w:pStyle w:val="174"/>
              <w:ind w:firstLine="0" w:firstLineChars="0"/>
              <w:jc w:val="center"/>
              <w:rPr>
                <w:rFonts w:ascii="Times New Roman"/>
                <w:szCs w:val="18"/>
              </w:rPr>
            </w:pPr>
          </w:p>
        </w:tc>
        <w:tc>
          <w:tcPr>
            <w:tcW w:w="2268" w:type="dxa"/>
            <w:gridSpan w:val="2"/>
            <w:vAlign w:val="center"/>
          </w:tcPr>
          <w:p w14:paraId="7918C9C7">
            <w:pPr>
              <w:pStyle w:val="174"/>
              <w:ind w:firstLine="0" w:firstLineChars="0"/>
              <w:jc w:val="center"/>
              <w:rPr>
                <w:rFonts w:ascii="Times New Roman"/>
                <w:szCs w:val="18"/>
              </w:rPr>
            </w:pPr>
          </w:p>
        </w:tc>
        <w:tc>
          <w:tcPr>
            <w:tcW w:w="2631" w:type="dxa"/>
            <w:gridSpan w:val="2"/>
            <w:vAlign w:val="center"/>
          </w:tcPr>
          <w:p w14:paraId="2C16DBEC">
            <w:pPr>
              <w:pStyle w:val="174"/>
              <w:ind w:firstLine="0" w:firstLineChars="0"/>
              <w:jc w:val="center"/>
              <w:rPr>
                <w:rFonts w:ascii="Times New Roman"/>
                <w:szCs w:val="18"/>
              </w:rPr>
            </w:pPr>
          </w:p>
        </w:tc>
      </w:tr>
      <w:tr w14:paraId="40F97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562" w:type="dxa"/>
            <w:vMerge w:val="continue"/>
            <w:vAlign w:val="center"/>
          </w:tcPr>
          <w:p w14:paraId="2F75010A">
            <w:pPr>
              <w:pStyle w:val="174"/>
              <w:ind w:firstLine="0" w:firstLineChars="0"/>
              <w:jc w:val="center"/>
              <w:rPr>
                <w:rFonts w:ascii="Times New Roman"/>
                <w:szCs w:val="18"/>
              </w:rPr>
            </w:pPr>
          </w:p>
        </w:tc>
        <w:tc>
          <w:tcPr>
            <w:tcW w:w="993" w:type="dxa"/>
            <w:vAlign w:val="center"/>
          </w:tcPr>
          <w:p w14:paraId="43A918D1">
            <w:pPr>
              <w:pStyle w:val="174"/>
              <w:ind w:firstLine="0" w:firstLineChars="0"/>
              <w:jc w:val="left"/>
              <w:rPr>
                <w:rFonts w:ascii="Times New Roman"/>
                <w:szCs w:val="18"/>
              </w:rPr>
            </w:pPr>
            <w:r>
              <w:rPr>
                <w:rFonts w:hint="eastAsia" w:ascii="Times New Roman"/>
                <w:szCs w:val="18"/>
              </w:rPr>
              <w:t>实际</w:t>
            </w:r>
          </w:p>
          <w:p w14:paraId="36B5A3BE">
            <w:pPr>
              <w:pStyle w:val="174"/>
              <w:ind w:firstLine="0" w:firstLineChars="0"/>
              <w:jc w:val="left"/>
              <w:rPr>
                <w:rFonts w:ascii="Times New Roman"/>
                <w:szCs w:val="18"/>
              </w:rPr>
            </w:pPr>
            <w:r>
              <w:rPr>
                <w:rFonts w:hint="eastAsia" w:ascii="Times New Roman"/>
                <w:szCs w:val="18"/>
              </w:rPr>
              <w:t>得分</w:t>
            </w:r>
            <w:r>
              <w:rPr>
                <w:rFonts w:hint="eastAsia" w:ascii="Times New Roman"/>
                <w:i/>
                <w:iCs/>
                <w:szCs w:val="18"/>
              </w:rPr>
              <w:t>Q</w:t>
            </w:r>
            <w:r>
              <w:rPr>
                <w:rFonts w:hint="eastAsia" w:ascii="Times New Roman"/>
                <w:i/>
                <w:iCs/>
                <w:szCs w:val="18"/>
                <w:vertAlign w:val="subscript"/>
              </w:rPr>
              <w:t>i</w:t>
            </w:r>
          </w:p>
        </w:tc>
        <w:tc>
          <w:tcPr>
            <w:tcW w:w="1842" w:type="dxa"/>
            <w:vAlign w:val="center"/>
          </w:tcPr>
          <w:p w14:paraId="42BBBE36">
            <w:pPr>
              <w:pStyle w:val="174"/>
              <w:ind w:firstLine="0" w:firstLineChars="0"/>
              <w:jc w:val="center"/>
              <w:rPr>
                <w:rFonts w:ascii="Times New Roman"/>
                <w:szCs w:val="18"/>
              </w:rPr>
            </w:pPr>
          </w:p>
        </w:tc>
        <w:tc>
          <w:tcPr>
            <w:tcW w:w="2268" w:type="dxa"/>
            <w:gridSpan w:val="2"/>
            <w:vAlign w:val="center"/>
          </w:tcPr>
          <w:p w14:paraId="51A9841B">
            <w:pPr>
              <w:pStyle w:val="174"/>
              <w:ind w:firstLine="0" w:firstLineChars="0"/>
              <w:jc w:val="center"/>
              <w:rPr>
                <w:rFonts w:ascii="Times New Roman"/>
                <w:szCs w:val="18"/>
              </w:rPr>
            </w:pPr>
          </w:p>
        </w:tc>
        <w:tc>
          <w:tcPr>
            <w:tcW w:w="2631" w:type="dxa"/>
            <w:gridSpan w:val="2"/>
            <w:vAlign w:val="center"/>
          </w:tcPr>
          <w:p w14:paraId="31B9D3A7">
            <w:pPr>
              <w:pStyle w:val="174"/>
              <w:ind w:firstLine="0" w:firstLineChars="0"/>
              <w:jc w:val="center"/>
              <w:rPr>
                <w:rFonts w:ascii="Times New Roman"/>
                <w:szCs w:val="18"/>
              </w:rPr>
            </w:pPr>
          </w:p>
        </w:tc>
      </w:tr>
      <w:tr w14:paraId="0C0F1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9" w:hRule="atLeast"/>
        </w:trPr>
        <w:tc>
          <w:tcPr>
            <w:tcW w:w="562" w:type="dxa"/>
            <w:vMerge w:val="continue"/>
            <w:vAlign w:val="center"/>
          </w:tcPr>
          <w:p w14:paraId="4C7202A8">
            <w:pPr>
              <w:pStyle w:val="174"/>
              <w:ind w:firstLine="0" w:firstLineChars="0"/>
              <w:jc w:val="center"/>
              <w:rPr>
                <w:rFonts w:ascii="Times New Roman"/>
                <w:szCs w:val="18"/>
              </w:rPr>
            </w:pPr>
          </w:p>
        </w:tc>
        <w:tc>
          <w:tcPr>
            <w:tcW w:w="993" w:type="dxa"/>
            <w:vAlign w:val="center"/>
          </w:tcPr>
          <w:p w14:paraId="4CDCC8E3">
            <w:pPr>
              <w:pStyle w:val="174"/>
              <w:ind w:firstLine="0" w:firstLineChars="0"/>
              <w:jc w:val="left"/>
              <w:rPr>
                <w:rFonts w:ascii="Times New Roman"/>
                <w:szCs w:val="18"/>
              </w:rPr>
            </w:pPr>
            <w:r>
              <w:rPr>
                <w:rFonts w:hint="eastAsia" w:ascii="Times New Roman"/>
                <w:szCs w:val="18"/>
              </w:rPr>
              <w:t>说明</w:t>
            </w:r>
          </w:p>
        </w:tc>
        <w:tc>
          <w:tcPr>
            <w:tcW w:w="1842" w:type="dxa"/>
            <w:vAlign w:val="center"/>
          </w:tcPr>
          <w:p w14:paraId="025BE145">
            <w:pPr>
              <w:pStyle w:val="174"/>
              <w:ind w:firstLine="0" w:firstLineChars="0"/>
              <w:jc w:val="center"/>
              <w:rPr>
                <w:rFonts w:ascii="Times New Roman"/>
                <w:szCs w:val="18"/>
              </w:rPr>
            </w:pPr>
          </w:p>
        </w:tc>
        <w:tc>
          <w:tcPr>
            <w:tcW w:w="2268" w:type="dxa"/>
            <w:gridSpan w:val="2"/>
            <w:vAlign w:val="center"/>
          </w:tcPr>
          <w:p w14:paraId="6AC1823D">
            <w:pPr>
              <w:pStyle w:val="174"/>
              <w:ind w:firstLine="0" w:firstLineChars="0"/>
              <w:jc w:val="center"/>
              <w:rPr>
                <w:rFonts w:ascii="Times New Roman"/>
                <w:szCs w:val="18"/>
              </w:rPr>
            </w:pPr>
          </w:p>
        </w:tc>
        <w:tc>
          <w:tcPr>
            <w:tcW w:w="2631" w:type="dxa"/>
            <w:gridSpan w:val="2"/>
            <w:vAlign w:val="center"/>
          </w:tcPr>
          <w:p w14:paraId="6710D6D8">
            <w:pPr>
              <w:pStyle w:val="174"/>
              <w:ind w:firstLine="0" w:firstLineChars="0"/>
              <w:jc w:val="center"/>
              <w:rPr>
                <w:rFonts w:ascii="Times New Roman"/>
                <w:szCs w:val="18"/>
              </w:rPr>
            </w:pPr>
          </w:p>
        </w:tc>
      </w:tr>
      <w:tr w14:paraId="56D81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trPr>
        <w:tc>
          <w:tcPr>
            <w:tcW w:w="562" w:type="dxa"/>
            <w:vMerge w:val="restart"/>
            <w:vAlign w:val="center"/>
          </w:tcPr>
          <w:p w14:paraId="71CE32C5">
            <w:pPr>
              <w:pStyle w:val="174"/>
              <w:ind w:firstLine="0" w:firstLineChars="0"/>
              <w:jc w:val="center"/>
              <w:rPr>
                <w:rFonts w:ascii="Times New Roman"/>
                <w:szCs w:val="18"/>
              </w:rPr>
            </w:pPr>
            <w:r>
              <w:rPr>
                <w:rFonts w:hint="eastAsia" w:ascii="Times New Roman"/>
                <w:szCs w:val="18"/>
              </w:rPr>
              <w:t>加分项</w:t>
            </w:r>
          </w:p>
        </w:tc>
        <w:tc>
          <w:tcPr>
            <w:tcW w:w="993" w:type="dxa"/>
            <w:vAlign w:val="center"/>
          </w:tcPr>
          <w:p w14:paraId="0E7EA00A">
            <w:pPr>
              <w:pStyle w:val="174"/>
              <w:ind w:firstLine="0" w:firstLineChars="0"/>
              <w:jc w:val="left"/>
              <w:rPr>
                <w:rFonts w:hint="eastAsia" w:ascii="Times New Roman" w:eastAsia="宋体"/>
                <w:szCs w:val="18"/>
                <w:lang w:val="en-US" w:eastAsia="zh-CN"/>
              </w:rPr>
            </w:pPr>
            <w:r>
              <w:rPr>
                <w:rFonts w:hint="eastAsia" w:ascii="Times New Roman"/>
                <w:szCs w:val="18"/>
              </w:rPr>
              <w:t>得分</w:t>
            </w:r>
            <w:r>
              <w:rPr>
                <w:rFonts w:hint="eastAsia" w:ascii="Times New Roman"/>
                <w:i/>
                <w:iCs/>
                <w:szCs w:val="18"/>
              </w:rPr>
              <w:t>Q</w:t>
            </w:r>
            <w:r>
              <w:rPr>
                <w:rFonts w:hint="eastAsia" w:ascii="Times New Roman"/>
                <w:i w:val="0"/>
                <w:iCs w:val="0"/>
                <w:szCs w:val="18"/>
                <w:vertAlign w:val="subscript"/>
                <w:lang w:val="en-US" w:eastAsia="zh-CN"/>
              </w:rPr>
              <w:t>A</w:t>
            </w:r>
          </w:p>
        </w:tc>
        <w:tc>
          <w:tcPr>
            <w:tcW w:w="6741" w:type="dxa"/>
            <w:gridSpan w:val="5"/>
            <w:vAlign w:val="center"/>
          </w:tcPr>
          <w:p w14:paraId="23C1A4B3">
            <w:pPr>
              <w:pStyle w:val="174"/>
              <w:ind w:firstLine="0" w:firstLineChars="0"/>
              <w:jc w:val="center"/>
              <w:rPr>
                <w:rFonts w:ascii="Times New Roman"/>
                <w:szCs w:val="18"/>
              </w:rPr>
            </w:pPr>
          </w:p>
        </w:tc>
      </w:tr>
      <w:tr w14:paraId="699C5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562" w:type="dxa"/>
            <w:vMerge w:val="continue"/>
            <w:vAlign w:val="center"/>
          </w:tcPr>
          <w:p w14:paraId="40A9E8BF">
            <w:pPr>
              <w:pStyle w:val="174"/>
              <w:ind w:firstLine="0" w:firstLineChars="0"/>
              <w:jc w:val="center"/>
              <w:rPr>
                <w:rFonts w:ascii="Times New Roman"/>
                <w:szCs w:val="18"/>
              </w:rPr>
            </w:pPr>
          </w:p>
        </w:tc>
        <w:tc>
          <w:tcPr>
            <w:tcW w:w="993" w:type="dxa"/>
            <w:vAlign w:val="center"/>
          </w:tcPr>
          <w:p w14:paraId="5152B636">
            <w:pPr>
              <w:pStyle w:val="174"/>
              <w:ind w:firstLine="0" w:firstLineChars="0"/>
              <w:jc w:val="left"/>
              <w:rPr>
                <w:rFonts w:ascii="Times New Roman"/>
                <w:szCs w:val="18"/>
              </w:rPr>
            </w:pPr>
            <w:r>
              <w:rPr>
                <w:rFonts w:hint="eastAsia" w:ascii="Times New Roman"/>
                <w:szCs w:val="18"/>
              </w:rPr>
              <w:t>说明</w:t>
            </w:r>
          </w:p>
        </w:tc>
        <w:tc>
          <w:tcPr>
            <w:tcW w:w="6741" w:type="dxa"/>
            <w:gridSpan w:val="5"/>
            <w:vAlign w:val="center"/>
          </w:tcPr>
          <w:p w14:paraId="4EB7509C">
            <w:pPr>
              <w:pStyle w:val="174"/>
              <w:ind w:firstLine="0" w:firstLineChars="0"/>
              <w:jc w:val="center"/>
              <w:rPr>
                <w:rFonts w:ascii="Times New Roman"/>
                <w:szCs w:val="18"/>
              </w:rPr>
            </w:pPr>
          </w:p>
        </w:tc>
      </w:tr>
      <w:tr w14:paraId="32B39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trPr>
        <w:tc>
          <w:tcPr>
            <w:tcW w:w="1555" w:type="dxa"/>
            <w:gridSpan w:val="2"/>
            <w:vAlign w:val="center"/>
          </w:tcPr>
          <w:p w14:paraId="175C8BA6">
            <w:pPr>
              <w:pStyle w:val="174"/>
              <w:ind w:firstLine="0" w:firstLineChars="0"/>
              <w:jc w:val="left"/>
              <w:rPr>
                <w:rFonts w:ascii="Times New Roman"/>
                <w:szCs w:val="18"/>
              </w:rPr>
            </w:pPr>
            <w:r>
              <w:rPr>
                <w:rFonts w:hint="eastAsia" w:ascii="Times New Roman"/>
                <w:szCs w:val="18"/>
              </w:rPr>
              <w:t>总得分</w:t>
            </w:r>
            <w:r>
              <w:rPr>
                <w:rFonts w:hint="eastAsia" w:ascii="Times New Roman"/>
                <w:i/>
                <w:iCs/>
                <w:szCs w:val="18"/>
              </w:rPr>
              <w:t>Q</w:t>
            </w:r>
          </w:p>
        </w:tc>
        <w:tc>
          <w:tcPr>
            <w:tcW w:w="6741" w:type="dxa"/>
            <w:gridSpan w:val="5"/>
            <w:vAlign w:val="center"/>
          </w:tcPr>
          <w:p w14:paraId="30FB45DA">
            <w:pPr>
              <w:pStyle w:val="174"/>
              <w:ind w:firstLine="0" w:firstLineChars="0"/>
              <w:jc w:val="left"/>
              <w:rPr>
                <w:rFonts w:ascii="Times New Roman"/>
                <w:szCs w:val="18"/>
              </w:rPr>
            </w:pPr>
          </w:p>
        </w:tc>
      </w:tr>
      <w:tr w14:paraId="69309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atLeast"/>
        </w:trPr>
        <w:tc>
          <w:tcPr>
            <w:tcW w:w="1555" w:type="dxa"/>
            <w:gridSpan w:val="2"/>
            <w:vAlign w:val="center"/>
          </w:tcPr>
          <w:p w14:paraId="6C8AB800">
            <w:pPr>
              <w:pStyle w:val="174"/>
              <w:ind w:firstLine="0" w:firstLineChars="0"/>
              <w:jc w:val="left"/>
              <w:rPr>
                <w:rFonts w:ascii="Times New Roman"/>
                <w:szCs w:val="18"/>
              </w:rPr>
            </w:pPr>
            <w:r>
              <w:rPr>
                <w:rFonts w:hint="eastAsia" w:ascii="Times New Roman"/>
                <w:szCs w:val="18"/>
              </w:rPr>
              <w:t>建筑隔减震技术应用评价等级</w:t>
            </w:r>
          </w:p>
        </w:tc>
        <w:tc>
          <w:tcPr>
            <w:tcW w:w="6741" w:type="dxa"/>
            <w:gridSpan w:val="5"/>
            <w:vAlign w:val="center"/>
          </w:tcPr>
          <w:p w14:paraId="1B3F5F1D">
            <w:pPr>
              <w:pStyle w:val="174"/>
              <w:ind w:firstLine="0" w:firstLineChars="0"/>
              <w:jc w:val="left"/>
              <w:rPr>
                <w:rFonts w:ascii="Times New Roman"/>
                <w:szCs w:val="18"/>
              </w:rPr>
            </w:pPr>
            <w:r>
              <w:rPr>
                <w:rFonts w:hint="eastAsia" w:ascii="Times New Roman"/>
                <w:szCs w:val="18"/>
                <w:lang w:eastAsia="zh-CN"/>
              </w:rPr>
              <w:t>□</w:t>
            </w:r>
            <w:r>
              <w:rPr>
                <w:rFonts w:hint="eastAsia" w:ascii="Times New Roman"/>
                <w:szCs w:val="18"/>
                <w:lang w:val="en-US" w:eastAsia="zh-CN"/>
              </w:rPr>
              <w:t>A</w:t>
            </w:r>
            <w:r>
              <w:rPr>
                <w:rFonts w:hint="eastAsia" w:ascii="Times New Roman"/>
                <w:szCs w:val="18"/>
              </w:rPr>
              <w:t>级   □</w:t>
            </w:r>
            <w:r>
              <w:rPr>
                <w:rFonts w:hint="eastAsia" w:ascii="Times New Roman"/>
                <w:szCs w:val="18"/>
                <w:lang w:val="en-US" w:eastAsia="zh-CN"/>
              </w:rPr>
              <w:t>AA</w:t>
            </w:r>
            <w:r>
              <w:rPr>
                <w:rFonts w:hint="eastAsia" w:ascii="Times New Roman"/>
                <w:szCs w:val="18"/>
              </w:rPr>
              <w:t xml:space="preserve">级   </w:t>
            </w:r>
            <w:r>
              <w:rPr>
                <w:rFonts w:hint="eastAsia" w:ascii="Times New Roman"/>
                <w:szCs w:val="18"/>
                <w:lang w:eastAsia="zh-CN"/>
              </w:rPr>
              <w:t>□</w:t>
            </w:r>
            <w:r>
              <w:rPr>
                <w:rFonts w:hint="eastAsia" w:ascii="Times New Roman"/>
                <w:szCs w:val="18"/>
                <w:lang w:val="en-US" w:eastAsia="zh-CN"/>
              </w:rPr>
              <w:t>AAA</w:t>
            </w:r>
            <w:r>
              <w:rPr>
                <w:rFonts w:hint="eastAsia" w:ascii="Times New Roman"/>
                <w:szCs w:val="18"/>
              </w:rPr>
              <w:t xml:space="preserve">级   </w:t>
            </w:r>
            <w:r>
              <w:rPr>
                <w:rFonts w:hint="eastAsia" w:ascii="Times New Roman"/>
                <w:szCs w:val="18"/>
                <w:lang w:eastAsia="zh-CN"/>
              </w:rPr>
              <w:t>□</w:t>
            </w:r>
            <w:r>
              <w:rPr>
                <w:rFonts w:hint="eastAsia" w:ascii="Times New Roman"/>
                <w:szCs w:val="18"/>
                <w:lang w:val="en-US" w:eastAsia="zh-CN"/>
              </w:rPr>
              <w:t>AAAA</w:t>
            </w:r>
            <w:r>
              <w:rPr>
                <w:rFonts w:hint="eastAsia" w:ascii="Times New Roman"/>
                <w:szCs w:val="18"/>
              </w:rPr>
              <w:t xml:space="preserve">级   </w:t>
            </w:r>
            <w:r>
              <w:rPr>
                <w:rFonts w:hint="eastAsia" w:ascii="Times New Roman"/>
                <w:szCs w:val="18"/>
                <w:lang w:eastAsia="zh-CN"/>
              </w:rPr>
              <w:t>□</w:t>
            </w:r>
            <w:r>
              <w:rPr>
                <w:rFonts w:hint="eastAsia" w:ascii="Times New Roman"/>
                <w:szCs w:val="18"/>
                <w:lang w:val="en-US" w:eastAsia="zh-CN"/>
              </w:rPr>
              <w:t>AAAAA</w:t>
            </w:r>
            <w:r>
              <w:rPr>
                <w:rFonts w:hint="eastAsia" w:ascii="Times New Roman"/>
                <w:szCs w:val="18"/>
              </w:rPr>
              <w:t>级</w:t>
            </w:r>
          </w:p>
        </w:tc>
      </w:tr>
      <w:tr w14:paraId="60A49F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1555" w:type="dxa"/>
            <w:gridSpan w:val="2"/>
            <w:vAlign w:val="center"/>
          </w:tcPr>
          <w:p w14:paraId="5FDCD613">
            <w:pPr>
              <w:pStyle w:val="174"/>
              <w:ind w:firstLine="0" w:firstLineChars="0"/>
              <w:jc w:val="left"/>
              <w:rPr>
                <w:rFonts w:ascii="Times New Roman"/>
                <w:szCs w:val="18"/>
              </w:rPr>
            </w:pPr>
            <w:r>
              <w:rPr>
                <w:rFonts w:hint="eastAsia" w:ascii="Times New Roman"/>
                <w:szCs w:val="18"/>
              </w:rPr>
              <w:t>评价结果说明</w:t>
            </w:r>
          </w:p>
        </w:tc>
        <w:tc>
          <w:tcPr>
            <w:tcW w:w="6741" w:type="dxa"/>
            <w:gridSpan w:val="5"/>
            <w:vAlign w:val="center"/>
          </w:tcPr>
          <w:p w14:paraId="4AE8D0F2">
            <w:pPr>
              <w:pStyle w:val="174"/>
              <w:ind w:firstLine="0" w:firstLineChars="0"/>
              <w:jc w:val="left"/>
              <w:rPr>
                <w:rFonts w:ascii="Times New Roman"/>
                <w:szCs w:val="18"/>
              </w:rPr>
            </w:pPr>
          </w:p>
        </w:tc>
      </w:tr>
      <w:tr w14:paraId="7BA62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trPr>
        <w:tc>
          <w:tcPr>
            <w:tcW w:w="1555" w:type="dxa"/>
            <w:gridSpan w:val="2"/>
            <w:vAlign w:val="center"/>
          </w:tcPr>
          <w:p w14:paraId="2C2AF1AD">
            <w:pPr>
              <w:pStyle w:val="174"/>
              <w:ind w:firstLine="0" w:firstLineChars="0"/>
              <w:jc w:val="left"/>
              <w:rPr>
                <w:rFonts w:ascii="Times New Roman"/>
                <w:szCs w:val="18"/>
              </w:rPr>
            </w:pPr>
            <w:r>
              <w:rPr>
                <w:rFonts w:hint="eastAsia" w:ascii="Times New Roman"/>
                <w:szCs w:val="18"/>
              </w:rPr>
              <w:t>评价负责人</w:t>
            </w:r>
          </w:p>
        </w:tc>
        <w:tc>
          <w:tcPr>
            <w:tcW w:w="2835" w:type="dxa"/>
            <w:gridSpan w:val="2"/>
            <w:vAlign w:val="center"/>
          </w:tcPr>
          <w:p w14:paraId="50638F2E">
            <w:pPr>
              <w:pStyle w:val="174"/>
              <w:ind w:firstLine="0" w:firstLineChars="0"/>
              <w:jc w:val="left"/>
              <w:rPr>
                <w:rFonts w:ascii="Times New Roman"/>
                <w:szCs w:val="18"/>
              </w:rPr>
            </w:pPr>
          </w:p>
        </w:tc>
        <w:tc>
          <w:tcPr>
            <w:tcW w:w="1275" w:type="dxa"/>
            <w:vAlign w:val="center"/>
          </w:tcPr>
          <w:p w14:paraId="1678C5B5">
            <w:pPr>
              <w:pStyle w:val="174"/>
              <w:ind w:firstLine="0" w:firstLineChars="0"/>
              <w:jc w:val="left"/>
              <w:rPr>
                <w:rFonts w:ascii="Times New Roman"/>
                <w:szCs w:val="18"/>
              </w:rPr>
            </w:pPr>
            <w:r>
              <w:rPr>
                <w:rFonts w:hint="eastAsia" w:ascii="Times New Roman"/>
                <w:szCs w:val="18"/>
              </w:rPr>
              <w:t>评价时间</w:t>
            </w:r>
          </w:p>
        </w:tc>
        <w:tc>
          <w:tcPr>
            <w:tcW w:w="2631" w:type="dxa"/>
            <w:gridSpan w:val="2"/>
            <w:vAlign w:val="center"/>
          </w:tcPr>
          <w:p w14:paraId="2EDD522C">
            <w:pPr>
              <w:pStyle w:val="174"/>
              <w:ind w:firstLine="0" w:firstLineChars="0"/>
              <w:jc w:val="left"/>
              <w:rPr>
                <w:rFonts w:ascii="Times New Roman"/>
                <w:szCs w:val="18"/>
              </w:rPr>
            </w:pPr>
          </w:p>
        </w:tc>
      </w:tr>
    </w:tbl>
    <w:p w14:paraId="26AC8E54">
      <w:pPr>
        <w:pStyle w:val="174"/>
        <w:spacing w:line="360" w:lineRule="auto"/>
        <w:ind w:firstLine="0" w:firstLineChars="0"/>
        <w:rPr>
          <w:rFonts w:ascii="Times New Roman"/>
          <w:sz w:val="24"/>
          <w:szCs w:val="22"/>
        </w:rPr>
        <w:sectPr>
          <w:pgSz w:w="11906" w:h="16838"/>
          <w:pgMar w:top="1440" w:right="1800" w:bottom="1440" w:left="1800" w:header="1418" w:footer="1134" w:gutter="0"/>
          <w:cols w:space="425" w:num="1"/>
          <w:formProt w:val="0"/>
          <w:docGrid w:type="lines" w:linePitch="312" w:charSpace="0"/>
        </w:sectPr>
      </w:pPr>
    </w:p>
    <w:p w14:paraId="659078DA">
      <w:pPr>
        <w:pStyle w:val="152"/>
        <w:widowControl/>
        <w:spacing w:before="156" w:beforeLines="50" w:after="312" w:afterLines="100" w:line="360" w:lineRule="auto"/>
        <w:ind w:firstLine="0" w:firstLineChars="0"/>
        <w:jc w:val="center"/>
        <w:outlineLvl w:val="0"/>
        <w:rPr>
          <w:rFonts w:ascii="Times New Roman" w:hAnsi="Times New Roman" w:cs="Times New Roman"/>
          <w:b/>
          <w:bCs/>
          <w:kern w:val="0"/>
          <w:sz w:val="30"/>
          <w:szCs w:val="30"/>
        </w:rPr>
      </w:pPr>
      <w:bookmarkStart w:id="71" w:name="_Toc11091"/>
      <w:r>
        <w:rPr>
          <w:rFonts w:hint="eastAsia" w:ascii="Times New Roman" w:hAnsi="Times New Roman" w:cs="Times New Roman"/>
          <w:b/>
          <w:bCs/>
          <w:kern w:val="0"/>
          <w:sz w:val="30"/>
          <w:szCs w:val="30"/>
        </w:rPr>
        <w:t>本标准用词说明</w:t>
      </w:r>
      <w:bookmarkEnd w:id="71"/>
    </w:p>
    <w:p w14:paraId="36975B58">
      <w:pPr>
        <w:pStyle w:val="174"/>
        <w:spacing w:line="360" w:lineRule="auto"/>
        <w:ind w:firstLine="0" w:firstLineChars="0"/>
        <w:rPr>
          <w:rFonts w:ascii="Times New Roman"/>
          <w:sz w:val="24"/>
          <w:szCs w:val="24"/>
        </w:rPr>
      </w:pPr>
      <w:r>
        <w:rPr>
          <w:rFonts w:hint="eastAsia" w:ascii="Times New Roman"/>
          <w:b/>
          <w:bCs/>
          <w:sz w:val="24"/>
          <w:szCs w:val="24"/>
        </w:rPr>
        <w:t>1</w:t>
      </w:r>
      <w:r>
        <w:rPr>
          <w:rFonts w:hint="eastAsia" w:ascii="Times New Roman"/>
          <w:sz w:val="24"/>
          <w:szCs w:val="24"/>
        </w:rPr>
        <w:t xml:space="preserve"> 为便于在执行本标准条文时区别对待，对要求严格程度不同的用词说明如下：</w:t>
      </w:r>
    </w:p>
    <w:p w14:paraId="2134A965">
      <w:pPr>
        <w:pStyle w:val="174"/>
        <w:spacing w:line="360" w:lineRule="auto"/>
        <w:ind w:firstLine="480"/>
        <w:rPr>
          <w:rFonts w:ascii="Times New Roman"/>
          <w:sz w:val="24"/>
          <w:szCs w:val="24"/>
        </w:rPr>
      </w:pPr>
      <w:r>
        <w:rPr>
          <w:rFonts w:hint="eastAsia" w:ascii="Times New Roman"/>
          <w:sz w:val="24"/>
          <w:szCs w:val="24"/>
        </w:rPr>
        <w:t>1 ）表示很严格，非这样做不可的：</w:t>
      </w:r>
    </w:p>
    <w:p w14:paraId="16C12BCC">
      <w:pPr>
        <w:pStyle w:val="174"/>
        <w:spacing w:line="360" w:lineRule="auto"/>
        <w:ind w:firstLine="960" w:firstLineChars="400"/>
        <w:rPr>
          <w:rFonts w:ascii="Times New Roman"/>
          <w:sz w:val="24"/>
          <w:szCs w:val="24"/>
        </w:rPr>
      </w:pPr>
      <w:r>
        <w:rPr>
          <w:rFonts w:hint="eastAsia" w:ascii="Times New Roman"/>
          <w:sz w:val="24"/>
          <w:szCs w:val="24"/>
        </w:rPr>
        <w:t>正面词采用“必须”，反面词采用“严禁”；</w:t>
      </w:r>
    </w:p>
    <w:p w14:paraId="054DF529">
      <w:pPr>
        <w:pStyle w:val="174"/>
        <w:spacing w:line="360" w:lineRule="auto"/>
        <w:ind w:firstLine="480"/>
        <w:rPr>
          <w:rFonts w:ascii="Times New Roman"/>
          <w:sz w:val="24"/>
          <w:szCs w:val="24"/>
        </w:rPr>
      </w:pPr>
      <w:r>
        <w:rPr>
          <w:rFonts w:hint="eastAsia" w:ascii="Times New Roman"/>
          <w:sz w:val="24"/>
          <w:szCs w:val="24"/>
        </w:rPr>
        <w:t>2 ）表示严格，在正常情况下均应这样做的：</w:t>
      </w:r>
    </w:p>
    <w:p w14:paraId="51959C98">
      <w:pPr>
        <w:pStyle w:val="174"/>
        <w:spacing w:line="360" w:lineRule="auto"/>
        <w:ind w:firstLine="960" w:firstLineChars="400"/>
        <w:rPr>
          <w:rFonts w:ascii="Times New Roman"/>
          <w:sz w:val="24"/>
          <w:szCs w:val="24"/>
        </w:rPr>
      </w:pPr>
      <w:r>
        <w:rPr>
          <w:rFonts w:hint="eastAsia" w:ascii="Times New Roman"/>
          <w:sz w:val="24"/>
          <w:szCs w:val="24"/>
        </w:rPr>
        <w:t>正面词采用“应”，反面词采用“不应”或者“不得”；</w:t>
      </w:r>
    </w:p>
    <w:p w14:paraId="621A9AA1">
      <w:pPr>
        <w:pStyle w:val="174"/>
        <w:spacing w:line="360" w:lineRule="auto"/>
        <w:ind w:firstLine="480"/>
        <w:rPr>
          <w:rFonts w:ascii="Times New Roman"/>
          <w:sz w:val="24"/>
          <w:szCs w:val="24"/>
        </w:rPr>
      </w:pPr>
      <w:r>
        <w:rPr>
          <w:rFonts w:hint="eastAsia" w:ascii="Times New Roman"/>
          <w:sz w:val="24"/>
          <w:szCs w:val="24"/>
        </w:rPr>
        <w:t>3 ）表示允许稍有选择，在条件许可时首先应这样做的：</w:t>
      </w:r>
    </w:p>
    <w:p w14:paraId="5FF92B8B">
      <w:pPr>
        <w:pStyle w:val="174"/>
        <w:spacing w:line="360" w:lineRule="auto"/>
        <w:ind w:firstLine="960" w:firstLineChars="400"/>
        <w:rPr>
          <w:rFonts w:ascii="Times New Roman"/>
          <w:sz w:val="24"/>
          <w:szCs w:val="24"/>
        </w:rPr>
      </w:pPr>
      <w:r>
        <w:rPr>
          <w:rFonts w:hint="eastAsia" w:ascii="Times New Roman"/>
          <w:sz w:val="24"/>
          <w:szCs w:val="24"/>
        </w:rPr>
        <w:t>正面词采用“宜”，反面词采用“不宜”；</w:t>
      </w:r>
    </w:p>
    <w:p w14:paraId="5A2EAC22">
      <w:pPr>
        <w:pStyle w:val="174"/>
        <w:spacing w:line="360" w:lineRule="auto"/>
        <w:ind w:firstLine="480"/>
        <w:rPr>
          <w:rFonts w:ascii="Times New Roman"/>
          <w:sz w:val="24"/>
          <w:szCs w:val="24"/>
        </w:rPr>
      </w:pPr>
      <w:r>
        <w:rPr>
          <w:rFonts w:hint="eastAsia" w:ascii="Times New Roman"/>
          <w:sz w:val="24"/>
          <w:szCs w:val="24"/>
        </w:rPr>
        <w:t>4 ）表示有选择，在一定条件下可以这样做的，采用“可”。</w:t>
      </w:r>
    </w:p>
    <w:p w14:paraId="4B9DE72E">
      <w:pPr>
        <w:pStyle w:val="174"/>
        <w:spacing w:line="360" w:lineRule="auto"/>
        <w:ind w:firstLine="0" w:firstLineChars="0"/>
        <w:rPr>
          <w:rFonts w:ascii="Times New Roman"/>
          <w:sz w:val="24"/>
          <w:szCs w:val="24"/>
        </w:rPr>
      </w:pPr>
      <w:r>
        <w:rPr>
          <w:rFonts w:hint="eastAsia" w:ascii="Times New Roman"/>
          <w:b/>
          <w:bCs/>
          <w:sz w:val="24"/>
          <w:szCs w:val="24"/>
        </w:rPr>
        <w:t>2</w:t>
      </w:r>
      <w:r>
        <w:rPr>
          <w:rFonts w:hint="eastAsia" w:ascii="Times New Roman"/>
          <w:sz w:val="24"/>
          <w:szCs w:val="24"/>
        </w:rPr>
        <w:t xml:space="preserve"> 标准中指明应按其他相关标准执行时，写法为：应符合……的规定（或要求）或应按……执行。</w:t>
      </w:r>
    </w:p>
    <w:p w14:paraId="36D4E08C">
      <w:pPr>
        <w:pStyle w:val="174"/>
        <w:spacing w:line="360" w:lineRule="auto"/>
        <w:ind w:firstLine="0" w:firstLineChars="0"/>
        <w:rPr>
          <w:rFonts w:ascii="Times New Roman"/>
          <w:b/>
          <w:bCs/>
          <w:sz w:val="24"/>
          <w:szCs w:val="24"/>
        </w:rPr>
      </w:pPr>
    </w:p>
    <w:p w14:paraId="5C825BBF">
      <w:pPr>
        <w:pStyle w:val="174"/>
        <w:spacing w:line="360" w:lineRule="auto"/>
        <w:ind w:firstLine="0" w:firstLineChars="0"/>
        <w:rPr>
          <w:rFonts w:ascii="Times New Roman"/>
          <w:b/>
          <w:bCs/>
          <w:sz w:val="24"/>
          <w:szCs w:val="24"/>
        </w:rPr>
      </w:pPr>
    </w:p>
    <w:p w14:paraId="3BBF0E2B">
      <w:pPr>
        <w:pStyle w:val="174"/>
        <w:spacing w:line="360" w:lineRule="auto"/>
        <w:ind w:firstLine="0" w:firstLineChars="0"/>
        <w:rPr>
          <w:rFonts w:ascii="Times New Roman"/>
          <w:b/>
          <w:bCs/>
          <w:sz w:val="24"/>
          <w:szCs w:val="24"/>
        </w:rPr>
        <w:sectPr>
          <w:pgSz w:w="11906" w:h="16838"/>
          <w:pgMar w:top="1440" w:right="1800" w:bottom="1440" w:left="1800" w:header="1418" w:footer="1134" w:gutter="0"/>
          <w:pgNumType w:start="1"/>
          <w:cols w:space="425" w:num="1"/>
          <w:formProt w:val="0"/>
          <w:docGrid w:type="lines" w:linePitch="312" w:charSpace="0"/>
        </w:sectPr>
      </w:pPr>
    </w:p>
    <w:p w14:paraId="002776A7">
      <w:pPr>
        <w:pStyle w:val="152"/>
        <w:widowControl/>
        <w:spacing w:before="156" w:beforeLines="50" w:after="312" w:afterLines="100" w:line="360" w:lineRule="auto"/>
        <w:ind w:firstLine="0" w:firstLineChars="0"/>
        <w:jc w:val="center"/>
        <w:outlineLvl w:val="0"/>
        <w:rPr>
          <w:rFonts w:ascii="Times New Roman" w:hAnsi="Times New Roman" w:cs="Times New Roman"/>
          <w:b/>
          <w:bCs/>
          <w:kern w:val="0"/>
          <w:sz w:val="30"/>
          <w:szCs w:val="30"/>
        </w:rPr>
      </w:pPr>
      <w:bookmarkStart w:id="72" w:name="_Toc2991"/>
      <w:r>
        <w:rPr>
          <w:rFonts w:hint="eastAsia" w:ascii="Times New Roman" w:hAnsi="Times New Roman" w:cs="Times New Roman"/>
          <w:b/>
          <w:bCs/>
          <w:kern w:val="0"/>
          <w:sz w:val="30"/>
          <w:szCs w:val="30"/>
        </w:rPr>
        <w:t>引用标准名录</w:t>
      </w:r>
      <w:bookmarkEnd w:id="72"/>
    </w:p>
    <w:p w14:paraId="66EC9BFF">
      <w:pPr>
        <w:pStyle w:val="174"/>
        <w:spacing w:line="360" w:lineRule="auto"/>
        <w:ind w:firstLine="0" w:firstLineChars="0"/>
        <w:rPr>
          <w:rFonts w:ascii="Times New Roman"/>
          <w:sz w:val="24"/>
          <w:szCs w:val="24"/>
        </w:rPr>
      </w:pPr>
      <w:r>
        <w:rPr>
          <w:rFonts w:hint="eastAsia" w:ascii="Times New Roman"/>
          <w:sz w:val="24"/>
          <w:szCs w:val="24"/>
        </w:rPr>
        <w:t>《建筑隔震设计标准》GB/T 51408—2021</w:t>
      </w:r>
    </w:p>
    <w:p w14:paraId="3646E081">
      <w:pPr>
        <w:pStyle w:val="174"/>
        <w:spacing w:line="360" w:lineRule="auto"/>
        <w:ind w:firstLine="0" w:firstLineChars="0"/>
        <w:rPr>
          <w:rFonts w:ascii="Times New Roman"/>
          <w:sz w:val="24"/>
          <w:szCs w:val="22"/>
        </w:rPr>
      </w:pPr>
      <w:r>
        <w:rPr>
          <w:rFonts w:hint="eastAsia" w:ascii="Times New Roman"/>
          <w:sz w:val="24"/>
          <w:szCs w:val="22"/>
        </w:rPr>
        <w:t>《建筑抗震设计标准》GB/T 50011—2010</w:t>
      </w:r>
    </w:p>
    <w:p w14:paraId="65A604DF">
      <w:pPr>
        <w:pStyle w:val="174"/>
        <w:spacing w:line="360" w:lineRule="auto"/>
        <w:ind w:firstLine="0" w:firstLineChars="0"/>
        <w:rPr>
          <w:rFonts w:ascii="Times New Roman"/>
          <w:sz w:val="24"/>
          <w:szCs w:val="22"/>
        </w:rPr>
      </w:pPr>
      <w:r>
        <w:rPr>
          <w:rFonts w:hint="eastAsia" w:ascii="Times New Roman"/>
          <w:sz w:val="24"/>
          <w:szCs w:val="22"/>
        </w:rPr>
        <w:t>《建筑消能减震技术规程》JGJ 297—2013</w:t>
      </w:r>
    </w:p>
    <w:p w14:paraId="61BEAC8F">
      <w:pPr>
        <w:pStyle w:val="174"/>
        <w:spacing w:line="360" w:lineRule="auto"/>
        <w:ind w:firstLine="0" w:firstLineChars="0"/>
        <w:rPr>
          <w:rFonts w:ascii="Times New Roman"/>
          <w:sz w:val="24"/>
          <w:szCs w:val="24"/>
        </w:rPr>
      </w:pPr>
      <w:r>
        <w:rPr>
          <w:rFonts w:hint="eastAsia" w:ascii="Times New Roman"/>
          <w:sz w:val="24"/>
          <w:szCs w:val="24"/>
        </w:rPr>
        <w:t>《建筑隔震工程施工及验收规范》JGJ 360</w:t>
      </w:r>
      <w:r>
        <w:rPr>
          <w:rFonts w:hint="eastAsia" w:ascii="Times New Roman"/>
          <w:sz w:val="24"/>
          <w:szCs w:val="22"/>
        </w:rPr>
        <w:t>—2015</w:t>
      </w:r>
    </w:p>
    <w:p w14:paraId="4B4E1C9C">
      <w:pPr>
        <w:pStyle w:val="174"/>
        <w:spacing w:line="360" w:lineRule="auto"/>
        <w:ind w:firstLine="0" w:firstLineChars="0"/>
        <w:rPr>
          <w:rFonts w:ascii="Times New Roman"/>
          <w:sz w:val="24"/>
          <w:szCs w:val="24"/>
        </w:rPr>
      </w:pPr>
      <w:r>
        <w:rPr>
          <w:rFonts w:hint="eastAsia" w:ascii="Times New Roman"/>
          <w:sz w:val="24"/>
          <w:szCs w:val="24"/>
        </w:rPr>
        <w:t>《建筑消能阻尼器》JG/T 209—2012</w:t>
      </w:r>
    </w:p>
    <w:p w14:paraId="0624E9EE">
      <w:pPr>
        <w:pStyle w:val="174"/>
        <w:spacing w:line="360" w:lineRule="auto"/>
        <w:ind w:firstLine="0" w:firstLineChars="0"/>
        <w:rPr>
          <w:rFonts w:ascii="Times New Roman"/>
          <w:sz w:val="24"/>
          <w:szCs w:val="24"/>
        </w:rPr>
      </w:pPr>
      <w:r>
        <w:rPr>
          <w:rFonts w:hint="eastAsia" w:ascii="Times New Roman"/>
          <w:sz w:val="24"/>
          <w:szCs w:val="24"/>
        </w:rPr>
        <w:t>《建筑隔震橡胶支座》JG/T 118—2018</w:t>
      </w:r>
    </w:p>
    <w:p w14:paraId="352ACE18">
      <w:pPr>
        <w:pStyle w:val="174"/>
        <w:spacing w:line="360" w:lineRule="auto"/>
        <w:ind w:firstLine="0" w:firstLineChars="0"/>
        <w:rPr>
          <w:rFonts w:ascii="Times New Roman"/>
          <w:sz w:val="24"/>
          <w:szCs w:val="24"/>
        </w:rPr>
      </w:pPr>
      <w:r>
        <w:rPr>
          <w:rFonts w:hint="eastAsia" w:ascii="Times New Roman"/>
          <w:sz w:val="24"/>
          <w:szCs w:val="24"/>
        </w:rPr>
        <w:t>《建筑摩擦摆隔震支座》GB/T 37358—2019</w:t>
      </w:r>
    </w:p>
    <w:p w14:paraId="60D5C2E0">
      <w:pPr>
        <w:pStyle w:val="174"/>
        <w:spacing w:line="360" w:lineRule="auto"/>
        <w:ind w:firstLine="0" w:firstLineChars="0"/>
        <w:rPr>
          <w:rFonts w:ascii="Times New Roman"/>
          <w:sz w:val="24"/>
          <w:szCs w:val="22"/>
        </w:rPr>
      </w:pPr>
      <w:r>
        <w:rPr>
          <w:rFonts w:hint="eastAsia" w:ascii="Times New Roman"/>
          <w:sz w:val="24"/>
          <w:szCs w:val="22"/>
        </w:rPr>
        <w:t>《橡胶支座第3部分：建筑隔震橡胶支座》GB/T 20688.3—2006</w:t>
      </w:r>
    </w:p>
    <w:p w14:paraId="24C16F5D">
      <w:pPr>
        <w:pStyle w:val="174"/>
        <w:spacing w:line="360" w:lineRule="auto"/>
        <w:ind w:firstLine="0" w:firstLineChars="0"/>
        <w:rPr>
          <w:rFonts w:ascii="Times New Roman"/>
          <w:sz w:val="24"/>
          <w:szCs w:val="22"/>
        </w:rPr>
      </w:pPr>
      <w:r>
        <w:rPr>
          <w:rFonts w:hint="eastAsia" w:ascii="Times New Roman"/>
          <w:sz w:val="24"/>
          <w:szCs w:val="22"/>
        </w:rPr>
        <w:t>《橡胶支座第5部分：建筑隔震弹性滑板支座》GB/T 20688.5—2014</w:t>
      </w:r>
    </w:p>
    <w:p w14:paraId="53EB24C7">
      <w:pPr>
        <w:pStyle w:val="174"/>
        <w:spacing w:line="360" w:lineRule="auto"/>
        <w:ind w:firstLine="0" w:firstLineChars="0"/>
        <w:rPr>
          <w:rFonts w:ascii="Times New Roman"/>
          <w:sz w:val="24"/>
          <w:szCs w:val="24"/>
        </w:rPr>
      </w:pPr>
    </w:p>
    <w:p w14:paraId="16AA9244">
      <w:pPr>
        <w:ind w:firstLineChars="0"/>
        <w:rPr>
          <w:rFonts w:ascii="Times New Roman"/>
          <w:sz w:val="24"/>
          <w:szCs w:val="22"/>
        </w:rPr>
      </w:pPr>
      <w:r>
        <w:rPr>
          <w:rFonts w:ascii="Times New Roman"/>
          <w:sz w:val="24"/>
          <w:szCs w:val="22"/>
        </w:rPr>
        <w:br w:type="page"/>
      </w:r>
    </w:p>
    <w:p w14:paraId="0A1131EF">
      <w:pPr>
        <w:pStyle w:val="36"/>
        <w:keepNext w:val="0"/>
        <w:keepLines w:val="0"/>
        <w:widowControl w:val="0"/>
        <w:suppressLineNumbers w:val="0"/>
        <w:spacing w:before="312" w:beforeAutospacing="0" w:after="312" w:afterAutospacing="0" w:line="680" w:lineRule="exact"/>
        <w:ind w:left="0" w:right="0"/>
        <w:jc w:val="center"/>
        <w:textAlignment w:val="center"/>
        <w:rPr>
          <w:rFonts w:hint="eastAsia" w:ascii="黑体" w:hAnsi="宋体" w:eastAsia="黑体" w:cs="黑体"/>
          <w:spacing w:val="40"/>
          <w:kern w:val="0"/>
          <w:sz w:val="52"/>
          <w:szCs w:val="52"/>
          <w:lang w:val="en-US" w:eastAsia="zh-CN" w:bidi="ar"/>
        </w:rPr>
      </w:pPr>
    </w:p>
    <w:p w14:paraId="544B46A3">
      <w:pPr>
        <w:pStyle w:val="36"/>
        <w:keepNext w:val="0"/>
        <w:keepLines w:val="0"/>
        <w:widowControl w:val="0"/>
        <w:suppressLineNumbers w:val="0"/>
        <w:spacing w:before="312" w:beforeAutospacing="0" w:after="312" w:afterAutospacing="0" w:line="680" w:lineRule="exact"/>
        <w:ind w:left="0" w:right="0"/>
        <w:jc w:val="center"/>
        <w:textAlignment w:val="center"/>
        <w:rPr>
          <w:rFonts w:hint="eastAsia" w:ascii="黑体" w:hAnsi="宋体" w:eastAsia="黑体" w:cs="黑体"/>
          <w:spacing w:val="40"/>
          <w:kern w:val="0"/>
          <w:sz w:val="52"/>
          <w:szCs w:val="52"/>
          <w:lang w:val="en-US" w:eastAsia="zh-CN" w:bidi="ar"/>
        </w:rPr>
      </w:pPr>
    </w:p>
    <w:p w14:paraId="1FD93A86">
      <w:pPr>
        <w:pStyle w:val="36"/>
        <w:keepNext w:val="0"/>
        <w:keepLines w:val="0"/>
        <w:widowControl w:val="0"/>
        <w:suppressLineNumbers w:val="0"/>
        <w:spacing w:before="312" w:beforeAutospacing="0" w:after="312" w:afterAutospacing="0" w:line="680" w:lineRule="exact"/>
        <w:ind w:left="0" w:right="0"/>
        <w:jc w:val="both"/>
        <w:textAlignment w:val="center"/>
        <w:rPr>
          <w:rFonts w:hint="eastAsia" w:ascii="黑体" w:hAnsi="宋体" w:eastAsia="黑体" w:cs="黑体"/>
          <w:spacing w:val="40"/>
          <w:kern w:val="0"/>
          <w:sz w:val="52"/>
          <w:szCs w:val="52"/>
          <w:lang w:val="en-US" w:eastAsia="zh-CN" w:bidi="ar"/>
        </w:rPr>
      </w:pPr>
    </w:p>
    <w:p w14:paraId="58F49396">
      <w:pPr>
        <w:pStyle w:val="36"/>
        <w:keepNext w:val="0"/>
        <w:keepLines w:val="0"/>
        <w:widowControl w:val="0"/>
        <w:suppressLineNumbers w:val="0"/>
        <w:spacing w:before="312" w:beforeAutospacing="0" w:after="312" w:afterAutospacing="0" w:line="680" w:lineRule="exact"/>
        <w:ind w:left="0" w:right="0"/>
        <w:jc w:val="center"/>
        <w:textAlignment w:val="center"/>
        <w:rPr>
          <w:rFonts w:hint="eastAsia" w:ascii="黑体" w:hAnsi="宋体" w:eastAsia="黑体" w:cs="黑体"/>
          <w:spacing w:val="40"/>
          <w:kern w:val="0"/>
          <w:sz w:val="52"/>
          <w:szCs w:val="52"/>
          <w:lang w:val="en-US" w:eastAsia="zh-CN" w:bidi="ar"/>
        </w:rPr>
      </w:pPr>
    </w:p>
    <w:p w14:paraId="60A8232F">
      <w:pPr>
        <w:pStyle w:val="36"/>
        <w:keepNext w:val="0"/>
        <w:keepLines w:val="0"/>
        <w:widowControl w:val="0"/>
        <w:suppressLineNumbers w:val="0"/>
        <w:spacing w:before="312" w:beforeAutospacing="0" w:after="312" w:afterAutospacing="0" w:line="680" w:lineRule="exact"/>
        <w:ind w:left="0" w:right="0"/>
        <w:jc w:val="center"/>
        <w:textAlignment w:val="center"/>
        <w:rPr>
          <w:rFonts w:hint="eastAsia" w:ascii="黑体" w:hAnsi="宋体" w:eastAsia="黑体" w:cs="黑体"/>
          <w:spacing w:val="40"/>
          <w:kern w:val="0"/>
          <w:sz w:val="52"/>
          <w:szCs w:val="52"/>
          <w:lang w:val="en-US" w:eastAsia="zh-CN" w:bidi="ar"/>
        </w:rPr>
      </w:pPr>
    </w:p>
    <w:p w14:paraId="6084DFFE">
      <w:pPr>
        <w:pStyle w:val="36"/>
        <w:keepNext w:val="0"/>
        <w:keepLines w:val="0"/>
        <w:widowControl w:val="0"/>
        <w:suppressLineNumbers w:val="0"/>
        <w:spacing w:before="312" w:beforeAutospacing="0" w:after="312" w:afterAutospacing="0" w:line="680" w:lineRule="exact"/>
        <w:ind w:left="0" w:right="0"/>
        <w:jc w:val="center"/>
        <w:textAlignment w:val="center"/>
        <w:rPr>
          <w:rFonts w:hint="eastAsia" w:ascii="黑体" w:hAnsi="Times New Roman" w:eastAsia="黑体" w:cs="Times New Roman"/>
          <w:spacing w:val="40"/>
          <w:sz w:val="52"/>
          <w:szCs w:val="52"/>
        </w:rPr>
      </w:pPr>
      <w:r>
        <w:rPr>
          <w:rFonts w:hint="eastAsia" w:ascii="黑体" w:hAnsi="宋体" w:eastAsia="黑体" w:cs="黑体"/>
          <w:spacing w:val="40"/>
          <w:kern w:val="0"/>
          <w:sz w:val="52"/>
          <w:szCs w:val="52"/>
          <w:lang w:val="en-US" w:eastAsia="zh-CN" w:bidi="ar"/>
        </w:rPr>
        <w:t>建筑隔减震技术应用评价标准</w:t>
      </w:r>
    </w:p>
    <w:p w14:paraId="4818119A">
      <w:pPr>
        <w:pStyle w:val="36"/>
        <w:keepNext w:val="0"/>
        <w:keepLines w:val="0"/>
        <w:widowControl w:val="0"/>
        <w:suppressLineNumbers w:val="0"/>
        <w:spacing w:before="370" w:beforeAutospacing="0" w:after="0" w:afterAutospacing="1" w:line="400" w:lineRule="exact"/>
        <w:ind w:left="0" w:right="0"/>
        <w:jc w:val="center"/>
        <w:textAlignment w:val="center"/>
        <w:rPr>
          <w:rFonts w:hint="default" w:ascii="Times New Roman" w:hAnsi="Times New Roman" w:eastAsia="黑体" w:cs="Times New Roman"/>
          <w:sz w:val="28"/>
          <w:szCs w:val="28"/>
        </w:rPr>
      </w:pPr>
      <w:r>
        <w:rPr>
          <w:rFonts w:hint="default" w:ascii="Times New Roman" w:hAnsi="Times New Roman" w:eastAsia="黑体" w:cs="Times New Roman"/>
          <w:kern w:val="0"/>
          <w:sz w:val="28"/>
          <w:szCs w:val="28"/>
          <w:lang w:val="en-US" w:eastAsia="zh-CN" w:bidi="ar"/>
        </w:rPr>
        <w:t>Assessment standard for application evaluation</w:t>
      </w:r>
      <w:r>
        <w:rPr>
          <w:rFonts w:hint="eastAsia" w:ascii="Times New Roman" w:hAnsi="Times New Roman" w:eastAsia="黑体" w:cs="Times New Roman"/>
          <w:kern w:val="0"/>
          <w:sz w:val="28"/>
          <w:szCs w:val="28"/>
          <w:lang w:val="en-US" w:eastAsia="zh-CN" w:bidi="ar"/>
        </w:rPr>
        <w:t xml:space="preserve"> </w:t>
      </w:r>
      <w:r>
        <w:rPr>
          <w:rFonts w:hint="default" w:ascii="Times New Roman" w:hAnsi="Times New Roman" w:eastAsia="黑体" w:cs="Times New Roman"/>
          <w:kern w:val="0"/>
          <w:sz w:val="28"/>
          <w:szCs w:val="28"/>
          <w:lang w:val="en-US" w:eastAsia="zh-CN" w:bidi="ar"/>
        </w:rPr>
        <w:t>of seismic isolation and energy dissipation</w:t>
      </w:r>
      <w:r>
        <w:rPr>
          <w:rFonts w:hint="eastAsia" w:ascii="Times New Roman" w:hAnsi="Times New Roman" w:eastAsia="黑体" w:cs="Times New Roman"/>
          <w:kern w:val="0"/>
          <w:sz w:val="28"/>
          <w:szCs w:val="28"/>
          <w:lang w:val="en-US" w:eastAsia="zh-CN" w:bidi="ar"/>
        </w:rPr>
        <w:t xml:space="preserve"> </w:t>
      </w:r>
      <w:r>
        <w:rPr>
          <w:rFonts w:hint="default" w:ascii="Times New Roman" w:hAnsi="Times New Roman" w:eastAsia="黑体" w:cs="Times New Roman"/>
          <w:kern w:val="0"/>
          <w:sz w:val="28"/>
          <w:szCs w:val="28"/>
          <w:lang w:val="en-US" w:eastAsia="zh-CN" w:bidi="ar"/>
        </w:rPr>
        <w:t>in buildings</w:t>
      </w:r>
    </w:p>
    <w:p w14:paraId="744D6DB1">
      <w:pPr>
        <w:pStyle w:val="36"/>
        <w:keepNext w:val="0"/>
        <w:keepLines w:val="0"/>
        <w:widowControl w:val="0"/>
        <w:suppressLineNumbers w:val="0"/>
        <w:spacing w:before="440" w:beforeAutospacing="0" w:after="0" w:afterAutospacing="1" w:line="400" w:lineRule="exact"/>
        <w:ind w:left="0" w:right="0"/>
        <w:jc w:val="center"/>
        <w:textAlignment w:val="center"/>
        <w:rPr>
          <w:rFonts w:hint="eastAsia" w:ascii="黑体" w:hAnsi="Times New Roman" w:eastAsia="黑体" w:cs="Times New Roman"/>
          <w:spacing w:val="40"/>
          <w:sz w:val="36"/>
          <w:szCs w:val="36"/>
        </w:rPr>
      </w:pPr>
      <w:r>
        <w:rPr>
          <w:rFonts w:hint="eastAsia" w:ascii="黑体" w:hAnsi="宋体" w:eastAsia="黑体" w:cs="黑体"/>
          <w:spacing w:val="40"/>
          <w:kern w:val="0"/>
          <w:sz w:val="36"/>
          <w:szCs w:val="36"/>
          <w:lang w:val="en-US" w:eastAsia="zh-CN" w:bidi="ar"/>
        </w:rPr>
        <w:t>（</w:t>
      </w:r>
      <w:r>
        <w:rPr>
          <w:rFonts w:hint="eastAsia" w:ascii="黑体" w:eastAsia="黑体" w:cs="黑体"/>
          <w:spacing w:val="40"/>
          <w:kern w:val="0"/>
          <w:sz w:val="36"/>
          <w:szCs w:val="36"/>
          <w:lang w:val="en-US" w:eastAsia="zh-CN" w:bidi="ar"/>
        </w:rPr>
        <w:t>条文说明</w:t>
      </w:r>
      <w:r>
        <w:rPr>
          <w:rFonts w:hint="eastAsia" w:ascii="黑体" w:hAnsi="宋体" w:eastAsia="黑体" w:cs="黑体"/>
          <w:spacing w:val="40"/>
          <w:kern w:val="0"/>
          <w:sz w:val="36"/>
          <w:szCs w:val="36"/>
          <w:lang w:val="en-US" w:eastAsia="zh-CN" w:bidi="ar"/>
        </w:rPr>
        <w:t>）</w:t>
      </w:r>
    </w:p>
    <w:p w14:paraId="7C54B074">
      <w:pPr>
        <w:shd w:val="clear"/>
        <w:jc w:val="both"/>
        <w:rPr>
          <w:rFonts w:ascii="Times New Roman"/>
          <w:sz w:val="24"/>
          <w:szCs w:val="22"/>
        </w:rPr>
      </w:pPr>
      <w:r>
        <w:rPr>
          <w:rFonts w:ascii="Times New Roman"/>
          <w:sz w:val="24"/>
          <w:szCs w:val="22"/>
        </w:rPr>
        <w:br w:type="page"/>
      </w:r>
    </w:p>
    <w:p w14:paraId="2A736635">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lang w:val="en-US" w:eastAsia="zh-CN"/>
        </w:rPr>
        <w:t>总则</w:t>
      </w:r>
    </w:p>
    <w:p w14:paraId="27C5A3FB">
      <w:pPr>
        <w:pStyle w:val="174"/>
        <w:spacing w:line="360" w:lineRule="auto"/>
        <w:ind w:firstLine="0" w:firstLineChars="0"/>
        <w:rPr>
          <w:rFonts w:ascii="宋体" w:hAnsi="宋体" w:eastAsia="宋体" w:cs="宋体"/>
          <w:sz w:val="24"/>
          <w:szCs w:val="24"/>
        </w:rPr>
      </w:pPr>
      <w:r>
        <w:rPr>
          <w:rFonts w:hint="eastAsia" w:ascii="Times New Roman"/>
          <w:b/>
          <w:bCs/>
          <w:sz w:val="24"/>
          <w:szCs w:val="24"/>
        </w:rPr>
        <w:t xml:space="preserve">1.0.1 </w:t>
      </w:r>
      <w:r>
        <w:rPr>
          <w:rFonts w:ascii="宋体" w:hAnsi="宋体" w:eastAsia="宋体" w:cs="宋体"/>
          <w:sz w:val="24"/>
          <w:szCs w:val="24"/>
        </w:rPr>
        <w:t>本条为强制性条文。本条明确了本标准的制定目的和基本定位，评价对象强调“技术应用效果”，并非单纯针对隔震或减震产品本身，而是面向工程整体实施水平。</w:t>
      </w:r>
    </w:p>
    <w:p w14:paraId="5C86E022">
      <w:pPr>
        <w:pStyle w:val="174"/>
        <w:spacing w:line="360" w:lineRule="auto"/>
        <w:ind w:firstLine="0" w:firstLineChars="0"/>
        <w:rPr>
          <w:rFonts w:hint="eastAsia" w:ascii="宋体" w:hAnsi="宋体" w:eastAsia="宋体" w:cs="宋体"/>
          <w:sz w:val="24"/>
          <w:szCs w:val="24"/>
          <w:lang w:val="en-US" w:eastAsia="zh-CN"/>
        </w:rPr>
      </w:pPr>
      <w:r>
        <w:rPr>
          <w:rFonts w:hint="eastAsia" w:ascii="Times New Roman"/>
          <w:b/>
          <w:bCs/>
          <w:sz w:val="24"/>
          <w:szCs w:val="24"/>
        </w:rPr>
        <w:t>1.0.1</w:t>
      </w:r>
      <w:r>
        <w:rPr>
          <w:rFonts w:hint="eastAsia" w:ascii="Times New Roman"/>
          <w:b/>
          <w:bCs/>
          <w:sz w:val="24"/>
          <w:szCs w:val="24"/>
          <w:lang w:val="en-US" w:eastAsia="zh-CN"/>
        </w:rPr>
        <w:t xml:space="preserve"> </w:t>
      </w:r>
      <w:r>
        <w:rPr>
          <w:rFonts w:ascii="宋体" w:hAnsi="宋体" w:eastAsia="宋体" w:cs="宋体"/>
          <w:sz w:val="24"/>
          <w:szCs w:val="24"/>
        </w:rPr>
        <w:t>执行本条时，评价工作应在满足现行国家法律法规和强制性标准的前提下开展。本标准所提出的评价要求，不得替代或</w:t>
      </w:r>
      <w:r>
        <w:rPr>
          <w:rFonts w:hint="eastAsia" w:hAnsi="宋体" w:cs="宋体"/>
          <w:sz w:val="24"/>
          <w:szCs w:val="24"/>
          <w:lang w:val="en-US" w:eastAsia="zh-CN"/>
        </w:rPr>
        <w:t>削弱</w:t>
      </w:r>
      <w:r>
        <w:rPr>
          <w:rFonts w:ascii="宋体" w:hAnsi="宋体" w:eastAsia="宋体" w:cs="宋体"/>
          <w:sz w:val="24"/>
          <w:szCs w:val="24"/>
        </w:rPr>
        <w:t>工程建设中依法应执行的强制性技术规定。当本标准条文与现行国家标准存在不同表述时，应按现行国家标准的相关规定执行。</w:t>
      </w:r>
    </w:p>
    <w:p w14:paraId="3A3353F3">
      <w:pPr>
        <w:pStyle w:val="174"/>
        <w:spacing w:line="360" w:lineRule="auto"/>
        <w:ind w:firstLine="0" w:firstLineChars="0"/>
        <w:rPr>
          <w:rFonts w:hint="default" w:ascii="Times New Roman" w:eastAsia="宋体"/>
          <w:sz w:val="24"/>
          <w:szCs w:val="24"/>
          <w:lang w:val="en-US" w:eastAsia="zh-CN"/>
        </w:rPr>
      </w:pPr>
      <w:r>
        <w:rPr>
          <w:rFonts w:hint="eastAsia" w:ascii="Times New Roman"/>
          <w:b/>
          <w:bCs/>
          <w:sz w:val="24"/>
          <w:szCs w:val="24"/>
        </w:rPr>
        <w:t>1.0.</w:t>
      </w:r>
      <w:r>
        <w:rPr>
          <w:rFonts w:hint="eastAsia" w:ascii="Times New Roman"/>
          <w:b/>
          <w:bCs/>
          <w:sz w:val="24"/>
          <w:szCs w:val="24"/>
          <w:lang w:val="en-US" w:eastAsia="zh-CN"/>
        </w:rPr>
        <w:t>4</w:t>
      </w:r>
      <w:r>
        <w:rPr>
          <w:rFonts w:hint="eastAsia" w:ascii="Times New Roman"/>
          <w:b/>
          <w:bCs/>
          <w:sz w:val="24"/>
          <w:szCs w:val="24"/>
        </w:rPr>
        <w:t xml:space="preserve"> </w:t>
      </w:r>
      <w:r>
        <w:rPr>
          <w:rFonts w:hint="eastAsia" w:ascii="Times New Roman"/>
          <w:sz w:val="24"/>
          <w:szCs w:val="24"/>
        </w:rPr>
        <w:t>国家现行有关标准</w:t>
      </w:r>
      <w:r>
        <w:rPr>
          <w:rFonts w:hint="eastAsia" w:ascii="Times New Roman"/>
          <w:sz w:val="24"/>
          <w:szCs w:val="24"/>
          <w:lang w:eastAsia="zh-CN"/>
        </w:rPr>
        <w:t>，</w:t>
      </w:r>
      <w:r>
        <w:rPr>
          <w:rFonts w:hint="eastAsia" w:ascii="Times New Roman"/>
          <w:sz w:val="24"/>
          <w:szCs w:val="24"/>
          <w:lang w:val="en-US" w:eastAsia="zh-CN"/>
        </w:rPr>
        <w:t>主要指</w:t>
      </w:r>
      <w:r>
        <w:rPr>
          <w:rFonts w:hint="eastAsia" w:ascii="Times New Roman"/>
          <w:sz w:val="24"/>
          <w:szCs w:val="22"/>
        </w:rPr>
        <w:t>《建筑抗震设计标准》GB/T 50011</w:t>
      </w:r>
      <w:r>
        <w:rPr>
          <w:rFonts w:hint="eastAsia" w:ascii="Times New Roman"/>
          <w:sz w:val="24"/>
          <w:szCs w:val="22"/>
          <w:lang w:eastAsia="zh-CN"/>
        </w:rPr>
        <w:t>，</w:t>
      </w:r>
      <w:r>
        <w:rPr>
          <w:rFonts w:hint="eastAsia" w:ascii="Times New Roman" w:hAnsi="Times New Roman" w:eastAsia="宋体" w:cs="Times New Roman"/>
          <w:kern w:val="2"/>
          <w:sz w:val="24"/>
          <w:szCs w:val="22"/>
          <w:lang w:val="en-US" w:eastAsia="zh-CN" w:bidi="ar"/>
        </w:rPr>
        <w:t>《建筑隔震设计标准》</w:t>
      </w:r>
      <w:r>
        <w:rPr>
          <w:rFonts w:hint="default" w:ascii="Times New Roman" w:hAnsi="Times New Roman" w:eastAsia="宋体" w:cs="Times New Roman"/>
          <w:kern w:val="2"/>
          <w:sz w:val="24"/>
          <w:szCs w:val="22"/>
          <w:lang w:val="en-US" w:eastAsia="zh-CN" w:bidi="ar"/>
        </w:rPr>
        <w:t>GB/T 51408</w:t>
      </w:r>
      <w:r>
        <w:rPr>
          <w:rFonts w:hint="eastAsia" w:ascii="Times New Roman" w:cs="Times New Roman"/>
          <w:kern w:val="2"/>
          <w:sz w:val="24"/>
          <w:szCs w:val="22"/>
          <w:lang w:val="en-US" w:eastAsia="zh-CN" w:bidi="ar"/>
        </w:rPr>
        <w:t>，</w:t>
      </w:r>
      <w:r>
        <w:rPr>
          <w:rFonts w:hint="eastAsia" w:ascii="Times New Roman"/>
          <w:sz w:val="24"/>
          <w:szCs w:val="24"/>
        </w:rPr>
        <w:t>《建筑摩擦摆隔震支座》GB/T 37358</w:t>
      </w:r>
      <w:r>
        <w:rPr>
          <w:rFonts w:hint="eastAsia" w:ascii="Times New Roman"/>
          <w:sz w:val="24"/>
          <w:szCs w:val="24"/>
          <w:lang w:eastAsia="zh-CN"/>
        </w:rPr>
        <w:t>，</w:t>
      </w:r>
      <w:r>
        <w:rPr>
          <w:rFonts w:hint="eastAsia" w:ascii="Times New Roman" w:cs="Times New Roman"/>
          <w:kern w:val="2"/>
          <w:sz w:val="24"/>
          <w:szCs w:val="22"/>
          <w:lang w:val="en-US" w:eastAsia="zh-CN" w:bidi="ar"/>
        </w:rPr>
        <w:t>《建筑消能减震技术规程》JGJ 297等国家及行业标准。</w:t>
      </w:r>
    </w:p>
    <w:p w14:paraId="0E4D9C57">
      <w:pPr>
        <w:rPr>
          <w:rFonts w:hint="default" w:ascii="Times New Roman"/>
          <w:sz w:val="24"/>
          <w:szCs w:val="22"/>
          <w:lang w:val="en-US"/>
        </w:rPr>
      </w:pPr>
      <w:r>
        <w:rPr>
          <w:rFonts w:ascii="Times New Roman"/>
          <w:sz w:val="24"/>
          <w:szCs w:val="22"/>
        </w:rPr>
        <w:br w:type="page"/>
      </w:r>
    </w:p>
    <w:p w14:paraId="762FDD0D">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lang w:val="en-US" w:eastAsia="zh-CN"/>
        </w:rPr>
        <w:t>术语</w:t>
      </w:r>
    </w:p>
    <w:p w14:paraId="17638F3F">
      <w:pPr>
        <w:pStyle w:val="174"/>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eastAsia" w:ascii="Times New Roman" w:eastAsia="宋体"/>
          <w:sz w:val="24"/>
          <w:szCs w:val="22"/>
          <w:lang w:val="en-US" w:eastAsia="zh-CN"/>
        </w:rPr>
      </w:pPr>
      <w:r>
        <w:rPr>
          <w:rFonts w:hint="eastAsia" w:ascii="Times New Roman"/>
          <w:sz w:val="24"/>
          <w:szCs w:val="22"/>
          <w:lang w:val="en-US" w:eastAsia="zh-CN"/>
        </w:rPr>
        <w:t>本章</w:t>
      </w:r>
      <w:r>
        <w:rPr>
          <w:rFonts w:hint="eastAsia" w:ascii="Times New Roman" w:eastAsia="宋体"/>
          <w:sz w:val="24"/>
          <w:szCs w:val="22"/>
          <w:lang w:val="en-US" w:eastAsia="zh-CN"/>
        </w:rPr>
        <w:t>汇总了本标准所采用的与建筑隔震、消能减震技术应用评价相关的专门术语。</w:t>
      </w:r>
      <w:r>
        <w:rPr>
          <w:rFonts w:hint="eastAsia" w:ascii="Times New Roman"/>
          <w:sz w:val="24"/>
          <w:szCs w:val="22"/>
          <w:lang w:val="en-US" w:eastAsia="zh-CN"/>
        </w:rPr>
        <w:t>本标准中采用的其他术语均符合现行国家标准《建筑构配件术语标准》GB/T 39531和《建筑结构设计术语和符号标准》GB/T 50083的规定。</w:t>
      </w:r>
      <w:r>
        <w:rPr>
          <w:rFonts w:hint="eastAsia" w:ascii="Times New Roman" w:eastAsia="宋体"/>
          <w:sz w:val="24"/>
          <w:szCs w:val="22"/>
          <w:lang w:val="en-US" w:eastAsia="zh-CN"/>
        </w:rPr>
        <w:t>通过对评价过程中频繁使用且具有特定技术含义的术语进行集中规定，有利于统一评价对象、评价内容及评价指标的理解口径，避免在实际评价过程中因术语理解不一致而影响评价结果的可比性。本章所列术语主要服务于评价</w:t>
      </w:r>
      <w:r>
        <w:rPr>
          <w:rFonts w:hint="eastAsia" w:ascii="Times New Roman"/>
          <w:sz w:val="24"/>
          <w:szCs w:val="22"/>
          <w:lang w:val="en-US" w:eastAsia="zh-CN"/>
        </w:rPr>
        <w:t>程序</w:t>
      </w:r>
      <w:r>
        <w:rPr>
          <w:rFonts w:hint="eastAsia" w:ascii="Times New Roman" w:eastAsia="宋体"/>
          <w:sz w:val="24"/>
          <w:szCs w:val="22"/>
          <w:lang w:val="en-US" w:eastAsia="zh-CN"/>
        </w:rPr>
        <w:t>本身，不对隔减震</w:t>
      </w:r>
      <w:r>
        <w:rPr>
          <w:rFonts w:hint="eastAsia" w:ascii="Times New Roman"/>
          <w:sz w:val="24"/>
          <w:szCs w:val="22"/>
          <w:lang w:val="en-US" w:eastAsia="zh-CN"/>
        </w:rPr>
        <w:t>建筑</w:t>
      </w:r>
      <w:r>
        <w:rPr>
          <w:rFonts w:hint="eastAsia" w:ascii="Times New Roman" w:eastAsia="宋体"/>
          <w:sz w:val="24"/>
          <w:szCs w:val="22"/>
          <w:lang w:val="en-US" w:eastAsia="zh-CN"/>
        </w:rPr>
        <w:t>设计的一般性术语作重复规定。</w:t>
      </w:r>
    </w:p>
    <w:p w14:paraId="303666C2">
      <w:pPr>
        <w:rPr>
          <w:rFonts w:hint="eastAsia" w:ascii="Times New Roman" w:eastAsia="宋体"/>
          <w:sz w:val="24"/>
          <w:szCs w:val="22"/>
          <w:lang w:val="en-US" w:eastAsia="zh-CN"/>
        </w:rPr>
      </w:pPr>
      <w:r>
        <w:rPr>
          <w:rFonts w:hint="eastAsia" w:ascii="Times New Roman" w:eastAsia="宋体"/>
          <w:sz w:val="24"/>
          <w:szCs w:val="22"/>
          <w:lang w:val="en-US" w:eastAsia="zh-CN"/>
        </w:rPr>
        <w:br w:type="page"/>
      </w:r>
    </w:p>
    <w:p w14:paraId="6985F63A">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lang w:val="en-US" w:eastAsia="zh-CN"/>
        </w:rPr>
        <w:t>基本规定</w:t>
      </w:r>
    </w:p>
    <w:p w14:paraId="492581A6">
      <w:pPr>
        <w:pStyle w:val="174"/>
        <w:spacing w:after="156" w:afterLines="50" w:line="360" w:lineRule="auto"/>
        <w:ind w:firstLine="0" w:firstLineChars="0"/>
        <w:jc w:val="center"/>
        <w:outlineLvl w:val="1"/>
        <w:rPr>
          <w:rFonts w:hint="eastAsia" w:ascii="Times New Roman"/>
          <w:b/>
          <w:bCs/>
          <w:sz w:val="24"/>
          <w:szCs w:val="24"/>
        </w:rPr>
      </w:pPr>
      <w:r>
        <w:rPr>
          <w:rFonts w:hint="eastAsia" w:ascii="Times New Roman"/>
          <w:b/>
          <w:bCs/>
          <w:sz w:val="28"/>
          <w:szCs w:val="28"/>
        </w:rPr>
        <w:t xml:space="preserve">3.1 </w:t>
      </w:r>
      <w:r>
        <w:rPr>
          <w:rFonts w:ascii="Times New Roman"/>
          <w:b/>
          <w:bCs/>
          <w:sz w:val="28"/>
          <w:szCs w:val="28"/>
        </w:rPr>
        <w:t>评价原则</w:t>
      </w:r>
    </w:p>
    <w:p w14:paraId="25B851A2">
      <w:pPr>
        <w:pStyle w:val="174"/>
        <w:spacing w:line="360" w:lineRule="auto"/>
        <w:ind w:firstLine="0" w:firstLineChars="0"/>
        <w:rPr>
          <w:rFonts w:ascii="宋体" w:hAnsi="宋体" w:eastAsia="宋体" w:cs="宋体"/>
          <w:sz w:val="24"/>
          <w:szCs w:val="24"/>
        </w:rPr>
      </w:pPr>
      <w:r>
        <w:rPr>
          <w:rFonts w:hint="eastAsia" w:ascii="Times New Roman"/>
          <w:b/>
          <w:bCs/>
          <w:sz w:val="24"/>
          <w:szCs w:val="24"/>
        </w:rPr>
        <w:t xml:space="preserve">3.1.1 </w:t>
      </w:r>
      <w:r>
        <w:rPr>
          <w:rFonts w:ascii="宋体" w:hAnsi="宋体" w:eastAsia="宋体" w:cs="宋体"/>
          <w:sz w:val="24"/>
          <w:szCs w:val="24"/>
        </w:rPr>
        <w:t>本条明确建筑隔减震技术应用评价应覆盖隔减震专项实施全流程。条文中的“全流程”主要指隔减震专项设计、隔减震装置选用及隔减震专项施工等直接影响隔减震性能的关键环节，并不包含建筑工程中与隔减震无直接关联的其他专业内容。</w:t>
      </w:r>
    </w:p>
    <w:p w14:paraId="0E319985">
      <w:pPr>
        <w:pStyle w:val="174"/>
        <w:spacing w:line="360" w:lineRule="auto"/>
        <w:ind w:firstLine="0" w:firstLineChars="0"/>
        <w:rPr>
          <w:rFonts w:hint="eastAsia" w:ascii="Times New Roman"/>
          <w:b/>
          <w:bCs/>
          <w:sz w:val="24"/>
          <w:szCs w:val="24"/>
        </w:rPr>
      </w:pPr>
      <w:r>
        <w:rPr>
          <w:rFonts w:hint="eastAsia" w:ascii="Times New Roman"/>
          <w:b/>
          <w:bCs/>
          <w:sz w:val="24"/>
          <w:szCs w:val="24"/>
        </w:rPr>
        <w:t>3.1.</w:t>
      </w:r>
      <w:r>
        <w:rPr>
          <w:rFonts w:hint="eastAsia" w:ascii="Times New Roman"/>
          <w:b/>
          <w:bCs/>
          <w:sz w:val="24"/>
          <w:szCs w:val="24"/>
          <w:lang w:val="en-US" w:eastAsia="zh-CN"/>
        </w:rPr>
        <w:t>2</w:t>
      </w:r>
      <w:r>
        <w:rPr>
          <w:rFonts w:hint="eastAsia" w:ascii="Times New Roman"/>
          <w:b/>
          <w:bCs/>
          <w:sz w:val="24"/>
          <w:szCs w:val="24"/>
        </w:rPr>
        <w:t xml:space="preserve"> </w:t>
      </w:r>
      <w:r>
        <w:rPr>
          <w:rFonts w:hint="eastAsia" w:hAnsi="宋体" w:cs="宋体"/>
          <w:sz w:val="24"/>
          <w:szCs w:val="24"/>
          <w:lang w:val="en-US" w:eastAsia="zh-CN"/>
        </w:rPr>
        <w:t>本</w:t>
      </w:r>
      <w:r>
        <w:rPr>
          <w:rFonts w:ascii="宋体" w:hAnsi="宋体" w:eastAsia="宋体" w:cs="宋体"/>
          <w:sz w:val="24"/>
          <w:szCs w:val="24"/>
        </w:rPr>
        <w:t>条所列条件为最低要求，不限制评价机构根据项目特点配置相应专业人员。</w:t>
      </w:r>
    </w:p>
    <w:p w14:paraId="310F9EA3">
      <w:pPr>
        <w:pStyle w:val="174"/>
        <w:spacing w:before="156" w:beforeLines="50" w:after="156" w:afterLines="50" w:line="360" w:lineRule="auto"/>
        <w:ind w:firstLine="0" w:firstLineChars="0"/>
        <w:jc w:val="center"/>
        <w:outlineLvl w:val="1"/>
        <w:rPr>
          <w:rFonts w:ascii="Times New Roman"/>
          <w:b/>
          <w:bCs/>
          <w:sz w:val="28"/>
          <w:szCs w:val="24"/>
        </w:rPr>
      </w:pPr>
      <w:r>
        <w:rPr>
          <w:rFonts w:hint="eastAsia" w:ascii="Times New Roman"/>
          <w:b/>
          <w:bCs/>
          <w:sz w:val="28"/>
          <w:szCs w:val="24"/>
        </w:rPr>
        <w:t>3.3 评价方法</w:t>
      </w:r>
    </w:p>
    <w:p w14:paraId="2024AFC8">
      <w:pPr>
        <w:pStyle w:val="152"/>
        <w:widowControl/>
        <w:autoSpaceDE w:val="0"/>
        <w:autoSpaceDN w:val="0"/>
        <w:spacing w:line="360" w:lineRule="auto"/>
        <w:ind w:left="0" w:leftChars="0" w:firstLine="0" w:firstLineChars="0"/>
        <w:rPr>
          <w:rFonts w:ascii="Times New Roman"/>
          <w:sz w:val="24"/>
          <w:szCs w:val="24"/>
        </w:rPr>
      </w:pPr>
      <w:r>
        <w:rPr>
          <w:rFonts w:hint="eastAsia" w:ascii="Times New Roman"/>
          <w:b/>
          <w:bCs/>
          <w:sz w:val="24"/>
          <w:szCs w:val="24"/>
        </w:rPr>
        <w:t xml:space="preserve">3.2.1 </w:t>
      </w:r>
      <w:r>
        <w:rPr>
          <w:rFonts w:ascii="宋体" w:hAnsi="宋体" w:eastAsia="宋体" w:cs="宋体"/>
          <w:sz w:val="24"/>
          <w:szCs w:val="24"/>
        </w:rPr>
        <w:t>本条明确了评价指标体系的基本构成。评价指标分为隔减震设计、隔减震装置和隔减震专项施工三类，体现隔减震技术应用效果由多个环节共同决定。</w:t>
      </w:r>
    </w:p>
    <w:p w14:paraId="796CF538">
      <w:pPr>
        <w:pStyle w:val="152"/>
        <w:widowControl/>
        <w:autoSpaceDE w:val="0"/>
        <w:autoSpaceDN w:val="0"/>
        <w:spacing w:line="360" w:lineRule="auto"/>
        <w:ind w:left="0" w:leftChars="0" w:firstLine="0" w:firstLineChars="0"/>
        <w:rPr>
          <w:rFonts w:ascii="宋体" w:hAnsi="宋体" w:eastAsia="宋体" w:cs="宋体"/>
          <w:sz w:val="24"/>
          <w:szCs w:val="24"/>
        </w:rPr>
      </w:pPr>
      <w:r>
        <w:rPr>
          <w:rFonts w:hint="eastAsia" w:ascii="Times New Roman"/>
          <w:b/>
          <w:bCs/>
          <w:sz w:val="24"/>
          <w:szCs w:val="24"/>
        </w:rPr>
        <w:t>3.</w:t>
      </w:r>
      <w:r>
        <w:rPr>
          <w:rFonts w:hint="eastAsia" w:ascii="Times New Roman"/>
          <w:b/>
          <w:bCs/>
          <w:sz w:val="24"/>
          <w:szCs w:val="24"/>
          <w:lang w:val="en-US" w:eastAsia="zh-CN"/>
        </w:rPr>
        <w:t>3</w:t>
      </w:r>
      <w:r>
        <w:rPr>
          <w:rFonts w:hint="eastAsia" w:ascii="Times New Roman"/>
          <w:b/>
          <w:bCs/>
          <w:sz w:val="24"/>
          <w:szCs w:val="24"/>
        </w:rPr>
        <w:t xml:space="preserve">.2 </w:t>
      </w:r>
      <w:r>
        <w:rPr>
          <w:rFonts w:ascii="宋体" w:hAnsi="宋体" w:eastAsia="宋体" w:cs="宋体"/>
          <w:sz w:val="24"/>
          <w:szCs w:val="24"/>
        </w:rPr>
        <w:t>本条对控制项、评分项和加分项的评价处理原则作出规定。评分项和加分项用于区分在满足基本要求前提下的技术应用水平差异。</w:t>
      </w:r>
    </w:p>
    <w:p w14:paraId="271C9EA5">
      <w:pPr>
        <w:pStyle w:val="152"/>
        <w:widowControl/>
        <w:autoSpaceDE w:val="0"/>
        <w:autoSpaceDN w:val="0"/>
        <w:spacing w:line="360" w:lineRule="auto"/>
        <w:ind w:left="0" w:leftChars="0" w:firstLine="0" w:firstLineChars="0"/>
        <w:rPr>
          <w:rFonts w:hint="default" w:ascii="宋体" w:hAnsi="宋体" w:eastAsia="宋体" w:cs="宋体"/>
          <w:sz w:val="24"/>
          <w:szCs w:val="24"/>
          <w:lang w:val="en-US" w:eastAsia="zh-CN"/>
        </w:rPr>
      </w:pPr>
      <w:r>
        <w:rPr>
          <w:rFonts w:hint="eastAsia" w:ascii="Times New Roman"/>
          <w:b/>
          <w:bCs/>
          <w:sz w:val="24"/>
          <w:szCs w:val="24"/>
          <w:lang w:val="en-US" w:eastAsia="zh-CN"/>
        </w:rPr>
        <w:t xml:space="preserve">3.3.3 </w:t>
      </w:r>
      <w:r>
        <w:rPr>
          <w:rFonts w:ascii="宋体" w:hAnsi="宋体" w:eastAsia="宋体" w:cs="宋体"/>
          <w:sz w:val="24"/>
          <w:szCs w:val="24"/>
        </w:rPr>
        <w:t>本条规定了同一建筑采用多种不同隔减震装置时的评价取值原则。加权计算应以装置实际使用数量为依据，反映不同装置在工程中的实际贡献。</w:t>
      </w:r>
    </w:p>
    <w:p w14:paraId="692C283D">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3.3.4 </w:t>
      </w:r>
      <w:r>
        <w:rPr>
          <w:rFonts w:ascii="宋体" w:hAnsi="宋体" w:eastAsia="宋体" w:cs="宋体"/>
          <w:sz w:val="24"/>
          <w:szCs w:val="24"/>
        </w:rPr>
        <w:t>本条针对隔震与减震技术混合应用的情形，规定最终得分取两类评价结果中的较低值</w:t>
      </w:r>
      <w:r>
        <w:rPr>
          <w:rFonts w:hint="eastAsia" w:hAnsi="宋体" w:cs="宋体"/>
          <w:sz w:val="24"/>
          <w:szCs w:val="24"/>
          <w:lang w:eastAsia="zh-CN"/>
        </w:rPr>
        <w:t>，</w:t>
      </w:r>
      <w:r>
        <w:rPr>
          <w:rFonts w:hint="eastAsia" w:hAnsi="宋体" w:cs="宋体"/>
          <w:sz w:val="24"/>
          <w:szCs w:val="24"/>
          <w:lang w:val="en-US" w:eastAsia="zh-CN"/>
        </w:rPr>
        <w:t>以</w:t>
      </w:r>
      <w:r>
        <w:rPr>
          <w:rFonts w:ascii="宋体" w:hAnsi="宋体" w:eastAsia="宋体" w:cs="宋体"/>
          <w:sz w:val="24"/>
          <w:szCs w:val="24"/>
        </w:rPr>
        <w:t>避免因局部技术措施得分较高而掩盖整体隔减震效果不足的问题。</w:t>
      </w:r>
    </w:p>
    <w:p w14:paraId="7CA5DF0D">
      <w:pPr>
        <w:pStyle w:val="174"/>
        <w:spacing w:line="360" w:lineRule="auto"/>
        <w:ind w:firstLine="0" w:firstLineChars="0"/>
        <w:rPr>
          <w:rFonts w:hint="default" w:ascii="宋体" w:hAnsi="宋体" w:eastAsia="宋体" w:cs="宋体"/>
          <w:sz w:val="24"/>
          <w:szCs w:val="24"/>
          <w:lang w:val="en-US" w:eastAsia="zh-CN"/>
        </w:rPr>
      </w:pPr>
      <w:r>
        <w:rPr>
          <w:rFonts w:hint="eastAsia" w:ascii="Times New Roman" w:hAnsiTheme="minorHAnsi" w:eastAsiaTheme="minorEastAsia" w:cstheme="minorBidi"/>
          <w:b/>
          <w:bCs/>
          <w:kern w:val="2"/>
          <w:sz w:val="24"/>
          <w:szCs w:val="24"/>
          <w:lang w:val="en-US" w:eastAsia="zh-CN"/>
        </w:rPr>
        <w:t>3.3.6</w:t>
      </w:r>
      <w:r>
        <w:rPr>
          <w:rFonts w:hint="eastAsia" w:hAnsi="宋体" w:cs="宋体"/>
          <w:sz w:val="24"/>
          <w:szCs w:val="24"/>
          <w:lang w:val="en-US" w:eastAsia="zh-CN"/>
        </w:rPr>
        <w:t xml:space="preserve"> 本条规定了综合评价得分的计算方法，式中</w:t>
      </w:r>
      <w:r>
        <w:rPr>
          <w:rFonts w:hint="eastAsia" w:hAnsi="宋体" w:cs="宋体"/>
          <w:i/>
          <w:iCs/>
          <w:sz w:val="24"/>
          <w:szCs w:val="24"/>
          <w:lang w:val="en-US" w:eastAsia="zh-CN"/>
        </w:rPr>
        <w:t>Q</w:t>
      </w:r>
      <w:r>
        <w:rPr>
          <w:rFonts w:hint="eastAsia" w:hAnsi="宋体" w:cs="宋体"/>
          <w:i/>
          <w:iCs/>
          <w:sz w:val="24"/>
          <w:szCs w:val="24"/>
          <w:vertAlign w:val="subscript"/>
          <w:lang w:val="en-US" w:eastAsia="zh-CN"/>
        </w:rPr>
        <w:t>1</w:t>
      </w:r>
      <w:r>
        <w:rPr>
          <w:rFonts w:hint="eastAsia" w:hAnsi="宋体" w:cs="宋体"/>
          <w:sz w:val="24"/>
          <w:szCs w:val="24"/>
          <w:lang w:val="en-US" w:eastAsia="zh-CN"/>
        </w:rPr>
        <w:t>、</w:t>
      </w:r>
      <w:r>
        <w:rPr>
          <w:rFonts w:hint="eastAsia" w:hAnsi="宋体" w:cs="宋体"/>
          <w:i/>
          <w:iCs/>
          <w:sz w:val="24"/>
          <w:szCs w:val="24"/>
          <w:lang w:val="en-US" w:eastAsia="zh-CN"/>
        </w:rPr>
        <w:t>Q</w:t>
      </w:r>
      <w:r>
        <w:rPr>
          <w:rFonts w:hint="eastAsia" w:hAnsi="宋体" w:cs="宋体"/>
          <w:i/>
          <w:iCs/>
          <w:sz w:val="24"/>
          <w:szCs w:val="24"/>
          <w:vertAlign w:val="subscript"/>
          <w:lang w:val="en-US" w:eastAsia="zh-CN"/>
        </w:rPr>
        <w:t>2</w:t>
      </w:r>
      <w:r>
        <w:rPr>
          <w:rFonts w:hint="eastAsia" w:hAnsi="宋体" w:cs="宋体"/>
          <w:sz w:val="24"/>
          <w:szCs w:val="24"/>
          <w:lang w:val="en-US" w:eastAsia="zh-CN"/>
        </w:rPr>
        <w:t>、</w:t>
      </w:r>
      <w:r>
        <w:rPr>
          <w:rFonts w:hint="eastAsia" w:hAnsi="宋体" w:cs="宋体"/>
          <w:i/>
          <w:iCs/>
          <w:sz w:val="24"/>
          <w:szCs w:val="24"/>
          <w:lang w:val="en-US" w:eastAsia="zh-CN"/>
        </w:rPr>
        <w:t>Q</w:t>
      </w:r>
      <w:r>
        <w:rPr>
          <w:rFonts w:hint="eastAsia" w:hAnsi="宋体" w:cs="宋体"/>
          <w:i/>
          <w:iCs/>
          <w:sz w:val="24"/>
          <w:szCs w:val="24"/>
          <w:vertAlign w:val="subscript"/>
          <w:lang w:val="en-US" w:eastAsia="zh-CN"/>
        </w:rPr>
        <w:t>3</w:t>
      </w:r>
      <w:r>
        <w:rPr>
          <w:rFonts w:hint="eastAsia" w:hAnsi="宋体" w:cs="宋体"/>
          <w:sz w:val="24"/>
          <w:szCs w:val="24"/>
          <w:lang w:val="en-US" w:eastAsia="zh-CN"/>
        </w:rPr>
        <w:t>分别为各类评分项的计算得分，总分值按6进行折算，用于将不同类别指标的累计得分统一转化为百分制区间，并保证不同类别指标在总评分中的权重关系一致。</w:t>
      </w:r>
    </w:p>
    <w:p w14:paraId="63B9A003">
      <w:pPr>
        <w:pStyle w:val="174"/>
        <w:spacing w:before="156" w:beforeLines="50" w:after="156" w:afterLines="50" w:line="360" w:lineRule="auto"/>
        <w:ind w:firstLine="0" w:firstLineChars="0"/>
        <w:jc w:val="center"/>
        <w:outlineLvl w:val="1"/>
        <w:rPr>
          <w:rFonts w:ascii="Times New Roman"/>
          <w:b/>
          <w:bCs/>
          <w:sz w:val="28"/>
          <w:szCs w:val="28"/>
        </w:rPr>
      </w:pPr>
      <w:r>
        <w:rPr>
          <w:rFonts w:hint="eastAsia" w:ascii="Times New Roman"/>
          <w:b/>
          <w:bCs/>
          <w:sz w:val="28"/>
          <w:szCs w:val="28"/>
        </w:rPr>
        <w:t>3.4 等级划分</w:t>
      </w:r>
    </w:p>
    <w:p w14:paraId="3E125A45">
      <w:pPr>
        <w:pStyle w:val="174"/>
        <w:spacing w:line="360" w:lineRule="auto"/>
        <w:ind w:firstLine="0" w:firstLineChars="0"/>
        <w:rPr>
          <w:rFonts w:hint="default" w:ascii="宋体" w:hAnsi="宋体" w:eastAsia="宋体" w:cs="宋体"/>
          <w:sz w:val="24"/>
          <w:szCs w:val="24"/>
          <w:lang w:val="en-US" w:eastAsia="zh-CN"/>
        </w:rPr>
      </w:pPr>
      <w:r>
        <w:rPr>
          <w:rFonts w:hint="eastAsia" w:ascii="Times New Roman" w:hAnsiTheme="minorHAnsi" w:eastAsiaTheme="minorEastAsia" w:cstheme="minorBidi"/>
          <w:b/>
          <w:bCs/>
          <w:kern w:val="2"/>
          <w:sz w:val="24"/>
          <w:szCs w:val="24"/>
          <w:lang w:val="en-US" w:eastAsia="zh-CN" w:bidi="ar-SA"/>
        </w:rPr>
        <w:t>3.4.3</w:t>
      </w:r>
      <w:r>
        <w:rPr>
          <w:rFonts w:hint="eastAsia" w:hAnsi="宋体" w:cs="宋体"/>
          <w:sz w:val="24"/>
          <w:szCs w:val="24"/>
          <w:lang w:val="en-US" w:eastAsia="zh-CN"/>
        </w:rPr>
        <w:t xml:space="preserve"> </w:t>
      </w:r>
      <w:r>
        <w:rPr>
          <w:rFonts w:ascii="宋体" w:hAnsi="宋体" w:eastAsia="宋体" w:cs="宋体"/>
          <w:sz w:val="24"/>
          <w:szCs w:val="24"/>
        </w:rPr>
        <w:t>本条通过分级设置评价结果，区分不同工程在隔减震技术应用深度和实施质量方面的差异。</w:t>
      </w:r>
    </w:p>
    <w:p w14:paraId="0236DB3D">
      <w:pPr>
        <w:pStyle w:val="174"/>
        <w:spacing w:before="156" w:beforeLines="50" w:after="156" w:afterLines="50" w:line="360" w:lineRule="auto"/>
        <w:ind w:firstLine="0" w:firstLineChars="0"/>
        <w:jc w:val="center"/>
        <w:outlineLvl w:val="1"/>
        <w:rPr>
          <w:rFonts w:ascii="Times New Roman"/>
          <w:b/>
          <w:bCs/>
          <w:sz w:val="28"/>
          <w:szCs w:val="28"/>
        </w:rPr>
      </w:pPr>
      <w:r>
        <w:rPr>
          <w:rFonts w:hint="eastAsia" w:ascii="Times New Roman"/>
          <w:b/>
          <w:bCs/>
          <w:sz w:val="28"/>
          <w:szCs w:val="28"/>
        </w:rPr>
        <w:t>3.5 评价报告</w:t>
      </w:r>
    </w:p>
    <w:p w14:paraId="315E1AA2">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3.5.2</w:t>
      </w:r>
      <w:r>
        <w:rPr>
          <w:rFonts w:hint="eastAsia" w:ascii="Times New Roman"/>
          <w:sz w:val="24"/>
          <w:szCs w:val="24"/>
          <w:lang w:val="en-US" w:eastAsia="zh-CN"/>
        </w:rPr>
        <w:t xml:space="preserve"> </w:t>
      </w:r>
      <w:r>
        <w:rPr>
          <w:rFonts w:ascii="宋体" w:hAnsi="宋体" w:eastAsia="宋体" w:cs="宋体"/>
          <w:sz w:val="24"/>
          <w:szCs w:val="24"/>
        </w:rPr>
        <w:t>本条</w:t>
      </w:r>
      <w:r>
        <w:rPr>
          <w:rFonts w:hint="eastAsia" w:hAnsi="宋体" w:cs="宋体"/>
          <w:sz w:val="24"/>
          <w:szCs w:val="24"/>
          <w:lang w:val="en-US" w:eastAsia="zh-CN"/>
        </w:rPr>
        <w:t>中，</w:t>
      </w:r>
      <w:r>
        <w:rPr>
          <w:rFonts w:ascii="宋体" w:hAnsi="宋体" w:eastAsia="宋体" w:cs="宋体"/>
          <w:sz w:val="24"/>
          <w:szCs w:val="24"/>
        </w:rPr>
        <w:t>评价报告除反映得分和等级外，还应客观反映存在的问题，并提出针对性的改进建议，为后续工程优化和管理提供依据。</w:t>
      </w:r>
    </w:p>
    <w:p w14:paraId="11A072AE">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br w:type="page"/>
      </w:r>
    </w:p>
    <w:p w14:paraId="7D3E72FE">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rPr>
        <w:t>隔减震设计</w:t>
      </w:r>
    </w:p>
    <w:p w14:paraId="184BC46B">
      <w:pPr>
        <w:pStyle w:val="174"/>
        <w:spacing w:after="156" w:afterLines="50" w:line="360" w:lineRule="auto"/>
        <w:ind w:firstLine="0" w:firstLineChars="0"/>
        <w:jc w:val="center"/>
        <w:outlineLvl w:val="1"/>
        <w:rPr>
          <w:rFonts w:hint="eastAsia" w:hAnsi="宋体" w:cs="宋体"/>
          <w:sz w:val="24"/>
          <w:szCs w:val="24"/>
          <w:lang w:val="en-US" w:eastAsia="zh-CN"/>
        </w:rPr>
      </w:pPr>
      <w:r>
        <w:rPr>
          <w:rFonts w:hint="eastAsia" w:ascii="Times New Roman"/>
          <w:b/>
          <w:bCs/>
          <w:sz w:val="28"/>
          <w:szCs w:val="28"/>
        </w:rPr>
        <w:t>4.1 隔震设计</w:t>
      </w:r>
    </w:p>
    <w:p w14:paraId="42F47B7A">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4.1.2 </w:t>
      </w:r>
      <w:r>
        <w:rPr>
          <w:rFonts w:ascii="宋体" w:hAnsi="宋体" w:eastAsia="宋体" w:cs="宋体"/>
          <w:sz w:val="24"/>
          <w:szCs w:val="24"/>
        </w:rPr>
        <w:t>本条明确了采用隔震技术建筑的基本设防目标。评价时应重点核查设计文件和计算分析中性能目标的设置情况，以及其与现行国家标准要求的一致性。</w:t>
      </w:r>
    </w:p>
    <w:p w14:paraId="34C4ABA6">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4.1.3 </w:t>
      </w:r>
      <w:r>
        <w:rPr>
          <w:rFonts w:ascii="宋体" w:hAnsi="宋体" w:eastAsia="宋体" w:cs="宋体"/>
          <w:sz w:val="24"/>
          <w:szCs w:val="24"/>
        </w:rPr>
        <w:t>整体分析模型应能够合理反映隔震层位移及其对上部结构动力响应的影响。采用简化模型时，应说明其适用条件。</w:t>
      </w:r>
    </w:p>
    <w:p w14:paraId="78D5E3D2">
      <w:pPr>
        <w:pStyle w:val="174"/>
        <w:spacing w:after="156" w:afterLines="50" w:line="360" w:lineRule="auto"/>
        <w:ind w:firstLine="0" w:firstLineChars="0"/>
        <w:jc w:val="center"/>
        <w:outlineLvl w:val="1"/>
        <w:rPr>
          <w:rFonts w:ascii="Times New Roman"/>
          <w:b/>
          <w:bCs/>
          <w:sz w:val="28"/>
          <w:szCs w:val="28"/>
        </w:rPr>
      </w:pPr>
      <w:r>
        <w:rPr>
          <w:rFonts w:hint="eastAsia" w:ascii="Times New Roman"/>
          <w:b/>
          <w:bCs/>
          <w:sz w:val="28"/>
          <w:szCs w:val="28"/>
        </w:rPr>
        <w:t>4.2 减震设计</w:t>
      </w:r>
    </w:p>
    <w:p w14:paraId="3C153128">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4.2.2 </w:t>
      </w:r>
      <w:r>
        <w:rPr>
          <w:rFonts w:ascii="宋体" w:hAnsi="宋体" w:eastAsia="宋体" w:cs="宋体"/>
          <w:sz w:val="24"/>
          <w:szCs w:val="24"/>
        </w:rPr>
        <w:t>评价时</w:t>
      </w:r>
      <w:r>
        <w:rPr>
          <w:rFonts w:hint="eastAsia" w:hAnsi="宋体" w:cs="宋体"/>
          <w:sz w:val="24"/>
          <w:szCs w:val="24"/>
          <w:lang w:val="en-US" w:eastAsia="zh-CN"/>
        </w:rPr>
        <w:t>可</w:t>
      </w:r>
      <w:r>
        <w:rPr>
          <w:rFonts w:ascii="宋体" w:hAnsi="宋体" w:eastAsia="宋体" w:cs="宋体"/>
          <w:sz w:val="24"/>
          <w:szCs w:val="24"/>
        </w:rPr>
        <w:t>结合设计文件和计算结果，综合判断减震措施对结构响应控制的实际效果。</w:t>
      </w:r>
    </w:p>
    <w:p w14:paraId="428256AA">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br w:type="page"/>
      </w:r>
    </w:p>
    <w:p w14:paraId="43100AAC">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lang w:eastAsia="zh-CN"/>
        </w:rPr>
        <w:t>隔减震装置</w:t>
      </w:r>
    </w:p>
    <w:p w14:paraId="4CC71392">
      <w:pPr>
        <w:pStyle w:val="174"/>
        <w:spacing w:after="156" w:afterLines="50" w:line="360" w:lineRule="auto"/>
        <w:ind w:firstLine="0" w:firstLineChars="0"/>
        <w:jc w:val="center"/>
        <w:outlineLvl w:val="1"/>
        <w:rPr>
          <w:rFonts w:hint="eastAsia" w:ascii="Times New Roman" w:eastAsia="宋体"/>
          <w:b/>
          <w:bCs/>
          <w:sz w:val="28"/>
          <w:szCs w:val="28"/>
          <w:lang w:eastAsia="zh-CN"/>
        </w:rPr>
      </w:pPr>
      <w:r>
        <w:rPr>
          <w:rFonts w:hint="eastAsia" w:ascii="Times New Roman"/>
          <w:b/>
          <w:bCs/>
          <w:sz w:val="28"/>
          <w:szCs w:val="28"/>
        </w:rPr>
        <w:t xml:space="preserve">5.1 </w:t>
      </w:r>
      <w:r>
        <w:rPr>
          <w:rFonts w:hint="eastAsia" w:ascii="Times New Roman"/>
          <w:b/>
          <w:bCs/>
          <w:sz w:val="28"/>
          <w:szCs w:val="28"/>
          <w:lang w:eastAsia="zh-CN"/>
        </w:rPr>
        <w:t>隔震装置</w:t>
      </w:r>
    </w:p>
    <w:p w14:paraId="235D9DE3">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5.1.1 </w:t>
      </w:r>
      <w:r>
        <w:rPr>
          <w:rFonts w:ascii="宋体" w:hAnsi="宋体" w:eastAsia="宋体" w:cs="宋体"/>
          <w:sz w:val="24"/>
          <w:szCs w:val="24"/>
        </w:rPr>
        <w:t>评价时应重点核查检测报告中关键力学参数是否覆盖工程实际采用的装置规格，并与设计取值保持一致。</w:t>
      </w:r>
    </w:p>
    <w:p w14:paraId="554A6CAC">
      <w:pPr>
        <w:pStyle w:val="174"/>
        <w:spacing w:line="360" w:lineRule="auto"/>
        <w:ind w:firstLine="0" w:firstLineChars="0"/>
        <w:rPr>
          <w:rFonts w:hint="default" w:ascii="宋体" w:hAnsi="宋体" w:eastAsia="宋体" w:cs="宋体"/>
          <w:sz w:val="24"/>
          <w:szCs w:val="24"/>
          <w:lang w:val="en-US"/>
        </w:rPr>
      </w:pPr>
      <w:r>
        <w:rPr>
          <w:rFonts w:hint="eastAsia" w:ascii="Times New Roman" w:hAnsiTheme="minorHAnsi" w:eastAsiaTheme="minorEastAsia" w:cstheme="minorBidi"/>
          <w:b/>
          <w:bCs/>
          <w:kern w:val="2"/>
          <w:sz w:val="24"/>
          <w:szCs w:val="24"/>
          <w:lang w:val="en-US" w:eastAsia="zh-CN" w:bidi="ar-SA"/>
        </w:rPr>
        <w:t xml:space="preserve">5.1.3 </w:t>
      </w:r>
      <w:r>
        <w:rPr>
          <w:rFonts w:hint="eastAsia" w:ascii="宋体" w:hAnsi="宋体" w:eastAsia="宋体" w:cs="宋体"/>
          <w:sz w:val="24"/>
          <w:szCs w:val="24"/>
          <w:lang w:val="en-US" w:eastAsia="zh-CN"/>
        </w:rPr>
        <w:t>隔震装置的设计参数、检测参数和实际安装参数之间应保持一致性，相关偏差应有合理说明。</w:t>
      </w:r>
    </w:p>
    <w:p w14:paraId="6B6834AC">
      <w:pPr>
        <w:pStyle w:val="174"/>
        <w:spacing w:after="156" w:afterLines="50" w:line="360" w:lineRule="auto"/>
        <w:ind w:firstLine="0" w:firstLineChars="0"/>
        <w:jc w:val="center"/>
        <w:outlineLvl w:val="1"/>
        <w:rPr>
          <w:rFonts w:hint="eastAsia" w:ascii="Times New Roman" w:eastAsia="宋体"/>
          <w:b/>
          <w:bCs/>
          <w:sz w:val="28"/>
          <w:szCs w:val="28"/>
          <w:lang w:eastAsia="zh-CN"/>
        </w:rPr>
      </w:pPr>
      <w:r>
        <w:rPr>
          <w:rFonts w:hint="eastAsia" w:ascii="Times New Roman"/>
          <w:b/>
          <w:bCs/>
          <w:sz w:val="28"/>
          <w:szCs w:val="28"/>
        </w:rPr>
        <w:t xml:space="preserve">5.2 </w:t>
      </w:r>
      <w:r>
        <w:rPr>
          <w:rFonts w:hint="eastAsia" w:ascii="Times New Roman"/>
          <w:b/>
          <w:bCs/>
          <w:sz w:val="28"/>
          <w:szCs w:val="28"/>
          <w:lang w:eastAsia="zh-CN"/>
        </w:rPr>
        <w:t>消能减震装置</w:t>
      </w:r>
    </w:p>
    <w:p w14:paraId="7490AA29">
      <w:pPr>
        <w:pStyle w:val="174"/>
        <w:spacing w:line="360" w:lineRule="auto"/>
        <w:ind w:firstLine="0" w:firstLineChars="0"/>
        <w:rPr>
          <w:rFonts w:hint="default" w:ascii="Times New Roman" w:hAnsiTheme="minorHAnsi" w:eastAsiaTheme="minorEastAsia" w:cstheme="minorBidi"/>
          <w:b/>
          <w:bCs/>
          <w:kern w:val="2"/>
          <w:sz w:val="24"/>
          <w:szCs w:val="24"/>
          <w:lang w:val="en-US" w:eastAsia="zh-CN" w:bidi="ar-SA"/>
        </w:rPr>
      </w:pPr>
      <w:r>
        <w:rPr>
          <w:rFonts w:hint="eastAsia" w:ascii="Times New Roman" w:hAnsiTheme="minorHAnsi" w:eastAsiaTheme="minorEastAsia" w:cstheme="minorBidi"/>
          <w:b/>
          <w:bCs/>
          <w:kern w:val="2"/>
          <w:sz w:val="24"/>
          <w:szCs w:val="24"/>
          <w:lang w:val="en-US" w:eastAsia="zh-CN" w:bidi="ar-SA"/>
        </w:rPr>
        <w:t xml:space="preserve">5.2.3 </w:t>
      </w:r>
      <w:r>
        <w:rPr>
          <w:rFonts w:ascii="宋体" w:hAnsi="宋体" w:eastAsia="宋体" w:cs="宋体"/>
          <w:sz w:val="24"/>
          <w:szCs w:val="24"/>
        </w:rPr>
        <w:t>消能减震装置</w:t>
      </w:r>
      <w:r>
        <w:rPr>
          <w:rFonts w:hint="eastAsia" w:hAnsi="宋体" w:cs="宋体"/>
          <w:sz w:val="24"/>
          <w:szCs w:val="24"/>
          <w:lang w:val="en-US" w:eastAsia="zh-CN"/>
        </w:rPr>
        <w:t>标注</w:t>
      </w:r>
      <w:r>
        <w:rPr>
          <w:rFonts w:ascii="宋体" w:hAnsi="宋体" w:eastAsia="宋体" w:cs="宋体"/>
          <w:sz w:val="24"/>
          <w:szCs w:val="24"/>
        </w:rPr>
        <w:t>的</w:t>
      </w:r>
      <w:r>
        <w:rPr>
          <w:rFonts w:hint="eastAsia" w:hAnsi="宋体" w:cs="宋体"/>
          <w:sz w:val="24"/>
          <w:szCs w:val="24"/>
          <w:lang w:val="en-US" w:eastAsia="zh-CN"/>
        </w:rPr>
        <w:t>主要力学参数</w:t>
      </w:r>
      <w:r>
        <w:rPr>
          <w:rFonts w:ascii="宋体" w:hAnsi="宋体" w:eastAsia="宋体" w:cs="宋体"/>
          <w:sz w:val="24"/>
          <w:szCs w:val="24"/>
        </w:rPr>
        <w:t>应与设计假定条件相匹配，其耗能能力和工作稳定性是评价的重要依据。</w:t>
      </w:r>
    </w:p>
    <w:p w14:paraId="2B3DCBAC">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5.2.5 </w:t>
      </w:r>
      <w:r>
        <w:rPr>
          <w:rFonts w:ascii="宋体" w:hAnsi="宋体" w:eastAsia="宋体" w:cs="宋体"/>
          <w:sz w:val="24"/>
          <w:szCs w:val="24"/>
        </w:rPr>
        <w:t>本条对不同类型消能减震装置的设计使用年限作出区分规定。评价时应关注设计使用年限与建筑设计使用年限之间的协调关系，并明确后期检查和维护安排。</w:t>
      </w:r>
    </w:p>
    <w:p w14:paraId="0C9F9717">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br w:type="page"/>
      </w:r>
    </w:p>
    <w:p w14:paraId="2E3C2353">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rPr>
        <w:t>隔减震</w:t>
      </w:r>
      <w:r>
        <w:rPr>
          <w:rFonts w:hint="eastAsia" w:ascii="Times New Roman" w:hAnsi="Times New Roman" w:cs="Times New Roman"/>
          <w:b/>
          <w:bCs/>
          <w:sz w:val="30"/>
          <w:szCs w:val="30"/>
          <w:lang w:val="en-US" w:eastAsia="zh-CN"/>
        </w:rPr>
        <w:t>专项施工</w:t>
      </w:r>
    </w:p>
    <w:p w14:paraId="34C73510">
      <w:pPr>
        <w:pStyle w:val="174"/>
        <w:spacing w:before="156" w:beforeLines="50" w:after="156" w:afterLines="50" w:line="360" w:lineRule="auto"/>
        <w:ind w:firstLine="0" w:firstLineChars="0"/>
        <w:jc w:val="center"/>
        <w:outlineLvl w:val="1"/>
        <w:rPr>
          <w:rFonts w:ascii="Times New Roman"/>
          <w:b/>
          <w:bCs/>
          <w:sz w:val="28"/>
          <w:szCs w:val="28"/>
        </w:rPr>
      </w:pPr>
      <w:r>
        <w:rPr>
          <w:rFonts w:hint="eastAsia" w:ascii="Times New Roman"/>
          <w:b/>
          <w:bCs/>
          <w:sz w:val="28"/>
          <w:szCs w:val="28"/>
        </w:rPr>
        <w:t>6.1 隔震施工</w:t>
      </w:r>
    </w:p>
    <w:p w14:paraId="67B04146">
      <w:pPr>
        <w:pStyle w:val="174"/>
        <w:spacing w:line="360" w:lineRule="auto"/>
        <w:ind w:firstLine="0" w:firstLineChars="0"/>
        <w:rPr>
          <w:rFonts w:ascii="宋体" w:hAnsi="宋体" w:eastAsia="宋体" w:cs="宋体"/>
          <w:sz w:val="24"/>
          <w:szCs w:val="24"/>
        </w:rPr>
      </w:pPr>
      <w:r>
        <w:rPr>
          <w:rFonts w:hint="eastAsia" w:ascii="Times New Roman" w:hAnsiTheme="minorHAnsi" w:eastAsiaTheme="minorEastAsia" w:cstheme="minorBidi"/>
          <w:b/>
          <w:bCs/>
          <w:kern w:val="2"/>
          <w:sz w:val="24"/>
          <w:szCs w:val="24"/>
          <w:lang w:val="en-US" w:eastAsia="zh-CN" w:bidi="ar-SA"/>
        </w:rPr>
        <w:t xml:space="preserve">6.1.1 </w:t>
      </w:r>
      <w:r>
        <w:rPr>
          <w:rFonts w:ascii="宋体" w:hAnsi="宋体" w:eastAsia="宋体" w:cs="宋体"/>
          <w:sz w:val="24"/>
          <w:szCs w:val="24"/>
        </w:rPr>
        <w:t>本条强调隔震施工阶段施工专项方案的重要性。评价时应结合现场核查情况，重点关注施工方案与实际施工过程的一致性。</w:t>
      </w:r>
    </w:p>
    <w:p w14:paraId="3D965D29">
      <w:pPr>
        <w:pStyle w:val="174"/>
        <w:spacing w:line="360" w:lineRule="auto"/>
        <w:ind w:firstLine="0" w:firstLineChars="0"/>
        <w:rPr>
          <w:rFonts w:hint="default" w:ascii="Times New Roman" w:hAnsiTheme="minorHAnsi" w:eastAsiaTheme="minorEastAsia" w:cstheme="minorBidi"/>
          <w:b/>
          <w:bCs/>
          <w:kern w:val="2"/>
          <w:sz w:val="24"/>
          <w:szCs w:val="24"/>
          <w:lang w:val="en-US" w:eastAsia="zh-CN" w:bidi="ar-SA"/>
        </w:rPr>
      </w:pPr>
      <w:r>
        <w:rPr>
          <w:rFonts w:hint="eastAsia" w:ascii="Times New Roman" w:hAnsiTheme="minorHAnsi" w:eastAsiaTheme="minorEastAsia" w:cstheme="minorBidi"/>
          <w:b/>
          <w:bCs/>
          <w:kern w:val="2"/>
          <w:sz w:val="24"/>
          <w:szCs w:val="24"/>
          <w:lang w:val="en-US" w:eastAsia="zh-CN" w:bidi="ar-SA"/>
        </w:rPr>
        <w:t xml:space="preserve">6.1.3~6.1.7 </w:t>
      </w:r>
      <w:r>
        <w:rPr>
          <w:rFonts w:ascii="宋体" w:hAnsi="宋体" w:eastAsia="宋体" w:cs="宋体"/>
          <w:sz w:val="24"/>
          <w:szCs w:val="24"/>
        </w:rPr>
        <w:t>施工记录和质量验收资料应能够反映隔减震专项施工的实际实施情况，与现场核查结果保持一致。</w:t>
      </w:r>
    </w:p>
    <w:p w14:paraId="084166F4">
      <w:pPr>
        <w:rPr>
          <w:rFonts w:ascii="宋体" w:hAnsi="宋体" w:eastAsia="宋体" w:cs="宋体"/>
          <w:sz w:val="24"/>
          <w:szCs w:val="24"/>
        </w:rPr>
      </w:pPr>
      <w:r>
        <w:rPr>
          <w:rFonts w:ascii="宋体" w:hAnsi="宋体" w:eastAsia="宋体" w:cs="宋体"/>
          <w:sz w:val="24"/>
          <w:szCs w:val="24"/>
        </w:rPr>
        <w:br w:type="page"/>
      </w:r>
    </w:p>
    <w:p w14:paraId="38957123">
      <w:pPr>
        <w:pStyle w:val="152"/>
        <w:widowControl/>
        <w:numPr>
          <w:ilvl w:val="0"/>
          <w:numId w:val="13"/>
        </w:numPr>
        <w:spacing w:before="156" w:beforeLines="50" w:after="312" w:afterLines="100" w:line="360" w:lineRule="auto"/>
        <w:ind w:left="0" w:firstLine="0" w:firstLineChars="0"/>
        <w:jc w:val="center"/>
        <w:outlineLvl w:val="0"/>
        <w:rPr>
          <w:rFonts w:ascii="Times New Roman" w:hAnsi="Times New Roman" w:cs="Times New Roman"/>
          <w:b/>
          <w:bCs/>
          <w:sz w:val="30"/>
          <w:szCs w:val="30"/>
        </w:rPr>
      </w:pPr>
      <w:r>
        <w:rPr>
          <w:rFonts w:hint="eastAsia" w:ascii="Times New Roman" w:hAnsi="Times New Roman" w:cs="Times New Roman"/>
          <w:b/>
          <w:bCs/>
          <w:sz w:val="30"/>
          <w:szCs w:val="30"/>
        </w:rPr>
        <w:t>提高与创新</w:t>
      </w:r>
    </w:p>
    <w:p w14:paraId="347D78FB">
      <w:pPr>
        <w:pStyle w:val="174"/>
        <w:spacing w:before="156" w:beforeLines="50" w:after="156" w:afterLines="50" w:line="360" w:lineRule="auto"/>
        <w:ind w:firstLine="0" w:firstLineChars="0"/>
        <w:jc w:val="center"/>
        <w:outlineLvl w:val="1"/>
        <w:rPr>
          <w:rFonts w:ascii="Times New Roman"/>
          <w:b/>
          <w:bCs/>
          <w:sz w:val="28"/>
          <w:szCs w:val="28"/>
        </w:rPr>
      </w:pPr>
      <w:r>
        <w:rPr>
          <w:rFonts w:hint="eastAsia" w:ascii="Times New Roman"/>
          <w:b/>
          <w:bCs/>
          <w:sz w:val="28"/>
          <w:szCs w:val="28"/>
        </w:rPr>
        <w:t>7.2 隔震加分项</w:t>
      </w:r>
    </w:p>
    <w:p w14:paraId="62A20848">
      <w:pPr>
        <w:pStyle w:val="174"/>
        <w:spacing w:line="360" w:lineRule="auto"/>
        <w:ind w:firstLine="0" w:firstLineChars="0"/>
        <w:rPr>
          <w:rFonts w:hint="default" w:ascii="宋体" w:hAnsi="宋体" w:eastAsia="宋体" w:cs="宋体"/>
          <w:sz w:val="24"/>
          <w:szCs w:val="24"/>
          <w:lang w:val="en-US" w:eastAsia="zh-CN"/>
        </w:rPr>
      </w:pPr>
      <w:r>
        <w:rPr>
          <w:rFonts w:hint="eastAsia" w:ascii="Times New Roman" w:hAnsiTheme="minorHAnsi" w:eastAsiaTheme="minorEastAsia" w:cstheme="minorBidi"/>
          <w:b/>
          <w:bCs/>
          <w:kern w:val="2"/>
          <w:sz w:val="24"/>
          <w:szCs w:val="24"/>
          <w:lang w:val="en-US" w:eastAsia="zh-CN" w:bidi="ar-SA"/>
        </w:rPr>
        <w:t xml:space="preserve">7.2.3 </w:t>
      </w:r>
      <w:r>
        <w:rPr>
          <w:rFonts w:ascii="宋体" w:hAnsi="宋体" w:eastAsia="宋体" w:cs="宋体"/>
          <w:sz w:val="24"/>
          <w:szCs w:val="24"/>
        </w:rPr>
        <w:t>本条对在隔震建筑中引入监测技术进行引导性规定。评价时可结合监测系统在运行管理中的实际应用情况进行综合判断</w:t>
      </w:r>
      <w:r>
        <w:rPr>
          <w:rFonts w:hint="eastAsia" w:hAnsi="宋体" w:cs="宋体"/>
          <w:sz w:val="24"/>
          <w:szCs w:val="24"/>
          <w:lang w:val="en-US" w:eastAsia="zh-CN"/>
        </w:rPr>
        <w:t>加分分值</w:t>
      </w:r>
      <w:r>
        <w:rPr>
          <w:rFonts w:ascii="宋体" w:hAnsi="宋体" w:eastAsia="宋体" w:cs="宋体"/>
          <w:sz w:val="24"/>
          <w:szCs w:val="24"/>
        </w:rPr>
        <w:t>。</w:t>
      </w:r>
    </w:p>
    <w:sectPr>
      <w:pgSz w:w="11906" w:h="16838"/>
      <w:pgMar w:top="1440" w:right="1800" w:bottom="1440" w:left="1800" w:header="1418" w:footer="1134" w:gutter="0"/>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7FFAEFF" w:usb1="F9DFFFFF" w:usb2="0000007F" w:usb3="00000000" w:csb0="203F01FF" w:csb1="DFFF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0615851"/>
      <w:docPartObj>
        <w:docPartGallery w:val="autotext"/>
      </w:docPartObj>
    </w:sdtPr>
    <w:sdtContent>
      <w:p w14:paraId="000B3B2B">
        <w:pPr>
          <w:pStyle w:val="22"/>
        </w:pPr>
        <w:r>
          <w:fldChar w:fldCharType="begin"/>
        </w:r>
        <w:r>
          <w:instrText xml:space="preserve">PAGE   \* MERGEFORMAT</w:instrText>
        </w:r>
        <w:r>
          <w:fldChar w:fldCharType="separate"/>
        </w:r>
        <w:r>
          <w:rPr>
            <w:lang w:val="zh-CN"/>
          </w:rPr>
          <w:t>1</w:t>
        </w:r>
        <w:r>
          <w:fldChar w:fldCharType="end"/>
        </w:r>
      </w:p>
    </w:sdtContent>
  </w:sdt>
  <w:p w14:paraId="49E9A1A9">
    <w:pPr>
      <w:pStyle w:val="51"/>
      <w:jc w:val="center"/>
      <w:rPr>
        <w:rFonts w:asci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85339">
    <w:pPr>
      <w:pStyle w:val="22"/>
      <w:jc w:val="both"/>
    </w:pPr>
    <w:r>
      <w:fldChar w:fldCharType="begin"/>
    </w:r>
    <w:r>
      <w:instrText xml:space="preserve">PAGE   \* MERGEFORMAT</w:instrText>
    </w:r>
    <w:r>
      <w:fldChar w:fldCharType="separate"/>
    </w:r>
    <w:r>
      <w:rPr>
        <w:lang w:val="zh-CN"/>
      </w:rPr>
      <w:t>10</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527EF">
    <w:pPr>
      <w:pStyle w:val="23"/>
      <w:jc w:val="right"/>
    </w:pPr>
    <w:r>
      <w:t>T/</w:t>
    </w:r>
    <w:r>
      <w:rPr>
        <w:rFonts w:hint="eastAsia"/>
      </w:rPr>
      <w:t>C</w:t>
    </w:r>
    <w:r>
      <w:t xml:space="preserve">ECS </w:t>
    </w:r>
    <w:r>
      <w:rPr>
        <w:rFonts w:hint="eastAsia"/>
      </w:rPr>
      <w:t>xx</w:t>
    </w:r>
    <w:r>
      <w:t>—</w:t>
    </w:r>
    <w:r>
      <w:rPr>
        <w:rFonts w:hint="eastAsia"/>
      </w:rPr>
      <w:t>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DFE1E">
    <w:pPr>
      <w:pStyle w:val="23"/>
    </w:pPr>
    <w:r>
      <w:t>T/</w:t>
    </w:r>
    <w:r>
      <w:rPr>
        <w:rFonts w:hint="eastAsia"/>
      </w:rPr>
      <w:t>C</w:t>
    </w:r>
    <w:r>
      <w:t xml:space="preserve">ECS </w:t>
    </w:r>
    <w:r>
      <w:rPr>
        <w:rFonts w:hint="eastAsia"/>
      </w:rPr>
      <w:t>xx</w:t>
    </w:r>
    <w:r>
      <w:t>—</w:t>
    </w:r>
    <w:r>
      <w:rPr>
        <w:rFonts w:hint="eastAsia"/>
      </w:rPr>
      <w:t>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896D0F"/>
    <w:multiLevelType w:val="multilevel"/>
    <w:tmpl w:val="B4896D0F"/>
    <w:lvl w:ilvl="0" w:tentative="0">
      <w:start w:val="1"/>
      <w:numFmt w:val="decimal"/>
      <w:lvlText w:val="%1"/>
      <w:lvlJc w:val="left"/>
      <w:pPr>
        <w:ind w:left="720" w:hanging="360"/>
      </w:pPr>
      <w:rPr>
        <w:rFonts w:hint="default"/>
      </w:rPr>
    </w:lvl>
    <w:lvl w:ilvl="1" w:tentative="0">
      <w:start w:val="0"/>
      <w:numFmt w:val="decimal"/>
      <w:isLgl/>
      <w:lvlText w:val="%1.%2"/>
      <w:lvlJc w:val="left"/>
      <w:pPr>
        <w:ind w:left="1080" w:hanging="720"/>
      </w:pPr>
      <w:rPr>
        <w:rFonts w:hint="default"/>
        <w:b/>
      </w:rPr>
    </w:lvl>
    <w:lvl w:ilvl="2" w:tentative="0">
      <w:start w:val="4"/>
      <w:numFmt w:val="decimal"/>
      <w:isLgl/>
      <w:lvlText w:val="%1.%2.%3"/>
      <w:lvlJc w:val="left"/>
      <w:pPr>
        <w:ind w:left="1080" w:hanging="720"/>
      </w:pPr>
      <w:rPr>
        <w:rFonts w:hint="default"/>
        <w:b/>
      </w:rPr>
    </w:lvl>
    <w:lvl w:ilvl="3" w:tentative="0">
      <w:start w:val="1"/>
      <w:numFmt w:val="decimal"/>
      <w:isLgl/>
      <w:lvlText w:val="%1.%2.%3.%4"/>
      <w:lvlJc w:val="left"/>
      <w:pPr>
        <w:ind w:left="1440" w:hanging="1080"/>
      </w:pPr>
      <w:rPr>
        <w:rFonts w:hint="default"/>
        <w:b/>
      </w:rPr>
    </w:lvl>
    <w:lvl w:ilvl="4" w:tentative="0">
      <w:start w:val="1"/>
      <w:numFmt w:val="decimal"/>
      <w:isLgl/>
      <w:lvlText w:val="%1.%2.%3.%4.%5"/>
      <w:lvlJc w:val="left"/>
      <w:pPr>
        <w:ind w:left="1800" w:hanging="1440"/>
      </w:pPr>
      <w:rPr>
        <w:rFonts w:hint="default"/>
        <w:b/>
      </w:rPr>
    </w:lvl>
    <w:lvl w:ilvl="5" w:tentative="0">
      <w:start w:val="1"/>
      <w:numFmt w:val="decimal"/>
      <w:isLgl/>
      <w:lvlText w:val="%1.%2.%3.%4.%5.%6"/>
      <w:lvlJc w:val="left"/>
      <w:pPr>
        <w:ind w:left="1800" w:hanging="1440"/>
      </w:pPr>
      <w:rPr>
        <w:rFonts w:hint="default"/>
        <w:b/>
      </w:rPr>
    </w:lvl>
    <w:lvl w:ilvl="6" w:tentative="0">
      <w:start w:val="1"/>
      <w:numFmt w:val="decimal"/>
      <w:isLgl/>
      <w:lvlText w:val="%1.%2.%3.%4.%5.%6.%7"/>
      <w:lvlJc w:val="left"/>
      <w:pPr>
        <w:ind w:left="2160" w:hanging="1800"/>
      </w:pPr>
      <w:rPr>
        <w:rFonts w:hint="default"/>
        <w:b/>
      </w:rPr>
    </w:lvl>
    <w:lvl w:ilvl="7" w:tentative="0">
      <w:start w:val="1"/>
      <w:numFmt w:val="decimal"/>
      <w:isLgl/>
      <w:lvlText w:val="%1.%2.%3.%4.%5.%6.%7.%8"/>
      <w:lvlJc w:val="left"/>
      <w:pPr>
        <w:ind w:left="2520" w:hanging="2160"/>
      </w:pPr>
      <w:rPr>
        <w:rFonts w:hint="default"/>
        <w:b/>
      </w:rPr>
    </w:lvl>
    <w:lvl w:ilvl="8" w:tentative="0">
      <w:start w:val="1"/>
      <w:numFmt w:val="decimal"/>
      <w:isLgl/>
      <w:lvlText w:val="%1.%2.%3.%4.%5.%6.%7.%8.%9"/>
      <w:lvlJc w:val="left"/>
      <w:pPr>
        <w:ind w:left="2520" w:hanging="2160"/>
      </w:pPr>
      <w:rPr>
        <w:rFonts w:hint="default"/>
        <w:b/>
      </w:rPr>
    </w:lvl>
  </w:abstractNum>
  <w:abstractNum w:abstractNumId="1">
    <w:nsid w:val="1DAF69CE"/>
    <w:multiLevelType w:val="multilevel"/>
    <w:tmpl w:val="1DAF69CE"/>
    <w:lvl w:ilvl="0" w:tentative="0">
      <w:start w:val="1"/>
      <w:numFmt w:val="decimal"/>
      <w:lvlText w:val="%1"/>
      <w:lvlJc w:val="left"/>
      <w:pPr>
        <w:ind w:left="720" w:hanging="360"/>
      </w:pPr>
      <w:rPr>
        <w:rFonts w:hint="default"/>
      </w:rPr>
    </w:lvl>
    <w:lvl w:ilvl="1" w:tentative="0">
      <w:start w:val="0"/>
      <w:numFmt w:val="decimal"/>
      <w:isLgl/>
      <w:lvlText w:val="%1.%2"/>
      <w:lvlJc w:val="left"/>
      <w:pPr>
        <w:ind w:left="1080" w:hanging="720"/>
      </w:pPr>
      <w:rPr>
        <w:rFonts w:hint="default"/>
        <w:b/>
      </w:rPr>
    </w:lvl>
    <w:lvl w:ilvl="2" w:tentative="0">
      <w:start w:val="4"/>
      <w:numFmt w:val="decimal"/>
      <w:isLgl/>
      <w:lvlText w:val="%1.%2.%3"/>
      <w:lvlJc w:val="left"/>
      <w:pPr>
        <w:ind w:left="1080" w:hanging="720"/>
      </w:pPr>
      <w:rPr>
        <w:rFonts w:hint="default"/>
        <w:b/>
      </w:rPr>
    </w:lvl>
    <w:lvl w:ilvl="3" w:tentative="0">
      <w:start w:val="1"/>
      <w:numFmt w:val="decimal"/>
      <w:isLgl/>
      <w:lvlText w:val="%1.%2.%3.%4"/>
      <w:lvlJc w:val="left"/>
      <w:pPr>
        <w:ind w:left="1440" w:hanging="1080"/>
      </w:pPr>
      <w:rPr>
        <w:rFonts w:hint="default"/>
        <w:b/>
      </w:rPr>
    </w:lvl>
    <w:lvl w:ilvl="4" w:tentative="0">
      <w:start w:val="1"/>
      <w:numFmt w:val="decimal"/>
      <w:isLgl/>
      <w:lvlText w:val="%1.%2.%3.%4.%5"/>
      <w:lvlJc w:val="left"/>
      <w:pPr>
        <w:ind w:left="1800" w:hanging="1440"/>
      </w:pPr>
      <w:rPr>
        <w:rFonts w:hint="default"/>
        <w:b/>
      </w:rPr>
    </w:lvl>
    <w:lvl w:ilvl="5" w:tentative="0">
      <w:start w:val="1"/>
      <w:numFmt w:val="decimal"/>
      <w:isLgl/>
      <w:lvlText w:val="%1.%2.%3.%4.%5.%6"/>
      <w:lvlJc w:val="left"/>
      <w:pPr>
        <w:ind w:left="1800" w:hanging="1440"/>
      </w:pPr>
      <w:rPr>
        <w:rFonts w:hint="default"/>
        <w:b/>
      </w:rPr>
    </w:lvl>
    <w:lvl w:ilvl="6" w:tentative="0">
      <w:start w:val="1"/>
      <w:numFmt w:val="decimal"/>
      <w:isLgl/>
      <w:lvlText w:val="%1.%2.%3.%4.%5.%6.%7"/>
      <w:lvlJc w:val="left"/>
      <w:pPr>
        <w:ind w:left="2160" w:hanging="1800"/>
      </w:pPr>
      <w:rPr>
        <w:rFonts w:hint="default"/>
        <w:b/>
      </w:rPr>
    </w:lvl>
    <w:lvl w:ilvl="7" w:tentative="0">
      <w:start w:val="1"/>
      <w:numFmt w:val="decimal"/>
      <w:isLgl/>
      <w:lvlText w:val="%1.%2.%3.%4.%5.%6.%7.%8"/>
      <w:lvlJc w:val="left"/>
      <w:pPr>
        <w:ind w:left="2520" w:hanging="2160"/>
      </w:pPr>
      <w:rPr>
        <w:rFonts w:hint="default"/>
        <w:b/>
      </w:rPr>
    </w:lvl>
    <w:lvl w:ilvl="8" w:tentative="0">
      <w:start w:val="1"/>
      <w:numFmt w:val="decimal"/>
      <w:isLgl/>
      <w:lvlText w:val="%1.%2.%3.%4.%5.%6.%7.%8.%9"/>
      <w:lvlJc w:val="left"/>
      <w:pPr>
        <w:ind w:left="2520" w:hanging="2160"/>
      </w:pPr>
      <w:rPr>
        <w:rFonts w:hint="default"/>
        <w:b/>
      </w:rPr>
    </w:lvl>
  </w:abstractNum>
  <w:abstractNum w:abstractNumId="2">
    <w:nsid w:val="1DBF583A"/>
    <w:multiLevelType w:val="multilevel"/>
    <w:tmpl w:val="1DBF583A"/>
    <w:lvl w:ilvl="0" w:tentative="0">
      <w:start w:val="1"/>
      <w:numFmt w:val="decimal"/>
      <w:pStyle w:val="7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
    <w:nsid w:val="2A8F7113"/>
    <w:multiLevelType w:val="multilevel"/>
    <w:tmpl w:val="2A8F7113"/>
    <w:lvl w:ilvl="0" w:tentative="0">
      <w:start w:val="1"/>
      <w:numFmt w:val="upperLetter"/>
      <w:pStyle w:val="106"/>
      <w:suff w:val="space"/>
      <w:lvlText w:val="%1"/>
      <w:lvlJc w:val="left"/>
      <w:pPr>
        <w:ind w:left="623" w:hanging="425"/>
      </w:pPr>
      <w:rPr>
        <w:rFonts w:hint="eastAsia"/>
      </w:rPr>
    </w:lvl>
    <w:lvl w:ilvl="1" w:tentative="0">
      <w:start w:val="1"/>
      <w:numFmt w:val="decimal"/>
      <w:pStyle w:val="10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4">
    <w:nsid w:val="2C5917C3"/>
    <w:multiLevelType w:val="multilevel"/>
    <w:tmpl w:val="2C5917C3"/>
    <w:lvl w:ilvl="0" w:tentative="0">
      <w:start w:val="1"/>
      <w:numFmt w:val="none"/>
      <w:pStyle w:val="56"/>
      <w:suff w:val="nothing"/>
      <w:lvlText w:val="%1——"/>
      <w:lvlJc w:val="left"/>
      <w:pPr>
        <w:ind w:left="833" w:hanging="408"/>
      </w:pPr>
      <w:rPr>
        <w:rFonts w:hint="eastAsia"/>
      </w:rPr>
    </w:lvl>
    <w:lvl w:ilvl="1" w:tentative="0">
      <w:start w:val="1"/>
      <w:numFmt w:val="bullet"/>
      <w:pStyle w:val="57"/>
      <w:lvlText w:val=""/>
      <w:lvlJc w:val="left"/>
      <w:pPr>
        <w:tabs>
          <w:tab w:val="left" w:pos="760"/>
        </w:tabs>
        <w:ind w:left="1264" w:hanging="413"/>
      </w:pPr>
      <w:rPr>
        <w:rFonts w:hint="default" w:ascii="Symbol" w:hAnsi="Symbol"/>
        <w:color w:val="auto"/>
      </w:rPr>
    </w:lvl>
    <w:lvl w:ilvl="2" w:tentative="0">
      <w:start w:val="1"/>
      <w:numFmt w:val="bullet"/>
      <w:pStyle w:val="6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5">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6">
    <w:nsid w:val="44C50F90"/>
    <w:multiLevelType w:val="multilevel"/>
    <w:tmpl w:val="44C50F90"/>
    <w:lvl w:ilvl="0" w:tentative="0">
      <w:start w:val="1"/>
      <w:numFmt w:val="lowerLetter"/>
      <w:pStyle w:val="6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2"/>
      <w:lvlText w:val="%2)"/>
      <w:lvlJc w:val="left"/>
      <w:pPr>
        <w:tabs>
          <w:tab w:val="left" w:pos="1260"/>
        </w:tabs>
        <w:ind w:left="1259" w:hanging="419"/>
      </w:pPr>
      <w:rPr>
        <w:rFonts w:hint="eastAsia"/>
      </w:rPr>
    </w:lvl>
    <w:lvl w:ilvl="2" w:tentative="0">
      <w:start w:val="1"/>
      <w:numFmt w:val="decimal"/>
      <w:pStyle w:val="69"/>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7">
    <w:nsid w:val="60B55DC2"/>
    <w:multiLevelType w:val="multilevel"/>
    <w:tmpl w:val="60B55DC2"/>
    <w:lvl w:ilvl="0" w:tentative="0">
      <w:start w:val="1"/>
      <w:numFmt w:val="upperLetter"/>
      <w:pStyle w:val="94"/>
      <w:lvlText w:val="%1"/>
      <w:lvlJc w:val="left"/>
      <w:pPr>
        <w:tabs>
          <w:tab w:val="left" w:pos="0"/>
        </w:tabs>
        <w:ind w:left="0" w:hanging="425"/>
      </w:pPr>
      <w:rPr>
        <w:rFonts w:hint="eastAsia"/>
      </w:rPr>
    </w:lvl>
    <w:lvl w:ilvl="1" w:tentative="0">
      <w:start w:val="1"/>
      <w:numFmt w:val="decimal"/>
      <w:pStyle w:val="95"/>
      <w:suff w:val="nothing"/>
      <w:lvlText w:val="表%1.%2　"/>
      <w:lvlJc w:val="left"/>
      <w:pPr>
        <w:ind w:left="453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8">
    <w:nsid w:val="646260FA"/>
    <w:multiLevelType w:val="multilevel"/>
    <w:tmpl w:val="646260FA"/>
    <w:lvl w:ilvl="0" w:tentative="0">
      <w:start w:val="1"/>
      <w:numFmt w:val="decimal"/>
      <w:pStyle w:val="185"/>
      <w:suff w:val="nothing"/>
      <w:lvlText w:val="表%1　"/>
      <w:lvlJc w:val="left"/>
      <w:pPr>
        <w:ind w:left="7939" w:firstLine="0"/>
      </w:pPr>
    </w:lvl>
    <w:lvl w:ilvl="1" w:tentative="0">
      <w:start w:val="1"/>
      <w:numFmt w:val="decimal"/>
      <w:lvlText w:val="%1.%2"/>
      <w:lvlJc w:val="left"/>
      <w:pPr>
        <w:tabs>
          <w:tab w:val="left" w:pos="8931"/>
        </w:tabs>
        <w:ind w:left="8931" w:hanging="567"/>
      </w:pPr>
    </w:lvl>
    <w:lvl w:ilvl="2" w:tentative="0">
      <w:start w:val="1"/>
      <w:numFmt w:val="decimal"/>
      <w:lvlText w:val="%1.%2.%3"/>
      <w:lvlJc w:val="left"/>
      <w:pPr>
        <w:tabs>
          <w:tab w:val="left" w:pos="9356"/>
        </w:tabs>
        <w:ind w:left="9356" w:hanging="567"/>
      </w:pPr>
    </w:lvl>
    <w:lvl w:ilvl="3" w:tentative="0">
      <w:start w:val="1"/>
      <w:numFmt w:val="decimal"/>
      <w:lvlText w:val="%1.%2.%3.%4"/>
      <w:lvlJc w:val="left"/>
      <w:pPr>
        <w:tabs>
          <w:tab w:val="left" w:pos="9923"/>
        </w:tabs>
        <w:ind w:left="9923" w:hanging="708"/>
      </w:pPr>
    </w:lvl>
    <w:lvl w:ilvl="4" w:tentative="0">
      <w:start w:val="1"/>
      <w:numFmt w:val="decimal"/>
      <w:lvlText w:val="%1.%2.%3.%4.%5"/>
      <w:lvlJc w:val="left"/>
      <w:pPr>
        <w:tabs>
          <w:tab w:val="left" w:pos="10490"/>
        </w:tabs>
        <w:ind w:left="10490" w:hanging="850"/>
      </w:pPr>
    </w:lvl>
    <w:lvl w:ilvl="5" w:tentative="0">
      <w:start w:val="1"/>
      <w:numFmt w:val="decimal"/>
      <w:lvlText w:val="%1.%2.%3.%4.%5.%6"/>
      <w:lvlJc w:val="left"/>
      <w:pPr>
        <w:tabs>
          <w:tab w:val="left" w:pos="11199"/>
        </w:tabs>
        <w:ind w:left="11199" w:hanging="1134"/>
      </w:pPr>
    </w:lvl>
    <w:lvl w:ilvl="6" w:tentative="0">
      <w:start w:val="1"/>
      <w:numFmt w:val="decimal"/>
      <w:lvlText w:val="%1.%2.%3.%4.%5.%6.%7"/>
      <w:lvlJc w:val="left"/>
      <w:pPr>
        <w:tabs>
          <w:tab w:val="left" w:pos="11766"/>
        </w:tabs>
        <w:ind w:left="11766" w:hanging="1276"/>
      </w:pPr>
    </w:lvl>
    <w:lvl w:ilvl="7" w:tentative="0">
      <w:start w:val="1"/>
      <w:numFmt w:val="decimal"/>
      <w:lvlText w:val="%1.%2.%3.%4.%5.%6.%7.%8"/>
      <w:lvlJc w:val="left"/>
      <w:pPr>
        <w:tabs>
          <w:tab w:val="left" w:pos="12333"/>
        </w:tabs>
        <w:ind w:left="12333" w:hanging="1418"/>
      </w:pPr>
    </w:lvl>
    <w:lvl w:ilvl="8" w:tentative="0">
      <w:start w:val="1"/>
      <w:numFmt w:val="decimal"/>
      <w:lvlText w:val="%1.%2.%3.%4.%5.%6.%7.%8.%9"/>
      <w:lvlJc w:val="left"/>
      <w:pPr>
        <w:tabs>
          <w:tab w:val="left" w:pos="13041"/>
        </w:tabs>
        <w:ind w:left="13041" w:hanging="1700"/>
      </w:pPr>
    </w:lvl>
  </w:abstractNum>
  <w:abstractNum w:abstractNumId="9">
    <w:nsid w:val="657D3FBC"/>
    <w:multiLevelType w:val="multilevel"/>
    <w:tmpl w:val="657D3FBC"/>
    <w:lvl w:ilvl="0" w:tentative="0">
      <w:start w:val="1"/>
      <w:numFmt w:val="upperLetter"/>
      <w:pStyle w:val="92"/>
      <w:suff w:val="nothing"/>
      <w:lvlText w:val="附　录　%1"/>
      <w:lvlJc w:val="left"/>
      <w:pPr>
        <w:ind w:left="6096" w:firstLine="0"/>
      </w:pPr>
      <w:rPr>
        <w:rFonts w:hint="eastAsia" w:ascii="黑体" w:hAnsi="Times New Roman" w:eastAsia="黑体"/>
        <w:b w:val="0"/>
        <w:i w:val="0"/>
        <w:spacing w:val="0"/>
        <w:w w:val="100"/>
        <w:sz w:val="21"/>
      </w:rPr>
    </w:lvl>
    <w:lvl w:ilvl="1" w:tentative="0">
      <w:start w:val="1"/>
      <w:numFmt w:val="decimal"/>
      <w:pStyle w:val="110"/>
      <w:suff w:val="nothing"/>
      <w:lvlText w:val="%1.%2　"/>
      <w:lvlJc w:val="left"/>
      <w:pPr>
        <w:ind w:left="142"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96"/>
      <w:suff w:val="nothing"/>
      <w:lvlText w:val="%1.%2.%3.%4　"/>
      <w:lvlJc w:val="left"/>
      <w:pPr>
        <w:ind w:left="0" w:firstLine="0"/>
      </w:pPr>
      <w:rPr>
        <w:rFonts w:hint="eastAsia" w:ascii="黑体" w:hAnsi="Times New Roman" w:eastAsia="黑体"/>
        <w:b w:val="0"/>
        <w:i w:val="0"/>
        <w:sz w:val="21"/>
      </w:rPr>
    </w:lvl>
    <w:lvl w:ilvl="4" w:tentative="0">
      <w:start w:val="1"/>
      <w:numFmt w:val="decimal"/>
      <w:pStyle w:val="101"/>
      <w:suff w:val="nothing"/>
      <w:lvlText w:val="%1.%2.%3.%4.%5　"/>
      <w:lvlJc w:val="left"/>
      <w:pPr>
        <w:ind w:left="0" w:firstLine="0"/>
      </w:pPr>
      <w:rPr>
        <w:rFonts w:hint="eastAsia" w:ascii="黑体" w:hAnsi="Times New Roman" w:eastAsia="黑体"/>
        <w:b w:val="0"/>
        <w:i w:val="0"/>
        <w:sz w:val="21"/>
      </w:rPr>
    </w:lvl>
    <w:lvl w:ilvl="5" w:tentative="0">
      <w:start w:val="1"/>
      <w:numFmt w:val="decimal"/>
      <w:pStyle w:val="104"/>
      <w:suff w:val="nothing"/>
      <w:lvlText w:val="%1.%2.%3.%4.%5.%6　"/>
      <w:lvlJc w:val="left"/>
      <w:pPr>
        <w:ind w:left="0" w:firstLine="0"/>
      </w:pPr>
      <w:rPr>
        <w:rFonts w:hint="eastAsia" w:ascii="黑体" w:hAnsi="Times New Roman" w:eastAsia="黑体"/>
        <w:b w:val="0"/>
        <w:i w:val="0"/>
        <w:sz w:val="21"/>
      </w:rPr>
    </w:lvl>
    <w:lvl w:ilvl="6" w:tentative="0">
      <w:start w:val="1"/>
      <w:numFmt w:val="decimal"/>
      <w:pStyle w:val="10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6CEA2025"/>
    <w:multiLevelType w:val="multilevel"/>
    <w:tmpl w:val="6CEA2025"/>
    <w:lvl w:ilvl="0" w:tentative="0">
      <w:start w:val="1"/>
      <w:numFmt w:val="none"/>
      <w:pStyle w:val="182"/>
      <w:suff w:val="nothing"/>
      <w:lvlText w:val="%1"/>
      <w:lvlJc w:val="left"/>
      <w:pPr>
        <w:ind w:left="0" w:firstLine="0"/>
      </w:pPr>
      <w:rPr>
        <w:rFonts w:hint="eastAsia"/>
      </w:rPr>
    </w:lvl>
    <w:lvl w:ilvl="1" w:tentative="0">
      <w:start w:val="1"/>
      <w:numFmt w:val="decimal"/>
      <w:pStyle w:val="180"/>
      <w:suff w:val="nothing"/>
      <w:lvlText w:val="%1%2　"/>
      <w:lvlJc w:val="left"/>
      <w:pPr>
        <w:ind w:left="0" w:firstLine="0"/>
      </w:pPr>
      <w:rPr>
        <w:rFonts w:hint="eastAsia" w:ascii="黑体" w:eastAsia="黑体"/>
        <w:b w:val="0"/>
        <w:i w:val="0"/>
        <w:sz w:val="21"/>
      </w:rPr>
    </w:lvl>
    <w:lvl w:ilvl="2" w:tentative="0">
      <w:start w:val="1"/>
      <w:numFmt w:val="decimal"/>
      <w:pStyle w:val="181"/>
      <w:suff w:val="nothing"/>
      <w:lvlText w:val="%1%2.%3　"/>
      <w:lvlJc w:val="left"/>
      <w:pPr>
        <w:ind w:left="568"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176"/>
      <w:suff w:val="nothing"/>
      <w:lvlText w:val="%1%2.%3.%4　"/>
      <w:lvlJc w:val="left"/>
      <w:pPr>
        <w:ind w:left="710" w:firstLine="0"/>
      </w:pPr>
      <w:rPr>
        <w:rFonts w:hint="eastAsia" w:ascii="黑体" w:eastAsia="黑体"/>
        <w:b w:val="0"/>
        <w:i w:val="0"/>
        <w:sz w:val="21"/>
      </w:rPr>
    </w:lvl>
    <w:lvl w:ilvl="4" w:tentative="0">
      <w:start w:val="1"/>
      <w:numFmt w:val="decimal"/>
      <w:pStyle w:val="177"/>
      <w:suff w:val="nothing"/>
      <w:lvlText w:val="%1%2.%3.%4.%5　"/>
      <w:lvlJc w:val="left"/>
      <w:pPr>
        <w:ind w:left="0" w:firstLine="0"/>
      </w:pPr>
      <w:rPr>
        <w:rFonts w:hint="eastAsia" w:ascii="黑体" w:eastAsia="黑体"/>
        <w:b w:val="0"/>
        <w:i w:val="0"/>
        <w:sz w:val="21"/>
      </w:rPr>
    </w:lvl>
    <w:lvl w:ilvl="5" w:tentative="0">
      <w:start w:val="1"/>
      <w:numFmt w:val="decimal"/>
      <w:pStyle w:val="178"/>
      <w:suff w:val="nothing"/>
      <w:lvlText w:val="%1%2.%3.%4.%5.%6　"/>
      <w:lvlJc w:val="left"/>
      <w:pPr>
        <w:ind w:left="0" w:firstLine="0"/>
      </w:pPr>
      <w:rPr>
        <w:rFonts w:hint="eastAsia" w:ascii="黑体" w:eastAsia="黑体"/>
        <w:b w:val="0"/>
        <w:i w:val="0"/>
        <w:sz w:val="21"/>
      </w:rPr>
    </w:lvl>
    <w:lvl w:ilvl="6" w:tentative="0">
      <w:start w:val="1"/>
      <w:numFmt w:val="decimal"/>
      <w:pStyle w:val="179"/>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0" w:firstLine="0"/>
      </w:pPr>
      <w:rPr>
        <w:rFonts w:hint="eastAsia"/>
      </w:rPr>
    </w:lvl>
    <w:lvl w:ilvl="8" w:tentative="0">
      <w:start w:val="1"/>
      <w:numFmt w:val="decimal"/>
      <w:lvlText w:val="%1.%2.%3.%4.%5.%6.%7.%8.%9"/>
      <w:lvlJc w:val="left"/>
      <w:pPr>
        <w:tabs>
          <w:tab w:val="left" w:pos="4777"/>
        </w:tabs>
        <w:ind w:left="0" w:firstLine="0"/>
      </w:pPr>
      <w:rPr>
        <w:rFonts w:hint="eastAsia"/>
      </w:rPr>
    </w:lvl>
  </w:abstractNum>
  <w:abstractNum w:abstractNumId="11">
    <w:nsid w:val="6D6C07CD"/>
    <w:multiLevelType w:val="multilevel"/>
    <w:tmpl w:val="6D6C07CD"/>
    <w:lvl w:ilvl="0" w:tentative="0">
      <w:start w:val="1"/>
      <w:numFmt w:val="lowerLetter"/>
      <w:pStyle w:val="113"/>
      <w:lvlText w:val="%1)"/>
      <w:lvlJc w:val="left"/>
      <w:pPr>
        <w:tabs>
          <w:tab w:val="left" w:pos="839"/>
        </w:tabs>
        <w:ind w:left="839" w:hanging="419"/>
      </w:pPr>
      <w:rPr>
        <w:rFonts w:hint="eastAsia" w:ascii="宋体" w:eastAsia="宋体"/>
        <w:b w:val="0"/>
        <w:i w:val="0"/>
        <w:sz w:val="21"/>
      </w:rPr>
    </w:lvl>
    <w:lvl w:ilvl="1" w:tentative="0">
      <w:start w:val="1"/>
      <w:numFmt w:val="decimal"/>
      <w:pStyle w:val="10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2">
    <w:nsid w:val="75546928"/>
    <w:multiLevelType w:val="multilevel"/>
    <w:tmpl w:val="7554692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183"/>
      <w:lvlText w:val="%3."/>
      <w:lvlJc w:val="left"/>
      <w:pPr>
        <w:tabs>
          <w:tab w:val="left" w:pos="2160"/>
        </w:tabs>
        <w:ind w:left="2160" w:hanging="720"/>
      </w:pPr>
    </w:lvl>
    <w:lvl w:ilvl="3" w:tentative="0">
      <w:start w:val="1"/>
      <w:numFmt w:val="decimal"/>
      <w:pStyle w:val="184"/>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5"/>
  </w:num>
  <w:num w:numId="2">
    <w:abstractNumId w:val="4"/>
  </w:num>
  <w:num w:numId="3">
    <w:abstractNumId w:val="6"/>
  </w:num>
  <w:num w:numId="4">
    <w:abstractNumId w:val="2"/>
  </w:num>
  <w:num w:numId="5">
    <w:abstractNumId w:val="9"/>
  </w:num>
  <w:num w:numId="6">
    <w:abstractNumId w:val="7"/>
  </w:num>
  <w:num w:numId="7">
    <w:abstractNumId w:val="11"/>
  </w:num>
  <w:num w:numId="8">
    <w:abstractNumId w:val="3"/>
  </w:num>
  <w:num w:numId="9">
    <w:abstractNumId w:val="10"/>
  </w:num>
  <w:num w:numId="10">
    <w:abstractNumId w:val="12"/>
  </w:num>
  <w:num w:numId="11">
    <w:abstractNumId w:val="8"/>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trackRevisions w:val="1"/>
  <w:documentProtection w:edit="forms"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lNDEzODJkZTNiNTNlMjNiMGY4ZWQxMDEzZmZhMjQifQ=="/>
  </w:docVars>
  <w:rsids>
    <w:rsidRoot w:val="00172A27"/>
    <w:rsid w:val="00000244"/>
    <w:rsid w:val="0000095C"/>
    <w:rsid w:val="0000185F"/>
    <w:rsid w:val="0000197A"/>
    <w:rsid w:val="00002705"/>
    <w:rsid w:val="00002BBD"/>
    <w:rsid w:val="000032F8"/>
    <w:rsid w:val="00003450"/>
    <w:rsid w:val="00004BBD"/>
    <w:rsid w:val="0000586F"/>
    <w:rsid w:val="00005F09"/>
    <w:rsid w:val="00006A06"/>
    <w:rsid w:val="00007EB2"/>
    <w:rsid w:val="00010311"/>
    <w:rsid w:val="00011243"/>
    <w:rsid w:val="000114A2"/>
    <w:rsid w:val="00013265"/>
    <w:rsid w:val="00013464"/>
    <w:rsid w:val="00013D86"/>
    <w:rsid w:val="00013E02"/>
    <w:rsid w:val="00015527"/>
    <w:rsid w:val="00015979"/>
    <w:rsid w:val="000159E3"/>
    <w:rsid w:val="000159F7"/>
    <w:rsid w:val="00016093"/>
    <w:rsid w:val="00017625"/>
    <w:rsid w:val="0001774E"/>
    <w:rsid w:val="00017A62"/>
    <w:rsid w:val="00020E95"/>
    <w:rsid w:val="0002143C"/>
    <w:rsid w:val="0002194E"/>
    <w:rsid w:val="00021950"/>
    <w:rsid w:val="00021BEC"/>
    <w:rsid w:val="0002326C"/>
    <w:rsid w:val="00023EDF"/>
    <w:rsid w:val="0002405F"/>
    <w:rsid w:val="0002415A"/>
    <w:rsid w:val="00024C42"/>
    <w:rsid w:val="00024EF6"/>
    <w:rsid w:val="00025411"/>
    <w:rsid w:val="0002551D"/>
    <w:rsid w:val="00025A65"/>
    <w:rsid w:val="00026C31"/>
    <w:rsid w:val="00027280"/>
    <w:rsid w:val="00027E78"/>
    <w:rsid w:val="00030AAE"/>
    <w:rsid w:val="000311C4"/>
    <w:rsid w:val="00031476"/>
    <w:rsid w:val="00031666"/>
    <w:rsid w:val="00031A30"/>
    <w:rsid w:val="000320A7"/>
    <w:rsid w:val="00032114"/>
    <w:rsid w:val="000329C9"/>
    <w:rsid w:val="00035218"/>
    <w:rsid w:val="000353A3"/>
    <w:rsid w:val="00035925"/>
    <w:rsid w:val="000367B9"/>
    <w:rsid w:val="00037434"/>
    <w:rsid w:val="000375DB"/>
    <w:rsid w:val="00042178"/>
    <w:rsid w:val="00042351"/>
    <w:rsid w:val="000428DB"/>
    <w:rsid w:val="00042B18"/>
    <w:rsid w:val="000430B5"/>
    <w:rsid w:val="00043ABE"/>
    <w:rsid w:val="00043D47"/>
    <w:rsid w:val="00043F71"/>
    <w:rsid w:val="000451A1"/>
    <w:rsid w:val="00045F1F"/>
    <w:rsid w:val="00051CD4"/>
    <w:rsid w:val="000532D0"/>
    <w:rsid w:val="000539EC"/>
    <w:rsid w:val="00054B84"/>
    <w:rsid w:val="00055A78"/>
    <w:rsid w:val="0005649B"/>
    <w:rsid w:val="00056C3E"/>
    <w:rsid w:val="00056DCE"/>
    <w:rsid w:val="00057A99"/>
    <w:rsid w:val="00057C32"/>
    <w:rsid w:val="00060044"/>
    <w:rsid w:val="000606E0"/>
    <w:rsid w:val="00060B23"/>
    <w:rsid w:val="00061737"/>
    <w:rsid w:val="00061AB4"/>
    <w:rsid w:val="00061C41"/>
    <w:rsid w:val="00062966"/>
    <w:rsid w:val="00063261"/>
    <w:rsid w:val="00066593"/>
    <w:rsid w:val="00067CDF"/>
    <w:rsid w:val="0007053A"/>
    <w:rsid w:val="000705B4"/>
    <w:rsid w:val="000720A9"/>
    <w:rsid w:val="000725CF"/>
    <w:rsid w:val="00072CB2"/>
    <w:rsid w:val="000737F3"/>
    <w:rsid w:val="000742DA"/>
    <w:rsid w:val="00074729"/>
    <w:rsid w:val="00074FBE"/>
    <w:rsid w:val="000765FE"/>
    <w:rsid w:val="00077558"/>
    <w:rsid w:val="0007764A"/>
    <w:rsid w:val="00077E07"/>
    <w:rsid w:val="000802D0"/>
    <w:rsid w:val="0008177C"/>
    <w:rsid w:val="00082E4F"/>
    <w:rsid w:val="000835E8"/>
    <w:rsid w:val="00083A09"/>
    <w:rsid w:val="00085217"/>
    <w:rsid w:val="00085936"/>
    <w:rsid w:val="000870CF"/>
    <w:rsid w:val="000872F9"/>
    <w:rsid w:val="00087CAA"/>
    <w:rsid w:val="00087FB0"/>
    <w:rsid w:val="0009005E"/>
    <w:rsid w:val="00090239"/>
    <w:rsid w:val="00090C76"/>
    <w:rsid w:val="000913A4"/>
    <w:rsid w:val="00091FDA"/>
    <w:rsid w:val="00092857"/>
    <w:rsid w:val="00092BE1"/>
    <w:rsid w:val="00093683"/>
    <w:rsid w:val="000953B6"/>
    <w:rsid w:val="00095788"/>
    <w:rsid w:val="000964FD"/>
    <w:rsid w:val="00096839"/>
    <w:rsid w:val="00096C46"/>
    <w:rsid w:val="00097AAA"/>
    <w:rsid w:val="000A0630"/>
    <w:rsid w:val="000A09D5"/>
    <w:rsid w:val="000A162F"/>
    <w:rsid w:val="000A1816"/>
    <w:rsid w:val="000A18DD"/>
    <w:rsid w:val="000A20A9"/>
    <w:rsid w:val="000A2379"/>
    <w:rsid w:val="000A256F"/>
    <w:rsid w:val="000A274B"/>
    <w:rsid w:val="000A2A2C"/>
    <w:rsid w:val="000A3156"/>
    <w:rsid w:val="000A3423"/>
    <w:rsid w:val="000A48B1"/>
    <w:rsid w:val="000A51AF"/>
    <w:rsid w:val="000A6993"/>
    <w:rsid w:val="000A771A"/>
    <w:rsid w:val="000B0495"/>
    <w:rsid w:val="000B0796"/>
    <w:rsid w:val="000B0A1A"/>
    <w:rsid w:val="000B0A24"/>
    <w:rsid w:val="000B0B00"/>
    <w:rsid w:val="000B0C52"/>
    <w:rsid w:val="000B1BBD"/>
    <w:rsid w:val="000B20C2"/>
    <w:rsid w:val="000B2825"/>
    <w:rsid w:val="000B3143"/>
    <w:rsid w:val="000B369F"/>
    <w:rsid w:val="000B3B32"/>
    <w:rsid w:val="000B443B"/>
    <w:rsid w:val="000B4EE8"/>
    <w:rsid w:val="000B605C"/>
    <w:rsid w:val="000C1EDD"/>
    <w:rsid w:val="000C2028"/>
    <w:rsid w:val="000C61EA"/>
    <w:rsid w:val="000C6B05"/>
    <w:rsid w:val="000C6DD6"/>
    <w:rsid w:val="000C73D4"/>
    <w:rsid w:val="000C7724"/>
    <w:rsid w:val="000C7B89"/>
    <w:rsid w:val="000D040A"/>
    <w:rsid w:val="000D0486"/>
    <w:rsid w:val="000D0AB0"/>
    <w:rsid w:val="000D1948"/>
    <w:rsid w:val="000D27F4"/>
    <w:rsid w:val="000D3D4C"/>
    <w:rsid w:val="000D4755"/>
    <w:rsid w:val="000D4F51"/>
    <w:rsid w:val="000D536B"/>
    <w:rsid w:val="000D6098"/>
    <w:rsid w:val="000D718B"/>
    <w:rsid w:val="000E0C46"/>
    <w:rsid w:val="000E11BF"/>
    <w:rsid w:val="000E1C06"/>
    <w:rsid w:val="000E37C2"/>
    <w:rsid w:val="000E3AB8"/>
    <w:rsid w:val="000E3DB4"/>
    <w:rsid w:val="000E3DEA"/>
    <w:rsid w:val="000E5272"/>
    <w:rsid w:val="000E6A76"/>
    <w:rsid w:val="000E716B"/>
    <w:rsid w:val="000E76F9"/>
    <w:rsid w:val="000F030C"/>
    <w:rsid w:val="000F05D1"/>
    <w:rsid w:val="000F08C2"/>
    <w:rsid w:val="000F11BD"/>
    <w:rsid w:val="000F129C"/>
    <w:rsid w:val="000F2C18"/>
    <w:rsid w:val="000F4632"/>
    <w:rsid w:val="000F556B"/>
    <w:rsid w:val="000F7F16"/>
    <w:rsid w:val="00101626"/>
    <w:rsid w:val="0010208D"/>
    <w:rsid w:val="0010538F"/>
    <w:rsid w:val="001056B4"/>
    <w:rsid w:val="001056DE"/>
    <w:rsid w:val="00105FB7"/>
    <w:rsid w:val="001063C5"/>
    <w:rsid w:val="0010664D"/>
    <w:rsid w:val="001077E2"/>
    <w:rsid w:val="0010783E"/>
    <w:rsid w:val="00107A98"/>
    <w:rsid w:val="001124C0"/>
    <w:rsid w:val="00112BE7"/>
    <w:rsid w:val="00112E71"/>
    <w:rsid w:val="0011311A"/>
    <w:rsid w:val="00114361"/>
    <w:rsid w:val="00114A6C"/>
    <w:rsid w:val="00115BE2"/>
    <w:rsid w:val="00116456"/>
    <w:rsid w:val="001166E0"/>
    <w:rsid w:val="00117056"/>
    <w:rsid w:val="00120125"/>
    <w:rsid w:val="00121359"/>
    <w:rsid w:val="0012135C"/>
    <w:rsid w:val="00122338"/>
    <w:rsid w:val="00122773"/>
    <w:rsid w:val="00123311"/>
    <w:rsid w:val="00123EFB"/>
    <w:rsid w:val="001241EE"/>
    <w:rsid w:val="0012445C"/>
    <w:rsid w:val="0012452A"/>
    <w:rsid w:val="00125C3A"/>
    <w:rsid w:val="00127F11"/>
    <w:rsid w:val="0013175F"/>
    <w:rsid w:val="00131FC6"/>
    <w:rsid w:val="00132C98"/>
    <w:rsid w:val="00132F9D"/>
    <w:rsid w:val="00133DA2"/>
    <w:rsid w:val="00134109"/>
    <w:rsid w:val="00137ED9"/>
    <w:rsid w:val="001412B9"/>
    <w:rsid w:val="00141A63"/>
    <w:rsid w:val="00141AE8"/>
    <w:rsid w:val="00141B9D"/>
    <w:rsid w:val="00141EE1"/>
    <w:rsid w:val="0014346C"/>
    <w:rsid w:val="00144828"/>
    <w:rsid w:val="00145FE7"/>
    <w:rsid w:val="0014609F"/>
    <w:rsid w:val="001462BE"/>
    <w:rsid w:val="001463E4"/>
    <w:rsid w:val="00146464"/>
    <w:rsid w:val="00146BF8"/>
    <w:rsid w:val="001511FC"/>
    <w:rsid w:val="001512B4"/>
    <w:rsid w:val="001541A0"/>
    <w:rsid w:val="00154305"/>
    <w:rsid w:val="00155D25"/>
    <w:rsid w:val="00156338"/>
    <w:rsid w:val="00157143"/>
    <w:rsid w:val="0015771D"/>
    <w:rsid w:val="00160ED8"/>
    <w:rsid w:val="00161640"/>
    <w:rsid w:val="00161FBD"/>
    <w:rsid w:val="001620A5"/>
    <w:rsid w:val="00162120"/>
    <w:rsid w:val="001630A3"/>
    <w:rsid w:val="00164216"/>
    <w:rsid w:val="00164538"/>
    <w:rsid w:val="001649E5"/>
    <w:rsid w:val="00164E53"/>
    <w:rsid w:val="00165485"/>
    <w:rsid w:val="001659EF"/>
    <w:rsid w:val="0016699D"/>
    <w:rsid w:val="00167AF3"/>
    <w:rsid w:val="00167F43"/>
    <w:rsid w:val="0017083E"/>
    <w:rsid w:val="00170E0A"/>
    <w:rsid w:val="00170EB8"/>
    <w:rsid w:val="00170F65"/>
    <w:rsid w:val="001715E4"/>
    <w:rsid w:val="00171CEB"/>
    <w:rsid w:val="0017253D"/>
    <w:rsid w:val="00172DF7"/>
    <w:rsid w:val="001740BF"/>
    <w:rsid w:val="00174B75"/>
    <w:rsid w:val="00174D60"/>
    <w:rsid w:val="00175159"/>
    <w:rsid w:val="00175180"/>
    <w:rsid w:val="001758A3"/>
    <w:rsid w:val="00176208"/>
    <w:rsid w:val="00177391"/>
    <w:rsid w:val="00177B6E"/>
    <w:rsid w:val="001819B6"/>
    <w:rsid w:val="0018211B"/>
    <w:rsid w:val="001828B5"/>
    <w:rsid w:val="00182E31"/>
    <w:rsid w:val="00183149"/>
    <w:rsid w:val="0018333D"/>
    <w:rsid w:val="001840D3"/>
    <w:rsid w:val="00184332"/>
    <w:rsid w:val="001855BA"/>
    <w:rsid w:val="00185BA3"/>
    <w:rsid w:val="0018728C"/>
    <w:rsid w:val="001872F1"/>
    <w:rsid w:val="00187388"/>
    <w:rsid w:val="00187628"/>
    <w:rsid w:val="001900F8"/>
    <w:rsid w:val="00191258"/>
    <w:rsid w:val="00192369"/>
    <w:rsid w:val="00192680"/>
    <w:rsid w:val="00193037"/>
    <w:rsid w:val="00193695"/>
    <w:rsid w:val="00193A2C"/>
    <w:rsid w:val="00194709"/>
    <w:rsid w:val="00195E40"/>
    <w:rsid w:val="00196700"/>
    <w:rsid w:val="001A08DE"/>
    <w:rsid w:val="001A0E97"/>
    <w:rsid w:val="001A1193"/>
    <w:rsid w:val="001A1BCA"/>
    <w:rsid w:val="001A239E"/>
    <w:rsid w:val="001A288E"/>
    <w:rsid w:val="001A3915"/>
    <w:rsid w:val="001A5134"/>
    <w:rsid w:val="001A5613"/>
    <w:rsid w:val="001A6394"/>
    <w:rsid w:val="001A7BE7"/>
    <w:rsid w:val="001A7DC6"/>
    <w:rsid w:val="001B010A"/>
    <w:rsid w:val="001B122A"/>
    <w:rsid w:val="001B4856"/>
    <w:rsid w:val="001B4BFF"/>
    <w:rsid w:val="001B542C"/>
    <w:rsid w:val="001B5FC8"/>
    <w:rsid w:val="001B6DC2"/>
    <w:rsid w:val="001B6EE6"/>
    <w:rsid w:val="001B7742"/>
    <w:rsid w:val="001B7D79"/>
    <w:rsid w:val="001C1267"/>
    <w:rsid w:val="001C1408"/>
    <w:rsid w:val="001C149C"/>
    <w:rsid w:val="001C21AC"/>
    <w:rsid w:val="001C263E"/>
    <w:rsid w:val="001C2796"/>
    <w:rsid w:val="001C3B92"/>
    <w:rsid w:val="001C47BA"/>
    <w:rsid w:val="001C534E"/>
    <w:rsid w:val="001C59EA"/>
    <w:rsid w:val="001C5CAD"/>
    <w:rsid w:val="001C6D7C"/>
    <w:rsid w:val="001C75B3"/>
    <w:rsid w:val="001D038B"/>
    <w:rsid w:val="001D084B"/>
    <w:rsid w:val="001D1261"/>
    <w:rsid w:val="001D18BC"/>
    <w:rsid w:val="001D3E3A"/>
    <w:rsid w:val="001D406C"/>
    <w:rsid w:val="001D41EE"/>
    <w:rsid w:val="001D5C6F"/>
    <w:rsid w:val="001D5C78"/>
    <w:rsid w:val="001D6012"/>
    <w:rsid w:val="001D6171"/>
    <w:rsid w:val="001D62DD"/>
    <w:rsid w:val="001D6BE4"/>
    <w:rsid w:val="001D6E22"/>
    <w:rsid w:val="001D6E9D"/>
    <w:rsid w:val="001D7902"/>
    <w:rsid w:val="001E0380"/>
    <w:rsid w:val="001E13B1"/>
    <w:rsid w:val="001E36AC"/>
    <w:rsid w:val="001E45C4"/>
    <w:rsid w:val="001E4F0E"/>
    <w:rsid w:val="001E51B0"/>
    <w:rsid w:val="001E53E2"/>
    <w:rsid w:val="001E67C5"/>
    <w:rsid w:val="001E6BBF"/>
    <w:rsid w:val="001F0046"/>
    <w:rsid w:val="001F022F"/>
    <w:rsid w:val="001F181F"/>
    <w:rsid w:val="001F29D2"/>
    <w:rsid w:val="001F31F2"/>
    <w:rsid w:val="001F325C"/>
    <w:rsid w:val="001F3A19"/>
    <w:rsid w:val="001F3C24"/>
    <w:rsid w:val="001F3FB6"/>
    <w:rsid w:val="001F4283"/>
    <w:rsid w:val="001F5A3C"/>
    <w:rsid w:val="001F5B79"/>
    <w:rsid w:val="001F5C32"/>
    <w:rsid w:val="001F6878"/>
    <w:rsid w:val="001F6A96"/>
    <w:rsid w:val="001F7A67"/>
    <w:rsid w:val="001F7C83"/>
    <w:rsid w:val="0020076C"/>
    <w:rsid w:val="00200E0F"/>
    <w:rsid w:val="0020146D"/>
    <w:rsid w:val="0020327D"/>
    <w:rsid w:val="002032F4"/>
    <w:rsid w:val="00203C8F"/>
    <w:rsid w:val="002044BD"/>
    <w:rsid w:val="002044F5"/>
    <w:rsid w:val="00204E56"/>
    <w:rsid w:val="00205528"/>
    <w:rsid w:val="00206152"/>
    <w:rsid w:val="00210E1B"/>
    <w:rsid w:val="00211257"/>
    <w:rsid w:val="00212F0F"/>
    <w:rsid w:val="00212F63"/>
    <w:rsid w:val="00213106"/>
    <w:rsid w:val="00216B5A"/>
    <w:rsid w:val="00217A3C"/>
    <w:rsid w:val="00217C05"/>
    <w:rsid w:val="0022302C"/>
    <w:rsid w:val="002238BB"/>
    <w:rsid w:val="002238D5"/>
    <w:rsid w:val="00224623"/>
    <w:rsid w:val="00224FEC"/>
    <w:rsid w:val="002254C6"/>
    <w:rsid w:val="00226FED"/>
    <w:rsid w:val="0022736A"/>
    <w:rsid w:val="0023044D"/>
    <w:rsid w:val="00230C5F"/>
    <w:rsid w:val="00231A00"/>
    <w:rsid w:val="00233305"/>
    <w:rsid w:val="0023431B"/>
    <w:rsid w:val="00234467"/>
    <w:rsid w:val="00235363"/>
    <w:rsid w:val="00235708"/>
    <w:rsid w:val="00235B88"/>
    <w:rsid w:val="00236124"/>
    <w:rsid w:val="00236FAA"/>
    <w:rsid w:val="00237644"/>
    <w:rsid w:val="00237767"/>
    <w:rsid w:val="002379F1"/>
    <w:rsid w:val="00237D8D"/>
    <w:rsid w:val="00241DA2"/>
    <w:rsid w:val="0024341D"/>
    <w:rsid w:val="00243E88"/>
    <w:rsid w:val="00245933"/>
    <w:rsid w:val="0024601F"/>
    <w:rsid w:val="00246182"/>
    <w:rsid w:val="0024652E"/>
    <w:rsid w:val="00247619"/>
    <w:rsid w:val="00247B39"/>
    <w:rsid w:val="00247FEE"/>
    <w:rsid w:val="00250E7D"/>
    <w:rsid w:val="0025154D"/>
    <w:rsid w:val="00252582"/>
    <w:rsid w:val="00255300"/>
    <w:rsid w:val="00255C81"/>
    <w:rsid w:val="00255CF1"/>
    <w:rsid w:val="00256214"/>
    <w:rsid w:val="002565D5"/>
    <w:rsid w:val="00256916"/>
    <w:rsid w:val="00260647"/>
    <w:rsid w:val="00261753"/>
    <w:rsid w:val="00261B08"/>
    <w:rsid w:val="00261C37"/>
    <w:rsid w:val="00261D8F"/>
    <w:rsid w:val="00261F8D"/>
    <w:rsid w:val="002622BC"/>
    <w:rsid w:val="002622C0"/>
    <w:rsid w:val="00262B62"/>
    <w:rsid w:val="00263054"/>
    <w:rsid w:val="002643A4"/>
    <w:rsid w:val="002672EA"/>
    <w:rsid w:val="00270DE3"/>
    <w:rsid w:val="002721C9"/>
    <w:rsid w:val="00272AB2"/>
    <w:rsid w:val="00273A97"/>
    <w:rsid w:val="00274AB4"/>
    <w:rsid w:val="00274E15"/>
    <w:rsid w:val="002754D3"/>
    <w:rsid w:val="00275BB7"/>
    <w:rsid w:val="00275C8E"/>
    <w:rsid w:val="002760A6"/>
    <w:rsid w:val="002760BC"/>
    <w:rsid w:val="00276C9A"/>
    <w:rsid w:val="00277822"/>
    <w:rsid w:val="002778AE"/>
    <w:rsid w:val="00280652"/>
    <w:rsid w:val="002825FC"/>
    <w:rsid w:val="0028269A"/>
    <w:rsid w:val="00282AD3"/>
    <w:rsid w:val="00282D4A"/>
    <w:rsid w:val="00283590"/>
    <w:rsid w:val="002862E5"/>
    <w:rsid w:val="002868BE"/>
    <w:rsid w:val="00286973"/>
    <w:rsid w:val="00286E41"/>
    <w:rsid w:val="002917B8"/>
    <w:rsid w:val="00292299"/>
    <w:rsid w:val="00293576"/>
    <w:rsid w:val="00294459"/>
    <w:rsid w:val="00294E70"/>
    <w:rsid w:val="00295083"/>
    <w:rsid w:val="002959A3"/>
    <w:rsid w:val="00296EFA"/>
    <w:rsid w:val="0029766C"/>
    <w:rsid w:val="00297FE5"/>
    <w:rsid w:val="002A0702"/>
    <w:rsid w:val="002A0A84"/>
    <w:rsid w:val="002A1924"/>
    <w:rsid w:val="002A1C1F"/>
    <w:rsid w:val="002A25C8"/>
    <w:rsid w:val="002A28F7"/>
    <w:rsid w:val="002A316A"/>
    <w:rsid w:val="002A3534"/>
    <w:rsid w:val="002A41DC"/>
    <w:rsid w:val="002A516A"/>
    <w:rsid w:val="002A594F"/>
    <w:rsid w:val="002A7137"/>
    <w:rsid w:val="002A7420"/>
    <w:rsid w:val="002A75A0"/>
    <w:rsid w:val="002A7CAB"/>
    <w:rsid w:val="002B0F12"/>
    <w:rsid w:val="002B1308"/>
    <w:rsid w:val="002B2D4E"/>
    <w:rsid w:val="002B3BD3"/>
    <w:rsid w:val="002B4554"/>
    <w:rsid w:val="002B5E0B"/>
    <w:rsid w:val="002B7279"/>
    <w:rsid w:val="002B7B40"/>
    <w:rsid w:val="002C0972"/>
    <w:rsid w:val="002C0DE2"/>
    <w:rsid w:val="002C14F7"/>
    <w:rsid w:val="002C3A87"/>
    <w:rsid w:val="002C3AFC"/>
    <w:rsid w:val="002C67BE"/>
    <w:rsid w:val="002C72D8"/>
    <w:rsid w:val="002C72E4"/>
    <w:rsid w:val="002C7715"/>
    <w:rsid w:val="002C7762"/>
    <w:rsid w:val="002C7AF1"/>
    <w:rsid w:val="002D0613"/>
    <w:rsid w:val="002D11FA"/>
    <w:rsid w:val="002D1262"/>
    <w:rsid w:val="002D1355"/>
    <w:rsid w:val="002D1571"/>
    <w:rsid w:val="002D1888"/>
    <w:rsid w:val="002D2518"/>
    <w:rsid w:val="002D3566"/>
    <w:rsid w:val="002D5B30"/>
    <w:rsid w:val="002D61BF"/>
    <w:rsid w:val="002D688F"/>
    <w:rsid w:val="002D6C83"/>
    <w:rsid w:val="002D6D78"/>
    <w:rsid w:val="002D70D4"/>
    <w:rsid w:val="002D79B0"/>
    <w:rsid w:val="002D7C5F"/>
    <w:rsid w:val="002E0DDF"/>
    <w:rsid w:val="002E1E9D"/>
    <w:rsid w:val="002E1FA4"/>
    <w:rsid w:val="002E2906"/>
    <w:rsid w:val="002E2F45"/>
    <w:rsid w:val="002E3A9D"/>
    <w:rsid w:val="002E3E85"/>
    <w:rsid w:val="002E4EF6"/>
    <w:rsid w:val="002E4F93"/>
    <w:rsid w:val="002E5635"/>
    <w:rsid w:val="002E5AE5"/>
    <w:rsid w:val="002E64C3"/>
    <w:rsid w:val="002E6715"/>
    <w:rsid w:val="002E6A2C"/>
    <w:rsid w:val="002E6E37"/>
    <w:rsid w:val="002F03D6"/>
    <w:rsid w:val="002F08C4"/>
    <w:rsid w:val="002F0C62"/>
    <w:rsid w:val="002F10D1"/>
    <w:rsid w:val="002F1D8C"/>
    <w:rsid w:val="002F21DA"/>
    <w:rsid w:val="002F2634"/>
    <w:rsid w:val="002F3687"/>
    <w:rsid w:val="002F3E76"/>
    <w:rsid w:val="002F4140"/>
    <w:rsid w:val="002F4257"/>
    <w:rsid w:val="002F4C0D"/>
    <w:rsid w:val="00300B6F"/>
    <w:rsid w:val="00301F39"/>
    <w:rsid w:val="003030E2"/>
    <w:rsid w:val="00303EF9"/>
    <w:rsid w:val="003058CC"/>
    <w:rsid w:val="003070B0"/>
    <w:rsid w:val="00310CF6"/>
    <w:rsid w:val="00310E5B"/>
    <w:rsid w:val="00310F80"/>
    <w:rsid w:val="00311A1B"/>
    <w:rsid w:val="00312CE6"/>
    <w:rsid w:val="00314ADB"/>
    <w:rsid w:val="00314FE9"/>
    <w:rsid w:val="00315CCC"/>
    <w:rsid w:val="00315F24"/>
    <w:rsid w:val="0031706D"/>
    <w:rsid w:val="00321494"/>
    <w:rsid w:val="003221EA"/>
    <w:rsid w:val="003237D4"/>
    <w:rsid w:val="00324D8E"/>
    <w:rsid w:val="003254EE"/>
    <w:rsid w:val="00325565"/>
    <w:rsid w:val="00325724"/>
    <w:rsid w:val="00325926"/>
    <w:rsid w:val="00327A8A"/>
    <w:rsid w:val="00330A60"/>
    <w:rsid w:val="00331B57"/>
    <w:rsid w:val="00332F63"/>
    <w:rsid w:val="00333A2A"/>
    <w:rsid w:val="00333B67"/>
    <w:rsid w:val="00333BB6"/>
    <w:rsid w:val="00334A5F"/>
    <w:rsid w:val="003352F8"/>
    <w:rsid w:val="00335ABD"/>
    <w:rsid w:val="00335D4A"/>
    <w:rsid w:val="00336610"/>
    <w:rsid w:val="00336D31"/>
    <w:rsid w:val="003370AC"/>
    <w:rsid w:val="0033789E"/>
    <w:rsid w:val="00340084"/>
    <w:rsid w:val="00340344"/>
    <w:rsid w:val="003414B3"/>
    <w:rsid w:val="00341D3E"/>
    <w:rsid w:val="00341D50"/>
    <w:rsid w:val="00342C13"/>
    <w:rsid w:val="0034329B"/>
    <w:rsid w:val="003434C8"/>
    <w:rsid w:val="00343F73"/>
    <w:rsid w:val="00344775"/>
    <w:rsid w:val="00344F78"/>
    <w:rsid w:val="00345060"/>
    <w:rsid w:val="00345358"/>
    <w:rsid w:val="00346B00"/>
    <w:rsid w:val="00347AD8"/>
    <w:rsid w:val="003515AC"/>
    <w:rsid w:val="00352573"/>
    <w:rsid w:val="003525F1"/>
    <w:rsid w:val="00352C4C"/>
    <w:rsid w:val="0035323B"/>
    <w:rsid w:val="00353EC4"/>
    <w:rsid w:val="0035412F"/>
    <w:rsid w:val="00354396"/>
    <w:rsid w:val="00355992"/>
    <w:rsid w:val="003562DD"/>
    <w:rsid w:val="00357DFE"/>
    <w:rsid w:val="00357EB1"/>
    <w:rsid w:val="003609D2"/>
    <w:rsid w:val="00361E2B"/>
    <w:rsid w:val="003628F4"/>
    <w:rsid w:val="0036347A"/>
    <w:rsid w:val="00363F22"/>
    <w:rsid w:val="003656B0"/>
    <w:rsid w:val="003677A6"/>
    <w:rsid w:val="0037112B"/>
    <w:rsid w:val="00372B65"/>
    <w:rsid w:val="00372FF8"/>
    <w:rsid w:val="0037398F"/>
    <w:rsid w:val="00373A97"/>
    <w:rsid w:val="00374A89"/>
    <w:rsid w:val="00374D82"/>
    <w:rsid w:val="00374F4D"/>
    <w:rsid w:val="00375564"/>
    <w:rsid w:val="00377B04"/>
    <w:rsid w:val="0038120F"/>
    <w:rsid w:val="00381C50"/>
    <w:rsid w:val="00382469"/>
    <w:rsid w:val="00382C01"/>
    <w:rsid w:val="00382E59"/>
    <w:rsid w:val="00383144"/>
    <w:rsid w:val="00383191"/>
    <w:rsid w:val="0038545C"/>
    <w:rsid w:val="0038589A"/>
    <w:rsid w:val="00386DED"/>
    <w:rsid w:val="00387269"/>
    <w:rsid w:val="0038794E"/>
    <w:rsid w:val="003901B0"/>
    <w:rsid w:val="003903BA"/>
    <w:rsid w:val="003907EC"/>
    <w:rsid w:val="003912E7"/>
    <w:rsid w:val="00391C13"/>
    <w:rsid w:val="003922AD"/>
    <w:rsid w:val="003924AE"/>
    <w:rsid w:val="003930C0"/>
    <w:rsid w:val="00393184"/>
    <w:rsid w:val="00393947"/>
    <w:rsid w:val="0039466E"/>
    <w:rsid w:val="0039504F"/>
    <w:rsid w:val="00395D12"/>
    <w:rsid w:val="00396906"/>
    <w:rsid w:val="00397BAE"/>
    <w:rsid w:val="003A0AD4"/>
    <w:rsid w:val="003A2275"/>
    <w:rsid w:val="003A2277"/>
    <w:rsid w:val="003A345B"/>
    <w:rsid w:val="003A38BF"/>
    <w:rsid w:val="003A38EB"/>
    <w:rsid w:val="003A61AE"/>
    <w:rsid w:val="003A6A4F"/>
    <w:rsid w:val="003A7088"/>
    <w:rsid w:val="003A7375"/>
    <w:rsid w:val="003A792F"/>
    <w:rsid w:val="003B00DF"/>
    <w:rsid w:val="003B0544"/>
    <w:rsid w:val="003B1275"/>
    <w:rsid w:val="003B159F"/>
    <w:rsid w:val="003B1778"/>
    <w:rsid w:val="003B21B6"/>
    <w:rsid w:val="003B245A"/>
    <w:rsid w:val="003B2615"/>
    <w:rsid w:val="003B26D8"/>
    <w:rsid w:val="003B2B9A"/>
    <w:rsid w:val="003B3AB9"/>
    <w:rsid w:val="003B4170"/>
    <w:rsid w:val="003B50FD"/>
    <w:rsid w:val="003B5626"/>
    <w:rsid w:val="003B623E"/>
    <w:rsid w:val="003B6D44"/>
    <w:rsid w:val="003C0877"/>
    <w:rsid w:val="003C0DBA"/>
    <w:rsid w:val="003C1033"/>
    <w:rsid w:val="003C11CB"/>
    <w:rsid w:val="003C2C96"/>
    <w:rsid w:val="003C3273"/>
    <w:rsid w:val="003C5278"/>
    <w:rsid w:val="003C5394"/>
    <w:rsid w:val="003C75F3"/>
    <w:rsid w:val="003C78A3"/>
    <w:rsid w:val="003C7AD7"/>
    <w:rsid w:val="003C7D1F"/>
    <w:rsid w:val="003C7F0B"/>
    <w:rsid w:val="003D1293"/>
    <w:rsid w:val="003D155D"/>
    <w:rsid w:val="003D1EFF"/>
    <w:rsid w:val="003D28C6"/>
    <w:rsid w:val="003D2920"/>
    <w:rsid w:val="003D2E4B"/>
    <w:rsid w:val="003D3396"/>
    <w:rsid w:val="003D3695"/>
    <w:rsid w:val="003D4025"/>
    <w:rsid w:val="003D45BD"/>
    <w:rsid w:val="003D6704"/>
    <w:rsid w:val="003D721D"/>
    <w:rsid w:val="003E1867"/>
    <w:rsid w:val="003E1A0E"/>
    <w:rsid w:val="003E2A09"/>
    <w:rsid w:val="003E40DC"/>
    <w:rsid w:val="003E44B1"/>
    <w:rsid w:val="003E5729"/>
    <w:rsid w:val="003E6393"/>
    <w:rsid w:val="003E6531"/>
    <w:rsid w:val="003E6D85"/>
    <w:rsid w:val="003F07E1"/>
    <w:rsid w:val="003F265D"/>
    <w:rsid w:val="003F28E0"/>
    <w:rsid w:val="003F2B6B"/>
    <w:rsid w:val="003F2D07"/>
    <w:rsid w:val="003F31CC"/>
    <w:rsid w:val="003F3394"/>
    <w:rsid w:val="003F33BC"/>
    <w:rsid w:val="003F39D1"/>
    <w:rsid w:val="003F4B62"/>
    <w:rsid w:val="003F4EE0"/>
    <w:rsid w:val="003F5B60"/>
    <w:rsid w:val="003F631C"/>
    <w:rsid w:val="003F663A"/>
    <w:rsid w:val="003F71B8"/>
    <w:rsid w:val="00400121"/>
    <w:rsid w:val="00401FCA"/>
    <w:rsid w:val="00402153"/>
    <w:rsid w:val="00402B98"/>
    <w:rsid w:val="00402FC1"/>
    <w:rsid w:val="00403DE5"/>
    <w:rsid w:val="004048F8"/>
    <w:rsid w:val="0040494F"/>
    <w:rsid w:val="00404C30"/>
    <w:rsid w:val="00405204"/>
    <w:rsid w:val="00405A29"/>
    <w:rsid w:val="00410099"/>
    <w:rsid w:val="0041024E"/>
    <w:rsid w:val="00411DE9"/>
    <w:rsid w:val="00412819"/>
    <w:rsid w:val="004137B0"/>
    <w:rsid w:val="0041516F"/>
    <w:rsid w:val="00415714"/>
    <w:rsid w:val="004158D4"/>
    <w:rsid w:val="0041660E"/>
    <w:rsid w:val="00416AB7"/>
    <w:rsid w:val="004170F3"/>
    <w:rsid w:val="004175FC"/>
    <w:rsid w:val="00420558"/>
    <w:rsid w:val="00421410"/>
    <w:rsid w:val="004215B4"/>
    <w:rsid w:val="004238A3"/>
    <w:rsid w:val="00423D35"/>
    <w:rsid w:val="00424860"/>
    <w:rsid w:val="00425082"/>
    <w:rsid w:val="0042561C"/>
    <w:rsid w:val="004262FA"/>
    <w:rsid w:val="00426333"/>
    <w:rsid w:val="004264B4"/>
    <w:rsid w:val="004277C9"/>
    <w:rsid w:val="0042797B"/>
    <w:rsid w:val="004310D4"/>
    <w:rsid w:val="0043135A"/>
    <w:rsid w:val="00431DEB"/>
    <w:rsid w:val="00433F16"/>
    <w:rsid w:val="00434691"/>
    <w:rsid w:val="00434800"/>
    <w:rsid w:val="0043552E"/>
    <w:rsid w:val="0043563D"/>
    <w:rsid w:val="00435A08"/>
    <w:rsid w:val="00435A43"/>
    <w:rsid w:val="00435DD1"/>
    <w:rsid w:val="00436DB3"/>
    <w:rsid w:val="0043733B"/>
    <w:rsid w:val="00437EF2"/>
    <w:rsid w:val="004402B2"/>
    <w:rsid w:val="00441793"/>
    <w:rsid w:val="00442624"/>
    <w:rsid w:val="00442A6D"/>
    <w:rsid w:val="00443310"/>
    <w:rsid w:val="004461BC"/>
    <w:rsid w:val="00446630"/>
    <w:rsid w:val="00446B29"/>
    <w:rsid w:val="00446D2A"/>
    <w:rsid w:val="00452659"/>
    <w:rsid w:val="00452C0C"/>
    <w:rsid w:val="00453322"/>
    <w:rsid w:val="00453DEC"/>
    <w:rsid w:val="00453F9A"/>
    <w:rsid w:val="00455131"/>
    <w:rsid w:val="004554AB"/>
    <w:rsid w:val="00455FA4"/>
    <w:rsid w:val="00456225"/>
    <w:rsid w:val="00456FA6"/>
    <w:rsid w:val="00456FE2"/>
    <w:rsid w:val="00457499"/>
    <w:rsid w:val="00457DD5"/>
    <w:rsid w:val="00460C81"/>
    <w:rsid w:val="00460F9B"/>
    <w:rsid w:val="0046126F"/>
    <w:rsid w:val="0046514E"/>
    <w:rsid w:val="00467320"/>
    <w:rsid w:val="004678F3"/>
    <w:rsid w:val="00467F49"/>
    <w:rsid w:val="00470FCF"/>
    <w:rsid w:val="00471E91"/>
    <w:rsid w:val="00472E9B"/>
    <w:rsid w:val="00472EDB"/>
    <w:rsid w:val="00474675"/>
    <w:rsid w:val="0047470C"/>
    <w:rsid w:val="0047575C"/>
    <w:rsid w:val="0047576D"/>
    <w:rsid w:val="00475C1C"/>
    <w:rsid w:val="0047661A"/>
    <w:rsid w:val="00476875"/>
    <w:rsid w:val="00476EB6"/>
    <w:rsid w:val="00477B36"/>
    <w:rsid w:val="00480518"/>
    <w:rsid w:val="00480EEB"/>
    <w:rsid w:val="0048118B"/>
    <w:rsid w:val="00481F25"/>
    <w:rsid w:val="004833E6"/>
    <w:rsid w:val="00483692"/>
    <w:rsid w:val="00483A52"/>
    <w:rsid w:val="00484984"/>
    <w:rsid w:val="00484CB9"/>
    <w:rsid w:val="00484ED3"/>
    <w:rsid w:val="00485678"/>
    <w:rsid w:val="00486AB1"/>
    <w:rsid w:val="00486C81"/>
    <w:rsid w:val="0048704D"/>
    <w:rsid w:val="00490935"/>
    <w:rsid w:val="00490F1E"/>
    <w:rsid w:val="00490F6B"/>
    <w:rsid w:val="00492F26"/>
    <w:rsid w:val="00493DC8"/>
    <w:rsid w:val="00493F82"/>
    <w:rsid w:val="00494453"/>
    <w:rsid w:val="00495580"/>
    <w:rsid w:val="00497089"/>
    <w:rsid w:val="00497527"/>
    <w:rsid w:val="004A0A13"/>
    <w:rsid w:val="004A16B4"/>
    <w:rsid w:val="004A21DE"/>
    <w:rsid w:val="004A2B9C"/>
    <w:rsid w:val="004A35F9"/>
    <w:rsid w:val="004A45A6"/>
    <w:rsid w:val="004A48B8"/>
    <w:rsid w:val="004A530E"/>
    <w:rsid w:val="004A5605"/>
    <w:rsid w:val="004A7921"/>
    <w:rsid w:val="004B24C1"/>
    <w:rsid w:val="004B2BAA"/>
    <w:rsid w:val="004B2F56"/>
    <w:rsid w:val="004B3093"/>
    <w:rsid w:val="004B367A"/>
    <w:rsid w:val="004B3D36"/>
    <w:rsid w:val="004B4417"/>
    <w:rsid w:val="004B498E"/>
    <w:rsid w:val="004B548A"/>
    <w:rsid w:val="004B5957"/>
    <w:rsid w:val="004B6847"/>
    <w:rsid w:val="004B6C4C"/>
    <w:rsid w:val="004C136E"/>
    <w:rsid w:val="004C16EC"/>
    <w:rsid w:val="004C292F"/>
    <w:rsid w:val="004C4515"/>
    <w:rsid w:val="004C4D5C"/>
    <w:rsid w:val="004C50CC"/>
    <w:rsid w:val="004C5B46"/>
    <w:rsid w:val="004C6CCA"/>
    <w:rsid w:val="004C7CA0"/>
    <w:rsid w:val="004D060D"/>
    <w:rsid w:val="004D206E"/>
    <w:rsid w:val="004D262A"/>
    <w:rsid w:val="004D3C2E"/>
    <w:rsid w:val="004D4003"/>
    <w:rsid w:val="004D4FA6"/>
    <w:rsid w:val="004D518B"/>
    <w:rsid w:val="004D5914"/>
    <w:rsid w:val="004D5ED5"/>
    <w:rsid w:val="004D6342"/>
    <w:rsid w:val="004E0C06"/>
    <w:rsid w:val="004E0C7D"/>
    <w:rsid w:val="004E1470"/>
    <w:rsid w:val="004E224B"/>
    <w:rsid w:val="004E455E"/>
    <w:rsid w:val="004E606F"/>
    <w:rsid w:val="004E7274"/>
    <w:rsid w:val="004F1B7A"/>
    <w:rsid w:val="004F1EB0"/>
    <w:rsid w:val="004F32BF"/>
    <w:rsid w:val="004F368E"/>
    <w:rsid w:val="004F36AA"/>
    <w:rsid w:val="004F5EE8"/>
    <w:rsid w:val="004F65CA"/>
    <w:rsid w:val="004F6923"/>
    <w:rsid w:val="004F7B36"/>
    <w:rsid w:val="0050086D"/>
    <w:rsid w:val="00500E74"/>
    <w:rsid w:val="00501594"/>
    <w:rsid w:val="005018BF"/>
    <w:rsid w:val="00501F0D"/>
    <w:rsid w:val="005029A1"/>
    <w:rsid w:val="00502AAB"/>
    <w:rsid w:val="00503B57"/>
    <w:rsid w:val="00503DC3"/>
    <w:rsid w:val="00504AA6"/>
    <w:rsid w:val="00505B9B"/>
    <w:rsid w:val="00505E32"/>
    <w:rsid w:val="0050665D"/>
    <w:rsid w:val="00506C34"/>
    <w:rsid w:val="00506DC5"/>
    <w:rsid w:val="00507CA3"/>
    <w:rsid w:val="00510280"/>
    <w:rsid w:val="005102F6"/>
    <w:rsid w:val="00511693"/>
    <w:rsid w:val="00513D73"/>
    <w:rsid w:val="00513EFA"/>
    <w:rsid w:val="00514A43"/>
    <w:rsid w:val="00514C88"/>
    <w:rsid w:val="0051544C"/>
    <w:rsid w:val="00515B48"/>
    <w:rsid w:val="00517100"/>
    <w:rsid w:val="00517153"/>
    <w:rsid w:val="005174E5"/>
    <w:rsid w:val="005206FA"/>
    <w:rsid w:val="00520C4C"/>
    <w:rsid w:val="00520E50"/>
    <w:rsid w:val="00521950"/>
    <w:rsid w:val="00522393"/>
    <w:rsid w:val="00522620"/>
    <w:rsid w:val="00522957"/>
    <w:rsid w:val="0052330D"/>
    <w:rsid w:val="00525656"/>
    <w:rsid w:val="00525C72"/>
    <w:rsid w:val="00531435"/>
    <w:rsid w:val="005322DA"/>
    <w:rsid w:val="00533FC5"/>
    <w:rsid w:val="00534458"/>
    <w:rsid w:val="00534670"/>
    <w:rsid w:val="00534C02"/>
    <w:rsid w:val="0053573F"/>
    <w:rsid w:val="0053605D"/>
    <w:rsid w:val="00536422"/>
    <w:rsid w:val="00536F47"/>
    <w:rsid w:val="005370E3"/>
    <w:rsid w:val="005371AC"/>
    <w:rsid w:val="0054264B"/>
    <w:rsid w:val="00543188"/>
    <w:rsid w:val="00543708"/>
    <w:rsid w:val="00543786"/>
    <w:rsid w:val="0054588A"/>
    <w:rsid w:val="00546299"/>
    <w:rsid w:val="00552145"/>
    <w:rsid w:val="005533D7"/>
    <w:rsid w:val="005542E1"/>
    <w:rsid w:val="00554514"/>
    <w:rsid w:val="0055599E"/>
    <w:rsid w:val="005564D2"/>
    <w:rsid w:val="00556637"/>
    <w:rsid w:val="00556D1C"/>
    <w:rsid w:val="00556E77"/>
    <w:rsid w:val="005600D7"/>
    <w:rsid w:val="005603F7"/>
    <w:rsid w:val="00560F97"/>
    <w:rsid w:val="005611A8"/>
    <w:rsid w:val="005625A6"/>
    <w:rsid w:val="00563396"/>
    <w:rsid w:val="00563623"/>
    <w:rsid w:val="00563BD1"/>
    <w:rsid w:val="00565AD3"/>
    <w:rsid w:val="005668B6"/>
    <w:rsid w:val="005679A0"/>
    <w:rsid w:val="005703DE"/>
    <w:rsid w:val="00573E79"/>
    <w:rsid w:val="0057492C"/>
    <w:rsid w:val="00574BAD"/>
    <w:rsid w:val="00575255"/>
    <w:rsid w:val="0057693C"/>
    <w:rsid w:val="00576DDB"/>
    <w:rsid w:val="00576DEC"/>
    <w:rsid w:val="00580673"/>
    <w:rsid w:val="00580882"/>
    <w:rsid w:val="00580F5A"/>
    <w:rsid w:val="0058128C"/>
    <w:rsid w:val="00582092"/>
    <w:rsid w:val="0058258A"/>
    <w:rsid w:val="0058464E"/>
    <w:rsid w:val="00586446"/>
    <w:rsid w:val="00591542"/>
    <w:rsid w:val="005919E1"/>
    <w:rsid w:val="00593A6A"/>
    <w:rsid w:val="005953D1"/>
    <w:rsid w:val="00596B77"/>
    <w:rsid w:val="00596B7A"/>
    <w:rsid w:val="00596E84"/>
    <w:rsid w:val="00596F4E"/>
    <w:rsid w:val="00597476"/>
    <w:rsid w:val="005978A3"/>
    <w:rsid w:val="005A01CB"/>
    <w:rsid w:val="005A07D4"/>
    <w:rsid w:val="005A0AA6"/>
    <w:rsid w:val="005A2156"/>
    <w:rsid w:val="005A3149"/>
    <w:rsid w:val="005A37A1"/>
    <w:rsid w:val="005A3C7B"/>
    <w:rsid w:val="005A4ABB"/>
    <w:rsid w:val="005A58FF"/>
    <w:rsid w:val="005A5B0D"/>
    <w:rsid w:val="005A5B97"/>
    <w:rsid w:val="005A5D3D"/>
    <w:rsid w:val="005A5EAF"/>
    <w:rsid w:val="005A64C0"/>
    <w:rsid w:val="005A65DB"/>
    <w:rsid w:val="005A69C8"/>
    <w:rsid w:val="005A6A1A"/>
    <w:rsid w:val="005A6A64"/>
    <w:rsid w:val="005A723C"/>
    <w:rsid w:val="005B115B"/>
    <w:rsid w:val="005B165E"/>
    <w:rsid w:val="005B1C9E"/>
    <w:rsid w:val="005B1E12"/>
    <w:rsid w:val="005B3186"/>
    <w:rsid w:val="005B399D"/>
    <w:rsid w:val="005B3C11"/>
    <w:rsid w:val="005B51A1"/>
    <w:rsid w:val="005B5774"/>
    <w:rsid w:val="005B5C21"/>
    <w:rsid w:val="005B606D"/>
    <w:rsid w:val="005B60CC"/>
    <w:rsid w:val="005B620A"/>
    <w:rsid w:val="005B672B"/>
    <w:rsid w:val="005B68C6"/>
    <w:rsid w:val="005B79E5"/>
    <w:rsid w:val="005B7E26"/>
    <w:rsid w:val="005C1C28"/>
    <w:rsid w:val="005C1CA9"/>
    <w:rsid w:val="005C22C0"/>
    <w:rsid w:val="005C2557"/>
    <w:rsid w:val="005C6DB5"/>
    <w:rsid w:val="005C73EF"/>
    <w:rsid w:val="005C740D"/>
    <w:rsid w:val="005C7FCC"/>
    <w:rsid w:val="005D4A7B"/>
    <w:rsid w:val="005D58FF"/>
    <w:rsid w:val="005D6143"/>
    <w:rsid w:val="005D649F"/>
    <w:rsid w:val="005D7950"/>
    <w:rsid w:val="005D7CC2"/>
    <w:rsid w:val="005D7D01"/>
    <w:rsid w:val="005E056A"/>
    <w:rsid w:val="005E12B7"/>
    <w:rsid w:val="005E19E7"/>
    <w:rsid w:val="005E1B33"/>
    <w:rsid w:val="005E2F48"/>
    <w:rsid w:val="005E30A5"/>
    <w:rsid w:val="005E3A4D"/>
    <w:rsid w:val="005E3A6C"/>
    <w:rsid w:val="005E415A"/>
    <w:rsid w:val="005E4382"/>
    <w:rsid w:val="005E72D0"/>
    <w:rsid w:val="005E77E9"/>
    <w:rsid w:val="005F03DB"/>
    <w:rsid w:val="005F0A87"/>
    <w:rsid w:val="005F0B97"/>
    <w:rsid w:val="005F13B7"/>
    <w:rsid w:val="005F1830"/>
    <w:rsid w:val="005F1FC1"/>
    <w:rsid w:val="005F2DAA"/>
    <w:rsid w:val="005F3254"/>
    <w:rsid w:val="005F355B"/>
    <w:rsid w:val="005F3647"/>
    <w:rsid w:val="005F5313"/>
    <w:rsid w:val="005F54B3"/>
    <w:rsid w:val="005F6E52"/>
    <w:rsid w:val="005F7598"/>
    <w:rsid w:val="005F766C"/>
    <w:rsid w:val="005F769A"/>
    <w:rsid w:val="005F7F01"/>
    <w:rsid w:val="005F7F7D"/>
    <w:rsid w:val="00600B0A"/>
    <w:rsid w:val="00602892"/>
    <w:rsid w:val="00602966"/>
    <w:rsid w:val="00602C99"/>
    <w:rsid w:val="00602D4F"/>
    <w:rsid w:val="00603B08"/>
    <w:rsid w:val="00604051"/>
    <w:rsid w:val="00604A8B"/>
    <w:rsid w:val="0060614E"/>
    <w:rsid w:val="006077C7"/>
    <w:rsid w:val="00607953"/>
    <w:rsid w:val="00610DB6"/>
    <w:rsid w:val="006127D4"/>
    <w:rsid w:val="006131F8"/>
    <w:rsid w:val="00613337"/>
    <w:rsid w:val="006145DD"/>
    <w:rsid w:val="00614A59"/>
    <w:rsid w:val="00616B78"/>
    <w:rsid w:val="00616BC2"/>
    <w:rsid w:val="0061716C"/>
    <w:rsid w:val="00620289"/>
    <w:rsid w:val="00620619"/>
    <w:rsid w:val="00621596"/>
    <w:rsid w:val="00621DA2"/>
    <w:rsid w:val="00622758"/>
    <w:rsid w:val="006233F2"/>
    <w:rsid w:val="006243A1"/>
    <w:rsid w:val="00625368"/>
    <w:rsid w:val="006257AD"/>
    <w:rsid w:val="0062666D"/>
    <w:rsid w:val="0062693E"/>
    <w:rsid w:val="00632BCE"/>
    <w:rsid w:val="00632E56"/>
    <w:rsid w:val="00633835"/>
    <w:rsid w:val="00634118"/>
    <w:rsid w:val="00634D65"/>
    <w:rsid w:val="006359E0"/>
    <w:rsid w:val="00635CBA"/>
    <w:rsid w:val="0063696A"/>
    <w:rsid w:val="00636B7B"/>
    <w:rsid w:val="00636F19"/>
    <w:rsid w:val="006375F3"/>
    <w:rsid w:val="00637AC3"/>
    <w:rsid w:val="00641878"/>
    <w:rsid w:val="00643168"/>
    <w:rsid w:val="0064338B"/>
    <w:rsid w:val="00644028"/>
    <w:rsid w:val="00644328"/>
    <w:rsid w:val="00645244"/>
    <w:rsid w:val="006455A2"/>
    <w:rsid w:val="0064568A"/>
    <w:rsid w:val="00646542"/>
    <w:rsid w:val="006504F4"/>
    <w:rsid w:val="00654BC9"/>
    <w:rsid w:val="006552FD"/>
    <w:rsid w:val="0065666E"/>
    <w:rsid w:val="00660941"/>
    <w:rsid w:val="00661A17"/>
    <w:rsid w:val="00663AF3"/>
    <w:rsid w:val="006658D1"/>
    <w:rsid w:val="0066675C"/>
    <w:rsid w:val="00666B6C"/>
    <w:rsid w:val="0066746D"/>
    <w:rsid w:val="006674B5"/>
    <w:rsid w:val="00667E64"/>
    <w:rsid w:val="006700CE"/>
    <w:rsid w:val="00670448"/>
    <w:rsid w:val="00671774"/>
    <w:rsid w:val="006720A8"/>
    <w:rsid w:val="006720AB"/>
    <w:rsid w:val="00673553"/>
    <w:rsid w:val="00674CD4"/>
    <w:rsid w:val="00675EE9"/>
    <w:rsid w:val="00676C50"/>
    <w:rsid w:val="00680DBC"/>
    <w:rsid w:val="006814AA"/>
    <w:rsid w:val="00681F46"/>
    <w:rsid w:val="00682682"/>
    <w:rsid w:val="00682702"/>
    <w:rsid w:val="00683925"/>
    <w:rsid w:val="006842B2"/>
    <w:rsid w:val="0068554D"/>
    <w:rsid w:val="00685B2C"/>
    <w:rsid w:val="00687711"/>
    <w:rsid w:val="006903D1"/>
    <w:rsid w:val="006918FD"/>
    <w:rsid w:val="00692214"/>
    <w:rsid w:val="00692368"/>
    <w:rsid w:val="00692F9A"/>
    <w:rsid w:val="00693336"/>
    <w:rsid w:val="0069381E"/>
    <w:rsid w:val="00694796"/>
    <w:rsid w:val="00694C05"/>
    <w:rsid w:val="00695034"/>
    <w:rsid w:val="00695496"/>
    <w:rsid w:val="00695640"/>
    <w:rsid w:val="00695D3C"/>
    <w:rsid w:val="00696968"/>
    <w:rsid w:val="00696A14"/>
    <w:rsid w:val="00696FF4"/>
    <w:rsid w:val="00697A38"/>
    <w:rsid w:val="006A2054"/>
    <w:rsid w:val="006A2EBC"/>
    <w:rsid w:val="006A3465"/>
    <w:rsid w:val="006A35A5"/>
    <w:rsid w:val="006A3B92"/>
    <w:rsid w:val="006A3E0E"/>
    <w:rsid w:val="006A477C"/>
    <w:rsid w:val="006A4BB3"/>
    <w:rsid w:val="006A52FD"/>
    <w:rsid w:val="006A5EA0"/>
    <w:rsid w:val="006A5F49"/>
    <w:rsid w:val="006A61AA"/>
    <w:rsid w:val="006A6B52"/>
    <w:rsid w:val="006A7583"/>
    <w:rsid w:val="006A783B"/>
    <w:rsid w:val="006A7B33"/>
    <w:rsid w:val="006B2F31"/>
    <w:rsid w:val="006B3982"/>
    <w:rsid w:val="006B49D2"/>
    <w:rsid w:val="006B4E13"/>
    <w:rsid w:val="006B516C"/>
    <w:rsid w:val="006B5608"/>
    <w:rsid w:val="006B58D5"/>
    <w:rsid w:val="006B5A00"/>
    <w:rsid w:val="006B5A8D"/>
    <w:rsid w:val="006B5C6A"/>
    <w:rsid w:val="006B5CB7"/>
    <w:rsid w:val="006B6EC8"/>
    <w:rsid w:val="006B70E3"/>
    <w:rsid w:val="006B75DD"/>
    <w:rsid w:val="006C0209"/>
    <w:rsid w:val="006C0C6E"/>
    <w:rsid w:val="006C0EF6"/>
    <w:rsid w:val="006C1206"/>
    <w:rsid w:val="006C1B94"/>
    <w:rsid w:val="006C2C9D"/>
    <w:rsid w:val="006C3713"/>
    <w:rsid w:val="006C458A"/>
    <w:rsid w:val="006C67E0"/>
    <w:rsid w:val="006C74C9"/>
    <w:rsid w:val="006C77E9"/>
    <w:rsid w:val="006C7ABA"/>
    <w:rsid w:val="006C7B3A"/>
    <w:rsid w:val="006C7F66"/>
    <w:rsid w:val="006D0648"/>
    <w:rsid w:val="006D0D60"/>
    <w:rsid w:val="006D1122"/>
    <w:rsid w:val="006D13DF"/>
    <w:rsid w:val="006D1D35"/>
    <w:rsid w:val="006D1F93"/>
    <w:rsid w:val="006D2BE7"/>
    <w:rsid w:val="006D3C00"/>
    <w:rsid w:val="006D4446"/>
    <w:rsid w:val="006D45EF"/>
    <w:rsid w:val="006D4854"/>
    <w:rsid w:val="006D4AC2"/>
    <w:rsid w:val="006D6D23"/>
    <w:rsid w:val="006D7BBA"/>
    <w:rsid w:val="006D7EF3"/>
    <w:rsid w:val="006E0302"/>
    <w:rsid w:val="006E0337"/>
    <w:rsid w:val="006E1C04"/>
    <w:rsid w:val="006E2AA4"/>
    <w:rsid w:val="006E3675"/>
    <w:rsid w:val="006E4A7F"/>
    <w:rsid w:val="006E5E5B"/>
    <w:rsid w:val="006E7CAE"/>
    <w:rsid w:val="006F00F3"/>
    <w:rsid w:val="006F1DF8"/>
    <w:rsid w:val="006F256D"/>
    <w:rsid w:val="006F347F"/>
    <w:rsid w:val="006F52F2"/>
    <w:rsid w:val="006F5D64"/>
    <w:rsid w:val="006F6627"/>
    <w:rsid w:val="006F7270"/>
    <w:rsid w:val="0070019C"/>
    <w:rsid w:val="007009FE"/>
    <w:rsid w:val="00700AEC"/>
    <w:rsid w:val="00701DC1"/>
    <w:rsid w:val="00703B68"/>
    <w:rsid w:val="00704DF6"/>
    <w:rsid w:val="00704E23"/>
    <w:rsid w:val="007057EC"/>
    <w:rsid w:val="0070586E"/>
    <w:rsid w:val="007060E4"/>
    <w:rsid w:val="00706373"/>
    <w:rsid w:val="0070651C"/>
    <w:rsid w:val="00707C04"/>
    <w:rsid w:val="00707DA5"/>
    <w:rsid w:val="00710056"/>
    <w:rsid w:val="00710684"/>
    <w:rsid w:val="00710B5A"/>
    <w:rsid w:val="00711808"/>
    <w:rsid w:val="00711A07"/>
    <w:rsid w:val="00712E83"/>
    <w:rsid w:val="007132A3"/>
    <w:rsid w:val="00713C28"/>
    <w:rsid w:val="0071478B"/>
    <w:rsid w:val="007147AE"/>
    <w:rsid w:val="00714BE9"/>
    <w:rsid w:val="00715CEA"/>
    <w:rsid w:val="00715DC2"/>
    <w:rsid w:val="00716421"/>
    <w:rsid w:val="00716AD9"/>
    <w:rsid w:val="00716BBC"/>
    <w:rsid w:val="00716C33"/>
    <w:rsid w:val="0072035A"/>
    <w:rsid w:val="00720D8D"/>
    <w:rsid w:val="00721392"/>
    <w:rsid w:val="00722475"/>
    <w:rsid w:val="00723162"/>
    <w:rsid w:val="00724EFB"/>
    <w:rsid w:val="007259E9"/>
    <w:rsid w:val="007262BD"/>
    <w:rsid w:val="00726520"/>
    <w:rsid w:val="007275D5"/>
    <w:rsid w:val="00727B0A"/>
    <w:rsid w:val="00730B2B"/>
    <w:rsid w:val="00734276"/>
    <w:rsid w:val="007350CB"/>
    <w:rsid w:val="00740602"/>
    <w:rsid w:val="00740DD7"/>
    <w:rsid w:val="00740ED5"/>
    <w:rsid w:val="007411B5"/>
    <w:rsid w:val="00741466"/>
    <w:rsid w:val="00741755"/>
    <w:rsid w:val="007419C3"/>
    <w:rsid w:val="00741B32"/>
    <w:rsid w:val="00742CCD"/>
    <w:rsid w:val="00743E6E"/>
    <w:rsid w:val="00743F4F"/>
    <w:rsid w:val="00744C2D"/>
    <w:rsid w:val="00744C2E"/>
    <w:rsid w:val="00744EB6"/>
    <w:rsid w:val="007467A7"/>
    <w:rsid w:val="007469DD"/>
    <w:rsid w:val="007471C0"/>
    <w:rsid w:val="007473CD"/>
    <w:rsid w:val="0074741B"/>
    <w:rsid w:val="0074759E"/>
    <w:rsid w:val="007478D3"/>
    <w:rsid w:val="007478EA"/>
    <w:rsid w:val="0075051D"/>
    <w:rsid w:val="00750971"/>
    <w:rsid w:val="0075117E"/>
    <w:rsid w:val="007515FB"/>
    <w:rsid w:val="00751784"/>
    <w:rsid w:val="00751983"/>
    <w:rsid w:val="007519E6"/>
    <w:rsid w:val="00752EBB"/>
    <w:rsid w:val="00753D92"/>
    <w:rsid w:val="0075415C"/>
    <w:rsid w:val="00757100"/>
    <w:rsid w:val="007573B4"/>
    <w:rsid w:val="00760C3B"/>
    <w:rsid w:val="00761B15"/>
    <w:rsid w:val="00762F81"/>
    <w:rsid w:val="00763208"/>
    <w:rsid w:val="00763502"/>
    <w:rsid w:val="00764253"/>
    <w:rsid w:val="0077056F"/>
    <w:rsid w:val="00770BED"/>
    <w:rsid w:val="00771305"/>
    <w:rsid w:val="00772091"/>
    <w:rsid w:val="00772420"/>
    <w:rsid w:val="00772DA8"/>
    <w:rsid w:val="007767D1"/>
    <w:rsid w:val="00776C1E"/>
    <w:rsid w:val="00776D1B"/>
    <w:rsid w:val="00781E56"/>
    <w:rsid w:val="00781F5C"/>
    <w:rsid w:val="0078232C"/>
    <w:rsid w:val="00782ECE"/>
    <w:rsid w:val="007838B5"/>
    <w:rsid w:val="00784FDA"/>
    <w:rsid w:val="007875C0"/>
    <w:rsid w:val="0079110B"/>
    <w:rsid w:val="007913AB"/>
    <w:rsid w:val="007914F7"/>
    <w:rsid w:val="00791A6C"/>
    <w:rsid w:val="007940E9"/>
    <w:rsid w:val="00794A0C"/>
    <w:rsid w:val="00795192"/>
    <w:rsid w:val="00795610"/>
    <w:rsid w:val="00795D9C"/>
    <w:rsid w:val="007A04C1"/>
    <w:rsid w:val="007A0712"/>
    <w:rsid w:val="007A084D"/>
    <w:rsid w:val="007A0AAA"/>
    <w:rsid w:val="007A11C3"/>
    <w:rsid w:val="007A2257"/>
    <w:rsid w:val="007A2F50"/>
    <w:rsid w:val="007A4CC2"/>
    <w:rsid w:val="007A4DAE"/>
    <w:rsid w:val="007A4F6D"/>
    <w:rsid w:val="007A5DB6"/>
    <w:rsid w:val="007A6DCE"/>
    <w:rsid w:val="007A7B24"/>
    <w:rsid w:val="007A7CD5"/>
    <w:rsid w:val="007B01E5"/>
    <w:rsid w:val="007B029D"/>
    <w:rsid w:val="007B08B5"/>
    <w:rsid w:val="007B123B"/>
    <w:rsid w:val="007B1625"/>
    <w:rsid w:val="007B2188"/>
    <w:rsid w:val="007B2BBB"/>
    <w:rsid w:val="007B2C22"/>
    <w:rsid w:val="007B306D"/>
    <w:rsid w:val="007B308C"/>
    <w:rsid w:val="007B3BB2"/>
    <w:rsid w:val="007B44BA"/>
    <w:rsid w:val="007B6814"/>
    <w:rsid w:val="007B706E"/>
    <w:rsid w:val="007B71EB"/>
    <w:rsid w:val="007C4B25"/>
    <w:rsid w:val="007C6205"/>
    <w:rsid w:val="007C686A"/>
    <w:rsid w:val="007C6916"/>
    <w:rsid w:val="007C728E"/>
    <w:rsid w:val="007C73C8"/>
    <w:rsid w:val="007C77A7"/>
    <w:rsid w:val="007C7B71"/>
    <w:rsid w:val="007D001B"/>
    <w:rsid w:val="007D23DE"/>
    <w:rsid w:val="007D2C53"/>
    <w:rsid w:val="007D3D60"/>
    <w:rsid w:val="007D4ECF"/>
    <w:rsid w:val="007D51A4"/>
    <w:rsid w:val="007D5EAD"/>
    <w:rsid w:val="007D7E8D"/>
    <w:rsid w:val="007E1980"/>
    <w:rsid w:val="007E3DFC"/>
    <w:rsid w:val="007E434D"/>
    <w:rsid w:val="007E4B76"/>
    <w:rsid w:val="007E4D33"/>
    <w:rsid w:val="007E5552"/>
    <w:rsid w:val="007E5EA8"/>
    <w:rsid w:val="007E6A4C"/>
    <w:rsid w:val="007F00DC"/>
    <w:rsid w:val="007F040A"/>
    <w:rsid w:val="007F0415"/>
    <w:rsid w:val="007F0CF1"/>
    <w:rsid w:val="007F10C7"/>
    <w:rsid w:val="007F12A5"/>
    <w:rsid w:val="007F195D"/>
    <w:rsid w:val="007F3DEC"/>
    <w:rsid w:val="007F441F"/>
    <w:rsid w:val="007F4491"/>
    <w:rsid w:val="007F4CF1"/>
    <w:rsid w:val="007F612D"/>
    <w:rsid w:val="007F6257"/>
    <w:rsid w:val="007F6C9F"/>
    <w:rsid w:val="007F719F"/>
    <w:rsid w:val="007F73F4"/>
    <w:rsid w:val="007F758D"/>
    <w:rsid w:val="007F7D52"/>
    <w:rsid w:val="00800120"/>
    <w:rsid w:val="0080103D"/>
    <w:rsid w:val="0080118B"/>
    <w:rsid w:val="008015A1"/>
    <w:rsid w:val="0080170F"/>
    <w:rsid w:val="0080216B"/>
    <w:rsid w:val="00802A8E"/>
    <w:rsid w:val="00802D84"/>
    <w:rsid w:val="00803084"/>
    <w:rsid w:val="0080371A"/>
    <w:rsid w:val="00805126"/>
    <w:rsid w:val="00805730"/>
    <w:rsid w:val="0080654C"/>
    <w:rsid w:val="00806953"/>
    <w:rsid w:val="008071C6"/>
    <w:rsid w:val="00810270"/>
    <w:rsid w:val="00812068"/>
    <w:rsid w:val="008139C9"/>
    <w:rsid w:val="008140FC"/>
    <w:rsid w:val="008142C1"/>
    <w:rsid w:val="008147A4"/>
    <w:rsid w:val="00815F9A"/>
    <w:rsid w:val="0081632F"/>
    <w:rsid w:val="00817166"/>
    <w:rsid w:val="00817314"/>
    <w:rsid w:val="00817A00"/>
    <w:rsid w:val="00820E58"/>
    <w:rsid w:val="00822D9F"/>
    <w:rsid w:val="00823BDB"/>
    <w:rsid w:val="00824B13"/>
    <w:rsid w:val="00827E01"/>
    <w:rsid w:val="00833CA2"/>
    <w:rsid w:val="00833F15"/>
    <w:rsid w:val="00834B47"/>
    <w:rsid w:val="00835C57"/>
    <w:rsid w:val="00835DB3"/>
    <w:rsid w:val="00836070"/>
    <w:rsid w:val="0083617B"/>
    <w:rsid w:val="008371BD"/>
    <w:rsid w:val="00842ADD"/>
    <w:rsid w:val="00843030"/>
    <w:rsid w:val="0084405C"/>
    <w:rsid w:val="008440C9"/>
    <w:rsid w:val="008445F2"/>
    <w:rsid w:val="0084517E"/>
    <w:rsid w:val="00845AB1"/>
    <w:rsid w:val="00845D0B"/>
    <w:rsid w:val="00847341"/>
    <w:rsid w:val="0085015A"/>
    <w:rsid w:val="008504A8"/>
    <w:rsid w:val="00851493"/>
    <w:rsid w:val="00852368"/>
    <w:rsid w:val="0085282E"/>
    <w:rsid w:val="00852838"/>
    <w:rsid w:val="00853361"/>
    <w:rsid w:val="00854502"/>
    <w:rsid w:val="0085502A"/>
    <w:rsid w:val="008550DA"/>
    <w:rsid w:val="00861EF5"/>
    <w:rsid w:val="008640E1"/>
    <w:rsid w:val="0086450E"/>
    <w:rsid w:val="00865555"/>
    <w:rsid w:val="008703CB"/>
    <w:rsid w:val="00870AAB"/>
    <w:rsid w:val="00870F92"/>
    <w:rsid w:val="0087198C"/>
    <w:rsid w:val="0087295D"/>
    <w:rsid w:val="00872C1F"/>
    <w:rsid w:val="00872E0D"/>
    <w:rsid w:val="0087308E"/>
    <w:rsid w:val="00873205"/>
    <w:rsid w:val="00873B42"/>
    <w:rsid w:val="00874845"/>
    <w:rsid w:val="00874A40"/>
    <w:rsid w:val="0087510D"/>
    <w:rsid w:val="00876407"/>
    <w:rsid w:val="00876A91"/>
    <w:rsid w:val="00876AC5"/>
    <w:rsid w:val="00876D5E"/>
    <w:rsid w:val="00877DA9"/>
    <w:rsid w:val="0088018C"/>
    <w:rsid w:val="00880A99"/>
    <w:rsid w:val="00881100"/>
    <w:rsid w:val="00882AB2"/>
    <w:rsid w:val="008835D9"/>
    <w:rsid w:val="00884CE4"/>
    <w:rsid w:val="00884D2B"/>
    <w:rsid w:val="008852D1"/>
    <w:rsid w:val="008853AF"/>
    <w:rsid w:val="008856D8"/>
    <w:rsid w:val="008859FF"/>
    <w:rsid w:val="00885D0B"/>
    <w:rsid w:val="00885F0D"/>
    <w:rsid w:val="00886B4B"/>
    <w:rsid w:val="00886F12"/>
    <w:rsid w:val="00887835"/>
    <w:rsid w:val="00890439"/>
    <w:rsid w:val="00890BFF"/>
    <w:rsid w:val="0089121F"/>
    <w:rsid w:val="00892486"/>
    <w:rsid w:val="008924B0"/>
    <w:rsid w:val="00892CAB"/>
    <w:rsid w:val="00892E82"/>
    <w:rsid w:val="0089311B"/>
    <w:rsid w:val="00893B00"/>
    <w:rsid w:val="00893BF9"/>
    <w:rsid w:val="00893C26"/>
    <w:rsid w:val="00893F2A"/>
    <w:rsid w:val="00894162"/>
    <w:rsid w:val="00897398"/>
    <w:rsid w:val="0089787B"/>
    <w:rsid w:val="00897C2C"/>
    <w:rsid w:val="008A1277"/>
    <w:rsid w:val="008A308A"/>
    <w:rsid w:val="008A3647"/>
    <w:rsid w:val="008A4953"/>
    <w:rsid w:val="008A521D"/>
    <w:rsid w:val="008A6583"/>
    <w:rsid w:val="008B04D9"/>
    <w:rsid w:val="008B0A91"/>
    <w:rsid w:val="008B0CED"/>
    <w:rsid w:val="008B215A"/>
    <w:rsid w:val="008B260E"/>
    <w:rsid w:val="008B2714"/>
    <w:rsid w:val="008B3646"/>
    <w:rsid w:val="008B5EA7"/>
    <w:rsid w:val="008B6038"/>
    <w:rsid w:val="008B61ED"/>
    <w:rsid w:val="008C0FAF"/>
    <w:rsid w:val="008C1ACB"/>
    <w:rsid w:val="008C1B58"/>
    <w:rsid w:val="008C2301"/>
    <w:rsid w:val="008C32B8"/>
    <w:rsid w:val="008C39AE"/>
    <w:rsid w:val="008C590D"/>
    <w:rsid w:val="008C5972"/>
    <w:rsid w:val="008C5D4B"/>
    <w:rsid w:val="008C5FE1"/>
    <w:rsid w:val="008C6542"/>
    <w:rsid w:val="008C69FD"/>
    <w:rsid w:val="008C6C34"/>
    <w:rsid w:val="008C6C5C"/>
    <w:rsid w:val="008C7117"/>
    <w:rsid w:val="008C7D4A"/>
    <w:rsid w:val="008D047E"/>
    <w:rsid w:val="008D1512"/>
    <w:rsid w:val="008D3D82"/>
    <w:rsid w:val="008D476D"/>
    <w:rsid w:val="008D4ECA"/>
    <w:rsid w:val="008D502A"/>
    <w:rsid w:val="008D53CA"/>
    <w:rsid w:val="008D54C8"/>
    <w:rsid w:val="008D5BFB"/>
    <w:rsid w:val="008D5C6B"/>
    <w:rsid w:val="008D622D"/>
    <w:rsid w:val="008D6E18"/>
    <w:rsid w:val="008E0002"/>
    <w:rsid w:val="008E031B"/>
    <w:rsid w:val="008E09E1"/>
    <w:rsid w:val="008E1D9E"/>
    <w:rsid w:val="008E21E6"/>
    <w:rsid w:val="008E3DCD"/>
    <w:rsid w:val="008E42D3"/>
    <w:rsid w:val="008E4526"/>
    <w:rsid w:val="008E51E5"/>
    <w:rsid w:val="008E548C"/>
    <w:rsid w:val="008E652E"/>
    <w:rsid w:val="008E65B4"/>
    <w:rsid w:val="008E6FD3"/>
    <w:rsid w:val="008E7029"/>
    <w:rsid w:val="008E7526"/>
    <w:rsid w:val="008E7EF6"/>
    <w:rsid w:val="008F1F98"/>
    <w:rsid w:val="008F251A"/>
    <w:rsid w:val="008F27B4"/>
    <w:rsid w:val="008F2B20"/>
    <w:rsid w:val="008F42EA"/>
    <w:rsid w:val="008F4BED"/>
    <w:rsid w:val="008F5955"/>
    <w:rsid w:val="008F59D1"/>
    <w:rsid w:val="008F6222"/>
    <w:rsid w:val="008F6758"/>
    <w:rsid w:val="008F6F53"/>
    <w:rsid w:val="008F72C1"/>
    <w:rsid w:val="008F7934"/>
    <w:rsid w:val="009003FA"/>
    <w:rsid w:val="0090107B"/>
    <w:rsid w:val="00901603"/>
    <w:rsid w:val="009017F9"/>
    <w:rsid w:val="00901872"/>
    <w:rsid w:val="009019BC"/>
    <w:rsid w:val="00901BD3"/>
    <w:rsid w:val="00901E57"/>
    <w:rsid w:val="009021F0"/>
    <w:rsid w:val="00902958"/>
    <w:rsid w:val="00902CE8"/>
    <w:rsid w:val="009039D8"/>
    <w:rsid w:val="009040DD"/>
    <w:rsid w:val="00904162"/>
    <w:rsid w:val="0090421B"/>
    <w:rsid w:val="0090495B"/>
    <w:rsid w:val="00905B47"/>
    <w:rsid w:val="0090661C"/>
    <w:rsid w:val="00906A19"/>
    <w:rsid w:val="00907004"/>
    <w:rsid w:val="00910D53"/>
    <w:rsid w:val="00910F23"/>
    <w:rsid w:val="00911758"/>
    <w:rsid w:val="0091331C"/>
    <w:rsid w:val="009141BF"/>
    <w:rsid w:val="00914411"/>
    <w:rsid w:val="00915B68"/>
    <w:rsid w:val="00916BA6"/>
    <w:rsid w:val="00920816"/>
    <w:rsid w:val="00920FC9"/>
    <w:rsid w:val="00921748"/>
    <w:rsid w:val="009279DE"/>
    <w:rsid w:val="00930116"/>
    <w:rsid w:val="00932014"/>
    <w:rsid w:val="00932E3C"/>
    <w:rsid w:val="00934EAC"/>
    <w:rsid w:val="00935E87"/>
    <w:rsid w:val="00936518"/>
    <w:rsid w:val="00940289"/>
    <w:rsid w:val="00940379"/>
    <w:rsid w:val="009414B3"/>
    <w:rsid w:val="00941EC6"/>
    <w:rsid w:val="0094212C"/>
    <w:rsid w:val="00943440"/>
    <w:rsid w:val="00943699"/>
    <w:rsid w:val="0094421E"/>
    <w:rsid w:val="0094476D"/>
    <w:rsid w:val="00946572"/>
    <w:rsid w:val="00946DC6"/>
    <w:rsid w:val="0094705C"/>
    <w:rsid w:val="00947132"/>
    <w:rsid w:val="00947811"/>
    <w:rsid w:val="0095009E"/>
    <w:rsid w:val="0095026B"/>
    <w:rsid w:val="00950DE7"/>
    <w:rsid w:val="009514A4"/>
    <w:rsid w:val="009520F4"/>
    <w:rsid w:val="00952123"/>
    <w:rsid w:val="009541B6"/>
    <w:rsid w:val="00954689"/>
    <w:rsid w:val="00955995"/>
    <w:rsid w:val="00960047"/>
    <w:rsid w:val="009602F6"/>
    <w:rsid w:val="00960A2B"/>
    <w:rsid w:val="009617C9"/>
    <w:rsid w:val="00961C93"/>
    <w:rsid w:val="00962345"/>
    <w:rsid w:val="00962575"/>
    <w:rsid w:val="00963DD9"/>
    <w:rsid w:val="00963E5F"/>
    <w:rsid w:val="00964133"/>
    <w:rsid w:val="0096469D"/>
    <w:rsid w:val="009647DA"/>
    <w:rsid w:val="00964867"/>
    <w:rsid w:val="00964895"/>
    <w:rsid w:val="00965020"/>
    <w:rsid w:val="00965324"/>
    <w:rsid w:val="00965856"/>
    <w:rsid w:val="00966235"/>
    <w:rsid w:val="009672F9"/>
    <w:rsid w:val="0097091E"/>
    <w:rsid w:val="00972213"/>
    <w:rsid w:val="00973052"/>
    <w:rsid w:val="009735BD"/>
    <w:rsid w:val="00974F95"/>
    <w:rsid w:val="00975AE5"/>
    <w:rsid w:val="009760D3"/>
    <w:rsid w:val="0097647E"/>
    <w:rsid w:val="00976C89"/>
    <w:rsid w:val="00977132"/>
    <w:rsid w:val="00980470"/>
    <w:rsid w:val="00980D90"/>
    <w:rsid w:val="00981A4B"/>
    <w:rsid w:val="00982501"/>
    <w:rsid w:val="009839A2"/>
    <w:rsid w:val="00984829"/>
    <w:rsid w:val="009848CA"/>
    <w:rsid w:val="009853B8"/>
    <w:rsid w:val="00986AFF"/>
    <w:rsid w:val="00986DAC"/>
    <w:rsid w:val="009877D3"/>
    <w:rsid w:val="0099028F"/>
    <w:rsid w:val="00990B4E"/>
    <w:rsid w:val="009912B7"/>
    <w:rsid w:val="00992208"/>
    <w:rsid w:val="0099248E"/>
    <w:rsid w:val="00994E8F"/>
    <w:rsid w:val="009951DC"/>
    <w:rsid w:val="009959BB"/>
    <w:rsid w:val="009968DD"/>
    <w:rsid w:val="00997158"/>
    <w:rsid w:val="00997C6E"/>
    <w:rsid w:val="009A1E87"/>
    <w:rsid w:val="009A27CC"/>
    <w:rsid w:val="009A3473"/>
    <w:rsid w:val="009A3A7C"/>
    <w:rsid w:val="009A4163"/>
    <w:rsid w:val="009A4CD2"/>
    <w:rsid w:val="009A586A"/>
    <w:rsid w:val="009A6C7D"/>
    <w:rsid w:val="009B049F"/>
    <w:rsid w:val="009B2505"/>
    <w:rsid w:val="009B2ADB"/>
    <w:rsid w:val="009B3ABA"/>
    <w:rsid w:val="009B603A"/>
    <w:rsid w:val="009B6837"/>
    <w:rsid w:val="009B75D5"/>
    <w:rsid w:val="009B7716"/>
    <w:rsid w:val="009B7A5A"/>
    <w:rsid w:val="009C0033"/>
    <w:rsid w:val="009C0AC4"/>
    <w:rsid w:val="009C25AB"/>
    <w:rsid w:val="009C28E6"/>
    <w:rsid w:val="009C2A1A"/>
    <w:rsid w:val="009C2C0B"/>
    <w:rsid w:val="009C2D0E"/>
    <w:rsid w:val="009C3369"/>
    <w:rsid w:val="009C3DAC"/>
    <w:rsid w:val="009C42E0"/>
    <w:rsid w:val="009C4680"/>
    <w:rsid w:val="009C49FE"/>
    <w:rsid w:val="009C55D3"/>
    <w:rsid w:val="009C5DA1"/>
    <w:rsid w:val="009C6BFB"/>
    <w:rsid w:val="009C6F31"/>
    <w:rsid w:val="009C70EB"/>
    <w:rsid w:val="009D0333"/>
    <w:rsid w:val="009D0D3F"/>
    <w:rsid w:val="009D1315"/>
    <w:rsid w:val="009D16F4"/>
    <w:rsid w:val="009D1B65"/>
    <w:rsid w:val="009D205C"/>
    <w:rsid w:val="009D42D2"/>
    <w:rsid w:val="009D4907"/>
    <w:rsid w:val="009D5362"/>
    <w:rsid w:val="009D7077"/>
    <w:rsid w:val="009E068D"/>
    <w:rsid w:val="009E092C"/>
    <w:rsid w:val="009E103E"/>
    <w:rsid w:val="009E1381"/>
    <w:rsid w:val="009E1415"/>
    <w:rsid w:val="009E159A"/>
    <w:rsid w:val="009E19B8"/>
    <w:rsid w:val="009E2F1C"/>
    <w:rsid w:val="009E44F2"/>
    <w:rsid w:val="009E6116"/>
    <w:rsid w:val="009E7EB5"/>
    <w:rsid w:val="009F00C1"/>
    <w:rsid w:val="009F043B"/>
    <w:rsid w:val="009F0EA8"/>
    <w:rsid w:val="009F11B6"/>
    <w:rsid w:val="009F53BD"/>
    <w:rsid w:val="009F59B3"/>
    <w:rsid w:val="009F60C7"/>
    <w:rsid w:val="009F7B22"/>
    <w:rsid w:val="00A0197F"/>
    <w:rsid w:val="00A01AA8"/>
    <w:rsid w:val="00A021FE"/>
    <w:rsid w:val="00A02BEF"/>
    <w:rsid w:val="00A02CBF"/>
    <w:rsid w:val="00A02D01"/>
    <w:rsid w:val="00A02E43"/>
    <w:rsid w:val="00A04AB0"/>
    <w:rsid w:val="00A04DAD"/>
    <w:rsid w:val="00A05674"/>
    <w:rsid w:val="00A05D10"/>
    <w:rsid w:val="00A065F9"/>
    <w:rsid w:val="00A0694F"/>
    <w:rsid w:val="00A073C5"/>
    <w:rsid w:val="00A07F34"/>
    <w:rsid w:val="00A121B1"/>
    <w:rsid w:val="00A13255"/>
    <w:rsid w:val="00A1496C"/>
    <w:rsid w:val="00A1582D"/>
    <w:rsid w:val="00A15F0B"/>
    <w:rsid w:val="00A1632C"/>
    <w:rsid w:val="00A16BDC"/>
    <w:rsid w:val="00A21568"/>
    <w:rsid w:val="00A21EF7"/>
    <w:rsid w:val="00A22154"/>
    <w:rsid w:val="00A2389E"/>
    <w:rsid w:val="00A2565E"/>
    <w:rsid w:val="00A25AD8"/>
    <w:rsid w:val="00A25C38"/>
    <w:rsid w:val="00A27738"/>
    <w:rsid w:val="00A306E3"/>
    <w:rsid w:val="00A30E3D"/>
    <w:rsid w:val="00A31530"/>
    <w:rsid w:val="00A31E80"/>
    <w:rsid w:val="00A32057"/>
    <w:rsid w:val="00A3382D"/>
    <w:rsid w:val="00A351C9"/>
    <w:rsid w:val="00A369CD"/>
    <w:rsid w:val="00A36BBE"/>
    <w:rsid w:val="00A374EC"/>
    <w:rsid w:val="00A3763E"/>
    <w:rsid w:val="00A4023F"/>
    <w:rsid w:val="00A41C16"/>
    <w:rsid w:val="00A42B29"/>
    <w:rsid w:val="00A42D51"/>
    <w:rsid w:val="00A4307A"/>
    <w:rsid w:val="00A437B8"/>
    <w:rsid w:val="00A43B6A"/>
    <w:rsid w:val="00A44062"/>
    <w:rsid w:val="00A45A2C"/>
    <w:rsid w:val="00A45C45"/>
    <w:rsid w:val="00A4608A"/>
    <w:rsid w:val="00A47EBB"/>
    <w:rsid w:val="00A50AC2"/>
    <w:rsid w:val="00A51CDD"/>
    <w:rsid w:val="00A52A60"/>
    <w:rsid w:val="00A52BE5"/>
    <w:rsid w:val="00A53DAB"/>
    <w:rsid w:val="00A548F7"/>
    <w:rsid w:val="00A553B9"/>
    <w:rsid w:val="00A557A5"/>
    <w:rsid w:val="00A55837"/>
    <w:rsid w:val="00A56CAD"/>
    <w:rsid w:val="00A56EBD"/>
    <w:rsid w:val="00A57517"/>
    <w:rsid w:val="00A575C1"/>
    <w:rsid w:val="00A577EA"/>
    <w:rsid w:val="00A57E04"/>
    <w:rsid w:val="00A601C0"/>
    <w:rsid w:val="00A60A70"/>
    <w:rsid w:val="00A61ABF"/>
    <w:rsid w:val="00A621C7"/>
    <w:rsid w:val="00A62A8A"/>
    <w:rsid w:val="00A62BD1"/>
    <w:rsid w:val="00A638D2"/>
    <w:rsid w:val="00A63A50"/>
    <w:rsid w:val="00A63E1D"/>
    <w:rsid w:val="00A64F25"/>
    <w:rsid w:val="00A6637A"/>
    <w:rsid w:val="00A665E8"/>
    <w:rsid w:val="00A669EF"/>
    <w:rsid w:val="00A6730D"/>
    <w:rsid w:val="00A67FF4"/>
    <w:rsid w:val="00A70E4B"/>
    <w:rsid w:val="00A71625"/>
    <w:rsid w:val="00A71B8B"/>
    <w:rsid w:val="00A71B9B"/>
    <w:rsid w:val="00A736E8"/>
    <w:rsid w:val="00A740F0"/>
    <w:rsid w:val="00A751C7"/>
    <w:rsid w:val="00A753FD"/>
    <w:rsid w:val="00A76575"/>
    <w:rsid w:val="00A8022B"/>
    <w:rsid w:val="00A80825"/>
    <w:rsid w:val="00A808CD"/>
    <w:rsid w:val="00A81016"/>
    <w:rsid w:val="00A82E6C"/>
    <w:rsid w:val="00A83656"/>
    <w:rsid w:val="00A84749"/>
    <w:rsid w:val="00A8518E"/>
    <w:rsid w:val="00A866F3"/>
    <w:rsid w:val="00A8725A"/>
    <w:rsid w:val="00A874A5"/>
    <w:rsid w:val="00A87844"/>
    <w:rsid w:val="00A87857"/>
    <w:rsid w:val="00A90B86"/>
    <w:rsid w:val="00A90BED"/>
    <w:rsid w:val="00A92076"/>
    <w:rsid w:val="00A9241F"/>
    <w:rsid w:val="00A929A0"/>
    <w:rsid w:val="00A92F05"/>
    <w:rsid w:val="00A94984"/>
    <w:rsid w:val="00A9619E"/>
    <w:rsid w:val="00A9682D"/>
    <w:rsid w:val="00A968A1"/>
    <w:rsid w:val="00A97848"/>
    <w:rsid w:val="00A979AE"/>
    <w:rsid w:val="00A979D9"/>
    <w:rsid w:val="00A97FA3"/>
    <w:rsid w:val="00AA038C"/>
    <w:rsid w:val="00AA085A"/>
    <w:rsid w:val="00AA1ED8"/>
    <w:rsid w:val="00AA332C"/>
    <w:rsid w:val="00AA3DBB"/>
    <w:rsid w:val="00AA4F6E"/>
    <w:rsid w:val="00AA5179"/>
    <w:rsid w:val="00AA542D"/>
    <w:rsid w:val="00AA66AC"/>
    <w:rsid w:val="00AA6C3C"/>
    <w:rsid w:val="00AA7160"/>
    <w:rsid w:val="00AA7A09"/>
    <w:rsid w:val="00AA7EA1"/>
    <w:rsid w:val="00AB118F"/>
    <w:rsid w:val="00AB1D89"/>
    <w:rsid w:val="00AB210B"/>
    <w:rsid w:val="00AB26C7"/>
    <w:rsid w:val="00AB3AB1"/>
    <w:rsid w:val="00AB3B50"/>
    <w:rsid w:val="00AB3B6D"/>
    <w:rsid w:val="00AB4A91"/>
    <w:rsid w:val="00AB6076"/>
    <w:rsid w:val="00AB655F"/>
    <w:rsid w:val="00AB6591"/>
    <w:rsid w:val="00AB7905"/>
    <w:rsid w:val="00AC05B1"/>
    <w:rsid w:val="00AC0DE8"/>
    <w:rsid w:val="00AC132B"/>
    <w:rsid w:val="00AC22F6"/>
    <w:rsid w:val="00AC42E7"/>
    <w:rsid w:val="00AC46F2"/>
    <w:rsid w:val="00AC57C9"/>
    <w:rsid w:val="00AC5E2D"/>
    <w:rsid w:val="00AC5FAA"/>
    <w:rsid w:val="00AC62FE"/>
    <w:rsid w:val="00AC63C8"/>
    <w:rsid w:val="00AD13A0"/>
    <w:rsid w:val="00AD1BB6"/>
    <w:rsid w:val="00AD356C"/>
    <w:rsid w:val="00AD44C1"/>
    <w:rsid w:val="00AD47C5"/>
    <w:rsid w:val="00AD4A36"/>
    <w:rsid w:val="00AD5C2B"/>
    <w:rsid w:val="00AD7066"/>
    <w:rsid w:val="00AD76C8"/>
    <w:rsid w:val="00AD77B3"/>
    <w:rsid w:val="00AE0019"/>
    <w:rsid w:val="00AE2609"/>
    <w:rsid w:val="00AE2914"/>
    <w:rsid w:val="00AE29B8"/>
    <w:rsid w:val="00AE328E"/>
    <w:rsid w:val="00AE338D"/>
    <w:rsid w:val="00AE3CA1"/>
    <w:rsid w:val="00AE5719"/>
    <w:rsid w:val="00AE6871"/>
    <w:rsid w:val="00AE6D15"/>
    <w:rsid w:val="00AE7041"/>
    <w:rsid w:val="00AE7EA5"/>
    <w:rsid w:val="00AF0862"/>
    <w:rsid w:val="00AF08EC"/>
    <w:rsid w:val="00AF20E9"/>
    <w:rsid w:val="00AF2171"/>
    <w:rsid w:val="00AF40BB"/>
    <w:rsid w:val="00AF6011"/>
    <w:rsid w:val="00AF75BC"/>
    <w:rsid w:val="00AF7A1F"/>
    <w:rsid w:val="00B00B83"/>
    <w:rsid w:val="00B03224"/>
    <w:rsid w:val="00B0369B"/>
    <w:rsid w:val="00B03947"/>
    <w:rsid w:val="00B04182"/>
    <w:rsid w:val="00B044AB"/>
    <w:rsid w:val="00B04885"/>
    <w:rsid w:val="00B04D7F"/>
    <w:rsid w:val="00B0578D"/>
    <w:rsid w:val="00B05A4C"/>
    <w:rsid w:val="00B07AE3"/>
    <w:rsid w:val="00B11430"/>
    <w:rsid w:val="00B1147A"/>
    <w:rsid w:val="00B11AEB"/>
    <w:rsid w:val="00B14879"/>
    <w:rsid w:val="00B152D3"/>
    <w:rsid w:val="00B16692"/>
    <w:rsid w:val="00B1795F"/>
    <w:rsid w:val="00B203D4"/>
    <w:rsid w:val="00B20FA3"/>
    <w:rsid w:val="00B23B2F"/>
    <w:rsid w:val="00B25E92"/>
    <w:rsid w:val="00B316C8"/>
    <w:rsid w:val="00B31BB9"/>
    <w:rsid w:val="00B33758"/>
    <w:rsid w:val="00B3472C"/>
    <w:rsid w:val="00B353EB"/>
    <w:rsid w:val="00B3640B"/>
    <w:rsid w:val="00B36818"/>
    <w:rsid w:val="00B37631"/>
    <w:rsid w:val="00B37984"/>
    <w:rsid w:val="00B37CDB"/>
    <w:rsid w:val="00B40AAF"/>
    <w:rsid w:val="00B41774"/>
    <w:rsid w:val="00B41942"/>
    <w:rsid w:val="00B41D0C"/>
    <w:rsid w:val="00B421A7"/>
    <w:rsid w:val="00B42DEC"/>
    <w:rsid w:val="00B439C4"/>
    <w:rsid w:val="00B444AC"/>
    <w:rsid w:val="00B44F03"/>
    <w:rsid w:val="00B4535E"/>
    <w:rsid w:val="00B471F0"/>
    <w:rsid w:val="00B47D85"/>
    <w:rsid w:val="00B501D7"/>
    <w:rsid w:val="00B511DB"/>
    <w:rsid w:val="00B518E6"/>
    <w:rsid w:val="00B51E9D"/>
    <w:rsid w:val="00B52A8C"/>
    <w:rsid w:val="00B52B02"/>
    <w:rsid w:val="00B5606D"/>
    <w:rsid w:val="00B56845"/>
    <w:rsid w:val="00B56A1B"/>
    <w:rsid w:val="00B60637"/>
    <w:rsid w:val="00B60A48"/>
    <w:rsid w:val="00B60E7E"/>
    <w:rsid w:val="00B623F7"/>
    <w:rsid w:val="00B636A8"/>
    <w:rsid w:val="00B6478D"/>
    <w:rsid w:val="00B64ED7"/>
    <w:rsid w:val="00B66259"/>
    <w:rsid w:val="00B665C6"/>
    <w:rsid w:val="00B66928"/>
    <w:rsid w:val="00B66C32"/>
    <w:rsid w:val="00B702EB"/>
    <w:rsid w:val="00B718F6"/>
    <w:rsid w:val="00B72394"/>
    <w:rsid w:val="00B75474"/>
    <w:rsid w:val="00B779E1"/>
    <w:rsid w:val="00B805AF"/>
    <w:rsid w:val="00B8071C"/>
    <w:rsid w:val="00B8088B"/>
    <w:rsid w:val="00B80E23"/>
    <w:rsid w:val="00B82FF1"/>
    <w:rsid w:val="00B8451F"/>
    <w:rsid w:val="00B84F35"/>
    <w:rsid w:val="00B84FAF"/>
    <w:rsid w:val="00B85764"/>
    <w:rsid w:val="00B85819"/>
    <w:rsid w:val="00B85D65"/>
    <w:rsid w:val="00B869EC"/>
    <w:rsid w:val="00B87236"/>
    <w:rsid w:val="00B92ED4"/>
    <w:rsid w:val="00B935A3"/>
    <w:rsid w:val="00B9397A"/>
    <w:rsid w:val="00B946A5"/>
    <w:rsid w:val="00B94FA8"/>
    <w:rsid w:val="00B95405"/>
    <w:rsid w:val="00B95619"/>
    <w:rsid w:val="00B95856"/>
    <w:rsid w:val="00B95B87"/>
    <w:rsid w:val="00B9633D"/>
    <w:rsid w:val="00B96B8A"/>
    <w:rsid w:val="00B96DD0"/>
    <w:rsid w:val="00BA0AD1"/>
    <w:rsid w:val="00BA243D"/>
    <w:rsid w:val="00BA292C"/>
    <w:rsid w:val="00BA2A84"/>
    <w:rsid w:val="00BA2EBE"/>
    <w:rsid w:val="00BA4990"/>
    <w:rsid w:val="00BA4A26"/>
    <w:rsid w:val="00BA5842"/>
    <w:rsid w:val="00BA61A4"/>
    <w:rsid w:val="00BA736C"/>
    <w:rsid w:val="00BA753E"/>
    <w:rsid w:val="00BB0EA3"/>
    <w:rsid w:val="00BB0F28"/>
    <w:rsid w:val="00BB23FE"/>
    <w:rsid w:val="00BB373A"/>
    <w:rsid w:val="00BB3CF4"/>
    <w:rsid w:val="00BB458A"/>
    <w:rsid w:val="00BB6151"/>
    <w:rsid w:val="00BB70BF"/>
    <w:rsid w:val="00BC035B"/>
    <w:rsid w:val="00BC111D"/>
    <w:rsid w:val="00BC44A2"/>
    <w:rsid w:val="00BC47FA"/>
    <w:rsid w:val="00BC4AF0"/>
    <w:rsid w:val="00BC5454"/>
    <w:rsid w:val="00BC5931"/>
    <w:rsid w:val="00BC5CA3"/>
    <w:rsid w:val="00BC6F93"/>
    <w:rsid w:val="00BC6F9C"/>
    <w:rsid w:val="00BC7AA6"/>
    <w:rsid w:val="00BC7AC5"/>
    <w:rsid w:val="00BC7EA5"/>
    <w:rsid w:val="00BD00D3"/>
    <w:rsid w:val="00BD0218"/>
    <w:rsid w:val="00BD0ABD"/>
    <w:rsid w:val="00BD1659"/>
    <w:rsid w:val="00BD1663"/>
    <w:rsid w:val="00BD1B44"/>
    <w:rsid w:val="00BD275E"/>
    <w:rsid w:val="00BD2BBF"/>
    <w:rsid w:val="00BD317E"/>
    <w:rsid w:val="00BD3AA9"/>
    <w:rsid w:val="00BD422F"/>
    <w:rsid w:val="00BD4A18"/>
    <w:rsid w:val="00BD6569"/>
    <w:rsid w:val="00BD6DB2"/>
    <w:rsid w:val="00BE03F4"/>
    <w:rsid w:val="00BE11CF"/>
    <w:rsid w:val="00BE21AB"/>
    <w:rsid w:val="00BE4938"/>
    <w:rsid w:val="00BE4D42"/>
    <w:rsid w:val="00BE4E92"/>
    <w:rsid w:val="00BE4EB0"/>
    <w:rsid w:val="00BE501E"/>
    <w:rsid w:val="00BE505D"/>
    <w:rsid w:val="00BE55CB"/>
    <w:rsid w:val="00BE5DFF"/>
    <w:rsid w:val="00BE70C5"/>
    <w:rsid w:val="00BE7CB7"/>
    <w:rsid w:val="00BF0FCF"/>
    <w:rsid w:val="00BF137B"/>
    <w:rsid w:val="00BF17B0"/>
    <w:rsid w:val="00BF301F"/>
    <w:rsid w:val="00BF4352"/>
    <w:rsid w:val="00BF4CE3"/>
    <w:rsid w:val="00BF617A"/>
    <w:rsid w:val="00BF644C"/>
    <w:rsid w:val="00BF6C1C"/>
    <w:rsid w:val="00BF7D4E"/>
    <w:rsid w:val="00C00B85"/>
    <w:rsid w:val="00C00EC7"/>
    <w:rsid w:val="00C011A2"/>
    <w:rsid w:val="00C0190D"/>
    <w:rsid w:val="00C022BF"/>
    <w:rsid w:val="00C02BB6"/>
    <w:rsid w:val="00C0360D"/>
    <w:rsid w:val="00C0373F"/>
    <w:rsid w:val="00C0379D"/>
    <w:rsid w:val="00C03931"/>
    <w:rsid w:val="00C03AC0"/>
    <w:rsid w:val="00C053B0"/>
    <w:rsid w:val="00C056A6"/>
    <w:rsid w:val="00C0577F"/>
    <w:rsid w:val="00C05FE3"/>
    <w:rsid w:val="00C062CB"/>
    <w:rsid w:val="00C07FCB"/>
    <w:rsid w:val="00C10D1C"/>
    <w:rsid w:val="00C132BA"/>
    <w:rsid w:val="00C142EB"/>
    <w:rsid w:val="00C1495C"/>
    <w:rsid w:val="00C14BBD"/>
    <w:rsid w:val="00C15C4A"/>
    <w:rsid w:val="00C16A21"/>
    <w:rsid w:val="00C17B7A"/>
    <w:rsid w:val="00C20CCE"/>
    <w:rsid w:val="00C210F8"/>
    <w:rsid w:val="00C2136D"/>
    <w:rsid w:val="00C214EE"/>
    <w:rsid w:val="00C21AEE"/>
    <w:rsid w:val="00C21CFC"/>
    <w:rsid w:val="00C22F07"/>
    <w:rsid w:val="00C2314B"/>
    <w:rsid w:val="00C23C40"/>
    <w:rsid w:val="00C24413"/>
    <w:rsid w:val="00C24971"/>
    <w:rsid w:val="00C2681B"/>
    <w:rsid w:val="00C26BE5"/>
    <w:rsid w:val="00C26E4D"/>
    <w:rsid w:val="00C26FEE"/>
    <w:rsid w:val="00C27909"/>
    <w:rsid w:val="00C27B03"/>
    <w:rsid w:val="00C27C49"/>
    <w:rsid w:val="00C301FF"/>
    <w:rsid w:val="00C30E5F"/>
    <w:rsid w:val="00C314E1"/>
    <w:rsid w:val="00C31D85"/>
    <w:rsid w:val="00C320FC"/>
    <w:rsid w:val="00C322B3"/>
    <w:rsid w:val="00C326BB"/>
    <w:rsid w:val="00C33FE0"/>
    <w:rsid w:val="00C34154"/>
    <w:rsid w:val="00C34397"/>
    <w:rsid w:val="00C351E1"/>
    <w:rsid w:val="00C35740"/>
    <w:rsid w:val="00C35E07"/>
    <w:rsid w:val="00C3775F"/>
    <w:rsid w:val="00C403A9"/>
    <w:rsid w:val="00C40436"/>
    <w:rsid w:val="00C4078A"/>
    <w:rsid w:val="00C4095D"/>
    <w:rsid w:val="00C40BCA"/>
    <w:rsid w:val="00C41ED5"/>
    <w:rsid w:val="00C42A9D"/>
    <w:rsid w:val="00C44299"/>
    <w:rsid w:val="00C44BCA"/>
    <w:rsid w:val="00C452F3"/>
    <w:rsid w:val="00C4547A"/>
    <w:rsid w:val="00C454D6"/>
    <w:rsid w:val="00C46C8E"/>
    <w:rsid w:val="00C47151"/>
    <w:rsid w:val="00C5015A"/>
    <w:rsid w:val="00C50218"/>
    <w:rsid w:val="00C5169B"/>
    <w:rsid w:val="00C5233D"/>
    <w:rsid w:val="00C541EC"/>
    <w:rsid w:val="00C54567"/>
    <w:rsid w:val="00C55294"/>
    <w:rsid w:val="00C559D1"/>
    <w:rsid w:val="00C55E7F"/>
    <w:rsid w:val="00C56F2E"/>
    <w:rsid w:val="00C5763C"/>
    <w:rsid w:val="00C601D2"/>
    <w:rsid w:val="00C62205"/>
    <w:rsid w:val="00C63391"/>
    <w:rsid w:val="00C639E2"/>
    <w:rsid w:val="00C646E8"/>
    <w:rsid w:val="00C64BD7"/>
    <w:rsid w:val="00C64C55"/>
    <w:rsid w:val="00C650D2"/>
    <w:rsid w:val="00C6562A"/>
    <w:rsid w:val="00C65AD8"/>
    <w:rsid w:val="00C65AEE"/>
    <w:rsid w:val="00C65B59"/>
    <w:rsid w:val="00C65BCC"/>
    <w:rsid w:val="00C65D8E"/>
    <w:rsid w:val="00C6670F"/>
    <w:rsid w:val="00C66970"/>
    <w:rsid w:val="00C66BCC"/>
    <w:rsid w:val="00C66EFE"/>
    <w:rsid w:val="00C67690"/>
    <w:rsid w:val="00C7046E"/>
    <w:rsid w:val="00C71BE2"/>
    <w:rsid w:val="00C72331"/>
    <w:rsid w:val="00C74481"/>
    <w:rsid w:val="00C75FAD"/>
    <w:rsid w:val="00C76B4B"/>
    <w:rsid w:val="00C77078"/>
    <w:rsid w:val="00C77AFC"/>
    <w:rsid w:val="00C8166E"/>
    <w:rsid w:val="00C82344"/>
    <w:rsid w:val="00C8258D"/>
    <w:rsid w:val="00C82FA3"/>
    <w:rsid w:val="00C830C9"/>
    <w:rsid w:val="00C83E1F"/>
    <w:rsid w:val="00C853BF"/>
    <w:rsid w:val="00C85F5D"/>
    <w:rsid w:val="00C8691C"/>
    <w:rsid w:val="00C9052D"/>
    <w:rsid w:val="00C91B60"/>
    <w:rsid w:val="00C93420"/>
    <w:rsid w:val="00C95675"/>
    <w:rsid w:val="00CA0290"/>
    <w:rsid w:val="00CA0A17"/>
    <w:rsid w:val="00CA168A"/>
    <w:rsid w:val="00CA1822"/>
    <w:rsid w:val="00CA329A"/>
    <w:rsid w:val="00CA357E"/>
    <w:rsid w:val="00CA3A41"/>
    <w:rsid w:val="00CA4090"/>
    <w:rsid w:val="00CA44F9"/>
    <w:rsid w:val="00CA4738"/>
    <w:rsid w:val="00CA4A69"/>
    <w:rsid w:val="00CA562E"/>
    <w:rsid w:val="00CA603D"/>
    <w:rsid w:val="00CA766E"/>
    <w:rsid w:val="00CB0016"/>
    <w:rsid w:val="00CB0186"/>
    <w:rsid w:val="00CB196C"/>
    <w:rsid w:val="00CB286D"/>
    <w:rsid w:val="00CB2E42"/>
    <w:rsid w:val="00CB46D2"/>
    <w:rsid w:val="00CB47DB"/>
    <w:rsid w:val="00CB5C82"/>
    <w:rsid w:val="00CB6113"/>
    <w:rsid w:val="00CB71D7"/>
    <w:rsid w:val="00CB7688"/>
    <w:rsid w:val="00CB7ECD"/>
    <w:rsid w:val="00CC0E36"/>
    <w:rsid w:val="00CC3E0C"/>
    <w:rsid w:val="00CC41D0"/>
    <w:rsid w:val="00CC458B"/>
    <w:rsid w:val="00CC58D3"/>
    <w:rsid w:val="00CC5BB0"/>
    <w:rsid w:val="00CC5DBE"/>
    <w:rsid w:val="00CC6160"/>
    <w:rsid w:val="00CC75C6"/>
    <w:rsid w:val="00CC784D"/>
    <w:rsid w:val="00CD3B7F"/>
    <w:rsid w:val="00CD5578"/>
    <w:rsid w:val="00CD5D53"/>
    <w:rsid w:val="00CD7DFC"/>
    <w:rsid w:val="00CE22A3"/>
    <w:rsid w:val="00CE3C6D"/>
    <w:rsid w:val="00CE3EAB"/>
    <w:rsid w:val="00CE489C"/>
    <w:rsid w:val="00CE56DD"/>
    <w:rsid w:val="00CE69FA"/>
    <w:rsid w:val="00CF0326"/>
    <w:rsid w:val="00CF06EC"/>
    <w:rsid w:val="00CF0FAC"/>
    <w:rsid w:val="00CF1C08"/>
    <w:rsid w:val="00CF1F10"/>
    <w:rsid w:val="00CF59CB"/>
    <w:rsid w:val="00CF7313"/>
    <w:rsid w:val="00CF79D3"/>
    <w:rsid w:val="00CF7F7C"/>
    <w:rsid w:val="00D009EF"/>
    <w:rsid w:val="00D0126B"/>
    <w:rsid w:val="00D01B3A"/>
    <w:rsid w:val="00D02B20"/>
    <w:rsid w:val="00D0337B"/>
    <w:rsid w:val="00D03634"/>
    <w:rsid w:val="00D04D17"/>
    <w:rsid w:val="00D06A69"/>
    <w:rsid w:val="00D06E25"/>
    <w:rsid w:val="00D07105"/>
    <w:rsid w:val="00D079B2"/>
    <w:rsid w:val="00D111BE"/>
    <w:rsid w:val="00D114E9"/>
    <w:rsid w:val="00D119E8"/>
    <w:rsid w:val="00D12C79"/>
    <w:rsid w:val="00D1417F"/>
    <w:rsid w:val="00D15E11"/>
    <w:rsid w:val="00D16751"/>
    <w:rsid w:val="00D17D9F"/>
    <w:rsid w:val="00D20261"/>
    <w:rsid w:val="00D204C0"/>
    <w:rsid w:val="00D20740"/>
    <w:rsid w:val="00D20D20"/>
    <w:rsid w:val="00D21088"/>
    <w:rsid w:val="00D22C79"/>
    <w:rsid w:val="00D23BF1"/>
    <w:rsid w:val="00D243C3"/>
    <w:rsid w:val="00D24C44"/>
    <w:rsid w:val="00D251E8"/>
    <w:rsid w:val="00D25536"/>
    <w:rsid w:val="00D257F3"/>
    <w:rsid w:val="00D2617F"/>
    <w:rsid w:val="00D2686E"/>
    <w:rsid w:val="00D26F21"/>
    <w:rsid w:val="00D3107E"/>
    <w:rsid w:val="00D313CF"/>
    <w:rsid w:val="00D324A7"/>
    <w:rsid w:val="00D325CE"/>
    <w:rsid w:val="00D34B9B"/>
    <w:rsid w:val="00D35281"/>
    <w:rsid w:val="00D36AAC"/>
    <w:rsid w:val="00D37157"/>
    <w:rsid w:val="00D377B9"/>
    <w:rsid w:val="00D402C3"/>
    <w:rsid w:val="00D40B5A"/>
    <w:rsid w:val="00D41220"/>
    <w:rsid w:val="00D41773"/>
    <w:rsid w:val="00D429C6"/>
    <w:rsid w:val="00D43A6B"/>
    <w:rsid w:val="00D43BD2"/>
    <w:rsid w:val="00D4485A"/>
    <w:rsid w:val="00D463E8"/>
    <w:rsid w:val="00D47748"/>
    <w:rsid w:val="00D50A10"/>
    <w:rsid w:val="00D517EA"/>
    <w:rsid w:val="00D51B64"/>
    <w:rsid w:val="00D51BCD"/>
    <w:rsid w:val="00D53E02"/>
    <w:rsid w:val="00D54CC3"/>
    <w:rsid w:val="00D55CAC"/>
    <w:rsid w:val="00D56A1F"/>
    <w:rsid w:val="00D56F52"/>
    <w:rsid w:val="00D572D8"/>
    <w:rsid w:val="00D57521"/>
    <w:rsid w:val="00D57618"/>
    <w:rsid w:val="00D57F96"/>
    <w:rsid w:val="00D6041A"/>
    <w:rsid w:val="00D6073A"/>
    <w:rsid w:val="00D61715"/>
    <w:rsid w:val="00D6180A"/>
    <w:rsid w:val="00D61916"/>
    <w:rsid w:val="00D61C6F"/>
    <w:rsid w:val="00D61CE1"/>
    <w:rsid w:val="00D62412"/>
    <w:rsid w:val="00D633EB"/>
    <w:rsid w:val="00D63514"/>
    <w:rsid w:val="00D63741"/>
    <w:rsid w:val="00D637B0"/>
    <w:rsid w:val="00D63FC3"/>
    <w:rsid w:val="00D6409B"/>
    <w:rsid w:val="00D6415D"/>
    <w:rsid w:val="00D643C0"/>
    <w:rsid w:val="00D6470D"/>
    <w:rsid w:val="00D6494E"/>
    <w:rsid w:val="00D64E8C"/>
    <w:rsid w:val="00D67032"/>
    <w:rsid w:val="00D6719D"/>
    <w:rsid w:val="00D6737E"/>
    <w:rsid w:val="00D679E0"/>
    <w:rsid w:val="00D700B3"/>
    <w:rsid w:val="00D70A9C"/>
    <w:rsid w:val="00D72ACA"/>
    <w:rsid w:val="00D73A5A"/>
    <w:rsid w:val="00D73D47"/>
    <w:rsid w:val="00D7411C"/>
    <w:rsid w:val="00D7413D"/>
    <w:rsid w:val="00D74D6B"/>
    <w:rsid w:val="00D74E13"/>
    <w:rsid w:val="00D74E88"/>
    <w:rsid w:val="00D750F3"/>
    <w:rsid w:val="00D75F09"/>
    <w:rsid w:val="00D75FC4"/>
    <w:rsid w:val="00D770C0"/>
    <w:rsid w:val="00D77863"/>
    <w:rsid w:val="00D81F49"/>
    <w:rsid w:val="00D82FF7"/>
    <w:rsid w:val="00D847FE"/>
    <w:rsid w:val="00D8486B"/>
    <w:rsid w:val="00D851A9"/>
    <w:rsid w:val="00D862ED"/>
    <w:rsid w:val="00D876CC"/>
    <w:rsid w:val="00D90053"/>
    <w:rsid w:val="00D90796"/>
    <w:rsid w:val="00D90D89"/>
    <w:rsid w:val="00D9103E"/>
    <w:rsid w:val="00D919D6"/>
    <w:rsid w:val="00D93C39"/>
    <w:rsid w:val="00D943D2"/>
    <w:rsid w:val="00D94573"/>
    <w:rsid w:val="00D964EA"/>
    <w:rsid w:val="00D966D0"/>
    <w:rsid w:val="00D967C6"/>
    <w:rsid w:val="00D96F9D"/>
    <w:rsid w:val="00D97034"/>
    <w:rsid w:val="00D9743D"/>
    <w:rsid w:val="00DA0C59"/>
    <w:rsid w:val="00DA0D6D"/>
    <w:rsid w:val="00DA15A9"/>
    <w:rsid w:val="00DA28D1"/>
    <w:rsid w:val="00DA324E"/>
    <w:rsid w:val="00DA3606"/>
    <w:rsid w:val="00DA3991"/>
    <w:rsid w:val="00DA3FCA"/>
    <w:rsid w:val="00DA49A3"/>
    <w:rsid w:val="00DA57CA"/>
    <w:rsid w:val="00DA5857"/>
    <w:rsid w:val="00DA77FB"/>
    <w:rsid w:val="00DB0296"/>
    <w:rsid w:val="00DB0893"/>
    <w:rsid w:val="00DB2977"/>
    <w:rsid w:val="00DB348F"/>
    <w:rsid w:val="00DB592A"/>
    <w:rsid w:val="00DB5ACE"/>
    <w:rsid w:val="00DB5FAF"/>
    <w:rsid w:val="00DB7156"/>
    <w:rsid w:val="00DB74D2"/>
    <w:rsid w:val="00DB7E6C"/>
    <w:rsid w:val="00DC2B49"/>
    <w:rsid w:val="00DC3B1D"/>
    <w:rsid w:val="00DC3DC5"/>
    <w:rsid w:val="00DC3DCA"/>
    <w:rsid w:val="00DC3E07"/>
    <w:rsid w:val="00DC5030"/>
    <w:rsid w:val="00DC57F4"/>
    <w:rsid w:val="00DC775A"/>
    <w:rsid w:val="00DD19EA"/>
    <w:rsid w:val="00DD385D"/>
    <w:rsid w:val="00DD3BEE"/>
    <w:rsid w:val="00DD41EC"/>
    <w:rsid w:val="00DD433D"/>
    <w:rsid w:val="00DD4A57"/>
    <w:rsid w:val="00DD4FDF"/>
    <w:rsid w:val="00DD5833"/>
    <w:rsid w:val="00DD5A29"/>
    <w:rsid w:val="00DD5D9D"/>
    <w:rsid w:val="00DD67BB"/>
    <w:rsid w:val="00DE17CF"/>
    <w:rsid w:val="00DE1B88"/>
    <w:rsid w:val="00DE1F3D"/>
    <w:rsid w:val="00DE212E"/>
    <w:rsid w:val="00DE35CB"/>
    <w:rsid w:val="00DE38A1"/>
    <w:rsid w:val="00DE38D4"/>
    <w:rsid w:val="00DE3F59"/>
    <w:rsid w:val="00DE47B4"/>
    <w:rsid w:val="00DE4D07"/>
    <w:rsid w:val="00DE515E"/>
    <w:rsid w:val="00DE61DB"/>
    <w:rsid w:val="00DE6C5C"/>
    <w:rsid w:val="00DE71FE"/>
    <w:rsid w:val="00DE75E4"/>
    <w:rsid w:val="00DF0E38"/>
    <w:rsid w:val="00DF1069"/>
    <w:rsid w:val="00DF1748"/>
    <w:rsid w:val="00DF21E9"/>
    <w:rsid w:val="00DF4EB6"/>
    <w:rsid w:val="00DF61B7"/>
    <w:rsid w:val="00DF61E3"/>
    <w:rsid w:val="00DF6573"/>
    <w:rsid w:val="00E00D01"/>
    <w:rsid w:val="00E00EA9"/>
    <w:rsid w:val="00E00F14"/>
    <w:rsid w:val="00E017B2"/>
    <w:rsid w:val="00E01C95"/>
    <w:rsid w:val="00E02DD2"/>
    <w:rsid w:val="00E048AF"/>
    <w:rsid w:val="00E0583B"/>
    <w:rsid w:val="00E06386"/>
    <w:rsid w:val="00E068DF"/>
    <w:rsid w:val="00E07CA7"/>
    <w:rsid w:val="00E1079A"/>
    <w:rsid w:val="00E10C03"/>
    <w:rsid w:val="00E11A86"/>
    <w:rsid w:val="00E1303C"/>
    <w:rsid w:val="00E13BC3"/>
    <w:rsid w:val="00E167EA"/>
    <w:rsid w:val="00E16D36"/>
    <w:rsid w:val="00E21EBF"/>
    <w:rsid w:val="00E22A13"/>
    <w:rsid w:val="00E24EB4"/>
    <w:rsid w:val="00E255B7"/>
    <w:rsid w:val="00E27A73"/>
    <w:rsid w:val="00E30985"/>
    <w:rsid w:val="00E3163F"/>
    <w:rsid w:val="00E320ED"/>
    <w:rsid w:val="00E33AFB"/>
    <w:rsid w:val="00E34218"/>
    <w:rsid w:val="00E34EED"/>
    <w:rsid w:val="00E3579C"/>
    <w:rsid w:val="00E35DD5"/>
    <w:rsid w:val="00E3696B"/>
    <w:rsid w:val="00E36DE1"/>
    <w:rsid w:val="00E36E15"/>
    <w:rsid w:val="00E371D7"/>
    <w:rsid w:val="00E37769"/>
    <w:rsid w:val="00E41FC2"/>
    <w:rsid w:val="00E43066"/>
    <w:rsid w:val="00E454A1"/>
    <w:rsid w:val="00E45806"/>
    <w:rsid w:val="00E46282"/>
    <w:rsid w:val="00E46B0E"/>
    <w:rsid w:val="00E47472"/>
    <w:rsid w:val="00E502F3"/>
    <w:rsid w:val="00E5094E"/>
    <w:rsid w:val="00E50D72"/>
    <w:rsid w:val="00E5216E"/>
    <w:rsid w:val="00E52310"/>
    <w:rsid w:val="00E52435"/>
    <w:rsid w:val="00E53147"/>
    <w:rsid w:val="00E5373D"/>
    <w:rsid w:val="00E53E99"/>
    <w:rsid w:val="00E54552"/>
    <w:rsid w:val="00E54A36"/>
    <w:rsid w:val="00E54ABB"/>
    <w:rsid w:val="00E54EC7"/>
    <w:rsid w:val="00E55DF7"/>
    <w:rsid w:val="00E5688F"/>
    <w:rsid w:val="00E57BE9"/>
    <w:rsid w:val="00E57D80"/>
    <w:rsid w:val="00E60C44"/>
    <w:rsid w:val="00E611E7"/>
    <w:rsid w:val="00E6341B"/>
    <w:rsid w:val="00E641F1"/>
    <w:rsid w:val="00E64F8B"/>
    <w:rsid w:val="00E654B5"/>
    <w:rsid w:val="00E671CF"/>
    <w:rsid w:val="00E70192"/>
    <w:rsid w:val="00E7139A"/>
    <w:rsid w:val="00E71433"/>
    <w:rsid w:val="00E71639"/>
    <w:rsid w:val="00E7324B"/>
    <w:rsid w:val="00E73571"/>
    <w:rsid w:val="00E746EA"/>
    <w:rsid w:val="00E74A00"/>
    <w:rsid w:val="00E74E37"/>
    <w:rsid w:val="00E8096C"/>
    <w:rsid w:val="00E81C62"/>
    <w:rsid w:val="00E81DB0"/>
    <w:rsid w:val="00E81EFD"/>
    <w:rsid w:val="00E822B9"/>
    <w:rsid w:val="00E82344"/>
    <w:rsid w:val="00E830DE"/>
    <w:rsid w:val="00E84C82"/>
    <w:rsid w:val="00E84D64"/>
    <w:rsid w:val="00E86940"/>
    <w:rsid w:val="00E87408"/>
    <w:rsid w:val="00E87478"/>
    <w:rsid w:val="00E87A67"/>
    <w:rsid w:val="00E902CA"/>
    <w:rsid w:val="00E903DF"/>
    <w:rsid w:val="00E90901"/>
    <w:rsid w:val="00E90971"/>
    <w:rsid w:val="00E90AA6"/>
    <w:rsid w:val="00E914C4"/>
    <w:rsid w:val="00E934F5"/>
    <w:rsid w:val="00E93F4A"/>
    <w:rsid w:val="00E94282"/>
    <w:rsid w:val="00E94716"/>
    <w:rsid w:val="00E94BAF"/>
    <w:rsid w:val="00E95462"/>
    <w:rsid w:val="00E96961"/>
    <w:rsid w:val="00E96E17"/>
    <w:rsid w:val="00EA0487"/>
    <w:rsid w:val="00EA08B3"/>
    <w:rsid w:val="00EA0C6E"/>
    <w:rsid w:val="00EA19AA"/>
    <w:rsid w:val="00EA31E9"/>
    <w:rsid w:val="00EA3F84"/>
    <w:rsid w:val="00EA44DC"/>
    <w:rsid w:val="00EA4555"/>
    <w:rsid w:val="00EA5482"/>
    <w:rsid w:val="00EA5E39"/>
    <w:rsid w:val="00EA64ED"/>
    <w:rsid w:val="00EA6FF6"/>
    <w:rsid w:val="00EA7222"/>
    <w:rsid w:val="00EA72EC"/>
    <w:rsid w:val="00EB0B69"/>
    <w:rsid w:val="00EB119C"/>
    <w:rsid w:val="00EB11CB"/>
    <w:rsid w:val="00EB16C8"/>
    <w:rsid w:val="00EB1766"/>
    <w:rsid w:val="00EB1B1F"/>
    <w:rsid w:val="00EB275A"/>
    <w:rsid w:val="00EB2955"/>
    <w:rsid w:val="00EB2968"/>
    <w:rsid w:val="00EB4041"/>
    <w:rsid w:val="00EB442E"/>
    <w:rsid w:val="00EB5A1B"/>
    <w:rsid w:val="00EB5D33"/>
    <w:rsid w:val="00EB6E09"/>
    <w:rsid w:val="00EB786A"/>
    <w:rsid w:val="00EC08B9"/>
    <w:rsid w:val="00EC1578"/>
    <w:rsid w:val="00EC1C72"/>
    <w:rsid w:val="00EC1FA1"/>
    <w:rsid w:val="00EC1FEF"/>
    <w:rsid w:val="00EC28EA"/>
    <w:rsid w:val="00EC3CC9"/>
    <w:rsid w:val="00EC3DCB"/>
    <w:rsid w:val="00EC3FDF"/>
    <w:rsid w:val="00EC67E6"/>
    <w:rsid w:val="00EC680A"/>
    <w:rsid w:val="00EC7530"/>
    <w:rsid w:val="00EC7F0C"/>
    <w:rsid w:val="00ED20BE"/>
    <w:rsid w:val="00ED288B"/>
    <w:rsid w:val="00ED2AFC"/>
    <w:rsid w:val="00ED2B70"/>
    <w:rsid w:val="00ED3EF0"/>
    <w:rsid w:val="00ED48B0"/>
    <w:rsid w:val="00ED49DA"/>
    <w:rsid w:val="00ED594E"/>
    <w:rsid w:val="00ED61EC"/>
    <w:rsid w:val="00ED632A"/>
    <w:rsid w:val="00ED663A"/>
    <w:rsid w:val="00ED6713"/>
    <w:rsid w:val="00ED6784"/>
    <w:rsid w:val="00ED70BD"/>
    <w:rsid w:val="00ED77D0"/>
    <w:rsid w:val="00ED7DD5"/>
    <w:rsid w:val="00EE02D7"/>
    <w:rsid w:val="00EE03B9"/>
    <w:rsid w:val="00EE09CC"/>
    <w:rsid w:val="00EE14C2"/>
    <w:rsid w:val="00EE28AF"/>
    <w:rsid w:val="00EE2BE1"/>
    <w:rsid w:val="00EE2BED"/>
    <w:rsid w:val="00EE3115"/>
    <w:rsid w:val="00EE374B"/>
    <w:rsid w:val="00EE485E"/>
    <w:rsid w:val="00EE4B4C"/>
    <w:rsid w:val="00EE4B7C"/>
    <w:rsid w:val="00EE5899"/>
    <w:rsid w:val="00EE6299"/>
    <w:rsid w:val="00EE6A38"/>
    <w:rsid w:val="00EE76FB"/>
    <w:rsid w:val="00EE77E8"/>
    <w:rsid w:val="00EF0EE6"/>
    <w:rsid w:val="00EF2D2E"/>
    <w:rsid w:val="00EF3FAA"/>
    <w:rsid w:val="00EF4179"/>
    <w:rsid w:val="00EF4D3D"/>
    <w:rsid w:val="00EF4E7C"/>
    <w:rsid w:val="00EF55D0"/>
    <w:rsid w:val="00EF5979"/>
    <w:rsid w:val="00F00B0E"/>
    <w:rsid w:val="00F02CF5"/>
    <w:rsid w:val="00F02E37"/>
    <w:rsid w:val="00F0344D"/>
    <w:rsid w:val="00F04279"/>
    <w:rsid w:val="00F04709"/>
    <w:rsid w:val="00F04917"/>
    <w:rsid w:val="00F04A32"/>
    <w:rsid w:val="00F05BE0"/>
    <w:rsid w:val="00F066E3"/>
    <w:rsid w:val="00F06B4B"/>
    <w:rsid w:val="00F10A56"/>
    <w:rsid w:val="00F10DB8"/>
    <w:rsid w:val="00F11BB5"/>
    <w:rsid w:val="00F11D60"/>
    <w:rsid w:val="00F128FF"/>
    <w:rsid w:val="00F135F9"/>
    <w:rsid w:val="00F1417B"/>
    <w:rsid w:val="00F144AC"/>
    <w:rsid w:val="00F14F7E"/>
    <w:rsid w:val="00F17114"/>
    <w:rsid w:val="00F1739A"/>
    <w:rsid w:val="00F1765E"/>
    <w:rsid w:val="00F20465"/>
    <w:rsid w:val="00F2087B"/>
    <w:rsid w:val="00F21336"/>
    <w:rsid w:val="00F2221F"/>
    <w:rsid w:val="00F2300D"/>
    <w:rsid w:val="00F2429D"/>
    <w:rsid w:val="00F2446F"/>
    <w:rsid w:val="00F25B07"/>
    <w:rsid w:val="00F262F5"/>
    <w:rsid w:val="00F267D5"/>
    <w:rsid w:val="00F26A10"/>
    <w:rsid w:val="00F26D72"/>
    <w:rsid w:val="00F30F6E"/>
    <w:rsid w:val="00F31BE6"/>
    <w:rsid w:val="00F31DCD"/>
    <w:rsid w:val="00F3206C"/>
    <w:rsid w:val="00F334EC"/>
    <w:rsid w:val="00F3364B"/>
    <w:rsid w:val="00F336A3"/>
    <w:rsid w:val="00F338A3"/>
    <w:rsid w:val="00F33F8E"/>
    <w:rsid w:val="00F34B99"/>
    <w:rsid w:val="00F36741"/>
    <w:rsid w:val="00F37174"/>
    <w:rsid w:val="00F37181"/>
    <w:rsid w:val="00F37CDE"/>
    <w:rsid w:val="00F4038A"/>
    <w:rsid w:val="00F40486"/>
    <w:rsid w:val="00F4055E"/>
    <w:rsid w:val="00F41D33"/>
    <w:rsid w:val="00F43ABD"/>
    <w:rsid w:val="00F44073"/>
    <w:rsid w:val="00F44268"/>
    <w:rsid w:val="00F44327"/>
    <w:rsid w:val="00F44F80"/>
    <w:rsid w:val="00F4553D"/>
    <w:rsid w:val="00F456FF"/>
    <w:rsid w:val="00F45CC7"/>
    <w:rsid w:val="00F46A9F"/>
    <w:rsid w:val="00F46FB7"/>
    <w:rsid w:val="00F4747B"/>
    <w:rsid w:val="00F47603"/>
    <w:rsid w:val="00F47643"/>
    <w:rsid w:val="00F477EF"/>
    <w:rsid w:val="00F47F55"/>
    <w:rsid w:val="00F5000A"/>
    <w:rsid w:val="00F521CB"/>
    <w:rsid w:val="00F52C1B"/>
    <w:rsid w:val="00F52DAB"/>
    <w:rsid w:val="00F54007"/>
    <w:rsid w:val="00F543F0"/>
    <w:rsid w:val="00F549EF"/>
    <w:rsid w:val="00F55D9C"/>
    <w:rsid w:val="00F55FE4"/>
    <w:rsid w:val="00F564E2"/>
    <w:rsid w:val="00F574A5"/>
    <w:rsid w:val="00F57E93"/>
    <w:rsid w:val="00F63154"/>
    <w:rsid w:val="00F63858"/>
    <w:rsid w:val="00F63F5D"/>
    <w:rsid w:val="00F64C2D"/>
    <w:rsid w:val="00F7000B"/>
    <w:rsid w:val="00F703E6"/>
    <w:rsid w:val="00F705A9"/>
    <w:rsid w:val="00F70BA8"/>
    <w:rsid w:val="00F74547"/>
    <w:rsid w:val="00F7480D"/>
    <w:rsid w:val="00F75CBA"/>
    <w:rsid w:val="00F763AA"/>
    <w:rsid w:val="00F80482"/>
    <w:rsid w:val="00F804F7"/>
    <w:rsid w:val="00F81D29"/>
    <w:rsid w:val="00F823CF"/>
    <w:rsid w:val="00F82B38"/>
    <w:rsid w:val="00F82ED8"/>
    <w:rsid w:val="00F830F7"/>
    <w:rsid w:val="00F836FF"/>
    <w:rsid w:val="00F8471F"/>
    <w:rsid w:val="00F84FD3"/>
    <w:rsid w:val="00F85509"/>
    <w:rsid w:val="00F869F2"/>
    <w:rsid w:val="00F90786"/>
    <w:rsid w:val="00F916AF"/>
    <w:rsid w:val="00F91804"/>
    <w:rsid w:val="00F91B0F"/>
    <w:rsid w:val="00F91C4D"/>
    <w:rsid w:val="00F9257D"/>
    <w:rsid w:val="00F92FD9"/>
    <w:rsid w:val="00F9332F"/>
    <w:rsid w:val="00F93696"/>
    <w:rsid w:val="00F94403"/>
    <w:rsid w:val="00F9508B"/>
    <w:rsid w:val="00F95C3B"/>
    <w:rsid w:val="00FA0011"/>
    <w:rsid w:val="00FA102C"/>
    <w:rsid w:val="00FA280A"/>
    <w:rsid w:val="00FA2B4A"/>
    <w:rsid w:val="00FA3067"/>
    <w:rsid w:val="00FA4249"/>
    <w:rsid w:val="00FA507A"/>
    <w:rsid w:val="00FA5437"/>
    <w:rsid w:val="00FA5748"/>
    <w:rsid w:val="00FA5A76"/>
    <w:rsid w:val="00FA6682"/>
    <w:rsid w:val="00FA6684"/>
    <w:rsid w:val="00FA6D1B"/>
    <w:rsid w:val="00FA731E"/>
    <w:rsid w:val="00FB07F8"/>
    <w:rsid w:val="00FB11A3"/>
    <w:rsid w:val="00FB2456"/>
    <w:rsid w:val="00FB2ABD"/>
    <w:rsid w:val="00FB2B38"/>
    <w:rsid w:val="00FB2FA0"/>
    <w:rsid w:val="00FB563B"/>
    <w:rsid w:val="00FB58B1"/>
    <w:rsid w:val="00FB5FB9"/>
    <w:rsid w:val="00FB7D84"/>
    <w:rsid w:val="00FC0145"/>
    <w:rsid w:val="00FC02F1"/>
    <w:rsid w:val="00FC0DA6"/>
    <w:rsid w:val="00FC16D0"/>
    <w:rsid w:val="00FC1C14"/>
    <w:rsid w:val="00FC401D"/>
    <w:rsid w:val="00FC4050"/>
    <w:rsid w:val="00FC42AB"/>
    <w:rsid w:val="00FC5ECA"/>
    <w:rsid w:val="00FC6358"/>
    <w:rsid w:val="00FC6C34"/>
    <w:rsid w:val="00FC6C84"/>
    <w:rsid w:val="00FD1EAC"/>
    <w:rsid w:val="00FD1F81"/>
    <w:rsid w:val="00FD319D"/>
    <w:rsid w:val="00FD320D"/>
    <w:rsid w:val="00FD3ADA"/>
    <w:rsid w:val="00FD4F59"/>
    <w:rsid w:val="00FD5811"/>
    <w:rsid w:val="00FD5BF5"/>
    <w:rsid w:val="00FD6AE3"/>
    <w:rsid w:val="00FD7E11"/>
    <w:rsid w:val="00FE00DF"/>
    <w:rsid w:val="00FE1C28"/>
    <w:rsid w:val="00FE23DE"/>
    <w:rsid w:val="00FE3DB9"/>
    <w:rsid w:val="00FE4A1A"/>
    <w:rsid w:val="00FE4C98"/>
    <w:rsid w:val="00FE52A6"/>
    <w:rsid w:val="00FE73B4"/>
    <w:rsid w:val="00FE73C4"/>
    <w:rsid w:val="00FE7472"/>
    <w:rsid w:val="00FF1574"/>
    <w:rsid w:val="00FF1809"/>
    <w:rsid w:val="00FF2351"/>
    <w:rsid w:val="00FF513E"/>
    <w:rsid w:val="00FF52E3"/>
    <w:rsid w:val="00FF6BCC"/>
    <w:rsid w:val="00FF7AC0"/>
    <w:rsid w:val="012375FA"/>
    <w:rsid w:val="012810B4"/>
    <w:rsid w:val="01361864"/>
    <w:rsid w:val="01591500"/>
    <w:rsid w:val="015C635C"/>
    <w:rsid w:val="017936BE"/>
    <w:rsid w:val="01A06F09"/>
    <w:rsid w:val="021935D3"/>
    <w:rsid w:val="0224187C"/>
    <w:rsid w:val="02355837"/>
    <w:rsid w:val="023C3969"/>
    <w:rsid w:val="025C1201"/>
    <w:rsid w:val="02727A8F"/>
    <w:rsid w:val="02BF15A4"/>
    <w:rsid w:val="03166657"/>
    <w:rsid w:val="03577A2F"/>
    <w:rsid w:val="03AF33C7"/>
    <w:rsid w:val="03B063C0"/>
    <w:rsid w:val="03B24C65"/>
    <w:rsid w:val="03F64AED"/>
    <w:rsid w:val="03FB766B"/>
    <w:rsid w:val="0402799B"/>
    <w:rsid w:val="040354C1"/>
    <w:rsid w:val="04082AD7"/>
    <w:rsid w:val="04675A50"/>
    <w:rsid w:val="04705D22"/>
    <w:rsid w:val="04836FE2"/>
    <w:rsid w:val="04C33738"/>
    <w:rsid w:val="05041908"/>
    <w:rsid w:val="050E5684"/>
    <w:rsid w:val="05123C0E"/>
    <w:rsid w:val="051C56D8"/>
    <w:rsid w:val="05931CD0"/>
    <w:rsid w:val="05A827C4"/>
    <w:rsid w:val="05B225CE"/>
    <w:rsid w:val="05B40D17"/>
    <w:rsid w:val="05ED1BAF"/>
    <w:rsid w:val="05F05A6D"/>
    <w:rsid w:val="06113971"/>
    <w:rsid w:val="06233BF8"/>
    <w:rsid w:val="064249C6"/>
    <w:rsid w:val="06D6469C"/>
    <w:rsid w:val="06D820F9"/>
    <w:rsid w:val="06E8731C"/>
    <w:rsid w:val="06EA6C49"/>
    <w:rsid w:val="07013F3A"/>
    <w:rsid w:val="07023F74"/>
    <w:rsid w:val="07170356"/>
    <w:rsid w:val="073562D9"/>
    <w:rsid w:val="07363B14"/>
    <w:rsid w:val="0749731E"/>
    <w:rsid w:val="07B62F76"/>
    <w:rsid w:val="07FC531A"/>
    <w:rsid w:val="086230FE"/>
    <w:rsid w:val="086807D6"/>
    <w:rsid w:val="086E3851"/>
    <w:rsid w:val="089E0E96"/>
    <w:rsid w:val="08A52FEB"/>
    <w:rsid w:val="091268D2"/>
    <w:rsid w:val="09214893"/>
    <w:rsid w:val="09411009"/>
    <w:rsid w:val="09453D87"/>
    <w:rsid w:val="09455F12"/>
    <w:rsid w:val="09480908"/>
    <w:rsid w:val="098470A4"/>
    <w:rsid w:val="099A0675"/>
    <w:rsid w:val="09C63218"/>
    <w:rsid w:val="09F90C81"/>
    <w:rsid w:val="0A1B7A08"/>
    <w:rsid w:val="0A371079"/>
    <w:rsid w:val="0A7F4331"/>
    <w:rsid w:val="0A8F3F52"/>
    <w:rsid w:val="0A974BF9"/>
    <w:rsid w:val="0AA349BF"/>
    <w:rsid w:val="0ACF52E9"/>
    <w:rsid w:val="0AF42793"/>
    <w:rsid w:val="0B3E6778"/>
    <w:rsid w:val="0B6251C3"/>
    <w:rsid w:val="0B754114"/>
    <w:rsid w:val="0BBC7C52"/>
    <w:rsid w:val="0C3923C8"/>
    <w:rsid w:val="0C4422BF"/>
    <w:rsid w:val="0C5E3877"/>
    <w:rsid w:val="0C7D22B4"/>
    <w:rsid w:val="0C994C14"/>
    <w:rsid w:val="0CCE370C"/>
    <w:rsid w:val="0CDF4188"/>
    <w:rsid w:val="0CF836D5"/>
    <w:rsid w:val="0D090873"/>
    <w:rsid w:val="0D1A6E04"/>
    <w:rsid w:val="0D270570"/>
    <w:rsid w:val="0D2A3ABE"/>
    <w:rsid w:val="0D2A4EB7"/>
    <w:rsid w:val="0D2D74C1"/>
    <w:rsid w:val="0D471FD0"/>
    <w:rsid w:val="0DAB2E51"/>
    <w:rsid w:val="0DAC5770"/>
    <w:rsid w:val="0DB00467"/>
    <w:rsid w:val="0DBA428D"/>
    <w:rsid w:val="0DBE0BB9"/>
    <w:rsid w:val="0DCE17D6"/>
    <w:rsid w:val="0DE36171"/>
    <w:rsid w:val="0DF3318B"/>
    <w:rsid w:val="0E010CC3"/>
    <w:rsid w:val="0E6A6868"/>
    <w:rsid w:val="0E8E6F4C"/>
    <w:rsid w:val="0E9654AA"/>
    <w:rsid w:val="0EAD2BF9"/>
    <w:rsid w:val="0EB70F20"/>
    <w:rsid w:val="0ED43145"/>
    <w:rsid w:val="0ED81C89"/>
    <w:rsid w:val="0F297E7F"/>
    <w:rsid w:val="0F533899"/>
    <w:rsid w:val="0F7D2735"/>
    <w:rsid w:val="0FD022B3"/>
    <w:rsid w:val="0FD212C8"/>
    <w:rsid w:val="0FD8251E"/>
    <w:rsid w:val="0FDD251E"/>
    <w:rsid w:val="1025152C"/>
    <w:rsid w:val="10726FCD"/>
    <w:rsid w:val="1099621E"/>
    <w:rsid w:val="10A63BFB"/>
    <w:rsid w:val="10FD1C16"/>
    <w:rsid w:val="111451B1"/>
    <w:rsid w:val="112F78F5"/>
    <w:rsid w:val="115F4671"/>
    <w:rsid w:val="120B0362"/>
    <w:rsid w:val="121745FB"/>
    <w:rsid w:val="12234335"/>
    <w:rsid w:val="127759F8"/>
    <w:rsid w:val="12E55A06"/>
    <w:rsid w:val="12E666D9"/>
    <w:rsid w:val="13116BB0"/>
    <w:rsid w:val="1319085D"/>
    <w:rsid w:val="13343CEA"/>
    <w:rsid w:val="134254DE"/>
    <w:rsid w:val="13541895"/>
    <w:rsid w:val="139A1F90"/>
    <w:rsid w:val="13AE21AD"/>
    <w:rsid w:val="13D52E09"/>
    <w:rsid w:val="13DE71A2"/>
    <w:rsid w:val="141A2ADF"/>
    <w:rsid w:val="143E4A1F"/>
    <w:rsid w:val="143F42F3"/>
    <w:rsid w:val="14465682"/>
    <w:rsid w:val="14495172"/>
    <w:rsid w:val="146A2B1E"/>
    <w:rsid w:val="14901BB6"/>
    <w:rsid w:val="14BF3490"/>
    <w:rsid w:val="151305E0"/>
    <w:rsid w:val="154F6CD3"/>
    <w:rsid w:val="155627F2"/>
    <w:rsid w:val="155C6C1B"/>
    <w:rsid w:val="158F5AFF"/>
    <w:rsid w:val="15AC53F5"/>
    <w:rsid w:val="15BB5BFB"/>
    <w:rsid w:val="15E96C0C"/>
    <w:rsid w:val="16414353"/>
    <w:rsid w:val="165E5055"/>
    <w:rsid w:val="166708DD"/>
    <w:rsid w:val="16683FED"/>
    <w:rsid w:val="16970417"/>
    <w:rsid w:val="16CB6312"/>
    <w:rsid w:val="17000BDB"/>
    <w:rsid w:val="171D71F9"/>
    <w:rsid w:val="173059F6"/>
    <w:rsid w:val="174C160A"/>
    <w:rsid w:val="176618FA"/>
    <w:rsid w:val="177421B4"/>
    <w:rsid w:val="177F47EF"/>
    <w:rsid w:val="178F7340"/>
    <w:rsid w:val="17CA481C"/>
    <w:rsid w:val="17EF7DDE"/>
    <w:rsid w:val="17F15535"/>
    <w:rsid w:val="180E7EE7"/>
    <w:rsid w:val="18414261"/>
    <w:rsid w:val="1847222D"/>
    <w:rsid w:val="186B3909"/>
    <w:rsid w:val="187B111B"/>
    <w:rsid w:val="189C2E44"/>
    <w:rsid w:val="18C13529"/>
    <w:rsid w:val="19017DC9"/>
    <w:rsid w:val="19726F19"/>
    <w:rsid w:val="197C3302"/>
    <w:rsid w:val="198E53CC"/>
    <w:rsid w:val="19A370D2"/>
    <w:rsid w:val="19C452DD"/>
    <w:rsid w:val="19D70540"/>
    <w:rsid w:val="19DB2D10"/>
    <w:rsid w:val="19ED0880"/>
    <w:rsid w:val="1A4A739A"/>
    <w:rsid w:val="1AB501CF"/>
    <w:rsid w:val="1AD9511F"/>
    <w:rsid w:val="1AEC13A2"/>
    <w:rsid w:val="1B1D4C62"/>
    <w:rsid w:val="1B5730C9"/>
    <w:rsid w:val="1B7C5E2D"/>
    <w:rsid w:val="1BA710FC"/>
    <w:rsid w:val="1BF27E9D"/>
    <w:rsid w:val="1BFC1BC5"/>
    <w:rsid w:val="1C234350"/>
    <w:rsid w:val="1C43143D"/>
    <w:rsid w:val="1C4A1A87"/>
    <w:rsid w:val="1C7C23DB"/>
    <w:rsid w:val="1C912DFC"/>
    <w:rsid w:val="1CB87E26"/>
    <w:rsid w:val="1CE4012E"/>
    <w:rsid w:val="1D0479B4"/>
    <w:rsid w:val="1D37451A"/>
    <w:rsid w:val="1D555717"/>
    <w:rsid w:val="1D584104"/>
    <w:rsid w:val="1DAB745A"/>
    <w:rsid w:val="1DC274AA"/>
    <w:rsid w:val="1DCC71DC"/>
    <w:rsid w:val="1E00158C"/>
    <w:rsid w:val="1E005888"/>
    <w:rsid w:val="1E603D6D"/>
    <w:rsid w:val="1E636E30"/>
    <w:rsid w:val="1E894AE9"/>
    <w:rsid w:val="1F1545CE"/>
    <w:rsid w:val="1F220245"/>
    <w:rsid w:val="1F37344C"/>
    <w:rsid w:val="1F596E4E"/>
    <w:rsid w:val="1F862F71"/>
    <w:rsid w:val="1F881244"/>
    <w:rsid w:val="1F8B39D5"/>
    <w:rsid w:val="201E172F"/>
    <w:rsid w:val="202723B2"/>
    <w:rsid w:val="203E5D5A"/>
    <w:rsid w:val="20743577"/>
    <w:rsid w:val="20796DDF"/>
    <w:rsid w:val="20DE650D"/>
    <w:rsid w:val="21122A7A"/>
    <w:rsid w:val="21327383"/>
    <w:rsid w:val="21376595"/>
    <w:rsid w:val="21622BDF"/>
    <w:rsid w:val="21744CE7"/>
    <w:rsid w:val="21981E4E"/>
    <w:rsid w:val="21B14854"/>
    <w:rsid w:val="226F0499"/>
    <w:rsid w:val="228A0E2F"/>
    <w:rsid w:val="229735CA"/>
    <w:rsid w:val="22995516"/>
    <w:rsid w:val="22A719E1"/>
    <w:rsid w:val="22D97398"/>
    <w:rsid w:val="22EC08AD"/>
    <w:rsid w:val="23152DEF"/>
    <w:rsid w:val="23616034"/>
    <w:rsid w:val="23651201"/>
    <w:rsid w:val="23971A56"/>
    <w:rsid w:val="23C137F9"/>
    <w:rsid w:val="240124F9"/>
    <w:rsid w:val="24165C44"/>
    <w:rsid w:val="244B0A92"/>
    <w:rsid w:val="24E47143"/>
    <w:rsid w:val="24F613C6"/>
    <w:rsid w:val="250273A3"/>
    <w:rsid w:val="25144D16"/>
    <w:rsid w:val="257724A3"/>
    <w:rsid w:val="25AB3C2A"/>
    <w:rsid w:val="25B14925"/>
    <w:rsid w:val="25B54415"/>
    <w:rsid w:val="25E03518"/>
    <w:rsid w:val="25F50CC8"/>
    <w:rsid w:val="25FB2978"/>
    <w:rsid w:val="26112F5E"/>
    <w:rsid w:val="261455E0"/>
    <w:rsid w:val="261D15D7"/>
    <w:rsid w:val="265C6F87"/>
    <w:rsid w:val="26831C48"/>
    <w:rsid w:val="268C786C"/>
    <w:rsid w:val="26977FBF"/>
    <w:rsid w:val="26CD30A8"/>
    <w:rsid w:val="271A5D4C"/>
    <w:rsid w:val="274E4B21"/>
    <w:rsid w:val="279658DD"/>
    <w:rsid w:val="27EA792A"/>
    <w:rsid w:val="27ED0BE4"/>
    <w:rsid w:val="280A6C3A"/>
    <w:rsid w:val="281178FD"/>
    <w:rsid w:val="283F7071"/>
    <w:rsid w:val="285C221B"/>
    <w:rsid w:val="28F96BC6"/>
    <w:rsid w:val="28FA6BC6"/>
    <w:rsid w:val="290C3EEF"/>
    <w:rsid w:val="29AC3D81"/>
    <w:rsid w:val="2A121662"/>
    <w:rsid w:val="2A186975"/>
    <w:rsid w:val="2A2F661C"/>
    <w:rsid w:val="2A495A74"/>
    <w:rsid w:val="2AAA5EDF"/>
    <w:rsid w:val="2AC1560A"/>
    <w:rsid w:val="2AE35581"/>
    <w:rsid w:val="2AFE1A16"/>
    <w:rsid w:val="2AFE23BA"/>
    <w:rsid w:val="2B2362C5"/>
    <w:rsid w:val="2B5D17D7"/>
    <w:rsid w:val="2B8C79C6"/>
    <w:rsid w:val="2B9658D5"/>
    <w:rsid w:val="2BAE3DE1"/>
    <w:rsid w:val="2BBC3D43"/>
    <w:rsid w:val="2BCF6A23"/>
    <w:rsid w:val="2C0C4679"/>
    <w:rsid w:val="2C1E5307"/>
    <w:rsid w:val="2C4D184B"/>
    <w:rsid w:val="2C8903AA"/>
    <w:rsid w:val="2CD5539D"/>
    <w:rsid w:val="2CD60859"/>
    <w:rsid w:val="2CF61544"/>
    <w:rsid w:val="2CFD2472"/>
    <w:rsid w:val="2D0B71C2"/>
    <w:rsid w:val="2D12214D"/>
    <w:rsid w:val="2D181C24"/>
    <w:rsid w:val="2D7B7CF2"/>
    <w:rsid w:val="2D856DC3"/>
    <w:rsid w:val="2DAA4A7C"/>
    <w:rsid w:val="2DFC3B4D"/>
    <w:rsid w:val="2E172626"/>
    <w:rsid w:val="2E3C73C5"/>
    <w:rsid w:val="2E842F7C"/>
    <w:rsid w:val="2EB536D8"/>
    <w:rsid w:val="2EC237E8"/>
    <w:rsid w:val="2ED92E1A"/>
    <w:rsid w:val="2EEB203B"/>
    <w:rsid w:val="2EFC30B5"/>
    <w:rsid w:val="2F54283B"/>
    <w:rsid w:val="2F680DFD"/>
    <w:rsid w:val="2F8337D6"/>
    <w:rsid w:val="2FC5271B"/>
    <w:rsid w:val="2FC82297"/>
    <w:rsid w:val="2FE9562D"/>
    <w:rsid w:val="3032522C"/>
    <w:rsid w:val="30A532D8"/>
    <w:rsid w:val="30F17267"/>
    <w:rsid w:val="30FC6016"/>
    <w:rsid w:val="31395C5A"/>
    <w:rsid w:val="31445323"/>
    <w:rsid w:val="315C6645"/>
    <w:rsid w:val="316272D8"/>
    <w:rsid w:val="31660CB9"/>
    <w:rsid w:val="318F0210"/>
    <w:rsid w:val="31F7580D"/>
    <w:rsid w:val="31FE3FEA"/>
    <w:rsid w:val="32110C25"/>
    <w:rsid w:val="3244602C"/>
    <w:rsid w:val="325133BE"/>
    <w:rsid w:val="32686C99"/>
    <w:rsid w:val="328471A0"/>
    <w:rsid w:val="32BA2618"/>
    <w:rsid w:val="331E0C55"/>
    <w:rsid w:val="335334BF"/>
    <w:rsid w:val="33727DEA"/>
    <w:rsid w:val="33757815"/>
    <w:rsid w:val="33B0446E"/>
    <w:rsid w:val="33F24A4C"/>
    <w:rsid w:val="34172430"/>
    <w:rsid w:val="343B642D"/>
    <w:rsid w:val="34452D8A"/>
    <w:rsid w:val="34956D4B"/>
    <w:rsid w:val="34A924E6"/>
    <w:rsid w:val="34AA7925"/>
    <w:rsid w:val="34F90DE3"/>
    <w:rsid w:val="35076310"/>
    <w:rsid w:val="3529097C"/>
    <w:rsid w:val="353115DE"/>
    <w:rsid w:val="353905D5"/>
    <w:rsid w:val="353D61D5"/>
    <w:rsid w:val="353F1F4D"/>
    <w:rsid w:val="35661FE8"/>
    <w:rsid w:val="35671B3D"/>
    <w:rsid w:val="35A95619"/>
    <w:rsid w:val="35AA386B"/>
    <w:rsid w:val="35B144E6"/>
    <w:rsid w:val="35BA3C88"/>
    <w:rsid w:val="35D22DC1"/>
    <w:rsid w:val="35D95EFE"/>
    <w:rsid w:val="360D77F3"/>
    <w:rsid w:val="36262EA2"/>
    <w:rsid w:val="36306202"/>
    <w:rsid w:val="364517E5"/>
    <w:rsid w:val="36513CE6"/>
    <w:rsid w:val="36672402"/>
    <w:rsid w:val="36801CFF"/>
    <w:rsid w:val="36E64FE4"/>
    <w:rsid w:val="36FA4102"/>
    <w:rsid w:val="370D035C"/>
    <w:rsid w:val="37107F95"/>
    <w:rsid w:val="372D1FC1"/>
    <w:rsid w:val="376C4E3A"/>
    <w:rsid w:val="37F8148C"/>
    <w:rsid w:val="38333A05"/>
    <w:rsid w:val="38664C72"/>
    <w:rsid w:val="3894435E"/>
    <w:rsid w:val="389E51DD"/>
    <w:rsid w:val="39033292"/>
    <w:rsid w:val="39194863"/>
    <w:rsid w:val="391E32EE"/>
    <w:rsid w:val="392E1F67"/>
    <w:rsid w:val="39316051"/>
    <w:rsid w:val="393F00EE"/>
    <w:rsid w:val="395F496C"/>
    <w:rsid w:val="397A17A6"/>
    <w:rsid w:val="39A358B5"/>
    <w:rsid w:val="39AD2129"/>
    <w:rsid w:val="3A266F32"/>
    <w:rsid w:val="3A993E5B"/>
    <w:rsid w:val="3ABA62C6"/>
    <w:rsid w:val="3AC63B9B"/>
    <w:rsid w:val="3AD26970"/>
    <w:rsid w:val="3AF13CEA"/>
    <w:rsid w:val="3B0767B6"/>
    <w:rsid w:val="3B19332B"/>
    <w:rsid w:val="3B3F3AEB"/>
    <w:rsid w:val="3B40257B"/>
    <w:rsid w:val="3B691AD2"/>
    <w:rsid w:val="3B750EAE"/>
    <w:rsid w:val="3B8B49CE"/>
    <w:rsid w:val="3BAC19BF"/>
    <w:rsid w:val="3BB05953"/>
    <w:rsid w:val="3BC62A80"/>
    <w:rsid w:val="3BD117F8"/>
    <w:rsid w:val="3C371265"/>
    <w:rsid w:val="3C406CD7"/>
    <w:rsid w:val="3C692940"/>
    <w:rsid w:val="3C7E457F"/>
    <w:rsid w:val="3C8F37BA"/>
    <w:rsid w:val="3CAF36AA"/>
    <w:rsid w:val="3D031E2F"/>
    <w:rsid w:val="3D222F7E"/>
    <w:rsid w:val="3D232155"/>
    <w:rsid w:val="3D2375CE"/>
    <w:rsid w:val="3D4E5052"/>
    <w:rsid w:val="3DCA470A"/>
    <w:rsid w:val="3DE511B8"/>
    <w:rsid w:val="3E123510"/>
    <w:rsid w:val="3F480C2C"/>
    <w:rsid w:val="3F5B57B9"/>
    <w:rsid w:val="3F9F4A97"/>
    <w:rsid w:val="3FCA48C7"/>
    <w:rsid w:val="3FFA719D"/>
    <w:rsid w:val="40066DC7"/>
    <w:rsid w:val="406E1939"/>
    <w:rsid w:val="408049B1"/>
    <w:rsid w:val="4082189D"/>
    <w:rsid w:val="409A1B95"/>
    <w:rsid w:val="40EA45AB"/>
    <w:rsid w:val="412C6EF7"/>
    <w:rsid w:val="413F3A89"/>
    <w:rsid w:val="414F33CA"/>
    <w:rsid w:val="416C40CA"/>
    <w:rsid w:val="418E19CE"/>
    <w:rsid w:val="41C81AFE"/>
    <w:rsid w:val="41D77048"/>
    <w:rsid w:val="4219697C"/>
    <w:rsid w:val="422C0FD9"/>
    <w:rsid w:val="42415557"/>
    <w:rsid w:val="42470693"/>
    <w:rsid w:val="42672AE3"/>
    <w:rsid w:val="427E2307"/>
    <w:rsid w:val="42C1481C"/>
    <w:rsid w:val="42CB3BB7"/>
    <w:rsid w:val="42D66DCA"/>
    <w:rsid w:val="42F44377"/>
    <w:rsid w:val="4303280C"/>
    <w:rsid w:val="43287F77"/>
    <w:rsid w:val="43927B69"/>
    <w:rsid w:val="43BE3D68"/>
    <w:rsid w:val="43E22422"/>
    <w:rsid w:val="442C1FD0"/>
    <w:rsid w:val="44361653"/>
    <w:rsid w:val="446C29A5"/>
    <w:rsid w:val="447909B3"/>
    <w:rsid w:val="45242278"/>
    <w:rsid w:val="454421FA"/>
    <w:rsid w:val="457A0833"/>
    <w:rsid w:val="458103E2"/>
    <w:rsid w:val="45C10D0F"/>
    <w:rsid w:val="4620004A"/>
    <w:rsid w:val="464C2236"/>
    <w:rsid w:val="466C5DA0"/>
    <w:rsid w:val="46FC37FA"/>
    <w:rsid w:val="47607E94"/>
    <w:rsid w:val="47633879"/>
    <w:rsid w:val="476B3D06"/>
    <w:rsid w:val="477C59F4"/>
    <w:rsid w:val="47AB06DB"/>
    <w:rsid w:val="47F91002"/>
    <w:rsid w:val="481B23A6"/>
    <w:rsid w:val="482C02AB"/>
    <w:rsid w:val="48967C7F"/>
    <w:rsid w:val="48B60321"/>
    <w:rsid w:val="48BB1493"/>
    <w:rsid w:val="496E0C41"/>
    <w:rsid w:val="4A1474F2"/>
    <w:rsid w:val="4A1E7D6C"/>
    <w:rsid w:val="4A2D63C1"/>
    <w:rsid w:val="4A794AE6"/>
    <w:rsid w:val="4A971D3C"/>
    <w:rsid w:val="4AC01AAC"/>
    <w:rsid w:val="4AC37D6C"/>
    <w:rsid w:val="4B0C247A"/>
    <w:rsid w:val="4B337A5B"/>
    <w:rsid w:val="4B76388E"/>
    <w:rsid w:val="4BB40B47"/>
    <w:rsid w:val="4BC700DB"/>
    <w:rsid w:val="4BC755A8"/>
    <w:rsid w:val="4BD42F98"/>
    <w:rsid w:val="4BE212EE"/>
    <w:rsid w:val="4BEB6533"/>
    <w:rsid w:val="4BFF5B3B"/>
    <w:rsid w:val="4C5C3163"/>
    <w:rsid w:val="4C655891"/>
    <w:rsid w:val="4C8A5D4C"/>
    <w:rsid w:val="4CB836EB"/>
    <w:rsid w:val="4CE14E7C"/>
    <w:rsid w:val="4CEB7C50"/>
    <w:rsid w:val="4D205D07"/>
    <w:rsid w:val="4D43355D"/>
    <w:rsid w:val="4D64503A"/>
    <w:rsid w:val="4D8066ED"/>
    <w:rsid w:val="4DC45C18"/>
    <w:rsid w:val="4E282E67"/>
    <w:rsid w:val="4E7520E4"/>
    <w:rsid w:val="4EDA3FB0"/>
    <w:rsid w:val="4EDB463D"/>
    <w:rsid w:val="4EF94233"/>
    <w:rsid w:val="4F0269D0"/>
    <w:rsid w:val="4F2E25A9"/>
    <w:rsid w:val="4F8253C3"/>
    <w:rsid w:val="4FCC3F86"/>
    <w:rsid w:val="502A762A"/>
    <w:rsid w:val="50664714"/>
    <w:rsid w:val="506A5C79"/>
    <w:rsid w:val="511B2E3B"/>
    <w:rsid w:val="51453FF0"/>
    <w:rsid w:val="514B1EFA"/>
    <w:rsid w:val="51664E48"/>
    <w:rsid w:val="51695F30"/>
    <w:rsid w:val="517B3EB5"/>
    <w:rsid w:val="51883031"/>
    <w:rsid w:val="51937FC5"/>
    <w:rsid w:val="51D43976"/>
    <w:rsid w:val="51DD34B6"/>
    <w:rsid w:val="5204576C"/>
    <w:rsid w:val="52181704"/>
    <w:rsid w:val="5246001F"/>
    <w:rsid w:val="5253047D"/>
    <w:rsid w:val="527230A9"/>
    <w:rsid w:val="52905E25"/>
    <w:rsid w:val="529A036B"/>
    <w:rsid w:val="539F032F"/>
    <w:rsid w:val="53AC0356"/>
    <w:rsid w:val="53B822B2"/>
    <w:rsid w:val="53F83772"/>
    <w:rsid w:val="549A17D3"/>
    <w:rsid w:val="54A03F09"/>
    <w:rsid w:val="54B113CD"/>
    <w:rsid w:val="54B23567"/>
    <w:rsid w:val="54E35E0B"/>
    <w:rsid w:val="54F16968"/>
    <w:rsid w:val="553B3AE0"/>
    <w:rsid w:val="55A76179"/>
    <w:rsid w:val="55AA3C5E"/>
    <w:rsid w:val="55B813F2"/>
    <w:rsid w:val="55C027DF"/>
    <w:rsid w:val="55C71477"/>
    <w:rsid w:val="56053BFE"/>
    <w:rsid w:val="560F39DF"/>
    <w:rsid w:val="560F58FF"/>
    <w:rsid w:val="56124A5B"/>
    <w:rsid w:val="5614073A"/>
    <w:rsid w:val="56514B65"/>
    <w:rsid w:val="56911FCC"/>
    <w:rsid w:val="569F68EB"/>
    <w:rsid w:val="56C860DD"/>
    <w:rsid w:val="56CD6F61"/>
    <w:rsid w:val="56F96316"/>
    <w:rsid w:val="573261F2"/>
    <w:rsid w:val="573A6F97"/>
    <w:rsid w:val="57694924"/>
    <w:rsid w:val="57A05E6D"/>
    <w:rsid w:val="57AE36D7"/>
    <w:rsid w:val="57BD0D84"/>
    <w:rsid w:val="57C35622"/>
    <w:rsid w:val="581035A9"/>
    <w:rsid w:val="581B545F"/>
    <w:rsid w:val="58A41BD9"/>
    <w:rsid w:val="58DC16DE"/>
    <w:rsid w:val="58DC7930"/>
    <w:rsid w:val="58FD43FD"/>
    <w:rsid w:val="590169F7"/>
    <w:rsid w:val="592A41CC"/>
    <w:rsid w:val="59396B30"/>
    <w:rsid w:val="5996123D"/>
    <w:rsid w:val="59BC21D7"/>
    <w:rsid w:val="59C55D87"/>
    <w:rsid w:val="59EE1099"/>
    <w:rsid w:val="5A0A227A"/>
    <w:rsid w:val="5A2C6C1A"/>
    <w:rsid w:val="5A6B5070"/>
    <w:rsid w:val="5A9007A0"/>
    <w:rsid w:val="5ABC1175"/>
    <w:rsid w:val="5AC8016B"/>
    <w:rsid w:val="5B00589C"/>
    <w:rsid w:val="5B316D4A"/>
    <w:rsid w:val="5B6D2AC1"/>
    <w:rsid w:val="5B876C90"/>
    <w:rsid w:val="5B8F2A37"/>
    <w:rsid w:val="5BAC3819"/>
    <w:rsid w:val="5C3929A3"/>
    <w:rsid w:val="5C471564"/>
    <w:rsid w:val="5C497C53"/>
    <w:rsid w:val="5C9D7CF4"/>
    <w:rsid w:val="5CE2303B"/>
    <w:rsid w:val="5CF60894"/>
    <w:rsid w:val="5D184522"/>
    <w:rsid w:val="5D3970FE"/>
    <w:rsid w:val="5D465377"/>
    <w:rsid w:val="5D537A94"/>
    <w:rsid w:val="5D61276E"/>
    <w:rsid w:val="5D903B1A"/>
    <w:rsid w:val="5D9D6C04"/>
    <w:rsid w:val="5DC50992"/>
    <w:rsid w:val="5DD60DF1"/>
    <w:rsid w:val="5DE129E0"/>
    <w:rsid w:val="5E015742"/>
    <w:rsid w:val="5E2F5A32"/>
    <w:rsid w:val="5E36363E"/>
    <w:rsid w:val="5E3721D5"/>
    <w:rsid w:val="5E6C081F"/>
    <w:rsid w:val="5E9345EC"/>
    <w:rsid w:val="5E96232F"/>
    <w:rsid w:val="5E9F7007"/>
    <w:rsid w:val="5EBB1D95"/>
    <w:rsid w:val="5ED427E9"/>
    <w:rsid w:val="5F4A0136"/>
    <w:rsid w:val="5FF11F12"/>
    <w:rsid w:val="603016A8"/>
    <w:rsid w:val="60BE11EE"/>
    <w:rsid w:val="612F7B48"/>
    <w:rsid w:val="61640B99"/>
    <w:rsid w:val="616E5BF4"/>
    <w:rsid w:val="61826B9A"/>
    <w:rsid w:val="61AD1E69"/>
    <w:rsid w:val="621E4B15"/>
    <w:rsid w:val="624B3430"/>
    <w:rsid w:val="624D53FA"/>
    <w:rsid w:val="62501E9F"/>
    <w:rsid w:val="627209BD"/>
    <w:rsid w:val="629923ED"/>
    <w:rsid w:val="62F12229"/>
    <w:rsid w:val="62F5430A"/>
    <w:rsid w:val="63021D41"/>
    <w:rsid w:val="63414F5F"/>
    <w:rsid w:val="636628BD"/>
    <w:rsid w:val="63A63014"/>
    <w:rsid w:val="63AD786C"/>
    <w:rsid w:val="63E4592A"/>
    <w:rsid w:val="63EB5060"/>
    <w:rsid w:val="64167D03"/>
    <w:rsid w:val="64417F69"/>
    <w:rsid w:val="646627A3"/>
    <w:rsid w:val="64794284"/>
    <w:rsid w:val="64942E6C"/>
    <w:rsid w:val="649F02AC"/>
    <w:rsid w:val="64D504D8"/>
    <w:rsid w:val="64E21E2A"/>
    <w:rsid w:val="65336B29"/>
    <w:rsid w:val="65413A7C"/>
    <w:rsid w:val="65444585"/>
    <w:rsid w:val="65776EF7"/>
    <w:rsid w:val="659E7FFB"/>
    <w:rsid w:val="65D252FA"/>
    <w:rsid w:val="65DA0D53"/>
    <w:rsid w:val="663A1628"/>
    <w:rsid w:val="663C1A0D"/>
    <w:rsid w:val="668D2269"/>
    <w:rsid w:val="668D6CDE"/>
    <w:rsid w:val="669A4213"/>
    <w:rsid w:val="66CA7019"/>
    <w:rsid w:val="66D23B6B"/>
    <w:rsid w:val="671E6DC4"/>
    <w:rsid w:val="677E1BB2"/>
    <w:rsid w:val="67BD092C"/>
    <w:rsid w:val="67DC5256"/>
    <w:rsid w:val="67EB706C"/>
    <w:rsid w:val="67F91C55"/>
    <w:rsid w:val="67FA4F92"/>
    <w:rsid w:val="682E5386"/>
    <w:rsid w:val="686C3EF2"/>
    <w:rsid w:val="689C0FA2"/>
    <w:rsid w:val="6903344E"/>
    <w:rsid w:val="6910780F"/>
    <w:rsid w:val="691B35C4"/>
    <w:rsid w:val="69482477"/>
    <w:rsid w:val="697943B3"/>
    <w:rsid w:val="69BA3375"/>
    <w:rsid w:val="69CC74F2"/>
    <w:rsid w:val="69E00043"/>
    <w:rsid w:val="6A0B5852"/>
    <w:rsid w:val="6A283D6D"/>
    <w:rsid w:val="6A3A4F52"/>
    <w:rsid w:val="6A47353F"/>
    <w:rsid w:val="6A62486A"/>
    <w:rsid w:val="6A70612A"/>
    <w:rsid w:val="6AB7694D"/>
    <w:rsid w:val="6AFA13D7"/>
    <w:rsid w:val="6B250CC2"/>
    <w:rsid w:val="6B3809FD"/>
    <w:rsid w:val="6B3A3020"/>
    <w:rsid w:val="6B7D6BEB"/>
    <w:rsid w:val="6B825C38"/>
    <w:rsid w:val="6BA27AAE"/>
    <w:rsid w:val="6BC963AC"/>
    <w:rsid w:val="6BCD1E7D"/>
    <w:rsid w:val="6BD8236E"/>
    <w:rsid w:val="6BDE4902"/>
    <w:rsid w:val="6BF6265F"/>
    <w:rsid w:val="6C010BE8"/>
    <w:rsid w:val="6C9003BD"/>
    <w:rsid w:val="6CA51654"/>
    <w:rsid w:val="6CA76999"/>
    <w:rsid w:val="6CAF118B"/>
    <w:rsid w:val="6CB527EC"/>
    <w:rsid w:val="6CEF58AE"/>
    <w:rsid w:val="6CF01952"/>
    <w:rsid w:val="6CF558E4"/>
    <w:rsid w:val="6CFC5A53"/>
    <w:rsid w:val="6D0532E9"/>
    <w:rsid w:val="6D207406"/>
    <w:rsid w:val="6D7F4CE1"/>
    <w:rsid w:val="6D967C55"/>
    <w:rsid w:val="6DAD297D"/>
    <w:rsid w:val="6DE71A59"/>
    <w:rsid w:val="6DE74955"/>
    <w:rsid w:val="6DF40E20"/>
    <w:rsid w:val="6E114579"/>
    <w:rsid w:val="6E1D5BD0"/>
    <w:rsid w:val="6E87794E"/>
    <w:rsid w:val="6E8C206E"/>
    <w:rsid w:val="6EEF6659"/>
    <w:rsid w:val="6FA83AAB"/>
    <w:rsid w:val="6FD861F7"/>
    <w:rsid w:val="703A53FA"/>
    <w:rsid w:val="708E4C68"/>
    <w:rsid w:val="70944D11"/>
    <w:rsid w:val="709866F7"/>
    <w:rsid w:val="709D01EF"/>
    <w:rsid w:val="70C2365F"/>
    <w:rsid w:val="714E7574"/>
    <w:rsid w:val="7150636D"/>
    <w:rsid w:val="71663DE2"/>
    <w:rsid w:val="718E5036"/>
    <w:rsid w:val="71AD506B"/>
    <w:rsid w:val="71CB6F3E"/>
    <w:rsid w:val="71E31D57"/>
    <w:rsid w:val="72206F55"/>
    <w:rsid w:val="722731C5"/>
    <w:rsid w:val="72730565"/>
    <w:rsid w:val="72833742"/>
    <w:rsid w:val="72B666A4"/>
    <w:rsid w:val="72CA1C2E"/>
    <w:rsid w:val="72D37D1F"/>
    <w:rsid w:val="72DF6B7C"/>
    <w:rsid w:val="72F316A6"/>
    <w:rsid w:val="730B69EF"/>
    <w:rsid w:val="73133AF6"/>
    <w:rsid w:val="73221F8B"/>
    <w:rsid w:val="7329744E"/>
    <w:rsid w:val="735E7467"/>
    <w:rsid w:val="736D487B"/>
    <w:rsid w:val="739E2EA0"/>
    <w:rsid w:val="73A47F07"/>
    <w:rsid w:val="73C00AF2"/>
    <w:rsid w:val="74A40EAA"/>
    <w:rsid w:val="74BA06CD"/>
    <w:rsid w:val="74D84FF7"/>
    <w:rsid w:val="75032818"/>
    <w:rsid w:val="750B0F29"/>
    <w:rsid w:val="75670FF3"/>
    <w:rsid w:val="75861C08"/>
    <w:rsid w:val="75BA6976"/>
    <w:rsid w:val="75D55444"/>
    <w:rsid w:val="75E52236"/>
    <w:rsid w:val="762A3496"/>
    <w:rsid w:val="763A3DF3"/>
    <w:rsid w:val="76654669"/>
    <w:rsid w:val="76854AE4"/>
    <w:rsid w:val="76B1137E"/>
    <w:rsid w:val="76CF1624"/>
    <w:rsid w:val="76DF08BF"/>
    <w:rsid w:val="76F65C09"/>
    <w:rsid w:val="772D54BE"/>
    <w:rsid w:val="774150D6"/>
    <w:rsid w:val="77561C9A"/>
    <w:rsid w:val="77CC3F35"/>
    <w:rsid w:val="7803238B"/>
    <w:rsid w:val="78224CA5"/>
    <w:rsid w:val="787A6D4A"/>
    <w:rsid w:val="788A485A"/>
    <w:rsid w:val="789456D9"/>
    <w:rsid w:val="78BB4A14"/>
    <w:rsid w:val="790F6B0E"/>
    <w:rsid w:val="79112886"/>
    <w:rsid w:val="79134850"/>
    <w:rsid w:val="79195143"/>
    <w:rsid w:val="791C3BD7"/>
    <w:rsid w:val="793A0BED"/>
    <w:rsid w:val="79A5447E"/>
    <w:rsid w:val="79DA0982"/>
    <w:rsid w:val="7A2501C8"/>
    <w:rsid w:val="7A484035"/>
    <w:rsid w:val="7A8A15BA"/>
    <w:rsid w:val="7A9D03EC"/>
    <w:rsid w:val="7AA927FD"/>
    <w:rsid w:val="7AD16BF5"/>
    <w:rsid w:val="7B0A5B5F"/>
    <w:rsid w:val="7B1117C8"/>
    <w:rsid w:val="7B30793B"/>
    <w:rsid w:val="7B56304D"/>
    <w:rsid w:val="7B744E08"/>
    <w:rsid w:val="7B7F61CD"/>
    <w:rsid w:val="7B9A0A3F"/>
    <w:rsid w:val="7BAC0F4F"/>
    <w:rsid w:val="7BB340C8"/>
    <w:rsid w:val="7BD007D6"/>
    <w:rsid w:val="7BE349AD"/>
    <w:rsid w:val="7C2979BF"/>
    <w:rsid w:val="7CC45699"/>
    <w:rsid w:val="7D16032D"/>
    <w:rsid w:val="7D31153F"/>
    <w:rsid w:val="7D5D28C9"/>
    <w:rsid w:val="7DDF111E"/>
    <w:rsid w:val="7E01167D"/>
    <w:rsid w:val="7E2D7D2A"/>
    <w:rsid w:val="7E4B683A"/>
    <w:rsid w:val="7E5307B0"/>
    <w:rsid w:val="7E6B79EA"/>
    <w:rsid w:val="7E6F1264"/>
    <w:rsid w:val="7E926217"/>
    <w:rsid w:val="7F124E0B"/>
    <w:rsid w:val="7F1C1F84"/>
    <w:rsid w:val="7F5438E6"/>
    <w:rsid w:val="7F570F9D"/>
    <w:rsid w:val="7F611BBB"/>
    <w:rsid w:val="7F72639E"/>
    <w:rsid w:val="7F7C5BBA"/>
    <w:rsid w:val="7FA206DC"/>
    <w:rsid w:val="7FA2248A"/>
    <w:rsid w:val="7FA66605"/>
    <w:rsid w:val="7FA93FF5"/>
    <w:rsid w:val="7FAF2DF8"/>
    <w:rsid w:val="7FE572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5"/>
    <w:qFormat/>
    <w:uiPriority w:val="0"/>
    <w:pPr>
      <w:widowControl/>
      <w:spacing w:before="450" w:after="100" w:afterAutospacing="1"/>
      <w:jc w:val="center"/>
      <w:outlineLvl w:val="0"/>
    </w:pPr>
    <w:rPr>
      <w:rFonts w:ascii="宋体" w:hAnsi="宋体"/>
      <w:b/>
      <w:bCs/>
      <w:kern w:val="36"/>
      <w:sz w:val="36"/>
      <w:szCs w:val="36"/>
    </w:rPr>
  </w:style>
  <w:style w:type="paragraph" w:styleId="3">
    <w:name w:val="heading 2"/>
    <w:basedOn w:val="1"/>
    <w:next w:val="1"/>
    <w:link w:val="16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67"/>
    <w:semiHidden/>
    <w:unhideWhenUsed/>
    <w:qFormat/>
    <w:uiPriority w:val="0"/>
    <w:pPr>
      <w:keepNext/>
      <w:keepLines/>
      <w:spacing w:before="260" w:after="260" w:line="416" w:lineRule="auto"/>
      <w:outlineLvl w:val="2"/>
    </w:pPr>
    <w:rPr>
      <w:b/>
      <w:bCs/>
      <w:sz w:val="32"/>
      <w:szCs w:val="32"/>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link w:val="163"/>
    <w:semiHidden/>
    <w:qFormat/>
    <w:uiPriority w:val="99"/>
    <w:pPr>
      <w:shd w:val="clear" w:color="auto" w:fill="000080"/>
    </w:pPr>
  </w:style>
  <w:style w:type="paragraph" w:styleId="10">
    <w:name w:val="annotation text"/>
    <w:basedOn w:val="1"/>
    <w:link w:val="149"/>
    <w:qFormat/>
    <w:uiPriority w:val="99"/>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link w:val="168"/>
    <w:semiHidden/>
    <w:unhideWhenUsed/>
    <w:qFormat/>
    <w:uiPriority w:val="0"/>
    <w:pPr>
      <w:spacing w:after="120"/>
    </w:pPr>
  </w:style>
  <w:style w:type="paragraph" w:styleId="13">
    <w:name w:val="Body Text Indent"/>
    <w:basedOn w:val="1"/>
    <w:link w:val="160"/>
    <w:semiHidden/>
    <w:qFormat/>
    <w:uiPriority w:val="0"/>
    <w:pPr>
      <w:spacing w:line="440" w:lineRule="exact"/>
      <w:ind w:firstLine="555"/>
      <w:outlineLvl w:val="0"/>
    </w:pPr>
    <w:rPr>
      <w:rFonts w:ascii="仿宋_GB2312" w:eastAsia="仿宋_GB2312"/>
      <w:kern w:val="0"/>
      <w:sz w:val="28"/>
      <w:szCs w:val="20"/>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semiHidden/>
    <w:qFormat/>
    <w:uiPriority w:val="0"/>
    <w:pPr>
      <w:tabs>
        <w:tab w:val="right" w:leader="dot" w:pos="9241"/>
      </w:tabs>
      <w:ind w:firstLine="300" w:firstLineChars="300"/>
      <w:jc w:val="left"/>
    </w:pPr>
    <w:rPr>
      <w:rFonts w:ascii="宋体"/>
      <w:szCs w:val="21"/>
    </w:rPr>
  </w:style>
  <w:style w:type="paragraph" w:styleId="16">
    <w:name w:val="toc 3"/>
    <w:basedOn w:val="1"/>
    <w:next w:val="1"/>
    <w:qFormat/>
    <w:uiPriority w:val="39"/>
    <w:pPr>
      <w:tabs>
        <w:tab w:val="right" w:leader="dot" w:pos="9241"/>
      </w:tabs>
      <w:ind w:firstLine="100" w:firstLineChars="100"/>
      <w:jc w:val="left"/>
    </w:pPr>
    <w:rPr>
      <w:rFonts w:ascii="宋体"/>
      <w:szCs w:val="21"/>
    </w:rPr>
  </w:style>
  <w:style w:type="paragraph" w:styleId="17">
    <w:name w:val="toc 8"/>
    <w:basedOn w:val="1"/>
    <w:next w:val="1"/>
    <w:semiHidden/>
    <w:qFormat/>
    <w:uiPriority w:val="0"/>
    <w:pPr>
      <w:tabs>
        <w:tab w:val="right" w:leader="dot" w:pos="9241"/>
      </w:tabs>
      <w:ind w:firstLine="607" w:firstLineChars="600"/>
      <w:jc w:val="left"/>
    </w:pPr>
    <w:rPr>
      <w:rFonts w:ascii="宋体"/>
      <w:szCs w:val="21"/>
    </w:rPr>
  </w:style>
  <w:style w:type="paragraph" w:styleId="18">
    <w:name w:val="index 3"/>
    <w:basedOn w:val="1"/>
    <w:next w:val="1"/>
    <w:qFormat/>
    <w:uiPriority w:val="0"/>
    <w:pPr>
      <w:ind w:left="630" w:hanging="210"/>
      <w:jc w:val="left"/>
    </w:pPr>
    <w:rPr>
      <w:rFonts w:ascii="Calibri" w:hAnsi="Calibri"/>
      <w:sz w:val="20"/>
      <w:szCs w:val="20"/>
    </w:rPr>
  </w:style>
  <w:style w:type="paragraph" w:styleId="19">
    <w:name w:val="Date"/>
    <w:basedOn w:val="1"/>
    <w:next w:val="1"/>
    <w:link w:val="154"/>
    <w:unhideWhenUsed/>
    <w:qFormat/>
    <w:uiPriority w:val="99"/>
    <w:pPr>
      <w:ind w:left="100" w:leftChars="2500"/>
    </w:pPr>
    <w:rPr>
      <w:rFonts w:ascii="Calibri" w:hAnsi="Calibri"/>
      <w:szCs w:val="22"/>
    </w:rPr>
  </w:style>
  <w:style w:type="paragraph" w:styleId="20">
    <w:name w:val="endnote text"/>
    <w:basedOn w:val="1"/>
    <w:semiHidden/>
    <w:qFormat/>
    <w:uiPriority w:val="0"/>
    <w:pPr>
      <w:snapToGrid w:val="0"/>
      <w:jc w:val="left"/>
    </w:pPr>
  </w:style>
  <w:style w:type="paragraph" w:styleId="21">
    <w:name w:val="Balloon Text"/>
    <w:basedOn w:val="1"/>
    <w:link w:val="146"/>
    <w:qFormat/>
    <w:uiPriority w:val="99"/>
    <w:rPr>
      <w:sz w:val="18"/>
      <w:szCs w:val="18"/>
    </w:rPr>
  </w:style>
  <w:style w:type="paragraph" w:styleId="22">
    <w:name w:val="footer"/>
    <w:basedOn w:val="1"/>
    <w:link w:val="147"/>
    <w:qFormat/>
    <w:uiPriority w:val="99"/>
    <w:pPr>
      <w:snapToGrid w:val="0"/>
      <w:ind w:right="210" w:rightChars="100"/>
      <w:jc w:val="right"/>
    </w:pPr>
    <w:rPr>
      <w:sz w:val="18"/>
      <w:szCs w:val="18"/>
    </w:rPr>
  </w:style>
  <w:style w:type="paragraph" w:styleId="23">
    <w:name w:val="header"/>
    <w:basedOn w:val="1"/>
    <w:link w:val="151"/>
    <w:qFormat/>
    <w:uiPriority w:val="99"/>
    <w:pPr>
      <w:snapToGrid w:val="0"/>
      <w:jc w:val="left"/>
    </w:pPr>
    <w:rPr>
      <w:sz w:val="18"/>
      <w:szCs w:val="18"/>
    </w:rPr>
  </w:style>
  <w:style w:type="paragraph" w:styleId="24">
    <w:name w:val="toc 1"/>
    <w:basedOn w:val="1"/>
    <w:next w:val="1"/>
    <w:qFormat/>
    <w:uiPriority w:val="39"/>
    <w:pPr>
      <w:tabs>
        <w:tab w:val="right" w:leader="dot" w:pos="9242"/>
      </w:tabs>
      <w:spacing w:beforeLines="25" w:afterLines="25"/>
      <w:jc w:val="left"/>
    </w:pPr>
    <w:rPr>
      <w:rFonts w:ascii="宋体"/>
      <w:szCs w:val="21"/>
    </w:rPr>
  </w:style>
  <w:style w:type="paragraph" w:styleId="25">
    <w:name w:val="toc 4"/>
    <w:basedOn w:val="1"/>
    <w:next w:val="1"/>
    <w:semiHidden/>
    <w:qFormat/>
    <w:uiPriority w:val="0"/>
    <w:pPr>
      <w:tabs>
        <w:tab w:val="right" w:leader="dot" w:pos="9241"/>
      </w:tabs>
      <w:ind w:firstLine="200" w:firstLineChars="200"/>
      <w:jc w:val="left"/>
    </w:pPr>
    <w:rPr>
      <w:rFonts w:ascii="宋体"/>
      <w:szCs w:val="21"/>
    </w:rPr>
  </w:style>
  <w:style w:type="paragraph" w:styleId="26">
    <w:name w:val="index heading"/>
    <w:basedOn w:val="1"/>
    <w:next w:val="27"/>
    <w:qFormat/>
    <w:uiPriority w:val="0"/>
    <w:pPr>
      <w:spacing w:before="120" w:after="120"/>
      <w:jc w:val="center"/>
    </w:pPr>
    <w:rPr>
      <w:rFonts w:ascii="Calibri" w:hAnsi="Calibri"/>
      <w:b/>
      <w:bCs/>
      <w:iCs/>
      <w:szCs w:val="20"/>
    </w:rPr>
  </w:style>
  <w:style w:type="paragraph" w:styleId="27">
    <w:name w:val="index 1"/>
    <w:basedOn w:val="1"/>
    <w:next w:val="28"/>
    <w:qFormat/>
    <w:uiPriority w:val="0"/>
    <w:pPr>
      <w:tabs>
        <w:tab w:val="right" w:leader="dot" w:pos="9299"/>
      </w:tabs>
      <w:jc w:val="left"/>
    </w:pPr>
    <w:rPr>
      <w:rFonts w:ascii="宋体"/>
      <w:szCs w:val="21"/>
    </w:rPr>
  </w:style>
  <w:style w:type="paragraph" w:customStyle="1" w:styleId="28">
    <w:name w:val="段"/>
    <w:link w:val="4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qFormat/>
    <w:uiPriority w:val="0"/>
    <w:pPr>
      <w:numPr>
        <w:ilvl w:val="0"/>
        <w:numId w:val="1"/>
      </w:numPr>
      <w:snapToGrid w:val="0"/>
      <w:jc w:val="left"/>
    </w:pPr>
    <w:rPr>
      <w:rFonts w:ascii="宋体"/>
      <w:sz w:val="18"/>
      <w:szCs w:val="18"/>
    </w:rPr>
  </w:style>
  <w:style w:type="paragraph" w:styleId="30">
    <w:name w:val="toc 6"/>
    <w:basedOn w:val="1"/>
    <w:next w:val="1"/>
    <w:semiHidden/>
    <w:qFormat/>
    <w:uiPriority w:val="0"/>
    <w:pPr>
      <w:tabs>
        <w:tab w:val="right" w:leader="dot" w:pos="9241"/>
      </w:tabs>
      <w:ind w:firstLine="400" w:firstLineChars="400"/>
      <w:jc w:val="left"/>
    </w:pPr>
    <w:rPr>
      <w:rFonts w:ascii="宋体"/>
      <w:szCs w:val="21"/>
    </w:rPr>
  </w:style>
  <w:style w:type="paragraph" w:styleId="31">
    <w:name w:val="index 7"/>
    <w:basedOn w:val="1"/>
    <w:next w:val="1"/>
    <w:qFormat/>
    <w:uiPriority w:val="0"/>
    <w:pPr>
      <w:ind w:left="1470" w:hanging="210"/>
      <w:jc w:val="left"/>
    </w:pPr>
    <w:rPr>
      <w:rFonts w:ascii="Calibri" w:hAnsi="Calibri"/>
      <w:sz w:val="20"/>
      <w:szCs w:val="20"/>
    </w:rPr>
  </w:style>
  <w:style w:type="paragraph" w:styleId="32">
    <w:name w:val="index 9"/>
    <w:basedOn w:val="1"/>
    <w:next w:val="1"/>
    <w:qFormat/>
    <w:uiPriority w:val="0"/>
    <w:pPr>
      <w:ind w:left="1890" w:hanging="210"/>
      <w:jc w:val="left"/>
    </w:pPr>
    <w:rPr>
      <w:rFonts w:ascii="Calibri" w:hAnsi="Calibri"/>
      <w:sz w:val="20"/>
      <w:szCs w:val="20"/>
    </w:rPr>
  </w:style>
  <w:style w:type="paragraph" w:styleId="33">
    <w:name w:val="toc 2"/>
    <w:basedOn w:val="1"/>
    <w:next w:val="1"/>
    <w:qFormat/>
    <w:uiPriority w:val="39"/>
    <w:pPr>
      <w:tabs>
        <w:tab w:val="right" w:leader="dot" w:pos="9242"/>
      </w:tabs>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HTML Preformatted"/>
    <w:basedOn w:val="1"/>
    <w:link w:val="15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7">
    <w:name w:val="index 2"/>
    <w:basedOn w:val="1"/>
    <w:next w:val="1"/>
    <w:qFormat/>
    <w:uiPriority w:val="0"/>
    <w:pPr>
      <w:ind w:left="420" w:hanging="210"/>
      <w:jc w:val="left"/>
    </w:pPr>
    <w:rPr>
      <w:rFonts w:ascii="Calibri" w:hAnsi="Calibri"/>
      <w:sz w:val="20"/>
      <w:szCs w:val="20"/>
    </w:rPr>
  </w:style>
  <w:style w:type="paragraph" w:styleId="38">
    <w:name w:val="annotation subject"/>
    <w:basedOn w:val="10"/>
    <w:next w:val="10"/>
    <w:link w:val="150"/>
    <w:qFormat/>
    <w:uiPriority w:val="99"/>
    <w:rPr>
      <w:b/>
      <w:bCs/>
    </w:rPr>
  </w:style>
  <w:style w:type="table" w:styleId="40">
    <w:name w:val="Table Grid"/>
    <w:basedOn w:val="39"/>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2">
    <w:name w:val="endnote reference"/>
    <w:basedOn w:val="41"/>
    <w:semiHidden/>
    <w:qFormat/>
    <w:uiPriority w:val="0"/>
    <w:rPr>
      <w:vertAlign w:val="superscript"/>
    </w:rPr>
  </w:style>
  <w:style w:type="character" w:styleId="43">
    <w:name w:val="page number"/>
    <w:basedOn w:val="41"/>
    <w:qFormat/>
    <w:uiPriority w:val="0"/>
    <w:rPr>
      <w:rFonts w:ascii="Times New Roman" w:hAnsi="Times New Roman" w:eastAsia="宋体"/>
      <w:sz w:val="18"/>
    </w:rPr>
  </w:style>
  <w:style w:type="character" w:styleId="44">
    <w:name w:val="FollowedHyperlink"/>
    <w:basedOn w:val="41"/>
    <w:qFormat/>
    <w:uiPriority w:val="0"/>
    <w:rPr>
      <w:color w:val="800080"/>
      <w:u w:val="single"/>
    </w:rPr>
  </w:style>
  <w:style w:type="character" w:styleId="45">
    <w:name w:val="Emphasis"/>
    <w:basedOn w:val="41"/>
    <w:qFormat/>
    <w:uiPriority w:val="20"/>
    <w:rPr>
      <w:i/>
      <w:iCs/>
    </w:rPr>
  </w:style>
  <w:style w:type="character" w:styleId="46">
    <w:name w:val="Hyperlink"/>
    <w:basedOn w:val="41"/>
    <w:qFormat/>
    <w:uiPriority w:val="99"/>
    <w:rPr>
      <w:color w:val="0000FF"/>
      <w:spacing w:val="0"/>
      <w:w w:val="100"/>
      <w:szCs w:val="21"/>
      <w:u w:val="single"/>
    </w:rPr>
  </w:style>
  <w:style w:type="character" w:styleId="47">
    <w:name w:val="annotation reference"/>
    <w:basedOn w:val="41"/>
    <w:qFormat/>
    <w:uiPriority w:val="99"/>
    <w:rPr>
      <w:sz w:val="21"/>
      <w:szCs w:val="21"/>
    </w:rPr>
  </w:style>
  <w:style w:type="character" w:styleId="48">
    <w:name w:val="footnote reference"/>
    <w:basedOn w:val="41"/>
    <w:semiHidden/>
    <w:qFormat/>
    <w:uiPriority w:val="0"/>
    <w:rPr>
      <w:vertAlign w:val="superscript"/>
    </w:rPr>
  </w:style>
  <w:style w:type="character" w:customStyle="1" w:styleId="49">
    <w:name w:val="段 Char"/>
    <w:basedOn w:val="41"/>
    <w:link w:val="28"/>
    <w:qFormat/>
    <w:uiPriority w:val="0"/>
    <w:rPr>
      <w:rFonts w:ascii="宋体"/>
      <w:sz w:val="21"/>
      <w:lang w:val="en-US" w:eastAsia="zh-CN" w:bidi="ar-SA"/>
    </w:rPr>
  </w:style>
  <w:style w:type="paragraph" w:customStyle="1" w:styleId="50">
    <w:name w:val="一级条标题"/>
    <w:next w:val="28"/>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51">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2">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3">
    <w:name w:val="章标题"/>
    <w:next w:val="28"/>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54">
    <w:name w:val="二级条标题"/>
    <w:basedOn w:val="50"/>
    <w:next w:val="28"/>
    <w:qFormat/>
    <w:uiPriority w:val="0"/>
    <w:pPr>
      <w:spacing w:before="50" w:after="50"/>
      <w:outlineLvl w:val="3"/>
    </w:pPr>
  </w:style>
  <w:style w:type="paragraph" w:customStyle="1" w:styleId="55">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6">
    <w:name w:val="列项——（一级）"/>
    <w:qFormat/>
    <w:uiPriority w:val="0"/>
    <w:pPr>
      <w:widowControl w:val="0"/>
      <w:numPr>
        <w:ilvl w:val="0"/>
        <w:numId w:val="2"/>
      </w:numPr>
      <w:jc w:val="both"/>
    </w:pPr>
    <w:rPr>
      <w:rFonts w:ascii="宋体" w:hAnsi="Times New Roman" w:eastAsia="宋体" w:cs="Times New Roman"/>
      <w:sz w:val="21"/>
      <w:lang w:val="en-US" w:eastAsia="zh-CN" w:bidi="ar-SA"/>
    </w:rPr>
  </w:style>
  <w:style w:type="paragraph" w:customStyle="1" w:styleId="57">
    <w:name w:val="列项●（二级）"/>
    <w:qFormat/>
    <w:uiPriority w:val="0"/>
    <w:pPr>
      <w:numPr>
        <w:ilvl w:val="1"/>
        <w:numId w:val="2"/>
      </w:numPr>
      <w:tabs>
        <w:tab w:val="left" w:pos="840"/>
      </w:tabs>
      <w:jc w:val="both"/>
    </w:pPr>
    <w:rPr>
      <w:rFonts w:ascii="宋体" w:hAnsi="Times New Roman" w:eastAsia="宋体" w:cs="Times New Roman"/>
      <w:sz w:val="21"/>
      <w:lang w:val="en-US" w:eastAsia="zh-CN" w:bidi="ar-SA"/>
    </w:rPr>
  </w:style>
  <w:style w:type="paragraph" w:customStyle="1" w:styleId="58">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9">
    <w:name w:val="三级条标题"/>
    <w:basedOn w:val="54"/>
    <w:next w:val="28"/>
    <w:qFormat/>
    <w:uiPriority w:val="0"/>
    <w:pPr>
      <w:outlineLvl w:val="4"/>
    </w:pPr>
  </w:style>
  <w:style w:type="paragraph" w:customStyle="1" w:styleId="60">
    <w:name w:val="示例"/>
    <w:next w:val="61"/>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61">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2">
    <w:name w:val="数字编号列项（二级）"/>
    <w:qFormat/>
    <w:uiPriority w:val="0"/>
    <w:pPr>
      <w:numPr>
        <w:ilvl w:val="1"/>
        <w:numId w:val="3"/>
      </w:numPr>
      <w:jc w:val="both"/>
    </w:pPr>
    <w:rPr>
      <w:rFonts w:ascii="宋体" w:hAnsi="Times New Roman" w:eastAsia="宋体" w:cs="Times New Roman"/>
      <w:sz w:val="21"/>
      <w:lang w:val="en-US" w:eastAsia="zh-CN" w:bidi="ar-SA"/>
    </w:rPr>
  </w:style>
  <w:style w:type="paragraph" w:customStyle="1" w:styleId="63">
    <w:name w:val="四级条标题"/>
    <w:basedOn w:val="59"/>
    <w:next w:val="28"/>
    <w:qFormat/>
    <w:uiPriority w:val="0"/>
    <w:pPr>
      <w:outlineLvl w:val="5"/>
    </w:pPr>
  </w:style>
  <w:style w:type="paragraph" w:customStyle="1" w:styleId="64">
    <w:name w:val="五级条标题"/>
    <w:basedOn w:val="63"/>
    <w:next w:val="28"/>
    <w:qFormat/>
    <w:uiPriority w:val="0"/>
    <w:pPr>
      <w:outlineLvl w:val="6"/>
    </w:pPr>
  </w:style>
  <w:style w:type="paragraph" w:customStyle="1" w:styleId="65">
    <w:name w:val="注："/>
    <w:next w:val="28"/>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6">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7">
    <w:name w:val="字母编号列项（一级）"/>
    <w:qFormat/>
    <w:uiPriority w:val="0"/>
    <w:pPr>
      <w:numPr>
        <w:ilvl w:val="0"/>
        <w:numId w:val="3"/>
      </w:numPr>
      <w:jc w:val="both"/>
    </w:pPr>
    <w:rPr>
      <w:rFonts w:ascii="宋体" w:hAnsi="Times New Roman" w:eastAsia="宋体" w:cs="Times New Roman"/>
      <w:sz w:val="21"/>
      <w:lang w:val="en-US" w:eastAsia="zh-CN" w:bidi="ar-SA"/>
    </w:rPr>
  </w:style>
  <w:style w:type="paragraph" w:customStyle="1" w:styleId="68">
    <w:name w:val="列项◆（三级）"/>
    <w:basedOn w:val="1"/>
    <w:qFormat/>
    <w:uiPriority w:val="0"/>
    <w:pPr>
      <w:numPr>
        <w:ilvl w:val="2"/>
        <w:numId w:val="2"/>
      </w:numPr>
    </w:pPr>
    <w:rPr>
      <w:rFonts w:ascii="宋体"/>
      <w:szCs w:val="21"/>
    </w:rPr>
  </w:style>
  <w:style w:type="paragraph" w:customStyle="1" w:styleId="69">
    <w:name w:val="编号列项（三级）"/>
    <w:qFormat/>
    <w:uiPriority w:val="0"/>
    <w:pPr>
      <w:numPr>
        <w:ilvl w:val="2"/>
        <w:numId w:val="3"/>
      </w:numPr>
    </w:pPr>
    <w:rPr>
      <w:rFonts w:ascii="宋体" w:hAnsi="Times New Roman" w:eastAsia="宋体" w:cs="Times New Roman"/>
      <w:sz w:val="21"/>
      <w:lang w:val="en-US" w:eastAsia="zh-CN" w:bidi="ar-SA"/>
    </w:rPr>
  </w:style>
  <w:style w:type="paragraph" w:customStyle="1" w:styleId="70">
    <w:name w:val="示例×："/>
    <w:basedOn w:val="53"/>
    <w:qFormat/>
    <w:uiPriority w:val="0"/>
    <w:pPr>
      <w:spacing w:beforeLines="0" w:afterLines="0"/>
      <w:ind w:firstLine="363"/>
      <w:outlineLvl w:val="9"/>
    </w:pPr>
    <w:rPr>
      <w:rFonts w:ascii="宋体" w:eastAsia="宋体"/>
      <w:sz w:val="18"/>
      <w:szCs w:val="18"/>
    </w:rPr>
  </w:style>
  <w:style w:type="paragraph" w:customStyle="1" w:styleId="71">
    <w:name w:val="二级无"/>
    <w:basedOn w:val="54"/>
    <w:qFormat/>
    <w:uiPriority w:val="0"/>
    <w:pPr>
      <w:spacing w:beforeLines="0" w:afterLines="0"/>
    </w:pPr>
    <w:rPr>
      <w:rFonts w:ascii="宋体" w:eastAsia="宋体"/>
    </w:rPr>
  </w:style>
  <w:style w:type="paragraph" w:customStyle="1" w:styleId="72">
    <w:name w:val="注：（正文）"/>
    <w:basedOn w:val="65"/>
    <w:next w:val="28"/>
    <w:qFormat/>
    <w:uiPriority w:val="0"/>
  </w:style>
  <w:style w:type="paragraph" w:customStyle="1" w:styleId="73">
    <w:name w:val="注×：（正文）"/>
    <w:qFormat/>
    <w:uiPriority w:val="0"/>
    <w:pPr>
      <w:numPr>
        <w:ilvl w:val="0"/>
        <w:numId w:val="4"/>
      </w:numPr>
      <w:jc w:val="both"/>
    </w:pPr>
    <w:rPr>
      <w:rFonts w:ascii="宋体" w:hAnsi="Times New Roman" w:eastAsia="宋体" w:cs="Times New Roman"/>
      <w:sz w:val="18"/>
      <w:szCs w:val="18"/>
      <w:lang w:val="en-US" w:eastAsia="zh-CN" w:bidi="ar-SA"/>
    </w:rPr>
  </w:style>
  <w:style w:type="paragraph" w:customStyle="1" w:styleId="7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5">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7">
    <w:name w:val="标准书眉_偶数页"/>
    <w:basedOn w:val="52"/>
    <w:next w:val="1"/>
    <w:qFormat/>
    <w:uiPriority w:val="0"/>
    <w:pPr>
      <w:jc w:val="left"/>
    </w:pPr>
  </w:style>
  <w:style w:type="paragraph" w:customStyle="1" w:styleId="78">
    <w:name w:val="标准书眉一"/>
    <w:qFormat/>
    <w:uiPriority w:val="0"/>
    <w:pPr>
      <w:jc w:val="both"/>
    </w:pPr>
    <w:rPr>
      <w:rFonts w:ascii="Times New Roman" w:hAnsi="Times New Roman" w:eastAsia="宋体" w:cs="Times New Roman"/>
      <w:lang w:val="en-US" w:eastAsia="zh-CN" w:bidi="ar-SA"/>
    </w:rPr>
  </w:style>
  <w:style w:type="paragraph" w:customStyle="1" w:styleId="79">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0">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1">
    <w:name w:val="发布"/>
    <w:basedOn w:val="41"/>
    <w:qFormat/>
    <w:uiPriority w:val="0"/>
    <w:rPr>
      <w:rFonts w:ascii="黑体" w:eastAsia="黑体"/>
      <w:spacing w:val="85"/>
      <w:w w:val="100"/>
      <w:position w:val="3"/>
      <w:sz w:val="28"/>
      <w:szCs w:val="28"/>
    </w:rPr>
  </w:style>
  <w:style w:type="paragraph" w:customStyle="1" w:styleId="82">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7">
    <w:name w:val="封面标准英文名称"/>
    <w:basedOn w:val="86"/>
    <w:qFormat/>
    <w:uiPriority w:val="0"/>
    <w:pPr>
      <w:framePr w:wrap="around"/>
      <w:spacing w:before="370" w:line="400" w:lineRule="exact"/>
    </w:pPr>
    <w:rPr>
      <w:rFonts w:ascii="Times New Roman"/>
      <w:sz w:val="28"/>
      <w:szCs w:val="28"/>
    </w:rPr>
  </w:style>
  <w:style w:type="paragraph" w:customStyle="1" w:styleId="88">
    <w:name w:val="封面一致性程度标识"/>
    <w:basedOn w:val="87"/>
    <w:qFormat/>
    <w:uiPriority w:val="0"/>
    <w:pPr>
      <w:framePr w:wrap="around"/>
      <w:spacing w:before="440"/>
    </w:pPr>
    <w:rPr>
      <w:rFonts w:ascii="宋体" w:eastAsia="宋体"/>
    </w:rPr>
  </w:style>
  <w:style w:type="paragraph" w:customStyle="1" w:styleId="89">
    <w:name w:val="封面标准文稿类别"/>
    <w:basedOn w:val="88"/>
    <w:qFormat/>
    <w:uiPriority w:val="0"/>
    <w:pPr>
      <w:framePr w:wrap="around"/>
      <w:spacing w:after="160" w:line="240" w:lineRule="auto"/>
    </w:pPr>
    <w:rPr>
      <w:sz w:val="24"/>
    </w:rPr>
  </w:style>
  <w:style w:type="paragraph" w:customStyle="1" w:styleId="90">
    <w:name w:val="封面标准文稿编辑信息"/>
    <w:basedOn w:val="89"/>
    <w:qFormat/>
    <w:uiPriority w:val="0"/>
    <w:pPr>
      <w:framePr w:wrap="around"/>
      <w:spacing w:before="180" w:line="180" w:lineRule="exact"/>
    </w:pPr>
    <w:rPr>
      <w:sz w:val="21"/>
    </w:rPr>
  </w:style>
  <w:style w:type="paragraph" w:customStyle="1" w:styleId="91">
    <w:name w:val="封面正文"/>
    <w:qFormat/>
    <w:uiPriority w:val="0"/>
    <w:pPr>
      <w:jc w:val="both"/>
    </w:pPr>
    <w:rPr>
      <w:rFonts w:ascii="Times New Roman" w:hAnsi="Times New Roman" w:eastAsia="宋体" w:cs="Times New Roman"/>
      <w:lang w:val="en-US" w:eastAsia="zh-CN" w:bidi="ar-SA"/>
    </w:rPr>
  </w:style>
  <w:style w:type="paragraph" w:customStyle="1" w:styleId="92">
    <w:name w:val="附录标识"/>
    <w:basedOn w:val="1"/>
    <w:next w:val="28"/>
    <w:qFormat/>
    <w:uiPriority w:val="0"/>
    <w:pPr>
      <w:keepNext/>
      <w:widowControl/>
      <w:numPr>
        <w:ilvl w:val="0"/>
        <w:numId w:val="5"/>
      </w:numPr>
      <w:shd w:val="clear" w:color="FFFFFF" w:fill="FFFFFF"/>
      <w:tabs>
        <w:tab w:val="left" w:pos="360"/>
        <w:tab w:val="left" w:pos="6405"/>
      </w:tabs>
      <w:spacing w:before="640" w:after="280"/>
      <w:ind w:left="0"/>
      <w:jc w:val="center"/>
      <w:outlineLvl w:val="0"/>
    </w:pPr>
    <w:rPr>
      <w:rFonts w:ascii="黑体" w:eastAsia="黑体"/>
      <w:kern w:val="0"/>
      <w:szCs w:val="20"/>
    </w:rPr>
  </w:style>
  <w:style w:type="paragraph" w:customStyle="1" w:styleId="93">
    <w:name w:val="附录标题"/>
    <w:basedOn w:val="28"/>
    <w:next w:val="28"/>
    <w:qFormat/>
    <w:uiPriority w:val="0"/>
    <w:pPr>
      <w:ind w:firstLine="0" w:firstLineChars="0"/>
      <w:jc w:val="center"/>
    </w:pPr>
    <w:rPr>
      <w:rFonts w:ascii="黑体" w:eastAsia="黑体"/>
    </w:rPr>
  </w:style>
  <w:style w:type="paragraph" w:customStyle="1" w:styleId="94">
    <w:name w:val="附录表标号"/>
    <w:basedOn w:val="1"/>
    <w:next w:val="28"/>
    <w:qFormat/>
    <w:uiPriority w:val="0"/>
    <w:pPr>
      <w:numPr>
        <w:ilvl w:val="0"/>
        <w:numId w:val="6"/>
      </w:numPr>
      <w:tabs>
        <w:tab w:val="clear" w:pos="0"/>
      </w:tabs>
      <w:spacing w:line="14" w:lineRule="exact"/>
      <w:ind w:left="811" w:hanging="448"/>
      <w:jc w:val="center"/>
      <w:outlineLvl w:val="0"/>
    </w:pPr>
    <w:rPr>
      <w:color w:val="FFFFFF"/>
    </w:rPr>
  </w:style>
  <w:style w:type="paragraph" w:customStyle="1" w:styleId="95">
    <w:name w:val="附录表标题"/>
    <w:basedOn w:val="1"/>
    <w:next w:val="28"/>
    <w:qFormat/>
    <w:uiPriority w:val="0"/>
    <w:pPr>
      <w:numPr>
        <w:ilvl w:val="1"/>
        <w:numId w:val="6"/>
      </w:numPr>
      <w:spacing w:beforeLines="50" w:afterLines="50"/>
      <w:jc w:val="center"/>
    </w:pPr>
    <w:rPr>
      <w:rFonts w:ascii="黑体" w:eastAsia="黑体"/>
      <w:szCs w:val="21"/>
    </w:rPr>
  </w:style>
  <w:style w:type="paragraph" w:customStyle="1" w:styleId="96">
    <w:name w:val="附录二级条标题"/>
    <w:basedOn w:val="1"/>
    <w:next w:val="28"/>
    <w:qFormat/>
    <w:uiPriority w:val="0"/>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7">
    <w:name w:val="附录二级无"/>
    <w:basedOn w:val="96"/>
    <w:qFormat/>
    <w:uiPriority w:val="0"/>
    <w:pPr>
      <w:tabs>
        <w:tab w:val="clear" w:pos="360"/>
      </w:tabs>
      <w:spacing w:beforeLines="0" w:afterLines="0"/>
    </w:pPr>
    <w:rPr>
      <w:rFonts w:ascii="宋体" w:eastAsia="宋体"/>
      <w:szCs w:val="21"/>
    </w:rPr>
  </w:style>
  <w:style w:type="paragraph" w:customStyle="1" w:styleId="98">
    <w:name w:val="附录公式"/>
    <w:basedOn w:val="28"/>
    <w:next w:val="28"/>
    <w:link w:val="99"/>
    <w:qFormat/>
    <w:uiPriority w:val="0"/>
  </w:style>
  <w:style w:type="character" w:customStyle="1" w:styleId="99">
    <w:name w:val="附录公式 Char"/>
    <w:basedOn w:val="49"/>
    <w:link w:val="98"/>
    <w:qFormat/>
    <w:uiPriority w:val="0"/>
    <w:rPr>
      <w:rFonts w:ascii="宋体"/>
      <w:sz w:val="21"/>
      <w:lang w:val="en-US" w:eastAsia="zh-CN" w:bidi="ar-SA"/>
    </w:rPr>
  </w:style>
  <w:style w:type="paragraph" w:customStyle="1" w:styleId="100">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101">
    <w:name w:val="附录三级条标题"/>
    <w:basedOn w:val="96"/>
    <w:next w:val="28"/>
    <w:qFormat/>
    <w:uiPriority w:val="0"/>
    <w:pPr>
      <w:numPr>
        <w:ilvl w:val="4"/>
      </w:numPr>
      <w:outlineLvl w:val="4"/>
    </w:pPr>
  </w:style>
  <w:style w:type="paragraph" w:customStyle="1" w:styleId="102">
    <w:name w:val="附录三级无"/>
    <w:basedOn w:val="101"/>
    <w:qFormat/>
    <w:uiPriority w:val="0"/>
    <w:pPr>
      <w:tabs>
        <w:tab w:val="clear" w:pos="360"/>
      </w:tabs>
      <w:spacing w:beforeLines="0" w:afterLines="0"/>
    </w:pPr>
    <w:rPr>
      <w:rFonts w:ascii="宋体" w:eastAsia="宋体"/>
      <w:szCs w:val="21"/>
    </w:rPr>
  </w:style>
  <w:style w:type="paragraph" w:customStyle="1" w:styleId="103">
    <w:name w:val="附录数字编号列项（二级）"/>
    <w:qFormat/>
    <w:uiPriority w:val="0"/>
    <w:pPr>
      <w:numPr>
        <w:ilvl w:val="1"/>
        <w:numId w:val="7"/>
      </w:numPr>
    </w:pPr>
    <w:rPr>
      <w:rFonts w:ascii="宋体" w:hAnsi="Times New Roman" w:eastAsia="宋体" w:cs="Times New Roman"/>
      <w:sz w:val="21"/>
      <w:lang w:val="en-US" w:eastAsia="zh-CN" w:bidi="ar-SA"/>
    </w:rPr>
  </w:style>
  <w:style w:type="paragraph" w:customStyle="1" w:styleId="104">
    <w:name w:val="附录四级条标题"/>
    <w:basedOn w:val="101"/>
    <w:next w:val="28"/>
    <w:qFormat/>
    <w:uiPriority w:val="0"/>
    <w:pPr>
      <w:numPr>
        <w:ilvl w:val="5"/>
      </w:numPr>
      <w:outlineLvl w:val="5"/>
    </w:pPr>
  </w:style>
  <w:style w:type="paragraph" w:customStyle="1" w:styleId="105">
    <w:name w:val="附录四级无"/>
    <w:basedOn w:val="104"/>
    <w:qFormat/>
    <w:uiPriority w:val="0"/>
    <w:pPr>
      <w:tabs>
        <w:tab w:val="clear" w:pos="360"/>
      </w:tabs>
      <w:spacing w:beforeLines="0" w:afterLines="0"/>
    </w:pPr>
    <w:rPr>
      <w:rFonts w:ascii="宋体" w:eastAsia="宋体"/>
      <w:szCs w:val="21"/>
    </w:rPr>
  </w:style>
  <w:style w:type="paragraph" w:customStyle="1" w:styleId="106">
    <w:name w:val="附录图标号"/>
    <w:basedOn w:val="1"/>
    <w:qFormat/>
    <w:uiPriority w:val="0"/>
    <w:pPr>
      <w:keepNext/>
      <w:pageBreakBefore/>
      <w:widowControl/>
      <w:numPr>
        <w:ilvl w:val="0"/>
        <w:numId w:val="8"/>
      </w:numPr>
      <w:spacing w:line="14" w:lineRule="exact"/>
      <w:ind w:left="0" w:firstLine="363"/>
      <w:jc w:val="center"/>
      <w:outlineLvl w:val="0"/>
    </w:pPr>
    <w:rPr>
      <w:color w:val="FFFFFF"/>
    </w:rPr>
  </w:style>
  <w:style w:type="paragraph" w:customStyle="1" w:styleId="107">
    <w:name w:val="附录图标题"/>
    <w:basedOn w:val="1"/>
    <w:next w:val="28"/>
    <w:qFormat/>
    <w:uiPriority w:val="0"/>
    <w:pPr>
      <w:numPr>
        <w:ilvl w:val="1"/>
        <w:numId w:val="8"/>
      </w:numPr>
      <w:tabs>
        <w:tab w:val="left" w:pos="363"/>
      </w:tabs>
      <w:spacing w:beforeLines="50" w:afterLines="50"/>
      <w:ind w:left="0" w:firstLine="0"/>
      <w:jc w:val="center"/>
    </w:pPr>
    <w:rPr>
      <w:rFonts w:ascii="黑体" w:eastAsia="黑体"/>
      <w:szCs w:val="21"/>
    </w:rPr>
  </w:style>
  <w:style w:type="paragraph" w:customStyle="1" w:styleId="108">
    <w:name w:val="附录五级条标题"/>
    <w:basedOn w:val="104"/>
    <w:next w:val="28"/>
    <w:qFormat/>
    <w:uiPriority w:val="0"/>
    <w:pPr>
      <w:numPr>
        <w:ilvl w:val="6"/>
      </w:numPr>
      <w:outlineLvl w:val="6"/>
    </w:pPr>
  </w:style>
  <w:style w:type="paragraph" w:customStyle="1" w:styleId="109">
    <w:name w:val="附录五级无"/>
    <w:basedOn w:val="108"/>
    <w:qFormat/>
    <w:uiPriority w:val="0"/>
    <w:pPr>
      <w:tabs>
        <w:tab w:val="clear" w:pos="360"/>
      </w:tabs>
      <w:spacing w:beforeLines="0" w:afterLines="0"/>
    </w:pPr>
    <w:rPr>
      <w:rFonts w:ascii="宋体" w:eastAsia="宋体"/>
      <w:szCs w:val="21"/>
    </w:rPr>
  </w:style>
  <w:style w:type="paragraph" w:customStyle="1" w:styleId="110">
    <w:name w:val="附录章标题"/>
    <w:next w:val="28"/>
    <w:qFormat/>
    <w:uiPriority w:val="0"/>
    <w:pPr>
      <w:numPr>
        <w:ilvl w:val="1"/>
        <w:numId w:val="5"/>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1">
    <w:name w:val="附录一级条标题"/>
    <w:basedOn w:val="110"/>
    <w:next w:val="28"/>
    <w:qFormat/>
    <w:uiPriority w:val="0"/>
    <w:pPr>
      <w:numPr>
        <w:ilvl w:val="2"/>
      </w:numPr>
      <w:tabs>
        <w:tab w:val="left" w:pos="360"/>
      </w:tabs>
      <w:autoSpaceDN w:val="0"/>
      <w:spacing w:beforeLines="50" w:afterLines="50"/>
      <w:outlineLvl w:val="2"/>
    </w:pPr>
  </w:style>
  <w:style w:type="paragraph" w:customStyle="1" w:styleId="112">
    <w:name w:val="附录一级无"/>
    <w:basedOn w:val="111"/>
    <w:qFormat/>
    <w:uiPriority w:val="0"/>
    <w:pPr>
      <w:tabs>
        <w:tab w:val="clear" w:pos="360"/>
      </w:tabs>
      <w:spacing w:beforeLines="0" w:afterLines="0"/>
    </w:pPr>
    <w:rPr>
      <w:rFonts w:ascii="宋体" w:eastAsia="宋体"/>
      <w:szCs w:val="21"/>
    </w:rPr>
  </w:style>
  <w:style w:type="paragraph" w:customStyle="1" w:styleId="113">
    <w:name w:val="附录字母编号列项（一级）"/>
    <w:qFormat/>
    <w:uiPriority w:val="0"/>
    <w:pPr>
      <w:numPr>
        <w:ilvl w:val="0"/>
        <w:numId w:val="7"/>
      </w:numPr>
    </w:pPr>
    <w:rPr>
      <w:rFonts w:ascii="宋体" w:hAnsi="Times New Roman" w:eastAsia="宋体" w:cs="Times New Roman"/>
      <w:sz w:val="21"/>
      <w:lang w:val="en-US" w:eastAsia="zh-CN" w:bidi="ar-SA"/>
    </w:rPr>
  </w:style>
  <w:style w:type="paragraph" w:customStyle="1" w:styleId="114">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5">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7">
    <w:name w:val="其他标准标志"/>
    <w:basedOn w:val="74"/>
    <w:qFormat/>
    <w:uiPriority w:val="0"/>
    <w:pPr>
      <w:framePr w:w="6101" w:wrap="around" w:vAnchor="page" w:hAnchor="page" w:x="4673" w:y="942"/>
    </w:pPr>
    <w:rPr>
      <w:w w:val="130"/>
    </w:rPr>
  </w:style>
  <w:style w:type="paragraph" w:customStyle="1" w:styleId="11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9">
    <w:name w:val="其他发布部门"/>
    <w:basedOn w:val="82"/>
    <w:qFormat/>
    <w:uiPriority w:val="0"/>
    <w:pPr>
      <w:framePr w:wrap="around" w:y="15310"/>
      <w:spacing w:line="0" w:lineRule="atLeast"/>
    </w:pPr>
    <w:rPr>
      <w:rFonts w:ascii="黑体" w:eastAsia="黑体"/>
      <w:b w:val="0"/>
    </w:rPr>
  </w:style>
  <w:style w:type="paragraph" w:customStyle="1" w:styleId="120">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1">
    <w:name w:val="三级无"/>
    <w:basedOn w:val="59"/>
    <w:qFormat/>
    <w:uiPriority w:val="0"/>
    <w:pPr>
      <w:spacing w:beforeLines="0" w:afterLines="0"/>
    </w:pPr>
    <w:rPr>
      <w:rFonts w:ascii="宋体" w:eastAsia="宋体"/>
    </w:rPr>
  </w:style>
  <w:style w:type="paragraph" w:customStyle="1" w:styleId="122">
    <w:name w:val="实施日期"/>
    <w:basedOn w:val="83"/>
    <w:qFormat/>
    <w:uiPriority w:val="0"/>
    <w:pPr>
      <w:framePr w:wrap="around" w:vAnchor="page" w:hAnchor="text"/>
      <w:jc w:val="right"/>
    </w:pPr>
  </w:style>
  <w:style w:type="paragraph" w:customStyle="1" w:styleId="123">
    <w:name w:val="示例后文字"/>
    <w:basedOn w:val="28"/>
    <w:next w:val="28"/>
    <w:qFormat/>
    <w:uiPriority w:val="0"/>
    <w:pPr>
      <w:ind w:firstLine="360"/>
    </w:pPr>
    <w:rPr>
      <w:sz w:val="18"/>
    </w:rPr>
  </w:style>
  <w:style w:type="paragraph" w:customStyle="1" w:styleId="124">
    <w:name w:val="首示例"/>
    <w:next w:val="28"/>
    <w:link w:val="125"/>
    <w:qFormat/>
    <w:uiPriority w:val="0"/>
    <w:pPr>
      <w:tabs>
        <w:tab w:val="left" w:pos="360"/>
      </w:tabs>
    </w:pPr>
    <w:rPr>
      <w:rFonts w:ascii="宋体" w:hAnsi="宋体" w:eastAsia="宋体" w:cs="Times New Roman"/>
      <w:kern w:val="2"/>
      <w:sz w:val="18"/>
      <w:szCs w:val="18"/>
      <w:lang w:val="en-US" w:eastAsia="zh-CN" w:bidi="ar-SA"/>
    </w:rPr>
  </w:style>
  <w:style w:type="character" w:customStyle="1" w:styleId="125">
    <w:name w:val="首示例 Char"/>
    <w:basedOn w:val="41"/>
    <w:link w:val="124"/>
    <w:qFormat/>
    <w:uiPriority w:val="0"/>
    <w:rPr>
      <w:rFonts w:ascii="宋体" w:hAnsi="宋体"/>
      <w:kern w:val="2"/>
      <w:sz w:val="18"/>
      <w:szCs w:val="18"/>
    </w:rPr>
  </w:style>
  <w:style w:type="paragraph" w:customStyle="1" w:styleId="126">
    <w:name w:val="四级无"/>
    <w:basedOn w:val="63"/>
    <w:qFormat/>
    <w:uiPriority w:val="0"/>
    <w:pPr>
      <w:spacing w:beforeLines="0" w:afterLines="0"/>
    </w:pPr>
    <w:rPr>
      <w:rFonts w:ascii="宋体" w:eastAsia="宋体"/>
    </w:rPr>
  </w:style>
  <w:style w:type="paragraph" w:customStyle="1" w:styleId="127">
    <w:name w:val="条文脚注"/>
    <w:basedOn w:val="29"/>
    <w:qFormat/>
    <w:uiPriority w:val="0"/>
    <w:pPr>
      <w:numPr>
        <w:numId w:val="0"/>
      </w:numPr>
      <w:jc w:val="both"/>
    </w:pPr>
  </w:style>
  <w:style w:type="paragraph" w:customStyle="1" w:styleId="128">
    <w:name w:val="图标脚注说明"/>
    <w:basedOn w:val="28"/>
    <w:qFormat/>
    <w:uiPriority w:val="0"/>
    <w:pPr>
      <w:ind w:left="840" w:hanging="420" w:firstLineChars="0"/>
    </w:pPr>
    <w:rPr>
      <w:sz w:val="18"/>
      <w:szCs w:val="18"/>
    </w:rPr>
  </w:style>
  <w:style w:type="paragraph" w:customStyle="1" w:styleId="129">
    <w:name w:val="图表脚注说明"/>
    <w:basedOn w:val="1"/>
    <w:qFormat/>
    <w:uiPriority w:val="0"/>
    <w:pPr>
      <w:ind w:left="544" w:hanging="181"/>
    </w:pPr>
    <w:rPr>
      <w:rFonts w:ascii="宋体"/>
      <w:sz w:val="18"/>
      <w:szCs w:val="18"/>
    </w:rPr>
  </w:style>
  <w:style w:type="paragraph" w:customStyle="1" w:styleId="130">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1">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2">
    <w:name w:val="五级无"/>
    <w:basedOn w:val="64"/>
    <w:qFormat/>
    <w:uiPriority w:val="0"/>
    <w:pPr>
      <w:spacing w:beforeLines="0" w:afterLines="0"/>
    </w:pPr>
    <w:rPr>
      <w:rFonts w:ascii="宋体" w:eastAsia="宋体"/>
    </w:rPr>
  </w:style>
  <w:style w:type="paragraph" w:customStyle="1" w:styleId="133">
    <w:name w:val="一级无"/>
    <w:basedOn w:val="50"/>
    <w:qFormat/>
    <w:uiPriority w:val="0"/>
    <w:pPr>
      <w:spacing w:beforeLines="0" w:afterLines="0"/>
    </w:pPr>
    <w:rPr>
      <w:rFonts w:ascii="宋体" w:eastAsia="宋体"/>
    </w:rPr>
  </w:style>
  <w:style w:type="paragraph" w:customStyle="1" w:styleId="134">
    <w:name w:val="正文表标题"/>
    <w:next w:val="28"/>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5">
    <w:name w:val="正文公式编号制表符"/>
    <w:basedOn w:val="28"/>
    <w:next w:val="28"/>
    <w:qFormat/>
    <w:uiPriority w:val="99"/>
    <w:pPr>
      <w:ind w:firstLine="0" w:firstLineChars="0"/>
    </w:pPr>
  </w:style>
  <w:style w:type="paragraph" w:customStyle="1" w:styleId="136">
    <w:name w:val="正文图标题"/>
    <w:next w:val="28"/>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7">
    <w:name w:val="终结线"/>
    <w:basedOn w:val="1"/>
    <w:qFormat/>
    <w:uiPriority w:val="0"/>
    <w:pPr>
      <w:framePr w:hSpace="181" w:vSpace="181" w:wrap="around" w:vAnchor="text" w:hAnchor="margin" w:xAlign="center" w:y="285"/>
    </w:pPr>
  </w:style>
  <w:style w:type="paragraph" w:customStyle="1" w:styleId="138">
    <w:name w:val="其他发布日期"/>
    <w:basedOn w:val="83"/>
    <w:qFormat/>
    <w:uiPriority w:val="0"/>
    <w:pPr>
      <w:framePr w:wrap="around" w:vAnchor="page" w:hAnchor="text" w:x="1419"/>
    </w:pPr>
  </w:style>
  <w:style w:type="paragraph" w:customStyle="1" w:styleId="139">
    <w:name w:val="其他实施日期"/>
    <w:basedOn w:val="122"/>
    <w:qFormat/>
    <w:uiPriority w:val="0"/>
    <w:pPr>
      <w:framePr w:wrap="around"/>
    </w:pPr>
  </w:style>
  <w:style w:type="paragraph" w:customStyle="1" w:styleId="140">
    <w:name w:val="封面标准名称2"/>
    <w:basedOn w:val="86"/>
    <w:qFormat/>
    <w:uiPriority w:val="0"/>
    <w:pPr>
      <w:framePr w:wrap="around" w:y="4469"/>
      <w:spacing w:beforeLines="630"/>
    </w:pPr>
  </w:style>
  <w:style w:type="paragraph" w:customStyle="1" w:styleId="141">
    <w:name w:val="封面标准英文名称2"/>
    <w:basedOn w:val="87"/>
    <w:qFormat/>
    <w:uiPriority w:val="0"/>
    <w:pPr>
      <w:framePr w:wrap="around" w:y="4469"/>
    </w:pPr>
  </w:style>
  <w:style w:type="paragraph" w:customStyle="1" w:styleId="142">
    <w:name w:val="封面一致性程度标识2"/>
    <w:basedOn w:val="88"/>
    <w:qFormat/>
    <w:uiPriority w:val="0"/>
    <w:pPr>
      <w:framePr w:wrap="around" w:y="4469"/>
    </w:pPr>
  </w:style>
  <w:style w:type="paragraph" w:customStyle="1" w:styleId="143">
    <w:name w:val="封面标准文稿类别2"/>
    <w:basedOn w:val="89"/>
    <w:qFormat/>
    <w:uiPriority w:val="0"/>
    <w:pPr>
      <w:framePr w:wrap="around" w:y="4469"/>
    </w:pPr>
  </w:style>
  <w:style w:type="paragraph" w:customStyle="1" w:styleId="144">
    <w:name w:val="封面标准文稿编辑信息2"/>
    <w:basedOn w:val="90"/>
    <w:qFormat/>
    <w:uiPriority w:val="0"/>
    <w:pPr>
      <w:framePr w:wrap="around" w:y="4469"/>
    </w:pPr>
  </w:style>
  <w:style w:type="character" w:customStyle="1" w:styleId="145">
    <w:name w:val="标题 1 字符"/>
    <w:basedOn w:val="41"/>
    <w:link w:val="2"/>
    <w:qFormat/>
    <w:uiPriority w:val="0"/>
    <w:rPr>
      <w:rFonts w:ascii="宋体" w:hAnsi="宋体"/>
      <w:b/>
      <w:bCs/>
      <w:kern w:val="36"/>
      <w:sz w:val="36"/>
      <w:szCs w:val="36"/>
    </w:rPr>
  </w:style>
  <w:style w:type="character" w:customStyle="1" w:styleId="146">
    <w:name w:val="批注框文本 字符"/>
    <w:basedOn w:val="41"/>
    <w:link w:val="21"/>
    <w:qFormat/>
    <w:uiPriority w:val="99"/>
    <w:rPr>
      <w:kern w:val="2"/>
      <w:sz w:val="18"/>
      <w:szCs w:val="18"/>
    </w:rPr>
  </w:style>
  <w:style w:type="character" w:customStyle="1" w:styleId="147">
    <w:name w:val="页脚 字符"/>
    <w:link w:val="22"/>
    <w:qFormat/>
    <w:locked/>
    <w:uiPriority w:val="99"/>
    <w:rPr>
      <w:kern w:val="2"/>
      <w:sz w:val="18"/>
      <w:szCs w:val="18"/>
    </w:rPr>
  </w:style>
  <w:style w:type="paragraph" w:customStyle="1" w:styleId="14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49">
    <w:name w:val="批注文字 字符"/>
    <w:basedOn w:val="41"/>
    <w:link w:val="10"/>
    <w:qFormat/>
    <w:uiPriority w:val="99"/>
    <w:rPr>
      <w:kern w:val="2"/>
      <w:sz w:val="21"/>
      <w:szCs w:val="24"/>
    </w:rPr>
  </w:style>
  <w:style w:type="character" w:customStyle="1" w:styleId="150">
    <w:name w:val="批注主题 字符"/>
    <w:basedOn w:val="149"/>
    <w:link w:val="38"/>
    <w:qFormat/>
    <w:uiPriority w:val="99"/>
    <w:rPr>
      <w:b/>
      <w:bCs/>
      <w:kern w:val="2"/>
      <w:sz w:val="21"/>
      <w:szCs w:val="24"/>
    </w:rPr>
  </w:style>
  <w:style w:type="character" w:customStyle="1" w:styleId="151">
    <w:name w:val="页眉 字符"/>
    <w:basedOn w:val="41"/>
    <w:link w:val="23"/>
    <w:qFormat/>
    <w:uiPriority w:val="99"/>
    <w:rPr>
      <w:kern w:val="2"/>
      <w:sz w:val="18"/>
      <w:szCs w:val="18"/>
    </w:rPr>
  </w:style>
  <w:style w:type="paragraph" w:styleId="152">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53">
    <w:name w:val="HTML 预设格式 字符"/>
    <w:basedOn w:val="41"/>
    <w:link w:val="35"/>
    <w:qFormat/>
    <w:uiPriority w:val="99"/>
    <w:rPr>
      <w:rFonts w:ascii="宋体" w:hAnsi="宋体" w:cs="宋体"/>
      <w:sz w:val="24"/>
      <w:szCs w:val="24"/>
    </w:rPr>
  </w:style>
  <w:style w:type="character" w:customStyle="1" w:styleId="154">
    <w:name w:val="日期 字符"/>
    <w:basedOn w:val="41"/>
    <w:link w:val="19"/>
    <w:qFormat/>
    <w:uiPriority w:val="99"/>
    <w:rPr>
      <w:rFonts w:ascii="Calibri" w:hAnsi="Calibri"/>
      <w:kern w:val="2"/>
      <w:sz w:val="21"/>
      <w:szCs w:val="22"/>
    </w:rPr>
  </w:style>
  <w:style w:type="character" w:customStyle="1" w:styleId="155">
    <w:name w:val="正文文本_"/>
    <w:link w:val="156"/>
    <w:qFormat/>
    <w:uiPriority w:val="0"/>
    <w:rPr>
      <w:rFonts w:ascii="Arial Unicode MS" w:hAnsi="Arial Unicode MS" w:eastAsia="Arial Unicode MS" w:cs="Arial Unicode MS"/>
      <w:shd w:val="clear" w:color="auto" w:fill="FFFFFF"/>
    </w:rPr>
  </w:style>
  <w:style w:type="paragraph" w:customStyle="1" w:styleId="156">
    <w:name w:val="正文文本8"/>
    <w:basedOn w:val="1"/>
    <w:link w:val="155"/>
    <w:qFormat/>
    <w:uiPriority w:val="0"/>
    <w:pPr>
      <w:shd w:val="clear" w:color="auto" w:fill="FFFFFF"/>
      <w:spacing w:before="900" w:after="420" w:line="490" w:lineRule="exact"/>
      <w:ind w:hanging="400"/>
      <w:jc w:val="distribute"/>
    </w:pPr>
    <w:rPr>
      <w:rFonts w:ascii="Arial Unicode MS" w:hAnsi="Arial Unicode MS" w:eastAsia="Arial Unicode MS" w:cs="Arial Unicode MS"/>
      <w:kern w:val="0"/>
      <w:sz w:val="20"/>
      <w:szCs w:val="20"/>
    </w:rPr>
  </w:style>
  <w:style w:type="character" w:customStyle="1" w:styleId="157">
    <w:name w:val="正文文本1"/>
    <w:qFormat/>
    <w:uiPriority w:val="0"/>
    <w:rPr>
      <w:rFonts w:ascii="Arial Unicode MS" w:hAnsi="Arial Unicode MS" w:eastAsia="Arial Unicode MS" w:cs="Arial Unicode MS"/>
      <w:color w:val="000000"/>
      <w:spacing w:val="0"/>
      <w:w w:val="100"/>
      <w:position w:val="0"/>
      <w:sz w:val="22"/>
      <w:szCs w:val="22"/>
      <w:u w:val="none"/>
      <w:shd w:val="clear" w:color="auto" w:fill="FFFFFF"/>
      <w:lang w:val="zh-CN"/>
    </w:rPr>
  </w:style>
  <w:style w:type="character" w:customStyle="1" w:styleId="158">
    <w:name w:val="正文文本 + 间距 0 pt"/>
    <w:qFormat/>
    <w:uiPriority w:val="0"/>
    <w:rPr>
      <w:rFonts w:ascii="Arial Unicode MS" w:hAnsi="Arial Unicode MS" w:eastAsia="Arial Unicode MS" w:cs="Arial Unicode MS"/>
      <w:color w:val="000000"/>
      <w:spacing w:val="-10"/>
      <w:w w:val="100"/>
      <w:position w:val="0"/>
      <w:sz w:val="22"/>
      <w:szCs w:val="22"/>
      <w:u w:val="none"/>
      <w:shd w:val="clear" w:color="auto" w:fill="FFFFFF"/>
      <w:lang w:val="zh-CN"/>
    </w:rPr>
  </w:style>
  <w:style w:type="character" w:customStyle="1" w:styleId="159">
    <w:name w:val="正文文本3"/>
    <w:qFormat/>
    <w:uiPriority w:val="0"/>
    <w:rPr>
      <w:rFonts w:ascii="Arial Unicode MS" w:hAnsi="Arial Unicode MS" w:eastAsia="Arial Unicode MS" w:cs="Arial Unicode MS"/>
      <w:color w:val="000000"/>
      <w:spacing w:val="0"/>
      <w:w w:val="100"/>
      <w:position w:val="0"/>
      <w:sz w:val="22"/>
      <w:szCs w:val="22"/>
      <w:u w:val="none"/>
      <w:shd w:val="clear" w:color="auto" w:fill="FFFFFF"/>
      <w:lang w:val="zh-CN"/>
    </w:rPr>
  </w:style>
  <w:style w:type="character" w:customStyle="1" w:styleId="160">
    <w:name w:val="正文文本缩进 字符"/>
    <w:link w:val="13"/>
    <w:semiHidden/>
    <w:qFormat/>
    <w:uiPriority w:val="0"/>
    <w:rPr>
      <w:rFonts w:ascii="仿宋_GB2312" w:eastAsia="仿宋_GB2312"/>
      <w:sz w:val="28"/>
    </w:rPr>
  </w:style>
  <w:style w:type="character" w:customStyle="1" w:styleId="161">
    <w:name w:val="正文文本缩进 字符1"/>
    <w:basedOn w:val="41"/>
    <w:semiHidden/>
    <w:qFormat/>
    <w:uiPriority w:val="0"/>
    <w:rPr>
      <w:kern w:val="2"/>
      <w:sz w:val="21"/>
      <w:szCs w:val="24"/>
    </w:rPr>
  </w:style>
  <w:style w:type="character" w:customStyle="1" w:styleId="162">
    <w:name w:val="正文文本缩进 Char1"/>
    <w:basedOn w:val="41"/>
    <w:semiHidden/>
    <w:qFormat/>
    <w:uiPriority w:val="99"/>
  </w:style>
  <w:style w:type="character" w:customStyle="1" w:styleId="163">
    <w:name w:val="文档结构图 字符"/>
    <w:link w:val="9"/>
    <w:semiHidden/>
    <w:qFormat/>
    <w:uiPriority w:val="99"/>
    <w:rPr>
      <w:kern w:val="2"/>
      <w:sz w:val="21"/>
      <w:szCs w:val="24"/>
      <w:shd w:val="clear" w:color="auto" w:fill="000080"/>
    </w:rPr>
  </w:style>
  <w:style w:type="table" w:customStyle="1" w:styleId="164">
    <w:name w:val="浅色底纹1"/>
    <w:basedOn w:val="39"/>
    <w:qFormat/>
    <w:uiPriority w:val="60"/>
    <w:rPr>
      <w:rFonts w:ascii="Calibri" w:hAnsi="Calibri" w:eastAsia="微软雅黑"/>
      <w:color w:val="000000"/>
      <w:sz w:val="22"/>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paragraph" w:customStyle="1" w:styleId="165">
    <w:name w:val="修订1"/>
    <w:hidden/>
    <w:semiHidden/>
    <w:qFormat/>
    <w:uiPriority w:val="99"/>
    <w:rPr>
      <w:rFonts w:ascii="Calibri" w:hAnsi="Calibri" w:eastAsia="宋体" w:cs="Times New Roman"/>
      <w:kern w:val="2"/>
      <w:sz w:val="21"/>
      <w:szCs w:val="22"/>
      <w:lang w:val="en-US" w:eastAsia="zh-CN" w:bidi="ar-SA"/>
    </w:rPr>
  </w:style>
  <w:style w:type="character" w:customStyle="1" w:styleId="166">
    <w:name w:val="标题 2 字符"/>
    <w:basedOn w:val="41"/>
    <w:link w:val="3"/>
    <w:semiHidden/>
    <w:qFormat/>
    <w:uiPriority w:val="0"/>
    <w:rPr>
      <w:rFonts w:asciiTheme="majorHAnsi" w:hAnsiTheme="majorHAnsi" w:eastAsiaTheme="majorEastAsia" w:cstheme="majorBidi"/>
      <w:b/>
      <w:bCs/>
      <w:kern w:val="2"/>
      <w:sz w:val="32"/>
      <w:szCs w:val="32"/>
    </w:rPr>
  </w:style>
  <w:style w:type="character" w:customStyle="1" w:styleId="167">
    <w:name w:val="标题 3 字符"/>
    <w:basedOn w:val="41"/>
    <w:link w:val="4"/>
    <w:semiHidden/>
    <w:qFormat/>
    <w:uiPriority w:val="0"/>
    <w:rPr>
      <w:b/>
      <w:bCs/>
      <w:kern w:val="2"/>
      <w:sz w:val="32"/>
      <w:szCs w:val="32"/>
    </w:rPr>
  </w:style>
  <w:style w:type="character" w:customStyle="1" w:styleId="168">
    <w:name w:val="正文文本 字符"/>
    <w:basedOn w:val="41"/>
    <w:link w:val="12"/>
    <w:semiHidden/>
    <w:qFormat/>
    <w:uiPriority w:val="0"/>
    <w:rPr>
      <w:kern w:val="2"/>
      <w:sz w:val="21"/>
      <w:szCs w:val="24"/>
    </w:rPr>
  </w:style>
  <w:style w:type="paragraph" w:customStyle="1" w:styleId="169">
    <w:name w:val="TOC 标题1"/>
    <w:basedOn w:val="2"/>
    <w:next w:val="1"/>
    <w:unhideWhenUsed/>
    <w:qFormat/>
    <w:uiPriority w:val="39"/>
    <w:pPr>
      <w:keepNext/>
      <w:keepLines/>
      <w:spacing w:before="240" w:after="0" w:afterAutospacing="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styleId="170">
    <w:name w:val="Placeholder Text"/>
    <w:basedOn w:val="41"/>
    <w:semiHidden/>
    <w:qFormat/>
    <w:uiPriority w:val="99"/>
    <w:rPr>
      <w:color w:val="808080"/>
    </w:rPr>
  </w:style>
  <w:style w:type="paragraph" w:customStyle="1" w:styleId="171">
    <w:name w:val="列项——"/>
    <w:qFormat/>
    <w:uiPriority w:val="0"/>
    <w:pPr>
      <w:widowControl w:val="0"/>
      <w:jc w:val="both"/>
    </w:pPr>
    <w:rPr>
      <w:rFonts w:ascii="宋体" w:hAnsi="Times New Roman" w:eastAsia="宋体" w:cs="宋体"/>
      <w:sz w:val="21"/>
      <w:szCs w:val="21"/>
      <w:lang w:val="en-US" w:eastAsia="zh-CN" w:bidi="ar-SA"/>
    </w:rPr>
  </w:style>
  <w:style w:type="paragraph" w:customStyle="1" w:styleId="172">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73">
    <w:name w:val="TOC 标题2"/>
    <w:basedOn w:val="2"/>
    <w:next w:val="1"/>
    <w:unhideWhenUsed/>
    <w:qFormat/>
    <w:uiPriority w:val="39"/>
    <w:pPr>
      <w:keepNext/>
      <w:keepLines/>
      <w:spacing w:before="240" w:after="0" w:afterAutospacing="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174">
    <w:name w:val="标准文件_段"/>
    <w:link w:val="17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75">
    <w:name w:val="标准文件_段 Char"/>
    <w:link w:val="174"/>
    <w:qFormat/>
    <w:uiPriority w:val="0"/>
    <w:rPr>
      <w:rFonts w:ascii="宋体"/>
      <w:sz w:val="21"/>
    </w:rPr>
  </w:style>
  <w:style w:type="paragraph" w:customStyle="1" w:styleId="176">
    <w:name w:val="标准文件_二级条标题"/>
    <w:next w:val="174"/>
    <w:qFormat/>
    <w:uiPriority w:val="0"/>
    <w:pPr>
      <w:widowControl w:val="0"/>
      <w:numPr>
        <w:ilvl w:val="3"/>
        <w:numId w:val="9"/>
      </w:numPr>
      <w:spacing w:before="50" w:beforeLines="50" w:after="50" w:afterLines="50"/>
      <w:ind w:left="0"/>
      <w:jc w:val="both"/>
      <w:outlineLvl w:val="2"/>
    </w:pPr>
    <w:rPr>
      <w:rFonts w:ascii="黑体" w:hAnsi="Times New Roman" w:eastAsia="黑体" w:cs="Times New Roman"/>
      <w:sz w:val="21"/>
      <w:lang w:val="en-US" w:eastAsia="zh-CN" w:bidi="ar-SA"/>
    </w:rPr>
  </w:style>
  <w:style w:type="paragraph" w:customStyle="1" w:styleId="177">
    <w:name w:val="标准文件_三级条标题"/>
    <w:basedOn w:val="176"/>
    <w:next w:val="174"/>
    <w:qFormat/>
    <w:uiPriority w:val="0"/>
    <w:pPr>
      <w:widowControl/>
      <w:numPr>
        <w:ilvl w:val="4"/>
      </w:numPr>
      <w:outlineLvl w:val="3"/>
    </w:pPr>
  </w:style>
  <w:style w:type="paragraph" w:customStyle="1" w:styleId="178">
    <w:name w:val="标准文件_四级条标题"/>
    <w:next w:val="174"/>
    <w:qFormat/>
    <w:uiPriority w:val="0"/>
    <w:pPr>
      <w:widowControl w:val="0"/>
      <w:numPr>
        <w:ilvl w:val="5"/>
        <w:numId w:val="9"/>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179">
    <w:name w:val="标准文件_五级条标题"/>
    <w:next w:val="174"/>
    <w:qFormat/>
    <w:uiPriority w:val="0"/>
    <w:pPr>
      <w:widowControl w:val="0"/>
      <w:numPr>
        <w:ilvl w:val="6"/>
        <w:numId w:val="9"/>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80">
    <w:name w:val="标准文件_章标题"/>
    <w:next w:val="174"/>
    <w:qFormat/>
    <w:uiPriority w:val="0"/>
    <w:pPr>
      <w:numPr>
        <w:ilvl w:val="1"/>
        <w:numId w:val="9"/>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81">
    <w:name w:val="标准文件_一级条标题"/>
    <w:basedOn w:val="180"/>
    <w:next w:val="174"/>
    <w:qFormat/>
    <w:uiPriority w:val="0"/>
    <w:pPr>
      <w:numPr>
        <w:ilvl w:val="2"/>
      </w:numPr>
      <w:spacing w:before="50" w:beforeLines="50" w:after="50" w:afterLines="50"/>
      <w:outlineLvl w:val="1"/>
    </w:pPr>
  </w:style>
  <w:style w:type="paragraph" w:customStyle="1" w:styleId="182">
    <w:name w:val="前言标题"/>
    <w:next w:val="1"/>
    <w:qFormat/>
    <w:uiPriority w:val="0"/>
    <w:pPr>
      <w:numPr>
        <w:ilvl w:val="0"/>
        <w:numId w:val="9"/>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83">
    <w:name w:val="标准文件_术语条一"/>
    <w:basedOn w:val="1"/>
    <w:next w:val="174"/>
    <w:qFormat/>
    <w:uiPriority w:val="0"/>
    <w:pPr>
      <w:widowControl/>
      <w:numPr>
        <w:ilvl w:val="2"/>
        <w:numId w:val="10"/>
      </w:numPr>
      <w:tabs>
        <w:tab w:val="left" w:pos="720"/>
      </w:tabs>
    </w:pPr>
    <w:rPr>
      <w:rFonts w:ascii="宋体"/>
      <w:kern w:val="0"/>
      <w:szCs w:val="20"/>
    </w:rPr>
  </w:style>
  <w:style w:type="paragraph" w:customStyle="1" w:styleId="184">
    <w:name w:val="标准文件_术语条二"/>
    <w:basedOn w:val="1"/>
    <w:next w:val="174"/>
    <w:qFormat/>
    <w:uiPriority w:val="0"/>
    <w:pPr>
      <w:numPr>
        <w:ilvl w:val="3"/>
        <w:numId w:val="10"/>
      </w:numPr>
    </w:pPr>
    <w:rPr>
      <w:rFonts w:ascii="宋体"/>
      <w:kern w:val="0"/>
      <w:szCs w:val="20"/>
    </w:rPr>
  </w:style>
  <w:style w:type="paragraph" w:customStyle="1" w:styleId="185">
    <w:name w:val="标准文件_正文表标题"/>
    <w:next w:val="174"/>
    <w:qFormat/>
    <w:uiPriority w:val="0"/>
    <w:pPr>
      <w:numPr>
        <w:ilvl w:val="0"/>
        <w:numId w:val="11"/>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86">
    <w:name w:val="Revision"/>
    <w:hidden/>
    <w:semiHidden/>
    <w:qFormat/>
    <w:uiPriority w:val="99"/>
    <w:rPr>
      <w:rFonts w:ascii="Times New Roman" w:hAnsi="Times New Roman" w:eastAsia="宋体" w:cs="Times New Roman"/>
      <w:kern w:val="2"/>
      <w:sz w:val="21"/>
      <w:szCs w:val="24"/>
      <w:lang w:val="en-US" w:eastAsia="zh-CN" w:bidi="ar-SA"/>
    </w:rPr>
  </w:style>
  <w:style w:type="table" w:customStyle="1" w:styleId="187">
    <w:name w:val="Table Normal"/>
    <w:basedOn w:val="39"/>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microsoft.com/office/2006/relationships/keyMapCustomizations" Target="customizations.xml"/><Relationship Id="rId22" Type="http://schemas.openxmlformats.org/officeDocument/2006/relationships/customXml" Target="../customXml/item4.xml"/><Relationship Id="rId21" Type="http://schemas.openxmlformats.org/officeDocument/2006/relationships/customXml" Target="../customXml/item3.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wmf"/><Relationship Id="rId16" Type="http://schemas.openxmlformats.org/officeDocument/2006/relationships/oleObject" Target="embeddings/oleObject5.bin"/><Relationship Id="rId15" Type="http://schemas.openxmlformats.org/officeDocument/2006/relationships/image" Target="media/image4.wmf"/><Relationship Id="rId14" Type="http://schemas.openxmlformats.org/officeDocument/2006/relationships/oleObject" Target="embeddings/oleObject4.bin"/><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60CF48-879B-484F-8F04-C1E723105EEF}">
  <ds:schemaRefs/>
</ds:datastoreItem>
</file>

<file path=customXml/itemProps3.xml><?xml version="1.0" encoding="utf-8"?>
<ds:datastoreItem xmlns:ds="http://schemas.openxmlformats.org/officeDocument/2006/customXml" ds:itemID="{C433F4DB-8663-4FBE-B2F3-4E6E68619EFC}">
  <ds:schemaRefs/>
</ds:datastoreItem>
</file>

<file path=customXml/itemProps4.xml><?xml version="1.0" encoding="utf-8"?>
<ds:datastoreItem xmlns:ds="http://schemas.openxmlformats.org/officeDocument/2006/customXml" ds:itemID="{48C0B05C-9CB3-4257-848D-B49DC6A2D65C}">
  <ds:schemaRefs/>
</ds:datastoreItem>
</file>

<file path=docProps/app.xml><?xml version="1.0" encoding="utf-8"?>
<Properties xmlns="http://schemas.openxmlformats.org/officeDocument/2006/extended-properties" xmlns:vt="http://schemas.openxmlformats.org/officeDocument/2006/docPropsVTypes">
  <Template>Normal</Template>
  <Company>www.dadighost.com</Company>
  <Pages>43</Pages>
  <Words>16851</Words>
  <Characters>18723</Characters>
  <Lines>1</Lines>
  <Paragraphs>1</Paragraphs>
  <TotalTime>40</TotalTime>
  <ScaleCrop>false</ScaleCrop>
  <LinksUpToDate>false</LinksUpToDate>
  <CharactersWithSpaces>19198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2024-12-18T07:19:00Z</dcterms:created>
  <dc:creator>CNIS</dc:creator>
  <cp:lastModifiedBy>卢霂泽</cp:lastModifiedBy>
  <cp:lastPrinted>2024-12-03T06:55:00Z</cp:lastPrinted>
  <dcterms:modified xsi:type="dcterms:W3CDTF">2026-02-11T06:26:40Z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EDA1EA21BCE8466FAF68C05583515826_13</vt:lpwstr>
  </property>
  <property fmtid="{D5CDD505-2E9C-101B-9397-08002B2CF9AE}" pid="4" name="KSOTemplateDocerSaveRecord">
    <vt:lpwstr>eyJoZGlkIjoiZTA5ZTIzNjgxODQzNjE3NGI5N2EyNzc5MThiOTFhNDIiLCJ1c2VySWQiOiIxNzY0NjM5NDA2In0=</vt:lpwstr>
  </property>
</Properties>
</file>