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28FE22">
      <w:pPr>
        <w:rPr>
          <w:b/>
          <w:bCs/>
          <w:color w:val="auto"/>
          <w:sz w:val="52"/>
          <w:szCs w:val="84"/>
        </w:rPr>
      </w:pPr>
      <w:bookmarkStart w:id="0" w:name="_Hlk512244031"/>
      <w:bookmarkStart w:id="99" w:name="_GoBack"/>
      <w:bookmarkEnd w:id="99"/>
      <w:r>
        <w:rPr>
          <w:color w:val="auto"/>
        </w:rPr>
        <w:drawing>
          <wp:anchor distT="0" distB="0" distL="114300" distR="114300" simplePos="0" relativeHeight="251662336" behindDoc="0" locked="0" layoutInCell="1" allowOverlap="1">
            <wp:simplePos x="0" y="0"/>
            <wp:positionH relativeFrom="column">
              <wp:posOffset>0</wp:posOffset>
            </wp:positionH>
            <wp:positionV relativeFrom="paragraph">
              <wp:posOffset>38100</wp:posOffset>
            </wp:positionV>
            <wp:extent cx="1737995" cy="1149350"/>
            <wp:effectExtent l="0" t="0" r="1905" b="6350"/>
            <wp:wrapNone/>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4"/>
                    <a:stretch>
                      <a:fillRect/>
                    </a:stretch>
                  </pic:blipFill>
                  <pic:spPr>
                    <a:xfrm>
                      <a:off x="0" y="0"/>
                      <a:ext cx="1737995" cy="1149350"/>
                    </a:xfrm>
                    <a:prstGeom prst="rect">
                      <a:avLst/>
                    </a:prstGeom>
                    <a:noFill/>
                    <a:ln>
                      <a:noFill/>
                    </a:ln>
                  </pic:spPr>
                </pic:pic>
              </a:graphicData>
            </a:graphic>
          </wp:anchor>
        </w:drawing>
      </w:r>
    </w:p>
    <w:p w14:paraId="70AA49DF">
      <w:pPr>
        <w:rPr>
          <w:b/>
          <w:bCs/>
          <w:color w:val="auto"/>
          <w:sz w:val="52"/>
          <w:szCs w:val="84"/>
        </w:rPr>
      </w:pPr>
    </w:p>
    <w:p w14:paraId="4FE0E2F3">
      <w:pPr>
        <w:spacing w:line="360" w:lineRule="auto"/>
        <w:ind w:right="62"/>
        <w:jc w:val="right"/>
        <w:rPr>
          <w:color w:val="auto"/>
          <w:kern w:val="2"/>
          <w:sz w:val="32"/>
          <w:szCs w:val="32"/>
        </w:rPr>
      </w:pPr>
      <w:r>
        <w:rPr>
          <w:color w:val="auto"/>
          <w:kern w:val="2"/>
          <w:sz w:val="32"/>
          <w:szCs w:val="32"/>
        </w:rPr>
        <w:t>T/CECS  XXX-202X</w:t>
      </w:r>
    </w:p>
    <w:p w14:paraId="016F76B2">
      <w:pPr>
        <w:jc w:val="center"/>
        <w:rPr>
          <w:color w:val="auto"/>
          <w:szCs w:val="32"/>
        </w:rPr>
      </w:pPr>
      <w:r>
        <w:rPr>
          <w:color w:val="auto"/>
          <w:szCs w:val="32"/>
        </w:rPr>
        <mc:AlternateContent>
          <mc:Choice Requires="wps">
            <w:drawing>
              <wp:anchor distT="0" distB="0" distL="114300" distR="114300" simplePos="0" relativeHeight="251663360" behindDoc="0" locked="0" layoutInCell="1" allowOverlap="1">
                <wp:simplePos x="0" y="0"/>
                <wp:positionH relativeFrom="column">
                  <wp:posOffset>1905</wp:posOffset>
                </wp:positionH>
                <wp:positionV relativeFrom="paragraph">
                  <wp:posOffset>120650</wp:posOffset>
                </wp:positionV>
                <wp:extent cx="5422265" cy="0"/>
                <wp:effectExtent l="0" t="9525" r="635" b="15875"/>
                <wp:wrapNone/>
                <wp:docPr id="2"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直接连接符 1" o:spid="_x0000_s1026" o:spt="20" style="position:absolute;left:0pt;margin-left:0.15pt;margin-top:9.5pt;height:0pt;width:426.95pt;z-index:251663360;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Nv/w7tUA&#10;AAAGAQAADwAAAAAAAAABACAAAAAiAAAAZHJzL2Rvd25yZXYueG1sUEsBAhQAFAAAAAgAh07iQBPc&#10;aRvpAQAAwAMAAA4AAAAAAAAAAQAgAAAAJAEAAGRycy9lMm9Eb2MueG1sUEsFBgAAAAAGAAYAWQEA&#10;AH8FAAAAAA==&#10;">
                <v:fill on="f" focussize="0,0"/>
                <v:stroke weight="1.5pt" color="#000000" miterlimit="8" joinstyle="miter"/>
                <v:imagedata o:title=""/>
                <o:lock v:ext="edit" aspectratio="f"/>
              </v:line>
            </w:pict>
          </mc:Fallback>
        </mc:AlternateContent>
      </w:r>
    </w:p>
    <w:p w14:paraId="2C294C27">
      <w:pPr>
        <w:widowControl/>
        <w:tabs>
          <w:tab w:val="left" w:pos="3510"/>
        </w:tabs>
        <w:jc w:val="left"/>
        <w:rPr>
          <w:color w:val="auto"/>
        </w:rPr>
      </w:pPr>
    </w:p>
    <w:p w14:paraId="475B4491">
      <w:pPr>
        <w:rPr>
          <w:color w:val="auto"/>
        </w:rPr>
      </w:pPr>
    </w:p>
    <w:p w14:paraId="13625033">
      <w:pPr>
        <w:jc w:val="center"/>
        <w:rPr>
          <w:b/>
          <w:color w:val="auto"/>
          <w:sz w:val="32"/>
        </w:rPr>
      </w:pPr>
      <w:bookmarkStart w:id="1" w:name="_Toc23449"/>
      <w:r>
        <w:rPr>
          <w:b/>
          <w:color w:val="auto"/>
          <w:sz w:val="32"/>
        </w:rPr>
        <w:t>中国工程建设标准化协会标准</w:t>
      </w:r>
      <w:bookmarkEnd w:id="1"/>
    </w:p>
    <w:p w14:paraId="3DAB6455">
      <w:pPr>
        <w:jc w:val="center"/>
        <w:rPr>
          <w:color w:val="auto"/>
          <w:sz w:val="32"/>
          <w:szCs w:val="32"/>
        </w:rPr>
      </w:pPr>
    </w:p>
    <w:p w14:paraId="7334E65F">
      <w:pPr>
        <w:pStyle w:val="9"/>
        <w:ind w:right="-94" w:rightChars="-39"/>
        <w:jc w:val="center"/>
        <w:rPr>
          <w:rFonts w:hint="eastAsia" w:eastAsia="黑体"/>
          <w:color w:val="auto"/>
          <w:sz w:val="48"/>
          <w:lang w:eastAsia="zh-CN"/>
        </w:rPr>
      </w:pPr>
      <w:r>
        <w:rPr>
          <w:rFonts w:hint="eastAsia" w:eastAsia="黑体"/>
          <w:color w:val="auto"/>
          <w:sz w:val="48"/>
          <w:lang w:eastAsia="zh-CN"/>
        </w:rPr>
        <w:t>居住建筑通风系统微生物气溶胶防控性能评价标准</w:t>
      </w:r>
    </w:p>
    <w:p w14:paraId="4F76AE04">
      <w:pPr>
        <w:pStyle w:val="9"/>
        <w:jc w:val="center"/>
        <w:rPr>
          <w:rFonts w:eastAsia="宋体"/>
          <w:b/>
          <w:color w:val="auto"/>
          <w:spacing w:val="-1"/>
          <w:sz w:val="28"/>
          <w:szCs w:val="28"/>
        </w:rPr>
      </w:pPr>
      <w:bookmarkStart w:id="2" w:name="_Hlk170913528"/>
      <w:r>
        <w:rPr>
          <w:rFonts w:eastAsia="宋体"/>
          <w:b/>
          <w:color w:val="auto"/>
          <w:spacing w:val="-1"/>
          <w:sz w:val="28"/>
          <w:szCs w:val="28"/>
        </w:rPr>
        <w:t>Standard for evaluation of the prevention and control performance of airborne pathogenic microorganisms in residential buildings</w:t>
      </w:r>
    </w:p>
    <w:p w14:paraId="16FEB1B0">
      <w:pPr>
        <w:pStyle w:val="9"/>
        <w:jc w:val="center"/>
        <w:rPr>
          <w:rFonts w:eastAsia="宋体"/>
          <w:b/>
          <w:color w:val="auto"/>
          <w:spacing w:val="-1"/>
          <w:sz w:val="28"/>
          <w:szCs w:val="28"/>
        </w:rPr>
      </w:pPr>
    </w:p>
    <w:bookmarkEnd w:id="2"/>
    <w:p w14:paraId="43F3656F">
      <w:pPr>
        <w:autoSpaceDE w:val="0"/>
        <w:autoSpaceDN w:val="0"/>
        <w:jc w:val="center"/>
        <w:textAlignment w:val="bottom"/>
        <w:rPr>
          <w:rFonts w:eastAsia="黑体"/>
          <w:color w:val="auto"/>
          <w:sz w:val="40"/>
          <w:szCs w:val="32"/>
        </w:rPr>
      </w:pPr>
      <w:r>
        <w:rPr>
          <w:rFonts w:eastAsia="黑体"/>
          <w:color w:val="auto"/>
          <w:sz w:val="40"/>
          <w:szCs w:val="32"/>
        </w:rPr>
        <w:t>（征求意见稿）</w:t>
      </w:r>
    </w:p>
    <w:p w14:paraId="28EF4DB0">
      <w:pPr>
        <w:autoSpaceDE w:val="0"/>
        <w:autoSpaceDN w:val="0"/>
        <w:jc w:val="center"/>
        <w:textAlignment w:val="bottom"/>
        <w:rPr>
          <w:rFonts w:eastAsia="黑体"/>
          <w:color w:val="auto"/>
          <w:sz w:val="40"/>
          <w:szCs w:val="32"/>
        </w:rPr>
      </w:pPr>
    </w:p>
    <w:p w14:paraId="08CB49BB">
      <w:pPr>
        <w:snapToGrid w:val="0"/>
        <w:spacing w:line="312" w:lineRule="auto"/>
        <w:jc w:val="center"/>
        <w:rPr>
          <w:b/>
          <w:bCs/>
          <w:color w:val="auto"/>
          <w:sz w:val="32"/>
          <w:szCs w:val="32"/>
        </w:rPr>
      </w:pPr>
      <w:r>
        <w:rPr>
          <w:rFonts w:hint="eastAsia" w:ascii="仿宋_GB2312" w:hAnsi="Calibri" w:eastAsia="仿宋_GB2312"/>
          <w:color w:val="auto"/>
          <w:sz w:val="32"/>
          <w:szCs w:val="32"/>
        </w:rPr>
        <w:t>“在提交反馈意见时，请将您知道的相关专利连同支持性文件一并附上”</w:t>
      </w:r>
    </w:p>
    <w:p w14:paraId="6B872B83">
      <w:pPr>
        <w:rPr>
          <w:b/>
          <w:bCs/>
          <w:color w:val="auto"/>
          <w:sz w:val="32"/>
          <w:szCs w:val="32"/>
        </w:rPr>
      </w:pPr>
    </w:p>
    <w:p w14:paraId="3B9D38C7">
      <w:pPr>
        <w:rPr>
          <w:b/>
          <w:bCs/>
          <w:color w:val="auto"/>
          <w:sz w:val="32"/>
          <w:szCs w:val="32"/>
        </w:rPr>
      </w:pPr>
    </w:p>
    <w:p w14:paraId="1997EB42">
      <w:pPr>
        <w:rPr>
          <w:b/>
          <w:bCs/>
          <w:color w:val="auto"/>
          <w:sz w:val="32"/>
          <w:szCs w:val="32"/>
        </w:rPr>
      </w:pPr>
    </w:p>
    <w:p w14:paraId="742908F5">
      <w:pPr>
        <w:rPr>
          <w:b/>
          <w:bCs/>
          <w:color w:val="auto"/>
          <w:sz w:val="32"/>
          <w:szCs w:val="32"/>
        </w:rPr>
      </w:pPr>
    </w:p>
    <w:p w14:paraId="654991DE">
      <w:pPr>
        <w:spacing w:line="360" w:lineRule="auto"/>
        <w:jc w:val="center"/>
        <w:rPr>
          <w:rFonts w:eastAsia="仿宋"/>
          <w:b/>
          <w:color w:val="auto"/>
          <w:sz w:val="28"/>
        </w:rPr>
      </w:pPr>
      <w:r>
        <w:rPr>
          <w:rFonts w:eastAsia="仿宋"/>
          <w:b/>
          <w:color w:val="auto"/>
          <w:sz w:val="28"/>
        </w:rPr>
        <w:t>中国XX出版社</w:t>
      </w:r>
    </w:p>
    <w:p w14:paraId="526DDD05">
      <w:pPr>
        <w:widowControl/>
        <w:jc w:val="center"/>
        <w:rPr>
          <w:color w:val="auto"/>
        </w:rPr>
      </w:pPr>
      <w:r>
        <w:rPr>
          <w:color w:val="auto"/>
        </w:rPr>
        <w:br w:type="page"/>
      </w:r>
    </w:p>
    <w:bookmarkEnd w:id="0"/>
    <w:p w14:paraId="5BC4EDD2">
      <w:pPr>
        <w:spacing w:line="360" w:lineRule="auto"/>
        <w:ind w:firstLine="426"/>
        <w:jc w:val="center"/>
        <w:rPr>
          <w:color w:val="auto"/>
        </w:rPr>
      </w:pPr>
    </w:p>
    <w:p w14:paraId="2CE4656F">
      <w:pPr>
        <w:spacing w:line="360" w:lineRule="auto"/>
        <w:ind w:firstLine="426"/>
        <w:jc w:val="center"/>
        <w:rPr>
          <w:color w:val="auto"/>
        </w:rPr>
      </w:pPr>
    </w:p>
    <w:p w14:paraId="51142C7D">
      <w:pPr>
        <w:spacing w:line="360" w:lineRule="auto"/>
        <w:ind w:firstLine="426"/>
        <w:jc w:val="center"/>
        <w:rPr>
          <w:color w:val="auto"/>
        </w:rPr>
      </w:pPr>
    </w:p>
    <w:p w14:paraId="0DFB9719">
      <w:pPr>
        <w:jc w:val="center"/>
        <w:rPr>
          <w:rFonts w:eastAsia="黑体"/>
          <w:color w:val="auto"/>
          <w:sz w:val="32"/>
        </w:rPr>
      </w:pPr>
      <w:bookmarkStart w:id="3" w:name="_Toc30016"/>
      <w:r>
        <w:rPr>
          <w:rFonts w:eastAsia="黑体"/>
          <w:color w:val="auto"/>
          <w:sz w:val="32"/>
        </w:rPr>
        <w:t>中国工程建设标准化协会标准</w:t>
      </w:r>
      <w:bookmarkEnd w:id="3"/>
    </w:p>
    <w:p w14:paraId="07E04BD7">
      <w:pPr>
        <w:rPr>
          <w:color w:val="auto"/>
        </w:rPr>
      </w:pPr>
    </w:p>
    <w:p w14:paraId="42CA1B99">
      <w:pPr>
        <w:rPr>
          <w:color w:val="auto"/>
        </w:rPr>
      </w:pPr>
    </w:p>
    <w:p w14:paraId="5E9181AA">
      <w:pPr>
        <w:pStyle w:val="9"/>
        <w:ind w:right="-94" w:rightChars="-39"/>
        <w:jc w:val="center"/>
        <w:rPr>
          <w:rFonts w:hint="eastAsia" w:eastAsia="黑体"/>
          <w:color w:val="auto"/>
          <w:sz w:val="48"/>
          <w:lang w:eastAsia="zh-CN"/>
        </w:rPr>
      </w:pPr>
      <w:r>
        <w:rPr>
          <w:rFonts w:hint="eastAsia" w:eastAsia="黑体"/>
          <w:color w:val="auto"/>
          <w:sz w:val="48"/>
          <w:lang w:eastAsia="zh-CN"/>
        </w:rPr>
        <w:t>居住建筑通风系统微生物气溶胶防控性能评价标准</w:t>
      </w:r>
    </w:p>
    <w:p w14:paraId="0F2842BC">
      <w:pPr>
        <w:pStyle w:val="9"/>
        <w:jc w:val="center"/>
        <w:rPr>
          <w:rFonts w:eastAsia="宋体"/>
          <w:b/>
          <w:color w:val="auto"/>
          <w:spacing w:val="-1"/>
          <w:sz w:val="28"/>
          <w:szCs w:val="28"/>
        </w:rPr>
      </w:pPr>
      <w:bookmarkStart w:id="4" w:name="_Toc7027037"/>
      <w:r>
        <w:rPr>
          <w:rFonts w:eastAsia="宋体"/>
          <w:b/>
          <w:color w:val="auto"/>
          <w:spacing w:val="-1"/>
          <w:sz w:val="28"/>
          <w:szCs w:val="28"/>
        </w:rPr>
        <w:t>Standard for evaluation of the prevention and control performance of airborne pathogenic microorganisms in residential buildings</w:t>
      </w:r>
    </w:p>
    <w:p w14:paraId="1694CFF6">
      <w:pPr>
        <w:pStyle w:val="9"/>
        <w:jc w:val="center"/>
        <w:rPr>
          <w:rFonts w:eastAsia="宋体"/>
          <w:b/>
          <w:color w:val="auto"/>
          <w:spacing w:val="-1"/>
          <w:sz w:val="28"/>
          <w:szCs w:val="28"/>
        </w:rPr>
      </w:pPr>
    </w:p>
    <w:p w14:paraId="65FAC38B">
      <w:pPr>
        <w:spacing w:line="360" w:lineRule="auto"/>
        <w:jc w:val="center"/>
        <w:rPr>
          <w:b/>
          <w:color w:val="auto"/>
          <w:sz w:val="28"/>
          <w:szCs w:val="28"/>
        </w:rPr>
      </w:pPr>
      <w:r>
        <w:rPr>
          <w:b/>
          <w:color w:val="auto"/>
          <w:sz w:val="28"/>
          <w:szCs w:val="28"/>
        </w:rPr>
        <w:t xml:space="preserve">T/CECS </w:t>
      </w:r>
      <w:bookmarkEnd w:id="4"/>
      <w:r>
        <w:rPr>
          <w:b/>
          <w:color w:val="auto"/>
          <w:sz w:val="28"/>
          <w:szCs w:val="28"/>
        </w:rPr>
        <w:t>XXX -202X</w:t>
      </w:r>
    </w:p>
    <w:p w14:paraId="602C87A8">
      <w:pPr>
        <w:spacing w:line="360" w:lineRule="auto"/>
        <w:ind w:firstLine="426"/>
        <w:jc w:val="center"/>
        <w:rPr>
          <w:color w:val="auto"/>
        </w:rPr>
      </w:pPr>
    </w:p>
    <w:p w14:paraId="275D21E8">
      <w:pPr>
        <w:spacing w:line="360" w:lineRule="auto"/>
        <w:ind w:firstLine="426"/>
        <w:jc w:val="center"/>
        <w:rPr>
          <w:color w:val="auto"/>
        </w:rPr>
      </w:pPr>
    </w:p>
    <w:p w14:paraId="3AEA8E02">
      <w:pPr>
        <w:autoSpaceDE w:val="0"/>
        <w:autoSpaceDN w:val="0"/>
        <w:spacing w:line="360" w:lineRule="auto"/>
        <w:ind w:firstLine="2168" w:firstLineChars="900"/>
        <w:jc w:val="left"/>
        <w:textAlignment w:val="bottom"/>
        <w:rPr>
          <w:b/>
          <w:color w:val="auto"/>
        </w:rPr>
      </w:pPr>
      <w:bookmarkStart w:id="5" w:name="_Toc25216"/>
      <w:r>
        <w:rPr>
          <w:b/>
          <w:color w:val="auto"/>
        </w:rPr>
        <w:t>主编单位：中国合格评定国家认可中心</w:t>
      </w:r>
    </w:p>
    <w:p w14:paraId="5356BC91">
      <w:pPr>
        <w:autoSpaceDE w:val="0"/>
        <w:autoSpaceDN w:val="0"/>
        <w:spacing w:line="360" w:lineRule="auto"/>
        <w:ind w:firstLine="2168" w:firstLineChars="900"/>
        <w:jc w:val="left"/>
        <w:textAlignment w:val="bottom"/>
        <w:rPr>
          <w:b/>
          <w:color w:val="auto"/>
        </w:rPr>
      </w:pPr>
      <w:r>
        <w:rPr>
          <w:b/>
          <w:color w:val="auto"/>
        </w:rPr>
        <w:tab/>
      </w:r>
      <w:r>
        <w:rPr>
          <w:b/>
          <w:color w:val="auto"/>
        </w:rPr>
        <w:tab/>
      </w:r>
      <w:r>
        <w:rPr>
          <w:b/>
          <w:color w:val="auto"/>
        </w:rPr>
        <w:tab/>
      </w:r>
      <w:r>
        <w:rPr>
          <w:b/>
          <w:color w:val="auto"/>
        </w:rPr>
        <w:t>中国建筑科学研究院有限公司</w:t>
      </w:r>
    </w:p>
    <w:p w14:paraId="418CD859">
      <w:pPr>
        <w:autoSpaceDE w:val="0"/>
        <w:autoSpaceDN w:val="0"/>
        <w:spacing w:line="360" w:lineRule="auto"/>
        <w:ind w:firstLine="2168" w:firstLineChars="900"/>
        <w:jc w:val="left"/>
        <w:textAlignment w:val="bottom"/>
        <w:rPr>
          <w:b/>
          <w:color w:val="auto"/>
        </w:rPr>
      </w:pPr>
      <w:r>
        <w:rPr>
          <w:b/>
          <w:color w:val="auto"/>
        </w:rPr>
        <w:t>批准单位：中国工程建设标准化协会</w:t>
      </w:r>
    </w:p>
    <w:p w14:paraId="5354A7B8">
      <w:pPr>
        <w:autoSpaceDE w:val="0"/>
        <w:autoSpaceDN w:val="0"/>
        <w:spacing w:line="360" w:lineRule="auto"/>
        <w:ind w:firstLine="2168" w:firstLineChars="900"/>
        <w:jc w:val="left"/>
        <w:textAlignment w:val="bottom"/>
        <w:rPr>
          <w:b/>
          <w:color w:val="auto"/>
        </w:rPr>
      </w:pPr>
      <w:r>
        <w:rPr>
          <w:b/>
          <w:color w:val="auto"/>
        </w:rPr>
        <w:t>施行日期：202X年XX月XX日</w:t>
      </w:r>
    </w:p>
    <w:bookmarkEnd w:id="5"/>
    <w:p w14:paraId="71B3326E">
      <w:pPr>
        <w:spacing w:line="360" w:lineRule="auto"/>
        <w:jc w:val="left"/>
        <w:rPr>
          <w:color w:val="auto"/>
        </w:rPr>
      </w:pPr>
    </w:p>
    <w:p w14:paraId="02A29815">
      <w:pPr>
        <w:spacing w:line="360" w:lineRule="auto"/>
        <w:jc w:val="left"/>
        <w:rPr>
          <w:color w:val="auto"/>
        </w:rPr>
      </w:pPr>
    </w:p>
    <w:p w14:paraId="32B10352">
      <w:pPr>
        <w:spacing w:line="360" w:lineRule="auto"/>
        <w:jc w:val="left"/>
        <w:rPr>
          <w:color w:val="auto"/>
        </w:rPr>
      </w:pPr>
    </w:p>
    <w:p w14:paraId="4BD92247">
      <w:pPr>
        <w:spacing w:line="360" w:lineRule="auto"/>
        <w:jc w:val="left"/>
        <w:rPr>
          <w:color w:val="auto"/>
        </w:rPr>
      </w:pPr>
    </w:p>
    <w:p w14:paraId="6404E531">
      <w:pPr>
        <w:spacing w:line="360" w:lineRule="auto"/>
        <w:jc w:val="left"/>
        <w:rPr>
          <w:color w:val="auto"/>
        </w:rPr>
      </w:pPr>
    </w:p>
    <w:p w14:paraId="2AD97C1E">
      <w:pPr>
        <w:spacing w:line="360" w:lineRule="auto"/>
        <w:jc w:val="center"/>
        <w:rPr>
          <w:rFonts w:eastAsia="仿宋"/>
          <w:b/>
          <w:color w:val="auto"/>
          <w:sz w:val="28"/>
        </w:rPr>
      </w:pPr>
      <w:r>
        <w:rPr>
          <w:rFonts w:eastAsia="仿宋"/>
          <w:b/>
          <w:color w:val="auto"/>
          <w:sz w:val="28"/>
        </w:rPr>
        <w:t>中国XX出版社</w:t>
      </w:r>
    </w:p>
    <w:p w14:paraId="747B5347">
      <w:pPr>
        <w:ind w:right="62"/>
        <w:jc w:val="center"/>
        <w:rPr>
          <w:rFonts w:eastAsia="黑体"/>
          <w:b/>
          <w:bCs/>
          <w:color w:val="auto"/>
        </w:rPr>
      </w:pPr>
      <w:r>
        <w:rPr>
          <w:rFonts w:eastAsia="黑体"/>
          <w:b/>
          <w:bCs/>
          <w:color w:val="auto"/>
          <w:szCs w:val="28"/>
        </w:rPr>
        <w:t>20</w:t>
      </w:r>
      <w:r>
        <w:rPr>
          <w:rFonts w:eastAsia="黑体"/>
          <w:b/>
          <w:bCs/>
          <w:color w:val="auto"/>
        </w:rPr>
        <w:t>2X北京</w:t>
      </w:r>
    </w:p>
    <w:p w14:paraId="3A36B677">
      <w:pPr>
        <w:widowControl/>
        <w:jc w:val="left"/>
        <w:rPr>
          <w:color w:val="auto"/>
        </w:rPr>
      </w:pPr>
      <w:bookmarkStart w:id="6" w:name="_Toc7629"/>
      <w:r>
        <w:rPr>
          <w:color w:val="auto"/>
        </w:rPr>
        <w:br w:type="page"/>
      </w:r>
    </w:p>
    <w:p w14:paraId="6002CDD1">
      <w:pPr>
        <w:spacing w:before="468" w:beforeLines="150" w:after="156" w:afterLines="50"/>
        <w:jc w:val="center"/>
        <w:rPr>
          <w:rFonts w:eastAsia="黑体"/>
          <w:color w:val="auto"/>
          <w:sz w:val="32"/>
        </w:rPr>
      </w:pPr>
      <w:bookmarkStart w:id="7" w:name="_Toc20160"/>
      <w:r>
        <w:rPr>
          <w:rFonts w:eastAsia="黑体"/>
          <w:color w:val="auto"/>
          <w:sz w:val="32"/>
        </w:rPr>
        <w:t>前　　言</w:t>
      </w:r>
      <w:bookmarkEnd w:id="6"/>
      <w:bookmarkEnd w:id="7"/>
    </w:p>
    <w:p w14:paraId="669EBBEA">
      <w:pPr>
        <w:pStyle w:val="42"/>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w:t>
      </w:r>
      <w:r>
        <w:rPr>
          <w:rFonts w:hint="eastAsia" w:ascii="Times New Roman" w:hAnsi="Times New Roman" w:cs="Times New Roman"/>
          <w:color w:val="auto"/>
          <w:lang w:eastAsia="zh-CN"/>
        </w:rPr>
        <w:t>居住建筑通风系统微生物气溶胶防控性能评价标准</w:t>
      </w:r>
      <w:r>
        <w:rPr>
          <w:rFonts w:ascii="Times New Roman" w:hAnsi="Times New Roman" w:cs="Times New Roman"/>
          <w:color w:val="auto"/>
        </w:rPr>
        <w:t>》（以下简称标准）是根据中国工程建设标准化协会《关于印发&lt;2024年第二批协会标准制订、修订计划&gt;的通知》（建标协字[2024]28号）的要求进行编制。编制组经广泛调查研究，认真总结实践经验，参考有关国外和国内先进标准，并在广泛征求意见的基础上，制定本标准。</w:t>
      </w:r>
    </w:p>
    <w:p w14:paraId="729BFCE9">
      <w:pPr>
        <w:spacing w:line="360" w:lineRule="auto"/>
        <w:ind w:firstLine="480" w:firstLineChars="200"/>
        <w:rPr>
          <w:color w:val="auto"/>
          <w:szCs w:val="24"/>
        </w:rPr>
      </w:pPr>
      <w:r>
        <w:rPr>
          <w:color w:val="auto"/>
          <w:szCs w:val="24"/>
        </w:rPr>
        <w:t>本标准共分</w:t>
      </w:r>
      <w:r>
        <w:rPr>
          <w:color w:val="auto"/>
        </w:rPr>
        <w:t>6</w:t>
      </w:r>
      <w:r>
        <w:rPr>
          <w:color w:val="auto"/>
          <w:szCs w:val="24"/>
        </w:rPr>
        <w:t>章，主要内容包括：总则、术语、基本规定、评价内容、实测评价方法、模拟评价方法</w:t>
      </w:r>
      <w:r>
        <w:rPr>
          <w:color w:val="auto"/>
        </w:rPr>
        <w:t>等</w:t>
      </w:r>
      <w:r>
        <w:rPr>
          <w:color w:val="auto"/>
          <w:szCs w:val="24"/>
        </w:rPr>
        <w:t>。</w:t>
      </w:r>
    </w:p>
    <w:p w14:paraId="65426EFA">
      <w:pPr>
        <w:spacing w:line="360" w:lineRule="auto"/>
        <w:ind w:firstLine="480" w:firstLineChars="200"/>
        <w:rPr>
          <w:color w:val="auto"/>
          <w:szCs w:val="24"/>
        </w:rPr>
      </w:pPr>
      <w:r>
        <w:rPr>
          <w:color w:val="auto"/>
          <w:szCs w:val="24"/>
        </w:rPr>
        <w:t>本标准的某些内容可能直接或间接涉及专利，本标准的发布机构不承担识别这些专利的责任。</w:t>
      </w:r>
    </w:p>
    <w:p w14:paraId="40A8623C">
      <w:pPr>
        <w:spacing w:line="360" w:lineRule="auto"/>
        <w:ind w:firstLine="480" w:firstLineChars="200"/>
        <w:rPr>
          <w:color w:val="auto"/>
          <w:szCs w:val="24"/>
        </w:rPr>
      </w:pPr>
      <w:r>
        <w:rPr>
          <w:color w:val="auto"/>
          <w:szCs w:val="24"/>
        </w:rPr>
        <w:t>本标准由中国工程建设标准化协会洁净受控环境与实验室专业委员会归口管理，由</w:t>
      </w:r>
      <w:r>
        <w:rPr>
          <w:color w:val="auto"/>
        </w:rPr>
        <w:t>中国合格评定国家认可中心</w:t>
      </w:r>
      <w:r>
        <w:rPr>
          <w:color w:val="auto"/>
          <w:szCs w:val="24"/>
        </w:rPr>
        <w:t>负责具体技术内容的解释。执行过程中，如有意见或建议，请反馈给</w:t>
      </w:r>
      <w:r>
        <w:rPr>
          <w:color w:val="auto"/>
        </w:rPr>
        <w:t>中国合格评定国家认可中心</w:t>
      </w:r>
      <w:r>
        <w:rPr>
          <w:rFonts w:hint="eastAsia"/>
          <w:color w:val="auto"/>
          <w:lang w:val="en-US" w:eastAsia="zh-CN"/>
        </w:rPr>
        <w:t>（地址：北京市东城区南花市大街8号，邮编：100062，邮箱：</w:t>
      </w:r>
      <w:r>
        <w:rPr>
          <w:rFonts w:hint="eastAsia"/>
          <w:color w:val="auto"/>
          <w:lang w:val="en-US" w:eastAsia="zh-CN"/>
        </w:rPr>
        <w:fldChar w:fldCharType="begin"/>
      </w:r>
      <w:r>
        <w:rPr>
          <w:rFonts w:hint="eastAsia"/>
          <w:color w:val="auto"/>
          <w:lang w:val="en-US" w:eastAsia="zh-CN"/>
        </w:rPr>
        <w:instrText xml:space="preserve"> HYPERLINK "mailto:cgp_cabr@163.com）。" </w:instrText>
      </w:r>
      <w:r>
        <w:rPr>
          <w:rFonts w:hint="eastAsia"/>
          <w:color w:val="auto"/>
          <w:lang w:val="en-US" w:eastAsia="zh-CN"/>
        </w:rPr>
        <w:fldChar w:fldCharType="separate"/>
      </w:r>
      <w:r>
        <w:rPr>
          <w:rFonts w:hint="eastAsia"/>
          <w:color w:val="auto"/>
          <w:lang w:val="en-US" w:eastAsia="zh-CN"/>
        </w:rPr>
        <w:t>zhouyy@cnas.org.cn）。</w:t>
      </w:r>
      <w:r>
        <w:rPr>
          <w:rFonts w:hint="eastAsia"/>
          <w:color w:val="auto"/>
          <w:lang w:val="en-US" w:eastAsia="zh-CN"/>
        </w:rPr>
        <w:fldChar w:fldCharType="end"/>
      </w:r>
    </w:p>
    <w:p w14:paraId="16CD637A">
      <w:pPr>
        <w:pStyle w:val="50"/>
        <w:spacing w:line="336" w:lineRule="auto"/>
        <w:ind w:firstLine="480"/>
        <w:rPr>
          <w:rFonts w:ascii="Times New Roman"/>
          <w:sz w:val="24"/>
          <w:szCs w:val="24"/>
        </w:rPr>
      </w:pPr>
      <w:r>
        <w:rPr>
          <w:rFonts w:ascii="Times New Roman"/>
          <w:sz w:val="24"/>
          <w:szCs w:val="24"/>
        </w:rPr>
        <w:t>主编单位：</w:t>
      </w:r>
      <w:r>
        <w:rPr>
          <w:rFonts w:ascii="Times New Roman"/>
          <w:sz w:val="24"/>
        </w:rPr>
        <w:t>中国合格评定国家认可中心</w:t>
      </w:r>
    </w:p>
    <w:p w14:paraId="606E0454">
      <w:pPr>
        <w:pStyle w:val="50"/>
        <w:spacing w:line="336" w:lineRule="auto"/>
        <w:ind w:firstLine="480"/>
        <w:rPr>
          <w:rFonts w:ascii="Times New Roman"/>
          <w:sz w:val="24"/>
          <w:szCs w:val="24"/>
        </w:rPr>
      </w:pPr>
      <w:r>
        <w:rPr>
          <w:rFonts w:ascii="Times New Roman"/>
          <w:sz w:val="24"/>
          <w:szCs w:val="24"/>
        </w:rPr>
        <w:t xml:space="preserve">          中国建筑科学研究院有限公司</w:t>
      </w:r>
    </w:p>
    <w:p w14:paraId="77A8EF84">
      <w:pPr>
        <w:pStyle w:val="50"/>
        <w:spacing w:line="336" w:lineRule="auto"/>
        <w:ind w:firstLine="480"/>
        <w:rPr>
          <w:rFonts w:ascii="Times New Roman"/>
          <w:sz w:val="24"/>
          <w:szCs w:val="24"/>
        </w:rPr>
      </w:pPr>
      <w:r>
        <w:rPr>
          <w:rFonts w:ascii="Times New Roman"/>
          <w:sz w:val="24"/>
          <w:szCs w:val="24"/>
        </w:rPr>
        <w:t>参编单位：</w:t>
      </w:r>
    </w:p>
    <w:p w14:paraId="26F99576">
      <w:pPr>
        <w:pStyle w:val="50"/>
        <w:spacing w:line="336" w:lineRule="auto"/>
        <w:ind w:firstLine="1699" w:firstLineChars="708"/>
        <w:rPr>
          <w:rFonts w:ascii="Times New Roman"/>
          <w:sz w:val="24"/>
          <w:szCs w:val="24"/>
        </w:rPr>
      </w:pPr>
    </w:p>
    <w:p w14:paraId="4FE7A91B">
      <w:pPr>
        <w:pStyle w:val="50"/>
        <w:spacing w:line="336" w:lineRule="auto"/>
        <w:ind w:firstLine="1699" w:firstLineChars="708"/>
        <w:rPr>
          <w:rFonts w:ascii="Times New Roman"/>
          <w:sz w:val="24"/>
          <w:szCs w:val="24"/>
        </w:rPr>
      </w:pPr>
    </w:p>
    <w:tbl>
      <w:tblPr>
        <w:tblStyle w:val="24"/>
        <w:tblW w:w="7371" w:type="dxa"/>
        <w:tblInd w:w="0" w:type="dxa"/>
        <w:tblLayout w:type="autofit"/>
        <w:tblCellMar>
          <w:top w:w="0" w:type="dxa"/>
          <w:left w:w="0" w:type="dxa"/>
          <w:bottom w:w="0" w:type="dxa"/>
          <w:right w:w="108" w:type="dxa"/>
        </w:tblCellMar>
      </w:tblPr>
      <w:tblGrid>
        <w:gridCol w:w="1621"/>
        <w:gridCol w:w="1150"/>
        <w:gridCol w:w="1150"/>
        <w:gridCol w:w="1150"/>
        <w:gridCol w:w="1150"/>
        <w:gridCol w:w="1150"/>
      </w:tblGrid>
      <w:tr w14:paraId="64528CDE">
        <w:tblPrEx>
          <w:tblCellMar>
            <w:top w:w="0" w:type="dxa"/>
            <w:left w:w="0" w:type="dxa"/>
            <w:bottom w:w="0" w:type="dxa"/>
            <w:right w:w="108" w:type="dxa"/>
          </w:tblCellMar>
        </w:tblPrEx>
        <w:trPr>
          <w:trHeight w:val="227" w:hRule="atLeast"/>
        </w:trPr>
        <w:tc>
          <w:tcPr>
            <w:tcW w:w="1621" w:type="dxa"/>
          </w:tcPr>
          <w:p w14:paraId="054F5777">
            <w:pPr>
              <w:widowControl/>
              <w:snapToGrid w:val="0"/>
              <w:jc w:val="right"/>
              <w:rPr>
                <w:color w:val="auto"/>
                <w:sz w:val="22"/>
              </w:rPr>
            </w:pPr>
            <w:r>
              <w:rPr>
                <w:color w:val="auto"/>
                <w:szCs w:val="28"/>
              </w:rPr>
              <w:t>主要起草人：</w:t>
            </w:r>
          </w:p>
        </w:tc>
        <w:tc>
          <w:tcPr>
            <w:tcW w:w="1150" w:type="dxa"/>
            <w:noWrap/>
            <w:vAlign w:val="center"/>
          </w:tcPr>
          <w:p w14:paraId="4FDB1DDC">
            <w:pPr>
              <w:widowControl/>
              <w:snapToGrid w:val="0"/>
              <w:spacing w:line="336" w:lineRule="auto"/>
              <w:jc w:val="left"/>
              <w:rPr>
                <w:color w:val="auto"/>
                <w:szCs w:val="24"/>
              </w:rPr>
            </w:pPr>
          </w:p>
        </w:tc>
        <w:tc>
          <w:tcPr>
            <w:tcW w:w="1150" w:type="dxa"/>
            <w:noWrap/>
            <w:vAlign w:val="center"/>
          </w:tcPr>
          <w:p w14:paraId="24157284">
            <w:pPr>
              <w:widowControl/>
              <w:snapToGrid w:val="0"/>
              <w:spacing w:line="336" w:lineRule="auto"/>
              <w:jc w:val="left"/>
              <w:rPr>
                <w:color w:val="auto"/>
                <w:szCs w:val="24"/>
              </w:rPr>
            </w:pPr>
          </w:p>
        </w:tc>
        <w:tc>
          <w:tcPr>
            <w:tcW w:w="1150" w:type="dxa"/>
            <w:noWrap/>
            <w:vAlign w:val="center"/>
          </w:tcPr>
          <w:p w14:paraId="65D6F383">
            <w:pPr>
              <w:widowControl/>
              <w:snapToGrid w:val="0"/>
              <w:spacing w:line="336" w:lineRule="auto"/>
              <w:jc w:val="left"/>
              <w:rPr>
                <w:color w:val="auto"/>
                <w:szCs w:val="24"/>
              </w:rPr>
            </w:pPr>
          </w:p>
        </w:tc>
        <w:tc>
          <w:tcPr>
            <w:tcW w:w="1150" w:type="dxa"/>
            <w:noWrap/>
            <w:vAlign w:val="center"/>
          </w:tcPr>
          <w:p w14:paraId="0248E653">
            <w:pPr>
              <w:widowControl/>
              <w:snapToGrid w:val="0"/>
              <w:spacing w:line="336" w:lineRule="auto"/>
              <w:jc w:val="left"/>
              <w:rPr>
                <w:color w:val="auto"/>
                <w:szCs w:val="24"/>
              </w:rPr>
            </w:pPr>
          </w:p>
        </w:tc>
        <w:tc>
          <w:tcPr>
            <w:tcW w:w="1150" w:type="dxa"/>
            <w:noWrap/>
            <w:vAlign w:val="center"/>
          </w:tcPr>
          <w:p w14:paraId="41B8A9B0">
            <w:pPr>
              <w:widowControl/>
              <w:snapToGrid w:val="0"/>
              <w:spacing w:line="336" w:lineRule="auto"/>
              <w:jc w:val="left"/>
              <w:rPr>
                <w:color w:val="auto"/>
                <w:szCs w:val="24"/>
              </w:rPr>
            </w:pPr>
          </w:p>
        </w:tc>
      </w:tr>
      <w:tr w14:paraId="1AEA77D5">
        <w:tblPrEx>
          <w:tblCellMar>
            <w:top w:w="0" w:type="dxa"/>
            <w:left w:w="0" w:type="dxa"/>
            <w:bottom w:w="0" w:type="dxa"/>
            <w:right w:w="108" w:type="dxa"/>
          </w:tblCellMar>
        </w:tblPrEx>
        <w:trPr>
          <w:trHeight w:val="227" w:hRule="atLeast"/>
        </w:trPr>
        <w:tc>
          <w:tcPr>
            <w:tcW w:w="1621" w:type="dxa"/>
          </w:tcPr>
          <w:p w14:paraId="4DF31FE0">
            <w:pPr>
              <w:widowControl/>
              <w:snapToGrid w:val="0"/>
              <w:jc w:val="left"/>
              <w:rPr>
                <w:color w:val="auto"/>
                <w:sz w:val="22"/>
              </w:rPr>
            </w:pPr>
          </w:p>
        </w:tc>
        <w:tc>
          <w:tcPr>
            <w:tcW w:w="1150" w:type="dxa"/>
            <w:noWrap/>
            <w:vAlign w:val="center"/>
          </w:tcPr>
          <w:p w14:paraId="031ABE8D">
            <w:pPr>
              <w:widowControl/>
              <w:snapToGrid w:val="0"/>
              <w:spacing w:line="336" w:lineRule="auto"/>
              <w:jc w:val="left"/>
              <w:rPr>
                <w:color w:val="auto"/>
                <w:szCs w:val="24"/>
              </w:rPr>
            </w:pPr>
          </w:p>
        </w:tc>
        <w:tc>
          <w:tcPr>
            <w:tcW w:w="1150" w:type="dxa"/>
            <w:noWrap/>
            <w:vAlign w:val="center"/>
          </w:tcPr>
          <w:p w14:paraId="340CE976">
            <w:pPr>
              <w:widowControl/>
              <w:snapToGrid w:val="0"/>
              <w:spacing w:line="336" w:lineRule="auto"/>
              <w:jc w:val="left"/>
              <w:rPr>
                <w:color w:val="auto"/>
                <w:szCs w:val="24"/>
              </w:rPr>
            </w:pPr>
          </w:p>
        </w:tc>
        <w:tc>
          <w:tcPr>
            <w:tcW w:w="1150" w:type="dxa"/>
            <w:noWrap/>
            <w:vAlign w:val="center"/>
          </w:tcPr>
          <w:p w14:paraId="6E651D39">
            <w:pPr>
              <w:widowControl/>
              <w:snapToGrid w:val="0"/>
              <w:spacing w:line="336" w:lineRule="auto"/>
              <w:jc w:val="left"/>
              <w:rPr>
                <w:color w:val="auto"/>
                <w:szCs w:val="24"/>
              </w:rPr>
            </w:pPr>
          </w:p>
        </w:tc>
        <w:tc>
          <w:tcPr>
            <w:tcW w:w="1150" w:type="dxa"/>
            <w:noWrap/>
            <w:vAlign w:val="center"/>
          </w:tcPr>
          <w:p w14:paraId="381EFDE2">
            <w:pPr>
              <w:widowControl/>
              <w:snapToGrid w:val="0"/>
              <w:spacing w:line="336" w:lineRule="auto"/>
              <w:jc w:val="left"/>
              <w:rPr>
                <w:color w:val="auto"/>
                <w:szCs w:val="24"/>
              </w:rPr>
            </w:pPr>
          </w:p>
        </w:tc>
        <w:tc>
          <w:tcPr>
            <w:tcW w:w="1150" w:type="dxa"/>
            <w:noWrap/>
            <w:vAlign w:val="center"/>
          </w:tcPr>
          <w:p w14:paraId="17FE896A">
            <w:pPr>
              <w:widowControl/>
              <w:snapToGrid w:val="0"/>
              <w:spacing w:line="336" w:lineRule="auto"/>
              <w:jc w:val="left"/>
              <w:rPr>
                <w:color w:val="auto"/>
                <w:szCs w:val="24"/>
              </w:rPr>
            </w:pPr>
          </w:p>
        </w:tc>
      </w:tr>
      <w:tr w14:paraId="1DD0777A">
        <w:tblPrEx>
          <w:tblCellMar>
            <w:top w:w="0" w:type="dxa"/>
            <w:left w:w="0" w:type="dxa"/>
            <w:bottom w:w="0" w:type="dxa"/>
            <w:right w:w="108" w:type="dxa"/>
          </w:tblCellMar>
        </w:tblPrEx>
        <w:trPr>
          <w:trHeight w:val="227" w:hRule="atLeast"/>
        </w:trPr>
        <w:tc>
          <w:tcPr>
            <w:tcW w:w="1621" w:type="dxa"/>
          </w:tcPr>
          <w:p w14:paraId="3003F56E">
            <w:pPr>
              <w:widowControl/>
              <w:snapToGrid w:val="0"/>
              <w:jc w:val="left"/>
              <w:rPr>
                <w:color w:val="auto"/>
                <w:sz w:val="22"/>
              </w:rPr>
            </w:pPr>
          </w:p>
        </w:tc>
        <w:tc>
          <w:tcPr>
            <w:tcW w:w="1150" w:type="dxa"/>
            <w:noWrap/>
            <w:vAlign w:val="center"/>
          </w:tcPr>
          <w:p w14:paraId="22EB48A4">
            <w:pPr>
              <w:widowControl/>
              <w:snapToGrid w:val="0"/>
              <w:spacing w:line="336" w:lineRule="auto"/>
              <w:jc w:val="left"/>
              <w:rPr>
                <w:color w:val="auto"/>
                <w:szCs w:val="24"/>
              </w:rPr>
            </w:pPr>
          </w:p>
        </w:tc>
        <w:tc>
          <w:tcPr>
            <w:tcW w:w="1150" w:type="dxa"/>
            <w:noWrap/>
            <w:vAlign w:val="center"/>
          </w:tcPr>
          <w:p w14:paraId="374E8097">
            <w:pPr>
              <w:widowControl/>
              <w:snapToGrid w:val="0"/>
              <w:spacing w:line="336" w:lineRule="auto"/>
              <w:jc w:val="left"/>
              <w:rPr>
                <w:color w:val="auto"/>
                <w:szCs w:val="24"/>
              </w:rPr>
            </w:pPr>
          </w:p>
        </w:tc>
        <w:tc>
          <w:tcPr>
            <w:tcW w:w="1150" w:type="dxa"/>
            <w:noWrap/>
            <w:vAlign w:val="center"/>
          </w:tcPr>
          <w:p w14:paraId="59A7DF7F">
            <w:pPr>
              <w:widowControl/>
              <w:snapToGrid w:val="0"/>
              <w:spacing w:line="336" w:lineRule="auto"/>
              <w:jc w:val="left"/>
              <w:rPr>
                <w:color w:val="auto"/>
                <w:szCs w:val="24"/>
              </w:rPr>
            </w:pPr>
          </w:p>
        </w:tc>
        <w:tc>
          <w:tcPr>
            <w:tcW w:w="1150" w:type="dxa"/>
            <w:noWrap/>
            <w:vAlign w:val="center"/>
          </w:tcPr>
          <w:p w14:paraId="1835DF49">
            <w:pPr>
              <w:widowControl/>
              <w:snapToGrid w:val="0"/>
              <w:spacing w:line="336" w:lineRule="auto"/>
              <w:jc w:val="left"/>
              <w:rPr>
                <w:color w:val="auto"/>
                <w:szCs w:val="24"/>
              </w:rPr>
            </w:pPr>
          </w:p>
        </w:tc>
        <w:tc>
          <w:tcPr>
            <w:tcW w:w="1150" w:type="dxa"/>
            <w:noWrap/>
            <w:vAlign w:val="center"/>
          </w:tcPr>
          <w:p w14:paraId="65C3A652">
            <w:pPr>
              <w:widowControl/>
              <w:snapToGrid w:val="0"/>
              <w:spacing w:line="336" w:lineRule="auto"/>
              <w:jc w:val="left"/>
              <w:rPr>
                <w:color w:val="auto"/>
                <w:szCs w:val="24"/>
              </w:rPr>
            </w:pPr>
          </w:p>
        </w:tc>
      </w:tr>
      <w:tr w14:paraId="05AA2861">
        <w:tblPrEx>
          <w:tblCellMar>
            <w:top w:w="0" w:type="dxa"/>
            <w:left w:w="0" w:type="dxa"/>
            <w:bottom w:w="0" w:type="dxa"/>
            <w:right w:w="108" w:type="dxa"/>
          </w:tblCellMar>
        </w:tblPrEx>
        <w:trPr>
          <w:trHeight w:val="227" w:hRule="atLeast"/>
        </w:trPr>
        <w:tc>
          <w:tcPr>
            <w:tcW w:w="1621" w:type="dxa"/>
          </w:tcPr>
          <w:p w14:paraId="61843512">
            <w:pPr>
              <w:widowControl/>
              <w:snapToGrid w:val="0"/>
              <w:jc w:val="left"/>
              <w:rPr>
                <w:color w:val="auto"/>
                <w:sz w:val="22"/>
              </w:rPr>
            </w:pPr>
          </w:p>
        </w:tc>
        <w:tc>
          <w:tcPr>
            <w:tcW w:w="1150" w:type="dxa"/>
            <w:noWrap/>
            <w:vAlign w:val="center"/>
          </w:tcPr>
          <w:p w14:paraId="27F4E4C2">
            <w:pPr>
              <w:widowControl/>
              <w:snapToGrid w:val="0"/>
              <w:spacing w:line="336" w:lineRule="auto"/>
              <w:jc w:val="left"/>
              <w:rPr>
                <w:color w:val="auto"/>
                <w:szCs w:val="24"/>
              </w:rPr>
            </w:pPr>
          </w:p>
        </w:tc>
        <w:tc>
          <w:tcPr>
            <w:tcW w:w="1150" w:type="dxa"/>
            <w:noWrap/>
            <w:vAlign w:val="center"/>
          </w:tcPr>
          <w:p w14:paraId="78F8AB8F">
            <w:pPr>
              <w:widowControl/>
              <w:snapToGrid w:val="0"/>
              <w:spacing w:line="336" w:lineRule="auto"/>
              <w:jc w:val="left"/>
              <w:rPr>
                <w:color w:val="auto"/>
                <w:szCs w:val="24"/>
              </w:rPr>
            </w:pPr>
          </w:p>
        </w:tc>
        <w:tc>
          <w:tcPr>
            <w:tcW w:w="1150" w:type="dxa"/>
            <w:noWrap/>
            <w:vAlign w:val="center"/>
          </w:tcPr>
          <w:p w14:paraId="76DA78EB">
            <w:pPr>
              <w:widowControl/>
              <w:snapToGrid w:val="0"/>
              <w:spacing w:line="336" w:lineRule="auto"/>
              <w:jc w:val="left"/>
              <w:rPr>
                <w:color w:val="auto"/>
                <w:szCs w:val="24"/>
              </w:rPr>
            </w:pPr>
          </w:p>
        </w:tc>
        <w:tc>
          <w:tcPr>
            <w:tcW w:w="1150" w:type="dxa"/>
            <w:noWrap/>
            <w:vAlign w:val="center"/>
          </w:tcPr>
          <w:p w14:paraId="365DC5D5">
            <w:pPr>
              <w:widowControl/>
              <w:snapToGrid w:val="0"/>
              <w:spacing w:line="336" w:lineRule="auto"/>
              <w:jc w:val="left"/>
              <w:rPr>
                <w:color w:val="auto"/>
                <w:szCs w:val="24"/>
              </w:rPr>
            </w:pPr>
          </w:p>
        </w:tc>
        <w:tc>
          <w:tcPr>
            <w:tcW w:w="1150" w:type="dxa"/>
            <w:noWrap/>
            <w:vAlign w:val="center"/>
          </w:tcPr>
          <w:p w14:paraId="467B5CF6">
            <w:pPr>
              <w:widowControl/>
              <w:snapToGrid w:val="0"/>
              <w:spacing w:line="336" w:lineRule="auto"/>
              <w:jc w:val="left"/>
              <w:rPr>
                <w:color w:val="auto"/>
                <w:szCs w:val="24"/>
              </w:rPr>
            </w:pPr>
          </w:p>
        </w:tc>
      </w:tr>
      <w:tr w14:paraId="350FC621">
        <w:tblPrEx>
          <w:tblCellMar>
            <w:top w:w="0" w:type="dxa"/>
            <w:left w:w="0" w:type="dxa"/>
            <w:bottom w:w="0" w:type="dxa"/>
            <w:right w:w="108" w:type="dxa"/>
          </w:tblCellMar>
        </w:tblPrEx>
        <w:trPr>
          <w:trHeight w:val="227" w:hRule="atLeast"/>
        </w:trPr>
        <w:tc>
          <w:tcPr>
            <w:tcW w:w="1621" w:type="dxa"/>
          </w:tcPr>
          <w:p w14:paraId="6BDBD100">
            <w:pPr>
              <w:widowControl/>
              <w:snapToGrid w:val="0"/>
              <w:jc w:val="left"/>
              <w:rPr>
                <w:color w:val="auto"/>
                <w:sz w:val="22"/>
              </w:rPr>
            </w:pPr>
          </w:p>
        </w:tc>
        <w:tc>
          <w:tcPr>
            <w:tcW w:w="1150" w:type="dxa"/>
            <w:noWrap/>
            <w:vAlign w:val="center"/>
          </w:tcPr>
          <w:p w14:paraId="6AEDDCF1">
            <w:pPr>
              <w:widowControl/>
              <w:snapToGrid w:val="0"/>
              <w:spacing w:line="336" w:lineRule="auto"/>
              <w:jc w:val="left"/>
              <w:rPr>
                <w:color w:val="auto"/>
                <w:szCs w:val="24"/>
              </w:rPr>
            </w:pPr>
          </w:p>
        </w:tc>
        <w:tc>
          <w:tcPr>
            <w:tcW w:w="1150" w:type="dxa"/>
            <w:noWrap/>
            <w:vAlign w:val="center"/>
          </w:tcPr>
          <w:p w14:paraId="4241F1C7">
            <w:pPr>
              <w:widowControl/>
              <w:snapToGrid w:val="0"/>
              <w:spacing w:line="336" w:lineRule="auto"/>
              <w:jc w:val="left"/>
              <w:rPr>
                <w:color w:val="auto"/>
                <w:szCs w:val="24"/>
              </w:rPr>
            </w:pPr>
          </w:p>
        </w:tc>
        <w:tc>
          <w:tcPr>
            <w:tcW w:w="1150" w:type="dxa"/>
            <w:noWrap/>
            <w:vAlign w:val="center"/>
          </w:tcPr>
          <w:p w14:paraId="76E52C3E">
            <w:pPr>
              <w:widowControl/>
              <w:snapToGrid w:val="0"/>
              <w:spacing w:line="336" w:lineRule="auto"/>
              <w:jc w:val="left"/>
              <w:rPr>
                <w:color w:val="auto"/>
                <w:szCs w:val="24"/>
              </w:rPr>
            </w:pPr>
          </w:p>
        </w:tc>
        <w:tc>
          <w:tcPr>
            <w:tcW w:w="1150" w:type="dxa"/>
            <w:noWrap/>
            <w:vAlign w:val="center"/>
          </w:tcPr>
          <w:p w14:paraId="50DF3544">
            <w:pPr>
              <w:widowControl/>
              <w:snapToGrid w:val="0"/>
              <w:spacing w:line="336" w:lineRule="auto"/>
              <w:jc w:val="left"/>
              <w:rPr>
                <w:color w:val="auto"/>
                <w:szCs w:val="24"/>
              </w:rPr>
            </w:pPr>
          </w:p>
        </w:tc>
        <w:tc>
          <w:tcPr>
            <w:tcW w:w="1150" w:type="dxa"/>
            <w:noWrap/>
            <w:vAlign w:val="center"/>
          </w:tcPr>
          <w:p w14:paraId="1E0B5D87">
            <w:pPr>
              <w:widowControl/>
              <w:snapToGrid w:val="0"/>
              <w:spacing w:line="336" w:lineRule="auto"/>
              <w:jc w:val="left"/>
              <w:rPr>
                <w:color w:val="auto"/>
                <w:szCs w:val="24"/>
              </w:rPr>
            </w:pPr>
          </w:p>
        </w:tc>
      </w:tr>
      <w:tr w14:paraId="4A4FDE31">
        <w:tblPrEx>
          <w:tblCellMar>
            <w:top w:w="0" w:type="dxa"/>
            <w:left w:w="0" w:type="dxa"/>
            <w:bottom w:w="0" w:type="dxa"/>
            <w:right w:w="108" w:type="dxa"/>
          </w:tblCellMar>
        </w:tblPrEx>
        <w:trPr>
          <w:trHeight w:val="227" w:hRule="atLeast"/>
        </w:trPr>
        <w:tc>
          <w:tcPr>
            <w:tcW w:w="1621" w:type="dxa"/>
          </w:tcPr>
          <w:p w14:paraId="3930C1C5">
            <w:pPr>
              <w:widowControl/>
              <w:snapToGrid w:val="0"/>
              <w:jc w:val="left"/>
              <w:rPr>
                <w:color w:val="auto"/>
                <w:sz w:val="22"/>
              </w:rPr>
            </w:pPr>
          </w:p>
        </w:tc>
        <w:tc>
          <w:tcPr>
            <w:tcW w:w="1150" w:type="dxa"/>
            <w:noWrap/>
            <w:vAlign w:val="center"/>
          </w:tcPr>
          <w:p w14:paraId="1E867DFB">
            <w:pPr>
              <w:widowControl/>
              <w:snapToGrid w:val="0"/>
              <w:spacing w:line="336" w:lineRule="auto"/>
              <w:jc w:val="left"/>
              <w:rPr>
                <w:color w:val="auto"/>
                <w:szCs w:val="24"/>
              </w:rPr>
            </w:pPr>
          </w:p>
        </w:tc>
        <w:tc>
          <w:tcPr>
            <w:tcW w:w="1150" w:type="dxa"/>
            <w:noWrap/>
            <w:vAlign w:val="center"/>
          </w:tcPr>
          <w:p w14:paraId="289BD0BD">
            <w:pPr>
              <w:widowControl/>
              <w:snapToGrid w:val="0"/>
              <w:spacing w:line="336" w:lineRule="auto"/>
              <w:jc w:val="left"/>
              <w:rPr>
                <w:color w:val="auto"/>
                <w:szCs w:val="24"/>
              </w:rPr>
            </w:pPr>
          </w:p>
        </w:tc>
        <w:tc>
          <w:tcPr>
            <w:tcW w:w="1150" w:type="dxa"/>
            <w:noWrap/>
            <w:vAlign w:val="center"/>
          </w:tcPr>
          <w:p w14:paraId="7CA3B23B">
            <w:pPr>
              <w:widowControl/>
              <w:snapToGrid w:val="0"/>
              <w:spacing w:line="336" w:lineRule="auto"/>
              <w:jc w:val="left"/>
              <w:rPr>
                <w:color w:val="auto"/>
                <w:szCs w:val="24"/>
              </w:rPr>
            </w:pPr>
          </w:p>
        </w:tc>
        <w:tc>
          <w:tcPr>
            <w:tcW w:w="1150" w:type="dxa"/>
            <w:noWrap/>
            <w:vAlign w:val="center"/>
          </w:tcPr>
          <w:p w14:paraId="2EF97DE4">
            <w:pPr>
              <w:widowControl/>
              <w:snapToGrid w:val="0"/>
              <w:spacing w:line="336" w:lineRule="auto"/>
              <w:jc w:val="left"/>
              <w:rPr>
                <w:color w:val="auto"/>
                <w:szCs w:val="24"/>
              </w:rPr>
            </w:pPr>
          </w:p>
        </w:tc>
        <w:tc>
          <w:tcPr>
            <w:tcW w:w="1150" w:type="dxa"/>
            <w:noWrap/>
            <w:vAlign w:val="center"/>
          </w:tcPr>
          <w:p w14:paraId="345F626E">
            <w:pPr>
              <w:widowControl/>
              <w:snapToGrid w:val="0"/>
              <w:spacing w:line="336" w:lineRule="auto"/>
              <w:jc w:val="left"/>
              <w:rPr>
                <w:color w:val="auto"/>
                <w:szCs w:val="24"/>
              </w:rPr>
            </w:pPr>
          </w:p>
        </w:tc>
      </w:tr>
      <w:tr w14:paraId="5B6CC1AE">
        <w:tblPrEx>
          <w:tblCellMar>
            <w:top w:w="0" w:type="dxa"/>
            <w:left w:w="0" w:type="dxa"/>
            <w:bottom w:w="0" w:type="dxa"/>
            <w:right w:w="108" w:type="dxa"/>
          </w:tblCellMar>
        </w:tblPrEx>
        <w:trPr>
          <w:trHeight w:val="227" w:hRule="atLeast"/>
        </w:trPr>
        <w:tc>
          <w:tcPr>
            <w:tcW w:w="1621" w:type="dxa"/>
          </w:tcPr>
          <w:p w14:paraId="750BDB88">
            <w:pPr>
              <w:widowControl/>
              <w:snapToGrid w:val="0"/>
              <w:jc w:val="left"/>
              <w:rPr>
                <w:color w:val="auto"/>
                <w:sz w:val="22"/>
              </w:rPr>
            </w:pPr>
          </w:p>
        </w:tc>
        <w:tc>
          <w:tcPr>
            <w:tcW w:w="1150" w:type="dxa"/>
            <w:noWrap/>
            <w:vAlign w:val="center"/>
          </w:tcPr>
          <w:p w14:paraId="62F1F986">
            <w:pPr>
              <w:widowControl/>
              <w:snapToGrid w:val="0"/>
              <w:spacing w:line="336" w:lineRule="auto"/>
              <w:jc w:val="left"/>
              <w:rPr>
                <w:color w:val="auto"/>
                <w:szCs w:val="24"/>
              </w:rPr>
            </w:pPr>
          </w:p>
        </w:tc>
        <w:tc>
          <w:tcPr>
            <w:tcW w:w="1150" w:type="dxa"/>
            <w:noWrap/>
            <w:vAlign w:val="center"/>
          </w:tcPr>
          <w:p w14:paraId="77FE731A">
            <w:pPr>
              <w:widowControl/>
              <w:snapToGrid w:val="0"/>
              <w:spacing w:line="336" w:lineRule="auto"/>
              <w:jc w:val="left"/>
              <w:rPr>
                <w:color w:val="auto"/>
                <w:szCs w:val="24"/>
              </w:rPr>
            </w:pPr>
          </w:p>
        </w:tc>
        <w:tc>
          <w:tcPr>
            <w:tcW w:w="1150" w:type="dxa"/>
            <w:noWrap/>
            <w:vAlign w:val="center"/>
          </w:tcPr>
          <w:p w14:paraId="77929C16">
            <w:pPr>
              <w:widowControl/>
              <w:snapToGrid w:val="0"/>
              <w:spacing w:line="336" w:lineRule="auto"/>
              <w:jc w:val="left"/>
              <w:rPr>
                <w:color w:val="auto"/>
                <w:szCs w:val="24"/>
              </w:rPr>
            </w:pPr>
          </w:p>
        </w:tc>
        <w:tc>
          <w:tcPr>
            <w:tcW w:w="1150" w:type="dxa"/>
            <w:noWrap/>
            <w:vAlign w:val="center"/>
          </w:tcPr>
          <w:p w14:paraId="4E7AEAB5">
            <w:pPr>
              <w:widowControl/>
              <w:snapToGrid w:val="0"/>
              <w:spacing w:line="336" w:lineRule="auto"/>
              <w:jc w:val="left"/>
              <w:rPr>
                <w:color w:val="auto"/>
                <w:szCs w:val="24"/>
              </w:rPr>
            </w:pPr>
          </w:p>
        </w:tc>
        <w:tc>
          <w:tcPr>
            <w:tcW w:w="1150" w:type="dxa"/>
            <w:noWrap/>
            <w:vAlign w:val="center"/>
          </w:tcPr>
          <w:p w14:paraId="5C8AFF30">
            <w:pPr>
              <w:widowControl/>
              <w:snapToGrid w:val="0"/>
              <w:spacing w:line="336" w:lineRule="auto"/>
              <w:jc w:val="left"/>
              <w:rPr>
                <w:color w:val="auto"/>
                <w:szCs w:val="24"/>
              </w:rPr>
            </w:pPr>
          </w:p>
        </w:tc>
      </w:tr>
      <w:tr w14:paraId="56FE5550">
        <w:tblPrEx>
          <w:tblCellMar>
            <w:top w:w="0" w:type="dxa"/>
            <w:left w:w="0" w:type="dxa"/>
            <w:bottom w:w="0" w:type="dxa"/>
            <w:right w:w="108" w:type="dxa"/>
          </w:tblCellMar>
        </w:tblPrEx>
        <w:trPr>
          <w:trHeight w:val="227" w:hRule="atLeast"/>
        </w:trPr>
        <w:tc>
          <w:tcPr>
            <w:tcW w:w="1621" w:type="dxa"/>
          </w:tcPr>
          <w:p w14:paraId="764F29F7">
            <w:pPr>
              <w:widowControl/>
              <w:snapToGrid w:val="0"/>
              <w:jc w:val="left"/>
              <w:rPr>
                <w:color w:val="auto"/>
                <w:sz w:val="22"/>
              </w:rPr>
            </w:pPr>
          </w:p>
        </w:tc>
        <w:tc>
          <w:tcPr>
            <w:tcW w:w="1150" w:type="dxa"/>
            <w:noWrap/>
            <w:vAlign w:val="center"/>
          </w:tcPr>
          <w:p w14:paraId="5609EF4D">
            <w:pPr>
              <w:widowControl/>
              <w:snapToGrid w:val="0"/>
              <w:spacing w:line="336" w:lineRule="auto"/>
              <w:jc w:val="left"/>
              <w:rPr>
                <w:color w:val="auto"/>
                <w:szCs w:val="24"/>
              </w:rPr>
            </w:pPr>
          </w:p>
        </w:tc>
        <w:tc>
          <w:tcPr>
            <w:tcW w:w="1150" w:type="dxa"/>
            <w:noWrap/>
            <w:vAlign w:val="center"/>
          </w:tcPr>
          <w:p w14:paraId="562E3F81">
            <w:pPr>
              <w:widowControl/>
              <w:snapToGrid w:val="0"/>
              <w:spacing w:line="336" w:lineRule="auto"/>
              <w:jc w:val="left"/>
              <w:rPr>
                <w:color w:val="auto"/>
                <w:szCs w:val="24"/>
              </w:rPr>
            </w:pPr>
          </w:p>
        </w:tc>
        <w:tc>
          <w:tcPr>
            <w:tcW w:w="1150" w:type="dxa"/>
            <w:noWrap/>
            <w:vAlign w:val="center"/>
          </w:tcPr>
          <w:p w14:paraId="47470C3B">
            <w:pPr>
              <w:widowControl/>
              <w:snapToGrid w:val="0"/>
              <w:spacing w:line="336" w:lineRule="auto"/>
              <w:jc w:val="left"/>
              <w:rPr>
                <w:color w:val="auto"/>
                <w:szCs w:val="24"/>
              </w:rPr>
            </w:pPr>
          </w:p>
        </w:tc>
        <w:tc>
          <w:tcPr>
            <w:tcW w:w="1150" w:type="dxa"/>
            <w:noWrap/>
            <w:vAlign w:val="center"/>
          </w:tcPr>
          <w:p w14:paraId="0BAD2182">
            <w:pPr>
              <w:widowControl/>
              <w:snapToGrid w:val="0"/>
              <w:spacing w:line="336" w:lineRule="auto"/>
              <w:jc w:val="left"/>
              <w:rPr>
                <w:color w:val="auto"/>
                <w:szCs w:val="24"/>
              </w:rPr>
            </w:pPr>
          </w:p>
        </w:tc>
        <w:tc>
          <w:tcPr>
            <w:tcW w:w="1150" w:type="dxa"/>
            <w:noWrap/>
            <w:vAlign w:val="center"/>
          </w:tcPr>
          <w:p w14:paraId="0BEB2530">
            <w:pPr>
              <w:widowControl/>
              <w:snapToGrid w:val="0"/>
              <w:spacing w:line="336" w:lineRule="auto"/>
              <w:jc w:val="left"/>
              <w:rPr>
                <w:color w:val="auto"/>
                <w:szCs w:val="24"/>
              </w:rPr>
            </w:pPr>
          </w:p>
        </w:tc>
      </w:tr>
      <w:tr w14:paraId="1673DF97">
        <w:tblPrEx>
          <w:tblCellMar>
            <w:top w:w="0" w:type="dxa"/>
            <w:left w:w="0" w:type="dxa"/>
            <w:bottom w:w="0" w:type="dxa"/>
            <w:right w:w="108" w:type="dxa"/>
          </w:tblCellMar>
        </w:tblPrEx>
        <w:trPr>
          <w:trHeight w:val="227" w:hRule="atLeast"/>
        </w:trPr>
        <w:tc>
          <w:tcPr>
            <w:tcW w:w="1621" w:type="dxa"/>
          </w:tcPr>
          <w:p w14:paraId="761BC4B6">
            <w:pPr>
              <w:widowControl/>
              <w:snapToGrid w:val="0"/>
              <w:jc w:val="right"/>
              <w:rPr>
                <w:color w:val="auto"/>
                <w:sz w:val="22"/>
              </w:rPr>
            </w:pPr>
            <w:r>
              <w:rPr>
                <w:color w:val="auto"/>
                <w:szCs w:val="28"/>
              </w:rPr>
              <w:t>主要审查人：</w:t>
            </w:r>
          </w:p>
        </w:tc>
        <w:tc>
          <w:tcPr>
            <w:tcW w:w="1150" w:type="dxa"/>
            <w:noWrap/>
            <w:vAlign w:val="center"/>
          </w:tcPr>
          <w:p w14:paraId="2256747A">
            <w:pPr>
              <w:widowControl/>
              <w:snapToGrid w:val="0"/>
              <w:spacing w:line="336" w:lineRule="auto"/>
              <w:jc w:val="left"/>
              <w:rPr>
                <w:color w:val="auto"/>
                <w:szCs w:val="24"/>
              </w:rPr>
            </w:pPr>
          </w:p>
        </w:tc>
        <w:tc>
          <w:tcPr>
            <w:tcW w:w="1150" w:type="dxa"/>
            <w:noWrap/>
            <w:vAlign w:val="center"/>
          </w:tcPr>
          <w:p w14:paraId="69BF379F">
            <w:pPr>
              <w:widowControl/>
              <w:snapToGrid w:val="0"/>
              <w:spacing w:line="336" w:lineRule="auto"/>
              <w:jc w:val="left"/>
              <w:rPr>
                <w:color w:val="auto"/>
                <w:szCs w:val="24"/>
              </w:rPr>
            </w:pPr>
          </w:p>
        </w:tc>
        <w:tc>
          <w:tcPr>
            <w:tcW w:w="1150" w:type="dxa"/>
            <w:noWrap/>
            <w:vAlign w:val="center"/>
          </w:tcPr>
          <w:p w14:paraId="67C5BDA7">
            <w:pPr>
              <w:widowControl/>
              <w:snapToGrid w:val="0"/>
              <w:spacing w:line="336" w:lineRule="auto"/>
              <w:jc w:val="left"/>
              <w:rPr>
                <w:color w:val="auto"/>
                <w:szCs w:val="24"/>
              </w:rPr>
            </w:pPr>
          </w:p>
        </w:tc>
        <w:tc>
          <w:tcPr>
            <w:tcW w:w="1150" w:type="dxa"/>
            <w:noWrap/>
            <w:vAlign w:val="center"/>
          </w:tcPr>
          <w:p w14:paraId="2809A947">
            <w:pPr>
              <w:widowControl/>
              <w:snapToGrid w:val="0"/>
              <w:spacing w:line="336" w:lineRule="auto"/>
              <w:jc w:val="left"/>
              <w:rPr>
                <w:color w:val="auto"/>
                <w:szCs w:val="24"/>
              </w:rPr>
            </w:pPr>
          </w:p>
        </w:tc>
        <w:tc>
          <w:tcPr>
            <w:tcW w:w="1150" w:type="dxa"/>
            <w:noWrap/>
            <w:vAlign w:val="center"/>
          </w:tcPr>
          <w:p w14:paraId="15AFDB11">
            <w:pPr>
              <w:widowControl/>
              <w:snapToGrid w:val="0"/>
              <w:spacing w:line="336" w:lineRule="auto"/>
              <w:jc w:val="left"/>
              <w:rPr>
                <w:color w:val="auto"/>
                <w:szCs w:val="24"/>
              </w:rPr>
            </w:pPr>
          </w:p>
        </w:tc>
      </w:tr>
      <w:tr w14:paraId="4B2D2A18">
        <w:tblPrEx>
          <w:tblCellMar>
            <w:top w:w="0" w:type="dxa"/>
            <w:left w:w="0" w:type="dxa"/>
            <w:bottom w:w="0" w:type="dxa"/>
            <w:right w:w="108" w:type="dxa"/>
          </w:tblCellMar>
        </w:tblPrEx>
        <w:trPr>
          <w:trHeight w:val="227" w:hRule="atLeast"/>
        </w:trPr>
        <w:tc>
          <w:tcPr>
            <w:tcW w:w="1621" w:type="dxa"/>
          </w:tcPr>
          <w:p w14:paraId="7655511C">
            <w:pPr>
              <w:widowControl/>
              <w:snapToGrid w:val="0"/>
              <w:jc w:val="left"/>
              <w:rPr>
                <w:color w:val="auto"/>
                <w:sz w:val="22"/>
              </w:rPr>
            </w:pPr>
          </w:p>
        </w:tc>
        <w:tc>
          <w:tcPr>
            <w:tcW w:w="1150" w:type="dxa"/>
            <w:noWrap/>
            <w:vAlign w:val="center"/>
          </w:tcPr>
          <w:p w14:paraId="42159449">
            <w:pPr>
              <w:widowControl/>
              <w:snapToGrid w:val="0"/>
              <w:spacing w:line="336" w:lineRule="auto"/>
              <w:jc w:val="left"/>
              <w:rPr>
                <w:color w:val="auto"/>
                <w:szCs w:val="24"/>
              </w:rPr>
            </w:pPr>
          </w:p>
        </w:tc>
        <w:tc>
          <w:tcPr>
            <w:tcW w:w="1150" w:type="dxa"/>
            <w:noWrap/>
            <w:vAlign w:val="center"/>
          </w:tcPr>
          <w:p w14:paraId="50E68AC3">
            <w:pPr>
              <w:widowControl/>
              <w:snapToGrid w:val="0"/>
              <w:spacing w:line="336" w:lineRule="auto"/>
              <w:jc w:val="left"/>
              <w:rPr>
                <w:color w:val="auto"/>
                <w:szCs w:val="24"/>
              </w:rPr>
            </w:pPr>
          </w:p>
        </w:tc>
        <w:tc>
          <w:tcPr>
            <w:tcW w:w="1150" w:type="dxa"/>
            <w:noWrap/>
            <w:vAlign w:val="center"/>
          </w:tcPr>
          <w:p w14:paraId="3766374D">
            <w:pPr>
              <w:widowControl/>
              <w:snapToGrid w:val="0"/>
              <w:spacing w:line="336" w:lineRule="auto"/>
              <w:jc w:val="left"/>
              <w:rPr>
                <w:color w:val="auto"/>
                <w:szCs w:val="24"/>
              </w:rPr>
            </w:pPr>
          </w:p>
        </w:tc>
        <w:tc>
          <w:tcPr>
            <w:tcW w:w="1150" w:type="dxa"/>
            <w:noWrap/>
            <w:vAlign w:val="center"/>
          </w:tcPr>
          <w:p w14:paraId="6764645B">
            <w:pPr>
              <w:widowControl/>
              <w:snapToGrid w:val="0"/>
              <w:spacing w:line="336" w:lineRule="auto"/>
              <w:jc w:val="left"/>
              <w:rPr>
                <w:color w:val="auto"/>
                <w:szCs w:val="24"/>
              </w:rPr>
            </w:pPr>
          </w:p>
        </w:tc>
        <w:tc>
          <w:tcPr>
            <w:tcW w:w="1150" w:type="dxa"/>
            <w:noWrap/>
            <w:vAlign w:val="center"/>
          </w:tcPr>
          <w:p w14:paraId="116AD9AB">
            <w:pPr>
              <w:widowControl/>
              <w:snapToGrid w:val="0"/>
              <w:spacing w:line="336" w:lineRule="auto"/>
              <w:jc w:val="left"/>
              <w:rPr>
                <w:color w:val="auto"/>
                <w:szCs w:val="24"/>
              </w:rPr>
            </w:pPr>
          </w:p>
        </w:tc>
      </w:tr>
    </w:tbl>
    <w:p w14:paraId="1EB4C4AB">
      <w:pPr>
        <w:widowControl/>
        <w:jc w:val="center"/>
        <w:rPr>
          <w:color w:val="auto"/>
          <w:sz w:val="36"/>
          <w:szCs w:val="24"/>
        </w:rPr>
        <w:sectPr>
          <w:headerReference r:id="rId3" w:type="default"/>
          <w:type w:val="continuous"/>
          <w:pgSz w:w="11906" w:h="16838"/>
          <w:pgMar w:top="1440" w:right="1800" w:bottom="1440" w:left="1800" w:header="851" w:footer="992" w:gutter="0"/>
          <w:pgNumType w:start="1"/>
          <w:cols w:space="425" w:num="1"/>
          <w:docGrid w:type="lines" w:linePitch="312" w:charSpace="0"/>
        </w:sectPr>
      </w:pPr>
    </w:p>
    <w:p w14:paraId="17E9A7D2">
      <w:pPr>
        <w:widowControl/>
        <w:spacing w:line="360" w:lineRule="auto"/>
        <w:ind w:firstLine="480" w:firstLineChars="200"/>
        <w:jc w:val="left"/>
        <w:rPr>
          <w:rFonts w:eastAsia="仿宋"/>
          <w:b/>
          <w:bCs/>
          <w:color w:val="auto"/>
          <w:sz w:val="32"/>
          <w:szCs w:val="32"/>
        </w:rPr>
      </w:pPr>
      <w:r>
        <w:rPr>
          <w:color w:val="auto"/>
        </w:rPr>
        <w:br w:type="page"/>
      </w:r>
    </w:p>
    <w:p w14:paraId="79D7D2A4">
      <w:pPr>
        <w:pStyle w:val="42"/>
        <w:spacing w:after="240"/>
        <w:jc w:val="center"/>
        <w:rPr>
          <w:rFonts w:ascii="Times New Roman" w:hAnsi="Times New Roman" w:eastAsia="仿宋" w:cs="Times New Roman"/>
          <w:b/>
          <w:bCs/>
          <w:color w:val="auto"/>
          <w:sz w:val="32"/>
          <w:szCs w:val="32"/>
        </w:rPr>
      </w:pPr>
      <w:r>
        <w:rPr>
          <w:rFonts w:ascii="Times New Roman" w:hAnsi="Times New Roman" w:eastAsia="仿宋" w:cs="Times New Roman"/>
          <w:b/>
          <w:bCs/>
          <w:color w:val="auto"/>
          <w:sz w:val="32"/>
          <w:szCs w:val="32"/>
        </w:rPr>
        <w:t>目　　次</w:t>
      </w:r>
    </w:p>
    <w:p w14:paraId="67B8D5FC">
      <w:pPr>
        <w:pStyle w:val="17"/>
        <w:tabs>
          <w:tab w:val="right" w:leader="dot" w:pos="8306"/>
          <w:tab w:val="clear" w:pos="8296"/>
        </w:tabs>
        <w:rPr>
          <w:rFonts w:ascii="Times New Roman" w:hAnsi="Times New Roman" w:eastAsiaTheme="minorEastAsia"/>
        </w:rPr>
      </w:pPr>
      <w:r>
        <w:rPr>
          <w:rFonts w:ascii="Times New Roman" w:hAnsi="Times New Roman" w:eastAsiaTheme="minorEastAsia"/>
        </w:rPr>
        <w:fldChar w:fldCharType="begin"/>
      </w:r>
      <w:r>
        <w:rPr>
          <w:rFonts w:ascii="Times New Roman" w:hAnsi="Times New Roman" w:eastAsiaTheme="minorEastAsia"/>
        </w:rPr>
        <w:instrText xml:space="preserve"> TOC \o "1-2" \h \z \u chart1</w:instrText>
      </w:r>
      <w:r>
        <w:rPr>
          <w:rFonts w:ascii="Times New Roman" w:hAnsi="Times New Roman" w:eastAsiaTheme="minorEastAsia"/>
        </w:rPr>
        <w:fldChar w:fldCharType="separate"/>
      </w:r>
      <w:r>
        <w:fldChar w:fldCharType="begin"/>
      </w:r>
      <w:r>
        <w:instrText xml:space="preserve"> HYPERLINK \l "_Toc18842" </w:instrText>
      </w:r>
      <w:r>
        <w:fldChar w:fldCharType="separate"/>
      </w:r>
      <w:r>
        <w:rPr>
          <w:rFonts w:ascii="Times New Roman" w:hAnsi="Times New Roman"/>
        </w:rPr>
        <w:t>1　总　　则</w:t>
      </w:r>
      <w:r>
        <w:rPr>
          <w:rFonts w:ascii="Times New Roman" w:hAnsi="Times New Roman"/>
        </w:rPr>
        <w:tab/>
      </w:r>
      <w:r>
        <w:rPr>
          <w:rFonts w:ascii="Times New Roman" w:hAnsi="Times New Roman"/>
        </w:rPr>
        <w:t>(</w:t>
      </w:r>
      <w:r>
        <w:rPr>
          <w:rFonts w:ascii="Times New Roman" w:hAnsi="Times New Roman"/>
        </w:rPr>
        <w:fldChar w:fldCharType="begin"/>
      </w:r>
      <w:r>
        <w:rPr>
          <w:rFonts w:ascii="Times New Roman" w:hAnsi="Times New Roman"/>
        </w:rPr>
        <w:instrText xml:space="preserve"> PAGEREF _Toc18842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r>
        <w:rPr>
          <w:rFonts w:hint="eastAsia" w:ascii="Times New Roman" w:hAnsi="Times New Roman" w:eastAsiaTheme="minorEastAsia"/>
        </w:rPr>
        <w:t>)</w:t>
      </w:r>
    </w:p>
    <w:p w14:paraId="38F620DB">
      <w:pPr>
        <w:pStyle w:val="17"/>
        <w:tabs>
          <w:tab w:val="right" w:leader="dot" w:pos="8306"/>
          <w:tab w:val="clear" w:pos="8296"/>
        </w:tabs>
        <w:rPr>
          <w:rFonts w:ascii="Times New Roman" w:hAnsi="Times New Roman" w:eastAsiaTheme="minorEastAsia"/>
        </w:rPr>
      </w:pPr>
      <w:r>
        <w:fldChar w:fldCharType="begin"/>
      </w:r>
      <w:r>
        <w:instrText xml:space="preserve"> HYPERLINK \l "_Toc15918" </w:instrText>
      </w:r>
      <w:r>
        <w:fldChar w:fldCharType="separate"/>
      </w:r>
      <w:r>
        <w:rPr>
          <w:rFonts w:ascii="Times New Roman" w:hAnsi="Times New Roman"/>
        </w:rPr>
        <w:t>2　术　　语</w:t>
      </w:r>
      <w:r>
        <w:rPr>
          <w:rFonts w:ascii="Times New Roman" w:hAnsi="Times New Roman"/>
        </w:rPr>
        <w:tab/>
      </w:r>
      <w:r>
        <w:rPr>
          <w:rFonts w:ascii="Times New Roman" w:hAnsi="Times New Roman"/>
        </w:rPr>
        <w:t>(</w:t>
      </w:r>
      <w:r>
        <w:rPr>
          <w:rFonts w:ascii="Times New Roman" w:hAnsi="Times New Roman"/>
        </w:rPr>
        <w:fldChar w:fldCharType="begin"/>
      </w:r>
      <w:r>
        <w:rPr>
          <w:rFonts w:ascii="Times New Roman" w:hAnsi="Times New Roman"/>
        </w:rPr>
        <w:instrText xml:space="preserve"> PAGEREF _Toc15918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55573225">
      <w:pPr>
        <w:pStyle w:val="17"/>
        <w:tabs>
          <w:tab w:val="right" w:leader="dot" w:pos="8306"/>
          <w:tab w:val="clear" w:pos="8296"/>
        </w:tabs>
        <w:rPr>
          <w:rFonts w:ascii="Times New Roman" w:hAnsi="Times New Roman" w:eastAsiaTheme="minorEastAsia"/>
        </w:rPr>
      </w:pPr>
      <w:r>
        <w:fldChar w:fldCharType="begin"/>
      </w:r>
      <w:r>
        <w:instrText xml:space="preserve"> HYPERLINK \l "_Toc28246" </w:instrText>
      </w:r>
      <w:r>
        <w:fldChar w:fldCharType="separate"/>
      </w:r>
      <w:r>
        <w:rPr>
          <w:rFonts w:ascii="Times New Roman" w:hAnsi="Times New Roman"/>
        </w:rPr>
        <w:t>3</w:t>
      </w:r>
      <w:r>
        <w:rPr>
          <w:rFonts w:ascii="Times New Roman" w:hAnsi="Times New Roman" w:eastAsia="黑体"/>
          <w:szCs w:val="32"/>
        </w:rPr>
        <w:t>　</w:t>
      </w:r>
      <w:r>
        <w:rPr>
          <w:rFonts w:ascii="Times New Roman" w:hAnsi="Times New Roman"/>
        </w:rPr>
        <w:t>基本规定</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_Toc28246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0D2BA550">
      <w:pPr>
        <w:pStyle w:val="20"/>
        <w:tabs>
          <w:tab w:val="right" w:leader="dot" w:pos="8306"/>
          <w:tab w:val="clear" w:pos="8296"/>
        </w:tabs>
        <w:ind w:left="480"/>
        <w:rPr>
          <w:rFonts w:eastAsiaTheme="minorEastAsia"/>
        </w:rPr>
      </w:pPr>
      <w:r>
        <w:fldChar w:fldCharType="begin"/>
      </w:r>
      <w:r>
        <w:instrText xml:space="preserve"> HYPERLINK \l "_Toc29478" </w:instrText>
      </w:r>
      <w:r>
        <w:fldChar w:fldCharType="separate"/>
      </w:r>
      <w:r>
        <w:rPr>
          <w:rFonts w:eastAsia="黑体"/>
          <w:bCs/>
        </w:rPr>
        <w:t>3.1　一般规定</w:t>
      </w:r>
      <w:r>
        <w:tab/>
      </w:r>
      <w:r>
        <w:rPr>
          <w:rFonts w:hint="eastAsia"/>
        </w:rPr>
        <w:t>(</w:t>
      </w:r>
      <w:r>
        <w:fldChar w:fldCharType="begin"/>
      </w:r>
      <w:r>
        <w:instrText xml:space="preserve"> PAGEREF _Toc29478 \h </w:instrText>
      </w:r>
      <w:r>
        <w:fldChar w:fldCharType="separate"/>
      </w:r>
      <w:r>
        <w:t>3</w:t>
      </w:r>
      <w:r>
        <w:fldChar w:fldCharType="end"/>
      </w:r>
      <w:r>
        <w:fldChar w:fldCharType="end"/>
      </w:r>
      <w:r>
        <w:rPr>
          <w:rFonts w:eastAsiaTheme="minorEastAsia"/>
          <w:color w:val="auto"/>
        </w:rPr>
        <w:t>)</w:t>
      </w:r>
    </w:p>
    <w:p w14:paraId="5E71A8CE">
      <w:pPr>
        <w:pStyle w:val="20"/>
        <w:tabs>
          <w:tab w:val="right" w:leader="dot" w:pos="8306"/>
          <w:tab w:val="clear" w:pos="8296"/>
        </w:tabs>
        <w:ind w:left="480"/>
        <w:rPr>
          <w:rFonts w:eastAsiaTheme="minorEastAsia"/>
        </w:rPr>
      </w:pPr>
      <w:r>
        <w:fldChar w:fldCharType="begin"/>
      </w:r>
      <w:r>
        <w:instrText xml:space="preserve"> HYPERLINK \l "_Toc10257" </w:instrText>
      </w:r>
      <w:r>
        <w:fldChar w:fldCharType="separate"/>
      </w:r>
      <w:r>
        <w:rPr>
          <w:rFonts w:eastAsia="黑体"/>
          <w:bCs/>
        </w:rPr>
        <w:t>3.2　评价要求</w:t>
      </w:r>
      <w:r>
        <w:tab/>
      </w:r>
      <w:r>
        <w:rPr>
          <w:rFonts w:hint="eastAsia"/>
        </w:rPr>
        <w:t>(</w:t>
      </w:r>
      <w:r>
        <w:fldChar w:fldCharType="begin"/>
      </w:r>
      <w:r>
        <w:instrText xml:space="preserve"> PAGEREF _Toc10257 \h </w:instrText>
      </w:r>
      <w:r>
        <w:fldChar w:fldCharType="separate"/>
      </w:r>
      <w:r>
        <w:t>3</w:t>
      </w:r>
      <w:r>
        <w:fldChar w:fldCharType="end"/>
      </w:r>
      <w:r>
        <w:fldChar w:fldCharType="end"/>
      </w:r>
      <w:r>
        <w:rPr>
          <w:rFonts w:eastAsiaTheme="minorEastAsia"/>
          <w:color w:val="auto"/>
        </w:rPr>
        <w:t>)</w:t>
      </w:r>
    </w:p>
    <w:p w14:paraId="4965D043">
      <w:pPr>
        <w:pStyle w:val="17"/>
        <w:tabs>
          <w:tab w:val="right" w:leader="dot" w:pos="8306"/>
          <w:tab w:val="clear" w:pos="8296"/>
        </w:tabs>
        <w:rPr>
          <w:rFonts w:ascii="Times New Roman" w:hAnsi="Times New Roman" w:eastAsiaTheme="minorEastAsia"/>
        </w:rPr>
      </w:pPr>
      <w:r>
        <w:fldChar w:fldCharType="begin"/>
      </w:r>
      <w:r>
        <w:instrText xml:space="preserve"> HYPERLINK \l "_Toc30128" </w:instrText>
      </w:r>
      <w:r>
        <w:fldChar w:fldCharType="separate"/>
      </w:r>
      <w:r>
        <w:rPr>
          <w:rFonts w:ascii="Times New Roman" w:hAnsi="Times New Roman"/>
        </w:rPr>
        <w:t>4 评价内容</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_Toc30128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61F3639E">
      <w:pPr>
        <w:pStyle w:val="20"/>
        <w:tabs>
          <w:tab w:val="right" w:leader="dot" w:pos="8306"/>
          <w:tab w:val="clear" w:pos="8296"/>
        </w:tabs>
        <w:ind w:left="480"/>
        <w:rPr>
          <w:rFonts w:eastAsiaTheme="minorEastAsia"/>
        </w:rPr>
      </w:pPr>
      <w:r>
        <w:fldChar w:fldCharType="begin"/>
      </w:r>
      <w:r>
        <w:instrText xml:space="preserve"> HYPERLINK \l "_Toc25701" </w:instrText>
      </w:r>
      <w:r>
        <w:fldChar w:fldCharType="separate"/>
      </w:r>
      <w:r>
        <w:rPr>
          <w:rFonts w:eastAsia="黑体"/>
          <w:bCs/>
        </w:rPr>
        <w:t>4.1　环境指标</w:t>
      </w:r>
      <w:r>
        <w:tab/>
      </w:r>
      <w:r>
        <w:rPr>
          <w:rFonts w:hint="eastAsia"/>
        </w:rPr>
        <w:t>(</w:t>
      </w:r>
      <w:r>
        <w:fldChar w:fldCharType="begin"/>
      </w:r>
      <w:r>
        <w:instrText xml:space="preserve"> PAGEREF _Toc25701 \h </w:instrText>
      </w:r>
      <w:r>
        <w:fldChar w:fldCharType="separate"/>
      </w:r>
      <w:r>
        <w:t>5</w:t>
      </w:r>
      <w:r>
        <w:fldChar w:fldCharType="end"/>
      </w:r>
      <w:r>
        <w:fldChar w:fldCharType="end"/>
      </w:r>
      <w:r>
        <w:rPr>
          <w:rFonts w:eastAsiaTheme="minorEastAsia"/>
          <w:color w:val="auto"/>
        </w:rPr>
        <w:t>)</w:t>
      </w:r>
    </w:p>
    <w:p w14:paraId="514196F7">
      <w:pPr>
        <w:pStyle w:val="20"/>
        <w:tabs>
          <w:tab w:val="right" w:leader="dot" w:pos="8306"/>
          <w:tab w:val="clear" w:pos="8296"/>
        </w:tabs>
        <w:ind w:left="480"/>
        <w:rPr>
          <w:rFonts w:eastAsiaTheme="minorEastAsia"/>
        </w:rPr>
      </w:pPr>
      <w:r>
        <w:fldChar w:fldCharType="begin"/>
      </w:r>
      <w:r>
        <w:instrText xml:space="preserve"> HYPERLINK \l "_Toc31616" </w:instrText>
      </w:r>
      <w:r>
        <w:fldChar w:fldCharType="separate"/>
      </w:r>
      <w:r>
        <w:rPr>
          <w:rFonts w:eastAsia="黑体"/>
          <w:bCs/>
        </w:rPr>
        <w:t>4.2　户内传播防护性能</w:t>
      </w:r>
      <w:r>
        <w:tab/>
      </w:r>
      <w:r>
        <w:rPr>
          <w:rFonts w:hint="eastAsia"/>
        </w:rPr>
        <w:t>(</w:t>
      </w:r>
      <w:r>
        <w:fldChar w:fldCharType="begin"/>
      </w:r>
      <w:r>
        <w:instrText xml:space="preserve"> PAGEREF _Toc31616 \h </w:instrText>
      </w:r>
      <w:r>
        <w:fldChar w:fldCharType="separate"/>
      </w:r>
      <w:r>
        <w:t>5</w:t>
      </w:r>
      <w:r>
        <w:fldChar w:fldCharType="end"/>
      </w:r>
      <w:r>
        <w:fldChar w:fldCharType="end"/>
      </w:r>
      <w:r>
        <w:rPr>
          <w:rFonts w:eastAsiaTheme="minorEastAsia"/>
          <w:color w:val="auto"/>
        </w:rPr>
        <w:t>)</w:t>
      </w:r>
    </w:p>
    <w:p w14:paraId="5C495127">
      <w:pPr>
        <w:pStyle w:val="20"/>
        <w:tabs>
          <w:tab w:val="right" w:leader="dot" w:pos="8306"/>
          <w:tab w:val="clear" w:pos="8296"/>
        </w:tabs>
        <w:ind w:left="480"/>
        <w:rPr>
          <w:rFonts w:eastAsiaTheme="minorEastAsia"/>
        </w:rPr>
      </w:pPr>
      <w:r>
        <w:fldChar w:fldCharType="begin"/>
      </w:r>
      <w:r>
        <w:instrText xml:space="preserve"> HYPERLINK \l "_Toc3757" </w:instrText>
      </w:r>
      <w:r>
        <w:fldChar w:fldCharType="separate"/>
      </w:r>
      <w:r>
        <w:rPr>
          <w:rFonts w:eastAsia="黑体"/>
          <w:bCs/>
        </w:rPr>
        <w:t>4.3　户间传播防护性能</w:t>
      </w:r>
      <w:r>
        <w:tab/>
      </w:r>
      <w:r>
        <w:rPr>
          <w:rFonts w:hint="eastAsia"/>
        </w:rPr>
        <w:t>(</w:t>
      </w:r>
      <w:r>
        <w:fldChar w:fldCharType="begin"/>
      </w:r>
      <w:r>
        <w:instrText xml:space="preserve"> PAGEREF _Toc3757 \h </w:instrText>
      </w:r>
      <w:r>
        <w:fldChar w:fldCharType="separate"/>
      </w:r>
      <w:r>
        <w:t>5</w:t>
      </w:r>
      <w:r>
        <w:fldChar w:fldCharType="end"/>
      </w:r>
      <w:r>
        <w:fldChar w:fldCharType="end"/>
      </w:r>
      <w:r>
        <w:rPr>
          <w:rFonts w:eastAsiaTheme="minorEastAsia"/>
          <w:color w:val="auto"/>
        </w:rPr>
        <w:t>)</w:t>
      </w:r>
    </w:p>
    <w:p w14:paraId="03BB33B1">
      <w:pPr>
        <w:pStyle w:val="17"/>
        <w:tabs>
          <w:tab w:val="right" w:leader="dot" w:pos="8306"/>
          <w:tab w:val="clear" w:pos="8296"/>
        </w:tabs>
        <w:rPr>
          <w:rFonts w:ascii="Times New Roman" w:hAnsi="Times New Roman" w:eastAsiaTheme="minorEastAsia"/>
        </w:rPr>
      </w:pPr>
      <w:r>
        <w:fldChar w:fldCharType="begin"/>
      </w:r>
      <w:r>
        <w:instrText xml:space="preserve"> HYPERLINK \l "_Toc1303" </w:instrText>
      </w:r>
      <w:r>
        <w:fldChar w:fldCharType="separate"/>
      </w:r>
      <w:r>
        <w:rPr>
          <w:rFonts w:ascii="Times New Roman" w:hAnsi="Times New Roman"/>
        </w:rPr>
        <w:t>5　实测评价方法</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_Toc1303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3FBABDB4">
      <w:pPr>
        <w:pStyle w:val="20"/>
        <w:tabs>
          <w:tab w:val="right" w:leader="dot" w:pos="8306"/>
          <w:tab w:val="clear" w:pos="8296"/>
        </w:tabs>
        <w:ind w:left="480"/>
        <w:rPr>
          <w:rFonts w:eastAsiaTheme="minorEastAsia"/>
        </w:rPr>
      </w:pPr>
      <w:r>
        <w:fldChar w:fldCharType="begin"/>
      </w:r>
      <w:r>
        <w:instrText xml:space="preserve"> HYPERLINK \l "_Toc9654" </w:instrText>
      </w:r>
      <w:r>
        <w:fldChar w:fldCharType="separate"/>
      </w:r>
      <w:r>
        <w:rPr>
          <w:rFonts w:eastAsia="黑体"/>
          <w:bCs/>
        </w:rPr>
        <w:t>5.1　一般规定</w:t>
      </w:r>
      <w:r>
        <w:tab/>
      </w:r>
      <w:r>
        <w:rPr>
          <w:rFonts w:hint="eastAsia"/>
        </w:rPr>
        <w:t>(</w:t>
      </w:r>
      <w:r>
        <w:fldChar w:fldCharType="begin"/>
      </w:r>
      <w:r>
        <w:instrText xml:space="preserve"> PAGEREF _Toc9654 \h </w:instrText>
      </w:r>
      <w:r>
        <w:fldChar w:fldCharType="separate"/>
      </w:r>
      <w:r>
        <w:t>7</w:t>
      </w:r>
      <w:r>
        <w:fldChar w:fldCharType="end"/>
      </w:r>
      <w:r>
        <w:fldChar w:fldCharType="end"/>
      </w:r>
      <w:r>
        <w:rPr>
          <w:rFonts w:eastAsiaTheme="minorEastAsia"/>
          <w:color w:val="auto"/>
        </w:rPr>
        <w:t>)</w:t>
      </w:r>
    </w:p>
    <w:p w14:paraId="7A0C8944">
      <w:pPr>
        <w:pStyle w:val="20"/>
        <w:tabs>
          <w:tab w:val="right" w:leader="dot" w:pos="8306"/>
          <w:tab w:val="clear" w:pos="8296"/>
        </w:tabs>
        <w:ind w:left="480"/>
        <w:rPr>
          <w:rFonts w:eastAsiaTheme="minorEastAsia"/>
        </w:rPr>
      </w:pPr>
      <w:r>
        <w:fldChar w:fldCharType="begin"/>
      </w:r>
      <w:r>
        <w:instrText xml:space="preserve"> HYPERLINK \l "_Toc15668" </w:instrText>
      </w:r>
      <w:r>
        <w:fldChar w:fldCharType="separate"/>
      </w:r>
      <w:r>
        <w:rPr>
          <w:rFonts w:eastAsia="黑体"/>
          <w:bCs/>
        </w:rPr>
        <w:t>5.2　环境指标</w:t>
      </w:r>
      <w:r>
        <w:tab/>
      </w:r>
      <w:r>
        <w:rPr>
          <w:rFonts w:hint="eastAsia"/>
        </w:rPr>
        <w:t>(</w:t>
      </w:r>
      <w:r>
        <w:fldChar w:fldCharType="begin"/>
      </w:r>
      <w:r>
        <w:instrText xml:space="preserve"> PAGEREF _Toc15668 \h </w:instrText>
      </w:r>
      <w:r>
        <w:fldChar w:fldCharType="separate"/>
      </w:r>
      <w:r>
        <w:t>7</w:t>
      </w:r>
      <w:r>
        <w:fldChar w:fldCharType="end"/>
      </w:r>
      <w:r>
        <w:fldChar w:fldCharType="end"/>
      </w:r>
      <w:r>
        <w:rPr>
          <w:rFonts w:eastAsiaTheme="minorEastAsia"/>
          <w:color w:val="auto"/>
        </w:rPr>
        <w:t>)</w:t>
      </w:r>
    </w:p>
    <w:p w14:paraId="4DFADE9A">
      <w:pPr>
        <w:pStyle w:val="20"/>
        <w:tabs>
          <w:tab w:val="right" w:leader="dot" w:pos="8306"/>
          <w:tab w:val="clear" w:pos="8296"/>
        </w:tabs>
        <w:ind w:left="480"/>
        <w:rPr>
          <w:rFonts w:eastAsiaTheme="minorEastAsia"/>
        </w:rPr>
      </w:pPr>
      <w:r>
        <w:fldChar w:fldCharType="begin"/>
      </w:r>
      <w:r>
        <w:instrText xml:space="preserve"> HYPERLINK \l "_Toc15321" </w:instrText>
      </w:r>
      <w:r>
        <w:fldChar w:fldCharType="separate"/>
      </w:r>
      <w:r>
        <w:rPr>
          <w:rFonts w:eastAsia="黑体"/>
          <w:bCs/>
        </w:rPr>
        <w:t>5.3　户内传播防护性能</w:t>
      </w:r>
      <w:r>
        <w:tab/>
      </w:r>
      <w:r>
        <w:rPr>
          <w:rFonts w:hint="eastAsia"/>
        </w:rPr>
        <w:t>(</w:t>
      </w:r>
      <w:r>
        <w:fldChar w:fldCharType="begin"/>
      </w:r>
      <w:r>
        <w:instrText xml:space="preserve"> PAGEREF _Toc15321 \h </w:instrText>
      </w:r>
      <w:r>
        <w:fldChar w:fldCharType="separate"/>
      </w:r>
      <w:r>
        <w:t>8</w:t>
      </w:r>
      <w:r>
        <w:fldChar w:fldCharType="end"/>
      </w:r>
      <w:r>
        <w:fldChar w:fldCharType="end"/>
      </w:r>
      <w:r>
        <w:rPr>
          <w:rFonts w:eastAsiaTheme="minorEastAsia"/>
          <w:color w:val="auto"/>
        </w:rPr>
        <w:t>)</w:t>
      </w:r>
    </w:p>
    <w:p w14:paraId="2C3A9F2D">
      <w:pPr>
        <w:pStyle w:val="20"/>
        <w:tabs>
          <w:tab w:val="right" w:leader="dot" w:pos="8306"/>
          <w:tab w:val="clear" w:pos="8296"/>
        </w:tabs>
        <w:ind w:left="480"/>
        <w:rPr>
          <w:rFonts w:eastAsiaTheme="minorEastAsia"/>
        </w:rPr>
      </w:pPr>
      <w:r>
        <w:fldChar w:fldCharType="begin"/>
      </w:r>
      <w:r>
        <w:instrText xml:space="preserve"> HYPERLINK \l "_Toc7419" </w:instrText>
      </w:r>
      <w:r>
        <w:fldChar w:fldCharType="separate"/>
      </w:r>
      <w:r>
        <w:rPr>
          <w:rFonts w:eastAsia="黑体"/>
          <w:bCs/>
        </w:rPr>
        <w:t>5.4　户间传播防护性能</w:t>
      </w:r>
      <w:r>
        <w:tab/>
      </w:r>
      <w:r>
        <w:rPr>
          <w:rFonts w:hint="eastAsia"/>
        </w:rPr>
        <w:t>(</w:t>
      </w:r>
      <w:r>
        <w:fldChar w:fldCharType="begin"/>
      </w:r>
      <w:r>
        <w:instrText xml:space="preserve"> PAGEREF _Toc7419 \h </w:instrText>
      </w:r>
      <w:r>
        <w:fldChar w:fldCharType="separate"/>
      </w:r>
      <w:r>
        <w:t>8</w:t>
      </w:r>
      <w:r>
        <w:fldChar w:fldCharType="end"/>
      </w:r>
      <w:r>
        <w:fldChar w:fldCharType="end"/>
      </w:r>
      <w:r>
        <w:rPr>
          <w:rFonts w:eastAsiaTheme="minorEastAsia"/>
          <w:color w:val="auto"/>
        </w:rPr>
        <w:t>)</w:t>
      </w:r>
    </w:p>
    <w:p w14:paraId="5FF94408">
      <w:pPr>
        <w:pStyle w:val="17"/>
        <w:tabs>
          <w:tab w:val="right" w:leader="dot" w:pos="8306"/>
          <w:tab w:val="clear" w:pos="8296"/>
        </w:tabs>
        <w:rPr>
          <w:rFonts w:ascii="Times New Roman" w:hAnsi="Times New Roman" w:eastAsiaTheme="minorEastAsia"/>
        </w:rPr>
      </w:pPr>
      <w:r>
        <w:fldChar w:fldCharType="begin"/>
      </w:r>
      <w:r>
        <w:instrText xml:space="preserve"> HYPERLINK \l "_Toc7448" </w:instrText>
      </w:r>
      <w:r>
        <w:fldChar w:fldCharType="separate"/>
      </w:r>
      <w:r>
        <w:rPr>
          <w:rFonts w:ascii="Times New Roman" w:hAnsi="Times New Roman"/>
        </w:rPr>
        <w:t>6　模拟评价方法</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_Toc7448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78B3DA11">
      <w:pPr>
        <w:pStyle w:val="20"/>
        <w:tabs>
          <w:tab w:val="right" w:leader="dot" w:pos="8306"/>
          <w:tab w:val="clear" w:pos="8296"/>
        </w:tabs>
        <w:ind w:left="480"/>
        <w:rPr>
          <w:rFonts w:eastAsiaTheme="minorEastAsia"/>
        </w:rPr>
      </w:pPr>
      <w:r>
        <w:fldChar w:fldCharType="begin"/>
      </w:r>
      <w:r>
        <w:instrText xml:space="preserve"> HYPERLINK \l "_Toc16936" </w:instrText>
      </w:r>
      <w:r>
        <w:fldChar w:fldCharType="separate"/>
      </w:r>
      <w:r>
        <w:rPr>
          <w:rFonts w:eastAsia="黑体"/>
          <w:bCs/>
        </w:rPr>
        <w:t>6.1　一般规定</w:t>
      </w:r>
      <w:r>
        <w:tab/>
      </w:r>
      <w:r>
        <w:rPr>
          <w:rFonts w:hint="eastAsia"/>
        </w:rPr>
        <w:t>(</w:t>
      </w:r>
      <w:r>
        <w:fldChar w:fldCharType="begin"/>
      </w:r>
      <w:r>
        <w:instrText xml:space="preserve"> PAGEREF _Toc16936 \h </w:instrText>
      </w:r>
      <w:r>
        <w:fldChar w:fldCharType="separate"/>
      </w:r>
      <w:r>
        <w:t>10</w:t>
      </w:r>
      <w:r>
        <w:fldChar w:fldCharType="end"/>
      </w:r>
      <w:r>
        <w:fldChar w:fldCharType="end"/>
      </w:r>
      <w:r>
        <w:rPr>
          <w:rFonts w:eastAsiaTheme="minorEastAsia"/>
          <w:color w:val="auto"/>
        </w:rPr>
        <w:t>)</w:t>
      </w:r>
    </w:p>
    <w:p w14:paraId="26C1C559">
      <w:pPr>
        <w:pStyle w:val="20"/>
        <w:tabs>
          <w:tab w:val="right" w:leader="dot" w:pos="8306"/>
          <w:tab w:val="clear" w:pos="8296"/>
        </w:tabs>
        <w:ind w:left="480"/>
        <w:rPr>
          <w:rFonts w:eastAsiaTheme="minorEastAsia"/>
        </w:rPr>
      </w:pPr>
      <w:r>
        <w:fldChar w:fldCharType="begin"/>
      </w:r>
      <w:r>
        <w:instrText xml:space="preserve"> HYPERLINK \l "_Toc29428" </w:instrText>
      </w:r>
      <w:r>
        <w:fldChar w:fldCharType="separate"/>
      </w:r>
      <w:r>
        <w:rPr>
          <w:rFonts w:eastAsia="黑体"/>
          <w:bCs/>
        </w:rPr>
        <w:t>6.2　模型试验和数值模拟</w:t>
      </w:r>
      <w:r>
        <w:tab/>
      </w:r>
      <w:r>
        <w:rPr>
          <w:rFonts w:hint="eastAsia"/>
        </w:rPr>
        <w:t>(</w:t>
      </w:r>
      <w:r>
        <w:fldChar w:fldCharType="begin"/>
      </w:r>
      <w:r>
        <w:instrText xml:space="preserve"> PAGEREF _Toc29428 \h </w:instrText>
      </w:r>
      <w:r>
        <w:fldChar w:fldCharType="separate"/>
      </w:r>
      <w:r>
        <w:t>10</w:t>
      </w:r>
      <w:r>
        <w:fldChar w:fldCharType="end"/>
      </w:r>
      <w:r>
        <w:fldChar w:fldCharType="end"/>
      </w:r>
      <w:r>
        <w:rPr>
          <w:rFonts w:eastAsiaTheme="minorEastAsia"/>
          <w:color w:val="auto"/>
        </w:rPr>
        <w:t>)</w:t>
      </w:r>
    </w:p>
    <w:p w14:paraId="72BCB4E1">
      <w:pPr>
        <w:pStyle w:val="20"/>
        <w:tabs>
          <w:tab w:val="right" w:leader="dot" w:pos="8306"/>
          <w:tab w:val="clear" w:pos="8296"/>
        </w:tabs>
        <w:ind w:left="480"/>
        <w:rPr>
          <w:rFonts w:eastAsiaTheme="minorEastAsia"/>
        </w:rPr>
      </w:pPr>
      <w:r>
        <w:fldChar w:fldCharType="begin"/>
      </w:r>
      <w:r>
        <w:instrText xml:space="preserve"> HYPERLINK \l "_Toc4104" </w:instrText>
      </w:r>
      <w:r>
        <w:fldChar w:fldCharType="separate"/>
      </w:r>
      <w:r>
        <w:rPr>
          <w:rFonts w:eastAsia="黑体"/>
          <w:bCs/>
        </w:rPr>
        <w:t>6.3　示踪物质测试</w:t>
      </w:r>
      <w:r>
        <w:tab/>
      </w:r>
      <w:r>
        <w:rPr>
          <w:rFonts w:hint="eastAsia"/>
        </w:rPr>
        <w:t>(</w:t>
      </w:r>
      <w:r>
        <w:fldChar w:fldCharType="begin"/>
      </w:r>
      <w:r>
        <w:instrText xml:space="preserve"> PAGEREF _Toc4104 \h </w:instrText>
      </w:r>
      <w:r>
        <w:fldChar w:fldCharType="separate"/>
      </w:r>
      <w:r>
        <w:t>10</w:t>
      </w:r>
      <w:r>
        <w:fldChar w:fldCharType="end"/>
      </w:r>
      <w:r>
        <w:fldChar w:fldCharType="end"/>
      </w:r>
      <w:r>
        <w:rPr>
          <w:rFonts w:eastAsiaTheme="minorEastAsia"/>
          <w:color w:val="auto"/>
        </w:rPr>
        <w:t>)</w:t>
      </w:r>
    </w:p>
    <w:p w14:paraId="4C741BDE">
      <w:pPr>
        <w:pStyle w:val="17"/>
        <w:tabs>
          <w:tab w:val="right" w:leader="dot" w:pos="8306"/>
          <w:tab w:val="clear" w:pos="8296"/>
        </w:tabs>
        <w:rPr>
          <w:rFonts w:ascii="Times New Roman" w:hAnsi="Times New Roman" w:eastAsiaTheme="minorEastAsia"/>
        </w:rPr>
      </w:pPr>
      <w:r>
        <w:fldChar w:fldCharType="begin"/>
      </w:r>
      <w:r>
        <w:instrText xml:space="preserve"> HYPERLINK \l "_Toc15379" </w:instrText>
      </w:r>
      <w:r>
        <w:fldChar w:fldCharType="separate"/>
      </w:r>
      <w:r>
        <w:rPr>
          <w:rFonts w:ascii="Times New Roman" w:hAnsi="Times New Roman"/>
        </w:rPr>
        <w:t>用词说明</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_Toc15379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1D5DDE81">
      <w:pPr>
        <w:pStyle w:val="17"/>
        <w:tabs>
          <w:tab w:val="right" w:leader="dot" w:pos="8306"/>
          <w:tab w:val="clear" w:pos="8296"/>
        </w:tabs>
        <w:rPr>
          <w:rFonts w:ascii="Times New Roman" w:hAnsi="Times New Roman" w:eastAsiaTheme="minorEastAsia"/>
        </w:rPr>
      </w:pPr>
      <w:r>
        <w:fldChar w:fldCharType="begin"/>
      </w:r>
      <w:r>
        <w:instrText xml:space="preserve"> HYPERLINK \l "_Toc14609" </w:instrText>
      </w:r>
      <w:r>
        <w:fldChar w:fldCharType="separate"/>
      </w:r>
      <w:r>
        <w:rPr>
          <w:rFonts w:ascii="Times New Roman" w:hAnsi="Times New Roman"/>
        </w:rPr>
        <w:t>引用标准名录</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_Toc14609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352DBFF3">
      <w:pPr>
        <w:pStyle w:val="17"/>
        <w:tabs>
          <w:tab w:val="right" w:leader="dot" w:pos="8306"/>
          <w:tab w:val="clear" w:pos="8296"/>
        </w:tabs>
        <w:rPr>
          <w:rFonts w:ascii="Times New Roman" w:hAnsi="Times New Roman" w:eastAsiaTheme="minorEastAsia"/>
        </w:rPr>
      </w:pPr>
      <w:r>
        <w:rPr>
          <w:rFonts w:hint="eastAsia"/>
          <w:lang w:val="en-US" w:eastAsia="zh-CN"/>
        </w:rPr>
        <w:t>附：</w:t>
      </w:r>
      <w:r>
        <w:fldChar w:fldCharType="begin"/>
      </w:r>
      <w:r>
        <w:instrText xml:space="preserve"> HYPERLINK \l "_Toc24045" </w:instrText>
      </w:r>
      <w:r>
        <w:fldChar w:fldCharType="separate"/>
      </w:r>
      <w:r>
        <w:rPr>
          <w:rFonts w:ascii="Times New Roman" w:hAnsi="Times New Roman"/>
        </w:rPr>
        <w:t>条文说明</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_Toc24045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50F4DE7D">
      <w:pPr>
        <w:pStyle w:val="17"/>
        <w:rPr>
          <w:rFonts w:ascii="Times New Roman" w:hAnsi="Times New Roman"/>
        </w:rPr>
      </w:pPr>
      <w:r>
        <w:rPr>
          <w:rFonts w:ascii="Times New Roman" w:hAnsi="Times New Roman" w:eastAsiaTheme="minorEastAsia"/>
        </w:rPr>
        <w:fldChar w:fldCharType="end"/>
      </w:r>
    </w:p>
    <w:p w14:paraId="5D083AF3">
      <w:pPr>
        <w:pStyle w:val="42"/>
        <w:spacing w:after="240"/>
        <w:jc w:val="center"/>
        <w:rPr>
          <w:rFonts w:ascii="Times New Roman" w:hAnsi="Times New Roman" w:cs="Times New Roman"/>
          <w:b/>
          <w:bCs/>
          <w:color w:val="auto"/>
          <w:sz w:val="32"/>
          <w:szCs w:val="32"/>
        </w:rPr>
        <w:sectPr>
          <w:headerReference r:id="rId6" w:type="first"/>
          <w:footerReference r:id="rId9" w:type="first"/>
          <w:headerReference r:id="rId4" w:type="default"/>
          <w:footerReference r:id="rId7" w:type="default"/>
          <w:headerReference r:id="rId5" w:type="even"/>
          <w:footerReference r:id="rId8" w:type="even"/>
          <w:type w:val="continuous"/>
          <w:pgSz w:w="11906" w:h="16838"/>
          <w:pgMar w:top="1440" w:right="1800" w:bottom="1440" w:left="1800" w:header="851" w:footer="992" w:gutter="0"/>
          <w:pgNumType w:start="1"/>
          <w:cols w:space="720" w:num="1"/>
          <w:docGrid w:type="lines" w:linePitch="312" w:charSpace="0"/>
        </w:sectPr>
      </w:pPr>
    </w:p>
    <w:p w14:paraId="1FCA5871">
      <w:pPr>
        <w:pStyle w:val="42"/>
        <w:jc w:val="center"/>
        <w:rPr>
          <w:rFonts w:ascii="Times New Roman" w:hAnsi="Times New Roman" w:eastAsia="仿宋" w:cs="Times New Roman"/>
          <w:b/>
          <w:bCs/>
          <w:color w:val="auto"/>
          <w:sz w:val="32"/>
          <w:szCs w:val="32"/>
        </w:rPr>
      </w:pPr>
      <w:bookmarkStart w:id="8" w:name="_Hlk195535433"/>
      <w:r>
        <w:rPr>
          <w:rFonts w:ascii="Times New Roman" w:hAnsi="Times New Roman" w:eastAsia="仿宋" w:cs="Times New Roman"/>
          <w:b/>
          <w:bCs/>
          <w:color w:val="auto"/>
          <w:sz w:val="32"/>
          <w:szCs w:val="32"/>
        </w:rPr>
        <w:t>Contents</w:t>
      </w:r>
    </w:p>
    <w:p w14:paraId="30AFAA90">
      <w:pPr>
        <w:pStyle w:val="17"/>
        <w:tabs>
          <w:tab w:val="right" w:leader="dot" w:pos="8306"/>
          <w:tab w:val="clear" w:pos="8296"/>
        </w:tabs>
        <w:rPr>
          <w:rFonts w:ascii="Times New Roman" w:hAnsi="Times New Roman" w:eastAsiaTheme="minorEastAsia"/>
        </w:rPr>
      </w:pPr>
    </w:p>
    <w:p w14:paraId="5E2F230A">
      <w:pPr>
        <w:pStyle w:val="17"/>
        <w:tabs>
          <w:tab w:val="right" w:leader="dot" w:pos="8306"/>
          <w:tab w:val="clear" w:pos="8296"/>
        </w:tabs>
        <w:rPr>
          <w:rFonts w:ascii="Times New Roman" w:hAnsi="Times New Roman" w:eastAsiaTheme="minorEastAsia"/>
        </w:rPr>
      </w:pPr>
      <w:r>
        <w:rPr>
          <w:rFonts w:ascii="Times New Roman" w:hAnsi="Times New Roman" w:eastAsiaTheme="minorEastAsia"/>
        </w:rPr>
        <w:fldChar w:fldCharType="begin"/>
      </w:r>
      <w:r>
        <w:rPr>
          <w:rFonts w:ascii="Times New Roman" w:hAnsi="Times New Roman" w:eastAsiaTheme="minorEastAsia"/>
        </w:rPr>
        <w:instrText xml:space="preserve"> TOC \o "1-2" \h \z \u chart1</w:instrText>
      </w:r>
      <w:r>
        <w:rPr>
          <w:rFonts w:ascii="Times New Roman" w:hAnsi="Times New Roman" w:eastAsiaTheme="minorEastAsia"/>
        </w:rPr>
        <w:fldChar w:fldCharType="separate"/>
      </w:r>
      <w:r>
        <w:fldChar w:fldCharType="begin"/>
      </w:r>
      <w:r>
        <w:instrText xml:space="preserve"> HYPERLINK \l "_Toc18842" </w:instrText>
      </w:r>
      <w:r>
        <w:fldChar w:fldCharType="separate"/>
      </w:r>
      <w:r>
        <w:rPr>
          <w:rFonts w:ascii="Times New Roman" w:hAnsi="Times New Roman"/>
        </w:rPr>
        <w:t>1　</w:t>
      </w:r>
      <w:r>
        <w:rPr>
          <w:rStyle w:val="29"/>
          <w:rFonts w:ascii="Times New Roman" w:hAnsi="Times New Roman" w:eastAsiaTheme="minorEastAsia"/>
          <w:color w:val="auto"/>
        </w:rPr>
        <w:t>General provisions</w:t>
      </w:r>
      <w:r>
        <w:rPr>
          <w:rFonts w:ascii="Times New Roman" w:hAnsi="Times New Roman"/>
        </w:rPr>
        <w:tab/>
      </w:r>
      <w:r>
        <w:rPr>
          <w:rFonts w:ascii="Times New Roman" w:hAnsi="Times New Roman"/>
        </w:rPr>
        <w:t>(</w:t>
      </w:r>
      <w:r>
        <w:rPr>
          <w:rFonts w:ascii="Times New Roman" w:hAnsi="Times New Roman"/>
        </w:rPr>
        <w:fldChar w:fldCharType="begin"/>
      </w:r>
      <w:r>
        <w:rPr>
          <w:rFonts w:ascii="Times New Roman" w:hAnsi="Times New Roman"/>
        </w:rPr>
        <w:instrText xml:space="preserve"> PAGEREF _Toc18842 \h </w:instrText>
      </w:r>
      <w:r>
        <w:rPr>
          <w:rFonts w:ascii="Times New Roman" w:hAnsi="Times New Roman"/>
        </w:rPr>
        <w:fldChar w:fldCharType="separate"/>
      </w:r>
      <w:r>
        <w:rPr>
          <w:rFonts w:ascii="Times New Roman" w:hAnsi="Times New Roman"/>
        </w:rPr>
        <w:t>1</w:t>
      </w:r>
      <w:r>
        <w:rPr>
          <w:rFonts w:ascii="Times New Roman" w:hAnsi="Times New Roman"/>
        </w:rPr>
        <w:fldChar w:fldCharType="end"/>
      </w:r>
      <w:r>
        <w:rPr>
          <w:rFonts w:ascii="Times New Roman" w:hAnsi="Times New Roman"/>
        </w:rPr>
        <w:fldChar w:fldCharType="end"/>
      </w:r>
      <w:r>
        <w:rPr>
          <w:rFonts w:hint="eastAsia" w:ascii="Times New Roman" w:hAnsi="Times New Roman" w:eastAsiaTheme="minorEastAsia"/>
        </w:rPr>
        <w:t>)</w:t>
      </w:r>
    </w:p>
    <w:p w14:paraId="51601079">
      <w:pPr>
        <w:pStyle w:val="17"/>
        <w:tabs>
          <w:tab w:val="right" w:leader="dot" w:pos="8306"/>
          <w:tab w:val="clear" w:pos="8296"/>
        </w:tabs>
        <w:rPr>
          <w:rFonts w:ascii="Times New Roman" w:hAnsi="Times New Roman" w:eastAsiaTheme="minorEastAsia"/>
        </w:rPr>
      </w:pPr>
      <w:r>
        <w:fldChar w:fldCharType="begin"/>
      </w:r>
      <w:r>
        <w:instrText xml:space="preserve"> HYPERLINK \l "_Toc15918" </w:instrText>
      </w:r>
      <w:r>
        <w:fldChar w:fldCharType="separate"/>
      </w:r>
      <w:r>
        <w:rPr>
          <w:rFonts w:ascii="Times New Roman" w:hAnsi="Times New Roman"/>
        </w:rPr>
        <w:t>2　</w:t>
      </w:r>
      <w:r>
        <w:rPr>
          <w:rStyle w:val="29"/>
          <w:rFonts w:ascii="Times New Roman" w:hAnsi="Times New Roman" w:eastAsiaTheme="minorEastAsia"/>
          <w:color w:val="auto"/>
        </w:rPr>
        <w:t>Terms</w:t>
      </w:r>
      <w:r>
        <w:rPr>
          <w:rFonts w:ascii="Times New Roman" w:hAnsi="Times New Roman"/>
        </w:rPr>
        <w:tab/>
      </w:r>
      <w:r>
        <w:rPr>
          <w:rFonts w:ascii="Times New Roman" w:hAnsi="Times New Roman"/>
        </w:rPr>
        <w:t>(</w:t>
      </w:r>
      <w:r>
        <w:rPr>
          <w:rFonts w:ascii="Times New Roman" w:hAnsi="Times New Roman"/>
        </w:rPr>
        <w:fldChar w:fldCharType="begin"/>
      </w:r>
      <w:r>
        <w:rPr>
          <w:rFonts w:ascii="Times New Roman" w:hAnsi="Times New Roman"/>
        </w:rPr>
        <w:instrText xml:space="preserve"> PAGEREF _Toc15918 \h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6D64C3A0">
      <w:pPr>
        <w:pStyle w:val="17"/>
        <w:tabs>
          <w:tab w:val="right" w:leader="dot" w:pos="8306"/>
          <w:tab w:val="clear" w:pos="8296"/>
        </w:tabs>
        <w:rPr>
          <w:rFonts w:ascii="Times New Roman" w:hAnsi="Times New Roman" w:eastAsiaTheme="minorEastAsia"/>
        </w:rPr>
      </w:pPr>
      <w:r>
        <w:fldChar w:fldCharType="begin"/>
      </w:r>
      <w:r>
        <w:instrText xml:space="preserve"> HYPERLINK \l "_Toc28246" </w:instrText>
      </w:r>
      <w:r>
        <w:fldChar w:fldCharType="separate"/>
      </w:r>
      <w:r>
        <w:rPr>
          <w:rFonts w:ascii="Times New Roman" w:hAnsi="Times New Roman"/>
        </w:rPr>
        <w:t>3</w:t>
      </w:r>
      <w:r>
        <w:rPr>
          <w:rFonts w:ascii="Times New Roman" w:hAnsi="Times New Roman" w:eastAsia="黑体"/>
          <w:szCs w:val="32"/>
        </w:rPr>
        <w:t>　</w:t>
      </w:r>
      <w:r>
        <w:rPr>
          <w:rStyle w:val="29"/>
          <w:rFonts w:ascii="Times New Roman" w:hAnsi="Times New Roman" w:eastAsiaTheme="minorEastAsia"/>
          <w:color w:val="auto"/>
        </w:rPr>
        <w:t>Basic requirements</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_Toc28246 \h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4DB1D0E1">
      <w:pPr>
        <w:pStyle w:val="20"/>
        <w:tabs>
          <w:tab w:val="right" w:leader="dot" w:pos="8306"/>
          <w:tab w:val="clear" w:pos="8296"/>
        </w:tabs>
        <w:ind w:left="480"/>
        <w:rPr>
          <w:rFonts w:eastAsiaTheme="minorEastAsia"/>
        </w:rPr>
      </w:pPr>
      <w:r>
        <w:fldChar w:fldCharType="begin"/>
      </w:r>
      <w:r>
        <w:instrText xml:space="preserve"> HYPERLINK \l "_Toc29478" </w:instrText>
      </w:r>
      <w:r>
        <w:fldChar w:fldCharType="separate"/>
      </w:r>
      <w:r>
        <w:rPr>
          <w:rFonts w:eastAsia="黑体"/>
          <w:bCs/>
        </w:rPr>
        <w:t>3.1　</w:t>
      </w:r>
      <w:r>
        <w:rPr>
          <w:rStyle w:val="29"/>
          <w:rFonts w:eastAsiaTheme="minorEastAsia"/>
          <w:bCs/>
          <w:color w:val="auto"/>
        </w:rPr>
        <w:t>General requirements</w:t>
      </w:r>
      <w:r>
        <w:tab/>
      </w:r>
      <w:r>
        <w:rPr>
          <w:rFonts w:hint="eastAsia"/>
        </w:rPr>
        <w:t>(</w:t>
      </w:r>
      <w:r>
        <w:fldChar w:fldCharType="begin"/>
      </w:r>
      <w:r>
        <w:instrText xml:space="preserve"> PAGEREF _Toc29478 \h </w:instrText>
      </w:r>
      <w:r>
        <w:fldChar w:fldCharType="separate"/>
      </w:r>
      <w:r>
        <w:t>3</w:t>
      </w:r>
      <w:r>
        <w:fldChar w:fldCharType="end"/>
      </w:r>
      <w:r>
        <w:fldChar w:fldCharType="end"/>
      </w:r>
      <w:r>
        <w:rPr>
          <w:rFonts w:eastAsiaTheme="minorEastAsia"/>
          <w:color w:val="auto"/>
        </w:rPr>
        <w:t>)</w:t>
      </w:r>
    </w:p>
    <w:p w14:paraId="39A7160A">
      <w:pPr>
        <w:pStyle w:val="20"/>
        <w:tabs>
          <w:tab w:val="right" w:leader="dot" w:pos="8306"/>
          <w:tab w:val="clear" w:pos="8296"/>
        </w:tabs>
        <w:ind w:left="480"/>
        <w:rPr>
          <w:rFonts w:eastAsiaTheme="minorEastAsia"/>
        </w:rPr>
      </w:pPr>
      <w:r>
        <w:fldChar w:fldCharType="begin"/>
      </w:r>
      <w:r>
        <w:instrText xml:space="preserve"> HYPERLINK \l "_Toc10257" </w:instrText>
      </w:r>
      <w:r>
        <w:fldChar w:fldCharType="separate"/>
      </w:r>
      <w:r>
        <w:rPr>
          <w:rFonts w:eastAsia="黑体"/>
          <w:bCs/>
        </w:rPr>
        <w:t>3.2　Evaluation requirements</w:t>
      </w:r>
      <w:r>
        <w:tab/>
      </w:r>
      <w:r>
        <w:rPr>
          <w:rFonts w:hint="eastAsia"/>
        </w:rPr>
        <w:t>(</w:t>
      </w:r>
      <w:r>
        <w:fldChar w:fldCharType="begin"/>
      </w:r>
      <w:r>
        <w:instrText xml:space="preserve"> PAGEREF _Toc10257 \h </w:instrText>
      </w:r>
      <w:r>
        <w:fldChar w:fldCharType="separate"/>
      </w:r>
      <w:r>
        <w:t>3</w:t>
      </w:r>
      <w:r>
        <w:fldChar w:fldCharType="end"/>
      </w:r>
      <w:r>
        <w:fldChar w:fldCharType="end"/>
      </w:r>
      <w:r>
        <w:rPr>
          <w:rFonts w:eastAsiaTheme="minorEastAsia"/>
          <w:color w:val="auto"/>
        </w:rPr>
        <w:t>)</w:t>
      </w:r>
    </w:p>
    <w:p w14:paraId="5A05505A">
      <w:pPr>
        <w:pStyle w:val="17"/>
        <w:tabs>
          <w:tab w:val="right" w:leader="dot" w:pos="8306"/>
          <w:tab w:val="clear" w:pos="8296"/>
        </w:tabs>
        <w:rPr>
          <w:rFonts w:ascii="Times New Roman" w:hAnsi="Times New Roman" w:eastAsiaTheme="minorEastAsia"/>
        </w:rPr>
      </w:pPr>
      <w:r>
        <w:fldChar w:fldCharType="begin"/>
      </w:r>
      <w:r>
        <w:instrText xml:space="preserve"> HYPERLINK \l "_Toc30128" </w:instrText>
      </w:r>
      <w:r>
        <w:fldChar w:fldCharType="separate"/>
      </w:r>
      <w:r>
        <w:rPr>
          <w:rFonts w:ascii="Times New Roman" w:hAnsi="Times New Roman"/>
        </w:rPr>
        <w:t>4 Evaluation content</w:t>
      </w:r>
      <w:r>
        <w:rPr>
          <w:rFonts w:hint="eastAsia" w:ascii="Times New Roman" w:hAnsi="Times New Roman"/>
        </w:rPr>
        <w:t>s</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_Toc30128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18E87AEB">
      <w:pPr>
        <w:pStyle w:val="20"/>
        <w:tabs>
          <w:tab w:val="right" w:leader="dot" w:pos="8306"/>
          <w:tab w:val="clear" w:pos="8296"/>
        </w:tabs>
        <w:ind w:left="480"/>
        <w:rPr>
          <w:rFonts w:eastAsiaTheme="minorEastAsia"/>
        </w:rPr>
      </w:pPr>
      <w:r>
        <w:fldChar w:fldCharType="begin"/>
      </w:r>
      <w:r>
        <w:instrText xml:space="preserve"> HYPERLINK \l "_Toc25701" </w:instrText>
      </w:r>
      <w:r>
        <w:fldChar w:fldCharType="separate"/>
      </w:r>
      <w:r>
        <w:rPr>
          <w:rFonts w:eastAsia="黑体"/>
          <w:bCs/>
        </w:rPr>
        <w:t>4.1　</w:t>
      </w:r>
      <w:r>
        <w:rPr>
          <w:rFonts w:hint="eastAsia" w:eastAsia="黑体"/>
          <w:bCs/>
        </w:rPr>
        <w:t>E</w:t>
      </w:r>
      <w:r>
        <w:rPr>
          <w:rFonts w:eastAsia="黑体"/>
          <w:bCs/>
        </w:rPr>
        <w:t>nvironmental indicators</w:t>
      </w:r>
      <w:r>
        <w:tab/>
      </w:r>
      <w:r>
        <w:rPr>
          <w:rFonts w:hint="eastAsia"/>
        </w:rPr>
        <w:t>(</w:t>
      </w:r>
      <w:r>
        <w:fldChar w:fldCharType="begin"/>
      </w:r>
      <w:r>
        <w:instrText xml:space="preserve"> PAGEREF _Toc25701 \h </w:instrText>
      </w:r>
      <w:r>
        <w:fldChar w:fldCharType="separate"/>
      </w:r>
      <w:r>
        <w:t>5</w:t>
      </w:r>
      <w:r>
        <w:fldChar w:fldCharType="end"/>
      </w:r>
      <w:r>
        <w:fldChar w:fldCharType="end"/>
      </w:r>
      <w:r>
        <w:rPr>
          <w:rFonts w:eastAsiaTheme="minorEastAsia"/>
          <w:color w:val="auto"/>
        </w:rPr>
        <w:t>)</w:t>
      </w:r>
    </w:p>
    <w:p w14:paraId="29C04444">
      <w:pPr>
        <w:pStyle w:val="20"/>
        <w:tabs>
          <w:tab w:val="right" w:leader="dot" w:pos="8306"/>
          <w:tab w:val="clear" w:pos="8296"/>
        </w:tabs>
        <w:ind w:left="480"/>
        <w:rPr>
          <w:rFonts w:eastAsiaTheme="minorEastAsia"/>
        </w:rPr>
      </w:pPr>
      <w:r>
        <w:fldChar w:fldCharType="begin"/>
      </w:r>
      <w:r>
        <w:instrText xml:space="preserve"> HYPERLINK \l "_Toc31616" </w:instrText>
      </w:r>
      <w:r>
        <w:fldChar w:fldCharType="separate"/>
      </w:r>
      <w:r>
        <w:rPr>
          <w:rFonts w:eastAsia="黑体"/>
          <w:bCs/>
        </w:rPr>
        <w:t>4.2　</w:t>
      </w:r>
      <w:r>
        <w:rPr>
          <w:rFonts w:hint="eastAsia" w:eastAsia="黑体"/>
          <w:bCs/>
        </w:rPr>
        <w:t>I</w:t>
      </w:r>
      <w:r>
        <w:rPr>
          <w:rFonts w:eastAsia="黑体"/>
          <w:bCs/>
        </w:rPr>
        <w:t>ndoor transmission protection performance</w:t>
      </w:r>
      <w:r>
        <w:tab/>
      </w:r>
      <w:r>
        <w:rPr>
          <w:rFonts w:hint="eastAsia"/>
        </w:rPr>
        <w:t>(</w:t>
      </w:r>
      <w:r>
        <w:fldChar w:fldCharType="begin"/>
      </w:r>
      <w:r>
        <w:instrText xml:space="preserve"> PAGEREF _Toc31616 \h </w:instrText>
      </w:r>
      <w:r>
        <w:fldChar w:fldCharType="separate"/>
      </w:r>
      <w:r>
        <w:t>5</w:t>
      </w:r>
      <w:r>
        <w:fldChar w:fldCharType="end"/>
      </w:r>
      <w:r>
        <w:fldChar w:fldCharType="end"/>
      </w:r>
      <w:r>
        <w:rPr>
          <w:rFonts w:eastAsiaTheme="minorEastAsia"/>
          <w:color w:val="auto"/>
        </w:rPr>
        <w:t>)</w:t>
      </w:r>
    </w:p>
    <w:p w14:paraId="5007B5B3">
      <w:pPr>
        <w:pStyle w:val="20"/>
        <w:tabs>
          <w:tab w:val="right" w:leader="dot" w:pos="8306"/>
          <w:tab w:val="clear" w:pos="8296"/>
        </w:tabs>
        <w:ind w:left="480"/>
        <w:rPr>
          <w:rFonts w:eastAsiaTheme="minorEastAsia"/>
        </w:rPr>
      </w:pPr>
      <w:r>
        <w:fldChar w:fldCharType="begin"/>
      </w:r>
      <w:r>
        <w:instrText xml:space="preserve"> HYPERLINK \l "_Toc3757" </w:instrText>
      </w:r>
      <w:r>
        <w:fldChar w:fldCharType="separate"/>
      </w:r>
      <w:r>
        <w:rPr>
          <w:rFonts w:eastAsia="黑体"/>
          <w:bCs/>
        </w:rPr>
        <w:t>4.3　</w:t>
      </w:r>
      <w:r>
        <w:rPr>
          <w:rFonts w:hint="eastAsia" w:eastAsia="黑体"/>
          <w:bCs/>
        </w:rPr>
        <w:t>T</w:t>
      </w:r>
      <w:r>
        <w:rPr>
          <w:rFonts w:eastAsia="黑体"/>
          <w:bCs/>
        </w:rPr>
        <w:t>ransmission protection performance</w:t>
      </w:r>
      <w:r>
        <w:rPr>
          <w:rFonts w:hint="eastAsia" w:eastAsia="黑体"/>
          <w:bCs/>
        </w:rPr>
        <w:t xml:space="preserve"> between adjacent units</w:t>
      </w:r>
      <w:r>
        <w:tab/>
      </w:r>
      <w:r>
        <w:rPr>
          <w:rFonts w:hint="eastAsia"/>
        </w:rPr>
        <w:t>(</w:t>
      </w:r>
      <w:r>
        <w:fldChar w:fldCharType="begin"/>
      </w:r>
      <w:r>
        <w:instrText xml:space="preserve"> PAGEREF _Toc3757 \h </w:instrText>
      </w:r>
      <w:r>
        <w:fldChar w:fldCharType="separate"/>
      </w:r>
      <w:r>
        <w:t>5</w:t>
      </w:r>
      <w:r>
        <w:fldChar w:fldCharType="end"/>
      </w:r>
      <w:r>
        <w:fldChar w:fldCharType="end"/>
      </w:r>
      <w:r>
        <w:rPr>
          <w:rFonts w:eastAsiaTheme="minorEastAsia"/>
          <w:color w:val="auto"/>
        </w:rPr>
        <w:t>)</w:t>
      </w:r>
    </w:p>
    <w:p w14:paraId="52D27B6D">
      <w:pPr>
        <w:pStyle w:val="17"/>
        <w:tabs>
          <w:tab w:val="right" w:leader="dot" w:pos="8306"/>
          <w:tab w:val="clear" w:pos="8296"/>
        </w:tabs>
        <w:rPr>
          <w:rFonts w:ascii="Times New Roman" w:hAnsi="Times New Roman" w:eastAsiaTheme="minorEastAsia"/>
        </w:rPr>
      </w:pPr>
      <w:r>
        <w:fldChar w:fldCharType="begin"/>
      </w:r>
      <w:r>
        <w:instrText xml:space="preserve"> HYPERLINK \l "_Toc1303" </w:instrText>
      </w:r>
      <w:r>
        <w:fldChar w:fldCharType="separate"/>
      </w:r>
      <w:r>
        <w:rPr>
          <w:rFonts w:ascii="Times New Roman" w:hAnsi="Times New Roman"/>
        </w:rPr>
        <w:t xml:space="preserve">5　Field </w:t>
      </w:r>
      <w:r>
        <w:rPr>
          <w:rFonts w:hint="eastAsia" w:ascii="Times New Roman" w:hAnsi="Times New Roman"/>
        </w:rPr>
        <w:t>m</w:t>
      </w:r>
      <w:r>
        <w:rPr>
          <w:rFonts w:ascii="Times New Roman" w:hAnsi="Times New Roman"/>
        </w:rPr>
        <w:t xml:space="preserve">easurement </w:t>
      </w:r>
      <w:r>
        <w:rPr>
          <w:rFonts w:hint="eastAsia" w:ascii="Times New Roman" w:hAnsi="Times New Roman"/>
        </w:rPr>
        <w:t>e</w:t>
      </w:r>
      <w:r>
        <w:rPr>
          <w:rFonts w:ascii="Times New Roman" w:hAnsi="Times New Roman"/>
        </w:rPr>
        <w:t xml:space="preserve">valuation </w:t>
      </w:r>
      <w:r>
        <w:rPr>
          <w:rFonts w:hint="eastAsia" w:ascii="Times New Roman" w:hAnsi="Times New Roman"/>
        </w:rPr>
        <w:t>m</w:t>
      </w:r>
      <w:r>
        <w:rPr>
          <w:rFonts w:ascii="Times New Roman" w:hAnsi="Times New Roman"/>
        </w:rPr>
        <w:t>ethod</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_Toc1303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6FD5F7E9">
      <w:pPr>
        <w:pStyle w:val="20"/>
        <w:tabs>
          <w:tab w:val="right" w:leader="dot" w:pos="8306"/>
          <w:tab w:val="clear" w:pos="8296"/>
        </w:tabs>
        <w:ind w:left="480"/>
        <w:rPr>
          <w:rFonts w:eastAsiaTheme="minorEastAsia"/>
        </w:rPr>
      </w:pPr>
      <w:r>
        <w:fldChar w:fldCharType="begin"/>
      </w:r>
      <w:r>
        <w:instrText xml:space="preserve"> HYPERLINK \l "_Toc9654" </w:instrText>
      </w:r>
      <w:r>
        <w:fldChar w:fldCharType="separate"/>
      </w:r>
      <w:r>
        <w:rPr>
          <w:rFonts w:eastAsia="黑体"/>
          <w:bCs/>
        </w:rPr>
        <w:t>5.1　</w:t>
      </w:r>
      <w:r>
        <w:rPr>
          <w:rStyle w:val="29"/>
          <w:rFonts w:eastAsiaTheme="minorEastAsia"/>
          <w:bCs/>
          <w:color w:val="auto"/>
        </w:rPr>
        <w:t>General requirements</w:t>
      </w:r>
      <w:r>
        <w:tab/>
      </w:r>
      <w:r>
        <w:rPr>
          <w:rFonts w:hint="eastAsia"/>
        </w:rPr>
        <w:t>(</w:t>
      </w:r>
      <w:r>
        <w:fldChar w:fldCharType="begin"/>
      </w:r>
      <w:r>
        <w:instrText xml:space="preserve"> PAGEREF _Toc9654 \h </w:instrText>
      </w:r>
      <w:r>
        <w:fldChar w:fldCharType="separate"/>
      </w:r>
      <w:r>
        <w:t>7</w:t>
      </w:r>
      <w:r>
        <w:fldChar w:fldCharType="end"/>
      </w:r>
      <w:r>
        <w:fldChar w:fldCharType="end"/>
      </w:r>
      <w:r>
        <w:rPr>
          <w:rFonts w:eastAsiaTheme="minorEastAsia"/>
          <w:color w:val="auto"/>
        </w:rPr>
        <w:t>)</w:t>
      </w:r>
    </w:p>
    <w:p w14:paraId="7E949463">
      <w:pPr>
        <w:pStyle w:val="20"/>
        <w:tabs>
          <w:tab w:val="right" w:leader="dot" w:pos="8306"/>
          <w:tab w:val="clear" w:pos="8296"/>
        </w:tabs>
        <w:ind w:left="480"/>
        <w:rPr>
          <w:rFonts w:eastAsiaTheme="minorEastAsia"/>
        </w:rPr>
      </w:pPr>
      <w:r>
        <w:fldChar w:fldCharType="begin"/>
      </w:r>
      <w:r>
        <w:instrText xml:space="preserve"> HYPERLINK \l "_Toc15668" </w:instrText>
      </w:r>
      <w:r>
        <w:fldChar w:fldCharType="separate"/>
      </w:r>
      <w:r>
        <w:rPr>
          <w:rFonts w:eastAsia="黑体"/>
          <w:bCs/>
        </w:rPr>
        <w:t>5.2　</w:t>
      </w:r>
      <w:r>
        <w:rPr>
          <w:rFonts w:hint="eastAsia" w:eastAsia="黑体"/>
          <w:bCs/>
        </w:rPr>
        <w:t>E</w:t>
      </w:r>
      <w:r>
        <w:rPr>
          <w:rFonts w:eastAsia="黑体"/>
          <w:bCs/>
        </w:rPr>
        <w:t>nvironmental indicators</w:t>
      </w:r>
      <w:r>
        <w:tab/>
      </w:r>
      <w:r>
        <w:rPr>
          <w:rFonts w:hint="eastAsia"/>
        </w:rPr>
        <w:t>(</w:t>
      </w:r>
      <w:r>
        <w:fldChar w:fldCharType="begin"/>
      </w:r>
      <w:r>
        <w:instrText xml:space="preserve"> PAGEREF _Toc15668 \h </w:instrText>
      </w:r>
      <w:r>
        <w:fldChar w:fldCharType="separate"/>
      </w:r>
      <w:r>
        <w:t>7</w:t>
      </w:r>
      <w:r>
        <w:fldChar w:fldCharType="end"/>
      </w:r>
      <w:r>
        <w:fldChar w:fldCharType="end"/>
      </w:r>
      <w:r>
        <w:rPr>
          <w:rFonts w:eastAsiaTheme="minorEastAsia"/>
          <w:color w:val="auto"/>
        </w:rPr>
        <w:t>)</w:t>
      </w:r>
    </w:p>
    <w:p w14:paraId="250D85CA">
      <w:pPr>
        <w:pStyle w:val="20"/>
        <w:tabs>
          <w:tab w:val="right" w:leader="dot" w:pos="8306"/>
          <w:tab w:val="clear" w:pos="8296"/>
        </w:tabs>
        <w:ind w:left="480"/>
        <w:rPr>
          <w:rFonts w:eastAsiaTheme="minorEastAsia"/>
        </w:rPr>
      </w:pPr>
      <w:r>
        <w:fldChar w:fldCharType="begin"/>
      </w:r>
      <w:r>
        <w:instrText xml:space="preserve"> HYPERLINK \l "_Toc15321" </w:instrText>
      </w:r>
      <w:r>
        <w:fldChar w:fldCharType="separate"/>
      </w:r>
      <w:r>
        <w:rPr>
          <w:rFonts w:eastAsia="黑体"/>
          <w:bCs/>
        </w:rPr>
        <w:t>5.3　</w:t>
      </w:r>
      <w:r>
        <w:rPr>
          <w:rFonts w:hint="eastAsia" w:eastAsia="黑体"/>
          <w:bCs/>
        </w:rPr>
        <w:t>I</w:t>
      </w:r>
      <w:r>
        <w:rPr>
          <w:rFonts w:eastAsia="黑体"/>
          <w:bCs/>
        </w:rPr>
        <w:t>ndoor transmission protection performance</w:t>
      </w:r>
      <w:r>
        <w:tab/>
      </w:r>
      <w:r>
        <w:rPr>
          <w:rFonts w:hint="eastAsia"/>
        </w:rPr>
        <w:t>(</w:t>
      </w:r>
      <w:r>
        <w:fldChar w:fldCharType="begin"/>
      </w:r>
      <w:r>
        <w:instrText xml:space="preserve"> PAGEREF _Toc15321 \h </w:instrText>
      </w:r>
      <w:r>
        <w:fldChar w:fldCharType="separate"/>
      </w:r>
      <w:r>
        <w:t>8</w:t>
      </w:r>
      <w:r>
        <w:fldChar w:fldCharType="end"/>
      </w:r>
      <w:r>
        <w:fldChar w:fldCharType="end"/>
      </w:r>
      <w:r>
        <w:rPr>
          <w:rFonts w:eastAsiaTheme="minorEastAsia"/>
          <w:color w:val="auto"/>
        </w:rPr>
        <w:t>)</w:t>
      </w:r>
    </w:p>
    <w:p w14:paraId="12D2588C">
      <w:pPr>
        <w:pStyle w:val="20"/>
        <w:tabs>
          <w:tab w:val="right" w:leader="dot" w:pos="8306"/>
          <w:tab w:val="clear" w:pos="8296"/>
        </w:tabs>
        <w:ind w:left="480"/>
        <w:rPr>
          <w:rFonts w:eastAsiaTheme="minorEastAsia"/>
        </w:rPr>
      </w:pPr>
      <w:r>
        <w:fldChar w:fldCharType="begin"/>
      </w:r>
      <w:r>
        <w:instrText xml:space="preserve"> HYPERLINK \l "_Toc7419" </w:instrText>
      </w:r>
      <w:r>
        <w:fldChar w:fldCharType="separate"/>
      </w:r>
      <w:r>
        <w:rPr>
          <w:rFonts w:eastAsia="黑体"/>
          <w:bCs/>
        </w:rPr>
        <w:t>5.4　</w:t>
      </w:r>
      <w:r>
        <w:rPr>
          <w:rFonts w:hint="eastAsia" w:eastAsia="黑体"/>
          <w:bCs/>
        </w:rPr>
        <w:t>T</w:t>
      </w:r>
      <w:r>
        <w:rPr>
          <w:rFonts w:eastAsia="黑体"/>
          <w:bCs/>
        </w:rPr>
        <w:t>ransmission protection performance</w:t>
      </w:r>
      <w:r>
        <w:rPr>
          <w:rFonts w:hint="eastAsia" w:eastAsia="黑体"/>
          <w:bCs/>
        </w:rPr>
        <w:t xml:space="preserve"> between adjacent units</w:t>
      </w:r>
      <w:r>
        <w:tab/>
      </w:r>
      <w:r>
        <w:rPr>
          <w:rFonts w:hint="eastAsia"/>
        </w:rPr>
        <w:t>(</w:t>
      </w:r>
      <w:r>
        <w:fldChar w:fldCharType="begin"/>
      </w:r>
      <w:r>
        <w:instrText xml:space="preserve"> PAGEREF _Toc7419 \h </w:instrText>
      </w:r>
      <w:r>
        <w:fldChar w:fldCharType="separate"/>
      </w:r>
      <w:r>
        <w:t>8</w:t>
      </w:r>
      <w:r>
        <w:fldChar w:fldCharType="end"/>
      </w:r>
      <w:r>
        <w:fldChar w:fldCharType="end"/>
      </w:r>
      <w:r>
        <w:rPr>
          <w:rFonts w:eastAsiaTheme="minorEastAsia"/>
          <w:color w:val="auto"/>
        </w:rPr>
        <w:t>)</w:t>
      </w:r>
    </w:p>
    <w:p w14:paraId="2A9BB53F">
      <w:pPr>
        <w:pStyle w:val="17"/>
        <w:tabs>
          <w:tab w:val="right" w:leader="dot" w:pos="8306"/>
          <w:tab w:val="clear" w:pos="8296"/>
        </w:tabs>
        <w:rPr>
          <w:rFonts w:ascii="Times New Roman" w:hAnsi="Times New Roman" w:eastAsiaTheme="minorEastAsia"/>
        </w:rPr>
      </w:pPr>
      <w:r>
        <w:fldChar w:fldCharType="begin"/>
      </w:r>
      <w:r>
        <w:instrText xml:space="preserve"> HYPERLINK \l "_Toc7448" </w:instrText>
      </w:r>
      <w:r>
        <w:fldChar w:fldCharType="separate"/>
      </w:r>
      <w:r>
        <w:rPr>
          <w:rFonts w:ascii="Times New Roman" w:hAnsi="Times New Roman"/>
        </w:rPr>
        <w:t>6　Simulation evaluation method</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_Toc7448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3285092E">
      <w:pPr>
        <w:pStyle w:val="20"/>
        <w:tabs>
          <w:tab w:val="right" w:leader="dot" w:pos="8306"/>
          <w:tab w:val="clear" w:pos="8296"/>
        </w:tabs>
        <w:ind w:left="480"/>
        <w:rPr>
          <w:rFonts w:eastAsiaTheme="minorEastAsia"/>
        </w:rPr>
      </w:pPr>
      <w:r>
        <w:fldChar w:fldCharType="begin"/>
      </w:r>
      <w:r>
        <w:instrText xml:space="preserve"> HYPERLINK \l "_Toc16936" </w:instrText>
      </w:r>
      <w:r>
        <w:fldChar w:fldCharType="separate"/>
      </w:r>
      <w:r>
        <w:rPr>
          <w:rFonts w:eastAsia="黑体"/>
          <w:bCs/>
        </w:rPr>
        <w:t>6.1　</w:t>
      </w:r>
      <w:r>
        <w:rPr>
          <w:rStyle w:val="29"/>
          <w:rFonts w:eastAsiaTheme="minorEastAsia"/>
          <w:bCs/>
          <w:color w:val="auto"/>
        </w:rPr>
        <w:t>General requirements</w:t>
      </w:r>
      <w:r>
        <w:tab/>
      </w:r>
      <w:r>
        <w:rPr>
          <w:rFonts w:hint="eastAsia"/>
        </w:rPr>
        <w:t>(</w:t>
      </w:r>
      <w:r>
        <w:fldChar w:fldCharType="begin"/>
      </w:r>
      <w:r>
        <w:instrText xml:space="preserve"> PAGEREF _Toc16936 \h </w:instrText>
      </w:r>
      <w:r>
        <w:fldChar w:fldCharType="separate"/>
      </w:r>
      <w:r>
        <w:t>10</w:t>
      </w:r>
      <w:r>
        <w:fldChar w:fldCharType="end"/>
      </w:r>
      <w:r>
        <w:fldChar w:fldCharType="end"/>
      </w:r>
      <w:r>
        <w:rPr>
          <w:rFonts w:eastAsiaTheme="minorEastAsia"/>
          <w:color w:val="auto"/>
        </w:rPr>
        <w:t>)</w:t>
      </w:r>
    </w:p>
    <w:p w14:paraId="34BDF4A4">
      <w:pPr>
        <w:pStyle w:val="20"/>
        <w:tabs>
          <w:tab w:val="right" w:leader="dot" w:pos="8306"/>
          <w:tab w:val="clear" w:pos="8296"/>
        </w:tabs>
        <w:ind w:left="480"/>
        <w:rPr>
          <w:rFonts w:eastAsiaTheme="minorEastAsia"/>
        </w:rPr>
      </w:pPr>
      <w:r>
        <w:fldChar w:fldCharType="begin"/>
      </w:r>
      <w:r>
        <w:instrText xml:space="preserve"> HYPERLINK \l "_Toc29428" </w:instrText>
      </w:r>
      <w:r>
        <w:fldChar w:fldCharType="separate"/>
      </w:r>
      <w:r>
        <w:rPr>
          <w:rFonts w:eastAsia="黑体"/>
          <w:bCs/>
        </w:rPr>
        <w:t>6.2　</w:t>
      </w:r>
      <w:r>
        <w:rPr>
          <w:rFonts w:hint="eastAsia" w:eastAsia="黑体"/>
          <w:bCs/>
        </w:rPr>
        <w:t>M</w:t>
      </w:r>
      <w:r>
        <w:rPr>
          <w:rFonts w:eastAsia="黑体"/>
          <w:bCs/>
        </w:rPr>
        <w:t>odeling experiment</w:t>
      </w:r>
      <w:r>
        <w:rPr>
          <w:rFonts w:hint="eastAsia" w:eastAsia="黑体"/>
          <w:bCs/>
        </w:rPr>
        <w:t xml:space="preserve"> and numerical simulation</w:t>
      </w:r>
      <w:r>
        <w:tab/>
      </w:r>
      <w:r>
        <w:rPr>
          <w:rFonts w:hint="eastAsia"/>
        </w:rPr>
        <w:t>(</w:t>
      </w:r>
      <w:r>
        <w:fldChar w:fldCharType="begin"/>
      </w:r>
      <w:r>
        <w:instrText xml:space="preserve"> PAGEREF _Toc29428 \h </w:instrText>
      </w:r>
      <w:r>
        <w:fldChar w:fldCharType="separate"/>
      </w:r>
      <w:r>
        <w:t>10</w:t>
      </w:r>
      <w:r>
        <w:fldChar w:fldCharType="end"/>
      </w:r>
      <w:r>
        <w:fldChar w:fldCharType="end"/>
      </w:r>
      <w:r>
        <w:rPr>
          <w:rFonts w:eastAsiaTheme="minorEastAsia"/>
          <w:color w:val="auto"/>
        </w:rPr>
        <w:t>)</w:t>
      </w:r>
    </w:p>
    <w:p w14:paraId="765F03A1">
      <w:pPr>
        <w:pStyle w:val="20"/>
        <w:tabs>
          <w:tab w:val="right" w:leader="dot" w:pos="8306"/>
          <w:tab w:val="clear" w:pos="8296"/>
        </w:tabs>
        <w:ind w:left="480"/>
        <w:rPr>
          <w:rFonts w:eastAsiaTheme="minorEastAsia"/>
        </w:rPr>
      </w:pPr>
      <w:r>
        <w:fldChar w:fldCharType="begin"/>
      </w:r>
      <w:r>
        <w:instrText xml:space="preserve"> HYPERLINK \l "_Toc4104" </w:instrText>
      </w:r>
      <w:r>
        <w:fldChar w:fldCharType="separate"/>
      </w:r>
      <w:r>
        <w:rPr>
          <w:rFonts w:eastAsia="黑体"/>
          <w:bCs/>
        </w:rPr>
        <w:t>6.3　Tracer substance testing</w:t>
      </w:r>
      <w:r>
        <w:tab/>
      </w:r>
      <w:r>
        <w:rPr>
          <w:rFonts w:hint="eastAsia"/>
        </w:rPr>
        <w:t>(</w:t>
      </w:r>
      <w:r>
        <w:fldChar w:fldCharType="begin"/>
      </w:r>
      <w:r>
        <w:instrText xml:space="preserve"> PAGEREF _Toc4104 \h </w:instrText>
      </w:r>
      <w:r>
        <w:fldChar w:fldCharType="separate"/>
      </w:r>
      <w:r>
        <w:t>10</w:t>
      </w:r>
      <w:r>
        <w:fldChar w:fldCharType="end"/>
      </w:r>
      <w:r>
        <w:fldChar w:fldCharType="end"/>
      </w:r>
      <w:r>
        <w:rPr>
          <w:rFonts w:eastAsiaTheme="minorEastAsia"/>
          <w:color w:val="auto"/>
        </w:rPr>
        <w:t>)</w:t>
      </w:r>
    </w:p>
    <w:p w14:paraId="361B1F57">
      <w:pPr>
        <w:pStyle w:val="17"/>
        <w:tabs>
          <w:tab w:val="right" w:leader="dot" w:pos="8306"/>
          <w:tab w:val="clear" w:pos="8296"/>
        </w:tabs>
        <w:rPr>
          <w:rFonts w:ascii="Times New Roman" w:hAnsi="Times New Roman" w:eastAsiaTheme="minorEastAsia"/>
        </w:rPr>
      </w:pPr>
      <w:r>
        <w:fldChar w:fldCharType="begin"/>
      </w:r>
      <w:r>
        <w:instrText xml:space="preserve"> HYPERLINK \l "_Toc15379" </w:instrText>
      </w:r>
      <w:r>
        <w:fldChar w:fldCharType="separate"/>
      </w:r>
      <w:r>
        <w:rPr>
          <w:rStyle w:val="29"/>
          <w:rFonts w:ascii="Times New Roman" w:hAnsi="Times New Roman" w:eastAsiaTheme="minorEastAsia"/>
          <w:color w:val="auto"/>
        </w:rPr>
        <w:t>Explanation of wording</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_Toc15379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498E1D27">
      <w:pPr>
        <w:pStyle w:val="17"/>
        <w:tabs>
          <w:tab w:val="right" w:leader="dot" w:pos="8306"/>
          <w:tab w:val="clear" w:pos="8296"/>
        </w:tabs>
        <w:rPr>
          <w:rFonts w:ascii="Times New Roman" w:hAnsi="Times New Roman" w:eastAsiaTheme="minorEastAsia"/>
        </w:rPr>
      </w:pPr>
      <w:r>
        <w:fldChar w:fldCharType="begin"/>
      </w:r>
      <w:r>
        <w:instrText xml:space="preserve"> HYPERLINK \l "_Toc14609" </w:instrText>
      </w:r>
      <w:r>
        <w:fldChar w:fldCharType="separate"/>
      </w:r>
      <w:r>
        <w:rPr>
          <w:rStyle w:val="29"/>
          <w:rFonts w:ascii="Times New Roman" w:hAnsi="Times New Roman" w:eastAsiaTheme="minorEastAsia"/>
          <w:color w:val="auto"/>
        </w:rPr>
        <w:t>List of quoted standards</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_Toc14609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6C01451F">
      <w:pPr>
        <w:pStyle w:val="17"/>
        <w:tabs>
          <w:tab w:val="right" w:leader="dot" w:pos="8306"/>
          <w:tab w:val="clear" w:pos="8296"/>
        </w:tabs>
        <w:rPr>
          <w:rFonts w:ascii="Times New Roman" w:hAnsi="Times New Roman" w:eastAsiaTheme="minorEastAsia"/>
        </w:rPr>
      </w:pPr>
      <w:r>
        <w:fldChar w:fldCharType="begin"/>
      </w:r>
      <w:r>
        <w:instrText xml:space="preserve"> HYPERLINK \l "_Toc24045" </w:instrText>
      </w:r>
      <w:r>
        <w:fldChar w:fldCharType="separate"/>
      </w:r>
      <w:r>
        <w:rPr>
          <w:rStyle w:val="29"/>
          <w:rFonts w:ascii="Times New Roman" w:hAnsi="Times New Roman" w:eastAsiaTheme="minorEastAsia"/>
          <w:color w:val="auto"/>
        </w:rPr>
        <w:t>Addition：Explanation of provisions</w:t>
      </w:r>
      <w:r>
        <w:rPr>
          <w:rFonts w:ascii="Times New Roman" w:hAnsi="Times New Roman"/>
        </w:rPr>
        <w:tab/>
      </w:r>
      <w:r>
        <w:rPr>
          <w:rFonts w:hint="eastAsia" w:ascii="Times New Roman" w:hAnsi="Times New Roman"/>
        </w:rPr>
        <w:t>(</w:t>
      </w:r>
      <w:r>
        <w:rPr>
          <w:rFonts w:ascii="Times New Roman" w:hAnsi="Times New Roman"/>
        </w:rPr>
        <w:fldChar w:fldCharType="begin"/>
      </w:r>
      <w:r>
        <w:rPr>
          <w:rFonts w:ascii="Times New Roman" w:hAnsi="Times New Roman"/>
        </w:rPr>
        <w:instrText xml:space="preserve"> PAGEREF _Toc24045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r>
        <w:rPr>
          <w:rFonts w:ascii="Times New Roman" w:hAnsi="Times New Roman" w:eastAsiaTheme="minorEastAsia"/>
        </w:rPr>
        <w:t>)</w:t>
      </w:r>
    </w:p>
    <w:p w14:paraId="07C59BF1">
      <w:pPr>
        <w:pStyle w:val="42"/>
        <w:jc w:val="center"/>
        <w:rPr>
          <w:rFonts w:ascii="Times New Roman" w:hAnsi="Times New Roman" w:eastAsia="仿宋" w:cs="Times New Roman"/>
          <w:b/>
          <w:bCs/>
          <w:color w:val="auto"/>
          <w:sz w:val="32"/>
          <w:szCs w:val="32"/>
        </w:rPr>
      </w:pPr>
      <w:r>
        <w:rPr>
          <w:rFonts w:ascii="Times New Roman" w:hAnsi="Times New Roman" w:cs="Times New Roman" w:eastAsiaTheme="minorEastAsia"/>
          <w:color w:val="auto"/>
        </w:rPr>
        <w:fldChar w:fldCharType="end"/>
      </w:r>
    </w:p>
    <w:p w14:paraId="42FC32C2">
      <w:pPr>
        <w:pStyle w:val="42"/>
        <w:jc w:val="center"/>
        <w:rPr>
          <w:rFonts w:ascii="Times New Roman" w:hAnsi="Times New Roman" w:eastAsia="仿宋" w:cs="Times New Roman"/>
          <w:b/>
          <w:bCs/>
          <w:color w:val="auto"/>
          <w:sz w:val="32"/>
          <w:szCs w:val="32"/>
        </w:rPr>
      </w:pPr>
    </w:p>
    <w:p w14:paraId="60341DE2">
      <w:pPr>
        <w:pStyle w:val="42"/>
        <w:jc w:val="center"/>
        <w:rPr>
          <w:rFonts w:ascii="Times New Roman" w:hAnsi="Times New Roman" w:eastAsia="仿宋" w:cs="Times New Roman"/>
          <w:b/>
          <w:bCs/>
          <w:color w:val="auto"/>
          <w:sz w:val="32"/>
          <w:szCs w:val="32"/>
        </w:rPr>
      </w:pPr>
    </w:p>
    <w:p w14:paraId="4A6B4609">
      <w:pPr>
        <w:pStyle w:val="42"/>
        <w:jc w:val="center"/>
        <w:rPr>
          <w:rFonts w:ascii="Times New Roman" w:hAnsi="Times New Roman" w:eastAsia="仿宋" w:cs="Times New Roman"/>
          <w:b/>
          <w:bCs/>
          <w:color w:val="auto"/>
          <w:sz w:val="32"/>
          <w:szCs w:val="32"/>
        </w:rPr>
      </w:pPr>
    </w:p>
    <w:p w14:paraId="106AA66F">
      <w:pPr>
        <w:pStyle w:val="42"/>
        <w:jc w:val="center"/>
        <w:rPr>
          <w:rFonts w:ascii="Times New Roman" w:hAnsi="Times New Roman" w:eastAsia="仿宋" w:cs="Times New Roman"/>
          <w:b/>
          <w:bCs/>
          <w:color w:val="auto"/>
          <w:sz w:val="32"/>
          <w:szCs w:val="32"/>
        </w:rPr>
      </w:pPr>
    </w:p>
    <w:p w14:paraId="667F97A9">
      <w:pPr>
        <w:pStyle w:val="42"/>
        <w:spacing w:after="240"/>
        <w:jc w:val="center"/>
        <w:rPr>
          <w:rFonts w:ascii="Times New Roman" w:hAnsi="Times New Roman" w:eastAsia="黑体" w:cs="Times New Roman"/>
          <w:b/>
          <w:bCs/>
          <w:color w:val="auto"/>
          <w:sz w:val="32"/>
          <w:szCs w:val="32"/>
        </w:rPr>
      </w:pPr>
    </w:p>
    <w:bookmarkEnd w:id="8"/>
    <w:p w14:paraId="47EA1618">
      <w:pPr>
        <w:pStyle w:val="42"/>
        <w:spacing w:after="240"/>
        <w:jc w:val="center"/>
        <w:rPr>
          <w:rFonts w:ascii="Times New Roman" w:hAnsi="Times New Roman" w:eastAsia="仿宋_GB2312" w:cs="Times New Roman"/>
          <w:b/>
          <w:bCs/>
          <w:color w:val="auto"/>
        </w:rPr>
        <w:sectPr>
          <w:pgSz w:w="11906" w:h="16838"/>
          <w:pgMar w:top="1440" w:right="1800" w:bottom="1440" w:left="1800" w:header="851" w:footer="992" w:gutter="0"/>
          <w:pgNumType w:start="1"/>
          <w:cols w:space="720" w:num="1"/>
          <w:docGrid w:type="lines" w:linePitch="312" w:charSpace="0"/>
        </w:sectPr>
      </w:pPr>
    </w:p>
    <w:p w14:paraId="7A5E7F8A">
      <w:pPr>
        <w:pStyle w:val="2"/>
        <w:jc w:val="center"/>
        <w:rPr>
          <w:color w:val="auto"/>
          <w:sz w:val="32"/>
        </w:rPr>
      </w:pPr>
      <w:bookmarkStart w:id="9" w:name="_Toc74137289"/>
      <w:bookmarkStart w:id="10" w:name="_Toc86055334"/>
      <w:bookmarkStart w:id="11" w:name="_Toc199256039"/>
      <w:bookmarkStart w:id="12" w:name="_Toc199256459"/>
      <w:bookmarkStart w:id="13" w:name="_Toc199256617"/>
      <w:bookmarkStart w:id="14" w:name="_Toc5337"/>
      <w:bookmarkStart w:id="15" w:name="_Toc201054932"/>
      <w:bookmarkStart w:id="16" w:name="_Toc18842"/>
      <w:bookmarkStart w:id="17" w:name="_Toc199332455"/>
      <w:bookmarkStart w:id="18" w:name="OLE_LINK9"/>
      <w:bookmarkStart w:id="19" w:name="OLE_LINK1"/>
      <w:bookmarkStart w:id="20" w:name="chart1"/>
      <w:r>
        <w:rPr>
          <w:color w:val="auto"/>
          <w:sz w:val="32"/>
        </w:rPr>
        <w:t>1　总　　则</w:t>
      </w:r>
      <w:bookmarkEnd w:id="9"/>
      <w:bookmarkEnd w:id="10"/>
      <w:bookmarkEnd w:id="11"/>
      <w:bookmarkEnd w:id="12"/>
      <w:bookmarkEnd w:id="13"/>
      <w:bookmarkEnd w:id="14"/>
      <w:bookmarkEnd w:id="15"/>
      <w:bookmarkEnd w:id="16"/>
      <w:bookmarkEnd w:id="17"/>
    </w:p>
    <w:p w14:paraId="164FD5C2">
      <w:pPr>
        <w:spacing w:line="360" w:lineRule="auto"/>
        <w:outlineLvl w:val="2"/>
        <w:rPr>
          <w:color w:val="auto"/>
          <w:szCs w:val="24"/>
        </w:rPr>
      </w:pPr>
      <w:bookmarkStart w:id="21" w:name="_Toc199256460"/>
      <w:bookmarkStart w:id="22" w:name="_Toc6545"/>
      <w:bookmarkStart w:id="23" w:name="_Toc11517"/>
      <w:bookmarkStart w:id="24" w:name="_Toc19886"/>
      <w:r>
        <w:rPr>
          <w:b/>
          <w:bCs/>
          <w:color w:val="auto"/>
        </w:rPr>
        <w:t>1.0.1　</w:t>
      </w:r>
      <w:r>
        <w:rPr>
          <w:color w:val="auto"/>
        </w:rPr>
        <w:t>为</w:t>
      </w:r>
      <w:r>
        <w:rPr>
          <w:color w:val="auto"/>
          <w:szCs w:val="24"/>
        </w:rPr>
        <w:t>贯彻健康中国战略部署，提高居住建筑健康安全保障能力，规范居住建筑对空气传播病原微生物的防控性能检测与评价方法，制定本标准。</w:t>
      </w:r>
    </w:p>
    <w:p w14:paraId="0FC83A70">
      <w:pPr>
        <w:spacing w:line="360" w:lineRule="auto"/>
        <w:rPr>
          <w:rFonts w:eastAsia="楷体"/>
          <w:color w:val="auto"/>
        </w:rPr>
      </w:pPr>
      <w:r>
        <w:rPr>
          <w:rFonts w:eastAsia="楷体"/>
          <w:color w:val="auto"/>
        </w:rPr>
        <w:t>【条文说明】为贯彻落实“健康建筑”和“好房子”理念，推进和落实居住建筑防控病原微生物通风技术的应用和发展，通过调研和理论分析，系统梳理不同类型居住建筑空气传播病原微生物气溶胶空气传播风险控制需求清单，建立可表征居住建筑空气传播病原微生物气溶胶防控性能的指标体系，并根据指标体系进一步建立居住建筑空气传播病原微生物气溶胶传播防控性能的评价标准。本标准的编制旨在为国内居住建筑空气传播病原微生物气溶胶防控性能评价提供参考依据，并对以抑制空气传播病原微生物气溶胶传播为导向的居住建筑的通风设计、检测验收、运行维护起到一定技术指导和参考作用，促进不同类型居住建筑风气传输系统高水平、健康、科学合理的设计和运行维护，充分保障人民健康及社会公共安全，为我国居住建筑健康发展提供技术支撑。</w:t>
      </w:r>
    </w:p>
    <w:bookmarkEnd w:id="21"/>
    <w:bookmarkEnd w:id="22"/>
    <w:bookmarkEnd w:id="23"/>
    <w:p w14:paraId="0F768EB1">
      <w:pPr>
        <w:spacing w:line="360" w:lineRule="auto"/>
        <w:outlineLvl w:val="2"/>
        <w:rPr>
          <w:color w:val="auto"/>
        </w:rPr>
      </w:pPr>
      <w:bookmarkStart w:id="25" w:name="_Toc9691"/>
      <w:bookmarkStart w:id="26" w:name="_Toc16423"/>
      <w:bookmarkStart w:id="27" w:name="_Toc199256461"/>
      <w:bookmarkStart w:id="28" w:name="_Toc61"/>
      <w:r>
        <w:rPr>
          <w:b/>
          <w:bCs/>
          <w:color w:val="auto"/>
        </w:rPr>
        <w:t>1.0.2　</w:t>
      </w:r>
      <w:bookmarkEnd w:id="25"/>
      <w:bookmarkEnd w:id="26"/>
      <w:r>
        <w:rPr>
          <w:color w:val="auto"/>
          <w:szCs w:val="24"/>
        </w:rPr>
        <w:t>本标准适用于居住建筑空气传播病原微生物防控性能的评价</w:t>
      </w:r>
      <w:r>
        <w:rPr>
          <w:color w:val="auto"/>
        </w:rPr>
        <w:t>。</w:t>
      </w:r>
      <w:bookmarkEnd w:id="27"/>
    </w:p>
    <w:p w14:paraId="524CD206">
      <w:pPr>
        <w:spacing w:line="360" w:lineRule="auto"/>
        <w:rPr>
          <w:rFonts w:eastAsia="楷体"/>
          <w:color w:val="auto"/>
        </w:rPr>
      </w:pPr>
      <w:r>
        <w:rPr>
          <w:rFonts w:eastAsia="楷体"/>
          <w:color w:val="auto"/>
        </w:rPr>
        <w:t>【条文说明】本标准主要应用于居住建筑空气传播病原微生物防控设施设备硬件性能参数的评价，对于居住建筑的设计、检测验收和运行维护，使用者需根据实际情况和经验，自行判断是否采用。</w:t>
      </w:r>
    </w:p>
    <w:bookmarkEnd w:id="24"/>
    <w:bookmarkEnd w:id="28"/>
    <w:p w14:paraId="68221315">
      <w:pPr>
        <w:spacing w:line="360" w:lineRule="auto"/>
        <w:outlineLvl w:val="2"/>
        <w:rPr>
          <w:color w:val="auto"/>
          <w:szCs w:val="24"/>
        </w:rPr>
      </w:pPr>
      <w:bookmarkStart w:id="29" w:name="_Toc24966"/>
      <w:bookmarkStart w:id="30" w:name="_Toc199256462"/>
      <w:bookmarkStart w:id="31" w:name="_Toc27725"/>
      <w:r>
        <w:rPr>
          <w:b/>
          <w:bCs/>
          <w:color w:val="auto"/>
        </w:rPr>
        <w:t>1.0.3　</w:t>
      </w:r>
      <w:r>
        <w:rPr>
          <w:color w:val="auto"/>
          <w:szCs w:val="24"/>
        </w:rPr>
        <w:t>居住建筑空气传播病原微生物防控性能的评价除应符合本标准规定外，尚应符合国家现行有关标准和现行中国工程建设标准化协会有关标准的规定。</w:t>
      </w:r>
      <w:bookmarkEnd w:id="29"/>
      <w:bookmarkEnd w:id="30"/>
      <w:bookmarkEnd w:id="31"/>
    </w:p>
    <w:p w14:paraId="7E4303D6">
      <w:pPr>
        <w:spacing w:line="360" w:lineRule="auto"/>
        <w:rPr>
          <w:rFonts w:eastAsia="楷体"/>
          <w:color w:val="auto"/>
        </w:rPr>
      </w:pPr>
      <w:r>
        <w:rPr>
          <w:rFonts w:eastAsia="楷体"/>
          <w:color w:val="auto"/>
        </w:rPr>
        <w:t>【条文说明】本标准主要给出了与居住建筑空气传播病原微生物防控性能直接相关的参数要求，对于居住建筑其他性能参数及相关要求，需要将本标准和其他有关国家现行标准《民用建筑设计统一标准》GB 50352、《建筑采光设计标准》GB 50033、《洁净室及相关受控环境 第3部分：检测方法》GB/T 25915.3、《室内空气质量标准》GB 18883、《空气净化器》GB/T 18801.1、《公共场所卫生检验方法 第3部分：空气微生物指标》GB/T 18204.3、《公共场所卫生检验方法 第1部分：物理性指标》GB/T 18204.1、《建筑通风和排烟系统用防火阀门》GB 15930和《建筑通风效果测试与评价标准》JGJ/T 309等配合使用。</w:t>
      </w:r>
    </w:p>
    <w:p w14:paraId="6BF72891">
      <w:pPr>
        <w:widowControl/>
        <w:jc w:val="left"/>
        <w:rPr>
          <w:color w:val="auto"/>
        </w:rPr>
      </w:pPr>
    </w:p>
    <w:p w14:paraId="03DC3E63">
      <w:pPr>
        <w:widowControl/>
        <w:jc w:val="left"/>
        <w:rPr>
          <w:color w:val="auto"/>
        </w:rPr>
      </w:pPr>
      <w:r>
        <w:rPr>
          <w:color w:val="auto"/>
        </w:rPr>
        <w:br w:type="page"/>
      </w:r>
    </w:p>
    <w:p w14:paraId="33520B3F">
      <w:pPr>
        <w:pStyle w:val="2"/>
        <w:jc w:val="center"/>
        <w:rPr>
          <w:color w:val="auto"/>
          <w:sz w:val="32"/>
        </w:rPr>
      </w:pPr>
      <w:bookmarkStart w:id="32" w:name="_Toc199332456"/>
      <w:bookmarkStart w:id="33" w:name="_Toc86055335"/>
      <w:bookmarkStart w:id="34" w:name="_Toc199256040"/>
      <w:bookmarkStart w:id="35" w:name="_Toc201054933"/>
      <w:bookmarkStart w:id="36" w:name="_Toc199256618"/>
      <w:bookmarkStart w:id="37" w:name="_Toc199256463"/>
      <w:bookmarkStart w:id="38" w:name="_Toc74137290"/>
      <w:bookmarkStart w:id="39" w:name="_Toc15918"/>
      <w:bookmarkStart w:id="40" w:name="_Toc11229"/>
      <w:r>
        <w:rPr>
          <w:color w:val="auto"/>
          <w:sz w:val="32"/>
        </w:rPr>
        <w:t>2　术　　语</w:t>
      </w:r>
      <w:bookmarkEnd w:id="32"/>
      <w:bookmarkEnd w:id="33"/>
      <w:bookmarkEnd w:id="34"/>
      <w:bookmarkEnd w:id="35"/>
      <w:bookmarkEnd w:id="36"/>
      <w:bookmarkEnd w:id="37"/>
      <w:bookmarkEnd w:id="38"/>
      <w:bookmarkEnd w:id="39"/>
      <w:bookmarkEnd w:id="40"/>
    </w:p>
    <w:p w14:paraId="6D863AF6">
      <w:pPr>
        <w:spacing w:line="360" w:lineRule="auto"/>
        <w:outlineLvl w:val="2"/>
        <w:rPr>
          <w:color w:val="auto"/>
        </w:rPr>
      </w:pPr>
      <w:bookmarkStart w:id="41" w:name="_Toc199256464"/>
      <w:bookmarkStart w:id="42" w:name="_Toc8975"/>
      <w:bookmarkStart w:id="43" w:name="_Toc16386"/>
      <w:bookmarkStart w:id="44" w:name="_Toc28816"/>
      <w:bookmarkStart w:id="45" w:name="_Toc3081"/>
      <w:bookmarkStart w:id="46" w:name="_Toc12986"/>
      <w:bookmarkStart w:id="47" w:name="_Toc2495"/>
      <w:bookmarkStart w:id="48" w:name="_Toc23812"/>
      <w:bookmarkStart w:id="49" w:name="_Toc5918"/>
      <w:r>
        <w:rPr>
          <w:b/>
          <w:bCs/>
          <w:color w:val="auto"/>
        </w:rPr>
        <w:t>2.0.1　居住建筑　　residential buildings</w:t>
      </w:r>
      <w:bookmarkEnd w:id="41"/>
    </w:p>
    <w:p w14:paraId="5190EFB8">
      <w:pPr>
        <w:widowControl/>
        <w:spacing w:line="360" w:lineRule="auto"/>
        <w:ind w:firstLine="424" w:firstLineChars="177"/>
        <w:jc w:val="left"/>
        <w:rPr>
          <w:color w:val="auto"/>
          <w:szCs w:val="24"/>
        </w:rPr>
      </w:pPr>
      <w:r>
        <w:rPr>
          <w:color w:val="auto"/>
          <w:szCs w:val="24"/>
        </w:rPr>
        <w:t>供人们居住使用的建筑，包括住宅和公寓。</w:t>
      </w:r>
    </w:p>
    <w:p w14:paraId="40494587">
      <w:pPr>
        <w:widowControl/>
        <w:spacing w:line="360" w:lineRule="auto"/>
        <w:jc w:val="left"/>
        <w:rPr>
          <w:rFonts w:eastAsia="Segoe UI"/>
          <w:color w:val="auto"/>
          <w:szCs w:val="24"/>
          <w:shd w:val="clear" w:color="auto" w:fill="FFFFFF"/>
        </w:rPr>
      </w:pPr>
      <w:r>
        <w:rPr>
          <w:rFonts w:eastAsia="Segoe UI"/>
          <w:color w:val="auto"/>
          <w:szCs w:val="24"/>
          <w:shd w:val="clear" w:color="auto" w:fill="FFFFFF"/>
        </w:rPr>
        <w:t>[来源：《民用建筑设计统一标准》GB 50352</w:t>
      </w:r>
      <w:r>
        <w:rPr>
          <w:color w:val="auto"/>
        </w:rPr>
        <w:t>—</w:t>
      </w:r>
      <w:r>
        <w:rPr>
          <w:rFonts w:eastAsia="Segoe UI"/>
          <w:color w:val="auto"/>
          <w:szCs w:val="24"/>
          <w:shd w:val="clear" w:color="auto" w:fill="FFFFFF"/>
        </w:rPr>
        <w:t>2019</w:t>
      </w:r>
      <w:r>
        <w:rPr>
          <w:color w:val="auto"/>
          <w:szCs w:val="24"/>
          <w:shd w:val="clear" w:color="auto" w:fill="FFFFFF"/>
        </w:rPr>
        <w:t>，定义2.0.2，有修改</w:t>
      </w:r>
      <w:r>
        <w:rPr>
          <w:rFonts w:eastAsia="Segoe UI"/>
          <w:color w:val="auto"/>
          <w:szCs w:val="24"/>
          <w:shd w:val="clear" w:color="auto" w:fill="FFFFFF"/>
        </w:rPr>
        <w:t>]。</w:t>
      </w:r>
    </w:p>
    <w:bookmarkEnd w:id="42"/>
    <w:bookmarkEnd w:id="43"/>
    <w:bookmarkEnd w:id="44"/>
    <w:bookmarkEnd w:id="45"/>
    <w:bookmarkEnd w:id="46"/>
    <w:bookmarkEnd w:id="47"/>
    <w:bookmarkEnd w:id="48"/>
    <w:bookmarkEnd w:id="49"/>
    <w:p w14:paraId="55FD2428">
      <w:pPr>
        <w:spacing w:line="360" w:lineRule="auto"/>
        <w:outlineLvl w:val="2"/>
        <w:rPr>
          <w:b/>
          <w:bCs/>
          <w:color w:val="auto"/>
        </w:rPr>
      </w:pPr>
      <w:bookmarkStart w:id="50" w:name="_Toc1394"/>
      <w:bookmarkStart w:id="51" w:name="_Toc21398"/>
      <w:bookmarkStart w:id="52" w:name="_Toc32024"/>
      <w:bookmarkStart w:id="53" w:name="_Toc469"/>
      <w:r>
        <w:rPr>
          <w:b/>
          <w:bCs/>
          <w:color w:val="auto"/>
        </w:rPr>
        <w:t>2.0.2　模型试验　　modeling experiment</w:t>
      </w:r>
    </w:p>
    <w:p w14:paraId="6B6103BF">
      <w:pPr>
        <w:widowControl/>
        <w:spacing w:line="360" w:lineRule="auto"/>
        <w:ind w:firstLine="424" w:firstLineChars="177"/>
        <w:jc w:val="left"/>
        <w:rPr>
          <w:color w:val="auto"/>
          <w:szCs w:val="24"/>
        </w:rPr>
      </w:pPr>
      <w:r>
        <w:rPr>
          <w:color w:val="auto"/>
          <w:szCs w:val="24"/>
        </w:rPr>
        <w:t>采用相似性原理，在风洞系统中对建筑实体模型进行空气动力学模拟测试的试验。</w:t>
      </w:r>
    </w:p>
    <w:p w14:paraId="03D9A1D7">
      <w:pPr>
        <w:spacing w:line="360" w:lineRule="auto"/>
        <w:outlineLvl w:val="2"/>
        <w:rPr>
          <w:color w:val="auto"/>
        </w:rPr>
      </w:pPr>
      <w:r>
        <w:rPr>
          <w:b/>
          <w:bCs/>
          <w:color w:val="auto"/>
        </w:rPr>
        <w:t>2.0.3　数值模拟　　numerical simulation</w:t>
      </w:r>
    </w:p>
    <w:p w14:paraId="4F225480">
      <w:pPr>
        <w:widowControl/>
        <w:spacing w:line="360" w:lineRule="auto"/>
        <w:ind w:firstLine="424" w:firstLineChars="177"/>
        <w:jc w:val="left"/>
        <w:rPr>
          <w:rFonts w:eastAsiaTheme="minorEastAsia"/>
          <w:color w:val="auto"/>
          <w:szCs w:val="24"/>
          <w:shd w:val="clear" w:color="auto" w:fill="FFFFFF"/>
        </w:rPr>
      </w:pPr>
      <w:r>
        <w:rPr>
          <w:rFonts w:eastAsia="Segoe UI"/>
          <w:color w:val="auto"/>
          <w:szCs w:val="24"/>
          <w:shd w:val="clear" w:color="auto" w:fill="FFFFFF"/>
        </w:rPr>
        <w:t>基于计算机软件建立</w:t>
      </w:r>
      <w:r>
        <w:rPr>
          <w:color w:val="auto"/>
          <w:szCs w:val="24"/>
          <w:shd w:val="clear" w:color="auto" w:fill="FFFFFF"/>
        </w:rPr>
        <w:t>居住</w:t>
      </w:r>
      <w:r>
        <w:rPr>
          <w:rFonts w:eastAsia="Segoe UI"/>
          <w:color w:val="auto"/>
          <w:szCs w:val="24"/>
          <w:shd w:val="clear" w:color="auto" w:fill="FFFFFF"/>
        </w:rPr>
        <w:t>建筑物理相关的虚拟实验模型，通过</w:t>
      </w:r>
      <w:r>
        <w:rPr>
          <w:color w:val="auto"/>
          <w:szCs w:val="24"/>
        </w:rPr>
        <w:t>计算流体力学等</w:t>
      </w:r>
      <w:r>
        <w:rPr>
          <w:rFonts w:eastAsia="Segoe UI"/>
          <w:color w:val="auto"/>
          <w:szCs w:val="24"/>
          <w:shd w:val="clear" w:color="auto" w:fill="FFFFFF"/>
        </w:rPr>
        <w:t>数学工具</w:t>
      </w:r>
      <w:r>
        <w:rPr>
          <w:color w:val="auto"/>
          <w:szCs w:val="24"/>
          <w:shd w:val="clear" w:color="auto" w:fill="FFFFFF"/>
        </w:rPr>
        <w:t>对</w:t>
      </w:r>
      <w:r>
        <w:rPr>
          <w:color w:val="auto"/>
          <w:szCs w:val="24"/>
        </w:rPr>
        <w:t>居住建筑通风效果和空气传播病原微生物扩散规律</w:t>
      </w:r>
      <w:r>
        <w:rPr>
          <w:color w:val="auto"/>
          <w:szCs w:val="24"/>
          <w:shd w:val="clear" w:color="auto" w:fill="FFFFFF"/>
        </w:rPr>
        <w:t>进行</w:t>
      </w:r>
      <w:r>
        <w:rPr>
          <w:rFonts w:eastAsia="Segoe UI"/>
          <w:color w:val="auto"/>
          <w:szCs w:val="24"/>
          <w:shd w:val="clear" w:color="auto" w:fill="FFFFFF"/>
        </w:rPr>
        <w:t>数值</w:t>
      </w:r>
      <w:r>
        <w:rPr>
          <w:color w:val="auto"/>
          <w:szCs w:val="24"/>
          <w:shd w:val="clear" w:color="auto" w:fill="FFFFFF"/>
        </w:rPr>
        <w:t>计算和分析的方法</w:t>
      </w:r>
      <w:r>
        <w:rPr>
          <w:rFonts w:eastAsia="Segoe UI"/>
          <w:color w:val="auto"/>
          <w:szCs w:val="24"/>
          <w:shd w:val="clear" w:color="auto" w:fill="FFFFFF"/>
        </w:rPr>
        <w:t>。</w:t>
      </w:r>
    </w:p>
    <w:p w14:paraId="73109075">
      <w:pPr>
        <w:spacing w:line="360" w:lineRule="auto"/>
        <w:outlineLvl w:val="2"/>
        <w:rPr>
          <w:color w:val="auto"/>
        </w:rPr>
      </w:pPr>
      <w:r>
        <w:rPr>
          <w:b/>
          <w:bCs/>
          <w:color w:val="auto"/>
        </w:rPr>
        <w:t>2.0.4　示踪物质　　tracer substance</w:t>
      </w:r>
    </w:p>
    <w:p w14:paraId="5D82D02A">
      <w:pPr>
        <w:widowControl/>
        <w:spacing w:line="360" w:lineRule="auto"/>
        <w:ind w:firstLine="424" w:firstLineChars="177"/>
        <w:jc w:val="left"/>
        <w:rPr>
          <w:color w:val="auto"/>
          <w:szCs w:val="24"/>
        </w:rPr>
      </w:pPr>
      <w:r>
        <w:rPr>
          <w:color w:val="auto"/>
          <w:szCs w:val="24"/>
        </w:rPr>
        <w:t>为观察、研究和测量居住建筑内空气及空气中颗粒物的运动过程、分布规律</w:t>
      </w:r>
      <w:r>
        <w:rPr>
          <w:rFonts w:hint="eastAsia"/>
          <w:color w:val="auto"/>
          <w:szCs w:val="24"/>
        </w:rPr>
        <w:t>、传播规律</w:t>
      </w:r>
      <w:r>
        <w:rPr>
          <w:color w:val="auto"/>
          <w:szCs w:val="24"/>
        </w:rPr>
        <w:t>等，人工加入的具有稳定、无毒、无害、可识别、可检测等特征的标记物。</w:t>
      </w:r>
    </w:p>
    <w:p w14:paraId="7E78B83E">
      <w:pPr>
        <w:spacing w:line="360" w:lineRule="auto"/>
        <w:outlineLvl w:val="2"/>
        <w:rPr>
          <w:b/>
          <w:bCs/>
          <w:color w:val="auto"/>
        </w:rPr>
      </w:pPr>
      <w:r>
        <w:rPr>
          <w:b/>
          <w:bCs/>
          <w:color w:val="auto"/>
        </w:rPr>
        <w:t>2.0.5　换气次数　　air exchange rate</w:t>
      </w:r>
    </w:p>
    <w:p w14:paraId="78410C52">
      <w:pPr>
        <w:widowControl/>
        <w:spacing w:line="360" w:lineRule="auto"/>
        <w:ind w:firstLine="424" w:firstLineChars="177"/>
        <w:jc w:val="left"/>
        <w:rPr>
          <w:color w:val="auto"/>
          <w:szCs w:val="24"/>
        </w:rPr>
      </w:pPr>
      <w:r>
        <w:rPr>
          <w:rFonts w:eastAsia="Segoe UI"/>
          <w:color w:val="auto"/>
          <w:szCs w:val="24"/>
          <w:shd w:val="clear" w:color="auto" w:fill="FFFFFF"/>
        </w:rPr>
        <w:t>单位时间内通入</w:t>
      </w:r>
      <w:r>
        <w:rPr>
          <w:color w:val="auto"/>
          <w:szCs w:val="24"/>
          <w:shd w:val="clear" w:color="auto" w:fill="FFFFFF"/>
        </w:rPr>
        <w:t>建筑</w:t>
      </w:r>
      <w:r>
        <w:rPr>
          <w:rFonts w:eastAsia="Segoe UI"/>
          <w:color w:val="auto"/>
          <w:szCs w:val="24"/>
          <w:shd w:val="clear" w:color="auto" w:fill="FFFFFF"/>
        </w:rPr>
        <w:t>空间的空气</w:t>
      </w:r>
      <w:r>
        <w:rPr>
          <w:color w:val="auto"/>
          <w:szCs w:val="24"/>
          <w:shd w:val="clear" w:color="auto" w:fill="FFFFFF"/>
        </w:rPr>
        <w:t>量</w:t>
      </w:r>
      <w:r>
        <w:rPr>
          <w:rFonts w:eastAsia="Segoe UI"/>
          <w:color w:val="auto"/>
          <w:szCs w:val="24"/>
          <w:shd w:val="clear" w:color="auto" w:fill="FFFFFF"/>
        </w:rPr>
        <w:t>与该</w:t>
      </w:r>
      <w:r>
        <w:rPr>
          <w:color w:val="auto"/>
          <w:szCs w:val="24"/>
          <w:shd w:val="clear" w:color="auto" w:fill="FFFFFF"/>
        </w:rPr>
        <w:t>建筑</w:t>
      </w:r>
      <w:r>
        <w:rPr>
          <w:rFonts w:eastAsia="Segoe UI"/>
          <w:color w:val="auto"/>
          <w:szCs w:val="24"/>
          <w:shd w:val="clear" w:color="auto" w:fill="FFFFFF"/>
        </w:rPr>
        <w:t>空间容积的比值</w:t>
      </w:r>
      <w:r>
        <w:rPr>
          <w:color w:val="auto"/>
          <w:szCs w:val="24"/>
        </w:rPr>
        <w:t>。</w:t>
      </w:r>
    </w:p>
    <w:p w14:paraId="728291E8">
      <w:pPr>
        <w:spacing w:line="360" w:lineRule="auto"/>
        <w:outlineLvl w:val="2"/>
        <w:rPr>
          <w:b/>
          <w:bCs/>
          <w:color w:val="auto"/>
        </w:rPr>
      </w:pPr>
      <w:r>
        <w:rPr>
          <w:b/>
          <w:bCs/>
          <w:color w:val="auto"/>
        </w:rPr>
        <w:t>2.0.6　厨卫排气道系统　　kitchen and bathroom exhaust duct system</w:t>
      </w:r>
    </w:p>
    <w:p w14:paraId="162475AF">
      <w:pPr>
        <w:widowControl/>
        <w:spacing w:line="360" w:lineRule="auto"/>
        <w:ind w:firstLine="424" w:firstLineChars="177"/>
        <w:jc w:val="left"/>
        <w:rPr>
          <w:color w:val="auto"/>
          <w:szCs w:val="24"/>
        </w:rPr>
      </w:pPr>
      <w:r>
        <w:rPr>
          <w:color w:val="auto"/>
          <w:szCs w:val="24"/>
        </w:rPr>
        <w:t>由排气道、止回阀、屋面风帽及其连接结构等组成，用于排除厨房油烟气或卫生间浊气的集成管道系统。</w:t>
      </w:r>
    </w:p>
    <w:p w14:paraId="0FC36C8E">
      <w:pPr>
        <w:ind w:firstLine="560"/>
        <w:rPr>
          <w:rFonts w:eastAsia="仿宋_GB2312"/>
          <w:color w:val="auto"/>
          <w:sz w:val="28"/>
          <w:szCs w:val="28"/>
          <w:lang w:bidi="ar"/>
        </w:rPr>
      </w:pPr>
    </w:p>
    <w:p w14:paraId="57283CFB">
      <w:pPr>
        <w:widowControl/>
        <w:spacing w:line="360" w:lineRule="auto"/>
        <w:ind w:firstLine="424" w:firstLineChars="177"/>
        <w:jc w:val="left"/>
        <w:rPr>
          <w:color w:val="auto"/>
          <w:szCs w:val="24"/>
        </w:rPr>
        <w:sectPr>
          <w:footerReference r:id="rId10" w:type="default"/>
          <w:pgSz w:w="11906" w:h="16838"/>
          <w:pgMar w:top="1440" w:right="1800" w:bottom="1440" w:left="1800" w:header="851" w:footer="992" w:gutter="0"/>
          <w:pgNumType w:start="1"/>
          <w:cols w:space="720" w:num="1"/>
          <w:docGrid w:type="lines" w:linePitch="312" w:charSpace="0"/>
        </w:sectPr>
      </w:pPr>
    </w:p>
    <w:p w14:paraId="3DB84845">
      <w:pPr>
        <w:pStyle w:val="2"/>
        <w:jc w:val="center"/>
        <w:rPr>
          <w:color w:val="auto"/>
          <w:sz w:val="32"/>
        </w:rPr>
      </w:pPr>
      <w:bookmarkStart w:id="54" w:name="_Toc199256041"/>
      <w:bookmarkStart w:id="55" w:name="_Toc28246"/>
      <w:bookmarkStart w:id="56" w:name="_Toc201054934"/>
      <w:bookmarkStart w:id="57" w:name="_Toc924"/>
      <w:bookmarkStart w:id="58" w:name="_Toc199256470"/>
      <w:bookmarkStart w:id="59" w:name="_Toc199332457"/>
      <w:bookmarkStart w:id="60" w:name="_Toc199256619"/>
      <w:r>
        <w:rPr>
          <w:color w:val="auto"/>
          <w:sz w:val="32"/>
        </w:rPr>
        <w:t>3</w:t>
      </w:r>
      <w:r>
        <w:rPr>
          <w:rFonts w:eastAsia="黑体"/>
          <w:bCs w:val="0"/>
          <w:color w:val="auto"/>
          <w:sz w:val="32"/>
          <w:szCs w:val="32"/>
        </w:rPr>
        <w:t>　</w:t>
      </w:r>
      <w:r>
        <w:rPr>
          <w:color w:val="auto"/>
          <w:sz w:val="32"/>
        </w:rPr>
        <w:t>基本规定</w:t>
      </w:r>
      <w:bookmarkEnd w:id="54"/>
      <w:bookmarkEnd w:id="55"/>
      <w:bookmarkEnd w:id="56"/>
      <w:bookmarkEnd w:id="57"/>
      <w:bookmarkEnd w:id="58"/>
      <w:bookmarkEnd w:id="59"/>
      <w:bookmarkEnd w:id="60"/>
    </w:p>
    <w:p w14:paraId="61B945CC">
      <w:pPr>
        <w:keepNext/>
        <w:snapToGrid w:val="0"/>
        <w:spacing w:before="156" w:beforeLines="50" w:after="156" w:afterLines="50" w:line="360" w:lineRule="auto"/>
        <w:jc w:val="center"/>
        <w:outlineLvl w:val="1"/>
        <w:rPr>
          <w:rFonts w:eastAsia="黑体"/>
          <w:bCs/>
          <w:color w:val="auto"/>
          <w:sz w:val="28"/>
        </w:rPr>
      </w:pPr>
      <w:bookmarkStart w:id="61" w:name="_Toc29478"/>
      <w:bookmarkStart w:id="62" w:name="_Toc199256471"/>
      <w:r>
        <w:rPr>
          <w:rFonts w:eastAsia="黑体"/>
          <w:bCs/>
          <w:color w:val="auto"/>
          <w:sz w:val="28"/>
        </w:rPr>
        <w:t>3.1　一般规定</w:t>
      </w:r>
      <w:bookmarkEnd w:id="61"/>
    </w:p>
    <w:p w14:paraId="1BB78EEF">
      <w:pPr>
        <w:spacing w:line="360" w:lineRule="auto"/>
        <w:outlineLvl w:val="2"/>
        <w:rPr>
          <w:color w:val="auto"/>
        </w:rPr>
      </w:pPr>
      <w:r>
        <w:rPr>
          <w:b/>
          <w:bCs/>
          <w:color w:val="auto"/>
        </w:rPr>
        <w:t>3.1.1　</w:t>
      </w:r>
      <w:r>
        <w:rPr>
          <w:color w:val="auto"/>
        </w:rPr>
        <w:t>居住建筑</w:t>
      </w:r>
      <w:r>
        <w:rPr>
          <w:color w:val="auto"/>
          <w:szCs w:val="24"/>
        </w:rPr>
        <w:t>空气传播病原微生物</w:t>
      </w:r>
      <w:r>
        <w:rPr>
          <w:color w:val="auto"/>
        </w:rPr>
        <w:t>防控性能的评价应以居住建筑单栋建筑或建筑内区域为对象。</w:t>
      </w:r>
    </w:p>
    <w:p w14:paraId="6BF328E9">
      <w:pPr>
        <w:spacing w:line="360" w:lineRule="auto"/>
        <w:rPr>
          <w:rFonts w:eastAsia="楷体"/>
          <w:color w:val="auto"/>
        </w:rPr>
      </w:pPr>
      <w:r>
        <w:rPr>
          <w:rFonts w:eastAsia="楷体"/>
          <w:color w:val="auto"/>
        </w:rPr>
        <w:t>【条文说明】本标准主要面向建筑内的设施设备的配置情况和参数要求，故评价对象以居住建筑空气传播病原微生物防控性能的评价对象为单栋建筑户间、户内或同一栋建筑内的区域为主，暂不考虑不同建筑间、社区间的更大范围的传播。</w:t>
      </w:r>
    </w:p>
    <w:p w14:paraId="6A75546C">
      <w:pPr>
        <w:spacing w:line="360" w:lineRule="auto"/>
        <w:outlineLvl w:val="2"/>
        <w:rPr>
          <w:color w:val="auto"/>
        </w:rPr>
      </w:pPr>
      <w:r>
        <w:rPr>
          <w:b/>
          <w:bCs/>
          <w:color w:val="auto"/>
        </w:rPr>
        <w:t>3.1.2　</w:t>
      </w:r>
      <w:r>
        <w:rPr>
          <w:color w:val="auto"/>
        </w:rPr>
        <w:t>居住建筑</w:t>
      </w:r>
      <w:r>
        <w:rPr>
          <w:color w:val="auto"/>
          <w:szCs w:val="24"/>
        </w:rPr>
        <w:t>空气传播病原微生物</w:t>
      </w:r>
      <w:r>
        <w:rPr>
          <w:color w:val="auto"/>
        </w:rPr>
        <w:t>防控性能评价可在设计阶段、验收阶段和运行阶段分别进行，并宜符合下列规定：</w:t>
      </w:r>
    </w:p>
    <w:p w14:paraId="3234B516">
      <w:pPr>
        <w:spacing w:line="360" w:lineRule="auto"/>
        <w:ind w:firstLine="420"/>
        <w:rPr>
          <w:color w:val="auto"/>
        </w:rPr>
      </w:pPr>
      <w:r>
        <w:rPr>
          <w:color w:val="auto"/>
        </w:rPr>
        <w:t>1设计评价应在项目施工图审查合格后进行，竣工验收评价应在项目竣工验收阶段或竣工验收合格后进行，运行评价应在项目竣工验收合格并投入使用满一年后进行；</w:t>
      </w:r>
    </w:p>
    <w:p w14:paraId="2B13DE84">
      <w:pPr>
        <w:spacing w:line="360" w:lineRule="auto"/>
        <w:ind w:firstLine="420"/>
        <w:rPr>
          <w:color w:val="auto"/>
        </w:rPr>
      </w:pPr>
      <w:r>
        <w:rPr>
          <w:color w:val="auto"/>
        </w:rPr>
        <w:t>2评价内容宜包括居住建筑室内环境指标、户内传播防护性能和户间传播防护性能；</w:t>
      </w:r>
    </w:p>
    <w:p w14:paraId="344C3968">
      <w:pPr>
        <w:spacing w:line="360" w:lineRule="auto"/>
        <w:ind w:firstLine="420"/>
        <w:rPr>
          <w:color w:val="auto"/>
        </w:rPr>
      </w:pPr>
      <w:r>
        <w:rPr>
          <w:color w:val="auto"/>
        </w:rPr>
        <w:t>3评价方法包括实测评价方法和模拟评价方法，竣工验收或运行阶段宜采用实测评价方法，体型复杂时也可采用模拟评价方法，设计阶段应采用模拟评价方法。</w:t>
      </w:r>
    </w:p>
    <w:p w14:paraId="6B43213F">
      <w:pPr>
        <w:spacing w:line="360" w:lineRule="auto"/>
        <w:outlineLvl w:val="2"/>
        <w:rPr>
          <w:b/>
          <w:bCs/>
          <w:color w:val="auto"/>
        </w:rPr>
      </w:pPr>
      <w:r>
        <w:rPr>
          <w:b/>
          <w:bCs/>
          <w:color w:val="auto"/>
        </w:rPr>
        <w:t>3.1.3　</w:t>
      </w:r>
      <w:r>
        <w:rPr>
          <w:color w:val="auto"/>
        </w:rPr>
        <w:t>在居住建筑</w:t>
      </w:r>
      <w:r>
        <w:rPr>
          <w:color w:val="auto"/>
          <w:szCs w:val="24"/>
        </w:rPr>
        <w:t>空气传播病原微生物</w:t>
      </w:r>
      <w:r>
        <w:rPr>
          <w:color w:val="auto"/>
        </w:rPr>
        <w:t>防控性能评价前宜制定评价工作方案。</w:t>
      </w:r>
    </w:p>
    <w:p w14:paraId="095F5F42">
      <w:pPr>
        <w:spacing w:line="360" w:lineRule="auto"/>
        <w:rPr>
          <w:rFonts w:eastAsia="楷体"/>
          <w:color w:val="auto"/>
        </w:rPr>
      </w:pPr>
      <w:r>
        <w:rPr>
          <w:rFonts w:eastAsia="楷体"/>
          <w:color w:val="auto"/>
        </w:rPr>
        <w:t>【条文说明】评价工作方案包括评价范围、评价内容的选择，根据需要可进行全部参数的评价，也可进行几项参数的评价，由委托方和评价方双方约定，此外还需要明确评价运行工况和评价方法等。</w:t>
      </w:r>
    </w:p>
    <w:p w14:paraId="2AD613B6">
      <w:pPr>
        <w:keepNext/>
        <w:snapToGrid w:val="0"/>
        <w:spacing w:before="156" w:beforeLines="50" w:after="156" w:afterLines="50" w:line="360" w:lineRule="auto"/>
        <w:jc w:val="center"/>
        <w:outlineLvl w:val="1"/>
        <w:rPr>
          <w:rFonts w:eastAsia="黑体"/>
          <w:bCs/>
          <w:color w:val="auto"/>
          <w:sz w:val="28"/>
        </w:rPr>
      </w:pPr>
      <w:bookmarkStart w:id="63" w:name="_Toc10257"/>
      <w:r>
        <w:rPr>
          <w:rFonts w:eastAsia="黑体"/>
          <w:bCs/>
          <w:color w:val="auto"/>
          <w:sz w:val="28"/>
        </w:rPr>
        <w:t>3.2　评价要求</w:t>
      </w:r>
      <w:bookmarkEnd w:id="63"/>
    </w:p>
    <w:p w14:paraId="71BEF173">
      <w:pPr>
        <w:widowControl/>
        <w:spacing w:line="360" w:lineRule="auto"/>
        <w:jc w:val="left"/>
        <w:outlineLvl w:val="2"/>
        <w:rPr>
          <w:color w:val="auto"/>
          <w:lang w:bidi="ar"/>
        </w:rPr>
      </w:pPr>
      <w:r>
        <w:rPr>
          <w:b/>
          <w:bCs/>
          <w:color w:val="auto"/>
          <w:lang w:bidi="ar"/>
        </w:rPr>
        <w:t>3.2.1　</w:t>
      </w:r>
      <w:r>
        <w:rPr>
          <w:color w:val="auto"/>
          <w:lang w:bidi="ar"/>
        </w:rPr>
        <w:t>居住建筑</w:t>
      </w:r>
      <w:r>
        <w:rPr>
          <w:color w:val="auto"/>
          <w:szCs w:val="24"/>
        </w:rPr>
        <w:t>空气传播病原微生物</w:t>
      </w:r>
      <w:r>
        <w:rPr>
          <w:color w:val="auto"/>
          <w:lang w:bidi="ar"/>
        </w:rPr>
        <w:t>防控性能的评价体系由居住建筑环境指标、户内传播防护性能和户间传播防护性能3类指标组成，应对全部分项指标和户内、户间传播情况分别进行评价，当全部分项评价指标均满足相关现行标准要求或双方约定的要求，且模拟评价结果无户内、户间传播时，判定该居住建筑</w:t>
      </w:r>
      <w:r>
        <w:rPr>
          <w:color w:val="auto"/>
          <w:szCs w:val="24"/>
        </w:rPr>
        <w:t>空气传播病原微生物</w:t>
      </w:r>
      <w:r>
        <w:rPr>
          <w:color w:val="auto"/>
          <w:lang w:bidi="ar"/>
        </w:rPr>
        <w:t>防控性能合格。</w:t>
      </w:r>
    </w:p>
    <w:p w14:paraId="4541BBCB">
      <w:pPr>
        <w:spacing w:line="360" w:lineRule="auto"/>
        <w:outlineLvl w:val="2"/>
        <w:rPr>
          <w:color w:val="auto"/>
        </w:rPr>
      </w:pPr>
      <w:r>
        <w:rPr>
          <w:b/>
          <w:bCs/>
          <w:color w:val="auto"/>
        </w:rPr>
        <w:t>3.2.2　</w:t>
      </w:r>
      <w:r>
        <w:rPr>
          <w:color w:val="auto"/>
        </w:rPr>
        <w:t>居住建筑室内温度、相对湿度、新风量、可吸入颗粒物PM2.5和PM10浓度、细菌总数应符合现行国家标准《室内空气质量标准》GB 18883的规定。</w:t>
      </w:r>
    </w:p>
    <w:p w14:paraId="05CE2DB2">
      <w:pPr>
        <w:spacing w:line="360" w:lineRule="auto"/>
        <w:outlineLvl w:val="2"/>
        <w:rPr>
          <w:color w:val="auto"/>
        </w:rPr>
      </w:pPr>
      <w:r>
        <w:rPr>
          <w:b/>
          <w:bCs/>
          <w:color w:val="auto"/>
        </w:rPr>
        <w:t>3.2.3　</w:t>
      </w:r>
      <w:r>
        <w:rPr>
          <w:color w:val="auto"/>
        </w:rPr>
        <w:t>居住建筑自然采光系数应符合现行国家标准《建筑采光设计标准》GB 50033的</w:t>
      </w:r>
      <w:r>
        <w:rPr>
          <w:rFonts w:hint="eastAsia"/>
          <w:color w:val="auto"/>
          <w:lang w:eastAsia="zh-CN"/>
        </w:rPr>
        <w:t>有关规定</w:t>
      </w:r>
      <w:r>
        <w:rPr>
          <w:color w:val="auto"/>
        </w:rPr>
        <w:t>。</w:t>
      </w:r>
    </w:p>
    <w:p w14:paraId="51BBBC10">
      <w:pPr>
        <w:spacing w:line="360" w:lineRule="auto"/>
        <w:outlineLvl w:val="2"/>
        <w:rPr>
          <w:color w:val="auto"/>
        </w:rPr>
      </w:pPr>
      <w:r>
        <w:rPr>
          <w:b/>
          <w:bCs/>
          <w:color w:val="auto"/>
        </w:rPr>
        <w:t>3.2.4　</w:t>
      </w:r>
      <w:r>
        <w:rPr>
          <w:color w:val="auto"/>
        </w:rPr>
        <w:t>净化设备的洁净空气量或换气次数应达到产品说明书要求或双方约定要求。</w:t>
      </w:r>
    </w:p>
    <w:p w14:paraId="2A2A86B5">
      <w:pPr>
        <w:spacing w:line="360" w:lineRule="auto"/>
        <w:outlineLvl w:val="2"/>
        <w:rPr>
          <w:color w:val="auto"/>
        </w:rPr>
      </w:pPr>
      <w:r>
        <w:rPr>
          <w:b/>
          <w:bCs/>
          <w:color w:val="auto"/>
        </w:rPr>
        <w:t>3.2.5　</w:t>
      </w:r>
      <w:r>
        <w:rPr>
          <w:color w:val="auto"/>
        </w:rPr>
        <w:t>居住建筑户间气流流向应由空气传播病原微生物低风险区域流向高风险区域。</w:t>
      </w:r>
    </w:p>
    <w:p w14:paraId="3C7E9FE0">
      <w:pPr>
        <w:spacing w:line="360" w:lineRule="auto"/>
        <w:outlineLvl w:val="2"/>
        <w:rPr>
          <w:b/>
          <w:bCs/>
          <w:color w:val="auto"/>
        </w:rPr>
      </w:pPr>
      <w:r>
        <w:rPr>
          <w:b/>
          <w:bCs/>
          <w:color w:val="auto"/>
        </w:rPr>
        <w:t>3.2.6　</w:t>
      </w:r>
      <w:r>
        <w:rPr>
          <w:color w:val="auto"/>
        </w:rPr>
        <w:t>居住建筑竖向排风道户间传播防护性能应符合下列规定：</w:t>
      </w:r>
    </w:p>
    <w:p w14:paraId="60C83136">
      <w:pPr>
        <w:spacing w:line="360" w:lineRule="auto"/>
        <w:ind w:firstLine="420"/>
        <w:rPr>
          <w:color w:val="auto"/>
        </w:rPr>
      </w:pPr>
      <w:r>
        <w:rPr>
          <w:color w:val="auto"/>
        </w:rPr>
        <w:t>1任一开机率工况下，所有非开机层支管静压应为零、所有开机层支管内静压应大于排气道静压；</w:t>
      </w:r>
    </w:p>
    <w:p w14:paraId="7B14C07A">
      <w:pPr>
        <w:spacing w:line="360" w:lineRule="auto"/>
        <w:ind w:firstLine="420"/>
        <w:rPr>
          <w:color w:val="auto"/>
        </w:rPr>
      </w:pPr>
      <w:r>
        <w:rPr>
          <w:color w:val="auto"/>
        </w:rPr>
        <w:t>2</w:t>
      </w:r>
      <w:r>
        <w:rPr>
          <w:rFonts w:hint="eastAsia"/>
          <w:color w:val="auto"/>
          <w:lang w:val="en-US" w:eastAsia="zh-CN"/>
        </w:rPr>
        <w:t>应</w:t>
      </w:r>
      <w:r>
        <w:rPr>
          <w:color w:val="auto"/>
          <w:lang w:bidi="ar"/>
        </w:rPr>
        <w:t>设置厨房、卫生间排风道止回阀</w:t>
      </w:r>
      <w:r>
        <w:rPr>
          <w:rFonts w:hint="eastAsia"/>
          <w:color w:val="auto"/>
          <w:lang w:eastAsia="zh-CN" w:bidi="ar"/>
        </w:rPr>
        <w:t>，</w:t>
      </w:r>
      <w:r>
        <w:rPr>
          <w:rFonts w:hint="eastAsia"/>
          <w:color w:val="auto"/>
          <w:lang w:val="en-US" w:eastAsia="zh-CN" w:bidi="ar"/>
        </w:rPr>
        <w:t>且</w:t>
      </w:r>
      <w:r>
        <w:rPr>
          <w:color w:val="auto"/>
          <w:lang w:bidi="ar"/>
        </w:rPr>
        <w:t>外观</w:t>
      </w:r>
      <w:r>
        <w:rPr>
          <w:rFonts w:hint="eastAsia"/>
          <w:color w:val="auto"/>
          <w:lang w:val="en-US" w:eastAsia="zh-CN" w:bidi="ar"/>
        </w:rPr>
        <w:t>应</w:t>
      </w:r>
      <w:r>
        <w:rPr>
          <w:color w:val="auto"/>
          <w:lang w:bidi="ar"/>
        </w:rPr>
        <w:t>完好；在环境温度下，使阀门叶片两侧保持300Pa±15Pa的气体静压差，止回阀单位面积上的漏风量应不大于300m</w:t>
      </w:r>
      <w:r>
        <w:rPr>
          <w:color w:val="auto"/>
          <w:vertAlign w:val="superscript"/>
          <w:lang w:bidi="ar"/>
        </w:rPr>
        <w:t>3</w:t>
      </w:r>
      <w:r>
        <w:rPr>
          <w:color w:val="auto"/>
          <w:lang w:bidi="ar"/>
        </w:rPr>
        <w:t>/(m</w:t>
      </w:r>
      <w:r>
        <w:rPr>
          <w:color w:val="auto"/>
          <w:vertAlign w:val="superscript"/>
          <w:lang w:bidi="ar"/>
        </w:rPr>
        <w:t>2</w:t>
      </w:r>
      <w:r>
        <w:rPr>
          <w:color w:val="auto"/>
          <w:lang w:bidi="ar"/>
        </w:rPr>
        <w:t>·h)</w:t>
      </w:r>
      <w:r>
        <w:rPr>
          <w:color w:val="auto"/>
        </w:rPr>
        <w:t>；</w:t>
      </w:r>
    </w:p>
    <w:p w14:paraId="6628FCAF">
      <w:pPr>
        <w:spacing w:line="360" w:lineRule="auto"/>
        <w:ind w:firstLine="420"/>
        <w:rPr>
          <w:color w:val="auto"/>
        </w:rPr>
      </w:pPr>
      <w:r>
        <w:rPr>
          <w:color w:val="auto"/>
        </w:rPr>
        <w:t>3</w:t>
      </w:r>
      <w:r>
        <w:rPr>
          <w:color w:val="auto"/>
          <w:lang w:bidi="ar"/>
        </w:rPr>
        <w:t>排气道各部位</w:t>
      </w:r>
      <w:r>
        <w:rPr>
          <w:rFonts w:hint="eastAsia"/>
          <w:color w:val="auto"/>
          <w:lang w:val="en-US" w:eastAsia="zh-CN" w:bidi="ar"/>
        </w:rPr>
        <w:t>应</w:t>
      </w:r>
      <w:r>
        <w:rPr>
          <w:color w:val="auto"/>
          <w:lang w:bidi="ar"/>
        </w:rPr>
        <w:t>无漏烟现象</w:t>
      </w:r>
      <w:r>
        <w:rPr>
          <w:color w:val="auto"/>
        </w:rPr>
        <w:t>。</w:t>
      </w:r>
    </w:p>
    <w:p w14:paraId="4D72A2DC">
      <w:pPr>
        <w:spacing w:line="360" w:lineRule="auto"/>
        <w:outlineLvl w:val="2"/>
        <w:rPr>
          <w:b/>
          <w:bCs/>
          <w:color w:val="auto"/>
        </w:rPr>
      </w:pPr>
      <w:r>
        <w:rPr>
          <w:b/>
          <w:bCs/>
          <w:color w:val="auto"/>
        </w:rPr>
        <w:t>3.2.7　</w:t>
      </w:r>
      <w:r>
        <w:rPr>
          <w:color w:val="auto"/>
        </w:rPr>
        <w:t>居住建筑竖向排水管道户间传播防护性能应符合下列规定：</w:t>
      </w:r>
    </w:p>
    <w:p w14:paraId="41DEB13B">
      <w:pPr>
        <w:spacing w:line="360" w:lineRule="auto"/>
        <w:ind w:firstLine="420"/>
        <w:rPr>
          <w:color w:val="auto"/>
        </w:rPr>
      </w:pPr>
      <w:r>
        <w:rPr>
          <w:color w:val="auto"/>
        </w:rPr>
        <w:t>1厨房、卫生间所有排水管均</w:t>
      </w:r>
      <w:r>
        <w:rPr>
          <w:rFonts w:hint="eastAsia"/>
          <w:color w:val="auto"/>
          <w:lang w:val="en-US" w:eastAsia="zh-CN"/>
        </w:rPr>
        <w:t>应</w:t>
      </w:r>
      <w:r>
        <w:rPr>
          <w:color w:val="auto"/>
        </w:rPr>
        <w:t>设置存水弯，且水封内存水量</w:t>
      </w:r>
      <w:r>
        <w:rPr>
          <w:rFonts w:hint="eastAsia"/>
          <w:color w:val="auto"/>
          <w:lang w:val="en-US" w:eastAsia="zh-CN"/>
        </w:rPr>
        <w:t>应</w:t>
      </w:r>
      <w:r>
        <w:rPr>
          <w:color w:val="auto"/>
        </w:rPr>
        <w:t>符合要求；</w:t>
      </w:r>
    </w:p>
    <w:p w14:paraId="17420013">
      <w:pPr>
        <w:spacing w:line="360" w:lineRule="auto"/>
        <w:ind w:firstLine="420"/>
        <w:rPr>
          <w:color w:val="auto"/>
        </w:rPr>
      </w:pPr>
      <w:r>
        <w:rPr>
          <w:color w:val="auto"/>
        </w:rPr>
        <w:t>2厨房、卫生间等处均</w:t>
      </w:r>
      <w:r>
        <w:rPr>
          <w:rFonts w:hint="eastAsia"/>
          <w:color w:val="auto"/>
          <w:lang w:val="en-US" w:eastAsia="zh-CN"/>
        </w:rPr>
        <w:t>应</w:t>
      </w:r>
      <w:r>
        <w:rPr>
          <w:color w:val="auto"/>
        </w:rPr>
        <w:t>采用有水封地漏，且水封内存水量</w:t>
      </w:r>
      <w:r>
        <w:rPr>
          <w:rFonts w:hint="eastAsia"/>
          <w:color w:val="auto"/>
          <w:lang w:val="en-US" w:eastAsia="zh-CN"/>
        </w:rPr>
        <w:t>应</w:t>
      </w:r>
      <w:r>
        <w:rPr>
          <w:color w:val="auto"/>
        </w:rPr>
        <w:t>符合要求。</w:t>
      </w:r>
    </w:p>
    <w:p w14:paraId="5A0991FF">
      <w:pPr>
        <w:spacing w:line="360" w:lineRule="auto"/>
        <w:ind w:firstLine="420"/>
        <w:rPr>
          <w:color w:val="auto"/>
        </w:rPr>
      </w:pPr>
      <w:r>
        <w:rPr>
          <w:color w:val="auto"/>
        </w:rPr>
        <w:t>3厨房、卫生间排水管安装隐蔽工程验收记录或相关测试报告</w:t>
      </w:r>
      <w:r>
        <w:rPr>
          <w:rFonts w:hint="eastAsia"/>
          <w:color w:val="auto"/>
          <w:lang w:val="en-US" w:eastAsia="zh-CN"/>
        </w:rPr>
        <w:t>应</w:t>
      </w:r>
      <w:r>
        <w:rPr>
          <w:color w:val="auto"/>
        </w:rPr>
        <w:t>合格，目测施工部位外观，</w:t>
      </w:r>
      <w:r>
        <w:rPr>
          <w:rFonts w:hint="eastAsia"/>
          <w:color w:val="auto"/>
          <w:lang w:val="en-US" w:eastAsia="zh-CN"/>
        </w:rPr>
        <w:t>应</w:t>
      </w:r>
      <w:r>
        <w:rPr>
          <w:color w:val="auto"/>
        </w:rPr>
        <w:t>无明显破损、漏水或渗水现象。</w:t>
      </w:r>
    </w:p>
    <w:p w14:paraId="3C32CD36">
      <w:pPr>
        <w:spacing w:line="360" w:lineRule="auto"/>
        <w:ind w:firstLine="420"/>
        <w:rPr>
          <w:color w:val="auto"/>
        </w:rPr>
      </w:pPr>
      <w:r>
        <w:rPr>
          <w:color w:val="auto"/>
        </w:rPr>
        <w:t>4厨房、卫生间</w:t>
      </w:r>
      <w:r>
        <w:rPr>
          <w:rFonts w:eastAsiaTheme="minorEastAsia"/>
          <w:color w:val="auto"/>
        </w:rPr>
        <w:t>卫生器具与排水管道连接处密封性</w:t>
      </w:r>
      <w:r>
        <w:rPr>
          <w:rFonts w:hint="eastAsia" w:eastAsiaTheme="minorEastAsia"/>
          <w:color w:val="auto"/>
          <w:lang w:val="en-US" w:eastAsia="zh-CN"/>
        </w:rPr>
        <w:t>应</w:t>
      </w:r>
      <w:r>
        <w:rPr>
          <w:rFonts w:eastAsiaTheme="minorEastAsia"/>
          <w:color w:val="auto"/>
        </w:rPr>
        <w:t>完好。</w:t>
      </w:r>
    </w:p>
    <w:p w14:paraId="03F767D6">
      <w:pPr>
        <w:spacing w:line="360" w:lineRule="auto"/>
        <w:outlineLvl w:val="2"/>
        <w:rPr>
          <w:color w:val="auto"/>
          <w:lang w:bidi="ar"/>
        </w:rPr>
        <w:sectPr>
          <w:footerReference r:id="rId11" w:type="default"/>
          <w:pgSz w:w="11906" w:h="16838"/>
          <w:pgMar w:top="1440" w:right="1800" w:bottom="1440" w:left="1800" w:header="851" w:footer="992" w:gutter="0"/>
          <w:cols w:space="720" w:num="1"/>
          <w:docGrid w:type="lines" w:linePitch="312" w:charSpace="0"/>
        </w:sectPr>
      </w:pPr>
      <w:r>
        <w:rPr>
          <w:b/>
          <w:bCs/>
          <w:color w:val="auto"/>
        </w:rPr>
        <w:t>3.2.8　</w:t>
      </w:r>
      <w:r>
        <w:rPr>
          <w:color w:val="auto"/>
          <w:lang w:bidi="ar"/>
        </w:rPr>
        <w:t>居住建筑户间水管、暖气水管、燃气管等管道穿墙处密封性</w:t>
      </w:r>
      <w:r>
        <w:rPr>
          <w:rFonts w:hint="eastAsia"/>
          <w:color w:val="auto"/>
          <w:lang w:val="en-US" w:eastAsia="zh-CN" w:bidi="ar"/>
        </w:rPr>
        <w:t>应</w:t>
      </w:r>
      <w:r>
        <w:rPr>
          <w:color w:val="auto"/>
          <w:lang w:bidi="ar"/>
        </w:rPr>
        <w:t>完好。</w:t>
      </w:r>
    </w:p>
    <w:bookmarkEnd w:id="62"/>
    <w:p w14:paraId="455740B4">
      <w:pPr>
        <w:pStyle w:val="2"/>
        <w:numPr>
          <w:ilvl w:val="0"/>
          <w:numId w:val="3"/>
        </w:numPr>
        <w:jc w:val="center"/>
        <w:rPr>
          <w:color w:val="auto"/>
          <w:sz w:val="32"/>
        </w:rPr>
      </w:pPr>
      <w:bookmarkStart w:id="64" w:name="_Toc30128"/>
      <w:r>
        <w:rPr>
          <w:color w:val="auto"/>
          <w:sz w:val="32"/>
        </w:rPr>
        <w:t>评价内容</w:t>
      </w:r>
      <w:bookmarkEnd w:id="64"/>
    </w:p>
    <w:p w14:paraId="3F5A0990">
      <w:pPr>
        <w:keepNext/>
        <w:snapToGrid w:val="0"/>
        <w:spacing w:before="156" w:beforeLines="50" w:after="156" w:afterLines="50" w:line="360" w:lineRule="auto"/>
        <w:jc w:val="center"/>
        <w:outlineLvl w:val="1"/>
        <w:rPr>
          <w:rFonts w:eastAsia="黑体"/>
          <w:bCs/>
          <w:color w:val="auto"/>
          <w:sz w:val="28"/>
        </w:rPr>
      </w:pPr>
      <w:bookmarkStart w:id="65" w:name="_Toc25701"/>
      <w:bookmarkStart w:id="66" w:name="_Toc199256480"/>
      <w:bookmarkStart w:id="67" w:name="_Toc199332460"/>
      <w:bookmarkStart w:id="68" w:name="_Toc27671"/>
      <w:bookmarkStart w:id="69" w:name="_Toc199256044"/>
      <w:bookmarkStart w:id="70" w:name="_Toc199256622"/>
      <w:bookmarkStart w:id="71" w:name="_Toc201054937"/>
      <w:r>
        <w:rPr>
          <w:rFonts w:eastAsia="黑体"/>
          <w:bCs/>
          <w:color w:val="auto"/>
          <w:sz w:val="28"/>
        </w:rPr>
        <w:t>4.1　环境指标</w:t>
      </w:r>
      <w:bookmarkEnd w:id="65"/>
    </w:p>
    <w:p w14:paraId="7C2DC0C9">
      <w:pPr>
        <w:spacing w:line="360" w:lineRule="auto"/>
        <w:outlineLvl w:val="2"/>
        <w:rPr>
          <w:b/>
          <w:bCs/>
          <w:color w:val="auto"/>
        </w:rPr>
      </w:pPr>
      <w:r>
        <w:rPr>
          <w:b/>
          <w:bCs/>
          <w:color w:val="auto"/>
        </w:rPr>
        <w:t>4.1.1　</w:t>
      </w:r>
      <w:r>
        <w:rPr>
          <w:color w:val="auto"/>
        </w:rPr>
        <w:t>进行居住建筑空气传播病原微生物防控性能评价时，应评价居住建筑室内环境指标，评价的室内环境指标应包括下列内容：</w:t>
      </w:r>
    </w:p>
    <w:p w14:paraId="0249D94E">
      <w:pPr>
        <w:spacing w:line="360" w:lineRule="auto"/>
        <w:ind w:firstLine="420"/>
        <w:rPr>
          <w:color w:val="auto"/>
        </w:rPr>
      </w:pPr>
      <w:r>
        <w:rPr>
          <w:color w:val="auto"/>
        </w:rPr>
        <w:t>1温度；</w:t>
      </w:r>
    </w:p>
    <w:p w14:paraId="66224998">
      <w:pPr>
        <w:spacing w:line="360" w:lineRule="auto"/>
        <w:ind w:firstLine="420"/>
        <w:rPr>
          <w:color w:val="auto"/>
        </w:rPr>
      </w:pPr>
      <w:r>
        <w:rPr>
          <w:color w:val="auto"/>
        </w:rPr>
        <w:t>2相对湿度；</w:t>
      </w:r>
    </w:p>
    <w:p w14:paraId="4C6E3844">
      <w:pPr>
        <w:spacing w:line="360" w:lineRule="auto"/>
        <w:ind w:firstLine="420"/>
        <w:rPr>
          <w:color w:val="auto"/>
        </w:rPr>
      </w:pPr>
      <w:r>
        <w:rPr>
          <w:color w:val="auto"/>
        </w:rPr>
        <w:t>3可吸入颗粒物PM</w:t>
      </w:r>
      <w:r>
        <w:rPr>
          <w:color w:val="auto"/>
          <w:vertAlign w:val="subscript"/>
        </w:rPr>
        <w:t>2.5</w:t>
      </w:r>
      <w:r>
        <w:rPr>
          <w:color w:val="auto"/>
        </w:rPr>
        <w:t>和PM</w:t>
      </w:r>
      <w:r>
        <w:rPr>
          <w:color w:val="auto"/>
          <w:vertAlign w:val="subscript"/>
        </w:rPr>
        <w:t>10</w:t>
      </w:r>
      <w:r>
        <w:rPr>
          <w:color w:val="auto"/>
        </w:rPr>
        <w:t>浓度；</w:t>
      </w:r>
    </w:p>
    <w:p w14:paraId="3B7176B3">
      <w:pPr>
        <w:spacing w:line="360" w:lineRule="auto"/>
        <w:ind w:firstLine="420"/>
        <w:rPr>
          <w:color w:val="auto"/>
        </w:rPr>
      </w:pPr>
      <w:r>
        <w:rPr>
          <w:color w:val="auto"/>
        </w:rPr>
        <w:t>4细菌总数。</w:t>
      </w:r>
    </w:p>
    <w:p w14:paraId="0AE37D62">
      <w:pPr>
        <w:spacing w:line="360" w:lineRule="auto"/>
        <w:rPr>
          <w:rFonts w:eastAsia="楷体"/>
          <w:color w:val="auto"/>
        </w:rPr>
      </w:pPr>
      <w:r>
        <w:rPr>
          <w:rFonts w:eastAsia="楷体"/>
          <w:color w:val="auto"/>
        </w:rPr>
        <w:t>【条文说明】室内环境指标可直接或间接影响室内微生物的存活和传播，如温度、相对湿度可影响室内微生物的存活时间；可吸入颗粒物PM2.5或PM10浓度水平与微生物气溶胶的传播有正相关性；室内空气中细菌总数综合反映室内微生物存活和传播的最终情况，所以室内环境指标适合作为反映居住建筑防控空气传播病原微生物性能的关键指标。</w:t>
      </w:r>
    </w:p>
    <w:p w14:paraId="544DCF99">
      <w:pPr>
        <w:spacing w:line="360" w:lineRule="auto"/>
        <w:outlineLvl w:val="2"/>
        <w:rPr>
          <w:b/>
          <w:bCs/>
          <w:color w:val="auto"/>
        </w:rPr>
      </w:pPr>
      <w:r>
        <w:rPr>
          <w:b/>
          <w:bCs/>
          <w:color w:val="auto"/>
        </w:rPr>
        <w:t>4.1.2　</w:t>
      </w:r>
      <w:r>
        <w:rPr>
          <w:color w:val="auto"/>
        </w:rPr>
        <w:t>进行居住建筑空气传播病原微生物防控性能评价时，应评价居住建筑室内自然采光系数。</w:t>
      </w:r>
    </w:p>
    <w:p w14:paraId="482206DC">
      <w:pPr>
        <w:spacing w:line="360" w:lineRule="auto"/>
        <w:rPr>
          <w:rFonts w:eastAsia="楷体"/>
          <w:color w:val="auto"/>
        </w:rPr>
      </w:pPr>
      <w:r>
        <w:rPr>
          <w:rFonts w:eastAsia="楷体"/>
          <w:color w:val="auto"/>
        </w:rPr>
        <w:t>【条文说明】自然采光对室内微生物有一定消毒灭菌的作用，适当的自然采光可以改善室内空气质量，所以室内自然采光系数可一定程度上表征居住建筑空气传播病原微生物防控性能。</w:t>
      </w:r>
    </w:p>
    <w:p w14:paraId="5C6DFD70">
      <w:pPr>
        <w:keepNext/>
        <w:snapToGrid w:val="0"/>
        <w:spacing w:before="156" w:beforeLines="50" w:after="156" w:afterLines="50" w:line="360" w:lineRule="auto"/>
        <w:jc w:val="center"/>
        <w:outlineLvl w:val="1"/>
        <w:rPr>
          <w:rFonts w:eastAsia="黑体"/>
          <w:bCs/>
          <w:color w:val="auto"/>
          <w:sz w:val="28"/>
        </w:rPr>
      </w:pPr>
      <w:bookmarkStart w:id="72" w:name="_Toc31616"/>
      <w:r>
        <w:rPr>
          <w:rFonts w:eastAsia="黑体"/>
          <w:bCs/>
          <w:color w:val="auto"/>
          <w:sz w:val="28"/>
        </w:rPr>
        <w:t>4.2　</w:t>
      </w:r>
      <w:bookmarkEnd w:id="66"/>
      <w:bookmarkEnd w:id="67"/>
      <w:bookmarkEnd w:id="68"/>
      <w:bookmarkEnd w:id="69"/>
      <w:bookmarkEnd w:id="70"/>
      <w:bookmarkEnd w:id="71"/>
      <w:bookmarkStart w:id="73" w:name="_Hlk214483612"/>
      <w:r>
        <w:rPr>
          <w:rFonts w:eastAsia="黑体"/>
          <w:bCs/>
          <w:color w:val="auto"/>
          <w:sz w:val="28"/>
        </w:rPr>
        <w:t>户内传播防护性能</w:t>
      </w:r>
      <w:bookmarkEnd w:id="72"/>
      <w:bookmarkEnd w:id="73"/>
    </w:p>
    <w:p w14:paraId="02A09186">
      <w:pPr>
        <w:spacing w:line="360" w:lineRule="auto"/>
        <w:outlineLvl w:val="2"/>
        <w:rPr>
          <w:color w:val="auto"/>
        </w:rPr>
      </w:pPr>
      <w:r>
        <w:rPr>
          <w:b/>
          <w:bCs/>
          <w:color w:val="auto"/>
        </w:rPr>
        <w:t>4.2.1　</w:t>
      </w:r>
      <w:r>
        <w:rPr>
          <w:color w:val="auto"/>
        </w:rPr>
        <w:t>进行居住建筑户内传播防护性能评价时，应评价居住建筑室内各房间和楼道、电梯厅、电梯、公共走廊等公共区域的新风量或新风换气次数。</w:t>
      </w:r>
    </w:p>
    <w:p w14:paraId="64FB815E">
      <w:pPr>
        <w:spacing w:line="360" w:lineRule="auto"/>
        <w:outlineLvl w:val="2"/>
        <w:rPr>
          <w:b/>
          <w:bCs/>
          <w:color w:val="auto"/>
        </w:rPr>
      </w:pPr>
      <w:r>
        <w:rPr>
          <w:b/>
          <w:bCs/>
          <w:color w:val="auto"/>
        </w:rPr>
        <w:t>4.2.2　</w:t>
      </w:r>
      <w:r>
        <w:rPr>
          <w:color w:val="auto"/>
        </w:rPr>
        <w:t>当居住建筑内设置净化设备时，应评价净化设备的洁净空气量或换气次数。</w:t>
      </w:r>
    </w:p>
    <w:p w14:paraId="1F9EDC21">
      <w:pPr>
        <w:keepNext/>
        <w:snapToGrid w:val="0"/>
        <w:spacing w:before="156" w:beforeLines="50" w:after="156" w:afterLines="50" w:line="360" w:lineRule="auto"/>
        <w:jc w:val="center"/>
        <w:outlineLvl w:val="1"/>
        <w:rPr>
          <w:rFonts w:eastAsia="黑体"/>
          <w:bCs/>
          <w:color w:val="auto"/>
          <w:sz w:val="28"/>
        </w:rPr>
      </w:pPr>
      <w:bookmarkStart w:id="74" w:name="_Toc3757"/>
      <w:r>
        <w:rPr>
          <w:rFonts w:eastAsia="黑体"/>
          <w:bCs/>
          <w:color w:val="auto"/>
          <w:sz w:val="28"/>
        </w:rPr>
        <w:t>4.3　</w:t>
      </w:r>
      <w:bookmarkStart w:id="75" w:name="_Hlk214487613"/>
      <w:r>
        <w:rPr>
          <w:rFonts w:eastAsia="黑体"/>
          <w:bCs/>
          <w:color w:val="auto"/>
          <w:sz w:val="28"/>
        </w:rPr>
        <w:t>户间传播防护性能</w:t>
      </w:r>
      <w:bookmarkEnd w:id="74"/>
      <w:bookmarkEnd w:id="75"/>
    </w:p>
    <w:p w14:paraId="2C6F9476">
      <w:pPr>
        <w:spacing w:line="360" w:lineRule="auto"/>
        <w:outlineLvl w:val="2"/>
        <w:rPr>
          <w:b/>
          <w:bCs/>
          <w:color w:val="auto"/>
        </w:rPr>
      </w:pPr>
      <w:r>
        <w:rPr>
          <w:b/>
          <w:bCs/>
          <w:color w:val="auto"/>
        </w:rPr>
        <w:t>4.3.1　</w:t>
      </w:r>
      <w:r>
        <w:rPr>
          <w:color w:val="auto"/>
        </w:rPr>
        <w:t>居住建筑户间传播防护性能的评价内容应包括居住区域与楼梯间、电梯厅、公共走廊等公共区域间的气流流向、居住区域上下相邻楼层户间相邻外窗间的气流流向和电梯轿厢在电梯井内运行时引起电梯井与其他区域间的气流流向。</w:t>
      </w:r>
    </w:p>
    <w:p w14:paraId="4F9F4EBB">
      <w:pPr>
        <w:spacing w:line="360" w:lineRule="auto"/>
        <w:outlineLvl w:val="2"/>
        <w:rPr>
          <w:b/>
          <w:bCs/>
          <w:color w:val="auto"/>
        </w:rPr>
      </w:pPr>
      <w:r>
        <w:rPr>
          <w:b/>
          <w:bCs/>
          <w:color w:val="auto"/>
        </w:rPr>
        <w:t>4.3.2　</w:t>
      </w:r>
      <w:r>
        <w:rPr>
          <w:color w:val="auto"/>
        </w:rPr>
        <w:t>居住建筑竖向排风道户间传播防护性能评价应包括下列内容：</w:t>
      </w:r>
    </w:p>
    <w:p w14:paraId="2D9C29EF">
      <w:pPr>
        <w:spacing w:line="360" w:lineRule="auto"/>
        <w:ind w:firstLine="420"/>
        <w:rPr>
          <w:color w:val="auto"/>
        </w:rPr>
      </w:pPr>
      <w:r>
        <w:rPr>
          <w:color w:val="auto"/>
        </w:rPr>
        <w:t>1厨卫排气道系统防倒灌功能；</w:t>
      </w:r>
    </w:p>
    <w:p w14:paraId="5B019309">
      <w:pPr>
        <w:spacing w:line="360" w:lineRule="auto"/>
        <w:ind w:firstLine="420"/>
        <w:rPr>
          <w:color w:val="auto"/>
        </w:rPr>
      </w:pPr>
      <w:r>
        <w:rPr>
          <w:color w:val="auto"/>
        </w:rPr>
        <w:t>2厨卫排风止回阀设置情况及止回阀的密封性；</w:t>
      </w:r>
    </w:p>
    <w:p w14:paraId="6672989C">
      <w:pPr>
        <w:spacing w:line="360" w:lineRule="auto"/>
        <w:ind w:firstLine="420"/>
        <w:rPr>
          <w:color w:val="auto"/>
        </w:rPr>
      </w:pPr>
      <w:r>
        <w:rPr>
          <w:color w:val="auto"/>
        </w:rPr>
        <w:t>3厨卫排气道系统管道密封性。</w:t>
      </w:r>
    </w:p>
    <w:p w14:paraId="5555786E">
      <w:pPr>
        <w:spacing w:line="360" w:lineRule="auto"/>
        <w:outlineLvl w:val="2"/>
        <w:rPr>
          <w:b/>
          <w:bCs/>
          <w:color w:val="auto"/>
        </w:rPr>
      </w:pPr>
      <w:r>
        <w:rPr>
          <w:b/>
          <w:bCs/>
          <w:color w:val="auto"/>
        </w:rPr>
        <w:t>4.3.3　</w:t>
      </w:r>
      <w:r>
        <w:rPr>
          <w:color w:val="auto"/>
        </w:rPr>
        <w:t>居住建筑排水管道户间传播防护性能评价应包括下列内容：</w:t>
      </w:r>
    </w:p>
    <w:p w14:paraId="4AF9F30B">
      <w:pPr>
        <w:spacing w:line="360" w:lineRule="auto"/>
        <w:ind w:firstLine="420"/>
        <w:rPr>
          <w:color w:val="auto"/>
        </w:rPr>
      </w:pPr>
      <w:r>
        <w:rPr>
          <w:color w:val="auto"/>
        </w:rPr>
        <w:t>1厨房、卫生间排水管存水弯设置、水封形式与水封内存水情况；</w:t>
      </w:r>
    </w:p>
    <w:p w14:paraId="71EDDA17">
      <w:pPr>
        <w:spacing w:line="360" w:lineRule="auto"/>
        <w:ind w:firstLine="420"/>
        <w:rPr>
          <w:color w:val="auto"/>
        </w:rPr>
      </w:pPr>
      <w:r>
        <w:rPr>
          <w:color w:val="auto"/>
        </w:rPr>
        <w:t>2厨房、卫生间地漏的密封有效性；</w:t>
      </w:r>
    </w:p>
    <w:p w14:paraId="4CD4902D">
      <w:pPr>
        <w:spacing w:line="360" w:lineRule="auto"/>
        <w:ind w:firstLine="420"/>
        <w:rPr>
          <w:color w:val="auto"/>
        </w:rPr>
      </w:pPr>
      <w:r>
        <w:rPr>
          <w:color w:val="auto"/>
        </w:rPr>
        <w:t>3厨房、卫生间排水管道密封性；</w:t>
      </w:r>
    </w:p>
    <w:p w14:paraId="11ABF6E0">
      <w:pPr>
        <w:spacing w:line="360" w:lineRule="auto"/>
        <w:ind w:firstLine="420"/>
        <w:rPr>
          <w:color w:val="auto"/>
        </w:rPr>
      </w:pPr>
      <w:r>
        <w:rPr>
          <w:color w:val="auto"/>
        </w:rPr>
        <w:t>4厨房、卫生间</w:t>
      </w:r>
      <w:r>
        <w:rPr>
          <w:rFonts w:eastAsiaTheme="minorEastAsia"/>
          <w:color w:val="auto"/>
        </w:rPr>
        <w:t>卫生器具与排水管道连接处密封性。</w:t>
      </w:r>
    </w:p>
    <w:p w14:paraId="0D2AB1C4">
      <w:pPr>
        <w:spacing w:line="360" w:lineRule="auto"/>
        <w:outlineLvl w:val="2"/>
        <w:rPr>
          <w:b/>
          <w:bCs/>
          <w:color w:val="auto"/>
        </w:rPr>
      </w:pPr>
      <w:r>
        <w:rPr>
          <w:b/>
          <w:bCs/>
          <w:color w:val="auto"/>
        </w:rPr>
        <w:t>4.3.4　</w:t>
      </w:r>
      <w:r>
        <w:rPr>
          <w:color w:val="auto"/>
        </w:rPr>
        <w:t>应对居住建筑户间水管、暖气水管、燃气管等管道穿墙处密封性进行评价。</w:t>
      </w:r>
    </w:p>
    <w:p w14:paraId="39F25D22">
      <w:pPr>
        <w:spacing w:line="360" w:lineRule="auto"/>
        <w:ind w:firstLine="420"/>
        <w:rPr>
          <w:color w:val="auto"/>
        </w:rPr>
        <w:sectPr>
          <w:pgSz w:w="11906" w:h="16838"/>
          <w:pgMar w:top="1440" w:right="1800" w:bottom="1440" w:left="1800" w:header="851" w:footer="992" w:gutter="0"/>
          <w:cols w:space="720" w:num="1"/>
          <w:docGrid w:type="lines" w:linePitch="312" w:charSpace="0"/>
        </w:sectPr>
      </w:pPr>
    </w:p>
    <w:p w14:paraId="21EBAC48">
      <w:pPr>
        <w:pStyle w:val="2"/>
        <w:jc w:val="center"/>
        <w:rPr>
          <w:color w:val="auto"/>
          <w:sz w:val="32"/>
        </w:rPr>
      </w:pPr>
      <w:bookmarkStart w:id="76" w:name="_Toc1303"/>
      <w:r>
        <w:rPr>
          <w:color w:val="auto"/>
          <w:sz w:val="32"/>
        </w:rPr>
        <w:t>5　实测评价方法</w:t>
      </w:r>
      <w:bookmarkEnd w:id="76"/>
    </w:p>
    <w:p w14:paraId="693D1235">
      <w:pPr>
        <w:keepNext/>
        <w:snapToGrid w:val="0"/>
        <w:spacing w:before="156" w:beforeLines="50" w:after="156" w:afterLines="50" w:line="360" w:lineRule="auto"/>
        <w:ind w:firstLine="280" w:firstLineChars="100"/>
        <w:jc w:val="center"/>
        <w:outlineLvl w:val="1"/>
        <w:rPr>
          <w:rFonts w:eastAsia="黑体"/>
          <w:bCs/>
          <w:color w:val="auto"/>
          <w:sz w:val="28"/>
        </w:rPr>
      </w:pPr>
      <w:bookmarkStart w:id="77" w:name="_Toc9654"/>
      <w:r>
        <w:rPr>
          <w:rFonts w:eastAsia="黑体"/>
          <w:bCs/>
          <w:color w:val="auto"/>
          <w:sz w:val="28"/>
        </w:rPr>
        <w:t>5.1　一般规定</w:t>
      </w:r>
      <w:bookmarkEnd w:id="77"/>
    </w:p>
    <w:p w14:paraId="66F0631A">
      <w:pPr>
        <w:spacing w:line="360" w:lineRule="auto"/>
        <w:outlineLvl w:val="2"/>
        <w:rPr>
          <w:color w:val="auto"/>
        </w:rPr>
      </w:pPr>
      <w:r>
        <w:rPr>
          <w:b/>
          <w:bCs/>
          <w:color w:val="auto"/>
        </w:rPr>
        <w:t>5.1.1　</w:t>
      </w:r>
      <w:r>
        <w:rPr>
          <w:color w:val="auto"/>
        </w:rPr>
        <w:t>居住建筑空气传播病原微生物防控性能指标的实测评价应在工程主体竣工、房间门窗安装完成、厨卫排气道系统及其他空气输送系统可正常运行且具备现场检测条件后进行。</w:t>
      </w:r>
    </w:p>
    <w:p w14:paraId="2F16D335">
      <w:pPr>
        <w:spacing w:line="360" w:lineRule="auto"/>
        <w:rPr>
          <w:rFonts w:eastAsia="楷体"/>
          <w:color w:val="auto"/>
        </w:rPr>
      </w:pPr>
      <w:r>
        <w:rPr>
          <w:rFonts w:eastAsia="楷体"/>
          <w:color w:val="auto"/>
        </w:rPr>
        <w:t>【条文说明】居住建筑相关设施设备，如门窗、厨卫排气道系统、局部通风设备的安装与否直接影响空气传播病原微生物防控性能评价结果。</w:t>
      </w:r>
    </w:p>
    <w:p w14:paraId="19B16E46">
      <w:pPr>
        <w:spacing w:line="360" w:lineRule="auto"/>
        <w:outlineLvl w:val="2"/>
        <w:rPr>
          <w:color w:val="auto"/>
        </w:rPr>
      </w:pPr>
      <w:r>
        <w:rPr>
          <w:b/>
          <w:bCs/>
          <w:color w:val="auto"/>
        </w:rPr>
        <w:t>5.1.2　</w:t>
      </w:r>
      <w:r>
        <w:rPr>
          <w:color w:val="auto"/>
        </w:rPr>
        <w:t>进行居住建筑空气传播病原微生物防护性能实测评价前，应明确门窗或通风设备等的开关状态或运行工况，宜包括下列内容：</w:t>
      </w:r>
    </w:p>
    <w:p w14:paraId="46E03AFC">
      <w:pPr>
        <w:spacing w:line="360" w:lineRule="auto"/>
        <w:ind w:firstLine="420"/>
        <w:rPr>
          <w:color w:val="auto"/>
        </w:rPr>
      </w:pPr>
      <w:r>
        <w:rPr>
          <w:color w:val="auto"/>
        </w:rPr>
        <w:t>1设置局部通风或净化设备时，局部净化设备的开启和关闭；</w:t>
      </w:r>
    </w:p>
    <w:p w14:paraId="2343C14C">
      <w:pPr>
        <w:spacing w:line="360" w:lineRule="auto"/>
        <w:ind w:firstLine="420"/>
        <w:rPr>
          <w:color w:val="auto"/>
        </w:rPr>
      </w:pPr>
      <w:r>
        <w:rPr>
          <w:color w:val="auto"/>
        </w:rPr>
        <w:t>2设置机械通风或新风系统时，机械通风或新风系统开启和关闭；</w:t>
      </w:r>
    </w:p>
    <w:p w14:paraId="795B3BBA">
      <w:pPr>
        <w:spacing w:line="360" w:lineRule="auto"/>
        <w:ind w:firstLine="420"/>
        <w:rPr>
          <w:color w:val="auto"/>
        </w:rPr>
      </w:pPr>
      <w:r>
        <w:rPr>
          <w:color w:val="auto"/>
        </w:rPr>
        <w:t>3厨房吸油烟机开启和关闭；</w:t>
      </w:r>
    </w:p>
    <w:p w14:paraId="3C0F3479">
      <w:pPr>
        <w:spacing w:line="360" w:lineRule="auto"/>
        <w:ind w:firstLine="420"/>
        <w:rPr>
          <w:color w:val="auto"/>
        </w:rPr>
      </w:pPr>
      <w:r>
        <w:rPr>
          <w:color w:val="auto"/>
        </w:rPr>
        <w:t>4卫生间排气扇开启和关闭；</w:t>
      </w:r>
    </w:p>
    <w:p w14:paraId="2E5CE0FF">
      <w:pPr>
        <w:spacing w:line="360" w:lineRule="auto"/>
        <w:ind w:firstLine="420"/>
        <w:rPr>
          <w:color w:val="auto"/>
        </w:rPr>
      </w:pPr>
      <w:r>
        <w:rPr>
          <w:color w:val="auto"/>
        </w:rPr>
        <w:t>5门窗的开启或关闭，以及开启开度。</w:t>
      </w:r>
    </w:p>
    <w:p w14:paraId="3C3064B6">
      <w:pPr>
        <w:keepNext/>
        <w:snapToGrid w:val="0"/>
        <w:spacing w:before="156" w:beforeLines="50" w:after="156" w:afterLines="50" w:line="360" w:lineRule="auto"/>
        <w:jc w:val="center"/>
        <w:outlineLvl w:val="1"/>
        <w:rPr>
          <w:rFonts w:eastAsia="黑体"/>
          <w:bCs/>
          <w:color w:val="auto"/>
          <w:sz w:val="28"/>
        </w:rPr>
      </w:pPr>
      <w:bookmarkStart w:id="78" w:name="_Toc15668"/>
      <w:r>
        <w:rPr>
          <w:rFonts w:eastAsia="黑体"/>
          <w:bCs/>
          <w:color w:val="auto"/>
          <w:sz w:val="28"/>
        </w:rPr>
        <w:t>5.2　环境指标</w:t>
      </w:r>
      <w:bookmarkEnd w:id="78"/>
    </w:p>
    <w:p w14:paraId="27947E4C">
      <w:pPr>
        <w:spacing w:line="360" w:lineRule="auto"/>
        <w:jc w:val="left"/>
        <w:outlineLvl w:val="2"/>
        <w:rPr>
          <w:color w:val="auto"/>
        </w:rPr>
      </w:pPr>
      <w:r>
        <w:rPr>
          <w:b/>
          <w:bCs/>
          <w:color w:val="auto"/>
        </w:rPr>
        <w:t>5.2.1　</w:t>
      </w:r>
      <w:r>
        <w:rPr>
          <w:color w:val="auto"/>
        </w:rPr>
        <w:t>居住建筑室内环境指标的检测方法应符合下列规定：</w:t>
      </w:r>
    </w:p>
    <w:p w14:paraId="06BDFDD5">
      <w:pPr>
        <w:spacing w:line="360" w:lineRule="auto"/>
        <w:ind w:firstLine="420"/>
        <w:rPr>
          <w:color w:val="auto"/>
        </w:rPr>
      </w:pPr>
      <w:r>
        <w:rPr>
          <w:color w:val="auto"/>
        </w:rPr>
        <w:t>1按现行国家标准《公共场所卫生检验方法 第1部分：物理性指标》GB/T 18204.1—2025中第4条规定的方法检测室内温度；</w:t>
      </w:r>
    </w:p>
    <w:p w14:paraId="41BF8E26">
      <w:pPr>
        <w:spacing w:line="360" w:lineRule="auto"/>
        <w:ind w:firstLine="420"/>
        <w:rPr>
          <w:color w:val="auto"/>
        </w:rPr>
      </w:pPr>
      <w:r>
        <w:rPr>
          <w:color w:val="auto"/>
        </w:rPr>
        <w:t>2按现行国家标准《公共场所卫生检验方法 第1部分：物理性指标》GB/T 18204.1—2025中第5条规定的方法检测室内相对湿度；</w:t>
      </w:r>
    </w:p>
    <w:p w14:paraId="6CBD235D">
      <w:pPr>
        <w:spacing w:line="360" w:lineRule="auto"/>
        <w:ind w:firstLine="420"/>
        <w:rPr>
          <w:color w:val="auto"/>
        </w:rPr>
      </w:pPr>
      <w:r>
        <w:rPr>
          <w:color w:val="auto"/>
        </w:rPr>
        <w:t>3按现行国家标准《室内空气质量标准》GB 18883—2022中附录F规定的方法检测居住建筑室内可吸入颗粒物浓度；</w:t>
      </w:r>
    </w:p>
    <w:p w14:paraId="2F02A5A4">
      <w:pPr>
        <w:spacing w:line="360" w:lineRule="auto"/>
        <w:ind w:firstLine="420"/>
        <w:rPr>
          <w:color w:val="auto"/>
        </w:rPr>
      </w:pPr>
      <w:r>
        <w:rPr>
          <w:color w:val="auto"/>
        </w:rPr>
        <w:t>4按现行国家标准《室内空气质量标准》GB 18883—2022中附录G和现行国家标准《公共场所卫生检验方法 第3部分：空气微生物指标》GB/T 18204.3—2025中第4条规定的方法检测居住建筑室内细菌总数。</w:t>
      </w:r>
    </w:p>
    <w:p w14:paraId="13994BFD">
      <w:pPr>
        <w:spacing w:line="360" w:lineRule="auto"/>
        <w:outlineLvl w:val="2"/>
        <w:rPr>
          <w:b/>
          <w:bCs/>
          <w:color w:val="auto"/>
        </w:rPr>
      </w:pPr>
      <w:r>
        <w:rPr>
          <w:b/>
          <w:bCs/>
          <w:color w:val="auto"/>
          <w:lang w:bidi="ar"/>
        </w:rPr>
        <w:t>5.2.2　</w:t>
      </w:r>
      <w:r>
        <w:rPr>
          <w:color w:val="auto"/>
          <w:lang w:bidi="ar"/>
        </w:rPr>
        <w:t>按现行国家标准《公共场所卫生检验方法 第1部分：物理性指标》GB/T 18204.1—2025中第10条规定的方法检测室内自然采光系数。</w:t>
      </w:r>
    </w:p>
    <w:p w14:paraId="7B04E05B">
      <w:pPr>
        <w:keepNext/>
        <w:snapToGrid w:val="0"/>
        <w:spacing w:before="156" w:beforeLines="50" w:after="156" w:afterLines="50" w:line="360" w:lineRule="auto"/>
        <w:jc w:val="center"/>
        <w:outlineLvl w:val="1"/>
        <w:rPr>
          <w:rFonts w:eastAsia="黑体"/>
          <w:bCs/>
          <w:color w:val="auto"/>
          <w:sz w:val="28"/>
        </w:rPr>
      </w:pPr>
      <w:bookmarkStart w:id="79" w:name="_Toc15321"/>
      <w:r>
        <w:rPr>
          <w:rFonts w:eastAsia="黑体"/>
          <w:bCs/>
          <w:color w:val="auto"/>
          <w:sz w:val="28"/>
        </w:rPr>
        <w:t>5.3　户内传播防护性能</w:t>
      </w:r>
      <w:bookmarkEnd w:id="79"/>
    </w:p>
    <w:p w14:paraId="051FECC9">
      <w:pPr>
        <w:spacing w:line="360" w:lineRule="auto"/>
        <w:outlineLvl w:val="2"/>
        <w:rPr>
          <w:color w:val="auto"/>
        </w:rPr>
      </w:pPr>
      <w:r>
        <w:rPr>
          <w:b/>
          <w:bCs/>
          <w:color w:val="auto"/>
        </w:rPr>
        <w:t>5.3.1　</w:t>
      </w:r>
      <w:r>
        <w:rPr>
          <w:color w:val="auto"/>
        </w:rPr>
        <w:t>按现行国家标准《公共场所卫生检验方法 第1部分：物理性指标》GB/T 18204.1—2025中第7条规定的方法检测居住建筑室内各房间不同运行工况时的新风量或新风换气次数。</w:t>
      </w:r>
    </w:p>
    <w:p w14:paraId="34CB99E3">
      <w:pPr>
        <w:spacing w:line="360" w:lineRule="auto"/>
        <w:rPr>
          <w:rFonts w:eastAsia="楷体"/>
          <w:color w:val="auto"/>
          <w:lang w:bidi="ar"/>
        </w:rPr>
      </w:pPr>
      <w:r>
        <w:rPr>
          <w:rFonts w:eastAsia="楷体"/>
          <w:color w:val="auto"/>
          <w:lang w:bidi="ar"/>
        </w:rPr>
        <w:t>【条文说明】厨房吸油烟机和卫生间排气扇等局部通风设备开启、关闭工况对各房间新风量会产生影响。</w:t>
      </w:r>
    </w:p>
    <w:p w14:paraId="01DB5C28">
      <w:pPr>
        <w:spacing w:line="360" w:lineRule="auto"/>
        <w:outlineLvl w:val="2"/>
        <w:rPr>
          <w:color w:val="auto"/>
        </w:rPr>
      </w:pPr>
      <w:r>
        <w:rPr>
          <w:b/>
          <w:bCs/>
          <w:color w:val="auto"/>
        </w:rPr>
        <w:t>5.3.2　</w:t>
      </w:r>
      <w:r>
        <w:rPr>
          <w:color w:val="auto"/>
        </w:rPr>
        <w:t>按现行国家标准《空气净化器》GB/T 18801.1—2022中第7条规定的方法检测</w:t>
      </w:r>
      <w:r>
        <w:rPr>
          <w:color w:val="auto"/>
          <w:lang w:bidi="ar"/>
        </w:rPr>
        <w:t>净化设备的洁净风风量，并用洁净风量除以房间体积得到洁净风换气次数或</w:t>
      </w:r>
      <w:r>
        <w:rPr>
          <w:color w:val="auto"/>
        </w:rPr>
        <w:t>检查净化设备性能试验报告。</w:t>
      </w:r>
    </w:p>
    <w:p w14:paraId="576B10F8">
      <w:pPr>
        <w:keepNext/>
        <w:snapToGrid w:val="0"/>
        <w:spacing w:before="156" w:beforeLines="50" w:after="156" w:afterLines="50" w:line="360" w:lineRule="auto"/>
        <w:jc w:val="center"/>
        <w:outlineLvl w:val="1"/>
        <w:rPr>
          <w:rFonts w:eastAsia="黑体"/>
          <w:bCs/>
          <w:color w:val="auto"/>
          <w:sz w:val="28"/>
        </w:rPr>
      </w:pPr>
      <w:bookmarkStart w:id="80" w:name="_Toc7419"/>
      <w:r>
        <w:rPr>
          <w:rFonts w:eastAsia="黑体"/>
          <w:bCs/>
          <w:color w:val="auto"/>
          <w:sz w:val="28"/>
        </w:rPr>
        <w:t>5.4　户间传播防护性能</w:t>
      </w:r>
      <w:bookmarkEnd w:id="80"/>
    </w:p>
    <w:p w14:paraId="4176DAE7">
      <w:pPr>
        <w:spacing w:line="360" w:lineRule="auto"/>
        <w:outlineLvl w:val="2"/>
        <w:rPr>
          <w:color w:val="auto"/>
        </w:rPr>
      </w:pPr>
      <w:r>
        <w:rPr>
          <w:b/>
          <w:bCs/>
          <w:color w:val="auto"/>
        </w:rPr>
        <w:t>5.4.1　</w:t>
      </w:r>
      <w:r>
        <w:rPr>
          <w:color w:val="auto"/>
        </w:rPr>
        <w:t>按现行国家标准《洁净室及相关受控环境 第3部分：检测方法》GB/T 25915.3—2024附录B中第B.7条和现行行业标准《建筑通风效果测试与评价标准》JGJ/T 309—2013中第4.8条规定的方法检测居住建筑内气流流向。</w:t>
      </w:r>
    </w:p>
    <w:p w14:paraId="07B8B47A">
      <w:pPr>
        <w:spacing w:line="360" w:lineRule="auto"/>
        <w:jc w:val="left"/>
        <w:outlineLvl w:val="2"/>
        <w:rPr>
          <w:color w:val="auto"/>
        </w:rPr>
      </w:pPr>
      <w:r>
        <w:rPr>
          <w:b/>
          <w:bCs/>
          <w:color w:val="auto"/>
        </w:rPr>
        <w:t>5.4.2　</w:t>
      </w:r>
      <w:r>
        <w:rPr>
          <w:color w:val="auto"/>
          <w:lang w:bidi="ar"/>
        </w:rPr>
        <w:t>居住建筑竖向排风道户间传播防护性能检测</w:t>
      </w:r>
      <w:r>
        <w:rPr>
          <w:color w:val="auto"/>
        </w:rPr>
        <w:t>应符合下列规定：</w:t>
      </w:r>
    </w:p>
    <w:p w14:paraId="53F056A7">
      <w:pPr>
        <w:spacing w:line="360" w:lineRule="auto"/>
        <w:ind w:firstLine="420"/>
        <w:rPr>
          <w:color w:val="auto"/>
        </w:rPr>
      </w:pPr>
      <w:r>
        <w:rPr>
          <w:color w:val="auto"/>
        </w:rPr>
        <w:t>1按现行行业标准《建筑通风效果测试与评价标准》JGJ/T 309—2013中第4.6条规定的方法检测居住建筑厨卫排风管道支管静压和排气道静压；</w:t>
      </w:r>
    </w:p>
    <w:p w14:paraId="4639368F">
      <w:pPr>
        <w:spacing w:line="360" w:lineRule="auto"/>
        <w:ind w:firstLine="420"/>
        <w:rPr>
          <w:color w:val="auto"/>
        </w:rPr>
      </w:pPr>
      <w:r>
        <w:rPr>
          <w:color w:val="auto"/>
        </w:rPr>
        <w:t>2目视检查厨房、卫生间排风道止回阀设置情况以及止回阀外观情况；按现行行业标准</w:t>
      </w:r>
      <w:r>
        <w:rPr>
          <w:rFonts w:eastAsia="Arial"/>
          <w:color w:val="auto"/>
          <w:szCs w:val="24"/>
          <w:shd w:val="clear" w:color="auto" w:fill="FFFFFF"/>
        </w:rPr>
        <w:t>《建筑通风和排烟系统用防火阀门》</w:t>
      </w:r>
      <w:r>
        <w:rPr>
          <w:color w:val="auto"/>
        </w:rPr>
        <w:t>GB 15930—2007中7.2.11条规定的方法检测止回阀环境温度下的漏风量或核查止回阀密闭性检测报告；</w:t>
      </w:r>
    </w:p>
    <w:p w14:paraId="1BEEE963">
      <w:pPr>
        <w:spacing w:line="360" w:lineRule="auto"/>
        <w:ind w:firstLine="420"/>
        <w:rPr>
          <w:color w:val="auto"/>
        </w:rPr>
      </w:pPr>
      <w:r>
        <w:rPr>
          <w:color w:val="auto"/>
        </w:rPr>
        <w:t>3使用有色烟雾发生装置发生烟雾，并在排气道起始层通过风机将有色烟雾排入排气道内，逐层检查排气道各部位是否产生漏烟现象。</w:t>
      </w:r>
    </w:p>
    <w:p w14:paraId="377C41D9">
      <w:pPr>
        <w:spacing w:line="360" w:lineRule="auto"/>
        <w:jc w:val="left"/>
        <w:outlineLvl w:val="2"/>
        <w:rPr>
          <w:color w:val="auto"/>
        </w:rPr>
      </w:pPr>
      <w:r>
        <w:rPr>
          <w:b/>
          <w:bCs/>
          <w:color w:val="auto"/>
        </w:rPr>
        <w:t>5.4.3　</w:t>
      </w:r>
      <w:r>
        <w:rPr>
          <w:color w:val="auto"/>
          <w:lang w:bidi="ar"/>
        </w:rPr>
        <w:t>居住建筑排水管道户间传播防护性能</w:t>
      </w:r>
      <w:r>
        <w:rPr>
          <w:color w:val="auto"/>
        </w:rPr>
        <w:t>的检测应采用以下检测方法：</w:t>
      </w:r>
    </w:p>
    <w:p w14:paraId="34F6F53A">
      <w:pPr>
        <w:spacing w:line="360" w:lineRule="auto"/>
        <w:ind w:firstLine="420"/>
        <w:rPr>
          <w:color w:val="auto"/>
        </w:rPr>
      </w:pPr>
      <w:r>
        <w:rPr>
          <w:color w:val="auto"/>
        </w:rPr>
        <w:t>1检查厨房、卫生间排水管存水弯设置、水封形式与水封内存水情况；</w:t>
      </w:r>
    </w:p>
    <w:p w14:paraId="012A9248">
      <w:pPr>
        <w:spacing w:line="360" w:lineRule="auto"/>
        <w:ind w:firstLine="420"/>
        <w:rPr>
          <w:color w:val="auto"/>
        </w:rPr>
      </w:pPr>
      <w:r>
        <w:rPr>
          <w:color w:val="auto"/>
        </w:rPr>
        <w:t>2检查厨房、卫生间地漏形式与地漏水封内存水情况；</w:t>
      </w:r>
    </w:p>
    <w:p w14:paraId="593A9053">
      <w:pPr>
        <w:spacing w:line="360" w:lineRule="auto"/>
        <w:ind w:firstLine="420"/>
        <w:rPr>
          <w:color w:val="auto"/>
        </w:rPr>
      </w:pPr>
      <w:r>
        <w:rPr>
          <w:color w:val="auto"/>
        </w:rPr>
        <w:t>3检查厨房、卫生间排水管安装隐蔽工程验收记录或相关测试报告，目测施工部位外观，综合判断排水管道密封性。</w:t>
      </w:r>
    </w:p>
    <w:p w14:paraId="36BF9486">
      <w:pPr>
        <w:spacing w:line="360" w:lineRule="auto"/>
        <w:ind w:firstLine="420"/>
        <w:rPr>
          <w:color w:val="auto"/>
        </w:rPr>
      </w:pPr>
      <w:r>
        <w:rPr>
          <w:color w:val="auto"/>
        </w:rPr>
        <w:t>4目视检查</w:t>
      </w:r>
      <w:r>
        <w:rPr>
          <w:rFonts w:eastAsiaTheme="minorEastAsia"/>
          <w:color w:val="auto"/>
        </w:rPr>
        <w:t>卫生器具与排水管道连接处密封性。</w:t>
      </w:r>
    </w:p>
    <w:p w14:paraId="6EB1ABD9">
      <w:pPr>
        <w:spacing w:line="360" w:lineRule="auto"/>
        <w:outlineLvl w:val="2"/>
        <w:rPr>
          <w:color w:val="auto"/>
        </w:rPr>
        <w:sectPr>
          <w:pgSz w:w="11906" w:h="16838"/>
          <w:pgMar w:top="1440" w:right="1800" w:bottom="1440" w:left="1800" w:header="851" w:footer="992" w:gutter="0"/>
          <w:cols w:space="720" w:num="1"/>
          <w:docGrid w:type="lines" w:linePitch="312" w:charSpace="0"/>
        </w:sectPr>
      </w:pPr>
      <w:r>
        <w:rPr>
          <w:b/>
          <w:bCs/>
          <w:color w:val="auto"/>
        </w:rPr>
        <w:t>5.4.4　</w:t>
      </w:r>
      <w:r>
        <w:rPr>
          <w:color w:val="auto"/>
        </w:rPr>
        <w:t>目视检查</w:t>
      </w:r>
      <w:r>
        <w:rPr>
          <w:color w:val="auto"/>
          <w:lang w:bidi="ar"/>
        </w:rPr>
        <w:t>居住建筑户间水管、暖气水管、燃气管等管道穿墙处密封性</w:t>
      </w:r>
      <w:r>
        <w:rPr>
          <w:color w:val="auto"/>
        </w:rPr>
        <w:t>。</w:t>
      </w:r>
    </w:p>
    <w:p w14:paraId="311A9580">
      <w:pPr>
        <w:pStyle w:val="2"/>
        <w:jc w:val="center"/>
        <w:rPr>
          <w:color w:val="auto"/>
          <w:sz w:val="32"/>
        </w:rPr>
      </w:pPr>
      <w:bookmarkStart w:id="81" w:name="_Toc7448"/>
      <w:r>
        <w:rPr>
          <w:color w:val="auto"/>
          <w:sz w:val="32"/>
        </w:rPr>
        <w:t>6　模拟评价方法</w:t>
      </w:r>
      <w:bookmarkEnd w:id="81"/>
    </w:p>
    <w:p w14:paraId="63E6181B">
      <w:pPr>
        <w:keepNext/>
        <w:snapToGrid w:val="0"/>
        <w:spacing w:before="156" w:beforeLines="50" w:after="156" w:afterLines="50" w:line="360" w:lineRule="auto"/>
        <w:jc w:val="center"/>
        <w:outlineLvl w:val="1"/>
        <w:rPr>
          <w:rFonts w:eastAsia="黑体"/>
          <w:bCs/>
          <w:color w:val="auto"/>
          <w:sz w:val="28"/>
        </w:rPr>
      </w:pPr>
      <w:bookmarkStart w:id="82" w:name="_Toc16936"/>
      <w:r>
        <w:rPr>
          <w:rFonts w:eastAsia="黑体"/>
          <w:bCs/>
          <w:color w:val="auto"/>
          <w:sz w:val="28"/>
        </w:rPr>
        <w:t>6.1　一般规定</w:t>
      </w:r>
      <w:bookmarkEnd w:id="82"/>
    </w:p>
    <w:p w14:paraId="0D379E07">
      <w:pPr>
        <w:spacing w:line="360" w:lineRule="auto"/>
        <w:outlineLvl w:val="2"/>
        <w:rPr>
          <w:color w:val="auto"/>
        </w:rPr>
      </w:pPr>
      <w:r>
        <w:rPr>
          <w:b/>
          <w:bCs/>
          <w:color w:val="auto"/>
        </w:rPr>
        <w:t>6.1.1　</w:t>
      </w:r>
      <w:r>
        <w:rPr>
          <w:color w:val="auto"/>
        </w:rPr>
        <w:t>模拟评价方法包括模型试验、数值模拟和示踪物质测试等。</w:t>
      </w:r>
    </w:p>
    <w:p w14:paraId="29B61A55">
      <w:pPr>
        <w:spacing w:line="360" w:lineRule="auto"/>
        <w:outlineLvl w:val="2"/>
        <w:rPr>
          <w:color w:val="auto"/>
        </w:rPr>
      </w:pPr>
      <w:r>
        <w:rPr>
          <w:b/>
          <w:bCs/>
          <w:color w:val="auto"/>
        </w:rPr>
        <w:t>6.1.2　</w:t>
      </w:r>
      <w:r>
        <w:rPr>
          <w:color w:val="auto"/>
        </w:rPr>
        <w:t>对居住建筑防护性能分项指标进行模拟时，指标应包括换气次数、新风量和气流组织。</w:t>
      </w:r>
    </w:p>
    <w:p w14:paraId="4A1CF3AA">
      <w:pPr>
        <w:spacing w:line="360" w:lineRule="auto"/>
        <w:outlineLvl w:val="2"/>
        <w:rPr>
          <w:color w:val="auto"/>
        </w:rPr>
      </w:pPr>
      <w:r>
        <w:rPr>
          <w:b/>
          <w:bCs/>
          <w:color w:val="auto"/>
        </w:rPr>
        <w:t>6.1.3　</w:t>
      </w:r>
      <w:r>
        <w:rPr>
          <w:color w:val="auto"/>
        </w:rPr>
        <w:t>宜对居住建筑空气传播病原微生物在户内、户间各传播路径上和户内、户间的综合传播能力分别进行模拟，并根据模拟的传播结果进行防护性能评价。</w:t>
      </w:r>
    </w:p>
    <w:p w14:paraId="53BC90DB">
      <w:pPr>
        <w:keepNext/>
        <w:snapToGrid w:val="0"/>
        <w:spacing w:before="156" w:beforeLines="50" w:after="156" w:afterLines="50" w:line="360" w:lineRule="auto"/>
        <w:jc w:val="center"/>
        <w:outlineLvl w:val="1"/>
        <w:rPr>
          <w:rFonts w:eastAsia="黑体"/>
          <w:bCs/>
          <w:color w:val="auto"/>
          <w:sz w:val="28"/>
        </w:rPr>
      </w:pPr>
      <w:bookmarkStart w:id="83" w:name="_Toc29428"/>
      <w:r>
        <w:rPr>
          <w:rFonts w:eastAsia="黑体"/>
          <w:bCs/>
          <w:color w:val="auto"/>
          <w:sz w:val="28"/>
        </w:rPr>
        <w:t>6.2　模型试验和数值模拟</w:t>
      </w:r>
      <w:bookmarkEnd w:id="83"/>
    </w:p>
    <w:p w14:paraId="040E0212">
      <w:pPr>
        <w:spacing w:line="360" w:lineRule="auto"/>
        <w:outlineLvl w:val="2"/>
        <w:rPr>
          <w:color w:val="auto"/>
        </w:rPr>
      </w:pPr>
      <w:r>
        <w:rPr>
          <w:b/>
          <w:bCs/>
          <w:color w:val="auto"/>
        </w:rPr>
        <w:t>6.2.1　</w:t>
      </w:r>
      <w:r>
        <w:rPr>
          <w:color w:val="auto"/>
        </w:rPr>
        <w:t>模型试验方法参照现行行业标准《建筑通风效果测试与评价标准》JGJ/T 309—2013第5.3条。</w:t>
      </w:r>
    </w:p>
    <w:p w14:paraId="28721E38">
      <w:pPr>
        <w:spacing w:line="360" w:lineRule="auto"/>
        <w:outlineLvl w:val="2"/>
        <w:rPr>
          <w:color w:val="auto"/>
        </w:rPr>
      </w:pPr>
      <w:r>
        <w:rPr>
          <w:b/>
          <w:bCs/>
          <w:color w:val="auto"/>
        </w:rPr>
        <w:t>6.2.2　</w:t>
      </w:r>
      <w:r>
        <w:rPr>
          <w:color w:val="auto"/>
        </w:rPr>
        <w:t>数值模拟方法参照现行行业标准《建筑通风效果测试与评价标准》JGJ/T 309—2013第5.4条。</w:t>
      </w:r>
    </w:p>
    <w:p w14:paraId="3CFE0E3B">
      <w:pPr>
        <w:keepNext/>
        <w:snapToGrid w:val="0"/>
        <w:spacing w:before="156" w:beforeLines="50" w:after="156" w:afterLines="50" w:line="360" w:lineRule="auto"/>
        <w:jc w:val="center"/>
        <w:outlineLvl w:val="1"/>
        <w:rPr>
          <w:rFonts w:eastAsia="黑体"/>
          <w:bCs/>
          <w:color w:val="auto"/>
          <w:sz w:val="28"/>
        </w:rPr>
      </w:pPr>
      <w:bookmarkStart w:id="84" w:name="_Toc4104"/>
      <w:r>
        <w:rPr>
          <w:rFonts w:eastAsia="黑体"/>
          <w:bCs/>
          <w:color w:val="auto"/>
          <w:sz w:val="28"/>
        </w:rPr>
        <w:t>6.3　示踪物质测试</w:t>
      </w:r>
      <w:bookmarkEnd w:id="84"/>
    </w:p>
    <w:p w14:paraId="7974B6A3">
      <w:pPr>
        <w:spacing w:line="360" w:lineRule="auto"/>
        <w:outlineLvl w:val="2"/>
        <w:rPr>
          <w:color w:val="auto"/>
        </w:rPr>
      </w:pPr>
      <w:r>
        <w:rPr>
          <w:b/>
          <w:bCs/>
          <w:color w:val="auto"/>
        </w:rPr>
        <w:t>6.3.1　</w:t>
      </w:r>
      <w:r>
        <w:rPr>
          <w:color w:val="auto"/>
        </w:rPr>
        <w:t>采用示踪物质进行测试评价前，应制定测试评价方案，测试方案应明确下列内容：</w:t>
      </w:r>
    </w:p>
    <w:p w14:paraId="0D8F76D1">
      <w:pPr>
        <w:spacing w:line="360" w:lineRule="auto"/>
        <w:ind w:firstLine="420"/>
        <w:rPr>
          <w:color w:val="auto"/>
        </w:rPr>
      </w:pPr>
      <w:r>
        <w:rPr>
          <w:color w:val="auto"/>
        </w:rPr>
        <w:t>1评价内容或评价项目；</w:t>
      </w:r>
    </w:p>
    <w:p w14:paraId="53CDDD1B">
      <w:pPr>
        <w:spacing w:line="360" w:lineRule="auto"/>
        <w:ind w:firstLine="420"/>
        <w:rPr>
          <w:color w:val="auto"/>
        </w:rPr>
      </w:pPr>
      <w:r>
        <w:rPr>
          <w:color w:val="auto"/>
        </w:rPr>
        <w:t>2测试工况；</w:t>
      </w:r>
    </w:p>
    <w:p w14:paraId="1BA842F5">
      <w:pPr>
        <w:spacing w:line="360" w:lineRule="auto"/>
        <w:ind w:firstLine="420"/>
        <w:rPr>
          <w:color w:val="auto"/>
        </w:rPr>
      </w:pPr>
      <w:r>
        <w:rPr>
          <w:color w:val="auto"/>
        </w:rPr>
        <w:t>3示踪物质种类、示踪物质发生方法及检测仪器；</w:t>
      </w:r>
    </w:p>
    <w:p w14:paraId="211D64EE">
      <w:pPr>
        <w:spacing w:line="360" w:lineRule="auto"/>
        <w:ind w:firstLine="420"/>
        <w:rPr>
          <w:color w:val="auto"/>
        </w:rPr>
      </w:pPr>
      <w:r>
        <w:rPr>
          <w:color w:val="auto"/>
        </w:rPr>
        <w:t>4示踪物质的注入方式，包括恒定注入法、瞬时注入法、恒定浓度法等。</w:t>
      </w:r>
    </w:p>
    <w:p w14:paraId="7FB5D393">
      <w:pPr>
        <w:spacing w:line="360" w:lineRule="auto"/>
        <w:outlineLvl w:val="2"/>
        <w:rPr>
          <w:color w:val="auto"/>
        </w:rPr>
      </w:pPr>
      <w:r>
        <w:rPr>
          <w:b/>
          <w:bCs/>
          <w:color w:val="auto"/>
        </w:rPr>
        <w:t>6.3.2　</w:t>
      </w:r>
      <w:r>
        <w:rPr>
          <w:color w:val="auto"/>
        </w:rPr>
        <w:t>宜根据评价需求确定示踪物质种类，包括示踪气体、气溶胶和示踪微生物等，示踪物质的选用宜遵循下列原则：</w:t>
      </w:r>
    </w:p>
    <w:p w14:paraId="7D82BBCA">
      <w:pPr>
        <w:spacing w:line="360" w:lineRule="auto"/>
        <w:ind w:firstLine="420"/>
        <w:rPr>
          <w:color w:val="auto"/>
        </w:rPr>
      </w:pPr>
      <w:r>
        <w:rPr>
          <w:color w:val="auto"/>
        </w:rPr>
        <w:t>1示踪物质应具有物理、化学性质稳定、无毒无害、无二次污染、易于获得和易于检测的特性；</w:t>
      </w:r>
    </w:p>
    <w:p w14:paraId="1B6B2B4C">
      <w:pPr>
        <w:spacing w:line="360" w:lineRule="auto"/>
        <w:ind w:firstLine="420"/>
        <w:rPr>
          <w:b/>
          <w:bCs/>
          <w:color w:val="auto"/>
        </w:rPr>
      </w:pPr>
      <w:r>
        <w:rPr>
          <w:color w:val="auto"/>
        </w:rPr>
        <w:t>2</w:t>
      </w:r>
      <w:r>
        <w:rPr>
          <w:color w:val="auto"/>
          <w:szCs w:val="24"/>
        </w:rPr>
        <w:t>示踪物质的释放过程需易于控制，能够模拟目标污染物的排放特征；</w:t>
      </w:r>
    </w:p>
    <w:p w14:paraId="7968C046">
      <w:pPr>
        <w:spacing w:line="360" w:lineRule="auto"/>
        <w:ind w:firstLine="420"/>
        <w:rPr>
          <w:color w:val="auto"/>
          <w:szCs w:val="24"/>
        </w:rPr>
      </w:pPr>
      <w:r>
        <w:rPr>
          <w:color w:val="auto"/>
        </w:rPr>
        <w:t>3</w:t>
      </w:r>
      <w:r>
        <w:rPr>
          <w:color w:val="auto"/>
          <w:szCs w:val="24"/>
        </w:rPr>
        <w:t>示踪物质与目标污染物具有理化性质相似、动力学行为相似。</w:t>
      </w:r>
    </w:p>
    <w:bookmarkEnd w:id="18"/>
    <w:p w14:paraId="42A52A13">
      <w:pPr>
        <w:spacing w:line="360" w:lineRule="auto"/>
        <w:rPr>
          <w:rFonts w:eastAsia="楷体"/>
          <w:color w:val="auto"/>
          <w:lang w:bidi="ar"/>
        </w:rPr>
        <w:sectPr>
          <w:pgSz w:w="11906" w:h="16838"/>
          <w:pgMar w:top="1440" w:right="1800" w:bottom="1440" w:left="1800" w:header="851" w:footer="992" w:gutter="0"/>
          <w:cols w:space="720" w:num="1"/>
          <w:docGrid w:type="lines" w:linePitch="312" w:charSpace="0"/>
        </w:sectPr>
      </w:pPr>
      <w:bookmarkStart w:id="85" w:name="_Toc201054960"/>
      <w:bookmarkStart w:id="86" w:name="_Toc199332484"/>
      <w:bookmarkStart w:id="87" w:name="_Toc199256646"/>
      <w:bookmarkStart w:id="88" w:name="_Toc199256578"/>
      <w:bookmarkStart w:id="89" w:name="_Toc199256068"/>
      <w:bookmarkStart w:id="90" w:name="_Toc26243"/>
      <w:r>
        <w:rPr>
          <w:rFonts w:eastAsia="楷体"/>
          <w:color w:val="auto"/>
          <w:lang w:bidi="ar"/>
        </w:rPr>
        <w:t>【条文说明】气态示踪物质包括六氟化硫（SF₆）、氙气（Xe）、全氟甲基环己烷（PMCH）等；气溶胶示踪物质包括荧光聚苯乙烯微球（粒径 2.0–2.5μm）、炭黑粒子、玻璃微珠（粒径 5–10μm）、放射性标记二氧化硅颗粒等；微生物示踪物质包括非致病性荧光标记枯草芽孢杆菌、球形红假单胞菌等。</w:t>
      </w:r>
    </w:p>
    <w:p w14:paraId="554C036D">
      <w:pPr>
        <w:pStyle w:val="2"/>
        <w:jc w:val="center"/>
        <w:rPr>
          <w:color w:val="auto"/>
          <w:sz w:val="32"/>
        </w:rPr>
      </w:pPr>
      <w:bookmarkStart w:id="91" w:name="_Toc15379"/>
      <w:r>
        <w:rPr>
          <w:color w:val="auto"/>
          <w:sz w:val="32"/>
        </w:rPr>
        <w:t>用词说明</w:t>
      </w:r>
      <w:bookmarkEnd w:id="85"/>
      <w:bookmarkEnd w:id="86"/>
      <w:bookmarkEnd w:id="87"/>
      <w:bookmarkEnd w:id="88"/>
      <w:bookmarkEnd w:id="89"/>
      <w:bookmarkEnd w:id="90"/>
      <w:bookmarkEnd w:id="91"/>
    </w:p>
    <w:p w14:paraId="602C5559">
      <w:pPr>
        <w:tabs>
          <w:tab w:val="left" w:pos="19"/>
        </w:tabs>
        <w:spacing w:line="360" w:lineRule="auto"/>
        <w:rPr>
          <w:b/>
          <w:bCs/>
          <w:color w:val="auto"/>
          <w:sz w:val="22"/>
        </w:rPr>
      </w:pPr>
    </w:p>
    <w:p w14:paraId="1FD30EA0">
      <w:pPr>
        <w:tabs>
          <w:tab w:val="left" w:pos="19"/>
        </w:tabs>
        <w:spacing w:line="360" w:lineRule="auto"/>
        <w:ind w:firstLine="480" w:firstLineChars="200"/>
        <w:rPr>
          <w:color w:val="auto"/>
        </w:rPr>
      </w:pPr>
      <w:r>
        <w:rPr>
          <w:color w:val="auto"/>
        </w:rPr>
        <w:t>为便于在执行本标准条款时区别对待，对要求严格程度不同的用词说明如下：</w:t>
      </w:r>
    </w:p>
    <w:p w14:paraId="7EE4DB0D">
      <w:pPr>
        <w:tabs>
          <w:tab w:val="left" w:pos="19"/>
        </w:tabs>
        <w:spacing w:line="360" w:lineRule="auto"/>
        <w:ind w:firstLine="241" w:firstLineChars="100"/>
        <w:rPr>
          <w:color w:val="auto"/>
        </w:rPr>
      </w:pPr>
      <w:r>
        <w:rPr>
          <w:b/>
          <w:color w:val="auto"/>
        </w:rPr>
        <w:t>1</w:t>
      </w:r>
      <w:r>
        <w:rPr>
          <w:b/>
          <w:bCs/>
          <w:color w:val="auto"/>
        </w:rPr>
        <w:t>　</w:t>
      </w:r>
      <w:r>
        <w:rPr>
          <w:color w:val="auto"/>
        </w:rPr>
        <w:t>表示很严格，非这样做不可的：</w:t>
      </w:r>
    </w:p>
    <w:p w14:paraId="2CB47424">
      <w:pPr>
        <w:tabs>
          <w:tab w:val="left" w:pos="19"/>
        </w:tabs>
        <w:spacing w:line="360" w:lineRule="auto"/>
        <w:ind w:firstLine="600" w:firstLineChars="250"/>
        <w:rPr>
          <w:color w:val="auto"/>
        </w:rPr>
      </w:pPr>
      <w:r>
        <w:rPr>
          <w:color w:val="auto"/>
        </w:rPr>
        <w:t>正面词采用“必须</w:t>
      </w:r>
      <w:r>
        <w:rPr>
          <w:color w:val="auto"/>
          <w:spacing w:val="120"/>
        </w:rPr>
        <w:t>”</w:t>
      </w:r>
      <w:r>
        <w:rPr>
          <w:color w:val="auto"/>
        </w:rPr>
        <w:t>，反面词采用“严禁</w:t>
      </w:r>
      <w:r>
        <w:rPr>
          <w:color w:val="auto"/>
          <w:spacing w:val="120"/>
        </w:rPr>
        <w:t>”；</w:t>
      </w:r>
    </w:p>
    <w:p w14:paraId="21D84AA4">
      <w:pPr>
        <w:tabs>
          <w:tab w:val="left" w:pos="19"/>
        </w:tabs>
        <w:spacing w:line="360" w:lineRule="auto"/>
        <w:ind w:firstLine="241" w:firstLineChars="100"/>
        <w:rPr>
          <w:color w:val="auto"/>
        </w:rPr>
      </w:pPr>
      <w:r>
        <w:rPr>
          <w:b/>
          <w:color w:val="auto"/>
        </w:rPr>
        <w:t>2</w:t>
      </w:r>
      <w:r>
        <w:rPr>
          <w:b/>
          <w:bCs/>
          <w:color w:val="auto"/>
        </w:rPr>
        <w:t>　</w:t>
      </w:r>
      <w:r>
        <w:rPr>
          <w:color w:val="auto"/>
        </w:rPr>
        <w:t>表示严格，在正常情况下均应这样做的：</w:t>
      </w:r>
    </w:p>
    <w:p w14:paraId="01B44CF3">
      <w:pPr>
        <w:tabs>
          <w:tab w:val="left" w:pos="19"/>
        </w:tabs>
        <w:spacing w:line="360" w:lineRule="auto"/>
        <w:ind w:firstLine="600" w:firstLineChars="250"/>
        <w:rPr>
          <w:color w:val="auto"/>
        </w:rPr>
      </w:pPr>
      <w:r>
        <w:rPr>
          <w:color w:val="auto"/>
        </w:rPr>
        <w:t>正面词采用“应</w:t>
      </w:r>
      <w:r>
        <w:rPr>
          <w:color w:val="auto"/>
          <w:spacing w:val="120"/>
        </w:rPr>
        <w:t>”</w:t>
      </w:r>
      <w:r>
        <w:rPr>
          <w:color w:val="auto"/>
        </w:rPr>
        <w:t>，反面词采用“不应”或“不得</w:t>
      </w:r>
      <w:r>
        <w:rPr>
          <w:color w:val="auto"/>
          <w:spacing w:val="120"/>
        </w:rPr>
        <w:t>”；</w:t>
      </w:r>
    </w:p>
    <w:p w14:paraId="7CF8B1CF">
      <w:pPr>
        <w:tabs>
          <w:tab w:val="left" w:pos="19"/>
        </w:tabs>
        <w:spacing w:line="360" w:lineRule="auto"/>
        <w:ind w:firstLine="241" w:firstLineChars="100"/>
        <w:rPr>
          <w:color w:val="auto"/>
        </w:rPr>
      </w:pPr>
      <w:r>
        <w:rPr>
          <w:b/>
          <w:color w:val="auto"/>
        </w:rPr>
        <w:t>3</w:t>
      </w:r>
      <w:r>
        <w:rPr>
          <w:b/>
          <w:bCs/>
          <w:color w:val="auto"/>
        </w:rPr>
        <w:t>　</w:t>
      </w:r>
      <w:r>
        <w:rPr>
          <w:color w:val="auto"/>
        </w:rPr>
        <w:t>表示允许稍有选择，在条件许可时首先应这样做的：</w:t>
      </w:r>
    </w:p>
    <w:p w14:paraId="6BCA407E">
      <w:pPr>
        <w:tabs>
          <w:tab w:val="left" w:pos="19"/>
        </w:tabs>
        <w:spacing w:line="360" w:lineRule="auto"/>
        <w:ind w:firstLine="600"/>
        <w:rPr>
          <w:color w:val="auto"/>
          <w:spacing w:val="120"/>
        </w:rPr>
      </w:pPr>
      <w:r>
        <w:rPr>
          <w:color w:val="auto"/>
        </w:rPr>
        <w:t>正面词采用“宜</w:t>
      </w:r>
      <w:r>
        <w:rPr>
          <w:color w:val="auto"/>
          <w:spacing w:val="120"/>
        </w:rPr>
        <w:t>”</w:t>
      </w:r>
      <w:r>
        <w:rPr>
          <w:color w:val="auto"/>
        </w:rPr>
        <w:t>，反面词采用“不宜</w:t>
      </w:r>
      <w:r>
        <w:rPr>
          <w:color w:val="auto"/>
          <w:spacing w:val="120"/>
        </w:rPr>
        <w:t>”；</w:t>
      </w:r>
    </w:p>
    <w:p w14:paraId="49192114">
      <w:pPr>
        <w:tabs>
          <w:tab w:val="left" w:pos="19"/>
        </w:tabs>
        <w:spacing w:line="360" w:lineRule="auto"/>
        <w:ind w:firstLine="241" w:firstLineChars="100"/>
        <w:rPr>
          <w:color w:val="auto"/>
          <w:spacing w:val="120"/>
        </w:rPr>
      </w:pPr>
      <w:r>
        <w:rPr>
          <w:b/>
          <w:color w:val="auto"/>
        </w:rPr>
        <w:t>4</w:t>
      </w:r>
      <w:r>
        <w:rPr>
          <w:b/>
          <w:bCs/>
          <w:color w:val="auto"/>
        </w:rPr>
        <w:t>　</w:t>
      </w:r>
      <w:r>
        <w:rPr>
          <w:color w:val="auto"/>
        </w:rPr>
        <w:t>表示有选择，在一定条件下可以这样做的，采用“可”。</w:t>
      </w:r>
    </w:p>
    <w:p w14:paraId="6416C71E">
      <w:pPr>
        <w:pStyle w:val="9"/>
        <w:rPr>
          <w:color w:val="auto"/>
        </w:rPr>
      </w:pPr>
    </w:p>
    <w:p w14:paraId="58E1B558">
      <w:pPr>
        <w:tabs>
          <w:tab w:val="left" w:pos="19"/>
        </w:tabs>
        <w:spacing w:line="360" w:lineRule="auto"/>
        <w:jc w:val="center"/>
        <w:outlineLvl w:val="0"/>
        <w:rPr>
          <w:b/>
          <w:color w:val="auto"/>
          <w:sz w:val="30"/>
        </w:rPr>
        <w:sectPr>
          <w:pgSz w:w="11906" w:h="16838"/>
          <w:pgMar w:top="1440" w:right="1800" w:bottom="1440" w:left="1800" w:header="851" w:footer="992" w:gutter="0"/>
          <w:cols w:space="720" w:num="1"/>
          <w:docGrid w:type="lines" w:linePitch="312" w:charSpace="0"/>
        </w:sectPr>
      </w:pPr>
    </w:p>
    <w:p w14:paraId="65F6DCF0">
      <w:pPr>
        <w:pStyle w:val="2"/>
        <w:jc w:val="center"/>
        <w:rPr>
          <w:color w:val="auto"/>
          <w:sz w:val="32"/>
        </w:rPr>
      </w:pPr>
      <w:bookmarkStart w:id="92" w:name="_Toc31572"/>
      <w:bookmarkStart w:id="93" w:name="_Toc199256647"/>
      <w:bookmarkStart w:id="94" w:name="_Toc201054961"/>
      <w:bookmarkStart w:id="95" w:name="_Toc199256579"/>
      <w:bookmarkStart w:id="96" w:name="_Toc199256069"/>
      <w:bookmarkStart w:id="97" w:name="_Toc199332485"/>
      <w:bookmarkStart w:id="98" w:name="_Toc14609"/>
      <w:r>
        <w:rPr>
          <w:color w:val="auto"/>
          <w:sz w:val="32"/>
        </w:rPr>
        <w:t>引用标准名录</w:t>
      </w:r>
      <w:bookmarkEnd w:id="92"/>
      <w:bookmarkEnd w:id="93"/>
      <w:bookmarkEnd w:id="94"/>
      <w:bookmarkEnd w:id="95"/>
      <w:bookmarkEnd w:id="96"/>
      <w:bookmarkEnd w:id="97"/>
      <w:bookmarkEnd w:id="98"/>
    </w:p>
    <w:p w14:paraId="4A86D993">
      <w:pPr>
        <w:spacing w:line="360" w:lineRule="auto"/>
        <w:ind w:firstLine="480"/>
        <w:jc w:val="left"/>
        <w:rPr>
          <w:color w:val="auto"/>
        </w:rPr>
      </w:pPr>
      <w:r>
        <w:rPr>
          <w:color w:val="auto"/>
          <w:szCs w:val="28"/>
        </w:rPr>
        <w:t>本标准引用下列标准。其中，注日期的，仅对该日期对应的版本适用本标准；不注日期的，其最新版适用于本标准。</w:t>
      </w:r>
    </w:p>
    <w:p w14:paraId="3255B5F1">
      <w:pPr>
        <w:pStyle w:val="41"/>
        <w:widowControl/>
        <w:spacing w:line="360" w:lineRule="auto"/>
        <w:ind w:left="40" w:firstLine="439" w:firstLineChars="183"/>
        <w:jc w:val="left"/>
        <w:rPr>
          <w:color w:val="auto"/>
          <w:szCs w:val="24"/>
        </w:rPr>
      </w:pPr>
      <w:r>
        <w:rPr>
          <w:color w:val="auto"/>
          <w:szCs w:val="24"/>
        </w:rPr>
        <w:t>《民用建筑设计统一标准》GB 50352—2019</w:t>
      </w:r>
    </w:p>
    <w:p w14:paraId="1D31BAB7">
      <w:pPr>
        <w:pStyle w:val="41"/>
        <w:widowControl/>
        <w:spacing w:line="360" w:lineRule="auto"/>
        <w:ind w:left="40" w:firstLine="439" w:firstLineChars="183"/>
        <w:jc w:val="left"/>
        <w:rPr>
          <w:color w:val="auto"/>
          <w:szCs w:val="24"/>
        </w:rPr>
      </w:pPr>
      <w:r>
        <w:rPr>
          <w:color w:val="auto"/>
          <w:szCs w:val="24"/>
        </w:rPr>
        <w:t>《建筑采光设计标准》GB 50033</w:t>
      </w:r>
    </w:p>
    <w:p w14:paraId="17D4C1FE">
      <w:pPr>
        <w:pStyle w:val="41"/>
        <w:widowControl/>
        <w:spacing w:line="360" w:lineRule="auto"/>
        <w:ind w:left="40" w:firstLine="439" w:firstLineChars="183"/>
        <w:jc w:val="left"/>
        <w:rPr>
          <w:color w:val="auto"/>
          <w:szCs w:val="24"/>
        </w:rPr>
      </w:pPr>
      <w:r>
        <w:rPr>
          <w:color w:val="auto"/>
          <w:szCs w:val="24"/>
        </w:rPr>
        <w:t>《洁净室及相关受控环境 第3部分：检测方法》GB/T 25915.3—2024</w:t>
      </w:r>
    </w:p>
    <w:p w14:paraId="5822FA00">
      <w:pPr>
        <w:pStyle w:val="41"/>
        <w:widowControl/>
        <w:spacing w:line="360" w:lineRule="auto"/>
        <w:ind w:left="40" w:firstLine="439" w:firstLineChars="183"/>
        <w:jc w:val="left"/>
        <w:rPr>
          <w:color w:val="auto"/>
        </w:rPr>
      </w:pPr>
      <w:r>
        <w:rPr>
          <w:color w:val="auto"/>
          <w:szCs w:val="24"/>
        </w:rPr>
        <w:t>《室内空气质量标准》</w:t>
      </w:r>
      <w:r>
        <w:rPr>
          <w:color w:val="auto"/>
        </w:rPr>
        <w:t>GB 18883—2022</w:t>
      </w:r>
    </w:p>
    <w:p w14:paraId="50DDABD7">
      <w:pPr>
        <w:pStyle w:val="41"/>
        <w:widowControl/>
        <w:spacing w:line="360" w:lineRule="auto"/>
        <w:ind w:left="40" w:firstLine="439" w:firstLineChars="183"/>
        <w:jc w:val="left"/>
        <w:rPr>
          <w:color w:val="auto"/>
          <w:szCs w:val="24"/>
        </w:rPr>
      </w:pPr>
      <w:r>
        <w:rPr>
          <w:color w:val="auto"/>
          <w:szCs w:val="24"/>
        </w:rPr>
        <w:t>《空气净化器》GB/T 18801.1—2022</w:t>
      </w:r>
    </w:p>
    <w:p w14:paraId="631628C7">
      <w:pPr>
        <w:pStyle w:val="41"/>
        <w:widowControl/>
        <w:spacing w:line="360" w:lineRule="auto"/>
        <w:ind w:left="40" w:firstLine="439" w:firstLineChars="183"/>
        <w:jc w:val="left"/>
        <w:rPr>
          <w:color w:val="auto"/>
          <w:szCs w:val="24"/>
        </w:rPr>
      </w:pPr>
      <w:r>
        <w:rPr>
          <w:color w:val="auto"/>
          <w:szCs w:val="24"/>
        </w:rPr>
        <w:t>《公共场所卫生检验方法 第3部分：空气微生物指标》GB/T 18204.3—2025</w:t>
      </w:r>
    </w:p>
    <w:p w14:paraId="642733AE">
      <w:pPr>
        <w:pStyle w:val="41"/>
        <w:widowControl/>
        <w:spacing w:line="360" w:lineRule="auto"/>
        <w:ind w:left="40" w:firstLine="439" w:firstLineChars="183"/>
        <w:jc w:val="left"/>
        <w:rPr>
          <w:color w:val="auto"/>
          <w:szCs w:val="24"/>
        </w:rPr>
      </w:pPr>
      <w:r>
        <w:rPr>
          <w:color w:val="auto"/>
          <w:szCs w:val="24"/>
        </w:rPr>
        <w:t>《公共场所卫生检验方法 第1部分：物理性指标》GB/T 18204.1—2025</w:t>
      </w:r>
    </w:p>
    <w:p w14:paraId="4EF68ECC">
      <w:pPr>
        <w:pStyle w:val="41"/>
        <w:widowControl/>
        <w:spacing w:line="360" w:lineRule="auto"/>
        <w:ind w:left="40" w:firstLine="439" w:firstLineChars="183"/>
        <w:jc w:val="left"/>
        <w:rPr>
          <w:color w:val="auto"/>
          <w:szCs w:val="24"/>
        </w:rPr>
      </w:pPr>
      <w:r>
        <w:rPr>
          <w:color w:val="auto"/>
          <w:szCs w:val="24"/>
        </w:rPr>
        <w:t>《建筑通风和排烟系统用防火阀门》GB 15930—2007</w:t>
      </w:r>
    </w:p>
    <w:p w14:paraId="06B3DB5E">
      <w:pPr>
        <w:pStyle w:val="41"/>
        <w:widowControl/>
        <w:spacing w:line="360" w:lineRule="auto"/>
        <w:ind w:left="40" w:firstLine="439" w:firstLineChars="183"/>
        <w:jc w:val="left"/>
        <w:rPr>
          <w:color w:val="auto"/>
          <w:szCs w:val="24"/>
        </w:rPr>
      </w:pPr>
      <w:r>
        <w:rPr>
          <w:color w:val="auto"/>
          <w:szCs w:val="24"/>
        </w:rPr>
        <w:t>《建筑通风效果测试与评价标准》JGJ/T 309—2013</w:t>
      </w:r>
      <w:bookmarkEnd w:id="19"/>
      <w:bookmarkEnd w:id="20"/>
      <w:bookmarkEnd w:id="50"/>
      <w:bookmarkEnd w:id="51"/>
      <w:bookmarkEnd w:id="52"/>
      <w:bookmarkEnd w:id="53"/>
    </w:p>
    <w:sectPr>
      <w:footerReference r:id="rId12"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1DDFF">
    <w:pPr>
      <w:pStyle w:val="15"/>
      <w:jc w:val="center"/>
      <w:rPr>
        <w:rFonts w:ascii="Times New Roman" w:hAnsi="Times New Roman"/>
      </w:rPr>
    </w:pPr>
  </w:p>
  <w:p w14:paraId="217E48C5">
    <w:pPr>
      <w:pStyle w:val="1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E674F">
    <w:pPr>
      <w:pStyle w:val="1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FD616">
    <w:pPr>
      <w:pStyle w:val="15"/>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1EC9C">
    <w:pPr>
      <w:pStyle w:val="15"/>
      <w:rPr>
        <w:rFonts w:ascii="Times New Roman" w:hAnsi="Times New Roman"/>
      </w:rPr>
    </w:pPr>
    <w:r>
      <mc:AlternateContent>
        <mc:Choice Requires="wps">
          <w:drawing>
            <wp:anchor distT="0" distB="0" distL="114300" distR="114300" simplePos="0" relativeHeight="251660288" behindDoc="0" locked="0" layoutInCell="1" allowOverlap="1">
              <wp:simplePos x="0" y="0"/>
              <wp:positionH relativeFrom="margin">
                <wp:posOffset>2724785</wp:posOffset>
              </wp:positionH>
              <wp:positionV relativeFrom="paragraph">
                <wp:posOffset>0</wp:posOffset>
              </wp:positionV>
              <wp:extent cx="230505" cy="1828800"/>
              <wp:effectExtent l="0" t="0" r="0" b="10160"/>
              <wp:wrapNone/>
              <wp:docPr id="1696965386" name="文本框 2"/>
              <wp:cNvGraphicFramePr/>
              <a:graphic xmlns:a="http://schemas.openxmlformats.org/drawingml/2006/main">
                <a:graphicData uri="http://schemas.microsoft.com/office/word/2010/wordprocessingShape">
                  <wps:wsp>
                    <wps:cNvSpPr txBox="1"/>
                    <wps:spPr>
                      <a:xfrm>
                        <a:off x="0" y="0"/>
                        <a:ext cx="230505" cy="1828800"/>
                      </a:xfrm>
                      <a:prstGeom prst="rect">
                        <a:avLst/>
                      </a:prstGeom>
                      <a:noFill/>
                      <a:ln w="6350">
                        <a:noFill/>
                      </a:ln>
                      <a:effectLst/>
                    </wps:spPr>
                    <wps:txbx>
                      <w:txbxContent>
                        <w:p w14:paraId="67CE514D">
                          <w:pPr>
                            <w:pStyle w:val="15"/>
                            <w:rPr>
                              <w:rFonts w:hint="eastAsia"/>
                            </w:rP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left:214.55pt;margin-top:0pt;height:144pt;width:18.15pt;mso-position-horizontal-relative:margin;z-index:251660288;mso-width-relative:page;mso-height-relative:page;" filled="f" stroked="f" coordsize="21600,21600" o:gfxdata="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Fr4IKtYAAAAIAQAADwAAAAAAAAABACAAAAAiAAAAZHJz&#10;L2Rvd25yZXYueG1sUEsBAhQAFAAAAAgAh07iQNxL36U/AgAAbQQAAA4AAAAAAAAAAQAgAAAAJQEA&#10;AGRycy9lMm9Eb2MueG1sUEsFBgAAAAAGAAYAWQEAANYFAAAAAA==&#10;">
              <v:fill on="f" focussize="0,0"/>
              <v:stroke on="f" weight="0.5pt"/>
              <v:imagedata o:title=""/>
              <o:lock v:ext="edit" aspectratio="f"/>
              <v:textbox inset="0mm,0mm,0mm,0mm" style="mso-fit-shape-to-text:t;">
                <w:txbxContent>
                  <w:p w14:paraId="67CE514D">
                    <w:pPr>
                      <w:pStyle w:val="15"/>
                      <w:rPr>
                        <w:rFonts w:hint="eastAsia"/>
                      </w:rPr>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EA49B">
    <w:pPr>
      <w:pStyle w:val="1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50825"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14:paraId="57F11A47">
                          <w:pPr>
                            <w:pStyle w:val="15"/>
                            <w:rPr>
                              <w:rFonts w:hint="eastAsia"/>
                            </w:rP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9.75pt;mso-position-horizontal:center;mso-position-horizontal-relative:margin;z-index:251659264;mso-width-relative:page;mso-height-relative:page;" filled="f" stroked="f" coordsize="21600,21600" o:gfxdata="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8Mo171AAAAAQBAAAPAAAAAAAAAAEAIAAAACIAAABkcnMvZG93bnJl&#10;di54bWxQSwECFAAUAAAACACHTuJAH5dIdjoCAABkBAAADgAAAAAAAAABACAAAAAjAQAAZHJzL2Uy&#10;b0RvYy54bWxQSwUGAAAAAAYABgBZAQAAzwUAAAAA&#10;">
              <v:fill on="f" focussize="0,0"/>
              <v:stroke on="f" weight="0.5pt"/>
              <v:imagedata o:title=""/>
              <o:lock v:ext="edit" aspectratio="f"/>
              <v:textbox inset="0mm,0mm,0mm,0mm" style="mso-fit-shape-to-text:t;">
                <w:txbxContent>
                  <w:p w14:paraId="57F11A47">
                    <w:pPr>
                      <w:pStyle w:val="15"/>
                      <w:rPr>
                        <w:rFonts w:hint="eastAsia"/>
                      </w:rPr>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EEEA2">
    <w:pPr>
      <w:pStyle w:val="5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AF5FEB4">
                          <w:pPr>
                            <w:pStyle w:val="15"/>
                            <w:rPr>
                              <w:rFonts w:hint="eastAsia"/>
                            </w:rPr>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14:paraId="4AF5FEB4">
                    <w:pPr>
                      <w:pStyle w:val="15"/>
                      <w:rPr>
                        <w:rFonts w:hint="eastAsia"/>
                      </w:rPr>
                    </w:pPr>
                    <w:r>
                      <w:fldChar w:fldCharType="begin"/>
                    </w:r>
                    <w:r>
                      <w:instrText xml:space="preserve"> PAGE  \* MERGEFORMAT </w:instrText>
                    </w:r>
                    <w:r>
                      <w:fldChar w:fldCharType="separate"/>
                    </w:r>
                    <w:r>
                      <w:t>38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15B2">
    <w:pPr>
      <w:pStyle w:val="16"/>
      <w:pBdr>
        <w:bottom w:val="none" w:color="auto" w:sz="0" w:space="0"/>
      </w:pBdr>
      <w:tabs>
        <w:tab w:val="left" w:pos="1941"/>
      </w:tabs>
      <w:jc w:val="left"/>
      <w:rPr>
        <w:rFonts w:hint="eastAsia"/>
      </w:rPr>
    </w:pP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219A3">
    <w:pPr>
      <w:pStyle w:val="16"/>
      <w:pBdr>
        <w:bottom w:val="none" w:color="auto" w:sz="0" w:space="1"/>
      </w:pBdr>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21CB6">
    <w:pPr>
      <w:pStyle w:val="16"/>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7A20B">
    <w:pPr>
      <w:pStyle w:val="16"/>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4B"/>
    <w:multiLevelType w:val="multilevel"/>
    <w:tmpl w:val="0000004B"/>
    <w:lvl w:ilvl="0" w:tentative="0">
      <w:start w:val="1"/>
      <w:numFmt w:val="upperLetter"/>
      <w:pStyle w:val="61"/>
      <w:lvlText w:val="%1"/>
      <w:lvlJc w:val="left"/>
      <w:pPr>
        <w:tabs>
          <w:tab w:val="left" w:pos="0"/>
        </w:tabs>
        <w:ind w:left="0" w:hanging="425"/>
      </w:pPr>
      <w:rPr>
        <w:rFonts w:hint="eastAsia"/>
      </w:rPr>
    </w:lvl>
    <w:lvl w:ilvl="1" w:tentative="0">
      <w:start w:val="1"/>
      <w:numFmt w:val="decimal"/>
      <w:pStyle w:val="62"/>
      <w:suff w:val="nothing"/>
      <w:lvlText w:val="表%1.%2　"/>
      <w:lvlJc w:val="left"/>
      <w:pPr>
        <w:ind w:left="3686"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49"/>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2">
    <w:nsid w:val="27BC2F40"/>
    <w:multiLevelType w:val="singleLevel"/>
    <w:tmpl w:val="27BC2F40"/>
    <w:lvl w:ilvl="0" w:tentative="0">
      <w:start w:val="4"/>
      <w:numFmt w:val="decimal"/>
      <w:suff w:val="nothing"/>
      <w:lvlText w:val="%1　"/>
      <w:lvlJc w:val="left"/>
      <w:rPr>
        <w:rFonts w:hint="default"/>
        <w:color w:val="auto"/>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xNzA2MDA3Y2Q5ZDBhOGFmYzgzMzczYjM2NGJmZTMifQ=="/>
    <w:docVar w:name="KSO_WPS_MARK_KEY" w:val="18cd9104-4495-4d21-a862-24a3e6821e88"/>
  </w:docVars>
  <w:rsids>
    <w:rsidRoot w:val="00396523"/>
    <w:rsid w:val="0000003B"/>
    <w:rsid w:val="000000C1"/>
    <w:rsid w:val="000006E9"/>
    <w:rsid w:val="00001FB4"/>
    <w:rsid w:val="000020C4"/>
    <w:rsid w:val="000022BC"/>
    <w:rsid w:val="0000287E"/>
    <w:rsid w:val="00002FDE"/>
    <w:rsid w:val="000031F8"/>
    <w:rsid w:val="00003620"/>
    <w:rsid w:val="00003F72"/>
    <w:rsid w:val="00004BEC"/>
    <w:rsid w:val="00004C45"/>
    <w:rsid w:val="00004CF6"/>
    <w:rsid w:val="00004DC7"/>
    <w:rsid w:val="00007669"/>
    <w:rsid w:val="00007D13"/>
    <w:rsid w:val="00010FD1"/>
    <w:rsid w:val="0001129B"/>
    <w:rsid w:val="00012781"/>
    <w:rsid w:val="000137A8"/>
    <w:rsid w:val="00013ABD"/>
    <w:rsid w:val="00014635"/>
    <w:rsid w:val="000162DA"/>
    <w:rsid w:val="00016D81"/>
    <w:rsid w:val="000170C6"/>
    <w:rsid w:val="00017C56"/>
    <w:rsid w:val="00017E4F"/>
    <w:rsid w:val="000213FA"/>
    <w:rsid w:val="00022317"/>
    <w:rsid w:val="000226A4"/>
    <w:rsid w:val="00022C14"/>
    <w:rsid w:val="00023306"/>
    <w:rsid w:val="0002343F"/>
    <w:rsid w:val="0002619F"/>
    <w:rsid w:val="00026646"/>
    <w:rsid w:val="00026A81"/>
    <w:rsid w:val="00027165"/>
    <w:rsid w:val="000278C4"/>
    <w:rsid w:val="000310B4"/>
    <w:rsid w:val="00031A77"/>
    <w:rsid w:val="00031D76"/>
    <w:rsid w:val="00031FAC"/>
    <w:rsid w:val="00032464"/>
    <w:rsid w:val="0003294C"/>
    <w:rsid w:val="000337BF"/>
    <w:rsid w:val="000340C7"/>
    <w:rsid w:val="00035194"/>
    <w:rsid w:val="000359D8"/>
    <w:rsid w:val="000367DF"/>
    <w:rsid w:val="00036BBF"/>
    <w:rsid w:val="00036D74"/>
    <w:rsid w:val="00037134"/>
    <w:rsid w:val="00037422"/>
    <w:rsid w:val="00040154"/>
    <w:rsid w:val="00042450"/>
    <w:rsid w:val="000428F3"/>
    <w:rsid w:val="00043431"/>
    <w:rsid w:val="00043D7C"/>
    <w:rsid w:val="00043FC8"/>
    <w:rsid w:val="00044A52"/>
    <w:rsid w:val="00044A79"/>
    <w:rsid w:val="00044B38"/>
    <w:rsid w:val="00044C4F"/>
    <w:rsid w:val="00045267"/>
    <w:rsid w:val="000461D5"/>
    <w:rsid w:val="000463A5"/>
    <w:rsid w:val="000505CF"/>
    <w:rsid w:val="0005066D"/>
    <w:rsid w:val="00051DAE"/>
    <w:rsid w:val="00052357"/>
    <w:rsid w:val="000534D7"/>
    <w:rsid w:val="00053949"/>
    <w:rsid w:val="00053AF2"/>
    <w:rsid w:val="00054B57"/>
    <w:rsid w:val="0005536C"/>
    <w:rsid w:val="00056E65"/>
    <w:rsid w:val="00057412"/>
    <w:rsid w:val="000575C6"/>
    <w:rsid w:val="000610A1"/>
    <w:rsid w:val="00061E16"/>
    <w:rsid w:val="000621DB"/>
    <w:rsid w:val="0006289B"/>
    <w:rsid w:val="00063183"/>
    <w:rsid w:val="00063593"/>
    <w:rsid w:val="00063DBA"/>
    <w:rsid w:val="0006454F"/>
    <w:rsid w:val="000647C1"/>
    <w:rsid w:val="000649A9"/>
    <w:rsid w:val="00064D6A"/>
    <w:rsid w:val="00065198"/>
    <w:rsid w:val="0006544F"/>
    <w:rsid w:val="00065FD9"/>
    <w:rsid w:val="0006606A"/>
    <w:rsid w:val="0006638A"/>
    <w:rsid w:val="0006650E"/>
    <w:rsid w:val="00066A30"/>
    <w:rsid w:val="0006707A"/>
    <w:rsid w:val="000704D6"/>
    <w:rsid w:val="00071748"/>
    <w:rsid w:val="000721AC"/>
    <w:rsid w:val="00075AB6"/>
    <w:rsid w:val="00076E63"/>
    <w:rsid w:val="00077BFA"/>
    <w:rsid w:val="00077D9E"/>
    <w:rsid w:val="00080008"/>
    <w:rsid w:val="0008094F"/>
    <w:rsid w:val="00080AF3"/>
    <w:rsid w:val="00081943"/>
    <w:rsid w:val="00082164"/>
    <w:rsid w:val="00082257"/>
    <w:rsid w:val="00082847"/>
    <w:rsid w:val="0008308C"/>
    <w:rsid w:val="000838BC"/>
    <w:rsid w:val="00084A2A"/>
    <w:rsid w:val="00084D4B"/>
    <w:rsid w:val="00084E27"/>
    <w:rsid w:val="00084EC1"/>
    <w:rsid w:val="00085BDC"/>
    <w:rsid w:val="00085C78"/>
    <w:rsid w:val="0008636E"/>
    <w:rsid w:val="00086760"/>
    <w:rsid w:val="00087420"/>
    <w:rsid w:val="00091E1F"/>
    <w:rsid w:val="0009367F"/>
    <w:rsid w:val="00093722"/>
    <w:rsid w:val="00093BEE"/>
    <w:rsid w:val="00093C5A"/>
    <w:rsid w:val="000957B7"/>
    <w:rsid w:val="0009622A"/>
    <w:rsid w:val="000965BF"/>
    <w:rsid w:val="000A01DC"/>
    <w:rsid w:val="000A1EDE"/>
    <w:rsid w:val="000A2113"/>
    <w:rsid w:val="000A22BF"/>
    <w:rsid w:val="000A27E7"/>
    <w:rsid w:val="000A3346"/>
    <w:rsid w:val="000A4329"/>
    <w:rsid w:val="000A462C"/>
    <w:rsid w:val="000A4F8B"/>
    <w:rsid w:val="000A5596"/>
    <w:rsid w:val="000A6C09"/>
    <w:rsid w:val="000A717B"/>
    <w:rsid w:val="000A7777"/>
    <w:rsid w:val="000B0701"/>
    <w:rsid w:val="000B18C8"/>
    <w:rsid w:val="000B37BC"/>
    <w:rsid w:val="000B436F"/>
    <w:rsid w:val="000B5243"/>
    <w:rsid w:val="000B5D74"/>
    <w:rsid w:val="000B5ED1"/>
    <w:rsid w:val="000B5F5E"/>
    <w:rsid w:val="000B6263"/>
    <w:rsid w:val="000B66AD"/>
    <w:rsid w:val="000B6C76"/>
    <w:rsid w:val="000B75E3"/>
    <w:rsid w:val="000C27C7"/>
    <w:rsid w:val="000C388A"/>
    <w:rsid w:val="000C3A26"/>
    <w:rsid w:val="000C489F"/>
    <w:rsid w:val="000C4916"/>
    <w:rsid w:val="000C49E4"/>
    <w:rsid w:val="000C5206"/>
    <w:rsid w:val="000C6099"/>
    <w:rsid w:val="000C6CBE"/>
    <w:rsid w:val="000C7CBD"/>
    <w:rsid w:val="000D0EB1"/>
    <w:rsid w:val="000D1870"/>
    <w:rsid w:val="000D3904"/>
    <w:rsid w:val="000D3B77"/>
    <w:rsid w:val="000D431B"/>
    <w:rsid w:val="000D44C0"/>
    <w:rsid w:val="000D4531"/>
    <w:rsid w:val="000D4D97"/>
    <w:rsid w:val="000D5BED"/>
    <w:rsid w:val="000D766C"/>
    <w:rsid w:val="000E005A"/>
    <w:rsid w:val="000E02C6"/>
    <w:rsid w:val="000E13C2"/>
    <w:rsid w:val="000E22A8"/>
    <w:rsid w:val="000E2ACC"/>
    <w:rsid w:val="000E3401"/>
    <w:rsid w:val="000E3A1F"/>
    <w:rsid w:val="000E4209"/>
    <w:rsid w:val="000E5F37"/>
    <w:rsid w:val="000E638D"/>
    <w:rsid w:val="000E65CB"/>
    <w:rsid w:val="000E6BC0"/>
    <w:rsid w:val="000E6EC7"/>
    <w:rsid w:val="000F0236"/>
    <w:rsid w:val="000F0564"/>
    <w:rsid w:val="000F0631"/>
    <w:rsid w:val="000F098D"/>
    <w:rsid w:val="000F0FF7"/>
    <w:rsid w:val="000F26CF"/>
    <w:rsid w:val="000F3086"/>
    <w:rsid w:val="000F4B48"/>
    <w:rsid w:val="000F508F"/>
    <w:rsid w:val="000F58A8"/>
    <w:rsid w:val="000F5971"/>
    <w:rsid w:val="000F6151"/>
    <w:rsid w:val="000F693D"/>
    <w:rsid w:val="000F6B4D"/>
    <w:rsid w:val="001007AD"/>
    <w:rsid w:val="001025D0"/>
    <w:rsid w:val="00103357"/>
    <w:rsid w:val="00103EEF"/>
    <w:rsid w:val="00104063"/>
    <w:rsid w:val="00104B80"/>
    <w:rsid w:val="00104D69"/>
    <w:rsid w:val="00104F25"/>
    <w:rsid w:val="0010588D"/>
    <w:rsid w:val="00106A13"/>
    <w:rsid w:val="00106C78"/>
    <w:rsid w:val="001103F5"/>
    <w:rsid w:val="00110432"/>
    <w:rsid w:val="00110D80"/>
    <w:rsid w:val="0011177C"/>
    <w:rsid w:val="001124A5"/>
    <w:rsid w:val="0011251E"/>
    <w:rsid w:val="001127DB"/>
    <w:rsid w:val="00113568"/>
    <w:rsid w:val="00113677"/>
    <w:rsid w:val="00115EEB"/>
    <w:rsid w:val="00116A14"/>
    <w:rsid w:val="00116B0C"/>
    <w:rsid w:val="00117152"/>
    <w:rsid w:val="00120308"/>
    <w:rsid w:val="00120481"/>
    <w:rsid w:val="001211AF"/>
    <w:rsid w:val="001223B3"/>
    <w:rsid w:val="001232B3"/>
    <w:rsid w:val="00124537"/>
    <w:rsid w:val="00124717"/>
    <w:rsid w:val="00124D29"/>
    <w:rsid w:val="00126485"/>
    <w:rsid w:val="00130076"/>
    <w:rsid w:val="0013021D"/>
    <w:rsid w:val="001310FC"/>
    <w:rsid w:val="001315FA"/>
    <w:rsid w:val="00131710"/>
    <w:rsid w:val="00132629"/>
    <w:rsid w:val="0013271A"/>
    <w:rsid w:val="001333D0"/>
    <w:rsid w:val="0013398A"/>
    <w:rsid w:val="001349D6"/>
    <w:rsid w:val="00135724"/>
    <w:rsid w:val="00135891"/>
    <w:rsid w:val="00136728"/>
    <w:rsid w:val="00136DE4"/>
    <w:rsid w:val="00136EFB"/>
    <w:rsid w:val="0013701A"/>
    <w:rsid w:val="0013724A"/>
    <w:rsid w:val="001405B4"/>
    <w:rsid w:val="0014239B"/>
    <w:rsid w:val="00142542"/>
    <w:rsid w:val="00142876"/>
    <w:rsid w:val="00142AF4"/>
    <w:rsid w:val="00142B43"/>
    <w:rsid w:val="001449AD"/>
    <w:rsid w:val="00146124"/>
    <w:rsid w:val="001461E3"/>
    <w:rsid w:val="00146756"/>
    <w:rsid w:val="00146901"/>
    <w:rsid w:val="00146C9A"/>
    <w:rsid w:val="00146E3D"/>
    <w:rsid w:val="0014713C"/>
    <w:rsid w:val="00147898"/>
    <w:rsid w:val="0015073E"/>
    <w:rsid w:val="00150DE7"/>
    <w:rsid w:val="00151061"/>
    <w:rsid w:val="0015164B"/>
    <w:rsid w:val="00151E1A"/>
    <w:rsid w:val="001526EA"/>
    <w:rsid w:val="001528F8"/>
    <w:rsid w:val="00152A55"/>
    <w:rsid w:val="00153A3E"/>
    <w:rsid w:val="00153B47"/>
    <w:rsid w:val="001544CA"/>
    <w:rsid w:val="00154FFD"/>
    <w:rsid w:val="00156440"/>
    <w:rsid w:val="00156670"/>
    <w:rsid w:val="00156AB0"/>
    <w:rsid w:val="0015731E"/>
    <w:rsid w:val="001579A3"/>
    <w:rsid w:val="00157FCD"/>
    <w:rsid w:val="001600E6"/>
    <w:rsid w:val="0016020D"/>
    <w:rsid w:val="00160295"/>
    <w:rsid w:val="00160856"/>
    <w:rsid w:val="00160C8A"/>
    <w:rsid w:val="00160EEC"/>
    <w:rsid w:val="00160F32"/>
    <w:rsid w:val="00161656"/>
    <w:rsid w:val="00162916"/>
    <w:rsid w:val="001640A8"/>
    <w:rsid w:val="00164F33"/>
    <w:rsid w:val="0016502F"/>
    <w:rsid w:val="001667C0"/>
    <w:rsid w:val="001669CD"/>
    <w:rsid w:val="001676D3"/>
    <w:rsid w:val="001700F5"/>
    <w:rsid w:val="00170370"/>
    <w:rsid w:val="001705EA"/>
    <w:rsid w:val="00170DB5"/>
    <w:rsid w:val="0017190E"/>
    <w:rsid w:val="001719AF"/>
    <w:rsid w:val="00172485"/>
    <w:rsid w:val="001734C7"/>
    <w:rsid w:val="00174CD8"/>
    <w:rsid w:val="00175870"/>
    <w:rsid w:val="00175FB7"/>
    <w:rsid w:val="00176147"/>
    <w:rsid w:val="001765E8"/>
    <w:rsid w:val="00177932"/>
    <w:rsid w:val="00177DD1"/>
    <w:rsid w:val="00180C2E"/>
    <w:rsid w:val="001816A8"/>
    <w:rsid w:val="00182312"/>
    <w:rsid w:val="00182497"/>
    <w:rsid w:val="00182D6D"/>
    <w:rsid w:val="00183609"/>
    <w:rsid w:val="00183E9F"/>
    <w:rsid w:val="0018437E"/>
    <w:rsid w:val="001847F4"/>
    <w:rsid w:val="00184CEC"/>
    <w:rsid w:val="001857DC"/>
    <w:rsid w:val="001866DA"/>
    <w:rsid w:val="00190051"/>
    <w:rsid w:val="00190407"/>
    <w:rsid w:val="00190514"/>
    <w:rsid w:val="00190BDC"/>
    <w:rsid w:val="0019121D"/>
    <w:rsid w:val="00191358"/>
    <w:rsid w:val="0019191B"/>
    <w:rsid w:val="00191A4A"/>
    <w:rsid w:val="00191A98"/>
    <w:rsid w:val="0019287D"/>
    <w:rsid w:val="00192AD6"/>
    <w:rsid w:val="00192DD0"/>
    <w:rsid w:val="001932F1"/>
    <w:rsid w:val="0019388F"/>
    <w:rsid w:val="00196932"/>
    <w:rsid w:val="001A0276"/>
    <w:rsid w:val="001A112C"/>
    <w:rsid w:val="001A14FD"/>
    <w:rsid w:val="001A175E"/>
    <w:rsid w:val="001A181F"/>
    <w:rsid w:val="001A1BFC"/>
    <w:rsid w:val="001A1E57"/>
    <w:rsid w:val="001A20D2"/>
    <w:rsid w:val="001A214E"/>
    <w:rsid w:val="001A21F7"/>
    <w:rsid w:val="001A24FA"/>
    <w:rsid w:val="001A3A34"/>
    <w:rsid w:val="001A486C"/>
    <w:rsid w:val="001A58FD"/>
    <w:rsid w:val="001A7614"/>
    <w:rsid w:val="001A7622"/>
    <w:rsid w:val="001A7AF7"/>
    <w:rsid w:val="001B0355"/>
    <w:rsid w:val="001B12AA"/>
    <w:rsid w:val="001B27AE"/>
    <w:rsid w:val="001B27D2"/>
    <w:rsid w:val="001B2F3F"/>
    <w:rsid w:val="001B3469"/>
    <w:rsid w:val="001B431C"/>
    <w:rsid w:val="001B4524"/>
    <w:rsid w:val="001B53EA"/>
    <w:rsid w:val="001B5A87"/>
    <w:rsid w:val="001B6074"/>
    <w:rsid w:val="001B6160"/>
    <w:rsid w:val="001B6485"/>
    <w:rsid w:val="001B670A"/>
    <w:rsid w:val="001B7EC5"/>
    <w:rsid w:val="001C0184"/>
    <w:rsid w:val="001C09EF"/>
    <w:rsid w:val="001C1254"/>
    <w:rsid w:val="001C2226"/>
    <w:rsid w:val="001C436D"/>
    <w:rsid w:val="001C44EB"/>
    <w:rsid w:val="001C47F2"/>
    <w:rsid w:val="001C4F63"/>
    <w:rsid w:val="001C6163"/>
    <w:rsid w:val="001C660F"/>
    <w:rsid w:val="001C6CE3"/>
    <w:rsid w:val="001C78C3"/>
    <w:rsid w:val="001C7998"/>
    <w:rsid w:val="001C7AC3"/>
    <w:rsid w:val="001D0EDC"/>
    <w:rsid w:val="001D155F"/>
    <w:rsid w:val="001D16FC"/>
    <w:rsid w:val="001D1FB7"/>
    <w:rsid w:val="001D2616"/>
    <w:rsid w:val="001D2BB9"/>
    <w:rsid w:val="001D2C08"/>
    <w:rsid w:val="001D3037"/>
    <w:rsid w:val="001D43FE"/>
    <w:rsid w:val="001D463E"/>
    <w:rsid w:val="001D4D15"/>
    <w:rsid w:val="001D54A9"/>
    <w:rsid w:val="001D5A1A"/>
    <w:rsid w:val="001D6CFF"/>
    <w:rsid w:val="001D702F"/>
    <w:rsid w:val="001E0521"/>
    <w:rsid w:val="001E0C50"/>
    <w:rsid w:val="001E0FCD"/>
    <w:rsid w:val="001E10B5"/>
    <w:rsid w:val="001E3119"/>
    <w:rsid w:val="001E3887"/>
    <w:rsid w:val="001E429D"/>
    <w:rsid w:val="001E42B4"/>
    <w:rsid w:val="001E48D4"/>
    <w:rsid w:val="001E4A7A"/>
    <w:rsid w:val="001E4B0D"/>
    <w:rsid w:val="001E4C0E"/>
    <w:rsid w:val="001E4C1A"/>
    <w:rsid w:val="001E53AB"/>
    <w:rsid w:val="001E572D"/>
    <w:rsid w:val="001E594E"/>
    <w:rsid w:val="001E60CE"/>
    <w:rsid w:val="001F03A1"/>
    <w:rsid w:val="001F1AA5"/>
    <w:rsid w:val="001F1B8C"/>
    <w:rsid w:val="001F33C5"/>
    <w:rsid w:val="001F4D75"/>
    <w:rsid w:val="001F4ED9"/>
    <w:rsid w:val="00202616"/>
    <w:rsid w:val="00203126"/>
    <w:rsid w:val="0020497E"/>
    <w:rsid w:val="00205AA9"/>
    <w:rsid w:val="002062D4"/>
    <w:rsid w:val="00206B48"/>
    <w:rsid w:val="002078F5"/>
    <w:rsid w:val="00207FDD"/>
    <w:rsid w:val="00210244"/>
    <w:rsid w:val="00210D71"/>
    <w:rsid w:val="00211502"/>
    <w:rsid w:val="00213A6C"/>
    <w:rsid w:val="002145D9"/>
    <w:rsid w:val="00214700"/>
    <w:rsid w:val="00214AC0"/>
    <w:rsid w:val="00215C22"/>
    <w:rsid w:val="002177A2"/>
    <w:rsid w:val="00217EFE"/>
    <w:rsid w:val="002208BF"/>
    <w:rsid w:val="0022119D"/>
    <w:rsid w:val="00221417"/>
    <w:rsid w:val="00221D51"/>
    <w:rsid w:val="0022277E"/>
    <w:rsid w:val="00222782"/>
    <w:rsid w:val="00223C12"/>
    <w:rsid w:val="0022418A"/>
    <w:rsid w:val="00224581"/>
    <w:rsid w:val="00225CA0"/>
    <w:rsid w:val="00226AF1"/>
    <w:rsid w:val="00226F39"/>
    <w:rsid w:val="00227EEC"/>
    <w:rsid w:val="00230863"/>
    <w:rsid w:val="00230D0A"/>
    <w:rsid w:val="00232AAF"/>
    <w:rsid w:val="00232E19"/>
    <w:rsid w:val="002332F7"/>
    <w:rsid w:val="0023350E"/>
    <w:rsid w:val="00233E5E"/>
    <w:rsid w:val="00233F3F"/>
    <w:rsid w:val="00235CC6"/>
    <w:rsid w:val="00237D1C"/>
    <w:rsid w:val="00237DEF"/>
    <w:rsid w:val="002410DE"/>
    <w:rsid w:val="00243343"/>
    <w:rsid w:val="00243398"/>
    <w:rsid w:val="00243796"/>
    <w:rsid w:val="00243BD7"/>
    <w:rsid w:val="00243C66"/>
    <w:rsid w:val="00244402"/>
    <w:rsid w:val="002452F0"/>
    <w:rsid w:val="0024555E"/>
    <w:rsid w:val="002456E5"/>
    <w:rsid w:val="00245D27"/>
    <w:rsid w:val="00246635"/>
    <w:rsid w:val="00246647"/>
    <w:rsid w:val="00246D0A"/>
    <w:rsid w:val="00246EA9"/>
    <w:rsid w:val="00247813"/>
    <w:rsid w:val="00247990"/>
    <w:rsid w:val="00250E7C"/>
    <w:rsid w:val="002513C2"/>
    <w:rsid w:val="002514A2"/>
    <w:rsid w:val="002533A7"/>
    <w:rsid w:val="00254854"/>
    <w:rsid w:val="00254FAF"/>
    <w:rsid w:val="00255BE1"/>
    <w:rsid w:val="0025658D"/>
    <w:rsid w:val="00257576"/>
    <w:rsid w:val="00257727"/>
    <w:rsid w:val="0026072F"/>
    <w:rsid w:val="00261918"/>
    <w:rsid w:val="002619E7"/>
    <w:rsid w:val="002628F8"/>
    <w:rsid w:val="002643C5"/>
    <w:rsid w:val="0026442D"/>
    <w:rsid w:val="00264628"/>
    <w:rsid w:val="0026493A"/>
    <w:rsid w:val="002649E2"/>
    <w:rsid w:val="002654F6"/>
    <w:rsid w:val="002662E2"/>
    <w:rsid w:val="0027102F"/>
    <w:rsid w:val="00271B84"/>
    <w:rsid w:val="002723D1"/>
    <w:rsid w:val="002724A7"/>
    <w:rsid w:val="002732A5"/>
    <w:rsid w:val="00273617"/>
    <w:rsid w:val="00273637"/>
    <w:rsid w:val="00273CB4"/>
    <w:rsid w:val="00274910"/>
    <w:rsid w:val="00275062"/>
    <w:rsid w:val="00275487"/>
    <w:rsid w:val="00275722"/>
    <w:rsid w:val="002758CE"/>
    <w:rsid w:val="00275C31"/>
    <w:rsid w:val="00276ACC"/>
    <w:rsid w:val="00276E5E"/>
    <w:rsid w:val="00277031"/>
    <w:rsid w:val="00277608"/>
    <w:rsid w:val="00281594"/>
    <w:rsid w:val="00281DF8"/>
    <w:rsid w:val="00282CB6"/>
    <w:rsid w:val="00282CB8"/>
    <w:rsid w:val="002832A2"/>
    <w:rsid w:val="00283A11"/>
    <w:rsid w:val="002842C4"/>
    <w:rsid w:val="00284AFD"/>
    <w:rsid w:val="00284B5E"/>
    <w:rsid w:val="00284E66"/>
    <w:rsid w:val="002851D4"/>
    <w:rsid w:val="00285409"/>
    <w:rsid w:val="00286BAE"/>
    <w:rsid w:val="002873B8"/>
    <w:rsid w:val="00287BD8"/>
    <w:rsid w:val="002906A4"/>
    <w:rsid w:val="002906E9"/>
    <w:rsid w:val="00291510"/>
    <w:rsid w:val="0029247F"/>
    <w:rsid w:val="002937B7"/>
    <w:rsid w:val="00294B5A"/>
    <w:rsid w:val="00295272"/>
    <w:rsid w:val="002959CF"/>
    <w:rsid w:val="00295A9A"/>
    <w:rsid w:val="002964D6"/>
    <w:rsid w:val="00296820"/>
    <w:rsid w:val="00296AD7"/>
    <w:rsid w:val="00297316"/>
    <w:rsid w:val="002A0526"/>
    <w:rsid w:val="002A0E01"/>
    <w:rsid w:val="002A0E66"/>
    <w:rsid w:val="002A1739"/>
    <w:rsid w:val="002A2AD2"/>
    <w:rsid w:val="002A3360"/>
    <w:rsid w:val="002A38F5"/>
    <w:rsid w:val="002A432C"/>
    <w:rsid w:val="002A52C4"/>
    <w:rsid w:val="002A55E2"/>
    <w:rsid w:val="002A609D"/>
    <w:rsid w:val="002A6170"/>
    <w:rsid w:val="002A7972"/>
    <w:rsid w:val="002B1B11"/>
    <w:rsid w:val="002B1BA1"/>
    <w:rsid w:val="002B2B0F"/>
    <w:rsid w:val="002B2B41"/>
    <w:rsid w:val="002B429C"/>
    <w:rsid w:val="002B48A4"/>
    <w:rsid w:val="002B49B8"/>
    <w:rsid w:val="002B4BD9"/>
    <w:rsid w:val="002B5922"/>
    <w:rsid w:val="002B6728"/>
    <w:rsid w:val="002B6A87"/>
    <w:rsid w:val="002B7F36"/>
    <w:rsid w:val="002C0263"/>
    <w:rsid w:val="002C0689"/>
    <w:rsid w:val="002C0743"/>
    <w:rsid w:val="002C257F"/>
    <w:rsid w:val="002C2810"/>
    <w:rsid w:val="002C2CDE"/>
    <w:rsid w:val="002C34FF"/>
    <w:rsid w:val="002C3CD7"/>
    <w:rsid w:val="002C4FB4"/>
    <w:rsid w:val="002C57DD"/>
    <w:rsid w:val="002C6D3E"/>
    <w:rsid w:val="002C6E0D"/>
    <w:rsid w:val="002D0538"/>
    <w:rsid w:val="002D0904"/>
    <w:rsid w:val="002D0A3D"/>
    <w:rsid w:val="002D0B55"/>
    <w:rsid w:val="002D0F45"/>
    <w:rsid w:val="002D1389"/>
    <w:rsid w:val="002D2960"/>
    <w:rsid w:val="002D39E2"/>
    <w:rsid w:val="002D41B9"/>
    <w:rsid w:val="002D54BD"/>
    <w:rsid w:val="002D5A3E"/>
    <w:rsid w:val="002D6327"/>
    <w:rsid w:val="002D65F0"/>
    <w:rsid w:val="002D6B11"/>
    <w:rsid w:val="002D7113"/>
    <w:rsid w:val="002E036C"/>
    <w:rsid w:val="002E0B62"/>
    <w:rsid w:val="002E0EF7"/>
    <w:rsid w:val="002E1968"/>
    <w:rsid w:val="002E1F1C"/>
    <w:rsid w:val="002E1FF6"/>
    <w:rsid w:val="002E225A"/>
    <w:rsid w:val="002E2BB7"/>
    <w:rsid w:val="002E33E3"/>
    <w:rsid w:val="002E3821"/>
    <w:rsid w:val="002E4836"/>
    <w:rsid w:val="002E64A0"/>
    <w:rsid w:val="002E7B7B"/>
    <w:rsid w:val="002F02E4"/>
    <w:rsid w:val="002F04CA"/>
    <w:rsid w:val="002F41B4"/>
    <w:rsid w:val="002F721F"/>
    <w:rsid w:val="002F75F8"/>
    <w:rsid w:val="003006A4"/>
    <w:rsid w:val="00300780"/>
    <w:rsid w:val="00300B74"/>
    <w:rsid w:val="00304FF3"/>
    <w:rsid w:val="00305318"/>
    <w:rsid w:val="0030535D"/>
    <w:rsid w:val="003064DF"/>
    <w:rsid w:val="00306D82"/>
    <w:rsid w:val="00306F4E"/>
    <w:rsid w:val="0030702A"/>
    <w:rsid w:val="0030721C"/>
    <w:rsid w:val="00307A42"/>
    <w:rsid w:val="00307B00"/>
    <w:rsid w:val="00307B60"/>
    <w:rsid w:val="0031134B"/>
    <w:rsid w:val="00311FC7"/>
    <w:rsid w:val="00312353"/>
    <w:rsid w:val="003129FC"/>
    <w:rsid w:val="00312FB4"/>
    <w:rsid w:val="0031379C"/>
    <w:rsid w:val="00313999"/>
    <w:rsid w:val="00314C75"/>
    <w:rsid w:val="00314CB0"/>
    <w:rsid w:val="0031513A"/>
    <w:rsid w:val="0031517E"/>
    <w:rsid w:val="0031682F"/>
    <w:rsid w:val="003168C7"/>
    <w:rsid w:val="00316A31"/>
    <w:rsid w:val="00317033"/>
    <w:rsid w:val="0031766A"/>
    <w:rsid w:val="00317D14"/>
    <w:rsid w:val="00317F98"/>
    <w:rsid w:val="003204E5"/>
    <w:rsid w:val="003206BA"/>
    <w:rsid w:val="00320777"/>
    <w:rsid w:val="00320F95"/>
    <w:rsid w:val="00320FFA"/>
    <w:rsid w:val="00321989"/>
    <w:rsid w:val="00322500"/>
    <w:rsid w:val="00322EC4"/>
    <w:rsid w:val="0032603C"/>
    <w:rsid w:val="0032642E"/>
    <w:rsid w:val="00326805"/>
    <w:rsid w:val="00327804"/>
    <w:rsid w:val="00327A46"/>
    <w:rsid w:val="0033093E"/>
    <w:rsid w:val="00330B65"/>
    <w:rsid w:val="0033172C"/>
    <w:rsid w:val="0033222F"/>
    <w:rsid w:val="0033277B"/>
    <w:rsid w:val="003329A6"/>
    <w:rsid w:val="00333985"/>
    <w:rsid w:val="003378E3"/>
    <w:rsid w:val="003379CB"/>
    <w:rsid w:val="00337F0A"/>
    <w:rsid w:val="00341799"/>
    <w:rsid w:val="00342181"/>
    <w:rsid w:val="00342B9F"/>
    <w:rsid w:val="00342EAD"/>
    <w:rsid w:val="00343646"/>
    <w:rsid w:val="003442D6"/>
    <w:rsid w:val="00344484"/>
    <w:rsid w:val="00345106"/>
    <w:rsid w:val="003453EA"/>
    <w:rsid w:val="003461CE"/>
    <w:rsid w:val="00346320"/>
    <w:rsid w:val="0034644E"/>
    <w:rsid w:val="003464B5"/>
    <w:rsid w:val="00347ED6"/>
    <w:rsid w:val="003506B5"/>
    <w:rsid w:val="00351BB4"/>
    <w:rsid w:val="00352295"/>
    <w:rsid w:val="00353A0E"/>
    <w:rsid w:val="003542AE"/>
    <w:rsid w:val="003546C0"/>
    <w:rsid w:val="00354FA2"/>
    <w:rsid w:val="00355BB1"/>
    <w:rsid w:val="00355CFA"/>
    <w:rsid w:val="00355F17"/>
    <w:rsid w:val="0035649D"/>
    <w:rsid w:val="003606B9"/>
    <w:rsid w:val="00360A9E"/>
    <w:rsid w:val="00361EC8"/>
    <w:rsid w:val="00362100"/>
    <w:rsid w:val="003621C7"/>
    <w:rsid w:val="003625D9"/>
    <w:rsid w:val="003625E1"/>
    <w:rsid w:val="003628F6"/>
    <w:rsid w:val="003631A6"/>
    <w:rsid w:val="003636B6"/>
    <w:rsid w:val="00364572"/>
    <w:rsid w:val="003651D6"/>
    <w:rsid w:val="003659F8"/>
    <w:rsid w:val="003661FE"/>
    <w:rsid w:val="00366282"/>
    <w:rsid w:val="00366641"/>
    <w:rsid w:val="003669D0"/>
    <w:rsid w:val="00366A04"/>
    <w:rsid w:val="00366A51"/>
    <w:rsid w:val="0037204D"/>
    <w:rsid w:val="003721F1"/>
    <w:rsid w:val="00373057"/>
    <w:rsid w:val="00373E48"/>
    <w:rsid w:val="00374762"/>
    <w:rsid w:val="003748FC"/>
    <w:rsid w:val="003749BB"/>
    <w:rsid w:val="00374A2D"/>
    <w:rsid w:val="00374DFB"/>
    <w:rsid w:val="00374F95"/>
    <w:rsid w:val="0037527F"/>
    <w:rsid w:val="00375627"/>
    <w:rsid w:val="003770BB"/>
    <w:rsid w:val="0037783C"/>
    <w:rsid w:val="00377E39"/>
    <w:rsid w:val="00382849"/>
    <w:rsid w:val="00382B2F"/>
    <w:rsid w:val="00382D6A"/>
    <w:rsid w:val="0038345A"/>
    <w:rsid w:val="003840AD"/>
    <w:rsid w:val="003849D3"/>
    <w:rsid w:val="00384B9C"/>
    <w:rsid w:val="0038550F"/>
    <w:rsid w:val="003858B2"/>
    <w:rsid w:val="00386016"/>
    <w:rsid w:val="00390FDA"/>
    <w:rsid w:val="003921A6"/>
    <w:rsid w:val="003929B1"/>
    <w:rsid w:val="003933E5"/>
    <w:rsid w:val="00393B8F"/>
    <w:rsid w:val="00393DAD"/>
    <w:rsid w:val="00394F1A"/>
    <w:rsid w:val="00395F63"/>
    <w:rsid w:val="00396523"/>
    <w:rsid w:val="00396825"/>
    <w:rsid w:val="003A1907"/>
    <w:rsid w:val="003A234B"/>
    <w:rsid w:val="003A2BAD"/>
    <w:rsid w:val="003A36C4"/>
    <w:rsid w:val="003A37AA"/>
    <w:rsid w:val="003A3C51"/>
    <w:rsid w:val="003A4CCB"/>
    <w:rsid w:val="003A4D1C"/>
    <w:rsid w:val="003A60FF"/>
    <w:rsid w:val="003A7CAB"/>
    <w:rsid w:val="003B1674"/>
    <w:rsid w:val="003B274F"/>
    <w:rsid w:val="003B33BC"/>
    <w:rsid w:val="003B45B2"/>
    <w:rsid w:val="003B4B4D"/>
    <w:rsid w:val="003B4F14"/>
    <w:rsid w:val="003B50A7"/>
    <w:rsid w:val="003B590F"/>
    <w:rsid w:val="003B65ED"/>
    <w:rsid w:val="003B73D2"/>
    <w:rsid w:val="003B75F0"/>
    <w:rsid w:val="003B7D32"/>
    <w:rsid w:val="003C1147"/>
    <w:rsid w:val="003C3782"/>
    <w:rsid w:val="003C3845"/>
    <w:rsid w:val="003C3EAC"/>
    <w:rsid w:val="003C48AD"/>
    <w:rsid w:val="003C4F74"/>
    <w:rsid w:val="003C52D2"/>
    <w:rsid w:val="003C60F3"/>
    <w:rsid w:val="003C65A6"/>
    <w:rsid w:val="003C665F"/>
    <w:rsid w:val="003C6A32"/>
    <w:rsid w:val="003D00AD"/>
    <w:rsid w:val="003D08A6"/>
    <w:rsid w:val="003D0FE0"/>
    <w:rsid w:val="003D1A06"/>
    <w:rsid w:val="003D2340"/>
    <w:rsid w:val="003D2773"/>
    <w:rsid w:val="003D3BFB"/>
    <w:rsid w:val="003D4B76"/>
    <w:rsid w:val="003D5543"/>
    <w:rsid w:val="003D7B18"/>
    <w:rsid w:val="003E021F"/>
    <w:rsid w:val="003E0B9C"/>
    <w:rsid w:val="003E102D"/>
    <w:rsid w:val="003E1970"/>
    <w:rsid w:val="003E21C2"/>
    <w:rsid w:val="003E3CF3"/>
    <w:rsid w:val="003E3FC5"/>
    <w:rsid w:val="003E4345"/>
    <w:rsid w:val="003E5665"/>
    <w:rsid w:val="003E5A40"/>
    <w:rsid w:val="003E5E5E"/>
    <w:rsid w:val="003E5EB5"/>
    <w:rsid w:val="003E626E"/>
    <w:rsid w:val="003E650B"/>
    <w:rsid w:val="003E6940"/>
    <w:rsid w:val="003E74C4"/>
    <w:rsid w:val="003F195D"/>
    <w:rsid w:val="003F2A08"/>
    <w:rsid w:val="003F2D69"/>
    <w:rsid w:val="003F3370"/>
    <w:rsid w:val="003F34A0"/>
    <w:rsid w:val="003F3D9D"/>
    <w:rsid w:val="003F5120"/>
    <w:rsid w:val="003F5D4A"/>
    <w:rsid w:val="003F656E"/>
    <w:rsid w:val="003F6894"/>
    <w:rsid w:val="003F6B16"/>
    <w:rsid w:val="003F790E"/>
    <w:rsid w:val="003F7BE4"/>
    <w:rsid w:val="004007AF"/>
    <w:rsid w:val="004008FE"/>
    <w:rsid w:val="00400B21"/>
    <w:rsid w:val="00400F8D"/>
    <w:rsid w:val="00401707"/>
    <w:rsid w:val="00402A41"/>
    <w:rsid w:val="00402DD8"/>
    <w:rsid w:val="004031AD"/>
    <w:rsid w:val="0040351E"/>
    <w:rsid w:val="004036FD"/>
    <w:rsid w:val="00403B02"/>
    <w:rsid w:val="00404058"/>
    <w:rsid w:val="004040C9"/>
    <w:rsid w:val="004063F1"/>
    <w:rsid w:val="00406528"/>
    <w:rsid w:val="0040676E"/>
    <w:rsid w:val="00410127"/>
    <w:rsid w:val="004107C1"/>
    <w:rsid w:val="00411CAF"/>
    <w:rsid w:val="004140C9"/>
    <w:rsid w:val="004149A8"/>
    <w:rsid w:val="00415B87"/>
    <w:rsid w:val="00415D82"/>
    <w:rsid w:val="00416D24"/>
    <w:rsid w:val="00417A49"/>
    <w:rsid w:val="00420116"/>
    <w:rsid w:val="00420276"/>
    <w:rsid w:val="0042035E"/>
    <w:rsid w:val="00421666"/>
    <w:rsid w:val="00421C65"/>
    <w:rsid w:val="004226DB"/>
    <w:rsid w:val="00422FC6"/>
    <w:rsid w:val="004244EA"/>
    <w:rsid w:val="00424702"/>
    <w:rsid w:val="0042471E"/>
    <w:rsid w:val="004255E7"/>
    <w:rsid w:val="00425765"/>
    <w:rsid w:val="0042592C"/>
    <w:rsid w:val="004259B6"/>
    <w:rsid w:val="004266E5"/>
    <w:rsid w:val="00426901"/>
    <w:rsid w:val="00426D76"/>
    <w:rsid w:val="004277AE"/>
    <w:rsid w:val="00431047"/>
    <w:rsid w:val="004314B9"/>
    <w:rsid w:val="00432B5B"/>
    <w:rsid w:val="004340A3"/>
    <w:rsid w:val="00436781"/>
    <w:rsid w:val="004369AD"/>
    <w:rsid w:val="00436EFD"/>
    <w:rsid w:val="00440B45"/>
    <w:rsid w:val="00440D40"/>
    <w:rsid w:val="00440D52"/>
    <w:rsid w:val="00441821"/>
    <w:rsid w:val="00441C33"/>
    <w:rsid w:val="00442B92"/>
    <w:rsid w:val="00442D37"/>
    <w:rsid w:val="00442DC1"/>
    <w:rsid w:val="00443791"/>
    <w:rsid w:val="00443937"/>
    <w:rsid w:val="004441C1"/>
    <w:rsid w:val="00446115"/>
    <w:rsid w:val="00446E75"/>
    <w:rsid w:val="00446E93"/>
    <w:rsid w:val="0044710A"/>
    <w:rsid w:val="004476DF"/>
    <w:rsid w:val="00447BE9"/>
    <w:rsid w:val="004502F3"/>
    <w:rsid w:val="004503A0"/>
    <w:rsid w:val="00450BEE"/>
    <w:rsid w:val="004513B4"/>
    <w:rsid w:val="00452B65"/>
    <w:rsid w:val="00452C6D"/>
    <w:rsid w:val="00452C7D"/>
    <w:rsid w:val="00452D1E"/>
    <w:rsid w:val="004541FA"/>
    <w:rsid w:val="00454B02"/>
    <w:rsid w:val="00455ACF"/>
    <w:rsid w:val="0045671A"/>
    <w:rsid w:val="00457319"/>
    <w:rsid w:val="004574E1"/>
    <w:rsid w:val="004577CF"/>
    <w:rsid w:val="00457F86"/>
    <w:rsid w:val="0046012F"/>
    <w:rsid w:val="00460CAF"/>
    <w:rsid w:val="00461A12"/>
    <w:rsid w:val="00461CF3"/>
    <w:rsid w:val="00462B35"/>
    <w:rsid w:val="00464075"/>
    <w:rsid w:val="004643AE"/>
    <w:rsid w:val="004656B6"/>
    <w:rsid w:val="0046584B"/>
    <w:rsid w:val="00466348"/>
    <w:rsid w:val="004664F9"/>
    <w:rsid w:val="00467BD4"/>
    <w:rsid w:val="0047003C"/>
    <w:rsid w:val="00470476"/>
    <w:rsid w:val="0047175A"/>
    <w:rsid w:val="00471830"/>
    <w:rsid w:val="00471836"/>
    <w:rsid w:val="00472914"/>
    <w:rsid w:val="00472C2E"/>
    <w:rsid w:val="00472D81"/>
    <w:rsid w:val="00473134"/>
    <w:rsid w:val="0047350E"/>
    <w:rsid w:val="00474046"/>
    <w:rsid w:val="004741C1"/>
    <w:rsid w:val="004742A3"/>
    <w:rsid w:val="00474D5D"/>
    <w:rsid w:val="0047543A"/>
    <w:rsid w:val="00475B9E"/>
    <w:rsid w:val="00476F58"/>
    <w:rsid w:val="004774B4"/>
    <w:rsid w:val="00480515"/>
    <w:rsid w:val="00482B6B"/>
    <w:rsid w:val="00482E22"/>
    <w:rsid w:val="00483ABB"/>
    <w:rsid w:val="00484FBE"/>
    <w:rsid w:val="0048502B"/>
    <w:rsid w:val="004853FC"/>
    <w:rsid w:val="00485681"/>
    <w:rsid w:val="00485782"/>
    <w:rsid w:val="00485B08"/>
    <w:rsid w:val="00485BA1"/>
    <w:rsid w:val="00486146"/>
    <w:rsid w:val="004866AD"/>
    <w:rsid w:val="00487B25"/>
    <w:rsid w:val="0049037C"/>
    <w:rsid w:val="00491160"/>
    <w:rsid w:val="00491CD7"/>
    <w:rsid w:val="004921A8"/>
    <w:rsid w:val="0049257C"/>
    <w:rsid w:val="0049291F"/>
    <w:rsid w:val="00492E7A"/>
    <w:rsid w:val="00492EF9"/>
    <w:rsid w:val="004936BC"/>
    <w:rsid w:val="004937A3"/>
    <w:rsid w:val="00493A43"/>
    <w:rsid w:val="004945E4"/>
    <w:rsid w:val="00495B43"/>
    <w:rsid w:val="00497B75"/>
    <w:rsid w:val="004A0AB9"/>
    <w:rsid w:val="004A11A2"/>
    <w:rsid w:val="004A1545"/>
    <w:rsid w:val="004A1837"/>
    <w:rsid w:val="004A2229"/>
    <w:rsid w:val="004A39CE"/>
    <w:rsid w:val="004A4082"/>
    <w:rsid w:val="004A43E3"/>
    <w:rsid w:val="004A4512"/>
    <w:rsid w:val="004A4517"/>
    <w:rsid w:val="004A4689"/>
    <w:rsid w:val="004A4774"/>
    <w:rsid w:val="004A5275"/>
    <w:rsid w:val="004A5D8F"/>
    <w:rsid w:val="004A5DC7"/>
    <w:rsid w:val="004A6927"/>
    <w:rsid w:val="004A71CF"/>
    <w:rsid w:val="004A7F4C"/>
    <w:rsid w:val="004B08B4"/>
    <w:rsid w:val="004B0E31"/>
    <w:rsid w:val="004B13B6"/>
    <w:rsid w:val="004B2B11"/>
    <w:rsid w:val="004B2EC2"/>
    <w:rsid w:val="004B314E"/>
    <w:rsid w:val="004B3896"/>
    <w:rsid w:val="004B39BB"/>
    <w:rsid w:val="004B4A9D"/>
    <w:rsid w:val="004C02A7"/>
    <w:rsid w:val="004C28FC"/>
    <w:rsid w:val="004C317B"/>
    <w:rsid w:val="004C3A72"/>
    <w:rsid w:val="004C424D"/>
    <w:rsid w:val="004C4520"/>
    <w:rsid w:val="004C4AF7"/>
    <w:rsid w:val="004C508A"/>
    <w:rsid w:val="004C53CC"/>
    <w:rsid w:val="004C5B7D"/>
    <w:rsid w:val="004C724D"/>
    <w:rsid w:val="004C7B6D"/>
    <w:rsid w:val="004C7CA1"/>
    <w:rsid w:val="004D07FA"/>
    <w:rsid w:val="004D15F2"/>
    <w:rsid w:val="004D1728"/>
    <w:rsid w:val="004D3489"/>
    <w:rsid w:val="004D3B43"/>
    <w:rsid w:val="004D6797"/>
    <w:rsid w:val="004D6A7F"/>
    <w:rsid w:val="004D6B54"/>
    <w:rsid w:val="004D6C2F"/>
    <w:rsid w:val="004D6F18"/>
    <w:rsid w:val="004D7A24"/>
    <w:rsid w:val="004D7AF3"/>
    <w:rsid w:val="004E08FB"/>
    <w:rsid w:val="004E0B00"/>
    <w:rsid w:val="004E11C7"/>
    <w:rsid w:val="004E182C"/>
    <w:rsid w:val="004E1893"/>
    <w:rsid w:val="004E195F"/>
    <w:rsid w:val="004E1C73"/>
    <w:rsid w:val="004E1D7D"/>
    <w:rsid w:val="004E21EA"/>
    <w:rsid w:val="004E23AF"/>
    <w:rsid w:val="004E2557"/>
    <w:rsid w:val="004E3427"/>
    <w:rsid w:val="004E3EA8"/>
    <w:rsid w:val="004E4767"/>
    <w:rsid w:val="004E4FDD"/>
    <w:rsid w:val="004E5E2D"/>
    <w:rsid w:val="004F0903"/>
    <w:rsid w:val="004F150A"/>
    <w:rsid w:val="004F1BD3"/>
    <w:rsid w:val="004F1FB4"/>
    <w:rsid w:val="004F2672"/>
    <w:rsid w:val="004F3715"/>
    <w:rsid w:val="004F4270"/>
    <w:rsid w:val="004F514F"/>
    <w:rsid w:val="004F58D4"/>
    <w:rsid w:val="004F600E"/>
    <w:rsid w:val="004F6DC5"/>
    <w:rsid w:val="004F71B2"/>
    <w:rsid w:val="004F762D"/>
    <w:rsid w:val="005002E7"/>
    <w:rsid w:val="00500335"/>
    <w:rsid w:val="0050045B"/>
    <w:rsid w:val="00500876"/>
    <w:rsid w:val="00500D71"/>
    <w:rsid w:val="00501376"/>
    <w:rsid w:val="00502AE5"/>
    <w:rsid w:val="00504CB0"/>
    <w:rsid w:val="00504FD9"/>
    <w:rsid w:val="00506C25"/>
    <w:rsid w:val="00506CAB"/>
    <w:rsid w:val="00506DFE"/>
    <w:rsid w:val="0050744E"/>
    <w:rsid w:val="00510411"/>
    <w:rsid w:val="00510DC2"/>
    <w:rsid w:val="00510EA4"/>
    <w:rsid w:val="00510EC7"/>
    <w:rsid w:val="005111FC"/>
    <w:rsid w:val="0051144F"/>
    <w:rsid w:val="00511D8D"/>
    <w:rsid w:val="00512A8D"/>
    <w:rsid w:val="00512CCE"/>
    <w:rsid w:val="00512D8B"/>
    <w:rsid w:val="0051311B"/>
    <w:rsid w:val="00513C09"/>
    <w:rsid w:val="00513CC6"/>
    <w:rsid w:val="00513E3C"/>
    <w:rsid w:val="005157A5"/>
    <w:rsid w:val="00515A2D"/>
    <w:rsid w:val="00515AC5"/>
    <w:rsid w:val="00517319"/>
    <w:rsid w:val="00517869"/>
    <w:rsid w:val="00517D5A"/>
    <w:rsid w:val="00520C37"/>
    <w:rsid w:val="0052214C"/>
    <w:rsid w:val="00522917"/>
    <w:rsid w:val="00522C8F"/>
    <w:rsid w:val="00522F37"/>
    <w:rsid w:val="005237EB"/>
    <w:rsid w:val="005238DD"/>
    <w:rsid w:val="00524A21"/>
    <w:rsid w:val="00524ABB"/>
    <w:rsid w:val="00524D2B"/>
    <w:rsid w:val="00524E0F"/>
    <w:rsid w:val="00525DCE"/>
    <w:rsid w:val="005275C5"/>
    <w:rsid w:val="00527AF6"/>
    <w:rsid w:val="005304AC"/>
    <w:rsid w:val="00530901"/>
    <w:rsid w:val="005313C3"/>
    <w:rsid w:val="0053295F"/>
    <w:rsid w:val="005348BD"/>
    <w:rsid w:val="00534C3C"/>
    <w:rsid w:val="00535000"/>
    <w:rsid w:val="00535F8A"/>
    <w:rsid w:val="00535FE7"/>
    <w:rsid w:val="00536052"/>
    <w:rsid w:val="00536B61"/>
    <w:rsid w:val="005371DD"/>
    <w:rsid w:val="00537348"/>
    <w:rsid w:val="00540087"/>
    <w:rsid w:val="00541E9B"/>
    <w:rsid w:val="0054291F"/>
    <w:rsid w:val="00542CC5"/>
    <w:rsid w:val="005434B0"/>
    <w:rsid w:val="005434F1"/>
    <w:rsid w:val="00543E03"/>
    <w:rsid w:val="0054442B"/>
    <w:rsid w:val="00544C6A"/>
    <w:rsid w:val="00544CDB"/>
    <w:rsid w:val="00545356"/>
    <w:rsid w:val="005457AF"/>
    <w:rsid w:val="00545EC3"/>
    <w:rsid w:val="00545F98"/>
    <w:rsid w:val="00546C08"/>
    <w:rsid w:val="00546C59"/>
    <w:rsid w:val="00546DF7"/>
    <w:rsid w:val="005474C3"/>
    <w:rsid w:val="00547612"/>
    <w:rsid w:val="00550DA5"/>
    <w:rsid w:val="00550E19"/>
    <w:rsid w:val="00550EAE"/>
    <w:rsid w:val="005514C3"/>
    <w:rsid w:val="005517CD"/>
    <w:rsid w:val="00553424"/>
    <w:rsid w:val="00553481"/>
    <w:rsid w:val="00554D7D"/>
    <w:rsid w:val="00554EB6"/>
    <w:rsid w:val="00555636"/>
    <w:rsid w:val="005573FF"/>
    <w:rsid w:val="00560554"/>
    <w:rsid w:val="0056155A"/>
    <w:rsid w:val="00561FF3"/>
    <w:rsid w:val="005628F8"/>
    <w:rsid w:val="005635D0"/>
    <w:rsid w:val="00564E79"/>
    <w:rsid w:val="00564E88"/>
    <w:rsid w:val="00565ABD"/>
    <w:rsid w:val="005667AD"/>
    <w:rsid w:val="00566CA7"/>
    <w:rsid w:val="00567FC6"/>
    <w:rsid w:val="00571269"/>
    <w:rsid w:val="00572204"/>
    <w:rsid w:val="0057348F"/>
    <w:rsid w:val="005737F5"/>
    <w:rsid w:val="00573AE1"/>
    <w:rsid w:val="00573B1B"/>
    <w:rsid w:val="00574062"/>
    <w:rsid w:val="00574E83"/>
    <w:rsid w:val="00575899"/>
    <w:rsid w:val="00575F29"/>
    <w:rsid w:val="0057632A"/>
    <w:rsid w:val="00577258"/>
    <w:rsid w:val="00577712"/>
    <w:rsid w:val="00577BCD"/>
    <w:rsid w:val="005808D5"/>
    <w:rsid w:val="00580E13"/>
    <w:rsid w:val="00582CE4"/>
    <w:rsid w:val="00582DBF"/>
    <w:rsid w:val="0058523F"/>
    <w:rsid w:val="00586D99"/>
    <w:rsid w:val="00586EC8"/>
    <w:rsid w:val="0058702D"/>
    <w:rsid w:val="00587F18"/>
    <w:rsid w:val="005907DB"/>
    <w:rsid w:val="00590BB7"/>
    <w:rsid w:val="00590E11"/>
    <w:rsid w:val="00592238"/>
    <w:rsid w:val="00593425"/>
    <w:rsid w:val="00593522"/>
    <w:rsid w:val="00594783"/>
    <w:rsid w:val="00595047"/>
    <w:rsid w:val="00595964"/>
    <w:rsid w:val="005961AE"/>
    <w:rsid w:val="0059772C"/>
    <w:rsid w:val="0059776D"/>
    <w:rsid w:val="00597E1F"/>
    <w:rsid w:val="005A08CA"/>
    <w:rsid w:val="005A14EC"/>
    <w:rsid w:val="005A1C44"/>
    <w:rsid w:val="005A1ED0"/>
    <w:rsid w:val="005A2396"/>
    <w:rsid w:val="005A356B"/>
    <w:rsid w:val="005A4B04"/>
    <w:rsid w:val="005A4D53"/>
    <w:rsid w:val="005A5488"/>
    <w:rsid w:val="005A7029"/>
    <w:rsid w:val="005A7630"/>
    <w:rsid w:val="005B0650"/>
    <w:rsid w:val="005B19D1"/>
    <w:rsid w:val="005B1A70"/>
    <w:rsid w:val="005B1D81"/>
    <w:rsid w:val="005B21A9"/>
    <w:rsid w:val="005B36CE"/>
    <w:rsid w:val="005B559E"/>
    <w:rsid w:val="005B5C25"/>
    <w:rsid w:val="005B5F6F"/>
    <w:rsid w:val="005B6D65"/>
    <w:rsid w:val="005C027F"/>
    <w:rsid w:val="005C05F9"/>
    <w:rsid w:val="005C062C"/>
    <w:rsid w:val="005C27A8"/>
    <w:rsid w:val="005C2975"/>
    <w:rsid w:val="005C3131"/>
    <w:rsid w:val="005C32AC"/>
    <w:rsid w:val="005C33C0"/>
    <w:rsid w:val="005C3AE4"/>
    <w:rsid w:val="005C3DD7"/>
    <w:rsid w:val="005C45C4"/>
    <w:rsid w:val="005C5C1C"/>
    <w:rsid w:val="005C640F"/>
    <w:rsid w:val="005C6518"/>
    <w:rsid w:val="005C72E4"/>
    <w:rsid w:val="005D2A41"/>
    <w:rsid w:val="005D2B82"/>
    <w:rsid w:val="005D481A"/>
    <w:rsid w:val="005D4C46"/>
    <w:rsid w:val="005D4C5E"/>
    <w:rsid w:val="005D50AD"/>
    <w:rsid w:val="005D5141"/>
    <w:rsid w:val="005D5CEE"/>
    <w:rsid w:val="005D6EE1"/>
    <w:rsid w:val="005D7718"/>
    <w:rsid w:val="005E16BD"/>
    <w:rsid w:val="005E4244"/>
    <w:rsid w:val="005E466C"/>
    <w:rsid w:val="005E4711"/>
    <w:rsid w:val="005E596B"/>
    <w:rsid w:val="005E5A7F"/>
    <w:rsid w:val="005E5E41"/>
    <w:rsid w:val="005E60C6"/>
    <w:rsid w:val="005E68C7"/>
    <w:rsid w:val="005E7EF2"/>
    <w:rsid w:val="005F082A"/>
    <w:rsid w:val="005F1112"/>
    <w:rsid w:val="005F1EC1"/>
    <w:rsid w:val="005F2061"/>
    <w:rsid w:val="005F213D"/>
    <w:rsid w:val="005F2B77"/>
    <w:rsid w:val="005F2C6B"/>
    <w:rsid w:val="005F2D52"/>
    <w:rsid w:val="005F339A"/>
    <w:rsid w:val="005F4C3B"/>
    <w:rsid w:val="005F4E9B"/>
    <w:rsid w:val="005F50D8"/>
    <w:rsid w:val="005F5736"/>
    <w:rsid w:val="005F57BF"/>
    <w:rsid w:val="005F5B89"/>
    <w:rsid w:val="005F6965"/>
    <w:rsid w:val="006003B0"/>
    <w:rsid w:val="006005CE"/>
    <w:rsid w:val="00600F5D"/>
    <w:rsid w:val="006017E9"/>
    <w:rsid w:val="00602469"/>
    <w:rsid w:val="00602856"/>
    <w:rsid w:val="00602BF7"/>
    <w:rsid w:val="00603639"/>
    <w:rsid w:val="00603D6C"/>
    <w:rsid w:val="00604AC9"/>
    <w:rsid w:val="006057CC"/>
    <w:rsid w:val="00605A65"/>
    <w:rsid w:val="006062FA"/>
    <w:rsid w:val="006063A4"/>
    <w:rsid w:val="006067D8"/>
    <w:rsid w:val="00606E79"/>
    <w:rsid w:val="00606F3B"/>
    <w:rsid w:val="00607141"/>
    <w:rsid w:val="00607E09"/>
    <w:rsid w:val="00611764"/>
    <w:rsid w:val="006117FB"/>
    <w:rsid w:val="0061190B"/>
    <w:rsid w:val="00611FD0"/>
    <w:rsid w:val="006132E1"/>
    <w:rsid w:val="00615B19"/>
    <w:rsid w:val="00616DA9"/>
    <w:rsid w:val="006209F3"/>
    <w:rsid w:val="00620CA9"/>
    <w:rsid w:val="0062183F"/>
    <w:rsid w:val="00621C19"/>
    <w:rsid w:val="0062273D"/>
    <w:rsid w:val="006229B0"/>
    <w:rsid w:val="006231BD"/>
    <w:rsid w:val="00623228"/>
    <w:rsid w:val="0062329E"/>
    <w:rsid w:val="00623D21"/>
    <w:rsid w:val="00623E48"/>
    <w:rsid w:val="00625F29"/>
    <w:rsid w:val="00626D18"/>
    <w:rsid w:val="00631FF5"/>
    <w:rsid w:val="006329E3"/>
    <w:rsid w:val="006339CB"/>
    <w:rsid w:val="00633C0E"/>
    <w:rsid w:val="00634631"/>
    <w:rsid w:val="00634ACD"/>
    <w:rsid w:val="00635158"/>
    <w:rsid w:val="006358DF"/>
    <w:rsid w:val="00636BA3"/>
    <w:rsid w:val="00637903"/>
    <w:rsid w:val="00637A15"/>
    <w:rsid w:val="00637C15"/>
    <w:rsid w:val="006411BC"/>
    <w:rsid w:val="00641A86"/>
    <w:rsid w:val="00642416"/>
    <w:rsid w:val="00642515"/>
    <w:rsid w:val="006438EA"/>
    <w:rsid w:val="0064414B"/>
    <w:rsid w:val="00644F6B"/>
    <w:rsid w:val="0064516F"/>
    <w:rsid w:val="00645C2F"/>
    <w:rsid w:val="00646865"/>
    <w:rsid w:val="006471FD"/>
    <w:rsid w:val="00650B3E"/>
    <w:rsid w:val="00651765"/>
    <w:rsid w:val="00653FE6"/>
    <w:rsid w:val="006541BE"/>
    <w:rsid w:val="00654601"/>
    <w:rsid w:val="006547BA"/>
    <w:rsid w:val="00654C64"/>
    <w:rsid w:val="00655804"/>
    <w:rsid w:val="00656FEF"/>
    <w:rsid w:val="0065781B"/>
    <w:rsid w:val="006604CD"/>
    <w:rsid w:val="0066057F"/>
    <w:rsid w:val="006606E0"/>
    <w:rsid w:val="00661175"/>
    <w:rsid w:val="006619DE"/>
    <w:rsid w:val="006629A7"/>
    <w:rsid w:val="00663B6C"/>
    <w:rsid w:val="00664E53"/>
    <w:rsid w:val="00665BD9"/>
    <w:rsid w:val="00666B87"/>
    <w:rsid w:val="00666E70"/>
    <w:rsid w:val="0066716C"/>
    <w:rsid w:val="006675A5"/>
    <w:rsid w:val="00671228"/>
    <w:rsid w:val="00671725"/>
    <w:rsid w:val="00672867"/>
    <w:rsid w:val="00672F68"/>
    <w:rsid w:val="006738F6"/>
    <w:rsid w:val="00674F5D"/>
    <w:rsid w:val="0067505D"/>
    <w:rsid w:val="006750EB"/>
    <w:rsid w:val="006767C3"/>
    <w:rsid w:val="00676C7E"/>
    <w:rsid w:val="006779E3"/>
    <w:rsid w:val="00677C7F"/>
    <w:rsid w:val="0068028F"/>
    <w:rsid w:val="006802F5"/>
    <w:rsid w:val="00680760"/>
    <w:rsid w:val="00681432"/>
    <w:rsid w:val="00681879"/>
    <w:rsid w:val="0068239A"/>
    <w:rsid w:val="00682E31"/>
    <w:rsid w:val="00683E06"/>
    <w:rsid w:val="006844E7"/>
    <w:rsid w:val="00685339"/>
    <w:rsid w:val="006856E8"/>
    <w:rsid w:val="00685F7D"/>
    <w:rsid w:val="00687AE6"/>
    <w:rsid w:val="00687EE9"/>
    <w:rsid w:val="006918C7"/>
    <w:rsid w:val="00695340"/>
    <w:rsid w:val="00695447"/>
    <w:rsid w:val="006957B4"/>
    <w:rsid w:val="006962B1"/>
    <w:rsid w:val="0069653E"/>
    <w:rsid w:val="00696C48"/>
    <w:rsid w:val="00696F7D"/>
    <w:rsid w:val="0069702C"/>
    <w:rsid w:val="00697AF5"/>
    <w:rsid w:val="006A1994"/>
    <w:rsid w:val="006A21F3"/>
    <w:rsid w:val="006A237E"/>
    <w:rsid w:val="006A2A02"/>
    <w:rsid w:val="006A2DFD"/>
    <w:rsid w:val="006A3790"/>
    <w:rsid w:val="006A3F1F"/>
    <w:rsid w:val="006A5383"/>
    <w:rsid w:val="006A631D"/>
    <w:rsid w:val="006A637A"/>
    <w:rsid w:val="006A6A02"/>
    <w:rsid w:val="006A6B61"/>
    <w:rsid w:val="006A75FD"/>
    <w:rsid w:val="006A7867"/>
    <w:rsid w:val="006A7936"/>
    <w:rsid w:val="006B0EF0"/>
    <w:rsid w:val="006B10C2"/>
    <w:rsid w:val="006B10EA"/>
    <w:rsid w:val="006B162E"/>
    <w:rsid w:val="006B40B5"/>
    <w:rsid w:val="006B497E"/>
    <w:rsid w:val="006B59FD"/>
    <w:rsid w:val="006B5F6D"/>
    <w:rsid w:val="006B6370"/>
    <w:rsid w:val="006B6461"/>
    <w:rsid w:val="006B6710"/>
    <w:rsid w:val="006B7800"/>
    <w:rsid w:val="006C076D"/>
    <w:rsid w:val="006C1328"/>
    <w:rsid w:val="006C16FE"/>
    <w:rsid w:val="006C18FB"/>
    <w:rsid w:val="006C248D"/>
    <w:rsid w:val="006C249B"/>
    <w:rsid w:val="006C2F7E"/>
    <w:rsid w:val="006C30F5"/>
    <w:rsid w:val="006C3352"/>
    <w:rsid w:val="006C5A37"/>
    <w:rsid w:val="006C5F72"/>
    <w:rsid w:val="006C7295"/>
    <w:rsid w:val="006C751F"/>
    <w:rsid w:val="006C75AC"/>
    <w:rsid w:val="006C7D5A"/>
    <w:rsid w:val="006D1B17"/>
    <w:rsid w:val="006D271F"/>
    <w:rsid w:val="006D2B25"/>
    <w:rsid w:val="006D310D"/>
    <w:rsid w:val="006D372F"/>
    <w:rsid w:val="006D3FBB"/>
    <w:rsid w:val="006D436B"/>
    <w:rsid w:val="006D53AB"/>
    <w:rsid w:val="006D5419"/>
    <w:rsid w:val="006D5ACD"/>
    <w:rsid w:val="006D5AF1"/>
    <w:rsid w:val="006D5F1E"/>
    <w:rsid w:val="006D64C0"/>
    <w:rsid w:val="006D7288"/>
    <w:rsid w:val="006D7521"/>
    <w:rsid w:val="006D752B"/>
    <w:rsid w:val="006D7BA3"/>
    <w:rsid w:val="006E07BA"/>
    <w:rsid w:val="006E0C7E"/>
    <w:rsid w:val="006E17AE"/>
    <w:rsid w:val="006E2513"/>
    <w:rsid w:val="006E2ADF"/>
    <w:rsid w:val="006E2DCB"/>
    <w:rsid w:val="006E5330"/>
    <w:rsid w:val="006E5431"/>
    <w:rsid w:val="006E57E2"/>
    <w:rsid w:val="006E5ABF"/>
    <w:rsid w:val="006E6686"/>
    <w:rsid w:val="006E725A"/>
    <w:rsid w:val="006E782B"/>
    <w:rsid w:val="006F0AE1"/>
    <w:rsid w:val="006F0F35"/>
    <w:rsid w:val="006F1264"/>
    <w:rsid w:val="006F1A8C"/>
    <w:rsid w:val="006F1CC6"/>
    <w:rsid w:val="006F3131"/>
    <w:rsid w:val="006F4694"/>
    <w:rsid w:val="006F5D70"/>
    <w:rsid w:val="006F6355"/>
    <w:rsid w:val="006F783E"/>
    <w:rsid w:val="006F787B"/>
    <w:rsid w:val="00700D12"/>
    <w:rsid w:val="007016BD"/>
    <w:rsid w:val="00701724"/>
    <w:rsid w:val="00702163"/>
    <w:rsid w:val="0070265E"/>
    <w:rsid w:val="007026A9"/>
    <w:rsid w:val="007036DD"/>
    <w:rsid w:val="00703B36"/>
    <w:rsid w:val="007048BA"/>
    <w:rsid w:val="00706203"/>
    <w:rsid w:val="00706B54"/>
    <w:rsid w:val="007105B7"/>
    <w:rsid w:val="007108C1"/>
    <w:rsid w:val="00710E62"/>
    <w:rsid w:val="007131ED"/>
    <w:rsid w:val="007135D7"/>
    <w:rsid w:val="00713B43"/>
    <w:rsid w:val="00715594"/>
    <w:rsid w:val="00715EB6"/>
    <w:rsid w:val="00716FCA"/>
    <w:rsid w:val="007174BD"/>
    <w:rsid w:val="007204A7"/>
    <w:rsid w:val="007208D2"/>
    <w:rsid w:val="00721ABC"/>
    <w:rsid w:val="007227E2"/>
    <w:rsid w:val="00722D09"/>
    <w:rsid w:val="007248BA"/>
    <w:rsid w:val="00725A4D"/>
    <w:rsid w:val="00725A50"/>
    <w:rsid w:val="007271E9"/>
    <w:rsid w:val="0072721C"/>
    <w:rsid w:val="00727501"/>
    <w:rsid w:val="007307E8"/>
    <w:rsid w:val="0073091F"/>
    <w:rsid w:val="00730ADF"/>
    <w:rsid w:val="00731931"/>
    <w:rsid w:val="007330A5"/>
    <w:rsid w:val="00733B16"/>
    <w:rsid w:val="00734C1F"/>
    <w:rsid w:val="00734DCD"/>
    <w:rsid w:val="00735550"/>
    <w:rsid w:val="00735956"/>
    <w:rsid w:val="007361BD"/>
    <w:rsid w:val="00736D46"/>
    <w:rsid w:val="0073771D"/>
    <w:rsid w:val="00737A0C"/>
    <w:rsid w:val="00740945"/>
    <w:rsid w:val="00740AF9"/>
    <w:rsid w:val="00740E44"/>
    <w:rsid w:val="007416EF"/>
    <w:rsid w:val="00744E1D"/>
    <w:rsid w:val="00745643"/>
    <w:rsid w:val="0074621C"/>
    <w:rsid w:val="00746905"/>
    <w:rsid w:val="00746CF9"/>
    <w:rsid w:val="00747174"/>
    <w:rsid w:val="00747277"/>
    <w:rsid w:val="00747692"/>
    <w:rsid w:val="00747695"/>
    <w:rsid w:val="007503CA"/>
    <w:rsid w:val="00750502"/>
    <w:rsid w:val="00751072"/>
    <w:rsid w:val="007517C5"/>
    <w:rsid w:val="00751D2B"/>
    <w:rsid w:val="00752D0F"/>
    <w:rsid w:val="00753D09"/>
    <w:rsid w:val="0075432B"/>
    <w:rsid w:val="00754974"/>
    <w:rsid w:val="00755702"/>
    <w:rsid w:val="007575E6"/>
    <w:rsid w:val="00757946"/>
    <w:rsid w:val="00757E7F"/>
    <w:rsid w:val="0076016C"/>
    <w:rsid w:val="00760FEB"/>
    <w:rsid w:val="00761F76"/>
    <w:rsid w:val="00762720"/>
    <w:rsid w:val="007629FE"/>
    <w:rsid w:val="0076391F"/>
    <w:rsid w:val="007645F1"/>
    <w:rsid w:val="007646EF"/>
    <w:rsid w:val="00764D78"/>
    <w:rsid w:val="00766D4C"/>
    <w:rsid w:val="00767206"/>
    <w:rsid w:val="007677F2"/>
    <w:rsid w:val="00771634"/>
    <w:rsid w:val="00772031"/>
    <w:rsid w:val="00772155"/>
    <w:rsid w:val="007726AD"/>
    <w:rsid w:val="007733A6"/>
    <w:rsid w:val="007742C3"/>
    <w:rsid w:val="007743D8"/>
    <w:rsid w:val="00775332"/>
    <w:rsid w:val="00776236"/>
    <w:rsid w:val="00776DFD"/>
    <w:rsid w:val="00776E87"/>
    <w:rsid w:val="00777157"/>
    <w:rsid w:val="0077758F"/>
    <w:rsid w:val="00780E53"/>
    <w:rsid w:val="00781888"/>
    <w:rsid w:val="007835D2"/>
    <w:rsid w:val="00783942"/>
    <w:rsid w:val="00783DC6"/>
    <w:rsid w:val="00783F87"/>
    <w:rsid w:val="007849DD"/>
    <w:rsid w:val="00785445"/>
    <w:rsid w:val="00786E4D"/>
    <w:rsid w:val="007873B1"/>
    <w:rsid w:val="00787521"/>
    <w:rsid w:val="007877DF"/>
    <w:rsid w:val="007878FE"/>
    <w:rsid w:val="007901BD"/>
    <w:rsid w:val="00790DB3"/>
    <w:rsid w:val="00790FE3"/>
    <w:rsid w:val="0079127D"/>
    <w:rsid w:val="007918DF"/>
    <w:rsid w:val="00791C2D"/>
    <w:rsid w:val="00793417"/>
    <w:rsid w:val="00793BCC"/>
    <w:rsid w:val="00793DC2"/>
    <w:rsid w:val="00794780"/>
    <w:rsid w:val="00795FB5"/>
    <w:rsid w:val="007966FC"/>
    <w:rsid w:val="007967F0"/>
    <w:rsid w:val="007972AA"/>
    <w:rsid w:val="00797835"/>
    <w:rsid w:val="00797E52"/>
    <w:rsid w:val="007A033E"/>
    <w:rsid w:val="007A0CEE"/>
    <w:rsid w:val="007A0F62"/>
    <w:rsid w:val="007A1B67"/>
    <w:rsid w:val="007A1B6D"/>
    <w:rsid w:val="007A515D"/>
    <w:rsid w:val="007A5BBB"/>
    <w:rsid w:val="007A6027"/>
    <w:rsid w:val="007A695F"/>
    <w:rsid w:val="007A7178"/>
    <w:rsid w:val="007B0D4F"/>
    <w:rsid w:val="007B104F"/>
    <w:rsid w:val="007B1431"/>
    <w:rsid w:val="007B1980"/>
    <w:rsid w:val="007B2674"/>
    <w:rsid w:val="007B2F49"/>
    <w:rsid w:val="007B36FC"/>
    <w:rsid w:val="007B4565"/>
    <w:rsid w:val="007B4B1D"/>
    <w:rsid w:val="007B5206"/>
    <w:rsid w:val="007B5282"/>
    <w:rsid w:val="007B5996"/>
    <w:rsid w:val="007B601A"/>
    <w:rsid w:val="007B6118"/>
    <w:rsid w:val="007B6435"/>
    <w:rsid w:val="007B785C"/>
    <w:rsid w:val="007C0F52"/>
    <w:rsid w:val="007C2981"/>
    <w:rsid w:val="007C2ADA"/>
    <w:rsid w:val="007C2F6D"/>
    <w:rsid w:val="007C371F"/>
    <w:rsid w:val="007C4EAD"/>
    <w:rsid w:val="007C5BEA"/>
    <w:rsid w:val="007C6B67"/>
    <w:rsid w:val="007C7FEB"/>
    <w:rsid w:val="007D0195"/>
    <w:rsid w:val="007D08FE"/>
    <w:rsid w:val="007D120C"/>
    <w:rsid w:val="007D1A88"/>
    <w:rsid w:val="007D2382"/>
    <w:rsid w:val="007D2841"/>
    <w:rsid w:val="007D2870"/>
    <w:rsid w:val="007D47AA"/>
    <w:rsid w:val="007D557B"/>
    <w:rsid w:val="007D62BE"/>
    <w:rsid w:val="007D63B4"/>
    <w:rsid w:val="007D67DF"/>
    <w:rsid w:val="007D6B47"/>
    <w:rsid w:val="007E06E6"/>
    <w:rsid w:val="007E0C86"/>
    <w:rsid w:val="007E120F"/>
    <w:rsid w:val="007E1D75"/>
    <w:rsid w:val="007E20A7"/>
    <w:rsid w:val="007E2307"/>
    <w:rsid w:val="007E2891"/>
    <w:rsid w:val="007E3CAE"/>
    <w:rsid w:val="007E4BCD"/>
    <w:rsid w:val="007E5396"/>
    <w:rsid w:val="007E54A4"/>
    <w:rsid w:val="007E6D28"/>
    <w:rsid w:val="007E732E"/>
    <w:rsid w:val="007F0587"/>
    <w:rsid w:val="007F2DF2"/>
    <w:rsid w:val="007F3E2A"/>
    <w:rsid w:val="007F4330"/>
    <w:rsid w:val="007F4BAC"/>
    <w:rsid w:val="007F7392"/>
    <w:rsid w:val="00800011"/>
    <w:rsid w:val="0080004E"/>
    <w:rsid w:val="00803F6E"/>
    <w:rsid w:val="008044F0"/>
    <w:rsid w:val="00804AA4"/>
    <w:rsid w:val="00805151"/>
    <w:rsid w:val="008053ED"/>
    <w:rsid w:val="00806383"/>
    <w:rsid w:val="0080661B"/>
    <w:rsid w:val="00806A1D"/>
    <w:rsid w:val="00807D5B"/>
    <w:rsid w:val="00807FB0"/>
    <w:rsid w:val="00810607"/>
    <w:rsid w:val="00810ADD"/>
    <w:rsid w:val="00811559"/>
    <w:rsid w:val="00811E7E"/>
    <w:rsid w:val="008141CA"/>
    <w:rsid w:val="00815B20"/>
    <w:rsid w:val="0081614A"/>
    <w:rsid w:val="00816654"/>
    <w:rsid w:val="0081681A"/>
    <w:rsid w:val="0081736B"/>
    <w:rsid w:val="0082064D"/>
    <w:rsid w:val="00820834"/>
    <w:rsid w:val="008209A3"/>
    <w:rsid w:val="0082128F"/>
    <w:rsid w:val="0082252E"/>
    <w:rsid w:val="00824411"/>
    <w:rsid w:val="00824AA7"/>
    <w:rsid w:val="00824D7C"/>
    <w:rsid w:val="008258FE"/>
    <w:rsid w:val="00826DA4"/>
    <w:rsid w:val="00830BFA"/>
    <w:rsid w:val="00831E89"/>
    <w:rsid w:val="00834880"/>
    <w:rsid w:val="00834D9D"/>
    <w:rsid w:val="00834F0F"/>
    <w:rsid w:val="008360A8"/>
    <w:rsid w:val="0083736F"/>
    <w:rsid w:val="008375D2"/>
    <w:rsid w:val="00837BDC"/>
    <w:rsid w:val="0084194E"/>
    <w:rsid w:val="0084285B"/>
    <w:rsid w:val="00844068"/>
    <w:rsid w:val="00844B67"/>
    <w:rsid w:val="00844FDF"/>
    <w:rsid w:val="008458C6"/>
    <w:rsid w:val="00845A96"/>
    <w:rsid w:val="00845AA4"/>
    <w:rsid w:val="00846851"/>
    <w:rsid w:val="00847695"/>
    <w:rsid w:val="00847739"/>
    <w:rsid w:val="00851EBA"/>
    <w:rsid w:val="008535C1"/>
    <w:rsid w:val="008542FB"/>
    <w:rsid w:val="00855A1E"/>
    <w:rsid w:val="00856DB4"/>
    <w:rsid w:val="008577CE"/>
    <w:rsid w:val="008603DE"/>
    <w:rsid w:val="00860B2B"/>
    <w:rsid w:val="00860E25"/>
    <w:rsid w:val="00862605"/>
    <w:rsid w:val="00862636"/>
    <w:rsid w:val="00862941"/>
    <w:rsid w:val="008642CF"/>
    <w:rsid w:val="00864602"/>
    <w:rsid w:val="00864819"/>
    <w:rsid w:val="00864AA3"/>
    <w:rsid w:val="00865375"/>
    <w:rsid w:val="00865C36"/>
    <w:rsid w:val="008707BA"/>
    <w:rsid w:val="008720CC"/>
    <w:rsid w:val="0087296E"/>
    <w:rsid w:val="00872F6A"/>
    <w:rsid w:val="00873235"/>
    <w:rsid w:val="0087342A"/>
    <w:rsid w:val="0087344A"/>
    <w:rsid w:val="008734BD"/>
    <w:rsid w:val="00873ABA"/>
    <w:rsid w:val="008750DB"/>
    <w:rsid w:val="00875AC2"/>
    <w:rsid w:val="00876994"/>
    <w:rsid w:val="00877745"/>
    <w:rsid w:val="00877999"/>
    <w:rsid w:val="00880025"/>
    <w:rsid w:val="00880C2C"/>
    <w:rsid w:val="00880E31"/>
    <w:rsid w:val="0088169A"/>
    <w:rsid w:val="00881E7E"/>
    <w:rsid w:val="0088280C"/>
    <w:rsid w:val="008831DD"/>
    <w:rsid w:val="008844CC"/>
    <w:rsid w:val="00885356"/>
    <w:rsid w:val="00886F75"/>
    <w:rsid w:val="008873B7"/>
    <w:rsid w:val="0088781D"/>
    <w:rsid w:val="00891207"/>
    <w:rsid w:val="00891295"/>
    <w:rsid w:val="00891605"/>
    <w:rsid w:val="008918B8"/>
    <w:rsid w:val="00891C28"/>
    <w:rsid w:val="008923D0"/>
    <w:rsid w:val="008929A5"/>
    <w:rsid w:val="00893436"/>
    <w:rsid w:val="00893DBF"/>
    <w:rsid w:val="00893E98"/>
    <w:rsid w:val="00894EFB"/>
    <w:rsid w:val="00895E6D"/>
    <w:rsid w:val="00896787"/>
    <w:rsid w:val="008968D8"/>
    <w:rsid w:val="00897204"/>
    <w:rsid w:val="008A135E"/>
    <w:rsid w:val="008A143C"/>
    <w:rsid w:val="008A2169"/>
    <w:rsid w:val="008A22F4"/>
    <w:rsid w:val="008A2349"/>
    <w:rsid w:val="008A23B6"/>
    <w:rsid w:val="008A2904"/>
    <w:rsid w:val="008A3C21"/>
    <w:rsid w:val="008A4215"/>
    <w:rsid w:val="008A5305"/>
    <w:rsid w:val="008A5CDE"/>
    <w:rsid w:val="008A5FEC"/>
    <w:rsid w:val="008A7677"/>
    <w:rsid w:val="008A7A02"/>
    <w:rsid w:val="008B0321"/>
    <w:rsid w:val="008B0F07"/>
    <w:rsid w:val="008B2522"/>
    <w:rsid w:val="008B28AF"/>
    <w:rsid w:val="008B2A24"/>
    <w:rsid w:val="008B33F4"/>
    <w:rsid w:val="008B36DD"/>
    <w:rsid w:val="008B4905"/>
    <w:rsid w:val="008B4CE6"/>
    <w:rsid w:val="008B521A"/>
    <w:rsid w:val="008B55E0"/>
    <w:rsid w:val="008B5A63"/>
    <w:rsid w:val="008C0B19"/>
    <w:rsid w:val="008C2438"/>
    <w:rsid w:val="008C48F2"/>
    <w:rsid w:val="008C66B2"/>
    <w:rsid w:val="008C6CF8"/>
    <w:rsid w:val="008C6E78"/>
    <w:rsid w:val="008C72B4"/>
    <w:rsid w:val="008C7901"/>
    <w:rsid w:val="008D2047"/>
    <w:rsid w:val="008D24B0"/>
    <w:rsid w:val="008D29F2"/>
    <w:rsid w:val="008D2BA6"/>
    <w:rsid w:val="008D381F"/>
    <w:rsid w:val="008D4947"/>
    <w:rsid w:val="008D4B87"/>
    <w:rsid w:val="008D5243"/>
    <w:rsid w:val="008D55FB"/>
    <w:rsid w:val="008D7146"/>
    <w:rsid w:val="008D75A1"/>
    <w:rsid w:val="008E34CC"/>
    <w:rsid w:val="008E4318"/>
    <w:rsid w:val="008E4A6D"/>
    <w:rsid w:val="008E4FF6"/>
    <w:rsid w:val="008E720D"/>
    <w:rsid w:val="008E77E3"/>
    <w:rsid w:val="008E7A2E"/>
    <w:rsid w:val="008F0E5C"/>
    <w:rsid w:val="008F3FF1"/>
    <w:rsid w:val="008F5463"/>
    <w:rsid w:val="008F56D4"/>
    <w:rsid w:val="008F6B0D"/>
    <w:rsid w:val="008F795B"/>
    <w:rsid w:val="00900115"/>
    <w:rsid w:val="00900500"/>
    <w:rsid w:val="0090128B"/>
    <w:rsid w:val="00901DB4"/>
    <w:rsid w:val="009024E2"/>
    <w:rsid w:val="009035F8"/>
    <w:rsid w:val="009038A0"/>
    <w:rsid w:val="0090437F"/>
    <w:rsid w:val="009043D1"/>
    <w:rsid w:val="00906092"/>
    <w:rsid w:val="00910441"/>
    <w:rsid w:val="00911F3B"/>
    <w:rsid w:val="009140FF"/>
    <w:rsid w:val="009153B9"/>
    <w:rsid w:val="00916A72"/>
    <w:rsid w:val="00917721"/>
    <w:rsid w:val="00917EDA"/>
    <w:rsid w:val="009209F1"/>
    <w:rsid w:val="00921BAE"/>
    <w:rsid w:val="009220A9"/>
    <w:rsid w:val="009235C6"/>
    <w:rsid w:val="00924383"/>
    <w:rsid w:val="0092474E"/>
    <w:rsid w:val="00925527"/>
    <w:rsid w:val="00926010"/>
    <w:rsid w:val="0092688C"/>
    <w:rsid w:val="009279CF"/>
    <w:rsid w:val="00931230"/>
    <w:rsid w:val="0093158D"/>
    <w:rsid w:val="009316FF"/>
    <w:rsid w:val="00931D07"/>
    <w:rsid w:val="00933223"/>
    <w:rsid w:val="009334A8"/>
    <w:rsid w:val="0093384D"/>
    <w:rsid w:val="00933BE7"/>
    <w:rsid w:val="0093412F"/>
    <w:rsid w:val="00935CFF"/>
    <w:rsid w:val="00937EF9"/>
    <w:rsid w:val="00940647"/>
    <w:rsid w:val="009409F5"/>
    <w:rsid w:val="0094372B"/>
    <w:rsid w:val="009444FD"/>
    <w:rsid w:val="00944D51"/>
    <w:rsid w:val="0094586A"/>
    <w:rsid w:val="00945D50"/>
    <w:rsid w:val="00945E27"/>
    <w:rsid w:val="0094674F"/>
    <w:rsid w:val="009469F3"/>
    <w:rsid w:val="00946E64"/>
    <w:rsid w:val="0094726A"/>
    <w:rsid w:val="00947F0E"/>
    <w:rsid w:val="009532BA"/>
    <w:rsid w:val="0095332B"/>
    <w:rsid w:val="00953AF2"/>
    <w:rsid w:val="00954108"/>
    <w:rsid w:val="0095452B"/>
    <w:rsid w:val="0095564A"/>
    <w:rsid w:val="009557D9"/>
    <w:rsid w:val="0095703B"/>
    <w:rsid w:val="00957769"/>
    <w:rsid w:val="0095781E"/>
    <w:rsid w:val="0096124C"/>
    <w:rsid w:val="00961813"/>
    <w:rsid w:val="00961B2A"/>
    <w:rsid w:val="0096204F"/>
    <w:rsid w:val="0096246B"/>
    <w:rsid w:val="0096325D"/>
    <w:rsid w:val="0096393E"/>
    <w:rsid w:val="00963A7C"/>
    <w:rsid w:val="00964013"/>
    <w:rsid w:val="00966A29"/>
    <w:rsid w:val="00966A68"/>
    <w:rsid w:val="009675B4"/>
    <w:rsid w:val="009678F1"/>
    <w:rsid w:val="00970C24"/>
    <w:rsid w:val="00970E77"/>
    <w:rsid w:val="00970F03"/>
    <w:rsid w:val="0097111B"/>
    <w:rsid w:val="00971AB6"/>
    <w:rsid w:val="00971B5E"/>
    <w:rsid w:val="009722D2"/>
    <w:rsid w:val="00972646"/>
    <w:rsid w:val="00974EEA"/>
    <w:rsid w:val="009756DB"/>
    <w:rsid w:val="00975DA0"/>
    <w:rsid w:val="00975EEF"/>
    <w:rsid w:val="009765B9"/>
    <w:rsid w:val="00977545"/>
    <w:rsid w:val="009807AE"/>
    <w:rsid w:val="00980CDB"/>
    <w:rsid w:val="009815C3"/>
    <w:rsid w:val="00982F39"/>
    <w:rsid w:val="00983262"/>
    <w:rsid w:val="0098480E"/>
    <w:rsid w:val="009848A9"/>
    <w:rsid w:val="00985BD0"/>
    <w:rsid w:val="009862AB"/>
    <w:rsid w:val="0098674A"/>
    <w:rsid w:val="00986FDA"/>
    <w:rsid w:val="009872AB"/>
    <w:rsid w:val="009877E2"/>
    <w:rsid w:val="009926CD"/>
    <w:rsid w:val="009928BC"/>
    <w:rsid w:val="00993DE4"/>
    <w:rsid w:val="00994210"/>
    <w:rsid w:val="009951EC"/>
    <w:rsid w:val="00996385"/>
    <w:rsid w:val="00996595"/>
    <w:rsid w:val="00996940"/>
    <w:rsid w:val="00996976"/>
    <w:rsid w:val="00997CEC"/>
    <w:rsid w:val="009A09E2"/>
    <w:rsid w:val="009A2BE9"/>
    <w:rsid w:val="009A3829"/>
    <w:rsid w:val="009A4667"/>
    <w:rsid w:val="009A4A5A"/>
    <w:rsid w:val="009A544A"/>
    <w:rsid w:val="009A5EAE"/>
    <w:rsid w:val="009A6100"/>
    <w:rsid w:val="009A6A50"/>
    <w:rsid w:val="009A6CD3"/>
    <w:rsid w:val="009A72CF"/>
    <w:rsid w:val="009A74D3"/>
    <w:rsid w:val="009B006A"/>
    <w:rsid w:val="009B0B92"/>
    <w:rsid w:val="009B14F6"/>
    <w:rsid w:val="009B28C7"/>
    <w:rsid w:val="009B45CE"/>
    <w:rsid w:val="009B4D25"/>
    <w:rsid w:val="009B59F7"/>
    <w:rsid w:val="009B76CC"/>
    <w:rsid w:val="009C0370"/>
    <w:rsid w:val="009C1026"/>
    <w:rsid w:val="009C1B83"/>
    <w:rsid w:val="009C1BAC"/>
    <w:rsid w:val="009C1E2C"/>
    <w:rsid w:val="009C310A"/>
    <w:rsid w:val="009C32F4"/>
    <w:rsid w:val="009C3438"/>
    <w:rsid w:val="009C46A5"/>
    <w:rsid w:val="009C4717"/>
    <w:rsid w:val="009C4B57"/>
    <w:rsid w:val="009C4DC5"/>
    <w:rsid w:val="009C5F0A"/>
    <w:rsid w:val="009C7152"/>
    <w:rsid w:val="009C7285"/>
    <w:rsid w:val="009C7606"/>
    <w:rsid w:val="009C7B62"/>
    <w:rsid w:val="009D0A0B"/>
    <w:rsid w:val="009D0E39"/>
    <w:rsid w:val="009D1510"/>
    <w:rsid w:val="009D17E3"/>
    <w:rsid w:val="009D17EC"/>
    <w:rsid w:val="009D271E"/>
    <w:rsid w:val="009D37E5"/>
    <w:rsid w:val="009D4078"/>
    <w:rsid w:val="009D4522"/>
    <w:rsid w:val="009D6608"/>
    <w:rsid w:val="009D695F"/>
    <w:rsid w:val="009D7503"/>
    <w:rsid w:val="009D7C87"/>
    <w:rsid w:val="009D7E4C"/>
    <w:rsid w:val="009E12D1"/>
    <w:rsid w:val="009E2356"/>
    <w:rsid w:val="009E2684"/>
    <w:rsid w:val="009E2CAA"/>
    <w:rsid w:val="009E317E"/>
    <w:rsid w:val="009E496E"/>
    <w:rsid w:val="009E5AC0"/>
    <w:rsid w:val="009E5BD6"/>
    <w:rsid w:val="009E5C5A"/>
    <w:rsid w:val="009E5FC2"/>
    <w:rsid w:val="009E6382"/>
    <w:rsid w:val="009E6C8C"/>
    <w:rsid w:val="009F00A3"/>
    <w:rsid w:val="009F17E3"/>
    <w:rsid w:val="009F1817"/>
    <w:rsid w:val="009F21E8"/>
    <w:rsid w:val="009F25BC"/>
    <w:rsid w:val="009F39E3"/>
    <w:rsid w:val="009F46CD"/>
    <w:rsid w:val="009F5BAB"/>
    <w:rsid w:val="009F6534"/>
    <w:rsid w:val="009F6A7F"/>
    <w:rsid w:val="009F6F8F"/>
    <w:rsid w:val="009F7114"/>
    <w:rsid w:val="00A00284"/>
    <w:rsid w:val="00A005EA"/>
    <w:rsid w:val="00A0062D"/>
    <w:rsid w:val="00A016F6"/>
    <w:rsid w:val="00A025B1"/>
    <w:rsid w:val="00A02F56"/>
    <w:rsid w:val="00A03787"/>
    <w:rsid w:val="00A03F6B"/>
    <w:rsid w:val="00A0432A"/>
    <w:rsid w:val="00A0553B"/>
    <w:rsid w:val="00A057A8"/>
    <w:rsid w:val="00A05E68"/>
    <w:rsid w:val="00A06C12"/>
    <w:rsid w:val="00A06FAD"/>
    <w:rsid w:val="00A06FDB"/>
    <w:rsid w:val="00A117BC"/>
    <w:rsid w:val="00A126A7"/>
    <w:rsid w:val="00A12AFA"/>
    <w:rsid w:val="00A135E9"/>
    <w:rsid w:val="00A13CFC"/>
    <w:rsid w:val="00A14835"/>
    <w:rsid w:val="00A15880"/>
    <w:rsid w:val="00A16070"/>
    <w:rsid w:val="00A1614F"/>
    <w:rsid w:val="00A208A8"/>
    <w:rsid w:val="00A20A66"/>
    <w:rsid w:val="00A20C0C"/>
    <w:rsid w:val="00A21C82"/>
    <w:rsid w:val="00A22C3C"/>
    <w:rsid w:val="00A2361E"/>
    <w:rsid w:val="00A24916"/>
    <w:rsid w:val="00A30299"/>
    <w:rsid w:val="00A30A84"/>
    <w:rsid w:val="00A310F0"/>
    <w:rsid w:val="00A31313"/>
    <w:rsid w:val="00A31507"/>
    <w:rsid w:val="00A31C19"/>
    <w:rsid w:val="00A320CA"/>
    <w:rsid w:val="00A32CF4"/>
    <w:rsid w:val="00A332C2"/>
    <w:rsid w:val="00A34233"/>
    <w:rsid w:val="00A35A29"/>
    <w:rsid w:val="00A35DA9"/>
    <w:rsid w:val="00A37B61"/>
    <w:rsid w:val="00A402DB"/>
    <w:rsid w:val="00A40506"/>
    <w:rsid w:val="00A4212E"/>
    <w:rsid w:val="00A42686"/>
    <w:rsid w:val="00A42820"/>
    <w:rsid w:val="00A4290F"/>
    <w:rsid w:val="00A42CFF"/>
    <w:rsid w:val="00A433B9"/>
    <w:rsid w:val="00A43BC5"/>
    <w:rsid w:val="00A45ABB"/>
    <w:rsid w:val="00A479C5"/>
    <w:rsid w:val="00A479D2"/>
    <w:rsid w:val="00A47A9B"/>
    <w:rsid w:val="00A5132F"/>
    <w:rsid w:val="00A517E7"/>
    <w:rsid w:val="00A51CB8"/>
    <w:rsid w:val="00A5300C"/>
    <w:rsid w:val="00A55807"/>
    <w:rsid w:val="00A55C89"/>
    <w:rsid w:val="00A5680F"/>
    <w:rsid w:val="00A57878"/>
    <w:rsid w:val="00A57E0C"/>
    <w:rsid w:val="00A60243"/>
    <w:rsid w:val="00A604F8"/>
    <w:rsid w:val="00A60FBE"/>
    <w:rsid w:val="00A619DA"/>
    <w:rsid w:val="00A61E63"/>
    <w:rsid w:val="00A62DF1"/>
    <w:rsid w:val="00A646B0"/>
    <w:rsid w:val="00A66EEB"/>
    <w:rsid w:val="00A66FA0"/>
    <w:rsid w:val="00A67361"/>
    <w:rsid w:val="00A7019B"/>
    <w:rsid w:val="00A71972"/>
    <w:rsid w:val="00A72F2E"/>
    <w:rsid w:val="00A74D59"/>
    <w:rsid w:val="00A74F5A"/>
    <w:rsid w:val="00A756A4"/>
    <w:rsid w:val="00A75E01"/>
    <w:rsid w:val="00A75E84"/>
    <w:rsid w:val="00A77382"/>
    <w:rsid w:val="00A77822"/>
    <w:rsid w:val="00A821CD"/>
    <w:rsid w:val="00A8230B"/>
    <w:rsid w:val="00A8240E"/>
    <w:rsid w:val="00A83BBB"/>
    <w:rsid w:val="00A84D24"/>
    <w:rsid w:val="00A9066C"/>
    <w:rsid w:val="00A92127"/>
    <w:rsid w:val="00A92427"/>
    <w:rsid w:val="00A9382E"/>
    <w:rsid w:val="00A93A06"/>
    <w:rsid w:val="00A93A4C"/>
    <w:rsid w:val="00A93C8A"/>
    <w:rsid w:val="00A94DCA"/>
    <w:rsid w:val="00A95A45"/>
    <w:rsid w:val="00A95AB2"/>
    <w:rsid w:val="00A95C36"/>
    <w:rsid w:val="00A95DC4"/>
    <w:rsid w:val="00A96641"/>
    <w:rsid w:val="00A967A5"/>
    <w:rsid w:val="00A96F35"/>
    <w:rsid w:val="00A96F76"/>
    <w:rsid w:val="00A97ED0"/>
    <w:rsid w:val="00AA0531"/>
    <w:rsid w:val="00AA13F5"/>
    <w:rsid w:val="00AA1544"/>
    <w:rsid w:val="00AA2240"/>
    <w:rsid w:val="00AA224E"/>
    <w:rsid w:val="00AA2571"/>
    <w:rsid w:val="00AA2B4D"/>
    <w:rsid w:val="00AA3C64"/>
    <w:rsid w:val="00AA685F"/>
    <w:rsid w:val="00AA6CE9"/>
    <w:rsid w:val="00AA77C1"/>
    <w:rsid w:val="00AA7AD0"/>
    <w:rsid w:val="00AB0182"/>
    <w:rsid w:val="00AB09E8"/>
    <w:rsid w:val="00AB1141"/>
    <w:rsid w:val="00AB1992"/>
    <w:rsid w:val="00AB1C5D"/>
    <w:rsid w:val="00AB24E4"/>
    <w:rsid w:val="00AB2FFF"/>
    <w:rsid w:val="00AB37C7"/>
    <w:rsid w:val="00AB4726"/>
    <w:rsid w:val="00AB4CC9"/>
    <w:rsid w:val="00AB57A7"/>
    <w:rsid w:val="00AB62B8"/>
    <w:rsid w:val="00AB6AD0"/>
    <w:rsid w:val="00AB76AC"/>
    <w:rsid w:val="00AC01BC"/>
    <w:rsid w:val="00AC04C5"/>
    <w:rsid w:val="00AC0BB0"/>
    <w:rsid w:val="00AC0E78"/>
    <w:rsid w:val="00AC1625"/>
    <w:rsid w:val="00AC2145"/>
    <w:rsid w:val="00AC22F3"/>
    <w:rsid w:val="00AC3EB8"/>
    <w:rsid w:val="00AC41FB"/>
    <w:rsid w:val="00AC5A57"/>
    <w:rsid w:val="00AC65CF"/>
    <w:rsid w:val="00AD001D"/>
    <w:rsid w:val="00AD0D4D"/>
    <w:rsid w:val="00AD17AE"/>
    <w:rsid w:val="00AD17B2"/>
    <w:rsid w:val="00AD1DC7"/>
    <w:rsid w:val="00AD2E90"/>
    <w:rsid w:val="00AD35BD"/>
    <w:rsid w:val="00AD392E"/>
    <w:rsid w:val="00AD400A"/>
    <w:rsid w:val="00AD446E"/>
    <w:rsid w:val="00AD4FA7"/>
    <w:rsid w:val="00AD5CF1"/>
    <w:rsid w:val="00AD6A8E"/>
    <w:rsid w:val="00AD6B92"/>
    <w:rsid w:val="00AD6CA2"/>
    <w:rsid w:val="00AD6DA3"/>
    <w:rsid w:val="00AD6DEC"/>
    <w:rsid w:val="00AE0FAB"/>
    <w:rsid w:val="00AE168C"/>
    <w:rsid w:val="00AE1CD5"/>
    <w:rsid w:val="00AE21EC"/>
    <w:rsid w:val="00AE29B6"/>
    <w:rsid w:val="00AE2CCE"/>
    <w:rsid w:val="00AE31C5"/>
    <w:rsid w:val="00AE32D4"/>
    <w:rsid w:val="00AE4718"/>
    <w:rsid w:val="00AE5084"/>
    <w:rsid w:val="00AE51FF"/>
    <w:rsid w:val="00AE579F"/>
    <w:rsid w:val="00AE612F"/>
    <w:rsid w:val="00AE7669"/>
    <w:rsid w:val="00AF072E"/>
    <w:rsid w:val="00AF0C58"/>
    <w:rsid w:val="00AF0F1B"/>
    <w:rsid w:val="00AF0FED"/>
    <w:rsid w:val="00AF3E43"/>
    <w:rsid w:val="00AF4B9D"/>
    <w:rsid w:val="00AF6731"/>
    <w:rsid w:val="00B01385"/>
    <w:rsid w:val="00B015C7"/>
    <w:rsid w:val="00B01CE2"/>
    <w:rsid w:val="00B0376B"/>
    <w:rsid w:val="00B0403E"/>
    <w:rsid w:val="00B0513D"/>
    <w:rsid w:val="00B053D3"/>
    <w:rsid w:val="00B05F1F"/>
    <w:rsid w:val="00B06412"/>
    <w:rsid w:val="00B06CB9"/>
    <w:rsid w:val="00B10B5F"/>
    <w:rsid w:val="00B10F92"/>
    <w:rsid w:val="00B11AF2"/>
    <w:rsid w:val="00B11EB0"/>
    <w:rsid w:val="00B1282F"/>
    <w:rsid w:val="00B12AA9"/>
    <w:rsid w:val="00B136F8"/>
    <w:rsid w:val="00B1465F"/>
    <w:rsid w:val="00B1596F"/>
    <w:rsid w:val="00B178F5"/>
    <w:rsid w:val="00B17D49"/>
    <w:rsid w:val="00B17DBC"/>
    <w:rsid w:val="00B2050C"/>
    <w:rsid w:val="00B21C21"/>
    <w:rsid w:val="00B22689"/>
    <w:rsid w:val="00B22F08"/>
    <w:rsid w:val="00B2330A"/>
    <w:rsid w:val="00B23FD5"/>
    <w:rsid w:val="00B2440F"/>
    <w:rsid w:val="00B26639"/>
    <w:rsid w:val="00B26F59"/>
    <w:rsid w:val="00B26FB2"/>
    <w:rsid w:val="00B30191"/>
    <w:rsid w:val="00B301C8"/>
    <w:rsid w:val="00B30F03"/>
    <w:rsid w:val="00B32007"/>
    <w:rsid w:val="00B323DF"/>
    <w:rsid w:val="00B33425"/>
    <w:rsid w:val="00B3348E"/>
    <w:rsid w:val="00B34126"/>
    <w:rsid w:val="00B346B6"/>
    <w:rsid w:val="00B349BB"/>
    <w:rsid w:val="00B351E6"/>
    <w:rsid w:val="00B35213"/>
    <w:rsid w:val="00B3639F"/>
    <w:rsid w:val="00B37140"/>
    <w:rsid w:val="00B37F64"/>
    <w:rsid w:val="00B40264"/>
    <w:rsid w:val="00B40497"/>
    <w:rsid w:val="00B4050E"/>
    <w:rsid w:val="00B4050F"/>
    <w:rsid w:val="00B40872"/>
    <w:rsid w:val="00B40B79"/>
    <w:rsid w:val="00B4144F"/>
    <w:rsid w:val="00B416EE"/>
    <w:rsid w:val="00B41DCE"/>
    <w:rsid w:val="00B429DE"/>
    <w:rsid w:val="00B431F2"/>
    <w:rsid w:val="00B4328B"/>
    <w:rsid w:val="00B440BA"/>
    <w:rsid w:val="00B440F4"/>
    <w:rsid w:val="00B45B3F"/>
    <w:rsid w:val="00B45B72"/>
    <w:rsid w:val="00B4697C"/>
    <w:rsid w:val="00B46A48"/>
    <w:rsid w:val="00B50087"/>
    <w:rsid w:val="00B503C2"/>
    <w:rsid w:val="00B5094F"/>
    <w:rsid w:val="00B51961"/>
    <w:rsid w:val="00B521E0"/>
    <w:rsid w:val="00B52FFD"/>
    <w:rsid w:val="00B5313C"/>
    <w:rsid w:val="00B53214"/>
    <w:rsid w:val="00B53A02"/>
    <w:rsid w:val="00B53AA0"/>
    <w:rsid w:val="00B53F87"/>
    <w:rsid w:val="00B5464F"/>
    <w:rsid w:val="00B546DF"/>
    <w:rsid w:val="00B54AD4"/>
    <w:rsid w:val="00B54CDB"/>
    <w:rsid w:val="00B5606B"/>
    <w:rsid w:val="00B5616D"/>
    <w:rsid w:val="00B576F3"/>
    <w:rsid w:val="00B60568"/>
    <w:rsid w:val="00B60FFD"/>
    <w:rsid w:val="00B61300"/>
    <w:rsid w:val="00B6131D"/>
    <w:rsid w:val="00B61612"/>
    <w:rsid w:val="00B61ED6"/>
    <w:rsid w:val="00B62067"/>
    <w:rsid w:val="00B62542"/>
    <w:rsid w:val="00B6377F"/>
    <w:rsid w:val="00B63AE5"/>
    <w:rsid w:val="00B63FBA"/>
    <w:rsid w:val="00B642FB"/>
    <w:rsid w:val="00B64F4B"/>
    <w:rsid w:val="00B65055"/>
    <w:rsid w:val="00B66753"/>
    <w:rsid w:val="00B6677F"/>
    <w:rsid w:val="00B66A71"/>
    <w:rsid w:val="00B66D21"/>
    <w:rsid w:val="00B67AE0"/>
    <w:rsid w:val="00B7019C"/>
    <w:rsid w:val="00B704F7"/>
    <w:rsid w:val="00B7111D"/>
    <w:rsid w:val="00B7235B"/>
    <w:rsid w:val="00B73B85"/>
    <w:rsid w:val="00B75125"/>
    <w:rsid w:val="00B75616"/>
    <w:rsid w:val="00B757E5"/>
    <w:rsid w:val="00B761F8"/>
    <w:rsid w:val="00B7737B"/>
    <w:rsid w:val="00B77A73"/>
    <w:rsid w:val="00B77AFA"/>
    <w:rsid w:val="00B80011"/>
    <w:rsid w:val="00B800EF"/>
    <w:rsid w:val="00B8032D"/>
    <w:rsid w:val="00B804A0"/>
    <w:rsid w:val="00B806CA"/>
    <w:rsid w:val="00B80D17"/>
    <w:rsid w:val="00B80EC2"/>
    <w:rsid w:val="00B8238C"/>
    <w:rsid w:val="00B82846"/>
    <w:rsid w:val="00B82FD8"/>
    <w:rsid w:val="00B8360A"/>
    <w:rsid w:val="00B8540B"/>
    <w:rsid w:val="00B85F56"/>
    <w:rsid w:val="00B8610B"/>
    <w:rsid w:val="00B862B1"/>
    <w:rsid w:val="00B86A47"/>
    <w:rsid w:val="00B87216"/>
    <w:rsid w:val="00B87CC6"/>
    <w:rsid w:val="00B90487"/>
    <w:rsid w:val="00B90D55"/>
    <w:rsid w:val="00B90F39"/>
    <w:rsid w:val="00B91375"/>
    <w:rsid w:val="00B9145D"/>
    <w:rsid w:val="00B91846"/>
    <w:rsid w:val="00B929C8"/>
    <w:rsid w:val="00B9396B"/>
    <w:rsid w:val="00B942B2"/>
    <w:rsid w:val="00B94E9C"/>
    <w:rsid w:val="00B95043"/>
    <w:rsid w:val="00B953DB"/>
    <w:rsid w:val="00B95C6E"/>
    <w:rsid w:val="00B969E5"/>
    <w:rsid w:val="00B9715A"/>
    <w:rsid w:val="00B979EE"/>
    <w:rsid w:val="00BA06C8"/>
    <w:rsid w:val="00BA0CFA"/>
    <w:rsid w:val="00BA1621"/>
    <w:rsid w:val="00BA1B7A"/>
    <w:rsid w:val="00BA20D8"/>
    <w:rsid w:val="00BA31E0"/>
    <w:rsid w:val="00BA35DD"/>
    <w:rsid w:val="00BA3A60"/>
    <w:rsid w:val="00BA5215"/>
    <w:rsid w:val="00BA5EE0"/>
    <w:rsid w:val="00BA6882"/>
    <w:rsid w:val="00BA6B2E"/>
    <w:rsid w:val="00BA6C3C"/>
    <w:rsid w:val="00BB014A"/>
    <w:rsid w:val="00BB0409"/>
    <w:rsid w:val="00BB140B"/>
    <w:rsid w:val="00BB2531"/>
    <w:rsid w:val="00BB292D"/>
    <w:rsid w:val="00BB2B4E"/>
    <w:rsid w:val="00BB2DAC"/>
    <w:rsid w:val="00BB324F"/>
    <w:rsid w:val="00BB3271"/>
    <w:rsid w:val="00BB38F1"/>
    <w:rsid w:val="00BB4497"/>
    <w:rsid w:val="00BB4B5C"/>
    <w:rsid w:val="00BB5803"/>
    <w:rsid w:val="00BB6F0D"/>
    <w:rsid w:val="00BB79B4"/>
    <w:rsid w:val="00BB7DB3"/>
    <w:rsid w:val="00BC05CB"/>
    <w:rsid w:val="00BC1776"/>
    <w:rsid w:val="00BC1F05"/>
    <w:rsid w:val="00BC41FA"/>
    <w:rsid w:val="00BC6EC1"/>
    <w:rsid w:val="00BC7A37"/>
    <w:rsid w:val="00BD007C"/>
    <w:rsid w:val="00BD1266"/>
    <w:rsid w:val="00BD185B"/>
    <w:rsid w:val="00BD1E15"/>
    <w:rsid w:val="00BD2180"/>
    <w:rsid w:val="00BD226E"/>
    <w:rsid w:val="00BD26F7"/>
    <w:rsid w:val="00BD2D44"/>
    <w:rsid w:val="00BD354B"/>
    <w:rsid w:val="00BD4137"/>
    <w:rsid w:val="00BD42B8"/>
    <w:rsid w:val="00BD45D9"/>
    <w:rsid w:val="00BD621A"/>
    <w:rsid w:val="00BD6AC0"/>
    <w:rsid w:val="00BD72D1"/>
    <w:rsid w:val="00BD761E"/>
    <w:rsid w:val="00BD796D"/>
    <w:rsid w:val="00BE026F"/>
    <w:rsid w:val="00BE0AA4"/>
    <w:rsid w:val="00BE2180"/>
    <w:rsid w:val="00BE242A"/>
    <w:rsid w:val="00BE3010"/>
    <w:rsid w:val="00BE3E98"/>
    <w:rsid w:val="00BE4DDA"/>
    <w:rsid w:val="00BE563C"/>
    <w:rsid w:val="00BE591D"/>
    <w:rsid w:val="00BE602C"/>
    <w:rsid w:val="00BE6150"/>
    <w:rsid w:val="00BE6811"/>
    <w:rsid w:val="00BE6977"/>
    <w:rsid w:val="00BE7815"/>
    <w:rsid w:val="00BF0269"/>
    <w:rsid w:val="00BF05DD"/>
    <w:rsid w:val="00BF06D9"/>
    <w:rsid w:val="00BF0DC5"/>
    <w:rsid w:val="00BF1806"/>
    <w:rsid w:val="00BF1926"/>
    <w:rsid w:val="00BF1F79"/>
    <w:rsid w:val="00BF2552"/>
    <w:rsid w:val="00BF46FB"/>
    <w:rsid w:val="00BF524C"/>
    <w:rsid w:val="00BF575E"/>
    <w:rsid w:val="00BF607F"/>
    <w:rsid w:val="00BF6283"/>
    <w:rsid w:val="00BF68E6"/>
    <w:rsid w:val="00BF6AE0"/>
    <w:rsid w:val="00BF76D2"/>
    <w:rsid w:val="00BF79CB"/>
    <w:rsid w:val="00BF7AEF"/>
    <w:rsid w:val="00BF7C39"/>
    <w:rsid w:val="00C01288"/>
    <w:rsid w:val="00C012CC"/>
    <w:rsid w:val="00C024CF"/>
    <w:rsid w:val="00C02F14"/>
    <w:rsid w:val="00C031BD"/>
    <w:rsid w:val="00C03389"/>
    <w:rsid w:val="00C039FD"/>
    <w:rsid w:val="00C041C9"/>
    <w:rsid w:val="00C04D20"/>
    <w:rsid w:val="00C04E09"/>
    <w:rsid w:val="00C04E12"/>
    <w:rsid w:val="00C05545"/>
    <w:rsid w:val="00C058CF"/>
    <w:rsid w:val="00C060CF"/>
    <w:rsid w:val="00C0697A"/>
    <w:rsid w:val="00C077F7"/>
    <w:rsid w:val="00C07D87"/>
    <w:rsid w:val="00C1071C"/>
    <w:rsid w:val="00C10C3B"/>
    <w:rsid w:val="00C11466"/>
    <w:rsid w:val="00C11AEB"/>
    <w:rsid w:val="00C12BA4"/>
    <w:rsid w:val="00C1319E"/>
    <w:rsid w:val="00C139D3"/>
    <w:rsid w:val="00C14242"/>
    <w:rsid w:val="00C14E8A"/>
    <w:rsid w:val="00C14FEB"/>
    <w:rsid w:val="00C15754"/>
    <w:rsid w:val="00C1619D"/>
    <w:rsid w:val="00C17944"/>
    <w:rsid w:val="00C17976"/>
    <w:rsid w:val="00C20112"/>
    <w:rsid w:val="00C2067A"/>
    <w:rsid w:val="00C206DB"/>
    <w:rsid w:val="00C206EC"/>
    <w:rsid w:val="00C20BD3"/>
    <w:rsid w:val="00C21898"/>
    <w:rsid w:val="00C21B38"/>
    <w:rsid w:val="00C2241C"/>
    <w:rsid w:val="00C23A50"/>
    <w:rsid w:val="00C248BC"/>
    <w:rsid w:val="00C27016"/>
    <w:rsid w:val="00C27BEC"/>
    <w:rsid w:val="00C3004B"/>
    <w:rsid w:val="00C31049"/>
    <w:rsid w:val="00C3110B"/>
    <w:rsid w:val="00C32675"/>
    <w:rsid w:val="00C328A5"/>
    <w:rsid w:val="00C32968"/>
    <w:rsid w:val="00C33DBA"/>
    <w:rsid w:val="00C340EA"/>
    <w:rsid w:val="00C3472A"/>
    <w:rsid w:val="00C34CE7"/>
    <w:rsid w:val="00C34FC1"/>
    <w:rsid w:val="00C36475"/>
    <w:rsid w:val="00C36B4C"/>
    <w:rsid w:val="00C36C3A"/>
    <w:rsid w:val="00C37501"/>
    <w:rsid w:val="00C3754F"/>
    <w:rsid w:val="00C378C7"/>
    <w:rsid w:val="00C40204"/>
    <w:rsid w:val="00C40A5F"/>
    <w:rsid w:val="00C40B9D"/>
    <w:rsid w:val="00C4285F"/>
    <w:rsid w:val="00C4288A"/>
    <w:rsid w:val="00C433D1"/>
    <w:rsid w:val="00C43D22"/>
    <w:rsid w:val="00C43E26"/>
    <w:rsid w:val="00C443B2"/>
    <w:rsid w:val="00C4448C"/>
    <w:rsid w:val="00C44C6B"/>
    <w:rsid w:val="00C45FCC"/>
    <w:rsid w:val="00C47045"/>
    <w:rsid w:val="00C4713B"/>
    <w:rsid w:val="00C47F86"/>
    <w:rsid w:val="00C500B3"/>
    <w:rsid w:val="00C507F7"/>
    <w:rsid w:val="00C51333"/>
    <w:rsid w:val="00C52248"/>
    <w:rsid w:val="00C53C06"/>
    <w:rsid w:val="00C54D5C"/>
    <w:rsid w:val="00C55E71"/>
    <w:rsid w:val="00C56279"/>
    <w:rsid w:val="00C56943"/>
    <w:rsid w:val="00C57AEB"/>
    <w:rsid w:val="00C57E28"/>
    <w:rsid w:val="00C60B33"/>
    <w:rsid w:val="00C60D54"/>
    <w:rsid w:val="00C621A8"/>
    <w:rsid w:val="00C62BEB"/>
    <w:rsid w:val="00C62FB8"/>
    <w:rsid w:val="00C6406D"/>
    <w:rsid w:val="00C64770"/>
    <w:rsid w:val="00C64C86"/>
    <w:rsid w:val="00C657F0"/>
    <w:rsid w:val="00C65869"/>
    <w:rsid w:val="00C65C95"/>
    <w:rsid w:val="00C66DA4"/>
    <w:rsid w:val="00C67681"/>
    <w:rsid w:val="00C6787F"/>
    <w:rsid w:val="00C7004F"/>
    <w:rsid w:val="00C706A7"/>
    <w:rsid w:val="00C70717"/>
    <w:rsid w:val="00C709E6"/>
    <w:rsid w:val="00C714B4"/>
    <w:rsid w:val="00C71FBB"/>
    <w:rsid w:val="00C7346C"/>
    <w:rsid w:val="00C74DC7"/>
    <w:rsid w:val="00C77CD9"/>
    <w:rsid w:val="00C80E1D"/>
    <w:rsid w:val="00C817D6"/>
    <w:rsid w:val="00C81E14"/>
    <w:rsid w:val="00C82CD7"/>
    <w:rsid w:val="00C84B98"/>
    <w:rsid w:val="00C85122"/>
    <w:rsid w:val="00C867A3"/>
    <w:rsid w:val="00C86E3B"/>
    <w:rsid w:val="00C87029"/>
    <w:rsid w:val="00C87C5E"/>
    <w:rsid w:val="00C907C4"/>
    <w:rsid w:val="00C90B9C"/>
    <w:rsid w:val="00C91425"/>
    <w:rsid w:val="00C9245E"/>
    <w:rsid w:val="00C9357B"/>
    <w:rsid w:val="00C937FC"/>
    <w:rsid w:val="00C94275"/>
    <w:rsid w:val="00C946B8"/>
    <w:rsid w:val="00C9477A"/>
    <w:rsid w:val="00C947C3"/>
    <w:rsid w:val="00C94DE6"/>
    <w:rsid w:val="00C97151"/>
    <w:rsid w:val="00CA04B2"/>
    <w:rsid w:val="00CA0591"/>
    <w:rsid w:val="00CA0DBA"/>
    <w:rsid w:val="00CA1675"/>
    <w:rsid w:val="00CA1D67"/>
    <w:rsid w:val="00CA2180"/>
    <w:rsid w:val="00CA2693"/>
    <w:rsid w:val="00CA26DF"/>
    <w:rsid w:val="00CA2A1A"/>
    <w:rsid w:val="00CA4850"/>
    <w:rsid w:val="00CA4B07"/>
    <w:rsid w:val="00CA4E34"/>
    <w:rsid w:val="00CA5C75"/>
    <w:rsid w:val="00CA7FA1"/>
    <w:rsid w:val="00CB0DE4"/>
    <w:rsid w:val="00CB1485"/>
    <w:rsid w:val="00CB1577"/>
    <w:rsid w:val="00CB1F45"/>
    <w:rsid w:val="00CB27BE"/>
    <w:rsid w:val="00CB33BF"/>
    <w:rsid w:val="00CB44C1"/>
    <w:rsid w:val="00CB44D2"/>
    <w:rsid w:val="00CB45E5"/>
    <w:rsid w:val="00CB4AAD"/>
    <w:rsid w:val="00CB4D4A"/>
    <w:rsid w:val="00CB621A"/>
    <w:rsid w:val="00CB6567"/>
    <w:rsid w:val="00CB664F"/>
    <w:rsid w:val="00CB6B22"/>
    <w:rsid w:val="00CC0B5C"/>
    <w:rsid w:val="00CC205D"/>
    <w:rsid w:val="00CC2E7C"/>
    <w:rsid w:val="00CC3A08"/>
    <w:rsid w:val="00CC3A80"/>
    <w:rsid w:val="00CC3F26"/>
    <w:rsid w:val="00CC463E"/>
    <w:rsid w:val="00CC4971"/>
    <w:rsid w:val="00CC4BFD"/>
    <w:rsid w:val="00CC4D1B"/>
    <w:rsid w:val="00CC5336"/>
    <w:rsid w:val="00CC5344"/>
    <w:rsid w:val="00CC53A9"/>
    <w:rsid w:val="00CC592F"/>
    <w:rsid w:val="00CC711F"/>
    <w:rsid w:val="00CC737D"/>
    <w:rsid w:val="00CC75FB"/>
    <w:rsid w:val="00CD125D"/>
    <w:rsid w:val="00CD1EB0"/>
    <w:rsid w:val="00CD32A2"/>
    <w:rsid w:val="00CD449C"/>
    <w:rsid w:val="00CD51DD"/>
    <w:rsid w:val="00CD5491"/>
    <w:rsid w:val="00CD5A99"/>
    <w:rsid w:val="00CD6632"/>
    <w:rsid w:val="00CD6FEC"/>
    <w:rsid w:val="00CD755C"/>
    <w:rsid w:val="00CD7B9E"/>
    <w:rsid w:val="00CE1D69"/>
    <w:rsid w:val="00CE278D"/>
    <w:rsid w:val="00CE44A4"/>
    <w:rsid w:val="00CE4764"/>
    <w:rsid w:val="00CE6A02"/>
    <w:rsid w:val="00CE73A1"/>
    <w:rsid w:val="00CE7607"/>
    <w:rsid w:val="00CE7B42"/>
    <w:rsid w:val="00CF0BCA"/>
    <w:rsid w:val="00CF1745"/>
    <w:rsid w:val="00CF1EE2"/>
    <w:rsid w:val="00CF2B2A"/>
    <w:rsid w:val="00CF30DC"/>
    <w:rsid w:val="00CF326E"/>
    <w:rsid w:val="00CF3E48"/>
    <w:rsid w:val="00CF4BDF"/>
    <w:rsid w:val="00CF53EB"/>
    <w:rsid w:val="00CF5494"/>
    <w:rsid w:val="00CF5B34"/>
    <w:rsid w:val="00CF7124"/>
    <w:rsid w:val="00CF7D82"/>
    <w:rsid w:val="00D00319"/>
    <w:rsid w:val="00D010A9"/>
    <w:rsid w:val="00D0169D"/>
    <w:rsid w:val="00D035F7"/>
    <w:rsid w:val="00D03C7B"/>
    <w:rsid w:val="00D04174"/>
    <w:rsid w:val="00D05876"/>
    <w:rsid w:val="00D0599E"/>
    <w:rsid w:val="00D05D8E"/>
    <w:rsid w:val="00D071FC"/>
    <w:rsid w:val="00D075EB"/>
    <w:rsid w:val="00D07A61"/>
    <w:rsid w:val="00D11122"/>
    <w:rsid w:val="00D120DD"/>
    <w:rsid w:val="00D128F3"/>
    <w:rsid w:val="00D1328F"/>
    <w:rsid w:val="00D1335A"/>
    <w:rsid w:val="00D135D4"/>
    <w:rsid w:val="00D137C8"/>
    <w:rsid w:val="00D14461"/>
    <w:rsid w:val="00D14A77"/>
    <w:rsid w:val="00D14C5C"/>
    <w:rsid w:val="00D15243"/>
    <w:rsid w:val="00D15D43"/>
    <w:rsid w:val="00D172CA"/>
    <w:rsid w:val="00D17DC0"/>
    <w:rsid w:val="00D203DF"/>
    <w:rsid w:val="00D21099"/>
    <w:rsid w:val="00D21923"/>
    <w:rsid w:val="00D21CA9"/>
    <w:rsid w:val="00D223C8"/>
    <w:rsid w:val="00D23336"/>
    <w:rsid w:val="00D240F9"/>
    <w:rsid w:val="00D24DDE"/>
    <w:rsid w:val="00D2587E"/>
    <w:rsid w:val="00D25A80"/>
    <w:rsid w:val="00D262A4"/>
    <w:rsid w:val="00D2649B"/>
    <w:rsid w:val="00D26923"/>
    <w:rsid w:val="00D2699F"/>
    <w:rsid w:val="00D26C42"/>
    <w:rsid w:val="00D270CD"/>
    <w:rsid w:val="00D278C9"/>
    <w:rsid w:val="00D27F3A"/>
    <w:rsid w:val="00D322DD"/>
    <w:rsid w:val="00D33662"/>
    <w:rsid w:val="00D33D62"/>
    <w:rsid w:val="00D33F68"/>
    <w:rsid w:val="00D34FD6"/>
    <w:rsid w:val="00D356BF"/>
    <w:rsid w:val="00D375A0"/>
    <w:rsid w:val="00D37742"/>
    <w:rsid w:val="00D37FC8"/>
    <w:rsid w:val="00D41BD3"/>
    <w:rsid w:val="00D43AD6"/>
    <w:rsid w:val="00D45AC3"/>
    <w:rsid w:val="00D46C2C"/>
    <w:rsid w:val="00D47FFC"/>
    <w:rsid w:val="00D50BC4"/>
    <w:rsid w:val="00D51638"/>
    <w:rsid w:val="00D51DB9"/>
    <w:rsid w:val="00D5244F"/>
    <w:rsid w:val="00D52D1C"/>
    <w:rsid w:val="00D52E02"/>
    <w:rsid w:val="00D53C37"/>
    <w:rsid w:val="00D55585"/>
    <w:rsid w:val="00D5605F"/>
    <w:rsid w:val="00D57587"/>
    <w:rsid w:val="00D57ABF"/>
    <w:rsid w:val="00D57B78"/>
    <w:rsid w:val="00D57FC0"/>
    <w:rsid w:val="00D60AE8"/>
    <w:rsid w:val="00D60F58"/>
    <w:rsid w:val="00D61389"/>
    <w:rsid w:val="00D61A8E"/>
    <w:rsid w:val="00D62432"/>
    <w:rsid w:val="00D6378A"/>
    <w:rsid w:val="00D64148"/>
    <w:rsid w:val="00D6479E"/>
    <w:rsid w:val="00D64A5E"/>
    <w:rsid w:val="00D65295"/>
    <w:rsid w:val="00D656FE"/>
    <w:rsid w:val="00D667BD"/>
    <w:rsid w:val="00D66D7E"/>
    <w:rsid w:val="00D67CBE"/>
    <w:rsid w:val="00D70095"/>
    <w:rsid w:val="00D7124B"/>
    <w:rsid w:val="00D71506"/>
    <w:rsid w:val="00D71640"/>
    <w:rsid w:val="00D71C1C"/>
    <w:rsid w:val="00D723BE"/>
    <w:rsid w:val="00D72558"/>
    <w:rsid w:val="00D730FC"/>
    <w:rsid w:val="00D731C4"/>
    <w:rsid w:val="00D735C6"/>
    <w:rsid w:val="00D7407C"/>
    <w:rsid w:val="00D76962"/>
    <w:rsid w:val="00D76A3B"/>
    <w:rsid w:val="00D76F76"/>
    <w:rsid w:val="00D77C69"/>
    <w:rsid w:val="00D77DC5"/>
    <w:rsid w:val="00D806B7"/>
    <w:rsid w:val="00D80CA3"/>
    <w:rsid w:val="00D810F8"/>
    <w:rsid w:val="00D82301"/>
    <w:rsid w:val="00D86636"/>
    <w:rsid w:val="00D86BE2"/>
    <w:rsid w:val="00D9375D"/>
    <w:rsid w:val="00D939BE"/>
    <w:rsid w:val="00D95475"/>
    <w:rsid w:val="00D966BD"/>
    <w:rsid w:val="00D96C15"/>
    <w:rsid w:val="00D975C8"/>
    <w:rsid w:val="00D97C05"/>
    <w:rsid w:val="00DA157B"/>
    <w:rsid w:val="00DA314C"/>
    <w:rsid w:val="00DA318E"/>
    <w:rsid w:val="00DA3333"/>
    <w:rsid w:val="00DA36DD"/>
    <w:rsid w:val="00DA4016"/>
    <w:rsid w:val="00DA503B"/>
    <w:rsid w:val="00DA67FF"/>
    <w:rsid w:val="00DA777F"/>
    <w:rsid w:val="00DA7ED0"/>
    <w:rsid w:val="00DB029D"/>
    <w:rsid w:val="00DB07D5"/>
    <w:rsid w:val="00DB0BE0"/>
    <w:rsid w:val="00DB126F"/>
    <w:rsid w:val="00DB145B"/>
    <w:rsid w:val="00DB167A"/>
    <w:rsid w:val="00DB1BBD"/>
    <w:rsid w:val="00DB2C74"/>
    <w:rsid w:val="00DB2DA3"/>
    <w:rsid w:val="00DB3612"/>
    <w:rsid w:val="00DB4B36"/>
    <w:rsid w:val="00DB5285"/>
    <w:rsid w:val="00DB646A"/>
    <w:rsid w:val="00DB6896"/>
    <w:rsid w:val="00DC01FD"/>
    <w:rsid w:val="00DC03FE"/>
    <w:rsid w:val="00DC064C"/>
    <w:rsid w:val="00DC13CC"/>
    <w:rsid w:val="00DC5B53"/>
    <w:rsid w:val="00DC69B5"/>
    <w:rsid w:val="00DC6D84"/>
    <w:rsid w:val="00DC6FB7"/>
    <w:rsid w:val="00DD01A3"/>
    <w:rsid w:val="00DD150C"/>
    <w:rsid w:val="00DD2CC8"/>
    <w:rsid w:val="00DD2E43"/>
    <w:rsid w:val="00DD3D01"/>
    <w:rsid w:val="00DD4A4E"/>
    <w:rsid w:val="00DD5985"/>
    <w:rsid w:val="00DD5ACD"/>
    <w:rsid w:val="00DD6CFB"/>
    <w:rsid w:val="00DD77A8"/>
    <w:rsid w:val="00DD7D31"/>
    <w:rsid w:val="00DD7D66"/>
    <w:rsid w:val="00DE09DE"/>
    <w:rsid w:val="00DE0ADA"/>
    <w:rsid w:val="00DE0E47"/>
    <w:rsid w:val="00DE2ABB"/>
    <w:rsid w:val="00DE3161"/>
    <w:rsid w:val="00DE44E4"/>
    <w:rsid w:val="00DE4F7D"/>
    <w:rsid w:val="00DE5EF5"/>
    <w:rsid w:val="00DE62AF"/>
    <w:rsid w:val="00DE6CA6"/>
    <w:rsid w:val="00DE6CB5"/>
    <w:rsid w:val="00DE6E04"/>
    <w:rsid w:val="00DE7186"/>
    <w:rsid w:val="00DE75EF"/>
    <w:rsid w:val="00DE7C8C"/>
    <w:rsid w:val="00DE7E76"/>
    <w:rsid w:val="00DF1364"/>
    <w:rsid w:val="00DF1A19"/>
    <w:rsid w:val="00DF2B31"/>
    <w:rsid w:val="00DF3782"/>
    <w:rsid w:val="00DF3F08"/>
    <w:rsid w:val="00DF4D72"/>
    <w:rsid w:val="00DF5F33"/>
    <w:rsid w:val="00DF6948"/>
    <w:rsid w:val="00DF6B76"/>
    <w:rsid w:val="00DF6B98"/>
    <w:rsid w:val="00DF7380"/>
    <w:rsid w:val="00DF7B89"/>
    <w:rsid w:val="00DF7CA0"/>
    <w:rsid w:val="00E00000"/>
    <w:rsid w:val="00E00EBC"/>
    <w:rsid w:val="00E01013"/>
    <w:rsid w:val="00E0333E"/>
    <w:rsid w:val="00E03C89"/>
    <w:rsid w:val="00E053C5"/>
    <w:rsid w:val="00E0567A"/>
    <w:rsid w:val="00E05C4D"/>
    <w:rsid w:val="00E0635D"/>
    <w:rsid w:val="00E07005"/>
    <w:rsid w:val="00E073C7"/>
    <w:rsid w:val="00E100ED"/>
    <w:rsid w:val="00E11166"/>
    <w:rsid w:val="00E1132A"/>
    <w:rsid w:val="00E117EB"/>
    <w:rsid w:val="00E11C64"/>
    <w:rsid w:val="00E12318"/>
    <w:rsid w:val="00E1311F"/>
    <w:rsid w:val="00E135A9"/>
    <w:rsid w:val="00E143AA"/>
    <w:rsid w:val="00E15621"/>
    <w:rsid w:val="00E1565F"/>
    <w:rsid w:val="00E156D3"/>
    <w:rsid w:val="00E1609D"/>
    <w:rsid w:val="00E201BA"/>
    <w:rsid w:val="00E2129F"/>
    <w:rsid w:val="00E223A1"/>
    <w:rsid w:val="00E2242F"/>
    <w:rsid w:val="00E22C3A"/>
    <w:rsid w:val="00E240B7"/>
    <w:rsid w:val="00E2481B"/>
    <w:rsid w:val="00E24AEB"/>
    <w:rsid w:val="00E24CB4"/>
    <w:rsid w:val="00E263E3"/>
    <w:rsid w:val="00E26678"/>
    <w:rsid w:val="00E3083A"/>
    <w:rsid w:val="00E30880"/>
    <w:rsid w:val="00E3095E"/>
    <w:rsid w:val="00E3102C"/>
    <w:rsid w:val="00E31A7C"/>
    <w:rsid w:val="00E33A4A"/>
    <w:rsid w:val="00E33C96"/>
    <w:rsid w:val="00E33DDC"/>
    <w:rsid w:val="00E33EC3"/>
    <w:rsid w:val="00E350E8"/>
    <w:rsid w:val="00E354B1"/>
    <w:rsid w:val="00E35A97"/>
    <w:rsid w:val="00E369BA"/>
    <w:rsid w:val="00E36C46"/>
    <w:rsid w:val="00E40D04"/>
    <w:rsid w:val="00E42CDF"/>
    <w:rsid w:val="00E43663"/>
    <w:rsid w:val="00E44039"/>
    <w:rsid w:val="00E44944"/>
    <w:rsid w:val="00E46E76"/>
    <w:rsid w:val="00E474EE"/>
    <w:rsid w:val="00E51594"/>
    <w:rsid w:val="00E516AC"/>
    <w:rsid w:val="00E51D3B"/>
    <w:rsid w:val="00E535E6"/>
    <w:rsid w:val="00E53CEB"/>
    <w:rsid w:val="00E5541B"/>
    <w:rsid w:val="00E555EE"/>
    <w:rsid w:val="00E55D9A"/>
    <w:rsid w:val="00E57DFA"/>
    <w:rsid w:val="00E57E26"/>
    <w:rsid w:val="00E60DE9"/>
    <w:rsid w:val="00E6120B"/>
    <w:rsid w:val="00E617F5"/>
    <w:rsid w:val="00E62230"/>
    <w:rsid w:val="00E62518"/>
    <w:rsid w:val="00E62FE4"/>
    <w:rsid w:val="00E63B1D"/>
    <w:rsid w:val="00E6427A"/>
    <w:rsid w:val="00E64671"/>
    <w:rsid w:val="00E65278"/>
    <w:rsid w:val="00E661E1"/>
    <w:rsid w:val="00E663B0"/>
    <w:rsid w:val="00E66F60"/>
    <w:rsid w:val="00E67B44"/>
    <w:rsid w:val="00E70197"/>
    <w:rsid w:val="00E707DF"/>
    <w:rsid w:val="00E716A0"/>
    <w:rsid w:val="00E72599"/>
    <w:rsid w:val="00E72A8C"/>
    <w:rsid w:val="00E7320D"/>
    <w:rsid w:val="00E74393"/>
    <w:rsid w:val="00E749BF"/>
    <w:rsid w:val="00E74BED"/>
    <w:rsid w:val="00E80B84"/>
    <w:rsid w:val="00E8145E"/>
    <w:rsid w:val="00E8182B"/>
    <w:rsid w:val="00E81910"/>
    <w:rsid w:val="00E81A6F"/>
    <w:rsid w:val="00E82103"/>
    <w:rsid w:val="00E82721"/>
    <w:rsid w:val="00E839C2"/>
    <w:rsid w:val="00E84815"/>
    <w:rsid w:val="00E84BDB"/>
    <w:rsid w:val="00E86A43"/>
    <w:rsid w:val="00E87E27"/>
    <w:rsid w:val="00E902CE"/>
    <w:rsid w:val="00E90899"/>
    <w:rsid w:val="00E90ECC"/>
    <w:rsid w:val="00E91997"/>
    <w:rsid w:val="00E91B53"/>
    <w:rsid w:val="00E92FE1"/>
    <w:rsid w:val="00E957FE"/>
    <w:rsid w:val="00E95C03"/>
    <w:rsid w:val="00E975F9"/>
    <w:rsid w:val="00EA0450"/>
    <w:rsid w:val="00EA08A9"/>
    <w:rsid w:val="00EA0BA0"/>
    <w:rsid w:val="00EA17D5"/>
    <w:rsid w:val="00EA1D2C"/>
    <w:rsid w:val="00EA2247"/>
    <w:rsid w:val="00EA27E6"/>
    <w:rsid w:val="00EA3BA7"/>
    <w:rsid w:val="00EA3DDD"/>
    <w:rsid w:val="00EA4ADA"/>
    <w:rsid w:val="00EA4CB5"/>
    <w:rsid w:val="00EA5373"/>
    <w:rsid w:val="00EA6597"/>
    <w:rsid w:val="00EA6670"/>
    <w:rsid w:val="00EA767D"/>
    <w:rsid w:val="00EA7D90"/>
    <w:rsid w:val="00EA7F1D"/>
    <w:rsid w:val="00EB0BC8"/>
    <w:rsid w:val="00EB0DDD"/>
    <w:rsid w:val="00EB131C"/>
    <w:rsid w:val="00EB1BE0"/>
    <w:rsid w:val="00EB2572"/>
    <w:rsid w:val="00EB2A00"/>
    <w:rsid w:val="00EB3110"/>
    <w:rsid w:val="00EB3157"/>
    <w:rsid w:val="00EB3779"/>
    <w:rsid w:val="00EB3C7F"/>
    <w:rsid w:val="00EB46CF"/>
    <w:rsid w:val="00EB6BEF"/>
    <w:rsid w:val="00EB789C"/>
    <w:rsid w:val="00EB7AEF"/>
    <w:rsid w:val="00EC01AA"/>
    <w:rsid w:val="00EC1398"/>
    <w:rsid w:val="00EC28F8"/>
    <w:rsid w:val="00EC29CE"/>
    <w:rsid w:val="00EC3A35"/>
    <w:rsid w:val="00EC3AA0"/>
    <w:rsid w:val="00EC3E70"/>
    <w:rsid w:val="00EC612D"/>
    <w:rsid w:val="00EC6C0F"/>
    <w:rsid w:val="00EC7FF3"/>
    <w:rsid w:val="00ED0555"/>
    <w:rsid w:val="00ED0CDD"/>
    <w:rsid w:val="00ED1571"/>
    <w:rsid w:val="00ED1973"/>
    <w:rsid w:val="00ED1FE5"/>
    <w:rsid w:val="00ED2B23"/>
    <w:rsid w:val="00ED33FF"/>
    <w:rsid w:val="00ED368A"/>
    <w:rsid w:val="00ED3CCC"/>
    <w:rsid w:val="00ED3EF7"/>
    <w:rsid w:val="00ED4785"/>
    <w:rsid w:val="00ED4CAE"/>
    <w:rsid w:val="00ED5263"/>
    <w:rsid w:val="00ED5A56"/>
    <w:rsid w:val="00ED79C8"/>
    <w:rsid w:val="00EE26E9"/>
    <w:rsid w:val="00EE294F"/>
    <w:rsid w:val="00EE4193"/>
    <w:rsid w:val="00EE4442"/>
    <w:rsid w:val="00EE6206"/>
    <w:rsid w:val="00EE6F8E"/>
    <w:rsid w:val="00EE75D2"/>
    <w:rsid w:val="00EE79FC"/>
    <w:rsid w:val="00EF1AF4"/>
    <w:rsid w:val="00EF3376"/>
    <w:rsid w:val="00EF343D"/>
    <w:rsid w:val="00EF3F10"/>
    <w:rsid w:val="00EF4B05"/>
    <w:rsid w:val="00EF4C06"/>
    <w:rsid w:val="00EF4F3C"/>
    <w:rsid w:val="00EF56B7"/>
    <w:rsid w:val="00EF6B66"/>
    <w:rsid w:val="00EF7AC4"/>
    <w:rsid w:val="00EF7F61"/>
    <w:rsid w:val="00F00130"/>
    <w:rsid w:val="00F00230"/>
    <w:rsid w:val="00F02965"/>
    <w:rsid w:val="00F0338C"/>
    <w:rsid w:val="00F03743"/>
    <w:rsid w:val="00F03EF5"/>
    <w:rsid w:val="00F0559B"/>
    <w:rsid w:val="00F059BF"/>
    <w:rsid w:val="00F11D47"/>
    <w:rsid w:val="00F1341A"/>
    <w:rsid w:val="00F137D5"/>
    <w:rsid w:val="00F143D9"/>
    <w:rsid w:val="00F15AB0"/>
    <w:rsid w:val="00F16910"/>
    <w:rsid w:val="00F16A18"/>
    <w:rsid w:val="00F1717A"/>
    <w:rsid w:val="00F17281"/>
    <w:rsid w:val="00F1735C"/>
    <w:rsid w:val="00F1777D"/>
    <w:rsid w:val="00F179FF"/>
    <w:rsid w:val="00F22260"/>
    <w:rsid w:val="00F22B93"/>
    <w:rsid w:val="00F24030"/>
    <w:rsid w:val="00F24737"/>
    <w:rsid w:val="00F24A10"/>
    <w:rsid w:val="00F257CD"/>
    <w:rsid w:val="00F25FF1"/>
    <w:rsid w:val="00F26F9E"/>
    <w:rsid w:val="00F27105"/>
    <w:rsid w:val="00F27135"/>
    <w:rsid w:val="00F273F3"/>
    <w:rsid w:val="00F302D6"/>
    <w:rsid w:val="00F30982"/>
    <w:rsid w:val="00F31263"/>
    <w:rsid w:val="00F31329"/>
    <w:rsid w:val="00F31A68"/>
    <w:rsid w:val="00F338EC"/>
    <w:rsid w:val="00F34569"/>
    <w:rsid w:val="00F347C2"/>
    <w:rsid w:val="00F35499"/>
    <w:rsid w:val="00F35716"/>
    <w:rsid w:val="00F36B14"/>
    <w:rsid w:val="00F37746"/>
    <w:rsid w:val="00F37E2F"/>
    <w:rsid w:val="00F42306"/>
    <w:rsid w:val="00F43E18"/>
    <w:rsid w:val="00F44CA7"/>
    <w:rsid w:val="00F478D9"/>
    <w:rsid w:val="00F47A6E"/>
    <w:rsid w:val="00F47B2D"/>
    <w:rsid w:val="00F47CE6"/>
    <w:rsid w:val="00F51695"/>
    <w:rsid w:val="00F51EE6"/>
    <w:rsid w:val="00F52820"/>
    <w:rsid w:val="00F533EB"/>
    <w:rsid w:val="00F53714"/>
    <w:rsid w:val="00F53E4E"/>
    <w:rsid w:val="00F54B98"/>
    <w:rsid w:val="00F54D93"/>
    <w:rsid w:val="00F55E28"/>
    <w:rsid w:val="00F5672F"/>
    <w:rsid w:val="00F570ED"/>
    <w:rsid w:val="00F57C83"/>
    <w:rsid w:val="00F57CE4"/>
    <w:rsid w:val="00F57D90"/>
    <w:rsid w:val="00F57DAC"/>
    <w:rsid w:val="00F57F6B"/>
    <w:rsid w:val="00F612D9"/>
    <w:rsid w:val="00F61D5B"/>
    <w:rsid w:val="00F653F9"/>
    <w:rsid w:val="00F660AF"/>
    <w:rsid w:val="00F669DD"/>
    <w:rsid w:val="00F67583"/>
    <w:rsid w:val="00F705EA"/>
    <w:rsid w:val="00F70770"/>
    <w:rsid w:val="00F716BB"/>
    <w:rsid w:val="00F71EB4"/>
    <w:rsid w:val="00F7221B"/>
    <w:rsid w:val="00F72E40"/>
    <w:rsid w:val="00F7332A"/>
    <w:rsid w:val="00F7451D"/>
    <w:rsid w:val="00F74777"/>
    <w:rsid w:val="00F75DB2"/>
    <w:rsid w:val="00F76675"/>
    <w:rsid w:val="00F76F15"/>
    <w:rsid w:val="00F77B01"/>
    <w:rsid w:val="00F8087F"/>
    <w:rsid w:val="00F808FC"/>
    <w:rsid w:val="00F80B67"/>
    <w:rsid w:val="00F80C88"/>
    <w:rsid w:val="00F81293"/>
    <w:rsid w:val="00F822B8"/>
    <w:rsid w:val="00F82742"/>
    <w:rsid w:val="00F82E5D"/>
    <w:rsid w:val="00F83348"/>
    <w:rsid w:val="00F833BE"/>
    <w:rsid w:val="00F83F5F"/>
    <w:rsid w:val="00F846BC"/>
    <w:rsid w:val="00F84E7C"/>
    <w:rsid w:val="00F84FBA"/>
    <w:rsid w:val="00F869FB"/>
    <w:rsid w:val="00F87378"/>
    <w:rsid w:val="00F8796A"/>
    <w:rsid w:val="00F9082A"/>
    <w:rsid w:val="00F911F5"/>
    <w:rsid w:val="00F91CEB"/>
    <w:rsid w:val="00F924C0"/>
    <w:rsid w:val="00F936AA"/>
    <w:rsid w:val="00F93D15"/>
    <w:rsid w:val="00F93F54"/>
    <w:rsid w:val="00F95498"/>
    <w:rsid w:val="00F95F08"/>
    <w:rsid w:val="00F96F1E"/>
    <w:rsid w:val="00F9709B"/>
    <w:rsid w:val="00F971BF"/>
    <w:rsid w:val="00FA0A63"/>
    <w:rsid w:val="00FA126C"/>
    <w:rsid w:val="00FA1601"/>
    <w:rsid w:val="00FA1F83"/>
    <w:rsid w:val="00FA27EA"/>
    <w:rsid w:val="00FA2F8D"/>
    <w:rsid w:val="00FA3E1C"/>
    <w:rsid w:val="00FA4DFE"/>
    <w:rsid w:val="00FA63B2"/>
    <w:rsid w:val="00FA6645"/>
    <w:rsid w:val="00FA7F06"/>
    <w:rsid w:val="00FB06D3"/>
    <w:rsid w:val="00FB06EF"/>
    <w:rsid w:val="00FB0D21"/>
    <w:rsid w:val="00FB244C"/>
    <w:rsid w:val="00FB3E0C"/>
    <w:rsid w:val="00FB4F85"/>
    <w:rsid w:val="00FB60DA"/>
    <w:rsid w:val="00FB6616"/>
    <w:rsid w:val="00FB6692"/>
    <w:rsid w:val="00FB75AF"/>
    <w:rsid w:val="00FB7F95"/>
    <w:rsid w:val="00FC0C72"/>
    <w:rsid w:val="00FC0FC2"/>
    <w:rsid w:val="00FC1715"/>
    <w:rsid w:val="00FC1735"/>
    <w:rsid w:val="00FC1812"/>
    <w:rsid w:val="00FC3C78"/>
    <w:rsid w:val="00FC461E"/>
    <w:rsid w:val="00FC5117"/>
    <w:rsid w:val="00FC5314"/>
    <w:rsid w:val="00FC6F62"/>
    <w:rsid w:val="00FC7240"/>
    <w:rsid w:val="00FC7C82"/>
    <w:rsid w:val="00FD06EA"/>
    <w:rsid w:val="00FD1C10"/>
    <w:rsid w:val="00FD2BFE"/>
    <w:rsid w:val="00FD33FC"/>
    <w:rsid w:val="00FD355F"/>
    <w:rsid w:val="00FD3AFF"/>
    <w:rsid w:val="00FD4D36"/>
    <w:rsid w:val="00FD57DF"/>
    <w:rsid w:val="00FD5C76"/>
    <w:rsid w:val="00FD611B"/>
    <w:rsid w:val="00FD76DA"/>
    <w:rsid w:val="00FD79B2"/>
    <w:rsid w:val="00FD7D5D"/>
    <w:rsid w:val="00FE1E82"/>
    <w:rsid w:val="00FE1F6C"/>
    <w:rsid w:val="00FE2CEA"/>
    <w:rsid w:val="00FE31DA"/>
    <w:rsid w:val="00FE355C"/>
    <w:rsid w:val="00FE40E8"/>
    <w:rsid w:val="00FE45D2"/>
    <w:rsid w:val="00FE4B25"/>
    <w:rsid w:val="00FE5853"/>
    <w:rsid w:val="00FE636A"/>
    <w:rsid w:val="00FE7704"/>
    <w:rsid w:val="00FE7EB1"/>
    <w:rsid w:val="00FF03D9"/>
    <w:rsid w:val="00FF09B2"/>
    <w:rsid w:val="00FF1798"/>
    <w:rsid w:val="00FF17A8"/>
    <w:rsid w:val="00FF1F2E"/>
    <w:rsid w:val="00FF2B42"/>
    <w:rsid w:val="00FF2C81"/>
    <w:rsid w:val="00FF335C"/>
    <w:rsid w:val="00FF3B22"/>
    <w:rsid w:val="00FF4B34"/>
    <w:rsid w:val="00FF503E"/>
    <w:rsid w:val="00FF744F"/>
    <w:rsid w:val="00FF799D"/>
    <w:rsid w:val="01073635"/>
    <w:rsid w:val="01176EA7"/>
    <w:rsid w:val="0119677B"/>
    <w:rsid w:val="01240D20"/>
    <w:rsid w:val="016043AA"/>
    <w:rsid w:val="016A6FD7"/>
    <w:rsid w:val="01CC6C04"/>
    <w:rsid w:val="01FB40D3"/>
    <w:rsid w:val="022D043F"/>
    <w:rsid w:val="02427F54"/>
    <w:rsid w:val="02532161"/>
    <w:rsid w:val="0293255D"/>
    <w:rsid w:val="029A7D90"/>
    <w:rsid w:val="02C2434F"/>
    <w:rsid w:val="02E4100B"/>
    <w:rsid w:val="02F659C0"/>
    <w:rsid w:val="033E071B"/>
    <w:rsid w:val="03595555"/>
    <w:rsid w:val="035B12CD"/>
    <w:rsid w:val="03697B0E"/>
    <w:rsid w:val="03A013D6"/>
    <w:rsid w:val="03A423D6"/>
    <w:rsid w:val="03B409DD"/>
    <w:rsid w:val="03D168E4"/>
    <w:rsid w:val="03F4196F"/>
    <w:rsid w:val="042042C5"/>
    <w:rsid w:val="04455AD9"/>
    <w:rsid w:val="04936845"/>
    <w:rsid w:val="04B15418"/>
    <w:rsid w:val="04BA3FA6"/>
    <w:rsid w:val="04E868E9"/>
    <w:rsid w:val="04F27594"/>
    <w:rsid w:val="05094D59"/>
    <w:rsid w:val="050B0AD1"/>
    <w:rsid w:val="05270EAF"/>
    <w:rsid w:val="05420F93"/>
    <w:rsid w:val="05883522"/>
    <w:rsid w:val="059541F6"/>
    <w:rsid w:val="05AD5869"/>
    <w:rsid w:val="05F11E9F"/>
    <w:rsid w:val="05F96B7B"/>
    <w:rsid w:val="060D1B65"/>
    <w:rsid w:val="06325012"/>
    <w:rsid w:val="06420522"/>
    <w:rsid w:val="065A6517"/>
    <w:rsid w:val="065D737F"/>
    <w:rsid w:val="065F7326"/>
    <w:rsid w:val="066418DB"/>
    <w:rsid w:val="066A1AF5"/>
    <w:rsid w:val="066E30C6"/>
    <w:rsid w:val="06A91F53"/>
    <w:rsid w:val="06AD62E4"/>
    <w:rsid w:val="06C23518"/>
    <w:rsid w:val="06E265EF"/>
    <w:rsid w:val="07091040"/>
    <w:rsid w:val="070A6F17"/>
    <w:rsid w:val="07254947"/>
    <w:rsid w:val="07373AD3"/>
    <w:rsid w:val="074327A4"/>
    <w:rsid w:val="07466F8A"/>
    <w:rsid w:val="074F6045"/>
    <w:rsid w:val="076E4BDB"/>
    <w:rsid w:val="077F1302"/>
    <w:rsid w:val="07A019A5"/>
    <w:rsid w:val="07B9208C"/>
    <w:rsid w:val="07D17DB0"/>
    <w:rsid w:val="07DE0942"/>
    <w:rsid w:val="07ED1622"/>
    <w:rsid w:val="07FB307F"/>
    <w:rsid w:val="08053877"/>
    <w:rsid w:val="0822685D"/>
    <w:rsid w:val="08981B4C"/>
    <w:rsid w:val="089D526D"/>
    <w:rsid w:val="08A10966"/>
    <w:rsid w:val="08B90768"/>
    <w:rsid w:val="08C23B9D"/>
    <w:rsid w:val="08D31906"/>
    <w:rsid w:val="08E04851"/>
    <w:rsid w:val="08EE17A3"/>
    <w:rsid w:val="09173EE8"/>
    <w:rsid w:val="09227017"/>
    <w:rsid w:val="096A109B"/>
    <w:rsid w:val="09B13EE6"/>
    <w:rsid w:val="09B96D4E"/>
    <w:rsid w:val="09CD1033"/>
    <w:rsid w:val="09D321D2"/>
    <w:rsid w:val="09DE4A06"/>
    <w:rsid w:val="09F20C8E"/>
    <w:rsid w:val="09F25E1E"/>
    <w:rsid w:val="0A0A1357"/>
    <w:rsid w:val="0A0A57FB"/>
    <w:rsid w:val="0A27015B"/>
    <w:rsid w:val="0A2E5BC4"/>
    <w:rsid w:val="0A2F2AE7"/>
    <w:rsid w:val="0A724DA4"/>
    <w:rsid w:val="0A8B16A1"/>
    <w:rsid w:val="0A8D3D36"/>
    <w:rsid w:val="0ABE2142"/>
    <w:rsid w:val="0AFB3396"/>
    <w:rsid w:val="0B047B43"/>
    <w:rsid w:val="0B1B635C"/>
    <w:rsid w:val="0B381EF4"/>
    <w:rsid w:val="0B4118C7"/>
    <w:rsid w:val="0B4E5E26"/>
    <w:rsid w:val="0B582596"/>
    <w:rsid w:val="0B626F71"/>
    <w:rsid w:val="0B8A1CA1"/>
    <w:rsid w:val="0B9F7F5F"/>
    <w:rsid w:val="0BCA3494"/>
    <w:rsid w:val="0BCA5242"/>
    <w:rsid w:val="0BD065D0"/>
    <w:rsid w:val="0C0F534B"/>
    <w:rsid w:val="0CB37058"/>
    <w:rsid w:val="0CC9374C"/>
    <w:rsid w:val="0CEE6D0E"/>
    <w:rsid w:val="0CF90401"/>
    <w:rsid w:val="0D4A08F3"/>
    <w:rsid w:val="0D5F5BC0"/>
    <w:rsid w:val="0D735465"/>
    <w:rsid w:val="0D951880"/>
    <w:rsid w:val="0D9664F4"/>
    <w:rsid w:val="0DAE142C"/>
    <w:rsid w:val="0DB1330B"/>
    <w:rsid w:val="0DBC0BBA"/>
    <w:rsid w:val="0DD57ECE"/>
    <w:rsid w:val="0DF5231E"/>
    <w:rsid w:val="0E4A5D4A"/>
    <w:rsid w:val="0E4B1A86"/>
    <w:rsid w:val="0E7476E7"/>
    <w:rsid w:val="0EB73724"/>
    <w:rsid w:val="0ED5486E"/>
    <w:rsid w:val="0EFC1B5D"/>
    <w:rsid w:val="0F1B4006"/>
    <w:rsid w:val="0F2F5C39"/>
    <w:rsid w:val="0F930041"/>
    <w:rsid w:val="0F9B0D8A"/>
    <w:rsid w:val="10043E2B"/>
    <w:rsid w:val="10084FA9"/>
    <w:rsid w:val="100E76C7"/>
    <w:rsid w:val="103F5AD3"/>
    <w:rsid w:val="10735A35"/>
    <w:rsid w:val="11424D4D"/>
    <w:rsid w:val="11530FFE"/>
    <w:rsid w:val="117479FE"/>
    <w:rsid w:val="118F7CFF"/>
    <w:rsid w:val="123F000C"/>
    <w:rsid w:val="123F625E"/>
    <w:rsid w:val="124079B7"/>
    <w:rsid w:val="124675EC"/>
    <w:rsid w:val="12703084"/>
    <w:rsid w:val="127759F8"/>
    <w:rsid w:val="12830552"/>
    <w:rsid w:val="12FB57DE"/>
    <w:rsid w:val="13153ED2"/>
    <w:rsid w:val="131F3BCE"/>
    <w:rsid w:val="1331143C"/>
    <w:rsid w:val="13385187"/>
    <w:rsid w:val="133945AE"/>
    <w:rsid w:val="134A1B3B"/>
    <w:rsid w:val="13767A5D"/>
    <w:rsid w:val="137B7A5C"/>
    <w:rsid w:val="137E0050"/>
    <w:rsid w:val="13BB1914"/>
    <w:rsid w:val="13BF31B2"/>
    <w:rsid w:val="143D2A02"/>
    <w:rsid w:val="145B2179"/>
    <w:rsid w:val="14872104"/>
    <w:rsid w:val="148C3C1A"/>
    <w:rsid w:val="14B4083D"/>
    <w:rsid w:val="14C15ED1"/>
    <w:rsid w:val="14D86F12"/>
    <w:rsid w:val="14F572EB"/>
    <w:rsid w:val="15286AD2"/>
    <w:rsid w:val="153656F6"/>
    <w:rsid w:val="154871D8"/>
    <w:rsid w:val="158863B2"/>
    <w:rsid w:val="15F555B1"/>
    <w:rsid w:val="15FC2FFC"/>
    <w:rsid w:val="160D5450"/>
    <w:rsid w:val="16330FCE"/>
    <w:rsid w:val="16864E39"/>
    <w:rsid w:val="16871A54"/>
    <w:rsid w:val="169D3553"/>
    <w:rsid w:val="16BB0D3E"/>
    <w:rsid w:val="16BE506E"/>
    <w:rsid w:val="16C84A74"/>
    <w:rsid w:val="16D11097"/>
    <w:rsid w:val="16FA09A5"/>
    <w:rsid w:val="170830C2"/>
    <w:rsid w:val="1776627E"/>
    <w:rsid w:val="179C37E8"/>
    <w:rsid w:val="17BD5C5B"/>
    <w:rsid w:val="17EA55AF"/>
    <w:rsid w:val="18197ECC"/>
    <w:rsid w:val="184C0668"/>
    <w:rsid w:val="185549A1"/>
    <w:rsid w:val="185837F3"/>
    <w:rsid w:val="18610CDC"/>
    <w:rsid w:val="188D11EC"/>
    <w:rsid w:val="18970FA1"/>
    <w:rsid w:val="18B057C0"/>
    <w:rsid w:val="18B22A60"/>
    <w:rsid w:val="18B26225"/>
    <w:rsid w:val="18B352B0"/>
    <w:rsid w:val="18D02075"/>
    <w:rsid w:val="18DC6084"/>
    <w:rsid w:val="18F25DC9"/>
    <w:rsid w:val="18FE477D"/>
    <w:rsid w:val="191775ED"/>
    <w:rsid w:val="19526877"/>
    <w:rsid w:val="197835A5"/>
    <w:rsid w:val="19821952"/>
    <w:rsid w:val="198729C4"/>
    <w:rsid w:val="199E7D0E"/>
    <w:rsid w:val="1A0F4F56"/>
    <w:rsid w:val="1A231FC1"/>
    <w:rsid w:val="1A4B4A4F"/>
    <w:rsid w:val="1A6B6358"/>
    <w:rsid w:val="1A935399"/>
    <w:rsid w:val="1AA21568"/>
    <w:rsid w:val="1AA323A1"/>
    <w:rsid w:val="1AAC6AB0"/>
    <w:rsid w:val="1B041DF3"/>
    <w:rsid w:val="1B2D30F7"/>
    <w:rsid w:val="1B6A0F8A"/>
    <w:rsid w:val="1B723200"/>
    <w:rsid w:val="1B746BF2"/>
    <w:rsid w:val="1B806CCF"/>
    <w:rsid w:val="1B852F33"/>
    <w:rsid w:val="1B8B5BEC"/>
    <w:rsid w:val="1B941F2A"/>
    <w:rsid w:val="1BA92C3D"/>
    <w:rsid w:val="1BCD1520"/>
    <w:rsid w:val="1BE371F4"/>
    <w:rsid w:val="1BE37C5A"/>
    <w:rsid w:val="1C124AAB"/>
    <w:rsid w:val="1C136791"/>
    <w:rsid w:val="1C4D5029"/>
    <w:rsid w:val="1C6002F6"/>
    <w:rsid w:val="1C760ACE"/>
    <w:rsid w:val="1C8904AD"/>
    <w:rsid w:val="1C8925AF"/>
    <w:rsid w:val="1C926C23"/>
    <w:rsid w:val="1CEC7AF8"/>
    <w:rsid w:val="1CFA16FF"/>
    <w:rsid w:val="1D314B1B"/>
    <w:rsid w:val="1D3B5655"/>
    <w:rsid w:val="1D41732E"/>
    <w:rsid w:val="1D48246B"/>
    <w:rsid w:val="1D61352C"/>
    <w:rsid w:val="1D787557"/>
    <w:rsid w:val="1D8316F5"/>
    <w:rsid w:val="1D932D6D"/>
    <w:rsid w:val="1D9456B0"/>
    <w:rsid w:val="1D994A74"/>
    <w:rsid w:val="1DB00010"/>
    <w:rsid w:val="1DCB495D"/>
    <w:rsid w:val="1DCB6BF8"/>
    <w:rsid w:val="1DE541F8"/>
    <w:rsid w:val="1DF148B0"/>
    <w:rsid w:val="1DF55996"/>
    <w:rsid w:val="1E0F14CB"/>
    <w:rsid w:val="1E2C0141"/>
    <w:rsid w:val="1E324C07"/>
    <w:rsid w:val="1E8C6387"/>
    <w:rsid w:val="1EAB0F03"/>
    <w:rsid w:val="1F026649"/>
    <w:rsid w:val="1F0D7CBA"/>
    <w:rsid w:val="1F4164DF"/>
    <w:rsid w:val="1F417171"/>
    <w:rsid w:val="1F467731"/>
    <w:rsid w:val="1F861028"/>
    <w:rsid w:val="1FDD280A"/>
    <w:rsid w:val="1FE8583F"/>
    <w:rsid w:val="1FF71F26"/>
    <w:rsid w:val="20057BA4"/>
    <w:rsid w:val="20080631"/>
    <w:rsid w:val="205B24B5"/>
    <w:rsid w:val="205F5310"/>
    <w:rsid w:val="20807F3B"/>
    <w:rsid w:val="208F03B0"/>
    <w:rsid w:val="20C50C3C"/>
    <w:rsid w:val="20D33EC0"/>
    <w:rsid w:val="20D52267"/>
    <w:rsid w:val="20D74AB0"/>
    <w:rsid w:val="20DB35F6"/>
    <w:rsid w:val="20EC5803"/>
    <w:rsid w:val="20ED1365"/>
    <w:rsid w:val="20EF420B"/>
    <w:rsid w:val="21496315"/>
    <w:rsid w:val="214C412B"/>
    <w:rsid w:val="214E5B76"/>
    <w:rsid w:val="21566663"/>
    <w:rsid w:val="215A276C"/>
    <w:rsid w:val="215A6C10"/>
    <w:rsid w:val="219A6107"/>
    <w:rsid w:val="21AD1764"/>
    <w:rsid w:val="21C12C09"/>
    <w:rsid w:val="21C41491"/>
    <w:rsid w:val="21C746E6"/>
    <w:rsid w:val="21CB5418"/>
    <w:rsid w:val="2217457B"/>
    <w:rsid w:val="2263736A"/>
    <w:rsid w:val="228D6C93"/>
    <w:rsid w:val="22B10AB2"/>
    <w:rsid w:val="22D14CB0"/>
    <w:rsid w:val="22E13BF0"/>
    <w:rsid w:val="23405992"/>
    <w:rsid w:val="2342170A"/>
    <w:rsid w:val="237B69CA"/>
    <w:rsid w:val="23DE2155"/>
    <w:rsid w:val="23EF3608"/>
    <w:rsid w:val="241C7F1C"/>
    <w:rsid w:val="241D7760"/>
    <w:rsid w:val="2423778D"/>
    <w:rsid w:val="242552B4"/>
    <w:rsid w:val="246170B5"/>
    <w:rsid w:val="24776C65"/>
    <w:rsid w:val="24895718"/>
    <w:rsid w:val="248C094E"/>
    <w:rsid w:val="248C5333"/>
    <w:rsid w:val="24A14BA5"/>
    <w:rsid w:val="24A501A2"/>
    <w:rsid w:val="24D55CBB"/>
    <w:rsid w:val="24E707BB"/>
    <w:rsid w:val="24FE2EBC"/>
    <w:rsid w:val="251D6D94"/>
    <w:rsid w:val="253C6363"/>
    <w:rsid w:val="25711290"/>
    <w:rsid w:val="257A518B"/>
    <w:rsid w:val="25B574CF"/>
    <w:rsid w:val="25B82157"/>
    <w:rsid w:val="25C2443D"/>
    <w:rsid w:val="25CB1E8B"/>
    <w:rsid w:val="25CC6B09"/>
    <w:rsid w:val="25E44856"/>
    <w:rsid w:val="26265313"/>
    <w:rsid w:val="263D5F72"/>
    <w:rsid w:val="265E4AAD"/>
    <w:rsid w:val="266F0A68"/>
    <w:rsid w:val="26A834C5"/>
    <w:rsid w:val="26B07FD0"/>
    <w:rsid w:val="26B3473B"/>
    <w:rsid w:val="26B65C1C"/>
    <w:rsid w:val="26E1723B"/>
    <w:rsid w:val="2709752E"/>
    <w:rsid w:val="27207FB4"/>
    <w:rsid w:val="273121C1"/>
    <w:rsid w:val="276109F3"/>
    <w:rsid w:val="27680221"/>
    <w:rsid w:val="276E6F72"/>
    <w:rsid w:val="2778394C"/>
    <w:rsid w:val="277F117F"/>
    <w:rsid w:val="27A604AD"/>
    <w:rsid w:val="27A720F5"/>
    <w:rsid w:val="27C46B92"/>
    <w:rsid w:val="27C748D4"/>
    <w:rsid w:val="27D33279"/>
    <w:rsid w:val="27DA4607"/>
    <w:rsid w:val="28212236"/>
    <w:rsid w:val="28285372"/>
    <w:rsid w:val="284303FE"/>
    <w:rsid w:val="286D7229"/>
    <w:rsid w:val="288B461C"/>
    <w:rsid w:val="28B112DC"/>
    <w:rsid w:val="28B409B4"/>
    <w:rsid w:val="28C037FD"/>
    <w:rsid w:val="28CD025A"/>
    <w:rsid w:val="28E3573D"/>
    <w:rsid w:val="28F3713A"/>
    <w:rsid w:val="28FD524B"/>
    <w:rsid w:val="29003BF9"/>
    <w:rsid w:val="293E2974"/>
    <w:rsid w:val="29550D17"/>
    <w:rsid w:val="296E14AB"/>
    <w:rsid w:val="29756EEE"/>
    <w:rsid w:val="29A14AC3"/>
    <w:rsid w:val="29B35DBD"/>
    <w:rsid w:val="29C54E43"/>
    <w:rsid w:val="29CA1FFC"/>
    <w:rsid w:val="29D014EE"/>
    <w:rsid w:val="29EC6874"/>
    <w:rsid w:val="2A0618EC"/>
    <w:rsid w:val="2A3E15D4"/>
    <w:rsid w:val="2A44220C"/>
    <w:rsid w:val="2A636B36"/>
    <w:rsid w:val="2A720E15"/>
    <w:rsid w:val="2AC1560A"/>
    <w:rsid w:val="2AC926AB"/>
    <w:rsid w:val="2AEB1CE7"/>
    <w:rsid w:val="2AF37B91"/>
    <w:rsid w:val="2AFE07E4"/>
    <w:rsid w:val="2B0E663D"/>
    <w:rsid w:val="2B3962B2"/>
    <w:rsid w:val="2B421841"/>
    <w:rsid w:val="2B693C1C"/>
    <w:rsid w:val="2B78289F"/>
    <w:rsid w:val="2BBE7D9C"/>
    <w:rsid w:val="2BFD2672"/>
    <w:rsid w:val="2BFD6C97"/>
    <w:rsid w:val="2C3A5674"/>
    <w:rsid w:val="2C7963E8"/>
    <w:rsid w:val="2CA90A4C"/>
    <w:rsid w:val="2CAC2575"/>
    <w:rsid w:val="2CBA58DB"/>
    <w:rsid w:val="2CCA6FE2"/>
    <w:rsid w:val="2CD86C3B"/>
    <w:rsid w:val="2D0143E4"/>
    <w:rsid w:val="2D12121D"/>
    <w:rsid w:val="2D3701F5"/>
    <w:rsid w:val="2D371BB4"/>
    <w:rsid w:val="2D425117"/>
    <w:rsid w:val="2D4F514F"/>
    <w:rsid w:val="2D574004"/>
    <w:rsid w:val="2DAA31BC"/>
    <w:rsid w:val="2DAF5BEE"/>
    <w:rsid w:val="2DCD42C6"/>
    <w:rsid w:val="2DCF6290"/>
    <w:rsid w:val="2DD6761F"/>
    <w:rsid w:val="2DE93B3E"/>
    <w:rsid w:val="2DEE4968"/>
    <w:rsid w:val="2E3D31FA"/>
    <w:rsid w:val="2E627104"/>
    <w:rsid w:val="2EF307E8"/>
    <w:rsid w:val="2F3E1BC6"/>
    <w:rsid w:val="2F866E22"/>
    <w:rsid w:val="2F924F1B"/>
    <w:rsid w:val="2FC27A6F"/>
    <w:rsid w:val="2FF16992"/>
    <w:rsid w:val="2FF35616"/>
    <w:rsid w:val="303D0E07"/>
    <w:rsid w:val="30685813"/>
    <w:rsid w:val="306F484D"/>
    <w:rsid w:val="307A6987"/>
    <w:rsid w:val="30981726"/>
    <w:rsid w:val="30A05CC2"/>
    <w:rsid w:val="30CB2D3F"/>
    <w:rsid w:val="31102225"/>
    <w:rsid w:val="312F7A5B"/>
    <w:rsid w:val="31411253"/>
    <w:rsid w:val="314A39BC"/>
    <w:rsid w:val="31813D45"/>
    <w:rsid w:val="319F7907"/>
    <w:rsid w:val="31BA0345"/>
    <w:rsid w:val="31C679AA"/>
    <w:rsid w:val="31CC1158"/>
    <w:rsid w:val="320566CD"/>
    <w:rsid w:val="3231301E"/>
    <w:rsid w:val="323964A4"/>
    <w:rsid w:val="325E7BE3"/>
    <w:rsid w:val="3268153F"/>
    <w:rsid w:val="32684C94"/>
    <w:rsid w:val="3282481C"/>
    <w:rsid w:val="32933D30"/>
    <w:rsid w:val="32945440"/>
    <w:rsid w:val="32BF2D77"/>
    <w:rsid w:val="32E14A9C"/>
    <w:rsid w:val="337709DE"/>
    <w:rsid w:val="338D7AC0"/>
    <w:rsid w:val="33DC34B5"/>
    <w:rsid w:val="33EB36F8"/>
    <w:rsid w:val="34243D89"/>
    <w:rsid w:val="344C4197"/>
    <w:rsid w:val="344F3C87"/>
    <w:rsid w:val="34533777"/>
    <w:rsid w:val="3454021F"/>
    <w:rsid w:val="345D6A9E"/>
    <w:rsid w:val="346516FC"/>
    <w:rsid w:val="349F4C0E"/>
    <w:rsid w:val="34B8182C"/>
    <w:rsid w:val="34E73EBF"/>
    <w:rsid w:val="3524072D"/>
    <w:rsid w:val="35430815"/>
    <w:rsid w:val="35602EE0"/>
    <w:rsid w:val="356E697B"/>
    <w:rsid w:val="3575596F"/>
    <w:rsid w:val="358D4A67"/>
    <w:rsid w:val="35C418F0"/>
    <w:rsid w:val="35C941C8"/>
    <w:rsid w:val="35CF1523"/>
    <w:rsid w:val="35DA3A24"/>
    <w:rsid w:val="35E93C67"/>
    <w:rsid w:val="35F8422E"/>
    <w:rsid w:val="360D1CB0"/>
    <w:rsid w:val="360F0FB5"/>
    <w:rsid w:val="364F27E7"/>
    <w:rsid w:val="36590DED"/>
    <w:rsid w:val="365E729B"/>
    <w:rsid w:val="36C721FA"/>
    <w:rsid w:val="36D43E22"/>
    <w:rsid w:val="36E52680"/>
    <w:rsid w:val="373C2469"/>
    <w:rsid w:val="377C2FE5"/>
    <w:rsid w:val="378A74A2"/>
    <w:rsid w:val="378F4C2D"/>
    <w:rsid w:val="37983B97"/>
    <w:rsid w:val="37B31CC9"/>
    <w:rsid w:val="381E409C"/>
    <w:rsid w:val="38224283"/>
    <w:rsid w:val="382471D8"/>
    <w:rsid w:val="38380F74"/>
    <w:rsid w:val="384E6400"/>
    <w:rsid w:val="3851621F"/>
    <w:rsid w:val="38545D10"/>
    <w:rsid w:val="385C4BC4"/>
    <w:rsid w:val="38710670"/>
    <w:rsid w:val="38827DD0"/>
    <w:rsid w:val="388E7474"/>
    <w:rsid w:val="38997BC6"/>
    <w:rsid w:val="38AF4388"/>
    <w:rsid w:val="38C20ECB"/>
    <w:rsid w:val="38C34C43"/>
    <w:rsid w:val="38FD64FF"/>
    <w:rsid w:val="393108AB"/>
    <w:rsid w:val="39BA08F9"/>
    <w:rsid w:val="39D93DC4"/>
    <w:rsid w:val="39DF3CFF"/>
    <w:rsid w:val="39EF3F42"/>
    <w:rsid w:val="39FC6B85"/>
    <w:rsid w:val="3A1C460B"/>
    <w:rsid w:val="3A1E24FE"/>
    <w:rsid w:val="3A233BEC"/>
    <w:rsid w:val="3A23599A"/>
    <w:rsid w:val="3A606EE2"/>
    <w:rsid w:val="3A812094"/>
    <w:rsid w:val="3A9C426D"/>
    <w:rsid w:val="3A9E36A3"/>
    <w:rsid w:val="3AD357AF"/>
    <w:rsid w:val="3AEC66D3"/>
    <w:rsid w:val="3AF027E0"/>
    <w:rsid w:val="3B077069"/>
    <w:rsid w:val="3B181276"/>
    <w:rsid w:val="3B201ED9"/>
    <w:rsid w:val="3B392F9B"/>
    <w:rsid w:val="3B425235"/>
    <w:rsid w:val="3B4F27BE"/>
    <w:rsid w:val="3B546FC0"/>
    <w:rsid w:val="3B602C1D"/>
    <w:rsid w:val="3B765F9D"/>
    <w:rsid w:val="3B860CF8"/>
    <w:rsid w:val="3B887DEF"/>
    <w:rsid w:val="3B890053"/>
    <w:rsid w:val="3B8D76DF"/>
    <w:rsid w:val="3BC55BA4"/>
    <w:rsid w:val="3BCE2BCF"/>
    <w:rsid w:val="3BE674DB"/>
    <w:rsid w:val="3C0A5CF7"/>
    <w:rsid w:val="3C157F5E"/>
    <w:rsid w:val="3C275BB1"/>
    <w:rsid w:val="3C2E5F9A"/>
    <w:rsid w:val="3C4B11D8"/>
    <w:rsid w:val="3C53008C"/>
    <w:rsid w:val="3C935AB8"/>
    <w:rsid w:val="3CC72DC1"/>
    <w:rsid w:val="3CCD7E3F"/>
    <w:rsid w:val="3CD1792F"/>
    <w:rsid w:val="3CE560A0"/>
    <w:rsid w:val="3D255ECD"/>
    <w:rsid w:val="3D436353"/>
    <w:rsid w:val="3D5D7415"/>
    <w:rsid w:val="3D7B5AED"/>
    <w:rsid w:val="3D9A41C5"/>
    <w:rsid w:val="3DA2751D"/>
    <w:rsid w:val="3DA60DBB"/>
    <w:rsid w:val="3DC6732B"/>
    <w:rsid w:val="3DD12C56"/>
    <w:rsid w:val="3E1675C3"/>
    <w:rsid w:val="3E3218B6"/>
    <w:rsid w:val="3E3F6B1A"/>
    <w:rsid w:val="3E5B1956"/>
    <w:rsid w:val="3E8B7FB1"/>
    <w:rsid w:val="3E981374"/>
    <w:rsid w:val="3EC139D3"/>
    <w:rsid w:val="3EEC59CA"/>
    <w:rsid w:val="3F165ACD"/>
    <w:rsid w:val="3F352A52"/>
    <w:rsid w:val="3F3C12AC"/>
    <w:rsid w:val="3F524CB6"/>
    <w:rsid w:val="3F631223"/>
    <w:rsid w:val="3F8B38AE"/>
    <w:rsid w:val="3FA70E1B"/>
    <w:rsid w:val="3FBD419A"/>
    <w:rsid w:val="3FDB0AC5"/>
    <w:rsid w:val="3FF04742"/>
    <w:rsid w:val="3FF24736"/>
    <w:rsid w:val="3FFE62FC"/>
    <w:rsid w:val="400B3158"/>
    <w:rsid w:val="404448BC"/>
    <w:rsid w:val="404B5C4A"/>
    <w:rsid w:val="405368AD"/>
    <w:rsid w:val="405B09FF"/>
    <w:rsid w:val="40653AA1"/>
    <w:rsid w:val="406D5BC1"/>
    <w:rsid w:val="407B349B"/>
    <w:rsid w:val="407D392A"/>
    <w:rsid w:val="407E7DCE"/>
    <w:rsid w:val="409546BB"/>
    <w:rsid w:val="40980764"/>
    <w:rsid w:val="409B0B4D"/>
    <w:rsid w:val="40BD3271"/>
    <w:rsid w:val="40E85247"/>
    <w:rsid w:val="412F048A"/>
    <w:rsid w:val="41415EF6"/>
    <w:rsid w:val="414336A3"/>
    <w:rsid w:val="414F59BC"/>
    <w:rsid w:val="41525464"/>
    <w:rsid w:val="4153125A"/>
    <w:rsid w:val="41760AA5"/>
    <w:rsid w:val="417B437E"/>
    <w:rsid w:val="417E7959"/>
    <w:rsid w:val="41986C6D"/>
    <w:rsid w:val="41A75102"/>
    <w:rsid w:val="41C6533F"/>
    <w:rsid w:val="41C71300"/>
    <w:rsid w:val="41DA265E"/>
    <w:rsid w:val="42135AB1"/>
    <w:rsid w:val="423054E3"/>
    <w:rsid w:val="42366486"/>
    <w:rsid w:val="423D7815"/>
    <w:rsid w:val="424D3EFC"/>
    <w:rsid w:val="428216CB"/>
    <w:rsid w:val="42CD5BA4"/>
    <w:rsid w:val="432F0186"/>
    <w:rsid w:val="43455CFB"/>
    <w:rsid w:val="43504168"/>
    <w:rsid w:val="435B1B7E"/>
    <w:rsid w:val="4368266F"/>
    <w:rsid w:val="439873F8"/>
    <w:rsid w:val="43BE6733"/>
    <w:rsid w:val="43BF1440"/>
    <w:rsid w:val="43D47D05"/>
    <w:rsid w:val="440C3942"/>
    <w:rsid w:val="442347E8"/>
    <w:rsid w:val="443C6F04"/>
    <w:rsid w:val="444767C6"/>
    <w:rsid w:val="44537220"/>
    <w:rsid w:val="44D501D8"/>
    <w:rsid w:val="44F931C0"/>
    <w:rsid w:val="45090AFA"/>
    <w:rsid w:val="452F5B59"/>
    <w:rsid w:val="45341C9A"/>
    <w:rsid w:val="45634846"/>
    <w:rsid w:val="45884686"/>
    <w:rsid w:val="45B76809"/>
    <w:rsid w:val="45CC3389"/>
    <w:rsid w:val="46404401"/>
    <w:rsid w:val="464765F7"/>
    <w:rsid w:val="46602B2F"/>
    <w:rsid w:val="466307A7"/>
    <w:rsid w:val="46696E2A"/>
    <w:rsid w:val="46832717"/>
    <w:rsid w:val="46A5054B"/>
    <w:rsid w:val="46B06807"/>
    <w:rsid w:val="46CE4EDF"/>
    <w:rsid w:val="46FF11DA"/>
    <w:rsid w:val="470E57D1"/>
    <w:rsid w:val="47290367"/>
    <w:rsid w:val="47332F94"/>
    <w:rsid w:val="47484C91"/>
    <w:rsid w:val="475738B5"/>
    <w:rsid w:val="477C4AF2"/>
    <w:rsid w:val="47872B8D"/>
    <w:rsid w:val="47914C2B"/>
    <w:rsid w:val="479B1265"/>
    <w:rsid w:val="47A647FE"/>
    <w:rsid w:val="47C06F1E"/>
    <w:rsid w:val="47D209FF"/>
    <w:rsid w:val="47EA1093"/>
    <w:rsid w:val="48074B4D"/>
    <w:rsid w:val="482857F7"/>
    <w:rsid w:val="48441098"/>
    <w:rsid w:val="485853A8"/>
    <w:rsid w:val="485B27A2"/>
    <w:rsid w:val="489072F1"/>
    <w:rsid w:val="48972EB7"/>
    <w:rsid w:val="48C26CC5"/>
    <w:rsid w:val="48CF62F5"/>
    <w:rsid w:val="48E930D1"/>
    <w:rsid w:val="48F5140F"/>
    <w:rsid w:val="49032245"/>
    <w:rsid w:val="491017DF"/>
    <w:rsid w:val="491709DD"/>
    <w:rsid w:val="49184B37"/>
    <w:rsid w:val="493A60B7"/>
    <w:rsid w:val="49891591"/>
    <w:rsid w:val="498B5309"/>
    <w:rsid w:val="49942410"/>
    <w:rsid w:val="49997A26"/>
    <w:rsid w:val="49C16F7D"/>
    <w:rsid w:val="49D91CE9"/>
    <w:rsid w:val="49EB0D5C"/>
    <w:rsid w:val="4A09336C"/>
    <w:rsid w:val="4A201DE5"/>
    <w:rsid w:val="4A2B43F6"/>
    <w:rsid w:val="4A330784"/>
    <w:rsid w:val="4ACE50BD"/>
    <w:rsid w:val="4AE840E7"/>
    <w:rsid w:val="4B105F5B"/>
    <w:rsid w:val="4B117A90"/>
    <w:rsid w:val="4B577751"/>
    <w:rsid w:val="4B647BC0"/>
    <w:rsid w:val="4B667DDC"/>
    <w:rsid w:val="4B6E01D6"/>
    <w:rsid w:val="4B782660"/>
    <w:rsid w:val="4B923D69"/>
    <w:rsid w:val="4BEE392E"/>
    <w:rsid w:val="4C1E4213"/>
    <w:rsid w:val="4C3A6B73"/>
    <w:rsid w:val="4C4B338E"/>
    <w:rsid w:val="4C673799"/>
    <w:rsid w:val="4C7719CC"/>
    <w:rsid w:val="4CC052CA"/>
    <w:rsid w:val="4CC50B32"/>
    <w:rsid w:val="4CD0798D"/>
    <w:rsid w:val="4CD6689C"/>
    <w:rsid w:val="4CDA3819"/>
    <w:rsid w:val="4CFB6302"/>
    <w:rsid w:val="4CFD5200"/>
    <w:rsid w:val="4D1C5A32"/>
    <w:rsid w:val="4D294B4A"/>
    <w:rsid w:val="4D5C1497"/>
    <w:rsid w:val="4D6E1EE2"/>
    <w:rsid w:val="4D8545A0"/>
    <w:rsid w:val="4D88228C"/>
    <w:rsid w:val="4DA846DC"/>
    <w:rsid w:val="4DD97ED3"/>
    <w:rsid w:val="4E0B1696"/>
    <w:rsid w:val="4E143B1F"/>
    <w:rsid w:val="4E4D0DDF"/>
    <w:rsid w:val="4EB33338"/>
    <w:rsid w:val="4EED3F65"/>
    <w:rsid w:val="4EEE4370"/>
    <w:rsid w:val="4EF033A8"/>
    <w:rsid w:val="4F202106"/>
    <w:rsid w:val="4F2C4E99"/>
    <w:rsid w:val="4F351F9F"/>
    <w:rsid w:val="4F5C4580"/>
    <w:rsid w:val="4F8627FB"/>
    <w:rsid w:val="4F8E5B53"/>
    <w:rsid w:val="4F9D68F6"/>
    <w:rsid w:val="502455CA"/>
    <w:rsid w:val="503158BA"/>
    <w:rsid w:val="50827466"/>
    <w:rsid w:val="50A867A1"/>
    <w:rsid w:val="50BD02BD"/>
    <w:rsid w:val="50D7465A"/>
    <w:rsid w:val="50DC1D60"/>
    <w:rsid w:val="50FA7628"/>
    <w:rsid w:val="51292AEB"/>
    <w:rsid w:val="514228A3"/>
    <w:rsid w:val="515A46EC"/>
    <w:rsid w:val="51711B20"/>
    <w:rsid w:val="51915487"/>
    <w:rsid w:val="51936EAF"/>
    <w:rsid w:val="519F4486"/>
    <w:rsid w:val="51AB444B"/>
    <w:rsid w:val="51D05FAF"/>
    <w:rsid w:val="51DB5B30"/>
    <w:rsid w:val="52112CF4"/>
    <w:rsid w:val="52181704"/>
    <w:rsid w:val="525766D1"/>
    <w:rsid w:val="525C3CE7"/>
    <w:rsid w:val="528B1320"/>
    <w:rsid w:val="52982FB9"/>
    <w:rsid w:val="52A116FA"/>
    <w:rsid w:val="52AF4864"/>
    <w:rsid w:val="52C20723"/>
    <w:rsid w:val="52D84BFF"/>
    <w:rsid w:val="52EA4E4F"/>
    <w:rsid w:val="533137F8"/>
    <w:rsid w:val="533F0B86"/>
    <w:rsid w:val="534F1156"/>
    <w:rsid w:val="53634C01"/>
    <w:rsid w:val="53807DC3"/>
    <w:rsid w:val="53A56FC8"/>
    <w:rsid w:val="53C24831"/>
    <w:rsid w:val="53F47572"/>
    <w:rsid w:val="54077C82"/>
    <w:rsid w:val="540B7D0D"/>
    <w:rsid w:val="542A7976"/>
    <w:rsid w:val="54692272"/>
    <w:rsid w:val="547B5FE0"/>
    <w:rsid w:val="549918FF"/>
    <w:rsid w:val="54A5119F"/>
    <w:rsid w:val="54C17E31"/>
    <w:rsid w:val="54E75E5A"/>
    <w:rsid w:val="551408A9"/>
    <w:rsid w:val="5521470C"/>
    <w:rsid w:val="552F7491"/>
    <w:rsid w:val="55320D2F"/>
    <w:rsid w:val="5536081F"/>
    <w:rsid w:val="55811AEF"/>
    <w:rsid w:val="55A2633A"/>
    <w:rsid w:val="55A41C2D"/>
    <w:rsid w:val="55AF412E"/>
    <w:rsid w:val="55C242FD"/>
    <w:rsid w:val="55C67E13"/>
    <w:rsid w:val="55E77280"/>
    <w:rsid w:val="564E3947"/>
    <w:rsid w:val="568850AA"/>
    <w:rsid w:val="56912E12"/>
    <w:rsid w:val="56B76071"/>
    <w:rsid w:val="56BA722E"/>
    <w:rsid w:val="56DA7551"/>
    <w:rsid w:val="56ED3255"/>
    <w:rsid w:val="56F72C62"/>
    <w:rsid w:val="56F777B6"/>
    <w:rsid w:val="571A58E4"/>
    <w:rsid w:val="572E60DD"/>
    <w:rsid w:val="5731267D"/>
    <w:rsid w:val="57374A26"/>
    <w:rsid w:val="574F5BC8"/>
    <w:rsid w:val="57914433"/>
    <w:rsid w:val="57BE68AA"/>
    <w:rsid w:val="57C662B3"/>
    <w:rsid w:val="57D1482F"/>
    <w:rsid w:val="582161A3"/>
    <w:rsid w:val="58262DF0"/>
    <w:rsid w:val="5862192B"/>
    <w:rsid w:val="586A452F"/>
    <w:rsid w:val="588817BB"/>
    <w:rsid w:val="58A91BD4"/>
    <w:rsid w:val="58DD0D29"/>
    <w:rsid w:val="59050F97"/>
    <w:rsid w:val="59080725"/>
    <w:rsid w:val="5947124D"/>
    <w:rsid w:val="59555CAB"/>
    <w:rsid w:val="59A621E6"/>
    <w:rsid w:val="59AF294E"/>
    <w:rsid w:val="59C446EB"/>
    <w:rsid w:val="59F760A3"/>
    <w:rsid w:val="5A054C64"/>
    <w:rsid w:val="5A6220B6"/>
    <w:rsid w:val="5A804113"/>
    <w:rsid w:val="5A960341"/>
    <w:rsid w:val="5AA43F09"/>
    <w:rsid w:val="5AA61FA3"/>
    <w:rsid w:val="5AC25AF9"/>
    <w:rsid w:val="5ADA6536"/>
    <w:rsid w:val="5B3C46B5"/>
    <w:rsid w:val="5B4B052D"/>
    <w:rsid w:val="5B53085A"/>
    <w:rsid w:val="5B751975"/>
    <w:rsid w:val="5BA6363F"/>
    <w:rsid w:val="5BB16E51"/>
    <w:rsid w:val="5BEF34D6"/>
    <w:rsid w:val="5C166CB5"/>
    <w:rsid w:val="5C390BF5"/>
    <w:rsid w:val="5C4248A3"/>
    <w:rsid w:val="5CA72002"/>
    <w:rsid w:val="5CA97B29"/>
    <w:rsid w:val="5CC64713"/>
    <w:rsid w:val="5CFB5EAA"/>
    <w:rsid w:val="5D047455"/>
    <w:rsid w:val="5D570AB1"/>
    <w:rsid w:val="5D8D2FA6"/>
    <w:rsid w:val="5DB37B76"/>
    <w:rsid w:val="5DD1095E"/>
    <w:rsid w:val="5DE0565F"/>
    <w:rsid w:val="5DFD637E"/>
    <w:rsid w:val="5E162F9C"/>
    <w:rsid w:val="5E1E1460"/>
    <w:rsid w:val="5E88766A"/>
    <w:rsid w:val="5EBC7EEE"/>
    <w:rsid w:val="5EC40C4A"/>
    <w:rsid w:val="5ED15115"/>
    <w:rsid w:val="5ED35331"/>
    <w:rsid w:val="5F0175AE"/>
    <w:rsid w:val="5F1675C6"/>
    <w:rsid w:val="5F2A2470"/>
    <w:rsid w:val="5F322465"/>
    <w:rsid w:val="5F3E53F2"/>
    <w:rsid w:val="5F4F342B"/>
    <w:rsid w:val="5F557AF4"/>
    <w:rsid w:val="5F795ED8"/>
    <w:rsid w:val="5FAF1566"/>
    <w:rsid w:val="5FBF6730"/>
    <w:rsid w:val="5FEF619A"/>
    <w:rsid w:val="60170615"/>
    <w:rsid w:val="60186F05"/>
    <w:rsid w:val="601A4151"/>
    <w:rsid w:val="602C2F4B"/>
    <w:rsid w:val="60363DC9"/>
    <w:rsid w:val="605E78A2"/>
    <w:rsid w:val="6065020A"/>
    <w:rsid w:val="6071095D"/>
    <w:rsid w:val="607406B8"/>
    <w:rsid w:val="60901080"/>
    <w:rsid w:val="60964868"/>
    <w:rsid w:val="60DC4A93"/>
    <w:rsid w:val="60E455D3"/>
    <w:rsid w:val="61001CE1"/>
    <w:rsid w:val="61180376"/>
    <w:rsid w:val="6118702B"/>
    <w:rsid w:val="6129646D"/>
    <w:rsid w:val="612C0D28"/>
    <w:rsid w:val="612E40B9"/>
    <w:rsid w:val="613310AF"/>
    <w:rsid w:val="61427BE1"/>
    <w:rsid w:val="61504A17"/>
    <w:rsid w:val="615F3810"/>
    <w:rsid w:val="61A46B11"/>
    <w:rsid w:val="61A759CE"/>
    <w:rsid w:val="61B0747B"/>
    <w:rsid w:val="61D349D1"/>
    <w:rsid w:val="61DA0784"/>
    <w:rsid w:val="621619BC"/>
    <w:rsid w:val="62165C60"/>
    <w:rsid w:val="621D672A"/>
    <w:rsid w:val="624D53FA"/>
    <w:rsid w:val="625A457B"/>
    <w:rsid w:val="6268460A"/>
    <w:rsid w:val="627F0FAB"/>
    <w:rsid w:val="629D0130"/>
    <w:rsid w:val="62A212A2"/>
    <w:rsid w:val="62C02CB5"/>
    <w:rsid w:val="631E716E"/>
    <w:rsid w:val="637265AE"/>
    <w:rsid w:val="63B55005"/>
    <w:rsid w:val="63D06AB5"/>
    <w:rsid w:val="63D57455"/>
    <w:rsid w:val="63FA6EBC"/>
    <w:rsid w:val="642F59FF"/>
    <w:rsid w:val="64326656"/>
    <w:rsid w:val="6485002B"/>
    <w:rsid w:val="64B928D3"/>
    <w:rsid w:val="64D95D84"/>
    <w:rsid w:val="64D97C6F"/>
    <w:rsid w:val="64E01CAA"/>
    <w:rsid w:val="64E12B30"/>
    <w:rsid w:val="64E33E26"/>
    <w:rsid w:val="64EC5D4A"/>
    <w:rsid w:val="64FD2570"/>
    <w:rsid w:val="65035FEE"/>
    <w:rsid w:val="65082750"/>
    <w:rsid w:val="65167D25"/>
    <w:rsid w:val="652F0DE7"/>
    <w:rsid w:val="65320613"/>
    <w:rsid w:val="65491EA9"/>
    <w:rsid w:val="656071F2"/>
    <w:rsid w:val="6561752C"/>
    <w:rsid w:val="656E047F"/>
    <w:rsid w:val="65C71020"/>
    <w:rsid w:val="66042274"/>
    <w:rsid w:val="660E6C4E"/>
    <w:rsid w:val="66214BD4"/>
    <w:rsid w:val="667016B7"/>
    <w:rsid w:val="668223FF"/>
    <w:rsid w:val="66A01F9C"/>
    <w:rsid w:val="66AD05FB"/>
    <w:rsid w:val="66DF23D1"/>
    <w:rsid w:val="66ED58A1"/>
    <w:rsid w:val="67201388"/>
    <w:rsid w:val="673B4C81"/>
    <w:rsid w:val="674A63AC"/>
    <w:rsid w:val="675A6636"/>
    <w:rsid w:val="67696832"/>
    <w:rsid w:val="679B2764"/>
    <w:rsid w:val="67EA0DDC"/>
    <w:rsid w:val="67FF6319"/>
    <w:rsid w:val="680D1AF4"/>
    <w:rsid w:val="682664D1"/>
    <w:rsid w:val="68910098"/>
    <w:rsid w:val="68B06FD1"/>
    <w:rsid w:val="68C06926"/>
    <w:rsid w:val="68C50684"/>
    <w:rsid w:val="68F02895"/>
    <w:rsid w:val="69132EFA"/>
    <w:rsid w:val="691B21E7"/>
    <w:rsid w:val="693F6D5B"/>
    <w:rsid w:val="69562DE6"/>
    <w:rsid w:val="69884D00"/>
    <w:rsid w:val="69A42818"/>
    <w:rsid w:val="69FE4D20"/>
    <w:rsid w:val="6A024239"/>
    <w:rsid w:val="6A1011E7"/>
    <w:rsid w:val="6A291E99"/>
    <w:rsid w:val="6A295E7C"/>
    <w:rsid w:val="6A6652AB"/>
    <w:rsid w:val="6AA45DD3"/>
    <w:rsid w:val="6AB9187F"/>
    <w:rsid w:val="6B056872"/>
    <w:rsid w:val="6B4E646B"/>
    <w:rsid w:val="6B58785D"/>
    <w:rsid w:val="6B5D2963"/>
    <w:rsid w:val="6B6A6573"/>
    <w:rsid w:val="6B6E6BBF"/>
    <w:rsid w:val="6BAD63DD"/>
    <w:rsid w:val="6BB9765C"/>
    <w:rsid w:val="6BC009EB"/>
    <w:rsid w:val="6BCA7B4E"/>
    <w:rsid w:val="6BEA0D83"/>
    <w:rsid w:val="6BF668A3"/>
    <w:rsid w:val="6C2076DB"/>
    <w:rsid w:val="6C3E36AF"/>
    <w:rsid w:val="6C642DF7"/>
    <w:rsid w:val="6C787517"/>
    <w:rsid w:val="6CB84E9D"/>
    <w:rsid w:val="6CE10C19"/>
    <w:rsid w:val="6CF748E0"/>
    <w:rsid w:val="6D03167C"/>
    <w:rsid w:val="6D8D3235"/>
    <w:rsid w:val="6DFC7823"/>
    <w:rsid w:val="6E28717C"/>
    <w:rsid w:val="6E473DB9"/>
    <w:rsid w:val="6E5F6BA9"/>
    <w:rsid w:val="6E602011"/>
    <w:rsid w:val="6E6715F2"/>
    <w:rsid w:val="6E677844"/>
    <w:rsid w:val="6E804461"/>
    <w:rsid w:val="6E8421A4"/>
    <w:rsid w:val="6E9D428D"/>
    <w:rsid w:val="6EA6036C"/>
    <w:rsid w:val="6EB333C4"/>
    <w:rsid w:val="6EB5753A"/>
    <w:rsid w:val="6EBF142E"/>
    <w:rsid w:val="6EE07CD7"/>
    <w:rsid w:val="6EF70BC7"/>
    <w:rsid w:val="6F175874"/>
    <w:rsid w:val="6F233264"/>
    <w:rsid w:val="6F295248"/>
    <w:rsid w:val="6F3911E0"/>
    <w:rsid w:val="6F3922E7"/>
    <w:rsid w:val="6F42358A"/>
    <w:rsid w:val="6F5357EC"/>
    <w:rsid w:val="6F72024E"/>
    <w:rsid w:val="6F7F3586"/>
    <w:rsid w:val="6F885CC3"/>
    <w:rsid w:val="6F9603E0"/>
    <w:rsid w:val="6FAB7521"/>
    <w:rsid w:val="6FB10D76"/>
    <w:rsid w:val="6FB50D4A"/>
    <w:rsid w:val="6FBB4FDA"/>
    <w:rsid w:val="6FBB7E47"/>
    <w:rsid w:val="6FCA1E38"/>
    <w:rsid w:val="6FF4607D"/>
    <w:rsid w:val="701D01BA"/>
    <w:rsid w:val="70313F1E"/>
    <w:rsid w:val="703B4AE4"/>
    <w:rsid w:val="70455963"/>
    <w:rsid w:val="704F4B3D"/>
    <w:rsid w:val="70542FA9"/>
    <w:rsid w:val="70F73101"/>
    <w:rsid w:val="711517D9"/>
    <w:rsid w:val="711E068D"/>
    <w:rsid w:val="718550A0"/>
    <w:rsid w:val="719170B1"/>
    <w:rsid w:val="719F355D"/>
    <w:rsid w:val="71AD37BF"/>
    <w:rsid w:val="71D77CBC"/>
    <w:rsid w:val="71EF3DD8"/>
    <w:rsid w:val="72063056"/>
    <w:rsid w:val="728171E4"/>
    <w:rsid w:val="728C1627"/>
    <w:rsid w:val="72A11576"/>
    <w:rsid w:val="72A5093A"/>
    <w:rsid w:val="72D27981"/>
    <w:rsid w:val="72F05F7C"/>
    <w:rsid w:val="73053DB0"/>
    <w:rsid w:val="732142EA"/>
    <w:rsid w:val="732552A5"/>
    <w:rsid w:val="73261A7B"/>
    <w:rsid w:val="73614AFD"/>
    <w:rsid w:val="73871CB9"/>
    <w:rsid w:val="73966C01"/>
    <w:rsid w:val="739A7D73"/>
    <w:rsid w:val="73B40E35"/>
    <w:rsid w:val="73C52E62"/>
    <w:rsid w:val="73DE5EB2"/>
    <w:rsid w:val="73E206D1"/>
    <w:rsid w:val="74070859"/>
    <w:rsid w:val="74147B26"/>
    <w:rsid w:val="742F4492"/>
    <w:rsid w:val="7448795E"/>
    <w:rsid w:val="745B39A7"/>
    <w:rsid w:val="7476433D"/>
    <w:rsid w:val="74847CF9"/>
    <w:rsid w:val="74AE1D28"/>
    <w:rsid w:val="74B65CE3"/>
    <w:rsid w:val="74B82BA7"/>
    <w:rsid w:val="74F43C3B"/>
    <w:rsid w:val="7500683C"/>
    <w:rsid w:val="750A689E"/>
    <w:rsid w:val="75193D64"/>
    <w:rsid w:val="753366D1"/>
    <w:rsid w:val="756E0DE3"/>
    <w:rsid w:val="75950996"/>
    <w:rsid w:val="759E1D9D"/>
    <w:rsid w:val="75C27F69"/>
    <w:rsid w:val="75C576CF"/>
    <w:rsid w:val="75E654F2"/>
    <w:rsid w:val="75FA6FB5"/>
    <w:rsid w:val="764F5ED8"/>
    <w:rsid w:val="7695576D"/>
    <w:rsid w:val="76A26B20"/>
    <w:rsid w:val="76A449F6"/>
    <w:rsid w:val="76CE02CA"/>
    <w:rsid w:val="76F47BFE"/>
    <w:rsid w:val="772306DB"/>
    <w:rsid w:val="772462D2"/>
    <w:rsid w:val="776B5BFB"/>
    <w:rsid w:val="77774E17"/>
    <w:rsid w:val="778379F0"/>
    <w:rsid w:val="77A13DC6"/>
    <w:rsid w:val="77D521F6"/>
    <w:rsid w:val="77EC7BC6"/>
    <w:rsid w:val="77ED4572"/>
    <w:rsid w:val="78061E7B"/>
    <w:rsid w:val="7809534A"/>
    <w:rsid w:val="78106ABA"/>
    <w:rsid w:val="78277BB9"/>
    <w:rsid w:val="78630F39"/>
    <w:rsid w:val="78BE2756"/>
    <w:rsid w:val="78EC72C3"/>
    <w:rsid w:val="78EE22AA"/>
    <w:rsid w:val="78F8515C"/>
    <w:rsid w:val="790D55A6"/>
    <w:rsid w:val="791719AE"/>
    <w:rsid w:val="7927128E"/>
    <w:rsid w:val="7934779F"/>
    <w:rsid w:val="79394242"/>
    <w:rsid w:val="793B65B5"/>
    <w:rsid w:val="798731E8"/>
    <w:rsid w:val="798C3B1E"/>
    <w:rsid w:val="79915775"/>
    <w:rsid w:val="79CC14F2"/>
    <w:rsid w:val="79E74BEA"/>
    <w:rsid w:val="7A0D129F"/>
    <w:rsid w:val="7A214D4A"/>
    <w:rsid w:val="7A992B33"/>
    <w:rsid w:val="7AB7628A"/>
    <w:rsid w:val="7AE72AE7"/>
    <w:rsid w:val="7AF26364"/>
    <w:rsid w:val="7B2C7E4B"/>
    <w:rsid w:val="7B445194"/>
    <w:rsid w:val="7B7C1976"/>
    <w:rsid w:val="7B8C4CA9"/>
    <w:rsid w:val="7BD5403F"/>
    <w:rsid w:val="7BE31D83"/>
    <w:rsid w:val="7C18237E"/>
    <w:rsid w:val="7C4A3020"/>
    <w:rsid w:val="7C846F67"/>
    <w:rsid w:val="7C9D05DC"/>
    <w:rsid w:val="7CA26617"/>
    <w:rsid w:val="7CCD4D16"/>
    <w:rsid w:val="7CE430A0"/>
    <w:rsid w:val="7D307D44"/>
    <w:rsid w:val="7D580A83"/>
    <w:rsid w:val="7D811406"/>
    <w:rsid w:val="7D910439"/>
    <w:rsid w:val="7D942287"/>
    <w:rsid w:val="7D9E67F9"/>
    <w:rsid w:val="7DC80377"/>
    <w:rsid w:val="7DDE228F"/>
    <w:rsid w:val="7DF764EE"/>
    <w:rsid w:val="7E1D1CCD"/>
    <w:rsid w:val="7E377AE7"/>
    <w:rsid w:val="7E425A22"/>
    <w:rsid w:val="7E83413E"/>
    <w:rsid w:val="7EA40534"/>
    <w:rsid w:val="7EA92C52"/>
    <w:rsid w:val="7EB55681"/>
    <w:rsid w:val="7EC34622"/>
    <w:rsid w:val="7F0709B3"/>
    <w:rsid w:val="7F075DA6"/>
    <w:rsid w:val="7F146189"/>
    <w:rsid w:val="7F25638B"/>
    <w:rsid w:val="7F7F7686"/>
    <w:rsid w:val="7FA27A6E"/>
    <w:rsid w:val="7FA67C19"/>
    <w:rsid w:val="7FBB79EF"/>
    <w:rsid w:val="7FD13ABD"/>
    <w:rsid w:val="7FD36AE7"/>
    <w:rsid w:val="7FD50AB1"/>
    <w:rsid w:val="7FF548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00"/>
      <w:sz w:val="24"/>
      <w:szCs w:val="21"/>
      <w:lang w:val="en-US" w:eastAsia="zh-CN" w:bidi="ar-SA"/>
    </w:rPr>
  </w:style>
  <w:style w:type="paragraph" w:styleId="2">
    <w:name w:val="heading 1"/>
    <w:basedOn w:val="1"/>
    <w:next w:val="1"/>
    <w:link w:val="3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2"/>
    <w:qFormat/>
    <w:uiPriority w:val="0"/>
    <w:pPr>
      <w:keepNext/>
      <w:keepLines/>
      <w:spacing w:line="415" w:lineRule="auto"/>
      <w:jc w:val="center"/>
      <w:outlineLvl w:val="1"/>
    </w:pPr>
    <w:rPr>
      <w:rFonts w:ascii="宋体"/>
      <w:b/>
      <w:bCs/>
      <w:color w:val="auto"/>
      <w:kern w:val="2"/>
      <w:sz w:val="28"/>
      <w:szCs w:val="28"/>
      <w:lang w:val="zh-CN"/>
    </w:rPr>
  </w:style>
  <w:style w:type="paragraph" w:styleId="4">
    <w:name w:val="heading 3"/>
    <w:basedOn w:val="1"/>
    <w:next w:val="1"/>
    <w:link w:val="33"/>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9"/>
    <w:pPr>
      <w:spacing w:beforeAutospacing="1" w:afterAutospacing="1"/>
      <w:jc w:val="left"/>
      <w:outlineLvl w:val="3"/>
    </w:pPr>
    <w:rPr>
      <w:rFonts w:hint="eastAsia" w:ascii="宋体" w:hAnsi="宋体"/>
      <w:b/>
      <w:bCs/>
      <w:szCs w:val="24"/>
    </w:rPr>
  </w:style>
  <w:style w:type="paragraph" w:styleId="6">
    <w:name w:val="heading 5"/>
    <w:basedOn w:val="1"/>
    <w:next w:val="1"/>
    <w:semiHidden/>
    <w:unhideWhenUsed/>
    <w:qFormat/>
    <w:uiPriority w:val="9"/>
    <w:pPr>
      <w:spacing w:beforeAutospacing="1" w:afterAutospacing="1"/>
      <w:jc w:val="left"/>
      <w:outlineLvl w:val="4"/>
    </w:pPr>
    <w:rPr>
      <w:rFonts w:hint="eastAsia" w:ascii="宋体" w:hAnsi="宋体"/>
      <w:b/>
      <w:bCs/>
      <w:sz w:val="20"/>
      <w:szCs w:val="20"/>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等线" w:hAnsi="等线" w:eastAsia="等线"/>
      <w:color w:val="auto"/>
      <w:kern w:val="2"/>
      <w:szCs w:val="22"/>
    </w:rPr>
  </w:style>
  <w:style w:type="paragraph" w:styleId="8">
    <w:name w:val="annotation text"/>
    <w:basedOn w:val="1"/>
    <w:link w:val="34"/>
    <w:unhideWhenUsed/>
    <w:qFormat/>
    <w:uiPriority w:val="0"/>
    <w:pPr>
      <w:jc w:val="left"/>
    </w:pPr>
  </w:style>
  <w:style w:type="paragraph" w:styleId="9">
    <w:name w:val="Body Text"/>
    <w:basedOn w:val="1"/>
    <w:link w:val="35"/>
    <w:qFormat/>
    <w:uiPriority w:val="1"/>
    <w:rPr>
      <w:rFonts w:eastAsia="Times New Roman"/>
      <w:sz w:val="25"/>
      <w:szCs w:val="25"/>
    </w:rPr>
  </w:style>
  <w:style w:type="paragraph" w:styleId="10">
    <w:name w:val="toc 5"/>
    <w:basedOn w:val="1"/>
    <w:next w:val="1"/>
    <w:unhideWhenUsed/>
    <w:qFormat/>
    <w:uiPriority w:val="39"/>
    <w:pPr>
      <w:ind w:left="1680" w:leftChars="800"/>
    </w:pPr>
    <w:rPr>
      <w:rFonts w:ascii="等线" w:hAnsi="等线" w:eastAsia="等线"/>
      <w:color w:val="auto"/>
      <w:kern w:val="2"/>
      <w:szCs w:val="22"/>
    </w:rPr>
  </w:style>
  <w:style w:type="paragraph" w:styleId="11">
    <w:name w:val="toc 3"/>
    <w:basedOn w:val="1"/>
    <w:next w:val="1"/>
    <w:unhideWhenUsed/>
    <w:qFormat/>
    <w:uiPriority w:val="39"/>
    <w:pPr>
      <w:ind w:left="840" w:leftChars="400"/>
    </w:pPr>
  </w:style>
  <w:style w:type="paragraph" w:styleId="12">
    <w:name w:val="toc 8"/>
    <w:basedOn w:val="1"/>
    <w:next w:val="1"/>
    <w:unhideWhenUsed/>
    <w:qFormat/>
    <w:uiPriority w:val="39"/>
    <w:pPr>
      <w:ind w:left="2940" w:leftChars="1400"/>
    </w:pPr>
    <w:rPr>
      <w:rFonts w:ascii="等线" w:hAnsi="等线" w:eastAsia="等线"/>
      <w:color w:val="auto"/>
      <w:kern w:val="2"/>
      <w:szCs w:val="22"/>
    </w:rPr>
  </w:style>
  <w:style w:type="paragraph" w:styleId="13">
    <w:name w:val="Date"/>
    <w:basedOn w:val="1"/>
    <w:next w:val="1"/>
    <w:link w:val="36"/>
    <w:unhideWhenUsed/>
    <w:qFormat/>
    <w:uiPriority w:val="99"/>
    <w:pPr>
      <w:ind w:left="100" w:leftChars="2500"/>
    </w:pPr>
  </w:style>
  <w:style w:type="paragraph" w:styleId="14">
    <w:name w:val="Balloon Text"/>
    <w:basedOn w:val="1"/>
    <w:link w:val="37"/>
    <w:unhideWhenUsed/>
    <w:qFormat/>
    <w:uiPriority w:val="99"/>
    <w:rPr>
      <w:sz w:val="18"/>
      <w:szCs w:val="18"/>
    </w:rPr>
  </w:style>
  <w:style w:type="paragraph" w:styleId="15">
    <w:name w:val="footer"/>
    <w:basedOn w:val="1"/>
    <w:link w:val="38"/>
    <w:unhideWhenUsed/>
    <w:qFormat/>
    <w:uiPriority w:val="99"/>
    <w:pPr>
      <w:tabs>
        <w:tab w:val="center" w:pos="4153"/>
        <w:tab w:val="right" w:pos="8306"/>
      </w:tabs>
      <w:snapToGrid w:val="0"/>
      <w:jc w:val="left"/>
    </w:pPr>
    <w:rPr>
      <w:rFonts w:ascii="等线" w:hAnsi="等线" w:eastAsia="等线"/>
      <w:color w:val="auto"/>
      <w:kern w:val="2"/>
      <w:sz w:val="18"/>
      <w:szCs w:val="18"/>
    </w:rPr>
  </w:style>
  <w:style w:type="paragraph" w:styleId="16">
    <w:name w:val="header"/>
    <w:basedOn w:val="1"/>
    <w:link w:val="39"/>
    <w:unhideWhenUsed/>
    <w:qFormat/>
    <w:uiPriority w:val="99"/>
    <w:pPr>
      <w:pBdr>
        <w:bottom w:val="single" w:color="auto" w:sz="6" w:space="1"/>
      </w:pBdr>
      <w:tabs>
        <w:tab w:val="center" w:pos="4153"/>
        <w:tab w:val="right" w:pos="8306"/>
      </w:tabs>
      <w:snapToGrid w:val="0"/>
      <w:jc w:val="center"/>
    </w:pPr>
    <w:rPr>
      <w:rFonts w:ascii="等线" w:hAnsi="等线" w:eastAsia="等线"/>
      <w:color w:val="auto"/>
      <w:kern w:val="2"/>
      <w:sz w:val="18"/>
      <w:szCs w:val="18"/>
    </w:rPr>
  </w:style>
  <w:style w:type="paragraph" w:styleId="17">
    <w:name w:val="toc 1"/>
    <w:basedOn w:val="1"/>
    <w:next w:val="1"/>
    <w:unhideWhenUsed/>
    <w:qFormat/>
    <w:uiPriority w:val="39"/>
    <w:pPr>
      <w:tabs>
        <w:tab w:val="right" w:leader="dot" w:pos="8296"/>
      </w:tabs>
      <w:spacing w:line="276" w:lineRule="auto"/>
    </w:pPr>
    <w:rPr>
      <w:rFonts w:ascii="宋体" w:hAnsi="宋体"/>
      <w:color w:val="auto"/>
    </w:rPr>
  </w:style>
  <w:style w:type="paragraph" w:styleId="18">
    <w:name w:val="toc 4"/>
    <w:basedOn w:val="1"/>
    <w:next w:val="1"/>
    <w:unhideWhenUsed/>
    <w:qFormat/>
    <w:uiPriority w:val="39"/>
    <w:pPr>
      <w:ind w:left="1260" w:leftChars="600"/>
    </w:pPr>
    <w:rPr>
      <w:rFonts w:ascii="等线" w:hAnsi="等线" w:eastAsia="等线"/>
      <w:color w:val="auto"/>
      <w:kern w:val="2"/>
      <w:szCs w:val="22"/>
    </w:rPr>
  </w:style>
  <w:style w:type="paragraph" w:styleId="19">
    <w:name w:val="toc 6"/>
    <w:basedOn w:val="1"/>
    <w:next w:val="1"/>
    <w:unhideWhenUsed/>
    <w:qFormat/>
    <w:uiPriority w:val="39"/>
    <w:pPr>
      <w:ind w:left="2100" w:leftChars="1000"/>
    </w:pPr>
    <w:rPr>
      <w:rFonts w:ascii="等线" w:hAnsi="等线" w:eastAsia="等线"/>
      <w:color w:val="auto"/>
      <w:kern w:val="2"/>
      <w:szCs w:val="22"/>
    </w:rPr>
  </w:style>
  <w:style w:type="paragraph" w:styleId="20">
    <w:name w:val="toc 2"/>
    <w:basedOn w:val="1"/>
    <w:next w:val="1"/>
    <w:unhideWhenUsed/>
    <w:qFormat/>
    <w:uiPriority w:val="39"/>
    <w:pPr>
      <w:tabs>
        <w:tab w:val="right" w:leader="dot" w:pos="8296"/>
      </w:tabs>
      <w:spacing w:line="276" w:lineRule="auto"/>
      <w:ind w:left="420" w:leftChars="200"/>
    </w:pPr>
  </w:style>
  <w:style w:type="paragraph" w:styleId="21">
    <w:name w:val="toc 9"/>
    <w:basedOn w:val="1"/>
    <w:next w:val="1"/>
    <w:unhideWhenUsed/>
    <w:qFormat/>
    <w:uiPriority w:val="39"/>
    <w:pPr>
      <w:ind w:left="3360" w:leftChars="1600"/>
    </w:pPr>
    <w:rPr>
      <w:rFonts w:ascii="等线" w:hAnsi="等线" w:eastAsia="等线"/>
      <w:color w:val="auto"/>
      <w:kern w:val="2"/>
      <w:szCs w:val="22"/>
    </w:rPr>
  </w:style>
  <w:style w:type="paragraph" w:styleId="22">
    <w:name w:val="Normal (Web)"/>
    <w:basedOn w:val="1"/>
    <w:qFormat/>
    <w:uiPriority w:val="99"/>
    <w:pPr>
      <w:spacing w:before="100" w:beforeAutospacing="1" w:after="100" w:afterAutospacing="1"/>
      <w:jc w:val="left"/>
    </w:pPr>
  </w:style>
  <w:style w:type="paragraph" w:styleId="23">
    <w:name w:val="annotation subject"/>
    <w:basedOn w:val="8"/>
    <w:next w:val="8"/>
    <w:link w:val="40"/>
    <w:unhideWhenUsed/>
    <w:qFormat/>
    <w:uiPriority w:val="99"/>
    <w:rPr>
      <w:b/>
      <w:bCs/>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FollowedHyperlink"/>
    <w:unhideWhenUsed/>
    <w:qFormat/>
    <w:uiPriority w:val="99"/>
    <w:rPr>
      <w:color w:val="954F72"/>
      <w:u w:val="single"/>
    </w:rPr>
  </w:style>
  <w:style w:type="character" w:styleId="29">
    <w:name w:val="Hyperlink"/>
    <w:unhideWhenUsed/>
    <w:qFormat/>
    <w:uiPriority w:val="99"/>
    <w:rPr>
      <w:color w:val="0000FF"/>
      <w:u w:val="single"/>
    </w:rPr>
  </w:style>
  <w:style w:type="character" w:styleId="30">
    <w:name w:val="annotation reference"/>
    <w:unhideWhenUsed/>
    <w:qFormat/>
    <w:uiPriority w:val="0"/>
    <w:rPr>
      <w:sz w:val="21"/>
      <w:szCs w:val="21"/>
    </w:rPr>
  </w:style>
  <w:style w:type="character" w:customStyle="1" w:styleId="31">
    <w:name w:val="标题 1 字符"/>
    <w:link w:val="2"/>
    <w:qFormat/>
    <w:uiPriority w:val="9"/>
    <w:rPr>
      <w:rFonts w:ascii="Times New Roman" w:hAnsi="Times New Roman" w:eastAsia="宋体" w:cs="Times New Roman"/>
      <w:b/>
      <w:bCs/>
      <w:color w:val="0000FF"/>
      <w:kern w:val="44"/>
      <w:sz w:val="44"/>
      <w:szCs w:val="44"/>
    </w:rPr>
  </w:style>
  <w:style w:type="character" w:customStyle="1" w:styleId="32">
    <w:name w:val="标题 2 字符1"/>
    <w:link w:val="3"/>
    <w:qFormat/>
    <w:uiPriority w:val="0"/>
    <w:rPr>
      <w:rFonts w:ascii="宋体" w:hAnsi="Times New Roman" w:eastAsia="宋体" w:cs="Times New Roman"/>
      <w:b/>
      <w:bCs/>
      <w:kern w:val="2"/>
      <w:sz w:val="28"/>
      <w:szCs w:val="28"/>
      <w:lang w:val="zh-CN" w:eastAsia="zh-CN"/>
    </w:rPr>
  </w:style>
  <w:style w:type="character" w:customStyle="1" w:styleId="33">
    <w:name w:val="标题 3 字符"/>
    <w:link w:val="4"/>
    <w:qFormat/>
    <w:uiPriority w:val="9"/>
    <w:rPr>
      <w:rFonts w:ascii="Times New Roman" w:hAnsi="Times New Roman" w:eastAsia="宋体" w:cs="Times New Roman"/>
      <w:b/>
      <w:bCs/>
      <w:color w:val="0000FF"/>
      <w:sz w:val="32"/>
      <w:szCs w:val="32"/>
    </w:rPr>
  </w:style>
  <w:style w:type="character" w:customStyle="1" w:styleId="34">
    <w:name w:val="批注文字 字符"/>
    <w:link w:val="8"/>
    <w:qFormat/>
    <w:uiPriority w:val="0"/>
    <w:rPr>
      <w:rFonts w:ascii="Times New Roman" w:hAnsi="Times New Roman" w:eastAsia="宋体" w:cs="Times New Roman"/>
      <w:color w:val="0000FF"/>
      <w:sz w:val="21"/>
      <w:szCs w:val="21"/>
    </w:rPr>
  </w:style>
  <w:style w:type="character" w:customStyle="1" w:styleId="35">
    <w:name w:val="正文文本 字符"/>
    <w:link w:val="9"/>
    <w:qFormat/>
    <w:uiPriority w:val="1"/>
    <w:rPr>
      <w:rFonts w:ascii="Times New Roman" w:hAnsi="Times New Roman" w:eastAsia="Times New Roman" w:cs="Times New Roman"/>
      <w:color w:val="0000FF"/>
      <w:sz w:val="25"/>
      <w:szCs w:val="25"/>
    </w:rPr>
  </w:style>
  <w:style w:type="character" w:customStyle="1" w:styleId="36">
    <w:name w:val="日期 字符"/>
    <w:link w:val="13"/>
    <w:semiHidden/>
    <w:qFormat/>
    <w:uiPriority w:val="99"/>
    <w:rPr>
      <w:rFonts w:ascii="Times New Roman" w:hAnsi="Times New Roman" w:eastAsia="宋体" w:cs="Times New Roman"/>
      <w:color w:val="0000FF"/>
      <w:sz w:val="21"/>
      <w:szCs w:val="21"/>
    </w:rPr>
  </w:style>
  <w:style w:type="character" w:customStyle="1" w:styleId="37">
    <w:name w:val="批注框文本 字符"/>
    <w:link w:val="14"/>
    <w:semiHidden/>
    <w:qFormat/>
    <w:uiPriority w:val="99"/>
    <w:rPr>
      <w:rFonts w:ascii="Times New Roman" w:hAnsi="Times New Roman" w:eastAsia="宋体" w:cs="Times New Roman"/>
      <w:color w:val="0000FF"/>
      <w:sz w:val="18"/>
      <w:szCs w:val="18"/>
    </w:rPr>
  </w:style>
  <w:style w:type="character" w:customStyle="1" w:styleId="38">
    <w:name w:val="页脚 字符"/>
    <w:link w:val="15"/>
    <w:qFormat/>
    <w:uiPriority w:val="99"/>
    <w:rPr>
      <w:sz w:val="18"/>
      <w:szCs w:val="18"/>
    </w:rPr>
  </w:style>
  <w:style w:type="character" w:customStyle="1" w:styleId="39">
    <w:name w:val="页眉 字符"/>
    <w:link w:val="16"/>
    <w:qFormat/>
    <w:uiPriority w:val="99"/>
    <w:rPr>
      <w:sz w:val="18"/>
      <w:szCs w:val="18"/>
    </w:rPr>
  </w:style>
  <w:style w:type="character" w:customStyle="1" w:styleId="40">
    <w:name w:val="批注主题 字符"/>
    <w:link w:val="23"/>
    <w:semiHidden/>
    <w:qFormat/>
    <w:uiPriority w:val="99"/>
    <w:rPr>
      <w:rFonts w:ascii="Times New Roman" w:hAnsi="Times New Roman" w:eastAsia="宋体" w:cs="Times New Roman"/>
      <w:b/>
      <w:bCs/>
      <w:color w:val="0000FF"/>
      <w:sz w:val="21"/>
      <w:szCs w:val="21"/>
    </w:rPr>
  </w:style>
  <w:style w:type="paragraph" w:styleId="41">
    <w:name w:val="List Paragraph"/>
    <w:basedOn w:val="1"/>
    <w:qFormat/>
    <w:uiPriority w:val="34"/>
    <w:pPr>
      <w:ind w:firstLine="420" w:firstLineChars="200"/>
    </w:pPr>
  </w:style>
  <w:style w:type="paragraph" w:customStyle="1" w:styleId="4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43">
    <w:name w:val="标题 2 字符"/>
    <w:semiHidden/>
    <w:qFormat/>
    <w:uiPriority w:val="9"/>
    <w:rPr>
      <w:rFonts w:ascii="等线 Light" w:hAnsi="等线 Light" w:eastAsia="等线 Light" w:cs="Times New Roman"/>
      <w:b/>
      <w:bCs/>
      <w:color w:val="0000FF"/>
      <w:sz w:val="32"/>
      <w:szCs w:val="32"/>
    </w:rPr>
  </w:style>
  <w:style w:type="character" w:styleId="44">
    <w:name w:val="Placeholder Text"/>
    <w:semiHidden/>
    <w:qFormat/>
    <w:uiPriority w:val="99"/>
    <w:rPr>
      <w:color w:val="808080"/>
    </w:rPr>
  </w:style>
  <w:style w:type="character" w:customStyle="1" w:styleId="45">
    <w:name w:val="ss2"/>
    <w:qFormat/>
    <w:uiPriority w:val="0"/>
  </w:style>
  <w:style w:type="paragraph" w:customStyle="1" w:styleId="46">
    <w:name w:val="TOC 标题1"/>
    <w:basedOn w:val="2"/>
    <w:next w:val="1"/>
    <w:unhideWhenUsed/>
    <w:qFormat/>
    <w:uiPriority w:val="39"/>
    <w:pPr>
      <w:outlineLvl w:val="9"/>
    </w:pPr>
  </w:style>
  <w:style w:type="paragraph" w:customStyle="1" w:styleId="47">
    <w:name w:val="修订1"/>
    <w:semiHidden/>
    <w:qFormat/>
    <w:uiPriority w:val="99"/>
    <w:rPr>
      <w:rFonts w:ascii="Times New Roman" w:hAnsi="Times New Roman" w:eastAsia="宋体" w:cs="Times New Roman"/>
      <w:color w:val="0000FF"/>
      <w:sz w:val="21"/>
      <w:szCs w:val="21"/>
      <w:lang w:val="en-US" w:eastAsia="zh-CN" w:bidi="ar-SA"/>
    </w:rPr>
  </w:style>
  <w:style w:type="paragraph" w:customStyle="1" w:styleId="48">
    <w:name w:val="一级无"/>
    <w:basedOn w:val="49"/>
    <w:qFormat/>
    <w:uiPriority w:val="0"/>
    <w:pPr>
      <w:spacing w:beforeLines="0" w:afterLines="0"/>
    </w:pPr>
    <w:rPr>
      <w:rFonts w:ascii="宋体" w:eastAsia="宋体"/>
    </w:rPr>
  </w:style>
  <w:style w:type="paragraph" w:customStyle="1" w:styleId="49">
    <w:name w:val="一级条标题"/>
    <w:next w:val="50"/>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5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51">
    <w:name w:val="ordinary-span-edit2"/>
    <w:qFormat/>
    <w:uiPriority w:val="0"/>
  </w:style>
  <w:style w:type="paragraph" w:customStyle="1" w:styleId="5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54">
    <w:name w:val="WPSOffice手动目录 1"/>
    <w:qFormat/>
    <w:uiPriority w:val="0"/>
    <w:rPr>
      <w:rFonts w:ascii="Times New Roman" w:hAnsi="Times New Roman" w:eastAsia="宋体" w:cs="Times New Roman"/>
      <w:lang w:val="en-US" w:eastAsia="zh-CN" w:bidi="ar-SA"/>
    </w:rPr>
  </w:style>
  <w:style w:type="paragraph" w:customStyle="1" w:styleId="5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5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7">
    <w:name w:val="修订2"/>
    <w:semiHidden/>
    <w:qFormat/>
    <w:uiPriority w:val="99"/>
    <w:rPr>
      <w:rFonts w:ascii="Times New Roman" w:hAnsi="Times New Roman" w:eastAsia="宋体" w:cs="Times New Roman"/>
      <w:color w:val="0000FF"/>
      <w:sz w:val="21"/>
      <w:szCs w:val="21"/>
      <w:lang w:val="en-US" w:eastAsia="zh-CN" w:bidi="ar-SA"/>
    </w:rPr>
  </w:style>
  <w:style w:type="character" w:customStyle="1" w:styleId="58">
    <w:name w:val="未处理的提及1"/>
    <w:unhideWhenUsed/>
    <w:qFormat/>
    <w:uiPriority w:val="99"/>
    <w:rPr>
      <w:color w:val="605E5C"/>
      <w:shd w:val="clear" w:color="auto" w:fill="E1DFDD"/>
    </w:rPr>
  </w:style>
  <w:style w:type="paragraph" w:customStyle="1" w:styleId="59">
    <w:name w:val="_Style 56"/>
    <w:unhideWhenUsed/>
    <w:qFormat/>
    <w:uiPriority w:val="99"/>
    <w:rPr>
      <w:rFonts w:ascii="Times New Roman" w:hAnsi="Times New Roman" w:eastAsia="宋体" w:cs="Times New Roman"/>
      <w:color w:val="0000FF"/>
      <w:sz w:val="21"/>
      <w:szCs w:val="21"/>
      <w:lang w:val="en-US" w:eastAsia="zh-CN" w:bidi="ar-SA"/>
    </w:rPr>
  </w:style>
  <w:style w:type="paragraph" w:customStyle="1" w:styleId="60">
    <w:name w:val="_Style 66"/>
    <w:basedOn w:val="1"/>
    <w:next w:val="41"/>
    <w:qFormat/>
    <w:uiPriority w:val="34"/>
    <w:pPr>
      <w:spacing w:line="360" w:lineRule="auto"/>
      <w:ind w:firstLine="420" w:firstLineChars="200"/>
    </w:pPr>
    <w:rPr>
      <w:rFonts w:ascii="Calibri" w:hAnsi="Calibri" w:eastAsia="黑体"/>
      <w:color w:val="auto"/>
      <w:kern w:val="2"/>
      <w:szCs w:val="22"/>
    </w:rPr>
  </w:style>
  <w:style w:type="paragraph" w:customStyle="1" w:styleId="61">
    <w:name w:val="附录表标号"/>
    <w:basedOn w:val="1"/>
    <w:next w:val="50"/>
    <w:qFormat/>
    <w:uiPriority w:val="0"/>
    <w:pPr>
      <w:numPr>
        <w:ilvl w:val="0"/>
        <w:numId w:val="2"/>
      </w:numPr>
      <w:tabs>
        <w:tab w:val="clear" w:pos="0"/>
      </w:tabs>
      <w:spacing w:line="14" w:lineRule="exact"/>
      <w:ind w:left="811" w:hanging="448" w:firstLineChars="200"/>
      <w:jc w:val="center"/>
      <w:outlineLvl w:val="0"/>
    </w:pPr>
    <w:rPr>
      <w:rFonts w:ascii="Calibri" w:hAnsi="Calibri" w:eastAsia="黑体"/>
      <w:color w:val="FFFFFF"/>
      <w:kern w:val="2"/>
      <w:szCs w:val="24"/>
    </w:rPr>
  </w:style>
  <w:style w:type="paragraph" w:customStyle="1" w:styleId="62">
    <w:name w:val="附录表标题"/>
    <w:basedOn w:val="1"/>
    <w:next w:val="50"/>
    <w:qFormat/>
    <w:uiPriority w:val="0"/>
    <w:pPr>
      <w:numPr>
        <w:ilvl w:val="1"/>
        <w:numId w:val="2"/>
      </w:numPr>
      <w:tabs>
        <w:tab w:val="left" w:pos="0"/>
      </w:tabs>
      <w:spacing w:beforeLines="50" w:afterLines="50" w:line="360" w:lineRule="auto"/>
      <w:jc w:val="center"/>
    </w:pPr>
    <w:rPr>
      <w:rFonts w:ascii="黑体" w:hAnsi="Calibri" w:eastAsia="黑体"/>
      <w:color w:val="auto"/>
      <w:kern w:val="2"/>
    </w:rPr>
  </w:style>
  <w:style w:type="paragraph" w:customStyle="1" w:styleId="63">
    <w:name w:val="附录标识"/>
    <w:basedOn w:val="1"/>
    <w:next w:val="50"/>
    <w:qFormat/>
    <w:uiPriority w:val="0"/>
    <w:pPr>
      <w:keepNext/>
      <w:widowControl/>
      <w:shd w:val="clear" w:color="FFFFFF" w:fill="FFFFFF"/>
      <w:tabs>
        <w:tab w:val="left" w:pos="360"/>
        <w:tab w:val="left" w:pos="6405"/>
      </w:tabs>
      <w:spacing w:before="640" w:after="280"/>
      <w:jc w:val="center"/>
      <w:outlineLvl w:val="0"/>
    </w:pPr>
    <w:rPr>
      <w:rFonts w:ascii="黑体" w:eastAsia="黑体"/>
      <w:color w:val="auto"/>
      <w:szCs w:val="20"/>
    </w:rPr>
  </w:style>
  <w:style w:type="paragraph" w:customStyle="1" w:styleId="64">
    <w:name w:val="表格文字"/>
    <w:basedOn w:val="1"/>
    <w:qFormat/>
    <w:uiPriority w:val="0"/>
    <w:pPr>
      <w:overflowPunct w:val="0"/>
      <w:autoSpaceDE w:val="0"/>
      <w:autoSpaceDN w:val="0"/>
      <w:adjustRightInd w:val="0"/>
      <w:jc w:val="center"/>
      <w:textAlignment w:val="center"/>
    </w:pPr>
    <w:rPr>
      <w:snapToGrid w:val="0"/>
      <w:color w:val="auto"/>
      <w:szCs w:val="24"/>
    </w:rPr>
  </w:style>
  <w:style w:type="character" w:customStyle="1" w:styleId="65">
    <w:name w:val="_Style 62"/>
    <w:unhideWhenUsed/>
    <w:qFormat/>
    <w:uiPriority w:val="99"/>
    <w:rPr>
      <w:color w:val="605E5C"/>
      <w:shd w:val="clear" w:color="auto" w:fill="E1DFDD"/>
    </w:rPr>
  </w:style>
  <w:style w:type="paragraph" w:customStyle="1" w:styleId="66">
    <w:name w:val="修订3"/>
    <w:hidden/>
    <w:unhideWhenUsed/>
    <w:qFormat/>
    <w:uiPriority w:val="99"/>
    <w:rPr>
      <w:rFonts w:ascii="Times New Roman" w:hAnsi="Times New Roman" w:eastAsia="宋体" w:cs="Times New Roman"/>
      <w:color w:val="000000"/>
      <w:sz w:val="24"/>
      <w:szCs w:val="21"/>
      <w:lang w:val="en-US" w:eastAsia="zh-CN" w:bidi="ar-SA"/>
    </w:rPr>
  </w:style>
  <w:style w:type="paragraph" w:customStyle="1" w:styleId="67">
    <w:name w:val="修订4"/>
    <w:hidden/>
    <w:unhideWhenUsed/>
    <w:qFormat/>
    <w:uiPriority w:val="99"/>
    <w:rPr>
      <w:rFonts w:ascii="Times New Roman" w:hAnsi="Times New Roman" w:eastAsia="宋体" w:cs="Times New Roman"/>
      <w:color w:val="000000"/>
      <w:sz w:val="24"/>
      <w:szCs w:val="21"/>
      <w:lang w:val="en-US" w:eastAsia="zh-CN" w:bidi="ar-SA"/>
    </w:rPr>
  </w:style>
  <w:style w:type="paragraph" w:customStyle="1" w:styleId="68">
    <w:name w:val="修订5"/>
    <w:hidden/>
    <w:unhideWhenUsed/>
    <w:qFormat/>
    <w:uiPriority w:val="99"/>
    <w:rPr>
      <w:rFonts w:ascii="Times New Roman" w:hAnsi="Times New Roman" w:eastAsia="宋体" w:cs="Times New Roman"/>
      <w:color w:val="000000"/>
      <w:sz w:val="24"/>
      <w:szCs w:val="21"/>
      <w:lang w:val="en-US" w:eastAsia="zh-CN" w:bidi="ar-SA"/>
    </w:rPr>
  </w:style>
  <w:style w:type="paragraph" w:customStyle="1" w:styleId="69">
    <w:name w:val="修订6"/>
    <w:hidden/>
    <w:unhideWhenUsed/>
    <w:qFormat/>
    <w:uiPriority w:val="99"/>
    <w:rPr>
      <w:rFonts w:ascii="Times New Roman" w:hAnsi="Times New Roman" w:eastAsia="宋体" w:cs="Times New Roman"/>
      <w:color w:val="000000"/>
      <w:sz w:val="24"/>
      <w:szCs w:val="21"/>
      <w:lang w:val="en-US" w:eastAsia="zh-CN" w:bidi="ar-SA"/>
    </w:rPr>
  </w:style>
  <w:style w:type="paragraph" w:customStyle="1" w:styleId="70">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71">
    <w:name w:val="未处理的提及2"/>
    <w:basedOn w:val="26"/>
    <w:semiHidden/>
    <w:unhideWhenUsed/>
    <w:qFormat/>
    <w:uiPriority w:val="99"/>
    <w:rPr>
      <w:color w:val="605E5C"/>
      <w:shd w:val="clear" w:color="auto" w:fill="E1DFDD"/>
    </w:rPr>
  </w:style>
  <w:style w:type="paragraph" w:customStyle="1" w:styleId="72">
    <w:name w:val="修订7"/>
    <w:hidden/>
    <w:unhideWhenUsed/>
    <w:qFormat/>
    <w:uiPriority w:val="99"/>
    <w:rPr>
      <w:rFonts w:ascii="Times New Roman" w:hAnsi="Times New Roman" w:eastAsia="宋体" w:cs="Times New Roman"/>
      <w:color w:val="000000"/>
      <w:sz w:val="24"/>
      <w:szCs w:val="21"/>
      <w:lang w:val="en-US" w:eastAsia="zh-CN" w:bidi="ar-SA"/>
    </w:rPr>
  </w:style>
  <w:style w:type="paragraph" w:customStyle="1" w:styleId="73">
    <w:name w:val="修订8"/>
    <w:hidden/>
    <w:unhideWhenUsed/>
    <w:qFormat/>
    <w:uiPriority w:val="99"/>
    <w:rPr>
      <w:rFonts w:ascii="Times New Roman" w:hAnsi="Times New Roman" w:eastAsia="宋体" w:cs="Times New Roman"/>
      <w:color w:val="000000"/>
      <w:sz w:val="24"/>
      <w:szCs w:val="21"/>
      <w:lang w:val="en-US" w:eastAsia="zh-CN" w:bidi="ar-SA"/>
    </w:rPr>
  </w:style>
  <w:style w:type="paragraph" w:customStyle="1" w:styleId="74">
    <w:name w:val="修订9"/>
    <w:hidden/>
    <w:unhideWhenUsed/>
    <w:qFormat/>
    <w:uiPriority w:val="99"/>
    <w:rPr>
      <w:rFonts w:ascii="Times New Roman" w:hAnsi="Times New Roman" w:eastAsia="宋体" w:cs="Times New Roman"/>
      <w:color w:val="000000"/>
      <w:sz w:val="24"/>
      <w:szCs w:val="21"/>
      <w:lang w:val="en-US" w:eastAsia="zh-CN" w:bidi="ar-SA"/>
    </w:rPr>
  </w:style>
  <w:style w:type="character" w:customStyle="1" w:styleId="75">
    <w:name w:val="段 字符"/>
    <w:qFormat/>
    <w:uiPriority w:val="0"/>
    <w:rPr>
      <w:rFonts w:ascii="Times New Roman" w:hAnsi="Times New Roman" w:eastAsia="宋体" w:cs="Calibri"/>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9680962-4F5D-4F18-B38F-0E37A33287C1}">
  <ds:schemaRefs/>
</ds:datastoreItem>
</file>

<file path=docProps/app.xml><?xml version="1.0" encoding="utf-8"?>
<Properties xmlns="http://schemas.openxmlformats.org/officeDocument/2006/extended-properties" xmlns:vt="http://schemas.openxmlformats.org/officeDocument/2006/docPropsVTypes">
  <Template>Normal</Template>
  <Pages>18</Pages>
  <Words>1726</Words>
  <Characters>2742</Characters>
  <Lines>423</Lines>
  <Paragraphs>370</Paragraphs>
  <TotalTime>0</TotalTime>
  <ScaleCrop>false</ScaleCrop>
  <LinksUpToDate>false</LinksUpToDate>
  <CharactersWithSpaces>2944</CharactersWithSpaces>
  <Application>WPS Office_12.8.2.20324_F1E327BC-269C-435d-A152-05C5408002CA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2024-06-06T05:40:00Z</dcterms:created>
  <dc:creator>lenovo lenovo</dc:creator>
  <cp:lastModifiedBy>zhouyongyun</cp:lastModifiedBy>
  <cp:lastPrinted>2025-06-23T02:50:00Z</cp:lastPrinted>
  <dcterms:modified xsi:type="dcterms:W3CDTF">2026-01-30T01:37:35Z</dcterms:modified>
  <cp:revision>793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2052-12.8.2.20324</vt:lpwstr>
  </property>
  <property fmtid="{D5CDD505-2E9C-101B-9397-08002B2CF9AE}" pid="3" name="ICV">
    <vt:lpwstr>46198D2EC4AE44BD87A7CB9692FFB068_13</vt:lpwstr>
  </property>
  <property fmtid="{D5CDD505-2E9C-101B-9397-08002B2CF9AE}" pid="4" name="KSOTemplateDocerSaveRecord">
    <vt:lpwstr>eyJoZGlkIjoiYjllYWY3MjE5YzJmYWM0MWMyZWMxMjg0YmE0MWU2ZWQiLCJ1c2VySWQiOiI0MzgwMTY3NTEifQ==</vt:lpwstr>
  </property>
</Properties>
</file>