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A9FF3">
      <w:pPr>
        <w:rPr>
          <w:b/>
          <w:bCs/>
          <w:color w:val="auto"/>
          <w:sz w:val="52"/>
          <w:szCs w:val="84"/>
        </w:rPr>
      </w:pPr>
      <w:bookmarkStart w:id="0" w:name="OLE_LINK1"/>
      <w:r>
        <w:rPr>
          <w:lang/>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4605" b="8890"/>
            <wp:wrapNone/>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7"/>
                    <a:stretch>
                      <a:fillRect/>
                    </a:stretch>
                  </pic:blipFill>
                  <pic:spPr>
                    <a:xfrm>
                      <a:off x="0" y="0"/>
                      <a:ext cx="1737995" cy="1149350"/>
                    </a:xfrm>
                    <a:prstGeom prst="rect">
                      <a:avLst/>
                    </a:prstGeom>
                    <a:noFill/>
                    <a:ln>
                      <a:noFill/>
                    </a:ln>
                  </pic:spPr>
                </pic:pic>
              </a:graphicData>
            </a:graphic>
          </wp:anchor>
        </w:drawing>
      </w:r>
    </w:p>
    <w:p w14:paraId="3964CAD0">
      <w:pPr>
        <w:rPr>
          <w:b/>
          <w:bCs/>
          <w:color w:val="auto"/>
          <w:sz w:val="52"/>
          <w:szCs w:val="84"/>
        </w:rPr>
      </w:pPr>
    </w:p>
    <w:p w14:paraId="256EC870">
      <w:pPr>
        <w:jc w:val="right"/>
        <w:rPr>
          <w:color w:val="auto"/>
          <w:sz w:val="32"/>
          <w:szCs w:val="32"/>
        </w:rPr>
      </w:pPr>
      <w:r>
        <w:rPr>
          <w:b/>
          <w:bCs/>
          <w:color w:val="auto"/>
          <w:sz w:val="36"/>
          <w:szCs w:val="36"/>
        </w:rPr>
        <w:t xml:space="preserve">T/CECS </w:t>
      </w:r>
      <w:r>
        <w:rPr>
          <w:color w:val="auto"/>
          <w:sz w:val="36"/>
          <w:szCs w:val="36"/>
        </w:rPr>
        <w:t>XXX- 202X</w:t>
      </w:r>
    </w:p>
    <w:p w14:paraId="3479ACA0">
      <w:pPr>
        <w:jc w:val="center"/>
        <w:rPr>
          <w:color w:val="auto"/>
          <w:szCs w:val="32"/>
        </w:rPr>
      </w:pPr>
      <w:r>
        <w:rPr>
          <w:lang/>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9525" r="3175" b="13335"/>
                <wp:wrapNone/>
                <wp:docPr id="2" name="直接连接符 6"/>
                <wp:cNvGraphicFramePr/>
                <a:graphic xmlns:a="http://schemas.openxmlformats.org/drawingml/2006/main">
                  <a:graphicData uri="http://schemas.microsoft.com/office/word/2010/wordprocessingShape">
                    <wps:wsp>
                      <wps:cNvSpPr/>
                      <wps:spPr>
                        <a:xfrm>
                          <a:off x="0" y="0"/>
                          <a:ext cx="5422265" cy="0"/>
                        </a:xfrm>
                        <a:prstGeom prst="line">
                          <a:avLst/>
                        </a:prstGeom>
                        <a:ln w="19050" cap="flat" cmpd="sng">
                          <a:solidFill>
                            <a:srgbClr val="000000"/>
                          </a:solidFill>
                          <a:prstDash val="solid"/>
                          <a:miter/>
                          <a:headEnd type="none" w="med" len="med"/>
                          <a:tailEnd type="none" w="med" len="med"/>
                        </a:ln>
                      </wps:spPr>
                      <wps:bodyPr upright="1"/>
                    </wps:wsp>
                  </a:graphicData>
                </a:graphic>
              </wp:anchor>
            </w:drawing>
          </mc:Choice>
          <mc:Fallback>
            <w:pict>
              <v:line id="直接连接符 6" o:spid="_x0000_s1026" o:spt="20" style="position:absolute;left:0pt;margin-left:0.15pt;margin-top:9.5pt;height:0pt;width:426.95pt;z-index:251660288;mso-width-relative:page;mso-height-relative:page;" filled="f" stroked="t" insetpen="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pYSwAEAAHYDAAAOAAAAZHJzL2Uyb0RvYy54bWysU8tu2zAQvBfoPxC811SEOkgFyznESC9B&#10;GyDpB2woUiLKF7isJf99l/SjbnsrqgOx5HJnZ5ajzf3iLNurhCb4nt+sGs6Ul2Ewfuz5t9fHD3ec&#10;YQY/gA1e9fygkN9v37/bzLFTbZiCHVRiBOKxm2PPp5xjJwTKSTnAVYjKU1KH5CDTNo1iSDATurOi&#10;bZpbMYc0xBSkQqTT3THJtxVfayXzV61RZWZ7TtxyXVNd38oqthvoxgRxMvJEA/6BhQPjqekFagcZ&#10;2I9k/oJyRqaAQeeVDE4ErY1UVQOpuWn+UPMyQVRVCw0H42VM+P9g5Zf9g39Ohbpc/Et8CvI70lDE&#10;HLG7JMsG4/HaopMr14k7W+ogD5dBqiUzSYfrj23b3q45k+ecgO5cGBPmzyo4VoKeW+OLRuhg/4S5&#10;tIbufKUc+/BorK3vZD2byWSfmjU9pQSyi7aQKXRx6Dn6kTOwI/lQ5lQhMVgzlPIChAd8sIntgaxA&#10;DhrC/Ep8ObOAmRIkon7FEkTht9LCZwc4HYtr6ugcZzLZ1xrX87vrautLR1UNeFL1a4YlegvD4Tmd&#10;B02PW5uejFjcc72n+Pp32f4EAAD//wMAUEsDBBQABgAIAAAAIQCedy+I2wAAAAYBAAAPAAAAZHJz&#10;L2Rvd25yZXYueG1sTI9BS8RADIXvgv9hiODNnbrWZbd2uqiwCB4EVwWPaSe21U6mdKbd6q834kGP&#10;ee/l5Uu+nV2nJhpC69nA+SIBRVx523Jt4Plpd7YGFSKyxc4zGfikANvi+CjHzPoDP9K0j7WSEg4Z&#10;Gmhi7DOtQ9WQw7DwPbF4b35wGGUcam0HPEi56/QySVbaYctyocGebhuqPvajEwz3tbtrbzbzg36n&#10;+9X0kr6OZWrM6cl8fQUq0hz/wvCDLztQCFPpR7ZBdQYuJCfqRh4Sd32ZLkGVv4Iucv0fv/gGAAD/&#10;/wMAUEsBAi0AFAAGAAgAAAAhALaDOJL+AAAA4QEAABMAAAAAAAAAAAAAAAAAAAAAAFtDb250ZW50&#10;X1R5cGVzXS54bWxQSwECLQAUAAYACAAAACEAOP0h/9YAAACUAQAACwAAAAAAAAAAAAAAAAAvAQAA&#10;X3JlbHMvLnJlbHNQSwECLQAUAAYACAAAACEAJeqWEsABAAB2AwAADgAAAAAAAAAAAAAAAAAuAgAA&#10;ZHJzL2Uyb0RvYy54bWxQSwECLQAUAAYACAAAACEAnncviNsAAAAGAQAADwAAAAAAAAAAAAAAAAAa&#10;BAAAZHJzL2Rvd25yZXYueG1sUEsFBgAAAAAEAAQA8wAAACIFAAAAAA==&#10;">
                <v:fill on="f" focussize="0,0"/>
                <v:stroke weight="1.5pt" color="#000000" joinstyle="miter"/>
                <v:imagedata o:title=""/>
                <o:lock v:ext="edit" aspectratio="f"/>
              </v:line>
            </w:pict>
          </mc:Fallback>
        </mc:AlternateContent>
      </w:r>
    </w:p>
    <w:p w14:paraId="4731E31B">
      <w:pPr>
        <w:widowControl/>
        <w:tabs>
          <w:tab w:val="left" w:pos="3510"/>
        </w:tabs>
        <w:jc w:val="left"/>
        <w:rPr>
          <w:rFonts w:hint="eastAsia" w:ascii="宋体" w:hAnsi="宋体"/>
          <w:color w:val="auto"/>
        </w:rPr>
      </w:pPr>
    </w:p>
    <w:p w14:paraId="2A16F635">
      <w:pPr>
        <w:rPr>
          <w:color w:val="auto"/>
        </w:rPr>
      </w:pPr>
    </w:p>
    <w:p w14:paraId="488867C2">
      <w:pPr>
        <w:spacing w:line="360" w:lineRule="auto"/>
        <w:ind w:firstLine="560" w:firstLineChars="200"/>
        <w:jc w:val="center"/>
        <w:rPr>
          <w:b/>
          <w:bCs/>
          <w:color w:val="auto"/>
          <w:sz w:val="44"/>
          <w:szCs w:val="23"/>
        </w:rPr>
      </w:pPr>
      <w:r>
        <w:rPr>
          <w:color w:val="auto"/>
          <w:sz w:val="28"/>
        </w:rPr>
        <w:t>中国工程建设标准化协会标准</w:t>
      </w:r>
    </w:p>
    <w:p w14:paraId="688FEF2D">
      <w:pPr>
        <w:ind w:right="-42" w:rightChars="-20"/>
        <w:jc w:val="center"/>
        <w:rPr>
          <w:b/>
          <w:color w:val="auto"/>
          <w:sz w:val="28"/>
          <w:szCs w:val="44"/>
        </w:rPr>
      </w:pPr>
    </w:p>
    <w:p w14:paraId="5060981E">
      <w:pPr>
        <w:ind w:right="-42" w:rightChars="-20"/>
        <w:jc w:val="center"/>
        <w:rPr>
          <w:b/>
          <w:color w:val="auto"/>
          <w:sz w:val="28"/>
          <w:szCs w:val="44"/>
        </w:rPr>
      </w:pPr>
    </w:p>
    <w:p w14:paraId="1350B4EA">
      <w:pPr>
        <w:pStyle w:val="42"/>
        <w:ind w:left="0" w:leftChars="0"/>
      </w:pPr>
      <w:bookmarkStart w:id="1" w:name="OLE_LINK4"/>
      <w:r>
        <w:rPr>
          <w:rFonts w:hint="eastAsia"/>
        </w:rPr>
        <w:t>零碳城市轨道交通车辆基地设计标准</w:t>
      </w:r>
    </w:p>
    <w:p w14:paraId="1CFD1BD4">
      <w:pPr>
        <w:pStyle w:val="42"/>
        <w:ind w:left="0" w:leftChars="0"/>
        <w:rPr>
          <w:rFonts w:eastAsia="宋体"/>
          <w:sz w:val="28"/>
          <w:szCs w:val="28"/>
        </w:rPr>
      </w:pPr>
      <w:r>
        <w:rPr>
          <w:rFonts w:eastAsia="宋体"/>
          <w:sz w:val="28"/>
          <w:szCs w:val="28"/>
        </w:rPr>
        <w:t>Design Standard for Zero-Carbon Urban Rail Transit Vehicle Bases</w:t>
      </w:r>
    </w:p>
    <w:bookmarkEnd w:id="1"/>
    <w:p w14:paraId="7E14DB7A">
      <w:pPr>
        <w:pStyle w:val="42"/>
        <w:rPr>
          <w:rFonts w:hint="eastAsia" w:ascii="宋体" w:hAnsi="宋体" w:eastAsia="宋体"/>
          <w:sz w:val="32"/>
          <w:szCs w:val="32"/>
        </w:rPr>
      </w:pPr>
      <w:r>
        <w:rPr>
          <w:rFonts w:hint="eastAsia" w:ascii="宋体" w:hAnsi="宋体" w:eastAsia="宋体"/>
          <w:sz w:val="32"/>
          <w:szCs w:val="32"/>
        </w:rPr>
        <w:t>（征求意见稿）</w:t>
      </w:r>
    </w:p>
    <w:p w14:paraId="3294B030">
      <w:pPr>
        <w:pStyle w:val="41"/>
        <w:spacing w:line="360" w:lineRule="auto"/>
        <w:jc w:val="center"/>
        <w:rPr>
          <w:b/>
          <w:color w:val="auto"/>
          <w:sz w:val="44"/>
        </w:rPr>
      </w:pPr>
      <w:r>
        <w:rPr>
          <w:rFonts w:hint="eastAsia" w:ascii="宋体" w:hAnsi="宋体"/>
          <w:b/>
          <w:bCs/>
          <w:color w:val="0000FF"/>
          <w:sz w:val="24"/>
          <w:szCs w:val="24"/>
        </w:rPr>
        <w:t>在提交反馈意见时，请将您知道的相关专利连同支持性文件一并附上</w:t>
      </w:r>
    </w:p>
    <w:p w14:paraId="193E0017">
      <w:pPr>
        <w:pStyle w:val="41"/>
        <w:spacing w:line="360" w:lineRule="auto"/>
        <w:jc w:val="center"/>
        <w:rPr>
          <w:rFonts w:eastAsia="黑体e眠副浡渀."/>
          <w:color w:val="auto"/>
          <w:sz w:val="28"/>
          <w:szCs w:val="28"/>
        </w:rPr>
      </w:pPr>
    </w:p>
    <w:p w14:paraId="0456862A">
      <w:pPr>
        <w:pStyle w:val="30"/>
        <w:spacing w:line="360" w:lineRule="auto"/>
        <w:ind w:right="560"/>
        <w:rPr>
          <w:rFonts w:eastAsia="黑体e眠副浡渀."/>
          <w:szCs w:val="28"/>
        </w:rPr>
      </w:pPr>
    </w:p>
    <w:p w14:paraId="23200410">
      <w:pPr>
        <w:pStyle w:val="41"/>
        <w:spacing w:line="360" w:lineRule="auto"/>
        <w:rPr>
          <w:rFonts w:eastAsia="黑体e眠副浡渀."/>
          <w:color w:val="auto"/>
          <w:sz w:val="28"/>
          <w:szCs w:val="28"/>
        </w:rPr>
      </w:pPr>
    </w:p>
    <w:p w14:paraId="49633290">
      <w:pPr>
        <w:pStyle w:val="28"/>
        <w:spacing w:line="360" w:lineRule="auto"/>
        <w:rPr>
          <w:rFonts w:eastAsia="黑体e眠副浡渀."/>
          <w:szCs w:val="28"/>
        </w:rPr>
      </w:pPr>
    </w:p>
    <w:p w14:paraId="40ADA6A1">
      <w:pPr>
        <w:pStyle w:val="41"/>
        <w:rPr>
          <w:color w:val="auto"/>
        </w:rPr>
      </w:pPr>
    </w:p>
    <w:p w14:paraId="70DB7C09">
      <w:pPr>
        <w:pStyle w:val="41"/>
        <w:rPr>
          <w:color w:val="auto"/>
        </w:rPr>
      </w:pPr>
    </w:p>
    <w:p w14:paraId="193A3469">
      <w:pPr>
        <w:pStyle w:val="41"/>
        <w:rPr>
          <w:color w:val="auto"/>
        </w:rPr>
      </w:pPr>
    </w:p>
    <w:p w14:paraId="7A606189">
      <w:pPr>
        <w:jc w:val="center"/>
        <w:rPr>
          <w:color w:val="auto"/>
          <w:sz w:val="28"/>
          <w:szCs w:val="28"/>
        </w:rPr>
      </w:pPr>
      <w:r>
        <w:rPr>
          <w:rFonts w:hint="eastAsia"/>
          <w:color w:val="auto"/>
          <w:sz w:val="28"/>
          <w:szCs w:val="28"/>
        </w:rPr>
        <w:t>****出版社</w:t>
      </w:r>
    </w:p>
    <w:p w14:paraId="5F356577">
      <w:pPr>
        <w:jc w:val="center"/>
        <w:rPr>
          <w:rFonts w:eastAsia="黑体"/>
          <w:color w:val="auto"/>
          <w:sz w:val="36"/>
          <w:szCs w:val="36"/>
        </w:rPr>
      </w:pPr>
    </w:p>
    <w:p w14:paraId="0530BECB">
      <w:pPr>
        <w:widowControl/>
        <w:adjustRightInd w:val="0"/>
        <w:snapToGrid w:val="0"/>
        <w:spacing w:line="360" w:lineRule="auto"/>
        <w:rPr>
          <w:rFonts w:hint="eastAsia" w:ascii="微软雅黑" w:hAnsi="微软雅黑" w:eastAsia="微软雅黑"/>
          <w:bCs/>
          <w:color w:val="auto"/>
          <w:kern w:val="44"/>
          <w:sz w:val="24"/>
        </w:rPr>
      </w:pPr>
    </w:p>
    <w:bookmarkEnd w:id="0"/>
    <w:p w14:paraId="792C1D89">
      <w:pPr>
        <w:widowControl/>
        <w:adjustRightInd w:val="0"/>
        <w:snapToGrid w:val="0"/>
        <w:spacing w:line="360" w:lineRule="auto"/>
        <w:rPr>
          <w:rFonts w:hint="eastAsia" w:ascii="微软雅黑" w:hAnsi="微软雅黑" w:eastAsia="微软雅黑"/>
          <w:bCs/>
          <w:color w:val="auto"/>
          <w:kern w:val="44"/>
          <w:sz w:val="24"/>
        </w:rPr>
        <w:sectPr>
          <w:footerReference r:id="rId3" w:type="default"/>
          <w:pgSz w:w="11906" w:h="16838"/>
          <w:pgMar w:top="1440" w:right="1800" w:bottom="1440" w:left="1800" w:header="851" w:footer="992" w:gutter="0"/>
          <w:cols w:space="720" w:num="1"/>
          <w:docGrid w:type="lines" w:linePitch="312" w:charSpace="0"/>
        </w:sectPr>
      </w:pPr>
    </w:p>
    <w:p w14:paraId="5C0D1440">
      <w:pPr>
        <w:jc w:val="center"/>
        <w:rPr>
          <w:rFonts w:eastAsia="黑体"/>
          <w:b/>
          <w:color w:val="auto"/>
          <w:sz w:val="32"/>
        </w:rPr>
      </w:pPr>
    </w:p>
    <w:p w14:paraId="506F0EB9">
      <w:pPr>
        <w:jc w:val="center"/>
        <w:rPr>
          <w:rFonts w:eastAsia="黑体"/>
          <w:b/>
          <w:color w:val="auto"/>
          <w:sz w:val="32"/>
        </w:rPr>
      </w:pPr>
    </w:p>
    <w:p w14:paraId="662B0FAE">
      <w:pPr>
        <w:spacing w:line="360" w:lineRule="auto"/>
        <w:jc w:val="center"/>
        <w:rPr>
          <w:color w:val="auto"/>
          <w:sz w:val="28"/>
          <w:szCs w:val="22"/>
        </w:rPr>
      </w:pPr>
      <w:r>
        <w:rPr>
          <w:rFonts w:hint="eastAsia"/>
          <w:color w:val="auto"/>
          <w:sz w:val="28"/>
          <w:szCs w:val="22"/>
        </w:rPr>
        <w:t>中国工程建设标准化协会标准</w:t>
      </w:r>
    </w:p>
    <w:p w14:paraId="754A50AE">
      <w:pPr>
        <w:jc w:val="center"/>
        <w:rPr>
          <w:color w:val="auto"/>
          <w:sz w:val="30"/>
        </w:rPr>
      </w:pPr>
    </w:p>
    <w:p w14:paraId="7D8FCA9F">
      <w:pPr>
        <w:pStyle w:val="42"/>
        <w:ind w:left="0" w:leftChars="0"/>
      </w:pPr>
      <w:r>
        <w:rPr>
          <w:rFonts w:hint="eastAsia"/>
        </w:rPr>
        <w:t>零碳城市轨道交通车辆基地设计标准</w:t>
      </w:r>
    </w:p>
    <w:p w14:paraId="5B2208C1">
      <w:pPr>
        <w:pStyle w:val="42"/>
        <w:ind w:left="0" w:leftChars="0"/>
        <w:rPr>
          <w:rFonts w:eastAsia="宋体"/>
          <w:sz w:val="28"/>
          <w:szCs w:val="28"/>
        </w:rPr>
      </w:pPr>
      <w:r>
        <w:rPr>
          <w:rFonts w:eastAsia="宋体"/>
          <w:sz w:val="28"/>
          <w:szCs w:val="28"/>
        </w:rPr>
        <w:t>Design Standard for Zero-Carbon Urban Rail Transit Vehicle Bases</w:t>
      </w:r>
    </w:p>
    <w:p w14:paraId="1823BAC0">
      <w:pPr>
        <w:jc w:val="center"/>
        <w:rPr>
          <w:color w:val="auto"/>
          <w:sz w:val="30"/>
        </w:rPr>
      </w:pPr>
    </w:p>
    <w:p w14:paraId="08E991F3">
      <w:pPr>
        <w:jc w:val="center"/>
        <w:rPr>
          <w:color w:val="auto"/>
          <w:sz w:val="30"/>
        </w:rPr>
      </w:pPr>
    </w:p>
    <w:p w14:paraId="41454338">
      <w:pPr>
        <w:jc w:val="center"/>
        <w:rPr>
          <w:color w:val="auto"/>
          <w:sz w:val="30"/>
        </w:rPr>
      </w:pPr>
    </w:p>
    <w:p w14:paraId="21ADBB01">
      <w:pPr>
        <w:spacing w:line="360" w:lineRule="auto"/>
        <w:jc w:val="center"/>
        <w:rPr>
          <w:b/>
          <w:color w:val="auto"/>
          <w:sz w:val="24"/>
        </w:rPr>
      </w:pPr>
      <w:r>
        <w:rPr>
          <w:b/>
          <w:color w:val="auto"/>
          <w:sz w:val="24"/>
        </w:rPr>
        <w:t>T/CECS *** -20XX</w:t>
      </w:r>
    </w:p>
    <w:p w14:paraId="054F0E87">
      <w:pPr>
        <w:jc w:val="center"/>
        <w:rPr>
          <w:color w:val="auto"/>
          <w:sz w:val="30"/>
        </w:rPr>
      </w:pPr>
    </w:p>
    <w:p w14:paraId="4CB02A3B">
      <w:pPr>
        <w:ind w:firstLine="1486" w:firstLineChars="708"/>
        <w:rPr>
          <w:color w:val="auto"/>
          <w:szCs w:val="28"/>
        </w:rPr>
      </w:pPr>
    </w:p>
    <w:p w14:paraId="7A1E62BE">
      <w:pPr>
        <w:ind w:firstLine="1486" w:firstLineChars="708"/>
        <w:rPr>
          <w:color w:val="auto"/>
          <w:szCs w:val="28"/>
        </w:rPr>
      </w:pPr>
    </w:p>
    <w:p w14:paraId="5851050B">
      <w:pPr>
        <w:ind w:firstLine="1486" w:firstLineChars="708"/>
        <w:rPr>
          <w:color w:val="auto"/>
          <w:szCs w:val="28"/>
        </w:rPr>
      </w:pPr>
    </w:p>
    <w:p w14:paraId="47287F35">
      <w:pPr>
        <w:ind w:firstLine="1486" w:firstLineChars="708"/>
        <w:rPr>
          <w:color w:val="auto"/>
          <w:szCs w:val="28"/>
        </w:rPr>
      </w:pPr>
    </w:p>
    <w:p w14:paraId="19B25F36">
      <w:pPr>
        <w:spacing w:line="360" w:lineRule="auto"/>
        <w:ind w:firstLine="2520" w:firstLineChars="1200"/>
        <w:rPr>
          <w:rFonts w:hint="eastAsia"/>
          <w:color w:val="auto"/>
        </w:rPr>
      </w:pPr>
      <w:r>
        <w:rPr>
          <w:color w:val="auto"/>
        </w:rPr>
        <w:t>主编单位：</w:t>
      </w:r>
      <w:r>
        <w:rPr>
          <w:rFonts w:hint="eastAsia"/>
          <w:color w:val="auto"/>
        </w:rPr>
        <w:t xml:space="preserve">中国铁路设计集团有限公司  </w:t>
      </w:r>
    </w:p>
    <w:p w14:paraId="6D6408B5">
      <w:pPr>
        <w:spacing w:line="360" w:lineRule="auto"/>
        <w:ind w:firstLine="3570" w:firstLineChars="1700"/>
        <w:rPr>
          <w:color w:val="auto"/>
        </w:rPr>
      </w:pPr>
      <w:r>
        <w:rPr>
          <w:rFonts w:hint="eastAsia"/>
          <w:color w:val="auto"/>
        </w:rPr>
        <w:t>深圳市地铁集团有限公司</w:t>
      </w:r>
    </w:p>
    <w:p w14:paraId="0CCC4CA4">
      <w:pPr>
        <w:spacing w:line="360" w:lineRule="auto"/>
        <w:ind w:firstLine="2520" w:firstLineChars="1200"/>
        <w:rPr>
          <w:color w:val="auto"/>
        </w:rPr>
      </w:pPr>
      <w:r>
        <w:rPr>
          <w:color w:val="auto"/>
        </w:rPr>
        <w:t>批准单位：中国工程建设标准化协会</w:t>
      </w:r>
    </w:p>
    <w:p w14:paraId="1D217424">
      <w:pPr>
        <w:spacing w:line="360" w:lineRule="auto"/>
        <w:ind w:firstLine="2520" w:firstLineChars="1200"/>
        <w:rPr>
          <w:color w:val="auto"/>
        </w:rPr>
      </w:pPr>
      <w:r>
        <w:rPr>
          <w:color w:val="auto"/>
        </w:rPr>
        <w:t>施行日期：20XX年××月××日</w:t>
      </w:r>
    </w:p>
    <w:p w14:paraId="62B5814D">
      <w:pPr>
        <w:ind w:firstLine="2741" w:firstLineChars="1300"/>
        <w:jc w:val="center"/>
        <w:rPr>
          <w:b/>
          <w:color w:val="auto"/>
          <w:szCs w:val="28"/>
        </w:rPr>
      </w:pPr>
    </w:p>
    <w:p w14:paraId="19D66ABC">
      <w:pPr>
        <w:pStyle w:val="41"/>
        <w:rPr>
          <w:color w:val="auto"/>
        </w:rPr>
      </w:pPr>
    </w:p>
    <w:p w14:paraId="09EE02ED">
      <w:pPr>
        <w:jc w:val="center"/>
        <w:rPr>
          <w:rFonts w:eastAsia="黑体"/>
          <w:color w:val="auto"/>
          <w:sz w:val="36"/>
          <w:szCs w:val="36"/>
        </w:rPr>
      </w:pPr>
    </w:p>
    <w:p w14:paraId="73487D26">
      <w:pPr>
        <w:jc w:val="center"/>
        <w:rPr>
          <w:rFonts w:eastAsia="黑体"/>
          <w:color w:val="auto"/>
          <w:sz w:val="36"/>
          <w:szCs w:val="36"/>
        </w:rPr>
      </w:pPr>
    </w:p>
    <w:p w14:paraId="7A4B03C2">
      <w:pPr>
        <w:spacing w:line="360" w:lineRule="auto"/>
        <w:jc w:val="center"/>
        <w:rPr>
          <w:color w:val="auto"/>
        </w:rPr>
      </w:pPr>
      <w:r>
        <w:rPr>
          <w:rFonts w:hint="eastAsia"/>
          <w:color w:val="auto"/>
        </w:rPr>
        <w:t>XXXX出版社</w:t>
      </w:r>
    </w:p>
    <w:p w14:paraId="5390E2FF">
      <w:pPr>
        <w:widowControl/>
        <w:adjustRightInd w:val="0"/>
        <w:snapToGrid w:val="0"/>
        <w:spacing w:line="360" w:lineRule="auto"/>
        <w:jc w:val="center"/>
        <w:rPr>
          <w:rFonts w:hint="eastAsia"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lang w:val="en-US" w:eastAsia="zh-CN"/>
        </w:rPr>
        <w:t>6</w:t>
      </w:r>
      <w:r>
        <w:rPr>
          <w:color w:val="auto"/>
          <w:sz w:val="24"/>
          <w:szCs w:val="22"/>
        </w:rPr>
        <w:t xml:space="preserve"> </w:t>
      </w:r>
      <w:r>
        <w:rPr>
          <w:rFonts w:hint="eastAsia"/>
          <w:color w:val="auto"/>
          <w:sz w:val="24"/>
          <w:szCs w:val="22"/>
        </w:rPr>
        <w:t>北京</w:t>
      </w:r>
    </w:p>
    <w:p w14:paraId="6413F36E">
      <w:pPr>
        <w:rPr>
          <w:rFonts w:hint="eastAsia" w:ascii="黑体" w:hAnsi="黑体" w:eastAsia="黑体"/>
          <w:color w:val="auto"/>
          <w:sz w:val="10"/>
          <w:szCs w:val="10"/>
        </w:rPr>
      </w:pPr>
    </w:p>
    <w:p w14:paraId="563FA935">
      <w:pPr>
        <w:widowControl/>
        <w:numPr>
          <w:ilvl w:val="0"/>
          <w:numId w:val="2"/>
        </w:numPr>
        <w:adjustRightInd w:val="0"/>
        <w:snapToGrid w:val="0"/>
        <w:spacing w:line="360" w:lineRule="auto"/>
        <w:ind w:left="0" w:firstLine="0"/>
        <w:jc w:val="center"/>
        <w:rPr>
          <w:rFonts w:ascii="宋体" w:hAnsi="宋体" w:cs="宋体"/>
          <w:b/>
          <w:color w:val="auto"/>
          <w:kern w:val="44"/>
          <w:sz w:val="28"/>
          <w:szCs w:val="24"/>
        </w:rPr>
      </w:pPr>
      <w:r>
        <w:rPr>
          <w:rFonts w:hint="eastAsia" w:ascii="黑体" w:hAnsi="黑体" w:eastAsia="黑体"/>
          <w:color w:val="auto"/>
          <w:sz w:val="10"/>
          <w:szCs w:val="10"/>
        </w:rPr>
        <w:br w:type="page"/>
      </w:r>
      <w:bookmarkStart w:id="2" w:name="_Toc16182"/>
      <w:bookmarkStart w:id="3" w:name="BookMark2"/>
      <w:r>
        <w:rPr>
          <w:rFonts w:ascii="宋体" w:hAnsi="宋体" w:cs="宋体"/>
          <w:b/>
          <w:color w:val="auto"/>
          <w:kern w:val="44"/>
          <w:sz w:val="28"/>
          <w:szCs w:val="24"/>
        </w:rPr>
        <w:t>前言</w:t>
      </w:r>
      <w:bookmarkEnd w:id="2"/>
    </w:p>
    <w:p w14:paraId="74117224">
      <w:pPr>
        <w:pStyle w:val="19"/>
        <w:snapToGrid w:val="0"/>
        <w:spacing w:line="360" w:lineRule="auto"/>
        <w:ind w:firstLine="480"/>
        <w:rPr>
          <w:rFonts w:hint="eastAsia"/>
          <w:sz w:val="24"/>
          <w:szCs w:val="24"/>
        </w:rPr>
      </w:pPr>
      <w:r>
        <w:rPr>
          <w:rFonts w:hint="eastAsia"/>
          <w:sz w:val="24"/>
          <w:szCs w:val="24"/>
        </w:rPr>
        <w:t xml:space="preserve">根据中国工程建设标准化协会《关于印发&lt;2023年第二批协会标准制订、修订计划&gt;的通知》（建标协字[2023]50号）的要求，编制组经深入调查研究，认真总结实践经验，参考国内外先进标准，并在广泛征求意见的基础上，制定本标准 。 </w:t>
      </w:r>
    </w:p>
    <w:p w14:paraId="3A2B9D09">
      <w:pPr>
        <w:pStyle w:val="19"/>
        <w:snapToGrid w:val="0"/>
        <w:spacing w:line="360" w:lineRule="auto"/>
        <w:ind w:firstLine="480"/>
        <w:rPr>
          <w:rFonts w:hint="eastAsia"/>
          <w:sz w:val="24"/>
          <w:szCs w:val="24"/>
        </w:rPr>
      </w:pPr>
      <w:r>
        <w:rPr>
          <w:rFonts w:hint="eastAsia"/>
          <w:sz w:val="24"/>
          <w:szCs w:val="24"/>
        </w:rPr>
        <w:t>本标准共分11章，主要内容包括：总则、术语、基本规定、工艺设计、站场设计、建构筑物设计、设备系统设计、可再生能源利用、监控及量测、碳抵消等 。</w:t>
      </w:r>
    </w:p>
    <w:p w14:paraId="0AF90E31">
      <w:pPr>
        <w:pStyle w:val="19"/>
        <w:snapToGrid w:val="0"/>
        <w:spacing w:line="360" w:lineRule="auto"/>
        <w:ind w:firstLine="480"/>
        <w:rPr>
          <w:rFonts w:hint="eastAsia"/>
          <w:sz w:val="24"/>
          <w:szCs w:val="24"/>
        </w:rPr>
      </w:pPr>
      <w:r>
        <w:rPr>
          <w:rFonts w:hint="eastAsia"/>
          <w:sz w:val="24"/>
          <w:szCs w:val="24"/>
        </w:rPr>
        <w:t>本标准的某些内容可能直接或间接涉及专利，本标准的发布机构不承担识别这些专利的责任。</w:t>
      </w:r>
    </w:p>
    <w:p w14:paraId="6AD1E5A3">
      <w:pPr>
        <w:pStyle w:val="19"/>
        <w:snapToGrid w:val="0"/>
        <w:spacing w:line="360" w:lineRule="auto"/>
        <w:ind w:firstLine="480"/>
        <w:rPr>
          <w:sz w:val="24"/>
          <w:szCs w:val="24"/>
        </w:rPr>
      </w:pPr>
      <w:r>
        <w:rPr>
          <w:rFonts w:hint="eastAsia"/>
          <w:sz w:val="24"/>
          <w:szCs w:val="24"/>
        </w:rPr>
        <w:t>本标准由中国工程建设标准化协会建筑环境与节能专业委员会归口管理，由</w:t>
      </w:r>
      <w:bookmarkStart w:id="4" w:name="OLE_LINK7"/>
      <w:r>
        <w:rPr>
          <w:rFonts w:hint="eastAsia"/>
          <w:sz w:val="24"/>
          <w:szCs w:val="24"/>
        </w:rPr>
        <w:t>中国铁路设计集团有限公司</w:t>
      </w:r>
      <w:bookmarkEnd w:id="4"/>
      <w:r>
        <w:rPr>
          <w:rFonts w:hint="eastAsia"/>
          <w:sz w:val="24"/>
          <w:szCs w:val="24"/>
        </w:rPr>
        <w:t>负责具体技术内容的解释。执行过程中，如有意见或建议，请反馈给中国铁路设计集团有限公司（地址：深圳市南山区科苑南路深铁金融科技大厦21楼，邮政编码：518000，邮箱：362445222@qq.com）。</w:t>
      </w:r>
    </w:p>
    <w:p w14:paraId="5926A461">
      <w:pPr>
        <w:pStyle w:val="19"/>
        <w:snapToGrid w:val="0"/>
        <w:spacing w:line="360" w:lineRule="auto"/>
        <w:ind w:firstLine="480"/>
        <w:rPr>
          <w:rFonts w:hint="eastAsia"/>
          <w:sz w:val="24"/>
          <w:szCs w:val="24"/>
        </w:rPr>
      </w:pPr>
    </w:p>
    <w:p w14:paraId="01B0372C">
      <w:pPr>
        <w:pStyle w:val="19"/>
        <w:snapToGrid w:val="0"/>
        <w:spacing w:line="360" w:lineRule="auto"/>
        <w:ind w:firstLine="480"/>
        <w:rPr>
          <w:sz w:val="24"/>
          <w:szCs w:val="24"/>
        </w:rPr>
      </w:pPr>
      <w:r>
        <w:rPr>
          <w:rFonts w:hint="eastAsia"/>
          <w:sz w:val="24"/>
          <w:szCs w:val="24"/>
        </w:rPr>
        <w:t>主编单位：中国铁路设计集团有限公司</w:t>
      </w:r>
    </w:p>
    <w:p w14:paraId="07BD87E2">
      <w:pPr>
        <w:pStyle w:val="19"/>
        <w:snapToGrid w:val="0"/>
        <w:spacing w:line="360" w:lineRule="auto"/>
        <w:ind w:firstLine="1680" w:firstLineChars="700"/>
        <w:rPr>
          <w:sz w:val="24"/>
          <w:szCs w:val="24"/>
        </w:rPr>
      </w:pPr>
      <w:r>
        <w:rPr>
          <w:rFonts w:hint="eastAsia"/>
          <w:sz w:val="24"/>
          <w:szCs w:val="24"/>
        </w:rPr>
        <w:t>深圳市地铁集团有限公司</w:t>
      </w:r>
    </w:p>
    <w:p w14:paraId="7B39150C">
      <w:pPr>
        <w:pStyle w:val="19"/>
        <w:snapToGrid w:val="0"/>
        <w:spacing w:line="360" w:lineRule="auto"/>
        <w:ind w:firstLine="480"/>
        <w:rPr>
          <w:sz w:val="24"/>
          <w:szCs w:val="24"/>
        </w:rPr>
      </w:pPr>
      <w:r>
        <w:rPr>
          <w:rFonts w:hint="eastAsia"/>
          <w:sz w:val="24"/>
          <w:szCs w:val="24"/>
        </w:rPr>
        <w:t>参编单位：天津轨道交通集团有限公司</w:t>
      </w:r>
    </w:p>
    <w:p w14:paraId="5DD1F80C">
      <w:pPr>
        <w:pStyle w:val="19"/>
        <w:snapToGrid w:val="0"/>
        <w:spacing w:line="360" w:lineRule="auto"/>
        <w:ind w:firstLine="1680" w:firstLineChars="700"/>
        <w:rPr>
          <w:sz w:val="24"/>
          <w:szCs w:val="24"/>
        </w:rPr>
      </w:pPr>
      <w:r>
        <w:rPr>
          <w:sz w:val="24"/>
          <w:szCs w:val="24"/>
        </w:rPr>
        <w:fldChar w:fldCharType="begin"/>
      </w:r>
      <w:r>
        <w:rPr>
          <w:sz w:val="24"/>
          <w:szCs w:val="24"/>
        </w:rPr>
        <w:instrText xml:space="preserve">HYPERLINK "http://www.baidu.com/link?url=R2uwp_oBeenBniyMGmbaCQld1GTn8dF8jXZtiqhvAygi5PHkQsGGy6oC6nBxIOhUpJit-Zka-ccr5kuEtK9gOj08_xADbo5eWVyPluXObbsezUwZ636pn-eq3Ry83MEYSWodIIckTEAg7Uk6quJ9AvVRFFwwnLcdf9Sw36YNU-AEqa8ubOqpgkof-3S4MsAp" \t "https://www.baidu.com/_blank"</w:instrText>
      </w:r>
      <w:r>
        <w:rPr>
          <w:sz w:val="24"/>
          <w:szCs w:val="24"/>
        </w:rPr>
        <w:fldChar w:fldCharType="separate"/>
      </w:r>
      <w:r>
        <w:rPr>
          <w:sz w:val="24"/>
          <w:szCs w:val="24"/>
        </w:rPr>
        <w:fldChar w:fldCharType="begin"/>
      </w:r>
      <w:r>
        <w:rPr>
          <w:sz w:val="24"/>
          <w:szCs w:val="24"/>
        </w:rPr>
        <w:instrText xml:space="preserve">HYPERLINK "http://www.baidu.com/link?url=YPziyzSW7C2MO5eqb6sPswBhIuSwoDsfLTL6E47IipwCg1wXAJ6eufOM9BMDepll28QdHayNTEtQ2uYEu8448QSZk6RuqonA54qt_bDdxpZNV7ABQIhA6xr7tacSckYv5vcckVo5HdsO9BYr7Ngc_Nkd9kKSfQrpLLBp2stcgxHkquERVrp5AI9xql70hldAno6Sjtyd2Z5fA4L2AKM8eNSnxc4FEgJPFnP_EGvQcLS" \t "https://www.baidu.com/_blank"</w:instrText>
      </w:r>
      <w:r>
        <w:rPr>
          <w:sz w:val="24"/>
          <w:szCs w:val="24"/>
        </w:rPr>
        <w:fldChar w:fldCharType="separate"/>
      </w:r>
      <w:r>
        <w:rPr>
          <w:rFonts w:hint="eastAsia"/>
          <w:sz w:val="24"/>
          <w:szCs w:val="24"/>
        </w:rPr>
        <w:t>沈阳地铁集团有限公司</w:t>
      </w:r>
      <w:r>
        <w:rPr>
          <w:sz w:val="24"/>
          <w:szCs w:val="24"/>
        </w:rPr>
        <w:fldChar w:fldCharType="end"/>
      </w:r>
      <w:r>
        <w:rPr>
          <w:sz w:val="24"/>
          <w:szCs w:val="24"/>
        </w:rPr>
        <w:fldChar w:fldCharType="end"/>
      </w:r>
    </w:p>
    <w:p w14:paraId="386A4A7A">
      <w:pPr>
        <w:pStyle w:val="19"/>
        <w:snapToGrid w:val="0"/>
        <w:spacing w:line="360" w:lineRule="auto"/>
        <w:ind w:firstLine="1680" w:firstLineChars="700"/>
        <w:rPr>
          <w:sz w:val="24"/>
          <w:szCs w:val="24"/>
        </w:rPr>
      </w:pPr>
      <w:r>
        <w:rPr>
          <w:sz w:val="24"/>
          <w:szCs w:val="24"/>
        </w:rPr>
        <w:fldChar w:fldCharType="begin"/>
      </w:r>
      <w:r>
        <w:rPr>
          <w:sz w:val="24"/>
          <w:szCs w:val="24"/>
        </w:rPr>
        <w:instrText xml:space="preserve">HYPERLINK "http://www.baidu.com/link?url=R2uwp_oBeenBniyMGmbaCQld1GTn8dF8jXZtiqhvAygi5PHkQsGGy6oC6nBxIOhUpJit-Zka-ccr5kuEtK9gOj08_xADbo5eWVyPluXObbsezUwZ636pn-eq3Ry83MEYSWodIIckTEAg7Uk6quJ9AvVRFFwwnLcdf9Sw36YNU-AEqa8ubOqpgkof-3S4MsAp" \t "https://www.baidu.com/_blank"</w:instrText>
      </w:r>
      <w:r>
        <w:rPr>
          <w:sz w:val="24"/>
          <w:szCs w:val="24"/>
        </w:rPr>
        <w:fldChar w:fldCharType="separate"/>
      </w:r>
      <w:r>
        <w:rPr>
          <w:sz w:val="24"/>
          <w:szCs w:val="24"/>
        </w:rPr>
        <w:fldChar w:fldCharType="begin"/>
      </w:r>
      <w:r>
        <w:rPr>
          <w:sz w:val="24"/>
          <w:szCs w:val="24"/>
        </w:rPr>
        <w:instrText xml:space="preserve">HYPERLINK "http://www.baidu.com/link?url=YPziyzSW7C2MO5eqb6sPswBhIuSwoDsfLTL6E47IipwCg1wXAJ6eufOM9BMDepll28QdHayNTEtQ2uYEu8448QSZk6RuqonA54qt_bDdxpZNV7ABQIhA6xr7tacSckYv5vcckVo5HdsO9BYr7Ngc_Nkd9kKSfQrpLLBp2stcgxHkquERVrp5AI9xql70hldAno6Sjtyd2Z5fA4L2AKM8eNSnxc4FEgJPFnP_EGvQcLS" \t "https://www.baidu.com/_blank"</w:instrText>
      </w:r>
      <w:r>
        <w:rPr>
          <w:sz w:val="24"/>
          <w:szCs w:val="24"/>
        </w:rPr>
        <w:fldChar w:fldCharType="separate"/>
      </w:r>
      <w:r>
        <w:rPr>
          <w:rFonts w:hint="eastAsia"/>
          <w:sz w:val="24"/>
          <w:szCs w:val="24"/>
        </w:rPr>
        <w:t>贵阳市公共交通投资运营集团有限公司</w:t>
      </w:r>
      <w:r>
        <w:rPr>
          <w:sz w:val="24"/>
          <w:szCs w:val="24"/>
        </w:rPr>
        <w:fldChar w:fldCharType="end"/>
      </w:r>
      <w:r>
        <w:rPr>
          <w:sz w:val="24"/>
          <w:szCs w:val="24"/>
        </w:rPr>
        <w:fldChar w:fldCharType="end"/>
      </w:r>
    </w:p>
    <w:p w14:paraId="17227B38">
      <w:pPr>
        <w:pStyle w:val="19"/>
        <w:snapToGrid w:val="0"/>
        <w:spacing w:line="360" w:lineRule="auto"/>
        <w:ind w:firstLine="1680" w:firstLineChars="700"/>
        <w:rPr>
          <w:sz w:val="24"/>
          <w:szCs w:val="24"/>
        </w:rPr>
      </w:pPr>
      <w:r>
        <w:rPr>
          <w:rFonts w:hint="eastAsia"/>
          <w:sz w:val="24"/>
          <w:szCs w:val="24"/>
        </w:rPr>
        <w:t>中铁上海工程局集团有限公司</w:t>
      </w:r>
    </w:p>
    <w:p w14:paraId="2E531DF1">
      <w:pPr>
        <w:pStyle w:val="19"/>
        <w:snapToGrid w:val="0"/>
        <w:spacing w:line="360" w:lineRule="auto"/>
        <w:ind w:firstLine="1680" w:firstLineChars="700"/>
        <w:rPr>
          <w:sz w:val="24"/>
          <w:szCs w:val="24"/>
        </w:rPr>
      </w:pPr>
      <w:r>
        <w:rPr>
          <w:rFonts w:hint="eastAsia"/>
          <w:sz w:val="24"/>
          <w:szCs w:val="24"/>
        </w:rPr>
        <w:t>深圳市建筑科学研究院股份有限公司</w:t>
      </w:r>
    </w:p>
    <w:p w14:paraId="3332BBD6">
      <w:pPr>
        <w:pStyle w:val="19"/>
        <w:snapToGrid w:val="0"/>
        <w:spacing w:line="360" w:lineRule="auto"/>
        <w:ind w:firstLine="1680" w:firstLineChars="700"/>
        <w:rPr>
          <w:sz w:val="24"/>
          <w:szCs w:val="24"/>
        </w:rPr>
      </w:pPr>
      <w:r>
        <w:rPr>
          <w:rFonts w:hint="eastAsia"/>
          <w:sz w:val="24"/>
          <w:szCs w:val="24"/>
        </w:rPr>
        <w:t>深圳市建研检测有限公司</w:t>
      </w:r>
    </w:p>
    <w:p w14:paraId="5192846E">
      <w:pPr>
        <w:pStyle w:val="19"/>
        <w:snapToGrid w:val="0"/>
        <w:spacing w:line="360" w:lineRule="auto"/>
        <w:ind w:firstLine="1680" w:firstLineChars="700"/>
        <w:rPr>
          <w:sz w:val="24"/>
          <w:szCs w:val="24"/>
        </w:rPr>
      </w:pPr>
      <w:r>
        <w:rPr>
          <w:rFonts w:hint="eastAsia"/>
          <w:sz w:val="24"/>
          <w:szCs w:val="24"/>
        </w:rPr>
        <w:t>建科环能科技有限公司</w:t>
      </w:r>
    </w:p>
    <w:p w14:paraId="072C737C">
      <w:pPr>
        <w:pStyle w:val="19"/>
        <w:snapToGrid w:val="0"/>
        <w:spacing w:line="360" w:lineRule="auto"/>
        <w:ind w:firstLine="1680" w:firstLineChars="700"/>
        <w:rPr>
          <w:sz w:val="24"/>
          <w:szCs w:val="24"/>
        </w:rPr>
      </w:pPr>
      <w:r>
        <w:rPr>
          <w:sz w:val="24"/>
          <w:szCs w:val="24"/>
        </w:rPr>
        <w:fldChar w:fldCharType="begin"/>
      </w:r>
      <w:r>
        <w:rPr>
          <w:sz w:val="24"/>
          <w:szCs w:val="24"/>
        </w:rPr>
        <w:instrText xml:space="preserve">HYPERLINK "http://www.baidu.com/link?url=hfSFGi81XIGjFXMBfXP0eZq-YTzKqXLjMR-QObv_CtalowHfaSuDSILJxdmrfOeA" \t "https://www.baidu.com/_blank"</w:instrText>
      </w:r>
      <w:r>
        <w:rPr>
          <w:sz w:val="24"/>
          <w:szCs w:val="24"/>
        </w:rPr>
        <w:fldChar w:fldCharType="separate"/>
      </w:r>
      <w:r>
        <w:rPr>
          <w:rFonts w:hint="eastAsia"/>
          <w:sz w:val="24"/>
          <w:szCs w:val="24"/>
        </w:rPr>
        <w:t>深圳市市政设计研究院有限公司</w:t>
      </w:r>
      <w:r>
        <w:rPr>
          <w:sz w:val="24"/>
          <w:szCs w:val="24"/>
        </w:rPr>
        <w:fldChar w:fldCharType="end"/>
      </w:r>
    </w:p>
    <w:p w14:paraId="3F240615">
      <w:pPr>
        <w:pStyle w:val="19"/>
        <w:snapToGrid w:val="0"/>
        <w:spacing w:line="360" w:lineRule="auto"/>
        <w:ind w:firstLine="1680" w:firstLineChars="700"/>
        <w:rPr>
          <w:sz w:val="24"/>
          <w:szCs w:val="24"/>
        </w:rPr>
      </w:pPr>
      <w:r>
        <w:rPr>
          <w:rFonts w:hint="eastAsia"/>
          <w:sz w:val="24"/>
          <w:szCs w:val="24"/>
        </w:rPr>
        <w:t>中铁南方投资集团有限公司</w:t>
      </w:r>
    </w:p>
    <w:p w14:paraId="1D4F5262">
      <w:pPr>
        <w:pStyle w:val="19"/>
        <w:snapToGrid w:val="0"/>
        <w:spacing w:line="360" w:lineRule="auto"/>
        <w:ind w:firstLine="1680" w:firstLineChars="700"/>
        <w:rPr>
          <w:sz w:val="24"/>
          <w:szCs w:val="24"/>
        </w:rPr>
      </w:pPr>
      <w:r>
        <w:rPr>
          <w:rFonts w:hint="eastAsia"/>
          <w:sz w:val="24"/>
          <w:szCs w:val="24"/>
        </w:rPr>
        <w:t>深圳市新城市规划建筑设计股份有限公司。</w:t>
      </w:r>
    </w:p>
    <w:p w14:paraId="0F6BA545">
      <w:pPr>
        <w:pStyle w:val="19"/>
        <w:snapToGrid w:val="0"/>
        <w:spacing w:line="360" w:lineRule="auto"/>
        <w:ind w:firstLine="480"/>
        <w:rPr>
          <w:sz w:val="24"/>
          <w:szCs w:val="24"/>
        </w:rPr>
      </w:pPr>
      <w:r>
        <w:rPr>
          <w:rFonts w:hint="eastAsia"/>
          <w:sz w:val="24"/>
          <w:szCs w:val="24"/>
        </w:rPr>
        <w:t>主要起草人：</w:t>
      </w:r>
      <w:r>
        <w:rPr>
          <w:sz w:val="24"/>
          <w:szCs w:val="24"/>
        </w:rPr>
        <w:t xml:space="preserve"> </w:t>
      </w:r>
    </w:p>
    <w:p w14:paraId="2A8366D5">
      <w:pPr>
        <w:pStyle w:val="19"/>
        <w:snapToGrid w:val="0"/>
        <w:spacing w:line="360" w:lineRule="auto"/>
        <w:ind w:firstLine="480"/>
        <w:rPr>
          <w:sz w:val="24"/>
          <w:szCs w:val="24"/>
        </w:rPr>
      </w:pPr>
      <w:r>
        <w:rPr>
          <w:rFonts w:hint="eastAsia"/>
          <w:sz w:val="24"/>
          <w:szCs w:val="24"/>
        </w:rPr>
        <w:t>主要审查人：</w:t>
      </w:r>
      <w:r>
        <w:rPr>
          <w:sz w:val="24"/>
          <w:szCs w:val="24"/>
        </w:rPr>
        <w:t xml:space="preserve"> </w:t>
      </w:r>
    </w:p>
    <w:p w14:paraId="3E952F1B">
      <w:pPr>
        <w:widowControl/>
        <w:jc w:val="left"/>
        <w:rPr>
          <w:rFonts w:ascii="宋体"/>
          <w:color w:val="auto"/>
          <w:szCs w:val="20"/>
        </w:rPr>
      </w:pPr>
      <w:r>
        <w:rPr>
          <w:color w:val="auto"/>
        </w:rPr>
        <w:br w:type="page"/>
      </w:r>
    </w:p>
    <w:bookmarkEnd w:id="3"/>
    <w:p w14:paraId="226850D6">
      <w:pPr>
        <w:spacing w:line="20" w:lineRule="exact"/>
        <w:jc w:val="center"/>
        <w:rPr>
          <w:rFonts w:hint="eastAsia" w:ascii="黑体" w:hAnsi="黑体" w:eastAsia="黑体"/>
          <w:color w:val="auto"/>
          <w:sz w:val="32"/>
          <w:szCs w:val="32"/>
        </w:rPr>
      </w:pPr>
    </w:p>
    <w:p w14:paraId="0C4C2F1B">
      <w:pPr>
        <w:jc w:val="center"/>
        <w:rPr>
          <w:b/>
          <w:bCs/>
          <w:color w:val="auto"/>
          <w:kern w:val="2"/>
          <w:sz w:val="52"/>
          <w:szCs w:val="84"/>
        </w:rPr>
      </w:pPr>
      <w:r>
        <w:rPr>
          <w:b/>
          <w:bCs/>
          <w:color w:val="auto"/>
          <w:kern w:val="2"/>
          <w:sz w:val="52"/>
          <w:szCs w:val="84"/>
        </w:rPr>
        <w:t>目录</w:t>
      </w:r>
    </w:p>
    <w:p w14:paraId="6E57C2A3">
      <w:pPr>
        <w:pStyle w:val="9"/>
        <w:tabs>
          <w:tab w:val="right" w:leader="dot" w:pos="8306"/>
        </w:tabs>
        <w:rPr>
          <w:color w:val="auto"/>
        </w:rPr>
      </w:pPr>
      <w:r>
        <w:rPr>
          <w:rFonts w:hint="eastAsia"/>
          <w:b/>
          <w:color w:val="auto"/>
          <w:sz w:val="24"/>
          <w:szCs w:val="24"/>
        </w:rPr>
        <w:fldChar w:fldCharType="begin"/>
      </w:r>
      <w:r>
        <w:rPr>
          <w:rFonts w:hint="eastAsia"/>
          <w:b/>
          <w:color w:val="auto"/>
          <w:sz w:val="24"/>
          <w:szCs w:val="24"/>
        </w:rPr>
        <w:instrText xml:space="preserve">TOC \o "1-2" \h \u </w:instrText>
      </w:r>
      <w:r>
        <w:rPr>
          <w:rFonts w:hint="eastAsia"/>
          <w:b/>
          <w:color w:val="auto"/>
          <w:sz w:val="24"/>
          <w:szCs w:val="24"/>
        </w:rPr>
        <w:fldChar w:fldCharType="separate"/>
      </w:r>
      <w:r>
        <w:rPr>
          <w:rFonts w:hint="eastAsia"/>
          <w:color w:val="auto"/>
          <w:szCs w:val="24"/>
        </w:rPr>
        <w:fldChar w:fldCharType="begin"/>
      </w:r>
      <w:r>
        <w:rPr>
          <w:rFonts w:hint="eastAsia"/>
          <w:color w:val="auto"/>
          <w:szCs w:val="24"/>
        </w:rPr>
        <w:instrText xml:space="preserve"> HYPERLINK \l _Toc13026 </w:instrText>
      </w:r>
      <w:r>
        <w:rPr>
          <w:rFonts w:hint="eastAsia"/>
          <w:color w:val="auto"/>
          <w:szCs w:val="24"/>
        </w:rPr>
        <w:fldChar w:fldCharType="separate"/>
      </w:r>
      <w:r>
        <w:rPr>
          <w:rFonts w:hint="eastAsia" w:ascii="黑体" w:hAnsi="黑体" w:eastAsia="黑体"/>
          <w:bCs/>
          <w:color w:val="auto"/>
          <w:szCs w:val="32"/>
          <w:lang w:val="en-US" w:eastAsia="zh-CN"/>
        </w:rPr>
        <w:t xml:space="preserve">1 </w:t>
      </w:r>
      <w:r>
        <w:rPr>
          <w:rFonts w:hint="eastAsia" w:ascii="黑体" w:hAnsi="黑体" w:eastAsia="黑体"/>
          <w:bCs/>
          <w:color w:val="auto"/>
          <w:szCs w:val="32"/>
        </w:rPr>
        <w:t>总则</w:t>
      </w:r>
      <w:r>
        <w:rPr>
          <w:color w:val="auto"/>
        </w:rPr>
        <w:tab/>
      </w:r>
      <w:r>
        <w:rPr>
          <w:color w:val="auto"/>
        </w:rPr>
        <w:fldChar w:fldCharType="begin"/>
      </w:r>
      <w:r>
        <w:rPr>
          <w:color w:val="auto"/>
        </w:rPr>
        <w:instrText xml:space="preserve"> PAGEREF _Toc13026 \h </w:instrText>
      </w:r>
      <w:r>
        <w:rPr>
          <w:color w:val="auto"/>
        </w:rPr>
        <w:fldChar w:fldCharType="separate"/>
      </w:r>
      <w:r>
        <w:rPr>
          <w:color w:val="auto"/>
        </w:rPr>
        <w:t>8</w:t>
      </w:r>
      <w:r>
        <w:rPr>
          <w:color w:val="auto"/>
        </w:rPr>
        <w:fldChar w:fldCharType="end"/>
      </w:r>
      <w:r>
        <w:rPr>
          <w:rFonts w:hint="eastAsia"/>
          <w:color w:val="auto"/>
          <w:szCs w:val="24"/>
        </w:rPr>
        <w:fldChar w:fldCharType="end"/>
      </w:r>
    </w:p>
    <w:p w14:paraId="5A1E086E">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_Toc1648 </w:instrText>
      </w:r>
      <w:r>
        <w:rPr>
          <w:rFonts w:hint="eastAsia"/>
          <w:color w:val="auto"/>
          <w:szCs w:val="24"/>
        </w:rPr>
        <w:fldChar w:fldCharType="separate"/>
      </w:r>
      <w:r>
        <w:rPr>
          <w:rFonts w:hint="eastAsia" w:ascii="黑体" w:hAnsi="黑体" w:eastAsia="黑体"/>
          <w:bCs/>
          <w:color w:val="auto"/>
          <w:szCs w:val="32"/>
          <w:lang w:val="en-US" w:eastAsia="zh-CN"/>
        </w:rPr>
        <w:t xml:space="preserve">2 </w:t>
      </w:r>
      <w:r>
        <w:rPr>
          <w:rFonts w:hint="eastAsia" w:ascii="黑体" w:hAnsi="黑体" w:eastAsia="黑体"/>
          <w:bCs/>
          <w:color w:val="auto"/>
          <w:szCs w:val="32"/>
        </w:rPr>
        <w:t>术语</w:t>
      </w:r>
      <w:r>
        <w:rPr>
          <w:color w:val="auto"/>
        </w:rPr>
        <w:tab/>
      </w:r>
      <w:r>
        <w:rPr>
          <w:color w:val="auto"/>
        </w:rPr>
        <w:fldChar w:fldCharType="begin"/>
      </w:r>
      <w:r>
        <w:rPr>
          <w:color w:val="auto"/>
        </w:rPr>
        <w:instrText xml:space="preserve"> PAGEREF _Toc1648 \h </w:instrText>
      </w:r>
      <w:r>
        <w:rPr>
          <w:color w:val="auto"/>
        </w:rPr>
        <w:fldChar w:fldCharType="separate"/>
      </w:r>
      <w:r>
        <w:rPr>
          <w:color w:val="auto"/>
        </w:rPr>
        <w:t>9</w:t>
      </w:r>
      <w:r>
        <w:rPr>
          <w:color w:val="auto"/>
        </w:rPr>
        <w:fldChar w:fldCharType="end"/>
      </w:r>
      <w:r>
        <w:rPr>
          <w:rFonts w:hint="eastAsia"/>
          <w:color w:val="auto"/>
          <w:szCs w:val="24"/>
        </w:rPr>
        <w:fldChar w:fldCharType="end"/>
      </w:r>
    </w:p>
    <w:p w14:paraId="670EFFA5">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_Toc6876 </w:instrText>
      </w:r>
      <w:r>
        <w:rPr>
          <w:rFonts w:hint="eastAsia"/>
          <w:color w:val="auto"/>
          <w:szCs w:val="24"/>
        </w:rPr>
        <w:fldChar w:fldCharType="separate"/>
      </w:r>
      <w:r>
        <w:rPr>
          <w:rFonts w:hint="eastAsia" w:ascii="黑体" w:hAnsi="黑体" w:eastAsia="黑体"/>
          <w:bCs/>
          <w:color w:val="auto"/>
          <w:szCs w:val="32"/>
          <w:lang w:val="en-US" w:eastAsia="zh-CN"/>
        </w:rPr>
        <w:t xml:space="preserve">3 </w:t>
      </w:r>
      <w:r>
        <w:rPr>
          <w:rFonts w:hint="eastAsia" w:ascii="黑体" w:hAnsi="黑体" w:eastAsia="黑体"/>
          <w:bCs/>
          <w:color w:val="auto"/>
          <w:szCs w:val="32"/>
        </w:rPr>
        <w:t>基本规定</w:t>
      </w:r>
      <w:r>
        <w:rPr>
          <w:color w:val="auto"/>
        </w:rPr>
        <w:tab/>
      </w:r>
      <w:r>
        <w:rPr>
          <w:color w:val="auto"/>
        </w:rPr>
        <w:fldChar w:fldCharType="begin"/>
      </w:r>
      <w:r>
        <w:rPr>
          <w:color w:val="auto"/>
        </w:rPr>
        <w:instrText xml:space="preserve"> PAGEREF _Toc6876 \h </w:instrText>
      </w:r>
      <w:r>
        <w:rPr>
          <w:color w:val="auto"/>
        </w:rPr>
        <w:fldChar w:fldCharType="separate"/>
      </w:r>
      <w:r>
        <w:rPr>
          <w:color w:val="auto"/>
        </w:rPr>
        <w:t>11</w:t>
      </w:r>
      <w:r>
        <w:rPr>
          <w:color w:val="auto"/>
        </w:rPr>
        <w:fldChar w:fldCharType="end"/>
      </w:r>
      <w:r>
        <w:rPr>
          <w:rFonts w:hint="eastAsia"/>
          <w:color w:val="auto"/>
          <w:szCs w:val="24"/>
        </w:rPr>
        <w:fldChar w:fldCharType="end"/>
      </w:r>
    </w:p>
    <w:p w14:paraId="133D7AAA">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_Toc26884 </w:instrText>
      </w:r>
      <w:r>
        <w:rPr>
          <w:rFonts w:hint="eastAsia"/>
          <w:color w:val="auto"/>
          <w:szCs w:val="24"/>
        </w:rPr>
        <w:fldChar w:fldCharType="separate"/>
      </w:r>
      <w:r>
        <w:rPr>
          <w:rFonts w:hint="eastAsia"/>
          <w:bCs/>
          <w:color w:val="auto"/>
          <w:szCs w:val="28"/>
        </w:rPr>
        <w:t>3.1 车辆基地分类</w:t>
      </w:r>
      <w:r>
        <w:rPr>
          <w:color w:val="auto"/>
        </w:rPr>
        <w:tab/>
      </w:r>
      <w:r>
        <w:rPr>
          <w:color w:val="auto"/>
        </w:rPr>
        <w:fldChar w:fldCharType="begin"/>
      </w:r>
      <w:r>
        <w:rPr>
          <w:color w:val="auto"/>
        </w:rPr>
        <w:instrText xml:space="preserve"> PAGEREF _Toc26884 \h </w:instrText>
      </w:r>
      <w:r>
        <w:rPr>
          <w:color w:val="auto"/>
        </w:rPr>
        <w:fldChar w:fldCharType="separate"/>
      </w:r>
      <w:r>
        <w:rPr>
          <w:color w:val="auto"/>
        </w:rPr>
        <w:t>11</w:t>
      </w:r>
      <w:r>
        <w:rPr>
          <w:color w:val="auto"/>
        </w:rPr>
        <w:fldChar w:fldCharType="end"/>
      </w:r>
      <w:r>
        <w:rPr>
          <w:rFonts w:hint="eastAsia"/>
          <w:color w:val="auto"/>
          <w:szCs w:val="24"/>
        </w:rPr>
        <w:fldChar w:fldCharType="end"/>
      </w:r>
    </w:p>
    <w:p w14:paraId="491166E6">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_Toc29237 </w:instrText>
      </w:r>
      <w:r>
        <w:rPr>
          <w:rFonts w:hint="eastAsia"/>
          <w:color w:val="auto"/>
          <w:szCs w:val="24"/>
        </w:rPr>
        <w:fldChar w:fldCharType="separate"/>
      </w:r>
      <w:r>
        <w:rPr>
          <w:rFonts w:hint="eastAsia" w:ascii="Times New Roman" w:hAnsi="Times New Roman" w:eastAsia="宋体" w:cs="Times New Roman"/>
          <w:bCs/>
          <w:color w:val="auto"/>
          <w:szCs w:val="28"/>
        </w:rPr>
        <w:t>3.2 建筑分类</w:t>
      </w:r>
      <w:r>
        <w:rPr>
          <w:color w:val="auto"/>
        </w:rPr>
        <w:tab/>
      </w:r>
      <w:r>
        <w:rPr>
          <w:color w:val="auto"/>
        </w:rPr>
        <w:fldChar w:fldCharType="begin"/>
      </w:r>
      <w:r>
        <w:rPr>
          <w:color w:val="auto"/>
        </w:rPr>
        <w:instrText xml:space="preserve"> PAGEREF _Toc29237 \h </w:instrText>
      </w:r>
      <w:r>
        <w:rPr>
          <w:color w:val="auto"/>
        </w:rPr>
        <w:fldChar w:fldCharType="separate"/>
      </w:r>
      <w:r>
        <w:rPr>
          <w:color w:val="auto"/>
        </w:rPr>
        <w:t>11</w:t>
      </w:r>
      <w:r>
        <w:rPr>
          <w:color w:val="auto"/>
        </w:rPr>
        <w:fldChar w:fldCharType="end"/>
      </w:r>
      <w:r>
        <w:rPr>
          <w:rFonts w:hint="eastAsia"/>
          <w:color w:val="auto"/>
          <w:szCs w:val="24"/>
        </w:rPr>
        <w:fldChar w:fldCharType="end"/>
      </w:r>
    </w:p>
    <w:p w14:paraId="5FBE5275">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_Toc31190 </w:instrText>
      </w:r>
      <w:r>
        <w:rPr>
          <w:rFonts w:hint="eastAsia"/>
          <w:color w:val="auto"/>
          <w:szCs w:val="24"/>
        </w:rPr>
        <w:fldChar w:fldCharType="separate"/>
      </w:r>
      <w:r>
        <w:rPr>
          <w:rFonts w:hint="eastAsia" w:ascii="黑体" w:hAnsi="黑体" w:eastAsia="黑体"/>
          <w:bCs/>
          <w:color w:val="auto"/>
          <w:szCs w:val="32"/>
          <w:lang w:val="en-US" w:eastAsia="zh-CN"/>
        </w:rPr>
        <w:t xml:space="preserve">4 </w:t>
      </w:r>
      <w:r>
        <w:rPr>
          <w:rFonts w:hint="eastAsia" w:ascii="黑体" w:hAnsi="黑体" w:eastAsia="黑体"/>
          <w:bCs/>
          <w:color w:val="auto"/>
          <w:szCs w:val="32"/>
        </w:rPr>
        <w:t>工艺设计</w:t>
      </w:r>
      <w:r>
        <w:rPr>
          <w:color w:val="auto"/>
        </w:rPr>
        <w:tab/>
      </w:r>
      <w:r>
        <w:rPr>
          <w:color w:val="auto"/>
        </w:rPr>
        <w:fldChar w:fldCharType="begin"/>
      </w:r>
      <w:r>
        <w:rPr>
          <w:color w:val="auto"/>
        </w:rPr>
        <w:instrText xml:space="preserve"> PAGEREF _Toc31190 \h </w:instrText>
      </w:r>
      <w:r>
        <w:rPr>
          <w:color w:val="auto"/>
        </w:rPr>
        <w:fldChar w:fldCharType="separate"/>
      </w:r>
      <w:r>
        <w:rPr>
          <w:color w:val="auto"/>
        </w:rPr>
        <w:t>12</w:t>
      </w:r>
      <w:r>
        <w:rPr>
          <w:color w:val="auto"/>
        </w:rPr>
        <w:fldChar w:fldCharType="end"/>
      </w:r>
      <w:r>
        <w:rPr>
          <w:rFonts w:hint="eastAsia"/>
          <w:color w:val="auto"/>
          <w:szCs w:val="24"/>
        </w:rPr>
        <w:fldChar w:fldCharType="end"/>
      </w:r>
    </w:p>
    <w:p w14:paraId="5C42642A">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_Toc16075 </w:instrText>
      </w:r>
      <w:r>
        <w:rPr>
          <w:rFonts w:hint="eastAsia"/>
          <w:color w:val="auto"/>
          <w:szCs w:val="24"/>
        </w:rPr>
        <w:fldChar w:fldCharType="separate"/>
      </w:r>
      <w:r>
        <w:rPr>
          <w:rFonts w:hint="eastAsia"/>
          <w:bCs/>
          <w:color w:val="auto"/>
          <w:szCs w:val="24"/>
        </w:rPr>
        <w:t>4.</w:t>
      </w:r>
      <w:r>
        <w:rPr>
          <w:rFonts w:hint="eastAsia"/>
          <w:bCs/>
          <w:color w:val="auto"/>
          <w:szCs w:val="24"/>
          <w:lang w:val="en-US" w:eastAsia="zh-CN"/>
        </w:rPr>
        <w:t>0.</w:t>
      </w:r>
      <w:r>
        <w:rPr>
          <w:rFonts w:hint="eastAsia"/>
          <w:bCs/>
          <w:color w:val="auto"/>
          <w:szCs w:val="24"/>
        </w:rPr>
        <w:t>1 工艺节能设计一般规定</w:t>
      </w:r>
      <w:r>
        <w:rPr>
          <w:rFonts w:hint="eastAsia"/>
          <w:bCs/>
          <w:color w:val="auto"/>
          <w:szCs w:val="24"/>
          <w:lang w:val="en-US" w:eastAsia="zh-CN"/>
        </w:rPr>
        <w:t>应符合下列要求：</w:t>
      </w:r>
      <w:r>
        <w:rPr>
          <w:color w:val="auto"/>
        </w:rPr>
        <w:tab/>
      </w:r>
      <w:r>
        <w:rPr>
          <w:color w:val="auto"/>
        </w:rPr>
        <w:fldChar w:fldCharType="begin"/>
      </w:r>
      <w:r>
        <w:rPr>
          <w:color w:val="auto"/>
        </w:rPr>
        <w:instrText xml:space="preserve"> PAGEREF _Toc16075 \h </w:instrText>
      </w:r>
      <w:r>
        <w:rPr>
          <w:color w:val="auto"/>
        </w:rPr>
        <w:fldChar w:fldCharType="separate"/>
      </w:r>
      <w:r>
        <w:rPr>
          <w:color w:val="auto"/>
        </w:rPr>
        <w:t>12</w:t>
      </w:r>
      <w:r>
        <w:rPr>
          <w:color w:val="auto"/>
        </w:rPr>
        <w:fldChar w:fldCharType="end"/>
      </w:r>
      <w:r>
        <w:rPr>
          <w:rFonts w:hint="eastAsia"/>
          <w:color w:val="auto"/>
          <w:szCs w:val="24"/>
        </w:rPr>
        <w:fldChar w:fldCharType="end"/>
      </w:r>
    </w:p>
    <w:p w14:paraId="208E764F">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_Toc19474 </w:instrText>
      </w:r>
      <w:r>
        <w:rPr>
          <w:rFonts w:hint="eastAsia"/>
          <w:color w:val="auto"/>
          <w:szCs w:val="24"/>
        </w:rPr>
        <w:fldChar w:fldCharType="separate"/>
      </w:r>
      <w:r>
        <w:rPr>
          <w:rFonts w:hint="eastAsia"/>
          <w:bCs/>
          <w:color w:val="auto"/>
          <w:szCs w:val="24"/>
        </w:rPr>
        <w:t>4.</w:t>
      </w:r>
      <w:r>
        <w:rPr>
          <w:rFonts w:hint="eastAsia"/>
          <w:bCs/>
          <w:color w:val="auto"/>
          <w:szCs w:val="24"/>
          <w:lang w:val="en-US" w:eastAsia="zh-CN"/>
        </w:rPr>
        <w:t>0.</w:t>
      </w:r>
      <w:r>
        <w:rPr>
          <w:rFonts w:hint="eastAsia"/>
          <w:bCs/>
          <w:color w:val="auto"/>
          <w:szCs w:val="24"/>
        </w:rPr>
        <w:t>2工艺检修设备设计</w:t>
      </w:r>
      <w:r>
        <w:rPr>
          <w:rFonts w:hint="eastAsia"/>
          <w:bCs/>
          <w:color w:val="auto"/>
          <w:szCs w:val="24"/>
          <w:lang w:val="en-US" w:eastAsia="zh-CN"/>
        </w:rPr>
        <w:t>应符合下列要求：</w:t>
      </w:r>
      <w:r>
        <w:rPr>
          <w:color w:val="auto"/>
        </w:rPr>
        <w:tab/>
      </w:r>
      <w:r>
        <w:rPr>
          <w:color w:val="auto"/>
        </w:rPr>
        <w:fldChar w:fldCharType="begin"/>
      </w:r>
      <w:r>
        <w:rPr>
          <w:color w:val="auto"/>
        </w:rPr>
        <w:instrText xml:space="preserve"> PAGEREF _Toc19474 \h </w:instrText>
      </w:r>
      <w:r>
        <w:rPr>
          <w:color w:val="auto"/>
        </w:rPr>
        <w:fldChar w:fldCharType="separate"/>
      </w:r>
      <w:r>
        <w:rPr>
          <w:color w:val="auto"/>
        </w:rPr>
        <w:t>12</w:t>
      </w:r>
      <w:r>
        <w:rPr>
          <w:color w:val="auto"/>
        </w:rPr>
        <w:fldChar w:fldCharType="end"/>
      </w:r>
      <w:r>
        <w:rPr>
          <w:rFonts w:hint="eastAsia"/>
          <w:color w:val="auto"/>
          <w:szCs w:val="24"/>
        </w:rPr>
        <w:fldChar w:fldCharType="end"/>
      </w:r>
    </w:p>
    <w:p w14:paraId="4079F0FE">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_Toc183 </w:instrText>
      </w:r>
      <w:r>
        <w:rPr>
          <w:rFonts w:hint="eastAsia"/>
          <w:color w:val="auto"/>
          <w:szCs w:val="24"/>
        </w:rPr>
        <w:fldChar w:fldCharType="separate"/>
      </w:r>
      <w:r>
        <w:rPr>
          <w:rFonts w:hint="eastAsia"/>
          <w:bCs/>
          <w:color w:val="auto"/>
          <w:szCs w:val="24"/>
        </w:rPr>
        <w:t>4.</w:t>
      </w:r>
      <w:r>
        <w:rPr>
          <w:rFonts w:hint="eastAsia"/>
          <w:bCs/>
          <w:color w:val="auto"/>
          <w:szCs w:val="24"/>
          <w:lang w:val="en-US" w:eastAsia="zh-CN"/>
        </w:rPr>
        <w:t>0.</w:t>
      </w:r>
      <w:r>
        <w:rPr>
          <w:rFonts w:hint="eastAsia"/>
          <w:bCs/>
          <w:color w:val="auto"/>
          <w:szCs w:val="24"/>
        </w:rPr>
        <w:t>3工艺流程配套设计</w:t>
      </w:r>
      <w:r>
        <w:rPr>
          <w:rFonts w:hint="eastAsia"/>
          <w:bCs/>
          <w:color w:val="auto"/>
          <w:szCs w:val="24"/>
          <w:lang w:val="en-US" w:eastAsia="zh-CN"/>
        </w:rPr>
        <w:t>应符合下列要求：</w:t>
      </w:r>
      <w:r>
        <w:rPr>
          <w:color w:val="auto"/>
        </w:rPr>
        <w:tab/>
      </w:r>
      <w:r>
        <w:rPr>
          <w:color w:val="auto"/>
        </w:rPr>
        <w:fldChar w:fldCharType="begin"/>
      </w:r>
      <w:r>
        <w:rPr>
          <w:color w:val="auto"/>
        </w:rPr>
        <w:instrText xml:space="preserve"> PAGEREF _Toc183 \h </w:instrText>
      </w:r>
      <w:r>
        <w:rPr>
          <w:color w:val="auto"/>
        </w:rPr>
        <w:fldChar w:fldCharType="separate"/>
      </w:r>
      <w:r>
        <w:rPr>
          <w:color w:val="auto"/>
        </w:rPr>
        <w:t>12</w:t>
      </w:r>
      <w:r>
        <w:rPr>
          <w:color w:val="auto"/>
        </w:rPr>
        <w:fldChar w:fldCharType="end"/>
      </w:r>
      <w:r>
        <w:rPr>
          <w:rFonts w:hint="eastAsia"/>
          <w:color w:val="auto"/>
          <w:szCs w:val="24"/>
        </w:rPr>
        <w:fldChar w:fldCharType="end"/>
      </w:r>
    </w:p>
    <w:p w14:paraId="71EDF7C8">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_Toc14987 </w:instrText>
      </w:r>
      <w:r>
        <w:rPr>
          <w:rFonts w:hint="eastAsia"/>
          <w:color w:val="auto"/>
          <w:szCs w:val="24"/>
        </w:rPr>
        <w:fldChar w:fldCharType="separate"/>
      </w:r>
      <w:r>
        <w:rPr>
          <w:rFonts w:hint="eastAsia" w:ascii="黑体" w:hAnsi="黑体" w:eastAsia="黑体"/>
          <w:bCs/>
          <w:color w:val="auto"/>
          <w:szCs w:val="32"/>
          <w:lang w:val="en-US" w:eastAsia="zh-CN"/>
        </w:rPr>
        <w:t xml:space="preserve">5 </w:t>
      </w:r>
      <w:r>
        <w:rPr>
          <w:rFonts w:hint="eastAsia" w:ascii="黑体" w:hAnsi="黑体" w:eastAsia="黑体"/>
          <w:bCs/>
          <w:color w:val="auto"/>
          <w:szCs w:val="32"/>
        </w:rPr>
        <w:t>站场设计</w:t>
      </w:r>
      <w:r>
        <w:rPr>
          <w:color w:val="auto"/>
        </w:rPr>
        <w:tab/>
      </w:r>
      <w:r>
        <w:rPr>
          <w:color w:val="auto"/>
        </w:rPr>
        <w:fldChar w:fldCharType="begin"/>
      </w:r>
      <w:r>
        <w:rPr>
          <w:color w:val="auto"/>
        </w:rPr>
        <w:instrText xml:space="preserve"> PAGEREF _Toc14987 \h </w:instrText>
      </w:r>
      <w:r>
        <w:rPr>
          <w:color w:val="auto"/>
        </w:rPr>
        <w:fldChar w:fldCharType="separate"/>
      </w:r>
      <w:r>
        <w:rPr>
          <w:color w:val="auto"/>
        </w:rPr>
        <w:t>14</w:t>
      </w:r>
      <w:r>
        <w:rPr>
          <w:color w:val="auto"/>
        </w:rPr>
        <w:fldChar w:fldCharType="end"/>
      </w:r>
      <w:r>
        <w:rPr>
          <w:rFonts w:hint="eastAsia"/>
          <w:color w:val="auto"/>
          <w:szCs w:val="24"/>
        </w:rPr>
        <w:fldChar w:fldCharType="end"/>
      </w:r>
    </w:p>
    <w:p w14:paraId="10D91DD3">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_Toc32308 </w:instrText>
      </w:r>
      <w:r>
        <w:rPr>
          <w:rFonts w:hint="eastAsia"/>
          <w:color w:val="auto"/>
          <w:szCs w:val="24"/>
        </w:rPr>
        <w:fldChar w:fldCharType="separate"/>
      </w:r>
      <w:r>
        <w:rPr>
          <w:rFonts w:hint="eastAsia" w:ascii="Times New Roman" w:hAnsi="Times New Roman" w:eastAsia="宋体" w:cs="Times New Roman"/>
          <w:bCs/>
          <w:color w:val="auto"/>
          <w:szCs w:val="28"/>
        </w:rPr>
        <w:t>5.1 总体布局</w:t>
      </w:r>
      <w:r>
        <w:rPr>
          <w:color w:val="auto"/>
        </w:rPr>
        <w:tab/>
      </w:r>
      <w:r>
        <w:rPr>
          <w:color w:val="auto"/>
        </w:rPr>
        <w:fldChar w:fldCharType="begin"/>
      </w:r>
      <w:r>
        <w:rPr>
          <w:color w:val="auto"/>
        </w:rPr>
        <w:instrText xml:space="preserve"> PAGEREF _Toc32308 \h </w:instrText>
      </w:r>
      <w:r>
        <w:rPr>
          <w:color w:val="auto"/>
        </w:rPr>
        <w:fldChar w:fldCharType="separate"/>
      </w:r>
      <w:r>
        <w:rPr>
          <w:color w:val="auto"/>
        </w:rPr>
        <w:t>14</w:t>
      </w:r>
      <w:r>
        <w:rPr>
          <w:color w:val="auto"/>
        </w:rPr>
        <w:fldChar w:fldCharType="end"/>
      </w:r>
      <w:r>
        <w:rPr>
          <w:rFonts w:hint="eastAsia"/>
          <w:color w:val="auto"/>
          <w:szCs w:val="24"/>
        </w:rPr>
        <w:fldChar w:fldCharType="end"/>
      </w:r>
    </w:p>
    <w:p w14:paraId="04D6E616">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_Toc13944 </w:instrText>
      </w:r>
      <w:r>
        <w:rPr>
          <w:rFonts w:hint="eastAsia"/>
          <w:color w:val="auto"/>
          <w:szCs w:val="24"/>
        </w:rPr>
        <w:fldChar w:fldCharType="separate"/>
      </w:r>
      <w:r>
        <w:rPr>
          <w:rFonts w:hint="eastAsia" w:ascii="Times New Roman" w:hAnsi="Times New Roman" w:eastAsia="宋体" w:cs="Times New Roman"/>
          <w:bCs/>
          <w:color w:val="auto"/>
          <w:szCs w:val="28"/>
        </w:rPr>
        <w:t>5.2 平面布置</w:t>
      </w:r>
      <w:r>
        <w:rPr>
          <w:color w:val="auto"/>
        </w:rPr>
        <w:tab/>
      </w:r>
      <w:r>
        <w:rPr>
          <w:color w:val="auto"/>
        </w:rPr>
        <w:fldChar w:fldCharType="begin"/>
      </w:r>
      <w:r>
        <w:rPr>
          <w:color w:val="auto"/>
        </w:rPr>
        <w:instrText xml:space="preserve"> PAGEREF _Toc13944 \h </w:instrText>
      </w:r>
      <w:r>
        <w:rPr>
          <w:color w:val="auto"/>
        </w:rPr>
        <w:fldChar w:fldCharType="separate"/>
      </w:r>
      <w:r>
        <w:rPr>
          <w:color w:val="auto"/>
        </w:rPr>
        <w:t>14</w:t>
      </w:r>
      <w:r>
        <w:rPr>
          <w:color w:val="auto"/>
        </w:rPr>
        <w:fldChar w:fldCharType="end"/>
      </w:r>
      <w:r>
        <w:rPr>
          <w:rFonts w:hint="eastAsia"/>
          <w:color w:val="auto"/>
          <w:szCs w:val="24"/>
        </w:rPr>
        <w:fldChar w:fldCharType="end"/>
      </w:r>
    </w:p>
    <w:p w14:paraId="726582E1">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_Toc16354 </w:instrText>
      </w:r>
      <w:r>
        <w:rPr>
          <w:rFonts w:hint="eastAsia"/>
          <w:color w:val="auto"/>
          <w:szCs w:val="24"/>
        </w:rPr>
        <w:fldChar w:fldCharType="separate"/>
      </w:r>
      <w:r>
        <w:rPr>
          <w:rFonts w:hint="eastAsia" w:ascii="Times New Roman" w:hAnsi="Times New Roman" w:eastAsia="宋体" w:cs="Times New Roman"/>
          <w:bCs/>
          <w:color w:val="auto"/>
          <w:szCs w:val="28"/>
        </w:rPr>
        <w:t>5.3 轨道设计</w:t>
      </w:r>
      <w:r>
        <w:rPr>
          <w:color w:val="auto"/>
        </w:rPr>
        <w:tab/>
      </w:r>
      <w:r>
        <w:rPr>
          <w:color w:val="auto"/>
        </w:rPr>
        <w:fldChar w:fldCharType="begin"/>
      </w:r>
      <w:r>
        <w:rPr>
          <w:color w:val="auto"/>
        </w:rPr>
        <w:instrText xml:space="preserve"> PAGEREF _Toc16354 \h </w:instrText>
      </w:r>
      <w:r>
        <w:rPr>
          <w:color w:val="auto"/>
        </w:rPr>
        <w:fldChar w:fldCharType="separate"/>
      </w:r>
      <w:r>
        <w:rPr>
          <w:color w:val="auto"/>
        </w:rPr>
        <w:t>15</w:t>
      </w:r>
      <w:r>
        <w:rPr>
          <w:color w:val="auto"/>
        </w:rPr>
        <w:fldChar w:fldCharType="end"/>
      </w:r>
      <w:r>
        <w:rPr>
          <w:rFonts w:hint="eastAsia"/>
          <w:color w:val="auto"/>
          <w:szCs w:val="24"/>
        </w:rPr>
        <w:fldChar w:fldCharType="end"/>
      </w:r>
    </w:p>
    <w:p w14:paraId="68D086CA">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_Toc6451 </w:instrText>
      </w:r>
      <w:r>
        <w:rPr>
          <w:rFonts w:hint="eastAsia"/>
          <w:color w:val="auto"/>
          <w:szCs w:val="24"/>
        </w:rPr>
        <w:fldChar w:fldCharType="separate"/>
      </w:r>
      <w:r>
        <w:rPr>
          <w:rFonts w:hint="eastAsia" w:ascii="Times New Roman" w:hAnsi="Times New Roman" w:eastAsia="宋体" w:cs="Times New Roman"/>
          <w:bCs/>
          <w:color w:val="auto"/>
          <w:szCs w:val="28"/>
        </w:rPr>
        <w:t>5.4 海绵城市</w:t>
      </w:r>
      <w:r>
        <w:rPr>
          <w:color w:val="auto"/>
        </w:rPr>
        <w:tab/>
      </w:r>
      <w:r>
        <w:rPr>
          <w:color w:val="auto"/>
        </w:rPr>
        <w:fldChar w:fldCharType="begin"/>
      </w:r>
      <w:r>
        <w:rPr>
          <w:color w:val="auto"/>
        </w:rPr>
        <w:instrText xml:space="preserve"> PAGEREF _Toc6451 \h </w:instrText>
      </w:r>
      <w:r>
        <w:rPr>
          <w:color w:val="auto"/>
        </w:rPr>
        <w:fldChar w:fldCharType="separate"/>
      </w:r>
      <w:r>
        <w:rPr>
          <w:color w:val="auto"/>
        </w:rPr>
        <w:t>15</w:t>
      </w:r>
      <w:r>
        <w:rPr>
          <w:color w:val="auto"/>
        </w:rPr>
        <w:fldChar w:fldCharType="end"/>
      </w:r>
      <w:r>
        <w:rPr>
          <w:rFonts w:hint="eastAsia"/>
          <w:color w:val="auto"/>
          <w:szCs w:val="24"/>
        </w:rPr>
        <w:fldChar w:fldCharType="end"/>
      </w:r>
    </w:p>
    <w:p w14:paraId="5744D623">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_Toc18433 </w:instrText>
      </w:r>
      <w:r>
        <w:rPr>
          <w:rFonts w:hint="eastAsia"/>
          <w:color w:val="auto"/>
          <w:szCs w:val="24"/>
        </w:rPr>
        <w:fldChar w:fldCharType="separate"/>
      </w:r>
      <w:r>
        <w:rPr>
          <w:rFonts w:hint="eastAsia" w:ascii="Times New Roman" w:hAnsi="Times New Roman" w:eastAsia="宋体" w:cs="Times New Roman"/>
          <w:bCs/>
          <w:color w:val="auto"/>
          <w:szCs w:val="28"/>
        </w:rPr>
        <w:t>5.5 景观设计</w:t>
      </w:r>
      <w:r>
        <w:rPr>
          <w:color w:val="auto"/>
        </w:rPr>
        <w:tab/>
      </w:r>
      <w:r>
        <w:rPr>
          <w:color w:val="auto"/>
        </w:rPr>
        <w:fldChar w:fldCharType="begin"/>
      </w:r>
      <w:r>
        <w:rPr>
          <w:color w:val="auto"/>
        </w:rPr>
        <w:instrText xml:space="preserve"> PAGEREF _Toc18433 \h </w:instrText>
      </w:r>
      <w:r>
        <w:rPr>
          <w:color w:val="auto"/>
        </w:rPr>
        <w:fldChar w:fldCharType="separate"/>
      </w:r>
      <w:r>
        <w:rPr>
          <w:color w:val="auto"/>
        </w:rPr>
        <w:t>16</w:t>
      </w:r>
      <w:r>
        <w:rPr>
          <w:color w:val="auto"/>
        </w:rPr>
        <w:fldChar w:fldCharType="end"/>
      </w:r>
      <w:r>
        <w:rPr>
          <w:rFonts w:hint="eastAsia"/>
          <w:color w:val="auto"/>
          <w:szCs w:val="24"/>
        </w:rPr>
        <w:fldChar w:fldCharType="end"/>
      </w:r>
    </w:p>
    <w:p w14:paraId="502E7A2F">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_Toc30983 </w:instrText>
      </w:r>
      <w:r>
        <w:rPr>
          <w:rFonts w:hint="eastAsia"/>
          <w:color w:val="auto"/>
          <w:szCs w:val="24"/>
        </w:rPr>
        <w:fldChar w:fldCharType="separate"/>
      </w:r>
      <w:r>
        <w:rPr>
          <w:rFonts w:hint="eastAsia" w:ascii="黑体" w:hAnsi="黑体" w:eastAsia="黑体"/>
          <w:bCs/>
          <w:color w:val="auto"/>
          <w:szCs w:val="32"/>
          <w:lang w:val="en-US" w:eastAsia="zh-CN"/>
        </w:rPr>
        <w:t xml:space="preserve">6 </w:t>
      </w:r>
      <w:r>
        <w:rPr>
          <w:rFonts w:hint="eastAsia" w:ascii="黑体" w:hAnsi="黑体" w:eastAsia="黑体" w:cs="Times New Roman"/>
          <w:bCs/>
          <w:color w:val="auto"/>
          <w:szCs w:val="32"/>
        </w:rPr>
        <w:t>建构筑物设计</w:t>
      </w:r>
      <w:r>
        <w:rPr>
          <w:color w:val="auto"/>
        </w:rPr>
        <w:tab/>
      </w:r>
      <w:r>
        <w:rPr>
          <w:color w:val="auto"/>
        </w:rPr>
        <w:fldChar w:fldCharType="begin"/>
      </w:r>
      <w:r>
        <w:rPr>
          <w:color w:val="auto"/>
        </w:rPr>
        <w:instrText xml:space="preserve"> PAGEREF _Toc30983 \h </w:instrText>
      </w:r>
      <w:r>
        <w:rPr>
          <w:color w:val="auto"/>
        </w:rPr>
        <w:fldChar w:fldCharType="separate"/>
      </w:r>
      <w:r>
        <w:rPr>
          <w:color w:val="auto"/>
        </w:rPr>
        <w:t>20</w:t>
      </w:r>
      <w:r>
        <w:rPr>
          <w:color w:val="auto"/>
        </w:rPr>
        <w:fldChar w:fldCharType="end"/>
      </w:r>
      <w:r>
        <w:rPr>
          <w:rFonts w:hint="eastAsia"/>
          <w:color w:val="auto"/>
          <w:szCs w:val="24"/>
        </w:rPr>
        <w:fldChar w:fldCharType="end"/>
      </w:r>
    </w:p>
    <w:p w14:paraId="49C61571">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_Toc9362 </w:instrText>
      </w:r>
      <w:r>
        <w:rPr>
          <w:rFonts w:hint="eastAsia"/>
          <w:color w:val="auto"/>
          <w:szCs w:val="24"/>
        </w:rPr>
        <w:fldChar w:fldCharType="separate"/>
      </w:r>
      <w:r>
        <w:rPr>
          <w:rFonts w:hint="eastAsia" w:ascii="Times New Roman" w:hAnsi="Times New Roman" w:eastAsia="宋体" w:cs="Times New Roman"/>
          <w:bCs/>
          <w:color w:val="auto"/>
          <w:szCs w:val="28"/>
        </w:rPr>
        <w:t>6.1 空间布局</w:t>
      </w:r>
      <w:r>
        <w:rPr>
          <w:color w:val="auto"/>
        </w:rPr>
        <w:tab/>
      </w:r>
      <w:r>
        <w:rPr>
          <w:color w:val="auto"/>
        </w:rPr>
        <w:fldChar w:fldCharType="begin"/>
      </w:r>
      <w:r>
        <w:rPr>
          <w:color w:val="auto"/>
        </w:rPr>
        <w:instrText xml:space="preserve"> PAGEREF _Toc9362 \h </w:instrText>
      </w:r>
      <w:r>
        <w:rPr>
          <w:color w:val="auto"/>
        </w:rPr>
        <w:fldChar w:fldCharType="separate"/>
      </w:r>
      <w:r>
        <w:rPr>
          <w:color w:val="auto"/>
        </w:rPr>
        <w:t>20</w:t>
      </w:r>
      <w:r>
        <w:rPr>
          <w:color w:val="auto"/>
        </w:rPr>
        <w:fldChar w:fldCharType="end"/>
      </w:r>
      <w:r>
        <w:rPr>
          <w:rFonts w:hint="eastAsia"/>
          <w:color w:val="auto"/>
          <w:szCs w:val="24"/>
        </w:rPr>
        <w:fldChar w:fldCharType="end"/>
      </w:r>
    </w:p>
    <w:p w14:paraId="6028FCF4">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_Toc16714 </w:instrText>
      </w:r>
      <w:r>
        <w:rPr>
          <w:rFonts w:hint="eastAsia"/>
          <w:color w:val="auto"/>
          <w:szCs w:val="24"/>
        </w:rPr>
        <w:fldChar w:fldCharType="separate"/>
      </w:r>
      <w:r>
        <w:rPr>
          <w:rFonts w:hint="eastAsia" w:ascii="Times New Roman" w:hAnsi="Times New Roman" w:eastAsia="宋体" w:cs="Times New Roman"/>
          <w:bCs/>
          <w:color w:val="auto"/>
          <w:szCs w:val="28"/>
        </w:rPr>
        <w:t>6.2 围护结构</w:t>
      </w:r>
      <w:r>
        <w:rPr>
          <w:color w:val="auto"/>
        </w:rPr>
        <w:tab/>
      </w:r>
      <w:r>
        <w:rPr>
          <w:color w:val="auto"/>
        </w:rPr>
        <w:fldChar w:fldCharType="begin"/>
      </w:r>
      <w:r>
        <w:rPr>
          <w:color w:val="auto"/>
        </w:rPr>
        <w:instrText xml:space="preserve"> PAGEREF _Toc16714 \h </w:instrText>
      </w:r>
      <w:r>
        <w:rPr>
          <w:color w:val="auto"/>
        </w:rPr>
        <w:fldChar w:fldCharType="separate"/>
      </w:r>
      <w:r>
        <w:rPr>
          <w:color w:val="auto"/>
        </w:rPr>
        <w:t>21</w:t>
      </w:r>
      <w:r>
        <w:rPr>
          <w:color w:val="auto"/>
        </w:rPr>
        <w:fldChar w:fldCharType="end"/>
      </w:r>
      <w:r>
        <w:rPr>
          <w:rFonts w:hint="eastAsia"/>
          <w:color w:val="auto"/>
          <w:szCs w:val="24"/>
        </w:rPr>
        <w:fldChar w:fldCharType="end"/>
      </w:r>
    </w:p>
    <w:p w14:paraId="5D07ACA7">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_Toc15239 </w:instrText>
      </w:r>
      <w:r>
        <w:rPr>
          <w:rFonts w:hint="eastAsia"/>
          <w:color w:val="auto"/>
          <w:szCs w:val="24"/>
        </w:rPr>
        <w:fldChar w:fldCharType="separate"/>
      </w:r>
      <w:r>
        <w:rPr>
          <w:rFonts w:hint="eastAsia" w:ascii="Times New Roman" w:hAnsi="Times New Roman" w:eastAsia="宋体" w:cs="Times New Roman"/>
          <w:bCs/>
          <w:color w:val="auto"/>
          <w:szCs w:val="28"/>
        </w:rPr>
        <w:t>6.3 绿色材料</w:t>
      </w:r>
      <w:r>
        <w:rPr>
          <w:color w:val="auto"/>
        </w:rPr>
        <w:tab/>
      </w:r>
      <w:r>
        <w:rPr>
          <w:color w:val="auto"/>
        </w:rPr>
        <w:fldChar w:fldCharType="begin"/>
      </w:r>
      <w:r>
        <w:rPr>
          <w:color w:val="auto"/>
        </w:rPr>
        <w:instrText xml:space="preserve"> PAGEREF _Toc15239 \h </w:instrText>
      </w:r>
      <w:r>
        <w:rPr>
          <w:color w:val="auto"/>
        </w:rPr>
        <w:fldChar w:fldCharType="separate"/>
      </w:r>
      <w:r>
        <w:rPr>
          <w:color w:val="auto"/>
        </w:rPr>
        <w:t>22</w:t>
      </w:r>
      <w:r>
        <w:rPr>
          <w:color w:val="auto"/>
        </w:rPr>
        <w:fldChar w:fldCharType="end"/>
      </w:r>
      <w:r>
        <w:rPr>
          <w:rFonts w:hint="eastAsia"/>
          <w:color w:val="auto"/>
          <w:szCs w:val="24"/>
        </w:rPr>
        <w:fldChar w:fldCharType="end"/>
      </w:r>
    </w:p>
    <w:p w14:paraId="497818CE">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_Toc4176 </w:instrText>
      </w:r>
      <w:r>
        <w:rPr>
          <w:rFonts w:hint="eastAsia"/>
          <w:color w:val="auto"/>
          <w:szCs w:val="24"/>
        </w:rPr>
        <w:fldChar w:fldCharType="separate"/>
      </w:r>
      <w:r>
        <w:rPr>
          <w:rFonts w:hint="eastAsia" w:ascii="Times New Roman" w:hAnsi="Times New Roman" w:eastAsia="宋体" w:cs="Times New Roman"/>
          <w:bCs/>
          <w:color w:val="auto"/>
          <w:szCs w:val="28"/>
        </w:rPr>
        <w:t>6.4 结构设计</w:t>
      </w:r>
      <w:r>
        <w:rPr>
          <w:color w:val="auto"/>
        </w:rPr>
        <w:tab/>
      </w:r>
      <w:r>
        <w:rPr>
          <w:color w:val="auto"/>
        </w:rPr>
        <w:fldChar w:fldCharType="begin"/>
      </w:r>
      <w:r>
        <w:rPr>
          <w:color w:val="auto"/>
        </w:rPr>
        <w:instrText xml:space="preserve"> PAGEREF _Toc4176 \h </w:instrText>
      </w:r>
      <w:r>
        <w:rPr>
          <w:color w:val="auto"/>
        </w:rPr>
        <w:fldChar w:fldCharType="separate"/>
      </w:r>
      <w:r>
        <w:rPr>
          <w:color w:val="auto"/>
        </w:rPr>
        <w:t>22</w:t>
      </w:r>
      <w:r>
        <w:rPr>
          <w:color w:val="auto"/>
        </w:rPr>
        <w:fldChar w:fldCharType="end"/>
      </w:r>
      <w:r>
        <w:rPr>
          <w:rFonts w:hint="eastAsia"/>
          <w:color w:val="auto"/>
          <w:szCs w:val="24"/>
        </w:rPr>
        <w:fldChar w:fldCharType="end"/>
      </w:r>
    </w:p>
    <w:p w14:paraId="115FFB84">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_Toc26983 </w:instrText>
      </w:r>
      <w:r>
        <w:rPr>
          <w:rFonts w:hint="eastAsia"/>
          <w:color w:val="auto"/>
          <w:szCs w:val="24"/>
        </w:rPr>
        <w:fldChar w:fldCharType="separate"/>
      </w:r>
      <w:r>
        <w:rPr>
          <w:rFonts w:hint="eastAsia" w:ascii="Times New Roman" w:hAnsi="Times New Roman" w:eastAsia="宋体" w:cs="Times New Roman"/>
          <w:bCs/>
          <w:color w:val="auto"/>
          <w:szCs w:val="28"/>
        </w:rPr>
        <w:t>6.5 低碳建造</w:t>
      </w:r>
      <w:r>
        <w:rPr>
          <w:color w:val="auto"/>
        </w:rPr>
        <w:tab/>
      </w:r>
      <w:r>
        <w:rPr>
          <w:color w:val="auto"/>
        </w:rPr>
        <w:fldChar w:fldCharType="begin"/>
      </w:r>
      <w:r>
        <w:rPr>
          <w:color w:val="auto"/>
        </w:rPr>
        <w:instrText xml:space="preserve"> PAGEREF _Toc26983 \h </w:instrText>
      </w:r>
      <w:r>
        <w:rPr>
          <w:color w:val="auto"/>
        </w:rPr>
        <w:fldChar w:fldCharType="separate"/>
      </w:r>
      <w:r>
        <w:rPr>
          <w:color w:val="auto"/>
        </w:rPr>
        <w:t>23</w:t>
      </w:r>
      <w:r>
        <w:rPr>
          <w:color w:val="auto"/>
        </w:rPr>
        <w:fldChar w:fldCharType="end"/>
      </w:r>
      <w:r>
        <w:rPr>
          <w:rFonts w:hint="eastAsia"/>
          <w:color w:val="auto"/>
          <w:szCs w:val="24"/>
        </w:rPr>
        <w:fldChar w:fldCharType="end"/>
      </w:r>
    </w:p>
    <w:p w14:paraId="62707285">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_Toc12800 </w:instrText>
      </w:r>
      <w:r>
        <w:rPr>
          <w:rFonts w:hint="eastAsia"/>
          <w:color w:val="auto"/>
          <w:szCs w:val="24"/>
        </w:rPr>
        <w:fldChar w:fldCharType="separate"/>
      </w:r>
      <w:r>
        <w:rPr>
          <w:rFonts w:hint="eastAsia" w:ascii="黑体" w:hAnsi="黑体" w:eastAsia="黑体" w:cs="Times New Roman"/>
          <w:bCs/>
          <w:color w:val="auto"/>
          <w:szCs w:val="32"/>
          <w:lang w:val="en-US" w:eastAsia="zh-CN"/>
        </w:rPr>
        <w:t xml:space="preserve">7 </w:t>
      </w:r>
      <w:r>
        <w:rPr>
          <w:rFonts w:hint="eastAsia" w:ascii="黑体" w:hAnsi="黑体" w:eastAsia="黑体" w:cs="Times New Roman"/>
          <w:bCs/>
          <w:color w:val="auto"/>
          <w:szCs w:val="32"/>
        </w:rPr>
        <w:t>设备系统设计</w:t>
      </w:r>
      <w:r>
        <w:rPr>
          <w:color w:val="auto"/>
        </w:rPr>
        <w:tab/>
      </w:r>
      <w:r>
        <w:rPr>
          <w:color w:val="auto"/>
        </w:rPr>
        <w:fldChar w:fldCharType="begin"/>
      </w:r>
      <w:r>
        <w:rPr>
          <w:color w:val="auto"/>
        </w:rPr>
        <w:instrText xml:space="preserve"> PAGEREF _Toc12800 \h </w:instrText>
      </w:r>
      <w:r>
        <w:rPr>
          <w:color w:val="auto"/>
        </w:rPr>
        <w:fldChar w:fldCharType="separate"/>
      </w:r>
      <w:r>
        <w:rPr>
          <w:color w:val="auto"/>
        </w:rPr>
        <w:t>24</w:t>
      </w:r>
      <w:r>
        <w:rPr>
          <w:color w:val="auto"/>
        </w:rPr>
        <w:fldChar w:fldCharType="end"/>
      </w:r>
      <w:r>
        <w:rPr>
          <w:rFonts w:hint="eastAsia"/>
          <w:color w:val="auto"/>
          <w:szCs w:val="24"/>
        </w:rPr>
        <w:fldChar w:fldCharType="end"/>
      </w:r>
    </w:p>
    <w:p w14:paraId="086C9503">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_Toc3595 </w:instrText>
      </w:r>
      <w:r>
        <w:rPr>
          <w:rFonts w:hint="eastAsia"/>
          <w:color w:val="auto"/>
          <w:szCs w:val="24"/>
        </w:rPr>
        <w:fldChar w:fldCharType="separate"/>
      </w:r>
      <w:r>
        <w:rPr>
          <w:rFonts w:hint="eastAsia" w:ascii="Times New Roman" w:hAnsi="Times New Roman" w:eastAsia="宋体" w:cs="Times New Roman"/>
          <w:bCs/>
          <w:color w:val="auto"/>
          <w:szCs w:val="28"/>
        </w:rPr>
        <w:t>7.1 冷源与热源</w:t>
      </w:r>
      <w:r>
        <w:rPr>
          <w:color w:val="auto"/>
        </w:rPr>
        <w:tab/>
      </w:r>
      <w:r>
        <w:rPr>
          <w:color w:val="auto"/>
        </w:rPr>
        <w:fldChar w:fldCharType="begin"/>
      </w:r>
      <w:r>
        <w:rPr>
          <w:color w:val="auto"/>
        </w:rPr>
        <w:instrText xml:space="preserve"> PAGEREF _Toc3595 \h </w:instrText>
      </w:r>
      <w:r>
        <w:rPr>
          <w:color w:val="auto"/>
        </w:rPr>
        <w:fldChar w:fldCharType="separate"/>
      </w:r>
      <w:r>
        <w:rPr>
          <w:color w:val="auto"/>
        </w:rPr>
        <w:t>24</w:t>
      </w:r>
      <w:r>
        <w:rPr>
          <w:color w:val="auto"/>
        </w:rPr>
        <w:fldChar w:fldCharType="end"/>
      </w:r>
      <w:r>
        <w:rPr>
          <w:rFonts w:hint="eastAsia"/>
          <w:color w:val="auto"/>
          <w:szCs w:val="24"/>
        </w:rPr>
        <w:fldChar w:fldCharType="end"/>
      </w:r>
    </w:p>
    <w:p w14:paraId="15571742">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_Toc1044 </w:instrText>
      </w:r>
      <w:r>
        <w:rPr>
          <w:rFonts w:hint="eastAsia"/>
          <w:color w:val="auto"/>
          <w:szCs w:val="24"/>
        </w:rPr>
        <w:fldChar w:fldCharType="separate"/>
      </w:r>
      <w:r>
        <w:rPr>
          <w:rFonts w:hint="eastAsia" w:ascii="Times New Roman" w:hAnsi="Times New Roman" w:eastAsia="宋体" w:cs="Times New Roman"/>
          <w:bCs/>
          <w:color w:val="auto"/>
          <w:szCs w:val="28"/>
        </w:rPr>
        <w:t>7.2 输配系统</w:t>
      </w:r>
      <w:r>
        <w:rPr>
          <w:color w:val="auto"/>
        </w:rPr>
        <w:tab/>
      </w:r>
      <w:r>
        <w:rPr>
          <w:color w:val="auto"/>
        </w:rPr>
        <w:fldChar w:fldCharType="begin"/>
      </w:r>
      <w:r>
        <w:rPr>
          <w:color w:val="auto"/>
        </w:rPr>
        <w:instrText xml:space="preserve"> PAGEREF _Toc1044 \h </w:instrText>
      </w:r>
      <w:r>
        <w:rPr>
          <w:color w:val="auto"/>
        </w:rPr>
        <w:fldChar w:fldCharType="separate"/>
      </w:r>
      <w:r>
        <w:rPr>
          <w:color w:val="auto"/>
        </w:rPr>
        <w:t>25</w:t>
      </w:r>
      <w:r>
        <w:rPr>
          <w:color w:val="auto"/>
        </w:rPr>
        <w:fldChar w:fldCharType="end"/>
      </w:r>
      <w:r>
        <w:rPr>
          <w:rFonts w:hint="eastAsia"/>
          <w:color w:val="auto"/>
          <w:szCs w:val="24"/>
        </w:rPr>
        <w:fldChar w:fldCharType="end"/>
      </w:r>
    </w:p>
    <w:p w14:paraId="2FC360BA">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_Toc16490 </w:instrText>
      </w:r>
      <w:r>
        <w:rPr>
          <w:rFonts w:hint="eastAsia"/>
          <w:color w:val="auto"/>
          <w:szCs w:val="24"/>
        </w:rPr>
        <w:fldChar w:fldCharType="separate"/>
      </w:r>
      <w:r>
        <w:rPr>
          <w:rFonts w:hint="eastAsia" w:ascii="Times New Roman" w:hAnsi="Times New Roman" w:eastAsia="宋体" w:cs="Times New Roman"/>
          <w:bCs/>
          <w:color w:val="auto"/>
          <w:szCs w:val="28"/>
        </w:rPr>
        <w:t>7.3 末端系统</w:t>
      </w:r>
      <w:r>
        <w:rPr>
          <w:color w:val="auto"/>
        </w:rPr>
        <w:tab/>
      </w:r>
      <w:r>
        <w:rPr>
          <w:color w:val="auto"/>
        </w:rPr>
        <w:fldChar w:fldCharType="begin"/>
      </w:r>
      <w:r>
        <w:rPr>
          <w:color w:val="auto"/>
        </w:rPr>
        <w:instrText xml:space="preserve"> PAGEREF _Toc16490 \h </w:instrText>
      </w:r>
      <w:r>
        <w:rPr>
          <w:color w:val="auto"/>
        </w:rPr>
        <w:fldChar w:fldCharType="separate"/>
      </w:r>
      <w:r>
        <w:rPr>
          <w:color w:val="auto"/>
        </w:rPr>
        <w:t>27</w:t>
      </w:r>
      <w:r>
        <w:rPr>
          <w:color w:val="auto"/>
        </w:rPr>
        <w:fldChar w:fldCharType="end"/>
      </w:r>
      <w:r>
        <w:rPr>
          <w:rFonts w:hint="eastAsia"/>
          <w:color w:val="auto"/>
          <w:szCs w:val="24"/>
        </w:rPr>
        <w:fldChar w:fldCharType="end"/>
      </w:r>
    </w:p>
    <w:p w14:paraId="79D72639">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_Toc14663 </w:instrText>
      </w:r>
      <w:r>
        <w:rPr>
          <w:rFonts w:hint="eastAsia"/>
          <w:color w:val="auto"/>
          <w:szCs w:val="24"/>
        </w:rPr>
        <w:fldChar w:fldCharType="separate"/>
      </w:r>
      <w:r>
        <w:rPr>
          <w:rFonts w:hint="eastAsia" w:ascii="Times New Roman" w:hAnsi="Times New Roman" w:eastAsia="宋体" w:cs="Times New Roman"/>
          <w:bCs/>
          <w:color w:val="auto"/>
          <w:szCs w:val="28"/>
        </w:rPr>
        <w:t>7.4 给水与排水系统</w:t>
      </w:r>
      <w:r>
        <w:rPr>
          <w:color w:val="auto"/>
        </w:rPr>
        <w:tab/>
      </w:r>
      <w:r>
        <w:rPr>
          <w:color w:val="auto"/>
        </w:rPr>
        <w:fldChar w:fldCharType="begin"/>
      </w:r>
      <w:r>
        <w:rPr>
          <w:color w:val="auto"/>
        </w:rPr>
        <w:instrText xml:space="preserve"> PAGEREF _Toc14663 \h </w:instrText>
      </w:r>
      <w:r>
        <w:rPr>
          <w:color w:val="auto"/>
        </w:rPr>
        <w:fldChar w:fldCharType="separate"/>
      </w:r>
      <w:r>
        <w:rPr>
          <w:color w:val="auto"/>
        </w:rPr>
        <w:t>28</w:t>
      </w:r>
      <w:r>
        <w:rPr>
          <w:color w:val="auto"/>
        </w:rPr>
        <w:fldChar w:fldCharType="end"/>
      </w:r>
      <w:r>
        <w:rPr>
          <w:rFonts w:hint="eastAsia"/>
          <w:color w:val="auto"/>
          <w:szCs w:val="24"/>
        </w:rPr>
        <w:fldChar w:fldCharType="end"/>
      </w:r>
    </w:p>
    <w:p w14:paraId="40BB3570">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_Toc27013 </w:instrText>
      </w:r>
      <w:r>
        <w:rPr>
          <w:rFonts w:hint="eastAsia"/>
          <w:color w:val="auto"/>
          <w:szCs w:val="24"/>
        </w:rPr>
        <w:fldChar w:fldCharType="separate"/>
      </w:r>
      <w:r>
        <w:rPr>
          <w:rFonts w:hint="eastAsia" w:ascii="Times New Roman" w:hAnsi="Times New Roman" w:eastAsia="宋体" w:cs="Times New Roman"/>
          <w:bCs/>
          <w:color w:val="auto"/>
          <w:szCs w:val="28"/>
        </w:rPr>
        <w:t>7.5 生活热水</w:t>
      </w:r>
      <w:r>
        <w:rPr>
          <w:color w:val="auto"/>
        </w:rPr>
        <w:tab/>
      </w:r>
      <w:r>
        <w:rPr>
          <w:color w:val="auto"/>
        </w:rPr>
        <w:fldChar w:fldCharType="begin"/>
      </w:r>
      <w:r>
        <w:rPr>
          <w:color w:val="auto"/>
        </w:rPr>
        <w:instrText xml:space="preserve"> PAGEREF _Toc27013 \h </w:instrText>
      </w:r>
      <w:r>
        <w:rPr>
          <w:color w:val="auto"/>
        </w:rPr>
        <w:fldChar w:fldCharType="separate"/>
      </w:r>
      <w:r>
        <w:rPr>
          <w:color w:val="auto"/>
        </w:rPr>
        <w:t>29</w:t>
      </w:r>
      <w:r>
        <w:rPr>
          <w:color w:val="auto"/>
        </w:rPr>
        <w:fldChar w:fldCharType="end"/>
      </w:r>
      <w:r>
        <w:rPr>
          <w:rFonts w:hint="eastAsia"/>
          <w:color w:val="auto"/>
          <w:szCs w:val="24"/>
        </w:rPr>
        <w:fldChar w:fldCharType="end"/>
      </w:r>
    </w:p>
    <w:p w14:paraId="0F154148">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_Toc23292 </w:instrText>
      </w:r>
      <w:r>
        <w:rPr>
          <w:rFonts w:hint="eastAsia"/>
          <w:color w:val="auto"/>
          <w:szCs w:val="24"/>
        </w:rPr>
        <w:fldChar w:fldCharType="separate"/>
      </w:r>
      <w:r>
        <w:rPr>
          <w:rFonts w:hint="eastAsia" w:ascii="Times New Roman" w:hAnsi="Times New Roman" w:eastAsia="宋体" w:cs="Times New Roman"/>
          <w:bCs/>
          <w:color w:val="auto"/>
          <w:szCs w:val="28"/>
        </w:rPr>
        <w:t>7.6 供电系统设计</w:t>
      </w:r>
      <w:r>
        <w:rPr>
          <w:color w:val="auto"/>
        </w:rPr>
        <w:tab/>
      </w:r>
      <w:r>
        <w:rPr>
          <w:color w:val="auto"/>
        </w:rPr>
        <w:fldChar w:fldCharType="begin"/>
      </w:r>
      <w:r>
        <w:rPr>
          <w:color w:val="auto"/>
        </w:rPr>
        <w:instrText xml:space="preserve"> PAGEREF _Toc23292 \h </w:instrText>
      </w:r>
      <w:r>
        <w:rPr>
          <w:color w:val="auto"/>
        </w:rPr>
        <w:fldChar w:fldCharType="separate"/>
      </w:r>
      <w:r>
        <w:rPr>
          <w:color w:val="auto"/>
        </w:rPr>
        <w:t>29</w:t>
      </w:r>
      <w:r>
        <w:rPr>
          <w:color w:val="auto"/>
        </w:rPr>
        <w:fldChar w:fldCharType="end"/>
      </w:r>
      <w:r>
        <w:rPr>
          <w:rFonts w:hint="eastAsia"/>
          <w:color w:val="auto"/>
          <w:szCs w:val="24"/>
        </w:rPr>
        <w:fldChar w:fldCharType="end"/>
      </w:r>
    </w:p>
    <w:p w14:paraId="23B6AC5D">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_Toc18419 </w:instrText>
      </w:r>
      <w:r>
        <w:rPr>
          <w:rFonts w:hint="eastAsia"/>
          <w:color w:val="auto"/>
          <w:szCs w:val="24"/>
        </w:rPr>
        <w:fldChar w:fldCharType="separate"/>
      </w:r>
      <w:r>
        <w:rPr>
          <w:rFonts w:hint="eastAsia" w:ascii="Times New Roman" w:hAnsi="Times New Roman" w:eastAsia="宋体" w:cs="Times New Roman"/>
          <w:bCs/>
          <w:color w:val="auto"/>
          <w:szCs w:val="28"/>
        </w:rPr>
        <w:t>7.7 动力照明</w:t>
      </w:r>
      <w:r>
        <w:rPr>
          <w:color w:val="auto"/>
        </w:rPr>
        <w:tab/>
      </w:r>
      <w:r>
        <w:rPr>
          <w:color w:val="auto"/>
        </w:rPr>
        <w:fldChar w:fldCharType="begin"/>
      </w:r>
      <w:r>
        <w:rPr>
          <w:color w:val="auto"/>
        </w:rPr>
        <w:instrText xml:space="preserve"> PAGEREF _Toc18419 \h </w:instrText>
      </w:r>
      <w:r>
        <w:rPr>
          <w:color w:val="auto"/>
        </w:rPr>
        <w:fldChar w:fldCharType="separate"/>
      </w:r>
      <w:r>
        <w:rPr>
          <w:color w:val="auto"/>
        </w:rPr>
        <w:t>29</w:t>
      </w:r>
      <w:r>
        <w:rPr>
          <w:color w:val="auto"/>
        </w:rPr>
        <w:fldChar w:fldCharType="end"/>
      </w:r>
      <w:r>
        <w:rPr>
          <w:rFonts w:hint="eastAsia"/>
          <w:color w:val="auto"/>
          <w:szCs w:val="24"/>
        </w:rPr>
        <w:fldChar w:fldCharType="end"/>
      </w:r>
    </w:p>
    <w:p w14:paraId="4083A293">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_Toc9514 </w:instrText>
      </w:r>
      <w:r>
        <w:rPr>
          <w:rFonts w:hint="eastAsia"/>
          <w:color w:val="auto"/>
          <w:szCs w:val="24"/>
        </w:rPr>
        <w:fldChar w:fldCharType="separate"/>
      </w:r>
      <w:r>
        <w:rPr>
          <w:rFonts w:hint="eastAsia" w:ascii="黑体" w:hAnsi="黑体" w:eastAsia="黑体"/>
          <w:bCs/>
          <w:color w:val="auto"/>
          <w:szCs w:val="32"/>
          <w:lang w:val="en-US" w:eastAsia="zh-CN"/>
        </w:rPr>
        <w:t xml:space="preserve">8 </w:t>
      </w:r>
      <w:r>
        <w:rPr>
          <w:rFonts w:hint="eastAsia" w:ascii="黑体" w:hAnsi="黑体" w:eastAsia="黑体"/>
          <w:bCs/>
          <w:color w:val="auto"/>
          <w:szCs w:val="32"/>
        </w:rPr>
        <w:t>可再生能源利用</w:t>
      </w:r>
      <w:r>
        <w:rPr>
          <w:color w:val="auto"/>
        </w:rPr>
        <w:tab/>
      </w:r>
      <w:r>
        <w:rPr>
          <w:color w:val="auto"/>
        </w:rPr>
        <w:fldChar w:fldCharType="begin"/>
      </w:r>
      <w:r>
        <w:rPr>
          <w:color w:val="auto"/>
        </w:rPr>
        <w:instrText xml:space="preserve"> PAGEREF _Toc9514 \h </w:instrText>
      </w:r>
      <w:r>
        <w:rPr>
          <w:color w:val="auto"/>
        </w:rPr>
        <w:fldChar w:fldCharType="separate"/>
      </w:r>
      <w:r>
        <w:rPr>
          <w:color w:val="auto"/>
        </w:rPr>
        <w:t>31</w:t>
      </w:r>
      <w:r>
        <w:rPr>
          <w:color w:val="auto"/>
        </w:rPr>
        <w:fldChar w:fldCharType="end"/>
      </w:r>
      <w:r>
        <w:rPr>
          <w:rFonts w:hint="eastAsia"/>
          <w:color w:val="auto"/>
          <w:szCs w:val="24"/>
        </w:rPr>
        <w:fldChar w:fldCharType="end"/>
      </w:r>
    </w:p>
    <w:p w14:paraId="1626443D">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_Toc10403 </w:instrText>
      </w:r>
      <w:r>
        <w:rPr>
          <w:rFonts w:hint="eastAsia"/>
          <w:color w:val="auto"/>
          <w:szCs w:val="24"/>
        </w:rPr>
        <w:fldChar w:fldCharType="separate"/>
      </w:r>
      <w:r>
        <w:rPr>
          <w:rFonts w:hint="eastAsia" w:ascii="Times New Roman" w:hAnsi="Times New Roman" w:eastAsia="宋体" w:cs="Times New Roman"/>
          <w:bCs/>
          <w:color w:val="auto"/>
          <w:szCs w:val="28"/>
        </w:rPr>
        <w:t>8.1 可再生能源适用场景</w:t>
      </w:r>
      <w:r>
        <w:rPr>
          <w:color w:val="auto"/>
        </w:rPr>
        <w:tab/>
      </w:r>
      <w:r>
        <w:rPr>
          <w:color w:val="auto"/>
        </w:rPr>
        <w:fldChar w:fldCharType="begin"/>
      </w:r>
      <w:r>
        <w:rPr>
          <w:color w:val="auto"/>
        </w:rPr>
        <w:instrText xml:space="preserve"> PAGEREF _Toc10403 \h </w:instrText>
      </w:r>
      <w:r>
        <w:rPr>
          <w:color w:val="auto"/>
        </w:rPr>
        <w:fldChar w:fldCharType="separate"/>
      </w:r>
      <w:r>
        <w:rPr>
          <w:color w:val="auto"/>
        </w:rPr>
        <w:t>31</w:t>
      </w:r>
      <w:r>
        <w:rPr>
          <w:color w:val="auto"/>
        </w:rPr>
        <w:fldChar w:fldCharType="end"/>
      </w:r>
      <w:r>
        <w:rPr>
          <w:rFonts w:hint="eastAsia"/>
          <w:color w:val="auto"/>
          <w:szCs w:val="24"/>
        </w:rPr>
        <w:fldChar w:fldCharType="end"/>
      </w:r>
    </w:p>
    <w:p w14:paraId="0DB71934">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_Toc30346 </w:instrText>
      </w:r>
      <w:r>
        <w:rPr>
          <w:rFonts w:hint="eastAsia"/>
          <w:color w:val="auto"/>
          <w:szCs w:val="24"/>
        </w:rPr>
        <w:fldChar w:fldCharType="separate"/>
      </w:r>
      <w:r>
        <w:rPr>
          <w:rFonts w:hint="eastAsia" w:ascii="Times New Roman" w:hAnsi="Times New Roman" w:eastAsia="宋体" w:cs="Times New Roman"/>
          <w:bCs/>
          <w:color w:val="auto"/>
          <w:szCs w:val="28"/>
        </w:rPr>
        <w:t>8.2 可再生能源设计</w:t>
      </w:r>
      <w:r>
        <w:rPr>
          <w:color w:val="auto"/>
        </w:rPr>
        <w:tab/>
      </w:r>
      <w:r>
        <w:rPr>
          <w:color w:val="auto"/>
        </w:rPr>
        <w:fldChar w:fldCharType="begin"/>
      </w:r>
      <w:r>
        <w:rPr>
          <w:color w:val="auto"/>
        </w:rPr>
        <w:instrText xml:space="preserve"> PAGEREF _Toc30346 \h </w:instrText>
      </w:r>
      <w:r>
        <w:rPr>
          <w:color w:val="auto"/>
        </w:rPr>
        <w:fldChar w:fldCharType="separate"/>
      </w:r>
      <w:r>
        <w:rPr>
          <w:color w:val="auto"/>
        </w:rPr>
        <w:t>32</w:t>
      </w:r>
      <w:r>
        <w:rPr>
          <w:color w:val="auto"/>
        </w:rPr>
        <w:fldChar w:fldCharType="end"/>
      </w:r>
      <w:r>
        <w:rPr>
          <w:rFonts w:hint="eastAsia"/>
          <w:color w:val="auto"/>
          <w:szCs w:val="24"/>
        </w:rPr>
        <w:fldChar w:fldCharType="end"/>
      </w:r>
    </w:p>
    <w:p w14:paraId="09FAF9DA">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_Toc18122 </w:instrText>
      </w:r>
      <w:r>
        <w:rPr>
          <w:rFonts w:hint="eastAsia"/>
          <w:color w:val="auto"/>
          <w:szCs w:val="24"/>
        </w:rPr>
        <w:fldChar w:fldCharType="separate"/>
      </w:r>
      <w:r>
        <w:rPr>
          <w:rFonts w:hint="eastAsia" w:ascii="黑体" w:hAnsi="黑体" w:eastAsia="黑体"/>
          <w:bCs/>
          <w:color w:val="auto"/>
          <w:szCs w:val="32"/>
          <w:lang w:val="en-US" w:eastAsia="zh-CN"/>
        </w:rPr>
        <w:t xml:space="preserve">9 </w:t>
      </w:r>
      <w:r>
        <w:rPr>
          <w:rFonts w:hint="eastAsia" w:ascii="黑体" w:hAnsi="黑体" w:eastAsia="黑体"/>
          <w:bCs/>
          <w:color w:val="auto"/>
          <w:szCs w:val="32"/>
        </w:rPr>
        <w:t>监控及量测</w:t>
      </w:r>
      <w:r>
        <w:rPr>
          <w:color w:val="auto"/>
        </w:rPr>
        <w:tab/>
      </w:r>
      <w:r>
        <w:rPr>
          <w:color w:val="auto"/>
        </w:rPr>
        <w:fldChar w:fldCharType="begin"/>
      </w:r>
      <w:r>
        <w:rPr>
          <w:color w:val="auto"/>
        </w:rPr>
        <w:instrText xml:space="preserve"> PAGEREF _Toc18122 \h </w:instrText>
      </w:r>
      <w:r>
        <w:rPr>
          <w:color w:val="auto"/>
        </w:rPr>
        <w:fldChar w:fldCharType="separate"/>
      </w:r>
      <w:r>
        <w:rPr>
          <w:color w:val="auto"/>
        </w:rPr>
        <w:t>35</w:t>
      </w:r>
      <w:r>
        <w:rPr>
          <w:color w:val="auto"/>
        </w:rPr>
        <w:fldChar w:fldCharType="end"/>
      </w:r>
      <w:r>
        <w:rPr>
          <w:rFonts w:hint="eastAsia"/>
          <w:color w:val="auto"/>
          <w:szCs w:val="24"/>
        </w:rPr>
        <w:fldChar w:fldCharType="end"/>
      </w:r>
    </w:p>
    <w:p w14:paraId="2C95991B">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_Toc8032 </w:instrText>
      </w:r>
      <w:r>
        <w:rPr>
          <w:rFonts w:hint="eastAsia"/>
          <w:color w:val="auto"/>
          <w:szCs w:val="24"/>
        </w:rPr>
        <w:fldChar w:fldCharType="separate"/>
      </w:r>
      <w:r>
        <w:rPr>
          <w:rFonts w:hint="eastAsia" w:ascii="Times New Roman" w:hAnsi="Times New Roman" w:eastAsia="宋体" w:cs="Times New Roman"/>
          <w:bCs/>
          <w:color w:val="auto"/>
          <w:szCs w:val="28"/>
        </w:rPr>
        <w:t>9.1智慧监测系统</w:t>
      </w:r>
      <w:r>
        <w:rPr>
          <w:color w:val="auto"/>
        </w:rPr>
        <w:tab/>
      </w:r>
      <w:r>
        <w:rPr>
          <w:color w:val="auto"/>
        </w:rPr>
        <w:fldChar w:fldCharType="begin"/>
      </w:r>
      <w:r>
        <w:rPr>
          <w:color w:val="auto"/>
        </w:rPr>
        <w:instrText xml:space="preserve"> PAGEREF _Toc8032 \h </w:instrText>
      </w:r>
      <w:r>
        <w:rPr>
          <w:color w:val="auto"/>
        </w:rPr>
        <w:fldChar w:fldCharType="separate"/>
      </w:r>
      <w:r>
        <w:rPr>
          <w:color w:val="auto"/>
        </w:rPr>
        <w:t>35</w:t>
      </w:r>
      <w:r>
        <w:rPr>
          <w:color w:val="auto"/>
        </w:rPr>
        <w:fldChar w:fldCharType="end"/>
      </w:r>
      <w:r>
        <w:rPr>
          <w:rFonts w:hint="eastAsia"/>
          <w:color w:val="auto"/>
          <w:szCs w:val="24"/>
        </w:rPr>
        <w:fldChar w:fldCharType="end"/>
      </w:r>
    </w:p>
    <w:p w14:paraId="7547E35C">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_Toc5137 </w:instrText>
      </w:r>
      <w:r>
        <w:rPr>
          <w:rFonts w:hint="eastAsia"/>
          <w:color w:val="auto"/>
          <w:szCs w:val="24"/>
        </w:rPr>
        <w:fldChar w:fldCharType="separate"/>
      </w:r>
      <w:r>
        <w:rPr>
          <w:rFonts w:hint="eastAsia" w:ascii="Times New Roman" w:hAnsi="Times New Roman" w:eastAsia="宋体" w:cs="Times New Roman"/>
          <w:bCs/>
          <w:color w:val="auto"/>
          <w:szCs w:val="28"/>
        </w:rPr>
        <w:t>9.2智慧管控设计</w:t>
      </w:r>
      <w:r>
        <w:rPr>
          <w:color w:val="auto"/>
        </w:rPr>
        <w:tab/>
      </w:r>
      <w:r>
        <w:rPr>
          <w:color w:val="auto"/>
        </w:rPr>
        <w:fldChar w:fldCharType="begin"/>
      </w:r>
      <w:r>
        <w:rPr>
          <w:color w:val="auto"/>
        </w:rPr>
        <w:instrText xml:space="preserve"> PAGEREF _Toc5137 \h </w:instrText>
      </w:r>
      <w:r>
        <w:rPr>
          <w:color w:val="auto"/>
        </w:rPr>
        <w:fldChar w:fldCharType="separate"/>
      </w:r>
      <w:r>
        <w:rPr>
          <w:color w:val="auto"/>
        </w:rPr>
        <w:t>36</w:t>
      </w:r>
      <w:r>
        <w:rPr>
          <w:color w:val="auto"/>
        </w:rPr>
        <w:fldChar w:fldCharType="end"/>
      </w:r>
      <w:r>
        <w:rPr>
          <w:rFonts w:hint="eastAsia"/>
          <w:color w:val="auto"/>
          <w:szCs w:val="24"/>
        </w:rPr>
        <w:fldChar w:fldCharType="end"/>
      </w:r>
    </w:p>
    <w:p w14:paraId="41F51532">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_Toc27472 </w:instrText>
      </w:r>
      <w:r>
        <w:rPr>
          <w:rFonts w:hint="eastAsia"/>
          <w:color w:val="auto"/>
          <w:szCs w:val="24"/>
        </w:rPr>
        <w:fldChar w:fldCharType="separate"/>
      </w:r>
      <w:r>
        <w:rPr>
          <w:rFonts w:hint="eastAsia" w:ascii="Times New Roman" w:hAnsi="Times New Roman" w:eastAsia="宋体" w:cs="Times New Roman"/>
          <w:bCs/>
          <w:color w:val="auto"/>
          <w:szCs w:val="28"/>
        </w:rPr>
        <w:t>9.3节能控制</w:t>
      </w:r>
      <w:r>
        <w:rPr>
          <w:color w:val="auto"/>
        </w:rPr>
        <w:tab/>
      </w:r>
      <w:r>
        <w:rPr>
          <w:color w:val="auto"/>
        </w:rPr>
        <w:fldChar w:fldCharType="begin"/>
      </w:r>
      <w:r>
        <w:rPr>
          <w:color w:val="auto"/>
        </w:rPr>
        <w:instrText xml:space="preserve"> PAGEREF _Toc27472 \h </w:instrText>
      </w:r>
      <w:r>
        <w:rPr>
          <w:color w:val="auto"/>
        </w:rPr>
        <w:fldChar w:fldCharType="separate"/>
      </w:r>
      <w:r>
        <w:rPr>
          <w:color w:val="auto"/>
        </w:rPr>
        <w:t>37</w:t>
      </w:r>
      <w:r>
        <w:rPr>
          <w:color w:val="auto"/>
        </w:rPr>
        <w:fldChar w:fldCharType="end"/>
      </w:r>
      <w:r>
        <w:rPr>
          <w:rFonts w:hint="eastAsia"/>
          <w:color w:val="auto"/>
          <w:szCs w:val="24"/>
        </w:rPr>
        <w:fldChar w:fldCharType="end"/>
      </w:r>
    </w:p>
    <w:p w14:paraId="1AB9A4B6">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_Toc29580 </w:instrText>
      </w:r>
      <w:r>
        <w:rPr>
          <w:rFonts w:hint="eastAsia"/>
          <w:color w:val="auto"/>
          <w:szCs w:val="24"/>
        </w:rPr>
        <w:fldChar w:fldCharType="separate"/>
      </w:r>
      <w:r>
        <w:rPr>
          <w:rFonts w:hint="eastAsia" w:ascii="Times New Roman" w:hAnsi="Times New Roman" w:eastAsia="宋体" w:cs="Times New Roman"/>
          <w:bCs/>
          <w:color w:val="auto"/>
          <w:szCs w:val="28"/>
        </w:rPr>
        <w:t>9.4成本管理</w:t>
      </w:r>
      <w:r>
        <w:rPr>
          <w:color w:val="auto"/>
        </w:rPr>
        <w:tab/>
      </w:r>
      <w:r>
        <w:rPr>
          <w:color w:val="auto"/>
        </w:rPr>
        <w:fldChar w:fldCharType="begin"/>
      </w:r>
      <w:r>
        <w:rPr>
          <w:color w:val="auto"/>
        </w:rPr>
        <w:instrText xml:space="preserve"> PAGEREF _Toc29580 \h </w:instrText>
      </w:r>
      <w:r>
        <w:rPr>
          <w:color w:val="auto"/>
        </w:rPr>
        <w:fldChar w:fldCharType="separate"/>
      </w:r>
      <w:r>
        <w:rPr>
          <w:color w:val="auto"/>
        </w:rPr>
        <w:t>38</w:t>
      </w:r>
      <w:r>
        <w:rPr>
          <w:color w:val="auto"/>
        </w:rPr>
        <w:fldChar w:fldCharType="end"/>
      </w:r>
      <w:r>
        <w:rPr>
          <w:rFonts w:hint="eastAsia"/>
          <w:color w:val="auto"/>
          <w:szCs w:val="24"/>
        </w:rPr>
        <w:fldChar w:fldCharType="end"/>
      </w:r>
    </w:p>
    <w:p w14:paraId="32BE9D26">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_Toc26401 </w:instrText>
      </w:r>
      <w:r>
        <w:rPr>
          <w:rFonts w:hint="eastAsia"/>
          <w:color w:val="auto"/>
          <w:szCs w:val="24"/>
        </w:rPr>
        <w:fldChar w:fldCharType="separate"/>
      </w:r>
      <w:r>
        <w:rPr>
          <w:rFonts w:hint="eastAsia" w:ascii="黑体" w:hAnsi="黑体" w:eastAsia="黑体"/>
          <w:bCs/>
          <w:color w:val="auto"/>
          <w:szCs w:val="32"/>
          <w:lang w:val="en-US" w:eastAsia="zh-CN"/>
        </w:rPr>
        <w:t xml:space="preserve">10 </w:t>
      </w:r>
      <w:r>
        <w:rPr>
          <w:rFonts w:hint="eastAsia" w:ascii="黑体" w:hAnsi="黑体" w:eastAsia="黑体"/>
          <w:bCs/>
          <w:color w:val="auto"/>
          <w:szCs w:val="32"/>
        </w:rPr>
        <w:t>碳排放核算</w:t>
      </w:r>
      <w:r>
        <w:rPr>
          <w:color w:val="auto"/>
        </w:rPr>
        <w:tab/>
      </w:r>
      <w:r>
        <w:rPr>
          <w:color w:val="auto"/>
        </w:rPr>
        <w:fldChar w:fldCharType="begin"/>
      </w:r>
      <w:r>
        <w:rPr>
          <w:color w:val="auto"/>
        </w:rPr>
        <w:instrText xml:space="preserve"> PAGEREF _Toc26401 \h </w:instrText>
      </w:r>
      <w:r>
        <w:rPr>
          <w:color w:val="auto"/>
        </w:rPr>
        <w:fldChar w:fldCharType="separate"/>
      </w:r>
      <w:r>
        <w:rPr>
          <w:color w:val="auto"/>
        </w:rPr>
        <w:t>39</w:t>
      </w:r>
      <w:r>
        <w:rPr>
          <w:color w:val="auto"/>
        </w:rPr>
        <w:fldChar w:fldCharType="end"/>
      </w:r>
      <w:r>
        <w:rPr>
          <w:rFonts w:hint="eastAsia"/>
          <w:color w:val="auto"/>
          <w:szCs w:val="24"/>
        </w:rPr>
        <w:fldChar w:fldCharType="end"/>
      </w:r>
    </w:p>
    <w:p w14:paraId="5DF08B2E">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_Toc1272 </w:instrText>
      </w:r>
      <w:r>
        <w:rPr>
          <w:rFonts w:hint="eastAsia"/>
          <w:color w:val="auto"/>
          <w:szCs w:val="24"/>
        </w:rPr>
        <w:fldChar w:fldCharType="separate"/>
      </w:r>
      <w:r>
        <w:rPr>
          <w:rFonts w:hint="eastAsia" w:ascii="Times New Roman" w:hAnsi="Times New Roman" w:eastAsia="宋体" w:cs="Times New Roman"/>
          <w:bCs/>
          <w:color w:val="auto"/>
          <w:szCs w:val="28"/>
        </w:rPr>
        <w:t>10.1 核算边界与数据来源</w:t>
      </w:r>
      <w:r>
        <w:rPr>
          <w:color w:val="auto"/>
        </w:rPr>
        <w:tab/>
      </w:r>
      <w:r>
        <w:rPr>
          <w:color w:val="auto"/>
        </w:rPr>
        <w:fldChar w:fldCharType="begin"/>
      </w:r>
      <w:r>
        <w:rPr>
          <w:color w:val="auto"/>
        </w:rPr>
        <w:instrText xml:space="preserve"> PAGEREF _Toc1272 \h </w:instrText>
      </w:r>
      <w:r>
        <w:rPr>
          <w:color w:val="auto"/>
        </w:rPr>
        <w:fldChar w:fldCharType="separate"/>
      </w:r>
      <w:r>
        <w:rPr>
          <w:color w:val="auto"/>
        </w:rPr>
        <w:t>39</w:t>
      </w:r>
      <w:r>
        <w:rPr>
          <w:color w:val="auto"/>
        </w:rPr>
        <w:fldChar w:fldCharType="end"/>
      </w:r>
      <w:r>
        <w:rPr>
          <w:rFonts w:hint="eastAsia"/>
          <w:color w:val="auto"/>
          <w:szCs w:val="24"/>
        </w:rPr>
        <w:fldChar w:fldCharType="end"/>
      </w:r>
    </w:p>
    <w:p w14:paraId="723FFD70">
      <w:pPr>
        <w:pStyle w:val="10"/>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_Toc10592 </w:instrText>
      </w:r>
      <w:r>
        <w:rPr>
          <w:rFonts w:hint="eastAsia"/>
          <w:color w:val="auto"/>
          <w:szCs w:val="24"/>
        </w:rPr>
        <w:fldChar w:fldCharType="separate"/>
      </w:r>
      <w:r>
        <w:rPr>
          <w:rFonts w:hint="eastAsia" w:ascii="Times New Roman" w:hAnsi="Times New Roman" w:eastAsia="宋体" w:cs="Times New Roman"/>
          <w:bCs/>
          <w:color w:val="auto"/>
          <w:szCs w:val="28"/>
        </w:rPr>
        <w:t>10.2 碳排放核算方法</w:t>
      </w:r>
      <w:r>
        <w:rPr>
          <w:color w:val="auto"/>
        </w:rPr>
        <w:tab/>
      </w:r>
      <w:r>
        <w:rPr>
          <w:color w:val="auto"/>
        </w:rPr>
        <w:fldChar w:fldCharType="begin"/>
      </w:r>
      <w:r>
        <w:rPr>
          <w:color w:val="auto"/>
        </w:rPr>
        <w:instrText xml:space="preserve"> PAGEREF _Toc10592 \h </w:instrText>
      </w:r>
      <w:r>
        <w:rPr>
          <w:color w:val="auto"/>
        </w:rPr>
        <w:fldChar w:fldCharType="separate"/>
      </w:r>
      <w:r>
        <w:rPr>
          <w:color w:val="auto"/>
        </w:rPr>
        <w:t>39</w:t>
      </w:r>
      <w:r>
        <w:rPr>
          <w:color w:val="auto"/>
        </w:rPr>
        <w:fldChar w:fldCharType="end"/>
      </w:r>
      <w:r>
        <w:rPr>
          <w:rFonts w:hint="eastAsia"/>
          <w:color w:val="auto"/>
          <w:szCs w:val="24"/>
        </w:rPr>
        <w:fldChar w:fldCharType="end"/>
      </w:r>
    </w:p>
    <w:p w14:paraId="511C8BE7">
      <w:pPr>
        <w:pStyle w:val="9"/>
        <w:tabs>
          <w:tab w:val="right" w:leader="dot" w:pos="8306"/>
        </w:tabs>
        <w:rPr>
          <w:color w:val="auto"/>
        </w:rPr>
      </w:pPr>
      <w:r>
        <w:rPr>
          <w:rFonts w:hint="eastAsia"/>
          <w:color w:val="auto"/>
          <w:szCs w:val="24"/>
        </w:rPr>
        <w:fldChar w:fldCharType="begin"/>
      </w:r>
      <w:r>
        <w:rPr>
          <w:rFonts w:hint="eastAsia"/>
          <w:color w:val="auto"/>
          <w:szCs w:val="24"/>
        </w:rPr>
        <w:instrText xml:space="preserve"> HYPERLINK \l _Toc19280 </w:instrText>
      </w:r>
      <w:r>
        <w:rPr>
          <w:rFonts w:hint="eastAsia"/>
          <w:color w:val="auto"/>
          <w:szCs w:val="24"/>
        </w:rPr>
        <w:fldChar w:fldCharType="separate"/>
      </w:r>
      <w:r>
        <w:rPr>
          <w:rFonts w:hint="eastAsia" w:ascii="黑体" w:hAnsi="黑体" w:eastAsia="黑体"/>
          <w:bCs/>
          <w:color w:val="auto"/>
          <w:szCs w:val="32"/>
          <w:lang w:val="en-US" w:eastAsia="zh-CN"/>
        </w:rPr>
        <w:t xml:space="preserve">11 </w:t>
      </w:r>
      <w:r>
        <w:rPr>
          <w:rFonts w:hint="eastAsia" w:ascii="黑体" w:hAnsi="黑体" w:eastAsia="黑体"/>
          <w:bCs/>
          <w:color w:val="auto"/>
          <w:szCs w:val="32"/>
        </w:rPr>
        <w:t>碳抵消</w:t>
      </w:r>
      <w:r>
        <w:rPr>
          <w:color w:val="auto"/>
        </w:rPr>
        <w:tab/>
      </w:r>
      <w:r>
        <w:rPr>
          <w:color w:val="auto"/>
        </w:rPr>
        <w:fldChar w:fldCharType="begin"/>
      </w:r>
      <w:r>
        <w:rPr>
          <w:color w:val="auto"/>
        </w:rPr>
        <w:instrText xml:space="preserve"> PAGEREF _Toc19280 \h </w:instrText>
      </w:r>
      <w:r>
        <w:rPr>
          <w:color w:val="auto"/>
        </w:rPr>
        <w:fldChar w:fldCharType="separate"/>
      </w:r>
      <w:r>
        <w:rPr>
          <w:color w:val="auto"/>
        </w:rPr>
        <w:t>42</w:t>
      </w:r>
      <w:r>
        <w:rPr>
          <w:color w:val="auto"/>
        </w:rPr>
        <w:fldChar w:fldCharType="end"/>
      </w:r>
      <w:r>
        <w:rPr>
          <w:rFonts w:hint="eastAsia"/>
          <w:color w:val="auto"/>
          <w:szCs w:val="24"/>
        </w:rPr>
        <w:fldChar w:fldCharType="end"/>
      </w:r>
    </w:p>
    <w:p w14:paraId="549D0B42">
      <w:pPr>
        <w:pStyle w:val="9"/>
        <w:tabs>
          <w:tab w:val="right" w:pos="3200"/>
          <w:tab w:val="right" w:leader="dot" w:pos="8306"/>
        </w:tabs>
        <w:rPr>
          <w:color w:val="auto"/>
        </w:rPr>
      </w:pPr>
      <w:r>
        <w:rPr>
          <w:rFonts w:hint="eastAsia"/>
          <w:color w:val="auto"/>
          <w:szCs w:val="24"/>
        </w:rPr>
        <w:fldChar w:fldCharType="begin"/>
      </w:r>
      <w:r>
        <w:rPr>
          <w:rFonts w:hint="eastAsia"/>
          <w:color w:val="auto"/>
          <w:szCs w:val="24"/>
        </w:rPr>
        <w:instrText xml:space="preserve"> HYPERLINK \l _Toc23864 </w:instrText>
      </w:r>
      <w:r>
        <w:rPr>
          <w:rFonts w:hint="eastAsia"/>
          <w:color w:val="auto"/>
          <w:szCs w:val="24"/>
        </w:rPr>
        <w:fldChar w:fldCharType="separate"/>
      </w:r>
      <w:r>
        <w:rPr>
          <w:rFonts w:hint="eastAsia" w:ascii="黑体" w:hAnsi="黑体" w:eastAsia="黑体" w:cs="Times New Roman"/>
          <w:bCs/>
          <w:color w:val="auto"/>
          <w:szCs w:val="32"/>
        </w:rPr>
        <w:t>用词说明</w:t>
      </w:r>
      <w:r>
        <w:rPr>
          <w:rFonts w:hint="eastAsia" w:ascii="黑体" w:hAnsi="黑体" w:eastAsia="黑体" w:cs="Times New Roman"/>
          <w:bCs/>
          <w:color w:val="auto"/>
          <w:szCs w:val="32"/>
        </w:rPr>
        <w:tab/>
      </w:r>
      <w:r>
        <w:rPr>
          <w:color w:val="auto"/>
        </w:rPr>
        <w:tab/>
      </w:r>
      <w:r>
        <w:rPr>
          <w:color w:val="auto"/>
        </w:rPr>
        <w:fldChar w:fldCharType="begin"/>
      </w:r>
      <w:r>
        <w:rPr>
          <w:color w:val="auto"/>
        </w:rPr>
        <w:instrText xml:space="preserve"> PAGEREF _Toc23864 \h </w:instrText>
      </w:r>
      <w:r>
        <w:rPr>
          <w:color w:val="auto"/>
        </w:rPr>
        <w:fldChar w:fldCharType="separate"/>
      </w:r>
      <w:r>
        <w:rPr>
          <w:color w:val="auto"/>
        </w:rPr>
        <w:t>43</w:t>
      </w:r>
      <w:r>
        <w:rPr>
          <w:color w:val="auto"/>
        </w:rPr>
        <w:fldChar w:fldCharType="end"/>
      </w:r>
      <w:r>
        <w:rPr>
          <w:rFonts w:hint="eastAsia"/>
          <w:color w:val="auto"/>
          <w:szCs w:val="24"/>
        </w:rPr>
        <w:fldChar w:fldCharType="end"/>
      </w:r>
    </w:p>
    <w:p w14:paraId="0A2C4C5A">
      <w:pPr>
        <w:pStyle w:val="9"/>
        <w:tabs>
          <w:tab w:val="right" w:pos="3600"/>
          <w:tab w:val="right" w:leader="dot" w:pos="8306"/>
        </w:tabs>
        <w:rPr>
          <w:color w:val="auto"/>
        </w:rPr>
      </w:pPr>
      <w:r>
        <w:rPr>
          <w:rFonts w:hint="eastAsia"/>
          <w:color w:val="auto"/>
          <w:szCs w:val="24"/>
        </w:rPr>
        <w:fldChar w:fldCharType="begin"/>
      </w:r>
      <w:r>
        <w:rPr>
          <w:rFonts w:hint="eastAsia"/>
          <w:color w:val="auto"/>
          <w:szCs w:val="24"/>
        </w:rPr>
        <w:instrText xml:space="preserve"> HYPERLINK \l _Toc4293 </w:instrText>
      </w:r>
      <w:r>
        <w:rPr>
          <w:rFonts w:hint="eastAsia"/>
          <w:color w:val="auto"/>
          <w:szCs w:val="24"/>
        </w:rPr>
        <w:fldChar w:fldCharType="separate"/>
      </w:r>
      <w:r>
        <w:rPr>
          <w:rFonts w:hint="eastAsia" w:ascii="黑体" w:hAnsi="黑体" w:eastAsia="黑体" w:cs="Times New Roman"/>
          <w:bCs/>
          <w:color w:val="auto"/>
          <w:szCs w:val="32"/>
        </w:rPr>
        <w:t>引用标准名录</w:t>
      </w:r>
      <w:r>
        <w:rPr>
          <w:rFonts w:hint="eastAsia" w:ascii="黑体" w:hAnsi="黑体" w:eastAsia="黑体" w:cs="Times New Roman"/>
          <w:bCs/>
          <w:color w:val="auto"/>
          <w:szCs w:val="32"/>
        </w:rPr>
        <w:tab/>
      </w:r>
      <w:r>
        <w:rPr>
          <w:color w:val="auto"/>
        </w:rPr>
        <w:tab/>
      </w:r>
      <w:r>
        <w:rPr>
          <w:color w:val="auto"/>
        </w:rPr>
        <w:fldChar w:fldCharType="begin"/>
      </w:r>
      <w:r>
        <w:rPr>
          <w:color w:val="auto"/>
        </w:rPr>
        <w:instrText xml:space="preserve"> PAGEREF _Toc4293 \h </w:instrText>
      </w:r>
      <w:r>
        <w:rPr>
          <w:color w:val="auto"/>
        </w:rPr>
        <w:fldChar w:fldCharType="separate"/>
      </w:r>
      <w:r>
        <w:rPr>
          <w:color w:val="auto"/>
        </w:rPr>
        <w:t>44</w:t>
      </w:r>
      <w:r>
        <w:rPr>
          <w:color w:val="auto"/>
        </w:rPr>
        <w:fldChar w:fldCharType="end"/>
      </w:r>
      <w:r>
        <w:rPr>
          <w:rFonts w:hint="eastAsia"/>
          <w:color w:val="auto"/>
          <w:szCs w:val="24"/>
        </w:rPr>
        <w:fldChar w:fldCharType="end"/>
      </w:r>
    </w:p>
    <w:p w14:paraId="7BF46AB3">
      <w:pPr>
        <w:pStyle w:val="9"/>
        <w:tabs>
          <w:tab w:val="right" w:pos="3600"/>
          <w:tab w:val="right" w:leader="dot" w:pos="8306"/>
        </w:tabs>
      </w:pPr>
      <w:r>
        <w:rPr>
          <w:rFonts w:hint="eastAsia"/>
          <w:color w:val="auto"/>
          <w:szCs w:val="24"/>
        </w:rPr>
        <w:fldChar w:fldCharType="begin"/>
      </w:r>
      <w:r>
        <w:rPr>
          <w:rFonts w:hint="eastAsia"/>
          <w:color w:val="auto"/>
          <w:szCs w:val="24"/>
        </w:rPr>
        <w:instrText xml:space="preserve"> HYPERLINK \l _Toc2307 </w:instrText>
      </w:r>
      <w:r>
        <w:rPr>
          <w:rFonts w:hint="eastAsia"/>
          <w:color w:val="auto"/>
          <w:szCs w:val="24"/>
        </w:rPr>
        <w:fldChar w:fldCharType="separate"/>
      </w:r>
      <w:r>
        <w:rPr>
          <w:rFonts w:hint="eastAsia" w:ascii="黑体" w:hAnsi="黑体" w:eastAsia="黑体" w:cs="Times New Roman"/>
          <w:bCs/>
          <w:color w:val="auto"/>
          <w:szCs w:val="32"/>
        </w:rPr>
        <w:t>附：条文说明</w:t>
      </w:r>
      <w:r>
        <w:rPr>
          <w:rFonts w:hint="eastAsia" w:ascii="黑体" w:hAnsi="黑体" w:eastAsia="黑体" w:cs="Times New Roman"/>
          <w:bCs/>
          <w:color w:val="auto"/>
          <w:szCs w:val="32"/>
        </w:rPr>
        <w:tab/>
      </w:r>
      <w:r>
        <w:rPr>
          <w:color w:val="auto"/>
        </w:rPr>
        <w:tab/>
      </w:r>
      <w:r>
        <w:rPr>
          <w:color w:val="auto"/>
        </w:rPr>
        <w:fldChar w:fldCharType="begin"/>
      </w:r>
      <w:r>
        <w:rPr>
          <w:color w:val="auto"/>
        </w:rPr>
        <w:instrText xml:space="preserve"> PAGEREF _Toc2307 \h </w:instrText>
      </w:r>
      <w:r>
        <w:rPr>
          <w:color w:val="auto"/>
        </w:rPr>
        <w:fldChar w:fldCharType="separate"/>
      </w:r>
      <w:r>
        <w:rPr>
          <w:color w:val="auto"/>
        </w:rPr>
        <w:t>45</w:t>
      </w:r>
      <w:r>
        <w:rPr>
          <w:color w:val="auto"/>
        </w:rPr>
        <w:fldChar w:fldCharType="end"/>
      </w:r>
      <w:r>
        <w:rPr>
          <w:rFonts w:hint="eastAsia"/>
          <w:color w:val="auto"/>
          <w:szCs w:val="24"/>
        </w:rPr>
        <w:fldChar w:fldCharType="end"/>
      </w:r>
    </w:p>
    <w:p w14:paraId="1B2DA250">
      <w:pPr>
        <w:spacing w:line="300" w:lineRule="auto"/>
        <w:ind w:firstLine="0" w:firstLineChars="0"/>
        <w:jc w:val="left"/>
        <w:rPr>
          <w:color w:val="000000"/>
        </w:rPr>
      </w:pPr>
      <w:r>
        <w:rPr>
          <w:rFonts w:hint="eastAsia"/>
          <w:color w:val="auto"/>
          <w:szCs w:val="24"/>
        </w:rPr>
        <w:fldChar w:fldCharType="end"/>
      </w:r>
    </w:p>
    <w:p w14:paraId="0711FBC9">
      <w:pPr>
        <w:spacing w:line="300" w:lineRule="auto"/>
        <w:ind w:firstLine="0" w:firstLineChars="0"/>
        <w:jc w:val="left"/>
        <w:rPr>
          <w:rFonts w:hint="eastAsia"/>
          <w:color w:val="auto"/>
          <w:sz w:val="24"/>
          <w:szCs w:val="24"/>
        </w:rPr>
      </w:pPr>
      <w:r>
        <w:rPr>
          <w:color w:val="000000"/>
        </w:rPr>
        <w:br w:type="page"/>
      </w:r>
    </w:p>
    <w:p w14:paraId="345E4B56">
      <w:pPr>
        <w:ind w:firstLine="3132" w:firstLineChars="600"/>
        <w:rPr>
          <w:rFonts w:hint="default" w:ascii="Times New Roman" w:hAnsi="Times New Roman" w:eastAsia="宋体" w:cs="Times New Roman"/>
          <w:b/>
          <w:bCs/>
          <w:color w:val="auto"/>
          <w:kern w:val="2"/>
          <w:sz w:val="52"/>
          <w:szCs w:val="84"/>
          <w:lang w:val="en-US" w:eastAsia="zh-CN" w:bidi="ar-SA"/>
        </w:rPr>
      </w:pPr>
      <w:bookmarkStart w:id="5" w:name="_Toc5032"/>
      <w:bookmarkStart w:id="6" w:name="_Toc223104294"/>
      <w:r>
        <w:rPr>
          <w:rFonts w:hint="default" w:ascii="Times New Roman" w:hAnsi="Times New Roman" w:eastAsia="宋体" w:cs="Times New Roman"/>
          <w:b/>
          <w:bCs/>
          <w:color w:val="auto"/>
          <w:kern w:val="2"/>
          <w:sz w:val="52"/>
          <w:szCs w:val="84"/>
          <w:lang w:val="en-US" w:eastAsia="zh-CN" w:bidi="ar-SA"/>
        </w:rPr>
        <w:t>Catalog</w:t>
      </w:r>
      <w:bookmarkEnd w:id="5"/>
    </w:p>
    <w:p w14:paraId="203B82C2">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1. General Provisions ........................................................................................................................8</w:t>
      </w:r>
    </w:p>
    <w:p w14:paraId="08BC8119">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2. Terms ............................................................................................................................................9</w:t>
      </w:r>
    </w:p>
    <w:p w14:paraId="1E1C63C9">
      <w:pPr>
        <w:keepNext w:val="0"/>
        <w:keepLines w:val="0"/>
        <w:widowControl/>
        <w:suppressLineNumbers w:val="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3. Basic Requirements..................................................................................................................... 11</w:t>
      </w:r>
    </w:p>
    <w:p w14:paraId="218D035E">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 xml:space="preserve">3.1 Classification of Vehicle Bases .........................................................................................11 </w:t>
      </w:r>
    </w:p>
    <w:p w14:paraId="12F8D230">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3.2 Classification of Buildings ................................................................................................11</w:t>
      </w:r>
    </w:p>
    <w:p w14:paraId="0F298F39">
      <w:pPr>
        <w:keepNext w:val="0"/>
        <w:keepLines w:val="0"/>
        <w:widowControl/>
        <w:suppressLineNumbers w:val="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4. Process Design ............................................................................................................................12</w:t>
      </w:r>
    </w:p>
    <w:p w14:paraId="2733E97F">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4.1 General Provisions for Process Energy-Saving Design ....................................................12</w:t>
      </w:r>
    </w:p>
    <w:p w14:paraId="18829FF5">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4.2 Design of Process Maintenance Equipment ......................................................................12</w:t>
      </w:r>
    </w:p>
    <w:p w14:paraId="46EA83C7">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4.3 Supporting Design of Process Flow ..................................................................................12</w:t>
      </w:r>
    </w:p>
    <w:p w14:paraId="2A4DC190">
      <w:pPr>
        <w:keepNext w:val="0"/>
        <w:keepLines w:val="0"/>
        <w:widowControl/>
        <w:suppressLineNumbers w:val="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 Station Design .............................................................................................................................14</w:t>
      </w:r>
    </w:p>
    <w:p w14:paraId="257971F4">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5.1 Overall Layout ..................................................................................................................14</w:t>
      </w:r>
    </w:p>
    <w:p w14:paraId="06A20052">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5.2 Plane Layout .....................................................................................................................14</w:t>
      </w:r>
    </w:p>
    <w:p w14:paraId="6BF1619B">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5.3 Track Design .....................................................................................................................15</w:t>
      </w:r>
    </w:p>
    <w:p w14:paraId="06A1568E">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5.4 Sponge City .......................................................................................................................15</w:t>
      </w:r>
    </w:p>
    <w:p w14:paraId="7F3AEB29">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5.5 Landscape Design .............................................................................................................16</w:t>
      </w:r>
    </w:p>
    <w:p w14:paraId="34B5B8C6">
      <w:pPr>
        <w:keepNext w:val="0"/>
        <w:keepLines w:val="0"/>
        <w:widowControl/>
        <w:suppressLineNumbers w:val="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 Building and Structure Design ....................................................................................................20</w:t>
      </w:r>
    </w:p>
    <w:p w14:paraId="0E0F280D">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6.1 Spatial Layout ...................................................................................................................20</w:t>
      </w:r>
    </w:p>
    <w:p w14:paraId="17423EC5">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6.2 Enclosure Structure ...........................................................................................................21</w:t>
      </w:r>
    </w:p>
    <w:p w14:paraId="2F3CC3ED">
      <w:pPr>
        <w:keepNext w:val="0"/>
        <w:keepLines w:val="0"/>
        <w:widowControl/>
        <w:suppressLineNumbers w:val="0"/>
        <w:ind w:firstLine="420" w:firstLineChars="0"/>
        <w:jc w:val="left"/>
        <w:rPr>
          <w:rStyle w:val="16"/>
          <w:rFonts w:hint="default"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6.3 Green Materials .................................................................................................................22</w:t>
      </w:r>
    </w:p>
    <w:p w14:paraId="4A4761FF">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6.4 Structural Design ...............................................................................................................22</w:t>
      </w:r>
    </w:p>
    <w:p w14:paraId="38080935">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6.5 Low-Carbon Construction .................................................................................................23</w:t>
      </w:r>
    </w:p>
    <w:p w14:paraId="213110F3">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 Equipment System Design ..........................................................................................................24</w:t>
      </w:r>
    </w:p>
    <w:p w14:paraId="47AF48BC">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7.1 Cold and Heat Sources ......................................................................................................24</w:t>
      </w:r>
    </w:p>
    <w:p w14:paraId="413997E2">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7.2 Transmission and Distribution System .............................................................................25</w:t>
      </w:r>
    </w:p>
    <w:p w14:paraId="1DBB0A77">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7.3 Terminal System ...............................................................................................................27</w:t>
      </w:r>
    </w:p>
    <w:p w14:paraId="0FD320B5">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7.4 Water Supply and Drainage System .................................................................................28</w:t>
      </w:r>
    </w:p>
    <w:p w14:paraId="483E5C91">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7.5 Domestic Hot Water .........................................................................................................29</w:t>
      </w:r>
    </w:p>
    <w:p w14:paraId="5B4D1F1D">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7.6 Power Supply System Design ...........................................................................................29</w:t>
      </w:r>
    </w:p>
    <w:p w14:paraId="079324B4">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7.7 Power and Lighting ...........................................................................................................29</w:t>
      </w:r>
    </w:p>
    <w:p w14:paraId="456CEEB5">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8. Utilization of Renewable Energy ................................................................................................31</w:t>
      </w:r>
    </w:p>
    <w:p w14:paraId="6B0F8446">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8.1 Applicable Scenarios of Renewable Energy..................................................................... 31</w:t>
      </w:r>
    </w:p>
    <w:p w14:paraId="7C124F70">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8.2 Design of Renewable Energy ............................................................................................32</w:t>
      </w:r>
    </w:p>
    <w:p w14:paraId="2B66A438">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9. Monitoring and Measurement......................................................................................................35</w:t>
      </w:r>
    </w:p>
    <w:p w14:paraId="05978E41">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9.1 Intelligent Monitoring System ..........................................................................................35</w:t>
      </w:r>
    </w:p>
    <w:p w14:paraId="530E0111">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9.2 Intelligent Management and Control Design ....................................................................36</w:t>
      </w:r>
    </w:p>
    <w:p w14:paraId="76F83133">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9.3 Energy-Saving Control .....................................................................................................37</w:t>
      </w:r>
    </w:p>
    <w:p w14:paraId="42B2E5FE">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9.4 Cost Management .............................................................................................................38</w:t>
      </w:r>
    </w:p>
    <w:p w14:paraId="0F451D24">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10. Carbon Emission Accounting ...................................................................................................39</w:t>
      </w:r>
    </w:p>
    <w:p w14:paraId="58E4BF73">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10.1 Accounting Boundary and Data Sources ........................................................................39</w:t>
      </w:r>
    </w:p>
    <w:p w14:paraId="68F1F6ED">
      <w:pPr>
        <w:keepNext w:val="0"/>
        <w:keepLines w:val="0"/>
        <w:widowControl/>
        <w:suppressLineNumbers w:val="0"/>
        <w:ind w:firstLine="420" w:firstLineChars="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10.2 Carbon Emission Accounting Methods ..........................................................................39</w:t>
      </w:r>
    </w:p>
    <w:p w14:paraId="59686533">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11. Carbon Offset ............................................................................................................................42</w:t>
      </w:r>
    </w:p>
    <w:p w14:paraId="0B881A31">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Explanation of Terms......................................................................................................................43</w:t>
      </w:r>
    </w:p>
    <w:p w14:paraId="312B3510">
      <w:pPr>
        <w:keepNext w:val="0"/>
        <w:keepLines w:val="0"/>
        <w:widowControl/>
        <w:suppressLineNumbers w:val="0"/>
        <w:jc w:val="left"/>
        <w:rPr>
          <w:rStyle w:val="16"/>
          <w:rFonts w:hint="eastAsia" w:ascii="Times New Roman" w:hAnsi="Times New Roman" w:eastAsia="宋体" w:cs="Times New Roman"/>
          <w:bCs/>
          <w:color w:val="auto"/>
          <w:sz w:val="21"/>
          <w:szCs w:val="21"/>
          <w:u w:val="none"/>
          <w:lang w:val="en-US" w:eastAsia="zh-CN" w:bidi="ar-SA"/>
        </w:rPr>
      </w:pPr>
      <w:r>
        <w:rPr>
          <w:rStyle w:val="16"/>
          <w:rFonts w:hint="eastAsia" w:ascii="Times New Roman" w:hAnsi="Times New Roman" w:eastAsia="宋体" w:cs="Times New Roman"/>
          <w:bCs/>
          <w:color w:val="auto"/>
          <w:sz w:val="21"/>
          <w:szCs w:val="21"/>
          <w:u w:val="none"/>
          <w:lang w:val="en-US" w:eastAsia="zh-CN" w:bidi="ar-SA"/>
        </w:rPr>
        <w:t>List of Cited Standards....................................................................................................................44</w:t>
      </w:r>
    </w:p>
    <w:p w14:paraId="5BB9DE2D">
      <w:pPr>
        <w:keepNext w:val="0"/>
        <w:keepLines w:val="0"/>
        <w:widowControl/>
        <w:suppressLineNumbers w:val="0"/>
        <w:jc w:val="left"/>
        <w:rPr>
          <w:rStyle w:val="16"/>
          <w:rFonts w:hint="eastAsia" w:ascii="Times New Roman" w:hAnsi="Times New Roman" w:eastAsia="宋体" w:cs="Times New Roman"/>
          <w:bCs/>
          <w:color w:val="auto"/>
          <w:sz w:val="21"/>
          <w:szCs w:val="21"/>
          <w:lang w:val="en-US" w:eastAsia="zh-CN" w:bidi="ar-SA"/>
        </w:rPr>
      </w:pPr>
      <w:r>
        <w:rPr>
          <w:rStyle w:val="16"/>
          <w:rFonts w:hint="eastAsia" w:ascii="Times New Roman" w:hAnsi="Times New Roman" w:eastAsia="宋体" w:cs="Times New Roman"/>
          <w:bCs/>
          <w:color w:val="auto"/>
          <w:sz w:val="21"/>
          <w:szCs w:val="21"/>
          <w:u w:val="none"/>
          <w:lang w:val="en-US" w:eastAsia="zh-CN" w:bidi="ar-SA"/>
        </w:rPr>
        <w:t>Appendix: Explanation of Provisions..............................................................................................45</w:t>
      </w:r>
    </w:p>
    <w:p w14:paraId="4C76824E">
      <w:pPr>
        <w:numPr>
          <w:ilvl w:val="0"/>
          <w:numId w:val="0"/>
        </w:numPr>
        <w:spacing w:after="240" w:line="360" w:lineRule="auto"/>
        <w:ind w:left="0" w:firstLine="0"/>
        <w:jc w:val="center"/>
        <w:outlineLvl w:val="0"/>
        <w:rPr>
          <w:rFonts w:ascii="黑体" w:hAnsi="黑体" w:eastAsia="黑体"/>
          <w:bCs/>
          <w:color w:val="auto"/>
          <w:sz w:val="36"/>
          <w:szCs w:val="32"/>
        </w:rPr>
      </w:pPr>
      <w:r>
        <w:rPr>
          <w:rFonts w:hint="eastAsia" w:ascii="黑体" w:hAnsi="黑体" w:eastAsia="黑体"/>
          <w:bCs/>
          <w:color w:val="auto"/>
          <w:sz w:val="36"/>
          <w:szCs w:val="32"/>
          <w:lang w:val="en-US" w:eastAsia="zh-CN"/>
        </w:rPr>
        <w:br w:type="page"/>
      </w:r>
      <w:bookmarkStart w:id="7" w:name="_Toc13026"/>
      <w:bookmarkStart w:id="8" w:name="_Toc29039"/>
      <w:r>
        <w:rPr>
          <w:rFonts w:hint="eastAsia" w:ascii="黑体" w:hAnsi="黑体" w:eastAsia="黑体"/>
          <w:bCs/>
          <w:color w:val="auto"/>
          <w:sz w:val="36"/>
          <w:szCs w:val="32"/>
          <w:lang w:val="en-US" w:eastAsia="zh-CN"/>
        </w:rPr>
        <w:t xml:space="preserve">1 </w:t>
      </w:r>
      <w:r>
        <w:rPr>
          <w:rFonts w:hint="eastAsia" w:ascii="黑体" w:hAnsi="黑体" w:eastAsia="黑体"/>
          <w:bCs/>
          <w:color w:val="auto"/>
          <w:sz w:val="36"/>
          <w:szCs w:val="32"/>
        </w:rPr>
        <w:t>总则</w:t>
      </w:r>
      <w:bookmarkEnd w:id="6"/>
      <w:bookmarkEnd w:id="7"/>
      <w:bookmarkEnd w:id="8"/>
    </w:p>
    <w:p w14:paraId="68CE5633">
      <w:pPr>
        <w:spacing w:line="360" w:lineRule="auto"/>
        <w:rPr>
          <w:bCs/>
          <w:color w:val="auto"/>
          <w:sz w:val="24"/>
          <w:szCs w:val="24"/>
        </w:rPr>
      </w:pPr>
      <w:r>
        <w:rPr>
          <w:rFonts w:hint="eastAsia"/>
          <w:bCs/>
          <w:color w:val="auto"/>
          <w:sz w:val="24"/>
          <w:szCs w:val="24"/>
        </w:rPr>
        <w:t>1.0.1 为推动可持续发展，应对气候变化，改善车辆基地的环境质量，推动车辆基地在能效和资源利用方面的优化，降低运营成本，提高整体运营效率，发展可再生能源和零碳能源建筑应用，引导城市轨道交通车辆基地逐步实现低碳、近零碳、零碳排放，制定本标准。</w:t>
      </w:r>
    </w:p>
    <w:p w14:paraId="268BF085">
      <w:pPr>
        <w:spacing w:line="360" w:lineRule="auto"/>
        <w:rPr>
          <w:bCs/>
          <w:color w:val="auto"/>
          <w:sz w:val="24"/>
          <w:szCs w:val="24"/>
        </w:rPr>
      </w:pPr>
      <w:r>
        <w:rPr>
          <w:rFonts w:hint="eastAsia"/>
          <w:bCs/>
          <w:color w:val="auto"/>
          <w:sz w:val="24"/>
          <w:szCs w:val="24"/>
        </w:rPr>
        <w:t>1.0.2 本标准适用于新建与既有改造的低碳、近零碳、零碳城市轨道交通车辆基地的设计。</w:t>
      </w:r>
    </w:p>
    <w:p w14:paraId="522106B8">
      <w:pPr>
        <w:spacing w:line="360" w:lineRule="auto"/>
        <w:rPr>
          <w:bCs/>
          <w:color w:val="auto"/>
          <w:sz w:val="24"/>
          <w:szCs w:val="24"/>
        </w:rPr>
      </w:pPr>
      <w:r>
        <w:rPr>
          <w:rFonts w:hint="eastAsia"/>
          <w:bCs/>
          <w:color w:val="auto"/>
          <w:sz w:val="24"/>
          <w:szCs w:val="24"/>
        </w:rPr>
        <w:t>1.0.3 低碳、近零碳、零碳车辆基地的设计除应符合本标准规定外，</w:t>
      </w:r>
      <w:r>
        <w:rPr>
          <w:rFonts w:hint="eastAsia"/>
          <w:color w:val="000000"/>
          <w:sz w:val="24"/>
          <w:szCs w:val="24"/>
        </w:rPr>
        <w:t>尚应符合国家现行有关标准和现行中国工程建设标准化协会有关标准的规定。</w:t>
      </w:r>
    </w:p>
    <w:p w14:paraId="53C320EC">
      <w:pPr>
        <w:numPr>
          <w:ilvl w:val="0"/>
          <w:numId w:val="0"/>
        </w:numPr>
        <w:spacing w:after="240" w:line="360" w:lineRule="auto"/>
        <w:jc w:val="center"/>
        <w:outlineLvl w:val="0"/>
        <w:rPr>
          <w:rFonts w:ascii="黑体" w:hAnsi="黑体" w:eastAsia="黑体"/>
          <w:bCs/>
          <w:color w:val="auto"/>
          <w:sz w:val="36"/>
          <w:szCs w:val="32"/>
        </w:rPr>
      </w:pPr>
      <w:bookmarkStart w:id="9" w:name="_Toc223104295"/>
      <w:r>
        <w:rPr>
          <w:rFonts w:hint="eastAsia" w:ascii="黑体" w:hAnsi="黑体" w:eastAsia="黑体"/>
          <w:bCs/>
          <w:color w:val="auto"/>
          <w:sz w:val="36"/>
          <w:szCs w:val="32"/>
          <w:lang w:val="en-US" w:eastAsia="zh-CN"/>
        </w:rPr>
        <w:br w:type="page"/>
      </w:r>
      <w:bookmarkStart w:id="10" w:name="_Toc21175"/>
      <w:bookmarkStart w:id="11" w:name="_Toc1648"/>
      <w:r>
        <w:rPr>
          <w:rFonts w:hint="eastAsia" w:ascii="黑体" w:hAnsi="黑体" w:eastAsia="黑体"/>
          <w:bCs/>
          <w:color w:val="auto"/>
          <w:sz w:val="36"/>
          <w:szCs w:val="32"/>
          <w:lang w:val="en-US" w:eastAsia="zh-CN"/>
        </w:rPr>
        <w:t xml:space="preserve">2 </w:t>
      </w:r>
      <w:r>
        <w:rPr>
          <w:rFonts w:hint="eastAsia" w:ascii="黑体" w:hAnsi="黑体" w:eastAsia="黑体"/>
          <w:bCs/>
          <w:color w:val="auto"/>
          <w:sz w:val="36"/>
          <w:szCs w:val="32"/>
        </w:rPr>
        <w:t>术语</w:t>
      </w:r>
      <w:bookmarkEnd w:id="9"/>
      <w:bookmarkEnd w:id="10"/>
      <w:bookmarkEnd w:id="11"/>
    </w:p>
    <w:p w14:paraId="38CB550E">
      <w:pPr>
        <w:spacing w:line="360" w:lineRule="auto"/>
        <w:rPr>
          <w:bCs/>
          <w:color w:val="auto"/>
          <w:sz w:val="24"/>
          <w:szCs w:val="24"/>
        </w:rPr>
      </w:pPr>
      <w:r>
        <w:rPr>
          <w:rFonts w:hint="eastAsia"/>
          <w:b/>
          <w:color w:val="auto"/>
          <w:sz w:val="24"/>
          <w:szCs w:val="24"/>
        </w:rPr>
        <w:t xml:space="preserve">2.0.1 城市轨道交通车辆基地vehicle base of urban rail transit </w:t>
      </w:r>
    </w:p>
    <w:p w14:paraId="40942559">
      <w:pPr>
        <w:spacing w:line="360" w:lineRule="auto"/>
        <w:ind w:firstLine="480" w:firstLineChars="200"/>
        <w:rPr>
          <w:bCs/>
          <w:color w:val="auto"/>
          <w:sz w:val="24"/>
          <w:szCs w:val="24"/>
        </w:rPr>
      </w:pPr>
      <w:r>
        <w:rPr>
          <w:rFonts w:hint="eastAsia"/>
          <w:bCs/>
          <w:color w:val="auto"/>
          <w:sz w:val="24"/>
          <w:szCs w:val="24"/>
        </w:rPr>
        <w:t>以车辆停放、检修和日常维修为主体，集中车辆段（停车场）、综合维修中心、物资总库、培训中心及相关的生活设施等组成的综合性生产单位。以下简称为“车辆基地”。</w:t>
      </w:r>
    </w:p>
    <w:p w14:paraId="7FEBCDE5">
      <w:pPr>
        <w:spacing w:line="360" w:lineRule="auto"/>
        <w:rPr>
          <w:b/>
          <w:color w:val="auto"/>
          <w:sz w:val="24"/>
          <w:szCs w:val="24"/>
        </w:rPr>
      </w:pPr>
      <w:r>
        <w:rPr>
          <w:rFonts w:hint="eastAsia"/>
          <w:b/>
          <w:color w:val="auto"/>
          <w:sz w:val="24"/>
          <w:szCs w:val="24"/>
        </w:rPr>
        <w:t>2.0.2 城市轨道交通低碳车辆基地low carbon urban rail transit vehicle base</w:t>
      </w:r>
    </w:p>
    <w:p w14:paraId="1939A7D2">
      <w:pPr>
        <w:spacing w:line="360" w:lineRule="auto"/>
        <w:ind w:firstLine="480" w:firstLineChars="200"/>
        <w:rPr>
          <w:bCs/>
          <w:color w:val="auto"/>
          <w:sz w:val="24"/>
          <w:szCs w:val="24"/>
        </w:rPr>
      </w:pPr>
      <w:r>
        <w:rPr>
          <w:rFonts w:hint="eastAsia"/>
          <w:bCs/>
          <w:color w:val="auto"/>
          <w:sz w:val="24"/>
          <w:szCs w:val="24"/>
        </w:rPr>
        <w:t>适应气候特征与场地条件，在满足室内环境参数的基础上，通过优化车辆基地设计降低用能需求，提高能源设备与系统效率，充分利用可再生能源资源，实现碳排放指标符合本标准第10.2条规定的城市轨道交通车辆基地。</w:t>
      </w:r>
    </w:p>
    <w:p w14:paraId="7B392D3A">
      <w:pPr>
        <w:spacing w:line="360" w:lineRule="auto"/>
        <w:rPr>
          <w:b/>
          <w:color w:val="auto"/>
          <w:sz w:val="24"/>
          <w:szCs w:val="24"/>
        </w:rPr>
      </w:pPr>
      <w:r>
        <w:rPr>
          <w:rFonts w:hint="eastAsia"/>
          <w:b/>
          <w:color w:val="auto"/>
          <w:sz w:val="24"/>
          <w:szCs w:val="24"/>
        </w:rPr>
        <w:t>2.0.3 城市轨道交通近零碳车辆基地nearly zero carbon urban rail transit vehicle base</w:t>
      </w:r>
    </w:p>
    <w:p w14:paraId="21F4135A">
      <w:pPr>
        <w:spacing w:line="360" w:lineRule="auto"/>
        <w:ind w:firstLine="480" w:firstLineChars="200"/>
        <w:rPr>
          <w:bCs/>
          <w:color w:val="auto"/>
          <w:sz w:val="24"/>
          <w:szCs w:val="24"/>
        </w:rPr>
      </w:pPr>
      <w:r>
        <w:rPr>
          <w:rFonts w:hint="eastAsia"/>
          <w:bCs/>
          <w:color w:val="auto"/>
          <w:sz w:val="24"/>
          <w:szCs w:val="24"/>
        </w:rPr>
        <w:t>在实现城市轨道交通低碳车辆基地的基础上，可进一步提升车辆基地降碳水平、利用可再生能源资源，实现碳排放指标符合本标准第10.2条规定的城市轨道交通车辆基地。</w:t>
      </w:r>
    </w:p>
    <w:p w14:paraId="5C169810">
      <w:pPr>
        <w:spacing w:line="360" w:lineRule="auto"/>
        <w:rPr>
          <w:b/>
          <w:color w:val="auto"/>
          <w:sz w:val="24"/>
          <w:szCs w:val="24"/>
        </w:rPr>
      </w:pPr>
      <w:r>
        <w:rPr>
          <w:rFonts w:hint="eastAsia"/>
          <w:b/>
          <w:color w:val="auto"/>
          <w:sz w:val="24"/>
          <w:szCs w:val="24"/>
        </w:rPr>
        <w:t>2.0.4 城市轨道交通零碳车辆基地zero carbon urban rail transit vehicle base</w:t>
      </w:r>
    </w:p>
    <w:p w14:paraId="11B5D7E6">
      <w:pPr>
        <w:spacing w:line="360" w:lineRule="auto"/>
        <w:ind w:firstLine="480" w:firstLineChars="200"/>
        <w:rPr>
          <w:bCs/>
          <w:color w:val="auto"/>
          <w:sz w:val="24"/>
          <w:szCs w:val="24"/>
        </w:rPr>
      </w:pPr>
      <w:r>
        <w:rPr>
          <w:rFonts w:hint="eastAsia"/>
          <w:bCs/>
          <w:color w:val="auto"/>
          <w:sz w:val="24"/>
          <w:szCs w:val="24"/>
        </w:rPr>
        <w:t xml:space="preserve">通过车辆基地降碳和可再生能源资源满足城市轨道交通近零碳车辆基地技术指标的基础上，利用可利用的可再生能源资源和建筑蓄能，并可结合绿色电力交易、绿色电力证书交易与碳排放权交易,实现全年净碳排放为零的车辆基地。    </w:t>
      </w:r>
    </w:p>
    <w:p w14:paraId="22404094">
      <w:pPr>
        <w:spacing w:line="360" w:lineRule="auto"/>
        <w:rPr>
          <w:b/>
          <w:color w:val="auto"/>
          <w:sz w:val="24"/>
          <w:szCs w:val="24"/>
        </w:rPr>
      </w:pPr>
      <w:r>
        <w:rPr>
          <w:rFonts w:hint="eastAsia"/>
          <w:b/>
          <w:color w:val="auto"/>
          <w:sz w:val="24"/>
          <w:szCs w:val="24"/>
        </w:rPr>
        <w:t>2.0.5 全过程城市轨道交通零碳车辆基地whole process zero carbon urban rail transit vehicle base</w:t>
      </w:r>
    </w:p>
    <w:p w14:paraId="6A9E45E4">
      <w:pPr>
        <w:spacing w:line="360" w:lineRule="auto"/>
        <w:ind w:firstLine="480" w:firstLineChars="200"/>
        <w:rPr>
          <w:bCs/>
          <w:color w:val="auto"/>
          <w:sz w:val="24"/>
          <w:szCs w:val="24"/>
        </w:rPr>
      </w:pPr>
      <w:r>
        <w:rPr>
          <w:rFonts w:hint="eastAsia"/>
          <w:bCs/>
          <w:color w:val="auto"/>
          <w:sz w:val="24"/>
          <w:szCs w:val="24"/>
        </w:rPr>
        <w:t>在满足城市轨道交通零碳车辆基地技术指标的基础上，通过采用低碳建材、低碳结构形式和材料减量化设计，并可结合绿色电力交易、绿色电力证书交易与碳排放权交易，实现车辆基地建材生产及运输、建造及拆除和运行全过程的碳排放量不大于零的城市轨道交通车辆基地。</w:t>
      </w:r>
    </w:p>
    <w:p w14:paraId="054B54B0">
      <w:pPr>
        <w:spacing w:line="360" w:lineRule="auto"/>
        <w:rPr>
          <w:b/>
          <w:color w:val="auto"/>
          <w:sz w:val="24"/>
          <w:szCs w:val="24"/>
        </w:rPr>
      </w:pPr>
      <w:r>
        <w:rPr>
          <w:rFonts w:hint="eastAsia"/>
          <w:b/>
          <w:color w:val="auto"/>
          <w:sz w:val="24"/>
          <w:szCs w:val="24"/>
        </w:rPr>
        <w:t>2.0.6 城市轨道交通基准车辆基地reference urban rail transit vehicle base</w:t>
      </w:r>
    </w:p>
    <w:p w14:paraId="1260E00B">
      <w:pPr>
        <w:spacing w:line="360" w:lineRule="auto"/>
        <w:ind w:firstLine="480" w:firstLineChars="200"/>
        <w:rPr>
          <w:bCs/>
          <w:color w:val="auto"/>
          <w:sz w:val="24"/>
          <w:szCs w:val="24"/>
        </w:rPr>
      </w:pPr>
      <w:r>
        <w:rPr>
          <w:rFonts w:hint="eastAsia"/>
          <w:bCs/>
          <w:color w:val="auto"/>
          <w:sz w:val="24"/>
          <w:szCs w:val="24"/>
        </w:rPr>
        <w:t>城市轨道交通基准车辆基地是以设计车辆基地为基础，符合《地铁设计规范》GB50157-2013、强制性工程建设规范《建筑节能与可再生能源利用通用规范》GB55015-2021相关要求的车辆基地。</w:t>
      </w:r>
    </w:p>
    <w:p w14:paraId="76F51E52">
      <w:pPr>
        <w:spacing w:line="360" w:lineRule="auto"/>
        <w:rPr>
          <w:b/>
          <w:color w:val="auto"/>
          <w:sz w:val="24"/>
          <w:szCs w:val="24"/>
        </w:rPr>
      </w:pPr>
      <w:r>
        <w:rPr>
          <w:rFonts w:hint="eastAsia"/>
          <w:b/>
          <w:color w:val="auto"/>
          <w:sz w:val="24"/>
          <w:szCs w:val="24"/>
        </w:rPr>
        <w:t>2.0.7 城市轨道交通车辆基地碳排放量urban rail transit vehicle base carbon dioxide emissions</w:t>
      </w:r>
    </w:p>
    <w:p w14:paraId="4CB60B0F">
      <w:pPr>
        <w:widowControl/>
        <w:spacing w:line="360" w:lineRule="auto"/>
        <w:ind w:firstLine="420"/>
        <w:jc w:val="left"/>
        <w:rPr>
          <w:color w:val="auto"/>
          <w:sz w:val="24"/>
          <w:szCs w:val="24"/>
        </w:rPr>
      </w:pPr>
      <w:r>
        <w:rPr>
          <w:rFonts w:hint="eastAsia"/>
          <w:bCs/>
          <w:color w:val="auto"/>
          <w:sz w:val="24"/>
          <w:szCs w:val="24"/>
        </w:rPr>
        <w:t>城市轨道交通车辆基地</w:t>
      </w:r>
      <w:r>
        <w:rPr>
          <w:rFonts w:hint="eastAsia" w:ascii="宋体" w:hAnsi="宋体" w:cs="宋体"/>
          <w:color w:val="auto"/>
          <w:sz w:val="24"/>
          <w:szCs w:val="24"/>
          <w:lang w:bidi="ar"/>
        </w:rPr>
        <w:t>在设定计算条件或实际运行条件下，统计期内车辆检修、供暖、通风、空调、照明、生活生产用水、电梯、插座、炊事等终端能源消耗以及可再生能源产能按不同类型能源消耗量和不同类型能源的碳排放因子计算得出的碳排放量。</w:t>
      </w:r>
    </w:p>
    <w:p w14:paraId="2A617CC5">
      <w:pPr>
        <w:spacing w:line="360" w:lineRule="auto"/>
        <w:rPr>
          <w:b/>
          <w:color w:val="auto"/>
          <w:sz w:val="24"/>
          <w:szCs w:val="24"/>
        </w:rPr>
      </w:pPr>
      <w:r>
        <w:rPr>
          <w:rFonts w:hint="eastAsia"/>
          <w:b/>
          <w:color w:val="auto"/>
          <w:sz w:val="24"/>
          <w:szCs w:val="24"/>
        </w:rPr>
        <w:t>2.0.8 城市轨道交通车辆基地碳排放强度 urban rail transit vehicle base carbon dioxide emissions intensity</w:t>
      </w:r>
    </w:p>
    <w:p w14:paraId="7474C7D9">
      <w:pPr>
        <w:spacing w:line="360" w:lineRule="auto"/>
        <w:ind w:firstLine="480" w:firstLineChars="200"/>
        <w:rPr>
          <w:bCs/>
          <w:color w:val="auto"/>
          <w:sz w:val="24"/>
          <w:szCs w:val="24"/>
        </w:rPr>
      </w:pPr>
      <w:r>
        <w:rPr>
          <w:rFonts w:hint="eastAsia"/>
          <w:bCs/>
          <w:color w:val="auto"/>
          <w:sz w:val="24"/>
          <w:szCs w:val="24"/>
        </w:rPr>
        <w:t>城市轨道交通车辆基地碳排放量与车辆基地建筑面积的比值。</w:t>
      </w:r>
    </w:p>
    <w:p w14:paraId="5F2CBE89">
      <w:pPr>
        <w:spacing w:line="360" w:lineRule="auto"/>
        <w:rPr>
          <w:b/>
          <w:color w:val="auto"/>
          <w:sz w:val="24"/>
          <w:szCs w:val="24"/>
        </w:rPr>
      </w:pPr>
      <w:r>
        <w:rPr>
          <w:rFonts w:hint="eastAsia"/>
          <w:b/>
          <w:color w:val="auto"/>
          <w:sz w:val="24"/>
          <w:szCs w:val="24"/>
        </w:rPr>
        <w:t>2.0.9 城市轨道交通车辆基地减碳率 urban rail transit vehicle base carbon dioxide reducing ratio</w:t>
      </w:r>
    </w:p>
    <w:p w14:paraId="1FF4FCF6">
      <w:pPr>
        <w:widowControl/>
        <w:spacing w:line="360" w:lineRule="auto"/>
        <w:ind w:firstLine="480" w:firstLineChars="200"/>
        <w:jc w:val="left"/>
        <w:rPr>
          <w:color w:val="auto"/>
          <w:sz w:val="24"/>
          <w:szCs w:val="24"/>
        </w:rPr>
      </w:pPr>
      <w:r>
        <w:rPr>
          <w:rFonts w:hint="eastAsia" w:ascii="宋体" w:hAnsi="宋体" w:cs="宋体"/>
          <w:color w:val="auto"/>
          <w:sz w:val="24"/>
          <w:szCs w:val="24"/>
          <w:lang w:bidi="ar"/>
        </w:rPr>
        <w:t>城市轨道交通基准车辆基地碳排放强度和设计城市轨道交通车辆基地碳排放强度的差值，与城市轨道交通基准车辆基地碳排放强度的比值。</w:t>
      </w:r>
    </w:p>
    <w:p w14:paraId="62C6746F">
      <w:pPr>
        <w:spacing w:line="360" w:lineRule="auto"/>
        <w:rPr>
          <w:b/>
          <w:color w:val="auto"/>
          <w:sz w:val="24"/>
          <w:szCs w:val="24"/>
        </w:rPr>
      </w:pPr>
      <w:r>
        <w:rPr>
          <w:rFonts w:hint="eastAsia"/>
          <w:b/>
          <w:color w:val="auto"/>
          <w:sz w:val="24"/>
          <w:szCs w:val="24"/>
        </w:rPr>
        <w:t xml:space="preserve">2.0.10 城市轨道交通车辆基地净碳排放量 </w:t>
      </w:r>
    </w:p>
    <w:p w14:paraId="1FAD5A1F">
      <w:pPr>
        <w:widowControl/>
        <w:spacing w:line="360" w:lineRule="auto"/>
        <w:ind w:firstLine="420"/>
        <w:jc w:val="left"/>
        <w:rPr>
          <w:color w:val="auto"/>
          <w:sz w:val="24"/>
          <w:szCs w:val="24"/>
        </w:rPr>
      </w:pPr>
      <w:r>
        <w:rPr>
          <w:rFonts w:hint="eastAsia" w:ascii="宋体" w:hAnsi="宋体" w:cs="宋体"/>
          <w:color w:val="auto"/>
          <w:sz w:val="24"/>
          <w:szCs w:val="24"/>
          <w:lang w:bidi="ar"/>
        </w:rPr>
        <w:t>城市轨道交通车辆基地碳排放量与绿色电力交易、绿色电力证书交易与碳排放权交易抵消碳排放量的差值。</w:t>
      </w:r>
    </w:p>
    <w:p w14:paraId="470F6E46">
      <w:pPr>
        <w:spacing w:line="360" w:lineRule="auto"/>
        <w:ind w:firstLine="480" w:firstLineChars="200"/>
        <w:rPr>
          <w:bCs/>
          <w:color w:val="auto"/>
          <w:sz w:val="24"/>
          <w:szCs w:val="24"/>
        </w:rPr>
      </w:pPr>
    </w:p>
    <w:p w14:paraId="400872EC">
      <w:pPr>
        <w:numPr>
          <w:ilvl w:val="0"/>
          <w:numId w:val="0"/>
        </w:numPr>
        <w:spacing w:after="240" w:line="360" w:lineRule="auto"/>
        <w:jc w:val="center"/>
        <w:outlineLvl w:val="0"/>
        <w:rPr>
          <w:rFonts w:ascii="黑体" w:hAnsi="黑体" w:eastAsia="黑体"/>
          <w:bCs/>
          <w:color w:val="auto"/>
          <w:sz w:val="36"/>
          <w:szCs w:val="32"/>
        </w:rPr>
      </w:pPr>
      <w:bookmarkStart w:id="12" w:name="_Toc223104296"/>
      <w:r>
        <w:rPr>
          <w:rFonts w:hint="eastAsia" w:ascii="黑体" w:hAnsi="黑体" w:eastAsia="黑体"/>
          <w:bCs/>
          <w:color w:val="auto"/>
          <w:sz w:val="36"/>
          <w:szCs w:val="32"/>
          <w:lang w:val="en-US" w:eastAsia="zh-CN"/>
        </w:rPr>
        <w:br w:type="page"/>
      </w:r>
      <w:bookmarkStart w:id="13" w:name="_Toc13427"/>
      <w:bookmarkStart w:id="14" w:name="_Toc6876"/>
      <w:r>
        <w:rPr>
          <w:rFonts w:hint="eastAsia" w:ascii="黑体" w:hAnsi="黑体" w:eastAsia="黑体"/>
          <w:bCs/>
          <w:color w:val="auto"/>
          <w:sz w:val="36"/>
          <w:szCs w:val="32"/>
          <w:lang w:val="en-US" w:eastAsia="zh-CN"/>
        </w:rPr>
        <w:t xml:space="preserve">3 </w:t>
      </w:r>
      <w:r>
        <w:rPr>
          <w:rFonts w:hint="eastAsia" w:ascii="黑体" w:hAnsi="黑体" w:eastAsia="黑体"/>
          <w:bCs/>
          <w:color w:val="auto"/>
          <w:sz w:val="36"/>
          <w:szCs w:val="32"/>
        </w:rPr>
        <w:t>基本规定</w:t>
      </w:r>
      <w:bookmarkEnd w:id="12"/>
      <w:bookmarkEnd w:id="13"/>
      <w:bookmarkEnd w:id="14"/>
    </w:p>
    <w:p w14:paraId="5DE82E87">
      <w:pPr>
        <w:spacing w:line="360" w:lineRule="auto"/>
        <w:ind w:firstLine="560" w:firstLineChars="200"/>
        <w:jc w:val="center"/>
        <w:outlineLvl w:val="1"/>
        <w:rPr>
          <w:bCs/>
          <w:color w:val="auto"/>
          <w:sz w:val="28"/>
          <w:szCs w:val="28"/>
        </w:rPr>
      </w:pPr>
      <w:bookmarkStart w:id="15" w:name="_Toc24115"/>
      <w:bookmarkStart w:id="16" w:name="_Toc26884"/>
      <w:bookmarkStart w:id="17" w:name="_Toc223104297"/>
      <w:r>
        <w:rPr>
          <w:rFonts w:hint="eastAsia"/>
          <w:bCs/>
          <w:color w:val="auto"/>
          <w:sz w:val="28"/>
          <w:szCs w:val="28"/>
        </w:rPr>
        <w:t>3.1 车辆基地分类</w:t>
      </w:r>
      <w:bookmarkEnd w:id="15"/>
      <w:bookmarkEnd w:id="16"/>
      <w:bookmarkEnd w:id="17"/>
    </w:p>
    <w:p w14:paraId="31767469">
      <w:pPr>
        <w:spacing w:line="360" w:lineRule="auto"/>
        <w:ind w:firstLine="0" w:firstLineChars="0"/>
        <w:rPr>
          <w:bCs/>
          <w:color w:val="auto"/>
          <w:sz w:val="24"/>
          <w:szCs w:val="24"/>
        </w:rPr>
      </w:pPr>
      <w:r>
        <w:rPr>
          <w:rFonts w:hint="eastAsia"/>
          <w:bCs/>
          <w:color w:val="auto"/>
          <w:sz w:val="24"/>
          <w:szCs w:val="24"/>
        </w:rPr>
        <w:t>3.1.1车辆基地一般分为车辆段和停车场。车辆段可根据其作业范围分为大、架修段和定修段，大、架修段应为承担车辆的大修和架修及其以下修程作业；定修段应承担车辆的定修及其以下修程作业。</w:t>
      </w:r>
    </w:p>
    <w:p w14:paraId="1A3107E4">
      <w:pPr>
        <w:spacing w:line="360" w:lineRule="auto"/>
        <w:ind w:firstLine="0" w:firstLineChars="0"/>
        <w:rPr>
          <w:bCs/>
          <w:color w:val="auto"/>
          <w:sz w:val="24"/>
          <w:szCs w:val="24"/>
        </w:rPr>
      </w:pPr>
      <w:r>
        <w:rPr>
          <w:rFonts w:hint="eastAsia"/>
          <w:bCs/>
          <w:color w:val="auto"/>
          <w:sz w:val="24"/>
          <w:szCs w:val="24"/>
        </w:rPr>
        <w:t>3.1.2停车场应主要承担列检和停车作业，必要时可承担双周/三月检及临修作业。</w:t>
      </w:r>
    </w:p>
    <w:p w14:paraId="4893173C">
      <w:pPr>
        <w:spacing w:line="360" w:lineRule="auto"/>
        <w:ind w:firstLine="0" w:firstLineChars="0"/>
        <w:rPr>
          <w:bCs/>
          <w:color w:val="auto"/>
          <w:sz w:val="24"/>
          <w:szCs w:val="24"/>
        </w:rPr>
      </w:pPr>
      <w:r>
        <w:rPr>
          <w:rFonts w:hint="eastAsia"/>
          <w:bCs/>
          <w:color w:val="auto"/>
          <w:sz w:val="24"/>
          <w:szCs w:val="24"/>
        </w:rPr>
        <w:t>3.1.3 车辆基地根据用地条件，可分为地下车辆基地、半地下车辆基地、地面车辆基地。</w:t>
      </w:r>
    </w:p>
    <w:p w14:paraId="690F7CD5">
      <w:pPr>
        <w:spacing w:line="360" w:lineRule="auto"/>
        <w:ind w:firstLine="0" w:firstLineChars="0"/>
        <w:rPr>
          <w:bCs/>
          <w:color w:val="auto"/>
          <w:sz w:val="24"/>
          <w:szCs w:val="24"/>
        </w:rPr>
      </w:pPr>
      <w:r>
        <w:rPr>
          <w:rFonts w:hint="eastAsia"/>
          <w:bCs/>
          <w:color w:val="auto"/>
          <w:sz w:val="24"/>
          <w:szCs w:val="24"/>
        </w:rPr>
        <w:t>3.1.4车辆基地根据层数，可分为单层车辆基地、双层或多层车辆基地。</w:t>
      </w:r>
    </w:p>
    <w:p w14:paraId="602FBE6C">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8" w:name="_Toc5385"/>
      <w:bookmarkStart w:id="19" w:name="_Toc223104298"/>
      <w:bookmarkStart w:id="20" w:name="_Toc29237"/>
      <w:r>
        <w:rPr>
          <w:rFonts w:hint="eastAsia" w:ascii="Times New Roman" w:hAnsi="Times New Roman" w:eastAsia="宋体" w:cs="Times New Roman"/>
          <w:bCs/>
          <w:color w:val="auto"/>
          <w:sz w:val="28"/>
          <w:szCs w:val="28"/>
        </w:rPr>
        <w:t>3.2 建筑分类</w:t>
      </w:r>
      <w:bookmarkEnd w:id="18"/>
      <w:bookmarkEnd w:id="19"/>
      <w:bookmarkEnd w:id="20"/>
    </w:p>
    <w:p w14:paraId="28A7FFEA">
      <w:pPr>
        <w:spacing w:line="360" w:lineRule="auto"/>
        <w:rPr>
          <w:bCs/>
          <w:color w:val="auto"/>
          <w:sz w:val="24"/>
          <w:szCs w:val="24"/>
        </w:rPr>
      </w:pPr>
      <w:r>
        <w:rPr>
          <w:rFonts w:hint="eastAsia"/>
          <w:bCs/>
          <w:color w:val="auto"/>
          <w:sz w:val="24"/>
          <w:szCs w:val="24"/>
        </w:rPr>
        <w:t xml:space="preserve">3.2.1 </w:t>
      </w:r>
      <w:r>
        <w:rPr>
          <w:bCs/>
          <w:color w:val="auto"/>
          <w:sz w:val="24"/>
          <w:szCs w:val="24"/>
        </w:rPr>
        <w:t>生产类建筑：综合维修楼、停车列检库、检修库、调机及工程车库、洗车库、废水处理站、牵引变电所、蓄电池间、镟轮库、物资库、易燃品库等。其中物资库与易燃品库为仓库类，其他生产类建筑为厂房类。</w:t>
      </w:r>
    </w:p>
    <w:p w14:paraId="0BD91DE6">
      <w:pPr>
        <w:spacing w:line="360" w:lineRule="auto"/>
        <w:rPr>
          <w:bCs/>
          <w:color w:val="auto"/>
          <w:sz w:val="24"/>
          <w:szCs w:val="24"/>
        </w:rPr>
      </w:pPr>
      <w:r>
        <w:rPr>
          <w:rFonts w:hint="eastAsia"/>
          <w:bCs/>
          <w:color w:val="auto"/>
          <w:sz w:val="24"/>
          <w:szCs w:val="24"/>
        </w:rPr>
        <w:t xml:space="preserve">3.2.2 </w:t>
      </w:r>
      <w:r>
        <w:rPr>
          <w:bCs/>
          <w:color w:val="auto"/>
          <w:sz w:val="24"/>
          <w:szCs w:val="24"/>
        </w:rPr>
        <w:t>非生产类建筑：综合楼、综合维修楼（与综合楼合设）、派出所、门卫等，一般为</w:t>
      </w:r>
      <w:r>
        <w:rPr>
          <w:rFonts w:hint="eastAsia"/>
          <w:bCs/>
          <w:color w:val="auto"/>
          <w:sz w:val="24"/>
          <w:szCs w:val="24"/>
        </w:rPr>
        <w:t>车辆基地</w:t>
      </w:r>
      <w:r>
        <w:rPr>
          <w:bCs/>
          <w:color w:val="auto"/>
          <w:sz w:val="24"/>
          <w:szCs w:val="24"/>
        </w:rPr>
        <w:t>办公、生活配套服务用房，为民用建筑。</w:t>
      </w:r>
    </w:p>
    <w:p w14:paraId="3CA96A44">
      <w:pPr>
        <w:spacing w:line="360" w:lineRule="auto"/>
        <w:ind w:firstLine="0" w:firstLineChars="0"/>
        <w:rPr>
          <w:rFonts w:hint="eastAsia" w:ascii="楷体" w:hAnsi="楷体" w:eastAsia="楷体" w:cs="楷体"/>
          <w:b w:val="0"/>
          <w:bCs/>
          <w:color w:val="auto"/>
          <w:sz w:val="24"/>
          <w:szCs w:val="24"/>
        </w:rPr>
      </w:pPr>
      <w:r>
        <w:rPr>
          <w:rFonts w:hint="eastAsia" w:ascii="楷体" w:hAnsi="楷体" w:eastAsia="楷体" w:cs="楷体"/>
          <w:bCs/>
          <w:color w:val="auto"/>
          <w:sz w:val="24"/>
          <w:szCs w:val="24"/>
        </w:rPr>
        <w:t>【条文说明】</w:t>
      </w:r>
      <w:r>
        <w:rPr>
          <w:rFonts w:hint="eastAsia" w:ascii="楷体" w:hAnsi="楷体" w:eastAsia="楷体" w:cs="楷体"/>
          <w:b w:val="0"/>
          <w:bCs/>
          <w:color w:val="auto"/>
          <w:sz w:val="24"/>
          <w:szCs w:val="24"/>
        </w:rPr>
        <w:t>车辆基地建筑按功能分类，主要分为生产类与非生产类建筑两大类。按使用性质分类，主要分为民用建筑与工业建筑两大类，其中工业建筑分为厂房与仓库。</w:t>
      </w:r>
    </w:p>
    <w:p w14:paraId="4C4A932C">
      <w:pPr>
        <w:spacing w:line="360" w:lineRule="auto"/>
        <w:rPr>
          <w:bCs/>
          <w:color w:val="auto"/>
          <w:sz w:val="24"/>
          <w:szCs w:val="24"/>
        </w:rPr>
      </w:pPr>
    </w:p>
    <w:p w14:paraId="2708EB2C">
      <w:pPr>
        <w:numPr>
          <w:ilvl w:val="0"/>
          <w:numId w:val="0"/>
        </w:numPr>
        <w:spacing w:after="240" w:line="360" w:lineRule="auto"/>
        <w:jc w:val="center"/>
        <w:outlineLvl w:val="0"/>
        <w:rPr>
          <w:rFonts w:ascii="黑体" w:hAnsi="黑体" w:eastAsia="黑体"/>
          <w:bCs/>
          <w:color w:val="auto"/>
          <w:sz w:val="36"/>
          <w:szCs w:val="32"/>
        </w:rPr>
      </w:pPr>
      <w:bookmarkStart w:id="21" w:name="_Toc223104299"/>
      <w:r>
        <w:rPr>
          <w:rFonts w:hint="eastAsia" w:ascii="黑体" w:hAnsi="黑体" w:eastAsia="黑体"/>
          <w:bCs/>
          <w:color w:val="auto"/>
          <w:sz w:val="36"/>
          <w:szCs w:val="32"/>
          <w:lang w:val="en-US" w:eastAsia="zh-CN"/>
        </w:rPr>
        <w:br w:type="page"/>
      </w:r>
      <w:bookmarkStart w:id="22" w:name="_Toc12664"/>
      <w:bookmarkStart w:id="23" w:name="_Toc31190"/>
      <w:r>
        <w:rPr>
          <w:rFonts w:hint="eastAsia" w:ascii="黑体" w:hAnsi="黑体" w:eastAsia="黑体"/>
          <w:bCs/>
          <w:color w:val="auto"/>
          <w:sz w:val="36"/>
          <w:szCs w:val="32"/>
          <w:lang w:val="en-US" w:eastAsia="zh-CN"/>
        </w:rPr>
        <w:t xml:space="preserve">4 </w:t>
      </w:r>
      <w:r>
        <w:rPr>
          <w:rFonts w:hint="eastAsia" w:ascii="黑体" w:hAnsi="黑体" w:eastAsia="黑体"/>
          <w:bCs/>
          <w:color w:val="auto"/>
          <w:sz w:val="36"/>
          <w:szCs w:val="32"/>
        </w:rPr>
        <w:t>工艺设计</w:t>
      </w:r>
      <w:bookmarkEnd w:id="21"/>
      <w:bookmarkEnd w:id="22"/>
      <w:bookmarkEnd w:id="23"/>
    </w:p>
    <w:p w14:paraId="65C6C242">
      <w:pPr>
        <w:spacing w:line="360" w:lineRule="auto"/>
        <w:ind w:firstLine="0" w:firstLineChars="0"/>
        <w:outlineLvl w:val="1"/>
        <w:rPr>
          <w:rFonts w:hint="default" w:eastAsia="宋体"/>
          <w:bCs/>
          <w:color w:val="auto"/>
          <w:sz w:val="24"/>
          <w:szCs w:val="24"/>
          <w:lang w:val="en-US" w:eastAsia="zh-CN"/>
        </w:rPr>
      </w:pPr>
      <w:bookmarkStart w:id="24" w:name="_Toc223104300"/>
      <w:bookmarkStart w:id="25" w:name="_Toc16075"/>
      <w:bookmarkStart w:id="26" w:name="_Toc16844"/>
      <w:r>
        <w:rPr>
          <w:rFonts w:hint="eastAsia"/>
          <w:bCs/>
          <w:color w:val="auto"/>
          <w:sz w:val="24"/>
          <w:szCs w:val="24"/>
        </w:rPr>
        <w:t>4.</w:t>
      </w:r>
      <w:r>
        <w:rPr>
          <w:rFonts w:hint="eastAsia"/>
          <w:bCs/>
          <w:color w:val="auto"/>
          <w:sz w:val="24"/>
          <w:szCs w:val="24"/>
          <w:lang w:val="en-US" w:eastAsia="zh-CN"/>
        </w:rPr>
        <w:t>0.</w:t>
      </w:r>
      <w:r>
        <w:rPr>
          <w:rFonts w:hint="eastAsia"/>
          <w:bCs/>
          <w:color w:val="auto"/>
          <w:sz w:val="24"/>
          <w:szCs w:val="24"/>
        </w:rPr>
        <w:t>1 工艺节能设计一般规定</w:t>
      </w:r>
      <w:bookmarkEnd w:id="24"/>
      <w:r>
        <w:rPr>
          <w:rFonts w:hint="eastAsia"/>
          <w:bCs/>
          <w:color w:val="auto"/>
          <w:sz w:val="24"/>
          <w:szCs w:val="24"/>
          <w:lang w:val="en-US" w:eastAsia="zh-CN"/>
        </w:rPr>
        <w:t>应符合下列要求：</w:t>
      </w:r>
      <w:bookmarkEnd w:id="25"/>
      <w:bookmarkEnd w:id="26"/>
    </w:p>
    <w:p w14:paraId="41D10190">
      <w:pPr>
        <w:spacing w:line="360" w:lineRule="auto"/>
        <w:ind w:firstLine="480" w:firstLineChars="200"/>
        <w:rPr>
          <w:bCs/>
          <w:color w:val="auto"/>
          <w:sz w:val="24"/>
          <w:szCs w:val="24"/>
        </w:rPr>
      </w:pPr>
      <w:r>
        <w:rPr>
          <w:rFonts w:hint="eastAsia"/>
          <w:bCs/>
          <w:color w:val="auto"/>
          <w:sz w:val="24"/>
          <w:szCs w:val="24"/>
          <w:lang w:val="en-US" w:eastAsia="zh-CN"/>
        </w:rPr>
        <w:t>1</w:t>
      </w:r>
      <w:r>
        <w:rPr>
          <w:rFonts w:hint="eastAsia"/>
          <w:bCs/>
          <w:color w:val="auto"/>
          <w:sz w:val="24"/>
          <w:szCs w:val="24"/>
        </w:rPr>
        <w:t>车辆基地设计，应贯彻节约用地、节约能源和资源的方针。</w:t>
      </w:r>
    </w:p>
    <w:p w14:paraId="6AE8DBC6">
      <w:pPr>
        <w:spacing w:line="360" w:lineRule="auto"/>
        <w:ind w:firstLine="480" w:firstLineChars="200"/>
        <w:rPr>
          <w:bCs/>
          <w:color w:val="auto"/>
          <w:sz w:val="24"/>
          <w:szCs w:val="24"/>
        </w:rPr>
      </w:pPr>
      <w:r>
        <w:rPr>
          <w:rFonts w:hint="eastAsia"/>
          <w:bCs/>
          <w:color w:val="auto"/>
          <w:sz w:val="24"/>
          <w:szCs w:val="24"/>
          <w:lang w:val="en-US" w:eastAsia="zh-CN"/>
        </w:rPr>
        <w:t>2</w:t>
      </w:r>
      <w:r>
        <w:rPr>
          <w:rFonts w:hint="eastAsia"/>
          <w:bCs/>
          <w:color w:val="auto"/>
          <w:sz w:val="24"/>
          <w:szCs w:val="24"/>
        </w:rPr>
        <w:t>车辆基地的功能、布局和各项设施的配置，应根据本工程的运营需要、线网车辆基地的规划布置和既有车辆基地的功能及分布情况，实现线网车辆基地的资源共享。</w:t>
      </w:r>
    </w:p>
    <w:p w14:paraId="6F95F859">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rPr>
        <w:t>车辆基地设计应结合本地运营习惯，实现检修工艺流程顺畅；</w:t>
      </w:r>
    </w:p>
    <w:p w14:paraId="718BA658">
      <w:pPr>
        <w:spacing w:line="360" w:lineRule="auto"/>
        <w:ind w:firstLine="480" w:firstLineChars="200"/>
        <w:rPr>
          <w:bCs/>
          <w:color w:val="auto"/>
          <w:sz w:val="24"/>
          <w:szCs w:val="24"/>
        </w:rPr>
      </w:pPr>
      <w:r>
        <w:rPr>
          <w:rFonts w:hint="eastAsia"/>
          <w:bCs/>
          <w:color w:val="auto"/>
          <w:sz w:val="24"/>
          <w:szCs w:val="24"/>
          <w:lang w:val="en-US" w:eastAsia="zh-CN"/>
        </w:rPr>
        <w:t>4</w:t>
      </w:r>
      <w:r>
        <w:rPr>
          <w:rFonts w:hint="eastAsia"/>
          <w:bCs/>
          <w:color w:val="auto"/>
          <w:sz w:val="24"/>
          <w:szCs w:val="24"/>
        </w:rPr>
        <w:t>车辆基地应结合检修工序、检修工艺设备、检修人员配置等需求进行集约化设计，减少不必要的非负载生产能耗。</w:t>
      </w:r>
    </w:p>
    <w:p w14:paraId="366415F2">
      <w:pPr>
        <w:spacing w:line="360" w:lineRule="auto"/>
        <w:ind w:firstLine="480" w:firstLineChars="200"/>
        <w:rPr>
          <w:bCs/>
          <w:color w:val="auto"/>
          <w:sz w:val="24"/>
          <w:szCs w:val="24"/>
        </w:rPr>
      </w:pPr>
      <w:r>
        <w:rPr>
          <w:rFonts w:hint="eastAsia"/>
          <w:bCs/>
          <w:color w:val="auto"/>
          <w:sz w:val="24"/>
          <w:szCs w:val="24"/>
          <w:lang w:val="en-US" w:eastAsia="zh-CN"/>
        </w:rPr>
        <w:t>5</w:t>
      </w:r>
      <w:r>
        <w:rPr>
          <w:rFonts w:hint="eastAsia"/>
          <w:bCs/>
          <w:color w:val="auto"/>
          <w:sz w:val="24"/>
          <w:szCs w:val="24"/>
        </w:rPr>
        <w:t>车辆基地设计应合理选用智能化装备，以达到生产效率提升并降低能耗标准的目标。</w:t>
      </w:r>
    </w:p>
    <w:p w14:paraId="1D58C1B4">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车辆检修工艺流程设计需结合功能定位、检修工作量及运营检修习惯，采用合理顺畅的工艺流程，设计好运输路径、设备占用空间、人员作业空间、吊装及运输方式等，提高检修效率从而实现平均部件检修节约能耗。</w:t>
      </w:r>
    </w:p>
    <w:p w14:paraId="58B03058">
      <w:pPr>
        <w:spacing w:line="360" w:lineRule="auto"/>
        <w:ind w:firstLine="0" w:firstLineChars="0"/>
        <w:outlineLvl w:val="1"/>
        <w:rPr>
          <w:bCs/>
          <w:color w:val="auto"/>
          <w:sz w:val="24"/>
          <w:szCs w:val="24"/>
        </w:rPr>
      </w:pPr>
      <w:bookmarkStart w:id="27" w:name="_Toc223104301"/>
      <w:bookmarkStart w:id="28" w:name="_Toc19474"/>
      <w:bookmarkStart w:id="29" w:name="_Toc9882"/>
      <w:r>
        <w:rPr>
          <w:rFonts w:hint="eastAsia"/>
          <w:bCs/>
          <w:color w:val="auto"/>
          <w:sz w:val="24"/>
          <w:szCs w:val="24"/>
        </w:rPr>
        <w:t>4.</w:t>
      </w:r>
      <w:r>
        <w:rPr>
          <w:rFonts w:hint="eastAsia"/>
          <w:bCs/>
          <w:color w:val="auto"/>
          <w:sz w:val="24"/>
          <w:szCs w:val="24"/>
          <w:lang w:val="en-US" w:eastAsia="zh-CN"/>
        </w:rPr>
        <w:t>0.</w:t>
      </w:r>
      <w:r>
        <w:rPr>
          <w:rFonts w:hint="eastAsia"/>
          <w:bCs/>
          <w:color w:val="auto"/>
          <w:sz w:val="24"/>
          <w:szCs w:val="24"/>
        </w:rPr>
        <w:t>2工艺检修设备设计</w:t>
      </w:r>
      <w:bookmarkEnd w:id="27"/>
      <w:r>
        <w:rPr>
          <w:rFonts w:hint="eastAsia"/>
          <w:bCs/>
          <w:color w:val="auto"/>
          <w:sz w:val="24"/>
          <w:szCs w:val="24"/>
          <w:lang w:val="en-US" w:eastAsia="zh-CN"/>
        </w:rPr>
        <w:t>应符合下列要求：</w:t>
      </w:r>
      <w:bookmarkEnd w:id="28"/>
      <w:bookmarkEnd w:id="29"/>
    </w:p>
    <w:p w14:paraId="261B401B">
      <w:pPr>
        <w:spacing w:line="360" w:lineRule="auto"/>
        <w:ind w:firstLine="480" w:firstLineChars="200"/>
        <w:jc w:val="left"/>
        <w:rPr>
          <w:bCs/>
          <w:color w:val="auto"/>
          <w:sz w:val="24"/>
          <w:szCs w:val="24"/>
        </w:rPr>
      </w:pPr>
      <w:r>
        <w:rPr>
          <w:rFonts w:hint="eastAsia"/>
          <w:bCs/>
          <w:color w:val="auto"/>
          <w:sz w:val="24"/>
          <w:szCs w:val="24"/>
          <w:lang w:val="en-US" w:eastAsia="zh-CN"/>
        </w:rPr>
        <w:t>1</w:t>
      </w:r>
      <w:r>
        <w:rPr>
          <w:rFonts w:hint="eastAsia"/>
          <w:bCs/>
          <w:color w:val="auto"/>
          <w:sz w:val="24"/>
          <w:szCs w:val="24"/>
        </w:rPr>
        <w:t>工艺设备能耗标准应优先按一级耗执行，困难时可适当降低能耗标准。</w:t>
      </w:r>
    </w:p>
    <w:p w14:paraId="57C59753">
      <w:pPr>
        <w:spacing w:line="360" w:lineRule="auto"/>
        <w:ind w:firstLine="480" w:firstLineChars="200"/>
        <w:jc w:val="left"/>
        <w:rPr>
          <w:bCs/>
          <w:color w:val="auto"/>
          <w:sz w:val="24"/>
          <w:szCs w:val="24"/>
        </w:rPr>
      </w:pPr>
      <w:r>
        <w:rPr>
          <w:rFonts w:hint="eastAsia"/>
          <w:bCs/>
          <w:color w:val="auto"/>
          <w:sz w:val="24"/>
          <w:szCs w:val="24"/>
          <w:lang w:val="en-US" w:eastAsia="zh-CN"/>
        </w:rPr>
        <w:t>2</w:t>
      </w:r>
      <w:r>
        <w:rPr>
          <w:rFonts w:hint="eastAsia"/>
          <w:bCs/>
          <w:color w:val="auto"/>
          <w:sz w:val="24"/>
          <w:szCs w:val="24"/>
        </w:rPr>
        <w:t>工艺设计应根据检修工作量及运营生产效率，合理配置工艺设备。</w:t>
      </w:r>
    </w:p>
    <w:p w14:paraId="762889A1">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rPr>
        <w:t>工艺设计应结合车辆基地实际需求，优先采用移动式空压机；若确有必要设置空压机站，应详细计算压缩空气气压及空压机规模，提高空压机站能耗有效率。</w:t>
      </w:r>
    </w:p>
    <w:p w14:paraId="2C6865B2">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根据检修工作量及每个工序的检修作业时间，分别计算各工序所需配置的工艺设备，结合装备技术发展情况，根据需求选择不同的车辆检修设备，避免出现部分检修工序瓶颈或过于富余，提高设备利用率的同时降低部件平均检修能耗。</w:t>
      </w:r>
    </w:p>
    <w:p w14:paraId="247DF474">
      <w:pPr>
        <w:spacing w:line="360" w:lineRule="auto"/>
        <w:ind w:firstLine="0" w:firstLineChars="0"/>
        <w:outlineLvl w:val="1"/>
        <w:rPr>
          <w:bCs/>
          <w:color w:val="auto"/>
          <w:sz w:val="24"/>
          <w:szCs w:val="24"/>
        </w:rPr>
      </w:pPr>
      <w:bookmarkStart w:id="30" w:name="_Toc223104302"/>
      <w:bookmarkStart w:id="31" w:name="_Toc183"/>
      <w:bookmarkStart w:id="32" w:name="_Toc8897"/>
      <w:r>
        <w:rPr>
          <w:rFonts w:hint="eastAsia"/>
          <w:bCs/>
          <w:color w:val="auto"/>
          <w:sz w:val="24"/>
          <w:szCs w:val="24"/>
        </w:rPr>
        <w:t>4.</w:t>
      </w:r>
      <w:r>
        <w:rPr>
          <w:rFonts w:hint="eastAsia"/>
          <w:bCs/>
          <w:color w:val="auto"/>
          <w:sz w:val="24"/>
          <w:szCs w:val="24"/>
          <w:lang w:val="en-US" w:eastAsia="zh-CN"/>
        </w:rPr>
        <w:t>0.</w:t>
      </w:r>
      <w:r>
        <w:rPr>
          <w:rFonts w:hint="eastAsia"/>
          <w:bCs/>
          <w:color w:val="auto"/>
          <w:sz w:val="24"/>
          <w:szCs w:val="24"/>
        </w:rPr>
        <w:t>3工艺流程配套设计</w:t>
      </w:r>
      <w:bookmarkEnd w:id="30"/>
      <w:r>
        <w:rPr>
          <w:rFonts w:hint="eastAsia"/>
          <w:bCs/>
          <w:color w:val="auto"/>
          <w:sz w:val="24"/>
          <w:szCs w:val="24"/>
          <w:lang w:val="en-US" w:eastAsia="zh-CN"/>
        </w:rPr>
        <w:t>应符合下列要求：</w:t>
      </w:r>
      <w:bookmarkEnd w:id="31"/>
      <w:bookmarkEnd w:id="32"/>
    </w:p>
    <w:p w14:paraId="08498239">
      <w:pPr>
        <w:spacing w:line="360" w:lineRule="auto"/>
        <w:ind w:firstLine="480" w:firstLineChars="200"/>
        <w:rPr>
          <w:bCs/>
          <w:color w:val="auto"/>
          <w:sz w:val="24"/>
          <w:szCs w:val="24"/>
        </w:rPr>
      </w:pPr>
      <w:r>
        <w:rPr>
          <w:rFonts w:hint="eastAsia"/>
          <w:bCs/>
          <w:color w:val="auto"/>
          <w:sz w:val="24"/>
          <w:szCs w:val="24"/>
          <w:lang w:val="en-US" w:eastAsia="zh-CN"/>
        </w:rPr>
        <w:t>1</w:t>
      </w:r>
      <w:r>
        <w:rPr>
          <w:rFonts w:hint="eastAsia"/>
          <w:bCs/>
          <w:color w:val="auto"/>
          <w:sz w:val="24"/>
          <w:szCs w:val="24"/>
        </w:rPr>
        <w:t>车辆基地岗位空调设置应结合功能需求，合理配置岗位空调规模。</w:t>
      </w:r>
    </w:p>
    <w:p w14:paraId="39F42804">
      <w:pPr>
        <w:spacing w:line="360" w:lineRule="auto"/>
        <w:ind w:firstLine="480" w:firstLineChars="200"/>
        <w:rPr>
          <w:bCs/>
          <w:color w:val="auto"/>
          <w:sz w:val="24"/>
          <w:szCs w:val="24"/>
        </w:rPr>
      </w:pPr>
      <w:r>
        <w:rPr>
          <w:rFonts w:hint="eastAsia"/>
          <w:bCs/>
          <w:color w:val="auto"/>
          <w:sz w:val="24"/>
          <w:szCs w:val="24"/>
          <w:lang w:val="en-US" w:eastAsia="zh-CN"/>
        </w:rPr>
        <w:t>2</w:t>
      </w:r>
      <w:r>
        <w:rPr>
          <w:rFonts w:hint="eastAsia"/>
          <w:bCs/>
          <w:color w:val="auto"/>
          <w:sz w:val="24"/>
          <w:szCs w:val="24"/>
        </w:rPr>
        <w:t>车辆基地照明设计应结合检修实际需求及场段边界条件，合理确定照明亮度标准。</w:t>
      </w:r>
    </w:p>
    <w:p w14:paraId="090CE387">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rPr>
        <w:t>车辆基地给排水设计应结合不同检修环节实际用水需求，合理配置用水设施。</w:t>
      </w:r>
    </w:p>
    <w:p w14:paraId="38745FED">
      <w:pPr>
        <w:spacing w:line="360" w:lineRule="auto"/>
        <w:ind w:firstLine="480" w:firstLineChars="200"/>
        <w:rPr>
          <w:bCs/>
          <w:color w:val="auto"/>
          <w:sz w:val="24"/>
          <w:szCs w:val="24"/>
        </w:rPr>
      </w:pPr>
      <w:r>
        <w:rPr>
          <w:rFonts w:hint="eastAsia"/>
          <w:bCs/>
          <w:color w:val="auto"/>
          <w:sz w:val="24"/>
          <w:szCs w:val="24"/>
          <w:lang w:val="en-US" w:eastAsia="zh-CN"/>
        </w:rPr>
        <w:t>4</w:t>
      </w:r>
      <w:r>
        <w:rPr>
          <w:rFonts w:hint="eastAsia"/>
          <w:bCs/>
          <w:color w:val="auto"/>
          <w:sz w:val="24"/>
          <w:szCs w:val="24"/>
        </w:rPr>
        <w:t>车辆基地物资库设计应结合车辆段内物资库存储规模，确定建筑物面积及高度。</w:t>
      </w:r>
    </w:p>
    <w:p w14:paraId="614E714F">
      <w:pPr>
        <w:spacing w:line="360" w:lineRule="auto"/>
        <w:ind w:firstLine="480" w:firstLineChars="200"/>
        <w:rPr>
          <w:bCs/>
          <w:color w:val="auto"/>
          <w:sz w:val="24"/>
          <w:szCs w:val="24"/>
        </w:rPr>
      </w:pPr>
      <w:r>
        <w:rPr>
          <w:rFonts w:hint="eastAsia"/>
          <w:bCs/>
          <w:color w:val="auto"/>
          <w:sz w:val="24"/>
          <w:szCs w:val="24"/>
          <w:lang w:val="en-US" w:eastAsia="zh-CN"/>
        </w:rPr>
        <w:t>5</w:t>
      </w:r>
      <w:r>
        <w:rPr>
          <w:rFonts w:hint="eastAsia"/>
          <w:bCs/>
          <w:color w:val="auto"/>
          <w:sz w:val="24"/>
          <w:szCs w:val="24"/>
        </w:rPr>
        <w:t>车辆基地起重机设计应结合功能需求，合理选取起重机类型，以降低建筑高度。</w:t>
      </w:r>
    </w:p>
    <w:p w14:paraId="589946D0">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【条文说明】根据检修工作量及检修作业环境情况，选择合理的空调配置、照明、给排水、仓储等配套设施，优化全流程设计，从而实现整体能耗节约。</w:t>
      </w:r>
    </w:p>
    <w:p w14:paraId="7CBD79C9">
      <w:pPr>
        <w:numPr>
          <w:ilvl w:val="0"/>
          <w:numId w:val="0"/>
        </w:numPr>
        <w:spacing w:after="240" w:line="360" w:lineRule="auto"/>
        <w:jc w:val="center"/>
        <w:outlineLvl w:val="0"/>
        <w:rPr>
          <w:rFonts w:ascii="黑体" w:hAnsi="黑体" w:eastAsia="黑体"/>
          <w:bCs/>
          <w:color w:val="auto"/>
          <w:sz w:val="36"/>
          <w:szCs w:val="32"/>
        </w:rPr>
      </w:pPr>
      <w:bookmarkStart w:id="33" w:name="_Toc223104303"/>
      <w:r>
        <w:rPr>
          <w:rFonts w:hint="eastAsia" w:ascii="黑体" w:hAnsi="黑体" w:eastAsia="黑体"/>
          <w:bCs/>
          <w:color w:val="auto"/>
          <w:sz w:val="36"/>
          <w:szCs w:val="32"/>
          <w:lang w:val="en-US" w:eastAsia="zh-CN"/>
        </w:rPr>
        <w:br w:type="page"/>
      </w:r>
      <w:bookmarkStart w:id="34" w:name="_Toc14987"/>
      <w:bookmarkStart w:id="35" w:name="_Toc10951"/>
      <w:r>
        <w:rPr>
          <w:rFonts w:hint="eastAsia" w:ascii="黑体" w:hAnsi="黑体" w:eastAsia="黑体"/>
          <w:bCs/>
          <w:color w:val="auto"/>
          <w:sz w:val="36"/>
          <w:szCs w:val="32"/>
          <w:lang w:val="en-US" w:eastAsia="zh-CN"/>
        </w:rPr>
        <w:t xml:space="preserve">5 </w:t>
      </w:r>
      <w:r>
        <w:rPr>
          <w:rFonts w:hint="eastAsia" w:ascii="黑体" w:hAnsi="黑体" w:eastAsia="黑体"/>
          <w:bCs/>
          <w:color w:val="auto"/>
          <w:sz w:val="36"/>
          <w:szCs w:val="32"/>
        </w:rPr>
        <w:t>站场设计</w:t>
      </w:r>
      <w:bookmarkEnd w:id="33"/>
      <w:bookmarkEnd w:id="34"/>
      <w:bookmarkEnd w:id="35"/>
    </w:p>
    <w:p w14:paraId="010AA0BC">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36" w:name="_Toc32308"/>
      <w:bookmarkStart w:id="37" w:name="_Toc223104304"/>
      <w:bookmarkStart w:id="38" w:name="_Toc26801"/>
      <w:r>
        <w:rPr>
          <w:rFonts w:hint="eastAsia" w:ascii="Times New Roman" w:hAnsi="Times New Roman" w:eastAsia="宋体" w:cs="Times New Roman"/>
          <w:bCs/>
          <w:color w:val="auto"/>
          <w:sz w:val="28"/>
          <w:szCs w:val="28"/>
        </w:rPr>
        <w:t>5.1 总体布局</w:t>
      </w:r>
      <w:bookmarkEnd w:id="36"/>
      <w:bookmarkEnd w:id="37"/>
      <w:bookmarkEnd w:id="38"/>
    </w:p>
    <w:p w14:paraId="2F2DD2FF">
      <w:pPr>
        <w:spacing w:line="360" w:lineRule="auto"/>
        <w:rPr>
          <w:color w:val="auto"/>
          <w:sz w:val="24"/>
          <w:szCs w:val="24"/>
        </w:rPr>
      </w:pPr>
      <w:r>
        <w:rPr>
          <w:rFonts w:hint="eastAsia"/>
          <w:color w:val="auto"/>
          <w:sz w:val="24"/>
          <w:szCs w:val="24"/>
        </w:rPr>
        <w:t xml:space="preserve">5.1.1 </w:t>
      </w:r>
      <w:r>
        <w:rPr>
          <w:color w:val="auto"/>
          <w:sz w:val="24"/>
          <w:szCs w:val="24"/>
        </w:rPr>
        <w:t>车辆基地选址应避开工程地质和水文地质不良的地段，确有困难时，应采取相应的技术措施，车辆基地选址应具有良好的自然排水条件，根据基地附近的洪水位、内涝水位和周边道路高程设计，应便于各种管线的引入和城市道路的连接。</w:t>
      </w:r>
    </w:p>
    <w:p w14:paraId="33E025DB">
      <w:pPr>
        <w:spacing w:line="360" w:lineRule="auto"/>
        <w:rPr>
          <w:color w:val="auto"/>
          <w:sz w:val="24"/>
          <w:szCs w:val="24"/>
        </w:rPr>
      </w:pPr>
      <w:r>
        <w:rPr>
          <w:rFonts w:hint="eastAsia"/>
          <w:color w:val="auto"/>
          <w:sz w:val="24"/>
          <w:szCs w:val="24"/>
        </w:rPr>
        <w:t>5.1.2 车辆基地空间布局宜满足以下要求：</w:t>
      </w:r>
    </w:p>
    <w:p w14:paraId="15520CCC">
      <w:pPr>
        <w:spacing w:line="360" w:lineRule="auto"/>
        <w:ind w:firstLine="480" w:firstLineChars="200"/>
        <w:rPr>
          <w:color w:val="auto"/>
          <w:sz w:val="24"/>
          <w:szCs w:val="24"/>
        </w:rPr>
      </w:pPr>
      <w:r>
        <w:rPr>
          <w:rFonts w:hint="eastAsia"/>
          <w:color w:val="auto"/>
          <w:sz w:val="24"/>
          <w:szCs w:val="24"/>
          <w:lang w:val="en-US" w:eastAsia="zh-CN"/>
        </w:rPr>
        <w:t xml:space="preserve">1 </w:t>
      </w:r>
      <w:r>
        <w:rPr>
          <w:color w:val="auto"/>
          <w:sz w:val="24"/>
          <w:szCs w:val="24"/>
        </w:rPr>
        <w:t>根据地形地貌灵活布置，合理选择和</w:t>
      </w:r>
      <w:r>
        <w:rPr>
          <w:rFonts w:hint="eastAsia"/>
          <w:color w:val="auto"/>
          <w:sz w:val="24"/>
          <w:szCs w:val="24"/>
        </w:rPr>
        <w:t>充分</w:t>
      </w:r>
      <w:r>
        <w:rPr>
          <w:color w:val="auto"/>
          <w:sz w:val="24"/>
          <w:szCs w:val="24"/>
        </w:rPr>
        <w:t>利用景观、生态绿化等措施，营造适宜的场地微气候环境</w:t>
      </w:r>
      <w:r>
        <w:rPr>
          <w:rFonts w:hint="eastAsia"/>
          <w:color w:val="auto"/>
          <w:sz w:val="24"/>
          <w:szCs w:val="24"/>
        </w:rPr>
        <w:t>，优化自然通风、天然采光、自遮阳效果，降低场段供冷供暖负荷。</w:t>
      </w:r>
    </w:p>
    <w:p w14:paraId="5EE3CD1B">
      <w:pPr>
        <w:spacing w:line="360" w:lineRule="auto"/>
        <w:rPr>
          <w:color w:val="auto"/>
          <w:sz w:val="24"/>
          <w:szCs w:val="24"/>
        </w:rPr>
      </w:pPr>
      <w:r>
        <w:rPr>
          <w:rFonts w:hint="eastAsia"/>
          <w:color w:val="auto"/>
          <w:sz w:val="24"/>
          <w:szCs w:val="24"/>
          <w:lang w:val="en-US" w:eastAsia="zh-CN"/>
        </w:rPr>
        <w:t xml:space="preserve">    2 </w:t>
      </w:r>
      <w:r>
        <w:rPr>
          <w:color w:val="auto"/>
          <w:sz w:val="24"/>
          <w:szCs w:val="24"/>
        </w:rPr>
        <w:t>结合</w:t>
      </w:r>
      <w:r>
        <w:rPr>
          <w:rFonts w:hint="eastAsia"/>
          <w:color w:val="auto"/>
          <w:sz w:val="24"/>
          <w:szCs w:val="24"/>
        </w:rPr>
        <w:t>当地</w:t>
      </w:r>
      <w:r>
        <w:rPr>
          <w:color w:val="auto"/>
          <w:sz w:val="24"/>
          <w:szCs w:val="24"/>
        </w:rPr>
        <w:t>环境与气候特点，对太阳能、风能等可再生能源利用条件进行综合分析，</w:t>
      </w:r>
      <w:r>
        <w:rPr>
          <w:rFonts w:hint="eastAsia"/>
          <w:color w:val="auto"/>
          <w:sz w:val="24"/>
          <w:szCs w:val="24"/>
        </w:rPr>
        <w:t>车辆基地空间</w:t>
      </w:r>
      <w:r>
        <w:rPr>
          <w:color w:val="auto"/>
          <w:sz w:val="24"/>
          <w:szCs w:val="24"/>
        </w:rPr>
        <w:t>布局有利于可再生能源利用</w:t>
      </w:r>
      <w:r>
        <w:rPr>
          <w:rFonts w:hint="eastAsia"/>
          <w:color w:val="auto"/>
          <w:sz w:val="24"/>
          <w:szCs w:val="24"/>
        </w:rPr>
        <w:t>，确保其安全高效和经济合理</w:t>
      </w:r>
      <w:r>
        <w:rPr>
          <w:color w:val="auto"/>
          <w:sz w:val="24"/>
          <w:szCs w:val="24"/>
        </w:rPr>
        <w:t>。</w:t>
      </w:r>
    </w:p>
    <w:p w14:paraId="7631FD6B">
      <w:pPr>
        <w:spacing w:line="360" w:lineRule="auto"/>
        <w:rPr>
          <w:color w:val="auto"/>
          <w:sz w:val="24"/>
          <w:szCs w:val="24"/>
        </w:rPr>
      </w:pPr>
      <w:r>
        <w:rPr>
          <w:rFonts w:hint="eastAsia"/>
          <w:color w:val="auto"/>
          <w:sz w:val="24"/>
          <w:szCs w:val="24"/>
        </w:rPr>
        <w:t xml:space="preserve">5.1.3 </w:t>
      </w:r>
      <w:r>
        <w:rPr>
          <w:color w:val="auto"/>
          <w:sz w:val="24"/>
          <w:szCs w:val="24"/>
        </w:rPr>
        <w:t>基于零碳</w:t>
      </w:r>
      <w:r>
        <w:rPr>
          <w:rFonts w:hint="eastAsia"/>
          <w:color w:val="auto"/>
          <w:sz w:val="24"/>
          <w:szCs w:val="24"/>
        </w:rPr>
        <w:t>车辆基地的</w:t>
      </w:r>
      <w:r>
        <w:rPr>
          <w:color w:val="auto"/>
          <w:sz w:val="24"/>
          <w:szCs w:val="24"/>
        </w:rPr>
        <w:t>设计目标</w:t>
      </w:r>
      <w:r>
        <w:rPr>
          <w:rFonts w:hint="eastAsia"/>
          <w:color w:val="auto"/>
          <w:sz w:val="24"/>
          <w:szCs w:val="24"/>
        </w:rPr>
        <w:t>，</w:t>
      </w:r>
      <w:r>
        <w:rPr>
          <w:color w:val="auto"/>
          <w:sz w:val="24"/>
          <w:szCs w:val="24"/>
        </w:rPr>
        <w:t>应采用全过程多专业协同设计组织形式开展设计工作。</w:t>
      </w:r>
    </w:p>
    <w:p w14:paraId="60B7A675">
      <w:pPr>
        <w:spacing w:line="360" w:lineRule="auto"/>
        <w:rPr>
          <w:color w:val="auto"/>
          <w:sz w:val="24"/>
          <w:szCs w:val="24"/>
        </w:rPr>
      </w:pPr>
      <w:r>
        <w:rPr>
          <w:rFonts w:hint="eastAsia"/>
          <w:color w:val="auto"/>
          <w:sz w:val="24"/>
          <w:szCs w:val="24"/>
        </w:rPr>
        <w:t>5.1.4 车辆基地</w:t>
      </w:r>
      <w:r>
        <w:rPr>
          <w:color w:val="auto"/>
          <w:sz w:val="24"/>
          <w:szCs w:val="24"/>
        </w:rPr>
        <w:t>设计应根据地域、文化、气候、环境等</w:t>
      </w:r>
      <w:r>
        <w:rPr>
          <w:rFonts w:hint="eastAsia"/>
          <w:color w:val="auto"/>
          <w:sz w:val="24"/>
          <w:szCs w:val="24"/>
        </w:rPr>
        <w:t>地理、</w:t>
      </w:r>
      <w:r>
        <w:rPr>
          <w:color w:val="auto"/>
          <w:sz w:val="24"/>
          <w:szCs w:val="24"/>
        </w:rPr>
        <w:t>资源条件，以及经济约束、功能需求、技术措施等多种因素，优化零碳设计策略。</w:t>
      </w:r>
    </w:p>
    <w:p w14:paraId="35D7EEE8">
      <w:pPr>
        <w:spacing w:line="360" w:lineRule="auto"/>
        <w:rPr>
          <w:color w:val="auto"/>
          <w:sz w:val="24"/>
          <w:szCs w:val="24"/>
        </w:rPr>
      </w:pPr>
      <w:r>
        <w:rPr>
          <w:rFonts w:hint="eastAsia"/>
          <w:color w:val="auto"/>
          <w:sz w:val="24"/>
          <w:szCs w:val="24"/>
        </w:rPr>
        <w:t>5.1.5 车辆基地</w:t>
      </w:r>
      <w:r>
        <w:rPr>
          <w:color w:val="auto"/>
          <w:sz w:val="24"/>
          <w:szCs w:val="24"/>
        </w:rPr>
        <w:t>设计应根据本标准规定的碳排放指标</w:t>
      </w:r>
      <w:r>
        <w:rPr>
          <w:rFonts w:hint="eastAsia"/>
          <w:color w:val="auto"/>
          <w:sz w:val="24"/>
          <w:szCs w:val="24"/>
        </w:rPr>
        <w:t>等</w:t>
      </w:r>
      <w:r>
        <w:rPr>
          <w:color w:val="auto"/>
          <w:sz w:val="24"/>
          <w:szCs w:val="24"/>
        </w:rPr>
        <w:t>要求，</w:t>
      </w:r>
      <w:r>
        <w:rPr>
          <w:rFonts w:hint="eastAsia"/>
          <w:color w:val="auto"/>
          <w:sz w:val="24"/>
          <w:szCs w:val="24"/>
        </w:rPr>
        <w:t>模拟碳排放过程，计算</w:t>
      </w:r>
      <w:r>
        <w:rPr>
          <w:color w:val="auto"/>
          <w:sz w:val="24"/>
          <w:szCs w:val="24"/>
        </w:rPr>
        <w:t>碳排放</w:t>
      </w:r>
      <w:r>
        <w:rPr>
          <w:rFonts w:hint="eastAsia"/>
          <w:color w:val="auto"/>
          <w:sz w:val="24"/>
          <w:szCs w:val="24"/>
        </w:rPr>
        <w:t>量</w:t>
      </w:r>
      <w:r>
        <w:rPr>
          <w:color w:val="auto"/>
          <w:sz w:val="24"/>
          <w:szCs w:val="24"/>
        </w:rPr>
        <w:t>，结合全过程的经济效益分析，对</w:t>
      </w:r>
      <w:r>
        <w:rPr>
          <w:rFonts w:hint="eastAsia"/>
          <w:color w:val="auto"/>
          <w:sz w:val="24"/>
          <w:szCs w:val="24"/>
        </w:rPr>
        <w:t>车辆基地</w:t>
      </w:r>
      <w:r>
        <w:rPr>
          <w:color w:val="auto"/>
          <w:sz w:val="24"/>
          <w:szCs w:val="24"/>
        </w:rPr>
        <w:t>设计方案进行优化，指导技术措施和参数的确定。</w:t>
      </w:r>
    </w:p>
    <w:p w14:paraId="54951C44">
      <w:pPr>
        <w:spacing w:line="360" w:lineRule="auto"/>
        <w:rPr>
          <w:color w:val="auto"/>
          <w:sz w:val="24"/>
          <w:szCs w:val="24"/>
        </w:rPr>
      </w:pPr>
      <w:r>
        <w:rPr>
          <w:color w:val="auto"/>
          <w:sz w:val="24"/>
          <w:szCs w:val="24"/>
        </w:rPr>
        <w:t>5.1.6</w:t>
      </w:r>
      <w:r>
        <w:rPr>
          <w:rFonts w:hint="eastAsia"/>
          <w:color w:val="auto"/>
          <w:sz w:val="24"/>
          <w:szCs w:val="24"/>
          <w:lang w:val="en-US" w:eastAsia="zh-CN"/>
        </w:rPr>
        <w:t xml:space="preserve"> </w:t>
      </w:r>
      <w:r>
        <w:rPr>
          <w:color w:val="auto"/>
          <w:sz w:val="24"/>
          <w:szCs w:val="24"/>
        </w:rPr>
        <w:t>车辆基地施工阶段的道路、消防管道、现场围挡及雨水收集利用设施等宜实现永临结合。</w:t>
      </w:r>
    </w:p>
    <w:p w14:paraId="7C8E161B">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39" w:name="_Toc2737"/>
      <w:bookmarkStart w:id="40" w:name="_Toc223104305"/>
      <w:bookmarkStart w:id="41" w:name="_Toc13944"/>
      <w:r>
        <w:rPr>
          <w:rFonts w:hint="eastAsia" w:ascii="Times New Roman" w:hAnsi="Times New Roman" w:eastAsia="宋体" w:cs="Times New Roman"/>
          <w:bCs/>
          <w:color w:val="auto"/>
          <w:sz w:val="28"/>
          <w:szCs w:val="28"/>
        </w:rPr>
        <w:t>5.2 平面布置</w:t>
      </w:r>
      <w:bookmarkEnd w:id="39"/>
      <w:bookmarkEnd w:id="40"/>
      <w:bookmarkEnd w:id="41"/>
    </w:p>
    <w:p w14:paraId="650B53B1">
      <w:pPr>
        <w:spacing w:line="360" w:lineRule="auto"/>
        <w:ind w:firstLine="0" w:firstLineChars="0"/>
        <w:rPr>
          <w:color w:val="auto"/>
          <w:sz w:val="24"/>
          <w:szCs w:val="24"/>
        </w:rPr>
      </w:pPr>
      <w:r>
        <w:rPr>
          <w:rFonts w:hint="eastAsia"/>
          <w:color w:val="auto"/>
          <w:sz w:val="24"/>
          <w:szCs w:val="24"/>
          <w:lang w:val="en-US" w:eastAsia="zh-CN"/>
        </w:rPr>
        <w:t xml:space="preserve">5.2.1 </w:t>
      </w:r>
      <w:r>
        <w:rPr>
          <w:rFonts w:hint="eastAsia"/>
          <w:color w:val="auto"/>
          <w:sz w:val="24"/>
          <w:szCs w:val="24"/>
        </w:rPr>
        <w:t>车辆基地的总平面布置应以车辆段（停车场）为主体，根据地形条件综合考虑维修中心、物资总库及其他配套设施的功能和作业要求，合理布置，力求紧凑、经济、实用，节约用地。车辆基地占地面积指标宜按表进行控制。</w:t>
      </w:r>
    </w:p>
    <w:p w14:paraId="355709D1">
      <w:pPr>
        <w:spacing w:line="360" w:lineRule="auto"/>
        <w:jc w:val="center"/>
        <w:rPr>
          <w:color w:val="auto"/>
          <w:sz w:val="24"/>
          <w:szCs w:val="24"/>
        </w:rPr>
      </w:pPr>
      <w:r>
        <w:rPr>
          <w:rFonts w:hint="eastAsia"/>
          <w:color w:val="auto"/>
          <w:sz w:val="24"/>
          <w:szCs w:val="24"/>
        </w:rPr>
        <w:t>表5-1 车辆基地占地面积指标表（m</w:t>
      </w:r>
      <w:r>
        <w:rPr>
          <w:color w:val="auto"/>
          <w:sz w:val="24"/>
          <w:szCs w:val="24"/>
          <w:vertAlign w:val="superscript"/>
        </w:rPr>
        <w:t>2</w:t>
      </w:r>
      <w:r>
        <w:rPr>
          <w:rFonts w:hint="eastAsia"/>
          <w:color w:val="auto"/>
          <w:sz w:val="24"/>
          <w:szCs w:val="24"/>
        </w:rPr>
        <w:t>/车）</w:t>
      </w:r>
    </w:p>
    <w:tbl>
      <w:tblPr>
        <w:tblStyle w:val="12"/>
        <w:tblW w:w="0" w:type="auto"/>
        <w:tblInd w:w="26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81"/>
        <w:gridCol w:w="2564"/>
        <w:gridCol w:w="2532"/>
      </w:tblGrid>
      <w:tr w14:paraId="6FA262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dxa"/>
        </w:trPr>
        <w:tc>
          <w:tcPr>
            <w:tcW w:w="3181" w:type="dxa"/>
            <w:noWrap w:val="0"/>
            <w:vAlign w:val="top"/>
          </w:tcPr>
          <w:p w14:paraId="2C1A600A">
            <w:pPr>
              <w:spacing w:line="360" w:lineRule="auto"/>
              <w:rPr>
                <w:color w:val="auto"/>
                <w:sz w:val="24"/>
                <w:szCs w:val="24"/>
              </w:rPr>
            </w:pPr>
            <w:r>
              <w:rPr>
                <w:rFonts w:hint="eastAsia"/>
                <w:color w:val="auto"/>
                <w:sz w:val="24"/>
                <w:szCs w:val="24"/>
              </w:rPr>
              <w:t>车型</w:t>
            </w:r>
          </w:p>
        </w:tc>
        <w:tc>
          <w:tcPr>
            <w:tcW w:w="2564" w:type="dxa"/>
            <w:noWrap w:val="0"/>
            <w:vAlign w:val="top"/>
          </w:tcPr>
          <w:p w14:paraId="0526568E">
            <w:pPr>
              <w:spacing w:line="360" w:lineRule="auto"/>
              <w:rPr>
                <w:color w:val="auto"/>
                <w:sz w:val="24"/>
                <w:szCs w:val="24"/>
              </w:rPr>
            </w:pPr>
            <w:r>
              <w:rPr>
                <w:rFonts w:hint="eastAsia"/>
                <w:color w:val="auto"/>
                <w:sz w:val="24"/>
                <w:szCs w:val="24"/>
              </w:rPr>
              <w:t>A、B</w:t>
            </w:r>
          </w:p>
        </w:tc>
        <w:tc>
          <w:tcPr>
            <w:tcW w:w="2532" w:type="dxa"/>
            <w:noWrap w:val="0"/>
            <w:vAlign w:val="top"/>
          </w:tcPr>
          <w:p w14:paraId="30BA4C2A">
            <w:pPr>
              <w:spacing w:line="360" w:lineRule="auto"/>
              <w:rPr>
                <w:color w:val="auto"/>
                <w:sz w:val="24"/>
                <w:szCs w:val="24"/>
              </w:rPr>
            </w:pPr>
            <w:r>
              <w:rPr>
                <w:rFonts w:hint="eastAsia"/>
                <w:color w:val="auto"/>
                <w:sz w:val="24"/>
                <w:szCs w:val="24"/>
              </w:rPr>
              <w:t>L</w:t>
            </w:r>
            <w:r>
              <w:rPr>
                <w:color w:val="auto"/>
                <w:sz w:val="24"/>
                <w:szCs w:val="24"/>
                <w:vertAlign w:val="subscript"/>
              </w:rPr>
              <w:t>b</w:t>
            </w:r>
          </w:p>
        </w:tc>
      </w:tr>
      <w:tr w14:paraId="261BC5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dxa"/>
        </w:trPr>
        <w:tc>
          <w:tcPr>
            <w:tcW w:w="3181" w:type="dxa"/>
            <w:noWrap w:val="0"/>
            <w:vAlign w:val="top"/>
          </w:tcPr>
          <w:p w14:paraId="465A476E">
            <w:pPr>
              <w:spacing w:line="360" w:lineRule="auto"/>
              <w:rPr>
                <w:color w:val="auto"/>
                <w:sz w:val="24"/>
                <w:szCs w:val="24"/>
              </w:rPr>
            </w:pPr>
            <w:r>
              <w:rPr>
                <w:rFonts w:hint="eastAsia"/>
                <w:color w:val="auto"/>
                <w:sz w:val="24"/>
                <w:szCs w:val="24"/>
              </w:rPr>
              <w:t>车辆基地（厂架修，设备维修）</w:t>
            </w:r>
          </w:p>
        </w:tc>
        <w:tc>
          <w:tcPr>
            <w:tcW w:w="2564" w:type="dxa"/>
            <w:noWrap w:val="0"/>
            <w:vAlign w:val="top"/>
          </w:tcPr>
          <w:p w14:paraId="4EE82F19">
            <w:pPr>
              <w:spacing w:line="360" w:lineRule="auto"/>
              <w:rPr>
                <w:color w:val="auto"/>
                <w:sz w:val="24"/>
                <w:szCs w:val="24"/>
              </w:rPr>
            </w:pPr>
            <w:r>
              <w:rPr>
                <w:rFonts w:hint="eastAsia"/>
                <w:color w:val="auto"/>
                <w:sz w:val="24"/>
                <w:szCs w:val="24"/>
              </w:rPr>
              <w:t>1000</w:t>
            </w:r>
          </w:p>
        </w:tc>
        <w:tc>
          <w:tcPr>
            <w:tcW w:w="2532" w:type="dxa"/>
            <w:noWrap w:val="0"/>
            <w:vAlign w:val="top"/>
          </w:tcPr>
          <w:p w14:paraId="154B94AC">
            <w:pPr>
              <w:spacing w:line="360" w:lineRule="auto"/>
              <w:rPr>
                <w:color w:val="auto"/>
                <w:sz w:val="24"/>
                <w:szCs w:val="24"/>
              </w:rPr>
            </w:pPr>
            <w:r>
              <w:rPr>
                <w:rFonts w:hint="eastAsia"/>
                <w:color w:val="auto"/>
                <w:sz w:val="24"/>
                <w:szCs w:val="24"/>
              </w:rPr>
              <w:t>900</w:t>
            </w:r>
          </w:p>
        </w:tc>
      </w:tr>
      <w:tr w14:paraId="28479D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dxa"/>
        </w:trPr>
        <w:tc>
          <w:tcPr>
            <w:tcW w:w="3181" w:type="dxa"/>
            <w:noWrap w:val="0"/>
            <w:vAlign w:val="top"/>
          </w:tcPr>
          <w:p w14:paraId="3115A66F">
            <w:pPr>
              <w:spacing w:line="360" w:lineRule="auto"/>
              <w:rPr>
                <w:color w:val="auto"/>
                <w:sz w:val="24"/>
                <w:szCs w:val="24"/>
              </w:rPr>
            </w:pPr>
            <w:r>
              <w:rPr>
                <w:rFonts w:hint="eastAsia"/>
                <w:color w:val="auto"/>
                <w:sz w:val="24"/>
                <w:szCs w:val="24"/>
              </w:rPr>
              <w:t>车辆段（定修段）</w:t>
            </w:r>
          </w:p>
        </w:tc>
        <w:tc>
          <w:tcPr>
            <w:tcW w:w="2564" w:type="dxa"/>
            <w:noWrap w:val="0"/>
            <w:vAlign w:val="top"/>
          </w:tcPr>
          <w:p w14:paraId="19A5382F">
            <w:pPr>
              <w:spacing w:line="360" w:lineRule="auto"/>
              <w:rPr>
                <w:color w:val="auto"/>
                <w:sz w:val="24"/>
                <w:szCs w:val="24"/>
              </w:rPr>
            </w:pPr>
            <w:r>
              <w:rPr>
                <w:rFonts w:hint="eastAsia"/>
                <w:color w:val="auto"/>
                <w:sz w:val="24"/>
                <w:szCs w:val="24"/>
              </w:rPr>
              <w:t>900</w:t>
            </w:r>
          </w:p>
        </w:tc>
        <w:tc>
          <w:tcPr>
            <w:tcW w:w="2532" w:type="dxa"/>
            <w:noWrap w:val="0"/>
            <w:vAlign w:val="top"/>
          </w:tcPr>
          <w:p w14:paraId="22D543B3">
            <w:pPr>
              <w:spacing w:line="360" w:lineRule="auto"/>
              <w:rPr>
                <w:color w:val="auto"/>
                <w:sz w:val="24"/>
                <w:szCs w:val="24"/>
              </w:rPr>
            </w:pPr>
            <w:r>
              <w:rPr>
                <w:rFonts w:hint="eastAsia"/>
                <w:color w:val="auto"/>
                <w:sz w:val="24"/>
                <w:szCs w:val="24"/>
              </w:rPr>
              <w:t>750</w:t>
            </w:r>
          </w:p>
        </w:tc>
      </w:tr>
      <w:tr w14:paraId="5E382F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wBefore w:w="0" w:type="dxa"/>
        </w:trPr>
        <w:tc>
          <w:tcPr>
            <w:tcW w:w="3181" w:type="dxa"/>
            <w:noWrap w:val="0"/>
            <w:vAlign w:val="top"/>
          </w:tcPr>
          <w:p w14:paraId="7723BF96">
            <w:pPr>
              <w:spacing w:line="360" w:lineRule="auto"/>
              <w:rPr>
                <w:color w:val="auto"/>
                <w:sz w:val="24"/>
                <w:szCs w:val="24"/>
              </w:rPr>
            </w:pPr>
            <w:r>
              <w:rPr>
                <w:rFonts w:hint="eastAsia"/>
                <w:color w:val="auto"/>
                <w:sz w:val="24"/>
                <w:szCs w:val="24"/>
              </w:rPr>
              <w:t>停车场</w:t>
            </w:r>
          </w:p>
        </w:tc>
        <w:tc>
          <w:tcPr>
            <w:tcW w:w="2564" w:type="dxa"/>
            <w:noWrap w:val="0"/>
            <w:vAlign w:val="top"/>
          </w:tcPr>
          <w:p w14:paraId="76E81E91">
            <w:pPr>
              <w:spacing w:line="360" w:lineRule="auto"/>
              <w:rPr>
                <w:color w:val="auto"/>
                <w:sz w:val="24"/>
                <w:szCs w:val="24"/>
              </w:rPr>
            </w:pPr>
            <w:r>
              <w:rPr>
                <w:rFonts w:hint="eastAsia"/>
                <w:color w:val="auto"/>
                <w:sz w:val="24"/>
                <w:szCs w:val="24"/>
              </w:rPr>
              <w:t>600</w:t>
            </w:r>
          </w:p>
        </w:tc>
        <w:tc>
          <w:tcPr>
            <w:tcW w:w="2532" w:type="dxa"/>
            <w:noWrap w:val="0"/>
            <w:vAlign w:val="top"/>
          </w:tcPr>
          <w:p w14:paraId="218CDB59">
            <w:pPr>
              <w:spacing w:line="360" w:lineRule="auto"/>
              <w:rPr>
                <w:color w:val="auto"/>
                <w:sz w:val="24"/>
                <w:szCs w:val="24"/>
              </w:rPr>
            </w:pPr>
            <w:r>
              <w:rPr>
                <w:rFonts w:hint="eastAsia"/>
                <w:color w:val="auto"/>
                <w:sz w:val="24"/>
                <w:szCs w:val="24"/>
              </w:rPr>
              <w:t>500</w:t>
            </w:r>
          </w:p>
        </w:tc>
      </w:tr>
    </w:tbl>
    <w:p w14:paraId="6C2F5A76">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【条文说明】补充数据来源及说明，表的作用。</w:t>
      </w:r>
    </w:p>
    <w:p w14:paraId="0591770D">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42" w:name="_Toc223104306"/>
      <w:bookmarkStart w:id="43" w:name="_Toc14441"/>
      <w:bookmarkStart w:id="44" w:name="_Toc16354"/>
      <w:r>
        <w:rPr>
          <w:rFonts w:hint="eastAsia" w:ascii="Times New Roman" w:hAnsi="Times New Roman" w:eastAsia="宋体" w:cs="Times New Roman"/>
          <w:bCs/>
          <w:color w:val="auto"/>
          <w:sz w:val="28"/>
          <w:szCs w:val="28"/>
        </w:rPr>
        <w:t>5.3 轨道设计</w:t>
      </w:r>
      <w:bookmarkEnd w:id="42"/>
      <w:bookmarkEnd w:id="43"/>
      <w:bookmarkEnd w:id="44"/>
    </w:p>
    <w:p w14:paraId="76F83E35">
      <w:pPr>
        <w:spacing w:line="360" w:lineRule="auto"/>
        <w:rPr>
          <w:bCs/>
          <w:color w:val="auto"/>
          <w:sz w:val="24"/>
          <w:szCs w:val="24"/>
        </w:rPr>
      </w:pPr>
      <w:r>
        <w:rPr>
          <w:rFonts w:hint="eastAsia"/>
          <w:bCs/>
          <w:color w:val="auto"/>
          <w:sz w:val="24"/>
          <w:szCs w:val="24"/>
        </w:rPr>
        <w:t>5.3.1车辆基地轨道系统设计应重视环境保护、节能减排，满足相关法律法规对环境保护、低碳发展的要求。</w:t>
      </w:r>
    </w:p>
    <w:p w14:paraId="11AE3DC2">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【条文说明】本条摘自《深圳市城市轨道交通五期工程 设计技术标准 (试行版)》“第六章 轨道 6.1 一般规定”。</w:t>
      </w:r>
    </w:p>
    <w:p w14:paraId="22671C1D">
      <w:pPr>
        <w:spacing w:line="360" w:lineRule="auto"/>
        <w:rPr>
          <w:bCs/>
          <w:color w:val="auto"/>
          <w:sz w:val="24"/>
          <w:szCs w:val="24"/>
        </w:rPr>
      </w:pPr>
      <w:r>
        <w:rPr>
          <w:bCs/>
          <w:color w:val="auto"/>
          <w:sz w:val="24"/>
          <w:szCs w:val="24"/>
        </w:rPr>
        <w:t>5.3.</w:t>
      </w:r>
      <w:r>
        <w:rPr>
          <w:rFonts w:hint="eastAsia"/>
          <w:bCs/>
          <w:color w:val="auto"/>
          <w:sz w:val="24"/>
          <w:szCs w:val="24"/>
        </w:rPr>
        <w:t>2车辆基地宜扩大无砟轨道的铺设范围，无砟轨道主体结构的设计工作年限不应低于 100 年。</w:t>
      </w:r>
    </w:p>
    <w:p w14:paraId="7595E2FB">
      <w:pPr>
        <w:spacing w:line="360" w:lineRule="auto"/>
        <w:rPr>
          <w:bCs/>
          <w:color w:val="auto"/>
          <w:sz w:val="24"/>
          <w:szCs w:val="24"/>
        </w:rPr>
      </w:pPr>
      <w:r>
        <w:rPr>
          <w:rFonts w:hint="eastAsia" w:ascii="楷体" w:hAnsi="楷体" w:eastAsia="楷体" w:cs="楷体"/>
          <w:bCs/>
          <w:color w:val="auto"/>
          <w:sz w:val="24"/>
          <w:szCs w:val="24"/>
        </w:rPr>
        <w:t>【条文说明】相比于有砟轨道，无砟轨道能够减少运营期间的养护维修工作量，减少碎石道床的捣固及道砟更换等工作。较长的使用年限能够减少既有设备的更新换代频率，从而达到减少碳排放的目的。</w:t>
      </w:r>
    </w:p>
    <w:p w14:paraId="3EB7E189">
      <w:pPr>
        <w:spacing w:line="360" w:lineRule="auto"/>
        <w:rPr>
          <w:bCs/>
          <w:color w:val="auto"/>
          <w:sz w:val="24"/>
          <w:szCs w:val="24"/>
        </w:rPr>
      </w:pPr>
      <w:r>
        <w:rPr>
          <w:bCs/>
          <w:color w:val="auto"/>
          <w:sz w:val="24"/>
          <w:szCs w:val="24"/>
        </w:rPr>
        <w:t>5.3.</w:t>
      </w:r>
      <w:r>
        <w:rPr>
          <w:rFonts w:hint="eastAsia"/>
          <w:bCs/>
          <w:color w:val="auto"/>
          <w:sz w:val="24"/>
          <w:szCs w:val="24"/>
        </w:rPr>
        <w:t>3</w:t>
      </w:r>
      <w:r>
        <w:rPr>
          <w:bCs/>
          <w:color w:val="auto"/>
          <w:sz w:val="24"/>
          <w:szCs w:val="24"/>
        </w:rPr>
        <w:t>库内线应铺设无缝线路。</w:t>
      </w:r>
    </w:p>
    <w:p w14:paraId="2510C1A6">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【条文说明】本条摘自《深圳市城市轨道交通五期工程 设计技术标准 (试行版)》“第六章 轨道 6.5 车场线轨道”。</w:t>
      </w:r>
    </w:p>
    <w:p w14:paraId="61D25C73">
      <w:pPr>
        <w:spacing w:line="360" w:lineRule="auto"/>
        <w:rPr>
          <w:bCs/>
          <w:color w:val="auto"/>
          <w:sz w:val="24"/>
          <w:szCs w:val="24"/>
        </w:rPr>
      </w:pPr>
      <w:r>
        <w:rPr>
          <w:rFonts w:hint="eastAsia" w:ascii="楷体" w:hAnsi="楷体" w:eastAsia="楷体" w:cs="楷体"/>
          <w:bCs/>
          <w:color w:val="auto"/>
          <w:sz w:val="24"/>
          <w:szCs w:val="24"/>
        </w:rPr>
        <w:t>铺设无缝线路能够减少接头夹板的使用及维护，减少车轮的磨耗等，且具有一定的减振降噪功能，库内一般铺设无缝线路的条件较好，推广采用。</w:t>
      </w:r>
    </w:p>
    <w:p w14:paraId="517CFCA4">
      <w:pPr>
        <w:spacing w:line="360" w:lineRule="auto"/>
        <w:rPr>
          <w:bCs/>
          <w:color w:val="auto"/>
          <w:sz w:val="24"/>
          <w:szCs w:val="24"/>
        </w:rPr>
      </w:pPr>
      <w:r>
        <w:rPr>
          <w:rFonts w:hint="eastAsia"/>
          <w:bCs/>
          <w:color w:val="auto"/>
          <w:sz w:val="24"/>
          <w:szCs w:val="24"/>
        </w:rPr>
        <w:t>5.3.4库内线立柱式检查坑地段</w:t>
      </w:r>
      <w:r>
        <w:rPr>
          <w:bCs/>
          <w:color w:val="auto"/>
          <w:sz w:val="24"/>
          <w:szCs w:val="24"/>
        </w:rPr>
        <w:t>宜</w:t>
      </w:r>
      <w:r>
        <w:rPr>
          <w:rFonts w:hint="eastAsia"/>
          <w:bCs/>
          <w:color w:val="auto"/>
          <w:sz w:val="24"/>
          <w:szCs w:val="24"/>
        </w:rPr>
        <w:t>采用装配式结构。</w:t>
      </w:r>
    </w:p>
    <w:p w14:paraId="524EE35D">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【条文说明】本条摘自《深圳市城市轨道交通五期工程 设计技术标准 (试行版)》“第六章 轨道 6.5 车场线轨道”。</w:t>
      </w:r>
    </w:p>
    <w:p w14:paraId="3E9AC54C">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库内检查坑立柱采用现浇方式施工时，施工场地受限，采用的机械设备多，释放的粉尘等杂物较多，碳排放量较大；采用预制结构时，混凝土立柱在工厂预制，集中生产且可采取措施进行环保处理，可降低一定的碳排放数量。</w:t>
      </w:r>
    </w:p>
    <w:p w14:paraId="4993A190">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45" w:name="_Toc6451"/>
      <w:bookmarkStart w:id="46" w:name="_Toc16200"/>
      <w:bookmarkStart w:id="47" w:name="_Toc223104307"/>
      <w:r>
        <w:rPr>
          <w:rFonts w:hint="eastAsia" w:ascii="Times New Roman" w:hAnsi="Times New Roman" w:eastAsia="宋体" w:cs="Times New Roman"/>
          <w:bCs/>
          <w:color w:val="auto"/>
          <w:sz w:val="28"/>
          <w:szCs w:val="28"/>
        </w:rPr>
        <w:t>5.4 海绵城市</w:t>
      </w:r>
      <w:bookmarkEnd w:id="45"/>
      <w:bookmarkEnd w:id="46"/>
      <w:bookmarkEnd w:id="47"/>
    </w:p>
    <w:p w14:paraId="62D1D41A">
      <w:pPr>
        <w:spacing w:line="360" w:lineRule="auto"/>
        <w:rPr>
          <w:bCs/>
          <w:color w:val="auto"/>
          <w:sz w:val="24"/>
          <w:szCs w:val="24"/>
        </w:rPr>
      </w:pPr>
      <w:r>
        <w:rPr>
          <w:rFonts w:hint="eastAsia"/>
          <w:bCs/>
          <w:color w:val="auto"/>
          <w:sz w:val="24"/>
          <w:szCs w:val="24"/>
        </w:rPr>
        <w:t>5.4.1当建设单位和建设时序允许时，应根据项目实际情况，统筹城市轨道交通车辆基地和上盖物业建设项目的海绵调蓄目标和海绵设施建设。</w:t>
      </w:r>
    </w:p>
    <w:p w14:paraId="2520B51E">
      <w:pPr>
        <w:spacing w:line="360" w:lineRule="auto"/>
        <w:rPr>
          <w:bCs/>
          <w:color w:val="auto"/>
          <w:sz w:val="24"/>
          <w:szCs w:val="24"/>
        </w:rPr>
      </w:pPr>
      <w:r>
        <w:rPr>
          <w:rFonts w:hint="eastAsia"/>
          <w:bCs/>
          <w:color w:val="auto"/>
          <w:sz w:val="24"/>
          <w:szCs w:val="24"/>
        </w:rPr>
        <w:t>5.4.2当项目建设用地同时涵盖两种及以上用地类别（性质）时，宜按不同用地类别（性质）项目的各自占地面积，加权平均计算该建设项目的海绵设施建设控制性指标和引导性指标。</w:t>
      </w:r>
    </w:p>
    <w:p w14:paraId="639D15B7">
      <w:pPr>
        <w:spacing w:line="360" w:lineRule="auto"/>
        <w:rPr>
          <w:bCs/>
          <w:color w:val="auto"/>
          <w:sz w:val="24"/>
          <w:szCs w:val="24"/>
        </w:rPr>
      </w:pPr>
      <w:r>
        <w:rPr>
          <w:rFonts w:hint="eastAsia" w:ascii="楷体" w:hAnsi="楷体" w:eastAsia="楷体" w:cs="楷体"/>
          <w:bCs/>
          <w:color w:val="auto"/>
          <w:sz w:val="24"/>
          <w:szCs w:val="24"/>
        </w:rPr>
        <w:t>【条文说明】车辆基地（交通设施用地）和上盖物业（多种用地类型）为竖向复合型建设模式，当分别按两个建设用地实施海绵城市要求，会造成海绵城市建设重复计算，增加建造碳排放。有条件时，车辆基地和盖上物业海绵方案统筹目标、协同设计，可以合理利用盖下用地设置绿色海绵设施，减少盖上调蓄池建造，实现空间的高效利用，同时增加绿化碳汇，减少施工碳排。</w:t>
      </w:r>
    </w:p>
    <w:p w14:paraId="715C5279">
      <w:pPr>
        <w:spacing w:line="360" w:lineRule="auto"/>
        <w:rPr>
          <w:bCs/>
          <w:color w:val="auto"/>
          <w:sz w:val="24"/>
          <w:szCs w:val="24"/>
        </w:rPr>
      </w:pPr>
      <w:r>
        <w:rPr>
          <w:rFonts w:hint="eastAsia"/>
          <w:bCs/>
          <w:color w:val="auto"/>
          <w:sz w:val="24"/>
          <w:szCs w:val="24"/>
        </w:rPr>
        <w:t>5.4.3海绵设施设置应“先绿后灰”，布置应分散，避免过于集中。应结合场地地形地貌、土壤性质、地下水位状况等，根据场地内建筑物布局、道路广场、绿地分布、雨水管网及场地竖向，合理划定汇水分区，优化布局海绵设施的设置。</w:t>
      </w:r>
    </w:p>
    <w:p w14:paraId="1AB87AB2">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优先利用绿色基础设施来管理雨水，减少对传统灰色基础设施(如雨水调蓄池)的依赖，可以减少开挖和建造过程碳排放。合理设置海绵设施和组织雨水径流有利于优化管网布置，也可以减少施工碳排。</w:t>
      </w:r>
    </w:p>
    <w:p w14:paraId="4D5E1954">
      <w:pPr>
        <w:spacing w:line="360" w:lineRule="auto"/>
        <w:rPr>
          <w:bCs/>
          <w:color w:val="auto"/>
          <w:sz w:val="24"/>
          <w:szCs w:val="24"/>
        </w:rPr>
      </w:pPr>
      <w:r>
        <w:rPr>
          <w:rFonts w:hint="eastAsia"/>
          <w:bCs/>
          <w:color w:val="auto"/>
          <w:sz w:val="24"/>
          <w:szCs w:val="24"/>
        </w:rPr>
        <w:t>5.4.4海绵设施设置，应优先考虑雨水下渗，条件合适的，可集蓄回用。集蓄雨水优先用于景观水体补水、绿化灌溉、道路或地面冲洗，也可用于车辆冲洗、冲厕和循环冷却水补水。</w:t>
      </w:r>
    </w:p>
    <w:p w14:paraId="700C4DB5">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【条文说明】雨水优先用于景观水体、绿化灌溉、道路或地面冲洗等，避免繁复的处理工艺造成不必要的碳排放。</w:t>
      </w:r>
    </w:p>
    <w:p w14:paraId="59B07D86">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48" w:name="_Toc22795"/>
      <w:bookmarkStart w:id="49" w:name="_Toc223104308"/>
      <w:bookmarkStart w:id="50" w:name="_Toc18433"/>
      <w:r>
        <w:rPr>
          <w:rFonts w:hint="eastAsia" w:ascii="Times New Roman" w:hAnsi="Times New Roman" w:eastAsia="宋体" w:cs="Times New Roman"/>
          <w:bCs/>
          <w:color w:val="auto"/>
          <w:sz w:val="28"/>
          <w:szCs w:val="28"/>
        </w:rPr>
        <w:t>5.5 景观设计</w:t>
      </w:r>
      <w:bookmarkEnd w:id="48"/>
      <w:bookmarkEnd w:id="49"/>
      <w:bookmarkEnd w:id="50"/>
    </w:p>
    <w:p w14:paraId="7523754E">
      <w:pPr>
        <w:spacing w:line="360" w:lineRule="auto"/>
        <w:rPr>
          <w:bCs/>
          <w:color w:val="auto"/>
          <w:sz w:val="24"/>
          <w:szCs w:val="24"/>
        </w:rPr>
      </w:pPr>
      <w:r>
        <w:rPr>
          <w:rFonts w:hint="eastAsia"/>
          <w:bCs/>
          <w:color w:val="auto"/>
          <w:sz w:val="24"/>
          <w:szCs w:val="24"/>
        </w:rPr>
        <w:t xml:space="preserve">5.5.1基于综合性生产单位的车辆基地的景观设计，在优先考虑功能分区以及交通流线的基础上，通过合理的布局和设计，使场地内各区域之间的作业形式能够良好转换，同时保证车辆和人员的安全。 </w:t>
      </w:r>
    </w:p>
    <w:p w14:paraId="67369082">
      <w:pPr>
        <w:spacing w:line="360" w:lineRule="auto"/>
        <w:rPr>
          <w:bCs/>
          <w:color w:val="auto"/>
          <w:sz w:val="24"/>
          <w:szCs w:val="24"/>
        </w:rPr>
      </w:pPr>
      <w:r>
        <w:rPr>
          <w:rFonts w:hint="eastAsia"/>
          <w:bCs/>
          <w:color w:val="auto"/>
          <w:sz w:val="24"/>
          <w:szCs w:val="24"/>
        </w:rPr>
        <w:t>5.5.2 通过场地分析、一系列生态设计和低碳技术、空间规划布局以及可持续发展策略的实施，打造一个集休闲、娱乐、生态、科普于一体的环境友好、可持续发展的车辆基地公共空间，实现车辆基地运营过程中碳排放与碳吸收的动态平衡。</w:t>
      </w:r>
    </w:p>
    <w:p w14:paraId="3A47CB58">
      <w:pPr>
        <w:spacing w:line="360" w:lineRule="auto"/>
        <w:rPr>
          <w:bCs/>
          <w:color w:val="auto"/>
          <w:sz w:val="24"/>
          <w:szCs w:val="24"/>
        </w:rPr>
      </w:pPr>
      <w:r>
        <w:rPr>
          <w:rFonts w:hint="eastAsia"/>
          <w:bCs/>
          <w:color w:val="auto"/>
          <w:sz w:val="24"/>
          <w:szCs w:val="24"/>
        </w:rPr>
        <w:t>5.5.3 以低介入、低影响为前提，从多维度、全生命周期实现低碳理念，在最大限度地不破坏场地内的原有生态结构和生物栖息环境的情况下，通过坚持保留、修复与利用，低碳植物设计，回收材料利用，低碳能源利用，海绵城市设计，低碳科普运营等低碳设计策略做到人与自然的共生。</w:t>
      </w:r>
    </w:p>
    <w:p w14:paraId="17C24DD1">
      <w:pPr>
        <w:spacing w:line="360" w:lineRule="auto"/>
        <w:ind w:firstLine="0" w:firstLineChars="0"/>
        <w:rPr>
          <w:bCs/>
          <w:color w:val="auto"/>
          <w:sz w:val="24"/>
          <w:szCs w:val="24"/>
        </w:rPr>
      </w:pPr>
      <w:r>
        <w:rPr>
          <w:rFonts w:hint="eastAsia"/>
          <w:bCs/>
          <w:color w:val="auto"/>
          <w:sz w:val="24"/>
          <w:szCs w:val="24"/>
        </w:rPr>
        <w:t>5.5.4</w:t>
      </w:r>
      <w:r>
        <w:rPr>
          <w:rFonts w:hint="eastAsia"/>
          <w:bCs/>
          <w:color w:val="auto"/>
          <w:sz w:val="24"/>
          <w:szCs w:val="24"/>
          <w:lang w:val="en-US" w:eastAsia="zh-CN"/>
        </w:rPr>
        <w:t xml:space="preserve"> 车辆基地景观材料应</w:t>
      </w:r>
      <w:r>
        <w:rPr>
          <w:rFonts w:hint="eastAsia"/>
          <w:bCs/>
          <w:color w:val="auto"/>
          <w:sz w:val="24"/>
          <w:szCs w:val="24"/>
        </w:rPr>
        <w:t>以减少因运输、生产产生的碳排放</w:t>
      </w:r>
      <w:r>
        <w:rPr>
          <w:rFonts w:hint="eastAsia"/>
          <w:bCs/>
          <w:color w:val="auto"/>
          <w:sz w:val="24"/>
          <w:szCs w:val="24"/>
          <w:lang w:eastAsia="zh-CN"/>
        </w:rPr>
        <w:t>，</w:t>
      </w:r>
      <w:r>
        <w:rPr>
          <w:rFonts w:hint="eastAsia"/>
          <w:bCs/>
          <w:color w:val="auto"/>
          <w:sz w:val="24"/>
          <w:szCs w:val="24"/>
          <w:lang w:val="en-US" w:eastAsia="zh-CN"/>
        </w:rPr>
        <w:t>并应符合以下要求：</w:t>
      </w:r>
      <w:r>
        <w:rPr>
          <w:rFonts w:hint="eastAsia"/>
          <w:bCs/>
          <w:color w:val="auto"/>
          <w:sz w:val="24"/>
          <w:szCs w:val="24"/>
        </w:rPr>
        <w:t>。</w:t>
      </w:r>
    </w:p>
    <w:p w14:paraId="6D5FFC1F">
      <w:pPr>
        <w:spacing w:line="360" w:lineRule="auto"/>
        <w:rPr>
          <w:bCs/>
          <w:color w:val="auto"/>
          <w:sz w:val="24"/>
          <w:szCs w:val="24"/>
        </w:rPr>
      </w:pPr>
      <w:r>
        <w:rPr>
          <w:rFonts w:hint="eastAsia"/>
          <w:bCs/>
          <w:color w:val="auto"/>
          <w:sz w:val="24"/>
          <w:szCs w:val="24"/>
          <w:lang w:val="en-US" w:eastAsia="zh-CN"/>
        </w:rPr>
        <w:t xml:space="preserve">    1 </w:t>
      </w:r>
      <w:r>
        <w:rPr>
          <w:rFonts w:hint="eastAsia"/>
          <w:bCs/>
          <w:color w:val="auto"/>
          <w:sz w:val="24"/>
          <w:szCs w:val="24"/>
        </w:rPr>
        <w:t>本地低碳材料优先：选用本地生产的石材、木材等，减少运输过程中的碳排放（如使用本地砂岩替代进口石材）。</w:t>
      </w:r>
    </w:p>
    <w:p w14:paraId="7BF9F930">
      <w:pPr>
        <w:spacing w:line="360" w:lineRule="auto"/>
        <w:ind w:firstLine="480" w:firstLineChars="200"/>
        <w:rPr>
          <w:bCs/>
          <w:color w:val="auto"/>
          <w:sz w:val="24"/>
          <w:szCs w:val="24"/>
        </w:rPr>
      </w:pPr>
      <w:r>
        <w:rPr>
          <w:rFonts w:hint="eastAsia"/>
          <w:bCs/>
          <w:color w:val="auto"/>
          <w:sz w:val="24"/>
          <w:szCs w:val="24"/>
          <w:lang w:val="en-US" w:eastAsia="zh-CN"/>
        </w:rPr>
        <w:t xml:space="preserve">2 </w:t>
      </w:r>
      <w:r>
        <w:rPr>
          <w:rFonts w:hint="eastAsia"/>
          <w:bCs/>
          <w:color w:val="auto"/>
          <w:sz w:val="24"/>
          <w:szCs w:val="24"/>
        </w:rPr>
        <w:t>可再生与回收材料：使用再生木材、回收混凝土块等，降低新材料生产的能源消耗（例：用废旧砖块铺设园路）。</w:t>
      </w:r>
    </w:p>
    <w:p w14:paraId="6A40518F">
      <w:pPr>
        <w:spacing w:line="360" w:lineRule="auto"/>
        <w:ind w:firstLine="480" w:firstLineChars="200"/>
        <w:rPr>
          <w:bCs/>
          <w:color w:val="auto"/>
          <w:sz w:val="24"/>
          <w:szCs w:val="24"/>
        </w:rPr>
      </w:pPr>
      <w:r>
        <w:rPr>
          <w:rFonts w:hint="eastAsia"/>
          <w:bCs/>
          <w:color w:val="auto"/>
          <w:sz w:val="24"/>
          <w:szCs w:val="24"/>
          <w:lang w:val="en-US" w:eastAsia="zh-CN"/>
        </w:rPr>
        <w:t xml:space="preserve">3 </w:t>
      </w:r>
      <w:r>
        <w:rPr>
          <w:rFonts w:hint="eastAsia"/>
          <w:bCs/>
          <w:color w:val="auto"/>
          <w:sz w:val="24"/>
          <w:szCs w:val="24"/>
        </w:rPr>
        <w:t>低碳环保材料：采用低碳混凝土、环保型涂料，减少材料生产环节的碳排放。</w:t>
      </w:r>
    </w:p>
    <w:p w14:paraId="505076A9">
      <w:pPr>
        <w:spacing w:line="360" w:lineRule="auto"/>
        <w:rPr>
          <w:rFonts w:hint="default" w:eastAsia="宋体"/>
          <w:bCs/>
          <w:color w:val="auto"/>
          <w:sz w:val="24"/>
          <w:szCs w:val="24"/>
          <w:lang w:val="en-US" w:eastAsia="zh-CN"/>
        </w:rPr>
      </w:pPr>
      <w:r>
        <w:rPr>
          <w:rFonts w:hint="eastAsia"/>
          <w:bCs/>
          <w:color w:val="auto"/>
          <w:sz w:val="24"/>
          <w:szCs w:val="24"/>
        </w:rPr>
        <w:t xml:space="preserve"> 5.5.5植物配置与生态系统</w:t>
      </w:r>
      <w:r>
        <w:rPr>
          <w:rFonts w:hint="eastAsia"/>
          <w:bCs/>
          <w:color w:val="auto"/>
          <w:sz w:val="24"/>
          <w:szCs w:val="24"/>
          <w:lang w:val="en-US" w:eastAsia="zh-CN"/>
        </w:rPr>
        <w:t>应符合以下要求：</w:t>
      </w:r>
    </w:p>
    <w:p w14:paraId="76AB0ECF">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本土植物群落的构建：宜种植适应性强的本地植物，减少灌溉、施肥和养护的能源消耗，宜采用乔木层（30%）+灌木层（40%）+草地（30%）的植物组合，最大化单位面积固碳效率。</w:t>
      </w:r>
    </w:p>
    <w:p w14:paraId="1A911884">
      <w:pPr>
        <w:spacing w:line="360" w:lineRule="auto"/>
        <w:ind w:firstLine="480" w:firstLineChars="200"/>
        <w:rPr>
          <w:bCs/>
          <w:color w:val="auto"/>
          <w:sz w:val="24"/>
          <w:szCs w:val="24"/>
        </w:rPr>
      </w:pPr>
      <w:r>
        <w:rPr>
          <w:rFonts w:hint="eastAsia"/>
          <w:bCs/>
          <w:color w:val="auto"/>
          <w:sz w:val="24"/>
          <w:szCs w:val="24"/>
          <w:lang w:val="en-US" w:eastAsia="zh-CN"/>
        </w:rPr>
        <w:t xml:space="preserve">2 </w:t>
      </w:r>
      <w:r>
        <w:rPr>
          <w:rFonts w:hint="eastAsia"/>
          <w:bCs/>
          <w:color w:val="auto"/>
          <w:sz w:val="24"/>
          <w:szCs w:val="24"/>
        </w:rPr>
        <w:t>多层级垂直绿化与屋顶花园的构建：当建设条件允许时，应根据项目实际情况在车辆段屋顶、库房墙面设置模块化垂直绿墙，通过种植吸附粉尘的攀援植物（如爬山虎），达到降温又固碳的作用；基于《深圳市城市第六立面提升设计导则》的建设目标，应充分利用检修库、办公楼屋顶打造“更加绿色、更加低碳”的屋顶空间，鼓励打造为“光伏+绿植”复合降碳花园，太阳能板供电的同时，植被吸收二氧化碳同时再铺设耐旱景天科植物，降低建筑能耗（夏季降温3-5℃），提升发电效率并减少热岛效应。</w:t>
      </w:r>
    </w:p>
    <w:p w14:paraId="5EB03613">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【条文说明】本条摘自《深圳市城市第六立面提升设计导则》第3.6条“降碳屋顶”设计要求。</w:t>
      </w:r>
    </w:p>
    <w:p w14:paraId="35F8C6CA">
      <w:pPr>
        <w:spacing w:line="360" w:lineRule="auto"/>
        <w:ind w:firstLine="480" w:firstLineChars="200"/>
        <w:rPr>
          <w:bCs/>
          <w:color w:val="auto"/>
          <w:sz w:val="24"/>
          <w:szCs w:val="24"/>
        </w:rPr>
      </w:pPr>
      <w:r>
        <w:rPr>
          <w:rFonts w:hint="eastAsia"/>
          <w:bCs/>
          <w:color w:val="auto"/>
          <w:sz w:val="24"/>
          <w:szCs w:val="24"/>
          <w:lang w:val="en-US" w:eastAsia="zh-CN"/>
        </w:rPr>
        <w:t xml:space="preserve">3 </w:t>
      </w:r>
      <w:r>
        <w:rPr>
          <w:rFonts w:hint="eastAsia"/>
          <w:bCs/>
          <w:color w:val="auto"/>
          <w:sz w:val="24"/>
          <w:szCs w:val="24"/>
        </w:rPr>
        <w:t>昆虫友好型景观：宜种植蜜源植物（如向日葵、薰衣草）和原生草本，吸引蜜蜂、蝴蝶等昆虫，构建微型生态链，提升生态系统固碳稳定性。</w:t>
      </w:r>
    </w:p>
    <w:p w14:paraId="6CAA3DE6">
      <w:pPr>
        <w:spacing w:line="360" w:lineRule="auto"/>
        <w:ind w:firstLine="480" w:firstLineChars="200"/>
        <w:rPr>
          <w:bCs/>
          <w:color w:val="auto"/>
          <w:sz w:val="24"/>
          <w:szCs w:val="24"/>
        </w:rPr>
      </w:pPr>
      <w:r>
        <w:rPr>
          <w:rFonts w:hint="eastAsia"/>
          <w:bCs/>
          <w:color w:val="auto"/>
          <w:sz w:val="24"/>
          <w:szCs w:val="24"/>
          <w:lang w:val="en-US" w:eastAsia="zh-CN"/>
        </w:rPr>
        <w:t xml:space="preserve">4 </w:t>
      </w:r>
      <w:r>
        <w:rPr>
          <w:rFonts w:hint="eastAsia"/>
          <w:bCs/>
          <w:color w:val="auto"/>
          <w:sz w:val="24"/>
          <w:szCs w:val="24"/>
        </w:rPr>
        <w:t>鸟类栖息碳汇节点：宜在场站边缘设置人工鸟巢、浅水滩，吸引候鸟停留，通过生物多样性提升生态系统服务功能（鸟类活动可促进植物种子传播，间接增强碳汇）。</w:t>
      </w:r>
    </w:p>
    <w:p w14:paraId="46ED7166">
      <w:pPr>
        <w:spacing w:line="360" w:lineRule="auto"/>
        <w:ind w:firstLine="480" w:firstLineChars="200"/>
        <w:rPr>
          <w:bCs/>
          <w:color w:val="auto"/>
          <w:sz w:val="24"/>
          <w:szCs w:val="24"/>
        </w:rPr>
      </w:pPr>
      <w:r>
        <w:rPr>
          <w:rFonts w:hint="eastAsia"/>
          <w:bCs/>
          <w:color w:val="auto"/>
          <w:sz w:val="24"/>
          <w:szCs w:val="24"/>
          <w:lang w:val="en-US" w:eastAsia="zh-CN"/>
        </w:rPr>
        <w:t xml:space="preserve">5 </w:t>
      </w:r>
      <w:r>
        <w:rPr>
          <w:rFonts w:hint="eastAsia"/>
          <w:bCs/>
          <w:color w:val="auto"/>
          <w:sz w:val="24"/>
          <w:szCs w:val="24"/>
        </w:rPr>
        <w:t>下沉式生态湿地：在场站低洼处可设计雨水湿地，种植芦苇、香蒲等挺水植物，通过湿地系统净化雨水的同时，发挥湿地生态固碳功能（湿地碳汇效率是森林的2-3倍）。</w:t>
      </w:r>
    </w:p>
    <w:p w14:paraId="44678AB3">
      <w:pPr>
        <w:spacing w:line="360" w:lineRule="auto"/>
        <w:ind w:firstLine="480" w:firstLineChars="200"/>
        <w:rPr>
          <w:bCs/>
          <w:color w:val="auto"/>
          <w:sz w:val="24"/>
          <w:szCs w:val="24"/>
        </w:rPr>
      </w:pPr>
      <w:r>
        <w:rPr>
          <w:rFonts w:hint="eastAsia"/>
          <w:bCs/>
          <w:color w:val="auto"/>
          <w:sz w:val="24"/>
          <w:szCs w:val="24"/>
          <w:lang w:val="en-US" w:eastAsia="zh-CN"/>
        </w:rPr>
        <w:t xml:space="preserve">6 </w:t>
      </w:r>
      <w:r>
        <w:rPr>
          <w:rFonts w:hint="eastAsia"/>
          <w:bCs/>
          <w:color w:val="auto"/>
          <w:sz w:val="24"/>
          <w:szCs w:val="24"/>
        </w:rPr>
        <w:t>其他特殊区域植物选择：检修库周边宜选用耐油污植物（如夹竹桃、棕榈），搭配可吸附重金属的蕨类。轨道隔离带</w:t>
      </w:r>
      <w:r>
        <w:rPr>
          <w:rFonts w:hint="eastAsia"/>
          <w:bCs/>
          <w:color w:val="auto"/>
          <w:sz w:val="24"/>
          <w:szCs w:val="24"/>
          <w:lang w:val="en-US" w:eastAsia="zh-CN"/>
        </w:rPr>
        <w:t>宜</w:t>
      </w:r>
      <w:r>
        <w:rPr>
          <w:rFonts w:hint="eastAsia"/>
          <w:bCs/>
          <w:color w:val="auto"/>
          <w:sz w:val="24"/>
          <w:szCs w:val="24"/>
        </w:rPr>
        <w:t>鼓励种植芒草、狼尾草等高韧性地被，减少维护频次。员工活动区宜通过香樟林+透水木平台营造休憩空间，温度较硬质广场可降低4-6℃。</w:t>
      </w:r>
    </w:p>
    <w:p w14:paraId="34CB4E65">
      <w:pPr>
        <w:spacing w:line="360" w:lineRule="auto"/>
        <w:rPr>
          <w:rFonts w:hint="default" w:eastAsia="宋体"/>
          <w:bCs/>
          <w:color w:val="auto"/>
          <w:sz w:val="24"/>
          <w:szCs w:val="24"/>
          <w:lang w:val="en-US" w:eastAsia="zh-CN"/>
        </w:rPr>
      </w:pPr>
      <w:r>
        <w:rPr>
          <w:rFonts w:hint="eastAsia"/>
          <w:bCs/>
          <w:color w:val="auto"/>
          <w:sz w:val="24"/>
          <w:szCs w:val="24"/>
        </w:rPr>
        <w:t>5.5.6能源协同与低碳设施整合</w:t>
      </w:r>
      <w:r>
        <w:rPr>
          <w:rFonts w:hint="eastAsia"/>
          <w:bCs/>
          <w:color w:val="auto"/>
          <w:sz w:val="24"/>
          <w:szCs w:val="24"/>
          <w:lang w:val="en-US" w:eastAsia="zh-CN"/>
        </w:rPr>
        <w:t>应符合以下要求：</w:t>
      </w:r>
    </w:p>
    <w:p w14:paraId="504525A9">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 xml:space="preserve">光伏一体化景观：宜在场站空地、停车坪、检修区、停车棚顶铺设太阳能板，年发电量可覆盖场站20-40%用电（案例：深圳地铁横岗车辆段），为景观照明、充电桩供电（如光伏座椅边设置手机充电接口），实现能源自给。  </w:t>
      </w:r>
    </w:p>
    <w:p w14:paraId="5AACA8C2">
      <w:pPr>
        <w:spacing w:line="360" w:lineRule="auto"/>
        <w:ind w:firstLine="480" w:firstLineChars="200"/>
        <w:rPr>
          <w:bCs/>
          <w:color w:val="auto"/>
          <w:sz w:val="24"/>
          <w:szCs w:val="24"/>
        </w:rPr>
      </w:pPr>
      <w:r>
        <w:rPr>
          <w:rFonts w:hint="eastAsia"/>
          <w:bCs/>
          <w:color w:val="auto"/>
          <w:sz w:val="24"/>
          <w:szCs w:val="24"/>
          <w:lang w:val="en-US" w:eastAsia="zh-CN"/>
        </w:rPr>
        <w:t xml:space="preserve">2 </w:t>
      </w:r>
      <w:r>
        <w:rPr>
          <w:rFonts w:hint="eastAsia"/>
          <w:bCs/>
          <w:color w:val="auto"/>
          <w:sz w:val="24"/>
          <w:szCs w:val="24"/>
        </w:rPr>
        <w:t>智慧低碳管理：应安装能耗监测系统，实时监控照明、灌溉设备的用电数据，结合AI算法优化运行（如根据人流量自动调节路灯亮度），降低待机能耗。</w:t>
      </w:r>
    </w:p>
    <w:p w14:paraId="3B6AE70C">
      <w:pPr>
        <w:spacing w:line="360" w:lineRule="auto"/>
        <w:rPr>
          <w:rFonts w:hint="default" w:eastAsia="宋体"/>
          <w:bCs/>
          <w:color w:val="auto"/>
          <w:sz w:val="24"/>
          <w:szCs w:val="24"/>
          <w:lang w:val="en-US" w:eastAsia="zh-CN"/>
        </w:rPr>
      </w:pPr>
      <w:r>
        <w:rPr>
          <w:rFonts w:hint="eastAsia"/>
          <w:bCs/>
          <w:color w:val="auto"/>
          <w:sz w:val="24"/>
          <w:szCs w:val="24"/>
        </w:rPr>
        <w:t>5.5.7场地规划与循环设计</w:t>
      </w:r>
      <w:r>
        <w:rPr>
          <w:rFonts w:hint="eastAsia"/>
          <w:bCs/>
          <w:color w:val="auto"/>
          <w:sz w:val="24"/>
          <w:szCs w:val="24"/>
          <w:lang w:val="en-US" w:eastAsia="zh-CN"/>
        </w:rPr>
        <w:t>应符合以下要求：</w:t>
      </w:r>
    </w:p>
    <w:p w14:paraId="2AB69D22">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低碳交通流线：基地内部应设置步行道、自行车道，减少机动车进入，降低交通碳排放（例：公园内禁止私家车通行）。</w:t>
      </w:r>
    </w:p>
    <w:p w14:paraId="2ECE923B">
      <w:pPr>
        <w:spacing w:line="360" w:lineRule="auto"/>
        <w:ind w:firstLine="480" w:firstLineChars="200"/>
        <w:rPr>
          <w:bCs/>
          <w:color w:val="auto"/>
          <w:sz w:val="24"/>
          <w:szCs w:val="24"/>
        </w:rPr>
      </w:pPr>
      <w:r>
        <w:rPr>
          <w:rFonts w:hint="eastAsia"/>
          <w:bCs/>
          <w:color w:val="auto"/>
          <w:sz w:val="24"/>
          <w:szCs w:val="24"/>
          <w:lang w:val="en-US" w:eastAsia="zh-CN"/>
        </w:rPr>
        <w:t xml:space="preserve">2 </w:t>
      </w:r>
      <w:r>
        <w:rPr>
          <w:rFonts w:hint="eastAsia"/>
          <w:bCs/>
          <w:color w:val="auto"/>
          <w:sz w:val="24"/>
          <w:szCs w:val="24"/>
        </w:rPr>
        <w:t>废弃物循环利用：宜采用透水混凝土铺装（渗透率≥5mm/s），结合骨料再生技术（30%建筑废料再利用）；宜利用废旧轨枕、碎石改造为休憩座椅或景观小品；宜将枯枝落叶转化为有机肥料，减少垃圾处理的能源消耗。</w:t>
      </w:r>
    </w:p>
    <w:p w14:paraId="71145075">
      <w:pPr>
        <w:spacing w:line="360" w:lineRule="auto"/>
        <w:ind w:firstLine="480" w:firstLineChars="200"/>
        <w:rPr>
          <w:bCs/>
          <w:color w:val="auto"/>
          <w:sz w:val="24"/>
          <w:szCs w:val="24"/>
        </w:rPr>
      </w:pPr>
      <w:r>
        <w:rPr>
          <w:rFonts w:hint="eastAsia"/>
          <w:bCs/>
          <w:color w:val="auto"/>
          <w:sz w:val="24"/>
          <w:szCs w:val="24"/>
          <w:lang w:val="en-US" w:eastAsia="zh-CN"/>
        </w:rPr>
        <w:t xml:space="preserve">3 </w:t>
      </w:r>
      <w:r>
        <w:rPr>
          <w:rFonts w:hint="eastAsia"/>
          <w:bCs/>
          <w:color w:val="auto"/>
          <w:sz w:val="24"/>
          <w:szCs w:val="24"/>
        </w:rPr>
        <w:t xml:space="preserve">雨水-再生水闭环系统：应设置雨水收集管网，经沉淀过滤后用于绿化灌溉、车辆段冲洗，替代市政用水，降低水处理能耗；结合渗透铺装（如植草砖）减少地表径流，补充地下水。 </w:t>
      </w:r>
    </w:p>
    <w:p w14:paraId="2C25E404">
      <w:pPr>
        <w:spacing w:line="360" w:lineRule="auto"/>
        <w:rPr>
          <w:rFonts w:hint="default" w:eastAsia="宋体"/>
          <w:bCs/>
          <w:color w:val="auto"/>
          <w:sz w:val="24"/>
          <w:szCs w:val="24"/>
          <w:lang w:val="en-US" w:eastAsia="zh-CN"/>
        </w:rPr>
      </w:pPr>
      <w:r>
        <w:rPr>
          <w:rFonts w:hint="eastAsia"/>
          <w:bCs/>
          <w:color w:val="auto"/>
          <w:sz w:val="24"/>
          <w:szCs w:val="24"/>
        </w:rPr>
        <w:t>5.5.8</w:t>
      </w:r>
      <w:r>
        <w:rPr>
          <w:rFonts w:hint="eastAsia"/>
          <w:bCs/>
          <w:color w:val="auto"/>
          <w:sz w:val="24"/>
          <w:szCs w:val="24"/>
          <w:lang w:val="en-US" w:eastAsia="zh-CN"/>
        </w:rPr>
        <w:t>景观</w:t>
      </w:r>
      <w:r>
        <w:rPr>
          <w:rFonts w:hint="eastAsia"/>
          <w:bCs/>
          <w:color w:val="auto"/>
          <w:sz w:val="24"/>
          <w:szCs w:val="24"/>
        </w:rPr>
        <w:t>全周期低碳管控</w:t>
      </w:r>
      <w:r>
        <w:rPr>
          <w:rFonts w:hint="eastAsia"/>
          <w:bCs/>
          <w:color w:val="auto"/>
          <w:sz w:val="24"/>
          <w:szCs w:val="24"/>
          <w:lang w:val="en-US" w:eastAsia="zh-CN"/>
        </w:rPr>
        <w:t>应符合以下要求：</w:t>
      </w:r>
    </w:p>
    <w:p w14:paraId="40B4DEAD">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从设计到维护的低碳管控：在景观施工中应采用低噪音、低排放设备，维护阶段通过以上多维度设计，景观项目可在营造生态美感的同时，实现“零碳”目标，推动可持续环境发展。</w:t>
      </w:r>
    </w:p>
    <w:p w14:paraId="1A834B7F">
      <w:pPr>
        <w:spacing w:line="360" w:lineRule="auto"/>
        <w:rPr>
          <w:bCs/>
          <w:color w:val="auto"/>
          <w:sz w:val="24"/>
          <w:szCs w:val="24"/>
        </w:rPr>
      </w:pPr>
      <w:r>
        <w:rPr>
          <w:rFonts w:hint="eastAsia"/>
          <w:bCs/>
          <w:color w:val="auto"/>
          <w:sz w:val="24"/>
          <w:szCs w:val="24"/>
          <w:lang w:val="en-US" w:eastAsia="zh-CN"/>
        </w:rPr>
        <w:t xml:space="preserve">    2 </w:t>
      </w:r>
      <w:r>
        <w:rPr>
          <w:rFonts w:hint="eastAsia"/>
          <w:bCs/>
          <w:color w:val="auto"/>
          <w:sz w:val="24"/>
          <w:szCs w:val="24"/>
        </w:rPr>
        <w:t>施工低碳管理：宜采用预制装配式景观构件（如工厂预制的生态树池），减少现场施工能耗；施工机械优先使用电动设备（如电动挖掘机），降低尾气排放。</w:t>
      </w:r>
    </w:p>
    <w:p w14:paraId="57227424">
      <w:pPr>
        <w:spacing w:line="360" w:lineRule="auto"/>
        <w:ind w:firstLine="480" w:firstLineChars="200"/>
        <w:rPr>
          <w:bCs/>
          <w:color w:val="auto"/>
          <w:sz w:val="24"/>
          <w:szCs w:val="24"/>
        </w:rPr>
      </w:pPr>
      <w:r>
        <w:rPr>
          <w:rFonts w:hint="eastAsia"/>
          <w:bCs/>
          <w:color w:val="auto"/>
          <w:sz w:val="24"/>
          <w:szCs w:val="24"/>
          <w:lang w:val="en-US" w:eastAsia="zh-CN"/>
        </w:rPr>
        <w:t xml:space="preserve">3 </w:t>
      </w:r>
      <w:r>
        <w:rPr>
          <w:rFonts w:hint="eastAsia"/>
          <w:bCs/>
          <w:color w:val="auto"/>
          <w:sz w:val="24"/>
          <w:szCs w:val="24"/>
        </w:rPr>
        <w:t>运维低碳技术：应使用电动割草机、太阳能打药机进行绿化养护，将修剪的枯枝粉碎后作为覆盖物还田，减少垃圾外运能耗。</w:t>
      </w:r>
    </w:p>
    <w:p w14:paraId="4C035FD9">
      <w:pPr>
        <w:spacing w:line="360" w:lineRule="auto"/>
        <w:rPr>
          <w:rFonts w:hint="eastAsia"/>
          <w:bCs/>
          <w:color w:val="auto"/>
          <w:sz w:val="24"/>
          <w:szCs w:val="24"/>
        </w:rPr>
      </w:pPr>
      <w:r>
        <w:rPr>
          <w:rFonts w:hint="eastAsia"/>
          <w:bCs/>
          <w:color w:val="auto"/>
          <w:sz w:val="24"/>
          <w:szCs w:val="24"/>
        </w:rPr>
        <w:t>5.5.9通过整合技术性与生态性设计，地铁车辆场站可从“灰色基础设施”转型为“城市生态节点”，为轨道交通网络赋予可持续生命力。实际设计中需结合场地气候、运维规范及预算进行参数优化，也可采用BIM模拟预演全生命周期碳足迹。</w:t>
      </w:r>
    </w:p>
    <w:p w14:paraId="63DF4DD8">
      <w:pPr>
        <w:spacing w:line="360" w:lineRule="auto"/>
        <w:rPr>
          <w:bCs/>
          <w:color w:val="auto"/>
          <w:sz w:val="24"/>
          <w:szCs w:val="24"/>
        </w:rPr>
      </w:pPr>
      <w:r>
        <w:rPr>
          <w:rFonts w:hint="eastAsia"/>
          <w:bCs/>
          <w:color w:val="auto"/>
          <w:sz w:val="24"/>
          <w:szCs w:val="24"/>
        </w:rPr>
        <w:br w:type="page"/>
      </w:r>
    </w:p>
    <w:p w14:paraId="6592906B">
      <w:pPr>
        <w:numPr>
          <w:ilvl w:val="0"/>
          <w:numId w:val="0"/>
        </w:numPr>
        <w:spacing w:after="240" w:line="360" w:lineRule="auto"/>
        <w:jc w:val="center"/>
        <w:outlineLvl w:val="0"/>
        <w:rPr>
          <w:rFonts w:hint="eastAsia" w:ascii="黑体" w:hAnsi="黑体" w:eastAsia="黑体" w:cs="Times New Roman"/>
          <w:bCs/>
          <w:color w:val="auto"/>
          <w:sz w:val="36"/>
          <w:szCs w:val="32"/>
        </w:rPr>
      </w:pPr>
      <w:bookmarkStart w:id="51" w:name="_Toc223104309"/>
      <w:bookmarkStart w:id="52" w:name="_Toc9549"/>
      <w:bookmarkStart w:id="53" w:name="_Toc30983"/>
      <w:r>
        <w:rPr>
          <w:rFonts w:hint="eastAsia" w:ascii="黑体" w:hAnsi="黑体" w:eastAsia="黑体"/>
          <w:bCs/>
          <w:color w:val="auto"/>
          <w:sz w:val="36"/>
          <w:szCs w:val="32"/>
          <w:lang w:val="en-US" w:eastAsia="zh-CN"/>
        </w:rPr>
        <w:t xml:space="preserve">6 </w:t>
      </w:r>
      <w:r>
        <w:rPr>
          <w:rFonts w:hint="eastAsia" w:ascii="黑体" w:hAnsi="黑体" w:eastAsia="黑体" w:cs="Times New Roman"/>
          <w:bCs/>
          <w:color w:val="auto"/>
          <w:sz w:val="36"/>
          <w:szCs w:val="32"/>
        </w:rPr>
        <w:t>建构筑物设计</w:t>
      </w:r>
      <w:bookmarkEnd w:id="51"/>
      <w:bookmarkEnd w:id="52"/>
      <w:bookmarkEnd w:id="53"/>
    </w:p>
    <w:p w14:paraId="57F6F4CB">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54" w:name="_Toc9362"/>
      <w:bookmarkStart w:id="55" w:name="_Toc17875"/>
      <w:bookmarkStart w:id="56" w:name="_Toc223104310"/>
      <w:r>
        <w:rPr>
          <w:rFonts w:hint="eastAsia" w:ascii="Times New Roman" w:hAnsi="Times New Roman" w:eastAsia="宋体" w:cs="Times New Roman"/>
          <w:bCs/>
          <w:color w:val="auto"/>
          <w:sz w:val="28"/>
          <w:szCs w:val="28"/>
        </w:rPr>
        <w:t>6.1 空间布局</w:t>
      </w:r>
      <w:bookmarkEnd w:id="54"/>
      <w:bookmarkEnd w:id="55"/>
      <w:bookmarkEnd w:id="56"/>
    </w:p>
    <w:p w14:paraId="5F1BE5E5">
      <w:pPr>
        <w:spacing w:line="360" w:lineRule="auto"/>
        <w:rPr>
          <w:b/>
          <w:color w:val="auto"/>
          <w:sz w:val="24"/>
          <w:szCs w:val="24"/>
        </w:rPr>
      </w:pPr>
      <w:r>
        <w:rPr>
          <w:rFonts w:hint="eastAsia"/>
          <w:b/>
          <w:color w:val="auto"/>
          <w:sz w:val="24"/>
          <w:szCs w:val="24"/>
        </w:rPr>
        <w:t>6.1.1 车辆基地建筑设计</w:t>
      </w:r>
      <w:r>
        <w:rPr>
          <w:b/>
          <w:color w:val="auto"/>
          <w:sz w:val="24"/>
          <w:szCs w:val="24"/>
        </w:rPr>
        <w:t>应结合场地环境与气候特点，对项目的太阳能、风能等可再生能源利用条件进行综合分析，建筑布局应有利于可再生能源资源利用</w:t>
      </w:r>
      <w:r>
        <w:rPr>
          <w:rFonts w:hint="eastAsia"/>
          <w:b/>
          <w:color w:val="auto"/>
          <w:sz w:val="24"/>
          <w:szCs w:val="24"/>
        </w:rPr>
        <w:t>。</w:t>
      </w:r>
    </w:p>
    <w:p w14:paraId="6B304F5C">
      <w:pPr>
        <w:spacing w:line="360" w:lineRule="auto"/>
        <w:ind w:firstLine="0" w:firstLineChars="0"/>
        <w:rPr>
          <w:b/>
          <w:color w:val="auto"/>
          <w:sz w:val="24"/>
          <w:szCs w:val="24"/>
        </w:rPr>
      </w:pPr>
      <w:r>
        <w:rPr>
          <w:rFonts w:hint="eastAsia"/>
          <w:b/>
          <w:color w:val="auto"/>
          <w:sz w:val="24"/>
          <w:szCs w:val="24"/>
        </w:rPr>
        <w:t>6.1.2建筑应优化空间布局，合理选择和利用景观、生态绿化等措施，营造适宜的场地微气 候环境，优化自然通风、天然采光、自遮阳效果，降低建筑供冷供暖负荷。具体确定建筑形体朝向和建筑的布局方式，应符合下列规定：</w:t>
      </w:r>
    </w:p>
    <w:p w14:paraId="4B2719B8">
      <w:pPr>
        <w:spacing w:line="360" w:lineRule="auto"/>
        <w:ind w:firstLine="480" w:firstLineChars="200"/>
        <w:rPr>
          <w:bCs/>
          <w:color w:val="auto"/>
          <w:sz w:val="24"/>
          <w:szCs w:val="24"/>
        </w:rPr>
      </w:pPr>
      <w:r>
        <w:rPr>
          <w:rFonts w:hint="eastAsia"/>
          <w:bCs/>
          <w:color w:val="auto"/>
          <w:sz w:val="24"/>
          <w:szCs w:val="24"/>
          <w:lang w:val="en-US" w:eastAsia="zh-CN"/>
        </w:rPr>
        <w:t>1</w:t>
      </w:r>
      <w:r>
        <w:rPr>
          <w:rFonts w:hint="eastAsia"/>
          <w:bCs/>
          <w:color w:val="auto"/>
          <w:sz w:val="24"/>
          <w:szCs w:val="24"/>
          <w:lang w:val="en-US" w:eastAsia="zh-CN"/>
        </w:rPr>
        <w:t xml:space="preserve"> </w:t>
      </w:r>
      <w:r>
        <w:rPr>
          <w:rFonts w:hint="eastAsia"/>
          <w:bCs/>
          <w:color w:val="auto"/>
          <w:sz w:val="24"/>
          <w:szCs w:val="24"/>
        </w:rPr>
        <w:t>建筑布局应考虑良好的天然采光设计，日照和建筑密度应符合国家和地方的相关标准，创造宜居宜业的光照环境；</w:t>
      </w:r>
    </w:p>
    <w:p w14:paraId="74AF0E03">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利于城市和区域夏季主导风的气流通风组织，避免出现空气滞流区。不宜采用封闭围合式布置，当受条件限制必须采用围合式布置时，可在建筑底层和建筑内部，以及建筑之间设置气流通道以提升通风效果；</w:t>
      </w:r>
    </w:p>
    <w:p w14:paraId="7D51FC87">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 xml:space="preserve">建筑的主要房间宜避开夏季最大日射朝向。 </w:t>
      </w:r>
    </w:p>
    <w:p w14:paraId="32651217">
      <w:pPr>
        <w:spacing w:line="360" w:lineRule="auto"/>
        <w:ind w:firstLine="480" w:firstLineChars="200"/>
        <w:rPr>
          <w:bCs/>
          <w:color w:val="auto"/>
          <w:sz w:val="24"/>
          <w:szCs w:val="24"/>
        </w:rPr>
      </w:pPr>
      <w:r>
        <w:rPr>
          <w:rFonts w:hint="eastAsia"/>
          <w:bCs/>
          <w:color w:val="auto"/>
          <w:sz w:val="24"/>
          <w:szCs w:val="24"/>
        </w:rPr>
        <w:t>4</w:t>
      </w:r>
      <w:r>
        <w:rPr>
          <w:rFonts w:hint="eastAsia"/>
          <w:bCs/>
          <w:color w:val="auto"/>
          <w:sz w:val="24"/>
          <w:szCs w:val="24"/>
          <w:lang w:val="en-US" w:eastAsia="zh-CN"/>
        </w:rPr>
        <w:t xml:space="preserve"> </w:t>
      </w:r>
      <w:r>
        <w:rPr>
          <w:rFonts w:hint="eastAsia"/>
          <w:bCs/>
          <w:color w:val="auto"/>
          <w:sz w:val="24"/>
          <w:szCs w:val="24"/>
        </w:rPr>
        <w:t>不宜在建筑的正东、正西和西偏北、东偏北方向设置大面积的玻璃门窗或透光幕墙。</w:t>
      </w:r>
    </w:p>
    <w:p w14:paraId="51F69AB8">
      <w:pPr>
        <w:spacing w:line="360" w:lineRule="auto"/>
        <w:rPr>
          <w:b/>
          <w:color w:val="auto"/>
          <w:sz w:val="24"/>
          <w:szCs w:val="24"/>
        </w:rPr>
      </w:pPr>
      <w:r>
        <w:rPr>
          <w:rFonts w:hint="eastAsia"/>
          <w:b/>
          <w:color w:val="auto"/>
          <w:sz w:val="24"/>
          <w:szCs w:val="24"/>
        </w:rPr>
        <w:t>6.1.</w:t>
      </w:r>
      <w:r>
        <w:rPr>
          <w:rFonts w:hint="eastAsia"/>
          <w:b/>
          <w:color w:val="auto"/>
          <w:sz w:val="24"/>
          <w:szCs w:val="24"/>
          <w:lang w:val="en-US" w:eastAsia="zh-CN"/>
        </w:rPr>
        <w:t>3</w:t>
      </w:r>
      <w:r>
        <w:rPr>
          <w:rFonts w:hint="eastAsia"/>
          <w:b/>
          <w:color w:val="auto"/>
          <w:sz w:val="24"/>
          <w:szCs w:val="24"/>
        </w:rPr>
        <w:t xml:space="preserve"> </w:t>
      </w:r>
      <w:r>
        <w:rPr>
          <w:b/>
          <w:color w:val="auto"/>
          <w:sz w:val="24"/>
          <w:szCs w:val="24"/>
        </w:rPr>
        <w:t>建筑应优化空间布局，合理选择和利用景观、生态绿化等措施，营造适宜的场地微气候环境，优化自然通风、天然采光、自遮阳效果，降低建筑供冷供暖负荷</w:t>
      </w:r>
      <w:r>
        <w:rPr>
          <w:rFonts w:hint="eastAsia"/>
          <w:b/>
          <w:color w:val="auto"/>
          <w:sz w:val="24"/>
          <w:szCs w:val="24"/>
        </w:rPr>
        <w:t>，从而减低建筑能耗，并应符合下列规定：</w:t>
      </w:r>
    </w:p>
    <w:p w14:paraId="0BCC2E0F">
      <w:pPr>
        <w:spacing w:line="360" w:lineRule="auto"/>
        <w:ind w:firstLine="480" w:firstLineChars="200"/>
        <w:rPr>
          <w:bCs/>
          <w:color w:val="auto"/>
          <w:sz w:val="24"/>
          <w:szCs w:val="24"/>
        </w:rPr>
      </w:pPr>
      <w:r>
        <w:rPr>
          <w:rFonts w:hint="eastAsia"/>
          <w:bCs/>
          <w:color w:val="auto"/>
          <w:sz w:val="24"/>
          <w:szCs w:val="24"/>
        </w:rPr>
        <w:t>1</w:t>
      </w:r>
      <w:r>
        <w:rPr>
          <w:rFonts w:hint="eastAsia"/>
          <w:bCs/>
          <w:color w:val="auto"/>
          <w:sz w:val="24"/>
          <w:szCs w:val="24"/>
          <w:lang w:val="en-US" w:eastAsia="zh-CN"/>
        </w:rPr>
        <w:t xml:space="preserve"> </w:t>
      </w:r>
      <w:r>
        <w:rPr>
          <w:rFonts w:hint="eastAsia"/>
          <w:bCs/>
          <w:color w:val="auto"/>
          <w:sz w:val="24"/>
          <w:szCs w:val="24"/>
        </w:rPr>
        <w:t>宜采用开敞式布局创造良好的通风环境，形成穿堂风，避免单侧通风；</w:t>
      </w:r>
    </w:p>
    <w:p w14:paraId="7C0980BE">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依靠中庭空间与中庭高侧窗形成烟囱效应，增强热压通风；</w:t>
      </w:r>
    </w:p>
    <w:p w14:paraId="4692F4F5">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在建筑体量内部根据风径切削贯穿空腔，形成引风通廊；</w:t>
      </w:r>
    </w:p>
    <w:p w14:paraId="41AEAEB9">
      <w:pPr>
        <w:spacing w:line="360" w:lineRule="auto"/>
        <w:ind w:firstLine="480" w:firstLineChars="200"/>
        <w:rPr>
          <w:bCs/>
          <w:color w:val="auto"/>
          <w:sz w:val="24"/>
          <w:szCs w:val="24"/>
        </w:rPr>
      </w:pPr>
      <w:r>
        <w:rPr>
          <w:rFonts w:hint="eastAsia"/>
          <w:bCs/>
          <w:color w:val="auto"/>
          <w:sz w:val="24"/>
          <w:szCs w:val="24"/>
        </w:rPr>
        <w:t>4</w:t>
      </w:r>
      <w:r>
        <w:rPr>
          <w:rFonts w:hint="eastAsia"/>
          <w:bCs/>
          <w:color w:val="auto"/>
          <w:sz w:val="24"/>
          <w:szCs w:val="24"/>
          <w:lang w:val="en-US" w:eastAsia="zh-CN"/>
        </w:rPr>
        <w:t xml:space="preserve"> </w:t>
      </w:r>
      <w:r>
        <w:rPr>
          <w:rFonts w:hint="eastAsia"/>
          <w:bCs/>
          <w:color w:val="auto"/>
          <w:sz w:val="24"/>
          <w:szCs w:val="24"/>
        </w:rPr>
        <w:t>通过首层架空引导自然通风，防潮除湿；</w:t>
      </w:r>
    </w:p>
    <w:p w14:paraId="3BCDF990">
      <w:pPr>
        <w:spacing w:line="360" w:lineRule="auto"/>
        <w:ind w:firstLine="480" w:firstLineChars="200"/>
        <w:rPr>
          <w:bCs/>
          <w:color w:val="auto"/>
          <w:sz w:val="24"/>
          <w:szCs w:val="24"/>
        </w:rPr>
      </w:pPr>
      <w:r>
        <w:rPr>
          <w:rFonts w:hint="eastAsia"/>
          <w:bCs/>
          <w:color w:val="auto"/>
          <w:sz w:val="24"/>
          <w:szCs w:val="24"/>
        </w:rPr>
        <w:t>5</w:t>
      </w:r>
      <w:r>
        <w:rPr>
          <w:rFonts w:hint="eastAsia"/>
          <w:bCs/>
          <w:color w:val="auto"/>
          <w:sz w:val="24"/>
          <w:szCs w:val="24"/>
          <w:lang w:val="en-US" w:eastAsia="zh-CN"/>
        </w:rPr>
        <w:t xml:space="preserve"> </w:t>
      </w:r>
      <w:r>
        <w:rPr>
          <w:rFonts w:hint="eastAsia"/>
          <w:bCs/>
          <w:color w:val="auto"/>
          <w:sz w:val="24"/>
          <w:szCs w:val="24"/>
        </w:rPr>
        <w:t>与慢速风扇结合，提高空调温度；</w:t>
      </w:r>
    </w:p>
    <w:p w14:paraId="6B28AEE8">
      <w:pPr>
        <w:spacing w:line="360" w:lineRule="auto"/>
        <w:ind w:firstLine="480" w:firstLineChars="200"/>
        <w:rPr>
          <w:bCs/>
          <w:color w:val="auto"/>
          <w:sz w:val="24"/>
          <w:szCs w:val="24"/>
        </w:rPr>
      </w:pPr>
      <w:r>
        <w:rPr>
          <w:rFonts w:hint="eastAsia"/>
          <w:bCs/>
          <w:color w:val="auto"/>
          <w:sz w:val="24"/>
          <w:szCs w:val="24"/>
        </w:rPr>
        <w:t>6</w:t>
      </w:r>
      <w:r>
        <w:rPr>
          <w:rFonts w:hint="eastAsia"/>
          <w:bCs/>
          <w:color w:val="auto"/>
          <w:sz w:val="24"/>
          <w:szCs w:val="24"/>
          <w:lang w:val="en-US" w:eastAsia="zh-CN"/>
        </w:rPr>
        <w:t xml:space="preserve"> </w:t>
      </w:r>
      <w:r>
        <w:rPr>
          <w:rFonts w:hint="eastAsia"/>
          <w:bCs/>
          <w:color w:val="auto"/>
          <w:sz w:val="24"/>
          <w:szCs w:val="24"/>
        </w:rPr>
        <w:t>在进风口外围设置水面或绿荫降低气流进入温度。</w:t>
      </w:r>
    </w:p>
    <w:p w14:paraId="57AB3365">
      <w:pPr>
        <w:spacing w:line="360" w:lineRule="auto"/>
        <w:ind w:firstLine="480" w:firstLineChars="200"/>
        <w:rPr>
          <w:bCs/>
          <w:color w:val="auto"/>
          <w:sz w:val="24"/>
          <w:szCs w:val="24"/>
        </w:rPr>
      </w:pPr>
      <w:r>
        <w:rPr>
          <w:rFonts w:hint="eastAsia"/>
          <w:bCs/>
          <w:color w:val="auto"/>
          <w:sz w:val="24"/>
          <w:szCs w:val="24"/>
        </w:rPr>
        <w:t>7</w:t>
      </w:r>
      <w:r>
        <w:rPr>
          <w:rFonts w:hint="eastAsia"/>
          <w:bCs/>
          <w:color w:val="auto"/>
          <w:sz w:val="24"/>
          <w:szCs w:val="24"/>
          <w:lang w:val="en-US" w:eastAsia="zh-CN"/>
        </w:rPr>
        <w:t xml:space="preserve"> </w:t>
      </w:r>
      <w:r>
        <w:rPr>
          <w:rFonts w:hint="eastAsia"/>
          <w:bCs/>
          <w:color w:val="auto"/>
          <w:sz w:val="24"/>
          <w:szCs w:val="24"/>
        </w:rPr>
        <w:t>建筑的主朝向宜为南北朝向，主入口宜避开冬季主导风向。</w:t>
      </w:r>
    </w:p>
    <w:p w14:paraId="22ADDBDB">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57" w:name="_Toc7820"/>
      <w:bookmarkStart w:id="58" w:name="_Toc223104311"/>
      <w:bookmarkStart w:id="59" w:name="_Toc16714"/>
      <w:r>
        <w:rPr>
          <w:rFonts w:hint="eastAsia" w:ascii="Times New Roman" w:hAnsi="Times New Roman" w:eastAsia="宋体" w:cs="Times New Roman"/>
          <w:bCs/>
          <w:color w:val="auto"/>
          <w:sz w:val="28"/>
          <w:szCs w:val="28"/>
        </w:rPr>
        <w:t>6.2 围护结构</w:t>
      </w:r>
      <w:bookmarkEnd w:id="57"/>
      <w:bookmarkEnd w:id="58"/>
      <w:bookmarkEnd w:id="59"/>
    </w:p>
    <w:p w14:paraId="0EE24F42">
      <w:pPr>
        <w:spacing w:line="360" w:lineRule="auto"/>
        <w:rPr>
          <w:b/>
          <w:color w:val="auto"/>
          <w:sz w:val="24"/>
          <w:szCs w:val="24"/>
        </w:rPr>
      </w:pPr>
      <w:r>
        <w:rPr>
          <w:rFonts w:hint="eastAsia"/>
          <w:b/>
          <w:color w:val="auto"/>
          <w:sz w:val="24"/>
          <w:szCs w:val="24"/>
        </w:rPr>
        <w:t xml:space="preserve">6.2.1 建筑外围护结构设计宜尽量控制热桥的形成与存在，必要时可对建筑外围护结构进行热桥专项设计。 </w:t>
      </w:r>
    </w:p>
    <w:p w14:paraId="7919E5DF">
      <w:pPr>
        <w:spacing w:line="360" w:lineRule="auto"/>
        <w:rPr>
          <w:b/>
          <w:color w:val="auto"/>
          <w:sz w:val="24"/>
          <w:szCs w:val="24"/>
        </w:rPr>
      </w:pPr>
      <w:r>
        <w:rPr>
          <w:rFonts w:hint="eastAsia"/>
          <w:b/>
          <w:color w:val="auto"/>
          <w:sz w:val="24"/>
          <w:szCs w:val="24"/>
        </w:rPr>
        <w:t>6.2.2 建筑设计宜采用简洁的造型、适宜的体形系数和窗墙比、较小的屋顶透光面积比例。</w:t>
      </w:r>
    </w:p>
    <w:p w14:paraId="5F2B4E4A">
      <w:pPr>
        <w:spacing w:line="360" w:lineRule="auto"/>
        <w:rPr>
          <w:b/>
          <w:color w:val="auto"/>
          <w:sz w:val="24"/>
          <w:szCs w:val="24"/>
        </w:rPr>
      </w:pPr>
      <w:r>
        <w:rPr>
          <w:rFonts w:hint="eastAsia"/>
          <w:b/>
          <w:color w:val="auto"/>
          <w:sz w:val="24"/>
          <w:szCs w:val="24"/>
        </w:rPr>
        <w:t>6.2.3 建筑应在设计全过程采用性能化设计方法对围护结构保温、隔热、遮阳等参数进行优化，最大限度降低建筑能耗并满足本标准的能耗指标要求，应符合下列规定：</w:t>
      </w:r>
    </w:p>
    <w:p w14:paraId="0414080C">
      <w:pPr>
        <w:spacing w:line="360" w:lineRule="auto"/>
        <w:ind w:firstLine="480" w:firstLineChars="200"/>
        <w:rPr>
          <w:bCs/>
          <w:color w:val="auto"/>
          <w:sz w:val="24"/>
          <w:szCs w:val="24"/>
        </w:rPr>
      </w:pPr>
      <w:r>
        <w:rPr>
          <w:rFonts w:hint="eastAsia"/>
          <w:bCs/>
          <w:color w:val="auto"/>
          <w:sz w:val="24"/>
          <w:szCs w:val="24"/>
        </w:rPr>
        <w:t>1</w:t>
      </w:r>
      <w:r>
        <w:rPr>
          <w:rFonts w:hint="eastAsia"/>
          <w:bCs/>
          <w:color w:val="auto"/>
          <w:sz w:val="24"/>
          <w:szCs w:val="24"/>
          <w:lang w:val="en-US" w:eastAsia="zh-CN"/>
        </w:rPr>
        <w:t xml:space="preserve"> </w:t>
      </w:r>
      <w:r>
        <w:rPr>
          <w:rFonts w:hint="eastAsia"/>
          <w:bCs/>
          <w:color w:val="auto"/>
          <w:sz w:val="24"/>
          <w:szCs w:val="24"/>
        </w:rPr>
        <w:t>外围护结构保温隔热材料选择时，应优先采用高质量、高性能材料；</w:t>
      </w:r>
    </w:p>
    <w:p w14:paraId="5F6D94B0">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外墙和屋面的外表面应减少外墙和屋面吸收太阳辐射热量，宜采用浅色饰面、隔热反射涂料、绿化等；</w:t>
      </w:r>
    </w:p>
    <w:p w14:paraId="6BDA2E26">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屋面隔热除了常用的保温材料进行隔热，还可采取绿化屋面、含水多孔材料面层、蓄水屋面等方式；</w:t>
      </w:r>
    </w:p>
    <w:p w14:paraId="0665D806">
      <w:pPr>
        <w:spacing w:line="360" w:lineRule="auto"/>
        <w:ind w:firstLine="480" w:firstLineChars="200"/>
        <w:rPr>
          <w:bCs/>
          <w:color w:val="auto"/>
          <w:sz w:val="24"/>
          <w:szCs w:val="24"/>
        </w:rPr>
      </w:pPr>
      <w:r>
        <w:rPr>
          <w:rFonts w:hint="eastAsia"/>
          <w:bCs/>
          <w:color w:val="auto"/>
          <w:sz w:val="24"/>
          <w:szCs w:val="24"/>
        </w:rPr>
        <w:t>4</w:t>
      </w:r>
      <w:r>
        <w:rPr>
          <w:rFonts w:hint="eastAsia"/>
          <w:bCs/>
          <w:color w:val="auto"/>
          <w:sz w:val="24"/>
          <w:szCs w:val="24"/>
          <w:lang w:val="en-US" w:eastAsia="zh-CN"/>
        </w:rPr>
        <w:t xml:space="preserve"> </w:t>
      </w:r>
      <w:r>
        <w:rPr>
          <w:rFonts w:hint="eastAsia"/>
          <w:bCs/>
          <w:color w:val="auto"/>
          <w:sz w:val="24"/>
          <w:szCs w:val="24"/>
        </w:rPr>
        <w:t xml:space="preserve">车辆基地建筑应选用保温隔热性能更好的外门窗系统。外窗（透明幕墙）的传热系数（K）、遮阳系数（SC）、太阳得热系数（SHGC）、窗框的传热应采用高性能的建保温热系统及门窗系统并根据本地区气候特点，通过性能化方法进行优化设计和选择。 </w:t>
      </w:r>
    </w:p>
    <w:p w14:paraId="43F52919">
      <w:pPr>
        <w:spacing w:line="360" w:lineRule="auto"/>
        <w:rPr>
          <w:bCs/>
          <w:color w:val="auto"/>
          <w:sz w:val="24"/>
          <w:szCs w:val="24"/>
        </w:rPr>
      </w:pPr>
      <w:r>
        <w:rPr>
          <w:rFonts w:hint="eastAsia"/>
          <w:b/>
          <w:color w:val="auto"/>
          <w:sz w:val="24"/>
          <w:szCs w:val="24"/>
        </w:rPr>
        <w:t>6.2.4 遮阳设计可采用可调或固定等遮阳措施，也可采用可调节太阳得热系数(SHGC)的调光玻璃进行遮阳。南向宜采用可调节外遮阳、可调节中置遮阳或水平固定外遮阳的方。东向和西向外窗宜采用可调节外遮阳设施。并应综合考虑使用要求、窗口朝向、外观效果、安全性以及环境影响等因素，选择适宜的遮阳形式，应符合下列规定：</w:t>
      </w:r>
    </w:p>
    <w:p w14:paraId="4A673168">
      <w:pPr>
        <w:spacing w:line="360" w:lineRule="auto"/>
        <w:ind w:firstLine="480" w:firstLineChars="200"/>
        <w:rPr>
          <w:bCs/>
          <w:color w:val="auto"/>
          <w:sz w:val="24"/>
          <w:szCs w:val="24"/>
        </w:rPr>
      </w:pPr>
      <w:r>
        <w:rPr>
          <w:rFonts w:hint="eastAsia"/>
          <w:bCs/>
          <w:color w:val="auto"/>
          <w:sz w:val="24"/>
          <w:szCs w:val="24"/>
        </w:rPr>
        <w:t>1</w:t>
      </w:r>
      <w:r>
        <w:rPr>
          <w:rFonts w:hint="eastAsia"/>
          <w:bCs/>
          <w:color w:val="auto"/>
          <w:sz w:val="24"/>
          <w:szCs w:val="24"/>
          <w:lang w:val="en-US" w:eastAsia="zh-CN"/>
        </w:rPr>
        <w:t xml:space="preserve"> </w:t>
      </w:r>
      <w:r>
        <w:rPr>
          <w:rFonts w:hint="eastAsia"/>
          <w:bCs/>
          <w:color w:val="auto"/>
          <w:sz w:val="24"/>
          <w:szCs w:val="24"/>
        </w:rPr>
        <w:t>建筑透光屋顶的迎光面应考虑进行遮阳设计，并宜设置活动遮阳，其中多层建筑宜采用外遮阳，高层建筑宜采用内遮阳；</w:t>
      </w:r>
    </w:p>
    <w:p w14:paraId="74D684DE">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采用内遮阳和中间遮阳时，遮阳装置面向室外侧宜采用能反射太阳辐射的材料，并可根据太阳辐射情况调节其角度和位置；</w:t>
      </w:r>
    </w:p>
    <w:p w14:paraId="04D78E46">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建筑外遮阳应与建筑主体统一设计，外观协调，安全耐久。大型遮阳构件和设施应采用电动操作，群组操控或智能操控。</w:t>
      </w:r>
    </w:p>
    <w:p w14:paraId="32105B1E">
      <w:pPr>
        <w:spacing w:line="360" w:lineRule="auto"/>
        <w:rPr>
          <w:bCs/>
          <w:color w:val="auto"/>
          <w:sz w:val="24"/>
          <w:szCs w:val="24"/>
        </w:rPr>
      </w:pPr>
      <w:r>
        <w:rPr>
          <w:rFonts w:hint="eastAsia"/>
          <w:bCs/>
          <w:color w:val="auto"/>
          <w:sz w:val="24"/>
          <w:szCs w:val="24"/>
        </w:rPr>
        <w:t>6.2.5建筑设计宜采用建筑光伏一体化系统。</w:t>
      </w:r>
    </w:p>
    <w:p w14:paraId="311ABEA8">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60" w:name="_Toc18163"/>
      <w:bookmarkStart w:id="61" w:name="_Toc15239"/>
      <w:bookmarkStart w:id="62" w:name="_Toc223104312"/>
      <w:r>
        <w:rPr>
          <w:rFonts w:hint="eastAsia" w:ascii="Times New Roman" w:hAnsi="Times New Roman" w:eastAsia="宋体" w:cs="Times New Roman"/>
          <w:bCs/>
          <w:color w:val="auto"/>
          <w:sz w:val="28"/>
          <w:szCs w:val="28"/>
        </w:rPr>
        <w:t>6.3 绿色材料</w:t>
      </w:r>
      <w:bookmarkEnd w:id="60"/>
      <w:bookmarkEnd w:id="61"/>
      <w:bookmarkEnd w:id="62"/>
    </w:p>
    <w:p w14:paraId="0A4D43A6">
      <w:pPr>
        <w:spacing w:line="360" w:lineRule="auto"/>
        <w:ind w:firstLine="482" w:firstLineChars="200"/>
        <w:rPr>
          <w:b/>
          <w:color w:val="auto"/>
          <w:sz w:val="24"/>
          <w:szCs w:val="24"/>
        </w:rPr>
      </w:pPr>
      <w:r>
        <w:rPr>
          <w:rFonts w:hint="eastAsia"/>
          <w:b/>
          <w:color w:val="auto"/>
          <w:sz w:val="24"/>
          <w:szCs w:val="24"/>
        </w:rPr>
        <w:t>轨道交通近零碳车辆基地建筑设计在绿色材料应用方面应贯穿建筑全生命周期。具体要求可归纳为以下方面：</w:t>
      </w:r>
    </w:p>
    <w:p w14:paraId="39B6B797">
      <w:pPr>
        <w:widowControl/>
        <w:numPr>
          <w:ilvl w:val="0"/>
          <w:numId w:val="0"/>
        </w:numPr>
        <w:spacing w:line="360" w:lineRule="auto"/>
        <w:rPr>
          <w:b/>
          <w:color w:val="auto"/>
          <w:sz w:val="24"/>
          <w:szCs w:val="24"/>
        </w:rPr>
      </w:pPr>
      <w:r>
        <w:rPr>
          <w:rFonts w:hint="eastAsia"/>
          <w:b/>
          <w:color w:val="auto"/>
          <w:sz w:val="24"/>
          <w:szCs w:val="24"/>
        </w:rPr>
        <w:t xml:space="preserve">6.3.1当功能需求、资源条件适宜时，宜选用木结构、钢结构等低碳建筑结构体系；设计宜采用建筑拆除时便于材料循环利用的措施。 </w:t>
      </w:r>
    </w:p>
    <w:p w14:paraId="53D0E941">
      <w:pPr>
        <w:widowControl/>
        <w:numPr>
          <w:ilvl w:val="0"/>
          <w:numId w:val="0"/>
        </w:numPr>
        <w:spacing w:line="360" w:lineRule="auto"/>
        <w:rPr>
          <w:b/>
          <w:color w:val="auto"/>
          <w:sz w:val="24"/>
          <w:szCs w:val="24"/>
        </w:rPr>
      </w:pPr>
      <w:r>
        <w:rPr>
          <w:rFonts w:hint="eastAsia"/>
          <w:b/>
          <w:color w:val="auto"/>
          <w:sz w:val="24"/>
          <w:szCs w:val="24"/>
        </w:rPr>
        <w:t xml:space="preserve">6.3.2建筑应合理使用装饰性材料，外部宜减少无功能作用的装饰性构件，内部宜采用易维护更换的装饰装修体系、材料和产品，并应减少装饰性建筑材料使用。 </w:t>
      </w:r>
    </w:p>
    <w:p w14:paraId="30DF6708">
      <w:pPr>
        <w:widowControl/>
        <w:numPr>
          <w:ilvl w:val="0"/>
          <w:numId w:val="0"/>
        </w:numPr>
        <w:spacing w:line="360" w:lineRule="auto"/>
        <w:rPr>
          <w:b/>
          <w:color w:val="auto"/>
          <w:sz w:val="24"/>
          <w:szCs w:val="24"/>
        </w:rPr>
      </w:pPr>
      <w:r>
        <w:rPr>
          <w:rFonts w:hint="eastAsia"/>
          <w:b/>
          <w:color w:val="auto"/>
          <w:sz w:val="24"/>
          <w:szCs w:val="24"/>
        </w:rPr>
        <w:t xml:space="preserve">6.3.3建筑宜选用可循环建材、耐久性建材和本地材料，建材选择宜符合下列规定： </w:t>
      </w:r>
    </w:p>
    <w:p w14:paraId="16067B66">
      <w:pPr>
        <w:numPr>
          <w:ilvl w:val="0"/>
          <w:numId w:val="0"/>
        </w:num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 xml:space="preserve">使用获得绿色建材标识（或认证）的或有明确碳足迹标签的材料与部品； </w:t>
      </w:r>
    </w:p>
    <w:p w14:paraId="7A98DC59">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 xml:space="preserve">选用耐久性建材，延长建筑使用寿命； </w:t>
      </w:r>
    </w:p>
    <w:p w14:paraId="543E5166">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因地制宜使用本地建筑材料，降低建筑材料运输的碳排放。</w:t>
      </w:r>
    </w:p>
    <w:p w14:paraId="4B0E879B">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63" w:name="_Toc223104313"/>
      <w:bookmarkStart w:id="64" w:name="_Toc20916"/>
      <w:bookmarkStart w:id="65" w:name="_Toc4176"/>
      <w:r>
        <w:rPr>
          <w:rFonts w:hint="eastAsia" w:ascii="Times New Roman" w:hAnsi="Times New Roman" w:eastAsia="宋体" w:cs="Times New Roman"/>
          <w:bCs/>
          <w:color w:val="auto"/>
          <w:sz w:val="28"/>
          <w:szCs w:val="28"/>
        </w:rPr>
        <w:t>6.4 结构设计</w:t>
      </w:r>
      <w:bookmarkEnd w:id="63"/>
      <w:bookmarkEnd w:id="64"/>
      <w:bookmarkEnd w:id="65"/>
    </w:p>
    <w:p w14:paraId="778E17A0">
      <w:pPr>
        <w:spacing w:line="360" w:lineRule="auto"/>
        <w:rPr>
          <w:bCs/>
          <w:color w:val="auto"/>
          <w:sz w:val="24"/>
          <w:szCs w:val="24"/>
        </w:rPr>
      </w:pPr>
      <w:r>
        <w:rPr>
          <w:rFonts w:hint="eastAsia"/>
          <w:bCs/>
          <w:color w:val="auto"/>
          <w:sz w:val="24"/>
          <w:szCs w:val="24"/>
        </w:rPr>
        <w:t>6.4.1</w:t>
      </w:r>
      <w:r>
        <w:rPr>
          <w:bCs/>
          <w:color w:val="auto"/>
          <w:sz w:val="24"/>
          <w:szCs w:val="24"/>
        </w:rPr>
        <w:t xml:space="preserve"> </w:t>
      </w:r>
      <w:r>
        <w:rPr>
          <w:rFonts w:hint="eastAsia"/>
          <w:bCs/>
          <w:color w:val="auto"/>
          <w:sz w:val="24"/>
          <w:szCs w:val="24"/>
        </w:rPr>
        <w:t>车辆基地建构筑物在满足建筑安全和功能要求的前提下，应采用结构性能化设计策略，优化结构体系，减少主材用量，合理选择具有固碳作用的材料。</w:t>
      </w:r>
    </w:p>
    <w:p w14:paraId="5A48B9B5">
      <w:pPr>
        <w:spacing w:line="360" w:lineRule="auto"/>
        <w:rPr>
          <w:bCs/>
          <w:color w:val="auto"/>
          <w:sz w:val="24"/>
          <w:szCs w:val="24"/>
        </w:rPr>
      </w:pPr>
      <w:r>
        <w:rPr>
          <w:rFonts w:hint="eastAsia"/>
          <w:bCs/>
          <w:color w:val="auto"/>
          <w:sz w:val="24"/>
          <w:szCs w:val="24"/>
        </w:rPr>
        <w:t>6.4.2无上盖要求的大跨度库房宜采用钢结构，采用模块化节点设计，便于后期拆解回收，并配套防腐防火一体化技术。</w:t>
      </w:r>
    </w:p>
    <w:p w14:paraId="13519A1A">
      <w:pPr>
        <w:spacing w:line="360" w:lineRule="auto"/>
        <w:rPr>
          <w:bCs/>
          <w:color w:val="auto"/>
          <w:sz w:val="24"/>
          <w:szCs w:val="24"/>
        </w:rPr>
      </w:pPr>
      <w:r>
        <w:rPr>
          <w:rFonts w:hint="eastAsia"/>
          <w:bCs/>
          <w:color w:val="auto"/>
          <w:sz w:val="24"/>
          <w:szCs w:val="24"/>
        </w:rPr>
        <w:t>6.4.3 车辆基地建构筑物宜采用装配式预制构件，统一模数尺寸，优先本地化生产以降低运输碳排放。</w:t>
      </w:r>
    </w:p>
    <w:p w14:paraId="6B2A692D">
      <w:pPr>
        <w:spacing w:line="360" w:lineRule="auto"/>
        <w:rPr>
          <w:bCs/>
          <w:color w:val="auto"/>
          <w:sz w:val="24"/>
          <w:szCs w:val="24"/>
        </w:rPr>
      </w:pPr>
      <w:r>
        <w:rPr>
          <w:rFonts w:hint="eastAsia"/>
          <w:bCs/>
          <w:color w:val="auto"/>
          <w:sz w:val="24"/>
          <w:szCs w:val="24"/>
        </w:rPr>
        <w:t>6.4.4当采用预制或现场浇筑混凝土内置保温构造等结构保温一体化做法时，应进行安全性计算，其热工和气密性设计应符合下列规定：</w:t>
      </w:r>
    </w:p>
    <w:p w14:paraId="5F32AB03">
      <w:pPr>
        <w:spacing w:line="360" w:lineRule="auto"/>
        <w:ind w:firstLine="480" w:firstLineChars="200"/>
        <w:rPr>
          <w:bCs/>
          <w:color w:val="auto"/>
          <w:sz w:val="24"/>
          <w:szCs w:val="24"/>
        </w:rPr>
      </w:pPr>
      <w:r>
        <w:rPr>
          <w:rFonts w:hint="eastAsia"/>
          <w:bCs/>
          <w:color w:val="auto"/>
          <w:sz w:val="24"/>
          <w:szCs w:val="24"/>
        </w:rPr>
        <w:t>1</w:t>
      </w:r>
      <w:r>
        <w:rPr>
          <w:rFonts w:hint="eastAsia"/>
          <w:bCs/>
          <w:color w:val="auto"/>
          <w:sz w:val="24"/>
          <w:szCs w:val="24"/>
          <w:lang w:val="en-US" w:eastAsia="zh-CN"/>
        </w:rPr>
        <w:t xml:space="preserve"> </w:t>
      </w:r>
      <w:r>
        <w:rPr>
          <w:rFonts w:hint="eastAsia"/>
          <w:bCs/>
          <w:color w:val="auto"/>
          <w:sz w:val="24"/>
          <w:szCs w:val="24"/>
        </w:rPr>
        <w:t>内置保温外墙板的保温层应连续，不应出现热桥；</w:t>
      </w:r>
    </w:p>
    <w:p w14:paraId="05ED5D46">
      <w:pPr>
        <w:spacing w:line="360" w:lineRule="auto"/>
        <w:ind w:firstLine="480" w:firstLineChars="200"/>
        <w:rPr>
          <w:bCs/>
          <w:color w:val="auto"/>
          <w:sz w:val="24"/>
          <w:szCs w:val="24"/>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 xml:space="preserve"> 当预制外墙板周边保温层厚度有减缩时，应进行热桥模拟计算并计入平均传热系数；</w:t>
      </w:r>
    </w:p>
    <w:p w14:paraId="1A079987">
      <w:pPr>
        <w:spacing w:line="360" w:lineRule="auto"/>
        <w:ind w:firstLine="480" w:firstLineChars="200"/>
        <w:rPr>
          <w:bCs/>
          <w:color w:val="auto"/>
          <w:sz w:val="24"/>
          <w:szCs w:val="24"/>
        </w:rPr>
      </w:pPr>
      <w:r>
        <w:rPr>
          <w:rFonts w:hint="eastAsia"/>
          <w:bCs/>
          <w:color w:val="auto"/>
          <w:sz w:val="24"/>
          <w:szCs w:val="24"/>
        </w:rPr>
        <w:t>3</w:t>
      </w:r>
      <w:r>
        <w:rPr>
          <w:rFonts w:hint="eastAsia"/>
          <w:bCs/>
          <w:color w:val="auto"/>
          <w:sz w:val="24"/>
          <w:szCs w:val="24"/>
          <w:lang w:val="en-US" w:eastAsia="zh-CN"/>
        </w:rPr>
        <w:t xml:space="preserve"> </w:t>
      </w:r>
      <w:r>
        <w:rPr>
          <w:rFonts w:hint="eastAsia"/>
          <w:bCs/>
          <w:color w:val="auto"/>
          <w:sz w:val="24"/>
          <w:szCs w:val="24"/>
        </w:rPr>
        <w:t xml:space="preserve"> 当采用真空绝热板时，应采用无封边、带倒角的真空绝热板，当采用无倒角的真空绝热板时，应考虑拼缝位置造成的热桥，并采用阻断热桥的处理措施；</w:t>
      </w:r>
    </w:p>
    <w:p w14:paraId="69D761D8">
      <w:pPr>
        <w:spacing w:line="360" w:lineRule="auto"/>
        <w:ind w:firstLine="480" w:firstLineChars="200"/>
        <w:rPr>
          <w:bCs/>
          <w:color w:val="auto"/>
          <w:sz w:val="24"/>
          <w:szCs w:val="24"/>
        </w:rPr>
      </w:pPr>
      <w:r>
        <w:rPr>
          <w:rFonts w:hint="eastAsia"/>
          <w:bCs/>
          <w:color w:val="auto"/>
          <w:sz w:val="24"/>
          <w:szCs w:val="24"/>
        </w:rPr>
        <w:t>4</w:t>
      </w:r>
      <w:r>
        <w:rPr>
          <w:rFonts w:hint="eastAsia"/>
          <w:bCs/>
          <w:color w:val="auto"/>
          <w:sz w:val="24"/>
          <w:szCs w:val="24"/>
          <w:lang w:val="en-US" w:eastAsia="zh-CN"/>
        </w:rPr>
        <w:t xml:space="preserve"> </w:t>
      </w:r>
      <w:r>
        <w:rPr>
          <w:rFonts w:hint="eastAsia"/>
          <w:bCs/>
          <w:color w:val="auto"/>
          <w:sz w:val="24"/>
          <w:szCs w:val="24"/>
        </w:rPr>
        <w:t>预制外墙板接缝处以及与主体结构的连接处应设置防止形成热桥的构造措施并增加气密性构造措施。</w:t>
      </w:r>
    </w:p>
    <w:p w14:paraId="455E8821">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66" w:name="_Toc26983"/>
      <w:bookmarkStart w:id="67" w:name="_Toc4734"/>
      <w:bookmarkStart w:id="68" w:name="_Toc223104314"/>
      <w:r>
        <w:rPr>
          <w:rFonts w:hint="eastAsia" w:ascii="Times New Roman" w:hAnsi="Times New Roman" w:eastAsia="宋体" w:cs="Times New Roman"/>
          <w:bCs/>
          <w:color w:val="auto"/>
          <w:sz w:val="28"/>
          <w:szCs w:val="28"/>
        </w:rPr>
        <w:t>6.5 低碳建造</w:t>
      </w:r>
      <w:bookmarkEnd w:id="66"/>
      <w:bookmarkEnd w:id="67"/>
      <w:bookmarkEnd w:id="68"/>
    </w:p>
    <w:p w14:paraId="289BB91B">
      <w:pPr>
        <w:spacing w:line="360" w:lineRule="auto"/>
        <w:rPr>
          <w:bCs/>
          <w:color w:val="auto"/>
          <w:sz w:val="24"/>
          <w:szCs w:val="24"/>
        </w:rPr>
      </w:pPr>
      <w:r>
        <w:rPr>
          <w:rFonts w:hint="eastAsia"/>
          <w:bCs/>
          <w:color w:val="auto"/>
          <w:sz w:val="24"/>
          <w:szCs w:val="24"/>
        </w:rPr>
        <w:t>6.5.1车辆基地建造宜采用智能建造方式，提高效率，减少损耗。</w:t>
      </w:r>
    </w:p>
    <w:p w14:paraId="1C8428DA">
      <w:pPr>
        <w:spacing w:line="360" w:lineRule="auto"/>
        <w:rPr>
          <w:bCs/>
          <w:color w:val="auto"/>
          <w:sz w:val="24"/>
          <w:szCs w:val="24"/>
        </w:rPr>
      </w:pPr>
      <w:r>
        <w:rPr>
          <w:rFonts w:hint="eastAsia"/>
          <w:bCs/>
          <w:color w:val="auto"/>
          <w:sz w:val="24"/>
          <w:szCs w:val="24"/>
        </w:rPr>
        <w:t>6.5.2车辆基地建造应实施降碳目标管理，促进设计、施工深度协同，实现建造过程碳排放统筹与计量。</w:t>
      </w:r>
    </w:p>
    <w:p w14:paraId="7A74F2AA">
      <w:pPr>
        <w:spacing w:line="360" w:lineRule="auto"/>
        <w:rPr>
          <w:bCs/>
          <w:color w:val="auto"/>
          <w:sz w:val="24"/>
          <w:szCs w:val="24"/>
        </w:rPr>
      </w:pPr>
      <w:r>
        <w:rPr>
          <w:rFonts w:hint="eastAsia"/>
          <w:bCs/>
          <w:color w:val="auto"/>
          <w:sz w:val="24"/>
          <w:szCs w:val="24"/>
        </w:rPr>
        <w:t>6.5.3 施工前宜进行低碳建造策划及施工阶段碳排放量测算，制定专项低碳建造方案，明确建造碳排放目标。专项低碳建造方案应包括施工现场内能源供应方案，宜采用清洁能源作为施工现场用能。</w:t>
      </w:r>
    </w:p>
    <w:p w14:paraId="74F25F43">
      <w:pPr>
        <w:spacing w:line="360" w:lineRule="auto"/>
        <w:rPr>
          <w:bCs/>
          <w:color w:val="auto"/>
          <w:sz w:val="24"/>
          <w:szCs w:val="24"/>
        </w:rPr>
      </w:pPr>
      <w:r>
        <w:rPr>
          <w:rFonts w:hint="eastAsia"/>
          <w:bCs/>
          <w:color w:val="auto"/>
          <w:sz w:val="24"/>
          <w:szCs w:val="24"/>
        </w:rPr>
        <w:t>6.5.4车辆基地在建造过程中，应推进施工现场建筑垃圾减量化，提高建筑垃圾回收利用率。</w:t>
      </w:r>
    </w:p>
    <w:p w14:paraId="5C4CE837">
      <w:pPr>
        <w:spacing w:line="360" w:lineRule="auto"/>
        <w:rPr>
          <w:rFonts w:hint="eastAsia"/>
          <w:bCs/>
          <w:color w:val="auto"/>
          <w:sz w:val="24"/>
          <w:szCs w:val="24"/>
        </w:rPr>
      </w:pPr>
      <w:r>
        <w:rPr>
          <w:rFonts w:hint="eastAsia"/>
          <w:bCs/>
          <w:color w:val="auto"/>
          <w:sz w:val="24"/>
          <w:szCs w:val="24"/>
        </w:rPr>
        <w:t>6.5.5 施工时应进行施工现场用能及碳排放量统计，统计内容应包括施工现场内工作区、材料堆放区、办公区、生活区等，竣工后应基于实际能源消耗种类及数量进行碳盘查。</w:t>
      </w:r>
    </w:p>
    <w:p w14:paraId="4CD143D8">
      <w:pPr>
        <w:spacing w:line="360" w:lineRule="auto"/>
        <w:rPr>
          <w:bCs/>
          <w:color w:val="auto"/>
          <w:sz w:val="24"/>
          <w:szCs w:val="24"/>
        </w:rPr>
      </w:pPr>
      <w:r>
        <w:rPr>
          <w:rFonts w:hint="eastAsia"/>
          <w:bCs/>
          <w:color w:val="auto"/>
          <w:sz w:val="24"/>
          <w:szCs w:val="24"/>
        </w:rPr>
        <w:br w:type="page"/>
      </w:r>
    </w:p>
    <w:p w14:paraId="79A072B3">
      <w:pPr>
        <w:numPr>
          <w:ilvl w:val="0"/>
          <w:numId w:val="0"/>
        </w:numPr>
        <w:spacing w:after="240" w:line="360" w:lineRule="auto"/>
        <w:jc w:val="center"/>
        <w:outlineLvl w:val="0"/>
        <w:rPr>
          <w:rFonts w:hint="eastAsia" w:ascii="黑体" w:hAnsi="黑体" w:eastAsia="黑体" w:cs="Times New Roman"/>
          <w:bCs/>
          <w:color w:val="auto"/>
          <w:sz w:val="36"/>
          <w:szCs w:val="32"/>
        </w:rPr>
      </w:pPr>
      <w:bookmarkStart w:id="69" w:name="_Toc12800"/>
      <w:bookmarkStart w:id="70" w:name="_Toc9771"/>
      <w:bookmarkStart w:id="71" w:name="_Toc223104315"/>
      <w:r>
        <w:rPr>
          <w:rFonts w:hint="eastAsia" w:ascii="黑体" w:hAnsi="黑体" w:eastAsia="黑体" w:cs="Times New Roman"/>
          <w:bCs/>
          <w:color w:val="auto"/>
          <w:sz w:val="36"/>
          <w:szCs w:val="32"/>
          <w:lang w:val="en-US" w:eastAsia="zh-CN"/>
        </w:rPr>
        <w:t xml:space="preserve">7 </w:t>
      </w:r>
      <w:r>
        <w:rPr>
          <w:rFonts w:hint="eastAsia" w:ascii="黑体" w:hAnsi="黑体" w:eastAsia="黑体" w:cs="Times New Roman"/>
          <w:bCs/>
          <w:color w:val="auto"/>
          <w:sz w:val="36"/>
          <w:szCs w:val="32"/>
        </w:rPr>
        <w:t>设备系统设计</w:t>
      </w:r>
      <w:bookmarkEnd w:id="69"/>
      <w:bookmarkEnd w:id="70"/>
      <w:bookmarkEnd w:id="71"/>
    </w:p>
    <w:p w14:paraId="3543C5DD">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72" w:name="_Toc223104316"/>
      <w:bookmarkStart w:id="73" w:name="_Toc15734"/>
      <w:bookmarkStart w:id="74" w:name="_Toc3595"/>
      <w:r>
        <w:rPr>
          <w:rFonts w:hint="eastAsia" w:ascii="Times New Roman" w:hAnsi="Times New Roman" w:eastAsia="宋体" w:cs="Times New Roman"/>
          <w:bCs/>
          <w:color w:val="auto"/>
          <w:sz w:val="28"/>
          <w:szCs w:val="28"/>
        </w:rPr>
        <w:t>7.1 冷源与热源</w:t>
      </w:r>
      <w:bookmarkEnd w:id="72"/>
      <w:bookmarkEnd w:id="73"/>
      <w:bookmarkEnd w:id="74"/>
    </w:p>
    <w:p w14:paraId="2CA444D6">
      <w:pPr>
        <w:spacing w:line="360" w:lineRule="auto"/>
        <w:rPr>
          <w:color w:val="auto"/>
          <w:sz w:val="24"/>
          <w:szCs w:val="24"/>
        </w:rPr>
      </w:pPr>
      <w:r>
        <w:rPr>
          <w:rFonts w:hint="eastAsia"/>
          <w:bCs/>
          <w:color w:val="auto"/>
          <w:sz w:val="24"/>
          <w:szCs w:val="24"/>
        </w:rPr>
        <w:t>7</w:t>
      </w:r>
      <w:r>
        <w:rPr>
          <w:bCs/>
          <w:color w:val="auto"/>
          <w:sz w:val="24"/>
          <w:szCs w:val="24"/>
        </w:rPr>
        <w:t>.1.1</w:t>
      </w:r>
      <w:r>
        <w:rPr>
          <w:rFonts w:hint="eastAsia"/>
          <w:color w:val="auto"/>
          <w:sz w:val="24"/>
          <w:szCs w:val="24"/>
        </w:rPr>
        <w:t>冷热源形式应根据建筑物规模、冷热负荷特性，以及所在地区气候分区，经技术经济比较论证后确定，并应符合现行国家标准《建筑节能与可再生能源利用通用规范》GB 55015的有关规定。</w:t>
      </w:r>
    </w:p>
    <w:p w14:paraId="10ABD1A2">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【条文说明】当前虽然各种机组、设备类型繁多、能效比高、技术成熟且应用案例众多，但盲目用高品位的电能直接转换为低品位的热能进行供暖，能源利用效率低，是不合适的。</w:t>
      </w:r>
    </w:p>
    <w:p w14:paraId="7E498796">
      <w:pPr>
        <w:spacing w:line="360" w:lineRule="auto"/>
        <w:rPr>
          <w:color w:val="auto"/>
          <w:sz w:val="24"/>
          <w:szCs w:val="24"/>
        </w:rPr>
      </w:pPr>
      <w:r>
        <w:rPr>
          <w:rFonts w:hint="eastAsia"/>
          <w:color w:val="auto"/>
          <w:sz w:val="24"/>
          <w:szCs w:val="24"/>
        </w:rPr>
        <w:t>7.1.</w:t>
      </w:r>
      <w:r>
        <w:rPr>
          <w:color w:val="auto"/>
          <w:sz w:val="24"/>
          <w:szCs w:val="24"/>
        </w:rPr>
        <w:t>2</w:t>
      </w:r>
      <w:r>
        <w:rPr>
          <w:rFonts w:hint="eastAsia"/>
          <w:color w:val="auto"/>
          <w:sz w:val="24"/>
          <w:szCs w:val="24"/>
        </w:rPr>
        <w:t xml:space="preserve"> 冷热源容量计算及设备选型时，除乙类公共建筑外，车辆基地内设置供暖、空调设备的每一个房间热负荷、空调冷负荷均应计算，计算方法应符合现行国家标准的有关规定。</w:t>
      </w:r>
    </w:p>
    <w:p w14:paraId="1FAD3784">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为防止有些设计人员错误地利用设计手册中供方案设计或初步设计时估算用的单位建筑面积冷、热负荷指标，直接作为施工图设计阶段确定空调的冷、热负荷的依据，特作此条规定。用单位建筑面积冷、热负荷指标估算时，总负荷计算结果偏大，因而导致了装机容量偏大、管道直径偏大、水泵配置偏大、末端设备偏大的“四大”现象。</w:t>
      </w:r>
    </w:p>
    <w:p w14:paraId="4585F757">
      <w:pPr>
        <w:spacing w:line="360" w:lineRule="auto"/>
        <w:rPr>
          <w:color w:val="auto"/>
          <w:sz w:val="24"/>
          <w:szCs w:val="24"/>
        </w:rPr>
      </w:pPr>
      <w:r>
        <w:rPr>
          <w:rFonts w:hint="eastAsia"/>
          <w:bCs/>
          <w:color w:val="auto"/>
          <w:sz w:val="24"/>
          <w:szCs w:val="24"/>
        </w:rPr>
        <w:t>7</w:t>
      </w:r>
      <w:r>
        <w:rPr>
          <w:bCs/>
          <w:color w:val="auto"/>
          <w:sz w:val="24"/>
          <w:szCs w:val="24"/>
        </w:rPr>
        <w:t xml:space="preserve">.1.3 </w:t>
      </w:r>
      <w:r>
        <w:rPr>
          <w:rFonts w:hint="eastAsia"/>
          <w:color w:val="auto"/>
          <w:sz w:val="24"/>
          <w:szCs w:val="24"/>
        </w:rPr>
        <w:t>车辆基地内各建筑空调冷负荷较大且分布集中时，宜采用冷水机组作为冷源。当各建筑空调冷负荷较大且分布较分散时，宜采用大温差冷水机组，以降低冷冻水输送能耗。冷水机组应符合现行国家标准《冷水机组能效限定值及能源效率等级》GB 19577规定的双1级能效要求。</w:t>
      </w:r>
    </w:p>
    <w:p w14:paraId="02F69EEB">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双1级能效冷水机组COP及IPLV值均高，机组在满负荷及部分负荷运行工况下运行均能取得很好的节能效果。常规冷水机组的冷水进出水温差为5℃，为节约冷水系统输送能耗，大温差的冷水机组应运而生。冷水大温差一般采用8℃，机组冷水进/出口水温一般有两种：14℃/6℃和15℃/7℃。机组机型有螺杆式冷水机组和离心式冷水机组。</w:t>
      </w:r>
    </w:p>
    <w:p w14:paraId="1FA7C558">
      <w:pPr>
        <w:spacing w:line="360" w:lineRule="auto"/>
        <w:rPr>
          <w:rFonts w:hint="eastAsia" w:ascii="Times New Roman" w:hAnsi="Times New Roman" w:eastAsia="宋体" w:cs="Times New Roman"/>
          <w:color w:val="auto"/>
          <w:sz w:val="24"/>
          <w:szCs w:val="24"/>
        </w:rPr>
      </w:pPr>
      <w:r>
        <w:rPr>
          <w:rFonts w:hint="eastAsia" w:ascii="Times New Roman" w:hAnsi="Times New Roman" w:eastAsia="宋体" w:cs="Times New Roman"/>
          <w:bCs w:val="0"/>
          <w:color w:val="auto"/>
          <w:sz w:val="24"/>
          <w:szCs w:val="24"/>
        </w:rPr>
        <w:t xml:space="preserve">7.1.4 </w:t>
      </w:r>
      <w:r>
        <w:rPr>
          <w:rFonts w:hint="eastAsia" w:ascii="Times New Roman" w:hAnsi="Times New Roman" w:eastAsia="宋体" w:cs="Times New Roman"/>
          <w:color w:val="auto"/>
          <w:sz w:val="24"/>
          <w:szCs w:val="24"/>
        </w:rPr>
        <w:t>车辆基地内当各建筑空调冷负荷较小且分布分散时，宜采用变频多联空调作为冷源，多联机应符合现行国家标准《多联式空调（热泵）机组能效限定值及能源效率等级》GB 21454规定的1级能效要求。</w:t>
      </w:r>
    </w:p>
    <w:p w14:paraId="34349FD8">
      <w:pPr>
        <w:spacing w:line="360" w:lineRule="auto"/>
        <w:rPr>
          <w:color w:val="auto"/>
          <w:sz w:val="24"/>
          <w:szCs w:val="24"/>
        </w:rPr>
      </w:pPr>
      <w:r>
        <w:rPr>
          <w:rFonts w:hint="eastAsia"/>
          <w:bCs/>
          <w:color w:val="auto"/>
          <w:sz w:val="24"/>
          <w:szCs w:val="24"/>
        </w:rPr>
        <w:t>7</w:t>
      </w:r>
      <w:r>
        <w:rPr>
          <w:bCs/>
          <w:color w:val="auto"/>
          <w:sz w:val="24"/>
          <w:szCs w:val="24"/>
        </w:rPr>
        <w:t xml:space="preserve">.1.5 </w:t>
      </w:r>
      <w:r>
        <w:rPr>
          <w:rFonts w:hint="eastAsia"/>
          <w:color w:val="auto"/>
          <w:sz w:val="24"/>
          <w:szCs w:val="24"/>
        </w:rPr>
        <w:t>方形横流式冷却塔能效应达到现行国家标准《机械通风冷却塔第1部分:：中小型开式冷却塔》GB/T7190.1规定的标准工况Ⅰ中2级能效要求，鼓风开式冷却塔应能效达到标准工况Ⅰ中5级能效。冷却塔风机配套电机应采用直驱永磁同步电机。永磁同步电机效率应满足现行国家标准《永磁同步电动机能效限定值及能效等级》GB 30253规定的1级能效要求。</w:t>
      </w:r>
    </w:p>
    <w:p w14:paraId="4D313E64">
      <w:pPr>
        <w:spacing w:line="360" w:lineRule="auto"/>
        <w:rPr>
          <w:color w:val="auto"/>
          <w:sz w:val="24"/>
          <w:szCs w:val="24"/>
        </w:rPr>
      </w:pPr>
      <w:r>
        <w:rPr>
          <w:rFonts w:hint="eastAsia"/>
          <w:color w:val="auto"/>
          <w:sz w:val="24"/>
          <w:szCs w:val="24"/>
        </w:rPr>
        <w:t>7</w:t>
      </w:r>
      <w:r>
        <w:rPr>
          <w:color w:val="auto"/>
          <w:sz w:val="24"/>
          <w:szCs w:val="24"/>
        </w:rPr>
        <w:t xml:space="preserve">.1.6 </w:t>
      </w:r>
      <w:r>
        <w:rPr>
          <w:rFonts w:hint="eastAsia"/>
          <w:color w:val="auto"/>
          <w:sz w:val="24"/>
          <w:szCs w:val="24"/>
        </w:rPr>
        <w:t>车辆基地内采用燃液体燃料锅炉、天然气锅炉、燃生物质锅炉、燃煤锅炉等供暖设备时，设计热效率应符合现行国家标准《建筑节能与可再生能源利用通用规范》GB 55015的有关规定。</w:t>
      </w:r>
    </w:p>
    <w:p w14:paraId="0A009CA1">
      <w:pPr>
        <w:spacing w:line="360" w:lineRule="auto"/>
        <w:rPr>
          <w:color w:val="auto"/>
          <w:sz w:val="24"/>
          <w:szCs w:val="24"/>
        </w:rPr>
      </w:pPr>
      <w:r>
        <w:rPr>
          <w:rFonts w:hint="eastAsia"/>
          <w:color w:val="auto"/>
          <w:sz w:val="24"/>
          <w:szCs w:val="24"/>
        </w:rPr>
        <w:t>7</w:t>
      </w:r>
      <w:r>
        <w:rPr>
          <w:color w:val="auto"/>
          <w:sz w:val="24"/>
          <w:szCs w:val="24"/>
        </w:rPr>
        <w:t>.1.7</w:t>
      </w:r>
      <w:r>
        <w:rPr>
          <w:rFonts w:hint="eastAsia"/>
          <w:color w:val="auto"/>
          <w:sz w:val="24"/>
          <w:szCs w:val="24"/>
        </w:rPr>
        <w:t>车辆基地内主要设备房间的室内温湿度参数，应符合设备安全稳定运行的要求。室外计算温度及室内设计参数，应符合现行国家相关标准的有关规定。</w:t>
      </w:r>
    </w:p>
    <w:p w14:paraId="071D01AE">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【条文说明】室内设计参数的选择，首先必须符合规范、标准的有关规定。从能耗角度来说，核心思想是：设计参数应根据实际使用的需要，不应随意提高标准。</w:t>
      </w:r>
    </w:p>
    <w:p w14:paraId="7B50B886">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75" w:name="_Toc1044"/>
      <w:bookmarkStart w:id="76" w:name="_Toc223104317"/>
      <w:bookmarkStart w:id="77" w:name="_Toc17234"/>
      <w:r>
        <w:rPr>
          <w:rFonts w:hint="eastAsia" w:ascii="Times New Roman" w:hAnsi="Times New Roman" w:eastAsia="宋体" w:cs="Times New Roman"/>
          <w:bCs/>
          <w:color w:val="auto"/>
          <w:sz w:val="28"/>
          <w:szCs w:val="28"/>
        </w:rPr>
        <w:t>7.2 输配系统</w:t>
      </w:r>
      <w:bookmarkEnd w:id="75"/>
      <w:bookmarkEnd w:id="76"/>
      <w:bookmarkEnd w:id="77"/>
    </w:p>
    <w:p w14:paraId="7E0F0DE5">
      <w:pPr>
        <w:spacing w:line="360" w:lineRule="auto"/>
        <w:rPr>
          <w:color w:val="auto"/>
          <w:sz w:val="24"/>
          <w:szCs w:val="24"/>
        </w:rPr>
      </w:pPr>
      <w:r>
        <w:rPr>
          <w:rFonts w:hint="eastAsia"/>
          <w:color w:val="auto"/>
          <w:sz w:val="24"/>
          <w:szCs w:val="24"/>
        </w:rPr>
        <w:t>7.</w:t>
      </w:r>
      <w:r>
        <w:rPr>
          <w:color w:val="auto"/>
          <w:sz w:val="24"/>
          <w:szCs w:val="24"/>
        </w:rPr>
        <w:t>2.1</w:t>
      </w:r>
      <w:r>
        <w:rPr>
          <w:rFonts w:hint="eastAsia"/>
          <w:color w:val="auto"/>
          <w:sz w:val="24"/>
          <w:szCs w:val="24"/>
        </w:rPr>
        <w:t xml:space="preserve"> 通风机（不含消防风机）、水泵效率值应达到现行国家标准《通风机能效限定值及节能评价值》GB 19761和《清水离心泵能效限定值及节能评价值》GB 19762规定的2级及以上能效等级。</w:t>
      </w:r>
    </w:p>
    <w:p w14:paraId="73D127E8">
      <w:pPr>
        <w:spacing w:line="360" w:lineRule="auto"/>
        <w:rPr>
          <w:color w:val="auto"/>
          <w:sz w:val="24"/>
          <w:szCs w:val="24"/>
        </w:rPr>
      </w:pPr>
      <w:r>
        <w:rPr>
          <w:rFonts w:hint="eastAsia"/>
          <w:color w:val="auto"/>
          <w:sz w:val="24"/>
          <w:szCs w:val="24"/>
        </w:rPr>
        <w:t>7</w:t>
      </w:r>
      <w:r>
        <w:rPr>
          <w:color w:val="auto"/>
          <w:sz w:val="24"/>
          <w:szCs w:val="24"/>
        </w:rPr>
        <w:t>.2.2</w:t>
      </w:r>
      <w:r>
        <w:rPr>
          <w:rFonts w:hint="eastAsia"/>
          <w:color w:val="auto"/>
          <w:sz w:val="24"/>
          <w:szCs w:val="24"/>
        </w:rPr>
        <w:t>电机在工频下，效率应符合现行国家标准《中小型三相异步电动机能效限定值及能效等级》GB 18613规定的1级能效要求。</w:t>
      </w:r>
    </w:p>
    <w:p w14:paraId="43D3EF9D">
      <w:pPr>
        <w:spacing w:line="360" w:lineRule="auto"/>
        <w:rPr>
          <w:color w:val="auto"/>
          <w:sz w:val="24"/>
          <w:szCs w:val="24"/>
        </w:rPr>
      </w:pPr>
      <w:r>
        <w:rPr>
          <w:color w:val="auto"/>
          <w:sz w:val="24"/>
          <w:szCs w:val="24"/>
        </w:rPr>
        <w:t xml:space="preserve">7.2.3 </w:t>
      </w:r>
      <w:r>
        <w:rPr>
          <w:rFonts w:hint="eastAsia"/>
          <w:color w:val="auto"/>
          <w:sz w:val="24"/>
          <w:szCs w:val="24"/>
        </w:rPr>
        <w:t>车辆基地内设置集中供暖系统、空调系统时应采用变流量水系统，循环水泵应采用变速调节控制。</w:t>
      </w:r>
    </w:p>
    <w:p w14:paraId="50B2930F">
      <w:pPr>
        <w:spacing w:line="360" w:lineRule="auto"/>
        <w:rPr>
          <w:color w:val="auto"/>
          <w:sz w:val="24"/>
          <w:szCs w:val="24"/>
        </w:rPr>
      </w:pPr>
      <w:r>
        <w:rPr>
          <w:rFonts w:hint="eastAsia"/>
          <w:color w:val="auto"/>
          <w:sz w:val="24"/>
          <w:szCs w:val="24"/>
        </w:rPr>
        <w:t>7</w:t>
      </w:r>
      <w:r>
        <w:rPr>
          <w:color w:val="auto"/>
          <w:sz w:val="24"/>
          <w:szCs w:val="24"/>
        </w:rPr>
        <w:t xml:space="preserve">.2.4 </w:t>
      </w:r>
      <w:r>
        <w:rPr>
          <w:rFonts w:hint="eastAsia"/>
          <w:color w:val="auto"/>
          <w:sz w:val="24"/>
          <w:szCs w:val="24"/>
        </w:rPr>
        <w:t>车辆基地在集中供暖系统及空调冷（热）水系统的循环水泵选取时，应计算集中供暖系统耗电输冷比及空调冷（热）水系统耗电输冷比，计算方法应符合现行国家相关标准的有关规定。</w:t>
      </w:r>
    </w:p>
    <w:p w14:paraId="7AC28387">
      <w:pPr>
        <w:spacing w:line="360" w:lineRule="auto"/>
        <w:rPr>
          <w:color w:val="auto"/>
          <w:sz w:val="24"/>
          <w:szCs w:val="24"/>
        </w:rPr>
      </w:pPr>
      <w:r>
        <w:rPr>
          <w:color w:val="auto"/>
          <w:sz w:val="24"/>
          <w:szCs w:val="24"/>
        </w:rPr>
        <w:t xml:space="preserve">7.2.5 </w:t>
      </w:r>
      <w:r>
        <w:rPr>
          <w:rFonts w:hint="eastAsia"/>
          <w:color w:val="auto"/>
          <w:sz w:val="24"/>
          <w:szCs w:val="24"/>
        </w:rPr>
        <w:t>车辆基地采用风机盘管加新风系统时，新风宜直接送入各空调区。</w:t>
      </w:r>
    </w:p>
    <w:p w14:paraId="0D5271D3">
      <w:pPr>
        <w:spacing w:line="360" w:lineRule="auto"/>
        <w:rPr>
          <w:color w:val="auto"/>
          <w:sz w:val="24"/>
          <w:szCs w:val="24"/>
        </w:rPr>
      </w:pPr>
      <w:r>
        <w:rPr>
          <w:rFonts w:hint="eastAsia"/>
          <w:color w:val="auto"/>
          <w:sz w:val="24"/>
          <w:szCs w:val="24"/>
        </w:rPr>
        <w:t>7</w:t>
      </w:r>
      <w:r>
        <w:rPr>
          <w:color w:val="auto"/>
          <w:sz w:val="24"/>
          <w:szCs w:val="24"/>
        </w:rPr>
        <w:t xml:space="preserve">.2.6 </w:t>
      </w:r>
      <w:r>
        <w:rPr>
          <w:rFonts w:hint="eastAsia"/>
          <w:color w:val="auto"/>
          <w:sz w:val="24"/>
          <w:szCs w:val="24"/>
        </w:rPr>
        <w:t>车辆基地内空调风系统和通风系统的风量大于1</w:t>
      </w:r>
      <w:r>
        <w:rPr>
          <w:color w:val="auto"/>
          <w:sz w:val="24"/>
          <w:szCs w:val="24"/>
        </w:rPr>
        <w:t>0000</w:t>
      </w:r>
      <w:r>
        <w:rPr>
          <w:rFonts w:hint="eastAsia"/>
          <w:color w:val="auto"/>
          <w:sz w:val="24"/>
          <w:szCs w:val="24"/>
        </w:rPr>
        <w:t>m³</w:t>
      </w:r>
      <w:r>
        <w:rPr>
          <w:color w:val="auto"/>
          <w:sz w:val="24"/>
          <w:szCs w:val="24"/>
        </w:rPr>
        <w:t>/</w:t>
      </w:r>
      <w:r>
        <w:rPr>
          <w:rFonts w:hint="eastAsia"/>
          <w:color w:val="auto"/>
          <w:sz w:val="24"/>
          <w:szCs w:val="24"/>
        </w:rPr>
        <w:t>h时，风道系统的单位风量耗功率（Ws）应符合现行国家相关标准的有关规定。</w:t>
      </w:r>
    </w:p>
    <w:p w14:paraId="74608AF0">
      <w:pPr>
        <w:spacing w:line="360" w:lineRule="auto"/>
        <w:rPr>
          <w:color w:val="auto"/>
          <w:sz w:val="24"/>
          <w:szCs w:val="24"/>
        </w:rPr>
      </w:pPr>
      <w:r>
        <w:rPr>
          <w:rFonts w:hint="eastAsia"/>
          <w:color w:val="auto"/>
          <w:sz w:val="24"/>
          <w:szCs w:val="24"/>
        </w:rPr>
        <w:t>7</w:t>
      </w:r>
      <w:r>
        <w:rPr>
          <w:color w:val="auto"/>
          <w:sz w:val="24"/>
          <w:szCs w:val="24"/>
        </w:rPr>
        <w:t>.2.7</w:t>
      </w:r>
      <w:r>
        <w:rPr>
          <w:rFonts w:hint="eastAsia"/>
          <w:color w:val="auto"/>
          <w:sz w:val="24"/>
          <w:szCs w:val="24"/>
        </w:rPr>
        <w:t>人员办公用房设置新风系统时，新风量宜按所服务区域的新风量累计值确定。设置全空气空调系统时，系统新风比应经过修正且不得大于空调区任一新风比中的最大值，修正后的系统新风比Y计算公式如下：</w:t>
      </w:r>
    </w:p>
    <w:p w14:paraId="59ACAAEB">
      <w:pPr>
        <w:spacing w:line="360" w:lineRule="auto"/>
        <w:jc w:val="right"/>
        <w:rPr>
          <w:rFonts w:hint="default" w:eastAsia="宋体"/>
          <w:color w:val="auto"/>
          <w:sz w:val="24"/>
          <w:szCs w:val="24"/>
          <w:lang w:val="en-US" w:eastAsia="zh-CN"/>
        </w:rPr>
      </w:pPr>
      <w:r>
        <w:rPr>
          <w:rFonts w:hint="eastAsia"/>
          <w:color w:val="auto"/>
          <w:sz w:val="24"/>
          <w:szCs w:val="24"/>
        </w:rPr>
        <w:t>Y=X</w:t>
      </w:r>
      <w:r>
        <w:rPr>
          <w:color w:val="auto"/>
          <w:sz w:val="24"/>
          <w:szCs w:val="24"/>
        </w:rPr>
        <w:t>／</w:t>
      </w:r>
      <w:r>
        <w:rPr>
          <w:rFonts w:hint="eastAsia"/>
          <w:color w:val="auto"/>
          <w:sz w:val="24"/>
          <w:szCs w:val="24"/>
        </w:rPr>
        <w:t>(1+X-Z)</w:t>
      </w:r>
      <w:r>
        <w:rPr>
          <w:rFonts w:hint="eastAsia"/>
          <w:color w:val="auto"/>
          <w:sz w:val="24"/>
          <w:szCs w:val="24"/>
          <w:lang w:val="en-US" w:eastAsia="zh-CN"/>
        </w:rPr>
        <w:t xml:space="preserve">                  （7.2.7-1）</w:t>
      </w:r>
    </w:p>
    <w:p w14:paraId="64B6B5C6">
      <w:pPr>
        <w:spacing w:line="360" w:lineRule="auto"/>
        <w:jc w:val="right"/>
        <w:rPr>
          <w:color w:val="auto"/>
          <w:sz w:val="24"/>
          <w:szCs w:val="24"/>
        </w:rPr>
      </w:pPr>
      <w:r>
        <w:rPr>
          <w:rFonts w:hint="eastAsia"/>
          <w:color w:val="auto"/>
          <w:sz w:val="24"/>
          <w:szCs w:val="24"/>
        </w:rPr>
        <w:t>Y=Vot</w:t>
      </w:r>
      <w:r>
        <w:rPr>
          <w:color w:val="auto"/>
          <w:sz w:val="24"/>
          <w:szCs w:val="24"/>
        </w:rPr>
        <w:t>／</w:t>
      </w:r>
      <w:r>
        <w:rPr>
          <w:rFonts w:hint="eastAsia"/>
          <w:color w:val="auto"/>
          <w:sz w:val="24"/>
          <w:szCs w:val="24"/>
        </w:rPr>
        <w:t>Vst</w:t>
      </w:r>
      <w:r>
        <w:rPr>
          <w:rFonts w:hint="eastAsia"/>
          <w:color w:val="auto"/>
          <w:sz w:val="24"/>
          <w:szCs w:val="24"/>
          <w:lang w:val="en-US" w:eastAsia="zh-CN"/>
        </w:rPr>
        <w:t xml:space="preserve">                    （7.2.7-2）</w:t>
      </w:r>
    </w:p>
    <w:p w14:paraId="4D01596E">
      <w:pPr>
        <w:spacing w:line="360" w:lineRule="auto"/>
        <w:jc w:val="right"/>
        <w:rPr>
          <w:rFonts w:hint="default" w:eastAsia="宋体"/>
          <w:color w:val="auto"/>
          <w:sz w:val="24"/>
          <w:szCs w:val="24"/>
          <w:lang w:val="en-US" w:eastAsia="zh-CN"/>
        </w:rPr>
      </w:pPr>
      <w:r>
        <w:rPr>
          <w:rFonts w:hint="eastAsia"/>
          <w:color w:val="auto"/>
          <w:sz w:val="24"/>
          <w:szCs w:val="24"/>
        </w:rPr>
        <w:t>X=Von</w:t>
      </w:r>
      <w:r>
        <w:rPr>
          <w:color w:val="auto"/>
          <w:sz w:val="24"/>
          <w:szCs w:val="24"/>
        </w:rPr>
        <w:t>／</w:t>
      </w:r>
      <w:r>
        <w:rPr>
          <w:rFonts w:hint="eastAsia"/>
          <w:color w:val="auto"/>
          <w:sz w:val="24"/>
          <w:szCs w:val="24"/>
        </w:rPr>
        <w:t>Vst</w:t>
      </w:r>
      <w:r>
        <w:rPr>
          <w:rFonts w:hint="eastAsia"/>
          <w:color w:val="auto"/>
          <w:sz w:val="24"/>
          <w:szCs w:val="24"/>
          <w:lang w:val="en-US" w:eastAsia="zh-CN"/>
        </w:rPr>
        <w:t xml:space="preserve">                   （7.2.7-3）</w:t>
      </w:r>
    </w:p>
    <w:p w14:paraId="49BB064D">
      <w:pPr>
        <w:spacing w:line="360" w:lineRule="auto"/>
        <w:jc w:val="right"/>
        <w:rPr>
          <w:rFonts w:hint="default" w:eastAsia="宋体"/>
          <w:color w:val="auto"/>
          <w:sz w:val="24"/>
          <w:szCs w:val="24"/>
          <w:lang w:val="en-US" w:eastAsia="zh-CN"/>
        </w:rPr>
      </w:pPr>
      <w:r>
        <w:rPr>
          <w:rFonts w:hint="eastAsia"/>
          <w:color w:val="auto"/>
          <w:sz w:val="24"/>
          <w:szCs w:val="24"/>
        </w:rPr>
        <w:t>Z=Voc</w:t>
      </w:r>
      <w:r>
        <w:rPr>
          <w:color w:val="auto"/>
          <w:sz w:val="24"/>
          <w:szCs w:val="24"/>
        </w:rPr>
        <w:t>／</w:t>
      </w:r>
      <w:r>
        <w:rPr>
          <w:rFonts w:hint="eastAsia"/>
          <w:color w:val="auto"/>
          <w:sz w:val="24"/>
          <w:szCs w:val="24"/>
        </w:rPr>
        <w:t>Vsc</w:t>
      </w:r>
      <w:r>
        <w:rPr>
          <w:rFonts w:hint="eastAsia"/>
          <w:color w:val="auto"/>
          <w:sz w:val="24"/>
          <w:szCs w:val="24"/>
          <w:lang w:val="en-US" w:eastAsia="zh-CN"/>
        </w:rPr>
        <w:t xml:space="preserve">                   （7.2.7-4）</w:t>
      </w:r>
    </w:p>
    <w:p w14:paraId="0691C120">
      <w:pPr>
        <w:spacing w:line="360" w:lineRule="auto"/>
        <w:jc w:val="left"/>
        <w:rPr>
          <w:color w:val="auto"/>
          <w:sz w:val="24"/>
          <w:szCs w:val="24"/>
        </w:rPr>
      </w:pPr>
    </w:p>
    <w:p w14:paraId="0E63B34D">
      <w:pPr>
        <w:spacing w:line="360" w:lineRule="auto"/>
        <w:jc w:val="left"/>
        <w:rPr>
          <w:color w:val="auto"/>
          <w:sz w:val="24"/>
          <w:szCs w:val="24"/>
        </w:rPr>
      </w:pPr>
      <w:r>
        <w:rPr>
          <w:rFonts w:hint="eastAsia"/>
          <w:color w:val="auto"/>
          <w:sz w:val="24"/>
          <w:szCs w:val="24"/>
        </w:rPr>
        <w:t>式中：Y—修正后的系统新风量在送风量中的比例；</w:t>
      </w:r>
    </w:p>
    <w:p w14:paraId="6755B5BE">
      <w:pPr>
        <w:spacing w:line="360" w:lineRule="auto"/>
        <w:ind w:left="802" w:leftChars="342" w:hanging="84" w:hangingChars="35"/>
        <w:jc w:val="left"/>
        <w:rPr>
          <w:color w:val="auto"/>
          <w:sz w:val="24"/>
          <w:szCs w:val="24"/>
        </w:rPr>
      </w:pPr>
      <w:r>
        <w:rPr>
          <w:color w:val="auto"/>
          <w:sz w:val="24"/>
          <w:szCs w:val="24"/>
        </w:rPr>
        <w:t>Vot——修正后的总新风量(m</w:t>
      </w:r>
      <w:r>
        <w:rPr>
          <w:color w:val="auto"/>
          <w:sz w:val="24"/>
          <w:szCs w:val="24"/>
          <w:vertAlign w:val="superscript"/>
        </w:rPr>
        <w:t>3</w:t>
      </w:r>
      <w:r>
        <w:rPr>
          <w:color w:val="auto"/>
          <w:sz w:val="24"/>
          <w:szCs w:val="24"/>
        </w:rPr>
        <w:t>／h)；</w:t>
      </w:r>
      <w:r>
        <w:rPr>
          <w:color w:val="auto"/>
          <w:sz w:val="24"/>
          <w:szCs w:val="24"/>
        </w:rPr>
        <w:br w:type="textWrapping"/>
      </w:r>
      <w:r>
        <w:rPr>
          <w:color w:val="auto"/>
          <w:sz w:val="24"/>
          <w:szCs w:val="24"/>
        </w:rPr>
        <w:t>Vst——总送风量，即系统中所有房间送风量之和(m</w:t>
      </w:r>
      <w:r>
        <w:rPr>
          <w:color w:val="auto"/>
          <w:sz w:val="24"/>
          <w:szCs w:val="24"/>
          <w:vertAlign w:val="superscript"/>
        </w:rPr>
        <w:t>3</w:t>
      </w:r>
      <w:r>
        <w:rPr>
          <w:color w:val="auto"/>
          <w:sz w:val="24"/>
          <w:szCs w:val="24"/>
        </w:rPr>
        <w:t>／h)；</w:t>
      </w:r>
      <w:r>
        <w:rPr>
          <w:color w:val="auto"/>
          <w:sz w:val="24"/>
          <w:szCs w:val="24"/>
        </w:rPr>
        <w:br w:type="textWrapping"/>
      </w:r>
      <w:r>
        <w:rPr>
          <w:color w:val="auto"/>
          <w:sz w:val="24"/>
          <w:szCs w:val="24"/>
        </w:rPr>
        <w:t>X——未修正的系统新风量在送风量中的比例；</w:t>
      </w:r>
      <w:r>
        <w:rPr>
          <w:color w:val="auto"/>
          <w:sz w:val="24"/>
          <w:szCs w:val="24"/>
        </w:rPr>
        <w:br w:type="textWrapping"/>
      </w:r>
      <w:r>
        <w:rPr>
          <w:color w:val="auto"/>
          <w:sz w:val="24"/>
          <w:szCs w:val="24"/>
        </w:rPr>
        <w:t>Von——系统中所有房间的新风量之和(m</w:t>
      </w:r>
      <w:r>
        <w:rPr>
          <w:color w:val="auto"/>
          <w:sz w:val="24"/>
          <w:szCs w:val="24"/>
          <w:vertAlign w:val="superscript"/>
        </w:rPr>
        <w:t>3</w:t>
      </w:r>
      <w:r>
        <w:rPr>
          <w:color w:val="auto"/>
          <w:sz w:val="24"/>
          <w:szCs w:val="24"/>
        </w:rPr>
        <w:t>／h)：</w:t>
      </w:r>
      <w:r>
        <w:rPr>
          <w:color w:val="auto"/>
          <w:sz w:val="24"/>
          <w:szCs w:val="24"/>
        </w:rPr>
        <w:br w:type="textWrapping"/>
      </w:r>
      <w:r>
        <w:rPr>
          <w:color w:val="auto"/>
          <w:sz w:val="24"/>
          <w:szCs w:val="24"/>
        </w:rPr>
        <w:t>Z——新风比需求最大的房间的新风比；</w:t>
      </w:r>
      <w:r>
        <w:rPr>
          <w:color w:val="auto"/>
          <w:sz w:val="24"/>
          <w:szCs w:val="24"/>
        </w:rPr>
        <w:br w:type="textWrapping"/>
      </w:r>
      <w:r>
        <w:rPr>
          <w:color w:val="auto"/>
          <w:sz w:val="24"/>
          <w:szCs w:val="24"/>
        </w:rPr>
        <w:t>Voc——新风比需求最大的房间的新风量(m</w:t>
      </w:r>
      <w:r>
        <w:rPr>
          <w:color w:val="auto"/>
          <w:sz w:val="24"/>
          <w:szCs w:val="24"/>
          <w:vertAlign w:val="superscript"/>
        </w:rPr>
        <w:t>3</w:t>
      </w:r>
      <w:r>
        <w:rPr>
          <w:color w:val="auto"/>
          <w:sz w:val="24"/>
          <w:szCs w:val="24"/>
        </w:rPr>
        <w:t>／h)；</w:t>
      </w:r>
      <w:r>
        <w:rPr>
          <w:color w:val="auto"/>
          <w:sz w:val="24"/>
          <w:szCs w:val="24"/>
        </w:rPr>
        <w:br w:type="textWrapping"/>
      </w:r>
      <w:r>
        <w:rPr>
          <w:color w:val="auto"/>
          <w:sz w:val="24"/>
          <w:szCs w:val="24"/>
        </w:rPr>
        <w:t>Vsc——新风比需求最大的房间的送风量(m</w:t>
      </w:r>
      <w:r>
        <w:rPr>
          <w:color w:val="auto"/>
          <w:sz w:val="24"/>
          <w:szCs w:val="24"/>
          <w:vertAlign w:val="superscript"/>
        </w:rPr>
        <w:t>3</w:t>
      </w:r>
      <w:r>
        <w:rPr>
          <w:color w:val="auto"/>
          <w:sz w:val="24"/>
          <w:szCs w:val="24"/>
        </w:rPr>
        <w:t>／h)。</w:t>
      </w:r>
    </w:p>
    <w:p w14:paraId="659C74D0">
      <w:pPr>
        <w:spacing w:line="360" w:lineRule="auto"/>
        <w:rPr>
          <w:color w:val="auto"/>
          <w:sz w:val="24"/>
          <w:szCs w:val="24"/>
        </w:rPr>
      </w:pPr>
      <w:r>
        <w:rPr>
          <w:rFonts w:hint="eastAsia"/>
          <w:color w:val="auto"/>
          <w:sz w:val="24"/>
          <w:szCs w:val="24"/>
        </w:rPr>
        <w:t>7</w:t>
      </w:r>
      <w:r>
        <w:rPr>
          <w:color w:val="auto"/>
          <w:sz w:val="24"/>
          <w:szCs w:val="24"/>
        </w:rPr>
        <w:t xml:space="preserve">.2.8 </w:t>
      </w:r>
      <w:r>
        <w:rPr>
          <w:rFonts w:hint="eastAsia"/>
          <w:color w:val="auto"/>
          <w:sz w:val="24"/>
          <w:szCs w:val="24"/>
        </w:rPr>
        <w:t>空调水系统当末端阻力相同（或相差不大）的回路宜采用水平同程系统。当末端空调设备设计水阻力相差较大，或末端设备及其支路水阻力超过用户侧水阻力的6</w:t>
      </w:r>
      <w:r>
        <w:rPr>
          <w:color w:val="auto"/>
          <w:sz w:val="24"/>
          <w:szCs w:val="24"/>
        </w:rPr>
        <w:t>0</w:t>
      </w:r>
      <w:r>
        <w:rPr>
          <w:rFonts w:hint="eastAsia"/>
          <w:color w:val="auto"/>
          <w:sz w:val="24"/>
          <w:szCs w:val="24"/>
        </w:rPr>
        <w:t>%，或设备布置较为分散时，可采用异程式系统。</w:t>
      </w:r>
    </w:p>
    <w:p w14:paraId="033D6B61">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末端阻力相差较大时，采用同程系统的意义并不明显。同时，从设计计算中可以看出，如果末端设备及其支路水阻力超过用户侧水阻力的60%，主干管水阻力对各末端回路的水力影响将变弱，同程和异程对于水力自然平衡的差距变小。设备布置分散后，如果一定要强调同程，可能需要特别长的管道布置，对经济性产生不利影响。同时，会导致末端支管的长度变化较大，将导致支路管道的水阻力所占比例加大，实际上也很难解决平衡问题。</w:t>
      </w:r>
    </w:p>
    <w:p w14:paraId="2DDDDAE7">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78" w:name="_Toc18037"/>
      <w:bookmarkStart w:id="79" w:name="_Toc16490"/>
      <w:bookmarkStart w:id="80" w:name="_Toc223104318"/>
      <w:r>
        <w:rPr>
          <w:rFonts w:hint="eastAsia" w:ascii="Times New Roman" w:hAnsi="Times New Roman" w:eastAsia="宋体" w:cs="Times New Roman"/>
          <w:bCs/>
          <w:color w:val="auto"/>
          <w:sz w:val="28"/>
          <w:szCs w:val="28"/>
        </w:rPr>
        <w:t>7.3 末端系统</w:t>
      </w:r>
      <w:bookmarkEnd w:id="78"/>
      <w:bookmarkEnd w:id="79"/>
      <w:bookmarkEnd w:id="80"/>
    </w:p>
    <w:p w14:paraId="093BD3ED">
      <w:pPr>
        <w:spacing w:line="360" w:lineRule="auto"/>
        <w:rPr>
          <w:color w:val="auto"/>
          <w:sz w:val="24"/>
          <w:szCs w:val="24"/>
        </w:rPr>
      </w:pPr>
      <w:r>
        <w:rPr>
          <w:rFonts w:hint="eastAsia"/>
          <w:color w:val="auto"/>
          <w:sz w:val="24"/>
          <w:szCs w:val="24"/>
        </w:rPr>
        <w:t>7</w:t>
      </w:r>
      <w:r>
        <w:rPr>
          <w:color w:val="auto"/>
          <w:sz w:val="24"/>
          <w:szCs w:val="24"/>
        </w:rPr>
        <w:t>.3.1</w:t>
      </w:r>
      <w:r>
        <w:rPr>
          <w:rFonts w:hint="eastAsia"/>
          <w:color w:val="auto"/>
          <w:sz w:val="24"/>
          <w:szCs w:val="24"/>
        </w:rPr>
        <w:t>车辆基地内空调系统的划分应考虑设备房使用时间、温湿度需求。车辆基地内主要房间分为强电设备用房、弱电设备用房及人员办公用房3类，非同一类的房间不宜采用一套空调系统。</w:t>
      </w:r>
    </w:p>
    <w:p w14:paraId="1C44B029">
      <w:pPr>
        <w:spacing w:line="360" w:lineRule="auto"/>
        <w:rPr>
          <w:color w:val="auto"/>
          <w:sz w:val="24"/>
          <w:szCs w:val="24"/>
        </w:rPr>
      </w:pPr>
      <w:r>
        <w:rPr>
          <w:color w:val="auto"/>
          <w:sz w:val="24"/>
          <w:szCs w:val="24"/>
        </w:rPr>
        <w:t xml:space="preserve">7.3.2 </w:t>
      </w:r>
      <w:r>
        <w:rPr>
          <w:rFonts w:hint="eastAsia"/>
          <w:color w:val="auto"/>
          <w:sz w:val="24"/>
          <w:szCs w:val="24"/>
        </w:rPr>
        <w:t>车辆基地内散热器宜明装，当采用地面辐射供暖时应符合现行国家相关标准的有关规定。</w:t>
      </w:r>
    </w:p>
    <w:p w14:paraId="5CE0F179">
      <w:pPr>
        <w:spacing w:line="360" w:lineRule="auto"/>
        <w:rPr>
          <w:color w:val="auto"/>
          <w:sz w:val="24"/>
          <w:szCs w:val="24"/>
        </w:rPr>
      </w:pPr>
      <w:r>
        <w:rPr>
          <w:rFonts w:hint="eastAsia"/>
          <w:color w:val="auto"/>
          <w:sz w:val="24"/>
          <w:szCs w:val="24"/>
        </w:rPr>
        <w:t>7</w:t>
      </w:r>
      <w:r>
        <w:rPr>
          <w:color w:val="auto"/>
          <w:sz w:val="24"/>
          <w:szCs w:val="24"/>
        </w:rPr>
        <w:t xml:space="preserve">.3.3 </w:t>
      </w:r>
      <w:r>
        <w:rPr>
          <w:rFonts w:hint="eastAsia"/>
          <w:color w:val="auto"/>
          <w:sz w:val="24"/>
          <w:szCs w:val="24"/>
        </w:rPr>
        <w:t>车辆基地内设计变风量全空气调节系统时，应采用变频自动调节风机转速的方式，并应在设计文件中</w:t>
      </w:r>
      <w:r>
        <w:rPr>
          <w:rFonts w:hint="eastAsia"/>
          <w:color w:val="auto"/>
          <w:sz w:val="24"/>
          <w:szCs w:val="24"/>
          <w:lang w:eastAsia="zh-CN"/>
        </w:rPr>
        <w:t>标明</w:t>
      </w:r>
      <w:r>
        <w:rPr>
          <w:rFonts w:hint="eastAsia"/>
          <w:color w:val="auto"/>
          <w:sz w:val="24"/>
          <w:szCs w:val="24"/>
        </w:rPr>
        <w:t>每个变风量末端装置的最小送风量。当空调区气流组织有要求时，宜选用串联型变风量末端。</w:t>
      </w:r>
    </w:p>
    <w:p w14:paraId="1EBE6E12">
      <w:pPr>
        <w:spacing w:line="360" w:lineRule="auto"/>
        <w:rPr>
          <w:color w:val="auto"/>
          <w:sz w:val="24"/>
          <w:szCs w:val="24"/>
        </w:rPr>
      </w:pPr>
      <w:r>
        <w:rPr>
          <w:rFonts w:hint="eastAsia"/>
          <w:color w:val="auto"/>
          <w:sz w:val="24"/>
          <w:szCs w:val="24"/>
        </w:rPr>
        <w:t>7</w:t>
      </w:r>
      <w:r>
        <w:rPr>
          <w:color w:val="auto"/>
          <w:sz w:val="24"/>
          <w:szCs w:val="24"/>
        </w:rPr>
        <w:t xml:space="preserve">.3.4 </w:t>
      </w:r>
      <w:r>
        <w:rPr>
          <w:rFonts w:hint="eastAsia"/>
          <w:color w:val="auto"/>
          <w:sz w:val="24"/>
          <w:szCs w:val="24"/>
        </w:rPr>
        <w:t>车辆基地内设备发热量大且允许工作温度波动较大时，在保证设备正常运行的前提下，宜采用机械通风消除室内余热。</w:t>
      </w:r>
    </w:p>
    <w:p w14:paraId="33587C82">
      <w:pPr>
        <w:spacing w:line="360" w:lineRule="auto"/>
        <w:rPr>
          <w:color w:val="auto"/>
          <w:sz w:val="24"/>
          <w:szCs w:val="24"/>
        </w:rPr>
      </w:pPr>
      <w:r>
        <w:rPr>
          <w:rFonts w:hint="eastAsia"/>
          <w:color w:val="auto"/>
          <w:sz w:val="24"/>
          <w:szCs w:val="24"/>
        </w:rPr>
        <w:t>7</w:t>
      </w:r>
      <w:r>
        <w:rPr>
          <w:color w:val="auto"/>
          <w:sz w:val="24"/>
          <w:szCs w:val="24"/>
        </w:rPr>
        <w:t xml:space="preserve">.3.5 </w:t>
      </w:r>
      <w:r>
        <w:rPr>
          <w:rFonts w:hint="eastAsia"/>
          <w:color w:val="auto"/>
          <w:sz w:val="24"/>
          <w:szCs w:val="24"/>
        </w:rPr>
        <w:t>车辆基地内，应在库内轨道沿线的重要位置（含车顶）为工作人员提供局部降温措施。每台空气处理设备服务范围不宜超过单轨四节车厢，并具备本地手动控制与远程自动控制功能，以便在空轨或列车未运行时关闭定点冷却系统。</w:t>
      </w:r>
    </w:p>
    <w:p w14:paraId="16E86E32">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每台空气处理设备服务范围不宜过大，可显著减少风系统输送能耗。每条轨道的空气处理设备应具备本地手动控制功能，以便根据需要提供定点冷却。此外，每条轨道应安装适当的传感器，用于检测列车是否停放在轨道，当特定轨道未检测到列车停放时，应能通过远程自动控制系统关闭该区域空气处理设备。</w:t>
      </w:r>
    </w:p>
    <w:p w14:paraId="7C5DA5BB">
      <w:pPr>
        <w:spacing w:line="360" w:lineRule="auto"/>
        <w:rPr>
          <w:color w:val="auto"/>
          <w:sz w:val="24"/>
          <w:szCs w:val="24"/>
        </w:rPr>
      </w:pPr>
      <w:r>
        <w:rPr>
          <w:rFonts w:hint="eastAsia"/>
          <w:color w:val="auto"/>
          <w:sz w:val="24"/>
          <w:szCs w:val="24"/>
        </w:rPr>
        <w:t>7</w:t>
      </w:r>
      <w:r>
        <w:rPr>
          <w:color w:val="auto"/>
          <w:sz w:val="24"/>
          <w:szCs w:val="24"/>
        </w:rPr>
        <w:t xml:space="preserve">.3.6 </w:t>
      </w:r>
      <w:r>
        <w:rPr>
          <w:rFonts w:hint="eastAsia"/>
          <w:color w:val="auto"/>
          <w:sz w:val="24"/>
          <w:szCs w:val="24"/>
        </w:rPr>
        <w:t>停车库、检修库等大空间建筑通风系统设计时，宜考虑利用夏季最多风向来增加自然通风效果，当库区采用自然通风存在气流窝区或死角时，应辅以机械通风并设置下部排风口，其中机械通风量不宜高于总风量的70％。</w:t>
      </w:r>
    </w:p>
    <w:p w14:paraId="3213E694">
      <w:pPr>
        <w:spacing w:line="360" w:lineRule="auto"/>
        <w:ind w:firstLine="0" w:firstLineChars="0"/>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【条文说明】通过自然通风与机械通风结合，系统通风效率高，可节约风机和制冷能耗约10％～50％，既带来较高的空气品质又有利于节能。</w:t>
      </w:r>
    </w:p>
    <w:p w14:paraId="3EE56D31">
      <w:pPr>
        <w:spacing w:line="360" w:lineRule="auto"/>
        <w:rPr>
          <w:color w:val="auto"/>
          <w:sz w:val="24"/>
          <w:szCs w:val="24"/>
        </w:rPr>
      </w:pPr>
      <w:r>
        <w:rPr>
          <w:rFonts w:hint="eastAsia"/>
          <w:color w:val="auto"/>
          <w:sz w:val="24"/>
          <w:szCs w:val="24"/>
        </w:rPr>
        <w:t>7</w:t>
      </w:r>
      <w:r>
        <w:rPr>
          <w:color w:val="auto"/>
          <w:sz w:val="24"/>
          <w:szCs w:val="24"/>
        </w:rPr>
        <w:t>.3.7</w:t>
      </w:r>
      <w:r>
        <w:rPr>
          <w:rFonts w:hint="eastAsia"/>
          <w:color w:val="auto"/>
          <w:sz w:val="24"/>
          <w:szCs w:val="24"/>
        </w:rPr>
        <w:t xml:space="preserve"> 当过渡季时，设备管理用房利用机械通风可排除室内的余热，经过方案经济技术比较后，宜同时设置空气处理设备及机械通风系统。系统运行模式切换时应引入不小于1℃的滞后，防止运行模式频繁切换。</w:t>
      </w:r>
    </w:p>
    <w:p w14:paraId="19BC5706">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【条文说明】系统运行模式切换频繁既不利于节能，又会导致设备寿命降低。</w:t>
      </w:r>
    </w:p>
    <w:p w14:paraId="5A8EBADD">
      <w:pPr>
        <w:spacing w:line="360" w:lineRule="auto"/>
        <w:rPr>
          <w:color w:val="auto"/>
          <w:sz w:val="24"/>
          <w:szCs w:val="24"/>
        </w:rPr>
      </w:pPr>
      <w:r>
        <w:rPr>
          <w:rFonts w:hint="eastAsia"/>
          <w:color w:val="auto"/>
          <w:sz w:val="24"/>
          <w:szCs w:val="24"/>
        </w:rPr>
        <w:t>7</w:t>
      </w:r>
      <w:r>
        <w:rPr>
          <w:color w:val="auto"/>
          <w:sz w:val="24"/>
          <w:szCs w:val="24"/>
        </w:rPr>
        <w:t>.3.8</w:t>
      </w:r>
      <w:r>
        <w:rPr>
          <w:rFonts w:hint="eastAsia"/>
          <w:color w:val="auto"/>
          <w:sz w:val="24"/>
          <w:szCs w:val="24"/>
        </w:rPr>
        <w:t xml:space="preserve"> 冷却塔免费供冷技术，当室外空气湿球温度低于冷冻水回水温度一定值时（需考虑冷却塔冷幅），宜将冷却水直接送入空调末端（当采用开式冷却塔时，冷却水须通过板式换热器后送入末端，以保证水质要求，采用闭式冷却塔时可直接送入末端。），关闭或减少冷水机组运行时间。</w:t>
      </w:r>
    </w:p>
    <w:p w14:paraId="0BFEAC70">
      <w:pPr>
        <w:spacing w:line="360" w:lineRule="auto"/>
        <w:rPr>
          <w:color w:val="auto"/>
          <w:sz w:val="24"/>
          <w:szCs w:val="24"/>
        </w:rPr>
      </w:pPr>
      <w:r>
        <w:rPr>
          <w:rFonts w:hint="eastAsia"/>
          <w:color w:val="auto"/>
          <w:sz w:val="24"/>
          <w:szCs w:val="24"/>
        </w:rPr>
        <w:t>7</w:t>
      </w:r>
      <w:r>
        <w:rPr>
          <w:color w:val="auto"/>
          <w:sz w:val="24"/>
          <w:szCs w:val="24"/>
        </w:rPr>
        <w:t>.3.9</w:t>
      </w:r>
      <w:r>
        <w:rPr>
          <w:rFonts w:hint="eastAsia"/>
          <w:color w:val="auto"/>
          <w:sz w:val="24"/>
          <w:szCs w:val="24"/>
        </w:rPr>
        <w:t xml:space="preserve"> 全空气系统在过渡季应充分利用较低参数的室外新风，以减少全年冷源设备的运行时间，达到节能的目的。</w:t>
      </w:r>
    </w:p>
    <w:p w14:paraId="678087B8">
      <w:pPr>
        <w:spacing w:line="360" w:lineRule="auto"/>
        <w:ind w:firstLine="480" w:firstLineChars="200"/>
        <w:rPr>
          <w:bCs/>
          <w:color w:val="auto"/>
          <w:sz w:val="24"/>
          <w:szCs w:val="24"/>
        </w:rPr>
      </w:pPr>
    </w:p>
    <w:p w14:paraId="386A8480">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81" w:name="_Toc22291"/>
      <w:bookmarkStart w:id="82" w:name="_Toc223104319"/>
      <w:bookmarkStart w:id="83" w:name="_Toc14663"/>
      <w:r>
        <w:rPr>
          <w:rFonts w:hint="eastAsia" w:ascii="Times New Roman" w:hAnsi="Times New Roman" w:eastAsia="宋体" w:cs="Times New Roman"/>
          <w:bCs/>
          <w:color w:val="auto"/>
          <w:sz w:val="28"/>
          <w:szCs w:val="28"/>
        </w:rPr>
        <w:t>7.4 给水与排水系统</w:t>
      </w:r>
      <w:bookmarkEnd w:id="81"/>
      <w:bookmarkEnd w:id="82"/>
      <w:bookmarkEnd w:id="83"/>
    </w:p>
    <w:p w14:paraId="0326EC90">
      <w:pPr>
        <w:spacing w:line="360" w:lineRule="auto"/>
        <w:ind w:firstLine="480" w:firstLineChars="200"/>
        <w:rPr>
          <w:bCs/>
          <w:color w:val="auto"/>
          <w:sz w:val="24"/>
          <w:szCs w:val="24"/>
        </w:rPr>
      </w:pPr>
      <w:r>
        <w:rPr>
          <w:rFonts w:hint="eastAsia"/>
          <w:bCs/>
          <w:color w:val="auto"/>
          <w:sz w:val="24"/>
          <w:szCs w:val="24"/>
        </w:rPr>
        <w:t>给排水设计应在设计全过程贯彻节能降耗的目标，对系统设计参数、节水设备和管材选型、以及</w:t>
      </w:r>
      <w:r>
        <w:rPr>
          <w:bCs/>
          <w:color w:val="auto"/>
          <w:sz w:val="24"/>
          <w:szCs w:val="24"/>
        </w:rPr>
        <w:t>废水循环与水资源</w:t>
      </w:r>
      <w:r>
        <w:rPr>
          <w:rFonts w:hint="eastAsia"/>
          <w:bCs/>
          <w:color w:val="auto"/>
          <w:sz w:val="24"/>
          <w:szCs w:val="24"/>
        </w:rPr>
        <w:t>利用方案等方面进行优化，最大限度降低给排水系统能耗并满足本标准的能耗指标要求，应符合如下规定：</w:t>
      </w:r>
    </w:p>
    <w:p w14:paraId="067DD4DF">
      <w:pPr>
        <w:spacing w:line="360" w:lineRule="auto"/>
        <w:ind w:firstLine="480" w:firstLineChars="200"/>
        <w:rPr>
          <w:bCs/>
          <w:color w:val="auto"/>
          <w:sz w:val="24"/>
          <w:szCs w:val="24"/>
        </w:rPr>
      </w:pPr>
      <w:r>
        <w:rPr>
          <w:rFonts w:hint="eastAsia"/>
          <w:bCs/>
          <w:color w:val="auto"/>
          <w:sz w:val="24"/>
          <w:szCs w:val="24"/>
        </w:rPr>
        <w:t>7.4.1给水系统应充分利用市政自来水压力，低区的生产、生活用水尽量由市政管网供给。</w:t>
      </w:r>
    </w:p>
    <w:p w14:paraId="5B7CB3DB">
      <w:pPr>
        <w:spacing w:line="360" w:lineRule="auto"/>
        <w:ind w:firstLine="480" w:firstLineChars="200"/>
        <w:rPr>
          <w:bCs/>
          <w:color w:val="auto"/>
          <w:sz w:val="24"/>
          <w:szCs w:val="24"/>
        </w:rPr>
      </w:pPr>
      <w:r>
        <w:rPr>
          <w:rFonts w:hint="eastAsia"/>
          <w:bCs/>
          <w:color w:val="auto"/>
          <w:sz w:val="24"/>
          <w:szCs w:val="24"/>
        </w:rPr>
        <w:t>7.4.2用水点处水压大于0.20MPa的配水支管应采取减压措施，并应满足用水器具工作压力的需求。</w:t>
      </w:r>
    </w:p>
    <w:p w14:paraId="568D94ED">
      <w:pPr>
        <w:spacing w:line="360" w:lineRule="auto"/>
        <w:ind w:firstLine="480" w:firstLineChars="200"/>
        <w:rPr>
          <w:bCs/>
          <w:color w:val="auto"/>
          <w:sz w:val="24"/>
          <w:szCs w:val="24"/>
        </w:rPr>
      </w:pPr>
      <w:r>
        <w:rPr>
          <w:rFonts w:hint="eastAsia"/>
          <w:bCs/>
          <w:color w:val="auto"/>
          <w:sz w:val="24"/>
          <w:szCs w:val="24"/>
        </w:rPr>
        <w:t>7.4.3地面以上的生活污、废水排水宜采用重力流系统。</w:t>
      </w:r>
    </w:p>
    <w:p w14:paraId="147E6471">
      <w:pPr>
        <w:spacing w:line="360" w:lineRule="auto"/>
        <w:ind w:firstLine="480" w:firstLineChars="200"/>
        <w:rPr>
          <w:bCs/>
          <w:color w:val="auto"/>
          <w:sz w:val="24"/>
          <w:szCs w:val="24"/>
        </w:rPr>
      </w:pPr>
      <w:r>
        <w:rPr>
          <w:rFonts w:hint="eastAsia"/>
          <w:bCs/>
          <w:color w:val="auto"/>
          <w:sz w:val="24"/>
          <w:szCs w:val="24"/>
        </w:rPr>
        <w:t>7.4.4卫生器具应采用节水型，且能效等级不低于二级。公共场所的洗手盆水嘴应采用非接触式或延时自闭式水嘴，蹲便器和小便器的冲洗阀应采用感应、自闭二合一式冲洗阀，坐便器应采用冲洗水箱。</w:t>
      </w:r>
    </w:p>
    <w:p w14:paraId="7D4F5064">
      <w:pPr>
        <w:spacing w:line="360" w:lineRule="auto"/>
        <w:ind w:firstLine="480" w:firstLineChars="200"/>
        <w:rPr>
          <w:bCs/>
          <w:color w:val="auto"/>
          <w:sz w:val="24"/>
          <w:szCs w:val="24"/>
        </w:rPr>
      </w:pPr>
      <w:r>
        <w:rPr>
          <w:rFonts w:hint="eastAsia"/>
          <w:bCs/>
          <w:color w:val="auto"/>
          <w:sz w:val="24"/>
          <w:szCs w:val="24"/>
        </w:rPr>
        <w:t>7.4.5应采用高效、安全的节能泵和节能污水处理设备，以减少能耗。</w:t>
      </w:r>
    </w:p>
    <w:p w14:paraId="51253F82">
      <w:pPr>
        <w:spacing w:line="360" w:lineRule="auto"/>
        <w:ind w:firstLine="480" w:firstLineChars="200"/>
        <w:rPr>
          <w:bCs/>
          <w:color w:val="auto"/>
          <w:sz w:val="24"/>
          <w:szCs w:val="24"/>
        </w:rPr>
      </w:pPr>
      <w:r>
        <w:rPr>
          <w:rFonts w:hint="eastAsia"/>
          <w:bCs/>
          <w:color w:val="auto"/>
          <w:sz w:val="24"/>
          <w:szCs w:val="24"/>
        </w:rPr>
        <w:t>7.4.6水泵的选型应保证设计工况下水泵效率处于高效区。变频调速泵组应合理选择搭配水泵和调节设施，避免水泵频繁启动。</w:t>
      </w:r>
    </w:p>
    <w:p w14:paraId="3D474936">
      <w:pPr>
        <w:spacing w:line="360" w:lineRule="auto"/>
        <w:ind w:firstLine="480" w:firstLineChars="200"/>
        <w:rPr>
          <w:bCs/>
          <w:color w:val="auto"/>
          <w:sz w:val="24"/>
          <w:szCs w:val="24"/>
        </w:rPr>
      </w:pPr>
      <w:r>
        <w:rPr>
          <w:rFonts w:hint="eastAsia"/>
          <w:bCs/>
          <w:color w:val="auto"/>
          <w:sz w:val="24"/>
          <w:szCs w:val="24"/>
        </w:rPr>
        <w:t>7.4.7给水系统应使用耐腐蚀、耐久性能好的管材、管件和阀门等，减少管道系统的漏损。</w:t>
      </w:r>
    </w:p>
    <w:p w14:paraId="32A4BFA7">
      <w:pPr>
        <w:spacing w:line="360" w:lineRule="auto"/>
        <w:ind w:firstLine="480" w:firstLineChars="200"/>
        <w:rPr>
          <w:bCs/>
          <w:color w:val="auto"/>
          <w:sz w:val="24"/>
          <w:szCs w:val="24"/>
        </w:rPr>
      </w:pPr>
      <w:r>
        <w:rPr>
          <w:rFonts w:hint="eastAsia"/>
          <w:bCs/>
          <w:color w:val="auto"/>
          <w:sz w:val="24"/>
          <w:szCs w:val="24"/>
        </w:rPr>
        <w:t>7.4.8洗车用水应处理后循环使用，洗车废水处理后回用。（什么条件下回用）</w:t>
      </w:r>
    </w:p>
    <w:p w14:paraId="66CAAD92">
      <w:pPr>
        <w:spacing w:line="360" w:lineRule="auto"/>
        <w:ind w:firstLine="480" w:firstLineChars="200"/>
        <w:rPr>
          <w:bCs/>
          <w:color w:val="auto"/>
          <w:sz w:val="24"/>
          <w:szCs w:val="24"/>
        </w:rPr>
      </w:pPr>
      <w:r>
        <w:rPr>
          <w:rFonts w:hint="eastAsia"/>
          <w:bCs/>
          <w:color w:val="auto"/>
          <w:sz w:val="24"/>
          <w:szCs w:val="24"/>
        </w:rPr>
        <w:t>7.4.9应根据所在地区雨水条件和水量平衡等情况合理设置雨水收集和利用系统，地上车辆基地优先采用屋面雨水回收利用的方式。</w:t>
      </w:r>
    </w:p>
    <w:p w14:paraId="1CC8249D">
      <w:pPr>
        <w:spacing w:line="360" w:lineRule="auto"/>
        <w:ind w:firstLine="480" w:firstLineChars="200"/>
        <w:rPr>
          <w:bCs/>
          <w:color w:val="auto"/>
          <w:sz w:val="24"/>
          <w:szCs w:val="24"/>
        </w:rPr>
      </w:pPr>
      <w:r>
        <w:rPr>
          <w:rFonts w:hint="eastAsia"/>
          <w:bCs/>
          <w:color w:val="auto"/>
          <w:sz w:val="24"/>
          <w:szCs w:val="24"/>
        </w:rPr>
        <w:t>7.4.10绿化浇洒应采用喷灌、微灌等高效节水灌溉方式。</w:t>
      </w:r>
    </w:p>
    <w:p w14:paraId="503100F6">
      <w:pPr>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84" w:name="_Toc27013"/>
      <w:bookmarkStart w:id="85" w:name="_Toc223104320"/>
      <w:bookmarkStart w:id="86" w:name="_Toc3733"/>
      <w:r>
        <w:rPr>
          <w:rFonts w:hint="eastAsia" w:ascii="Times New Roman" w:hAnsi="Times New Roman" w:eastAsia="宋体" w:cs="Times New Roman"/>
          <w:bCs/>
          <w:color w:val="auto"/>
          <w:sz w:val="28"/>
          <w:szCs w:val="28"/>
        </w:rPr>
        <w:t>7.5 生活热水</w:t>
      </w:r>
      <w:bookmarkEnd w:id="84"/>
      <w:bookmarkEnd w:id="85"/>
      <w:bookmarkEnd w:id="86"/>
    </w:p>
    <w:p w14:paraId="4BF7B491">
      <w:pPr>
        <w:spacing w:line="360" w:lineRule="auto"/>
        <w:ind w:firstLine="480" w:firstLineChars="200"/>
        <w:rPr>
          <w:bCs/>
          <w:color w:val="auto"/>
          <w:sz w:val="24"/>
          <w:szCs w:val="24"/>
        </w:rPr>
      </w:pPr>
      <w:r>
        <w:rPr>
          <w:rFonts w:hint="eastAsia"/>
          <w:bCs/>
          <w:color w:val="auto"/>
          <w:sz w:val="24"/>
          <w:szCs w:val="24"/>
        </w:rPr>
        <w:t>7.5.1集中热水供应系统的热源应优先利用太阳能、空气能等可再生能源或余热、废热，并应采用高效设备。</w:t>
      </w:r>
    </w:p>
    <w:p w14:paraId="75AA17CD">
      <w:pPr>
        <w:spacing w:line="360" w:lineRule="auto"/>
        <w:ind w:firstLine="480" w:firstLineChars="200"/>
        <w:rPr>
          <w:bCs/>
          <w:color w:val="auto"/>
          <w:sz w:val="24"/>
          <w:szCs w:val="24"/>
        </w:rPr>
      </w:pPr>
      <w:r>
        <w:rPr>
          <w:rFonts w:hint="eastAsia"/>
          <w:bCs/>
          <w:color w:val="auto"/>
          <w:sz w:val="24"/>
          <w:szCs w:val="24"/>
        </w:rPr>
        <w:t>7.5.2集中热水供应系统的供水分区宜与用水点处的冷水分区同区，并应采取保证用水点处冷、热水供水压力平衡和保证循环管网有效循环的措施。</w:t>
      </w:r>
    </w:p>
    <w:p w14:paraId="783688B2">
      <w:pPr>
        <w:widowControl/>
        <w:spacing w:line="360" w:lineRule="auto"/>
        <w:ind w:firstLine="480" w:firstLineChars="200"/>
        <w:rPr>
          <w:bCs/>
          <w:color w:val="auto"/>
          <w:sz w:val="24"/>
          <w:szCs w:val="24"/>
        </w:rPr>
      </w:pPr>
      <w:r>
        <w:rPr>
          <w:rFonts w:hint="eastAsia"/>
          <w:bCs/>
          <w:color w:val="auto"/>
          <w:sz w:val="24"/>
          <w:szCs w:val="24"/>
        </w:rPr>
        <w:t>7.5.3集中热水供应系统的管网及设备应采取保温措施，保温厚度满足国家标准相关要求。</w:t>
      </w:r>
    </w:p>
    <w:p w14:paraId="089BA839">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87" w:name="_Toc17838"/>
      <w:bookmarkStart w:id="88" w:name="_Toc223104321"/>
      <w:bookmarkStart w:id="89" w:name="_Toc23292"/>
      <w:r>
        <w:rPr>
          <w:rFonts w:hint="eastAsia" w:ascii="Times New Roman" w:hAnsi="Times New Roman" w:eastAsia="宋体" w:cs="Times New Roman"/>
          <w:bCs/>
          <w:color w:val="auto"/>
          <w:sz w:val="28"/>
          <w:szCs w:val="28"/>
        </w:rPr>
        <w:t>7.6 供电系统设计</w:t>
      </w:r>
      <w:bookmarkEnd w:id="87"/>
      <w:bookmarkEnd w:id="88"/>
      <w:bookmarkEnd w:id="89"/>
    </w:p>
    <w:p w14:paraId="5302788D">
      <w:pPr>
        <w:spacing w:line="360" w:lineRule="auto"/>
        <w:ind w:firstLine="480" w:firstLineChars="200"/>
        <w:rPr>
          <w:bCs/>
          <w:color w:val="auto"/>
          <w:sz w:val="24"/>
          <w:szCs w:val="24"/>
        </w:rPr>
      </w:pPr>
      <w:r>
        <w:rPr>
          <w:rFonts w:hint="eastAsia"/>
          <w:bCs/>
          <w:color w:val="auto"/>
          <w:sz w:val="24"/>
          <w:szCs w:val="24"/>
        </w:rPr>
        <w:t>7.6.1 车辆基地供电系统（牵引用电除外）应合理设置降压变电所，变电所应设置在负荷中心，供电半径不宜超过150m。</w:t>
      </w:r>
    </w:p>
    <w:p w14:paraId="158F0842">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车辆基地建筑单体较多，合理设置降压变电所数量能够降低电缆损耗，应综合全生命周期比较高压供电与低压供电的成本确定供电方式，优先采用高压供电，将高压送至负荷中心，避免过多的低压电缆敷设。</w:t>
      </w:r>
    </w:p>
    <w:p w14:paraId="6DE5094D">
      <w:pPr>
        <w:spacing w:line="360" w:lineRule="auto"/>
        <w:ind w:firstLine="480" w:firstLineChars="200"/>
        <w:rPr>
          <w:bCs/>
          <w:color w:val="auto"/>
          <w:sz w:val="24"/>
          <w:szCs w:val="24"/>
        </w:rPr>
      </w:pPr>
      <w:r>
        <w:rPr>
          <w:rFonts w:hint="eastAsia"/>
          <w:bCs/>
          <w:color w:val="auto"/>
          <w:sz w:val="24"/>
          <w:szCs w:val="24"/>
        </w:rPr>
        <w:t xml:space="preserve">7.6.2 </w:t>
      </w:r>
      <w:r>
        <w:rPr>
          <w:bCs/>
          <w:color w:val="auto"/>
          <w:sz w:val="24"/>
          <w:szCs w:val="24"/>
        </w:rPr>
        <w:t>供配电系统应</w:t>
      </w:r>
      <w:r>
        <w:rPr>
          <w:rFonts w:hint="eastAsia"/>
          <w:bCs/>
          <w:color w:val="auto"/>
          <w:sz w:val="24"/>
          <w:szCs w:val="24"/>
        </w:rPr>
        <w:t>设置能源管理系统，</w:t>
      </w:r>
      <w:r>
        <w:rPr>
          <w:bCs/>
          <w:color w:val="auto"/>
          <w:sz w:val="24"/>
          <w:szCs w:val="24"/>
        </w:rPr>
        <w:t>具备实时监测、分析、智能调度等功能。</w:t>
      </w:r>
    </w:p>
    <w:p w14:paraId="0B19A2D0">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【条文说明】能源管理系统应结合车场智能化系统，利用大数据算法优势给出车辆基地节能策略。</w:t>
      </w:r>
    </w:p>
    <w:p w14:paraId="15DE99D9">
      <w:pPr>
        <w:spacing w:line="360" w:lineRule="auto"/>
        <w:ind w:firstLine="480" w:firstLineChars="200"/>
        <w:rPr>
          <w:bCs/>
          <w:color w:val="auto"/>
          <w:sz w:val="24"/>
          <w:szCs w:val="24"/>
        </w:rPr>
      </w:pPr>
      <w:r>
        <w:rPr>
          <w:rFonts w:hint="eastAsia"/>
          <w:bCs/>
          <w:color w:val="auto"/>
          <w:sz w:val="24"/>
          <w:szCs w:val="24"/>
        </w:rPr>
        <w:t>7.6.3 供配电系统设备应采用一级能耗设备。</w:t>
      </w:r>
    </w:p>
    <w:p w14:paraId="1ADE3D10">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90" w:name="_Toc31349"/>
      <w:bookmarkStart w:id="91" w:name="_Toc223104322"/>
      <w:bookmarkStart w:id="92" w:name="_Toc18419"/>
      <w:r>
        <w:rPr>
          <w:rFonts w:hint="eastAsia" w:ascii="Times New Roman" w:hAnsi="Times New Roman" w:eastAsia="宋体" w:cs="Times New Roman"/>
          <w:bCs/>
          <w:color w:val="auto"/>
          <w:sz w:val="28"/>
          <w:szCs w:val="28"/>
        </w:rPr>
        <w:t>7.7 动力照明</w:t>
      </w:r>
      <w:bookmarkEnd w:id="90"/>
      <w:bookmarkEnd w:id="91"/>
      <w:bookmarkEnd w:id="92"/>
    </w:p>
    <w:p w14:paraId="43CAD7A6">
      <w:pPr>
        <w:spacing w:line="360" w:lineRule="auto"/>
        <w:ind w:firstLine="480" w:firstLineChars="200"/>
        <w:rPr>
          <w:bCs/>
          <w:color w:val="auto"/>
          <w:sz w:val="24"/>
          <w:szCs w:val="24"/>
        </w:rPr>
      </w:pPr>
      <w:r>
        <w:rPr>
          <w:rFonts w:hint="eastAsia"/>
          <w:bCs/>
          <w:color w:val="auto"/>
          <w:sz w:val="24"/>
          <w:szCs w:val="24"/>
        </w:rPr>
        <w:t>7.7.1 车辆基地宜采用全电气化设计。</w:t>
      </w:r>
    </w:p>
    <w:p w14:paraId="349F8CB4">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【条文说明】车辆基地非电气化能源主要为燃气，是直接有碳排放的能源。采用全电气化设计可以减少零碳车辆段基地的直接碳排放源。</w:t>
      </w:r>
    </w:p>
    <w:p w14:paraId="3C6D185C">
      <w:pPr>
        <w:spacing w:line="360" w:lineRule="auto"/>
        <w:ind w:firstLine="480" w:firstLineChars="200"/>
        <w:rPr>
          <w:bCs/>
          <w:color w:val="auto"/>
          <w:sz w:val="24"/>
          <w:szCs w:val="24"/>
        </w:rPr>
      </w:pPr>
      <w:r>
        <w:rPr>
          <w:rFonts w:hint="eastAsia"/>
          <w:bCs/>
          <w:color w:val="auto"/>
          <w:sz w:val="24"/>
          <w:szCs w:val="24"/>
        </w:rPr>
        <w:t>7.7.2 车辆基地应提高可再生能源占用比例。</w:t>
      </w:r>
    </w:p>
    <w:p w14:paraId="5CB7D9BA">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【条文说明】车辆基地占地较大，地面建筑较多，优先采用单晶硅光伏发电之外，可结合BIPV等模式提高光伏供电比例。</w:t>
      </w:r>
    </w:p>
    <w:p w14:paraId="6DC8CE07">
      <w:pPr>
        <w:spacing w:line="360" w:lineRule="auto"/>
        <w:ind w:firstLine="480" w:firstLineChars="200"/>
        <w:rPr>
          <w:bCs/>
          <w:color w:val="auto"/>
          <w:sz w:val="24"/>
          <w:szCs w:val="24"/>
        </w:rPr>
      </w:pPr>
      <w:r>
        <w:rPr>
          <w:rFonts w:hint="eastAsia"/>
          <w:bCs/>
          <w:color w:val="auto"/>
          <w:sz w:val="24"/>
          <w:szCs w:val="24"/>
        </w:rPr>
        <w:t>7.7.3 车辆基地光伏发电系统，优先并入供电系统高压网络。</w:t>
      </w:r>
    </w:p>
    <w:p w14:paraId="69F0D15B">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【条文说明】光伏发电曲线与车辆基地低压负荷曲线不匹配，优先并入高压网络可以减少储能设施，降低投资，提高光伏发电利用率。</w:t>
      </w:r>
    </w:p>
    <w:p w14:paraId="579873B6">
      <w:pPr>
        <w:spacing w:line="360" w:lineRule="auto"/>
        <w:ind w:firstLine="480" w:firstLineChars="200"/>
        <w:rPr>
          <w:bCs/>
          <w:color w:val="auto"/>
          <w:sz w:val="24"/>
          <w:szCs w:val="24"/>
        </w:rPr>
      </w:pPr>
      <w:r>
        <w:rPr>
          <w:rFonts w:hint="eastAsia"/>
          <w:bCs/>
          <w:color w:val="auto"/>
          <w:sz w:val="24"/>
          <w:szCs w:val="24"/>
        </w:rPr>
        <w:t>7.7.4 车辆基地照明应采用LED光源灯具。</w:t>
      </w:r>
    </w:p>
    <w:p w14:paraId="26352615">
      <w:pPr>
        <w:spacing w:line="360" w:lineRule="auto"/>
        <w:ind w:firstLine="480" w:firstLineChars="200"/>
        <w:rPr>
          <w:bCs/>
          <w:color w:val="auto"/>
          <w:sz w:val="24"/>
          <w:szCs w:val="24"/>
        </w:rPr>
      </w:pPr>
      <w:r>
        <w:rPr>
          <w:rFonts w:hint="eastAsia"/>
          <w:bCs/>
          <w:color w:val="auto"/>
          <w:sz w:val="24"/>
          <w:szCs w:val="24"/>
        </w:rPr>
        <w:t>7.7.5 车辆基地照明LPD值宜在</w:t>
      </w:r>
      <w:r>
        <w:rPr>
          <w:rFonts w:hint="eastAsia"/>
          <w:bCs/>
          <w:color w:val="auto"/>
          <w:sz w:val="24"/>
          <w:szCs w:val="24"/>
          <w:lang w:val="en-US" w:eastAsia="zh-CN"/>
        </w:rPr>
        <w:t>现行国家标准</w:t>
      </w:r>
      <w:r>
        <w:rPr>
          <w:bCs/>
          <w:color w:val="auto"/>
          <w:sz w:val="24"/>
          <w:szCs w:val="24"/>
        </w:rPr>
        <w:t>《建筑节能和可再生能源利用通用规范》</w:t>
      </w:r>
      <w:r>
        <w:rPr>
          <w:rFonts w:hint="eastAsia"/>
          <w:bCs/>
          <w:color w:val="auto"/>
          <w:sz w:val="24"/>
          <w:szCs w:val="24"/>
        </w:rPr>
        <w:t>GB</w:t>
      </w:r>
      <w:r>
        <w:rPr>
          <w:bCs/>
          <w:color w:val="auto"/>
          <w:sz w:val="24"/>
          <w:szCs w:val="24"/>
        </w:rPr>
        <w:t>55015-2021</w:t>
      </w:r>
      <w:r>
        <w:rPr>
          <w:rFonts w:hint="eastAsia"/>
          <w:bCs/>
          <w:color w:val="auto"/>
          <w:sz w:val="24"/>
          <w:szCs w:val="24"/>
        </w:rPr>
        <w:t>及</w:t>
      </w:r>
      <w:bookmarkStart w:id="93" w:name="OLE_LINK2"/>
      <w:r>
        <w:rPr>
          <w:rFonts w:hint="eastAsia"/>
          <w:bCs/>
          <w:color w:val="auto"/>
          <w:sz w:val="24"/>
          <w:szCs w:val="24"/>
        </w:rPr>
        <w:t>《</w:t>
      </w:r>
      <w:r>
        <w:rPr>
          <w:bCs/>
          <w:color w:val="auto"/>
          <w:sz w:val="24"/>
          <w:szCs w:val="24"/>
        </w:rPr>
        <w:t>建筑照明设计标准</w:t>
      </w:r>
      <w:r>
        <w:rPr>
          <w:rFonts w:hint="eastAsia"/>
          <w:bCs/>
          <w:color w:val="auto"/>
          <w:sz w:val="24"/>
          <w:szCs w:val="24"/>
        </w:rPr>
        <w:t>》</w:t>
      </w:r>
      <w:bookmarkEnd w:id="93"/>
      <w:r>
        <w:rPr>
          <w:bCs/>
          <w:color w:val="auto"/>
          <w:sz w:val="24"/>
          <w:szCs w:val="24"/>
        </w:rPr>
        <w:t>GB/T 50034-2024</w:t>
      </w:r>
      <w:r>
        <w:rPr>
          <w:rFonts w:hint="eastAsia"/>
          <w:bCs/>
          <w:color w:val="auto"/>
          <w:sz w:val="24"/>
          <w:szCs w:val="24"/>
        </w:rPr>
        <w:t>相关标准之上降低LPD值不低于10%。</w:t>
      </w:r>
    </w:p>
    <w:p w14:paraId="5F27E7FE">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【条文说明】2024版《</w:t>
      </w:r>
      <w:r>
        <w:rPr>
          <w:rFonts w:ascii="楷体" w:hAnsi="楷体" w:eastAsia="楷体"/>
          <w:bCs/>
          <w:color w:val="auto"/>
          <w:sz w:val="24"/>
          <w:szCs w:val="24"/>
        </w:rPr>
        <w:t>建筑照明设计标准</w:t>
      </w:r>
      <w:r>
        <w:rPr>
          <w:rFonts w:hint="eastAsia" w:ascii="楷体" w:hAnsi="楷体" w:eastAsia="楷体"/>
          <w:bCs/>
          <w:color w:val="auto"/>
          <w:sz w:val="24"/>
          <w:szCs w:val="24"/>
        </w:rPr>
        <w:t>》中根据LED灯具的性能工业环境的LPD值做了调整，随着LED光效的不断提升，LPD值应该根据实际采购灯具相应调整LPD限制。</w:t>
      </w:r>
    </w:p>
    <w:p w14:paraId="6FC7D017">
      <w:pPr>
        <w:spacing w:line="360" w:lineRule="auto"/>
        <w:ind w:firstLine="480" w:firstLineChars="200"/>
        <w:rPr>
          <w:bCs/>
          <w:color w:val="auto"/>
          <w:sz w:val="24"/>
          <w:szCs w:val="24"/>
        </w:rPr>
      </w:pPr>
      <w:r>
        <w:rPr>
          <w:rFonts w:hint="eastAsia"/>
          <w:bCs/>
          <w:color w:val="auto"/>
          <w:sz w:val="24"/>
          <w:szCs w:val="24"/>
        </w:rPr>
        <w:t>7.7.5 车辆基地应采用智能照明系统。</w:t>
      </w:r>
    </w:p>
    <w:p w14:paraId="10AD42BC">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【条文说明】智能照明系统能够根据车辆基地环境照度，作业强度，节假日等因素统一调配场区照明方案，提高节能效果。</w:t>
      </w:r>
    </w:p>
    <w:p w14:paraId="662C6E94">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br w:type="page"/>
      </w:r>
    </w:p>
    <w:p w14:paraId="2A64C861">
      <w:pPr>
        <w:numPr>
          <w:ilvl w:val="0"/>
          <w:numId w:val="0"/>
        </w:numPr>
        <w:spacing w:after="240" w:line="360" w:lineRule="auto"/>
        <w:jc w:val="center"/>
        <w:outlineLvl w:val="0"/>
        <w:rPr>
          <w:rFonts w:ascii="黑体" w:hAnsi="黑体" w:eastAsia="黑体"/>
          <w:bCs/>
          <w:color w:val="auto"/>
          <w:sz w:val="36"/>
          <w:szCs w:val="32"/>
        </w:rPr>
      </w:pPr>
      <w:bookmarkStart w:id="94" w:name="_Toc13599"/>
      <w:bookmarkStart w:id="95" w:name="_Toc9514"/>
      <w:bookmarkStart w:id="96" w:name="_Toc223104323"/>
      <w:r>
        <w:rPr>
          <w:rFonts w:hint="eastAsia" w:ascii="黑体" w:hAnsi="黑体" w:eastAsia="黑体"/>
          <w:bCs/>
          <w:color w:val="auto"/>
          <w:sz w:val="36"/>
          <w:szCs w:val="32"/>
          <w:lang w:val="en-US" w:eastAsia="zh-CN"/>
        </w:rPr>
        <w:t xml:space="preserve">8 </w:t>
      </w:r>
      <w:r>
        <w:rPr>
          <w:rFonts w:hint="eastAsia" w:ascii="黑体" w:hAnsi="黑体" w:eastAsia="黑体"/>
          <w:bCs/>
          <w:color w:val="auto"/>
          <w:sz w:val="36"/>
          <w:szCs w:val="32"/>
        </w:rPr>
        <w:t>可再生能源利用</w:t>
      </w:r>
      <w:bookmarkEnd w:id="94"/>
      <w:bookmarkEnd w:id="95"/>
      <w:bookmarkEnd w:id="96"/>
    </w:p>
    <w:p w14:paraId="6C232901">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97" w:name="_Toc10403"/>
      <w:bookmarkStart w:id="98" w:name="_Toc223104324"/>
      <w:bookmarkStart w:id="99" w:name="_Toc1168"/>
      <w:r>
        <w:rPr>
          <w:rFonts w:hint="eastAsia" w:ascii="Times New Roman" w:hAnsi="Times New Roman" w:eastAsia="宋体" w:cs="Times New Roman"/>
          <w:bCs/>
          <w:color w:val="auto"/>
          <w:sz w:val="28"/>
          <w:szCs w:val="28"/>
        </w:rPr>
        <w:t>8.1 可再生能源适用场景</w:t>
      </w:r>
      <w:bookmarkEnd w:id="97"/>
      <w:bookmarkEnd w:id="98"/>
      <w:bookmarkEnd w:id="99"/>
    </w:p>
    <w:p w14:paraId="2C2C5A71">
      <w:pPr>
        <w:spacing w:line="360" w:lineRule="auto"/>
        <w:ind w:firstLine="480" w:firstLineChars="200"/>
        <w:rPr>
          <w:bCs/>
          <w:color w:val="auto"/>
          <w:sz w:val="24"/>
          <w:szCs w:val="24"/>
        </w:rPr>
      </w:pPr>
      <w:r>
        <w:rPr>
          <w:rFonts w:hint="eastAsia"/>
          <w:bCs/>
          <w:color w:val="auto"/>
          <w:sz w:val="24"/>
          <w:szCs w:val="24"/>
        </w:rPr>
        <w:t>车辆基地的用能应结合当地环境资源条件、站场布局和技术经济分析，结合国家相关政策，优化能源结构，提高可再生能源的比重，可再生能源</w:t>
      </w:r>
      <w:r>
        <w:rPr>
          <w:bCs/>
          <w:color w:val="auto"/>
          <w:sz w:val="24"/>
          <w:szCs w:val="24"/>
        </w:rPr>
        <w:t>应用系统宜设置检测系统节能受益的计量装置</w:t>
      </w:r>
      <w:r>
        <w:rPr>
          <w:rFonts w:hint="eastAsia"/>
          <w:bCs/>
          <w:color w:val="auto"/>
          <w:sz w:val="24"/>
          <w:szCs w:val="24"/>
        </w:rPr>
        <w:t>。</w:t>
      </w:r>
    </w:p>
    <w:p w14:paraId="26C83F10">
      <w:pPr>
        <w:spacing w:line="360" w:lineRule="auto"/>
        <w:ind w:firstLine="480" w:firstLineChars="200"/>
        <w:rPr>
          <w:bCs/>
          <w:color w:val="auto"/>
          <w:sz w:val="24"/>
          <w:szCs w:val="24"/>
        </w:rPr>
      </w:pPr>
      <w:r>
        <w:rPr>
          <w:rFonts w:hint="eastAsia"/>
          <w:bCs/>
          <w:color w:val="auto"/>
          <w:sz w:val="24"/>
          <w:szCs w:val="24"/>
        </w:rPr>
        <w:t>8.1.1太阳能</w:t>
      </w:r>
    </w:p>
    <w:p w14:paraId="7E74F857">
      <w:pPr>
        <w:spacing w:line="360" w:lineRule="auto"/>
        <w:ind w:firstLine="480" w:firstLineChars="200"/>
        <w:rPr>
          <w:bCs/>
          <w:color w:val="auto"/>
          <w:sz w:val="24"/>
          <w:szCs w:val="24"/>
        </w:rPr>
      </w:pPr>
      <w:r>
        <w:rPr>
          <w:bCs/>
          <w:color w:val="auto"/>
          <w:sz w:val="24"/>
          <w:szCs w:val="24"/>
        </w:rPr>
        <w:t>1</w:t>
      </w:r>
      <w:r>
        <w:rPr>
          <w:rFonts w:hint="eastAsia"/>
          <w:bCs/>
          <w:color w:val="auto"/>
          <w:sz w:val="24"/>
          <w:szCs w:val="24"/>
        </w:rPr>
        <w:t>车辆基地</w:t>
      </w:r>
      <w:r>
        <w:rPr>
          <w:bCs/>
          <w:color w:val="auto"/>
          <w:sz w:val="24"/>
          <w:szCs w:val="24"/>
        </w:rPr>
        <w:t>可利用</w:t>
      </w:r>
      <w:r>
        <w:rPr>
          <w:rFonts w:hint="eastAsia"/>
          <w:bCs/>
          <w:color w:val="auto"/>
          <w:sz w:val="24"/>
          <w:szCs w:val="24"/>
        </w:rPr>
        <w:t>边坡、咽喉区、建筑立面、屋顶等场地建设光伏发电系统，为车辆基地</w:t>
      </w:r>
      <w:r>
        <w:rPr>
          <w:bCs/>
          <w:color w:val="auto"/>
          <w:sz w:val="24"/>
          <w:szCs w:val="24"/>
        </w:rPr>
        <w:t>提供</w:t>
      </w:r>
      <w:r>
        <w:rPr>
          <w:rFonts w:hint="eastAsia"/>
          <w:bCs/>
          <w:color w:val="auto"/>
          <w:sz w:val="24"/>
          <w:szCs w:val="24"/>
        </w:rPr>
        <w:t>生产、生活和列车牵引</w:t>
      </w:r>
      <w:r>
        <w:rPr>
          <w:bCs/>
          <w:color w:val="auto"/>
          <w:sz w:val="24"/>
          <w:szCs w:val="24"/>
        </w:rPr>
        <w:t>用电</w:t>
      </w:r>
      <w:r>
        <w:rPr>
          <w:rFonts w:hint="eastAsia"/>
          <w:bCs/>
          <w:color w:val="auto"/>
          <w:sz w:val="24"/>
          <w:szCs w:val="24"/>
        </w:rPr>
        <w:t>。</w:t>
      </w:r>
    </w:p>
    <w:p w14:paraId="490C4C3E">
      <w:pPr>
        <w:spacing w:line="360" w:lineRule="auto"/>
        <w:ind w:firstLine="480" w:firstLineChars="200"/>
        <w:rPr>
          <w:bCs/>
          <w:color w:val="auto"/>
          <w:sz w:val="24"/>
          <w:szCs w:val="24"/>
        </w:rPr>
      </w:pPr>
      <w:r>
        <w:rPr>
          <w:bCs/>
          <w:color w:val="auto"/>
          <w:sz w:val="24"/>
          <w:szCs w:val="24"/>
        </w:rPr>
        <w:t>2</w:t>
      </w:r>
      <w:r>
        <w:rPr>
          <w:rFonts w:hint="eastAsia"/>
          <w:bCs/>
          <w:color w:val="auto"/>
          <w:sz w:val="24"/>
          <w:szCs w:val="24"/>
        </w:rPr>
        <w:t>车辆基地</w:t>
      </w:r>
      <w:r>
        <w:rPr>
          <w:bCs/>
          <w:color w:val="auto"/>
          <w:sz w:val="24"/>
          <w:szCs w:val="24"/>
        </w:rPr>
        <w:t>可在综合楼</w:t>
      </w:r>
      <w:r>
        <w:rPr>
          <w:rFonts w:hint="eastAsia"/>
          <w:bCs/>
          <w:color w:val="auto"/>
          <w:sz w:val="24"/>
          <w:szCs w:val="24"/>
        </w:rPr>
        <w:t>屋顶、边坡顶等光照强度大、光照时间充足处安装太阳能热水器，为车辆基地食堂、洗浴间和司机待班室等区域提供热水。</w:t>
      </w:r>
    </w:p>
    <w:p w14:paraId="0CA44681">
      <w:pPr>
        <w:spacing w:line="360" w:lineRule="auto"/>
        <w:ind w:firstLine="480" w:firstLineChars="200"/>
        <w:rPr>
          <w:bCs/>
          <w:color w:val="auto"/>
          <w:sz w:val="24"/>
          <w:szCs w:val="24"/>
        </w:rPr>
      </w:pPr>
      <w:r>
        <w:rPr>
          <w:bCs/>
          <w:color w:val="auto"/>
          <w:sz w:val="24"/>
          <w:szCs w:val="24"/>
        </w:rPr>
        <w:t>8</w:t>
      </w:r>
      <w:r>
        <w:rPr>
          <w:rFonts w:hint="eastAsia"/>
          <w:bCs/>
          <w:color w:val="auto"/>
          <w:sz w:val="24"/>
          <w:szCs w:val="24"/>
        </w:rPr>
        <w:t>.1.2风能</w:t>
      </w:r>
    </w:p>
    <w:p w14:paraId="14A0A356">
      <w:pPr>
        <w:spacing w:line="360" w:lineRule="auto"/>
        <w:ind w:firstLine="480" w:firstLineChars="200"/>
        <w:rPr>
          <w:bCs/>
          <w:color w:val="auto"/>
          <w:sz w:val="24"/>
          <w:szCs w:val="24"/>
        </w:rPr>
      </w:pPr>
      <w:r>
        <w:rPr>
          <w:bCs/>
          <w:color w:val="auto"/>
          <w:sz w:val="24"/>
          <w:szCs w:val="24"/>
        </w:rPr>
        <w:t>1车辆基地在建设光伏发电系统的基础上，若同时具备风能条件</w:t>
      </w:r>
      <w:r>
        <w:rPr>
          <w:rFonts w:hint="eastAsia"/>
          <w:bCs/>
          <w:color w:val="auto"/>
          <w:sz w:val="24"/>
          <w:szCs w:val="24"/>
        </w:rPr>
        <w:t>，可部署小型风力发电机组，形成风光储一体化供电系统。</w:t>
      </w:r>
    </w:p>
    <w:p w14:paraId="281ADC04">
      <w:pPr>
        <w:spacing w:line="360" w:lineRule="auto"/>
        <w:ind w:firstLine="480" w:firstLineChars="200"/>
        <w:rPr>
          <w:bCs/>
          <w:color w:val="auto"/>
          <w:sz w:val="24"/>
          <w:szCs w:val="24"/>
        </w:rPr>
      </w:pPr>
      <w:r>
        <w:rPr>
          <w:rFonts w:hint="eastAsia" w:ascii="楷体" w:hAnsi="楷体" w:eastAsia="楷体"/>
          <w:bCs/>
          <w:color w:val="auto"/>
          <w:sz w:val="24"/>
          <w:szCs w:val="24"/>
        </w:rPr>
        <w:t>【条文说明】当车辆基地太阳能、风能资源丰富时，宜采用风光储一体化供电系统为车辆基地供电，当其中一种能源系统不足或检修时，可由另一种能源继续保持供电，或释放储存的电能，确保车辆基地电力供应的稳定性和可靠性</w:t>
      </w:r>
      <w:r>
        <w:rPr>
          <w:rFonts w:hint="eastAsia" w:ascii="楷体" w:hAnsi="楷体" w:eastAsia="楷体" w:cs="楷体"/>
          <w:bCs/>
          <w:color w:val="auto"/>
          <w:sz w:val="24"/>
          <w:szCs w:val="24"/>
        </w:rPr>
        <w:t>。</w:t>
      </w:r>
    </w:p>
    <w:p w14:paraId="28429D36">
      <w:pPr>
        <w:spacing w:line="360" w:lineRule="auto"/>
        <w:ind w:firstLine="480" w:firstLineChars="200"/>
        <w:rPr>
          <w:bCs/>
          <w:color w:val="auto"/>
          <w:sz w:val="24"/>
          <w:szCs w:val="24"/>
        </w:rPr>
      </w:pPr>
      <w:r>
        <w:rPr>
          <w:bCs/>
          <w:color w:val="auto"/>
          <w:sz w:val="24"/>
          <w:szCs w:val="24"/>
        </w:rPr>
        <w:t>2</w:t>
      </w:r>
      <w:r>
        <w:rPr>
          <w:rFonts w:hint="eastAsia"/>
          <w:bCs/>
          <w:color w:val="auto"/>
          <w:sz w:val="24"/>
          <w:szCs w:val="24"/>
        </w:rPr>
        <w:t>车辆基地可在室外车道两旁、场区景观等处布置风光互补路灯。</w:t>
      </w:r>
    </w:p>
    <w:p w14:paraId="2948A863">
      <w:pPr>
        <w:spacing w:line="360" w:lineRule="auto"/>
        <w:ind w:firstLine="480" w:firstLineChars="200"/>
        <w:rPr>
          <w:bCs/>
          <w:color w:val="auto"/>
          <w:sz w:val="24"/>
          <w:szCs w:val="24"/>
        </w:rPr>
      </w:pPr>
      <w:r>
        <w:rPr>
          <w:rFonts w:hint="eastAsia"/>
          <w:bCs/>
          <w:color w:val="auto"/>
          <w:sz w:val="24"/>
          <w:szCs w:val="24"/>
        </w:rPr>
        <w:t>8.1.3氢能</w:t>
      </w:r>
    </w:p>
    <w:p w14:paraId="7B2B1570">
      <w:pPr>
        <w:spacing w:line="360" w:lineRule="auto"/>
        <w:ind w:firstLine="480" w:firstLineChars="200"/>
        <w:rPr>
          <w:bCs/>
          <w:color w:val="auto"/>
          <w:sz w:val="24"/>
          <w:szCs w:val="24"/>
        </w:rPr>
      </w:pPr>
      <w:r>
        <w:rPr>
          <w:rFonts w:hint="eastAsia"/>
          <w:bCs/>
          <w:color w:val="auto"/>
          <w:sz w:val="24"/>
          <w:szCs w:val="24"/>
        </w:rPr>
        <w:t>应用氢能的车辆基地应根据需求配套供氢站和氢能储存设施，适用场景如下：</w:t>
      </w:r>
    </w:p>
    <w:p w14:paraId="27E2A3AE">
      <w:pPr>
        <w:spacing w:line="360" w:lineRule="auto"/>
        <w:ind w:firstLine="480" w:firstLineChars="200"/>
        <w:rPr>
          <w:bCs/>
          <w:color w:val="auto"/>
          <w:sz w:val="24"/>
          <w:szCs w:val="24"/>
        </w:rPr>
      </w:pPr>
      <w:r>
        <w:rPr>
          <w:rFonts w:hint="eastAsia"/>
          <w:bCs/>
          <w:color w:val="auto"/>
          <w:sz w:val="24"/>
          <w:szCs w:val="24"/>
        </w:rPr>
        <w:t>1在非电气化轨道区域，采用氢能工程车；</w:t>
      </w:r>
    </w:p>
    <w:p w14:paraId="0387C0B0">
      <w:pPr>
        <w:spacing w:line="360" w:lineRule="auto"/>
        <w:ind w:firstLine="480" w:firstLineChars="200"/>
        <w:rPr>
          <w:bCs/>
          <w:color w:val="auto"/>
          <w:sz w:val="24"/>
          <w:szCs w:val="24"/>
        </w:rPr>
      </w:pPr>
      <w:r>
        <w:rPr>
          <w:rFonts w:hint="eastAsia"/>
          <w:bCs/>
          <w:color w:val="auto"/>
          <w:sz w:val="24"/>
          <w:szCs w:val="24"/>
        </w:rPr>
        <w:t>2车辆基地公交车、接驳巴士等，采用氢能汽车；</w:t>
      </w:r>
    </w:p>
    <w:p w14:paraId="666691BC">
      <w:pPr>
        <w:spacing w:line="360" w:lineRule="auto"/>
        <w:ind w:firstLine="480" w:firstLineChars="200"/>
        <w:rPr>
          <w:bCs/>
          <w:color w:val="auto"/>
          <w:sz w:val="24"/>
          <w:szCs w:val="24"/>
        </w:rPr>
      </w:pPr>
      <w:r>
        <w:rPr>
          <w:rFonts w:hint="eastAsia"/>
          <w:bCs/>
          <w:color w:val="auto"/>
          <w:sz w:val="24"/>
          <w:szCs w:val="24"/>
        </w:rPr>
        <w:t>3无人机等设备采用氢燃料电池，用于车辆基地日常巡检。</w:t>
      </w:r>
    </w:p>
    <w:p w14:paraId="0141F83B">
      <w:pPr>
        <w:spacing w:line="360" w:lineRule="auto"/>
        <w:ind w:firstLine="480" w:firstLineChars="200"/>
        <w:rPr>
          <w:bCs/>
          <w:color w:val="auto"/>
          <w:sz w:val="24"/>
          <w:szCs w:val="24"/>
        </w:rPr>
      </w:pPr>
      <w:r>
        <w:rPr>
          <w:rFonts w:hint="eastAsia"/>
          <w:bCs/>
          <w:color w:val="auto"/>
          <w:sz w:val="24"/>
          <w:szCs w:val="24"/>
        </w:rPr>
        <w:t>8.1.4土壤源热泵</w:t>
      </w:r>
    </w:p>
    <w:p w14:paraId="7387884A">
      <w:pPr>
        <w:spacing w:line="360" w:lineRule="auto"/>
        <w:ind w:firstLine="480" w:firstLineChars="200"/>
        <w:rPr>
          <w:bCs/>
          <w:color w:val="auto"/>
          <w:sz w:val="24"/>
          <w:szCs w:val="24"/>
        </w:rPr>
      </w:pPr>
      <w:r>
        <w:rPr>
          <w:rFonts w:hint="eastAsia"/>
          <w:bCs/>
          <w:color w:val="auto"/>
          <w:sz w:val="24"/>
          <w:szCs w:val="24"/>
        </w:rPr>
        <w:t>1当车辆基地位于冬夏负荷均衡，地质条件良好的区域时，可采用土壤源热泵为车辆基地供暖、供冷。</w:t>
      </w:r>
    </w:p>
    <w:p w14:paraId="4B4802FA">
      <w:pPr>
        <w:spacing w:line="360" w:lineRule="auto"/>
        <w:ind w:firstLine="480" w:firstLineChars="200"/>
        <w:rPr>
          <w:bCs/>
          <w:color w:val="auto"/>
          <w:sz w:val="24"/>
          <w:szCs w:val="24"/>
        </w:rPr>
      </w:pPr>
      <w:r>
        <w:rPr>
          <w:bCs/>
          <w:color w:val="auto"/>
          <w:sz w:val="24"/>
          <w:szCs w:val="24"/>
        </w:rPr>
        <w:t>2</w:t>
      </w:r>
      <w:r>
        <w:rPr>
          <w:rFonts w:hint="eastAsia"/>
          <w:bCs/>
          <w:color w:val="auto"/>
          <w:sz w:val="24"/>
          <w:szCs w:val="24"/>
        </w:rPr>
        <w:t>当车辆基地位于冬夏负荷不均衡，地质条件良好的区域时，可</w:t>
      </w:r>
      <w:r>
        <w:rPr>
          <w:bCs/>
          <w:color w:val="auto"/>
          <w:sz w:val="24"/>
          <w:szCs w:val="24"/>
        </w:rPr>
        <w:t>采用</w:t>
      </w:r>
      <w:r>
        <w:rPr>
          <w:rFonts w:hint="eastAsia"/>
          <w:bCs/>
          <w:color w:val="auto"/>
          <w:sz w:val="24"/>
          <w:szCs w:val="24"/>
        </w:rPr>
        <w:t>土壤源热泵与太阳能联合为车辆基地供暖、供冷。</w:t>
      </w:r>
    </w:p>
    <w:p w14:paraId="5A90B5B5">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【条文说明】当冬季热负荷</w:t>
      </w:r>
      <w:r>
        <w:rPr>
          <w:rFonts w:ascii="楷体" w:hAnsi="楷体" w:eastAsia="楷体"/>
          <w:bCs/>
          <w:color w:val="auto"/>
          <w:sz w:val="24"/>
          <w:szCs w:val="24"/>
        </w:rPr>
        <w:t>大于夏季冷负荷</w:t>
      </w:r>
      <w:r>
        <w:rPr>
          <w:rFonts w:hint="eastAsia" w:ascii="楷体" w:hAnsi="楷体" w:eastAsia="楷体"/>
          <w:bCs/>
          <w:color w:val="auto"/>
          <w:sz w:val="24"/>
          <w:szCs w:val="24"/>
        </w:rPr>
        <w:t>，土壤释热量大于吸热量</w:t>
      </w:r>
      <w:r>
        <w:rPr>
          <w:rFonts w:ascii="楷体" w:hAnsi="楷体" w:eastAsia="楷体"/>
          <w:bCs/>
          <w:color w:val="auto"/>
          <w:sz w:val="24"/>
          <w:szCs w:val="24"/>
        </w:rPr>
        <w:t>时</w:t>
      </w:r>
      <w:r>
        <w:rPr>
          <w:rFonts w:hint="eastAsia" w:ascii="楷体" w:hAnsi="楷体" w:eastAsia="楷体"/>
          <w:bCs/>
          <w:color w:val="auto"/>
          <w:sz w:val="24"/>
          <w:szCs w:val="24"/>
        </w:rPr>
        <w:t>，为保证土壤热平衡，冬季需采用</w:t>
      </w:r>
      <w:r>
        <w:rPr>
          <w:rFonts w:ascii="楷体" w:hAnsi="楷体" w:eastAsia="楷体"/>
          <w:bCs/>
          <w:color w:val="auto"/>
          <w:sz w:val="24"/>
          <w:szCs w:val="24"/>
        </w:rPr>
        <w:t>其他</w:t>
      </w:r>
      <w:r>
        <w:rPr>
          <w:rFonts w:hint="eastAsia" w:ascii="楷体" w:hAnsi="楷体" w:eastAsia="楷体"/>
          <w:bCs/>
          <w:color w:val="auto"/>
          <w:sz w:val="24"/>
          <w:szCs w:val="24"/>
        </w:rPr>
        <w:t>热源辅助供热。</w:t>
      </w:r>
    </w:p>
    <w:p w14:paraId="785643CF">
      <w:pPr>
        <w:spacing w:line="360" w:lineRule="auto"/>
        <w:ind w:firstLine="480" w:firstLineChars="200"/>
        <w:rPr>
          <w:bCs/>
          <w:color w:val="auto"/>
          <w:sz w:val="24"/>
          <w:szCs w:val="24"/>
        </w:rPr>
      </w:pPr>
      <w:r>
        <w:rPr>
          <w:bCs/>
          <w:color w:val="auto"/>
          <w:sz w:val="24"/>
          <w:szCs w:val="24"/>
        </w:rPr>
        <w:t>3</w:t>
      </w:r>
      <w:r>
        <w:rPr>
          <w:rFonts w:hint="eastAsia"/>
          <w:bCs/>
          <w:color w:val="auto"/>
          <w:sz w:val="24"/>
          <w:szCs w:val="24"/>
        </w:rPr>
        <w:t>当车辆基地位于夏冬负荷不均衡，地质条件良好，且当地对蓄冷电价有政策支持的区域时，可</w:t>
      </w:r>
      <w:r>
        <w:rPr>
          <w:bCs/>
          <w:color w:val="auto"/>
          <w:sz w:val="24"/>
          <w:szCs w:val="24"/>
        </w:rPr>
        <w:t>采用</w:t>
      </w:r>
      <w:r>
        <w:rPr>
          <w:rFonts w:hint="eastAsia"/>
          <w:bCs/>
          <w:color w:val="auto"/>
          <w:sz w:val="24"/>
          <w:szCs w:val="24"/>
        </w:rPr>
        <w:t>土壤源热泵加蓄冷系统联合为车辆基地供暖、供冷。</w:t>
      </w:r>
    </w:p>
    <w:p w14:paraId="09877BE0">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【条文说明】当</w:t>
      </w:r>
      <w:r>
        <w:rPr>
          <w:rFonts w:ascii="楷体" w:hAnsi="楷体" w:eastAsia="楷体"/>
          <w:bCs/>
          <w:color w:val="auto"/>
          <w:sz w:val="24"/>
          <w:szCs w:val="24"/>
        </w:rPr>
        <w:t>夏季冷负荷大于</w:t>
      </w:r>
      <w:r>
        <w:rPr>
          <w:rFonts w:hint="eastAsia" w:ascii="楷体" w:hAnsi="楷体" w:eastAsia="楷体"/>
          <w:bCs/>
          <w:color w:val="auto"/>
          <w:sz w:val="24"/>
          <w:szCs w:val="24"/>
        </w:rPr>
        <w:t>冬季热负荷，土壤吸热量大于释热量</w:t>
      </w:r>
      <w:r>
        <w:rPr>
          <w:rFonts w:ascii="楷体" w:hAnsi="楷体" w:eastAsia="楷体"/>
          <w:bCs/>
          <w:color w:val="auto"/>
          <w:sz w:val="24"/>
          <w:szCs w:val="24"/>
        </w:rPr>
        <w:t>时</w:t>
      </w:r>
      <w:r>
        <w:rPr>
          <w:rFonts w:hint="eastAsia" w:ascii="楷体" w:hAnsi="楷体" w:eastAsia="楷体"/>
          <w:bCs/>
          <w:color w:val="auto"/>
          <w:sz w:val="24"/>
          <w:szCs w:val="24"/>
        </w:rPr>
        <w:t>，为保证土壤热平衡，夏季需采用</w:t>
      </w:r>
      <w:r>
        <w:rPr>
          <w:rFonts w:ascii="楷体" w:hAnsi="楷体" w:eastAsia="楷体"/>
          <w:bCs/>
          <w:color w:val="auto"/>
          <w:sz w:val="24"/>
          <w:szCs w:val="24"/>
        </w:rPr>
        <w:t>其他</w:t>
      </w:r>
      <w:r>
        <w:rPr>
          <w:rFonts w:hint="eastAsia" w:ascii="楷体" w:hAnsi="楷体" w:eastAsia="楷体"/>
          <w:bCs/>
          <w:color w:val="auto"/>
          <w:sz w:val="24"/>
          <w:szCs w:val="24"/>
        </w:rPr>
        <w:t>冷源辅助供冷。当地</w:t>
      </w:r>
      <w:r>
        <w:rPr>
          <w:rFonts w:ascii="楷体" w:hAnsi="楷体" w:eastAsia="楷体"/>
          <w:bCs/>
          <w:color w:val="auto"/>
          <w:sz w:val="24"/>
          <w:szCs w:val="24"/>
        </w:rPr>
        <w:t>对车辆基地</w:t>
      </w:r>
      <w:r>
        <w:rPr>
          <w:rFonts w:hint="eastAsia" w:ascii="楷体" w:hAnsi="楷体" w:eastAsia="楷体"/>
          <w:bCs/>
          <w:color w:val="auto"/>
          <w:sz w:val="24"/>
          <w:szCs w:val="24"/>
        </w:rPr>
        <w:t>夜间电价有</w:t>
      </w:r>
      <w:r>
        <w:rPr>
          <w:rFonts w:ascii="楷体" w:hAnsi="楷体" w:eastAsia="楷体"/>
          <w:bCs/>
          <w:color w:val="auto"/>
          <w:sz w:val="24"/>
          <w:szCs w:val="24"/>
        </w:rPr>
        <w:t>政策</w:t>
      </w:r>
      <w:r>
        <w:rPr>
          <w:rFonts w:hint="eastAsia" w:ascii="楷体" w:hAnsi="楷体" w:eastAsia="楷体"/>
          <w:bCs/>
          <w:color w:val="auto"/>
          <w:sz w:val="24"/>
          <w:szCs w:val="24"/>
        </w:rPr>
        <w:t>支持时，辅助供冷可采用蓄冷系统。</w:t>
      </w:r>
    </w:p>
    <w:p w14:paraId="3690CD3F">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00" w:name="_Toc223104325"/>
      <w:bookmarkStart w:id="101" w:name="_Toc14492"/>
      <w:bookmarkStart w:id="102" w:name="_Toc30346"/>
      <w:r>
        <w:rPr>
          <w:rFonts w:hint="eastAsia" w:ascii="Times New Roman" w:hAnsi="Times New Roman" w:eastAsia="宋体" w:cs="Times New Roman"/>
          <w:bCs/>
          <w:color w:val="auto"/>
          <w:sz w:val="28"/>
          <w:szCs w:val="28"/>
        </w:rPr>
        <w:t>8.2 可再生能源设计</w:t>
      </w:r>
      <w:bookmarkEnd w:id="100"/>
      <w:bookmarkEnd w:id="101"/>
      <w:bookmarkEnd w:id="102"/>
    </w:p>
    <w:p w14:paraId="61D72DD2">
      <w:pPr>
        <w:spacing w:line="360" w:lineRule="auto"/>
        <w:ind w:firstLine="480" w:firstLineChars="200"/>
        <w:rPr>
          <w:rFonts w:hint="eastAsia" w:ascii="宋体" w:hAnsi="宋体" w:cs="宋体"/>
          <w:color w:val="auto"/>
          <w:sz w:val="24"/>
          <w:szCs w:val="24"/>
          <w:shd w:val="clear" w:color="auto" w:fill="FFFFFF"/>
        </w:rPr>
      </w:pPr>
      <w:r>
        <w:rPr>
          <w:rFonts w:hint="eastAsia"/>
          <w:bCs/>
          <w:color w:val="auto"/>
          <w:sz w:val="24"/>
          <w:szCs w:val="24"/>
        </w:rPr>
        <w:t>8</w:t>
      </w:r>
      <w:r>
        <w:rPr>
          <w:rFonts w:ascii="宋体" w:hAnsi="宋体" w:cs="宋体"/>
          <w:color w:val="auto"/>
          <w:sz w:val="24"/>
          <w:szCs w:val="24"/>
          <w:shd w:val="clear" w:color="auto" w:fill="FFFFFF"/>
        </w:rPr>
        <w:t>.2.1</w:t>
      </w:r>
      <w:r>
        <w:rPr>
          <w:rFonts w:hint="eastAsia" w:ascii="宋体" w:hAnsi="宋体" w:cs="宋体"/>
          <w:color w:val="auto"/>
          <w:sz w:val="24"/>
          <w:szCs w:val="24"/>
          <w:shd w:val="clear" w:color="auto" w:fill="FFFFFF"/>
        </w:rPr>
        <w:t>太阳能</w:t>
      </w:r>
    </w:p>
    <w:p w14:paraId="1C27DDA2">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1</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车辆基地光伏发电系统设计应满足现行国家规范《光伏发电站设计规范》GB50797、《公共建筑节能设计标准》G</w:t>
      </w:r>
      <w:r>
        <w:rPr>
          <w:rFonts w:ascii="宋体" w:hAnsi="宋体" w:cs="宋体"/>
          <w:color w:val="auto"/>
          <w:sz w:val="24"/>
          <w:szCs w:val="24"/>
          <w:shd w:val="clear" w:color="auto" w:fill="FFFFFF"/>
        </w:rPr>
        <w:t>B50189</w:t>
      </w:r>
      <w:r>
        <w:rPr>
          <w:rFonts w:hint="eastAsia" w:ascii="宋体" w:hAnsi="宋体" w:cs="宋体"/>
          <w:color w:val="auto"/>
          <w:sz w:val="24"/>
          <w:szCs w:val="24"/>
          <w:shd w:val="clear" w:color="auto" w:fill="FFFFFF"/>
        </w:rPr>
        <w:t>的规定。</w:t>
      </w:r>
    </w:p>
    <w:p w14:paraId="4DA30AF1">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2</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车辆基地光伏发电系统设计应综合考虑日照条件、站场布局和建筑条件、安装和运输条件等因素，并应满足安全可靠、经济适用、环保美观、便于安装和维护的要求。</w:t>
      </w:r>
    </w:p>
    <w:p w14:paraId="75CC41DE">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3</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当</w:t>
      </w:r>
      <w:r>
        <w:rPr>
          <w:rFonts w:ascii="宋体" w:hAnsi="宋体" w:cs="宋体"/>
          <w:color w:val="auto"/>
          <w:sz w:val="24"/>
          <w:szCs w:val="24"/>
          <w:shd w:val="clear" w:color="auto" w:fill="FFFFFF"/>
        </w:rPr>
        <w:t>车辆</w:t>
      </w:r>
      <w:r>
        <w:rPr>
          <w:rFonts w:hint="eastAsia" w:ascii="宋体" w:hAnsi="宋体" w:cs="宋体"/>
          <w:color w:val="auto"/>
          <w:sz w:val="24"/>
          <w:szCs w:val="24"/>
          <w:shd w:val="clear" w:color="auto" w:fill="FFFFFF"/>
        </w:rPr>
        <w:t>基地位于</w:t>
      </w:r>
      <w:r>
        <w:rPr>
          <w:rFonts w:ascii="宋体" w:hAnsi="宋体" w:cs="宋体"/>
          <w:color w:val="auto"/>
          <w:sz w:val="24"/>
          <w:szCs w:val="24"/>
          <w:shd w:val="clear" w:color="auto" w:fill="FFFFFF"/>
        </w:rPr>
        <w:t>地震烈度为7度以上地区时，光伏发电系统设计应进行地震安全性评价。</w:t>
      </w:r>
    </w:p>
    <w:p w14:paraId="7B2A95E2">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4</w:t>
      </w:r>
      <w:r>
        <w:rPr>
          <w:rFonts w:hint="eastAsia" w:ascii="宋体" w:hAnsi="宋体" w:cs="宋体"/>
          <w:color w:val="auto"/>
          <w:sz w:val="24"/>
          <w:szCs w:val="24"/>
          <w:shd w:val="clear" w:color="auto" w:fill="FFFFFF"/>
          <w:lang w:val="en-US" w:eastAsia="zh-CN"/>
        </w:rPr>
        <w:t xml:space="preserve"> </w:t>
      </w:r>
      <w:r>
        <w:rPr>
          <w:rFonts w:ascii="宋体" w:hAnsi="宋体" w:cs="宋体"/>
          <w:color w:val="auto"/>
          <w:sz w:val="24"/>
          <w:szCs w:val="24"/>
          <w:shd w:val="clear" w:color="auto" w:fill="FFFFFF"/>
        </w:rPr>
        <w:t>在既有车辆</w:t>
      </w:r>
      <w:r>
        <w:rPr>
          <w:rFonts w:hint="eastAsia" w:ascii="宋体" w:hAnsi="宋体" w:cs="宋体"/>
          <w:color w:val="auto"/>
          <w:sz w:val="24"/>
          <w:szCs w:val="24"/>
          <w:shd w:val="clear" w:color="auto" w:fill="FFFFFF"/>
        </w:rPr>
        <w:t>基地</w:t>
      </w:r>
      <w:r>
        <w:rPr>
          <w:rFonts w:ascii="宋体" w:hAnsi="宋体" w:cs="宋体"/>
          <w:color w:val="auto"/>
          <w:sz w:val="24"/>
          <w:szCs w:val="24"/>
          <w:shd w:val="clear" w:color="auto" w:fill="FFFFFF"/>
        </w:rPr>
        <w:t>的建筑物上增设光伏发电系统</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必须进行建筑物结构承载力和电气系统的安全复核</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并应满足建筑结构及电气的安全性要求</w:t>
      </w:r>
      <w:r>
        <w:rPr>
          <w:rFonts w:hint="eastAsia" w:ascii="宋体" w:hAnsi="宋体" w:cs="宋体"/>
          <w:color w:val="auto"/>
          <w:sz w:val="24"/>
          <w:szCs w:val="24"/>
          <w:shd w:val="clear" w:color="auto" w:fill="FFFFFF"/>
        </w:rPr>
        <w:t>。</w:t>
      </w:r>
    </w:p>
    <w:p w14:paraId="775FCFB2">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5</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车辆基地光伏发电系统可根据实际需要配置恰当容量的储能装置。</w:t>
      </w:r>
    </w:p>
    <w:p w14:paraId="0E888453">
      <w:pPr>
        <w:spacing w:line="360" w:lineRule="auto"/>
        <w:ind w:firstLine="480" w:firstLineChars="200"/>
        <w:rPr>
          <w:rFonts w:hint="eastAsia" w:ascii="楷体" w:hAnsi="楷体" w:eastAsia="楷体"/>
          <w:bCs/>
          <w:color w:val="auto"/>
          <w:sz w:val="24"/>
          <w:szCs w:val="24"/>
        </w:rPr>
      </w:pPr>
      <w:r>
        <w:rPr>
          <w:rFonts w:hint="eastAsia" w:ascii="楷体" w:hAnsi="楷体" w:eastAsia="楷体"/>
          <w:bCs/>
          <w:color w:val="auto"/>
          <w:sz w:val="24"/>
          <w:szCs w:val="24"/>
        </w:rPr>
        <w:t>条文说明：在负荷曲线与光伏发电曲线匹配时应尽量减少储能装置，负荷曲线与发电曲线不匹配时，当有较大的用电结余时应优先考虑余电上网，没有条件余电上网时应根据实际条件计算储能容量，对比全周期储能装置费用和结余电能费用的经济性以确定储能容量规模。</w:t>
      </w:r>
    </w:p>
    <w:p w14:paraId="247DAC85">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6</w:t>
      </w:r>
      <w:r>
        <w:rPr>
          <w:rFonts w:hint="eastAsia" w:ascii="宋体" w:hAnsi="宋体" w:cs="宋体"/>
          <w:color w:val="auto"/>
          <w:sz w:val="24"/>
          <w:szCs w:val="24"/>
          <w:shd w:val="clear" w:color="auto" w:fill="FFFFFF"/>
          <w:lang w:val="en-US" w:eastAsia="zh-CN"/>
        </w:rPr>
        <w:t xml:space="preserve"> </w:t>
      </w:r>
      <w:r>
        <w:rPr>
          <w:rFonts w:ascii="宋体" w:hAnsi="宋体" w:cs="宋体"/>
          <w:color w:val="auto"/>
          <w:sz w:val="24"/>
          <w:szCs w:val="24"/>
          <w:shd w:val="clear" w:color="auto" w:fill="FFFFFF"/>
        </w:rPr>
        <w:t>车辆</w:t>
      </w:r>
      <w:r>
        <w:rPr>
          <w:rFonts w:hint="eastAsia" w:ascii="宋体" w:hAnsi="宋体" w:cs="宋体"/>
          <w:color w:val="auto"/>
          <w:sz w:val="24"/>
          <w:szCs w:val="24"/>
          <w:shd w:val="clear" w:color="auto" w:fill="FFFFFF"/>
        </w:rPr>
        <w:t>基地光伏发电系统的</w:t>
      </w:r>
      <w:r>
        <w:rPr>
          <w:rFonts w:ascii="宋体" w:hAnsi="宋体" w:cs="宋体"/>
          <w:color w:val="auto"/>
          <w:sz w:val="24"/>
          <w:szCs w:val="24"/>
          <w:shd w:val="clear" w:color="auto" w:fill="FFFFFF"/>
        </w:rPr>
        <w:t>支架应结合工程实际选用材料</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设计结构</w:t>
      </w:r>
      <w:r>
        <w:rPr>
          <w:rFonts w:hint="eastAsia" w:ascii="宋体" w:hAnsi="宋体" w:cs="宋体"/>
          <w:color w:val="auto"/>
          <w:sz w:val="24"/>
          <w:szCs w:val="24"/>
          <w:shd w:val="clear" w:color="auto" w:fill="FFFFFF"/>
        </w:rPr>
        <w:t>方案</w:t>
      </w:r>
      <w:r>
        <w:rPr>
          <w:rFonts w:ascii="宋体" w:hAnsi="宋体" w:cs="宋体"/>
          <w:color w:val="auto"/>
          <w:sz w:val="24"/>
          <w:szCs w:val="24"/>
          <w:shd w:val="clear" w:color="auto" w:fill="FFFFFF"/>
        </w:rPr>
        <w:t>和构造措施</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保证支架在运输</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安装和使用过程中满足强度</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稳定性和刚度要求</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并符合抗震</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抗风和防腐等要求</w:t>
      </w:r>
      <w:r>
        <w:rPr>
          <w:rFonts w:hint="eastAsia" w:ascii="宋体" w:hAnsi="宋体" w:cs="宋体"/>
          <w:color w:val="auto"/>
          <w:sz w:val="24"/>
          <w:szCs w:val="24"/>
          <w:shd w:val="clear" w:color="auto" w:fill="FFFFFF"/>
        </w:rPr>
        <w:t>。</w:t>
      </w:r>
    </w:p>
    <w:p w14:paraId="540DE04D">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7</w:t>
      </w:r>
      <w:r>
        <w:rPr>
          <w:rFonts w:hint="eastAsia" w:ascii="宋体" w:hAnsi="宋体" w:cs="宋体"/>
          <w:color w:val="auto"/>
          <w:sz w:val="24"/>
          <w:szCs w:val="24"/>
          <w:shd w:val="clear" w:color="auto" w:fill="FFFFFF"/>
          <w:lang w:val="en-US" w:eastAsia="zh-CN"/>
        </w:rPr>
        <w:t xml:space="preserve"> </w:t>
      </w:r>
      <w:r>
        <w:rPr>
          <w:rFonts w:ascii="宋体" w:hAnsi="宋体" w:cs="宋体"/>
          <w:color w:val="auto"/>
          <w:sz w:val="24"/>
          <w:szCs w:val="24"/>
          <w:shd w:val="clear" w:color="auto" w:fill="FFFFFF"/>
        </w:rPr>
        <w:t>车辆</w:t>
      </w:r>
      <w:r>
        <w:rPr>
          <w:rFonts w:hint="eastAsia" w:ascii="宋体" w:hAnsi="宋体" w:cs="宋体"/>
          <w:color w:val="auto"/>
          <w:sz w:val="24"/>
          <w:szCs w:val="24"/>
          <w:shd w:val="clear" w:color="auto" w:fill="FFFFFF"/>
        </w:rPr>
        <w:t>基地光伏发电系统区域宜设置安防系统、门禁系统等安全防护措施。</w:t>
      </w:r>
    </w:p>
    <w:p w14:paraId="25288F8B">
      <w:pPr>
        <w:spacing w:line="360" w:lineRule="auto"/>
        <w:ind w:firstLine="480" w:firstLineChars="200"/>
        <w:rPr>
          <w:rFonts w:hint="eastAsia" w:ascii="宋体" w:hAnsi="宋体" w:cs="宋体"/>
          <w:color w:val="auto"/>
          <w:sz w:val="24"/>
          <w:szCs w:val="24"/>
          <w:shd w:val="clear" w:color="auto" w:fill="FFFFFF"/>
        </w:rPr>
      </w:pPr>
      <w:r>
        <w:rPr>
          <w:rFonts w:hint="eastAsia"/>
          <w:bCs/>
          <w:color w:val="auto"/>
          <w:sz w:val="24"/>
          <w:szCs w:val="24"/>
        </w:rPr>
        <w:t>8</w:t>
      </w:r>
      <w:r>
        <w:rPr>
          <w:rFonts w:ascii="宋体" w:hAnsi="宋体" w:cs="宋体"/>
          <w:color w:val="auto"/>
          <w:sz w:val="24"/>
          <w:szCs w:val="24"/>
          <w:shd w:val="clear" w:color="auto" w:fill="FFFFFF"/>
        </w:rPr>
        <w:t>.2.2</w:t>
      </w:r>
      <w:r>
        <w:rPr>
          <w:rFonts w:hint="eastAsia" w:ascii="宋体" w:hAnsi="宋体" w:cs="宋体"/>
          <w:color w:val="auto"/>
          <w:sz w:val="24"/>
          <w:szCs w:val="24"/>
          <w:shd w:val="clear" w:color="auto" w:fill="FFFFFF"/>
        </w:rPr>
        <w:t>风能</w:t>
      </w:r>
    </w:p>
    <w:p w14:paraId="009A4205">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1</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车辆基地风光储联合发电系统设计应满足现行国家规范《风光储联合发电站设计标准》G</w:t>
      </w:r>
      <w:r>
        <w:rPr>
          <w:rFonts w:ascii="宋体" w:hAnsi="宋体" w:cs="宋体"/>
          <w:color w:val="auto"/>
          <w:sz w:val="24"/>
          <w:szCs w:val="24"/>
          <w:shd w:val="clear" w:color="auto" w:fill="FFFFFF"/>
        </w:rPr>
        <w:t>B/T51437-2021</w:t>
      </w:r>
      <w:r>
        <w:rPr>
          <w:rFonts w:hint="eastAsia" w:ascii="宋体" w:hAnsi="宋体" w:cs="宋体"/>
          <w:color w:val="auto"/>
          <w:sz w:val="24"/>
          <w:szCs w:val="24"/>
          <w:shd w:val="clear" w:color="auto" w:fill="FFFFFF"/>
        </w:rPr>
        <w:t>、《公共建筑节能设计标准》G</w:t>
      </w:r>
      <w:r>
        <w:rPr>
          <w:rFonts w:ascii="宋体" w:hAnsi="宋体" w:cs="宋体"/>
          <w:color w:val="auto"/>
          <w:sz w:val="24"/>
          <w:szCs w:val="24"/>
          <w:shd w:val="clear" w:color="auto" w:fill="FFFFFF"/>
        </w:rPr>
        <w:t>B50189</w:t>
      </w:r>
      <w:r>
        <w:rPr>
          <w:rFonts w:hint="eastAsia" w:ascii="宋体" w:hAnsi="宋体" w:cs="宋体"/>
          <w:color w:val="auto"/>
          <w:sz w:val="24"/>
          <w:szCs w:val="24"/>
          <w:shd w:val="clear" w:color="auto" w:fill="FFFFFF"/>
        </w:rPr>
        <w:t>的规定。</w:t>
      </w:r>
    </w:p>
    <w:p w14:paraId="685D0E8A">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2</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风光储联合发电系统设计除光伏发电系统应考虑的各项因素外，还应考虑车辆基地的风能资源。在风光储联合发电系统建设前期，应获得车辆基地站址现场一年以上风能资源和太阳能资源同期连续观测数据，进行互补性分析。</w:t>
      </w:r>
    </w:p>
    <w:p w14:paraId="145558FA">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3</w:t>
      </w:r>
      <w:r>
        <w:rPr>
          <w:rFonts w:hint="eastAsia" w:ascii="宋体" w:hAnsi="宋体" w:cs="宋体"/>
          <w:color w:val="auto"/>
          <w:sz w:val="24"/>
          <w:szCs w:val="24"/>
          <w:shd w:val="clear" w:color="auto" w:fill="FFFFFF"/>
          <w:lang w:val="en-US" w:eastAsia="zh-CN"/>
        </w:rPr>
        <w:t xml:space="preserve"> </w:t>
      </w:r>
      <w:r>
        <w:rPr>
          <w:rFonts w:ascii="宋体" w:hAnsi="宋体" w:cs="宋体"/>
          <w:color w:val="auto"/>
          <w:sz w:val="24"/>
          <w:szCs w:val="24"/>
          <w:shd w:val="clear" w:color="auto" w:fill="FFFFFF"/>
        </w:rPr>
        <w:t>车辆</w:t>
      </w:r>
      <w:r>
        <w:rPr>
          <w:rFonts w:hint="eastAsia" w:ascii="宋体" w:hAnsi="宋体" w:cs="宋体"/>
          <w:color w:val="auto"/>
          <w:sz w:val="24"/>
          <w:szCs w:val="24"/>
          <w:shd w:val="clear" w:color="auto" w:fill="FFFFFF"/>
        </w:rPr>
        <w:t>基地风光储联合发电系统容量配比应根据平滑功率输出、跟踪计划出力、电力系统削峰填谷等电网调控模式，经技术经济比较后确定。</w:t>
      </w:r>
    </w:p>
    <w:p w14:paraId="3488148C">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4</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风光互补路灯的布置位置应综合考虑车辆基地夜间照明需求、</w:t>
      </w:r>
      <w:r>
        <w:rPr>
          <w:rFonts w:ascii="宋体" w:hAnsi="宋体" w:cs="宋体"/>
          <w:color w:val="auto"/>
          <w:sz w:val="24"/>
          <w:szCs w:val="24"/>
          <w:shd w:val="clear" w:color="auto" w:fill="FFFFFF"/>
        </w:rPr>
        <w:t>光照与风力等因素后确定</w:t>
      </w:r>
      <w:r>
        <w:rPr>
          <w:rFonts w:hint="eastAsia" w:ascii="宋体" w:hAnsi="宋体" w:cs="宋体"/>
          <w:color w:val="auto"/>
          <w:sz w:val="24"/>
          <w:szCs w:val="24"/>
          <w:shd w:val="clear" w:color="auto" w:fill="FFFFFF"/>
        </w:rPr>
        <w:t>。</w:t>
      </w:r>
    </w:p>
    <w:p w14:paraId="4A9B909B">
      <w:pPr>
        <w:spacing w:line="360" w:lineRule="auto"/>
        <w:ind w:firstLine="480" w:firstLineChars="200"/>
        <w:rPr>
          <w:bCs/>
          <w:color w:val="auto"/>
          <w:sz w:val="24"/>
          <w:szCs w:val="24"/>
        </w:rPr>
      </w:pPr>
      <w:r>
        <w:rPr>
          <w:rFonts w:hint="eastAsia"/>
          <w:bCs/>
          <w:color w:val="auto"/>
          <w:sz w:val="24"/>
          <w:szCs w:val="24"/>
        </w:rPr>
        <w:t>8.2.3氢能</w:t>
      </w:r>
    </w:p>
    <w:p w14:paraId="528EDCE1">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1</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使用氢能源的车辆基地可根据实际需要配置氢气站、供氢站和</w:t>
      </w:r>
      <w:r>
        <w:rPr>
          <w:rFonts w:hint="eastAsia"/>
          <w:bCs/>
          <w:color w:val="auto"/>
          <w:sz w:val="24"/>
          <w:szCs w:val="24"/>
        </w:rPr>
        <w:t>氢能储存设施。</w:t>
      </w:r>
    </w:p>
    <w:p w14:paraId="43B24349">
      <w:pPr>
        <w:spacing w:line="360" w:lineRule="auto"/>
        <w:ind w:firstLine="480" w:firstLineChars="200"/>
        <w:rPr>
          <w:bCs/>
          <w:color w:val="auto"/>
          <w:sz w:val="24"/>
          <w:szCs w:val="24"/>
        </w:rPr>
      </w:pPr>
      <w:r>
        <w:rPr>
          <w:rFonts w:ascii="宋体" w:hAnsi="宋体" w:cs="宋体"/>
          <w:color w:val="auto"/>
          <w:sz w:val="24"/>
          <w:szCs w:val="24"/>
          <w:shd w:val="clear" w:color="auto" w:fill="FFFFFF"/>
        </w:rPr>
        <w:t>2</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w:t>
      </w:r>
      <w:r>
        <w:rPr>
          <w:rFonts w:hint="eastAsia"/>
          <w:bCs/>
          <w:color w:val="auto"/>
          <w:sz w:val="24"/>
          <w:szCs w:val="24"/>
        </w:rPr>
        <w:t>氢气站、供氢站的设计</w:t>
      </w:r>
      <w:r>
        <w:rPr>
          <w:rFonts w:hint="eastAsia" w:ascii="宋体" w:hAnsi="宋体" w:cs="宋体"/>
          <w:color w:val="auto"/>
          <w:sz w:val="24"/>
          <w:szCs w:val="24"/>
          <w:shd w:val="clear" w:color="auto" w:fill="FFFFFF"/>
        </w:rPr>
        <w:t>应满足现行国家规范</w:t>
      </w:r>
      <w:r>
        <w:rPr>
          <w:rFonts w:hint="eastAsia"/>
          <w:bCs/>
          <w:color w:val="auto"/>
          <w:sz w:val="24"/>
          <w:szCs w:val="24"/>
        </w:rPr>
        <w:t>《氢气站设计规范》G</w:t>
      </w:r>
      <w:r>
        <w:rPr>
          <w:bCs/>
          <w:color w:val="auto"/>
          <w:sz w:val="24"/>
          <w:szCs w:val="24"/>
        </w:rPr>
        <w:t>B50177的规定</w:t>
      </w:r>
      <w:r>
        <w:rPr>
          <w:rFonts w:hint="eastAsia"/>
          <w:bCs/>
          <w:color w:val="auto"/>
          <w:sz w:val="24"/>
          <w:szCs w:val="24"/>
        </w:rPr>
        <w:t>。</w:t>
      </w:r>
    </w:p>
    <w:p w14:paraId="3BEBA188">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3</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车辆基地氢气站、供氢站、氢气罐宜为独立建构筑物，布置在车辆基地常年最小频率风向的下风侧,不得布置在人员密集地段和主要交通要道邻近处,</w:t>
      </w:r>
      <w:r>
        <w:rPr>
          <w:rFonts w:ascii="宋体" w:hAnsi="宋体" w:cs="宋体"/>
          <w:color w:val="auto"/>
          <w:sz w:val="24"/>
          <w:szCs w:val="24"/>
          <w:shd w:val="clear" w:color="auto" w:fill="FFFFFF"/>
        </w:rPr>
        <w:t>周围</w:t>
      </w:r>
      <w:r>
        <w:rPr>
          <w:rFonts w:hint="eastAsia" w:ascii="宋体" w:hAnsi="宋体" w:cs="宋体"/>
          <w:color w:val="auto"/>
          <w:sz w:val="24"/>
          <w:szCs w:val="24"/>
          <w:shd w:val="clear" w:color="auto" w:fill="FFFFFF"/>
        </w:rPr>
        <w:t>宜设置不燃烧体的实体围墙，其高度不应小于2.5m。</w:t>
      </w:r>
    </w:p>
    <w:p w14:paraId="04D02CC9">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4</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车辆基地氢气站、供氢站内有爆炸危险房间应按现行国家标准《建筑设计防火规范》</w:t>
      </w:r>
      <w:r>
        <w:rPr>
          <w:rFonts w:ascii="宋体" w:hAnsi="宋体" w:cs="宋体"/>
          <w:color w:val="auto"/>
          <w:sz w:val="24"/>
          <w:szCs w:val="24"/>
          <w:shd w:val="clear" w:color="auto" w:fill="FFFFFF"/>
        </w:rPr>
        <w:t>GB</w:t>
      </w:r>
      <w:r>
        <w:rPr>
          <w:rFonts w:hint="eastAsia" w:ascii="宋体" w:hAnsi="宋体" w:cs="宋体"/>
          <w:color w:val="auto"/>
          <w:sz w:val="24"/>
          <w:szCs w:val="24"/>
          <w:shd w:val="clear" w:color="auto" w:fill="FFFFFF"/>
        </w:rPr>
        <w:t>500</w:t>
      </w:r>
      <w:r>
        <w:rPr>
          <w:rFonts w:ascii="宋体" w:hAnsi="宋体" w:cs="宋体"/>
          <w:color w:val="auto"/>
          <w:sz w:val="24"/>
          <w:szCs w:val="24"/>
          <w:shd w:val="clear" w:color="auto" w:fill="FFFFFF"/>
        </w:rPr>
        <w:t>16</w:t>
      </w:r>
      <w:r>
        <w:rPr>
          <w:rFonts w:hint="eastAsia" w:ascii="宋体" w:hAnsi="宋体" w:cs="宋体"/>
          <w:color w:val="auto"/>
          <w:sz w:val="24"/>
          <w:szCs w:val="24"/>
          <w:shd w:val="clear" w:color="auto" w:fill="FFFFFF"/>
        </w:rPr>
        <w:t>的规定，设置泄压设施。</w:t>
      </w:r>
    </w:p>
    <w:p w14:paraId="5DB6A890">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5</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车辆基地氢气站、供氢站的防雷、接地，应按现行国家标准《建筑物防雷设计规范》GB50057、《爆炸和火灾危险环境电力装置设计规范》GB50058的要求设置防雷、接地设施。</w:t>
      </w:r>
    </w:p>
    <w:p w14:paraId="27E3BB87">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rPr>
        <w:t>6</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有爆炸危险房间的自然通风换气次数，每小时不得少于3次；事故排风装置换气次数每小时不得少于12次，并与氢气检漏装置联锁。</w:t>
      </w:r>
    </w:p>
    <w:p w14:paraId="3456AE8E">
      <w:pPr>
        <w:spacing w:line="360" w:lineRule="auto"/>
        <w:ind w:firstLine="480" w:firstLineChars="200"/>
        <w:rPr>
          <w:rFonts w:hint="eastAsia" w:ascii="宋体" w:hAnsi="宋体" w:cs="宋体"/>
          <w:color w:val="auto"/>
          <w:sz w:val="24"/>
          <w:szCs w:val="24"/>
          <w:shd w:val="clear" w:color="auto" w:fill="FFFFFF"/>
        </w:rPr>
      </w:pPr>
      <w:r>
        <w:rPr>
          <w:rFonts w:hint="eastAsia"/>
          <w:bCs/>
          <w:color w:val="auto"/>
          <w:sz w:val="24"/>
          <w:szCs w:val="24"/>
        </w:rPr>
        <w:t>8</w:t>
      </w:r>
      <w:r>
        <w:rPr>
          <w:rFonts w:ascii="宋体" w:hAnsi="宋体" w:cs="宋体"/>
          <w:color w:val="auto"/>
          <w:sz w:val="24"/>
          <w:szCs w:val="24"/>
          <w:shd w:val="clear" w:color="auto" w:fill="FFFFFF"/>
        </w:rPr>
        <w:t>.2.4</w:t>
      </w:r>
      <w:r>
        <w:rPr>
          <w:rFonts w:hint="eastAsia"/>
          <w:bCs/>
          <w:color w:val="auto"/>
          <w:sz w:val="24"/>
          <w:szCs w:val="24"/>
        </w:rPr>
        <w:t>土壤源热泵</w:t>
      </w:r>
    </w:p>
    <w:p w14:paraId="4B743474">
      <w:pPr>
        <w:spacing w:line="360" w:lineRule="auto"/>
        <w:ind w:firstLine="480" w:firstLineChars="200"/>
        <w:rPr>
          <w:bCs/>
          <w:color w:val="auto"/>
          <w:sz w:val="24"/>
          <w:szCs w:val="24"/>
        </w:rPr>
      </w:pPr>
      <w:r>
        <w:rPr>
          <w:rFonts w:hint="eastAsia" w:ascii="宋体" w:hAnsi="宋体" w:cs="宋体"/>
          <w:color w:val="auto"/>
          <w:sz w:val="24"/>
          <w:szCs w:val="24"/>
          <w:shd w:val="clear" w:color="auto" w:fill="FFFFFF"/>
        </w:rPr>
        <w:t>1</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w:t>
      </w:r>
      <w:r>
        <w:rPr>
          <w:rFonts w:hint="eastAsia"/>
          <w:bCs/>
          <w:color w:val="auto"/>
          <w:sz w:val="24"/>
          <w:szCs w:val="24"/>
        </w:rPr>
        <w:t>土壤源热泵</w:t>
      </w:r>
      <w:r>
        <w:rPr>
          <w:rFonts w:hint="eastAsia" w:ascii="宋体" w:hAnsi="宋体" w:cs="宋体"/>
          <w:color w:val="auto"/>
          <w:sz w:val="24"/>
          <w:szCs w:val="24"/>
          <w:shd w:val="clear" w:color="auto" w:fill="FFFFFF"/>
        </w:rPr>
        <w:t>设计应满足现行国家规范</w:t>
      </w:r>
      <w:r>
        <w:rPr>
          <w:rFonts w:hint="eastAsia"/>
          <w:bCs/>
          <w:color w:val="auto"/>
          <w:sz w:val="24"/>
          <w:szCs w:val="24"/>
        </w:rPr>
        <w:t>《地源热泵系统工程技术规范》G</w:t>
      </w:r>
      <w:r>
        <w:rPr>
          <w:bCs/>
          <w:color w:val="auto"/>
          <w:sz w:val="24"/>
          <w:szCs w:val="24"/>
        </w:rPr>
        <w:t>B50366的规定</w:t>
      </w:r>
      <w:r>
        <w:rPr>
          <w:rFonts w:hint="eastAsia"/>
          <w:bCs/>
          <w:color w:val="auto"/>
          <w:sz w:val="24"/>
          <w:szCs w:val="24"/>
        </w:rPr>
        <w:t>。</w:t>
      </w:r>
    </w:p>
    <w:p w14:paraId="0E0FFFC9">
      <w:pPr>
        <w:spacing w:line="360" w:lineRule="auto"/>
        <w:ind w:firstLine="480" w:firstLineChars="200"/>
        <w:rPr>
          <w:rFonts w:hint="eastAsia" w:ascii="宋体" w:hAnsi="宋体" w:cs="宋体"/>
          <w:color w:val="auto"/>
          <w:sz w:val="24"/>
          <w:szCs w:val="24"/>
          <w:shd w:val="clear" w:color="auto" w:fill="FFFFFF"/>
        </w:rPr>
      </w:pPr>
      <w:r>
        <w:rPr>
          <w:rFonts w:hint="eastAsia"/>
          <w:bCs/>
          <w:color w:val="auto"/>
          <w:sz w:val="24"/>
          <w:szCs w:val="24"/>
        </w:rPr>
        <w:t>2</w:t>
      </w:r>
      <w:r>
        <w:rPr>
          <w:rFonts w:hint="eastAsia"/>
          <w:bCs/>
          <w:color w:val="auto"/>
          <w:sz w:val="24"/>
          <w:szCs w:val="24"/>
          <w:lang w:val="en-US" w:eastAsia="zh-CN"/>
        </w:rPr>
        <w:t xml:space="preserve"> </w:t>
      </w:r>
      <w:r>
        <w:rPr>
          <w:rFonts w:hint="eastAsia"/>
          <w:bCs/>
          <w:color w:val="auto"/>
          <w:sz w:val="24"/>
          <w:szCs w:val="24"/>
        </w:rPr>
        <w:t>土壤源热泵</w:t>
      </w:r>
      <w:r>
        <w:rPr>
          <w:rFonts w:hint="eastAsia" w:ascii="宋体" w:hAnsi="宋体" w:cs="宋体"/>
          <w:color w:val="auto"/>
          <w:sz w:val="24"/>
          <w:szCs w:val="24"/>
          <w:shd w:val="clear" w:color="auto" w:fill="FFFFFF"/>
        </w:rPr>
        <w:t>设计前，应根据车辆基地工程勘察结果评估地埋管换热系统实施的可行性与经济性。</w:t>
      </w:r>
    </w:p>
    <w:p w14:paraId="2F28A266">
      <w:pPr>
        <w:spacing w:line="360" w:lineRule="auto"/>
        <w:ind w:firstLine="480" w:firstLineChars="200"/>
        <w:rPr>
          <w:rFonts w:hint="eastAsia" w:ascii="宋体" w:hAnsi="宋体" w:cs="宋体"/>
          <w:color w:val="auto"/>
          <w:sz w:val="24"/>
          <w:szCs w:val="24"/>
          <w:shd w:val="clear" w:color="auto" w:fill="FFFFFF"/>
        </w:rPr>
      </w:pPr>
      <w:r>
        <w:rPr>
          <w:bCs/>
          <w:color w:val="auto"/>
          <w:sz w:val="24"/>
          <w:szCs w:val="24"/>
        </w:rPr>
        <w:t>3</w:t>
      </w:r>
      <w:r>
        <w:rPr>
          <w:rFonts w:hint="eastAsia"/>
          <w:bCs/>
          <w:color w:val="auto"/>
          <w:sz w:val="24"/>
          <w:szCs w:val="24"/>
          <w:lang w:val="en-US" w:eastAsia="zh-CN"/>
        </w:rPr>
        <w:t xml:space="preserve"> </w:t>
      </w:r>
      <w:r>
        <w:rPr>
          <w:rFonts w:hint="eastAsia" w:ascii="宋体" w:hAnsi="宋体" w:cs="宋体"/>
          <w:color w:val="auto"/>
          <w:sz w:val="24"/>
          <w:szCs w:val="24"/>
          <w:shd w:val="clear" w:color="auto" w:fill="FFFFFF"/>
        </w:rPr>
        <w:t>车辆基地</w:t>
      </w:r>
      <w:r>
        <w:rPr>
          <w:rFonts w:hint="eastAsia"/>
          <w:bCs/>
          <w:color w:val="auto"/>
          <w:sz w:val="24"/>
          <w:szCs w:val="24"/>
        </w:rPr>
        <w:t>土壤源热泵</w:t>
      </w:r>
      <w:r>
        <w:rPr>
          <w:rFonts w:hint="eastAsia" w:ascii="宋体" w:hAnsi="宋体" w:cs="宋体"/>
          <w:color w:val="auto"/>
          <w:sz w:val="24"/>
          <w:szCs w:val="24"/>
          <w:shd w:val="clear" w:color="auto" w:fill="FFFFFF"/>
        </w:rPr>
        <w:t>设计时，应进行全年动态负荷与系统取热量、释热量计算分析，确定地热能交换系统，并宜采用复合交换系统。</w:t>
      </w:r>
    </w:p>
    <w:p w14:paraId="5F73E15B">
      <w:pPr>
        <w:spacing w:line="360" w:lineRule="auto"/>
        <w:ind w:firstLine="480" w:firstLineChars="200"/>
        <w:rPr>
          <w:rFonts w:hint="eastAsia" w:ascii="宋体" w:hAnsi="宋体" w:cs="宋体"/>
          <w:color w:val="auto"/>
          <w:sz w:val="24"/>
          <w:szCs w:val="24"/>
          <w:shd w:val="clear" w:color="auto" w:fill="FFFFFF"/>
        </w:rPr>
      </w:pPr>
      <w:r>
        <w:rPr>
          <w:rFonts w:ascii="宋体" w:hAnsi="宋体" w:cs="宋体"/>
          <w:color w:val="auto"/>
          <w:sz w:val="24"/>
          <w:szCs w:val="24"/>
          <w:shd w:val="clear" w:color="auto" w:fill="FFFFFF"/>
        </w:rPr>
        <w:t>4</w:t>
      </w:r>
      <w:r>
        <w:rPr>
          <w:rFonts w:hint="eastAsia" w:ascii="宋体" w:hAnsi="宋体" w:cs="宋体"/>
          <w:color w:val="auto"/>
          <w:sz w:val="24"/>
          <w:szCs w:val="24"/>
          <w:shd w:val="clear" w:color="auto" w:fill="FFFFFF"/>
          <w:lang w:val="en-US" w:eastAsia="zh-CN"/>
        </w:rPr>
        <w:t xml:space="preserve"> </w:t>
      </w:r>
      <w:r>
        <w:rPr>
          <w:rFonts w:hint="eastAsia" w:ascii="宋体" w:hAnsi="宋体" w:cs="宋体"/>
          <w:color w:val="auto"/>
          <w:sz w:val="24"/>
          <w:szCs w:val="24"/>
          <w:shd w:val="clear" w:color="auto" w:fill="FFFFFF"/>
        </w:rPr>
        <w:t>车辆基地</w:t>
      </w:r>
      <w:r>
        <w:rPr>
          <w:rFonts w:hint="eastAsia"/>
          <w:bCs/>
          <w:color w:val="auto"/>
          <w:sz w:val="24"/>
          <w:szCs w:val="24"/>
        </w:rPr>
        <w:t>土壤源热泵</w:t>
      </w:r>
      <w:r>
        <w:rPr>
          <w:rFonts w:hint="eastAsia" w:ascii="宋体" w:hAnsi="宋体" w:cs="宋体"/>
          <w:color w:val="auto"/>
          <w:sz w:val="24"/>
          <w:szCs w:val="24"/>
          <w:shd w:val="clear" w:color="auto" w:fill="FFFFFF"/>
        </w:rPr>
        <w:t>设计应选用高能效</w:t>
      </w:r>
      <w:r>
        <w:rPr>
          <w:rFonts w:ascii="宋体" w:hAnsi="宋体" w:cs="宋体"/>
          <w:color w:val="auto"/>
          <w:sz w:val="24"/>
          <w:szCs w:val="24"/>
          <w:shd w:val="clear" w:color="auto" w:fill="FFFFFF"/>
        </w:rPr>
        <w:t>热泵机组</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并宜采取降低循环水泵输送能耗等</w:t>
      </w:r>
      <w:r>
        <w:rPr>
          <w:rFonts w:hint="eastAsia" w:ascii="宋体" w:hAnsi="宋体" w:cs="宋体"/>
          <w:color w:val="auto"/>
          <w:sz w:val="24"/>
          <w:szCs w:val="24"/>
          <w:shd w:val="clear" w:color="auto" w:fill="FFFFFF"/>
        </w:rPr>
        <w:t>节</w:t>
      </w:r>
      <w:r>
        <w:rPr>
          <w:rFonts w:ascii="宋体" w:hAnsi="宋体" w:cs="宋体"/>
          <w:color w:val="auto"/>
          <w:sz w:val="24"/>
          <w:szCs w:val="24"/>
          <w:shd w:val="clear" w:color="auto" w:fill="FFFFFF"/>
        </w:rPr>
        <w:t>能措施</w:t>
      </w:r>
      <w:r>
        <w:rPr>
          <w:rFonts w:hint="eastAsia" w:ascii="宋体" w:hAnsi="宋体" w:cs="宋体"/>
          <w:color w:val="auto"/>
          <w:sz w:val="24"/>
          <w:szCs w:val="24"/>
          <w:shd w:val="clear" w:color="auto" w:fill="FFFFFF"/>
        </w:rPr>
        <w:t>，</w:t>
      </w:r>
      <w:r>
        <w:rPr>
          <w:rFonts w:ascii="宋体" w:hAnsi="宋体" w:cs="宋体"/>
          <w:color w:val="auto"/>
          <w:sz w:val="24"/>
          <w:szCs w:val="24"/>
          <w:shd w:val="clear" w:color="auto" w:fill="FFFFFF"/>
        </w:rPr>
        <w:t>提高热泵系统的能效</w:t>
      </w:r>
      <w:r>
        <w:rPr>
          <w:rFonts w:hint="eastAsia" w:ascii="宋体" w:hAnsi="宋体" w:cs="宋体"/>
          <w:color w:val="auto"/>
          <w:sz w:val="24"/>
          <w:szCs w:val="24"/>
          <w:shd w:val="clear" w:color="auto" w:fill="FFFFFF"/>
        </w:rPr>
        <w:t>。</w:t>
      </w:r>
    </w:p>
    <w:p w14:paraId="1FAA054B">
      <w:pPr>
        <w:numPr>
          <w:ilvl w:val="0"/>
          <w:numId w:val="0"/>
        </w:numPr>
        <w:spacing w:after="240" w:line="360" w:lineRule="auto"/>
        <w:jc w:val="center"/>
        <w:outlineLvl w:val="0"/>
        <w:rPr>
          <w:rFonts w:ascii="黑体" w:hAnsi="黑体" w:eastAsia="黑体"/>
          <w:bCs/>
          <w:color w:val="auto"/>
          <w:sz w:val="36"/>
          <w:szCs w:val="32"/>
        </w:rPr>
      </w:pPr>
      <w:bookmarkStart w:id="103" w:name="_Toc4942"/>
      <w:bookmarkStart w:id="104" w:name="_Toc223104326"/>
      <w:r>
        <w:rPr>
          <w:rFonts w:hint="eastAsia" w:ascii="黑体" w:hAnsi="黑体" w:eastAsia="黑体"/>
          <w:bCs/>
          <w:color w:val="auto"/>
          <w:sz w:val="36"/>
          <w:szCs w:val="32"/>
          <w:lang w:val="en-US" w:eastAsia="zh-CN"/>
        </w:rPr>
        <w:br w:type="page"/>
      </w:r>
      <w:bookmarkStart w:id="105" w:name="_Toc18122"/>
      <w:r>
        <w:rPr>
          <w:rFonts w:hint="eastAsia" w:ascii="黑体" w:hAnsi="黑体" w:eastAsia="黑体"/>
          <w:bCs/>
          <w:color w:val="auto"/>
          <w:sz w:val="36"/>
          <w:szCs w:val="32"/>
          <w:lang w:val="en-US" w:eastAsia="zh-CN"/>
        </w:rPr>
        <w:t xml:space="preserve">9 </w:t>
      </w:r>
      <w:r>
        <w:rPr>
          <w:rFonts w:hint="eastAsia" w:ascii="黑体" w:hAnsi="黑体" w:eastAsia="黑体"/>
          <w:bCs/>
          <w:color w:val="auto"/>
          <w:sz w:val="36"/>
          <w:szCs w:val="32"/>
        </w:rPr>
        <w:t>监控及量测</w:t>
      </w:r>
      <w:bookmarkEnd w:id="103"/>
      <w:bookmarkEnd w:id="104"/>
      <w:bookmarkEnd w:id="105"/>
    </w:p>
    <w:p w14:paraId="15476AB7">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06" w:name="_Toc223104327"/>
      <w:bookmarkStart w:id="107" w:name="_Toc17644"/>
      <w:bookmarkStart w:id="108" w:name="_Toc8032"/>
      <w:r>
        <w:rPr>
          <w:rFonts w:hint="eastAsia" w:ascii="Times New Roman" w:hAnsi="Times New Roman" w:eastAsia="宋体" w:cs="Times New Roman"/>
          <w:bCs/>
          <w:color w:val="auto"/>
          <w:sz w:val="28"/>
          <w:szCs w:val="28"/>
        </w:rPr>
        <w:t>9.1智慧监测系统</w:t>
      </w:r>
      <w:bookmarkEnd w:id="106"/>
      <w:bookmarkEnd w:id="107"/>
      <w:bookmarkEnd w:id="108"/>
    </w:p>
    <w:p w14:paraId="6C5D03A1">
      <w:pPr>
        <w:spacing w:line="360" w:lineRule="auto"/>
        <w:rPr>
          <w:b/>
          <w:color w:val="auto"/>
          <w:sz w:val="24"/>
          <w:szCs w:val="24"/>
        </w:rPr>
      </w:pPr>
      <w:r>
        <w:rPr>
          <w:rFonts w:hint="eastAsia"/>
          <w:b/>
          <w:color w:val="auto"/>
          <w:sz w:val="24"/>
          <w:szCs w:val="24"/>
        </w:rPr>
        <w:t>9.1.1监测设备选择</w:t>
      </w:r>
    </w:p>
    <w:p w14:paraId="28247FCD">
      <w:pPr>
        <w:spacing w:line="360" w:lineRule="auto"/>
        <w:ind w:firstLine="480" w:firstLineChars="200"/>
        <w:rPr>
          <w:bCs/>
          <w:color w:val="auto"/>
          <w:sz w:val="24"/>
          <w:szCs w:val="24"/>
        </w:rPr>
      </w:pPr>
      <w:r>
        <w:rPr>
          <w:rFonts w:hint="eastAsia"/>
          <w:bCs/>
          <w:color w:val="auto"/>
          <w:sz w:val="24"/>
          <w:szCs w:val="24"/>
        </w:rPr>
        <w:t>降压变电所电气仪表的设置应符合</w:t>
      </w:r>
      <w:r>
        <w:rPr>
          <w:rFonts w:hint="eastAsia"/>
          <w:bCs/>
          <w:color w:val="auto"/>
          <w:sz w:val="24"/>
          <w:szCs w:val="24"/>
          <w:lang w:val="en-US" w:eastAsia="zh-CN"/>
        </w:rPr>
        <w:t>现行国家标准</w:t>
      </w:r>
      <w:r>
        <w:rPr>
          <w:rFonts w:hint="eastAsia"/>
          <w:bCs/>
          <w:color w:val="auto"/>
          <w:sz w:val="24"/>
          <w:szCs w:val="24"/>
        </w:rPr>
        <w:t>《电力装置电测量仪表装置设计规范》GB/T 50063-2017的有关规定，所有表计均设在相应的开关柜上。低压开关柜上的测量仪表统一采用智能数字表计。当同一回路需要多个表计时采用综合数字表计。</w:t>
      </w:r>
    </w:p>
    <w:p w14:paraId="6281213A">
      <w:pPr>
        <w:spacing w:line="360" w:lineRule="auto"/>
        <w:rPr>
          <w:bCs/>
          <w:color w:val="auto"/>
          <w:sz w:val="24"/>
          <w:szCs w:val="24"/>
        </w:rPr>
      </w:pPr>
    </w:p>
    <w:p w14:paraId="446EA5B6">
      <w:pPr>
        <w:spacing w:line="360" w:lineRule="auto"/>
        <w:rPr>
          <w:b/>
          <w:color w:val="auto"/>
          <w:sz w:val="24"/>
          <w:szCs w:val="24"/>
        </w:rPr>
      </w:pPr>
      <w:r>
        <w:rPr>
          <w:rFonts w:hint="eastAsia"/>
          <w:b/>
          <w:color w:val="auto"/>
          <w:sz w:val="24"/>
          <w:szCs w:val="24"/>
        </w:rPr>
        <w:t>9.1.2控制与监视</w:t>
      </w:r>
    </w:p>
    <w:p w14:paraId="51A377EA">
      <w:pPr>
        <w:spacing w:line="360" w:lineRule="auto"/>
        <w:ind w:firstLine="480" w:firstLineChars="200"/>
        <w:rPr>
          <w:bCs/>
          <w:color w:val="auto"/>
          <w:sz w:val="24"/>
          <w:szCs w:val="24"/>
        </w:rPr>
      </w:pPr>
      <w:r>
        <w:rPr>
          <w:rFonts w:hint="eastAsia" w:ascii="宋体" w:hAnsi="宋体" w:cs="宋体"/>
          <w:color w:val="auto"/>
          <w:sz w:val="24"/>
          <w:szCs w:val="24"/>
          <w:shd w:val="clear" w:color="auto" w:fill="FFFFFF"/>
          <w:lang w:val="en-US" w:eastAsia="zh-CN"/>
        </w:rPr>
        <w:t xml:space="preserve">1 </w:t>
      </w:r>
      <w:r>
        <w:rPr>
          <w:rFonts w:hint="eastAsia" w:ascii="宋体" w:hAnsi="宋体" w:cs="宋体"/>
          <w:color w:val="auto"/>
          <w:sz w:val="24"/>
          <w:szCs w:val="24"/>
          <w:shd w:val="clear" w:color="auto" w:fill="FFFFFF"/>
        </w:rPr>
        <w:t>智能低压监控方式</w:t>
      </w:r>
      <w:r>
        <w:rPr>
          <w:rFonts w:hint="eastAsia"/>
          <w:bCs/>
          <w:color w:val="auto"/>
          <w:sz w:val="24"/>
          <w:szCs w:val="24"/>
        </w:rPr>
        <w:t>应具备以下功能：</w:t>
      </w:r>
    </w:p>
    <w:p w14:paraId="26E79621">
      <w:pPr>
        <w:spacing w:line="360" w:lineRule="auto"/>
        <w:rPr>
          <w:bCs/>
          <w:color w:val="auto"/>
          <w:sz w:val="24"/>
          <w:szCs w:val="24"/>
        </w:rPr>
      </w:pPr>
      <w:r>
        <w:rPr>
          <w:rFonts w:hint="eastAsia"/>
          <w:bCs/>
          <w:color w:val="auto"/>
          <w:sz w:val="24"/>
          <w:szCs w:val="24"/>
        </w:rPr>
        <w:t>1）监视变电所内低压断路器的运行状态，并对进线断路器、母联断路器及三级负荷总开关的运行状态进行监控。</w:t>
      </w:r>
    </w:p>
    <w:p w14:paraId="1B834F5A">
      <w:pPr>
        <w:spacing w:line="360" w:lineRule="auto"/>
        <w:rPr>
          <w:bCs/>
          <w:color w:val="auto"/>
          <w:sz w:val="24"/>
          <w:szCs w:val="24"/>
        </w:rPr>
      </w:pPr>
      <w:r>
        <w:rPr>
          <w:rFonts w:hint="eastAsia"/>
          <w:bCs/>
          <w:color w:val="auto"/>
          <w:sz w:val="24"/>
          <w:szCs w:val="24"/>
        </w:rPr>
        <w:t>2）实现变电所备用电源的自动投切功能，并应在进线断路器、母联断路器、三级负荷总开关及冷水机组馈线开关（兼作三级负荷总开关）之间设置电气互锁。</w:t>
      </w:r>
    </w:p>
    <w:p w14:paraId="0A86BC57">
      <w:pPr>
        <w:spacing w:line="360" w:lineRule="auto"/>
        <w:rPr>
          <w:bCs/>
          <w:color w:val="auto"/>
          <w:sz w:val="24"/>
          <w:szCs w:val="24"/>
        </w:rPr>
      </w:pPr>
      <w:r>
        <w:rPr>
          <w:rFonts w:hint="eastAsia"/>
          <w:bCs/>
          <w:color w:val="auto"/>
          <w:sz w:val="24"/>
          <w:szCs w:val="24"/>
        </w:rPr>
        <w:t>3）具备对智能断路器的遥控、遥测及遥信功能，并应将相关数据上传至轨道交通智能运行平台。</w:t>
      </w:r>
    </w:p>
    <w:p w14:paraId="568EA0EB">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lang w:val="en-US" w:eastAsia="zh-CN"/>
        </w:rPr>
        <w:t xml:space="preserve">2 </w:t>
      </w:r>
      <w:r>
        <w:rPr>
          <w:rFonts w:hint="eastAsia" w:ascii="宋体" w:hAnsi="宋体" w:cs="宋体"/>
          <w:color w:val="auto"/>
          <w:sz w:val="24"/>
          <w:szCs w:val="24"/>
          <w:shd w:val="clear" w:color="auto" w:fill="FFFFFF"/>
        </w:rPr>
        <w:t>智能环控监控方式</w:t>
      </w:r>
    </w:p>
    <w:p w14:paraId="6D763A33">
      <w:pPr>
        <w:spacing w:line="360" w:lineRule="auto"/>
        <w:rPr>
          <w:bCs/>
          <w:color w:val="auto"/>
          <w:sz w:val="24"/>
          <w:szCs w:val="24"/>
        </w:rPr>
      </w:pPr>
      <w:r>
        <w:rPr>
          <w:rFonts w:hint="eastAsia"/>
          <w:bCs/>
          <w:color w:val="auto"/>
          <w:sz w:val="24"/>
          <w:szCs w:val="24"/>
        </w:rPr>
        <w:t>应具备下列功能：</w:t>
      </w:r>
    </w:p>
    <w:p w14:paraId="35874DEC">
      <w:pPr>
        <w:spacing w:line="360" w:lineRule="auto"/>
        <w:rPr>
          <w:bCs/>
          <w:color w:val="auto"/>
          <w:sz w:val="24"/>
          <w:szCs w:val="24"/>
        </w:rPr>
      </w:pPr>
      <w:r>
        <w:rPr>
          <w:rFonts w:hint="eastAsia"/>
          <w:bCs/>
          <w:color w:val="auto"/>
          <w:sz w:val="24"/>
          <w:szCs w:val="24"/>
        </w:rPr>
        <w:t>1）应对通风空调等设备进行监视、测量、控制与保护。</w:t>
      </w:r>
    </w:p>
    <w:p w14:paraId="64CADEEF">
      <w:pPr>
        <w:spacing w:line="360" w:lineRule="auto"/>
        <w:rPr>
          <w:bCs/>
          <w:color w:val="auto"/>
          <w:sz w:val="24"/>
          <w:szCs w:val="24"/>
        </w:rPr>
      </w:pPr>
      <w:r>
        <w:rPr>
          <w:rFonts w:hint="eastAsia"/>
          <w:bCs/>
          <w:color w:val="auto"/>
          <w:sz w:val="24"/>
          <w:szCs w:val="24"/>
        </w:rPr>
        <w:t>2）应能对系统内的智能模块进行参数设定及复位等操作。</w:t>
      </w:r>
    </w:p>
    <w:p w14:paraId="622620E7">
      <w:pPr>
        <w:spacing w:line="360" w:lineRule="auto"/>
        <w:rPr>
          <w:bCs/>
          <w:color w:val="auto"/>
          <w:sz w:val="24"/>
          <w:szCs w:val="24"/>
        </w:rPr>
      </w:pPr>
      <w:r>
        <w:rPr>
          <w:rFonts w:hint="eastAsia"/>
          <w:bCs/>
          <w:color w:val="auto"/>
          <w:sz w:val="24"/>
          <w:szCs w:val="24"/>
        </w:rPr>
        <w:t>3）应实现备用电源的自动投切功能。</w:t>
      </w:r>
    </w:p>
    <w:p w14:paraId="6048304B">
      <w:pPr>
        <w:spacing w:line="360" w:lineRule="auto"/>
        <w:rPr>
          <w:bCs/>
          <w:color w:val="auto"/>
          <w:sz w:val="24"/>
          <w:szCs w:val="24"/>
        </w:rPr>
      </w:pPr>
      <w:r>
        <w:rPr>
          <w:rFonts w:hint="eastAsia"/>
          <w:bCs/>
          <w:color w:val="auto"/>
          <w:sz w:val="24"/>
          <w:szCs w:val="24"/>
        </w:rPr>
        <w:t>4）通风空调设备应设置就地、环控电控室及上位监控系统三级控制；系统应完成该三级控制方式的转换及其运行状态的显示。</w:t>
      </w:r>
    </w:p>
    <w:p w14:paraId="348F6FBD">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lang w:val="en-US" w:eastAsia="zh-CN"/>
        </w:rPr>
        <w:t xml:space="preserve">3 </w:t>
      </w:r>
      <w:r>
        <w:rPr>
          <w:rFonts w:hint="eastAsia" w:ascii="宋体" w:hAnsi="宋体" w:cs="宋体"/>
          <w:color w:val="auto"/>
          <w:sz w:val="24"/>
          <w:szCs w:val="24"/>
          <w:shd w:val="clear" w:color="auto" w:fill="FFFFFF"/>
        </w:rPr>
        <w:t>消防切非控制方式</w:t>
      </w:r>
    </w:p>
    <w:p w14:paraId="123D1FA9">
      <w:pPr>
        <w:spacing w:line="360" w:lineRule="auto"/>
        <w:rPr>
          <w:bCs/>
          <w:color w:val="auto"/>
          <w:sz w:val="24"/>
          <w:szCs w:val="24"/>
        </w:rPr>
      </w:pPr>
      <w:r>
        <w:rPr>
          <w:rFonts w:hint="eastAsia"/>
          <w:bCs/>
          <w:color w:val="auto"/>
          <w:sz w:val="24"/>
          <w:szCs w:val="24"/>
        </w:rPr>
        <w:t>1）一级负荷中，应仅切除其公共区照明电源。</w:t>
      </w:r>
    </w:p>
    <w:p w14:paraId="11364AD8">
      <w:pPr>
        <w:spacing w:line="360" w:lineRule="auto"/>
        <w:rPr>
          <w:bCs/>
          <w:color w:val="auto"/>
          <w:sz w:val="24"/>
          <w:szCs w:val="24"/>
        </w:rPr>
      </w:pPr>
      <w:r>
        <w:rPr>
          <w:rFonts w:hint="eastAsia"/>
          <w:bCs/>
          <w:color w:val="auto"/>
          <w:sz w:val="24"/>
          <w:szCs w:val="24"/>
        </w:rPr>
        <w:t>2）二级负荷中，客梯电源不应切除。</w:t>
      </w:r>
    </w:p>
    <w:p w14:paraId="35BD2683">
      <w:pPr>
        <w:spacing w:line="360" w:lineRule="auto"/>
        <w:rPr>
          <w:bCs/>
          <w:color w:val="auto"/>
          <w:sz w:val="24"/>
          <w:szCs w:val="24"/>
        </w:rPr>
      </w:pPr>
      <w:r>
        <w:rPr>
          <w:rFonts w:hint="eastAsia"/>
          <w:bCs/>
          <w:color w:val="auto"/>
          <w:sz w:val="24"/>
          <w:szCs w:val="24"/>
        </w:rPr>
        <w:t>3）除本条第1、2款规定之外的二级负荷及所有三级负荷，其电源应于变电所内予以切除。</w:t>
      </w:r>
    </w:p>
    <w:p w14:paraId="23A396FB">
      <w:pPr>
        <w:spacing w:line="360" w:lineRule="auto"/>
        <w:ind w:firstLine="480" w:firstLineChars="200"/>
        <w:rPr>
          <w:rFonts w:hint="eastAsia" w:ascii="宋体" w:hAnsi="宋体" w:cs="宋体"/>
          <w:color w:val="auto"/>
          <w:sz w:val="24"/>
          <w:szCs w:val="24"/>
          <w:shd w:val="clear" w:color="auto" w:fill="FFFFFF"/>
        </w:rPr>
      </w:pPr>
      <w:r>
        <w:rPr>
          <w:rFonts w:hint="eastAsia" w:ascii="宋体" w:hAnsi="宋体" w:cs="宋体"/>
          <w:color w:val="auto"/>
          <w:sz w:val="24"/>
          <w:szCs w:val="24"/>
          <w:shd w:val="clear" w:color="auto" w:fill="FFFFFF"/>
          <w:lang w:val="en-US" w:eastAsia="zh-CN"/>
        </w:rPr>
        <w:t xml:space="preserve">4 </w:t>
      </w:r>
      <w:r>
        <w:rPr>
          <w:rFonts w:hint="eastAsia" w:ascii="宋体" w:hAnsi="宋体" w:cs="宋体"/>
          <w:color w:val="auto"/>
          <w:sz w:val="24"/>
          <w:szCs w:val="24"/>
          <w:shd w:val="clear" w:color="auto" w:fill="FFFFFF"/>
        </w:rPr>
        <w:t>供热、通风与空气调节</w:t>
      </w:r>
    </w:p>
    <w:p w14:paraId="0A48C501">
      <w:pPr>
        <w:spacing w:line="360" w:lineRule="auto"/>
        <w:ind w:firstLine="480" w:firstLineChars="200"/>
        <w:rPr>
          <w:bCs/>
          <w:color w:val="auto"/>
          <w:sz w:val="24"/>
          <w:szCs w:val="24"/>
        </w:rPr>
      </w:pPr>
      <w:r>
        <w:rPr>
          <w:rFonts w:hint="eastAsia"/>
          <w:bCs/>
          <w:color w:val="auto"/>
          <w:sz w:val="24"/>
          <w:szCs w:val="24"/>
        </w:rPr>
        <w:t>1）</w:t>
      </w:r>
      <w:r>
        <w:rPr>
          <w:bCs/>
          <w:color w:val="auto"/>
          <w:sz w:val="24"/>
          <w:szCs w:val="24"/>
        </w:rPr>
        <w:t xml:space="preserve"> </w:t>
      </w:r>
      <w:r>
        <w:rPr>
          <w:rFonts w:hint="eastAsia"/>
          <w:bCs/>
          <w:color w:val="auto"/>
          <w:sz w:val="24"/>
          <w:szCs w:val="24"/>
        </w:rPr>
        <w:t>车辆基地内冷水机组宜采用由冷量优化控制运行台数的方式；采用自动方式运行时，冷水系统中相关设备及附件与冷水机组应进行电气连锁，顺序启停。</w:t>
      </w:r>
    </w:p>
    <w:p w14:paraId="01B318F6">
      <w:pPr>
        <w:spacing w:line="360" w:lineRule="auto"/>
        <w:ind w:firstLine="480" w:firstLineChars="200"/>
        <w:rPr>
          <w:bCs/>
          <w:color w:val="auto"/>
          <w:sz w:val="24"/>
          <w:szCs w:val="24"/>
        </w:rPr>
      </w:pPr>
      <w:r>
        <w:rPr>
          <w:rFonts w:hint="eastAsia"/>
          <w:bCs/>
          <w:color w:val="auto"/>
          <w:sz w:val="24"/>
          <w:szCs w:val="24"/>
        </w:rPr>
        <w:t>2）车辆基地内供暖、通风与空调设置联动、连锁等保护措施时，应符合现行国家标准的有关规定。</w:t>
      </w:r>
    </w:p>
    <w:p w14:paraId="2592A715">
      <w:pPr>
        <w:spacing w:line="360" w:lineRule="auto"/>
        <w:ind w:firstLine="480" w:firstLineChars="200"/>
        <w:rPr>
          <w:bCs/>
          <w:color w:val="auto"/>
          <w:sz w:val="24"/>
          <w:szCs w:val="24"/>
        </w:rPr>
      </w:pPr>
      <w:r>
        <w:rPr>
          <w:rFonts w:hint="eastAsia"/>
          <w:bCs/>
          <w:color w:val="auto"/>
          <w:sz w:val="24"/>
          <w:szCs w:val="24"/>
        </w:rPr>
        <w:t>3）车辆基地采用集中供暖时，应实行热计量。锅炉房、换热机房和制冷机房的能量计量应符合现行国家标准的有关规定。</w:t>
      </w:r>
    </w:p>
    <w:p w14:paraId="08F73C3D">
      <w:pPr>
        <w:spacing w:line="360" w:lineRule="auto"/>
        <w:ind w:firstLine="480" w:firstLineChars="200"/>
        <w:rPr>
          <w:bCs/>
          <w:color w:val="auto"/>
          <w:sz w:val="24"/>
          <w:szCs w:val="24"/>
        </w:rPr>
      </w:pPr>
      <w:r>
        <w:rPr>
          <w:rFonts w:hint="eastAsia"/>
          <w:bCs/>
          <w:color w:val="auto"/>
          <w:sz w:val="24"/>
          <w:szCs w:val="24"/>
        </w:rPr>
        <w:t>4）车辆基地内冷却塔风机开启台数或转速宜根据冷却塔出水温度控制。</w:t>
      </w:r>
    </w:p>
    <w:p w14:paraId="6D597D11">
      <w:pPr>
        <w:spacing w:line="360" w:lineRule="auto"/>
        <w:ind w:firstLine="480" w:firstLineChars="200"/>
        <w:rPr>
          <w:bCs/>
          <w:color w:val="auto"/>
          <w:sz w:val="24"/>
          <w:szCs w:val="24"/>
        </w:rPr>
      </w:pPr>
      <w:r>
        <w:rPr>
          <w:rFonts w:hint="eastAsia"/>
          <w:bCs/>
          <w:color w:val="auto"/>
          <w:sz w:val="24"/>
          <w:szCs w:val="24"/>
        </w:rPr>
        <w:t>5）车辆基地内除室温控制精度要求高的房间外（如弱电综合设备室、环控电控室等重要机房），风机盘管宜采用通断式常闭水阀，风机盘管的控制应能对室内温度值设定进行限制，应能按使用时间进行定时启停优化的控制。即：设置电动水阀，除了特别高精度要求外（温度要求在30度以下），电动水阀的执行控制器宜采用双位控制模式。</w:t>
      </w:r>
    </w:p>
    <w:p w14:paraId="5981AD7C">
      <w:pPr>
        <w:spacing w:line="360" w:lineRule="auto"/>
        <w:ind w:firstLine="480" w:firstLineChars="200"/>
        <w:rPr>
          <w:bCs/>
          <w:color w:val="auto"/>
          <w:sz w:val="24"/>
          <w:szCs w:val="24"/>
        </w:rPr>
      </w:pPr>
      <w:r>
        <w:rPr>
          <w:rFonts w:hint="eastAsia"/>
          <w:bCs/>
          <w:color w:val="auto"/>
          <w:sz w:val="24"/>
          <w:szCs w:val="24"/>
        </w:rPr>
        <w:t>6）车辆基地内空调风系统室内外参数比较控制应符合现行国家标准的有关规定。</w:t>
      </w:r>
    </w:p>
    <w:p w14:paraId="53F54E0F">
      <w:pPr>
        <w:spacing w:line="360" w:lineRule="auto"/>
        <w:ind w:firstLine="480" w:firstLineChars="200"/>
        <w:rPr>
          <w:bCs/>
          <w:color w:val="auto"/>
          <w:sz w:val="24"/>
          <w:szCs w:val="24"/>
        </w:rPr>
      </w:pPr>
      <w:r>
        <w:rPr>
          <w:rFonts w:hint="eastAsia"/>
          <w:bCs/>
          <w:color w:val="auto"/>
          <w:sz w:val="24"/>
          <w:szCs w:val="24"/>
        </w:rPr>
        <w:t>7）车辆基地内地下停车库风机宜采用多台并联方式或设置风机调速装置，并宜根据实用情况对通风机设置定时启停（台数）控制或根据车库内的C</w:t>
      </w:r>
      <w:r>
        <w:rPr>
          <w:bCs/>
          <w:color w:val="auto"/>
          <w:sz w:val="24"/>
          <w:szCs w:val="24"/>
        </w:rPr>
        <w:t>O</w:t>
      </w:r>
      <w:r>
        <w:rPr>
          <w:rFonts w:hint="eastAsia"/>
          <w:bCs/>
          <w:color w:val="auto"/>
          <w:sz w:val="24"/>
          <w:szCs w:val="24"/>
        </w:rPr>
        <w:t>浓度进行自动运行控制。</w:t>
      </w:r>
    </w:p>
    <w:p w14:paraId="7E51C3E2">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09" w:name="_Toc5137"/>
      <w:bookmarkStart w:id="110" w:name="_Toc223104328"/>
      <w:bookmarkStart w:id="111" w:name="_Toc14437"/>
      <w:r>
        <w:rPr>
          <w:rFonts w:hint="eastAsia" w:ascii="Times New Roman" w:hAnsi="Times New Roman" w:eastAsia="宋体" w:cs="Times New Roman"/>
          <w:bCs/>
          <w:color w:val="auto"/>
          <w:sz w:val="28"/>
          <w:szCs w:val="28"/>
        </w:rPr>
        <w:t>9.2智慧管控设计</w:t>
      </w:r>
      <w:bookmarkEnd w:id="109"/>
      <w:bookmarkEnd w:id="110"/>
      <w:bookmarkEnd w:id="111"/>
    </w:p>
    <w:p w14:paraId="395B6E03">
      <w:pPr>
        <w:spacing w:line="360" w:lineRule="auto"/>
        <w:rPr>
          <w:rFonts w:hint="default" w:eastAsia="宋体"/>
          <w:b/>
          <w:color w:val="auto"/>
          <w:sz w:val="24"/>
          <w:szCs w:val="24"/>
          <w:lang w:val="en-US" w:eastAsia="zh-CN"/>
        </w:rPr>
      </w:pPr>
      <w:r>
        <w:rPr>
          <w:rFonts w:hint="eastAsia"/>
          <w:b/>
          <w:color w:val="auto"/>
          <w:sz w:val="24"/>
          <w:szCs w:val="24"/>
        </w:rPr>
        <w:t>9.2.1能效分析</w:t>
      </w:r>
      <w:r>
        <w:rPr>
          <w:rFonts w:hint="eastAsia"/>
          <w:b/>
          <w:color w:val="auto"/>
          <w:sz w:val="24"/>
          <w:szCs w:val="24"/>
          <w:lang w:val="en-US" w:eastAsia="zh-CN"/>
        </w:rPr>
        <w:t>应满足下列要求：</w:t>
      </w:r>
    </w:p>
    <w:p w14:paraId="5B26994C">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rFonts w:hint="eastAsia"/>
          <w:bCs/>
          <w:color w:val="auto"/>
          <w:sz w:val="24"/>
          <w:szCs w:val="24"/>
        </w:rPr>
        <w:t>应</w:t>
      </w:r>
      <w:r>
        <w:rPr>
          <w:bCs/>
          <w:color w:val="auto"/>
          <w:sz w:val="24"/>
          <w:szCs w:val="24"/>
        </w:rPr>
        <w:t>支持针对各类能源在使用过程中的重要环节提供能源平衡统计分析，实现能源损耗的超标自动提示与告警。</w:t>
      </w:r>
    </w:p>
    <w:p w14:paraId="1C0B1CFB">
      <w:pPr>
        <w:spacing w:line="360" w:lineRule="auto"/>
        <w:ind w:firstLine="480" w:firstLineChars="200"/>
        <w:rPr>
          <w:bCs/>
          <w:color w:val="auto"/>
          <w:sz w:val="24"/>
          <w:szCs w:val="24"/>
        </w:rPr>
      </w:pPr>
      <w:r>
        <w:rPr>
          <w:rFonts w:hint="eastAsia"/>
          <w:bCs/>
          <w:color w:val="auto"/>
          <w:sz w:val="24"/>
          <w:szCs w:val="24"/>
          <w:lang w:val="en-US" w:eastAsia="zh-CN"/>
        </w:rPr>
        <w:t>2</w:t>
      </w:r>
      <w:r>
        <w:rPr>
          <w:rFonts w:hint="eastAsia"/>
          <w:bCs/>
          <w:color w:val="auto"/>
          <w:sz w:val="24"/>
          <w:szCs w:val="24"/>
          <w:lang w:val="en-US" w:eastAsia="zh-CN"/>
        </w:rPr>
        <w:t xml:space="preserve"> </w:t>
      </w:r>
      <w:r>
        <w:rPr>
          <w:rFonts w:hint="eastAsia"/>
          <w:bCs/>
          <w:color w:val="auto"/>
          <w:sz w:val="24"/>
          <w:szCs w:val="24"/>
          <w:lang w:val="en-US" w:eastAsia="zh-CN"/>
        </w:rPr>
        <w:t>应</w:t>
      </w:r>
      <w:r>
        <w:rPr>
          <w:bCs/>
          <w:color w:val="auto"/>
          <w:sz w:val="24"/>
          <w:szCs w:val="24"/>
        </w:rPr>
        <w:t>根据</w:t>
      </w:r>
      <w:r>
        <w:rPr>
          <w:rFonts w:hint="eastAsia"/>
          <w:bCs/>
          <w:color w:val="auto"/>
          <w:sz w:val="24"/>
          <w:szCs w:val="24"/>
        </w:rPr>
        <w:t>车辆基地</w:t>
      </w:r>
      <w:r>
        <w:rPr>
          <w:bCs/>
          <w:color w:val="auto"/>
          <w:sz w:val="24"/>
          <w:szCs w:val="24"/>
        </w:rPr>
        <w:t>的相关数据（客流人次、建筑面积、空调通风面积等）建立</w:t>
      </w:r>
      <w:r>
        <w:rPr>
          <w:rFonts w:hint="eastAsia"/>
          <w:bCs/>
          <w:color w:val="auto"/>
          <w:sz w:val="24"/>
          <w:szCs w:val="24"/>
        </w:rPr>
        <w:t>车辆基地的</w:t>
      </w:r>
      <w:r>
        <w:rPr>
          <w:bCs/>
          <w:color w:val="auto"/>
          <w:sz w:val="24"/>
          <w:szCs w:val="24"/>
        </w:rPr>
        <w:t>能效评估指标体系，可实时查看树状结构的指标体系，并且能够实时预警。</w:t>
      </w:r>
    </w:p>
    <w:p w14:paraId="5798335E">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lang w:val="en-US" w:eastAsia="zh-CN"/>
        </w:rPr>
        <w:t xml:space="preserve"> </w:t>
      </w:r>
      <w:r>
        <w:rPr>
          <w:rFonts w:hint="eastAsia"/>
          <w:bCs/>
          <w:color w:val="auto"/>
          <w:sz w:val="24"/>
          <w:szCs w:val="24"/>
          <w:lang w:val="en-US" w:eastAsia="zh-CN"/>
        </w:rPr>
        <w:t>应</w:t>
      </w:r>
      <w:r>
        <w:rPr>
          <w:rFonts w:hint="eastAsia"/>
          <w:bCs/>
          <w:color w:val="auto"/>
          <w:sz w:val="24"/>
          <w:szCs w:val="24"/>
          <w:lang w:val="en-US" w:eastAsia="zh-CN"/>
        </w:rPr>
        <w:t>能为</w:t>
      </w:r>
      <w:r>
        <w:rPr>
          <w:bCs/>
          <w:color w:val="auto"/>
          <w:sz w:val="24"/>
          <w:szCs w:val="24"/>
        </w:rPr>
        <w:t>节能审计管理人员提供有关</w:t>
      </w:r>
      <w:r>
        <w:rPr>
          <w:rFonts w:hint="eastAsia"/>
          <w:bCs/>
          <w:color w:val="auto"/>
          <w:sz w:val="24"/>
          <w:szCs w:val="24"/>
        </w:rPr>
        <w:t>车辆基地</w:t>
      </w:r>
      <w:r>
        <w:rPr>
          <w:bCs/>
          <w:color w:val="auto"/>
          <w:sz w:val="24"/>
          <w:szCs w:val="24"/>
        </w:rPr>
        <w:t>的能耗数据统计结果汇总和分析结论，可以自动生成综合能效评估报告，辅助管理人员制定进一步的能源运行管理策略</w:t>
      </w:r>
      <w:r>
        <w:rPr>
          <w:rFonts w:hint="eastAsia"/>
          <w:bCs/>
          <w:color w:val="auto"/>
          <w:sz w:val="24"/>
          <w:szCs w:val="24"/>
        </w:rPr>
        <w:t>。</w:t>
      </w:r>
    </w:p>
    <w:p w14:paraId="64F4089D">
      <w:pPr>
        <w:spacing w:line="360" w:lineRule="auto"/>
        <w:rPr>
          <w:b/>
          <w:color w:val="auto"/>
          <w:sz w:val="24"/>
          <w:szCs w:val="24"/>
        </w:rPr>
      </w:pPr>
      <w:r>
        <w:rPr>
          <w:rFonts w:hint="eastAsia"/>
          <w:b/>
          <w:color w:val="auto"/>
          <w:sz w:val="24"/>
          <w:szCs w:val="24"/>
        </w:rPr>
        <w:t>9.2.2设备能效监管与运营管理</w:t>
      </w:r>
      <w:r>
        <w:rPr>
          <w:rFonts w:hint="eastAsia"/>
          <w:b/>
          <w:color w:val="auto"/>
          <w:sz w:val="24"/>
          <w:szCs w:val="24"/>
          <w:lang w:val="en-US" w:eastAsia="zh-CN"/>
        </w:rPr>
        <w:t>应满足下列要求：</w:t>
      </w:r>
    </w:p>
    <w:p w14:paraId="3179EF01">
      <w:pPr>
        <w:spacing w:line="360" w:lineRule="auto"/>
        <w:ind w:firstLine="480" w:firstLineChars="200"/>
        <w:rPr>
          <w:bCs/>
          <w:color w:val="auto"/>
          <w:sz w:val="24"/>
          <w:szCs w:val="24"/>
        </w:rPr>
      </w:pPr>
      <w:r>
        <w:rPr>
          <w:rFonts w:hint="eastAsia"/>
          <w:bCs/>
          <w:color w:val="auto"/>
          <w:sz w:val="24"/>
          <w:szCs w:val="24"/>
          <w:lang w:val="en-US" w:eastAsia="zh-CN"/>
        </w:rPr>
        <w:t>1</w:t>
      </w:r>
      <w:r>
        <w:rPr>
          <w:rFonts w:hint="eastAsia"/>
          <w:bCs/>
          <w:color w:val="auto"/>
          <w:sz w:val="24"/>
          <w:szCs w:val="24"/>
          <w:lang w:val="en-US" w:eastAsia="zh-CN"/>
        </w:rPr>
        <w:t xml:space="preserve"> </w:t>
      </w:r>
      <w:r>
        <w:rPr>
          <w:rFonts w:hint="eastAsia"/>
          <w:bCs/>
          <w:color w:val="auto"/>
          <w:sz w:val="24"/>
          <w:szCs w:val="24"/>
        </w:rPr>
        <w:t>主降压所、跟随所应分别设置一套电能计量系统，负责0.4kV开关柜室、环控电控室及相关联区间跟随所的电能汇总及上传。智能低压系统应实时监控变电所进线、馈出回路的状态，并将相关数据上传到轨道交通智能运行或其它相关能源管理平台。</w:t>
      </w:r>
    </w:p>
    <w:p w14:paraId="7B661B56">
      <w:pPr>
        <w:spacing w:line="360" w:lineRule="auto"/>
        <w:ind w:firstLine="480" w:firstLineChars="200"/>
        <w:rPr>
          <w:bCs/>
          <w:color w:val="auto"/>
          <w:sz w:val="24"/>
          <w:szCs w:val="24"/>
        </w:rPr>
      </w:pPr>
      <w:r>
        <w:rPr>
          <w:rFonts w:hint="eastAsia"/>
          <w:bCs/>
          <w:color w:val="auto"/>
          <w:sz w:val="24"/>
          <w:szCs w:val="24"/>
          <w:lang w:val="en-US" w:eastAsia="zh-CN"/>
        </w:rPr>
        <w:t>2</w:t>
      </w:r>
      <w:r>
        <w:rPr>
          <w:rFonts w:hint="eastAsia"/>
          <w:bCs/>
          <w:color w:val="auto"/>
          <w:sz w:val="24"/>
          <w:szCs w:val="24"/>
          <w:lang w:val="en-US" w:eastAsia="zh-CN"/>
        </w:rPr>
        <w:t xml:space="preserve"> </w:t>
      </w:r>
      <w:r>
        <w:rPr>
          <w:bCs/>
          <w:color w:val="auto"/>
          <w:sz w:val="24"/>
          <w:szCs w:val="24"/>
        </w:rPr>
        <w:t>系统</w:t>
      </w:r>
      <w:r>
        <w:rPr>
          <w:rFonts w:hint="eastAsia"/>
          <w:bCs/>
          <w:color w:val="auto"/>
          <w:sz w:val="24"/>
          <w:szCs w:val="24"/>
        </w:rPr>
        <w:t>应</w:t>
      </w:r>
      <w:r>
        <w:rPr>
          <w:bCs/>
          <w:color w:val="auto"/>
          <w:sz w:val="24"/>
          <w:szCs w:val="24"/>
        </w:rPr>
        <w:t>灵活配置、计算设备能效指标（如；空调系统的COP、SCOP等）。</w:t>
      </w:r>
    </w:p>
    <w:p w14:paraId="31684302">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lang w:val="en-US" w:eastAsia="zh-CN"/>
        </w:rPr>
        <w:t xml:space="preserve"> </w:t>
      </w:r>
      <w:r>
        <w:rPr>
          <w:bCs/>
          <w:color w:val="auto"/>
          <w:sz w:val="24"/>
          <w:szCs w:val="24"/>
        </w:rPr>
        <w:t>系统</w:t>
      </w:r>
      <w:r>
        <w:rPr>
          <w:rFonts w:hint="eastAsia"/>
          <w:bCs/>
          <w:color w:val="auto"/>
          <w:sz w:val="24"/>
          <w:szCs w:val="24"/>
        </w:rPr>
        <w:t>应</w:t>
      </w:r>
      <w:r>
        <w:rPr>
          <w:bCs/>
          <w:color w:val="auto"/>
          <w:sz w:val="24"/>
          <w:szCs w:val="24"/>
        </w:rPr>
        <w:t>对主要耗能设备（如；通风空调系统）的运行状态和效率进行动态监管。</w:t>
      </w:r>
    </w:p>
    <w:p w14:paraId="1AADF9E5">
      <w:pPr>
        <w:spacing w:line="360" w:lineRule="auto"/>
        <w:ind w:firstLine="480" w:firstLineChars="200"/>
        <w:rPr>
          <w:bCs/>
          <w:color w:val="auto"/>
          <w:sz w:val="24"/>
          <w:szCs w:val="24"/>
        </w:rPr>
      </w:pPr>
      <w:r>
        <w:rPr>
          <w:rFonts w:hint="eastAsia"/>
          <w:bCs/>
          <w:color w:val="auto"/>
          <w:sz w:val="24"/>
          <w:szCs w:val="24"/>
          <w:lang w:val="en-US" w:eastAsia="zh-CN"/>
        </w:rPr>
        <w:t>4</w:t>
      </w:r>
      <w:r>
        <w:rPr>
          <w:rFonts w:hint="eastAsia"/>
          <w:bCs/>
          <w:color w:val="auto"/>
          <w:sz w:val="24"/>
          <w:szCs w:val="24"/>
          <w:lang w:val="en-US" w:eastAsia="zh-CN"/>
        </w:rPr>
        <w:t xml:space="preserve"> </w:t>
      </w:r>
      <w:r>
        <w:rPr>
          <w:bCs/>
          <w:color w:val="auto"/>
          <w:sz w:val="24"/>
          <w:szCs w:val="24"/>
        </w:rPr>
        <w:t>系统</w:t>
      </w:r>
      <w:r>
        <w:rPr>
          <w:rFonts w:hint="eastAsia"/>
          <w:bCs/>
          <w:color w:val="auto"/>
          <w:sz w:val="24"/>
          <w:szCs w:val="24"/>
        </w:rPr>
        <w:t>应</w:t>
      </w:r>
      <w:r>
        <w:rPr>
          <w:bCs/>
          <w:color w:val="auto"/>
          <w:sz w:val="24"/>
          <w:szCs w:val="24"/>
        </w:rPr>
        <w:t>建立环控系统、照明系统、动力系统能效评估模型，实时评估能源利用效率，在线挖掘节能空间，为运营优化提供建议和依据。</w:t>
      </w:r>
    </w:p>
    <w:p w14:paraId="537E8601">
      <w:pPr>
        <w:spacing w:line="360" w:lineRule="auto"/>
        <w:rPr>
          <w:b/>
          <w:color w:val="auto"/>
          <w:sz w:val="24"/>
          <w:szCs w:val="24"/>
        </w:rPr>
      </w:pPr>
      <w:r>
        <w:rPr>
          <w:rFonts w:hint="eastAsia"/>
          <w:b/>
          <w:color w:val="auto"/>
          <w:sz w:val="24"/>
          <w:szCs w:val="24"/>
        </w:rPr>
        <w:t>9.2.3能源需求管理</w:t>
      </w:r>
      <w:r>
        <w:rPr>
          <w:rFonts w:hint="eastAsia"/>
          <w:b/>
          <w:color w:val="auto"/>
          <w:sz w:val="24"/>
          <w:szCs w:val="24"/>
          <w:lang w:val="en-US" w:eastAsia="zh-CN"/>
        </w:rPr>
        <w:t>应满足下列要求：</w:t>
      </w:r>
    </w:p>
    <w:p w14:paraId="5E6E65BA">
      <w:pPr>
        <w:spacing w:line="360" w:lineRule="auto"/>
        <w:ind w:firstLine="480" w:firstLineChars="200"/>
        <w:rPr>
          <w:bCs/>
          <w:color w:val="auto"/>
          <w:sz w:val="24"/>
          <w:szCs w:val="24"/>
        </w:rPr>
      </w:pPr>
      <w:r>
        <w:rPr>
          <w:rFonts w:hint="eastAsia"/>
          <w:bCs/>
          <w:color w:val="auto"/>
          <w:sz w:val="24"/>
          <w:szCs w:val="24"/>
          <w:lang w:val="en-US" w:eastAsia="zh-CN"/>
        </w:rPr>
        <w:t>1</w:t>
      </w:r>
      <w:r>
        <w:rPr>
          <w:rFonts w:hint="eastAsia"/>
          <w:bCs/>
          <w:color w:val="auto"/>
          <w:sz w:val="24"/>
          <w:szCs w:val="24"/>
          <w:lang w:val="en-US" w:eastAsia="zh-CN"/>
        </w:rPr>
        <w:t xml:space="preserve"> </w:t>
      </w:r>
      <w:r>
        <w:rPr>
          <w:rFonts w:hint="eastAsia"/>
          <w:bCs/>
          <w:color w:val="auto"/>
          <w:sz w:val="24"/>
          <w:szCs w:val="24"/>
        </w:rPr>
        <w:t>能源需求管理应</w:t>
      </w:r>
      <w:r>
        <w:rPr>
          <w:bCs/>
          <w:color w:val="auto"/>
          <w:sz w:val="24"/>
          <w:szCs w:val="24"/>
        </w:rPr>
        <w:t>基于地理导航图，逐级展示</w:t>
      </w:r>
      <w:r>
        <w:rPr>
          <w:rFonts w:hint="eastAsia"/>
          <w:bCs/>
          <w:color w:val="auto"/>
          <w:sz w:val="24"/>
          <w:szCs w:val="24"/>
        </w:rPr>
        <w:t>车辆基地</w:t>
      </w:r>
      <w:r>
        <w:rPr>
          <w:bCs/>
          <w:color w:val="auto"/>
          <w:sz w:val="24"/>
          <w:szCs w:val="24"/>
        </w:rPr>
        <w:t>各区域、重点设备系统（如通风空调、电梯、扶梯、照明）的分类能源实时用能信息。</w:t>
      </w:r>
    </w:p>
    <w:p w14:paraId="4504720D">
      <w:pPr>
        <w:spacing w:line="360" w:lineRule="auto"/>
        <w:ind w:firstLine="480" w:firstLineChars="200"/>
        <w:rPr>
          <w:bCs/>
          <w:color w:val="auto"/>
          <w:sz w:val="24"/>
          <w:szCs w:val="24"/>
        </w:rPr>
      </w:pPr>
      <w:r>
        <w:rPr>
          <w:rFonts w:hint="eastAsia"/>
          <w:bCs/>
          <w:color w:val="auto"/>
          <w:sz w:val="24"/>
          <w:szCs w:val="24"/>
          <w:lang w:val="en-US" w:eastAsia="zh-CN"/>
        </w:rPr>
        <w:t>2</w:t>
      </w:r>
      <w:r>
        <w:rPr>
          <w:rFonts w:hint="eastAsia"/>
          <w:bCs/>
          <w:color w:val="auto"/>
          <w:sz w:val="24"/>
          <w:szCs w:val="24"/>
          <w:lang w:val="en-US" w:eastAsia="zh-CN"/>
        </w:rPr>
        <w:t xml:space="preserve"> </w:t>
      </w:r>
      <w:r>
        <w:rPr>
          <w:rFonts w:hint="eastAsia"/>
          <w:bCs/>
          <w:color w:val="auto"/>
          <w:sz w:val="24"/>
          <w:szCs w:val="24"/>
        </w:rPr>
        <w:t>应</w:t>
      </w:r>
      <w:r>
        <w:rPr>
          <w:bCs/>
          <w:color w:val="auto"/>
          <w:sz w:val="24"/>
          <w:szCs w:val="24"/>
        </w:rPr>
        <w:t>支持数据、表格、曲线、棒图等展示形式以及动画、浮动等展示方式，方便管理人员直观了解当前监测对象的能耗消耗量、能耗变化趋势、区域用能情况。预测和预防供电不稳定对生产设备造成的损害。</w:t>
      </w:r>
    </w:p>
    <w:p w14:paraId="275A85B3">
      <w:pPr>
        <w:spacing w:line="360" w:lineRule="auto"/>
        <w:ind w:firstLine="480" w:firstLineChars="200"/>
        <w:rPr>
          <w:bCs/>
          <w:color w:val="auto"/>
          <w:sz w:val="24"/>
          <w:szCs w:val="24"/>
        </w:rPr>
      </w:pPr>
      <w:r>
        <w:rPr>
          <w:rFonts w:hint="eastAsia"/>
          <w:bCs/>
          <w:color w:val="auto"/>
          <w:sz w:val="24"/>
          <w:szCs w:val="24"/>
          <w:lang w:val="en-US" w:eastAsia="zh-CN"/>
        </w:rPr>
        <w:t>3</w:t>
      </w:r>
      <w:r>
        <w:rPr>
          <w:rFonts w:hint="eastAsia"/>
          <w:bCs/>
          <w:color w:val="auto"/>
          <w:sz w:val="24"/>
          <w:szCs w:val="24"/>
          <w:lang w:val="en-US" w:eastAsia="zh-CN"/>
        </w:rPr>
        <w:t xml:space="preserve"> </w:t>
      </w:r>
      <w:r>
        <w:rPr>
          <w:rFonts w:hint="eastAsia"/>
          <w:bCs/>
          <w:color w:val="auto"/>
          <w:sz w:val="24"/>
          <w:szCs w:val="24"/>
        </w:rPr>
        <w:t>当</w:t>
      </w:r>
      <w:r>
        <w:rPr>
          <w:bCs/>
          <w:color w:val="auto"/>
          <w:sz w:val="24"/>
          <w:szCs w:val="24"/>
        </w:rPr>
        <w:t>多级需量限值超限告警，</w:t>
      </w:r>
      <w:r>
        <w:rPr>
          <w:rFonts w:hint="eastAsia"/>
          <w:bCs/>
          <w:color w:val="auto"/>
          <w:sz w:val="24"/>
          <w:szCs w:val="24"/>
        </w:rPr>
        <w:t>应</w:t>
      </w:r>
      <w:r>
        <w:rPr>
          <w:bCs/>
          <w:color w:val="auto"/>
          <w:sz w:val="24"/>
          <w:szCs w:val="24"/>
        </w:rPr>
        <w:t>按预设策略进行控制，控制最大需量值。</w:t>
      </w:r>
    </w:p>
    <w:p w14:paraId="14C58925">
      <w:pPr>
        <w:spacing w:line="360" w:lineRule="auto"/>
        <w:rPr>
          <w:bCs/>
          <w:color w:val="auto"/>
          <w:sz w:val="24"/>
          <w:szCs w:val="24"/>
        </w:rPr>
      </w:pPr>
      <w:r>
        <w:rPr>
          <w:bCs/>
          <w:color w:val="auto"/>
          <w:sz w:val="24"/>
          <w:szCs w:val="24"/>
        </w:rPr>
        <w:t>包括但不限于以下功能：</w:t>
      </w:r>
    </w:p>
    <w:p w14:paraId="61BEF364">
      <w:pPr>
        <w:spacing w:line="360" w:lineRule="auto"/>
        <w:ind w:firstLine="480" w:firstLineChars="200"/>
        <w:rPr>
          <w:bCs/>
          <w:color w:val="auto"/>
          <w:sz w:val="24"/>
          <w:szCs w:val="24"/>
        </w:rPr>
      </w:pPr>
      <w:r>
        <w:rPr>
          <w:bCs/>
          <w:color w:val="auto"/>
          <w:sz w:val="24"/>
          <w:szCs w:val="24"/>
        </w:rPr>
        <w:t>中央空调冷却水能耗计算24小时用水量，须能分季节设定原值，对能耗超标进行预警。</w:t>
      </w:r>
    </w:p>
    <w:p w14:paraId="69C42756">
      <w:pPr>
        <w:spacing w:line="360" w:lineRule="auto"/>
        <w:ind w:firstLine="480" w:firstLineChars="200"/>
        <w:rPr>
          <w:bCs/>
          <w:color w:val="auto"/>
          <w:sz w:val="24"/>
          <w:szCs w:val="24"/>
        </w:rPr>
      </w:pPr>
      <w:r>
        <w:rPr>
          <w:bCs/>
          <w:color w:val="auto"/>
          <w:sz w:val="24"/>
          <w:szCs w:val="24"/>
        </w:rPr>
        <w:t>洗手间水能耗计算24小时用水量，须能设定原值，对能耗超标进行预警。</w:t>
      </w:r>
    </w:p>
    <w:p w14:paraId="15280639">
      <w:pPr>
        <w:spacing w:line="360" w:lineRule="auto"/>
        <w:ind w:firstLine="480" w:firstLineChars="200"/>
        <w:rPr>
          <w:bCs/>
          <w:color w:val="auto"/>
          <w:sz w:val="24"/>
          <w:szCs w:val="24"/>
        </w:rPr>
      </w:pPr>
      <w:r>
        <w:rPr>
          <w:bCs/>
          <w:color w:val="auto"/>
          <w:sz w:val="24"/>
          <w:szCs w:val="24"/>
        </w:rPr>
        <w:t>中央空调能计算24小时用电量，须能分月设定原值，对能耗超标进行预警。</w:t>
      </w:r>
    </w:p>
    <w:p w14:paraId="3A800FDA">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12" w:name="_Toc223104329"/>
      <w:bookmarkStart w:id="113" w:name="_Toc7347"/>
      <w:bookmarkStart w:id="114" w:name="_Toc27472"/>
      <w:r>
        <w:rPr>
          <w:rFonts w:hint="eastAsia" w:ascii="Times New Roman" w:hAnsi="Times New Roman" w:eastAsia="宋体" w:cs="Times New Roman"/>
          <w:bCs/>
          <w:color w:val="auto"/>
          <w:sz w:val="28"/>
          <w:szCs w:val="28"/>
        </w:rPr>
        <w:t>9.3节能控制</w:t>
      </w:r>
      <w:bookmarkEnd w:id="112"/>
      <w:bookmarkEnd w:id="113"/>
      <w:bookmarkEnd w:id="114"/>
    </w:p>
    <w:p w14:paraId="3E87F143">
      <w:pPr>
        <w:spacing w:line="360" w:lineRule="auto"/>
        <w:rPr>
          <w:bCs/>
          <w:color w:val="auto"/>
          <w:sz w:val="24"/>
          <w:szCs w:val="24"/>
        </w:rPr>
      </w:pPr>
      <w:r>
        <w:rPr>
          <w:rFonts w:hint="eastAsia"/>
          <w:bCs/>
          <w:color w:val="auto"/>
          <w:sz w:val="24"/>
          <w:szCs w:val="24"/>
          <w:lang w:val="en-US" w:eastAsia="zh-CN"/>
        </w:rPr>
        <w:t>9.3.1</w:t>
      </w:r>
      <w:r>
        <w:rPr>
          <w:bCs/>
          <w:color w:val="auto"/>
          <w:sz w:val="24"/>
          <w:szCs w:val="24"/>
        </w:rPr>
        <w:t>系统应根据能源管理系统提供的能效指标进行节能控制，节能控制策略包括但不限于以下：</w:t>
      </w:r>
    </w:p>
    <w:p w14:paraId="2353C22F">
      <w:pPr>
        <w:spacing w:line="360" w:lineRule="auto"/>
        <w:ind w:firstLine="480" w:firstLineChars="200"/>
        <w:rPr>
          <w:bCs/>
          <w:color w:val="auto"/>
          <w:sz w:val="24"/>
          <w:szCs w:val="24"/>
        </w:rPr>
      </w:pPr>
      <w:r>
        <w:rPr>
          <w:rFonts w:hint="eastAsia"/>
          <w:bCs/>
          <w:color w:val="auto"/>
          <w:sz w:val="24"/>
          <w:szCs w:val="24"/>
          <w:lang w:val="en-US" w:eastAsia="zh-CN"/>
        </w:rPr>
        <w:t xml:space="preserve">1 </w:t>
      </w:r>
      <w:r>
        <w:rPr>
          <w:bCs/>
          <w:color w:val="auto"/>
          <w:sz w:val="24"/>
          <w:szCs w:val="24"/>
        </w:rPr>
        <w:t>根据运营工况整体调节节能控制方案；</w:t>
      </w:r>
    </w:p>
    <w:p w14:paraId="65871FE1">
      <w:pPr>
        <w:spacing w:line="360" w:lineRule="auto"/>
        <w:ind w:firstLine="480" w:firstLineChars="200"/>
        <w:rPr>
          <w:bCs/>
          <w:color w:val="auto"/>
          <w:sz w:val="24"/>
          <w:szCs w:val="24"/>
        </w:rPr>
      </w:pPr>
      <w:r>
        <w:rPr>
          <w:rFonts w:hint="eastAsia"/>
          <w:bCs/>
          <w:color w:val="auto"/>
          <w:sz w:val="24"/>
          <w:szCs w:val="24"/>
          <w:lang w:val="en-US" w:eastAsia="zh-CN"/>
        </w:rPr>
        <w:t xml:space="preserve">2 </w:t>
      </w:r>
      <w:r>
        <w:rPr>
          <w:bCs/>
          <w:color w:val="auto"/>
          <w:sz w:val="24"/>
          <w:szCs w:val="24"/>
        </w:rPr>
        <w:t>通风空调系统采用动态控制方式灵活应对运营工况；</w:t>
      </w:r>
    </w:p>
    <w:p w14:paraId="46EDFEE6">
      <w:pPr>
        <w:spacing w:line="360" w:lineRule="auto"/>
        <w:ind w:firstLine="480" w:firstLineChars="200"/>
        <w:rPr>
          <w:bCs/>
          <w:color w:val="auto"/>
          <w:sz w:val="24"/>
          <w:szCs w:val="24"/>
        </w:rPr>
      </w:pPr>
      <w:r>
        <w:rPr>
          <w:rFonts w:hint="eastAsia"/>
          <w:bCs/>
          <w:color w:val="auto"/>
          <w:sz w:val="24"/>
          <w:szCs w:val="24"/>
          <w:lang w:val="en-US" w:eastAsia="zh-CN"/>
        </w:rPr>
        <w:t xml:space="preserve">3 </w:t>
      </w:r>
      <w:r>
        <w:rPr>
          <w:bCs/>
          <w:color w:val="auto"/>
          <w:sz w:val="24"/>
          <w:szCs w:val="24"/>
        </w:rPr>
        <w:t>智能照明应根据车站实际照度调节进行智能控制；</w:t>
      </w:r>
    </w:p>
    <w:p w14:paraId="22CFC1B6">
      <w:pPr>
        <w:spacing w:line="360" w:lineRule="auto"/>
        <w:ind w:firstLine="480" w:firstLineChars="200"/>
        <w:rPr>
          <w:bCs/>
          <w:color w:val="auto"/>
          <w:sz w:val="24"/>
          <w:szCs w:val="24"/>
        </w:rPr>
      </w:pPr>
      <w:r>
        <w:rPr>
          <w:rFonts w:hint="eastAsia"/>
          <w:bCs/>
          <w:color w:val="auto"/>
          <w:sz w:val="24"/>
          <w:szCs w:val="24"/>
          <w:lang w:val="en-US" w:eastAsia="zh-CN"/>
        </w:rPr>
        <w:t xml:space="preserve">4 </w:t>
      </w:r>
      <w:r>
        <w:rPr>
          <w:bCs/>
          <w:color w:val="auto"/>
          <w:sz w:val="24"/>
          <w:szCs w:val="24"/>
        </w:rPr>
        <w:t>自动扶梯采用节能变频控制技术，支持根据运营状态动态调整开行模式；</w:t>
      </w:r>
    </w:p>
    <w:p w14:paraId="0CD9231D">
      <w:pPr>
        <w:spacing w:line="360" w:lineRule="auto"/>
        <w:ind w:firstLine="480" w:firstLineChars="200"/>
        <w:rPr>
          <w:bCs/>
          <w:color w:val="auto"/>
          <w:sz w:val="24"/>
          <w:szCs w:val="24"/>
        </w:rPr>
      </w:pPr>
      <w:r>
        <w:rPr>
          <w:rFonts w:hint="eastAsia"/>
          <w:bCs/>
          <w:color w:val="auto"/>
          <w:sz w:val="24"/>
          <w:szCs w:val="24"/>
          <w:lang w:val="en-US" w:eastAsia="zh-CN"/>
        </w:rPr>
        <w:t xml:space="preserve">5 </w:t>
      </w:r>
      <w:r>
        <w:rPr>
          <w:bCs/>
          <w:color w:val="auto"/>
          <w:sz w:val="24"/>
          <w:szCs w:val="24"/>
        </w:rPr>
        <w:t>使用节水型卫生设备和变频泵，支持根据运营实际需求调整相应设备状态等。</w:t>
      </w:r>
    </w:p>
    <w:p w14:paraId="00C40EE7">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15" w:name="_Toc29580"/>
      <w:bookmarkStart w:id="116" w:name="_Toc27787"/>
      <w:bookmarkStart w:id="117" w:name="_Toc223104330"/>
      <w:r>
        <w:rPr>
          <w:rFonts w:hint="eastAsia" w:ascii="Times New Roman" w:hAnsi="Times New Roman" w:eastAsia="宋体" w:cs="Times New Roman"/>
          <w:bCs/>
          <w:color w:val="auto"/>
          <w:sz w:val="28"/>
          <w:szCs w:val="28"/>
        </w:rPr>
        <w:t>9.4成本管理</w:t>
      </w:r>
      <w:bookmarkEnd w:id="115"/>
      <w:bookmarkEnd w:id="116"/>
      <w:bookmarkEnd w:id="117"/>
    </w:p>
    <w:p w14:paraId="357CC9DF">
      <w:pPr>
        <w:spacing w:line="360" w:lineRule="auto"/>
        <w:rPr>
          <w:bCs/>
          <w:color w:val="auto"/>
          <w:sz w:val="24"/>
          <w:szCs w:val="24"/>
        </w:rPr>
      </w:pPr>
      <w:r>
        <w:rPr>
          <w:rFonts w:hint="eastAsia"/>
          <w:bCs/>
          <w:color w:val="auto"/>
          <w:sz w:val="24"/>
          <w:szCs w:val="24"/>
          <w:lang w:val="en-US" w:eastAsia="zh-CN"/>
        </w:rPr>
        <w:t>9.4.1</w:t>
      </w:r>
      <w:r>
        <w:rPr>
          <w:rFonts w:hint="eastAsia"/>
          <w:bCs/>
          <w:color w:val="auto"/>
          <w:sz w:val="24"/>
          <w:szCs w:val="24"/>
        </w:rPr>
        <w:t>监控系统应</w:t>
      </w:r>
      <w:r>
        <w:rPr>
          <w:bCs/>
          <w:color w:val="auto"/>
          <w:sz w:val="24"/>
          <w:szCs w:val="24"/>
        </w:rPr>
        <w:t>支持：单一制、阶梯制、分时制等多种单价计费方式</w:t>
      </w:r>
      <w:r>
        <w:rPr>
          <w:rFonts w:hint="eastAsia"/>
          <w:bCs/>
          <w:color w:val="auto"/>
          <w:sz w:val="24"/>
          <w:szCs w:val="24"/>
        </w:rPr>
        <w:t>；</w:t>
      </w:r>
      <w:r>
        <w:rPr>
          <w:bCs/>
          <w:color w:val="auto"/>
          <w:sz w:val="24"/>
          <w:szCs w:val="24"/>
        </w:rPr>
        <w:t>用量分摊、面积分摊、总表均摊等多种分摊方式。</w:t>
      </w:r>
      <w:r>
        <w:rPr>
          <w:rFonts w:hint="eastAsia"/>
          <w:bCs/>
          <w:color w:val="auto"/>
          <w:sz w:val="24"/>
          <w:szCs w:val="24"/>
        </w:rPr>
        <w:t>表计应采用当地供电部门认可的表计进行计费。</w:t>
      </w:r>
    </w:p>
    <w:p w14:paraId="08A9C803">
      <w:pPr>
        <w:spacing w:line="360" w:lineRule="auto"/>
        <w:rPr>
          <w:bCs/>
          <w:color w:val="auto"/>
          <w:sz w:val="24"/>
          <w:szCs w:val="24"/>
        </w:rPr>
      </w:pPr>
      <w:r>
        <w:rPr>
          <w:rFonts w:hint="eastAsia"/>
          <w:bCs/>
          <w:color w:val="auto"/>
          <w:sz w:val="24"/>
          <w:szCs w:val="24"/>
          <w:lang w:val="en-US" w:eastAsia="zh-CN"/>
        </w:rPr>
        <w:t>9.4.2</w:t>
      </w:r>
      <w:r>
        <w:rPr>
          <w:rFonts w:hint="eastAsia"/>
          <w:bCs/>
          <w:color w:val="auto"/>
          <w:sz w:val="24"/>
          <w:szCs w:val="24"/>
        </w:rPr>
        <w:t>可</w:t>
      </w:r>
      <w:r>
        <w:rPr>
          <w:bCs/>
          <w:color w:val="auto"/>
          <w:sz w:val="24"/>
          <w:szCs w:val="24"/>
        </w:rPr>
        <w:t>根据能源成本费用历史数据以及预算执行情况，进行后续统计周期的成本费用预测，协助管理人员进行有效的成本计划管理。</w:t>
      </w:r>
    </w:p>
    <w:p w14:paraId="08118B33">
      <w:pPr>
        <w:spacing w:line="360" w:lineRule="auto"/>
        <w:rPr>
          <w:bCs/>
          <w:color w:val="auto"/>
          <w:sz w:val="24"/>
          <w:szCs w:val="24"/>
        </w:rPr>
      </w:pPr>
      <w:r>
        <w:rPr>
          <w:rFonts w:hint="eastAsia"/>
          <w:bCs/>
          <w:color w:val="auto"/>
          <w:sz w:val="24"/>
          <w:szCs w:val="24"/>
          <w:lang w:val="en-US" w:eastAsia="zh-CN"/>
        </w:rPr>
        <w:t>9.4.3</w:t>
      </w:r>
      <w:r>
        <w:rPr>
          <w:rFonts w:hint="eastAsia"/>
          <w:bCs/>
          <w:color w:val="auto"/>
          <w:sz w:val="24"/>
          <w:szCs w:val="24"/>
        </w:rPr>
        <w:t>针对照明、环控类型负荷，负荷总开关回路应加装企业内部考核计量装置。公众通信、广告照明、银行、商铺等（若有）需单独计费，表计应采用当地供电部门认可的表计进行计费。</w:t>
      </w:r>
    </w:p>
    <w:p w14:paraId="4075CDA4">
      <w:pPr>
        <w:numPr>
          <w:ilvl w:val="0"/>
          <w:numId w:val="0"/>
        </w:numPr>
        <w:spacing w:after="240" w:line="360" w:lineRule="auto"/>
        <w:jc w:val="center"/>
        <w:outlineLvl w:val="0"/>
        <w:rPr>
          <w:rFonts w:ascii="黑体" w:hAnsi="黑体" w:eastAsia="黑体"/>
          <w:bCs/>
          <w:color w:val="auto"/>
          <w:sz w:val="36"/>
          <w:szCs w:val="32"/>
        </w:rPr>
      </w:pPr>
      <w:bookmarkStart w:id="118" w:name="_Toc7144"/>
      <w:bookmarkStart w:id="119" w:name="_Toc223104331"/>
      <w:r>
        <w:rPr>
          <w:rFonts w:hint="eastAsia" w:ascii="黑体" w:hAnsi="黑体" w:eastAsia="黑体"/>
          <w:bCs/>
          <w:color w:val="auto"/>
          <w:sz w:val="36"/>
          <w:szCs w:val="32"/>
          <w:lang w:val="en-US" w:eastAsia="zh-CN"/>
        </w:rPr>
        <w:br w:type="page"/>
      </w:r>
      <w:bookmarkStart w:id="120" w:name="_Toc26401"/>
      <w:r>
        <w:rPr>
          <w:rFonts w:hint="eastAsia" w:ascii="黑体" w:hAnsi="黑体" w:eastAsia="黑体"/>
          <w:bCs/>
          <w:color w:val="auto"/>
          <w:sz w:val="36"/>
          <w:szCs w:val="32"/>
          <w:lang w:val="en-US" w:eastAsia="zh-CN"/>
        </w:rPr>
        <w:t xml:space="preserve">10 </w:t>
      </w:r>
      <w:r>
        <w:rPr>
          <w:rFonts w:hint="eastAsia" w:ascii="黑体" w:hAnsi="黑体" w:eastAsia="黑体"/>
          <w:bCs/>
          <w:color w:val="auto"/>
          <w:sz w:val="36"/>
          <w:szCs w:val="32"/>
        </w:rPr>
        <w:t>碳排放核算</w:t>
      </w:r>
      <w:bookmarkEnd w:id="118"/>
      <w:bookmarkEnd w:id="119"/>
      <w:bookmarkEnd w:id="120"/>
    </w:p>
    <w:p w14:paraId="588F3C8D">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21" w:name="_Toc223104332"/>
      <w:bookmarkStart w:id="122" w:name="_Toc12691"/>
      <w:bookmarkStart w:id="123" w:name="_Toc1272"/>
      <w:r>
        <w:rPr>
          <w:rFonts w:hint="eastAsia" w:ascii="Times New Roman" w:hAnsi="Times New Roman" w:eastAsia="宋体" w:cs="Times New Roman"/>
          <w:bCs/>
          <w:color w:val="auto"/>
          <w:sz w:val="28"/>
          <w:szCs w:val="28"/>
        </w:rPr>
        <w:t>10.1 核算边界与数据来源</w:t>
      </w:r>
      <w:bookmarkEnd w:id="121"/>
      <w:bookmarkEnd w:id="122"/>
      <w:bookmarkEnd w:id="123"/>
    </w:p>
    <w:p w14:paraId="71C2134B">
      <w:pPr>
        <w:pStyle w:val="19"/>
        <w:spacing w:line="360" w:lineRule="auto"/>
        <w:ind w:firstLine="0" w:firstLineChars="0"/>
        <w:rPr>
          <w:sz w:val="24"/>
          <w:szCs w:val="24"/>
        </w:rPr>
      </w:pPr>
      <w:r>
        <w:rPr>
          <w:rFonts w:hint="eastAsia"/>
          <w:sz w:val="24"/>
          <w:szCs w:val="24"/>
        </w:rPr>
        <w:t>10</w:t>
      </w:r>
      <w:r>
        <w:rPr>
          <w:sz w:val="24"/>
          <w:szCs w:val="24"/>
        </w:rPr>
        <w:t>.1.1</w:t>
      </w:r>
      <w:r>
        <w:rPr>
          <w:rFonts w:hint="eastAsia"/>
          <w:sz w:val="24"/>
          <w:szCs w:val="24"/>
        </w:rPr>
        <w:t xml:space="preserve"> </w:t>
      </w:r>
      <w:r>
        <w:rPr>
          <w:sz w:val="24"/>
          <w:szCs w:val="24"/>
        </w:rPr>
        <w:t>城市轨道交通</w:t>
      </w:r>
      <w:r>
        <w:rPr>
          <w:rFonts w:hint="eastAsia"/>
          <w:sz w:val="24"/>
          <w:szCs w:val="24"/>
        </w:rPr>
        <w:t>车辆基地</w:t>
      </w:r>
      <w:r>
        <w:rPr>
          <w:sz w:val="24"/>
          <w:szCs w:val="24"/>
        </w:rPr>
        <w:t>碳排放</w:t>
      </w:r>
      <w:r>
        <w:rPr>
          <w:rFonts w:hint="eastAsia"/>
          <w:sz w:val="24"/>
          <w:szCs w:val="24"/>
        </w:rPr>
        <w:t>核算应以运营单位为主体，在规定周期内对已运营车辆基地范围内化石燃料燃烧排放、消耗外购电力及热力产生的碳排放进行核算，宜对其他间接碳排放进行核算。</w:t>
      </w:r>
    </w:p>
    <w:p w14:paraId="206B9BCD">
      <w:pPr>
        <w:pStyle w:val="19"/>
        <w:spacing w:line="360" w:lineRule="auto"/>
        <w:ind w:firstLine="0" w:firstLineChars="0"/>
        <w:rPr>
          <w:sz w:val="24"/>
          <w:szCs w:val="24"/>
        </w:rPr>
      </w:pPr>
      <w:r>
        <w:rPr>
          <w:rFonts w:hint="eastAsia"/>
          <w:sz w:val="24"/>
          <w:szCs w:val="24"/>
        </w:rPr>
        <w:t xml:space="preserve">10.1.2 </w:t>
      </w:r>
      <w:r>
        <w:rPr>
          <w:sz w:val="24"/>
          <w:szCs w:val="24"/>
        </w:rPr>
        <w:t>城市轨道交通</w:t>
      </w:r>
      <w:r>
        <w:rPr>
          <w:rFonts w:hint="eastAsia"/>
          <w:sz w:val="24"/>
          <w:szCs w:val="24"/>
        </w:rPr>
        <w:t>车辆基地</w:t>
      </w:r>
      <w:r>
        <w:rPr>
          <w:sz w:val="24"/>
          <w:szCs w:val="24"/>
        </w:rPr>
        <w:t>碳排放计算应包含《IPCC国家温室气体清单指南》中列出的各类温室气体，并以当量二氧化碳排放量计量。</w:t>
      </w:r>
    </w:p>
    <w:p w14:paraId="76689C93">
      <w:pPr>
        <w:pStyle w:val="19"/>
        <w:spacing w:line="360" w:lineRule="auto"/>
        <w:ind w:firstLine="0" w:firstLineChars="0"/>
        <w:rPr>
          <w:sz w:val="24"/>
          <w:szCs w:val="24"/>
        </w:rPr>
      </w:pPr>
      <w:r>
        <w:rPr>
          <w:rFonts w:hint="eastAsia"/>
          <w:sz w:val="24"/>
          <w:szCs w:val="24"/>
        </w:rPr>
        <w:t>10.1.3 地下城市轨道交通车辆基地与正线之间应以出入段线隧道口部作为碳排放核算物理边界，不应包含出入段线隧道内照明等能耗产生碳排放量。</w:t>
      </w:r>
    </w:p>
    <w:p w14:paraId="0D6F5894">
      <w:pPr>
        <w:pStyle w:val="19"/>
        <w:spacing w:line="360" w:lineRule="auto"/>
        <w:ind w:firstLine="0" w:firstLineChars="0"/>
        <w:rPr>
          <w:sz w:val="24"/>
          <w:szCs w:val="24"/>
        </w:rPr>
      </w:pPr>
      <w:r>
        <w:rPr>
          <w:rFonts w:hint="eastAsia"/>
          <w:sz w:val="24"/>
          <w:szCs w:val="24"/>
        </w:rPr>
        <w:t>10.1.4 城市轨道交通车辆基地活动水平数据应进行分类、分项计量和统计，统计周期宜采用月或年。</w:t>
      </w:r>
    </w:p>
    <w:p w14:paraId="2B96D268">
      <w:pPr>
        <w:pStyle w:val="19"/>
        <w:spacing w:line="360" w:lineRule="auto"/>
        <w:ind w:firstLine="0" w:firstLineChars="0"/>
        <w:rPr>
          <w:sz w:val="24"/>
          <w:szCs w:val="24"/>
        </w:rPr>
      </w:pPr>
      <w:r>
        <w:rPr>
          <w:rFonts w:hint="eastAsia"/>
          <w:sz w:val="24"/>
          <w:szCs w:val="24"/>
        </w:rPr>
        <w:t>10.1.5 活动水平数据应包括但不限于不同品种化石燃料的消耗量、购入的电力量和热力量、其他间接碳排放的相关数据等，并记录数据来源。</w:t>
      </w:r>
    </w:p>
    <w:p w14:paraId="022419C2">
      <w:pPr>
        <w:pStyle w:val="19"/>
        <w:spacing w:line="360" w:lineRule="auto"/>
        <w:ind w:firstLine="0" w:firstLineChars="0"/>
        <w:rPr>
          <w:sz w:val="24"/>
          <w:szCs w:val="24"/>
        </w:rPr>
      </w:pPr>
      <w:r>
        <w:rPr>
          <w:rFonts w:hint="eastAsia"/>
          <w:sz w:val="24"/>
          <w:szCs w:val="24"/>
        </w:rPr>
        <w:t>10</w:t>
      </w:r>
      <w:r>
        <w:rPr>
          <w:sz w:val="24"/>
          <w:szCs w:val="24"/>
        </w:rPr>
        <w:t>.1.</w:t>
      </w:r>
      <w:r>
        <w:rPr>
          <w:rFonts w:hint="eastAsia"/>
          <w:sz w:val="24"/>
          <w:szCs w:val="24"/>
        </w:rPr>
        <w:t>6 核算主体应对温室气体排放因子的来源做出说明。在选取温室气体排放因子时，应满足相关性、一致性、准确性准则；来源明确，有公信力;具备适用性与时效性。</w:t>
      </w:r>
    </w:p>
    <w:p w14:paraId="483D0A27">
      <w:pPr>
        <w:widowControl/>
        <w:spacing w:line="360" w:lineRule="auto"/>
        <w:ind w:firstLine="560" w:firstLineChars="200"/>
        <w:jc w:val="center"/>
        <w:outlineLvl w:val="1"/>
        <w:rPr>
          <w:rFonts w:hint="eastAsia" w:ascii="Times New Roman" w:hAnsi="Times New Roman" w:eastAsia="宋体" w:cs="Times New Roman"/>
          <w:bCs/>
          <w:color w:val="auto"/>
          <w:sz w:val="28"/>
          <w:szCs w:val="28"/>
        </w:rPr>
      </w:pPr>
      <w:bookmarkStart w:id="124" w:name="_Toc17409"/>
      <w:bookmarkStart w:id="125" w:name="_Toc10592"/>
      <w:bookmarkStart w:id="126" w:name="_Toc223104333"/>
      <w:r>
        <w:rPr>
          <w:rFonts w:hint="eastAsia" w:ascii="Times New Roman" w:hAnsi="Times New Roman" w:eastAsia="宋体" w:cs="Times New Roman"/>
          <w:bCs/>
          <w:color w:val="auto"/>
          <w:sz w:val="28"/>
          <w:szCs w:val="28"/>
        </w:rPr>
        <w:t>10.2 碳排放核算方法</w:t>
      </w:r>
      <w:bookmarkEnd w:id="124"/>
      <w:bookmarkEnd w:id="125"/>
      <w:bookmarkEnd w:id="126"/>
    </w:p>
    <w:p w14:paraId="547FA5B4">
      <w:pPr>
        <w:spacing w:line="360" w:lineRule="auto"/>
        <w:rPr>
          <w:rFonts w:hint="eastAsia" w:hAnsi="宋体"/>
          <w:color w:val="auto"/>
          <w:sz w:val="24"/>
          <w:szCs w:val="24"/>
        </w:rPr>
      </w:pPr>
      <w:bookmarkStart w:id="127" w:name="_Toc180103293"/>
      <w:r>
        <w:rPr>
          <w:rFonts w:hint="eastAsia" w:hAnsi="宋体"/>
          <w:color w:val="auto"/>
          <w:sz w:val="24"/>
          <w:szCs w:val="24"/>
        </w:rPr>
        <w:t xml:space="preserve">10.2.1 </w:t>
      </w:r>
      <w:bookmarkStart w:id="128" w:name="_Toc180103291"/>
      <w:r>
        <w:rPr>
          <w:rFonts w:hint="eastAsia" w:hAnsi="宋体"/>
          <w:color w:val="auto"/>
          <w:sz w:val="24"/>
          <w:szCs w:val="24"/>
        </w:rPr>
        <w:t>城市轨道交通车辆基地运营维护阶段碳排放核算范围应包含：</w:t>
      </w:r>
    </w:p>
    <w:p w14:paraId="36696D38">
      <w:pPr>
        <w:spacing w:line="360" w:lineRule="auto"/>
        <w:rPr>
          <w:rFonts w:hint="eastAsia" w:hAnsi="宋体"/>
          <w:color w:val="auto"/>
          <w:sz w:val="24"/>
          <w:szCs w:val="24"/>
        </w:rPr>
      </w:pPr>
      <w:r>
        <w:rPr>
          <w:rFonts w:hint="eastAsia" w:hAnsi="宋体"/>
          <w:color w:val="auto"/>
          <w:sz w:val="24"/>
          <w:szCs w:val="24"/>
        </w:rPr>
        <w:t>1</w:t>
      </w:r>
      <w:r>
        <w:rPr>
          <w:rFonts w:hint="eastAsia" w:hAnsi="宋体"/>
          <w:color w:val="auto"/>
          <w:sz w:val="24"/>
          <w:szCs w:val="24"/>
          <w:lang w:val="en-US" w:eastAsia="zh-CN"/>
        </w:rPr>
        <w:t xml:space="preserve"> </w:t>
      </w:r>
      <w:r>
        <w:rPr>
          <w:rFonts w:hint="eastAsia" w:hAnsi="宋体"/>
          <w:color w:val="auto"/>
          <w:sz w:val="24"/>
          <w:szCs w:val="24"/>
        </w:rPr>
        <w:t>列车在车辆基地范围内的牵引能耗所产生的碳排放；</w:t>
      </w:r>
    </w:p>
    <w:p w14:paraId="419850E9">
      <w:pPr>
        <w:spacing w:line="360" w:lineRule="auto"/>
        <w:rPr>
          <w:rFonts w:hint="eastAsia" w:hAnsi="宋体"/>
          <w:color w:val="auto"/>
          <w:sz w:val="24"/>
          <w:szCs w:val="24"/>
        </w:rPr>
      </w:pPr>
      <w:r>
        <w:rPr>
          <w:rFonts w:hint="eastAsia" w:hAnsi="宋体"/>
          <w:color w:val="auto"/>
          <w:sz w:val="24"/>
          <w:szCs w:val="24"/>
        </w:rPr>
        <w:t>2</w:t>
      </w:r>
      <w:r>
        <w:rPr>
          <w:rFonts w:hint="eastAsia" w:hAnsi="宋体"/>
          <w:color w:val="auto"/>
          <w:sz w:val="24"/>
          <w:szCs w:val="24"/>
          <w:lang w:val="en-US" w:eastAsia="zh-CN"/>
        </w:rPr>
        <w:t xml:space="preserve"> </w:t>
      </w:r>
      <w:r>
        <w:rPr>
          <w:rFonts w:hint="eastAsia" w:hAnsi="宋体"/>
          <w:color w:val="auto"/>
          <w:sz w:val="24"/>
          <w:szCs w:val="24"/>
        </w:rPr>
        <w:t>车辆基地内设备系统运行能耗产生的碳排放，主要包括暖通空调、照明、电扶梯、水泵及通信与监控系统等；</w:t>
      </w:r>
    </w:p>
    <w:p w14:paraId="48DC6F45">
      <w:pPr>
        <w:spacing w:line="360" w:lineRule="auto"/>
        <w:rPr>
          <w:rFonts w:hint="eastAsia" w:hAnsi="宋体"/>
          <w:color w:val="auto"/>
          <w:sz w:val="24"/>
          <w:szCs w:val="24"/>
        </w:rPr>
      </w:pPr>
      <w:r>
        <w:rPr>
          <w:rFonts w:hint="eastAsia" w:hAnsi="宋体"/>
          <w:color w:val="auto"/>
          <w:sz w:val="24"/>
          <w:szCs w:val="24"/>
        </w:rPr>
        <w:t>3</w:t>
      </w:r>
      <w:r>
        <w:rPr>
          <w:rFonts w:hint="eastAsia" w:hAnsi="宋体"/>
          <w:color w:val="auto"/>
          <w:sz w:val="24"/>
          <w:szCs w:val="24"/>
          <w:lang w:val="en-US" w:eastAsia="zh-CN"/>
        </w:rPr>
        <w:t xml:space="preserve"> </w:t>
      </w:r>
      <w:r>
        <w:rPr>
          <w:rFonts w:hint="eastAsia" w:hAnsi="宋体"/>
          <w:color w:val="auto"/>
          <w:sz w:val="24"/>
          <w:szCs w:val="24"/>
        </w:rPr>
        <w:t>车辆基地日常运行所产生的碳排放，如食堂燃气、生活热水制备等；</w:t>
      </w:r>
    </w:p>
    <w:p w14:paraId="638FC6CD">
      <w:pPr>
        <w:spacing w:line="360" w:lineRule="auto"/>
        <w:rPr>
          <w:rFonts w:hint="eastAsia" w:hAnsi="宋体"/>
          <w:color w:val="auto"/>
          <w:sz w:val="24"/>
          <w:szCs w:val="24"/>
        </w:rPr>
      </w:pPr>
      <w:r>
        <w:rPr>
          <w:rFonts w:hint="eastAsia" w:hAnsi="宋体"/>
          <w:color w:val="auto"/>
          <w:sz w:val="24"/>
          <w:szCs w:val="24"/>
        </w:rPr>
        <w:t>4</w:t>
      </w:r>
      <w:r>
        <w:rPr>
          <w:rFonts w:hint="eastAsia" w:hAnsi="宋体"/>
          <w:color w:val="auto"/>
          <w:sz w:val="24"/>
          <w:szCs w:val="24"/>
          <w:lang w:val="en-US" w:eastAsia="zh-CN"/>
        </w:rPr>
        <w:t xml:space="preserve"> </w:t>
      </w:r>
      <w:r>
        <w:rPr>
          <w:rFonts w:hint="eastAsia" w:hAnsi="宋体"/>
          <w:color w:val="auto"/>
          <w:sz w:val="24"/>
          <w:szCs w:val="24"/>
        </w:rPr>
        <w:t>维修维护产生的碳排放；</w:t>
      </w:r>
    </w:p>
    <w:p w14:paraId="70643E5C">
      <w:pPr>
        <w:spacing w:line="360" w:lineRule="auto"/>
        <w:rPr>
          <w:rFonts w:hint="eastAsia" w:hAnsi="宋体"/>
          <w:color w:val="auto"/>
          <w:sz w:val="24"/>
          <w:szCs w:val="24"/>
        </w:rPr>
      </w:pPr>
      <w:r>
        <w:rPr>
          <w:rFonts w:hint="eastAsia" w:hAnsi="宋体"/>
          <w:color w:val="auto"/>
          <w:sz w:val="24"/>
          <w:szCs w:val="24"/>
        </w:rPr>
        <w:t>5</w:t>
      </w:r>
      <w:r>
        <w:rPr>
          <w:rFonts w:hint="eastAsia" w:hAnsi="宋体"/>
          <w:color w:val="auto"/>
          <w:sz w:val="24"/>
          <w:szCs w:val="24"/>
          <w:lang w:val="en-US" w:eastAsia="zh-CN"/>
        </w:rPr>
        <w:t xml:space="preserve"> </w:t>
      </w:r>
      <w:r>
        <w:rPr>
          <w:rFonts w:hint="eastAsia" w:hAnsi="宋体"/>
          <w:color w:val="auto"/>
          <w:sz w:val="24"/>
          <w:szCs w:val="24"/>
        </w:rPr>
        <w:t>车辆基地范围绿化植被的碳汇量，作为减项纳入核算。</w:t>
      </w:r>
      <w:bookmarkEnd w:id="128"/>
    </w:p>
    <w:p w14:paraId="211615D3">
      <w:pPr>
        <w:spacing w:line="360" w:lineRule="auto"/>
        <w:rPr>
          <w:rFonts w:hint="eastAsia" w:ascii="楷体" w:hAnsi="楷体" w:eastAsia="楷体" w:cs="楷体"/>
          <w:bCs/>
          <w:color w:val="auto"/>
          <w:sz w:val="24"/>
          <w:szCs w:val="24"/>
        </w:rPr>
      </w:pPr>
      <w:r>
        <w:rPr>
          <w:rFonts w:hint="eastAsia" w:ascii="楷体" w:hAnsi="楷体" w:eastAsia="楷体" w:cs="楷体"/>
          <w:bCs/>
          <w:color w:val="auto"/>
          <w:sz w:val="24"/>
          <w:szCs w:val="24"/>
        </w:rPr>
        <w:t>【条文说明】本条所指的列车牵引碳排放，其核算边界为列车自正线返回、进入车辆基地范围后，因调车、试车、转轨等作业所产生的牵引能耗所对应的碳排放量。在实际运营中，部分线路（尤其是运营多年的线路）因早期设计与建设原因，其牵引变电所的供电范围与车辆基地的建筑边界可能不完全一致，导致无法对基地范围内的牵引能耗进行物理隔离与独立计量。若出现上述情况，核算主体应在碳排放核算报告中明确说明“车辆基地范围内牵引能耗无法单独计量”的事实、原因及所采用的估算或</w:t>
      </w:r>
      <w:bookmarkStart w:id="143" w:name="_GoBack"/>
      <w:bookmarkEnd w:id="143"/>
      <w:r>
        <w:rPr>
          <w:rFonts w:hint="eastAsia" w:ascii="楷体" w:hAnsi="楷体" w:eastAsia="楷体" w:cs="楷体"/>
          <w:bCs/>
          <w:color w:val="auto"/>
          <w:sz w:val="24"/>
          <w:szCs w:val="24"/>
        </w:rPr>
        <w:t>替代核算方法。</w:t>
      </w:r>
    </w:p>
    <w:p w14:paraId="2569CEE4">
      <w:pPr>
        <w:spacing w:line="360" w:lineRule="auto"/>
        <w:rPr>
          <w:rFonts w:hint="eastAsia" w:hAnsi="宋体"/>
          <w:color w:val="auto"/>
          <w:sz w:val="24"/>
          <w:szCs w:val="24"/>
        </w:rPr>
      </w:pPr>
      <w:r>
        <w:rPr>
          <w:rFonts w:hint="eastAsia" w:hAnsi="宋体"/>
          <w:color w:val="auto"/>
          <w:sz w:val="24"/>
          <w:szCs w:val="24"/>
        </w:rPr>
        <w:t>10.2.2 城市轨道交通工程运营维护阶段碳排放量应按式</w:t>
      </w:r>
      <w:r>
        <w:rPr>
          <w:rFonts w:hint="eastAsia" w:hAnsi="宋体"/>
          <w:color w:val="auto"/>
          <w:sz w:val="24"/>
          <w:szCs w:val="24"/>
          <w:lang w:val="en-US" w:eastAsia="zh-CN"/>
        </w:rPr>
        <w:t>10.2-1</w:t>
      </w:r>
      <w:r>
        <w:rPr>
          <w:rFonts w:hint="eastAsia" w:hAnsi="宋体"/>
          <w:color w:val="auto"/>
          <w:sz w:val="24"/>
          <w:szCs w:val="24"/>
        </w:rPr>
        <w:t>计算：</w:t>
      </w:r>
      <w:bookmarkEnd w:id="127"/>
    </w:p>
    <w:p w14:paraId="1A1EAE29">
      <w:pPr>
        <w:spacing w:line="360" w:lineRule="auto"/>
        <w:jc w:val="right"/>
        <w:rPr>
          <w:rFonts w:hint="default" w:ascii="宋体" w:hAnsi="宋体" w:eastAsia="宋体"/>
          <w:color w:val="auto"/>
          <w:sz w:val="24"/>
          <w:szCs w:val="24"/>
          <w:lang w:val="en-US" w:eastAsia="zh-CN"/>
        </w:rPr>
      </w:pPr>
      <m:oMath>
        <m:sSub>
          <m:sSubPr>
            <m:ctrlPr>
              <w:rPr>
                <w:rFonts w:ascii="Cambria Math" w:hAnsi="Cambria Math" w:cs="Times New Roman"/>
                <w:i/>
                <w:color w:val="auto"/>
                <w:sz w:val="24"/>
                <w:szCs w:val="24"/>
              </w:rPr>
            </m:ctrlPr>
          </m:sSubPr>
          <m:e>
            <m:r>
              <m:rPr>
                <m:nor/>
              </m:rPr>
              <w:rPr>
                <w:rFonts w:hint="default" w:ascii="Times New Roman" w:hAnsi="Times New Roman" w:cs="Times New Roman"/>
                <w:i/>
                <w:color w:val="auto"/>
                <w:sz w:val="24"/>
                <w:szCs w:val="24"/>
              </w:rPr>
              <m:t>C</m:t>
            </m:r>
            <m:ctrlPr>
              <w:rPr>
                <w:rFonts w:ascii="Cambria Math" w:hAnsi="Cambria Math" w:cs="Times New Roman"/>
                <w:color w:val="auto"/>
              </w:rPr>
            </m:ctrlPr>
          </m:e>
          <m:sub>
            <m:r>
              <m:rPr>
                <m:nor/>
              </m:rPr>
              <w:rPr>
                <w:rFonts w:hint="default" w:ascii="Times New Roman" w:hAnsi="Times New Roman" w:cs="Times New Roman"/>
                <w:i/>
                <w:color w:val="auto"/>
                <w:sz w:val="24"/>
                <w:szCs w:val="24"/>
              </w:rPr>
              <m:t>yw</m:t>
            </m:r>
            <m:ctrlPr>
              <w:rPr>
                <w:rFonts w:ascii="Cambria Math" w:hAnsi="Cambria Math" w:cs="Times New Roman"/>
                <w:color w:val="auto"/>
              </w:rPr>
            </m:ctrlPr>
          </m:sub>
        </m:sSub>
        <m:r>
          <m:rPr>
            <m:nor/>
            <m:sty m:val="p"/>
          </m:rPr>
          <w:rPr>
            <w:rFonts w:ascii="Times New Roman" w:hAnsi="Times New Roman" w:cs="Times New Roman"/>
            <w:i w:val="0"/>
            <w:color w:val="auto"/>
            <w:sz w:val="24"/>
            <w:szCs w:val="24"/>
          </w:rPr>
          <m:t>=</m:t>
        </m:r>
        <m:sSub>
          <m:sSubPr>
            <m:ctrlPr>
              <w:rPr>
                <w:rFonts w:ascii="Cambria Math" w:hAnsi="Cambria Math" w:cs="Times New Roman"/>
                <w:i w:val="0"/>
                <w:iCs/>
                <w:color w:val="auto"/>
                <w:sz w:val="24"/>
                <w:szCs w:val="24"/>
              </w:rPr>
            </m:ctrlPr>
          </m:sSubPr>
          <m:e>
            <m:r>
              <m:rPr>
                <m:nor/>
              </m:rPr>
              <w:rPr>
                <w:rFonts w:ascii="Times New Roman" w:hAnsi="Times New Roman" w:cs="Times New Roman"/>
                <w:i/>
                <w:iCs w:val="0"/>
                <w:color w:val="auto"/>
                <w:sz w:val="24"/>
                <w:szCs w:val="24"/>
              </w:rPr>
              <m:t>Ｃ</m:t>
            </m:r>
            <m:ctrlPr>
              <w:rPr>
                <w:rFonts w:ascii="Cambria Math" w:hAnsi="Cambria Math" w:cs="Times New Roman"/>
                <w:iCs/>
                <w:color w:val="auto"/>
              </w:rPr>
            </m:ctrlPr>
          </m:e>
          <m:sub>
            <m:r>
              <m:rPr/>
              <w:rPr>
                <w:rFonts w:hint="default" w:ascii="Cambria Math" w:hAnsi="Cambria Math" w:cs="Times New Roman"/>
                <w:color w:val="auto"/>
                <w:lang w:val="en-US" w:eastAsia="zh-CN"/>
              </w:rPr>
              <m:t>QY</m:t>
            </m:r>
            <m:ctrlPr>
              <w:rPr>
                <w:rFonts w:ascii="Cambria Math" w:hAnsi="Cambria Math" w:cs="Times New Roman"/>
                <w:iCs/>
                <w:color w:val="auto"/>
              </w:rPr>
            </m:ctrlPr>
          </m:sub>
        </m:sSub>
        <m:r>
          <m:rPr>
            <m:nor/>
            <m:sty m:val="p"/>
          </m:rPr>
          <w:rPr>
            <w:rFonts w:ascii="Times New Roman" w:hAnsi="Times New Roman" w:cs="Times New Roman"/>
            <w:i w:val="0"/>
            <w:color w:val="auto"/>
            <w:sz w:val="24"/>
            <w:szCs w:val="24"/>
          </w:rPr>
          <m:t>+</m:t>
        </m:r>
        <m:sSub>
          <m:sSubPr>
            <m:ctrlPr>
              <w:rPr>
                <w:rFonts w:ascii="Cambria Math" w:hAnsi="Cambria Math" w:cs="Times New Roman"/>
                <w:i w:val="0"/>
                <w:iCs/>
                <w:color w:val="auto"/>
                <w:sz w:val="24"/>
                <w:szCs w:val="24"/>
              </w:rPr>
            </m:ctrlPr>
          </m:sSubPr>
          <m:e>
            <m:r>
              <m:rPr>
                <m:nor/>
              </m:rPr>
              <w:rPr>
                <w:rFonts w:ascii="Times New Roman" w:hAnsi="Times New Roman" w:cs="Times New Roman"/>
                <w:i/>
                <w:iCs w:val="0"/>
                <w:color w:val="auto"/>
                <w:sz w:val="24"/>
                <w:szCs w:val="24"/>
              </w:rPr>
              <m:t>Ｃ</m:t>
            </m:r>
            <m:ctrlPr>
              <w:rPr>
                <w:rFonts w:ascii="Cambria Math" w:hAnsi="Cambria Math" w:cs="Times New Roman"/>
                <w:iCs/>
                <w:color w:val="auto"/>
              </w:rPr>
            </m:ctrlPr>
          </m:e>
          <m:sub>
            <m:r>
              <m:rPr>
                <m:nor/>
              </m:rPr>
              <w:rPr>
                <w:rFonts w:hint="default" w:ascii="Times New Roman" w:hAnsi="Times New Roman" w:cs="Times New Roman"/>
                <w:i/>
                <w:iCs w:val="0"/>
                <w:color w:val="auto"/>
                <w:sz w:val="24"/>
                <w:szCs w:val="24"/>
                <w:lang w:val="en-US" w:eastAsia="zh-CN"/>
              </w:rPr>
              <m:t>SB</m:t>
            </m:r>
            <m:ctrlPr>
              <w:rPr>
                <w:rFonts w:ascii="Cambria Math" w:hAnsi="Cambria Math" w:cs="Times New Roman"/>
                <w:iCs/>
                <w:color w:val="auto"/>
              </w:rPr>
            </m:ctrlPr>
          </m:sub>
        </m:sSub>
        <m:r>
          <m:rPr>
            <m:nor/>
            <m:sty m:val="p"/>
          </m:rPr>
          <w:rPr>
            <w:rFonts w:ascii="Times New Roman" w:hAnsi="Times New Roman" w:cs="Times New Roman"/>
            <w:i w:val="0"/>
            <w:color w:val="auto"/>
            <w:sz w:val="24"/>
            <w:szCs w:val="24"/>
          </w:rPr>
          <m:t>+</m:t>
        </m:r>
        <m:sSub>
          <m:sSubPr>
            <m:ctrlPr>
              <w:rPr>
                <w:rFonts w:ascii="Cambria Math" w:hAnsi="Cambria Math" w:cs="Times New Roman"/>
                <w:i/>
                <w:color w:val="auto"/>
                <w:sz w:val="24"/>
                <w:szCs w:val="24"/>
              </w:rPr>
            </m:ctrlPr>
          </m:sSubPr>
          <m:e>
            <m:r>
              <m:rPr>
                <m:nor/>
              </m:rPr>
              <w:rPr>
                <w:rFonts w:ascii="Times New Roman" w:hAnsi="Times New Roman" w:cs="Times New Roman"/>
                <w:i/>
                <w:iCs/>
                <w:color w:val="auto"/>
                <w:sz w:val="24"/>
                <w:szCs w:val="24"/>
              </w:rPr>
              <m:t>Ｃ</m:t>
            </m:r>
            <m:ctrlPr>
              <w:rPr>
                <w:rFonts w:ascii="Cambria Math" w:hAnsi="Cambria Math" w:cs="Times New Roman"/>
                <w:color w:val="auto"/>
              </w:rPr>
            </m:ctrlPr>
          </m:e>
          <m:sub>
            <m:r>
              <m:rPr>
                <m:nor/>
              </m:rPr>
              <w:rPr>
                <w:rFonts w:hint="default" w:ascii="Cambria Math" w:hAnsi="Cambria Math" w:cs="Times New Roman"/>
                <w:i/>
                <w:iCs/>
                <w:color w:val="auto"/>
                <w:lang w:val="en-US" w:eastAsia="zh-CN"/>
              </w:rPr>
              <m:t>WW</m:t>
            </m:r>
            <m:ctrlPr>
              <w:rPr>
                <w:rFonts w:ascii="Cambria Math" w:hAnsi="Cambria Math" w:cs="Times New Roman"/>
                <w:color w:val="auto"/>
              </w:rPr>
            </m:ctrlPr>
          </m:sub>
        </m:sSub>
        <m:r>
          <m:rPr>
            <m:nor/>
            <m:sty m:val="p"/>
          </m:rPr>
          <w:rPr>
            <w:rFonts w:ascii="Times New Roman" w:hAnsi="Times New Roman" w:cs="Times New Roman"/>
            <w:i w:val="0"/>
            <w:color w:val="auto"/>
            <w:sz w:val="24"/>
            <w:szCs w:val="24"/>
          </w:rPr>
          <m:t>−</m:t>
        </m:r>
        <m:sSub>
          <m:sSubPr>
            <m:ctrlPr>
              <w:rPr>
                <w:rFonts w:ascii="Cambria Math" w:hAnsi="Cambria Math" w:cs="Times New Roman"/>
                <w:i/>
                <w:color w:val="auto"/>
                <w:sz w:val="24"/>
                <w:szCs w:val="24"/>
              </w:rPr>
            </m:ctrlPr>
          </m:sSubPr>
          <m:e>
            <m:r>
              <m:rPr>
                <m:nor/>
              </m:rPr>
              <w:rPr>
                <w:rFonts w:ascii="Times New Roman" w:hAnsi="Times New Roman" w:cs="Times New Roman"/>
                <w:i/>
                <w:iCs/>
                <w:color w:val="auto"/>
                <w:sz w:val="24"/>
                <w:szCs w:val="24"/>
              </w:rPr>
              <m:t>Ｃ</m:t>
            </m:r>
            <m:ctrlPr>
              <w:rPr>
                <w:rFonts w:ascii="Cambria Math" w:hAnsi="Cambria Math" w:cs="Times New Roman"/>
                <w:color w:val="auto"/>
              </w:rPr>
            </m:ctrlPr>
          </m:e>
          <m:sub>
            <m:r>
              <m:rPr>
                <m:nor/>
              </m:rPr>
              <w:rPr>
                <w:rFonts w:hint="default" w:ascii="Times New Roman" w:hAnsi="Times New Roman" w:cs="Times New Roman"/>
                <w:i/>
                <w:iCs/>
                <w:color w:val="auto"/>
                <w:sz w:val="24"/>
                <w:szCs w:val="24"/>
                <w:lang w:val="en-US" w:eastAsia="zh-CN"/>
              </w:rPr>
              <m:t>ZS</m:t>
            </m:r>
            <m:ctrlPr>
              <w:rPr>
                <w:rFonts w:ascii="Cambria Math" w:hAnsi="Cambria Math" w:cs="Times New Roman"/>
                <w:color w:val="auto"/>
              </w:rPr>
            </m:ctrlPr>
          </m:sub>
        </m:sSub>
        <m:r>
          <m:rPr>
            <m:nor/>
            <m:sty m:val="p"/>
          </m:rPr>
          <w:rPr>
            <w:rFonts w:ascii="Times New Roman" w:hAnsi="Times New Roman" w:cs="Times New Roman"/>
            <w:i w:val="0"/>
            <w:color w:val="auto"/>
            <w:sz w:val="24"/>
            <w:szCs w:val="24"/>
          </w:rPr>
          <m:t>−</m:t>
        </m:r>
        <m:sSub>
          <m:sSubPr>
            <m:ctrlPr>
              <w:rPr>
                <w:rFonts w:ascii="Cambria Math" w:hAnsi="Cambria Math" w:cs="Times New Roman"/>
                <w:i/>
                <w:color w:val="auto"/>
                <w:sz w:val="24"/>
                <w:szCs w:val="24"/>
              </w:rPr>
            </m:ctrlPr>
          </m:sSubPr>
          <m:e>
            <m:r>
              <m:rPr>
                <m:nor/>
              </m:rPr>
              <w:rPr>
                <w:rFonts w:ascii="Times New Roman" w:hAnsi="Times New Roman" w:cs="Times New Roman"/>
                <w:i/>
                <w:iCs/>
                <w:color w:val="auto"/>
                <w:sz w:val="24"/>
                <w:szCs w:val="24"/>
              </w:rPr>
              <m:t>Ｃ</m:t>
            </m:r>
            <m:ctrlPr>
              <w:rPr>
                <w:rFonts w:ascii="Cambria Math" w:hAnsi="Cambria Math" w:cs="Times New Roman"/>
                <w:color w:val="auto"/>
              </w:rPr>
            </m:ctrlPr>
          </m:e>
          <m:sub>
            <m:r>
              <m:rPr>
                <m:nor/>
              </m:rPr>
              <w:rPr>
                <w:rFonts w:hint="default" w:ascii="Times New Roman" w:hAnsi="Times New Roman" w:cs="Times New Roman"/>
                <w:i/>
                <w:iCs/>
                <w:color w:val="auto"/>
                <w:sz w:val="24"/>
                <w:szCs w:val="24"/>
                <w:lang w:val="en-US" w:eastAsia="zh-CN"/>
              </w:rPr>
              <m:t>TH</m:t>
            </m:r>
            <m:ctrlPr>
              <w:rPr>
                <w:rFonts w:ascii="Cambria Math" w:hAnsi="Cambria Math" w:cs="Times New Roman"/>
                <w:color w:val="auto"/>
              </w:rPr>
            </m:ctrlPr>
          </m:sub>
        </m:sSub>
      </m:oMath>
      <w:r>
        <w:rPr>
          <w:rFonts w:hint="eastAsia"/>
          <w:color w:val="auto"/>
          <w:lang w:val="en-US" w:eastAsia="zh-CN"/>
        </w:rPr>
        <w:t xml:space="preserve">          （10.2-1）</w:t>
      </w:r>
    </w:p>
    <w:p w14:paraId="65FD66C0">
      <w:pPr>
        <w:pStyle w:val="19"/>
        <w:spacing w:line="360" w:lineRule="auto"/>
        <w:ind w:firstLine="0" w:firstLineChars="0"/>
        <w:rPr>
          <w:rFonts w:hint="eastAsia" w:hAnsi="宋体"/>
          <w:color w:val="auto"/>
          <w:sz w:val="24"/>
          <w:szCs w:val="24"/>
        </w:rPr>
      </w:pPr>
      <w:r>
        <w:rPr>
          <w:rFonts w:hint="eastAsia" w:hAnsi="宋体"/>
          <w:color w:val="auto"/>
          <w:sz w:val="24"/>
          <w:szCs w:val="24"/>
        </w:rPr>
        <w:t xml:space="preserve">式中：  </w:t>
      </w: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lang w:val="en-US" w:eastAsia="zh-CN"/>
        </w:rPr>
        <w:t>yw</w:t>
      </w:r>
      <w:r>
        <w:rPr>
          <w:rFonts w:hint="eastAsia" w:hAnsi="宋体"/>
          <w:color w:val="auto"/>
          <w:sz w:val="24"/>
          <w:szCs w:val="24"/>
        </w:rPr>
        <w:t>——城市轨道交通车辆基地运营维护阶段碳排放（kgCO</w:t>
      </w:r>
      <w:r>
        <w:rPr>
          <w:rFonts w:hint="eastAsia" w:hAnsi="宋体"/>
          <w:color w:val="auto"/>
          <w:sz w:val="24"/>
          <w:szCs w:val="24"/>
          <w:vertAlign w:val="subscript"/>
        </w:rPr>
        <w:t>2</w:t>
      </w:r>
      <w:r>
        <w:rPr>
          <w:rFonts w:hint="eastAsia" w:hAnsi="宋体"/>
          <w:color w:val="auto"/>
          <w:sz w:val="24"/>
          <w:szCs w:val="24"/>
        </w:rPr>
        <w:t>e）</w:t>
      </w:r>
    </w:p>
    <w:p w14:paraId="449503C0">
      <w:pPr>
        <w:pStyle w:val="19"/>
        <w:spacing w:line="360" w:lineRule="auto"/>
        <w:ind w:firstLine="960" w:firstLineChars="400"/>
        <w:rPr>
          <w:rFonts w:hint="eastAsia" w:hAnsi="宋体"/>
          <w:color w:val="auto"/>
          <w:sz w:val="24"/>
          <w:szCs w:val="24"/>
        </w:rPr>
      </w:pP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lang w:val="en-US" w:eastAsia="zh-CN"/>
        </w:rPr>
        <w:t>QY</w:t>
      </w:r>
      <w:r>
        <w:rPr>
          <w:rFonts w:hint="eastAsia" w:hAnsi="宋体"/>
          <w:color w:val="auto"/>
          <w:sz w:val="24"/>
          <w:szCs w:val="24"/>
        </w:rPr>
        <w:t>——城市轨道交通车辆基地列车牵引碳排放量（kgCO</w:t>
      </w:r>
      <w:r>
        <w:rPr>
          <w:rFonts w:hint="eastAsia" w:hAnsi="宋体"/>
          <w:color w:val="auto"/>
          <w:sz w:val="24"/>
          <w:szCs w:val="24"/>
          <w:vertAlign w:val="subscript"/>
        </w:rPr>
        <w:t>2</w:t>
      </w:r>
      <w:r>
        <w:rPr>
          <w:rFonts w:hint="eastAsia" w:hAnsi="宋体"/>
          <w:color w:val="auto"/>
          <w:sz w:val="24"/>
          <w:szCs w:val="24"/>
        </w:rPr>
        <w:t>e）；</w:t>
      </w:r>
    </w:p>
    <w:p w14:paraId="16F5570A">
      <w:pPr>
        <w:pStyle w:val="19"/>
        <w:spacing w:line="360" w:lineRule="auto"/>
        <w:ind w:firstLine="960" w:firstLineChars="400"/>
        <w:rPr>
          <w:rFonts w:hint="eastAsia" w:hAnsi="宋体"/>
          <w:color w:val="auto"/>
          <w:sz w:val="24"/>
          <w:szCs w:val="24"/>
        </w:rPr>
      </w:pP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lang w:val="en-US" w:eastAsia="zh-CN"/>
        </w:rPr>
        <w:t>SB</w:t>
      </w:r>
      <w:r>
        <w:rPr>
          <w:rFonts w:hint="eastAsia" w:hAnsi="宋体"/>
          <w:color w:val="auto"/>
          <w:sz w:val="24"/>
          <w:szCs w:val="24"/>
        </w:rPr>
        <w:t>——城市轨道交通车辆基地设备运行碳排放量（kgCO</w:t>
      </w:r>
      <w:r>
        <w:rPr>
          <w:rFonts w:hint="eastAsia" w:hAnsi="宋体"/>
          <w:color w:val="auto"/>
          <w:sz w:val="24"/>
          <w:szCs w:val="24"/>
          <w:vertAlign w:val="subscript"/>
        </w:rPr>
        <w:t>2</w:t>
      </w:r>
      <w:r>
        <w:rPr>
          <w:rFonts w:hint="eastAsia" w:hAnsi="宋体"/>
          <w:color w:val="auto"/>
          <w:sz w:val="24"/>
          <w:szCs w:val="24"/>
        </w:rPr>
        <w:t>e）；</w:t>
      </w:r>
    </w:p>
    <w:p w14:paraId="69D47E4B">
      <w:pPr>
        <w:pStyle w:val="19"/>
        <w:spacing w:line="360" w:lineRule="auto"/>
        <w:ind w:firstLine="960" w:firstLineChars="400"/>
        <w:rPr>
          <w:rFonts w:hint="eastAsia" w:hAnsi="宋体"/>
          <w:color w:val="auto"/>
          <w:sz w:val="24"/>
          <w:szCs w:val="24"/>
        </w:rPr>
      </w:pP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lang w:val="en-US" w:eastAsia="zh-CN"/>
        </w:rPr>
        <w:t>WW</w:t>
      </w:r>
      <w:r>
        <w:rPr>
          <w:rFonts w:hint="eastAsia" w:hAnsi="宋体"/>
          <w:color w:val="auto"/>
          <w:sz w:val="24"/>
          <w:szCs w:val="24"/>
        </w:rPr>
        <w:t>——城市轨道交通车辆基地维修维护碳排放量（kgCO</w:t>
      </w:r>
      <w:r>
        <w:rPr>
          <w:rFonts w:hint="eastAsia" w:hAnsi="宋体"/>
          <w:color w:val="auto"/>
          <w:sz w:val="24"/>
          <w:szCs w:val="24"/>
          <w:vertAlign w:val="subscript"/>
        </w:rPr>
        <w:t>2</w:t>
      </w:r>
      <w:r>
        <w:rPr>
          <w:rFonts w:hint="eastAsia" w:hAnsi="宋体"/>
          <w:color w:val="auto"/>
          <w:sz w:val="24"/>
          <w:szCs w:val="24"/>
        </w:rPr>
        <w:t>e）；</w:t>
      </w:r>
    </w:p>
    <w:p w14:paraId="09F17F56">
      <w:pPr>
        <w:pStyle w:val="19"/>
        <w:spacing w:line="360" w:lineRule="auto"/>
        <w:ind w:firstLine="960" w:firstLineChars="400"/>
        <w:rPr>
          <w:rFonts w:hint="eastAsia" w:hAnsi="宋体"/>
          <w:color w:val="auto"/>
          <w:sz w:val="24"/>
          <w:szCs w:val="24"/>
        </w:rPr>
      </w:pP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lang w:val="en-US" w:eastAsia="zh-CN"/>
        </w:rPr>
        <w:t>ZS</w:t>
      </w:r>
      <w:r>
        <w:rPr>
          <w:rFonts w:hint="eastAsia" w:hAnsi="宋体"/>
          <w:color w:val="auto"/>
          <w:sz w:val="24"/>
          <w:szCs w:val="24"/>
        </w:rPr>
        <w:t>——城市轨道交通车辆基地可再生能源碳减排量（kgCO</w:t>
      </w:r>
      <w:r>
        <w:rPr>
          <w:rFonts w:hint="eastAsia" w:hAnsi="宋体"/>
          <w:color w:val="auto"/>
          <w:sz w:val="24"/>
          <w:szCs w:val="24"/>
          <w:vertAlign w:val="subscript"/>
        </w:rPr>
        <w:t>2</w:t>
      </w:r>
      <w:r>
        <w:rPr>
          <w:rFonts w:hint="eastAsia" w:hAnsi="宋体"/>
          <w:color w:val="auto"/>
          <w:sz w:val="24"/>
          <w:szCs w:val="24"/>
        </w:rPr>
        <w:t>e）；</w:t>
      </w:r>
    </w:p>
    <w:p w14:paraId="175C24C5">
      <w:pPr>
        <w:pStyle w:val="19"/>
        <w:spacing w:line="360" w:lineRule="auto"/>
        <w:ind w:firstLine="960" w:firstLineChars="400"/>
        <w:rPr>
          <w:rFonts w:hint="eastAsia" w:hAnsi="宋体"/>
          <w:color w:val="auto"/>
          <w:sz w:val="24"/>
          <w:szCs w:val="24"/>
        </w:rPr>
      </w:pPr>
      <w:r>
        <w:rPr>
          <w:rFonts w:hint="default" w:ascii="Times New Roman" w:hAnsi="Times New Roman" w:cs="Times New Roman"/>
          <w:i/>
          <w:iCs/>
          <w:color w:val="auto"/>
          <w:sz w:val="24"/>
          <w:szCs w:val="24"/>
        </w:rPr>
        <w:t>C</w:t>
      </w:r>
      <w:r>
        <w:rPr>
          <w:rFonts w:hint="default" w:ascii="Times New Roman" w:hAnsi="Times New Roman" w:cs="Times New Roman"/>
          <w:i/>
          <w:iCs/>
          <w:color w:val="auto"/>
          <w:sz w:val="24"/>
          <w:szCs w:val="24"/>
          <w:vertAlign w:val="subscript"/>
        </w:rPr>
        <w:t>TH</w:t>
      </w:r>
      <w:r>
        <w:rPr>
          <w:rFonts w:hint="eastAsia" w:hAnsi="宋体"/>
          <w:color w:val="auto"/>
          <w:sz w:val="24"/>
          <w:szCs w:val="24"/>
        </w:rPr>
        <w:t>——城市轨道交通车辆基地绿化、植被碳汇（kgCO</w:t>
      </w:r>
      <w:r>
        <w:rPr>
          <w:rFonts w:hint="eastAsia" w:hAnsi="宋体"/>
          <w:color w:val="auto"/>
          <w:sz w:val="24"/>
          <w:szCs w:val="24"/>
          <w:vertAlign w:val="subscript"/>
        </w:rPr>
        <w:t>2</w:t>
      </w:r>
      <w:r>
        <w:rPr>
          <w:rFonts w:hint="eastAsia" w:hAnsi="宋体"/>
          <w:color w:val="auto"/>
          <w:sz w:val="24"/>
          <w:szCs w:val="24"/>
        </w:rPr>
        <w:t>e）。</w:t>
      </w:r>
    </w:p>
    <w:p w14:paraId="22429E34">
      <w:pPr>
        <w:pStyle w:val="20"/>
        <w:numPr>
          <w:ilvl w:val="3"/>
          <w:numId w:val="0"/>
        </w:numPr>
        <w:spacing w:before="156" w:after="156" w:line="360" w:lineRule="auto"/>
        <w:outlineLvl w:val="9"/>
        <w:rPr>
          <w:rFonts w:hint="eastAsia" w:ascii="宋体" w:hAnsi="宋体" w:eastAsia="宋体"/>
          <w:color w:val="auto"/>
          <w:sz w:val="24"/>
          <w:szCs w:val="24"/>
        </w:rPr>
      </w:pPr>
      <w:bookmarkStart w:id="129" w:name="_Toc180103308"/>
      <w:r>
        <w:rPr>
          <w:rFonts w:hint="eastAsia" w:ascii="宋体" w:hAnsi="宋体" w:eastAsia="宋体"/>
          <w:color w:val="auto"/>
          <w:sz w:val="24"/>
          <w:szCs w:val="24"/>
        </w:rPr>
        <w:t>10.2.3 城市轨道交通车辆基地维修维护碳排放量包含维修维护更换的材料消耗、运输及机械设备使用产生的碳排放量，可按式</w:t>
      </w:r>
      <w:r>
        <w:rPr>
          <w:rFonts w:hint="eastAsia" w:ascii="宋体" w:hAnsi="宋体" w:eastAsia="宋体"/>
          <w:color w:val="auto"/>
          <w:sz w:val="24"/>
          <w:szCs w:val="24"/>
          <w:lang w:val="en-US" w:eastAsia="zh-CN"/>
        </w:rPr>
        <w:t>10.2-2</w:t>
      </w:r>
      <w:r>
        <w:rPr>
          <w:rFonts w:hint="eastAsia" w:ascii="宋体" w:hAnsi="宋体" w:eastAsia="宋体"/>
          <w:color w:val="auto"/>
          <w:sz w:val="24"/>
          <w:szCs w:val="24"/>
        </w:rPr>
        <w:t>计算：</w:t>
      </w:r>
      <w:bookmarkEnd w:id="129"/>
    </w:p>
    <w:p w14:paraId="1F327E73">
      <w:pPr>
        <w:spacing w:line="360" w:lineRule="auto"/>
        <w:jc w:val="right"/>
        <w:rPr>
          <w:rFonts w:hint="eastAsia" w:ascii="宋体" w:hAnsi="宋体"/>
          <w:color w:val="auto"/>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Ｃ</m:t>
            </m:r>
            <m:ctrlPr>
              <w:rPr>
                <w:color w:val="auto"/>
              </w:rPr>
            </m:ctrlPr>
          </m:e>
          <m:sub>
            <m:r>
              <m:rPr/>
              <w:rPr>
                <w:rFonts w:hint="eastAsia" w:ascii="Cambria Math" w:hAnsi="Cambria Math"/>
                <w:color w:val="auto"/>
                <w:sz w:val="24"/>
                <w:szCs w:val="24"/>
              </w:rPr>
              <m:t>ww</m:t>
            </m:r>
            <m:ctrlPr>
              <w:rPr>
                <w:color w:val="auto"/>
              </w:rPr>
            </m:ctrlPr>
          </m:sub>
        </m:sSub>
        <m:r>
          <m:rPr/>
          <w:rPr>
            <w:rFonts w:ascii="Cambria Math" w:hAnsi="Cambria Math"/>
            <w:color w:val="auto"/>
            <w:sz w:val="24"/>
            <w:szCs w:val="24"/>
          </w:rPr>
          <m:t>=</m:t>
        </m:r>
        <m:sSub>
          <m:sSubPr>
            <m:ctrlPr>
              <w:rPr>
                <w:rFonts w:ascii="Cambria Math" w:hAnsi="Cambria Math"/>
                <w:i/>
                <w:color w:val="auto"/>
                <w:sz w:val="24"/>
                <w:szCs w:val="24"/>
              </w:rPr>
            </m:ctrlPr>
          </m:sSubPr>
          <m:e>
            <m:r>
              <m:rPr/>
              <w:rPr>
                <w:rFonts w:ascii="Cambria Math" w:hAnsi="Cambria Math"/>
                <w:color w:val="auto"/>
                <w:sz w:val="24"/>
                <w:szCs w:val="24"/>
              </w:rPr>
              <m:t>Ｃ</m:t>
            </m:r>
            <m:ctrlPr>
              <w:rPr>
                <w:color w:val="auto"/>
              </w:rPr>
            </m:ctrlPr>
          </m:e>
          <m:sub>
            <m:r>
              <m:rPr/>
              <w:rPr>
                <w:rFonts w:ascii="Cambria Math" w:hAnsi="Cambria Math"/>
                <w:color w:val="auto"/>
                <w:sz w:val="24"/>
                <w:szCs w:val="24"/>
              </w:rPr>
              <m:t>CL</m:t>
            </m:r>
            <m:ctrlPr>
              <w:rPr>
                <w:color w:val="auto"/>
              </w:rPr>
            </m:ctrlPr>
          </m:sub>
        </m:sSub>
        <m:r>
          <m:rPr/>
          <w:rPr>
            <w:rFonts w:ascii="Cambria Math" w:hAnsi="Cambria Math"/>
            <w:color w:val="auto"/>
            <w:sz w:val="24"/>
            <w:szCs w:val="24"/>
          </w:rPr>
          <m:t>+</m:t>
        </m:r>
        <m:sSub>
          <m:sSubPr>
            <m:ctrlPr>
              <w:rPr>
                <w:rFonts w:ascii="Cambria Math" w:hAnsi="Cambria Math"/>
                <w:i/>
                <w:color w:val="auto"/>
                <w:sz w:val="24"/>
                <w:szCs w:val="24"/>
              </w:rPr>
            </m:ctrlPr>
          </m:sSubPr>
          <m:e>
            <m:r>
              <m:rPr/>
              <w:rPr>
                <w:rFonts w:ascii="Cambria Math" w:hAnsi="Cambria Math"/>
                <w:color w:val="auto"/>
                <w:sz w:val="24"/>
                <w:szCs w:val="24"/>
              </w:rPr>
              <m:t>Ｃ</m:t>
            </m:r>
            <m:ctrlPr>
              <w:rPr>
                <w:color w:val="auto"/>
              </w:rPr>
            </m:ctrlPr>
          </m:e>
          <m:sub>
            <m:r>
              <m:rPr/>
              <w:rPr>
                <w:rFonts w:ascii="Cambria Math" w:hAnsi="Cambria Math"/>
                <w:color w:val="auto"/>
                <w:sz w:val="24"/>
                <w:szCs w:val="24"/>
              </w:rPr>
              <m:t>YS</m:t>
            </m:r>
            <m:ctrlPr>
              <w:rPr>
                <w:color w:val="auto"/>
              </w:rPr>
            </m:ctrlPr>
          </m:sub>
        </m:sSub>
        <m:r>
          <m:rPr/>
          <w:rPr>
            <w:rFonts w:ascii="Cambria Math" w:hAnsi="Cambria Math"/>
            <w:color w:val="auto"/>
            <w:sz w:val="24"/>
            <w:szCs w:val="24"/>
          </w:rPr>
          <m:t>+</m:t>
        </m:r>
        <m:sSub>
          <m:sSubPr>
            <m:ctrlPr>
              <w:rPr>
                <w:rFonts w:ascii="Cambria Math" w:hAnsi="Cambria Math"/>
                <w:i/>
                <w:color w:val="auto"/>
                <w:sz w:val="24"/>
                <w:szCs w:val="24"/>
              </w:rPr>
            </m:ctrlPr>
          </m:sSubPr>
          <m:e>
            <m:r>
              <m:rPr/>
              <w:rPr>
                <w:rFonts w:ascii="Cambria Math" w:hAnsi="Cambria Math"/>
                <w:color w:val="auto"/>
                <w:sz w:val="24"/>
                <w:szCs w:val="24"/>
              </w:rPr>
              <m:t>Ｃ</m:t>
            </m:r>
            <m:ctrlPr>
              <w:rPr>
                <w:color w:val="auto"/>
              </w:rPr>
            </m:ctrlPr>
          </m:e>
          <m:sub>
            <m:r>
              <m:rPr/>
              <w:rPr>
                <w:rFonts w:ascii="Cambria Math" w:hAnsi="Cambria Math"/>
                <w:color w:val="auto"/>
                <w:sz w:val="24"/>
                <w:szCs w:val="24"/>
              </w:rPr>
              <m:t>JX</m:t>
            </m:r>
            <m:ctrlPr>
              <w:rPr>
                <w:color w:val="auto"/>
              </w:rPr>
            </m:ctrlPr>
          </m:sub>
        </m:sSub>
      </m:oMath>
      <w:r>
        <w:rPr>
          <w:rFonts w:hint="eastAsia"/>
          <w:color w:val="auto"/>
          <w:lang w:val="en-US" w:eastAsia="zh-CN"/>
        </w:rPr>
        <w:t xml:space="preserve">          （10.2-2）</w:t>
      </w:r>
    </w:p>
    <w:p w14:paraId="651DB001">
      <w:pPr>
        <w:pStyle w:val="19"/>
        <w:spacing w:line="360" w:lineRule="auto"/>
        <w:ind w:firstLine="0" w:firstLineChars="0"/>
        <w:rPr>
          <w:rFonts w:hint="eastAsia" w:hAnsi="宋体"/>
          <w:sz w:val="24"/>
          <w:szCs w:val="24"/>
        </w:rPr>
      </w:pPr>
      <w:r>
        <w:rPr>
          <w:rFonts w:hint="eastAsia" w:hAnsi="宋体"/>
          <w:sz w:val="24"/>
          <w:szCs w:val="24"/>
        </w:rPr>
        <w:t xml:space="preserve">式中：  </w:t>
      </w:r>
    </w:p>
    <w:p w14:paraId="6546BFCD">
      <w:pPr>
        <w:pStyle w:val="19"/>
        <w:spacing w:line="360" w:lineRule="auto"/>
        <w:ind w:firstLine="480"/>
        <w:rPr>
          <w:rFonts w:hint="eastAsia" w:hAnsi="宋体"/>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Ｃ</m:t>
            </m:r>
            <m:ctrlPr>
              <w:rPr>
                <w:rFonts w:ascii="Cambria Math" w:hAnsi="Cambria Math"/>
                <w:i/>
                <w:color w:val="auto"/>
                <w:sz w:val="24"/>
                <w:szCs w:val="24"/>
              </w:rPr>
            </m:ctrlPr>
          </m:e>
          <m:sub>
            <m:r>
              <m:rPr/>
              <w:rPr>
                <w:rFonts w:hint="eastAsia" w:ascii="Cambria Math" w:hAnsi="Cambria Math"/>
                <w:color w:val="auto"/>
                <w:sz w:val="24"/>
                <w:szCs w:val="24"/>
              </w:rPr>
              <m:t>ww</m:t>
            </m:r>
            <m:ctrlPr>
              <w:rPr>
                <w:rFonts w:ascii="Cambria Math" w:hAnsi="Cambria Math"/>
                <w:i/>
                <w:color w:val="auto"/>
                <w:sz w:val="24"/>
                <w:szCs w:val="24"/>
              </w:rPr>
            </m:ctrlPr>
          </m:sub>
        </m:sSub>
      </m:oMath>
      <w:r>
        <w:rPr>
          <w:rFonts w:hint="eastAsia" w:hAnsi="宋体"/>
          <w:sz w:val="24"/>
          <w:szCs w:val="24"/>
        </w:rPr>
        <w:t>——城市轨道交通工程维修维护碳排放量（kgCO</w:t>
      </w:r>
      <w:r>
        <w:rPr>
          <w:rFonts w:hint="eastAsia" w:hAnsi="宋体"/>
          <w:sz w:val="24"/>
          <w:szCs w:val="24"/>
          <w:vertAlign w:val="subscript"/>
        </w:rPr>
        <w:t>2</w:t>
      </w:r>
      <w:r>
        <w:rPr>
          <w:rFonts w:hint="eastAsia" w:hAnsi="宋体"/>
          <w:sz w:val="24"/>
          <w:szCs w:val="24"/>
        </w:rPr>
        <w:t>e）。</w:t>
      </w:r>
    </w:p>
    <w:p w14:paraId="432AB05B">
      <w:pPr>
        <w:pStyle w:val="19"/>
        <w:spacing w:line="360" w:lineRule="auto"/>
        <w:ind w:firstLine="480"/>
        <w:rPr>
          <w:rFonts w:hint="eastAsia" w:hAnsi="宋体"/>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Ｃ</m:t>
            </m:r>
            <m:ctrlPr>
              <w:rPr>
                <w:rFonts w:ascii="Cambria Math" w:hAnsi="Cambria Math"/>
                <w:i/>
                <w:color w:val="auto"/>
                <w:sz w:val="24"/>
                <w:szCs w:val="24"/>
              </w:rPr>
            </m:ctrlPr>
          </m:e>
          <m:sub>
            <m:r>
              <m:rPr/>
              <w:rPr>
                <w:rFonts w:ascii="Cambria Math" w:hAnsi="Cambria Math"/>
                <w:color w:val="auto"/>
                <w:sz w:val="24"/>
                <w:szCs w:val="24"/>
              </w:rPr>
              <m:t>CL</m:t>
            </m:r>
            <m:ctrlPr>
              <w:rPr>
                <w:rFonts w:ascii="Cambria Math" w:hAnsi="Cambria Math"/>
                <w:i/>
                <w:color w:val="auto"/>
                <w:sz w:val="24"/>
                <w:szCs w:val="24"/>
              </w:rPr>
            </m:ctrlPr>
          </m:sub>
        </m:sSub>
      </m:oMath>
      <w:r>
        <w:rPr>
          <w:rFonts w:hint="eastAsia" w:hAnsi="宋体"/>
          <w:sz w:val="24"/>
          <w:szCs w:val="24"/>
        </w:rPr>
        <w:t>——城市轨道交通工程维修维护材料消耗碳排放量（kgCO</w:t>
      </w:r>
      <w:r>
        <w:rPr>
          <w:rFonts w:hint="eastAsia" w:hAnsi="宋体"/>
          <w:sz w:val="24"/>
          <w:szCs w:val="24"/>
          <w:vertAlign w:val="subscript"/>
        </w:rPr>
        <w:t>2</w:t>
      </w:r>
      <w:r>
        <w:rPr>
          <w:rFonts w:hint="eastAsia" w:hAnsi="宋体"/>
          <w:sz w:val="24"/>
          <w:szCs w:val="24"/>
        </w:rPr>
        <w:t>e）。</w:t>
      </w:r>
    </w:p>
    <w:p w14:paraId="21D7B930">
      <w:pPr>
        <w:pStyle w:val="19"/>
        <w:spacing w:line="360" w:lineRule="auto"/>
        <w:ind w:firstLine="480"/>
        <w:rPr>
          <w:rFonts w:hint="eastAsia" w:hAnsi="宋体"/>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Ｃ</m:t>
            </m:r>
            <m:ctrlPr>
              <w:rPr>
                <w:rFonts w:ascii="Cambria Math" w:hAnsi="Cambria Math"/>
                <w:i/>
                <w:color w:val="auto"/>
                <w:sz w:val="24"/>
                <w:szCs w:val="24"/>
              </w:rPr>
            </m:ctrlPr>
          </m:e>
          <m:sub>
            <m:r>
              <m:rPr/>
              <w:rPr>
                <w:rFonts w:ascii="Cambria Math" w:hAnsi="Cambria Math"/>
                <w:color w:val="auto"/>
                <w:sz w:val="24"/>
                <w:szCs w:val="24"/>
              </w:rPr>
              <m:t>YS</m:t>
            </m:r>
            <m:ctrlPr>
              <w:rPr>
                <w:rFonts w:ascii="Cambria Math" w:hAnsi="Cambria Math"/>
                <w:i/>
                <w:color w:val="auto"/>
                <w:sz w:val="24"/>
                <w:szCs w:val="24"/>
              </w:rPr>
            </m:ctrlPr>
          </m:sub>
        </m:sSub>
      </m:oMath>
      <w:r>
        <w:rPr>
          <w:rFonts w:hint="eastAsia" w:hAnsi="宋体"/>
          <w:sz w:val="24"/>
          <w:szCs w:val="24"/>
        </w:rPr>
        <w:t>——城市轨道交通工程维修维护材料运输碳排放量（kgCO</w:t>
      </w:r>
      <w:r>
        <w:rPr>
          <w:rFonts w:hint="eastAsia" w:hAnsi="宋体"/>
          <w:sz w:val="24"/>
          <w:szCs w:val="24"/>
          <w:vertAlign w:val="subscript"/>
        </w:rPr>
        <w:t>2</w:t>
      </w:r>
      <w:r>
        <w:rPr>
          <w:rFonts w:hint="eastAsia" w:hAnsi="宋体"/>
          <w:sz w:val="24"/>
          <w:szCs w:val="24"/>
        </w:rPr>
        <w:t>e）。</w:t>
      </w:r>
    </w:p>
    <w:p w14:paraId="552B4E9D">
      <w:pPr>
        <w:pStyle w:val="19"/>
        <w:spacing w:line="360" w:lineRule="auto"/>
        <w:ind w:firstLine="480"/>
        <w:rPr>
          <w:rFonts w:hint="eastAsia" w:ascii="黑体" w:hAnsi="黑体" w:eastAsia="黑体"/>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Ｃ</m:t>
            </m:r>
            <m:ctrlPr>
              <w:rPr>
                <w:rFonts w:ascii="Cambria Math" w:hAnsi="Cambria Math"/>
                <w:i/>
                <w:color w:val="auto"/>
                <w:sz w:val="24"/>
                <w:szCs w:val="24"/>
              </w:rPr>
            </m:ctrlPr>
          </m:e>
          <m:sub>
            <m:r>
              <m:rPr/>
              <w:rPr>
                <w:rFonts w:ascii="Cambria Math" w:hAnsi="Cambria Math"/>
                <w:color w:val="auto"/>
                <w:sz w:val="24"/>
                <w:szCs w:val="24"/>
              </w:rPr>
              <m:t>JX</m:t>
            </m:r>
            <m:ctrlPr>
              <w:rPr>
                <w:rFonts w:ascii="Cambria Math" w:hAnsi="Cambria Math"/>
                <w:i/>
                <w:color w:val="auto"/>
                <w:sz w:val="24"/>
                <w:szCs w:val="24"/>
              </w:rPr>
            </m:ctrlPr>
          </m:sub>
        </m:sSub>
      </m:oMath>
      <w:r>
        <w:rPr>
          <w:rFonts w:hint="eastAsia" w:hAnsi="宋体"/>
          <w:sz w:val="24"/>
          <w:szCs w:val="24"/>
        </w:rPr>
        <w:t>——城市轨道交通工程维修维护机械设备使用碳排放量（kgCO</w:t>
      </w:r>
      <w:r>
        <w:rPr>
          <w:rFonts w:hint="eastAsia" w:hAnsi="宋体"/>
          <w:sz w:val="24"/>
          <w:szCs w:val="24"/>
          <w:vertAlign w:val="subscript"/>
        </w:rPr>
        <w:t>2</w:t>
      </w:r>
      <w:r>
        <w:rPr>
          <w:rFonts w:hint="eastAsia" w:hAnsi="宋体"/>
          <w:sz w:val="24"/>
          <w:szCs w:val="24"/>
        </w:rPr>
        <w:t>e）。</w:t>
      </w:r>
    </w:p>
    <w:p w14:paraId="54BF192B">
      <w:pPr>
        <w:pStyle w:val="20"/>
        <w:numPr>
          <w:ilvl w:val="3"/>
          <w:numId w:val="0"/>
        </w:numPr>
        <w:spacing w:before="156" w:after="156" w:line="360" w:lineRule="auto"/>
        <w:outlineLvl w:val="9"/>
        <w:rPr>
          <w:rFonts w:hint="eastAsia" w:ascii="宋体" w:hAnsi="宋体" w:eastAsia="宋体"/>
          <w:sz w:val="24"/>
          <w:szCs w:val="24"/>
        </w:rPr>
      </w:pPr>
      <w:bookmarkStart w:id="130" w:name="_Toc180103309"/>
      <w:r>
        <w:rPr>
          <w:rFonts w:hint="eastAsia" w:ascii="宋体" w:hAnsi="宋体" w:eastAsia="宋体"/>
          <w:sz w:val="24"/>
          <w:szCs w:val="24"/>
        </w:rPr>
        <w:t>10.2.4 城市轨道交通工程维修维护材料消耗产生的碳排放量、单次维修维护材料运输产生的碳排放量、单次维修维护机械设备使用产生的碳排放量根据现行国家标准《建筑碳排放计算标准》GB/T 51366 的规定执行</w:t>
      </w:r>
      <w:bookmarkEnd w:id="130"/>
      <w:r>
        <w:rPr>
          <w:rFonts w:hint="eastAsia" w:ascii="宋体" w:hAnsi="宋体" w:eastAsia="宋体"/>
          <w:sz w:val="24"/>
          <w:szCs w:val="24"/>
        </w:rPr>
        <w:t>。</w:t>
      </w:r>
    </w:p>
    <w:p w14:paraId="7B41FBDD">
      <w:pPr>
        <w:pStyle w:val="19"/>
        <w:spacing w:line="360" w:lineRule="auto"/>
        <w:ind w:firstLine="0" w:firstLineChars="0"/>
        <w:rPr>
          <w:rFonts w:hint="eastAsia" w:hAnsi="宋体"/>
          <w:sz w:val="24"/>
          <w:szCs w:val="24"/>
        </w:rPr>
      </w:pPr>
      <w:r>
        <w:rPr>
          <w:rFonts w:hint="eastAsia" w:hAnsi="宋体"/>
          <w:sz w:val="24"/>
          <w:szCs w:val="24"/>
        </w:rPr>
        <w:t>10.2.5 城市轨道交通车辆基地碳排放核算宜采用碳排放因子法，根据现行国家标准《建筑碳排放计算标准》GB/T 51366 的规定执行。</w:t>
      </w:r>
    </w:p>
    <w:p w14:paraId="461AF23B">
      <w:pPr>
        <w:spacing w:line="360" w:lineRule="auto"/>
        <w:rPr>
          <w:bCs/>
          <w:color w:val="auto"/>
          <w:sz w:val="24"/>
          <w:szCs w:val="24"/>
        </w:rPr>
      </w:pPr>
      <w:r>
        <w:rPr>
          <w:rFonts w:hint="eastAsia"/>
          <w:color w:val="auto"/>
          <w:sz w:val="24"/>
          <w:szCs w:val="24"/>
        </w:rPr>
        <w:t>10.2.</w:t>
      </w:r>
      <w:r>
        <w:rPr>
          <w:rFonts w:hint="eastAsia"/>
          <w:color w:val="auto"/>
          <w:sz w:val="24"/>
          <w:szCs w:val="24"/>
          <w:lang w:val="en-US" w:eastAsia="zh-CN"/>
        </w:rPr>
        <w:t>6</w:t>
      </w:r>
      <w:r>
        <w:rPr>
          <w:rFonts w:hint="eastAsia"/>
          <w:color w:val="auto"/>
          <w:sz w:val="24"/>
          <w:szCs w:val="24"/>
        </w:rPr>
        <w:t xml:space="preserve"> 车辆基地</w:t>
      </w:r>
      <w:r>
        <w:rPr>
          <w:color w:val="auto"/>
          <w:sz w:val="24"/>
          <w:szCs w:val="24"/>
        </w:rPr>
        <w:t>外购电力排放因子</w:t>
      </w:r>
      <w:r>
        <w:rPr>
          <w:rFonts w:hint="eastAsia"/>
          <w:color w:val="auto"/>
          <w:sz w:val="24"/>
          <w:szCs w:val="24"/>
        </w:rPr>
        <w:t>应</w:t>
      </w:r>
      <w:r>
        <w:rPr>
          <w:color w:val="auto"/>
          <w:sz w:val="24"/>
          <w:szCs w:val="24"/>
        </w:rPr>
        <w:t>采用</w:t>
      </w:r>
      <w:r>
        <w:rPr>
          <w:rFonts w:hint="eastAsia"/>
          <w:color w:val="auto"/>
          <w:sz w:val="24"/>
          <w:szCs w:val="24"/>
        </w:rPr>
        <w:t>国家生态环境部发布最新</w:t>
      </w:r>
      <w:r>
        <w:rPr>
          <w:color w:val="auto"/>
          <w:sz w:val="24"/>
          <w:szCs w:val="24"/>
        </w:rPr>
        <w:t>全国各区域电网平均二氧化碳排放因子</w:t>
      </w:r>
      <w:r>
        <w:rPr>
          <w:rFonts w:hint="eastAsia"/>
          <w:color w:val="auto"/>
          <w:sz w:val="24"/>
          <w:szCs w:val="24"/>
        </w:rPr>
        <w:t>。</w:t>
      </w:r>
    </w:p>
    <w:p w14:paraId="28ADA981">
      <w:pPr>
        <w:numPr>
          <w:ilvl w:val="0"/>
          <w:numId w:val="0"/>
        </w:numPr>
        <w:spacing w:after="240" w:line="360" w:lineRule="auto"/>
        <w:jc w:val="center"/>
        <w:outlineLvl w:val="0"/>
        <w:rPr>
          <w:rFonts w:ascii="黑体" w:hAnsi="黑体" w:eastAsia="黑体"/>
          <w:bCs/>
          <w:color w:val="auto"/>
          <w:sz w:val="36"/>
          <w:szCs w:val="32"/>
        </w:rPr>
      </w:pPr>
      <w:bookmarkStart w:id="131" w:name="_Toc223104334"/>
      <w:bookmarkStart w:id="132" w:name="_Toc5717"/>
      <w:r>
        <w:rPr>
          <w:rFonts w:hint="eastAsia" w:ascii="黑体" w:hAnsi="黑体" w:eastAsia="黑体"/>
          <w:bCs/>
          <w:color w:val="auto"/>
          <w:sz w:val="36"/>
          <w:szCs w:val="32"/>
          <w:lang w:val="en-US" w:eastAsia="zh-CN"/>
        </w:rPr>
        <w:br w:type="page"/>
      </w:r>
      <w:bookmarkStart w:id="133" w:name="_Toc19280"/>
      <w:r>
        <w:rPr>
          <w:rFonts w:hint="eastAsia" w:ascii="黑体" w:hAnsi="黑体" w:eastAsia="黑体"/>
          <w:bCs/>
          <w:color w:val="auto"/>
          <w:sz w:val="36"/>
          <w:szCs w:val="32"/>
          <w:lang w:val="en-US" w:eastAsia="zh-CN"/>
        </w:rPr>
        <w:t xml:space="preserve">11 </w:t>
      </w:r>
      <w:r>
        <w:rPr>
          <w:rFonts w:hint="eastAsia" w:ascii="黑体" w:hAnsi="黑体" w:eastAsia="黑体"/>
          <w:bCs/>
          <w:color w:val="auto"/>
          <w:sz w:val="36"/>
          <w:szCs w:val="32"/>
        </w:rPr>
        <w:t>碳抵消</w:t>
      </w:r>
      <w:bookmarkEnd w:id="131"/>
      <w:bookmarkEnd w:id="132"/>
      <w:bookmarkEnd w:id="133"/>
    </w:p>
    <w:p w14:paraId="4C4030FD">
      <w:pPr>
        <w:spacing w:line="360" w:lineRule="auto"/>
        <w:rPr>
          <w:bCs/>
          <w:color w:val="auto"/>
          <w:sz w:val="24"/>
          <w:szCs w:val="24"/>
        </w:rPr>
      </w:pPr>
      <w:r>
        <w:rPr>
          <w:rFonts w:hint="eastAsia"/>
          <w:bCs/>
          <w:color w:val="auto"/>
          <w:sz w:val="24"/>
          <w:szCs w:val="24"/>
        </w:rPr>
        <w:t>11</w:t>
      </w:r>
      <w:r>
        <w:rPr>
          <w:bCs/>
          <w:color w:val="auto"/>
          <w:sz w:val="24"/>
          <w:szCs w:val="24"/>
        </w:rPr>
        <w:t xml:space="preserve">.0.1 </w:t>
      </w:r>
      <w:r>
        <w:rPr>
          <w:rFonts w:hint="eastAsia"/>
          <w:bCs/>
          <w:color w:val="auto"/>
          <w:sz w:val="24"/>
          <w:szCs w:val="24"/>
        </w:rPr>
        <w:t>城市轨道交通</w:t>
      </w:r>
      <w:r>
        <w:rPr>
          <w:bCs/>
          <w:color w:val="auto"/>
          <w:sz w:val="24"/>
          <w:szCs w:val="24"/>
        </w:rPr>
        <w:t>零碳</w:t>
      </w:r>
      <w:r>
        <w:rPr>
          <w:rFonts w:hint="eastAsia"/>
          <w:bCs/>
          <w:color w:val="auto"/>
          <w:sz w:val="24"/>
          <w:szCs w:val="24"/>
        </w:rPr>
        <w:t>车辆基地</w:t>
      </w:r>
      <w:r>
        <w:rPr>
          <w:bCs/>
          <w:color w:val="auto"/>
          <w:sz w:val="24"/>
          <w:szCs w:val="24"/>
        </w:rPr>
        <w:t>可通过绿色电力交易、绿色电力证书交易与碳排放权交易等非建筑与区域降碳技术措施抵消剩余碳排放。</w:t>
      </w:r>
    </w:p>
    <w:p w14:paraId="2929EEF9">
      <w:pPr>
        <w:spacing w:line="360" w:lineRule="auto"/>
        <w:rPr>
          <w:bCs/>
          <w:color w:val="auto"/>
          <w:sz w:val="24"/>
          <w:szCs w:val="24"/>
        </w:rPr>
      </w:pPr>
      <w:r>
        <w:rPr>
          <w:rFonts w:hint="eastAsia"/>
          <w:bCs/>
          <w:color w:val="auto"/>
          <w:sz w:val="24"/>
          <w:szCs w:val="24"/>
        </w:rPr>
        <w:t>11.0.2 绿色电力交易、绿色电力证书交易与碳排放权交易的产品应为中国国内相关交易机制签发或在中国境内开发的减排项目。</w:t>
      </w:r>
    </w:p>
    <w:p w14:paraId="488A6B57">
      <w:pPr>
        <w:spacing w:line="360" w:lineRule="auto"/>
        <w:rPr>
          <w:bCs/>
          <w:color w:val="auto"/>
          <w:sz w:val="24"/>
          <w:szCs w:val="24"/>
        </w:rPr>
      </w:pPr>
      <w:r>
        <w:rPr>
          <w:rFonts w:hint="eastAsia"/>
          <w:bCs/>
          <w:color w:val="auto"/>
          <w:sz w:val="24"/>
          <w:szCs w:val="24"/>
        </w:rPr>
        <w:t>11.0.3 当城市轨道交通零碳车辆基地结合绿色电力交易、绿色电力证书交易或碳排放权交易进行设计判定时，应购买不少于10年运行期的电力用量或碳排放当量的交易产品；进行运行判定时，可先使用设计阶段购买的交易产品进行抵消，当设计阶段购买的交易产品抵消完时，应购买不少于 1 年运行期的交易产品。</w:t>
      </w:r>
    </w:p>
    <w:p w14:paraId="3F345D32">
      <w:pPr>
        <w:spacing w:line="360" w:lineRule="auto"/>
        <w:rPr>
          <w:rFonts w:hint="eastAsia"/>
          <w:bCs/>
          <w:color w:val="auto"/>
          <w:sz w:val="24"/>
          <w:szCs w:val="24"/>
        </w:rPr>
      </w:pPr>
      <w:r>
        <w:rPr>
          <w:rFonts w:hint="eastAsia"/>
          <w:bCs/>
          <w:color w:val="auto"/>
          <w:sz w:val="24"/>
          <w:szCs w:val="24"/>
        </w:rPr>
        <w:t>11.0.4 当全过程城市轨道交通零碳车辆基地结合绿色电力交易、绿色电力证书交易或碳排放权交易进行判定时，应购买不少于10年运行期的电力用量或碳排放当量的交易产品，且应购买建材生产及运输、建造及拆除阶段全部电力用量或碳排放当量的交易产品。</w:t>
      </w:r>
    </w:p>
    <w:p w14:paraId="2372A363">
      <w:pPr>
        <w:spacing w:line="360" w:lineRule="auto"/>
        <w:rPr>
          <w:bCs/>
          <w:color w:val="auto"/>
          <w:sz w:val="24"/>
          <w:szCs w:val="24"/>
        </w:rPr>
      </w:pPr>
      <w:r>
        <w:rPr>
          <w:rFonts w:hint="eastAsia"/>
          <w:bCs/>
          <w:color w:val="auto"/>
          <w:sz w:val="24"/>
          <w:szCs w:val="24"/>
        </w:rPr>
        <w:br w:type="page"/>
      </w:r>
    </w:p>
    <w:p w14:paraId="5C83C195">
      <w:pPr>
        <w:numPr>
          <w:ilvl w:val="0"/>
          <w:numId w:val="0"/>
        </w:numPr>
        <w:spacing w:after="240" w:line="360" w:lineRule="auto"/>
        <w:jc w:val="center"/>
        <w:outlineLvl w:val="0"/>
        <w:rPr>
          <w:rFonts w:hint="eastAsia" w:ascii="黑体" w:hAnsi="黑体" w:eastAsia="黑体" w:cs="Times New Roman"/>
          <w:bCs/>
          <w:color w:val="auto"/>
          <w:kern w:val="0"/>
          <w:sz w:val="36"/>
          <w:szCs w:val="32"/>
        </w:rPr>
      </w:pPr>
      <w:bookmarkStart w:id="134" w:name="_Toc13995"/>
      <w:bookmarkStart w:id="135" w:name="_Toc23864"/>
      <w:r>
        <w:rPr>
          <w:rFonts w:hint="eastAsia" w:ascii="黑体" w:hAnsi="黑体" w:eastAsia="黑体" w:cs="Times New Roman"/>
          <w:bCs/>
          <w:color w:val="auto"/>
          <w:sz w:val="36"/>
          <w:szCs w:val="32"/>
        </w:rPr>
        <w:fldChar w:fldCharType="begin"/>
      </w:r>
      <w:r>
        <w:rPr>
          <w:rFonts w:hint="eastAsia" w:ascii="黑体" w:hAnsi="黑体" w:eastAsia="黑体" w:cs="Times New Roman"/>
          <w:bCs/>
          <w:color w:val="auto"/>
          <w:sz w:val="36"/>
          <w:szCs w:val="32"/>
        </w:rPr>
        <w:instrText xml:space="preserve"> HYPERLINK \l "_Toc86055361" </w:instrText>
      </w:r>
      <w:r>
        <w:rPr>
          <w:rFonts w:hint="eastAsia" w:ascii="黑体" w:hAnsi="黑体" w:eastAsia="黑体" w:cs="Times New Roman"/>
          <w:bCs/>
          <w:color w:val="auto"/>
          <w:sz w:val="36"/>
          <w:szCs w:val="32"/>
        </w:rPr>
        <w:fldChar w:fldCharType="separate"/>
      </w:r>
      <w:r>
        <w:rPr>
          <w:rFonts w:hint="eastAsia" w:ascii="黑体" w:hAnsi="黑体" w:eastAsia="黑体" w:cs="Times New Roman"/>
          <w:bCs/>
          <w:color w:val="auto"/>
          <w:sz w:val="36"/>
          <w:szCs w:val="32"/>
          <w:highlight w:val="none"/>
        </w:rPr>
        <w:t>用词说明</w:t>
      </w:r>
      <w:r>
        <w:rPr>
          <w:rFonts w:hint="eastAsia" w:ascii="黑体" w:hAnsi="黑体" w:eastAsia="黑体" w:cs="Times New Roman"/>
          <w:bCs/>
          <w:color w:val="auto"/>
          <w:sz w:val="36"/>
          <w:szCs w:val="32"/>
          <w:highlight w:val="none"/>
        </w:rPr>
        <w:tab/>
      </w:r>
      <w:r>
        <w:rPr>
          <w:rFonts w:hint="eastAsia" w:ascii="黑体" w:hAnsi="黑体" w:eastAsia="黑体" w:cs="Times New Roman"/>
          <w:bCs/>
          <w:color w:val="auto"/>
          <w:sz w:val="36"/>
          <w:szCs w:val="32"/>
          <w:highlight w:val="none"/>
        </w:rPr>
        <w:fldChar w:fldCharType="end"/>
      </w:r>
      <w:bookmarkEnd w:id="134"/>
      <w:bookmarkEnd w:id="135"/>
    </w:p>
    <w:p w14:paraId="57BF3094">
      <w:pPr>
        <w:widowControl/>
        <w:adjustRightInd w:val="0"/>
        <w:snapToGrid w:val="0"/>
        <w:spacing w:line="360" w:lineRule="auto"/>
        <w:jc w:val="left"/>
        <w:rPr>
          <w:rFonts w:hint="eastAsia" w:ascii="宋体" w:hAnsi="宋体" w:cs="微软雅黑"/>
          <w:bCs/>
          <w:sz w:val="24"/>
        </w:rPr>
      </w:pPr>
      <w:r>
        <w:rPr>
          <w:rFonts w:hint="eastAsia" w:ascii="宋体" w:hAnsi="宋体" w:cs="微软雅黑"/>
          <w:bCs/>
          <w:sz w:val="24"/>
        </w:rPr>
        <w:t>为便于在执行本规程条款时区别对待，对要求严格程度不同的用词说明如下：</w:t>
      </w:r>
    </w:p>
    <w:p w14:paraId="796C7E3E">
      <w:pPr>
        <w:widowControl/>
        <w:numPr>
          <w:ilvl w:val="0"/>
          <w:numId w:val="3"/>
        </w:numPr>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表示很严格，非这样做不可的：</w:t>
      </w:r>
    </w:p>
    <w:p w14:paraId="3F4B63A6">
      <w:pPr>
        <w:widowControl/>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正面词采用“必须”，反面词采用“严禁”；</w:t>
      </w:r>
    </w:p>
    <w:p w14:paraId="43185A6F">
      <w:pPr>
        <w:widowControl/>
        <w:numPr>
          <w:ilvl w:val="0"/>
          <w:numId w:val="3"/>
        </w:numPr>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表示严格，在正常情况下均应这样做的：</w:t>
      </w:r>
    </w:p>
    <w:p w14:paraId="2D99982D">
      <w:pPr>
        <w:widowControl/>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正面词采用“应”，反面词采用“不应”或“不得”；</w:t>
      </w:r>
    </w:p>
    <w:p w14:paraId="28826720">
      <w:pPr>
        <w:widowControl/>
        <w:numPr>
          <w:ilvl w:val="0"/>
          <w:numId w:val="3"/>
        </w:numPr>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表示允许稍有选择，在条件许可时首先应这样做的：</w:t>
      </w:r>
    </w:p>
    <w:p w14:paraId="122FFEBF">
      <w:pPr>
        <w:widowControl/>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正面词采用“宜”，反面词采用“不宜”；</w:t>
      </w:r>
    </w:p>
    <w:p w14:paraId="25C243CF">
      <w:pPr>
        <w:widowControl/>
        <w:numPr>
          <w:ilvl w:val="0"/>
          <w:numId w:val="3"/>
        </w:numPr>
        <w:adjustRightInd w:val="0"/>
        <w:snapToGrid w:val="0"/>
        <w:spacing w:line="360" w:lineRule="auto"/>
        <w:ind w:left="420" w:leftChars="200"/>
        <w:jc w:val="left"/>
        <w:rPr>
          <w:rFonts w:hint="eastAsia" w:ascii="宋体" w:hAnsi="宋体" w:cs="微软雅黑"/>
          <w:bCs/>
          <w:sz w:val="24"/>
        </w:rPr>
      </w:pPr>
      <w:r>
        <w:rPr>
          <w:rFonts w:hint="eastAsia" w:ascii="宋体" w:hAnsi="宋体" w:cs="微软雅黑"/>
          <w:bCs/>
          <w:sz w:val="24"/>
        </w:rPr>
        <w:t xml:space="preserve"> 表示有选择，在一定条件下可以这样做的，采用“可”。</w:t>
      </w:r>
    </w:p>
    <w:p w14:paraId="1D1FEC33">
      <w:pPr>
        <w:numPr>
          <w:ilvl w:val="0"/>
          <w:numId w:val="0"/>
        </w:numPr>
        <w:spacing w:after="240" w:line="360" w:lineRule="auto"/>
        <w:jc w:val="center"/>
        <w:outlineLvl w:val="0"/>
        <w:rPr>
          <w:rFonts w:hint="eastAsia" w:ascii="黑体" w:hAnsi="黑体" w:eastAsia="黑体" w:cs="Times New Roman"/>
          <w:bCs/>
          <w:color w:val="auto"/>
          <w:sz w:val="36"/>
          <w:szCs w:val="32"/>
        </w:rPr>
      </w:pPr>
      <w:r>
        <w:rPr>
          <w:rFonts w:hint="eastAsia" w:ascii="黑体" w:hAnsi="黑体" w:eastAsia="黑体" w:cs="Times New Roman"/>
          <w:bCs/>
          <w:color w:val="auto"/>
          <w:sz w:val="36"/>
          <w:szCs w:val="32"/>
        </w:rPr>
        <w:br w:type="page"/>
      </w:r>
      <w:bookmarkStart w:id="136" w:name="_Toc4293"/>
      <w:bookmarkStart w:id="137" w:name="_Toc13091"/>
      <w:r>
        <w:rPr>
          <w:rFonts w:hint="eastAsia" w:ascii="黑体" w:hAnsi="黑体" w:eastAsia="黑体" w:cs="Times New Roman"/>
          <w:bCs/>
          <w:color w:val="auto"/>
          <w:sz w:val="36"/>
          <w:szCs w:val="32"/>
        </w:rPr>
        <w:fldChar w:fldCharType="begin"/>
      </w:r>
      <w:r>
        <w:rPr>
          <w:rFonts w:hint="eastAsia" w:ascii="黑体" w:hAnsi="黑体" w:eastAsia="黑体" w:cs="Times New Roman"/>
          <w:bCs/>
          <w:color w:val="auto"/>
          <w:sz w:val="36"/>
          <w:szCs w:val="32"/>
        </w:rPr>
        <w:instrText xml:space="preserve"> HYPERLINK \l "_Toc86055362" </w:instrText>
      </w:r>
      <w:r>
        <w:rPr>
          <w:rFonts w:hint="eastAsia" w:ascii="黑体" w:hAnsi="黑体" w:eastAsia="黑体" w:cs="Times New Roman"/>
          <w:bCs/>
          <w:color w:val="auto"/>
          <w:sz w:val="36"/>
          <w:szCs w:val="32"/>
        </w:rPr>
        <w:fldChar w:fldCharType="separate"/>
      </w:r>
      <w:r>
        <w:rPr>
          <w:rFonts w:hint="eastAsia" w:ascii="黑体" w:hAnsi="黑体" w:eastAsia="黑体" w:cs="Times New Roman"/>
          <w:bCs/>
          <w:color w:val="auto"/>
          <w:sz w:val="36"/>
          <w:szCs w:val="32"/>
        </w:rPr>
        <w:t>引用标准名录</w:t>
      </w:r>
      <w:r>
        <w:rPr>
          <w:rFonts w:hint="eastAsia" w:ascii="黑体" w:hAnsi="黑体" w:eastAsia="黑体" w:cs="Times New Roman"/>
          <w:bCs/>
          <w:color w:val="auto"/>
          <w:sz w:val="36"/>
          <w:szCs w:val="32"/>
        </w:rPr>
        <w:tab/>
      </w:r>
      <w:r>
        <w:rPr>
          <w:rFonts w:hint="eastAsia" w:ascii="黑体" w:hAnsi="黑体" w:eastAsia="黑体" w:cs="Times New Roman"/>
          <w:bCs/>
          <w:color w:val="auto"/>
          <w:sz w:val="36"/>
          <w:szCs w:val="32"/>
        </w:rPr>
        <w:fldChar w:fldCharType="end"/>
      </w:r>
      <w:bookmarkEnd w:id="136"/>
      <w:bookmarkEnd w:id="137"/>
    </w:p>
    <w:p w14:paraId="4F69AE85">
      <w:pPr>
        <w:rPr>
          <w:rFonts w:hint="eastAsia" w:cs="Times New Roman"/>
          <w:color w:val="0000FF"/>
          <w:kern w:val="0"/>
          <w:szCs w:val="21"/>
        </w:rPr>
      </w:pPr>
    </w:p>
    <w:p w14:paraId="118CD4A5">
      <w:pPr>
        <w:spacing w:line="360" w:lineRule="auto"/>
        <w:ind w:firstLine="480" w:firstLineChars="200"/>
        <w:rPr>
          <w:rFonts w:ascii="宋体" w:hAnsi="宋体" w:cs="微软雅黑"/>
          <w:bCs/>
          <w:sz w:val="24"/>
        </w:rPr>
      </w:pPr>
      <w:r>
        <w:rPr>
          <w:rFonts w:hint="eastAsia" w:ascii="宋体" w:hAnsi="宋体" w:cs="微软雅黑"/>
          <w:bCs/>
          <w:sz w:val="24"/>
        </w:rPr>
        <w:t>本标准引用下列标准。其中，注日期的，仅对该日期对应的版本适用本标准；不注日期的，其最新版适用于本标准。</w:t>
      </w:r>
    </w:p>
    <w:p w14:paraId="3F51E556">
      <w:pPr>
        <w:pStyle w:val="40"/>
        <w:spacing w:line="360" w:lineRule="auto"/>
        <w:ind w:firstLine="480"/>
        <w:rPr>
          <w:rFonts w:hint="eastAsia" w:ascii="宋体" w:hAnsi="宋体" w:cs="微软雅黑"/>
          <w:bCs/>
          <w:sz w:val="24"/>
        </w:rPr>
      </w:pPr>
      <w:r>
        <w:rPr>
          <w:rFonts w:hint="eastAsia" w:ascii="宋体" w:hAnsi="宋体" w:cs="微软雅黑"/>
          <w:bCs/>
          <w:sz w:val="24"/>
        </w:rPr>
        <w:t>《地铁设计规范》GB50157-2013</w:t>
      </w:r>
    </w:p>
    <w:p w14:paraId="11A1CC8A">
      <w:pPr>
        <w:pStyle w:val="40"/>
        <w:spacing w:line="360" w:lineRule="auto"/>
        <w:ind w:firstLine="480"/>
        <w:rPr>
          <w:rFonts w:hint="eastAsia" w:ascii="宋体" w:hAnsi="宋体" w:eastAsia="宋体" w:cs="微软雅黑"/>
          <w:bCs/>
          <w:sz w:val="24"/>
        </w:rPr>
      </w:pPr>
      <w:r>
        <w:rPr>
          <w:rFonts w:hint="eastAsia" w:ascii="宋体" w:hAnsi="宋体" w:cs="微软雅黑"/>
          <w:bCs/>
          <w:sz w:val="24"/>
        </w:rPr>
        <w:t>《氢气</w:t>
      </w:r>
      <w:r>
        <w:rPr>
          <w:rFonts w:hint="eastAsia" w:ascii="宋体" w:hAnsi="宋体" w:eastAsia="宋体" w:cs="微软雅黑"/>
          <w:bCs/>
          <w:sz w:val="24"/>
        </w:rPr>
        <w:t>站设计规范》GB50177-2022</w:t>
      </w:r>
    </w:p>
    <w:p w14:paraId="11F13992">
      <w:pPr>
        <w:pStyle w:val="40"/>
        <w:spacing w:line="360" w:lineRule="auto"/>
        <w:ind w:firstLine="480"/>
        <w:rPr>
          <w:rFonts w:hint="eastAsia" w:ascii="宋体" w:hAnsi="宋体" w:cs="微软雅黑"/>
          <w:bCs/>
          <w:sz w:val="24"/>
        </w:rPr>
      </w:pPr>
      <w:r>
        <w:rPr>
          <w:rFonts w:hint="eastAsia" w:ascii="宋体" w:hAnsi="宋体" w:cs="微软雅黑"/>
          <w:bCs/>
          <w:sz w:val="24"/>
        </w:rPr>
        <w:t>《公共建筑节能设计标准》GB50189-2015</w:t>
      </w:r>
    </w:p>
    <w:p w14:paraId="6F5F221F">
      <w:pPr>
        <w:pStyle w:val="40"/>
        <w:spacing w:line="360" w:lineRule="auto"/>
        <w:ind w:firstLine="480"/>
        <w:rPr>
          <w:rFonts w:hint="eastAsia" w:cs="Times New Roman"/>
          <w:color w:val="0000FF"/>
          <w:kern w:val="0"/>
          <w:szCs w:val="21"/>
        </w:rPr>
      </w:pPr>
      <w:r>
        <w:rPr>
          <w:rFonts w:hint="eastAsia" w:ascii="宋体" w:hAnsi="宋体" w:eastAsia="宋体" w:cs="微软雅黑"/>
          <w:bCs/>
          <w:sz w:val="24"/>
        </w:rPr>
        <w:t>《地源热泵系统工程技术规范》GB50366-2005（2009版）</w:t>
      </w:r>
    </w:p>
    <w:p w14:paraId="73A8D20E">
      <w:pPr>
        <w:pStyle w:val="40"/>
        <w:spacing w:line="360" w:lineRule="auto"/>
        <w:ind w:firstLine="480"/>
        <w:rPr>
          <w:rFonts w:hint="eastAsia" w:ascii="宋体" w:hAnsi="宋体" w:cs="微软雅黑"/>
          <w:bCs/>
          <w:sz w:val="24"/>
        </w:rPr>
      </w:pPr>
      <w:r>
        <w:rPr>
          <w:rFonts w:hint="eastAsia" w:ascii="宋体" w:hAnsi="宋体" w:cs="微软雅黑"/>
          <w:bCs/>
          <w:sz w:val="24"/>
        </w:rPr>
        <w:t>《绿色建筑评价标准》GB/T 50378</w:t>
      </w:r>
    </w:p>
    <w:p w14:paraId="48333174">
      <w:pPr>
        <w:pStyle w:val="40"/>
        <w:spacing w:line="360" w:lineRule="auto"/>
        <w:ind w:firstLine="480"/>
        <w:rPr>
          <w:rFonts w:hint="eastAsia" w:ascii="宋体" w:hAnsi="宋体" w:cs="微软雅黑"/>
          <w:bCs/>
          <w:sz w:val="24"/>
        </w:rPr>
      </w:pPr>
      <w:r>
        <w:rPr>
          <w:rFonts w:hint="eastAsia" w:ascii="宋体" w:hAnsi="宋体" w:cs="微软雅黑"/>
          <w:bCs/>
          <w:sz w:val="24"/>
        </w:rPr>
        <w:t>《光伏发电站设计规范》GB50797-2012</w:t>
      </w:r>
    </w:p>
    <w:p w14:paraId="6B2FAF69">
      <w:pPr>
        <w:pStyle w:val="40"/>
        <w:spacing w:line="360" w:lineRule="auto"/>
        <w:ind w:firstLine="480"/>
        <w:rPr>
          <w:rFonts w:hint="eastAsia" w:ascii="宋体" w:hAnsi="宋体" w:cs="微软雅黑"/>
          <w:bCs/>
          <w:sz w:val="24"/>
        </w:rPr>
      </w:pPr>
      <w:r>
        <w:rPr>
          <w:rFonts w:hint="eastAsia" w:ascii="宋体" w:hAnsi="宋体" w:cs="微软雅黑"/>
          <w:bCs/>
          <w:sz w:val="24"/>
        </w:rPr>
        <w:t>《风光储联合发电站设计标准》GB/T51437-2021</w:t>
      </w:r>
    </w:p>
    <w:p w14:paraId="608B936A">
      <w:pPr>
        <w:pStyle w:val="40"/>
        <w:spacing w:line="360" w:lineRule="auto"/>
        <w:ind w:firstLine="480"/>
        <w:rPr>
          <w:rFonts w:hint="eastAsia" w:ascii="宋体" w:hAnsi="宋体" w:cs="微软雅黑"/>
          <w:bCs/>
          <w:sz w:val="24"/>
        </w:rPr>
      </w:pPr>
      <w:r>
        <w:rPr>
          <w:rFonts w:hint="eastAsia" w:ascii="宋体" w:hAnsi="宋体" w:cs="微软雅黑"/>
          <w:bCs/>
          <w:sz w:val="24"/>
        </w:rPr>
        <w:t>《建筑给水排水与节水通用规范》GB55020-2021</w:t>
      </w:r>
    </w:p>
    <w:p w14:paraId="77589176">
      <w:pPr>
        <w:pStyle w:val="40"/>
        <w:spacing w:line="360" w:lineRule="auto"/>
        <w:ind w:firstLine="480"/>
        <w:rPr>
          <w:rFonts w:hint="eastAsia" w:ascii="宋体" w:hAnsi="宋体" w:cs="微软雅黑"/>
          <w:bCs/>
          <w:sz w:val="24"/>
        </w:rPr>
      </w:pPr>
      <w:r>
        <w:rPr>
          <w:rFonts w:hint="eastAsia" w:ascii="宋体" w:hAnsi="宋体" w:cs="微软雅黑"/>
          <w:bCs/>
          <w:sz w:val="24"/>
        </w:rPr>
        <w:t>《民用建筑绿色设计规范》JGJ/T 229-2010</w:t>
      </w:r>
    </w:p>
    <w:p w14:paraId="6327805D">
      <w:pPr>
        <w:pStyle w:val="40"/>
        <w:spacing w:line="360" w:lineRule="auto"/>
        <w:ind w:firstLine="480"/>
        <w:rPr>
          <w:rFonts w:hint="eastAsia" w:ascii="宋体" w:hAnsi="宋体" w:cs="微软雅黑"/>
          <w:bCs/>
          <w:sz w:val="24"/>
        </w:rPr>
      </w:pPr>
      <w:r>
        <w:rPr>
          <w:rFonts w:hint="eastAsia" w:ascii="宋体" w:hAnsi="宋体" w:cs="微软雅黑"/>
          <w:bCs/>
          <w:sz w:val="24"/>
        </w:rPr>
        <w:t>《城市轨道交通车辆基地工程技术标准》CJJ/T306-2020</w:t>
      </w:r>
    </w:p>
    <w:p w14:paraId="6FFFFCDF">
      <w:pPr>
        <w:numPr>
          <w:ilvl w:val="0"/>
          <w:numId w:val="0"/>
        </w:numPr>
        <w:spacing w:after="240" w:line="360" w:lineRule="auto"/>
        <w:ind w:firstLine="480" w:firstLineChars="200"/>
        <w:jc w:val="both"/>
        <w:outlineLvl w:val="0"/>
        <w:rPr>
          <w:rFonts w:hint="eastAsia" w:ascii="黑体" w:hAnsi="黑体" w:eastAsia="黑体" w:cs="Times New Roman"/>
          <w:bCs/>
          <w:color w:val="auto"/>
          <w:sz w:val="36"/>
          <w:szCs w:val="32"/>
        </w:rPr>
      </w:pPr>
      <w:r>
        <w:rPr>
          <w:rFonts w:hint="eastAsia" w:ascii="宋体" w:hAnsi="宋体" w:cs="微软雅黑"/>
          <w:bCs/>
          <w:sz w:val="24"/>
        </w:rPr>
        <w:t>《零碳园区评价技术规范》T/CEC</w:t>
      </w:r>
      <w:r>
        <w:rPr>
          <w:rFonts w:hint="eastAsia" w:ascii="宋体" w:hAnsi="宋体" w:cs="微软雅黑"/>
          <w:bCs/>
          <w:sz w:val="24"/>
          <w:lang w:val="en-US" w:eastAsia="zh-CN"/>
        </w:rPr>
        <w:t>S</w:t>
      </w:r>
      <w:r>
        <w:rPr>
          <w:rFonts w:hint="eastAsia" w:ascii="宋体" w:hAnsi="宋体" w:cs="微软雅黑"/>
          <w:bCs/>
          <w:sz w:val="24"/>
        </w:rPr>
        <w:t>-G 0344-2025</w:t>
      </w:r>
      <w:r>
        <w:rPr>
          <w:rFonts w:hint="eastAsia" w:ascii="黑体" w:hAnsi="黑体" w:eastAsia="黑体" w:cs="Times New Roman"/>
          <w:bCs/>
          <w:color w:val="auto"/>
          <w:sz w:val="36"/>
          <w:szCs w:val="32"/>
        </w:rPr>
        <w:br w:type="page"/>
      </w:r>
      <w:bookmarkStart w:id="138" w:name="_Toc31486"/>
      <w:bookmarkStart w:id="139" w:name="_Toc2307"/>
      <w:r>
        <w:rPr>
          <w:rFonts w:hint="eastAsia" w:ascii="黑体" w:hAnsi="黑体" w:eastAsia="黑体" w:cs="Times New Roman"/>
          <w:bCs/>
          <w:color w:val="auto"/>
          <w:sz w:val="36"/>
          <w:szCs w:val="32"/>
        </w:rPr>
        <w:fldChar w:fldCharType="begin"/>
      </w:r>
      <w:r>
        <w:rPr>
          <w:rFonts w:hint="eastAsia" w:ascii="黑体" w:hAnsi="黑体" w:eastAsia="黑体" w:cs="Times New Roman"/>
          <w:bCs/>
          <w:color w:val="auto"/>
          <w:sz w:val="36"/>
          <w:szCs w:val="32"/>
        </w:rPr>
        <w:instrText xml:space="preserve"> HYPERLINK \l "_Toc86055363" </w:instrText>
      </w:r>
      <w:r>
        <w:rPr>
          <w:rFonts w:hint="eastAsia" w:ascii="黑体" w:hAnsi="黑体" w:eastAsia="黑体" w:cs="Times New Roman"/>
          <w:bCs/>
          <w:color w:val="auto"/>
          <w:sz w:val="36"/>
          <w:szCs w:val="32"/>
        </w:rPr>
        <w:fldChar w:fldCharType="separate"/>
      </w:r>
      <w:r>
        <w:rPr>
          <w:rFonts w:hint="eastAsia" w:ascii="黑体" w:hAnsi="黑体" w:eastAsia="黑体" w:cs="Times New Roman"/>
          <w:bCs/>
          <w:color w:val="auto"/>
          <w:sz w:val="36"/>
          <w:szCs w:val="32"/>
        </w:rPr>
        <w:t>附：条文说明</w:t>
      </w:r>
      <w:r>
        <w:rPr>
          <w:rFonts w:hint="eastAsia" w:ascii="黑体" w:hAnsi="黑体" w:eastAsia="黑体" w:cs="Times New Roman"/>
          <w:bCs/>
          <w:color w:val="auto"/>
          <w:sz w:val="36"/>
          <w:szCs w:val="32"/>
        </w:rPr>
        <w:tab/>
      </w:r>
      <w:r>
        <w:rPr>
          <w:rFonts w:hint="eastAsia" w:ascii="黑体" w:hAnsi="黑体" w:eastAsia="黑体" w:cs="Times New Roman"/>
          <w:bCs/>
          <w:color w:val="auto"/>
          <w:sz w:val="36"/>
          <w:szCs w:val="32"/>
        </w:rPr>
        <w:fldChar w:fldCharType="end"/>
      </w:r>
      <w:bookmarkEnd w:id="138"/>
      <w:bookmarkEnd w:id="139"/>
    </w:p>
    <w:p w14:paraId="484FD830">
      <w:pPr>
        <w:spacing w:line="360" w:lineRule="auto"/>
        <w:jc w:val="center"/>
        <w:rPr>
          <w:b/>
          <w:bCs/>
          <w:sz w:val="36"/>
          <w:szCs w:val="36"/>
        </w:rPr>
      </w:pPr>
      <w:r>
        <w:rPr>
          <w:sz w:val="36"/>
          <w:szCs w:val="36"/>
        </w:rPr>
        <w:t>中国工程建设标准化协会标准</w:t>
      </w:r>
    </w:p>
    <w:p w14:paraId="33829ECB">
      <w:pPr>
        <w:jc w:val="center"/>
        <w:rPr>
          <w:rFonts w:ascii="黑体" w:eastAsia="黑体"/>
          <w:b/>
          <w:sz w:val="32"/>
          <w:szCs w:val="32"/>
        </w:rPr>
      </w:pPr>
    </w:p>
    <w:p w14:paraId="2AECDBDF">
      <w:pPr>
        <w:spacing w:line="360" w:lineRule="auto"/>
        <w:jc w:val="center"/>
        <w:rPr>
          <w:b/>
          <w:sz w:val="28"/>
          <w:szCs w:val="28"/>
        </w:rPr>
      </w:pPr>
    </w:p>
    <w:p w14:paraId="76909CC8">
      <w:pPr>
        <w:spacing w:line="360" w:lineRule="auto"/>
        <w:jc w:val="center"/>
        <w:rPr>
          <w:b/>
          <w:sz w:val="28"/>
          <w:szCs w:val="28"/>
        </w:rPr>
      </w:pPr>
    </w:p>
    <w:p w14:paraId="41BE57C8">
      <w:pPr>
        <w:spacing w:line="360" w:lineRule="auto"/>
        <w:jc w:val="center"/>
        <w:rPr>
          <w:b/>
          <w:sz w:val="48"/>
          <w:szCs w:val="48"/>
        </w:rPr>
      </w:pPr>
      <w:r>
        <w:rPr>
          <w:rFonts w:hint="eastAsia"/>
          <w:b/>
          <w:sz w:val="48"/>
          <w:szCs w:val="48"/>
        </w:rPr>
        <w:t>零碳城市轨道交通车辆基地设计标准</w:t>
      </w:r>
    </w:p>
    <w:p w14:paraId="07AF7600">
      <w:pPr>
        <w:spacing w:line="360" w:lineRule="auto"/>
        <w:jc w:val="center"/>
        <w:rPr>
          <w:b/>
          <w:sz w:val="48"/>
          <w:szCs w:val="48"/>
        </w:rPr>
      </w:pPr>
    </w:p>
    <w:p w14:paraId="484ACD8F">
      <w:pPr>
        <w:spacing w:line="360" w:lineRule="auto"/>
        <w:jc w:val="center"/>
        <w:rPr>
          <w:b/>
          <w:sz w:val="32"/>
          <w:szCs w:val="32"/>
        </w:rPr>
      </w:pPr>
      <w:r>
        <w:rPr>
          <w:b/>
          <w:sz w:val="32"/>
          <w:szCs w:val="32"/>
        </w:rPr>
        <w:t>T/CECS *** -20XX</w:t>
      </w:r>
    </w:p>
    <w:p w14:paraId="19E64356">
      <w:pPr>
        <w:spacing w:line="360" w:lineRule="auto"/>
        <w:jc w:val="center"/>
        <w:rPr>
          <w:b/>
          <w:sz w:val="44"/>
          <w:szCs w:val="44"/>
        </w:rPr>
      </w:pPr>
    </w:p>
    <w:p w14:paraId="4C5774D4">
      <w:pPr>
        <w:spacing w:line="360" w:lineRule="auto"/>
        <w:jc w:val="center"/>
        <w:rPr>
          <w:b/>
          <w:sz w:val="44"/>
          <w:szCs w:val="44"/>
        </w:rPr>
      </w:pPr>
    </w:p>
    <w:p w14:paraId="64761072">
      <w:pPr>
        <w:spacing w:line="360" w:lineRule="auto"/>
        <w:jc w:val="center"/>
        <w:rPr>
          <w:b/>
          <w:sz w:val="44"/>
          <w:szCs w:val="44"/>
        </w:rPr>
      </w:pPr>
      <w:bookmarkStart w:id="140" w:name="_Toc490230521"/>
      <w:bookmarkStart w:id="141" w:name="_Toc487617105"/>
      <w:bookmarkStart w:id="142" w:name="_Toc489623311"/>
      <w:r>
        <w:rPr>
          <w:rFonts w:hint="eastAsia"/>
          <w:b/>
          <w:sz w:val="44"/>
          <w:szCs w:val="44"/>
        </w:rPr>
        <w:t>条文说明</w:t>
      </w:r>
      <w:bookmarkEnd w:id="140"/>
      <w:bookmarkEnd w:id="141"/>
      <w:bookmarkEnd w:id="142"/>
    </w:p>
    <w:p w14:paraId="1C5E1F03">
      <w:pPr>
        <w:spacing w:line="360" w:lineRule="auto"/>
        <w:jc w:val="center"/>
        <w:rPr>
          <w:b/>
          <w:sz w:val="28"/>
          <w:szCs w:val="28"/>
        </w:rPr>
      </w:pPr>
    </w:p>
    <w:p w14:paraId="46A9CF0F">
      <w:pPr>
        <w:spacing w:line="360" w:lineRule="auto"/>
        <w:jc w:val="center"/>
        <w:rPr>
          <w:b/>
          <w:sz w:val="28"/>
          <w:szCs w:val="28"/>
        </w:rPr>
      </w:pPr>
    </w:p>
    <w:p w14:paraId="2DFB08FB">
      <w:pPr>
        <w:spacing w:line="360" w:lineRule="auto"/>
        <w:jc w:val="center"/>
        <w:rPr>
          <w:b/>
          <w:sz w:val="28"/>
          <w:szCs w:val="28"/>
        </w:rPr>
      </w:pPr>
    </w:p>
    <w:p w14:paraId="41258C7E">
      <w:pPr>
        <w:spacing w:line="360" w:lineRule="auto"/>
        <w:jc w:val="center"/>
        <w:rPr>
          <w:b/>
          <w:sz w:val="28"/>
          <w:szCs w:val="28"/>
        </w:rPr>
      </w:pPr>
    </w:p>
    <w:p w14:paraId="2B6EE147">
      <w:pPr>
        <w:spacing w:line="360" w:lineRule="auto"/>
        <w:jc w:val="center"/>
        <w:rPr>
          <w:b/>
          <w:sz w:val="28"/>
          <w:szCs w:val="28"/>
        </w:rPr>
      </w:pPr>
    </w:p>
    <w:p w14:paraId="1AA5B5DA">
      <w:pPr>
        <w:spacing w:line="360" w:lineRule="auto"/>
        <w:jc w:val="center"/>
        <w:rPr>
          <w:b/>
          <w:sz w:val="28"/>
          <w:szCs w:val="28"/>
        </w:rPr>
      </w:pPr>
    </w:p>
    <w:p w14:paraId="73A137BB">
      <w:pPr>
        <w:spacing w:line="360" w:lineRule="auto"/>
        <w:jc w:val="center"/>
        <w:rPr>
          <w:b/>
          <w:sz w:val="28"/>
          <w:szCs w:val="28"/>
        </w:rPr>
      </w:pPr>
    </w:p>
    <w:p w14:paraId="60B6C559">
      <w:pPr>
        <w:spacing w:line="360" w:lineRule="auto"/>
        <w:jc w:val="center"/>
        <w:rPr>
          <w:b/>
          <w:sz w:val="28"/>
          <w:szCs w:val="28"/>
        </w:rPr>
      </w:pPr>
    </w:p>
    <w:p w14:paraId="33D66433">
      <w:pPr>
        <w:spacing w:line="360" w:lineRule="auto"/>
        <w:jc w:val="center"/>
        <w:rPr>
          <w:b/>
          <w:sz w:val="28"/>
          <w:szCs w:val="28"/>
        </w:rPr>
      </w:pPr>
    </w:p>
    <w:p w14:paraId="7B8CA6C3">
      <w:pPr>
        <w:spacing w:line="360" w:lineRule="auto"/>
        <w:jc w:val="center"/>
        <w:rPr>
          <w:rFonts w:hint="eastAsia"/>
          <w:b/>
          <w:sz w:val="28"/>
          <w:szCs w:val="28"/>
        </w:rPr>
      </w:pPr>
    </w:p>
    <w:p w14:paraId="45C91C53">
      <w:pPr>
        <w:widowControl/>
        <w:jc w:val="center"/>
        <w:rPr>
          <w:rFonts w:hint="eastAsia"/>
          <w:b/>
          <w:sz w:val="32"/>
          <w:szCs w:val="32"/>
        </w:rPr>
      </w:pPr>
    </w:p>
    <w:p w14:paraId="6B244667">
      <w:pPr>
        <w:widowControl/>
        <w:jc w:val="center"/>
        <w:rPr>
          <w:b/>
          <w:sz w:val="32"/>
          <w:szCs w:val="32"/>
        </w:rPr>
      </w:pPr>
      <w:r>
        <w:rPr>
          <w:rFonts w:hint="eastAsia"/>
          <w:b/>
          <w:sz w:val="32"/>
          <w:szCs w:val="32"/>
        </w:rPr>
        <w:t>制 定 说 明</w:t>
      </w:r>
    </w:p>
    <w:p w14:paraId="7590941B">
      <w:pPr>
        <w:widowControl/>
        <w:spacing w:line="360" w:lineRule="auto"/>
        <w:ind w:firstLine="480" w:firstLineChars="200"/>
        <w:jc w:val="left"/>
        <w:rPr>
          <w:sz w:val="24"/>
        </w:rPr>
      </w:pPr>
      <w:r>
        <w:rPr>
          <w:rFonts w:hint="eastAsia"/>
          <w:sz w:val="24"/>
        </w:rPr>
        <w:t>本标准制定过程中，编制组进行了城市轨道交通车辆基地碳排放源和排放水平的调查研究，总结了我国城市轨道交通车辆基地工程建设的实践经验，同时参考了国外先进技术法规、技术标准，汲取国内外先进低碳技术，提出了零碳车辆基地的设计要求和技术标准。</w:t>
      </w:r>
    </w:p>
    <w:p w14:paraId="6D76D4D8">
      <w:pPr>
        <w:widowControl/>
        <w:spacing w:line="360" w:lineRule="auto"/>
        <w:ind w:firstLine="480" w:firstLineChars="200"/>
        <w:jc w:val="left"/>
        <w:rPr>
          <w:sz w:val="24"/>
        </w:rPr>
      </w:pPr>
      <w:r>
        <w:rPr>
          <w:rFonts w:hint="eastAsia"/>
          <w:sz w:val="24"/>
        </w:rPr>
        <w:t>本标准编制原则为：（1）科学合理、具有可操作性；（2）符合政策、标准协调；（3）实事求是、力求先进等。</w:t>
      </w:r>
    </w:p>
    <w:p w14:paraId="1E3DB5F5">
      <w:pPr>
        <w:widowControl/>
        <w:spacing w:line="360" w:lineRule="auto"/>
        <w:ind w:firstLine="480" w:firstLineChars="200"/>
        <w:jc w:val="left"/>
        <w:rPr>
          <w:sz w:val="24"/>
        </w:rPr>
      </w:pPr>
      <w:r>
        <w:rPr>
          <w:rFonts w:hint="eastAsia"/>
          <w:sz w:val="24"/>
        </w:rPr>
        <w:t>关于城市轨道交通零碳车辆基地设计技术标准，编制组给出了科学合理、可操作的具体要求，编制组将对其他尚需深入研究的有关问题多方取证、试验探究和工程应用后对标准进行更新补充。</w:t>
      </w:r>
    </w:p>
    <w:p w14:paraId="7C54A56F">
      <w:pPr>
        <w:widowControl/>
        <w:spacing w:line="360" w:lineRule="auto"/>
        <w:ind w:firstLine="480" w:firstLineChars="200"/>
        <w:jc w:val="left"/>
        <w:rPr>
          <w:rFonts w:hint="eastAsia"/>
          <w:sz w:val="24"/>
        </w:rPr>
      </w:pPr>
      <w:r>
        <w:rPr>
          <w:rFonts w:hint="eastAsia"/>
          <w:sz w:val="24"/>
        </w:rPr>
        <w:t>为便于广大技术和管理人员在使用本标准时能正确理解和执行条款规定，《</w:t>
      </w:r>
      <w:r>
        <w:rPr>
          <w:sz w:val="24"/>
        </w:rPr>
        <w:t>轨道交通零碳</w:t>
      </w:r>
      <w:r>
        <w:rPr>
          <w:rFonts w:hint="eastAsia"/>
          <w:sz w:val="24"/>
        </w:rPr>
        <w:t>车辆基地设计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p>
    <w:p w14:paraId="2FAEB653">
      <w:pPr>
        <w:spacing w:line="300" w:lineRule="auto"/>
        <w:outlineLvl w:val="0"/>
        <w:rPr>
          <w:bCs/>
          <w:color w:val="auto"/>
          <w:sz w:val="24"/>
          <w:szCs w:val="24"/>
        </w:rPr>
      </w:pPr>
    </w:p>
    <w:p w14:paraId="18416D55">
      <w:pPr>
        <w:spacing w:line="300" w:lineRule="auto"/>
        <w:outlineLvl w:val="0"/>
        <w:rPr>
          <w:bCs/>
          <w:color w:val="auto"/>
          <w:sz w:val="24"/>
          <w:szCs w:val="24"/>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黑体e眠副浡渀.">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Cambria Math">
    <w:panose1 w:val="02040503050406030204"/>
    <w:charset w:val="00"/>
    <w:family w:val="auto"/>
    <w:pitch w:val="default"/>
    <w:sig w:usb0="E00006FF" w:usb1="420024FF" w:usb2="02000000" w:usb3="00000000" w:csb0="2000019F" w:csb1="00000000"/>
  </w:font>
  <w:font w:name="MS Mincho">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FE6A1">
    <w:pPr>
      <w:pStyle w:val="7"/>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A3469">
    <w:pPr>
      <w:pStyle w:val="38"/>
    </w:pPr>
    <w:r>
      <w:fldChar w:fldCharType="begin"/>
    </w:r>
    <w:r>
      <w:instrText xml:space="preserve">PAGE   \* MERGEFORMAT</w:instrText>
    </w:r>
    <w:r>
      <w:fldChar w:fldCharType="separate"/>
    </w:r>
    <w:r>
      <w:rPr>
        <w:lang w:val="zh-CN"/>
      </w:rPr>
      <w:t>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62137">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35"/>
      <w:lvlText w:val="%1"/>
      <w:lvlJc w:val="left"/>
      <w:pPr>
        <w:ind w:left="425" w:hanging="425"/>
      </w:pPr>
      <w:rPr>
        <w:rFonts w:hint="eastAsia"/>
      </w:rPr>
    </w:lvl>
    <w:lvl w:ilvl="1" w:tentative="0">
      <w:start w:val="1"/>
      <w:numFmt w:val="decimal"/>
      <w:suff w:val="nothing"/>
      <w:lvlText w:val="%10.%2 "/>
      <w:lvlJc w:val="left"/>
      <w:pPr>
        <w:ind w:left="0" w:firstLine="0"/>
      </w:pPr>
      <w:rPr>
        <w:rFonts w:hint="eastAsia" w:ascii="黑体" w:hAnsi="Calibri" w:eastAsia="黑体"/>
        <w:b w:val="0"/>
        <w:i w:val="0"/>
        <w:sz w:val="21"/>
      </w:rPr>
    </w:lvl>
    <w:lvl w:ilvl="2" w:tentative="0">
      <w:start w:val="1"/>
      <w:numFmt w:val="decimal"/>
      <w:suff w:val="nothing"/>
      <w:lvlText w:val="%10.%2.%3 "/>
      <w:lvlJc w:val="left"/>
      <w:pPr>
        <w:ind w:left="0" w:firstLine="0"/>
      </w:pPr>
      <w:rPr>
        <w:rFonts w:hint="eastAsia" w:ascii="黑体" w:hAnsi="Calibri" w:eastAsia="黑体"/>
        <w:b w:val="0"/>
        <w:i w:val="0"/>
        <w:sz w:val="21"/>
      </w:rPr>
    </w:lvl>
    <w:lvl w:ilvl="3" w:tentative="0">
      <w:start w:val="1"/>
      <w:numFmt w:val="decimal"/>
      <w:suff w:val="nothing"/>
      <w:lvlText w:val="%10.%2.%3.%4 "/>
      <w:lvlJc w:val="left"/>
      <w:pPr>
        <w:ind w:left="0" w:firstLine="0"/>
      </w:pPr>
      <w:rPr>
        <w:rFonts w:hint="eastAsia" w:ascii="黑体" w:hAnsi="Calibri" w:eastAsia="黑体"/>
        <w:b w:val="0"/>
        <w:i w:val="0"/>
        <w:sz w:val="21"/>
      </w:rPr>
    </w:lvl>
    <w:lvl w:ilvl="4" w:tentative="0">
      <w:start w:val="1"/>
      <w:numFmt w:val="decimal"/>
      <w:suff w:val="nothing"/>
      <w:lvlText w:val="%10.%2.%3.%4.%5 "/>
      <w:lvlJc w:val="left"/>
      <w:pPr>
        <w:ind w:left="0" w:firstLine="0"/>
      </w:pPr>
      <w:rPr>
        <w:rFonts w:hint="eastAsia" w:ascii="黑体" w:hAnsi="Calibri" w:eastAsia="黑体"/>
        <w:b w:val="0"/>
        <w:i w:val="0"/>
        <w:sz w:val="21"/>
      </w:rPr>
    </w:lvl>
    <w:lvl w:ilvl="5" w:tentative="0">
      <w:start w:val="1"/>
      <w:numFmt w:val="decimal"/>
      <w:suff w:val="nothing"/>
      <w:lvlText w:val="%10.%2.%3.%4.%5.%6 "/>
      <w:lvlJc w:val="left"/>
      <w:pPr>
        <w:ind w:left="0" w:firstLine="0"/>
      </w:pPr>
      <w:rPr>
        <w:rFonts w:hint="eastAsia" w:ascii="黑体" w:hAnsi="Calibri"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5DC50C82"/>
    <w:multiLevelType w:val="singleLevel"/>
    <w:tmpl w:val="5DC50C82"/>
    <w:lvl w:ilvl="0" w:tentative="0">
      <w:start w:val="1"/>
      <w:numFmt w:val="decimal"/>
      <w:suff w:val="nothing"/>
      <w:lvlText w:val="%1"/>
      <w:lvlJc w:val="left"/>
      <w:pPr>
        <w:ind w:left="0" w:firstLine="0"/>
      </w:pPr>
      <w:rPr>
        <w:rFonts w:hint="eastAsia"/>
      </w:rPr>
    </w:lvl>
  </w:abstractNum>
  <w:abstractNum w:abstractNumId="2">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1277"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20"/>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A78A5"/>
    <w:rsid w:val="00043CC0"/>
    <w:rsid w:val="000A7BE4"/>
    <w:rsid w:val="000B5FBC"/>
    <w:rsid w:val="000B7E30"/>
    <w:rsid w:val="000C56A5"/>
    <w:rsid w:val="000F1BDF"/>
    <w:rsid w:val="0014163C"/>
    <w:rsid w:val="00186B02"/>
    <w:rsid w:val="001A4A6E"/>
    <w:rsid w:val="001C6B46"/>
    <w:rsid w:val="001F326A"/>
    <w:rsid w:val="0021719D"/>
    <w:rsid w:val="002173AD"/>
    <w:rsid w:val="00235BF5"/>
    <w:rsid w:val="0025163C"/>
    <w:rsid w:val="00270387"/>
    <w:rsid w:val="002C6244"/>
    <w:rsid w:val="00342DB6"/>
    <w:rsid w:val="00376C65"/>
    <w:rsid w:val="003B793E"/>
    <w:rsid w:val="004165D8"/>
    <w:rsid w:val="00454D2C"/>
    <w:rsid w:val="004759A8"/>
    <w:rsid w:val="00515A10"/>
    <w:rsid w:val="005315D0"/>
    <w:rsid w:val="005641B6"/>
    <w:rsid w:val="0061187B"/>
    <w:rsid w:val="00624DA3"/>
    <w:rsid w:val="006D22F2"/>
    <w:rsid w:val="00751C75"/>
    <w:rsid w:val="00831C0D"/>
    <w:rsid w:val="00855425"/>
    <w:rsid w:val="0087338B"/>
    <w:rsid w:val="008A6E2A"/>
    <w:rsid w:val="008C0A84"/>
    <w:rsid w:val="008D221F"/>
    <w:rsid w:val="009A68D9"/>
    <w:rsid w:val="009B1043"/>
    <w:rsid w:val="00A02D8E"/>
    <w:rsid w:val="00A35E61"/>
    <w:rsid w:val="00A61B9F"/>
    <w:rsid w:val="00A71C61"/>
    <w:rsid w:val="00AA6EAE"/>
    <w:rsid w:val="00B037B0"/>
    <w:rsid w:val="00B25554"/>
    <w:rsid w:val="00B41DB2"/>
    <w:rsid w:val="00B564C9"/>
    <w:rsid w:val="00B96573"/>
    <w:rsid w:val="00BF3F48"/>
    <w:rsid w:val="00BF723F"/>
    <w:rsid w:val="00C24FCC"/>
    <w:rsid w:val="00C62C18"/>
    <w:rsid w:val="00C85CDD"/>
    <w:rsid w:val="00CC3BF7"/>
    <w:rsid w:val="00D71339"/>
    <w:rsid w:val="00E30A95"/>
    <w:rsid w:val="00E827E9"/>
    <w:rsid w:val="00E93F10"/>
    <w:rsid w:val="00EA1AC1"/>
    <w:rsid w:val="00EE6A87"/>
    <w:rsid w:val="00EF7B24"/>
    <w:rsid w:val="00F41759"/>
    <w:rsid w:val="00F436F9"/>
    <w:rsid w:val="00F5358A"/>
    <w:rsid w:val="00F92DDD"/>
    <w:rsid w:val="00FA2445"/>
    <w:rsid w:val="00FD6429"/>
    <w:rsid w:val="0224362A"/>
    <w:rsid w:val="050C12CC"/>
    <w:rsid w:val="076617E5"/>
    <w:rsid w:val="09AA4D5C"/>
    <w:rsid w:val="09BC05EC"/>
    <w:rsid w:val="0A3F2F5A"/>
    <w:rsid w:val="0BDF3016"/>
    <w:rsid w:val="0D773B85"/>
    <w:rsid w:val="0E2B76CE"/>
    <w:rsid w:val="0F6A1246"/>
    <w:rsid w:val="11E474DE"/>
    <w:rsid w:val="13060846"/>
    <w:rsid w:val="14AF291F"/>
    <w:rsid w:val="18277F39"/>
    <w:rsid w:val="18AF609E"/>
    <w:rsid w:val="1A435CA4"/>
    <w:rsid w:val="1B0A4705"/>
    <w:rsid w:val="1C9A45FB"/>
    <w:rsid w:val="1D303373"/>
    <w:rsid w:val="1E1A78A5"/>
    <w:rsid w:val="1E2B24F5"/>
    <w:rsid w:val="1FB5190D"/>
    <w:rsid w:val="208131E0"/>
    <w:rsid w:val="208406D3"/>
    <w:rsid w:val="220D3C83"/>
    <w:rsid w:val="22AC0546"/>
    <w:rsid w:val="24B02479"/>
    <w:rsid w:val="2AA860AD"/>
    <w:rsid w:val="2B807273"/>
    <w:rsid w:val="2BBF4052"/>
    <w:rsid w:val="2E093F97"/>
    <w:rsid w:val="2E8A3D6F"/>
    <w:rsid w:val="2F7B2520"/>
    <w:rsid w:val="31BE28A4"/>
    <w:rsid w:val="3251197D"/>
    <w:rsid w:val="34E14986"/>
    <w:rsid w:val="36A302BA"/>
    <w:rsid w:val="39440601"/>
    <w:rsid w:val="3CBD7FF3"/>
    <w:rsid w:val="3FCF50EC"/>
    <w:rsid w:val="40A3485A"/>
    <w:rsid w:val="484511D1"/>
    <w:rsid w:val="49A42716"/>
    <w:rsid w:val="4E593B1A"/>
    <w:rsid w:val="524D7E53"/>
    <w:rsid w:val="526E7E08"/>
    <w:rsid w:val="546C7612"/>
    <w:rsid w:val="57BD6FD6"/>
    <w:rsid w:val="59FA1EE3"/>
    <w:rsid w:val="5EE50BB7"/>
    <w:rsid w:val="5F1B48C0"/>
    <w:rsid w:val="609C20AE"/>
    <w:rsid w:val="659752F2"/>
    <w:rsid w:val="66800C9F"/>
    <w:rsid w:val="689819AD"/>
    <w:rsid w:val="6D3D723E"/>
    <w:rsid w:val="6E685C60"/>
    <w:rsid w:val="705431DA"/>
    <w:rsid w:val="71493A6E"/>
    <w:rsid w:val="71E061E4"/>
    <w:rsid w:val="7581506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qFormat="1" w:unhideWhenUsed="0" w:uiPriority="99" w:semiHidden="0" w:name="List Paragraph"/>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color w:val="0000FF"/>
      <w:sz w:val="21"/>
      <w:szCs w:val="21"/>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9"/>
    <w:pPr>
      <w:spacing w:before="120" w:after="260" w:line="400" w:lineRule="exact"/>
      <w:outlineLvl w:val="2"/>
    </w:pPr>
    <w:rPr>
      <w:b/>
      <w:bCs/>
      <w:szCs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14">
    <w:name w:val="Default Paragraph Font"/>
    <w:unhideWhenUsed/>
    <w:uiPriority w:val="1"/>
  </w:style>
  <w:style w:type="table" w:default="1" w:styleId="12">
    <w:name w:val="Normal Table"/>
    <w:unhideWhenUsed/>
    <w:uiPriority w:val="99"/>
    <w:tblPr>
      <w:tblStyle w:val="12"/>
      <w:tblCellMar>
        <w:top w:w="0" w:type="dxa"/>
        <w:left w:w="108" w:type="dxa"/>
        <w:bottom w:w="0" w:type="dxa"/>
        <w:right w:w="108" w:type="dxa"/>
      </w:tblCellMar>
    </w:tblPr>
  </w:style>
  <w:style w:type="paragraph" w:styleId="5">
    <w:name w:val="annotation text"/>
    <w:basedOn w:val="1"/>
    <w:uiPriority w:val="0"/>
    <w:pPr>
      <w:jc w:val="left"/>
    </w:pPr>
  </w:style>
  <w:style w:type="paragraph" w:styleId="6">
    <w:name w:val="Plain Text"/>
    <w:basedOn w:val="1"/>
    <w:qFormat/>
    <w:uiPriority w:val="99"/>
    <w:rPr>
      <w:rFonts w:ascii="宋体" w:hAnsi="Courier New"/>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Normal (Web)"/>
    <w:basedOn w:val="1"/>
    <w:qFormat/>
    <w:uiPriority w:val="0"/>
    <w:rPr>
      <w:sz w:val="24"/>
      <w:szCs w:val="24"/>
    </w:rPr>
  </w:style>
  <w:style w:type="table" w:styleId="13">
    <w:name w:val="Table Grid"/>
    <w:basedOn w:val="12"/>
    <w:qFormat/>
    <w:uiPriority w:val="39"/>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rPr>
  </w:style>
  <w:style w:type="character" w:styleId="16">
    <w:name w:val="Hyperlink"/>
    <w:basedOn w:val="14"/>
    <w:unhideWhenUsed/>
    <w:uiPriority w:val="99"/>
    <w:rPr>
      <w:color w:val="0026E5"/>
      <w:u w:val="single"/>
    </w:rPr>
  </w:style>
  <w:style w:type="character" w:customStyle="1" w:styleId="17">
    <w:name w:val="页脚 字符"/>
    <w:link w:val="7"/>
    <w:qFormat/>
    <w:uiPriority w:val="0"/>
    <w:rPr>
      <w:rFonts w:ascii="Times New Roman" w:hAnsi="Times New Roman" w:eastAsia="宋体" w:cs="Times New Roman"/>
      <w:color w:val="0000FF"/>
      <w:sz w:val="18"/>
      <w:szCs w:val="18"/>
    </w:rPr>
  </w:style>
  <w:style w:type="character" w:customStyle="1" w:styleId="18">
    <w:name w:val="页眉 字符"/>
    <w:link w:val="8"/>
    <w:qFormat/>
    <w:uiPriority w:val="0"/>
    <w:rPr>
      <w:rFonts w:ascii="Times New Roman" w:hAnsi="Times New Roman" w:eastAsia="宋体" w:cs="Times New Roman"/>
      <w:color w:val="0000FF"/>
      <w:sz w:val="18"/>
      <w:szCs w:val="18"/>
    </w:rPr>
  </w:style>
  <w:style w:type="paragraph" w:customStyle="1" w:styleId="19">
    <w:name w:val="标准文件_段"/>
    <w:qFormat/>
    <w:uiPriority w:val="0"/>
    <w:pPr>
      <w:autoSpaceDE w:val="0"/>
      <w:autoSpaceDN w:val="0"/>
      <w:ind w:firstLine="200" w:firstLineChars="200"/>
      <w:jc w:val="both"/>
    </w:pPr>
    <w:rPr>
      <w:rFonts w:ascii="宋体"/>
      <w:sz w:val="21"/>
      <w:lang w:val="en-US" w:eastAsia="zh-CN" w:bidi="ar-SA"/>
    </w:rPr>
  </w:style>
  <w:style w:type="paragraph" w:customStyle="1" w:styleId="20">
    <w:name w:val="标准文件_二级条标题"/>
    <w:next w:val="19"/>
    <w:qFormat/>
    <w:uiPriority w:val="0"/>
    <w:pPr>
      <w:widowControl w:val="0"/>
      <w:numPr>
        <w:ilvl w:val="3"/>
        <w:numId w:val="1"/>
      </w:numPr>
      <w:spacing w:before="50" w:beforeLines="50" w:after="50" w:afterLines="50"/>
      <w:jc w:val="both"/>
      <w:outlineLvl w:val="2"/>
    </w:pPr>
    <w:rPr>
      <w:rFonts w:ascii="黑体" w:eastAsia="黑体"/>
      <w:sz w:val="21"/>
      <w:lang w:val="en-US" w:eastAsia="zh-CN" w:bidi="ar-SA"/>
    </w:rPr>
  </w:style>
  <w:style w:type="paragraph" w:customStyle="1" w:styleId="21">
    <w:name w:val="标准标志"/>
    <w:next w:val="1"/>
    <w:qFormat/>
    <w:uiPriority w:val="0"/>
    <w:pPr>
      <w:framePr w:w="2268" w:h="1392" w:hRule="exact" w:wrap="around" w:vAnchor="margin" w:hAnchor="margin" w:x="6748" w:y="171" w:anchorLock="1"/>
      <w:shd w:val="solid" w:color="FFFFFF" w:fill="FFFFFF"/>
      <w:spacing w:line="0" w:lineRule="atLeast"/>
      <w:jc w:val="right"/>
    </w:pPr>
    <w:rPr>
      <w:b/>
      <w:w w:val="130"/>
      <w:sz w:val="96"/>
      <w:lang w:val="en-US" w:eastAsia="zh-CN" w:bidi="ar-SA"/>
    </w:rPr>
  </w:style>
  <w:style w:type="paragraph" w:customStyle="1" w:styleId="2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lang w:val="en-US" w:eastAsia="zh-CN" w:bidi="ar-SA"/>
    </w:rPr>
  </w:style>
  <w:style w:type="paragraph" w:customStyle="1" w:styleId="23">
    <w:name w:val="标准文件_文件编号"/>
    <w:basedOn w:val="1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4">
    <w:name w:val="标准文件_替换文件编号"/>
    <w:basedOn w:val="23"/>
    <w:qFormat/>
    <w:uiPriority w:val="0"/>
    <w:pPr>
      <w:spacing w:before="57"/>
    </w:pPr>
    <w:rPr>
      <w:sz w:val="21"/>
    </w:rPr>
  </w:style>
  <w:style w:type="paragraph" w:customStyle="1" w:styleId="25">
    <w:name w:val="标准文件_文件名称"/>
    <w:basedOn w:val="19"/>
    <w:next w:val="1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6">
    <w:name w:val="封面标准英文名称"/>
    <w:qFormat/>
    <w:uiPriority w:val="0"/>
    <w:pPr>
      <w:widowControl w:val="0"/>
      <w:spacing w:line="360" w:lineRule="exact"/>
      <w:jc w:val="center"/>
    </w:pPr>
    <w:rPr>
      <w:sz w:val="28"/>
      <w:lang w:val="en-US" w:eastAsia="zh-CN" w:bidi="ar-SA"/>
    </w:rPr>
  </w:style>
  <w:style w:type="paragraph" w:customStyle="1" w:styleId="27">
    <w:name w:val="其他发布日期"/>
    <w:basedOn w:val="28"/>
    <w:qFormat/>
    <w:uiPriority w:val="0"/>
    <w:pPr>
      <w:framePr w:w="3997" w:h="471" w:hRule="exact" w:hSpace="0" w:vSpace="181" w:wrap="around" w:vAnchor="page" w:hAnchor="page" w:x="1419" w:y="14097"/>
    </w:pPr>
  </w:style>
  <w:style w:type="paragraph" w:customStyle="1" w:styleId="28">
    <w:name w:val="发布日期"/>
    <w:qFormat/>
    <w:uiPriority w:val="99"/>
    <w:pPr>
      <w:framePr w:w="4000" w:h="473" w:hRule="exact" w:hSpace="180" w:vSpace="180" w:wrap="around" w:vAnchor="margin" w:hAnchor="margin" w:y="13511" w:anchorLock="1"/>
    </w:pPr>
    <w:rPr>
      <w:rFonts w:eastAsia="黑体"/>
      <w:sz w:val="28"/>
      <w:lang w:val="en-US" w:eastAsia="zh-CN" w:bidi="ar-SA"/>
    </w:rPr>
  </w:style>
  <w:style w:type="paragraph" w:customStyle="1" w:styleId="29">
    <w:name w:val="其他实施日期"/>
    <w:basedOn w:val="30"/>
    <w:qFormat/>
    <w:uiPriority w:val="0"/>
    <w:pPr>
      <w:framePr w:w="3997" w:h="471" w:hRule="exact" w:vSpace="181" w:wrap="around" w:vAnchor="page" w:hAnchor="page" w:x="7089" w:y="14097"/>
    </w:pPr>
  </w:style>
  <w:style w:type="paragraph" w:customStyle="1" w:styleId="30">
    <w:name w:val="实施日期"/>
    <w:basedOn w:val="28"/>
    <w:qFormat/>
    <w:uiPriority w:val="99"/>
    <w:pPr>
      <w:framePr w:hSpace="0" w:wrap="around" w:xAlign="right"/>
      <w:jc w:val="right"/>
    </w:pPr>
  </w:style>
  <w:style w:type="paragraph" w:customStyle="1" w:styleId="31">
    <w:name w:val="其他发布部门"/>
    <w:basedOn w:val="32"/>
    <w:qFormat/>
    <w:uiPriority w:val="0"/>
    <w:pPr>
      <w:framePr w:wrap="around"/>
      <w:spacing w:line="0" w:lineRule="atLeast"/>
    </w:pPr>
    <w:rPr>
      <w:rFonts w:ascii="黑体" w:eastAsia="黑体"/>
      <w:b w:val="0"/>
    </w:rPr>
  </w:style>
  <w:style w:type="paragraph" w:customStyle="1" w:styleId="32">
    <w:name w:val="发布部门"/>
    <w:next w:val="19"/>
    <w:qFormat/>
    <w:uiPriority w:val="0"/>
    <w:pPr>
      <w:framePr w:w="7433" w:h="585" w:hRule="exact" w:hSpace="180" w:vSpace="180" w:wrap="around" w:vAnchor="margin" w:hAnchor="margin" w:xAlign="center" w:y="14401" w:anchorLock="1"/>
      <w:jc w:val="center"/>
    </w:pPr>
    <w:rPr>
      <w:rFonts w:ascii="宋体"/>
      <w:b/>
      <w:w w:val="135"/>
      <w:sz w:val="36"/>
      <w:lang w:val="en-US" w:eastAsia="zh-CN" w:bidi="ar-SA"/>
    </w:rPr>
  </w:style>
  <w:style w:type="character" w:customStyle="1" w:styleId="33">
    <w:name w:val="发布"/>
    <w:qFormat/>
    <w:uiPriority w:val="0"/>
    <w:rPr>
      <w:rFonts w:ascii="黑体" w:eastAsia="黑体"/>
      <w:spacing w:val="85"/>
      <w:w w:val="100"/>
      <w:position w:val="3"/>
      <w:sz w:val="28"/>
      <w:szCs w:val="28"/>
    </w:rPr>
  </w:style>
  <w:style w:type="paragraph" w:customStyle="1" w:styleId="34">
    <w:name w:val="标准文件_目录标题"/>
    <w:basedOn w:val="1"/>
    <w:qFormat/>
    <w:uiPriority w:val="0"/>
    <w:pPr>
      <w:spacing w:after="150" w:afterLines="150"/>
      <w:jc w:val="center"/>
    </w:pPr>
    <w:rPr>
      <w:rFonts w:ascii="黑体" w:eastAsia="黑体"/>
      <w:sz w:val="32"/>
    </w:rPr>
  </w:style>
  <w:style w:type="paragraph" w:customStyle="1" w:styleId="35">
    <w:name w:val="标准文件_前言、引言标题"/>
    <w:next w:val="1"/>
    <w:qFormat/>
    <w:uiPriority w:val="0"/>
    <w:pPr>
      <w:numPr>
        <w:ilvl w:val="0"/>
        <w:numId w:val="2"/>
      </w:numPr>
      <w:shd w:val="clear" w:color="FFFFFF" w:fill="FFFFFF"/>
      <w:spacing w:after="150" w:afterLines="150"/>
      <w:jc w:val="center"/>
      <w:outlineLvl w:val="0"/>
    </w:pPr>
    <w:rPr>
      <w:rFonts w:ascii="黑体" w:eastAsia="黑体"/>
      <w:sz w:val="32"/>
      <w:lang w:val="en-US" w:eastAsia="zh-CN" w:bidi="ar-SA"/>
    </w:rPr>
  </w:style>
  <w:style w:type="paragraph" w:customStyle="1" w:styleId="36">
    <w:name w:val="标准文件_页眉奇数页"/>
    <w:next w:val="1"/>
    <w:qFormat/>
    <w:uiPriority w:val="0"/>
    <w:pPr>
      <w:tabs>
        <w:tab w:val="center" w:pos="4154"/>
        <w:tab w:val="right" w:pos="8306"/>
      </w:tabs>
      <w:spacing w:after="120"/>
      <w:jc w:val="right"/>
    </w:pPr>
    <w:rPr>
      <w:rFonts w:ascii="黑体" w:hAnsi="宋体" w:eastAsia="黑体"/>
      <w:sz w:val="21"/>
      <w:lang w:val="en-US" w:eastAsia="zh-CN" w:bidi="ar-SA"/>
    </w:rPr>
  </w:style>
  <w:style w:type="paragraph" w:customStyle="1" w:styleId="37">
    <w:name w:val="标准文件_页眉偶数页"/>
    <w:basedOn w:val="36"/>
    <w:next w:val="1"/>
    <w:qFormat/>
    <w:uiPriority w:val="0"/>
    <w:pPr>
      <w:jc w:val="left"/>
    </w:pPr>
  </w:style>
  <w:style w:type="paragraph" w:customStyle="1" w:styleId="38">
    <w:name w:val="标准文件_页脚奇数页"/>
    <w:qFormat/>
    <w:uiPriority w:val="0"/>
    <w:pPr>
      <w:ind w:right="227"/>
      <w:jc w:val="right"/>
    </w:pPr>
    <w:rPr>
      <w:rFonts w:ascii="宋体"/>
      <w:sz w:val="18"/>
      <w:lang w:val="en-US" w:eastAsia="zh-CN" w:bidi="ar-SA"/>
    </w:rPr>
  </w:style>
  <w:style w:type="paragraph" w:customStyle="1" w:styleId="39">
    <w:name w:val="标准文件_页脚偶数页"/>
    <w:qFormat/>
    <w:uiPriority w:val="0"/>
    <w:pPr>
      <w:ind w:left="198"/>
    </w:pPr>
    <w:rPr>
      <w:rFonts w:ascii="宋体"/>
      <w:sz w:val="18"/>
      <w:lang w:val="en-US" w:eastAsia="zh-CN" w:bidi="ar-SA"/>
    </w:rPr>
  </w:style>
  <w:style w:type="paragraph" w:styleId="40">
    <w:name w:val="List Paragraph"/>
    <w:basedOn w:val="1"/>
    <w:qFormat/>
    <w:uiPriority w:val="99"/>
    <w:pPr>
      <w:ind w:firstLine="420" w:firstLineChars="200"/>
    </w:pPr>
  </w:style>
  <w:style w:type="paragraph" w:customStyle="1" w:styleId="41">
    <w:name w:val="Default"/>
    <w:qFormat/>
    <w:uiPriority w:val="0"/>
    <w:pPr>
      <w:widowControl w:val="0"/>
      <w:autoSpaceDE w:val="0"/>
      <w:autoSpaceDN w:val="0"/>
      <w:adjustRightInd w:val="0"/>
    </w:pPr>
    <w:rPr>
      <w:color w:val="000000"/>
      <w:sz w:val="24"/>
      <w:szCs w:val="24"/>
      <w:lang w:val="en-US" w:eastAsia="zh-CN" w:bidi="ar-SA"/>
    </w:rPr>
  </w:style>
  <w:style w:type="paragraph" w:customStyle="1" w:styleId="42">
    <w:name w:val="规程英文名称（封面）"/>
    <w:basedOn w:val="6"/>
    <w:qFormat/>
    <w:uiPriority w:val="0"/>
    <w:pPr>
      <w:widowControl/>
      <w:snapToGrid w:val="0"/>
      <w:spacing w:line="360" w:lineRule="auto"/>
      <w:ind w:left="178" w:leftChars="85"/>
      <w:jc w:val="center"/>
    </w:pPr>
    <w:rPr>
      <w:rFonts w:ascii="Times New Roman" w:hAnsi="Times New Roman" w:eastAsia="黑体"/>
      <w:color w:val="auto"/>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4143</Words>
  <Characters>10250</Characters>
  <Lines>201</Lines>
  <Paragraphs>56</Paragraphs>
  <TotalTime>1</TotalTime>
  <ScaleCrop>false</ScaleCrop>
  <LinksUpToDate>false</LinksUpToDate>
  <CharactersWithSpaces>10638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2026-02-27T09:09:00Z</dcterms:created>
  <dc:creator>Lenovo</dc:creator>
  <cp:lastModifiedBy>c</cp:lastModifiedBy>
  <dcterms:modified xsi:type="dcterms:W3CDTF">2026-03-20T06:25:59Z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eyJoZGlkIjoiZTkwZDg0YmI4YTU4YjJjYThhZmM3ODI1MGRmOTFlYzAiLCJ1c2VySWQiOiI1NzQwNjMzMzYifQ==</vt:lpwstr>
  </property>
  <property fmtid="{D5CDD505-2E9C-101B-9397-08002B2CF9AE}" pid="3" name="KSOProductBuildVer">
    <vt:lpwstr>2052-12.1.0.25225</vt:lpwstr>
  </property>
  <property fmtid="{D5CDD505-2E9C-101B-9397-08002B2CF9AE}" pid="4" name="ICV">
    <vt:lpwstr>E2E93B210B8440149387D4B6D1F6E7FC_13</vt:lpwstr>
  </property>
</Properties>
</file>