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EC8DAA">
      <w:pPr>
        <w:overflowPunct w:val="0"/>
        <w:ind w:firstLine="480"/>
        <w:rPr>
          <w:rFonts w:ascii="Times New Roman" w:hAnsi="Times New Roman" w:eastAsia="宋体" w:cs="Times New Roman"/>
          <w:sz w:val="28"/>
          <w:szCs w:val="32"/>
        </w:rPr>
      </w:pPr>
      <w:bookmarkStart w:id="0" w:name="_Hlk126697266"/>
      <w:bookmarkStart w:id="1" w:name="_Toc5482"/>
      <w:bookmarkStart w:id="2" w:name="_Toc21404"/>
      <w:bookmarkStart w:id="3" w:name="_Toc5877"/>
      <w:bookmarkStart w:id="4" w:name="_Toc14938"/>
      <w:bookmarkStart w:id="5" w:name="_Toc94165786"/>
      <w:bookmarkStart w:id="6" w:name="_Toc18089"/>
      <w:bookmarkStart w:id="7" w:name="_Toc4107"/>
      <w:bookmarkStart w:id="8" w:name="_Toc20218"/>
      <w:r>
        <w:rPr>
          <w:rFonts w:hint="eastAsia" w:ascii="Times New Roman" w:hAnsi="Times New Roman" w:eastAsia="仿宋" w:cs="Times New Roman"/>
          <w:sz w:val="32"/>
          <w:szCs w:val="32"/>
        </w:rPr>
        <w:t xml:space="preserve">  </w:t>
      </w:r>
      <w:r>
        <w:rPr>
          <w:rFonts w:ascii="Times New Roman" w:hAnsi="Times New Roman" w:eastAsia="仿宋" w:cs="Times New Roman"/>
          <w:sz w:val="32"/>
          <w:szCs w:val="32"/>
        </w:rPr>
        <w:fldChar w:fldCharType="begin">
          <w:fldData xml:space="preserve">ZQBKAHoAdABYAFEAMQB3AFgATQBWADkAZgAwADkAMwB1AGoAdQB0AGwAVgBvAGMANABGAEUARgBD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==
</w:fldData>
        </w:fldChar>
      </w:r>
      <w:r>
        <w:rPr>
          <w:rFonts w:ascii="Times New Roman" w:hAnsi="Times New Roman" w:eastAsia="仿宋" w:cs="Times New Roman"/>
          <w:sz w:val="32"/>
          <w:szCs w:val="32"/>
        </w:rPr>
        <w:instrText xml:space="preserve">ADDIN CNKISM.UserStyle</w:instrText>
      </w:r>
      <w:r>
        <w:rPr>
          <w:rFonts w:ascii="Times New Roman" w:hAnsi="Times New Roman" w:eastAsia="仿宋" w:cs="Times New Roman"/>
          <w:sz w:val="32"/>
          <w:szCs w:val="32"/>
        </w:rPr>
        <w:fldChar w:fldCharType="separate"/>
      </w:r>
      <w:r>
        <w:rPr>
          <w:rFonts w:ascii="Times New Roman" w:hAnsi="Times New Roman" w:eastAsia="仿宋" w:cs="Times New Roman"/>
          <w:sz w:val="32"/>
          <w:szCs w:val="32"/>
        </w:rPr>
        <w:fldChar w:fldCharType="end"/>
      </w:r>
      <w:r>
        <w:rPr>
          <w:rFonts w:ascii="Times New Roman" w:hAnsi="Times New Roman" w:eastAsia="仿宋" w:cs="Times New Roman"/>
          <w:sz w:val="32"/>
          <w:szCs w:val="32"/>
        </w:rPr>
        <w:t xml:space="preserve">  </w:t>
      </w:r>
      <w:r>
        <w:rPr>
          <w:rFonts w:ascii="Times New Roman" w:hAnsi="Times New Roman" w:eastAsia="宋体" w:cs="Times New Roman"/>
          <w:sz w:val="28"/>
          <w:szCs w:val="32"/>
        </w:rPr>
        <w:drawing>
          <wp:anchor distT="0" distB="0" distL="114300" distR="114300" simplePos="0" relativeHeight="251659264" behindDoc="0" locked="0" layoutInCell="1" allowOverlap="1">
            <wp:simplePos x="0" y="0"/>
            <wp:positionH relativeFrom="column">
              <wp:posOffset>-8255</wp:posOffset>
            </wp:positionH>
            <wp:positionV relativeFrom="paragraph">
              <wp:posOffset>37465</wp:posOffset>
            </wp:positionV>
            <wp:extent cx="1737995" cy="1149350"/>
            <wp:effectExtent l="0" t="0" r="14605" b="889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pic:spPr>
                </pic:pic>
              </a:graphicData>
            </a:graphic>
          </wp:anchor>
        </w:drawing>
      </w:r>
    </w:p>
    <w:p w14:paraId="5C036855">
      <w:pPr>
        <w:overflowPunct w:val="0"/>
        <w:snapToGrid w:val="0"/>
        <w:ind w:firstLine="482"/>
        <w:jc w:val="left"/>
        <w:rPr>
          <w:rFonts w:ascii="Times New Roman" w:hAnsi="Times New Roman" w:eastAsia="宋体" w:cs="Times New Roman"/>
          <w:b/>
          <w:sz w:val="28"/>
          <w:szCs w:val="32"/>
        </w:rPr>
      </w:pPr>
    </w:p>
    <w:p w14:paraId="09C659DA">
      <w:pPr>
        <w:overflowPunct w:val="0"/>
        <w:snapToGrid w:val="0"/>
        <w:ind w:firstLine="1822" w:firstLineChars="650"/>
        <w:jc w:val="right"/>
        <w:rPr>
          <w:rFonts w:ascii="Times New Roman" w:hAnsi="Times New Roman" w:eastAsia="宋体" w:cs="Times New Roman"/>
          <w:b/>
          <w:sz w:val="28"/>
          <w:szCs w:val="32"/>
        </w:rPr>
      </w:pPr>
    </w:p>
    <w:p w14:paraId="1971B2ED">
      <w:pPr>
        <w:overflowPunct w:val="0"/>
        <w:snapToGrid w:val="0"/>
        <w:ind w:firstLine="1822" w:firstLineChars="650"/>
        <w:jc w:val="right"/>
        <w:rPr>
          <w:rFonts w:ascii="Times New Roman" w:hAnsi="Times New Roman" w:eastAsia="宋体" w:cs="Times New Roman"/>
          <w:b/>
          <w:sz w:val="28"/>
          <w:szCs w:val="32"/>
        </w:rPr>
      </w:pPr>
    </w:p>
    <w:p w14:paraId="39E9E073">
      <w:pPr>
        <w:overflowPunct w:val="0"/>
        <w:snapToGrid w:val="0"/>
        <w:ind w:firstLine="1820" w:firstLineChars="650"/>
        <w:jc w:val="right"/>
        <w:rPr>
          <w:rFonts w:ascii="Times New Roman" w:hAnsi="Times New Roman" w:eastAsia="宋体" w:cs="Times New Roman"/>
          <w:sz w:val="28"/>
          <w:szCs w:val="36"/>
        </w:rPr>
      </w:pPr>
      <w:r>
        <w:rPr>
          <w:rFonts w:ascii="Times New Roman" w:hAnsi="Times New Roman" w:eastAsia="宋体" w:cs="Times New Roman"/>
          <w:sz w:val="28"/>
          <w:szCs w:val="36"/>
        </w:rPr>
        <w:t>T/CECS XXX -202X</w:t>
      </w:r>
    </w:p>
    <w:p w14:paraId="5C547803">
      <w:pPr>
        <w:overflowPunct w:val="0"/>
        <w:snapToGrid w:val="0"/>
        <w:ind w:firstLine="1365" w:firstLineChars="650"/>
        <w:jc w:val="right"/>
        <w:rPr>
          <w:rFonts w:ascii="Times New Roman" w:hAnsi="Times New Roman" w:eastAsia="宋体" w:cs="Times New Roman"/>
          <w:sz w:val="28"/>
          <w:szCs w:val="24"/>
        </w:rPr>
      </w:pPr>
      <w:r>
        <w:rPr>
          <w:rFonts w:ascii="Times New Roman" w:hAnsi="Times New Roman" w:cs="Times New Roman"/>
        </w:rPr>
        <mc:AlternateContent>
          <mc:Choice Requires="wps">
            <w:drawing>
              <wp:anchor distT="0" distB="0" distL="114300" distR="114300" simplePos="0" relativeHeight="251659264" behindDoc="0" locked="0" layoutInCell="1" allowOverlap="1">
                <wp:simplePos x="0" y="0"/>
                <wp:positionH relativeFrom="column">
                  <wp:posOffset>-163830</wp:posOffset>
                </wp:positionH>
                <wp:positionV relativeFrom="paragraph">
                  <wp:posOffset>97155</wp:posOffset>
                </wp:positionV>
                <wp:extent cx="5600700" cy="0"/>
                <wp:effectExtent l="0" t="6350" r="0" b="6350"/>
                <wp:wrapNone/>
                <wp:docPr id="1" name="直线连接符 1"/>
                <wp:cNvGraphicFramePr/>
                <a:graphic xmlns:a="http://schemas.openxmlformats.org/drawingml/2006/main">
                  <a:graphicData uri="http://schemas.microsoft.com/office/word/2010/wordprocessingShape">
                    <wps:wsp>
                      <wps:cNvCnPr/>
                      <wps:spPr bwMode="auto">
                        <a:xfrm>
                          <a:off x="0" y="0"/>
                          <a:ext cx="5600700" cy="0"/>
                        </a:xfrm>
                        <a:prstGeom prst="line">
                          <a:avLst/>
                        </a:prstGeom>
                        <a:noFill/>
                        <a:ln w="12700">
                          <a:solidFill>
                            <a:srgbClr val="000000"/>
                          </a:solidFill>
                          <a:round/>
                        </a:ln>
                        <a:effectLst/>
                      </wps:spPr>
                      <wps:bodyPr/>
                    </wps:wsp>
                  </a:graphicData>
                </a:graphic>
              </wp:anchor>
            </w:drawing>
          </mc:Choice>
          <mc:Fallback>
            <w:pict>
              <v:line id="直线连接符 1" o:spid="_x0000_s1026" o:spt="20" style="position:absolute;left:0pt;margin-left:-12.9pt;margin-top:7.65pt;height:0pt;width:441pt;z-index:251659264;mso-width-relative:page;mso-height-relative:page;" filled="f" stroked="t" coordsize="21600,21600" o:gfxdata="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etPCI9gAAAAJAQAADwAAAAAAAAABACAAAAAiAAAA&#10;ZHJzL2Rvd25yZXYueG1sUEsBAhQAFAAAAAgAh07iQG4PMmDOAQAAhwMAAA4AAAAAAAAAAQAgAAAA&#10;JwEAAGRycy9lMm9Eb2MueG1sUEsFBgAAAAAGAAYAWQEAAGcFAAAAAA==&#10;">
                <v:fill on="f" focussize="0,0"/>
                <v:stroke weight="1pt" color="#000000" joinstyle="round"/>
                <v:imagedata o:title=""/>
                <o:lock v:ext="edit" aspectratio="f"/>
              </v:line>
            </w:pict>
          </mc:Fallback>
        </mc:AlternateContent>
      </w:r>
    </w:p>
    <w:p w14:paraId="2F8CFBEF">
      <w:pPr>
        <w:tabs>
          <w:tab w:val="left" w:pos="7147"/>
        </w:tabs>
        <w:overflowPunct w:val="0"/>
        <w:snapToGrid w:val="0"/>
        <w:jc w:val="left"/>
        <w:rPr>
          <w:rFonts w:ascii="Times New Roman" w:hAnsi="Times New Roman" w:eastAsia="宋体" w:cs="Times New Roman"/>
          <w:b/>
          <w:sz w:val="44"/>
          <w:szCs w:val="44"/>
        </w:rPr>
      </w:pPr>
    </w:p>
    <w:p w14:paraId="4EA9C86E">
      <w:pPr>
        <w:overflowPunct w:val="0"/>
        <w:snapToGrid w:val="0"/>
        <w:jc w:val="center"/>
        <w:rPr>
          <w:rFonts w:ascii="Times New Roman" w:hAnsi="Times New Roman" w:eastAsia="宋体" w:cs="Times New Roman"/>
          <w:b/>
          <w:sz w:val="30"/>
          <w:szCs w:val="30"/>
        </w:rPr>
      </w:pPr>
      <w:r>
        <w:rPr>
          <w:rFonts w:ascii="Times New Roman" w:hAnsi="Times New Roman" w:eastAsia="宋体" w:cs="Times New Roman"/>
          <w:b/>
          <w:sz w:val="30"/>
          <w:szCs w:val="30"/>
        </w:rPr>
        <w:t>中国工程建设标准化协会标准</w:t>
      </w:r>
    </w:p>
    <w:p w14:paraId="627AFE2C">
      <w:pPr>
        <w:overflowPunct w:val="0"/>
        <w:snapToGrid w:val="0"/>
        <w:jc w:val="center"/>
        <w:rPr>
          <w:rFonts w:ascii="Times New Roman" w:hAnsi="Times New Roman" w:eastAsia="宋体" w:cs="Times New Roman"/>
          <w:sz w:val="36"/>
          <w:szCs w:val="36"/>
        </w:rPr>
      </w:pPr>
    </w:p>
    <w:p w14:paraId="7A193D48">
      <w:pPr>
        <w:overflowPunct w:val="0"/>
        <w:snapToGrid w:val="0"/>
        <w:jc w:val="center"/>
        <w:rPr>
          <w:rFonts w:ascii="Times New Roman" w:hAnsi="Times New Roman" w:eastAsia="黑体" w:cs="Times New Roman"/>
          <w:sz w:val="44"/>
          <w:szCs w:val="56"/>
        </w:rPr>
      </w:pPr>
      <w:r>
        <w:rPr>
          <w:rFonts w:hint="eastAsia" w:ascii="Times New Roman" w:hAnsi="Times New Roman" w:eastAsia="黑体" w:cs="Times New Roman"/>
          <w:sz w:val="44"/>
          <w:szCs w:val="56"/>
        </w:rPr>
        <w:t>城市高强度片区空间与形态优化设计导则</w:t>
      </w:r>
    </w:p>
    <w:p w14:paraId="3E186AEF">
      <w:pPr>
        <w:overflowPunct w:val="0"/>
        <w:snapToGrid w:val="0"/>
        <w:jc w:val="center"/>
        <w:rPr>
          <w:rFonts w:ascii="Times New Roman" w:hAnsi="Times New Roman" w:eastAsia="宋体" w:cs="Times New Roman"/>
          <w:sz w:val="28"/>
          <w:szCs w:val="72"/>
        </w:rPr>
      </w:pPr>
      <w:r>
        <w:rPr>
          <w:rFonts w:hint="eastAsia" w:ascii="Times New Roman" w:hAnsi="Times New Roman" w:eastAsia="宋体" w:cs="Times New Roman"/>
          <w:sz w:val="28"/>
          <w:szCs w:val="72"/>
        </w:rPr>
        <w:t>拟更改名称：城市高强度片区空间形态设计导则</w:t>
      </w:r>
    </w:p>
    <w:p w14:paraId="34F00453">
      <w:pPr>
        <w:overflowPunct w:val="0"/>
        <w:snapToGrid w:val="0"/>
        <w:spacing w:line="300" w:lineRule="auto"/>
        <w:jc w:val="center"/>
        <w:textAlignment w:val="bottom"/>
        <w:rPr>
          <w:rFonts w:hint="eastAsia" w:ascii="Times New Roman" w:hAnsi="Times New Roman" w:eastAsia="宋体" w:cs="Times New Roman"/>
          <w:sz w:val="28"/>
          <w:szCs w:val="72"/>
        </w:rPr>
      </w:pPr>
      <w:r>
        <w:rPr>
          <w:rFonts w:hint="eastAsia" w:ascii="Times New Roman" w:hAnsi="Times New Roman" w:eastAsia="宋体" w:cs="Times New Roman"/>
          <w:sz w:val="28"/>
          <w:szCs w:val="72"/>
        </w:rPr>
        <w:t xml:space="preserve">Design Guidelines for Spatial 0orphology of </w:t>
      </w:r>
    </w:p>
    <w:p w14:paraId="7C1F32FA">
      <w:pPr>
        <w:overflowPunct w:val="0"/>
        <w:snapToGrid w:val="0"/>
        <w:spacing w:line="300" w:lineRule="auto"/>
        <w:jc w:val="center"/>
        <w:textAlignment w:val="bottom"/>
        <w:rPr>
          <w:rFonts w:ascii="Times New Roman" w:hAnsi="Times New Roman" w:eastAsia="宋体" w:cs="Times New Roman"/>
          <w:sz w:val="32"/>
          <w:szCs w:val="72"/>
        </w:rPr>
      </w:pPr>
      <w:r>
        <w:rPr>
          <w:rFonts w:hint="eastAsia" w:ascii="Times New Roman" w:hAnsi="Times New Roman" w:eastAsia="宋体" w:cs="Times New Roman"/>
          <w:sz w:val="28"/>
          <w:szCs w:val="72"/>
        </w:rPr>
        <w:t>urban high-intensity districts</w:t>
      </w:r>
    </w:p>
    <w:p w14:paraId="53F3A631">
      <w:pPr>
        <w:overflowPunct w:val="0"/>
        <w:snapToGrid w:val="0"/>
        <w:spacing w:line="300" w:lineRule="auto"/>
        <w:jc w:val="center"/>
        <w:textAlignment w:val="bottom"/>
        <w:rPr>
          <w:rFonts w:ascii="Times New Roman" w:hAnsi="Times New Roman" w:eastAsia="宋体" w:cs="Times New Roman"/>
          <w:sz w:val="32"/>
          <w:szCs w:val="72"/>
        </w:rPr>
      </w:pPr>
      <w:r>
        <w:rPr>
          <w:rFonts w:ascii="Times New Roman" w:hAnsi="Times New Roman" w:eastAsia="宋体" w:cs="Times New Roman"/>
          <w:sz w:val="32"/>
          <w:szCs w:val="72"/>
        </w:rPr>
        <w:t>（</w:t>
      </w:r>
      <w:r>
        <w:rPr>
          <w:rFonts w:hint="eastAsia" w:ascii="Times New Roman" w:hAnsi="Times New Roman" w:eastAsia="宋体" w:cs="Times New Roman"/>
          <w:sz w:val="32"/>
          <w:szCs w:val="72"/>
        </w:rPr>
        <w:t>征求意见稿</w:t>
      </w:r>
      <w:r>
        <w:rPr>
          <w:rFonts w:ascii="Times New Roman" w:hAnsi="Times New Roman" w:eastAsia="宋体" w:cs="Times New Roman"/>
          <w:sz w:val="32"/>
          <w:szCs w:val="72"/>
        </w:rPr>
        <w:t>）</w:t>
      </w:r>
    </w:p>
    <w:p w14:paraId="453B8BEE">
      <w:pPr>
        <w:overflowPunct w:val="0"/>
        <w:snapToGrid w:val="0"/>
        <w:spacing w:line="300" w:lineRule="auto"/>
        <w:jc w:val="center"/>
        <w:textAlignment w:val="bottom"/>
        <w:rPr>
          <w:rFonts w:ascii="Times New Roman" w:hAnsi="Times New Roman" w:eastAsia="宋体" w:cs="Times New Roman"/>
          <w:b/>
          <w:sz w:val="28"/>
          <w:szCs w:val="28"/>
        </w:rPr>
      </w:pPr>
    </w:p>
    <w:p w14:paraId="1873F30B">
      <w:pPr>
        <w:overflowPunct w:val="0"/>
        <w:snapToGrid w:val="0"/>
        <w:spacing w:line="300" w:lineRule="auto"/>
        <w:jc w:val="center"/>
        <w:textAlignment w:val="bottom"/>
        <w:rPr>
          <w:rFonts w:ascii="Times New Roman" w:hAnsi="Times New Roman" w:eastAsia="宋体" w:cs="Times New Roman"/>
          <w:b/>
          <w:sz w:val="28"/>
          <w:szCs w:val="28"/>
        </w:rPr>
      </w:pPr>
    </w:p>
    <w:p w14:paraId="333FAEB6">
      <w:pPr>
        <w:overflowPunct w:val="0"/>
        <w:snapToGrid w:val="0"/>
        <w:spacing w:line="300" w:lineRule="auto"/>
        <w:jc w:val="center"/>
        <w:textAlignment w:val="bottom"/>
        <w:rPr>
          <w:rFonts w:ascii="Times New Roman" w:hAnsi="Times New Roman" w:eastAsia="宋体" w:cs="Times New Roman"/>
          <w:b/>
          <w:sz w:val="28"/>
          <w:szCs w:val="28"/>
        </w:rPr>
      </w:pPr>
    </w:p>
    <w:p w14:paraId="2D1E3B0F">
      <w:pPr>
        <w:overflowPunct w:val="0"/>
        <w:snapToGrid w:val="0"/>
        <w:spacing w:line="300" w:lineRule="auto"/>
        <w:jc w:val="center"/>
        <w:textAlignment w:val="bottom"/>
        <w:rPr>
          <w:rFonts w:ascii="Times New Roman" w:hAnsi="Times New Roman" w:eastAsia="宋体" w:cs="Times New Roman"/>
          <w:b/>
          <w:sz w:val="28"/>
          <w:szCs w:val="28"/>
        </w:rPr>
      </w:pPr>
    </w:p>
    <w:p w14:paraId="7BCC781A">
      <w:pPr>
        <w:overflowPunct w:val="0"/>
        <w:snapToGrid w:val="0"/>
        <w:spacing w:line="300" w:lineRule="auto"/>
        <w:jc w:val="center"/>
        <w:textAlignment w:val="bottom"/>
        <w:rPr>
          <w:rFonts w:ascii="Times New Roman" w:hAnsi="Times New Roman" w:eastAsia="宋体" w:cs="Times New Roman"/>
          <w:b/>
          <w:sz w:val="28"/>
          <w:szCs w:val="28"/>
        </w:rPr>
      </w:pPr>
    </w:p>
    <w:p w14:paraId="6E286C7D">
      <w:pPr>
        <w:overflowPunct w:val="0"/>
        <w:snapToGrid w:val="0"/>
        <w:spacing w:line="300" w:lineRule="auto"/>
        <w:jc w:val="center"/>
        <w:textAlignment w:val="bottom"/>
        <w:rPr>
          <w:rFonts w:ascii="Times New Roman" w:hAnsi="Times New Roman" w:eastAsia="宋体" w:cs="Times New Roman"/>
          <w:b/>
          <w:sz w:val="28"/>
          <w:szCs w:val="28"/>
        </w:rPr>
      </w:pPr>
    </w:p>
    <w:p w14:paraId="1FD6D8BF">
      <w:pPr>
        <w:overflowPunct w:val="0"/>
        <w:snapToGrid w:val="0"/>
        <w:spacing w:line="300" w:lineRule="auto"/>
        <w:jc w:val="center"/>
        <w:textAlignment w:val="bottom"/>
        <w:rPr>
          <w:rFonts w:ascii="Times New Roman" w:hAnsi="Times New Roman" w:eastAsia="宋体" w:cs="Times New Roman"/>
          <w:b/>
          <w:sz w:val="28"/>
          <w:szCs w:val="28"/>
        </w:rPr>
      </w:pPr>
    </w:p>
    <w:p w14:paraId="1045C911">
      <w:pPr>
        <w:overflowPunct w:val="0"/>
        <w:snapToGrid w:val="0"/>
        <w:spacing w:line="300" w:lineRule="auto"/>
        <w:jc w:val="center"/>
        <w:textAlignment w:val="bottom"/>
        <w:rPr>
          <w:rFonts w:ascii="Times New Roman" w:hAnsi="Times New Roman" w:eastAsia="宋体" w:cs="Times New Roman"/>
          <w:b/>
          <w:sz w:val="28"/>
          <w:szCs w:val="28"/>
        </w:rPr>
      </w:pPr>
    </w:p>
    <w:p w14:paraId="603F550F">
      <w:pPr>
        <w:overflowPunct w:val="0"/>
        <w:snapToGrid w:val="0"/>
        <w:spacing w:line="300" w:lineRule="auto"/>
        <w:jc w:val="center"/>
        <w:textAlignment w:val="bottom"/>
        <w:rPr>
          <w:rFonts w:ascii="Times New Roman" w:hAnsi="Times New Roman" w:eastAsia="宋体" w:cs="Times New Roman"/>
          <w:b/>
          <w:sz w:val="28"/>
          <w:szCs w:val="28"/>
        </w:rPr>
      </w:pPr>
    </w:p>
    <w:p w14:paraId="78AF1004">
      <w:pPr>
        <w:overflowPunct w:val="0"/>
        <w:snapToGrid w:val="0"/>
        <w:spacing w:line="300" w:lineRule="auto"/>
        <w:jc w:val="center"/>
        <w:textAlignment w:val="bottom"/>
        <w:rPr>
          <w:rFonts w:ascii="Times New Roman" w:hAnsi="Times New Roman" w:eastAsia="宋体" w:cs="Times New Roman"/>
          <w:b/>
          <w:sz w:val="28"/>
          <w:szCs w:val="28"/>
        </w:rPr>
      </w:pPr>
    </w:p>
    <w:p w14:paraId="6F06550C">
      <w:pPr>
        <w:overflowPunct w:val="0"/>
        <w:snapToGrid w:val="0"/>
        <w:spacing w:line="300" w:lineRule="auto"/>
        <w:jc w:val="center"/>
        <w:textAlignment w:val="bottom"/>
        <w:rPr>
          <w:rFonts w:ascii="Times New Roman" w:hAnsi="Times New Roman" w:eastAsia="宋体" w:cs="Times New Roman"/>
          <w:b/>
          <w:sz w:val="28"/>
          <w:szCs w:val="28"/>
        </w:rPr>
      </w:pPr>
    </w:p>
    <w:p w14:paraId="60F9A744">
      <w:pPr>
        <w:overflowPunct w:val="0"/>
        <w:snapToGrid w:val="0"/>
        <w:spacing w:line="300" w:lineRule="auto"/>
        <w:jc w:val="center"/>
        <w:textAlignment w:val="bottom"/>
        <w:rPr>
          <w:rFonts w:ascii="Times New Roman" w:hAnsi="Times New Roman" w:eastAsia="宋体" w:cs="Times New Roman"/>
          <w:b/>
          <w:sz w:val="28"/>
          <w:szCs w:val="28"/>
        </w:rPr>
      </w:pPr>
    </w:p>
    <w:p w14:paraId="6492C9EC">
      <w:pPr>
        <w:widowControl/>
        <w:overflowPunct w:val="0"/>
        <w:jc w:val="left"/>
        <w:rPr>
          <w:rFonts w:ascii="Times New Roman" w:hAnsi="Times New Roman" w:eastAsia="仿宋" w:cs="Times New Roman"/>
          <w:sz w:val="32"/>
          <w:szCs w:val="32"/>
        </w:rPr>
      </w:pPr>
    </w:p>
    <w:p w14:paraId="6E5943FD">
      <w:pPr>
        <w:overflowPunct w:val="0"/>
        <w:ind w:firstLine="426"/>
        <w:jc w:val="center"/>
        <w:rPr>
          <w:rFonts w:ascii="Times New Roman" w:hAnsi="Times New Roman" w:eastAsia="宋体" w:cs="Times New Roman"/>
          <w:szCs w:val="24"/>
        </w:rPr>
      </w:pPr>
    </w:p>
    <w:p w14:paraId="71923845">
      <w:pPr>
        <w:overflowPunct w:val="0"/>
        <w:ind w:firstLine="426"/>
        <w:jc w:val="center"/>
        <w:rPr>
          <w:rFonts w:ascii="Times New Roman" w:hAnsi="Times New Roman" w:eastAsia="宋体" w:cs="Times New Roman"/>
          <w:szCs w:val="24"/>
        </w:rPr>
      </w:pPr>
    </w:p>
    <w:p w14:paraId="4CED267E">
      <w:pPr>
        <w:overflowPunct w:val="0"/>
        <w:ind w:firstLine="426"/>
        <w:jc w:val="center"/>
        <w:rPr>
          <w:rFonts w:ascii="Times New Roman" w:hAnsi="Times New Roman" w:eastAsia="宋体" w:cs="Times New Roman"/>
          <w:szCs w:val="24"/>
        </w:rPr>
      </w:pPr>
    </w:p>
    <w:p w14:paraId="2C897AC8">
      <w:pPr>
        <w:widowControl/>
        <w:jc w:val="left"/>
        <w:rPr>
          <w:rFonts w:ascii="Times New Roman" w:hAnsi="Times New Roman" w:eastAsia="宋体" w:cs="Times New Roman"/>
          <w:b/>
          <w:sz w:val="48"/>
          <w:szCs w:val="48"/>
        </w:rPr>
      </w:pPr>
      <w:r>
        <w:rPr>
          <w:rFonts w:ascii="Times New Roman" w:hAnsi="Times New Roman" w:eastAsia="宋体" w:cs="Times New Roman"/>
          <w:b/>
          <w:sz w:val="48"/>
          <w:szCs w:val="48"/>
        </w:rPr>
        <w:br w:type="page"/>
      </w:r>
    </w:p>
    <w:p w14:paraId="2ACE85AA">
      <w:pPr>
        <w:overflowPunct w:val="0"/>
        <w:snapToGrid w:val="0"/>
        <w:jc w:val="center"/>
        <w:rPr>
          <w:rFonts w:ascii="Times New Roman" w:hAnsi="Times New Roman" w:eastAsia="宋体" w:cs="Times New Roman"/>
          <w:b/>
          <w:sz w:val="48"/>
          <w:szCs w:val="48"/>
        </w:rPr>
      </w:pPr>
    </w:p>
    <w:p w14:paraId="6BD0F1ED">
      <w:pPr>
        <w:overflowPunct w:val="0"/>
        <w:snapToGrid w:val="0"/>
        <w:jc w:val="center"/>
        <w:rPr>
          <w:rFonts w:ascii="Times New Roman" w:hAnsi="Times New Roman" w:eastAsia="宋体" w:cs="Times New Roman"/>
          <w:b/>
          <w:sz w:val="48"/>
          <w:szCs w:val="48"/>
        </w:rPr>
      </w:pPr>
    </w:p>
    <w:p w14:paraId="66D2C10B">
      <w:pPr>
        <w:overflowPunct w:val="0"/>
        <w:snapToGrid w:val="0"/>
        <w:jc w:val="center"/>
        <w:rPr>
          <w:rFonts w:ascii="Times New Roman" w:hAnsi="Times New Roman" w:eastAsia="宋体" w:cs="Times New Roman"/>
          <w:b/>
          <w:sz w:val="48"/>
          <w:szCs w:val="48"/>
        </w:rPr>
      </w:pPr>
    </w:p>
    <w:p w14:paraId="4B63A890">
      <w:pPr>
        <w:overflowPunct w:val="0"/>
        <w:snapToGrid w:val="0"/>
        <w:jc w:val="center"/>
        <w:rPr>
          <w:rFonts w:ascii="Times New Roman" w:hAnsi="Times New Roman" w:eastAsia="宋体" w:cs="Times New Roman"/>
          <w:b/>
          <w:sz w:val="30"/>
          <w:szCs w:val="30"/>
        </w:rPr>
      </w:pPr>
      <w:r>
        <w:rPr>
          <w:rFonts w:ascii="Times New Roman" w:hAnsi="Times New Roman" w:eastAsia="宋体" w:cs="Times New Roman"/>
          <w:b/>
          <w:sz w:val="30"/>
          <w:szCs w:val="30"/>
        </w:rPr>
        <w:t>中国工程建设标准化协会标准</w:t>
      </w:r>
    </w:p>
    <w:p w14:paraId="49466D4F">
      <w:pPr>
        <w:overflowPunct w:val="0"/>
        <w:snapToGrid w:val="0"/>
        <w:jc w:val="center"/>
        <w:rPr>
          <w:rFonts w:ascii="Times New Roman" w:hAnsi="Times New Roman" w:eastAsia="宋体" w:cs="Times New Roman"/>
          <w:sz w:val="36"/>
          <w:szCs w:val="36"/>
        </w:rPr>
      </w:pPr>
    </w:p>
    <w:p w14:paraId="72E54ADC">
      <w:pPr>
        <w:overflowPunct w:val="0"/>
        <w:snapToGrid w:val="0"/>
        <w:jc w:val="center"/>
        <w:rPr>
          <w:rFonts w:ascii="Times New Roman" w:hAnsi="Times New Roman" w:eastAsia="宋体" w:cs="Times New Roman"/>
          <w:b/>
          <w:sz w:val="44"/>
          <w:szCs w:val="44"/>
        </w:rPr>
      </w:pPr>
      <w:r>
        <w:rPr>
          <w:rFonts w:hint="eastAsia" w:ascii="Times New Roman" w:hAnsi="Times New Roman" w:eastAsia="宋体" w:cs="Times New Roman"/>
          <w:b/>
          <w:sz w:val="44"/>
          <w:szCs w:val="44"/>
        </w:rPr>
        <w:t>城市高强度片区空间与形态优化设计导则</w:t>
      </w:r>
    </w:p>
    <w:p w14:paraId="2AC9D3A1">
      <w:pPr>
        <w:overflowPunct w:val="0"/>
        <w:snapToGrid w:val="0"/>
        <w:jc w:val="center"/>
        <w:rPr>
          <w:rFonts w:ascii="Times New Roman" w:hAnsi="Times New Roman" w:eastAsia="宋体" w:cs="Times New Roman"/>
          <w:sz w:val="28"/>
          <w:szCs w:val="72"/>
        </w:rPr>
      </w:pPr>
      <w:r>
        <w:rPr>
          <w:rFonts w:hint="eastAsia" w:ascii="Times New Roman" w:hAnsi="Times New Roman" w:eastAsia="宋体" w:cs="Times New Roman"/>
          <w:sz w:val="28"/>
          <w:szCs w:val="72"/>
        </w:rPr>
        <w:t>拟更改名称：城市高强度片区空间形态设计导则</w:t>
      </w:r>
    </w:p>
    <w:p w14:paraId="6175E104">
      <w:pPr>
        <w:overflowPunct w:val="0"/>
        <w:snapToGrid w:val="0"/>
        <w:spacing w:line="300" w:lineRule="auto"/>
        <w:jc w:val="center"/>
        <w:textAlignment w:val="bottom"/>
        <w:rPr>
          <w:rFonts w:ascii="Times New Roman" w:hAnsi="Times New Roman" w:eastAsia="宋体" w:cs="Times New Roman"/>
          <w:sz w:val="28"/>
          <w:szCs w:val="72"/>
        </w:rPr>
      </w:pPr>
      <w:bookmarkStart w:id="9" w:name="_Toc7027037"/>
      <w:r>
        <w:rPr>
          <w:rFonts w:hint="eastAsia" w:ascii="Times New Roman" w:hAnsi="Times New Roman" w:eastAsia="宋体" w:cs="Times New Roman"/>
          <w:sz w:val="28"/>
          <w:szCs w:val="72"/>
        </w:rPr>
        <w:t xml:space="preserve">Standard for human-centered performance </w:t>
      </w:r>
    </w:p>
    <w:p w14:paraId="0246437A">
      <w:pPr>
        <w:overflowPunct w:val="0"/>
        <w:snapToGrid w:val="0"/>
        <w:spacing w:line="300" w:lineRule="auto"/>
        <w:jc w:val="center"/>
        <w:textAlignment w:val="bottom"/>
        <w:rPr>
          <w:rFonts w:ascii="Times New Roman" w:hAnsi="Times New Roman" w:eastAsia="宋体" w:cs="Times New Roman"/>
          <w:sz w:val="32"/>
          <w:szCs w:val="72"/>
        </w:rPr>
      </w:pPr>
      <w:r>
        <w:rPr>
          <w:rFonts w:hint="eastAsia" w:ascii="Times New Roman" w:hAnsi="Times New Roman" w:eastAsia="宋体" w:cs="Times New Roman"/>
          <w:sz w:val="28"/>
          <w:szCs w:val="72"/>
        </w:rPr>
        <w:t>in urban high-intensity districts</w:t>
      </w:r>
    </w:p>
    <w:p w14:paraId="5C975DCF">
      <w:pPr>
        <w:overflowPunct w:val="0"/>
        <w:spacing w:line="400" w:lineRule="atLeast"/>
        <w:jc w:val="center"/>
        <w:rPr>
          <w:rFonts w:ascii="Times New Roman" w:hAnsi="Times New Roman" w:eastAsia="宋体" w:cs="Times New Roman"/>
          <w:sz w:val="28"/>
          <w:szCs w:val="28"/>
        </w:rPr>
      </w:pPr>
    </w:p>
    <w:p w14:paraId="35F6BAC6">
      <w:pPr>
        <w:overflowPunct w:val="0"/>
        <w:spacing w:line="400" w:lineRule="atLeast"/>
        <w:jc w:val="center"/>
        <w:rPr>
          <w:rFonts w:ascii="Times New Roman" w:hAnsi="Times New Roman" w:eastAsia="宋体" w:cs="Times New Roman"/>
          <w:b/>
          <w:sz w:val="24"/>
          <w:szCs w:val="28"/>
        </w:rPr>
      </w:pPr>
      <w:r>
        <w:rPr>
          <w:rFonts w:ascii="Times New Roman" w:hAnsi="Times New Roman" w:eastAsia="宋体" w:cs="Times New Roman"/>
          <w:b/>
          <w:sz w:val="24"/>
          <w:szCs w:val="28"/>
        </w:rPr>
        <w:t>T/CECS *** -202X</w:t>
      </w:r>
      <w:bookmarkEnd w:id="9"/>
    </w:p>
    <w:p w14:paraId="55680FFA">
      <w:pPr>
        <w:overflowPunct w:val="0"/>
        <w:ind w:firstLine="426"/>
        <w:jc w:val="center"/>
        <w:rPr>
          <w:rFonts w:ascii="Times New Roman" w:hAnsi="Times New Roman" w:eastAsia="宋体" w:cs="Times New Roman"/>
          <w:szCs w:val="24"/>
        </w:rPr>
      </w:pPr>
    </w:p>
    <w:p w14:paraId="0E7195D6">
      <w:pPr>
        <w:overflowPunct w:val="0"/>
        <w:ind w:firstLine="426"/>
        <w:jc w:val="center"/>
        <w:rPr>
          <w:rFonts w:ascii="Times New Roman" w:hAnsi="Times New Roman" w:eastAsia="宋体" w:cs="Times New Roman"/>
          <w:szCs w:val="24"/>
        </w:rPr>
      </w:pPr>
    </w:p>
    <w:p w14:paraId="56AFA03A">
      <w:pPr>
        <w:overflowPunct w:val="0"/>
        <w:snapToGrid w:val="0"/>
        <w:spacing w:line="360" w:lineRule="auto"/>
        <w:ind w:left="1890" w:leftChars="900" w:firstLine="480" w:firstLineChars="200"/>
        <w:jc w:val="left"/>
        <w:rPr>
          <w:rFonts w:ascii="Times New Roman" w:hAnsi="Times New Roman" w:eastAsia="宋体" w:cs="Times New Roman"/>
          <w:sz w:val="24"/>
          <w:szCs w:val="24"/>
        </w:rPr>
      </w:pPr>
      <w:r>
        <w:rPr>
          <w:rFonts w:ascii="Times New Roman" w:hAnsi="Times New Roman" w:eastAsia="宋体" w:cs="Times New Roman"/>
          <w:sz w:val="24"/>
          <w:szCs w:val="24"/>
        </w:rPr>
        <w:t>主编单位：</w:t>
      </w:r>
      <w:r>
        <w:rPr>
          <w:rFonts w:hint="eastAsia" w:ascii="Times New Roman" w:hAnsi="Times New Roman" w:eastAsia="宋体" w:cs="Times New Roman"/>
          <w:sz w:val="24"/>
          <w:szCs w:val="24"/>
          <w:lang w:val="en-US" w:eastAsia="zh-CN"/>
        </w:rPr>
        <w:t>深圳</w:t>
      </w:r>
      <w:r>
        <w:rPr>
          <w:rFonts w:hint="eastAsia" w:ascii="Times New Roman" w:hAnsi="Times New Roman" w:eastAsia="宋体" w:cs="Times New Roman"/>
          <w:sz w:val="24"/>
          <w:szCs w:val="24"/>
        </w:rPr>
        <w:t>大学</w:t>
      </w:r>
    </w:p>
    <w:p w14:paraId="24E8B4B1">
      <w:pPr>
        <w:overflowPunct w:val="0"/>
        <w:snapToGrid w:val="0"/>
        <w:spacing w:line="360" w:lineRule="auto"/>
        <w:ind w:left="1890" w:leftChars="900" w:firstLine="480" w:firstLineChars="200"/>
        <w:jc w:val="left"/>
        <w:rPr>
          <w:rFonts w:ascii="Times New Roman" w:hAnsi="Times New Roman" w:eastAsia="宋体" w:cs="Times New Roman"/>
          <w:sz w:val="24"/>
          <w:szCs w:val="24"/>
        </w:rPr>
      </w:pPr>
      <w:r>
        <w:rPr>
          <w:rFonts w:hint="eastAsia" w:ascii="Times New Roman" w:hAnsi="Times New Roman" w:eastAsia="宋体" w:cs="Times New Roman"/>
          <w:sz w:val="24"/>
          <w:szCs w:val="24"/>
        </w:rPr>
        <w:t>批准单位：中国工程建设标准化协会</w:t>
      </w:r>
    </w:p>
    <w:p w14:paraId="7BF6CD53">
      <w:pPr>
        <w:overflowPunct w:val="0"/>
        <w:snapToGrid w:val="0"/>
        <w:spacing w:line="360" w:lineRule="auto"/>
        <w:ind w:left="1890" w:leftChars="900" w:firstLine="480" w:firstLineChars="200"/>
        <w:jc w:val="left"/>
        <w:rPr>
          <w:rFonts w:ascii="Times New Roman" w:hAnsi="Times New Roman" w:eastAsia="宋体" w:cs="Times New Roman"/>
          <w:sz w:val="24"/>
          <w:szCs w:val="24"/>
        </w:rPr>
      </w:pPr>
      <w:r>
        <w:rPr>
          <w:rFonts w:hint="eastAsia" w:ascii="Times New Roman" w:hAnsi="Times New Roman" w:eastAsia="宋体" w:cs="Times New Roman"/>
          <w:sz w:val="24"/>
          <w:szCs w:val="24"/>
        </w:rPr>
        <w:t>施行日期：</w:t>
      </w:r>
      <w:r>
        <w:rPr>
          <w:rFonts w:ascii="Times New Roman" w:hAnsi="Times New Roman" w:eastAsia="宋体" w:cs="Times New Roman"/>
          <w:sz w:val="24"/>
          <w:szCs w:val="24"/>
        </w:rPr>
        <w:t xml:space="preserve">202X </w:t>
      </w:r>
      <w:r>
        <w:rPr>
          <w:rFonts w:hint="eastAsia" w:ascii="Times New Roman" w:hAnsi="Times New Roman" w:eastAsia="宋体" w:cs="Times New Roman"/>
          <w:sz w:val="24"/>
          <w:szCs w:val="24"/>
        </w:rPr>
        <w:t>年</w:t>
      </w:r>
      <w:r>
        <w:rPr>
          <w:rFonts w:ascii="Times New Roman" w:hAnsi="Times New Roman" w:eastAsia="宋体" w:cs="Times New Roman"/>
          <w:sz w:val="24"/>
          <w:szCs w:val="24"/>
        </w:rPr>
        <w:t>××</w:t>
      </w:r>
      <w:r>
        <w:rPr>
          <w:rFonts w:hint="eastAsia" w:ascii="Times New Roman" w:hAnsi="Times New Roman" w:eastAsia="宋体" w:cs="Times New Roman"/>
          <w:sz w:val="24"/>
          <w:szCs w:val="24"/>
        </w:rPr>
        <w:t>月</w:t>
      </w:r>
      <w:r>
        <w:rPr>
          <w:rFonts w:ascii="Times New Roman" w:hAnsi="Times New Roman" w:eastAsia="宋体" w:cs="Times New Roman"/>
          <w:sz w:val="24"/>
          <w:szCs w:val="24"/>
        </w:rPr>
        <w:t>××</w:t>
      </w:r>
      <w:r>
        <w:rPr>
          <w:rFonts w:hint="eastAsia" w:ascii="Times New Roman" w:hAnsi="Times New Roman" w:eastAsia="宋体" w:cs="Times New Roman"/>
          <w:sz w:val="24"/>
          <w:szCs w:val="24"/>
        </w:rPr>
        <w:t>日</w:t>
      </w:r>
    </w:p>
    <w:p w14:paraId="1439BFB1">
      <w:pPr>
        <w:overflowPunct w:val="0"/>
        <w:ind w:firstLine="426"/>
        <w:jc w:val="center"/>
        <w:rPr>
          <w:rFonts w:ascii="Times New Roman" w:hAnsi="Times New Roman" w:eastAsia="宋体" w:cs="Times New Roman"/>
          <w:szCs w:val="24"/>
        </w:rPr>
      </w:pPr>
    </w:p>
    <w:p w14:paraId="067BA2ED">
      <w:pPr>
        <w:overflowPunct w:val="0"/>
        <w:ind w:firstLine="426"/>
        <w:jc w:val="center"/>
        <w:rPr>
          <w:rFonts w:ascii="Times New Roman" w:hAnsi="Times New Roman" w:eastAsia="宋体" w:cs="Times New Roman"/>
          <w:szCs w:val="24"/>
        </w:rPr>
      </w:pPr>
    </w:p>
    <w:p w14:paraId="6B385A6B">
      <w:pPr>
        <w:overflowPunct w:val="0"/>
        <w:jc w:val="center"/>
        <w:rPr>
          <w:rFonts w:ascii="Times New Roman" w:hAnsi="Times New Roman" w:eastAsia="宋体" w:cs="Times New Roman"/>
          <w:szCs w:val="24"/>
        </w:rPr>
      </w:pPr>
    </w:p>
    <w:p w14:paraId="6BBA526A">
      <w:pPr>
        <w:overflowPunct w:val="0"/>
        <w:jc w:val="center"/>
        <w:rPr>
          <w:rFonts w:ascii="Times New Roman" w:hAnsi="Times New Roman" w:eastAsia="宋体" w:cs="Times New Roman"/>
          <w:szCs w:val="24"/>
        </w:rPr>
      </w:pPr>
    </w:p>
    <w:p w14:paraId="6BF1AB90">
      <w:pPr>
        <w:overflowPunct w:val="0"/>
        <w:jc w:val="center"/>
        <w:rPr>
          <w:rFonts w:ascii="Times New Roman" w:hAnsi="Times New Roman" w:eastAsia="宋体" w:cs="Times New Roman"/>
          <w:sz w:val="24"/>
          <w:szCs w:val="24"/>
        </w:rPr>
      </w:pPr>
    </w:p>
    <w:p w14:paraId="314F9459">
      <w:pPr>
        <w:overflowPunct w:val="0"/>
        <w:snapToGrid w:val="0"/>
        <w:spacing w:line="360" w:lineRule="auto"/>
        <w:jc w:val="center"/>
        <w:textAlignment w:val="bottom"/>
        <w:rPr>
          <w:rFonts w:hint="eastAsia" w:ascii="黑体" w:hAnsi="黑体" w:eastAsia="黑体" w:cs="Times New Roman"/>
          <w:sz w:val="24"/>
          <w:szCs w:val="24"/>
        </w:rPr>
      </w:pPr>
    </w:p>
    <w:p w14:paraId="36ED7A82">
      <w:pPr>
        <w:overflowPunct w:val="0"/>
        <w:snapToGrid w:val="0"/>
        <w:spacing w:line="360" w:lineRule="auto"/>
        <w:jc w:val="center"/>
        <w:textAlignment w:val="bottom"/>
        <w:rPr>
          <w:rFonts w:hint="eastAsia" w:ascii="黑体" w:hAnsi="黑体" w:eastAsia="黑体" w:cs="Times New Roman"/>
          <w:sz w:val="24"/>
          <w:szCs w:val="24"/>
        </w:rPr>
      </w:pPr>
    </w:p>
    <w:p w14:paraId="37FC5680">
      <w:pPr>
        <w:overflowPunct w:val="0"/>
        <w:snapToGrid w:val="0"/>
        <w:spacing w:line="360" w:lineRule="auto"/>
        <w:jc w:val="center"/>
        <w:textAlignment w:val="bottom"/>
        <w:rPr>
          <w:rFonts w:hint="eastAsia" w:ascii="黑体" w:hAnsi="黑体" w:eastAsia="黑体" w:cs="Times New Roman"/>
          <w:sz w:val="24"/>
          <w:szCs w:val="24"/>
        </w:rPr>
      </w:pPr>
    </w:p>
    <w:p w14:paraId="21032F5C">
      <w:pPr>
        <w:overflowPunct w:val="0"/>
        <w:snapToGrid w:val="0"/>
        <w:spacing w:line="360" w:lineRule="auto"/>
        <w:jc w:val="center"/>
        <w:textAlignment w:val="bottom"/>
        <w:rPr>
          <w:rFonts w:hint="eastAsia" w:ascii="黑体" w:hAnsi="黑体" w:eastAsia="黑体" w:cs="Times New Roman"/>
          <w:sz w:val="24"/>
          <w:szCs w:val="24"/>
        </w:rPr>
      </w:pPr>
    </w:p>
    <w:p w14:paraId="389FD9C5">
      <w:pPr>
        <w:overflowPunct w:val="0"/>
        <w:snapToGrid w:val="0"/>
        <w:spacing w:line="360" w:lineRule="auto"/>
        <w:jc w:val="center"/>
        <w:textAlignment w:val="bottom"/>
        <w:rPr>
          <w:rFonts w:hint="eastAsia" w:ascii="黑体" w:hAnsi="黑体" w:eastAsia="黑体" w:cs="Times New Roman"/>
          <w:sz w:val="24"/>
          <w:szCs w:val="24"/>
        </w:rPr>
      </w:pPr>
    </w:p>
    <w:p w14:paraId="2303AEF2">
      <w:pPr>
        <w:overflowPunct w:val="0"/>
        <w:snapToGrid w:val="0"/>
        <w:spacing w:line="360" w:lineRule="auto"/>
        <w:jc w:val="center"/>
        <w:textAlignment w:val="bottom"/>
        <w:rPr>
          <w:rFonts w:hint="eastAsia" w:ascii="黑体" w:hAnsi="黑体" w:eastAsia="黑体" w:cs="Times New Roman"/>
          <w:sz w:val="24"/>
          <w:szCs w:val="24"/>
        </w:rPr>
      </w:pPr>
    </w:p>
    <w:p w14:paraId="36DFF8CD">
      <w:pPr>
        <w:overflowPunct w:val="0"/>
        <w:spacing w:line="400" w:lineRule="atLeast"/>
        <w:jc w:val="center"/>
        <w:rPr>
          <w:rFonts w:ascii="Times New Roman" w:hAnsi="Times New Roman" w:eastAsia="黑体" w:cs="Times New Roman"/>
          <w:bCs/>
          <w:sz w:val="30"/>
          <w:szCs w:val="30"/>
        </w:rPr>
      </w:pPr>
    </w:p>
    <w:p w14:paraId="3603C0DF">
      <w:pPr>
        <w:overflowPunct w:val="0"/>
        <w:spacing w:line="360" w:lineRule="auto"/>
        <w:rPr>
          <w:rFonts w:ascii="Times New Roman" w:hAnsi="Times New Roman" w:eastAsia="仿宋" w:cs="Times New Roman"/>
          <w:b/>
          <w:bCs/>
          <w:sz w:val="24"/>
          <w:szCs w:val="28"/>
        </w:rPr>
      </w:pPr>
    </w:p>
    <w:p w14:paraId="001CBA91">
      <w:pPr>
        <w:widowControl/>
        <w:jc w:val="left"/>
        <w:rPr>
          <w:rFonts w:ascii="Times New Roman" w:hAnsi="Times New Roman" w:eastAsia="仿宋" w:cs="Times New Roman"/>
          <w:b/>
          <w:bCs/>
          <w:sz w:val="24"/>
          <w:szCs w:val="28"/>
        </w:rPr>
        <w:sectPr>
          <w:footerReference r:id="rId5" w:type="first"/>
          <w:footerReference r:id="rId3" w:type="default"/>
          <w:footerReference r:id="rId4" w:type="even"/>
          <w:pgSz w:w="11906" w:h="16838"/>
          <w:pgMar w:top="1440" w:right="1800" w:bottom="1440" w:left="1800" w:header="851" w:footer="992" w:gutter="0"/>
          <w:pgNumType w:start="1"/>
          <w:cols w:space="425" w:num="1"/>
          <w:docGrid w:type="lines" w:linePitch="312" w:charSpace="0"/>
        </w:sectPr>
      </w:pPr>
    </w:p>
    <w:p w14:paraId="42D54DA2">
      <w:pPr>
        <w:overflowPunct w:val="0"/>
        <w:spacing w:line="360" w:lineRule="auto"/>
        <w:rPr>
          <w:rFonts w:ascii="Times New Roman" w:hAnsi="Times New Roman" w:eastAsia="仿宋" w:cs="Times New Roman"/>
          <w:b/>
          <w:bCs/>
          <w:sz w:val="24"/>
          <w:szCs w:val="28"/>
        </w:rPr>
      </w:pPr>
    </w:p>
    <w:p w14:paraId="490AF2B8">
      <w:pPr>
        <w:overflowPunct w:val="0"/>
        <w:spacing w:line="360" w:lineRule="auto"/>
        <w:jc w:val="center"/>
        <w:rPr>
          <w:rFonts w:ascii="Times New Roman" w:hAnsi="Times New Roman" w:eastAsia="黑体" w:cs="Times New Roman"/>
          <w:bCs/>
          <w:sz w:val="32"/>
          <w:szCs w:val="32"/>
        </w:rPr>
      </w:pPr>
      <w:r>
        <w:rPr>
          <w:rFonts w:ascii="Times New Roman" w:hAnsi="Times New Roman" w:eastAsia="黑体" w:cs="Times New Roman"/>
          <w:bCs/>
          <w:sz w:val="32"/>
          <w:szCs w:val="32"/>
        </w:rPr>
        <w:t>前　　言</w:t>
      </w:r>
    </w:p>
    <w:p w14:paraId="440E502A">
      <w:pPr>
        <w:overflowPunct w:val="0"/>
        <w:spacing w:line="360" w:lineRule="auto"/>
        <w:ind w:firstLine="480" w:firstLineChars="200"/>
        <w:rPr>
          <w:rFonts w:ascii="Times New Roman" w:hAnsi="Times New Roman" w:eastAsia="宋体" w:cs="Times New Roman"/>
          <w:sz w:val="24"/>
          <w:szCs w:val="24"/>
        </w:rPr>
      </w:pPr>
    </w:p>
    <w:p w14:paraId="3522D82C">
      <w:pPr>
        <w:overflowPunct w:val="0"/>
        <w:snapToGrid w:val="0"/>
        <w:spacing w:line="360" w:lineRule="auto"/>
        <w:ind w:firstLine="480" w:firstLineChars="200"/>
        <w:rPr>
          <w:rFonts w:hint="eastAsia" w:ascii="宋体" w:hAnsi="宋体" w:eastAsia="宋体" w:cs="宋体"/>
          <w:sz w:val="24"/>
          <w:szCs w:val="24"/>
        </w:rPr>
      </w:pPr>
      <w:r>
        <w:rPr>
          <w:rFonts w:ascii="Times New Roman" w:hAnsi="Times New Roman" w:eastAsia="宋体" w:cs="Times New Roman"/>
          <w:sz w:val="24"/>
          <w:szCs w:val="24"/>
        </w:rPr>
        <w:t>根据中国工程建设标准化协会</w:t>
      </w:r>
      <w:r>
        <w:rPr>
          <w:rFonts w:hint="eastAsia" w:ascii="宋体" w:hAnsi="宋体" w:eastAsia="宋体" w:cs="宋体"/>
          <w:sz w:val="24"/>
          <w:szCs w:val="24"/>
        </w:rPr>
        <w:t>《【关于印发《2025年第一批协会标准制订</w:t>
      </w:r>
    </w:p>
    <w:p w14:paraId="7426347F">
      <w:pPr>
        <w:overflowPunct w:val="0"/>
        <w:snapToGrid w:val="0"/>
        <w:spacing w:line="360" w:lineRule="auto"/>
        <w:rPr>
          <w:rFonts w:ascii="Times New Roman" w:hAnsi="Times New Roman" w:eastAsia="宋体" w:cs="Times New Roman"/>
          <w:sz w:val="24"/>
          <w:szCs w:val="24"/>
        </w:rPr>
      </w:pPr>
      <w:r>
        <w:rPr>
          <w:rFonts w:hint="eastAsia" w:ascii="宋体" w:hAnsi="宋体" w:eastAsia="宋体" w:cs="宋体"/>
          <w:sz w:val="24"/>
          <w:szCs w:val="24"/>
        </w:rPr>
        <w:t>（修订）计划》的通知】（建标协字[2025]2</w:t>
      </w:r>
      <w:r>
        <w:rPr>
          <w:rFonts w:hint="eastAsia" w:ascii="宋体" w:hAnsi="宋体" w:eastAsia="宋体" w:cs="宋体"/>
          <w:sz w:val="24"/>
          <w:szCs w:val="24"/>
          <w:lang w:val="en-US" w:eastAsia="zh-CN"/>
        </w:rPr>
        <w:t>2</w:t>
      </w:r>
      <w:r>
        <w:rPr>
          <w:rFonts w:hint="eastAsia" w:ascii="宋体" w:hAnsi="宋体" w:eastAsia="宋体" w:cs="宋体"/>
          <w:sz w:val="24"/>
          <w:szCs w:val="24"/>
        </w:rPr>
        <w:t>号）</w:t>
      </w:r>
      <w:r>
        <w:rPr>
          <w:rFonts w:ascii="Times New Roman" w:hAnsi="Times New Roman" w:eastAsia="宋体" w:cs="Times New Roman"/>
          <w:sz w:val="24"/>
          <w:szCs w:val="24"/>
        </w:rPr>
        <w:t>的要求，编制组经</w:t>
      </w:r>
      <w:r>
        <w:rPr>
          <w:rFonts w:hint="eastAsia" w:ascii="Times New Roman" w:hAnsi="Times New Roman" w:eastAsia="宋体" w:cs="Times New Roman"/>
          <w:sz w:val="24"/>
          <w:szCs w:val="24"/>
        </w:rPr>
        <w:t>深入</w:t>
      </w:r>
      <w:r>
        <w:rPr>
          <w:rFonts w:ascii="Times New Roman" w:hAnsi="Times New Roman" w:eastAsia="宋体" w:cs="Times New Roman"/>
          <w:sz w:val="24"/>
          <w:szCs w:val="24"/>
        </w:rPr>
        <w:t>调查研究，认真总结实践经验，并在广泛征求意见的基础上，制定本标准。</w:t>
      </w:r>
    </w:p>
    <w:p w14:paraId="78B8D2C9">
      <w:pPr>
        <w:overflowPunct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本标准共分</w:t>
      </w:r>
      <w:r>
        <w:rPr>
          <w:rFonts w:hint="eastAsia" w:ascii="Times New Roman" w:hAnsi="Times New Roman" w:eastAsia="宋体" w:cs="Times New Roman"/>
          <w:sz w:val="24"/>
          <w:szCs w:val="24"/>
          <w:lang w:val="en-US" w:eastAsia="zh-CN"/>
        </w:rPr>
        <w:t>7</w:t>
      </w:r>
      <w:r>
        <w:rPr>
          <w:rFonts w:ascii="Times New Roman" w:hAnsi="Times New Roman" w:eastAsia="宋体" w:cs="Times New Roman"/>
          <w:sz w:val="24"/>
          <w:szCs w:val="24"/>
        </w:rPr>
        <w:t>章，主要技术内容包括：</w:t>
      </w:r>
      <w:r>
        <w:rPr>
          <w:rFonts w:hint="eastAsia" w:ascii="Times New Roman" w:hAnsi="Times New Roman" w:eastAsia="宋体" w:cs="Times New Roman"/>
          <w:sz w:val="24"/>
          <w:szCs w:val="24"/>
        </w:rPr>
        <w:t>总则、术语、基本规定、地块划分</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rPr>
        <w:t>功能混合、近地空间基面集约、立体景观配置。</w:t>
      </w:r>
      <w:r>
        <w:rPr>
          <w:rFonts w:ascii="Times New Roman" w:hAnsi="Times New Roman" w:eastAsia="宋体" w:cs="Times New Roman"/>
          <w:sz w:val="24"/>
          <w:szCs w:val="24"/>
        </w:rPr>
        <w:t>。</w:t>
      </w:r>
    </w:p>
    <w:p w14:paraId="657B6386">
      <w:pPr>
        <w:overflowPunct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本标准的某些内容可能直接或间接涉及专利，本标准的发布机构不承担识别这些专利的责任。</w:t>
      </w:r>
    </w:p>
    <w:p w14:paraId="49A60B48">
      <w:pPr>
        <w:overflowPunct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本标准由中国工程建设标准化协会建筑产业化分会归口管理，由</w:t>
      </w:r>
      <w:r>
        <w:rPr>
          <w:rFonts w:hint="eastAsia" w:ascii="Times New Roman" w:hAnsi="Times New Roman" w:eastAsia="宋体" w:cs="Times New Roman"/>
          <w:sz w:val="24"/>
          <w:szCs w:val="24"/>
        </w:rPr>
        <w:t>东南</w:t>
      </w:r>
      <w:r>
        <w:rPr>
          <w:rFonts w:ascii="Times New Roman" w:hAnsi="Times New Roman" w:eastAsia="宋体" w:cs="Times New Roman"/>
          <w:sz w:val="24"/>
          <w:szCs w:val="24"/>
        </w:rPr>
        <w:t>大学负责具体技术内容的解释。</w:t>
      </w:r>
      <w:r>
        <w:rPr>
          <w:rFonts w:hint="eastAsia" w:ascii="Times New Roman" w:hAnsi="Times New Roman" w:eastAsia="宋体" w:cs="Times New Roman"/>
          <w:sz w:val="24"/>
          <w:szCs w:val="24"/>
        </w:rPr>
        <w:t>实施</w:t>
      </w:r>
      <w:r>
        <w:rPr>
          <w:rFonts w:ascii="Times New Roman" w:hAnsi="Times New Roman" w:eastAsia="宋体" w:cs="Times New Roman"/>
          <w:sz w:val="24"/>
          <w:szCs w:val="24"/>
        </w:rPr>
        <w:t>过程中如有意见或建议，请寄送</w:t>
      </w:r>
      <w:r>
        <w:rPr>
          <w:rFonts w:hint="eastAsia" w:ascii="Times New Roman" w:hAnsi="Times New Roman" w:eastAsia="宋体" w:cs="Times New Roman"/>
          <w:sz w:val="24"/>
          <w:szCs w:val="24"/>
        </w:rPr>
        <w:t>至深圳大学（地址：广东省深圳市南山区南海大道 3688 号，邮编：518060）</w:t>
      </w:r>
      <w:r>
        <w:rPr>
          <w:rFonts w:ascii="Times New Roman" w:hAnsi="Times New Roman" w:eastAsia="宋体" w:cs="Times New Roman"/>
          <w:sz w:val="24"/>
          <w:szCs w:val="24"/>
        </w:rPr>
        <w:t>。</w:t>
      </w:r>
    </w:p>
    <w:p w14:paraId="2DD26A3F">
      <w:pPr>
        <w:overflowPunct w:val="0"/>
        <w:snapToGrid w:val="0"/>
        <w:spacing w:line="360" w:lineRule="auto"/>
        <w:ind w:firstLine="560" w:firstLineChars="200"/>
        <w:rPr>
          <w:rFonts w:ascii="Times New Roman" w:hAnsi="Times New Roman" w:eastAsia="黑体" w:cs="Times New Roman"/>
          <w:spacing w:val="20"/>
          <w:sz w:val="24"/>
          <w:szCs w:val="24"/>
        </w:rPr>
      </w:pPr>
      <w:r>
        <w:rPr>
          <w:rFonts w:ascii="Times New Roman" w:hAnsi="Times New Roman" w:eastAsia="黑体" w:cs="Times New Roman"/>
          <w:spacing w:val="20"/>
          <w:sz w:val="24"/>
          <w:szCs w:val="24"/>
        </w:rPr>
        <w:t>主编单位：</w:t>
      </w:r>
      <w:r>
        <w:rPr>
          <w:rFonts w:hint="eastAsia" w:ascii="Times New Roman" w:hAnsi="Times New Roman" w:eastAsia="宋体" w:cs="Times New Roman"/>
          <w:sz w:val="24"/>
          <w:szCs w:val="24"/>
          <w:lang w:val="en-US" w:eastAsia="zh-CN"/>
        </w:rPr>
        <w:t>深圳</w:t>
      </w:r>
      <w:r>
        <w:rPr>
          <w:rFonts w:hint="eastAsia" w:ascii="Times New Roman" w:hAnsi="Times New Roman" w:eastAsia="宋体" w:cs="Times New Roman"/>
          <w:sz w:val="24"/>
          <w:szCs w:val="24"/>
        </w:rPr>
        <w:t>大学</w:t>
      </w:r>
    </w:p>
    <w:p w14:paraId="31B09A98">
      <w:pPr>
        <w:overflowPunct w:val="0"/>
        <w:snapToGrid w:val="0"/>
        <w:spacing w:line="360" w:lineRule="auto"/>
        <w:ind w:firstLine="560" w:firstLineChars="200"/>
        <w:rPr>
          <w:rFonts w:ascii="Times New Roman" w:hAnsi="Times New Roman" w:eastAsia="黑体" w:cs="Times New Roman"/>
          <w:spacing w:val="20"/>
          <w:sz w:val="24"/>
          <w:szCs w:val="24"/>
        </w:rPr>
      </w:pPr>
      <w:r>
        <w:rPr>
          <w:rFonts w:ascii="Times New Roman" w:hAnsi="Times New Roman" w:eastAsia="黑体" w:cs="Times New Roman"/>
          <w:spacing w:val="20"/>
          <w:sz w:val="24"/>
          <w:szCs w:val="24"/>
        </w:rPr>
        <w:t>参编单位：</w:t>
      </w:r>
      <w:r>
        <w:rPr>
          <w:rFonts w:hint="eastAsia" w:ascii="Times New Roman" w:hAnsi="Times New Roman" w:eastAsia="黑体" w:cs="Times New Roman"/>
          <w:spacing w:val="20"/>
          <w:sz w:val="24"/>
          <w:szCs w:val="24"/>
        </w:rPr>
        <w:t>XXXX</w:t>
      </w:r>
    </w:p>
    <w:p w14:paraId="4F2A1BD7">
      <w:pPr>
        <w:overflowPunct w:val="0"/>
        <w:snapToGrid w:val="0"/>
        <w:spacing w:line="360" w:lineRule="auto"/>
        <w:ind w:firstLine="560" w:firstLineChars="200"/>
        <w:rPr>
          <w:rFonts w:ascii="Times New Roman" w:hAnsi="Times New Roman" w:eastAsia="黑体" w:cs="Times New Roman"/>
          <w:spacing w:val="20"/>
          <w:sz w:val="24"/>
          <w:szCs w:val="24"/>
        </w:rPr>
      </w:pPr>
      <w:r>
        <w:rPr>
          <w:rFonts w:hint="eastAsia" w:ascii="Times New Roman" w:hAnsi="Times New Roman" w:eastAsia="黑体" w:cs="Times New Roman"/>
          <w:spacing w:val="20"/>
          <w:sz w:val="24"/>
          <w:szCs w:val="24"/>
        </w:rPr>
        <w:t>主要起草人：</w:t>
      </w:r>
      <w:r>
        <w:rPr>
          <w:rFonts w:ascii="Times New Roman" w:hAnsi="Times New Roman" w:eastAsia="宋体" w:cs="Times New Roman"/>
          <w:sz w:val="24"/>
          <w:szCs w:val="24"/>
        </w:rPr>
        <w:t>XXXX</w:t>
      </w:r>
    </w:p>
    <w:p w14:paraId="74ED328F">
      <w:pPr>
        <w:overflowPunct w:val="0"/>
        <w:snapToGrid w:val="0"/>
        <w:spacing w:line="360" w:lineRule="auto"/>
        <w:ind w:firstLine="560" w:firstLineChars="200"/>
        <w:rPr>
          <w:rFonts w:ascii="Times New Roman" w:hAnsi="Times New Roman" w:eastAsia="黑体" w:cs="Times New Roman"/>
          <w:spacing w:val="20"/>
          <w:sz w:val="24"/>
          <w:szCs w:val="24"/>
        </w:rPr>
      </w:pPr>
      <w:r>
        <w:rPr>
          <w:rFonts w:hint="eastAsia" w:ascii="Times New Roman" w:hAnsi="Times New Roman" w:eastAsia="黑体" w:cs="Times New Roman"/>
          <w:spacing w:val="20"/>
          <w:sz w:val="24"/>
          <w:szCs w:val="24"/>
        </w:rPr>
        <w:t>主要审查人：</w:t>
      </w:r>
      <w:r>
        <w:rPr>
          <w:rFonts w:ascii="Times New Roman" w:hAnsi="Times New Roman" w:eastAsia="宋体" w:cs="Times New Roman"/>
          <w:sz w:val="24"/>
          <w:szCs w:val="24"/>
        </w:rPr>
        <w:t>XXXX</w:t>
      </w:r>
    </w:p>
    <w:p w14:paraId="321E2F6C">
      <w:pPr>
        <w:widowControl/>
        <w:overflowPunct w:val="0"/>
        <w:jc w:val="left"/>
        <w:rPr>
          <w:rFonts w:ascii="Times New Roman" w:hAnsi="Times New Roman" w:eastAsia="宋体" w:cs="Times New Roman"/>
          <w:sz w:val="24"/>
          <w:szCs w:val="24"/>
        </w:rPr>
      </w:pPr>
    </w:p>
    <w:p w14:paraId="4B0E0884">
      <w:pPr>
        <w:overflowPunct w:val="0"/>
        <w:spacing w:line="360" w:lineRule="auto"/>
        <w:ind w:firstLine="480" w:firstLineChars="200"/>
        <w:rPr>
          <w:rFonts w:ascii="Times New Roman" w:hAnsi="Times New Roman" w:eastAsia="宋体" w:cs="Times New Roman"/>
          <w:sz w:val="24"/>
          <w:szCs w:val="24"/>
        </w:rPr>
        <w:sectPr>
          <w:footerReference r:id="rId6" w:type="default"/>
          <w:pgSz w:w="11906" w:h="16838"/>
          <w:pgMar w:top="1440" w:right="1800" w:bottom="1440" w:left="1800" w:header="851" w:footer="992" w:gutter="0"/>
          <w:pgNumType w:start="1"/>
          <w:cols w:space="425" w:num="1"/>
          <w:docGrid w:type="lines" w:linePitch="312" w:charSpace="0"/>
        </w:sectPr>
      </w:pPr>
    </w:p>
    <w:p w14:paraId="1205A955">
      <w:pPr>
        <w:overflowPunct w:val="0"/>
        <w:jc w:val="center"/>
        <w:rPr>
          <w:rFonts w:ascii="Times New Roman" w:hAnsi="Times New Roman" w:eastAsia="仿宋" w:cs="Times New Roman"/>
          <w:b/>
          <w:bCs/>
          <w:sz w:val="32"/>
          <w:lang w:val="zh-CN"/>
        </w:rPr>
      </w:pPr>
      <w:r>
        <w:rPr>
          <w:rFonts w:ascii="Times New Roman" w:hAnsi="Times New Roman" w:eastAsia="仿宋" w:cs="Times New Roman"/>
          <w:b/>
          <w:bCs/>
          <w:sz w:val="32"/>
          <w:lang w:val="zh-CN"/>
        </w:rPr>
        <w:t>目　　次</w:t>
      </w:r>
    </w:p>
    <w:p w14:paraId="0A4D4782">
      <w:pPr>
        <w:pStyle w:val="17"/>
        <w:rPr>
          <w:rFonts w:hint="eastAsia"/>
        </w:rPr>
      </w:pPr>
      <w:r>
        <w:fldChar w:fldCharType="begin"/>
      </w:r>
      <w:r>
        <w:instrText xml:space="preserve"> TOC \o "1-2" \h \z \u </w:instrText>
      </w:r>
      <w:r>
        <w:fldChar w:fldCharType="separate"/>
      </w:r>
      <w:r>
        <w:fldChar w:fldCharType="begin"/>
      </w:r>
      <w:r>
        <w:instrText xml:space="preserve"> HYPERLINK \l "_Toc221098628" </w:instrText>
      </w:r>
      <w:r>
        <w:fldChar w:fldCharType="separate"/>
      </w:r>
      <w:r>
        <w:rPr>
          <w:rFonts w:hint="eastAsia"/>
        </w:rPr>
        <w:t>1　总　　则</w:t>
      </w:r>
      <w:r>
        <w:rPr>
          <w:rFonts w:hint="eastAsia"/>
        </w:rPr>
        <w:tab/>
      </w:r>
      <w:r>
        <w:rPr>
          <w:rFonts w:hint="eastAsia"/>
          <w:lang w:val="en-US" w:eastAsia="zh-CN"/>
        </w:rPr>
        <w:t>3</w:t>
      </w:r>
      <w:r>
        <w:rPr>
          <w:rFonts w:hint="eastAsia"/>
        </w:rPr>
        <w:fldChar w:fldCharType="end"/>
      </w:r>
    </w:p>
    <w:p w14:paraId="51BCF8BA">
      <w:pPr>
        <w:pStyle w:val="17"/>
        <w:rPr>
          <w:rFonts w:hint="eastAsia"/>
        </w:rPr>
      </w:pPr>
      <w:r>
        <w:fldChar w:fldCharType="begin"/>
      </w:r>
      <w:r>
        <w:instrText xml:space="preserve"> HYPERLINK \l "_Toc221098629" </w:instrText>
      </w:r>
      <w:r>
        <w:fldChar w:fldCharType="separate"/>
      </w:r>
      <w:r>
        <w:rPr>
          <w:rFonts w:hint="eastAsia"/>
        </w:rPr>
        <w:t>2　术　　语</w:t>
      </w:r>
      <w:r>
        <w:rPr>
          <w:rFonts w:hint="eastAsia"/>
        </w:rPr>
        <w:tab/>
      </w:r>
      <w:r>
        <w:rPr>
          <w:rFonts w:hint="eastAsia"/>
          <w:lang w:val="en-US" w:eastAsia="zh-CN"/>
        </w:rPr>
        <w:t>4</w:t>
      </w:r>
      <w:r>
        <w:rPr>
          <w:rFonts w:hint="eastAsia"/>
        </w:rPr>
        <w:fldChar w:fldCharType="end"/>
      </w:r>
    </w:p>
    <w:p w14:paraId="599EE1BE">
      <w:pPr>
        <w:pStyle w:val="17"/>
        <w:rPr>
          <w:rFonts w:hint="eastAsia"/>
        </w:rPr>
      </w:pPr>
      <w:r>
        <w:fldChar w:fldCharType="begin"/>
      </w:r>
      <w:r>
        <w:instrText xml:space="preserve"> HYPERLINK \l "_Toc221098630" </w:instrText>
      </w:r>
      <w:r>
        <w:fldChar w:fldCharType="separate"/>
      </w:r>
      <w:r>
        <w:rPr>
          <w:rFonts w:hint="eastAsia"/>
        </w:rPr>
        <w:t>3　</w:t>
      </w:r>
      <w:r>
        <w:rPr>
          <w:rFonts w:hint="eastAsia"/>
          <w:lang w:val="en-US" w:eastAsia="zh-CN"/>
        </w:rPr>
        <w:t>基本规定</w:t>
      </w:r>
      <w:r>
        <w:rPr>
          <w:rFonts w:hint="eastAsia"/>
        </w:rPr>
        <w:tab/>
      </w:r>
      <w:r>
        <w:rPr>
          <w:rFonts w:hint="eastAsia"/>
          <w:lang w:val="en-US" w:eastAsia="zh-CN"/>
        </w:rPr>
        <w:t>6</w:t>
      </w:r>
      <w:r>
        <w:rPr>
          <w:rFonts w:hint="eastAsia"/>
        </w:rPr>
        <w:fldChar w:fldCharType="end"/>
      </w:r>
    </w:p>
    <w:p w14:paraId="3F471EA0">
      <w:pPr>
        <w:pStyle w:val="17"/>
        <w:rPr>
          <w:rFonts w:hint="eastAsia"/>
        </w:rPr>
      </w:pPr>
      <w:r>
        <w:fldChar w:fldCharType="begin"/>
      </w:r>
      <w:r>
        <w:instrText xml:space="preserve"> HYPERLINK \l "_Toc221098631" </w:instrText>
      </w:r>
      <w:r>
        <w:fldChar w:fldCharType="separate"/>
      </w:r>
      <w:r>
        <w:rPr>
          <w:rFonts w:hint="eastAsia"/>
        </w:rPr>
        <w:t>4　</w:t>
      </w:r>
      <w:r>
        <w:rPr>
          <w:rFonts w:hint="eastAsia"/>
          <w:lang w:val="en-US" w:eastAsia="zh-CN"/>
        </w:rPr>
        <w:t>地块划分</w:t>
      </w:r>
      <w:r>
        <w:rPr>
          <w:rFonts w:hint="eastAsia"/>
        </w:rPr>
        <w:tab/>
      </w:r>
      <w:r>
        <w:rPr>
          <w:rFonts w:hint="eastAsia"/>
          <w:lang w:val="en-US" w:eastAsia="zh-CN"/>
        </w:rPr>
        <w:t>7</w:t>
      </w:r>
      <w:r>
        <w:rPr>
          <w:rFonts w:hint="eastAsia"/>
        </w:rPr>
        <w:fldChar w:fldCharType="end"/>
      </w:r>
    </w:p>
    <w:p w14:paraId="0FD5EADD">
      <w:pPr>
        <w:pStyle w:val="17"/>
        <w:rPr>
          <w:rFonts w:hint="eastAsia"/>
        </w:rPr>
      </w:pPr>
      <w:r>
        <w:fldChar w:fldCharType="begin"/>
      </w:r>
      <w:r>
        <w:instrText xml:space="preserve"> HYPERLINK \l "_Toc221098634" </w:instrText>
      </w:r>
      <w:r>
        <w:fldChar w:fldCharType="separate"/>
      </w:r>
      <w:r>
        <w:rPr>
          <w:rFonts w:hint="eastAsia"/>
        </w:rPr>
        <w:t>5　</w:t>
      </w:r>
      <w:r>
        <w:rPr>
          <w:rFonts w:hint="eastAsia"/>
          <w:lang w:val="en-US" w:eastAsia="zh-CN"/>
        </w:rPr>
        <w:t>功能混合</w:t>
      </w:r>
      <w:r>
        <w:rPr>
          <w:rFonts w:hint="eastAsia"/>
        </w:rPr>
        <w:tab/>
      </w:r>
      <w:r>
        <w:rPr>
          <w:rFonts w:hint="eastAsia"/>
          <w:lang w:val="en-US" w:eastAsia="zh-CN"/>
        </w:rPr>
        <w:t>8</w:t>
      </w:r>
      <w:r>
        <w:rPr>
          <w:rFonts w:hint="eastAsia"/>
        </w:rPr>
        <w:fldChar w:fldCharType="end"/>
      </w:r>
    </w:p>
    <w:p w14:paraId="6F05E825">
      <w:pPr>
        <w:pStyle w:val="17"/>
        <w:rPr>
          <w:rFonts w:hint="eastAsia"/>
        </w:rPr>
      </w:pPr>
      <w:r>
        <w:fldChar w:fldCharType="begin"/>
      </w:r>
      <w:r>
        <w:instrText xml:space="preserve"> HYPERLINK \l "_Toc221098640" </w:instrText>
      </w:r>
      <w:r>
        <w:fldChar w:fldCharType="separate"/>
      </w:r>
      <w:r>
        <w:rPr>
          <w:rFonts w:hint="eastAsia"/>
        </w:rPr>
        <w:t>6　</w:t>
      </w:r>
      <w:r>
        <w:rPr>
          <w:rFonts w:hint="eastAsia"/>
          <w:lang w:val="en-US" w:eastAsia="zh-CN"/>
        </w:rPr>
        <w:t>近地空间基面集约</w:t>
      </w:r>
      <w:r>
        <w:rPr>
          <w:rFonts w:hint="eastAsia"/>
        </w:rPr>
        <w:tab/>
      </w:r>
      <w:r>
        <w:rPr>
          <w:rFonts w:hint="eastAsia"/>
        </w:rPr>
        <w:fldChar w:fldCharType="begin"/>
      </w:r>
      <w:r>
        <w:rPr>
          <w:rFonts w:hint="eastAsia"/>
        </w:rPr>
        <w:instrText xml:space="preserve"> </w:instrText>
      </w:r>
      <w:r>
        <w:instrText xml:space="preserve">PAGEREF _Toc221098640 \h</w:instrText>
      </w:r>
      <w:r>
        <w:rPr>
          <w:rFonts w:hint="eastAsia"/>
        </w:rPr>
        <w:instrText xml:space="preserve"> </w:instrText>
      </w:r>
      <w:r>
        <w:rPr>
          <w:rFonts w:hint="eastAsia"/>
        </w:rPr>
        <w:fldChar w:fldCharType="separate"/>
      </w:r>
      <w:r>
        <w:t>1</w:t>
      </w:r>
      <w:r>
        <w:rPr>
          <w:rFonts w:hint="eastAsia"/>
          <w:lang w:val="en-US" w:eastAsia="zh-CN"/>
        </w:rPr>
        <w:t>1</w:t>
      </w:r>
      <w:r>
        <w:rPr>
          <w:rFonts w:hint="eastAsia"/>
        </w:rPr>
        <w:fldChar w:fldCharType="end"/>
      </w:r>
      <w:r>
        <w:rPr>
          <w:rFonts w:hint="eastAsia"/>
        </w:rPr>
        <w:fldChar w:fldCharType="end"/>
      </w:r>
    </w:p>
    <w:p w14:paraId="4458A25F">
      <w:pPr>
        <w:pStyle w:val="17"/>
        <w:rPr>
          <w:rFonts w:hint="eastAsia"/>
          <w:lang w:val="en-US" w:eastAsia="zh-CN"/>
        </w:rPr>
      </w:pPr>
      <w:r>
        <w:fldChar w:fldCharType="begin"/>
      </w:r>
      <w:r>
        <w:instrText xml:space="preserve"> HYPERLINK \l "_Toc221098646" </w:instrText>
      </w:r>
      <w:r>
        <w:fldChar w:fldCharType="separate"/>
      </w:r>
      <w:r>
        <w:rPr>
          <w:rFonts w:hint="eastAsia"/>
        </w:rPr>
        <w:t>7　</w:t>
      </w:r>
      <w:r>
        <w:rPr>
          <w:rFonts w:hint="eastAsia"/>
          <w:lang w:val="en-US" w:eastAsia="zh-CN"/>
        </w:rPr>
        <w:t>立体景观配置</w:t>
      </w:r>
      <w:r>
        <w:rPr>
          <w:rFonts w:hint="eastAsia"/>
        </w:rPr>
        <w:tab/>
      </w:r>
      <w:r>
        <w:rPr>
          <w:rFonts w:hint="eastAsia"/>
          <w:lang w:val="en-US" w:eastAsia="zh-CN"/>
        </w:rPr>
        <w:t>1</w:t>
      </w:r>
      <w:r>
        <w:rPr>
          <w:rFonts w:hint="eastAsia"/>
        </w:rPr>
        <w:fldChar w:fldCharType="end"/>
      </w:r>
      <w:r>
        <w:rPr>
          <w:rFonts w:hint="eastAsia"/>
          <w:lang w:val="en-US" w:eastAsia="zh-CN"/>
        </w:rPr>
        <w:t>4</w:t>
      </w:r>
    </w:p>
    <w:p w14:paraId="098CB029">
      <w:pPr>
        <w:pStyle w:val="17"/>
        <w:rPr>
          <w:rFonts w:hint="eastAsia"/>
          <w:lang w:val="en-US" w:eastAsia="zh-CN"/>
        </w:rPr>
      </w:pPr>
      <w:r>
        <w:fldChar w:fldCharType="begin"/>
      </w:r>
      <w:r>
        <w:instrText xml:space="preserve"> HYPERLINK \l "_Toc221098656" </w:instrText>
      </w:r>
      <w:r>
        <w:fldChar w:fldCharType="separate"/>
      </w:r>
      <w:r>
        <w:rPr>
          <w:rFonts w:hint="eastAsia"/>
        </w:rPr>
        <w:t>用词说明</w:t>
      </w:r>
      <w:r>
        <w:rPr>
          <w:rFonts w:hint="eastAsia"/>
        </w:rPr>
        <w:tab/>
      </w:r>
      <w:r>
        <w:rPr>
          <w:rFonts w:hint="eastAsia"/>
          <w:lang w:val="en-US" w:eastAsia="zh-CN"/>
        </w:rPr>
        <w:t>1</w:t>
      </w:r>
      <w:r>
        <w:rPr>
          <w:rFonts w:hint="eastAsia"/>
        </w:rPr>
        <w:fldChar w:fldCharType="end"/>
      </w:r>
      <w:r>
        <w:rPr>
          <w:rFonts w:hint="eastAsia"/>
          <w:lang w:val="en-US" w:eastAsia="zh-CN"/>
        </w:rPr>
        <w:t>5</w:t>
      </w:r>
    </w:p>
    <w:p w14:paraId="754ECA9D">
      <w:pPr>
        <w:pStyle w:val="17"/>
        <w:rPr>
          <w:rFonts w:hint="eastAsia"/>
          <w:lang w:val="en-US" w:eastAsia="zh-CN"/>
        </w:rPr>
      </w:pPr>
      <w:r>
        <w:fldChar w:fldCharType="begin"/>
      </w:r>
      <w:r>
        <w:instrText xml:space="preserve"> HYPERLINK \l "_Toc221098657" </w:instrText>
      </w:r>
      <w:r>
        <w:fldChar w:fldCharType="separate"/>
      </w:r>
      <w:r>
        <w:rPr>
          <w:rFonts w:hint="eastAsia"/>
        </w:rPr>
        <w:t>引用标准名录</w:t>
      </w:r>
      <w:r>
        <w:rPr>
          <w:rFonts w:hint="eastAsia"/>
        </w:rPr>
        <w:tab/>
      </w:r>
      <w:r>
        <w:rPr>
          <w:rFonts w:hint="eastAsia"/>
          <w:lang w:val="en-US" w:eastAsia="zh-CN"/>
        </w:rPr>
        <w:t>1</w:t>
      </w:r>
      <w:r>
        <w:rPr>
          <w:rFonts w:hint="eastAsia"/>
        </w:rPr>
        <w:fldChar w:fldCharType="end"/>
      </w:r>
      <w:r>
        <w:rPr>
          <w:rFonts w:hint="eastAsia"/>
          <w:lang w:val="en-US" w:eastAsia="zh-CN"/>
        </w:rPr>
        <w:t>6</w:t>
      </w:r>
    </w:p>
    <w:p w14:paraId="5485EE9B">
      <w:pPr>
        <w:pStyle w:val="17"/>
        <w:rPr>
          <w:rFonts w:hint="default" w:eastAsia="宋体"/>
          <w:lang w:val="en-US" w:eastAsia="zh-CN"/>
        </w:rPr>
      </w:pPr>
      <w:r>
        <w:rPr>
          <w:rFonts w:hint="eastAsia"/>
          <w:lang w:val="en-US" w:eastAsia="zh-CN"/>
        </w:rPr>
        <w:t>条文说明</w:t>
      </w:r>
      <w:r>
        <w:fldChar w:fldCharType="end"/>
      </w:r>
      <w:r>
        <w:rPr>
          <w:rFonts w:hint="eastAsia"/>
        </w:rPr>
        <w:tab/>
      </w:r>
      <w:r>
        <w:rPr>
          <w:rFonts w:hint="eastAsia"/>
          <w:lang w:val="en-US" w:eastAsia="zh-CN"/>
        </w:rPr>
        <w:t>17</w:t>
      </w:r>
    </w:p>
    <w:p w14:paraId="07996C09">
      <w:pPr>
        <w:pStyle w:val="17"/>
        <w:rPr>
          <w:color w:val="auto"/>
        </w:rPr>
      </w:pPr>
      <w:r>
        <w:rPr>
          <w:color w:val="auto"/>
        </w:rPr>
        <w:br w:type="page"/>
      </w:r>
    </w:p>
    <w:p w14:paraId="72FA025A">
      <w:pPr>
        <w:keepNext/>
        <w:keepLines/>
        <w:tabs>
          <w:tab w:val="left" w:pos="-376"/>
        </w:tabs>
        <w:overflowPunct w:val="0"/>
        <w:spacing w:before="156" w:beforeLines="50" w:after="156" w:afterLines="50" w:line="360" w:lineRule="auto"/>
        <w:ind w:left="425" w:hanging="425"/>
        <w:jc w:val="center"/>
        <w:outlineLvl w:val="0"/>
        <w:rPr>
          <w:rFonts w:ascii="Times New Roman" w:hAnsi="Times New Roman" w:eastAsia="宋体" w:cs="Times New Roman"/>
          <w:b/>
          <w:kern w:val="44"/>
          <w:sz w:val="32"/>
          <w:szCs w:val="32"/>
          <w:lang w:bidi="zh-CN"/>
        </w:rPr>
      </w:pPr>
      <w:bookmarkStart w:id="10" w:name="_Toc221098628"/>
      <w:bookmarkStart w:id="11" w:name="_Toc94165780"/>
      <w:bookmarkStart w:id="12" w:name="_Toc192409842"/>
      <w:bookmarkStart w:id="13" w:name="_Toc14812"/>
      <w:bookmarkStart w:id="14" w:name="_Toc192446582"/>
      <w:bookmarkStart w:id="15" w:name="_Toc9054"/>
      <w:bookmarkStart w:id="16" w:name="_Toc5335"/>
      <w:r>
        <w:rPr>
          <w:rFonts w:ascii="Times New Roman" w:hAnsi="Times New Roman" w:eastAsia="宋体" w:cs="Times New Roman"/>
          <w:b/>
          <w:kern w:val="44"/>
          <w:sz w:val="32"/>
          <w:szCs w:val="32"/>
          <w:lang w:bidi="zh-CN"/>
        </w:rPr>
        <w:t>1　总　　则</w:t>
      </w:r>
      <w:bookmarkEnd w:id="10"/>
      <w:bookmarkEnd w:id="11"/>
      <w:bookmarkEnd w:id="12"/>
      <w:bookmarkEnd w:id="13"/>
      <w:bookmarkEnd w:id="14"/>
      <w:bookmarkEnd w:id="15"/>
      <w:bookmarkEnd w:id="16"/>
      <w:r>
        <w:rPr>
          <w:rFonts w:ascii="Times New Roman" w:hAnsi="Times New Roman" w:eastAsia="宋体" w:cs="Times New Roman"/>
          <w:b/>
          <w:kern w:val="44"/>
          <w:sz w:val="32"/>
          <w:szCs w:val="32"/>
          <w:lang w:bidi="zh-CN"/>
        </w:rPr>
        <w:fldChar w:fldCharType="begin"/>
      </w:r>
      <w:r>
        <w:rPr>
          <w:rFonts w:hint="eastAsia"/>
        </w:rPr>
        <w:instrText xml:space="preserve"> </w:instrText>
      </w:r>
      <w:r>
        <w:instrText xml:space="preserve">TC "</w:instrText>
      </w:r>
      <w:bookmarkStart w:id="17" w:name="_Toc221098658"/>
      <w:r>
        <w:rPr>
          <w:rFonts w:hint="eastAsia" w:ascii="Times New Roman" w:hAnsi="Times New Roman" w:eastAsia="宋体" w:cs="Times New Roman"/>
          <w:bCs/>
          <w:kern w:val="44"/>
          <w:sz w:val="32"/>
          <w:szCs w:val="32"/>
          <w:lang w:bidi="zh-CN"/>
        </w:rPr>
        <w:instrText xml:space="preserve">1  General principles</w:instrText>
      </w:r>
      <w:bookmarkEnd w:id="17"/>
      <w:r>
        <w:instrText xml:space="preserve">" \f C \l "1"</w:instrText>
      </w:r>
      <w:r>
        <w:rPr>
          <w:rFonts w:hint="eastAsia"/>
        </w:rPr>
        <w:instrText xml:space="preserve"> </w:instrText>
      </w:r>
      <w:r>
        <w:rPr>
          <w:rFonts w:ascii="Times New Roman" w:hAnsi="Times New Roman" w:eastAsia="宋体" w:cs="Times New Roman"/>
          <w:b/>
          <w:kern w:val="44"/>
          <w:sz w:val="32"/>
          <w:szCs w:val="32"/>
          <w:lang w:bidi="zh-CN"/>
        </w:rPr>
        <w:fldChar w:fldCharType="end"/>
      </w:r>
    </w:p>
    <w:p w14:paraId="7C392A02">
      <w:pPr>
        <w:widowControl/>
        <w:overflowPunct w:val="0"/>
        <w:spacing w:line="360" w:lineRule="auto"/>
        <w:rPr>
          <w:rFonts w:ascii="Times New Roman" w:hAnsi="Times New Roman" w:eastAsia="宋体" w:cs="Times New Roman"/>
          <w:kern w:val="0"/>
          <w:sz w:val="24"/>
          <w:szCs w:val="24"/>
          <w:lang w:bidi="zh-CN"/>
        </w:rPr>
      </w:pPr>
      <w:r>
        <w:rPr>
          <w:rFonts w:ascii="Times New Roman" w:hAnsi="Times New Roman" w:eastAsia="宋体" w:cs="Times New Roman"/>
          <w:b/>
          <w:bCs/>
          <w:kern w:val="0"/>
          <w:sz w:val="24"/>
          <w:szCs w:val="24"/>
          <w:lang w:bidi="zh-CN"/>
        </w:rPr>
        <w:t>1.0.1</w:t>
      </w:r>
      <w:r>
        <w:rPr>
          <w:rFonts w:hint="eastAsia" w:ascii="Times New Roman" w:hAnsi="Times New Roman" w:eastAsia="宋体" w:cs="Times New Roman"/>
          <w:b/>
          <w:bCs/>
          <w:kern w:val="0"/>
          <w:sz w:val="24"/>
          <w:szCs w:val="24"/>
          <w:lang w:bidi="zh-CN"/>
        </w:rPr>
        <w:t xml:space="preserve">   </w:t>
      </w:r>
      <w:r>
        <w:rPr>
          <w:rFonts w:hint="eastAsia" w:ascii="Times New Roman" w:hAnsi="Times New Roman" w:eastAsia="宋体" w:cs="Times New Roman"/>
          <w:kern w:val="0"/>
          <w:sz w:val="24"/>
          <w:szCs w:val="24"/>
          <w:lang w:bidi="zh-CN"/>
        </w:rPr>
        <w:t>为高质量推进新型城镇化，实施城市更新行动，建设宜居宜业城市，提供城市高强度片区空间形态集约设计方法，提高城市高强度片区对空间资源的组织能力与利用效率，制定本标准。</w:t>
      </w:r>
    </w:p>
    <w:p w14:paraId="27308B8A">
      <w:pPr>
        <w:widowControl/>
        <w:overflowPunct w:val="0"/>
        <w:spacing w:line="360" w:lineRule="auto"/>
        <w:rPr>
          <w:rFonts w:hint="eastAsia" w:ascii="Times New Roman" w:hAnsi="Times New Roman" w:eastAsia="宋体" w:cs="Times New Roman"/>
          <w:kern w:val="0"/>
          <w:sz w:val="24"/>
          <w:szCs w:val="24"/>
          <w:lang w:bidi="zh-CN"/>
        </w:rPr>
      </w:pPr>
      <w:r>
        <w:rPr>
          <w:rFonts w:ascii="Times New Roman" w:hAnsi="Times New Roman" w:eastAsia="宋体" w:cs="Times New Roman"/>
          <w:b/>
          <w:bCs/>
          <w:kern w:val="0"/>
          <w:sz w:val="24"/>
          <w:szCs w:val="24"/>
          <w:lang w:bidi="zh-CN"/>
        </w:rPr>
        <w:t>1.0.2</w:t>
      </w:r>
      <w:r>
        <w:rPr>
          <w:rFonts w:hint="eastAsia" w:ascii="Times New Roman" w:hAnsi="Times New Roman" w:eastAsia="宋体" w:cs="Times New Roman"/>
          <w:b/>
          <w:bCs/>
          <w:kern w:val="0"/>
          <w:sz w:val="24"/>
          <w:szCs w:val="24"/>
          <w:lang w:bidi="zh-CN"/>
        </w:rPr>
        <w:t xml:space="preserve">   </w:t>
      </w:r>
      <w:r>
        <w:rPr>
          <w:rFonts w:hint="eastAsia" w:ascii="Times New Roman" w:hAnsi="Times New Roman" w:eastAsia="宋体" w:cs="Times New Roman"/>
          <w:kern w:val="0"/>
          <w:sz w:val="24"/>
          <w:szCs w:val="24"/>
          <w:lang w:bidi="zh-CN"/>
        </w:rPr>
        <w:t>本标准适用于城市高强度片区的规划设计与更新工作。</w:t>
      </w:r>
    </w:p>
    <w:p w14:paraId="78963035">
      <w:pPr>
        <w:widowControl/>
        <w:overflowPunct w:val="0"/>
        <w:spacing w:line="360" w:lineRule="auto"/>
        <w:rPr>
          <w:rFonts w:hint="eastAsia" w:ascii="Times New Roman" w:hAnsi="Times New Roman" w:eastAsia="宋体" w:cs="Times New Roman"/>
          <w:kern w:val="0"/>
          <w:sz w:val="24"/>
          <w:szCs w:val="24"/>
          <w:lang w:bidi="zh-CN"/>
        </w:rPr>
      </w:pPr>
      <w:r>
        <w:rPr>
          <w:rFonts w:ascii="Times New Roman" w:hAnsi="Times New Roman" w:eastAsia="宋体" w:cs="Times New Roman"/>
          <w:b/>
          <w:bCs/>
          <w:kern w:val="0"/>
          <w:sz w:val="24"/>
          <w:szCs w:val="24"/>
          <w:lang w:bidi="zh-CN"/>
        </w:rPr>
        <w:t>1.0.3</w:t>
      </w:r>
      <w:r>
        <w:rPr>
          <w:rFonts w:hint="eastAsia" w:ascii="Times New Roman" w:hAnsi="Times New Roman" w:eastAsia="宋体" w:cs="Times New Roman"/>
          <w:b/>
          <w:bCs/>
          <w:kern w:val="0"/>
          <w:sz w:val="24"/>
          <w:szCs w:val="24"/>
          <w:lang w:bidi="zh-CN"/>
        </w:rPr>
        <w:t xml:space="preserve">   </w:t>
      </w:r>
      <w:r>
        <w:rPr>
          <w:rFonts w:hint="eastAsia" w:ascii="Times New Roman" w:hAnsi="Times New Roman" w:eastAsia="宋体" w:cs="Times New Roman"/>
          <w:kern w:val="0"/>
          <w:sz w:val="24"/>
          <w:szCs w:val="24"/>
          <w:lang w:bidi="zh-CN"/>
        </w:rPr>
        <w:t>城市高强度片区的空间形态设计除了应符合本标准规定外，尚应符合国家现有关标准和现行中国工程建设标准化协会有关标准规定。</w:t>
      </w:r>
    </w:p>
    <w:p w14:paraId="2F702D59">
      <w:pPr>
        <w:widowControl/>
        <w:overflowPunct w:val="0"/>
        <w:spacing w:line="360" w:lineRule="auto"/>
        <w:rPr>
          <w:rFonts w:hint="eastAsia" w:ascii="Times New Roman" w:hAnsi="Times New Roman" w:eastAsia="宋体" w:cs="Times New Roman"/>
          <w:kern w:val="0"/>
          <w:sz w:val="24"/>
          <w:szCs w:val="24"/>
          <w:lang w:bidi="zh-CN"/>
        </w:rPr>
      </w:pPr>
      <w:r>
        <w:rPr>
          <w:rFonts w:ascii="Times New Roman" w:hAnsi="Times New Roman" w:eastAsia="宋体" w:cs="Times New Roman"/>
          <w:b/>
          <w:bCs/>
          <w:kern w:val="0"/>
          <w:sz w:val="24"/>
          <w:szCs w:val="24"/>
          <w:lang w:bidi="zh-CN"/>
        </w:rPr>
        <w:t>1.0.</w:t>
      </w:r>
      <w:r>
        <w:rPr>
          <w:rFonts w:hint="eastAsia" w:ascii="Times New Roman" w:hAnsi="Times New Roman" w:eastAsia="宋体" w:cs="Times New Roman"/>
          <w:b/>
          <w:bCs/>
          <w:kern w:val="0"/>
          <w:sz w:val="24"/>
          <w:szCs w:val="24"/>
          <w:lang w:val="en-US" w:bidi="zh-CN"/>
        </w:rPr>
        <w:t>4</w:t>
      </w:r>
      <w:r>
        <w:rPr>
          <w:rFonts w:hint="eastAsia" w:ascii="Times New Roman" w:hAnsi="Times New Roman" w:eastAsia="宋体" w:cs="Times New Roman"/>
          <w:b/>
          <w:bCs/>
          <w:kern w:val="0"/>
          <w:sz w:val="24"/>
          <w:szCs w:val="24"/>
          <w:lang w:bidi="zh-CN"/>
        </w:rPr>
        <w:t xml:space="preserve">   </w:t>
      </w:r>
      <w:r>
        <w:rPr>
          <w:rFonts w:hint="eastAsia" w:ascii="Times New Roman" w:hAnsi="Times New Roman" w:eastAsia="宋体" w:cs="Times New Roman"/>
          <w:b w:val="0"/>
          <w:bCs w:val="0"/>
          <w:kern w:val="0"/>
          <w:sz w:val="24"/>
          <w:szCs w:val="24"/>
          <w:lang w:bidi="zh-CN"/>
        </w:rPr>
        <w:t>城市高强度片区空间形态设计适用于已建成的城市新建片区、城市老旧片区，也适用于城市设计方案。</w:t>
      </w:r>
    </w:p>
    <w:p w14:paraId="34C464FB">
      <w:pPr>
        <w:widowControl/>
        <w:overflowPunct w:val="0"/>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br w:type="page"/>
      </w:r>
    </w:p>
    <w:p w14:paraId="6D62B13F">
      <w:pPr>
        <w:keepNext/>
        <w:keepLines/>
        <w:tabs>
          <w:tab w:val="left" w:pos="-376"/>
        </w:tabs>
        <w:overflowPunct w:val="0"/>
        <w:spacing w:before="156" w:beforeLines="50" w:after="156" w:afterLines="50" w:line="360" w:lineRule="auto"/>
        <w:ind w:left="425" w:hanging="425"/>
        <w:jc w:val="center"/>
        <w:outlineLvl w:val="0"/>
        <w:rPr>
          <w:rFonts w:ascii="Times New Roman" w:hAnsi="Times New Roman" w:eastAsia="宋体" w:cs="Times New Roman"/>
          <w:b/>
          <w:kern w:val="44"/>
          <w:sz w:val="32"/>
          <w:szCs w:val="32"/>
          <w:lang w:bidi="zh-CN"/>
        </w:rPr>
      </w:pPr>
      <w:bookmarkStart w:id="18" w:name="_Toc94165781"/>
      <w:bookmarkStart w:id="19" w:name="_Toc28200"/>
      <w:bookmarkStart w:id="20" w:name="_Toc192446583"/>
      <w:bookmarkStart w:id="21" w:name="_Toc192409843"/>
      <w:bookmarkStart w:id="22" w:name="_Toc10884"/>
      <w:bookmarkStart w:id="23" w:name="_Toc10550"/>
      <w:bookmarkStart w:id="24" w:name="_Toc221098629"/>
      <w:bookmarkStart w:id="25" w:name="_Toc12655"/>
      <w:r>
        <w:rPr>
          <w:rFonts w:ascii="Times New Roman" w:hAnsi="Times New Roman" w:eastAsia="宋体" w:cs="Times New Roman"/>
          <w:b/>
          <w:kern w:val="44"/>
          <w:sz w:val="32"/>
          <w:szCs w:val="32"/>
          <w:lang w:bidi="zh-CN"/>
        </w:rPr>
        <w:t>2　术　　语</w:t>
      </w:r>
      <w:bookmarkEnd w:id="18"/>
      <w:bookmarkEnd w:id="19"/>
      <w:bookmarkEnd w:id="20"/>
      <w:bookmarkEnd w:id="21"/>
      <w:bookmarkEnd w:id="22"/>
      <w:bookmarkEnd w:id="23"/>
      <w:bookmarkEnd w:id="24"/>
      <w:bookmarkEnd w:id="25"/>
      <w:r>
        <w:rPr>
          <w:rFonts w:ascii="Times New Roman" w:hAnsi="Times New Roman" w:eastAsia="宋体" w:cs="Times New Roman"/>
          <w:b/>
          <w:kern w:val="44"/>
          <w:sz w:val="32"/>
          <w:szCs w:val="32"/>
          <w:lang w:bidi="zh-CN"/>
        </w:rPr>
        <w:fldChar w:fldCharType="begin"/>
      </w:r>
      <w:r>
        <w:rPr>
          <w:rFonts w:hint="eastAsia"/>
        </w:rPr>
        <w:instrText xml:space="preserve"> </w:instrText>
      </w:r>
      <w:r>
        <w:instrText xml:space="preserve">TC "</w:instrText>
      </w:r>
      <w:bookmarkStart w:id="26" w:name="_Toc221098659"/>
      <w:r>
        <w:rPr>
          <w:rFonts w:hint="eastAsia" w:ascii="Times New Roman" w:hAnsi="Times New Roman" w:eastAsia="宋体" w:cs="Times New Roman"/>
          <w:bCs/>
          <w:kern w:val="44"/>
          <w:sz w:val="32"/>
          <w:szCs w:val="32"/>
          <w:lang w:bidi="zh-CN"/>
        </w:rPr>
        <w:instrText xml:space="preserve">2  Terminology</w:instrText>
      </w:r>
      <w:bookmarkEnd w:id="26"/>
      <w:r>
        <w:instrText xml:space="preserve">" \f C \l "1"</w:instrText>
      </w:r>
      <w:r>
        <w:rPr>
          <w:rFonts w:hint="eastAsia"/>
        </w:rPr>
        <w:instrText xml:space="preserve"> </w:instrText>
      </w:r>
      <w:r>
        <w:rPr>
          <w:rFonts w:ascii="Times New Roman" w:hAnsi="Times New Roman" w:eastAsia="宋体" w:cs="Times New Roman"/>
          <w:b/>
          <w:kern w:val="44"/>
          <w:sz w:val="32"/>
          <w:szCs w:val="32"/>
          <w:lang w:bidi="zh-CN"/>
        </w:rPr>
        <w:fldChar w:fldCharType="end"/>
      </w:r>
    </w:p>
    <w:p w14:paraId="50443B61">
      <w:pPr>
        <w:spacing w:line="360" w:lineRule="auto"/>
        <w:rPr>
          <w:rFonts w:hint="eastAsia" w:ascii="宋体" w:hAnsi="宋体" w:eastAsia="宋体" w:cs="宋体"/>
          <w:sz w:val="24"/>
          <w:szCs w:val="24"/>
        </w:rPr>
      </w:pPr>
      <w:r>
        <w:rPr>
          <w:rFonts w:hint="eastAsia" w:ascii="宋体" w:hAnsi="宋体" w:eastAsia="宋体" w:cs="宋体"/>
          <w:b/>
          <w:bCs/>
          <w:sz w:val="24"/>
          <w:szCs w:val="24"/>
        </w:rPr>
        <w:t xml:space="preserve">2.0.1 </w:t>
      </w:r>
      <w:r>
        <w:rPr>
          <w:rFonts w:hint="eastAsia" w:ascii="宋体" w:hAnsi="宋体" w:eastAsia="宋体" w:cs="宋体"/>
          <w:sz w:val="24"/>
          <w:szCs w:val="24"/>
        </w:rPr>
        <w:t>城市高强度片区</w:t>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rPr>
        <w:t>Urban</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High-intensity Districts</w:t>
      </w:r>
    </w:p>
    <w:p w14:paraId="303CD55A">
      <w:pPr>
        <w:tabs>
          <w:tab w:val="left" w:pos="2942"/>
        </w:tabs>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rPr>
        <w:t>通常位于城市功能与结构的核心或城市空间的战略性增长极，是以公共交通为支撑的城市地上地下空间高强度开发建设和公共性服务功能的高强度集聚区</w:t>
      </w:r>
      <w:r>
        <w:rPr>
          <w:rFonts w:hint="eastAsia" w:ascii="宋体" w:hAnsi="宋体" w:eastAsia="宋体" w:cs="宋体"/>
          <w:sz w:val="24"/>
          <w:szCs w:val="24"/>
          <w:lang w:val="en-US" w:eastAsia="zh-CN"/>
        </w:rPr>
        <w:t>。</w:t>
      </w:r>
    </w:p>
    <w:p w14:paraId="706D4883">
      <w:pPr>
        <w:tabs>
          <w:tab w:val="left" w:pos="2942"/>
        </w:tabs>
        <w:spacing w:line="360" w:lineRule="auto"/>
        <w:rPr>
          <w:rFonts w:hint="eastAsia" w:ascii="宋体" w:hAnsi="宋体" w:eastAsia="宋体" w:cs="宋体"/>
          <w:sz w:val="24"/>
          <w:szCs w:val="24"/>
        </w:rPr>
      </w:pPr>
      <w:r>
        <w:rPr>
          <w:rFonts w:hint="eastAsia" w:ascii="宋体" w:hAnsi="宋体" w:eastAsia="宋体" w:cs="宋体"/>
          <w:b/>
          <w:bCs/>
          <w:sz w:val="24"/>
          <w:szCs w:val="24"/>
        </w:rPr>
        <w:t xml:space="preserve">2.0.2 </w:t>
      </w:r>
      <w:r>
        <w:rPr>
          <w:rFonts w:hint="eastAsia" w:ascii="宋体" w:hAnsi="宋体" w:eastAsia="宋体" w:cs="宋体"/>
          <w:sz w:val="24"/>
          <w:szCs w:val="24"/>
        </w:rPr>
        <w:t>空间集约</w:t>
      </w:r>
      <w:r>
        <w:rPr>
          <w:rFonts w:hint="eastAsia" w:ascii="宋体" w:hAnsi="宋体" w:eastAsia="宋体" w:cs="宋体"/>
          <w:sz w:val="24"/>
          <w:szCs w:val="24"/>
        </w:rPr>
        <w:tab/>
      </w:r>
      <w:r>
        <w:rPr>
          <w:rFonts w:hint="eastAsia" w:ascii="宋体" w:hAnsi="宋体" w:eastAsia="宋体" w:cs="宋体"/>
          <w:sz w:val="24"/>
          <w:szCs w:val="24"/>
        </w:rPr>
        <w:t xml:space="preserve">spatial intensification </w:t>
      </w:r>
    </w:p>
    <w:p w14:paraId="36D7379F">
      <w:pPr>
        <w:tabs>
          <w:tab w:val="left" w:pos="2942"/>
        </w:tabs>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在有限的空间资源条件下，通过立体开发、紧凑形态设计及资源优化配置等手段，实现空间利用率的最大化</w:t>
      </w:r>
      <w:r>
        <w:rPr>
          <w:rFonts w:hint="eastAsia" w:ascii="宋体" w:hAnsi="宋体" w:eastAsia="宋体" w:cs="宋体"/>
          <w:sz w:val="24"/>
          <w:szCs w:val="24"/>
        </w:rPr>
        <w:t>。</w:t>
      </w:r>
    </w:p>
    <w:p w14:paraId="40636B29">
      <w:pPr>
        <w:spacing w:line="360" w:lineRule="auto"/>
        <w:outlineLvl w:val="1"/>
        <w:rPr>
          <w:rFonts w:hint="eastAsia" w:ascii="宋体" w:hAnsi="宋体" w:eastAsia="宋体" w:cs="宋体"/>
          <w:sz w:val="24"/>
          <w:szCs w:val="24"/>
          <w:lang w:eastAsia="zh-CN"/>
        </w:rPr>
      </w:pPr>
      <w:r>
        <w:rPr>
          <w:rFonts w:hint="eastAsia" w:ascii="宋体" w:hAnsi="宋体" w:eastAsia="宋体" w:cs="宋体"/>
          <w:b/>
          <w:bCs/>
          <w:sz w:val="24"/>
          <w:szCs w:val="24"/>
        </w:rPr>
        <w:t xml:space="preserve">2.0.3 </w:t>
      </w:r>
      <w:r>
        <w:rPr>
          <w:rFonts w:hint="eastAsia" w:ascii="宋体" w:hAnsi="宋体" w:eastAsia="宋体" w:cs="宋体"/>
          <w:sz w:val="24"/>
          <w:szCs w:val="24"/>
        </w:rPr>
        <w:t>地块</w:t>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rPr>
        <w:t>P</w:t>
      </w:r>
      <w:r>
        <w:rPr>
          <w:rFonts w:hint="eastAsia" w:ascii="宋体" w:hAnsi="宋体" w:eastAsia="宋体" w:cs="宋体"/>
          <w:sz w:val="24"/>
          <w:szCs w:val="24"/>
          <w:lang w:val="en-US" w:eastAsia="zh-CN"/>
        </w:rPr>
        <w:t>arcel</w:t>
      </w:r>
    </w:p>
    <w:p w14:paraId="69531943">
      <w:pPr>
        <w:spacing w:line="360" w:lineRule="auto"/>
        <w:ind w:firstLine="420"/>
        <w:outlineLvl w:val="1"/>
        <w:rPr>
          <w:rFonts w:hint="eastAsia" w:ascii="宋体" w:hAnsi="宋体" w:eastAsia="宋体" w:cs="宋体"/>
          <w:sz w:val="24"/>
          <w:szCs w:val="24"/>
          <w:lang w:val="en-US" w:eastAsia="zh-CN"/>
        </w:rPr>
      </w:pPr>
      <w:r>
        <w:rPr>
          <w:rFonts w:hint="eastAsia" w:ascii="宋体" w:hAnsi="宋体" w:eastAsia="宋体" w:cs="宋体"/>
          <w:sz w:val="24"/>
          <w:szCs w:val="24"/>
        </w:rPr>
        <w:t>在城镇空间范畴内，由城市道路、控制界线或自然边界限定的空间单元，是城市规划设计</w:t>
      </w:r>
      <w:r>
        <w:rPr>
          <w:rFonts w:hint="eastAsia" w:ascii="宋体" w:hAnsi="宋体" w:eastAsia="宋体" w:cs="宋体"/>
          <w:sz w:val="24"/>
          <w:szCs w:val="24"/>
          <w:lang w:val="en-US" w:eastAsia="zh-CN"/>
        </w:rPr>
        <w:t>与</w:t>
      </w:r>
      <w:r>
        <w:rPr>
          <w:rFonts w:hint="eastAsia" w:ascii="宋体" w:hAnsi="宋体" w:eastAsia="宋体" w:cs="宋体"/>
          <w:sz w:val="24"/>
          <w:szCs w:val="24"/>
        </w:rPr>
        <w:t>建设控制的基本空间单元</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也是土地出让的基本单元。</w:t>
      </w:r>
    </w:p>
    <w:p w14:paraId="255B90C0">
      <w:pPr>
        <w:spacing w:line="360" w:lineRule="auto"/>
        <w:outlineLvl w:val="1"/>
        <w:rPr>
          <w:rFonts w:hint="eastAsia" w:ascii="宋体" w:hAnsi="宋体" w:eastAsia="宋体" w:cs="宋体"/>
          <w:sz w:val="24"/>
          <w:szCs w:val="24"/>
        </w:rPr>
      </w:pPr>
      <w:r>
        <w:rPr>
          <w:rFonts w:hint="eastAsia" w:ascii="宋体" w:hAnsi="宋体" w:eastAsia="宋体" w:cs="宋体"/>
          <w:b/>
          <w:bCs/>
          <w:sz w:val="24"/>
          <w:szCs w:val="24"/>
        </w:rPr>
        <w:t xml:space="preserve">2.0.4 </w:t>
      </w:r>
      <w:r>
        <w:rPr>
          <w:rFonts w:hint="eastAsia" w:ascii="宋体" w:hAnsi="宋体" w:eastAsia="宋体" w:cs="宋体"/>
          <w:sz w:val="24"/>
          <w:szCs w:val="24"/>
        </w:rPr>
        <w:t>地块尺寸</w:t>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rPr>
        <w:t>P</w:t>
      </w:r>
      <w:r>
        <w:rPr>
          <w:rFonts w:hint="eastAsia" w:ascii="宋体" w:hAnsi="宋体" w:eastAsia="宋体" w:cs="宋体"/>
          <w:sz w:val="24"/>
          <w:szCs w:val="24"/>
          <w:lang w:val="en-US" w:eastAsia="zh-CN"/>
        </w:rPr>
        <w:t>arcel</w:t>
      </w:r>
      <w:r>
        <w:rPr>
          <w:rFonts w:hint="eastAsia" w:ascii="宋体" w:hAnsi="宋体" w:eastAsia="宋体" w:cs="宋体"/>
          <w:sz w:val="24"/>
          <w:szCs w:val="24"/>
        </w:rPr>
        <w:t xml:space="preserve"> Size</w:t>
      </w:r>
    </w:p>
    <w:p w14:paraId="7CF31EC8">
      <w:pPr>
        <w:spacing w:line="360" w:lineRule="auto"/>
        <w:ind w:firstLine="420"/>
        <w:rPr>
          <w:rFonts w:hint="eastAsia" w:ascii="宋体" w:hAnsi="宋体" w:eastAsia="宋体" w:cs="宋体"/>
          <w:sz w:val="24"/>
          <w:szCs w:val="24"/>
        </w:rPr>
      </w:pPr>
      <w:r>
        <w:rPr>
          <w:rFonts w:hint="eastAsia" w:ascii="宋体" w:hAnsi="宋体" w:eastAsia="宋体" w:cs="宋体"/>
          <w:sz w:val="24"/>
          <w:szCs w:val="24"/>
        </w:rPr>
        <w:t>地块尺寸是指作为规划与建设控制对象的地块在水平二维平面上的几何尺度属性。</w:t>
      </w:r>
    </w:p>
    <w:p w14:paraId="4AD319A0">
      <w:pPr>
        <w:spacing w:line="360" w:lineRule="auto"/>
        <w:outlineLvl w:val="1"/>
        <w:rPr>
          <w:rFonts w:hint="eastAsia" w:ascii="宋体" w:hAnsi="宋体" w:eastAsia="宋体" w:cs="宋体"/>
          <w:sz w:val="24"/>
          <w:szCs w:val="24"/>
        </w:rPr>
      </w:pPr>
      <w:r>
        <w:rPr>
          <w:rFonts w:hint="eastAsia" w:ascii="宋体" w:hAnsi="宋体" w:eastAsia="宋体" w:cs="宋体"/>
          <w:b/>
          <w:bCs/>
          <w:sz w:val="24"/>
          <w:szCs w:val="24"/>
        </w:rPr>
        <w:t>2.0.5</w:t>
      </w:r>
      <w:r>
        <w:rPr>
          <w:rFonts w:hint="eastAsia" w:ascii="宋体" w:hAnsi="宋体" w:eastAsia="宋体" w:cs="宋体"/>
          <w:b/>
          <w:bCs/>
          <w:sz w:val="21"/>
          <w:szCs w:val="21"/>
        </w:rPr>
        <w:t xml:space="preserve"> </w:t>
      </w:r>
      <w:r>
        <w:rPr>
          <w:rFonts w:hint="eastAsia" w:ascii="宋体" w:hAnsi="宋体" w:eastAsia="宋体" w:cs="宋体"/>
          <w:sz w:val="24"/>
          <w:szCs w:val="24"/>
        </w:rPr>
        <w:t>功能空间</w:t>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rPr>
        <w:t>Functional Space</w:t>
      </w:r>
    </w:p>
    <w:p w14:paraId="2DDF46EA">
      <w:pPr>
        <w:spacing w:line="360" w:lineRule="auto"/>
        <w:ind w:firstLine="420"/>
        <w:rPr>
          <w:rFonts w:hint="eastAsia" w:ascii="宋体" w:hAnsi="宋体" w:eastAsia="宋体" w:cs="宋体"/>
          <w:sz w:val="24"/>
          <w:szCs w:val="24"/>
        </w:rPr>
      </w:pPr>
      <w:r>
        <w:rPr>
          <w:rFonts w:hint="eastAsia" w:ascii="宋体" w:hAnsi="宋体" w:eastAsia="宋体" w:cs="宋体"/>
          <w:sz w:val="24"/>
          <w:szCs w:val="24"/>
        </w:rPr>
        <w:t>功能空间指具有满足人们使用的主要功能并按其使用功能被认知的建筑空间。</w:t>
      </w:r>
    </w:p>
    <w:p w14:paraId="4DEBAEF4">
      <w:pPr>
        <w:spacing w:line="360" w:lineRule="auto"/>
        <w:rPr>
          <w:rFonts w:hint="eastAsia" w:ascii="宋体" w:hAnsi="宋体" w:eastAsia="宋体" w:cs="宋体"/>
          <w:sz w:val="24"/>
          <w:szCs w:val="24"/>
        </w:rPr>
      </w:pPr>
      <w:r>
        <w:rPr>
          <w:rFonts w:hint="eastAsia" w:ascii="宋体" w:hAnsi="宋体" w:eastAsia="宋体" w:cs="宋体"/>
          <w:b/>
          <w:bCs/>
          <w:sz w:val="24"/>
          <w:szCs w:val="24"/>
        </w:rPr>
        <w:t xml:space="preserve">2.0.6 </w:t>
      </w:r>
      <w:r>
        <w:rPr>
          <w:rFonts w:hint="eastAsia" w:ascii="宋体" w:hAnsi="宋体" w:eastAsia="宋体" w:cs="宋体"/>
          <w:sz w:val="24"/>
          <w:szCs w:val="24"/>
        </w:rPr>
        <w:t>工作生活圈</w:t>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rPr>
        <w:t>Work and Living Circle</w:t>
      </w:r>
    </w:p>
    <w:p w14:paraId="57CD7E9F">
      <w:pPr>
        <w:spacing w:line="360" w:lineRule="auto"/>
        <w:ind w:firstLine="420"/>
        <w:outlineLvl w:val="1"/>
        <w:rPr>
          <w:rFonts w:hint="eastAsia" w:ascii="宋体" w:hAnsi="宋体" w:eastAsia="宋体" w:cs="宋体"/>
          <w:sz w:val="24"/>
          <w:szCs w:val="24"/>
        </w:rPr>
      </w:pPr>
      <w:r>
        <w:rPr>
          <w:rFonts w:hint="eastAsia" w:ascii="宋体" w:hAnsi="宋体" w:eastAsia="宋体" w:cs="宋体"/>
          <w:sz w:val="24"/>
          <w:szCs w:val="24"/>
        </w:rPr>
        <w:t>作生活圈指以高强度片区中办公空间为锚点，与其他各空间在一定时间阈值内所覆盖的空间范围。</w:t>
      </w:r>
    </w:p>
    <w:p w14:paraId="126A888A">
      <w:pPr>
        <w:spacing w:line="360" w:lineRule="auto"/>
        <w:outlineLvl w:val="1"/>
        <w:rPr>
          <w:rFonts w:hint="eastAsia" w:ascii="宋体" w:hAnsi="宋体" w:eastAsia="宋体" w:cs="宋体"/>
          <w:sz w:val="24"/>
          <w:szCs w:val="24"/>
        </w:rPr>
      </w:pPr>
      <w:r>
        <w:rPr>
          <w:rFonts w:hint="eastAsia" w:ascii="宋体" w:hAnsi="宋体" w:eastAsia="宋体" w:cs="宋体"/>
          <w:b/>
          <w:bCs/>
          <w:sz w:val="24"/>
          <w:szCs w:val="24"/>
        </w:rPr>
        <w:t xml:space="preserve">2.0.7 </w:t>
      </w:r>
      <w:r>
        <w:rPr>
          <w:rFonts w:hint="eastAsia" w:ascii="宋体" w:hAnsi="宋体" w:eastAsia="宋体" w:cs="宋体"/>
          <w:sz w:val="24"/>
          <w:szCs w:val="24"/>
        </w:rPr>
        <w:t>近地空间基面</w:t>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rPr>
        <w:t>The Surface of Multi-ground System</w:t>
      </w:r>
    </w:p>
    <w:p w14:paraId="175659F3">
      <w:pPr>
        <w:spacing w:line="360" w:lineRule="auto"/>
        <w:ind w:firstLine="420" w:firstLineChars="0"/>
        <w:rPr>
          <w:rFonts w:hint="eastAsia" w:ascii="宋体" w:hAnsi="宋体" w:eastAsia="宋体" w:cs="宋体"/>
          <w:sz w:val="24"/>
          <w:szCs w:val="24"/>
        </w:rPr>
      </w:pPr>
      <w:r>
        <w:rPr>
          <w:rFonts w:hint="eastAsia" w:ascii="宋体" w:hAnsi="宋体" w:eastAsia="宋体" w:cs="宋体"/>
          <w:sz w:val="24"/>
          <w:szCs w:val="24"/>
        </w:rPr>
        <w:t>近地空间基面是指依托连廊、平台、下沉空间、屋顶花园等空间载体，通过人工手段整合多种可通行环境要素所形成的城市公共空间基面。其以室外或半室外形态呈现，物理位置可位于地表之上或之下，具备自然通风、采光与开放界面等地面环境特征，可为人群活动与物流提供通行、停留与服务承载条件，是片区立体公共空间组织与连接的基础单元。</w:t>
      </w:r>
    </w:p>
    <w:p w14:paraId="0B9DF298">
      <w:pPr>
        <w:spacing w:line="360" w:lineRule="auto"/>
        <w:outlineLvl w:val="1"/>
        <w:rPr>
          <w:rFonts w:hint="eastAsia" w:ascii="宋体" w:hAnsi="宋体" w:eastAsia="宋体" w:cs="宋体"/>
          <w:b w:val="0"/>
          <w:bCs w:val="0"/>
          <w:sz w:val="24"/>
          <w:szCs w:val="24"/>
        </w:rPr>
      </w:pPr>
      <w:r>
        <w:rPr>
          <w:rFonts w:hint="eastAsia" w:ascii="宋体" w:hAnsi="宋体" w:eastAsia="宋体" w:cs="宋体"/>
          <w:b/>
          <w:bCs/>
          <w:sz w:val="24"/>
          <w:szCs w:val="24"/>
        </w:rPr>
        <w:t xml:space="preserve">2.0.8 </w:t>
      </w:r>
      <w:r>
        <w:rPr>
          <w:rFonts w:hint="eastAsia" w:ascii="宋体" w:hAnsi="宋体" w:eastAsia="宋体" w:cs="宋体"/>
          <w:b/>
          <w:bCs/>
          <w:sz w:val="24"/>
          <w:szCs w:val="24"/>
          <w:lang w:val="en-US" w:eastAsia="zh-CN"/>
        </w:rPr>
        <w:t xml:space="preserve"> </w:t>
      </w:r>
      <w:r>
        <w:rPr>
          <w:rFonts w:hint="eastAsia" w:ascii="宋体" w:hAnsi="宋体" w:eastAsia="宋体" w:cs="宋体"/>
          <w:b w:val="0"/>
          <w:bCs w:val="0"/>
          <w:sz w:val="24"/>
          <w:szCs w:val="24"/>
        </w:rPr>
        <w:t>基面系统</w:t>
      </w:r>
      <w:r>
        <w:rPr>
          <w:rFonts w:hint="eastAsia" w:ascii="宋体" w:hAnsi="宋体" w:eastAsia="宋体" w:cs="宋体"/>
          <w:b/>
          <w:bCs/>
          <w:sz w:val="24"/>
          <w:szCs w:val="24"/>
        </w:rPr>
        <w:tab/>
      </w:r>
      <w:r>
        <w:rPr>
          <w:rFonts w:hint="eastAsia" w:ascii="宋体" w:hAnsi="宋体" w:eastAsia="宋体" w:cs="宋体"/>
          <w:b/>
          <w:bCs/>
          <w:sz w:val="24"/>
          <w:szCs w:val="24"/>
        </w:rPr>
        <w:tab/>
      </w:r>
      <w:r>
        <w:rPr>
          <w:rFonts w:hint="eastAsia" w:ascii="宋体" w:hAnsi="宋体" w:eastAsia="宋体" w:cs="宋体"/>
          <w:b w:val="0"/>
          <w:bCs w:val="0"/>
          <w:sz w:val="24"/>
          <w:szCs w:val="24"/>
        </w:rPr>
        <w:t xml:space="preserve">Multi-ground System </w:t>
      </w:r>
    </w:p>
    <w:p w14:paraId="57017108">
      <w:pPr>
        <w:spacing w:line="360" w:lineRule="auto"/>
        <w:ind w:firstLine="420" w:firstLineChars="0"/>
        <w:rPr>
          <w:rFonts w:hint="eastAsia" w:ascii="宋体" w:hAnsi="宋体" w:eastAsia="宋体" w:cs="宋体"/>
          <w:sz w:val="24"/>
          <w:szCs w:val="24"/>
        </w:rPr>
      </w:pPr>
      <w:r>
        <w:rPr>
          <w:rFonts w:hint="eastAsia" w:ascii="宋体" w:hAnsi="宋体" w:eastAsia="宋体" w:cs="宋体"/>
          <w:sz w:val="24"/>
          <w:szCs w:val="24"/>
        </w:rPr>
        <w:t>基面系统是指由多个近地空间基面及相关竖向构件共同构成的公共空间网络。基面系统通过整合不同近地空间基面，并以楼梯、扶梯、坡道等竖向构件实现多层衔接，形成贯通空中与地下的连续步行或物流网络。片区内若存在彼此不连续的基面网络，应分别认定为不同基面系统。</w:t>
      </w:r>
    </w:p>
    <w:p w14:paraId="42B71607">
      <w:pPr>
        <w:spacing w:line="360" w:lineRule="auto"/>
        <w:rPr>
          <w:rFonts w:hint="eastAsia" w:ascii="宋体" w:hAnsi="宋体" w:eastAsia="宋体" w:cs="宋体"/>
          <w:sz w:val="24"/>
          <w:szCs w:val="24"/>
        </w:rPr>
      </w:pPr>
      <w:r>
        <w:rPr>
          <w:rFonts w:hint="eastAsia" w:ascii="宋体" w:hAnsi="宋体" w:eastAsia="宋体" w:cs="宋体"/>
          <w:b/>
          <w:bCs/>
          <w:sz w:val="24"/>
          <w:szCs w:val="24"/>
        </w:rPr>
        <w:t>2.0.</w:t>
      </w:r>
      <w:r>
        <w:rPr>
          <w:rFonts w:hint="eastAsia" w:ascii="宋体" w:hAnsi="宋体" w:eastAsia="宋体" w:cs="宋体"/>
          <w:b/>
          <w:bCs/>
          <w:sz w:val="24"/>
          <w:szCs w:val="24"/>
          <w:lang w:val="en-US" w:eastAsia="zh-CN"/>
        </w:rPr>
        <w:t>9</w:t>
      </w:r>
      <w:r>
        <w:rPr>
          <w:rFonts w:hint="eastAsia" w:ascii="宋体" w:hAnsi="宋体" w:eastAsia="宋体" w:cs="宋体"/>
          <w:b/>
          <w:bCs/>
          <w:sz w:val="24"/>
          <w:szCs w:val="24"/>
        </w:rPr>
        <w:t xml:space="preserve"> </w:t>
      </w:r>
      <w:r>
        <w:rPr>
          <w:rFonts w:hint="eastAsia" w:ascii="宋体" w:hAnsi="宋体" w:eastAsia="宋体" w:cs="宋体"/>
          <w:sz w:val="24"/>
          <w:szCs w:val="24"/>
        </w:rPr>
        <w:t>立体景观</w:t>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rPr>
        <w:t>Three-dimensional Landscape</w:t>
      </w:r>
    </w:p>
    <w:p w14:paraId="61D6662B">
      <w:pPr>
        <w:widowControl/>
        <w:overflowPunct w:val="0"/>
        <w:spacing w:line="360" w:lineRule="auto"/>
        <w:rPr>
          <w:rFonts w:ascii="Times New Roman" w:hAnsi="Times New Roman" w:eastAsia="宋体" w:cs="Times New Roman"/>
          <w:kern w:val="0"/>
          <w:sz w:val="24"/>
          <w:szCs w:val="24"/>
          <w:lang w:bidi="zh-CN"/>
        </w:rPr>
      </w:pPr>
      <w:r>
        <w:rPr>
          <w:rFonts w:hint="eastAsia" w:ascii="宋体" w:hAnsi="宋体" w:eastAsia="宋体" w:cs="宋体"/>
          <w:sz w:val="24"/>
          <w:szCs w:val="24"/>
        </w:rPr>
        <w:t>指依托建筑物、构筑物及其他空间结构，在竖向及多标高空间中组织绿化与相关景观要素，形成多层次的景观空间形态。</w:t>
      </w:r>
    </w:p>
    <w:p w14:paraId="67574633">
      <w:pPr>
        <w:widowControl/>
        <w:overflowPunct w:val="0"/>
        <w:spacing w:line="360" w:lineRule="auto"/>
        <w:ind w:firstLine="440" w:firstLineChars="200"/>
        <w:rPr>
          <w:rFonts w:ascii="Times New Roman" w:hAnsi="Times New Roman" w:eastAsia="宋体" w:cs="Times New Roman"/>
          <w:kern w:val="0"/>
          <w:sz w:val="22"/>
          <w:lang w:bidi="zh-CN"/>
        </w:rPr>
      </w:pPr>
    </w:p>
    <w:p w14:paraId="1A2D0818">
      <w:pPr>
        <w:rPr>
          <w:rFonts w:ascii="Times New Roman" w:hAnsi="Times New Roman" w:eastAsia="宋体" w:cs="Times New Roman"/>
          <w:b/>
          <w:kern w:val="44"/>
          <w:sz w:val="32"/>
          <w:szCs w:val="32"/>
          <w:lang w:bidi="zh-CN"/>
        </w:rPr>
      </w:pPr>
      <w:r>
        <w:rPr>
          <w:rFonts w:ascii="Times New Roman" w:hAnsi="Times New Roman" w:eastAsia="宋体" w:cs="Times New Roman"/>
          <w:b/>
          <w:kern w:val="44"/>
          <w:sz w:val="32"/>
          <w:szCs w:val="32"/>
          <w:lang w:bidi="zh-CN"/>
        </w:rPr>
        <w:br w:type="page"/>
      </w:r>
    </w:p>
    <w:bookmarkEnd w:id="0"/>
    <w:bookmarkEnd w:id="1"/>
    <w:bookmarkEnd w:id="2"/>
    <w:bookmarkEnd w:id="3"/>
    <w:bookmarkEnd w:id="4"/>
    <w:bookmarkEnd w:id="5"/>
    <w:bookmarkEnd w:id="6"/>
    <w:bookmarkEnd w:id="7"/>
    <w:bookmarkEnd w:id="8"/>
    <w:p w14:paraId="7301C713">
      <w:pPr>
        <w:pStyle w:val="70"/>
        <w:spacing w:beforeLines="0" w:afterLines="0" w:line="360" w:lineRule="auto"/>
        <w:jc w:val="center"/>
        <w:outlineLvl w:val="0"/>
        <w:rPr>
          <w:rFonts w:hint="eastAsia" w:ascii="宋体" w:hAnsi="宋体" w:eastAsia="宋体" w:cs="宋体"/>
          <w:sz w:val="28"/>
          <w:szCs w:val="24"/>
        </w:rPr>
      </w:pPr>
      <w:r>
        <w:rPr>
          <w:rFonts w:hint="eastAsia" w:ascii="宋体" w:hAnsi="宋体" w:eastAsia="宋体" w:cs="宋体"/>
          <w:sz w:val="28"/>
          <w:szCs w:val="24"/>
        </w:rPr>
        <w:t>3 基本规定</w:t>
      </w:r>
    </w:p>
    <w:p w14:paraId="4DBF1052">
      <w:pPr>
        <w:pStyle w:val="71"/>
        <w:spacing w:beforeLines="0" w:afterLines="0" w:line="360" w:lineRule="auto"/>
        <w:ind w:firstLine="0" w:firstLineChars="0"/>
        <w:rPr>
          <w:rFonts w:hint="eastAsia" w:ascii="宋体" w:hAnsi="宋体"/>
          <w:sz w:val="24"/>
          <w:szCs w:val="24"/>
        </w:rPr>
      </w:pPr>
      <w:r>
        <w:rPr>
          <w:rFonts w:hint="eastAsia" w:ascii="宋体" w:hAnsi="宋体"/>
          <w:b/>
          <w:sz w:val="24"/>
          <w:szCs w:val="24"/>
        </w:rPr>
        <w:t>3.0.1</w:t>
      </w:r>
      <w:r>
        <w:rPr>
          <w:rFonts w:hint="eastAsia" w:ascii="宋体" w:hAnsi="宋体"/>
          <w:sz w:val="24"/>
          <w:szCs w:val="24"/>
        </w:rPr>
        <w:t xml:space="preserve"> 城市高强度片区空间形态设计应在满足建设强度、交通强度和功能强度要求的前提下，坚持空间集约原则，通过合理划分地块尺度与布局、优化功能空间配置、强化近地空间基面连接，并统筹立体景观与空间组织，以提升整体空间利用效率。</w:t>
      </w:r>
    </w:p>
    <w:p w14:paraId="1970207E">
      <w:pPr>
        <w:pStyle w:val="71"/>
        <w:spacing w:beforeLines="0" w:afterLines="0" w:line="360" w:lineRule="auto"/>
        <w:ind w:firstLine="0" w:firstLineChars="0"/>
        <w:rPr>
          <w:rFonts w:hint="eastAsia" w:ascii="宋体" w:hAnsi="宋体"/>
          <w:sz w:val="24"/>
          <w:szCs w:val="24"/>
        </w:rPr>
      </w:pPr>
      <w:r>
        <w:rPr>
          <w:rFonts w:hint="eastAsia" w:ascii="宋体" w:hAnsi="宋体"/>
          <w:b/>
          <w:sz w:val="24"/>
          <w:szCs w:val="24"/>
        </w:rPr>
        <w:t>3.0.2</w:t>
      </w:r>
      <w:r>
        <w:rPr>
          <w:rFonts w:hint="eastAsia" w:ascii="宋体" w:hAnsi="宋体"/>
          <w:sz w:val="24"/>
          <w:szCs w:val="24"/>
        </w:rPr>
        <w:t xml:space="preserve"> 本导则为上位规划在高强度片区空间形态设计层面的具体补充与细化规定。其制定目的在于完善上位规划成果中空间形态控制不足之处，引导片区建设在遵循规划框架下进一步深化实施。</w:t>
      </w:r>
    </w:p>
    <w:p w14:paraId="2D6D3F37">
      <w:pPr>
        <w:pStyle w:val="71"/>
        <w:spacing w:beforeLines="0" w:afterLines="0" w:line="360" w:lineRule="auto"/>
        <w:ind w:firstLine="0" w:firstLineChars="0"/>
        <w:rPr>
          <w:rFonts w:hint="eastAsia" w:ascii="宋体" w:hAnsi="宋体"/>
          <w:sz w:val="24"/>
          <w:szCs w:val="24"/>
        </w:rPr>
      </w:pPr>
      <w:r>
        <w:rPr>
          <w:rFonts w:hint="eastAsia" w:ascii="宋体" w:hAnsi="宋体"/>
          <w:b/>
          <w:sz w:val="24"/>
          <w:szCs w:val="24"/>
        </w:rPr>
        <w:t>3.0.3</w:t>
      </w:r>
      <w:r>
        <w:rPr>
          <w:rFonts w:hint="eastAsia" w:ascii="宋体" w:hAnsi="宋体"/>
          <w:sz w:val="24"/>
          <w:szCs w:val="24"/>
        </w:rPr>
        <w:t xml:space="preserve"> 本导则适用于两类基本场景：对于新建城市片区，应参照本导则中相关规定，并在上位规划框架下进行整体统筹设计；对于已建成片区，应基于建设现状，在进行空间使用效能评估后，参照本导则进行空间形态的合理调节与提升。</w:t>
      </w:r>
    </w:p>
    <w:p w14:paraId="287604B0">
      <w:pPr>
        <w:spacing w:beforeLines="0" w:afterLines="0"/>
        <w:rPr>
          <w:rFonts w:hint="eastAsia" w:ascii="宋体" w:hAnsi="宋体" w:eastAsia="宋体" w:cs="宋体"/>
          <w:sz w:val="24"/>
          <w:szCs w:val="24"/>
        </w:rPr>
      </w:pPr>
    </w:p>
    <w:p w14:paraId="5A757CB8">
      <w:pPr>
        <w:spacing w:beforeLines="0" w:afterLines="0"/>
        <w:rPr>
          <w:rFonts w:hint="eastAsia" w:ascii="宋体" w:hAnsi="宋体" w:eastAsia="宋体" w:cs="宋体"/>
          <w:sz w:val="24"/>
          <w:szCs w:val="24"/>
        </w:rPr>
      </w:pPr>
    </w:p>
    <w:p w14:paraId="0AE841E8">
      <w:pPr>
        <w:spacing w:beforeLines="0" w:afterLines="0"/>
        <w:rPr>
          <w:rFonts w:hint="eastAsia" w:ascii="宋体" w:hAnsi="宋体" w:eastAsia="宋体" w:cs="宋体"/>
          <w:sz w:val="24"/>
          <w:szCs w:val="24"/>
        </w:rPr>
      </w:pPr>
    </w:p>
    <w:p w14:paraId="7FAF9A87">
      <w:pPr>
        <w:spacing w:beforeLines="0" w:afterLines="0"/>
        <w:rPr>
          <w:rFonts w:hint="eastAsia" w:ascii="宋体" w:hAnsi="宋体" w:eastAsia="宋体" w:cs="宋体"/>
          <w:sz w:val="24"/>
          <w:szCs w:val="24"/>
        </w:rPr>
      </w:pPr>
    </w:p>
    <w:p w14:paraId="5D22A207">
      <w:pPr>
        <w:spacing w:beforeLines="0" w:afterLines="0"/>
        <w:rPr>
          <w:rFonts w:hint="eastAsia" w:ascii="宋体" w:hAnsi="宋体" w:eastAsia="宋体" w:cs="宋体"/>
          <w:sz w:val="24"/>
          <w:szCs w:val="24"/>
        </w:rPr>
      </w:pPr>
    </w:p>
    <w:p w14:paraId="680787EF">
      <w:pPr>
        <w:spacing w:beforeLines="0" w:afterLines="0"/>
        <w:rPr>
          <w:rFonts w:hint="eastAsia" w:ascii="宋体" w:hAnsi="宋体" w:eastAsia="宋体" w:cs="宋体"/>
          <w:sz w:val="24"/>
          <w:szCs w:val="24"/>
        </w:rPr>
      </w:pPr>
    </w:p>
    <w:p w14:paraId="4B207DA4">
      <w:pPr>
        <w:spacing w:beforeLines="0" w:afterLines="0"/>
        <w:rPr>
          <w:rFonts w:hint="eastAsia" w:ascii="宋体" w:hAnsi="宋体" w:eastAsia="宋体" w:cs="宋体"/>
          <w:sz w:val="24"/>
          <w:szCs w:val="24"/>
        </w:rPr>
      </w:pPr>
    </w:p>
    <w:p w14:paraId="711BDD9B">
      <w:pPr>
        <w:spacing w:beforeLines="0" w:afterLines="0"/>
        <w:rPr>
          <w:rFonts w:hint="eastAsia" w:ascii="宋体" w:hAnsi="宋体" w:eastAsia="宋体" w:cs="宋体"/>
          <w:sz w:val="24"/>
          <w:szCs w:val="24"/>
        </w:rPr>
      </w:pPr>
    </w:p>
    <w:p w14:paraId="7EC225CB">
      <w:pPr>
        <w:spacing w:beforeLines="0" w:afterLines="0"/>
        <w:rPr>
          <w:rFonts w:hint="eastAsia" w:ascii="宋体" w:hAnsi="宋体" w:eastAsia="宋体" w:cs="宋体"/>
          <w:sz w:val="24"/>
          <w:szCs w:val="24"/>
        </w:rPr>
      </w:pPr>
    </w:p>
    <w:p w14:paraId="27E72729">
      <w:pPr>
        <w:spacing w:beforeLines="0" w:afterLines="0"/>
        <w:rPr>
          <w:rFonts w:hint="eastAsia" w:ascii="宋体" w:hAnsi="宋体" w:eastAsia="宋体" w:cs="宋体"/>
          <w:sz w:val="24"/>
          <w:szCs w:val="24"/>
        </w:rPr>
      </w:pPr>
    </w:p>
    <w:p w14:paraId="038DC4B3">
      <w:pPr>
        <w:spacing w:beforeLines="0" w:afterLines="0"/>
        <w:rPr>
          <w:rFonts w:hint="eastAsia" w:ascii="宋体" w:hAnsi="宋体" w:eastAsia="宋体" w:cs="宋体"/>
          <w:sz w:val="24"/>
          <w:szCs w:val="24"/>
        </w:rPr>
      </w:pPr>
    </w:p>
    <w:p w14:paraId="6BAD3920">
      <w:pPr>
        <w:spacing w:beforeLines="0" w:afterLines="0"/>
        <w:rPr>
          <w:rFonts w:hint="eastAsia" w:ascii="宋体" w:hAnsi="宋体" w:eastAsia="宋体" w:cs="宋体"/>
          <w:sz w:val="24"/>
          <w:szCs w:val="24"/>
        </w:rPr>
      </w:pPr>
    </w:p>
    <w:p w14:paraId="1F4D128D">
      <w:pPr>
        <w:spacing w:beforeLines="0" w:afterLines="0"/>
        <w:rPr>
          <w:rFonts w:hint="eastAsia" w:ascii="宋体" w:hAnsi="宋体" w:eastAsia="宋体" w:cs="宋体"/>
          <w:sz w:val="24"/>
          <w:szCs w:val="24"/>
        </w:rPr>
      </w:pPr>
    </w:p>
    <w:p w14:paraId="6D99529E">
      <w:pPr>
        <w:spacing w:beforeLines="0" w:afterLines="0"/>
        <w:rPr>
          <w:rFonts w:hint="eastAsia" w:ascii="宋体" w:hAnsi="宋体" w:eastAsia="宋体" w:cs="宋体"/>
          <w:sz w:val="24"/>
          <w:szCs w:val="24"/>
        </w:rPr>
      </w:pPr>
    </w:p>
    <w:p w14:paraId="1B0E6263">
      <w:pPr>
        <w:spacing w:beforeLines="0" w:afterLines="0"/>
        <w:rPr>
          <w:rFonts w:hint="eastAsia" w:ascii="宋体" w:hAnsi="宋体" w:eastAsia="宋体" w:cs="宋体"/>
          <w:sz w:val="24"/>
          <w:szCs w:val="24"/>
        </w:rPr>
      </w:pPr>
    </w:p>
    <w:p w14:paraId="19B3FD27">
      <w:pPr>
        <w:spacing w:beforeLines="0" w:afterLines="0"/>
        <w:rPr>
          <w:rFonts w:hint="eastAsia" w:ascii="宋体" w:hAnsi="宋体" w:eastAsia="宋体" w:cs="宋体"/>
          <w:sz w:val="24"/>
          <w:szCs w:val="24"/>
        </w:rPr>
      </w:pPr>
    </w:p>
    <w:p w14:paraId="7142D663">
      <w:pPr>
        <w:spacing w:beforeLines="0" w:afterLines="0"/>
        <w:rPr>
          <w:rFonts w:hint="eastAsia" w:ascii="宋体" w:hAnsi="宋体" w:eastAsia="宋体" w:cs="宋体"/>
          <w:sz w:val="24"/>
          <w:szCs w:val="24"/>
        </w:rPr>
      </w:pPr>
    </w:p>
    <w:p w14:paraId="58272B6B">
      <w:pPr>
        <w:spacing w:beforeLines="0" w:afterLines="0"/>
        <w:rPr>
          <w:rFonts w:hint="eastAsia" w:ascii="宋体" w:hAnsi="宋体" w:eastAsia="宋体" w:cs="宋体"/>
          <w:sz w:val="24"/>
          <w:szCs w:val="24"/>
        </w:rPr>
      </w:pPr>
    </w:p>
    <w:p w14:paraId="46079082">
      <w:pPr>
        <w:spacing w:beforeLines="0" w:afterLines="0"/>
        <w:rPr>
          <w:rFonts w:hint="eastAsia" w:ascii="宋体" w:hAnsi="宋体" w:eastAsia="宋体" w:cs="宋体"/>
          <w:sz w:val="24"/>
          <w:szCs w:val="24"/>
        </w:rPr>
      </w:pPr>
    </w:p>
    <w:p w14:paraId="33E5CF07">
      <w:pPr>
        <w:spacing w:beforeLines="0" w:afterLines="0"/>
        <w:rPr>
          <w:rFonts w:hint="eastAsia" w:ascii="宋体" w:hAnsi="宋体" w:eastAsia="宋体" w:cs="宋体"/>
          <w:sz w:val="24"/>
          <w:szCs w:val="24"/>
        </w:rPr>
      </w:pPr>
    </w:p>
    <w:p w14:paraId="0D525A03">
      <w:pPr>
        <w:spacing w:beforeLines="0" w:afterLines="0"/>
        <w:rPr>
          <w:rFonts w:hint="eastAsia" w:ascii="宋体" w:hAnsi="宋体" w:eastAsia="宋体" w:cs="宋体"/>
          <w:sz w:val="24"/>
          <w:szCs w:val="24"/>
        </w:rPr>
      </w:pPr>
    </w:p>
    <w:p w14:paraId="1132B8EE">
      <w:pPr>
        <w:spacing w:beforeLines="0" w:afterLines="0"/>
        <w:rPr>
          <w:rFonts w:hint="eastAsia" w:ascii="宋体" w:hAnsi="宋体" w:eastAsia="宋体" w:cs="宋体"/>
          <w:sz w:val="24"/>
          <w:szCs w:val="24"/>
        </w:rPr>
      </w:pPr>
    </w:p>
    <w:p w14:paraId="2B724BF5">
      <w:pPr>
        <w:spacing w:beforeLines="0" w:afterLines="0"/>
        <w:rPr>
          <w:rFonts w:hint="eastAsia" w:ascii="宋体" w:hAnsi="宋体" w:eastAsia="宋体" w:cs="宋体"/>
          <w:sz w:val="24"/>
          <w:szCs w:val="24"/>
        </w:rPr>
      </w:pPr>
    </w:p>
    <w:p w14:paraId="62E7BCC7">
      <w:pPr>
        <w:spacing w:beforeLines="0" w:afterLines="0"/>
        <w:rPr>
          <w:rFonts w:hint="eastAsia" w:ascii="宋体" w:hAnsi="宋体" w:eastAsia="宋体" w:cs="宋体"/>
          <w:sz w:val="24"/>
          <w:szCs w:val="24"/>
        </w:rPr>
      </w:pPr>
    </w:p>
    <w:p w14:paraId="14CD1F8E">
      <w:pPr>
        <w:spacing w:beforeLines="0" w:afterLines="0"/>
        <w:rPr>
          <w:rFonts w:hint="eastAsia" w:ascii="宋体" w:hAnsi="宋体" w:eastAsia="宋体" w:cs="宋体"/>
          <w:sz w:val="24"/>
          <w:szCs w:val="24"/>
        </w:rPr>
      </w:pPr>
    </w:p>
    <w:p w14:paraId="0E56773A">
      <w:pPr>
        <w:spacing w:beforeLines="0" w:afterLines="0"/>
        <w:rPr>
          <w:rFonts w:hint="eastAsia" w:ascii="宋体" w:hAnsi="宋体" w:eastAsia="宋体" w:cs="宋体"/>
          <w:sz w:val="24"/>
          <w:szCs w:val="24"/>
        </w:rPr>
      </w:pPr>
    </w:p>
    <w:p w14:paraId="4663BB25">
      <w:pPr>
        <w:spacing w:beforeLines="0" w:afterLines="0"/>
        <w:rPr>
          <w:rFonts w:hint="eastAsia" w:ascii="宋体" w:hAnsi="宋体" w:eastAsia="宋体" w:cs="宋体"/>
          <w:sz w:val="24"/>
          <w:szCs w:val="24"/>
        </w:rPr>
      </w:pPr>
      <w:r>
        <w:rPr>
          <w:rFonts w:hint="eastAsia" w:ascii="宋体" w:hAnsi="宋体" w:eastAsia="宋体" w:cs="宋体"/>
          <w:sz w:val="24"/>
          <w:szCs w:val="24"/>
        </w:rPr>
        <w:br w:type="page"/>
      </w:r>
    </w:p>
    <w:p w14:paraId="513B85BE">
      <w:pPr>
        <w:pStyle w:val="70"/>
        <w:spacing w:beforeLines="0" w:afterLines="0" w:line="360" w:lineRule="auto"/>
        <w:jc w:val="center"/>
        <w:outlineLvl w:val="0"/>
        <w:rPr>
          <w:rFonts w:hint="eastAsia" w:ascii="宋体" w:hAnsi="宋体" w:eastAsia="宋体" w:cs="宋体"/>
          <w:sz w:val="28"/>
          <w:szCs w:val="24"/>
        </w:rPr>
      </w:pPr>
      <w:r>
        <w:rPr>
          <w:rFonts w:hint="eastAsia" w:ascii="宋体" w:hAnsi="宋体" w:eastAsia="宋体" w:cs="宋体"/>
          <w:sz w:val="28"/>
          <w:szCs w:val="24"/>
        </w:rPr>
        <w:t>4 地块划分</w:t>
      </w:r>
    </w:p>
    <w:p w14:paraId="25EE5912">
      <w:pPr>
        <w:spacing w:beforeLines="0" w:afterLines="0" w:line="360" w:lineRule="auto"/>
        <w:jc w:val="center"/>
        <w:outlineLvl w:val="1"/>
        <w:rPr>
          <w:rFonts w:hint="eastAsia" w:ascii="宋体" w:hAnsi="宋体" w:eastAsia="宋体" w:cs="宋体"/>
          <w:b/>
          <w:sz w:val="28"/>
          <w:szCs w:val="28"/>
        </w:rPr>
      </w:pPr>
      <w:r>
        <w:rPr>
          <w:rFonts w:hint="eastAsia" w:ascii="宋体" w:hAnsi="宋体" w:eastAsia="宋体" w:cs="宋体"/>
          <w:b/>
          <w:sz w:val="28"/>
          <w:szCs w:val="28"/>
        </w:rPr>
        <w:t>4.1 划分依据</w:t>
      </w:r>
    </w:p>
    <w:p w14:paraId="77A20ADA">
      <w:pPr>
        <w:spacing w:beforeLines="0" w:afterLines="0" w:line="360" w:lineRule="auto"/>
        <w:rPr>
          <w:rFonts w:hint="eastAsia" w:ascii="宋体" w:hAnsi="宋体" w:eastAsia="宋体" w:cs="宋体"/>
          <w:sz w:val="24"/>
          <w:szCs w:val="24"/>
        </w:rPr>
      </w:pPr>
      <w:r>
        <w:rPr>
          <w:rFonts w:hint="eastAsia" w:ascii="宋体" w:hAnsi="宋体" w:eastAsia="宋体" w:cs="宋体"/>
          <w:b/>
          <w:bCs/>
          <w:sz w:val="24"/>
          <w:szCs w:val="24"/>
        </w:rPr>
        <w:t xml:space="preserve">4.1.1 </w:t>
      </w:r>
      <w:r>
        <w:rPr>
          <w:rFonts w:hint="eastAsia" w:ascii="宋体" w:hAnsi="宋体" w:eastAsia="宋体" w:cs="宋体"/>
          <w:sz w:val="24"/>
          <w:szCs w:val="24"/>
        </w:rPr>
        <w:t>地块划分应以所属区位、主导功能和现状条件为基础，严格遵循城市道路、公共通道、自然边界等上位规划确定的空间要素。</w:t>
      </w:r>
    </w:p>
    <w:p w14:paraId="7D1DDADE">
      <w:pPr>
        <w:spacing w:beforeLines="0" w:afterLines="0" w:line="360" w:lineRule="auto"/>
        <w:rPr>
          <w:rFonts w:hint="eastAsia" w:ascii="宋体" w:hAnsi="宋体" w:eastAsia="宋体" w:cs="宋体"/>
          <w:sz w:val="24"/>
          <w:szCs w:val="24"/>
        </w:rPr>
      </w:pPr>
      <w:r>
        <w:rPr>
          <w:rFonts w:hint="eastAsia" w:ascii="宋体" w:hAnsi="宋体" w:eastAsia="宋体" w:cs="宋体"/>
          <w:b/>
          <w:bCs/>
          <w:sz w:val="24"/>
          <w:szCs w:val="24"/>
        </w:rPr>
        <w:t xml:space="preserve">4.1.2 </w:t>
      </w:r>
      <w:r>
        <w:rPr>
          <w:rFonts w:hint="eastAsia" w:ascii="宋体" w:hAnsi="宋体" w:eastAsia="宋体" w:cs="宋体"/>
          <w:sz w:val="24"/>
          <w:szCs w:val="24"/>
        </w:rPr>
        <w:t>宜采用“小街区、密路网”的布局模式，地块划分应与上位规划确定的容积率及路网密度要求相协同。</w:t>
      </w:r>
    </w:p>
    <w:p w14:paraId="42EB11C2">
      <w:pPr>
        <w:spacing w:beforeLines="0" w:afterLines="0" w:line="360" w:lineRule="auto"/>
        <w:outlineLvl w:val="2"/>
        <w:rPr>
          <w:rFonts w:hint="eastAsia" w:ascii="宋体" w:hAnsi="宋体" w:eastAsia="宋体" w:cs="宋体"/>
          <w:sz w:val="24"/>
          <w:szCs w:val="24"/>
        </w:rPr>
      </w:pPr>
      <w:r>
        <w:rPr>
          <w:rFonts w:hint="eastAsia" w:ascii="宋体" w:hAnsi="宋体" w:eastAsia="宋体" w:cs="宋体"/>
          <w:b/>
          <w:bCs/>
          <w:sz w:val="24"/>
          <w:szCs w:val="24"/>
        </w:rPr>
        <w:t xml:space="preserve">4.1.3 </w:t>
      </w:r>
      <w:r>
        <w:rPr>
          <w:rFonts w:hint="eastAsia" w:ascii="宋体" w:hAnsi="宋体" w:eastAsia="宋体" w:cs="宋体"/>
          <w:sz w:val="24"/>
          <w:szCs w:val="24"/>
        </w:rPr>
        <w:t>地块划分应满足集约用地要求，并符合下列规定：</w:t>
      </w:r>
    </w:p>
    <w:p w14:paraId="22E09997">
      <w:pPr>
        <w:spacing w:beforeLines="0" w:afterLines="0" w:line="360" w:lineRule="auto"/>
        <w:ind w:firstLine="721" w:firstLineChars="300"/>
        <w:rPr>
          <w:rFonts w:hint="eastAsia" w:ascii="宋体" w:hAnsi="宋体" w:eastAsia="宋体" w:cs="宋体"/>
          <w:sz w:val="24"/>
          <w:szCs w:val="24"/>
        </w:rPr>
      </w:pPr>
      <w:r>
        <w:rPr>
          <w:rFonts w:hint="eastAsia" w:ascii="宋体" w:hAnsi="宋体" w:eastAsia="宋体" w:cs="宋体"/>
          <w:b/>
          <w:bCs/>
          <w:sz w:val="24"/>
          <w:szCs w:val="24"/>
          <w:lang w:val="en-US" w:eastAsia="zh-CN"/>
        </w:rPr>
        <w:t xml:space="preserve">1 </w:t>
      </w:r>
      <w:r>
        <w:rPr>
          <w:rFonts w:hint="eastAsia" w:ascii="宋体" w:hAnsi="宋体" w:eastAsia="宋体" w:cs="宋体"/>
          <w:sz w:val="24"/>
          <w:szCs w:val="24"/>
        </w:rPr>
        <w:t>路网密度宜控制在8～10km/km²之间，且不应高于12 km/km²。</w:t>
      </w:r>
    </w:p>
    <w:p w14:paraId="3BE265A5">
      <w:pPr>
        <w:spacing w:beforeLines="0" w:afterLines="0" w:line="360" w:lineRule="auto"/>
        <w:ind w:firstLine="721" w:firstLineChars="300"/>
        <w:rPr>
          <w:rFonts w:hint="eastAsia" w:ascii="宋体" w:hAnsi="宋体" w:eastAsia="宋体" w:cs="宋体"/>
          <w:sz w:val="24"/>
          <w:szCs w:val="24"/>
        </w:rPr>
      </w:pPr>
      <w:r>
        <w:rPr>
          <w:rFonts w:hint="eastAsia" w:ascii="宋体" w:hAnsi="宋体" w:eastAsia="宋体" w:cs="宋体"/>
          <w:b/>
          <w:bCs/>
          <w:sz w:val="24"/>
          <w:szCs w:val="24"/>
          <w:lang w:val="en-US" w:eastAsia="zh-CN"/>
        </w:rPr>
        <w:t xml:space="preserve">2 </w:t>
      </w:r>
      <w:r>
        <w:rPr>
          <w:rFonts w:hint="eastAsia" w:ascii="宋体" w:hAnsi="宋体" w:eastAsia="宋体" w:cs="宋体"/>
          <w:sz w:val="24"/>
          <w:szCs w:val="24"/>
        </w:rPr>
        <w:t>划分完成的地块应保障街墙界面的连续性。</w:t>
      </w:r>
    </w:p>
    <w:p w14:paraId="412A6374">
      <w:pPr>
        <w:spacing w:beforeLines="0" w:afterLines="0" w:line="360" w:lineRule="auto"/>
        <w:rPr>
          <w:rFonts w:hint="eastAsia" w:ascii="宋体" w:hAnsi="宋体" w:eastAsia="宋体" w:cs="宋体"/>
          <w:sz w:val="24"/>
          <w:szCs w:val="24"/>
        </w:rPr>
      </w:pPr>
      <w:r>
        <w:rPr>
          <w:rFonts w:hint="eastAsia" w:ascii="宋体" w:hAnsi="宋体" w:eastAsia="宋体" w:cs="宋体"/>
          <w:b/>
          <w:bCs/>
          <w:sz w:val="24"/>
          <w:szCs w:val="24"/>
        </w:rPr>
        <w:t>4.1.4</w:t>
      </w:r>
      <w:r>
        <w:rPr>
          <w:rFonts w:hint="eastAsia" w:ascii="宋体" w:hAnsi="宋体" w:eastAsia="宋体" w:cs="宋体"/>
          <w:sz w:val="24"/>
          <w:szCs w:val="24"/>
        </w:rPr>
        <w:t>片区地块划分后建筑层数不应超过80层，宜控制在40层以下，以在7～25层之间为宜。</w:t>
      </w:r>
    </w:p>
    <w:p w14:paraId="12B44F8F">
      <w:pPr>
        <w:spacing w:beforeLines="0" w:afterLines="0" w:line="360" w:lineRule="auto"/>
        <w:rPr>
          <w:rFonts w:hint="eastAsia" w:ascii="宋体" w:hAnsi="宋体" w:eastAsia="宋体" w:cs="宋体"/>
          <w:sz w:val="24"/>
          <w:szCs w:val="24"/>
        </w:rPr>
      </w:pPr>
    </w:p>
    <w:p w14:paraId="074D6966">
      <w:pPr>
        <w:spacing w:beforeLines="0" w:afterLines="0" w:line="360" w:lineRule="auto"/>
        <w:jc w:val="center"/>
        <w:outlineLvl w:val="1"/>
        <w:rPr>
          <w:rFonts w:hint="eastAsia" w:ascii="宋体" w:hAnsi="宋体" w:eastAsia="宋体" w:cs="宋体"/>
          <w:b/>
          <w:sz w:val="28"/>
          <w:szCs w:val="28"/>
        </w:rPr>
      </w:pPr>
      <w:r>
        <w:rPr>
          <w:rFonts w:hint="eastAsia" w:ascii="宋体" w:hAnsi="宋体" w:eastAsia="宋体" w:cs="宋体"/>
          <w:b/>
          <w:sz w:val="28"/>
          <w:szCs w:val="28"/>
        </w:rPr>
        <w:t>4.2 地块尺寸</w:t>
      </w:r>
    </w:p>
    <w:p w14:paraId="3C483530">
      <w:pPr>
        <w:spacing w:beforeLines="0" w:afterLines="0" w:line="360" w:lineRule="auto"/>
        <w:rPr>
          <w:rFonts w:hint="eastAsia" w:ascii="宋体" w:hAnsi="宋体" w:eastAsia="宋体" w:cs="宋体"/>
          <w:sz w:val="24"/>
          <w:szCs w:val="24"/>
        </w:rPr>
      </w:pPr>
      <w:r>
        <w:rPr>
          <w:rFonts w:hint="eastAsia" w:ascii="宋体" w:hAnsi="宋体" w:eastAsia="宋体" w:cs="宋体"/>
          <w:b/>
          <w:bCs/>
          <w:sz w:val="24"/>
          <w:szCs w:val="24"/>
        </w:rPr>
        <w:t>4.2.1</w:t>
      </w:r>
      <w:r>
        <w:rPr>
          <w:rFonts w:hint="eastAsia" w:ascii="宋体" w:hAnsi="宋体" w:eastAsia="宋体" w:cs="宋体"/>
          <w:sz w:val="24"/>
          <w:szCs w:val="24"/>
        </w:rPr>
        <w:t xml:space="preserve"> 高强度片区的地块尺寸应根据用地性质和建设强度等要素予以控制，与片区功能定位相匹配，以实现合理配置和高效集约的土地利用。</w:t>
      </w:r>
    </w:p>
    <w:p w14:paraId="50702987">
      <w:pPr>
        <w:spacing w:beforeLines="0" w:afterLines="0" w:line="360" w:lineRule="auto"/>
        <w:rPr>
          <w:rFonts w:hint="eastAsia" w:ascii="宋体" w:hAnsi="宋体" w:eastAsia="宋体" w:cs="宋体"/>
          <w:sz w:val="24"/>
          <w:szCs w:val="24"/>
        </w:rPr>
      </w:pPr>
      <w:r>
        <w:rPr>
          <w:rFonts w:hint="eastAsia" w:ascii="宋体" w:hAnsi="宋体" w:eastAsia="宋体" w:cs="宋体"/>
          <w:b/>
          <w:bCs/>
          <w:sz w:val="24"/>
          <w:szCs w:val="24"/>
        </w:rPr>
        <w:t>4.2.2</w:t>
      </w:r>
      <w:r>
        <w:rPr>
          <w:rFonts w:hint="eastAsia" w:ascii="宋体" w:hAnsi="宋体" w:eastAsia="宋体" w:cs="宋体"/>
          <w:sz w:val="24"/>
          <w:szCs w:val="24"/>
        </w:rPr>
        <w:t xml:space="preserve"> 高强度片区的用地性质以商业用地、居住用地、公共管理与公共服务用地和混合用地为主，并涵盖其他用地，高强度片区各类用地适宜地块尺寸指标见表 4.2.2。</w:t>
      </w:r>
    </w:p>
    <w:p w14:paraId="51B55EC0">
      <w:pPr>
        <w:pStyle w:val="44"/>
        <w:numPr>
          <w:ilvl w:val="0"/>
          <w:numId w:val="0"/>
        </w:numPr>
        <w:overflowPunct w:val="0"/>
        <w:spacing w:beforeLines="0" w:afterLines="0" w:line="360" w:lineRule="auto"/>
        <w:ind w:left="0"/>
        <w:jc w:val="center"/>
        <w:rPr>
          <w:rFonts w:hint="eastAsia" w:ascii="宋体" w:hAnsi="宋体" w:eastAsia="宋体" w:cs="宋体"/>
          <w:sz w:val="21"/>
          <w:szCs w:val="21"/>
        </w:rPr>
      </w:pPr>
      <w:r>
        <w:rPr>
          <w:rFonts w:hint="eastAsia" w:eastAsia="宋体"/>
          <w:b/>
          <w:kern w:val="0"/>
          <w:sz w:val="21"/>
          <w:szCs w:val="21"/>
          <w:lang w:bidi="zh-CN"/>
        </w:rPr>
        <w:t>表4.2.2高强度片区各类用地适宜地块尺寸</w:t>
      </w:r>
    </w:p>
    <w:tbl>
      <w:tblPr>
        <w:tblStyle w:val="24"/>
        <w:tblW w:w="8817" w:type="dxa"/>
        <w:tblInd w:w="-191" w:type="dxa"/>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fixed"/>
        <w:tblCellMar>
          <w:top w:w="0" w:type="dxa"/>
          <w:left w:w="108" w:type="dxa"/>
          <w:bottom w:w="0" w:type="dxa"/>
          <w:right w:w="108" w:type="dxa"/>
        </w:tblCellMar>
      </w:tblPr>
      <w:tblGrid>
        <w:gridCol w:w="1737"/>
        <w:gridCol w:w="2467"/>
        <w:gridCol w:w="2424"/>
        <w:gridCol w:w="2189"/>
      </w:tblGrid>
      <w:tr w14:paraId="3C0A85D8">
        <w:trPr>
          <w:trHeight w:val="348" w:hRule="atLeast"/>
        </w:trPr>
        <w:tc>
          <w:tcPr>
            <w:tcW w:w="1737" w:type="dxa"/>
            <w:tcBorders>
              <w:top w:val="single" w:color="auto" w:sz="12" w:space="0"/>
              <w:left w:val="single" w:color="auto" w:sz="12" w:space="0"/>
              <w:bottom w:val="single" w:color="000000" w:sz="4" w:space="0"/>
              <w:right w:val="single" w:color="000000" w:sz="4" w:space="0"/>
              <w:tl2br w:val="nil"/>
              <w:tr2bl w:val="nil"/>
            </w:tcBorders>
            <w:noWrap/>
            <w:vAlign w:val="center"/>
          </w:tcPr>
          <w:p w14:paraId="347E30A2">
            <w:pPr>
              <w:widowControl/>
              <w:spacing w:beforeLines="0" w:afterLines="0"/>
              <w:jc w:val="center"/>
              <w:textAlignment w:val="center"/>
              <w:rPr>
                <w:rFonts w:hint="eastAsia" w:ascii="宋体" w:hAnsi="宋体" w:eastAsia="宋体" w:cs="宋体"/>
                <w:sz w:val="21"/>
                <w:szCs w:val="21"/>
              </w:rPr>
            </w:pPr>
            <w:r>
              <w:rPr>
                <w:rFonts w:hint="eastAsia" w:ascii="宋体" w:hAnsi="宋体" w:eastAsia="宋体" w:cs="宋体"/>
                <w:sz w:val="21"/>
                <w:szCs w:val="21"/>
              </w:rPr>
              <w:t>用地性质</w:t>
            </w:r>
          </w:p>
        </w:tc>
        <w:tc>
          <w:tcPr>
            <w:tcW w:w="2467" w:type="dxa"/>
            <w:tcBorders>
              <w:top w:val="single" w:color="auto" w:sz="12" w:space="0"/>
              <w:left w:val="single" w:color="000000" w:sz="4" w:space="0"/>
              <w:bottom w:val="single" w:color="000000" w:sz="4" w:space="0"/>
              <w:right w:val="single" w:color="000000" w:sz="4" w:space="0"/>
              <w:tl2br w:val="nil"/>
              <w:tr2bl w:val="nil"/>
            </w:tcBorders>
            <w:noWrap/>
            <w:vAlign w:val="center"/>
          </w:tcPr>
          <w:p w14:paraId="77BC5227">
            <w:pPr>
              <w:widowControl/>
              <w:spacing w:beforeLines="0" w:afterLines="0"/>
              <w:jc w:val="center"/>
              <w:textAlignment w:val="center"/>
              <w:rPr>
                <w:rFonts w:hint="eastAsia" w:ascii="宋体" w:hAnsi="宋体" w:eastAsia="宋体" w:cs="宋体"/>
                <w:sz w:val="21"/>
                <w:szCs w:val="21"/>
              </w:rPr>
            </w:pPr>
            <w:r>
              <w:rPr>
                <w:rFonts w:hint="eastAsia" w:ascii="宋体" w:hAnsi="宋体" w:eastAsia="宋体" w:cs="宋体"/>
                <w:sz w:val="21"/>
                <w:szCs w:val="21"/>
              </w:rPr>
              <w:t>主要地块面积区间/m</w:t>
            </w:r>
            <w:r>
              <w:rPr>
                <w:rFonts w:hint="eastAsia" w:ascii="宋体" w:hAnsi="宋体" w:eastAsia="宋体" w:cs="宋体"/>
                <w:sz w:val="21"/>
                <w:szCs w:val="21"/>
                <w:vertAlign w:val="superscript"/>
              </w:rPr>
              <w:t>2</w:t>
            </w:r>
          </w:p>
        </w:tc>
        <w:tc>
          <w:tcPr>
            <w:tcW w:w="2424" w:type="dxa"/>
            <w:tcBorders>
              <w:top w:val="single" w:color="auto" w:sz="12" w:space="0"/>
              <w:left w:val="single" w:color="000000" w:sz="4" w:space="0"/>
              <w:bottom w:val="single" w:color="000000" w:sz="4" w:space="0"/>
              <w:right w:val="single" w:color="000000" w:sz="4" w:space="0"/>
              <w:tl2br w:val="nil"/>
              <w:tr2bl w:val="nil"/>
            </w:tcBorders>
            <w:noWrap/>
            <w:vAlign w:val="center"/>
          </w:tcPr>
          <w:p w14:paraId="6F63EE49">
            <w:pPr>
              <w:widowControl/>
              <w:spacing w:beforeLines="0" w:afterLines="0"/>
              <w:jc w:val="center"/>
              <w:textAlignment w:val="center"/>
              <w:rPr>
                <w:rFonts w:hint="eastAsia" w:ascii="宋体" w:hAnsi="宋体" w:eastAsia="宋体" w:cs="宋体"/>
                <w:sz w:val="21"/>
                <w:szCs w:val="21"/>
              </w:rPr>
            </w:pPr>
            <w:r>
              <w:rPr>
                <w:rFonts w:hint="eastAsia" w:ascii="宋体" w:hAnsi="宋体" w:eastAsia="宋体" w:cs="宋体"/>
                <w:sz w:val="21"/>
                <w:szCs w:val="21"/>
              </w:rPr>
              <w:t>建议地块最小边长/m</w:t>
            </w:r>
          </w:p>
        </w:tc>
        <w:tc>
          <w:tcPr>
            <w:tcW w:w="2189" w:type="dxa"/>
            <w:tcBorders>
              <w:top w:val="single" w:color="auto" w:sz="12" w:space="0"/>
              <w:left w:val="single" w:color="000000" w:sz="4" w:space="0"/>
              <w:bottom w:val="single" w:color="000000" w:sz="4" w:space="0"/>
              <w:right w:val="single" w:color="auto" w:sz="12" w:space="0"/>
              <w:tl2br w:val="nil"/>
              <w:tr2bl w:val="nil"/>
            </w:tcBorders>
            <w:noWrap/>
            <w:vAlign w:val="center"/>
          </w:tcPr>
          <w:p w14:paraId="1DC5F33F">
            <w:pPr>
              <w:widowControl/>
              <w:spacing w:beforeLines="0" w:afterLines="0"/>
              <w:jc w:val="center"/>
              <w:textAlignment w:val="center"/>
              <w:rPr>
                <w:rFonts w:hint="eastAsia" w:ascii="宋体" w:hAnsi="宋体" w:eastAsia="宋体" w:cs="宋体"/>
                <w:sz w:val="21"/>
                <w:szCs w:val="21"/>
              </w:rPr>
            </w:pPr>
            <w:r>
              <w:rPr>
                <w:rFonts w:hint="eastAsia" w:ascii="宋体" w:hAnsi="宋体" w:eastAsia="宋体" w:cs="宋体"/>
                <w:sz w:val="21"/>
                <w:szCs w:val="21"/>
              </w:rPr>
              <w:t>说明</w:t>
            </w:r>
          </w:p>
        </w:tc>
      </w:tr>
      <w:tr w14:paraId="113A8F20">
        <w:trPr>
          <w:trHeight w:val="348" w:hRule="atLeast"/>
        </w:trPr>
        <w:tc>
          <w:tcPr>
            <w:tcW w:w="1737" w:type="dxa"/>
            <w:tcBorders>
              <w:top w:val="single" w:color="000000" w:sz="4" w:space="0"/>
              <w:left w:val="single" w:color="auto" w:sz="12" w:space="0"/>
              <w:bottom w:val="single" w:color="000000" w:sz="4" w:space="0"/>
              <w:right w:val="single" w:color="000000" w:sz="4" w:space="0"/>
              <w:tl2br w:val="nil"/>
              <w:tr2bl w:val="nil"/>
            </w:tcBorders>
            <w:noWrap/>
            <w:vAlign w:val="center"/>
          </w:tcPr>
          <w:p w14:paraId="6448DBAC">
            <w:pPr>
              <w:widowControl/>
              <w:spacing w:beforeLines="0" w:afterLines="0"/>
              <w:jc w:val="center"/>
              <w:textAlignment w:val="center"/>
              <w:rPr>
                <w:rFonts w:hint="eastAsia" w:ascii="宋体" w:hAnsi="宋体" w:eastAsia="宋体" w:cs="宋体"/>
                <w:sz w:val="21"/>
                <w:szCs w:val="21"/>
              </w:rPr>
            </w:pPr>
            <w:r>
              <w:rPr>
                <w:rFonts w:hint="eastAsia" w:ascii="宋体" w:hAnsi="宋体" w:eastAsia="宋体" w:cs="宋体"/>
                <w:sz w:val="21"/>
                <w:szCs w:val="21"/>
              </w:rPr>
              <w:t>商业用地</w:t>
            </w:r>
          </w:p>
        </w:tc>
        <w:tc>
          <w:tcPr>
            <w:tcW w:w="246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0560A0EF">
            <w:pPr>
              <w:widowControl/>
              <w:spacing w:beforeLines="0" w:afterLines="0"/>
              <w:jc w:val="center"/>
              <w:textAlignment w:val="center"/>
              <w:rPr>
                <w:rFonts w:hint="eastAsia" w:ascii="宋体" w:hAnsi="宋体" w:eastAsia="宋体" w:cs="宋体"/>
                <w:sz w:val="21"/>
                <w:szCs w:val="21"/>
              </w:rPr>
            </w:pPr>
            <w:r>
              <w:rPr>
                <w:rFonts w:hint="eastAsia" w:ascii="宋体" w:hAnsi="宋体" w:eastAsia="宋体" w:cs="宋体"/>
                <w:sz w:val="21"/>
                <w:szCs w:val="21"/>
              </w:rPr>
              <w:t>5000～20000</w:t>
            </w:r>
          </w:p>
        </w:tc>
        <w:tc>
          <w:tcPr>
            <w:tcW w:w="2424"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343031DF">
            <w:pPr>
              <w:widowControl/>
              <w:spacing w:beforeLines="0" w:afterLines="0"/>
              <w:jc w:val="center"/>
              <w:textAlignment w:val="center"/>
              <w:rPr>
                <w:rFonts w:hint="eastAsia" w:ascii="宋体" w:hAnsi="宋体" w:eastAsia="宋体" w:cs="宋体"/>
                <w:sz w:val="21"/>
                <w:szCs w:val="21"/>
              </w:rPr>
            </w:pPr>
            <w:r>
              <w:rPr>
                <w:rFonts w:hint="eastAsia" w:ascii="宋体" w:hAnsi="宋体" w:eastAsia="宋体" w:cs="宋体"/>
                <w:sz w:val="21"/>
                <w:szCs w:val="21"/>
              </w:rPr>
              <w:t>60～80</w:t>
            </w:r>
          </w:p>
        </w:tc>
        <w:tc>
          <w:tcPr>
            <w:tcW w:w="2189" w:type="dxa"/>
            <w:tcBorders>
              <w:top w:val="single" w:color="000000" w:sz="4" w:space="0"/>
              <w:left w:val="single" w:color="000000" w:sz="4" w:space="0"/>
              <w:bottom w:val="single" w:color="000000" w:sz="4" w:space="0"/>
              <w:right w:val="single" w:color="auto" w:sz="12" w:space="0"/>
              <w:tl2br w:val="nil"/>
              <w:tr2bl w:val="nil"/>
            </w:tcBorders>
            <w:noWrap/>
            <w:vAlign w:val="center"/>
          </w:tcPr>
          <w:p w14:paraId="74CCDCB0">
            <w:pPr>
              <w:widowControl/>
              <w:spacing w:beforeLines="0" w:afterLines="0"/>
              <w:jc w:val="left"/>
              <w:textAlignment w:val="center"/>
              <w:rPr>
                <w:rFonts w:hint="eastAsia" w:ascii="宋体" w:hAnsi="宋体" w:eastAsia="宋体" w:cs="宋体"/>
                <w:sz w:val="21"/>
                <w:szCs w:val="21"/>
              </w:rPr>
            </w:pPr>
            <w:r>
              <w:rPr>
                <w:rFonts w:hint="eastAsia" w:ascii="宋体" w:hAnsi="宋体" w:eastAsia="宋体" w:cs="宋体"/>
                <w:sz w:val="21"/>
                <w:szCs w:val="21"/>
              </w:rPr>
              <w:t>核心商业区可更大</w:t>
            </w:r>
          </w:p>
        </w:tc>
      </w:tr>
      <w:tr w14:paraId="4E8366CA">
        <w:trPr>
          <w:trHeight w:val="348" w:hRule="atLeast"/>
        </w:trPr>
        <w:tc>
          <w:tcPr>
            <w:tcW w:w="1737" w:type="dxa"/>
            <w:tcBorders>
              <w:top w:val="single" w:color="000000" w:sz="4" w:space="0"/>
              <w:left w:val="single" w:color="auto" w:sz="12" w:space="0"/>
              <w:bottom w:val="single" w:color="000000" w:sz="4" w:space="0"/>
              <w:right w:val="single" w:color="000000" w:sz="4" w:space="0"/>
              <w:tl2br w:val="nil"/>
              <w:tr2bl w:val="nil"/>
            </w:tcBorders>
            <w:noWrap/>
            <w:vAlign w:val="center"/>
          </w:tcPr>
          <w:p w14:paraId="380D44A7">
            <w:pPr>
              <w:widowControl/>
              <w:spacing w:beforeLines="0" w:afterLines="0"/>
              <w:jc w:val="center"/>
              <w:textAlignment w:val="center"/>
              <w:rPr>
                <w:rFonts w:hint="eastAsia" w:ascii="宋体" w:hAnsi="宋体" w:eastAsia="宋体" w:cs="宋体"/>
                <w:sz w:val="21"/>
                <w:szCs w:val="21"/>
              </w:rPr>
            </w:pPr>
            <w:r>
              <w:rPr>
                <w:rFonts w:hint="eastAsia" w:ascii="宋体" w:hAnsi="宋体" w:eastAsia="宋体" w:cs="宋体"/>
                <w:sz w:val="21"/>
                <w:szCs w:val="21"/>
              </w:rPr>
              <w:t>居住用地</w:t>
            </w:r>
          </w:p>
        </w:tc>
        <w:tc>
          <w:tcPr>
            <w:tcW w:w="246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243D83B5">
            <w:pPr>
              <w:widowControl/>
              <w:spacing w:beforeLines="0" w:afterLines="0"/>
              <w:jc w:val="center"/>
              <w:textAlignment w:val="center"/>
              <w:rPr>
                <w:rFonts w:hint="eastAsia" w:ascii="宋体" w:hAnsi="宋体" w:eastAsia="宋体" w:cs="宋体"/>
                <w:sz w:val="21"/>
                <w:szCs w:val="21"/>
              </w:rPr>
            </w:pPr>
            <w:r>
              <w:rPr>
                <w:rFonts w:hint="eastAsia" w:ascii="宋体" w:hAnsi="宋体" w:eastAsia="宋体" w:cs="宋体"/>
                <w:sz w:val="21"/>
                <w:szCs w:val="21"/>
              </w:rPr>
              <w:t>10000～40000</w:t>
            </w:r>
          </w:p>
        </w:tc>
        <w:tc>
          <w:tcPr>
            <w:tcW w:w="2424"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6497958D">
            <w:pPr>
              <w:widowControl/>
              <w:spacing w:beforeLines="0" w:afterLines="0"/>
              <w:jc w:val="center"/>
              <w:textAlignment w:val="center"/>
              <w:rPr>
                <w:rFonts w:hint="eastAsia" w:ascii="宋体" w:hAnsi="宋体" w:eastAsia="宋体" w:cs="宋体"/>
                <w:sz w:val="21"/>
                <w:szCs w:val="21"/>
              </w:rPr>
            </w:pPr>
            <w:r>
              <w:rPr>
                <w:rFonts w:hint="eastAsia" w:ascii="宋体" w:hAnsi="宋体" w:eastAsia="宋体" w:cs="宋体"/>
                <w:sz w:val="21"/>
                <w:szCs w:val="21"/>
              </w:rPr>
              <w:t>80～120</w:t>
            </w:r>
          </w:p>
        </w:tc>
        <w:tc>
          <w:tcPr>
            <w:tcW w:w="2189" w:type="dxa"/>
            <w:tcBorders>
              <w:top w:val="single" w:color="000000" w:sz="4" w:space="0"/>
              <w:left w:val="single" w:color="000000" w:sz="4" w:space="0"/>
              <w:bottom w:val="single" w:color="000000" w:sz="4" w:space="0"/>
              <w:right w:val="single" w:color="auto" w:sz="12" w:space="0"/>
              <w:tl2br w:val="nil"/>
              <w:tr2bl w:val="nil"/>
            </w:tcBorders>
            <w:noWrap/>
            <w:vAlign w:val="center"/>
          </w:tcPr>
          <w:p w14:paraId="44429E34">
            <w:pPr>
              <w:widowControl/>
              <w:spacing w:beforeLines="0" w:afterLines="0"/>
              <w:jc w:val="left"/>
              <w:textAlignment w:val="center"/>
              <w:rPr>
                <w:rFonts w:hint="eastAsia" w:ascii="宋体" w:hAnsi="宋体" w:eastAsia="宋体" w:cs="宋体"/>
                <w:sz w:val="21"/>
                <w:szCs w:val="21"/>
              </w:rPr>
            </w:pPr>
            <w:r>
              <w:rPr>
                <w:rFonts w:hint="eastAsia" w:ascii="宋体" w:hAnsi="宋体" w:eastAsia="宋体" w:cs="宋体"/>
                <w:sz w:val="21"/>
                <w:szCs w:val="21"/>
              </w:rPr>
              <w:t>应保证居住品质及日常设施和绿地配置需求。</w:t>
            </w:r>
          </w:p>
        </w:tc>
      </w:tr>
      <w:tr w14:paraId="691396FD">
        <w:trPr>
          <w:trHeight w:val="348" w:hRule="atLeast"/>
        </w:trPr>
        <w:tc>
          <w:tcPr>
            <w:tcW w:w="1737" w:type="dxa"/>
            <w:tcBorders>
              <w:top w:val="single" w:color="000000" w:sz="4" w:space="0"/>
              <w:left w:val="single" w:color="auto" w:sz="12" w:space="0"/>
              <w:bottom w:val="single" w:color="000000" w:sz="4" w:space="0"/>
              <w:right w:val="single" w:color="000000" w:sz="4" w:space="0"/>
              <w:tl2br w:val="nil"/>
              <w:tr2bl w:val="nil"/>
            </w:tcBorders>
            <w:noWrap/>
            <w:vAlign w:val="center"/>
          </w:tcPr>
          <w:p w14:paraId="509CFA73">
            <w:pPr>
              <w:widowControl/>
              <w:spacing w:beforeLines="0" w:afterLines="0"/>
              <w:jc w:val="center"/>
              <w:textAlignment w:val="center"/>
              <w:rPr>
                <w:rFonts w:hint="eastAsia" w:ascii="宋体" w:hAnsi="宋体" w:eastAsia="宋体" w:cs="宋体"/>
                <w:sz w:val="21"/>
                <w:szCs w:val="21"/>
              </w:rPr>
            </w:pPr>
            <w:r>
              <w:rPr>
                <w:rFonts w:hint="eastAsia" w:ascii="宋体" w:hAnsi="宋体" w:eastAsia="宋体" w:cs="宋体"/>
                <w:sz w:val="21"/>
                <w:szCs w:val="21"/>
              </w:rPr>
              <w:t>公共服务用地</w:t>
            </w:r>
          </w:p>
        </w:tc>
        <w:tc>
          <w:tcPr>
            <w:tcW w:w="2467"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11BF7AC8">
            <w:pPr>
              <w:widowControl/>
              <w:spacing w:beforeLines="0" w:afterLines="0"/>
              <w:jc w:val="center"/>
              <w:textAlignment w:val="center"/>
              <w:rPr>
                <w:rFonts w:hint="eastAsia" w:ascii="宋体" w:hAnsi="宋体" w:eastAsia="宋体" w:cs="宋体"/>
                <w:sz w:val="21"/>
                <w:szCs w:val="21"/>
              </w:rPr>
            </w:pPr>
            <w:r>
              <w:rPr>
                <w:rFonts w:hint="eastAsia" w:ascii="宋体" w:hAnsi="宋体" w:eastAsia="宋体" w:cs="宋体"/>
                <w:sz w:val="21"/>
                <w:szCs w:val="21"/>
              </w:rPr>
              <w:t>5000～15000</w:t>
            </w:r>
          </w:p>
        </w:tc>
        <w:tc>
          <w:tcPr>
            <w:tcW w:w="2424" w:type="dxa"/>
            <w:tcBorders>
              <w:top w:val="single" w:color="000000" w:sz="4" w:space="0"/>
              <w:left w:val="single" w:color="000000" w:sz="4" w:space="0"/>
              <w:bottom w:val="single" w:color="000000" w:sz="4" w:space="0"/>
              <w:right w:val="single" w:color="000000" w:sz="4" w:space="0"/>
              <w:tl2br w:val="nil"/>
              <w:tr2bl w:val="nil"/>
            </w:tcBorders>
            <w:noWrap/>
            <w:vAlign w:val="center"/>
          </w:tcPr>
          <w:p w14:paraId="5474E723">
            <w:pPr>
              <w:widowControl/>
              <w:spacing w:beforeLines="0" w:afterLines="0"/>
              <w:jc w:val="center"/>
              <w:textAlignment w:val="center"/>
              <w:rPr>
                <w:rFonts w:hint="eastAsia" w:ascii="宋体" w:hAnsi="宋体" w:eastAsia="宋体" w:cs="宋体"/>
                <w:sz w:val="21"/>
                <w:szCs w:val="21"/>
              </w:rPr>
            </w:pPr>
            <w:r>
              <w:rPr>
                <w:rFonts w:hint="eastAsia" w:ascii="宋体" w:hAnsi="宋体" w:eastAsia="宋体" w:cs="宋体"/>
                <w:sz w:val="21"/>
                <w:szCs w:val="21"/>
              </w:rPr>
              <w:t>40～80</w:t>
            </w:r>
          </w:p>
        </w:tc>
        <w:tc>
          <w:tcPr>
            <w:tcW w:w="2189" w:type="dxa"/>
            <w:tcBorders>
              <w:top w:val="single" w:color="000000" w:sz="4" w:space="0"/>
              <w:left w:val="single" w:color="000000" w:sz="4" w:space="0"/>
              <w:bottom w:val="single" w:color="000000" w:sz="4" w:space="0"/>
              <w:right w:val="single" w:color="auto" w:sz="12" w:space="0"/>
              <w:tl2br w:val="nil"/>
              <w:tr2bl w:val="nil"/>
            </w:tcBorders>
            <w:noWrap/>
            <w:vAlign w:val="center"/>
          </w:tcPr>
          <w:p w14:paraId="414CAA39">
            <w:pPr>
              <w:widowControl/>
              <w:spacing w:beforeLines="0" w:afterLines="0"/>
              <w:jc w:val="left"/>
              <w:textAlignment w:val="center"/>
              <w:rPr>
                <w:rFonts w:hint="eastAsia" w:ascii="宋体" w:hAnsi="宋体" w:eastAsia="宋体" w:cs="宋体"/>
                <w:sz w:val="21"/>
                <w:szCs w:val="21"/>
              </w:rPr>
            </w:pPr>
            <w:r>
              <w:rPr>
                <w:rFonts w:hint="eastAsia" w:ascii="宋体" w:hAnsi="宋体" w:eastAsia="宋体" w:cs="宋体"/>
                <w:sz w:val="21"/>
                <w:szCs w:val="21"/>
              </w:rPr>
              <w:t>根据服务对象规模合理设置尺度</w:t>
            </w:r>
          </w:p>
        </w:tc>
      </w:tr>
      <w:tr w14:paraId="42F4E3DB">
        <w:trPr>
          <w:trHeight w:val="359" w:hRule="atLeast"/>
        </w:trPr>
        <w:tc>
          <w:tcPr>
            <w:tcW w:w="1737" w:type="dxa"/>
            <w:tcBorders>
              <w:top w:val="single" w:color="000000" w:sz="4" w:space="0"/>
              <w:left w:val="single" w:color="auto" w:sz="12" w:space="0"/>
              <w:bottom w:val="single" w:color="auto" w:sz="12" w:space="0"/>
              <w:right w:val="single" w:color="000000" w:sz="4" w:space="0"/>
              <w:tl2br w:val="nil"/>
              <w:tr2bl w:val="nil"/>
            </w:tcBorders>
            <w:noWrap/>
            <w:vAlign w:val="center"/>
          </w:tcPr>
          <w:p w14:paraId="6B6C7FFA">
            <w:pPr>
              <w:widowControl/>
              <w:spacing w:beforeLines="0" w:afterLines="0"/>
              <w:jc w:val="center"/>
              <w:textAlignment w:val="center"/>
              <w:rPr>
                <w:rFonts w:hint="eastAsia" w:ascii="宋体" w:hAnsi="宋体" w:eastAsia="宋体" w:cs="宋体"/>
                <w:sz w:val="21"/>
                <w:szCs w:val="21"/>
              </w:rPr>
            </w:pPr>
            <w:r>
              <w:rPr>
                <w:rFonts w:hint="eastAsia" w:ascii="宋体" w:hAnsi="宋体" w:eastAsia="宋体" w:cs="宋体"/>
                <w:sz w:val="21"/>
                <w:szCs w:val="21"/>
              </w:rPr>
              <w:t>混合用地</w:t>
            </w:r>
          </w:p>
        </w:tc>
        <w:tc>
          <w:tcPr>
            <w:tcW w:w="2467" w:type="dxa"/>
            <w:tcBorders>
              <w:top w:val="single" w:color="000000" w:sz="4" w:space="0"/>
              <w:left w:val="single" w:color="000000" w:sz="4" w:space="0"/>
              <w:bottom w:val="single" w:color="auto" w:sz="12" w:space="0"/>
              <w:right w:val="single" w:color="000000" w:sz="4" w:space="0"/>
              <w:tl2br w:val="nil"/>
              <w:tr2bl w:val="nil"/>
            </w:tcBorders>
            <w:noWrap/>
            <w:vAlign w:val="center"/>
          </w:tcPr>
          <w:p w14:paraId="104FDE55">
            <w:pPr>
              <w:widowControl/>
              <w:spacing w:beforeLines="0" w:afterLines="0"/>
              <w:jc w:val="center"/>
              <w:textAlignment w:val="center"/>
              <w:rPr>
                <w:rFonts w:hint="eastAsia" w:ascii="宋体" w:hAnsi="宋体" w:eastAsia="宋体" w:cs="宋体"/>
                <w:sz w:val="21"/>
                <w:szCs w:val="21"/>
              </w:rPr>
            </w:pPr>
            <w:r>
              <w:rPr>
                <w:rFonts w:hint="eastAsia" w:ascii="宋体" w:hAnsi="宋体" w:eastAsia="宋体" w:cs="宋体"/>
                <w:sz w:val="21"/>
                <w:szCs w:val="21"/>
              </w:rPr>
              <w:t>15000～50000</w:t>
            </w:r>
          </w:p>
        </w:tc>
        <w:tc>
          <w:tcPr>
            <w:tcW w:w="2424" w:type="dxa"/>
            <w:tcBorders>
              <w:top w:val="single" w:color="000000" w:sz="4" w:space="0"/>
              <w:left w:val="single" w:color="000000" w:sz="4" w:space="0"/>
              <w:bottom w:val="single" w:color="auto" w:sz="12" w:space="0"/>
              <w:right w:val="single" w:color="000000" w:sz="4" w:space="0"/>
              <w:tl2br w:val="nil"/>
              <w:tr2bl w:val="nil"/>
            </w:tcBorders>
            <w:noWrap/>
            <w:vAlign w:val="center"/>
          </w:tcPr>
          <w:p w14:paraId="477FBB56">
            <w:pPr>
              <w:widowControl/>
              <w:spacing w:beforeLines="0" w:afterLines="0"/>
              <w:jc w:val="center"/>
              <w:textAlignment w:val="center"/>
              <w:rPr>
                <w:rFonts w:hint="eastAsia" w:ascii="宋体" w:hAnsi="宋体" w:eastAsia="宋体" w:cs="宋体"/>
                <w:sz w:val="21"/>
                <w:szCs w:val="21"/>
              </w:rPr>
            </w:pPr>
            <w:r>
              <w:rPr>
                <w:rFonts w:hint="eastAsia" w:ascii="宋体" w:hAnsi="宋体" w:eastAsia="宋体" w:cs="宋体"/>
                <w:sz w:val="21"/>
                <w:szCs w:val="21"/>
              </w:rPr>
              <w:t>100～150</w:t>
            </w:r>
          </w:p>
        </w:tc>
        <w:tc>
          <w:tcPr>
            <w:tcW w:w="2189" w:type="dxa"/>
            <w:tcBorders>
              <w:top w:val="single" w:color="000000" w:sz="4" w:space="0"/>
              <w:left w:val="single" w:color="000000" w:sz="4" w:space="0"/>
              <w:bottom w:val="single" w:color="auto" w:sz="12" w:space="0"/>
              <w:right w:val="single" w:color="auto" w:sz="12" w:space="0"/>
              <w:tl2br w:val="nil"/>
              <w:tr2bl w:val="nil"/>
            </w:tcBorders>
            <w:noWrap/>
            <w:vAlign w:val="center"/>
          </w:tcPr>
          <w:p w14:paraId="05FAD2A7">
            <w:pPr>
              <w:widowControl/>
              <w:spacing w:beforeLines="0" w:afterLines="0"/>
              <w:jc w:val="left"/>
              <w:textAlignment w:val="center"/>
              <w:rPr>
                <w:rFonts w:hint="eastAsia" w:ascii="宋体" w:hAnsi="宋体" w:eastAsia="宋体" w:cs="宋体"/>
                <w:sz w:val="21"/>
                <w:szCs w:val="21"/>
              </w:rPr>
            </w:pPr>
            <w:r>
              <w:rPr>
                <w:rFonts w:hint="eastAsia" w:ascii="宋体" w:hAnsi="宋体" w:eastAsia="宋体" w:cs="宋体"/>
                <w:sz w:val="21"/>
                <w:szCs w:val="21"/>
              </w:rPr>
              <w:t>支持多功能综合开发，支持TOD开发</w:t>
            </w:r>
          </w:p>
        </w:tc>
      </w:tr>
    </w:tbl>
    <w:p w14:paraId="1824530E">
      <w:pPr>
        <w:spacing w:beforeLines="0" w:afterLines="0" w:line="360" w:lineRule="auto"/>
        <w:rPr>
          <w:rFonts w:hint="eastAsia" w:ascii="宋体" w:hAnsi="宋体" w:eastAsia="宋体" w:cs="宋体"/>
          <w:sz w:val="24"/>
          <w:szCs w:val="24"/>
        </w:rPr>
      </w:pPr>
      <w:r>
        <w:rPr>
          <w:rFonts w:hint="eastAsia" w:ascii="宋体" w:hAnsi="宋体" w:eastAsia="宋体" w:cs="宋体"/>
          <w:sz w:val="24"/>
          <w:szCs w:val="24"/>
        </w:rPr>
        <w:t>注：当地块内某一功能的占地面积不少于总占地面积的90%时，该地块被认定为这一功能性质的用地。如果一个地块内有多个用地功能，且任一种功能用地的占地面积不超过90%，则被称为混合用地。</w:t>
      </w:r>
    </w:p>
    <w:p w14:paraId="3226D66E">
      <w:pPr>
        <w:spacing w:beforeLines="0" w:afterLines="0"/>
        <w:rPr>
          <w:rFonts w:hint="eastAsia" w:ascii="宋体" w:hAnsi="宋体" w:eastAsia="宋体" w:cs="宋体"/>
          <w:sz w:val="24"/>
          <w:szCs w:val="24"/>
        </w:rPr>
      </w:pPr>
      <w:r>
        <w:rPr>
          <w:rFonts w:hint="eastAsia" w:ascii="宋体" w:hAnsi="宋体" w:eastAsia="宋体" w:cs="宋体"/>
          <w:sz w:val="24"/>
          <w:szCs w:val="24"/>
        </w:rPr>
        <w:br w:type="page"/>
      </w:r>
    </w:p>
    <w:p w14:paraId="4BA60EFD">
      <w:pPr>
        <w:pStyle w:val="70"/>
        <w:spacing w:beforeLines="0" w:afterLines="0" w:line="360" w:lineRule="auto"/>
        <w:jc w:val="center"/>
        <w:outlineLvl w:val="0"/>
        <w:rPr>
          <w:rFonts w:hint="eastAsia" w:ascii="宋体" w:hAnsi="宋体" w:eastAsia="宋体" w:cs="宋体"/>
          <w:sz w:val="28"/>
          <w:szCs w:val="24"/>
        </w:rPr>
      </w:pPr>
      <w:r>
        <w:rPr>
          <w:rFonts w:hint="eastAsia" w:ascii="宋体" w:hAnsi="宋体" w:eastAsia="宋体" w:cs="宋体"/>
          <w:sz w:val="28"/>
          <w:szCs w:val="24"/>
        </w:rPr>
        <w:t>5 功能混合</w:t>
      </w:r>
    </w:p>
    <w:p w14:paraId="1319B2F4">
      <w:pPr>
        <w:spacing w:beforeLines="0" w:afterLines="0" w:line="360" w:lineRule="auto"/>
        <w:jc w:val="center"/>
        <w:outlineLvl w:val="1"/>
        <w:rPr>
          <w:rFonts w:hint="eastAsia" w:ascii="宋体" w:hAnsi="宋体" w:eastAsia="宋体" w:cs="宋体"/>
          <w:b/>
          <w:sz w:val="28"/>
          <w:szCs w:val="28"/>
        </w:rPr>
      </w:pPr>
      <w:r>
        <w:rPr>
          <w:rFonts w:hint="eastAsia" w:ascii="宋体" w:hAnsi="宋体" w:eastAsia="宋体" w:cs="宋体"/>
          <w:b/>
          <w:sz w:val="28"/>
          <w:szCs w:val="28"/>
        </w:rPr>
        <w:t>5.1 功能类型</w:t>
      </w:r>
    </w:p>
    <w:p w14:paraId="52A657FF">
      <w:pPr>
        <w:spacing w:beforeLines="0" w:afterLines="0" w:line="360" w:lineRule="auto"/>
        <w:rPr>
          <w:rFonts w:hint="eastAsia" w:ascii="宋体" w:hAnsi="宋体" w:eastAsia="宋体" w:cs="宋体"/>
          <w:sz w:val="24"/>
          <w:szCs w:val="24"/>
        </w:rPr>
      </w:pPr>
      <w:r>
        <w:rPr>
          <w:rFonts w:hint="eastAsia" w:ascii="宋体" w:hAnsi="宋体" w:eastAsia="宋体" w:cs="宋体"/>
          <w:b/>
          <w:bCs/>
          <w:sz w:val="24"/>
          <w:szCs w:val="24"/>
        </w:rPr>
        <w:t xml:space="preserve">5.1.1 </w:t>
      </w:r>
      <w:r>
        <w:rPr>
          <w:rFonts w:hint="eastAsia" w:ascii="宋体" w:hAnsi="宋体" w:eastAsia="宋体" w:cs="宋体"/>
          <w:sz w:val="24"/>
          <w:szCs w:val="24"/>
        </w:rPr>
        <w:t>在高强度片区应倡导土地功能混合开发，并积极引导在地块、街区与片区等多尺度层级进行建筑功能的立体复合利用。</w:t>
      </w:r>
    </w:p>
    <w:p w14:paraId="1A92F99E">
      <w:pPr>
        <w:spacing w:beforeLines="0" w:afterLines="0" w:line="360" w:lineRule="auto"/>
        <w:rPr>
          <w:rFonts w:hint="eastAsia" w:ascii="宋体" w:hAnsi="宋体" w:eastAsia="宋体" w:cs="宋体"/>
          <w:sz w:val="24"/>
          <w:szCs w:val="24"/>
        </w:rPr>
      </w:pPr>
      <w:r>
        <w:rPr>
          <w:rFonts w:hint="eastAsia" w:ascii="宋体" w:hAnsi="宋体" w:eastAsia="宋体" w:cs="宋体"/>
          <w:b/>
          <w:bCs/>
          <w:sz w:val="24"/>
          <w:szCs w:val="24"/>
        </w:rPr>
        <w:t xml:space="preserve">5.1.2 </w:t>
      </w:r>
      <w:r>
        <w:rPr>
          <w:rFonts w:hint="eastAsia" w:ascii="宋体" w:hAnsi="宋体" w:eastAsia="宋体" w:cs="宋体"/>
          <w:sz w:val="24"/>
          <w:szCs w:val="24"/>
        </w:rPr>
        <w:t>高强度片区的功能以产业与服务功能、长短期居住功能、公共与后勤服务功三类为主，包括办公、居住、商业、酒店、文化、公共服务、辅助服务七类功能空间，具体分类方式及其内涵见表5.1.2。</w:t>
      </w:r>
    </w:p>
    <w:p w14:paraId="30102AA3">
      <w:pPr>
        <w:spacing w:beforeLines="0" w:afterLines="0" w:line="360" w:lineRule="auto"/>
        <w:ind w:firstLine="721" w:firstLineChars="300"/>
        <w:rPr>
          <w:rFonts w:hint="eastAsia" w:ascii="宋体" w:hAnsi="宋体" w:eastAsia="宋体" w:cs="宋体"/>
          <w:sz w:val="24"/>
          <w:szCs w:val="24"/>
        </w:rPr>
      </w:pPr>
      <w:r>
        <w:rPr>
          <w:rFonts w:hint="eastAsia" w:ascii="宋体" w:hAnsi="宋体" w:eastAsia="宋体" w:cs="宋体"/>
          <w:b/>
          <w:bCs/>
          <w:sz w:val="24"/>
          <w:szCs w:val="24"/>
          <w:lang w:val="en-US" w:eastAsia="zh-CN"/>
        </w:rPr>
        <w:t>1</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产业与服务功能主要包括办公功能、商业功能及文化功能。办公功能涵盖办公空间、研发空间、实验制造空间等。商业功能涵盖购物中心、零售商业、餐饮娱乐等。文化功能涵盖剧院、美术馆、博物馆、文化活动中心等文化场所。</w:t>
      </w:r>
    </w:p>
    <w:p w14:paraId="387C9BB7">
      <w:pPr>
        <w:spacing w:beforeLines="0" w:afterLines="0" w:line="360" w:lineRule="auto"/>
        <w:ind w:firstLine="721" w:firstLineChars="300"/>
        <w:rPr>
          <w:rFonts w:hint="eastAsia" w:ascii="宋体" w:hAnsi="宋体" w:eastAsia="宋体" w:cs="宋体"/>
          <w:sz w:val="24"/>
          <w:szCs w:val="24"/>
        </w:rPr>
      </w:pPr>
      <w:r>
        <w:rPr>
          <w:rFonts w:hint="eastAsia" w:ascii="宋体" w:hAnsi="宋体" w:eastAsia="宋体" w:cs="宋体"/>
          <w:b/>
          <w:bCs/>
          <w:sz w:val="24"/>
          <w:szCs w:val="24"/>
          <w:lang w:val="en-US" w:eastAsia="zh-CN"/>
        </w:rPr>
        <w:t>2</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长短期居住功能主要包括居住功能及酒店功能。居住功能涵盖商品住房、保障性租赁住房、人才公寓、服务式公寓等。酒店功能涵盖星级酒店、商务酒店、精品酒店等。</w:t>
      </w:r>
    </w:p>
    <w:p w14:paraId="66EB8A6D">
      <w:pPr>
        <w:spacing w:beforeLines="0" w:afterLines="0" w:line="360" w:lineRule="auto"/>
        <w:ind w:firstLine="721" w:firstLineChars="300"/>
        <w:rPr>
          <w:rFonts w:hint="eastAsia" w:ascii="宋体" w:hAnsi="宋体" w:eastAsia="宋体" w:cs="宋体"/>
          <w:sz w:val="24"/>
          <w:szCs w:val="24"/>
        </w:rPr>
      </w:pPr>
      <w:r>
        <w:rPr>
          <w:rFonts w:hint="eastAsia" w:ascii="宋体" w:hAnsi="宋体" w:eastAsia="宋体" w:cs="宋体"/>
          <w:b/>
          <w:bCs/>
          <w:sz w:val="24"/>
          <w:szCs w:val="24"/>
          <w:lang w:val="en-US" w:eastAsia="zh-CN"/>
        </w:rPr>
        <w:t xml:space="preserve">3 </w:t>
      </w:r>
      <w:r>
        <w:rPr>
          <w:rFonts w:hint="eastAsia" w:ascii="宋体" w:hAnsi="宋体" w:eastAsia="宋体" w:cs="宋体"/>
          <w:sz w:val="24"/>
          <w:szCs w:val="24"/>
        </w:rPr>
        <w:t>公共与后勤服务功能主要包括公共服务功能及辅助功能。公共服务功能涵盖社区管理服务、社区体育活动场地、义务教育学校、社区健康服务中心等；辅助功能涵盖停车场（库）、设备用房等。见表5.1.2</w:t>
      </w:r>
    </w:p>
    <w:p w14:paraId="10025DAE">
      <w:pPr>
        <w:pStyle w:val="44"/>
        <w:numPr>
          <w:ilvl w:val="0"/>
          <w:numId w:val="0"/>
        </w:numPr>
        <w:overflowPunct w:val="0"/>
        <w:spacing w:beforeLines="0" w:afterLines="0" w:line="360" w:lineRule="auto"/>
        <w:ind w:left="0"/>
        <w:jc w:val="center"/>
        <w:rPr>
          <w:rFonts w:hint="eastAsia" w:eastAsia="宋体"/>
          <w:b/>
          <w:kern w:val="0"/>
          <w:sz w:val="21"/>
          <w:szCs w:val="21"/>
          <w:lang w:bidi="zh-CN"/>
        </w:rPr>
      </w:pPr>
      <w:r>
        <w:rPr>
          <w:rFonts w:hint="eastAsia" w:eastAsia="宋体"/>
          <w:b/>
          <w:kern w:val="0"/>
          <w:sz w:val="21"/>
          <w:szCs w:val="21"/>
          <w:lang w:bidi="zh-CN"/>
        </w:rPr>
        <w:t>表5.1.2 功能分类方式及其内涵</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3"/>
        <w:gridCol w:w="1134"/>
        <w:gridCol w:w="4899"/>
      </w:tblGrid>
      <w:tr w14:paraId="78568D47">
        <w:trPr>
          <w:trHeight w:val="277" w:hRule="atLeast"/>
        </w:trPr>
        <w:tc>
          <w:tcPr>
            <w:tcW w:w="2263" w:type="dxa"/>
            <w:tcBorders>
              <w:top w:val="single" w:color="auto" w:sz="12" w:space="0"/>
              <w:left w:val="single" w:color="auto" w:sz="12" w:space="0"/>
              <w:bottom w:val="single" w:color="auto" w:sz="4" w:space="0"/>
              <w:right w:val="single" w:color="auto" w:sz="4" w:space="0"/>
              <w:tl2br w:val="nil"/>
              <w:tr2bl w:val="nil"/>
            </w:tcBorders>
            <w:noWrap w:val="0"/>
            <w:vAlign w:val="center"/>
          </w:tcPr>
          <w:p w14:paraId="201A9F42">
            <w:pPr>
              <w:widowControl/>
              <w:spacing w:beforeLines="0" w:afterLines="0"/>
              <w:jc w:val="center"/>
              <w:textAlignment w:val="center"/>
              <w:rPr>
                <w:rFonts w:hint="eastAsia" w:ascii="宋体" w:hAnsi="宋体" w:eastAsia="宋体" w:cs="宋体"/>
                <w:sz w:val="21"/>
                <w:szCs w:val="21"/>
              </w:rPr>
            </w:pPr>
            <w:r>
              <w:rPr>
                <w:rFonts w:hint="eastAsia" w:ascii="宋体" w:hAnsi="宋体" w:eastAsia="宋体" w:cs="宋体"/>
                <w:sz w:val="21"/>
                <w:szCs w:val="21"/>
              </w:rPr>
              <w:t>功能维度</w:t>
            </w:r>
          </w:p>
        </w:tc>
        <w:tc>
          <w:tcPr>
            <w:tcW w:w="1134" w:type="dxa"/>
            <w:tcBorders>
              <w:top w:val="single" w:color="auto" w:sz="12" w:space="0"/>
              <w:left w:val="single" w:color="auto" w:sz="4" w:space="0"/>
              <w:bottom w:val="single" w:color="auto" w:sz="4" w:space="0"/>
              <w:right w:val="single" w:color="auto" w:sz="4" w:space="0"/>
              <w:tl2br w:val="nil"/>
              <w:tr2bl w:val="nil"/>
            </w:tcBorders>
            <w:noWrap w:val="0"/>
            <w:vAlign w:val="center"/>
          </w:tcPr>
          <w:p w14:paraId="102324AC">
            <w:pPr>
              <w:widowControl/>
              <w:spacing w:beforeLines="0" w:afterLines="0"/>
              <w:jc w:val="center"/>
              <w:textAlignment w:val="center"/>
              <w:rPr>
                <w:rFonts w:hint="eastAsia" w:ascii="宋体" w:hAnsi="宋体" w:eastAsia="宋体" w:cs="宋体"/>
                <w:sz w:val="21"/>
                <w:szCs w:val="21"/>
              </w:rPr>
            </w:pPr>
            <w:r>
              <w:rPr>
                <w:rFonts w:hint="eastAsia" w:ascii="宋体" w:hAnsi="宋体" w:eastAsia="宋体" w:cs="宋体"/>
                <w:sz w:val="21"/>
                <w:szCs w:val="21"/>
              </w:rPr>
              <w:t>功能类别</w:t>
            </w:r>
          </w:p>
        </w:tc>
        <w:tc>
          <w:tcPr>
            <w:tcW w:w="4899" w:type="dxa"/>
            <w:tcBorders>
              <w:top w:val="single" w:color="auto" w:sz="12" w:space="0"/>
              <w:left w:val="single" w:color="auto" w:sz="4" w:space="0"/>
              <w:bottom w:val="single" w:color="auto" w:sz="4" w:space="0"/>
              <w:right w:val="single" w:color="auto" w:sz="12" w:space="0"/>
              <w:tl2br w:val="nil"/>
              <w:tr2bl w:val="nil"/>
            </w:tcBorders>
            <w:noWrap w:val="0"/>
            <w:vAlign w:val="center"/>
          </w:tcPr>
          <w:p w14:paraId="631401D7">
            <w:pPr>
              <w:widowControl/>
              <w:spacing w:beforeLines="0" w:afterLines="0"/>
              <w:jc w:val="center"/>
              <w:textAlignment w:val="center"/>
              <w:rPr>
                <w:rFonts w:hint="eastAsia" w:ascii="宋体" w:hAnsi="宋体" w:eastAsia="宋体" w:cs="宋体"/>
                <w:sz w:val="21"/>
                <w:szCs w:val="21"/>
              </w:rPr>
            </w:pPr>
            <w:r>
              <w:rPr>
                <w:rFonts w:hint="eastAsia" w:ascii="宋体" w:hAnsi="宋体" w:eastAsia="宋体" w:cs="宋体"/>
                <w:sz w:val="21"/>
                <w:szCs w:val="21"/>
              </w:rPr>
              <w:t>功能内涵</w:t>
            </w:r>
          </w:p>
        </w:tc>
      </w:tr>
      <w:tr w14:paraId="026B1B59">
        <w:trPr>
          <w:trHeight w:val="277" w:hRule="atLeast"/>
        </w:trPr>
        <w:tc>
          <w:tcPr>
            <w:tcW w:w="2263" w:type="dxa"/>
            <w:vMerge w:val="restart"/>
            <w:tcBorders>
              <w:top w:val="single" w:color="auto" w:sz="4" w:space="0"/>
              <w:left w:val="single" w:color="auto" w:sz="12" w:space="0"/>
              <w:bottom w:val="single" w:color="auto" w:sz="4" w:space="0"/>
              <w:right w:val="single" w:color="auto" w:sz="4" w:space="0"/>
              <w:tl2br w:val="nil"/>
              <w:tr2bl w:val="nil"/>
            </w:tcBorders>
            <w:noWrap w:val="0"/>
            <w:vAlign w:val="center"/>
          </w:tcPr>
          <w:p w14:paraId="29E43C38">
            <w:pPr>
              <w:widowControl/>
              <w:spacing w:beforeLines="0" w:afterLines="0"/>
              <w:jc w:val="center"/>
              <w:textAlignment w:val="center"/>
              <w:rPr>
                <w:rFonts w:hint="eastAsia" w:ascii="宋体" w:hAnsi="宋体" w:eastAsia="宋体" w:cs="宋体"/>
                <w:sz w:val="21"/>
                <w:szCs w:val="21"/>
              </w:rPr>
            </w:pPr>
            <w:r>
              <w:rPr>
                <w:rFonts w:hint="eastAsia" w:ascii="宋体" w:hAnsi="宋体" w:eastAsia="宋体" w:cs="宋体"/>
                <w:sz w:val="21"/>
                <w:szCs w:val="21"/>
              </w:rPr>
              <w:t>产业与服务功能</w:t>
            </w: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6632C05">
            <w:pPr>
              <w:widowControl/>
              <w:spacing w:beforeLines="0" w:afterLines="0"/>
              <w:jc w:val="center"/>
              <w:textAlignment w:val="center"/>
              <w:rPr>
                <w:rFonts w:hint="eastAsia" w:ascii="宋体" w:hAnsi="宋体" w:eastAsia="宋体" w:cs="宋体"/>
                <w:sz w:val="21"/>
                <w:szCs w:val="21"/>
              </w:rPr>
            </w:pPr>
            <w:r>
              <w:rPr>
                <w:rFonts w:hint="eastAsia" w:ascii="宋体" w:hAnsi="宋体" w:eastAsia="宋体" w:cs="宋体"/>
                <w:sz w:val="21"/>
                <w:szCs w:val="21"/>
              </w:rPr>
              <w:t>办公</w:t>
            </w:r>
          </w:p>
        </w:tc>
        <w:tc>
          <w:tcPr>
            <w:tcW w:w="4899" w:type="dxa"/>
            <w:tcBorders>
              <w:top w:val="single" w:color="auto" w:sz="4" w:space="0"/>
              <w:left w:val="single" w:color="auto" w:sz="4" w:space="0"/>
              <w:bottom w:val="single" w:color="auto" w:sz="4" w:space="0"/>
              <w:right w:val="single" w:color="auto" w:sz="12" w:space="0"/>
              <w:tl2br w:val="nil"/>
              <w:tr2bl w:val="nil"/>
            </w:tcBorders>
            <w:noWrap w:val="0"/>
            <w:vAlign w:val="center"/>
          </w:tcPr>
          <w:p w14:paraId="6BCFBC33">
            <w:pPr>
              <w:widowControl/>
              <w:spacing w:beforeLines="0" w:afterLines="0"/>
              <w:jc w:val="center"/>
              <w:textAlignment w:val="center"/>
              <w:rPr>
                <w:rFonts w:hint="eastAsia" w:ascii="宋体" w:hAnsi="宋体" w:eastAsia="宋体" w:cs="宋体"/>
                <w:sz w:val="21"/>
                <w:szCs w:val="21"/>
              </w:rPr>
            </w:pPr>
            <w:r>
              <w:rPr>
                <w:rFonts w:hint="eastAsia" w:ascii="宋体" w:hAnsi="宋体" w:eastAsia="宋体" w:cs="宋体"/>
                <w:sz w:val="21"/>
                <w:szCs w:val="21"/>
              </w:rPr>
              <w:t>办公研发、实验制造等</w:t>
            </w:r>
          </w:p>
        </w:tc>
      </w:tr>
      <w:tr w14:paraId="64CD218D">
        <w:trPr>
          <w:trHeight w:val="277" w:hRule="atLeast"/>
        </w:trPr>
        <w:tc>
          <w:tcPr>
            <w:tcW w:w="2263" w:type="dxa"/>
            <w:vMerge w:val="continue"/>
            <w:tcBorders>
              <w:top w:val="single" w:color="auto" w:sz="4" w:space="0"/>
              <w:left w:val="single" w:color="auto" w:sz="12" w:space="0"/>
              <w:bottom w:val="single" w:color="auto" w:sz="4" w:space="0"/>
              <w:right w:val="single" w:color="auto" w:sz="4" w:space="0"/>
              <w:tl2br w:val="nil"/>
              <w:tr2bl w:val="nil"/>
            </w:tcBorders>
            <w:noWrap w:val="0"/>
            <w:vAlign w:val="center"/>
          </w:tcPr>
          <w:p w14:paraId="5CBDB099">
            <w:pPr>
              <w:widowControl/>
              <w:spacing w:beforeLines="0" w:afterLines="0"/>
              <w:jc w:val="center"/>
              <w:textAlignment w:val="center"/>
              <w:rPr>
                <w:rFonts w:hint="eastAsia" w:ascii="宋体" w:hAnsi="宋体" w:eastAsia="宋体" w:cs="宋体"/>
                <w:sz w:val="21"/>
                <w:szCs w:val="21"/>
              </w:rPr>
            </w:pP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FAD6A7B">
            <w:pPr>
              <w:widowControl/>
              <w:spacing w:beforeLines="0" w:afterLines="0"/>
              <w:jc w:val="center"/>
              <w:textAlignment w:val="center"/>
              <w:rPr>
                <w:rFonts w:hint="eastAsia" w:ascii="宋体" w:hAnsi="宋体" w:eastAsia="宋体" w:cs="宋体"/>
                <w:sz w:val="21"/>
                <w:szCs w:val="21"/>
              </w:rPr>
            </w:pPr>
            <w:r>
              <w:rPr>
                <w:rFonts w:hint="eastAsia" w:ascii="宋体" w:hAnsi="宋体" w:eastAsia="宋体" w:cs="宋体"/>
                <w:sz w:val="21"/>
                <w:szCs w:val="21"/>
              </w:rPr>
              <w:t>商业</w:t>
            </w:r>
          </w:p>
        </w:tc>
        <w:tc>
          <w:tcPr>
            <w:tcW w:w="4899" w:type="dxa"/>
            <w:tcBorders>
              <w:top w:val="single" w:color="auto" w:sz="4" w:space="0"/>
              <w:left w:val="single" w:color="auto" w:sz="4" w:space="0"/>
              <w:bottom w:val="single" w:color="auto" w:sz="4" w:space="0"/>
              <w:right w:val="single" w:color="auto" w:sz="12" w:space="0"/>
              <w:tl2br w:val="nil"/>
              <w:tr2bl w:val="nil"/>
            </w:tcBorders>
            <w:noWrap w:val="0"/>
            <w:vAlign w:val="center"/>
          </w:tcPr>
          <w:p w14:paraId="69B17A85">
            <w:pPr>
              <w:widowControl/>
              <w:spacing w:beforeLines="0" w:afterLines="0"/>
              <w:jc w:val="center"/>
              <w:textAlignment w:val="center"/>
              <w:rPr>
                <w:rFonts w:hint="eastAsia" w:ascii="宋体" w:hAnsi="宋体" w:eastAsia="宋体" w:cs="宋体"/>
                <w:sz w:val="21"/>
                <w:szCs w:val="21"/>
              </w:rPr>
            </w:pPr>
            <w:r>
              <w:rPr>
                <w:rFonts w:hint="eastAsia" w:ascii="宋体" w:hAnsi="宋体" w:eastAsia="宋体" w:cs="宋体"/>
                <w:sz w:val="21"/>
                <w:szCs w:val="21"/>
              </w:rPr>
              <w:t>购物中心、零售商业、餐饮娱乐、教培机构等</w:t>
            </w:r>
          </w:p>
        </w:tc>
      </w:tr>
      <w:tr w14:paraId="2D9B8728">
        <w:trPr>
          <w:trHeight w:val="277" w:hRule="atLeast"/>
        </w:trPr>
        <w:tc>
          <w:tcPr>
            <w:tcW w:w="2263" w:type="dxa"/>
            <w:vMerge w:val="continue"/>
            <w:tcBorders>
              <w:top w:val="single" w:color="auto" w:sz="4" w:space="0"/>
              <w:left w:val="single" w:color="auto" w:sz="12" w:space="0"/>
              <w:bottom w:val="single" w:color="auto" w:sz="4" w:space="0"/>
              <w:right w:val="single" w:color="auto" w:sz="4" w:space="0"/>
              <w:tl2br w:val="nil"/>
              <w:tr2bl w:val="nil"/>
            </w:tcBorders>
            <w:noWrap w:val="0"/>
            <w:vAlign w:val="center"/>
          </w:tcPr>
          <w:p w14:paraId="3B6CFAE1">
            <w:pPr>
              <w:widowControl/>
              <w:spacing w:beforeLines="0" w:afterLines="0"/>
              <w:jc w:val="center"/>
              <w:textAlignment w:val="center"/>
              <w:rPr>
                <w:rFonts w:hint="eastAsia" w:ascii="宋体" w:hAnsi="宋体" w:eastAsia="宋体" w:cs="宋体"/>
                <w:sz w:val="21"/>
                <w:szCs w:val="21"/>
              </w:rPr>
            </w:pP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0B6ACEB">
            <w:pPr>
              <w:widowControl/>
              <w:spacing w:beforeLines="0" w:afterLines="0"/>
              <w:jc w:val="center"/>
              <w:textAlignment w:val="center"/>
              <w:rPr>
                <w:rFonts w:hint="eastAsia" w:ascii="宋体" w:hAnsi="宋体" w:eastAsia="宋体" w:cs="宋体"/>
                <w:sz w:val="21"/>
                <w:szCs w:val="21"/>
              </w:rPr>
            </w:pPr>
            <w:r>
              <w:rPr>
                <w:rFonts w:hint="eastAsia" w:ascii="宋体" w:hAnsi="宋体" w:eastAsia="宋体" w:cs="宋体"/>
                <w:sz w:val="21"/>
                <w:szCs w:val="21"/>
              </w:rPr>
              <w:t>文化</w:t>
            </w:r>
          </w:p>
        </w:tc>
        <w:tc>
          <w:tcPr>
            <w:tcW w:w="4899" w:type="dxa"/>
            <w:tcBorders>
              <w:top w:val="single" w:color="auto" w:sz="4" w:space="0"/>
              <w:left w:val="single" w:color="auto" w:sz="4" w:space="0"/>
              <w:bottom w:val="single" w:color="auto" w:sz="4" w:space="0"/>
              <w:right w:val="single" w:color="auto" w:sz="12" w:space="0"/>
              <w:tl2br w:val="nil"/>
              <w:tr2bl w:val="nil"/>
            </w:tcBorders>
            <w:noWrap w:val="0"/>
            <w:vAlign w:val="center"/>
          </w:tcPr>
          <w:p w14:paraId="4B8E0CFF">
            <w:pPr>
              <w:widowControl/>
              <w:spacing w:beforeLines="0" w:afterLines="0"/>
              <w:jc w:val="center"/>
              <w:textAlignment w:val="center"/>
              <w:rPr>
                <w:rFonts w:hint="eastAsia" w:ascii="宋体" w:hAnsi="宋体" w:eastAsia="宋体" w:cs="宋体"/>
                <w:sz w:val="21"/>
                <w:szCs w:val="21"/>
              </w:rPr>
            </w:pPr>
            <w:r>
              <w:rPr>
                <w:rFonts w:hint="eastAsia" w:ascii="宋体" w:hAnsi="宋体" w:eastAsia="宋体" w:cs="宋体"/>
                <w:sz w:val="21"/>
                <w:szCs w:val="21"/>
              </w:rPr>
              <w:t>文化艺术、展览观光、会议会展中心等</w:t>
            </w:r>
          </w:p>
        </w:tc>
      </w:tr>
      <w:tr w14:paraId="77ADAB80">
        <w:trPr>
          <w:trHeight w:val="277" w:hRule="atLeast"/>
        </w:trPr>
        <w:tc>
          <w:tcPr>
            <w:tcW w:w="2263" w:type="dxa"/>
            <w:vMerge w:val="restart"/>
            <w:tcBorders>
              <w:top w:val="single" w:color="auto" w:sz="4" w:space="0"/>
              <w:left w:val="single" w:color="auto" w:sz="12" w:space="0"/>
              <w:bottom w:val="single" w:color="auto" w:sz="4" w:space="0"/>
              <w:right w:val="single" w:color="auto" w:sz="4" w:space="0"/>
              <w:tl2br w:val="nil"/>
              <w:tr2bl w:val="nil"/>
            </w:tcBorders>
            <w:noWrap w:val="0"/>
            <w:vAlign w:val="center"/>
          </w:tcPr>
          <w:p w14:paraId="036CB5CB">
            <w:pPr>
              <w:widowControl/>
              <w:spacing w:beforeLines="0" w:afterLines="0"/>
              <w:jc w:val="center"/>
              <w:textAlignment w:val="center"/>
              <w:rPr>
                <w:rFonts w:hint="eastAsia" w:ascii="宋体" w:hAnsi="宋体" w:eastAsia="宋体" w:cs="宋体"/>
                <w:sz w:val="21"/>
                <w:szCs w:val="21"/>
              </w:rPr>
            </w:pPr>
            <w:r>
              <w:rPr>
                <w:rFonts w:hint="eastAsia" w:ascii="宋体" w:hAnsi="宋体" w:eastAsia="宋体" w:cs="宋体"/>
                <w:sz w:val="21"/>
                <w:szCs w:val="21"/>
              </w:rPr>
              <w:t>长短期居住功能</w:t>
            </w: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8757100">
            <w:pPr>
              <w:widowControl/>
              <w:spacing w:beforeLines="0" w:afterLines="0"/>
              <w:jc w:val="center"/>
              <w:textAlignment w:val="center"/>
              <w:rPr>
                <w:rFonts w:hint="eastAsia" w:ascii="宋体" w:hAnsi="宋体" w:eastAsia="宋体" w:cs="宋体"/>
                <w:sz w:val="21"/>
                <w:szCs w:val="21"/>
              </w:rPr>
            </w:pPr>
            <w:r>
              <w:rPr>
                <w:rFonts w:hint="eastAsia" w:ascii="宋体" w:hAnsi="宋体" w:eastAsia="宋体" w:cs="宋体"/>
                <w:sz w:val="21"/>
                <w:szCs w:val="21"/>
              </w:rPr>
              <w:t>居住</w:t>
            </w:r>
          </w:p>
        </w:tc>
        <w:tc>
          <w:tcPr>
            <w:tcW w:w="4899" w:type="dxa"/>
            <w:tcBorders>
              <w:top w:val="single" w:color="auto" w:sz="4" w:space="0"/>
              <w:left w:val="single" w:color="auto" w:sz="4" w:space="0"/>
              <w:bottom w:val="single" w:color="auto" w:sz="4" w:space="0"/>
              <w:right w:val="single" w:color="auto" w:sz="12" w:space="0"/>
              <w:tl2br w:val="nil"/>
              <w:tr2bl w:val="nil"/>
            </w:tcBorders>
            <w:noWrap w:val="0"/>
            <w:vAlign w:val="center"/>
          </w:tcPr>
          <w:p w14:paraId="33BF835A">
            <w:pPr>
              <w:widowControl/>
              <w:spacing w:beforeLines="0" w:afterLines="0"/>
              <w:jc w:val="center"/>
              <w:textAlignment w:val="center"/>
              <w:rPr>
                <w:rFonts w:hint="eastAsia" w:ascii="宋体" w:hAnsi="宋体" w:eastAsia="宋体" w:cs="宋体"/>
                <w:sz w:val="21"/>
                <w:szCs w:val="21"/>
              </w:rPr>
            </w:pPr>
            <w:r>
              <w:rPr>
                <w:rFonts w:hint="eastAsia" w:ascii="宋体" w:hAnsi="宋体" w:eastAsia="宋体" w:cs="宋体"/>
                <w:sz w:val="21"/>
                <w:szCs w:val="21"/>
              </w:rPr>
              <w:t>住宅、公寓</w:t>
            </w:r>
          </w:p>
        </w:tc>
      </w:tr>
      <w:tr w14:paraId="0010DC74">
        <w:trPr>
          <w:trHeight w:val="277" w:hRule="atLeast"/>
        </w:trPr>
        <w:tc>
          <w:tcPr>
            <w:tcW w:w="2263" w:type="dxa"/>
            <w:vMerge w:val="continue"/>
            <w:tcBorders>
              <w:top w:val="single" w:color="auto" w:sz="4" w:space="0"/>
              <w:left w:val="single" w:color="auto" w:sz="12" w:space="0"/>
              <w:bottom w:val="single" w:color="auto" w:sz="4" w:space="0"/>
              <w:right w:val="single" w:color="auto" w:sz="4" w:space="0"/>
              <w:tl2br w:val="nil"/>
              <w:tr2bl w:val="nil"/>
            </w:tcBorders>
            <w:noWrap w:val="0"/>
            <w:vAlign w:val="center"/>
          </w:tcPr>
          <w:p w14:paraId="1855ED43">
            <w:pPr>
              <w:widowControl/>
              <w:spacing w:beforeLines="0" w:afterLines="0"/>
              <w:jc w:val="center"/>
              <w:textAlignment w:val="center"/>
              <w:rPr>
                <w:rFonts w:hint="eastAsia" w:ascii="宋体" w:hAnsi="宋体" w:eastAsia="宋体" w:cs="宋体"/>
                <w:sz w:val="21"/>
                <w:szCs w:val="21"/>
              </w:rPr>
            </w:pP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619B900">
            <w:pPr>
              <w:widowControl/>
              <w:spacing w:beforeLines="0" w:afterLines="0"/>
              <w:jc w:val="center"/>
              <w:textAlignment w:val="center"/>
              <w:rPr>
                <w:rFonts w:hint="eastAsia" w:ascii="宋体" w:hAnsi="宋体" w:eastAsia="宋体" w:cs="宋体"/>
                <w:sz w:val="21"/>
                <w:szCs w:val="21"/>
              </w:rPr>
            </w:pPr>
            <w:r>
              <w:rPr>
                <w:rFonts w:hint="eastAsia" w:ascii="宋体" w:hAnsi="宋体" w:eastAsia="宋体" w:cs="宋体"/>
                <w:sz w:val="21"/>
                <w:szCs w:val="21"/>
              </w:rPr>
              <w:t>酒店</w:t>
            </w:r>
          </w:p>
        </w:tc>
        <w:tc>
          <w:tcPr>
            <w:tcW w:w="4899" w:type="dxa"/>
            <w:tcBorders>
              <w:top w:val="single" w:color="auto" w:sz="4" w:space="0"/>
              <w:left w:val="single" w:color="auto" w:sz="4" w:space="0"/>
              <w:bottom w:val="single" w:color="auto" w:sz="4" w:space="0"/>
              <w:right w:val="single" w:color="auto" w:sz="12" w:space="0"/>
              <w:tl2br w:val="nil"/>
              <w:tr2bl w:val="nil"/>
            </w:tcBorders>
            <w:noWrap w:val="0"/>
            <w:vAlign w:val="center"/>
          </w:tcPr>
          <w:p w14:paraId="75D1B408">
            <w:pPr>
              <w:widowControl/>
              <w:spacing w:beforeLines="0" w:afterLines="0"/>
              <w:jc w:val="center"/>
              <w:textAlignment w:val="center"/>
              <w:rPr>
                <w:rFonts w:hint="eastAsia" w:ascii="宋体" w:hAnsi="宋体" w:eastAsia="宋体" w:cs="宋体"/>
                <w:sz w:val="21"/>
                <w:szCs w:val="21"/>
              </w:rPr>
            </w:pPr>
            <w:r>
              <w:rPr>
                <w:rFonts w:hint="eastAsia" w:ascii="宋体" w:hAnsi="宋体" w:eastAsia="宋体" w:cs="宋体"/>
                <w:sz w:val="21"/>
                <w:szCs w:val="21"/>
              </w:rPr>
              <w:t>酒店</w:t>
            </w:r>
          </w:p>
        </w:tc>
      </w:tr>
      <w:tr w14:paraId="2E429B92">
        <w:trPr>
          <w:trHeight w:val="277" w:hRule="atLeast"/>
        </w:trPr>
        <w:tc>
          <w:tcPr>
            <w:tcW w:w="2263" w:type="dxa"/>
            <w:vMerge w:val="restart"/>
            <w:tcBorders>
              <w:top w:val="single" w:color="auto" w:sz="4" w:space="0"/>
              <w:left w:val="single" w:color="auto" w:sz="12" w:space="0"/>
              <w:bottom w:val="single" w:color="auto" w:sz="4" w:space="0"/>
              <w:right w:val="single" w:color="auto" w:sz="4" w:space="0"/>
              <w:tl2br w:val="nil"/>
              <w:tr2bl w:val="nil"/>
            </w:tcBorders>
            <w:noWrap w:val="0"/>
            <w:vAlign w:val="center"/>
          </w:tcPr>
          <w:p w14:paraId="3CB0CAA5">
            <w:pPr>
              <w:widowControl/>
              <w:spacing w:beforeLines="0" w:afterLines="0"/>
              <w:jc w:val="center"/>
              <w:textAlignment w:val="center"/>
              <w:rPr>
                <w:rFonts w:hint="eastAsia" w:ascii="宋体" w:hAnsi="宋体" w:eastAsia="宋体" w:cs="宋体"/>
                <w:sz w:val="21"/>
                <w:szCs w:val="21"/>
              </w:rPr>
            </w:pPr>
            <w:r>
              <w:rPr>
                <w:rFonts w:hint="eastAsia" w:ascii="宋体" w:hAnsi="宋体" w:eastAsia="宋体" w:cs="宋体"/>
                <w:sz w:val="21"/>
                <w:szCs w:val="21"/>
              </w:rPr>
              <w:t>公共与后勤服务功能</w:t>
            </w: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5C41A50">
            <w:pPr>
              <w:widowControl/>
              <w:spacing w:beforeLines="0" w:afterLines="0"/>
              <w:jc w:val="center"/>
              <w:textAlignment w:val="center"/>
              <w:rPr>
                <w:rFonts w:hint="eastAsia" w:ascii="宋体" w:hAnsi="宋体" w:eastAsia="宋体" w:cs="宋体"/>
                <w:sz w:val="21"/>
                <w:szCs w:val="21"/>
              </w:rPr>
            </w:pPr>
            <w:r>
              <w:rPr>
                <w:rFonts w:hint="eastAsia" w:ascii="宋体" w:hAnsi="宋体" w:eastAsia="宋体" w:cs="宋体"/>
                <w:sz w:val="21"/>
                <w:szCs w:val="21"/>
              </w:rPr>
              <w:t>公共服务</w:t>
            </w:r>
          </w:p>
        </w:tc>
        <w:tc>
          <w:tcPr>
            <w:tcW w:w="4899" w:type="dxa"/>
            <w:tcBorders>
              <w:top w:val="single" w:color="auto" w:sz="4" w:space="0"/>
              <w:left w:val="single" w:color="auto" w:sz="4" w:space="0"/>
              <w:bottom w:val="single" w:color="auto" w:sz="4" w:space="0"/>
              <w:right w:val="single" w:color="auto" w:sz="12" w:space="0"/>
              <w:tl2br w:val="nil"/>
              <w:tr2bl w:val="nil"/>
            </w:tcBorders>
            <w:noWrap w:val="0"/>
            <w:vAlign w:val="center"/>
          </w:tcPr>
          <w:p w14:paraId="572DEEE2">
            <w:pPr>
              <w:widowControl/>
              <w:spacing w:beforeLines="0" w:afterLines="0"/>
              <w:jc w:val="center"/>
              <w:textAlignment w:val="center"/>
              <w:rPr>
                <w:rFonts w:hint="eastAsia" w:ascii="宋体" w:hAnsi="宋体" w:eastAsia="宋体" w:cs="宋体"/>
                <w:sz w:val="21"/>
                <w:szCs w:val="21"/>
              </w:rPr>
            </w:pPr>
            <w:r>
              <w:rPr>
                <w:rFonts w:hint="eastAsia" w:ascii="宋体" w:hAnsi="宋体" w:eastAsia="宋体" w:cs="宋体"/>
                <w:sz w:val="21"/>
                <w:szCs w:val="21"/>
              </w:rPr>
              <w:t>管理服务、体育、教育、医疗等公共服务设施</w:t>
            </w:r>
          </w:p>
        </w:tc>
      </w:tr>
      <w:tr w14:paraId="76276D62">
        <w:trPr>
          <w:trHeight w:val="277" w:hRule="atLeast"/>
        </w:trPr>
        <w:tc>
          <w:tcPr>
            <w:tcW w:w="2263" w:type="dxa"/>
            <w:vMerge w:val="continue"/>
            <w:tcBorders>
              <w:top w:val="single" w:color="auto" w:sz="4" w:space="0"/>
              <w:left w:val="single" w:color="auto" w:sz="12" w:space="0"/>
              <w:bottom w:val="single" w:color="auto" w:sz="12" w:space="0"/>
              <w:right w:val="single" w:color="auto" w:sz="4" w:space="0"/>
              <w:tl2br w:val="nil"/>
              <w:tr2bl w:val="nil"/>
            </w:tcBorders>
            <w:noWrap w:val="0"/>
            <w:vAlign w:val="center"/>
          </w:tcPr>
          <w:p w14:paraId="53E50A22">
            <w:pPr>
              <w:widowControl/>
              <w:spacing w:beforeLines="0" w:afterLines="0"/>
              <w:jc w:val="center"/>
              <w:textAlignment w:val="center"/>
              <w:rPr>
                <w:rFonts w:hint="eastAsia" w:ascii="宋体" w:hAnsi="宋体" w:eastAsia="宋体" w:cs="宋体"/>
                <w:sz w:val="21"/>
                <w:szCs w:val="21"/>
              </w:rPr>
            </w:pPr>
          </w:p>
        </w:tc>
        <w:tc>
          <w:tcPr>
            <w:tcW w:w="1134" w:type="dxa"/>
            <w:tcBorders>
              <w:top w:val="single" w:color="auto" w:sz="4" w:space="0"/>
              <w:left w:val="single" w:color="auto" w:sz="4" w:space="0"/>
              <w:bottom w:val="single" w:color="auto" w:sz="12" w:space="0"/>
              <w:right w:val="single" w:color="auto" w:sz="4" w:space="0"/>
              <w:tl2br w:val="nil"/>
              <w:tr2bl w:val="nil"/>
            </w:tcBorders>
            <w:noWrap w:val="0"/>
            <w:vAlign w:val="center"/>
          </w:tcPr>
          <w:p w14:paraId="36E76610">
            <w:pPr>
              <w:widowControl/>
              <w:spacing w:beforeLines="0" w:afterLines="0"/>
              <w:jc w:val="center"/>
              <w:textAlignment w:val="center"/>
              <w:rPr>
                <w:rFonts w:hint="eastAsia" w:ascii="宋体" w:hAnsi="宋体" w:eastAsia="宋体" w:cs="宋体"/>
                <w:sz w:val="21"/>
                <w:szCs w:val="21"/>
              </w:rPr>
            </w:pPr>
            <w:r>
              <w:rPr>
                <w:rFonts w:hint="eastAsia" w:ascii="宋体" w:hAnsi="宋体" w:eastAsia="宋体" w:cs="宋体"/>
                <w:sz w:val="21"/>
                <w:szCs w:val="21"/>
              </w:rPr>
              <w:t>辅助服务</w:t>
            </w:r>
          </w:p>
        </w:tc>
        <w:tc>
          <w:tcPr>
            <w:tcW w:w="4899" w:type="dxa"/>
            <w:tcBorders>
              <w:top w:val="single" w:color="auto" w:sz="4" w:space="0"/>
              <w:left w:val="single" w:color="auto" w:sz="4" w:space="0"/>
              <w:bottom w:val="single" w:color="auto" w:sz="12" w:space="0"/>
              <w:right w:val="single" w:color="auto" w:sz="12" w:space="0"/>
              <w:tl2br w:val="nil"/>
              <w:tr2bl w:val="nil"/>
            </w:tcBorders>
            <w:noWrap w:val="0"/>
            <w:vAlign w:val="center"/>
          </w:tcPr>
          <w:p w14:paraId="671B8806">
            <w:pPr>
              <w:widowControl/>
              <w:spacing w:beforeLines="0" w:afterLines="0"/>
              <w:jc w:val="center"/>
              <w:textAlignment w:val="center"/>
              <w:rPr>
                <w:rFonts w:hint="eastAsia" w:ascii="宋体" w:hAnsi="宋体" w:eastAsia="宋体" w:cs="宋体"/>
                <w:sz w:val="21"/>
                <w:szCs w:val="21"/>
              </w:rPr>
            </w:pPr>
            <w:r>
              <w:rPr>
                <w:rFonts w:hint="eastAsia" w:ascii="宋体" w:hAnsi="宋体" w:eastAsia="宋体" w:cs="宋体"/>
                <w:sz w:val="21"/>
                <w:szCs w:val="21"/>
              </w:rPr>
              <w:t>停车、储藏、设备</w:t>
            </w:r>
          </w:p>
        </w:tc>
      </w:tr>
    </w:tbl>
    <w:p w14:paraId="5E19B5DC">
      <w:pPr>
        <w:spacing w:beforeLines="0" w:afterLines="0" w:line="360" w:lineRule="auto"/>
        <w:rPr>
          <w:rFonts w:hint="eastAsia" w:ascii="宋体" w:hAnsi="宋体" w:eastAsia="宋体" w:cs="宋体"/>
          <w:sz w:val="24"/>
          <w:szCs w:val="24"/>
        </w:rPr>
      </w:pPr>
    </w:p>
    <w:p w14:paraId="714E967E">
      <w:pPr>
        <w:spacing w:beforeLines="0" w:afterLines="0" w:line="360" w:lineRule="auto"/>
        <w:jc w:val="center"/>
        <w:outlineLvl w:val="1"/>
        <w:rPr>
          <w:rFonts w:hint="eastAsia" w:ascii="宋体" w:hAnsi="宋体" w:eastAsia="宋体" w:cs="宋体"/>
          <w:b/>
          <w:sz w:val="28"/>
          <w:szCs w:val="28"/>
        </w:rPr>
      </w:pPr>
      <w:r>
        <w:rPr>
          <w:rFonts w:hint="eastAsia" w:ascii="宋体" w:hAnsi="宋体" w:eastAsia="宋体" w:cs="宋体"/>
          <w:b/>
          <w:sz w:val="28"/>
          <w:szCs w:val="28"/>
        </w:rPr>
        <w:t>5.2 立体组合</w:t>
      </w:r>
    </w:p>
    <w:p w14:paraId="1693791A">
      <w:pPr>
        <w:spacing w:beforeLines="0" w:afterLines="0" w:line="360" w:lineRule="auto"/>
        <w:outlineLvl w:val="1"/>
        <w:rPr>
          <w:rFonts w:hint="eastAsia" w:ascii="宋体" w:hAnsi="宋体" w:eastAsia="宋体" w:cs="宋体"/>
          <w:sz w:val="24"/>
          <w:szCs w:val="24"/>
        </w:rPr>
      </w:pPr>
      <w:r>
        <w:rPr>
          <w:rFonts w:hint="eastAsia" w:ascii="宋体" w:hAnsi="宋体" w:eastAsia="宋体" w:cs="宋体"/>
          <w:b/>
          <w:bCs/>
          <w:sz w:val="24"/>
          <w:szCs w:val="24"/>
        </w:rPr>
        <w:t xml:space="preserve">5.2.1 </w:t>
      </w:r>
      <w:r>
        <w:rPr>
          <w:rFonts w:hint="eastAsia" w:ascii="宋体" w:hAnsi="宋体" w:eastAsia="宋体" w:cs="宋体"/>
          <w:sz w:val="24"/>
          <w:szCs w:val="24"/>
        </w:rPr>
        <w:t>空间功能组织应遵循“竖向分层、水平融合、时空覆盖”的立体复合模式。</w:t>
      </w:r>
    </w:p>
    <w:p w14:paraId="06427798">
      <w:pPr>
        <w:spacing w:beforeLines="0" w:afterLines="0" w:line="360" w:lineRule="auto"/>
        <w:outlineLvl w:val="1"/>
        <w:rPr>
          <w:rFonts w:hint="eastAsia" w:ascii="宋体" w:hAnsi="宋体" w:eastAsia="宋体" w:cs="宋体"/>
          <w:sz w:val="24"/>
          <w:szCs w:val="24"/>
        </w:rPr>
      </w:pPr>
      <w:r>
        <w:rPr>
          <w:rFonts w:hint="eastAsia" w:ascii="宋体" w:hAnsi="宋体" w:eastAsia="宋体" w:cs="宋体"/>
          <w:b/>
          <w:bCs/>
          <w:sz w:val="24"/>
          <w:szCs w:val="24"/>
        </w:rPr>
        <w:t>5.2.2</w:t>
      </w:r>
      <w:r>
        <w:rPr>
          <w:rFonts w:hint="eastAsia" w:ascii="宋体" w:hAnsi="宋体" w:eastAsia="宋体" w:cs="宋体"/>
          <w:sz w:val="24"/>
          <w:szCs w:val="24"/>
        </w:rPr>
        <w:t xml:space="preserve"> 在建筑综合体内，宜遵循“下公上私、动静分区”的竖向组织原则。</w:t>
      </w:r>
    </w:p>
    <w:p w14:paraId="3943C167">
      <w:pPr>
        <w:spacing w:beforeLines="0" w:afterLines="0" w:line="360" w:lineRule="auto"/>
        <w:outlineLvl w:val="1"/>
        <w:rPr>
          <w:rFonts w:hint="eastAsia" w:ascii="宋体" w:hAnsi="宋体" w:eastAsia="宋体" w:cs="宋体"/>
          <w:sz w:val="24"/>
          <w:szCs w:val="24"/>
        </w:rPr>
      </w:pPr>
      <w:r>
        <w:rPr>
          <w:rFonts w:hint="eastAsia" w:ascii="宋体" w:hAnsi="宋体" w:eastAsia="宋体" w:cs="宋体"/>
          <w:b/>
          <w:bCs/>
          <w:sz w:val="24"/>
          <w:szCs w:val="24"/>
        </w:rPr>
        <w:t xml:space="preserve">5.2.3 </w:t>
      </w:r>
      <w:r>
        <w:rPr>
          <w:rFonts w:hint="eastAsia" w:ascii="宋体" w:hAnsi="宋体" w:eastAsia="宋体" w:cs="宋体"/>
          <w:sz w:val="24"/>
          <w:szCs w:val="24"/>
        </w:rPr>
        <w:t>鼓励采用“垂直混合”模式，并符合下列规定：</w:t>
      </w:r>
    </w:p>
    <w:p w14:paraId="32158272">
      <w:pPr>
        <w:spacing w:beforeLines="0" w:afterLines="0" w:line="360" w:lineRule="auto"/>
        <w:ind w:firstLine="721" w:firstLineChars="300"/>
        <w:outlineLvl w:val="1"/>
        <w:rPr>
          <w:rFonts w:hint="eastAsia" w:ascii="宋体" w:hAnsi="宋体" w:eastAsia="宋体" w:cs="宋体"/>
          <w:sz w:val="24"/>
          <w:szCs w:val="24"/>
        </w:rPr>
      </w:pPr>
      <w:r>
        <w:rPr>
          <w:rFonts w:hint="eastAsia" w:ascii="宋体" w:hAnsi="宋体" w:eastAsia="宋体" w:cs="宋体"/>
          <w:b/>
          <w:bCs/>
          <w:sz w:val="24"/>
          <w:szCs w:val="24"/>
          <w:lang w:val="en-US" w:eastAsia="zh-CN"/>
        </w:rPr>
        <w:t xml:space="preserve">1 </w:t>
      </w:r>
      <w:r>
        <w:rPr>
          <w:rFonts w:hint="eastAsia" w:ascii="宋体" w:hAnsi="宋体" w:eastAsia="宋体" w:cs="宋体"/>
          <w:sz w:val="24"/>
          <w:szCs w:val="24"/>
        </w:rPr>
        <w:t>地下空间：应优先布局辅助服务（如停车场、设备用房、物流分拣）及部分产业与服务功能（如超市、餐饮街）。</w:t>
      </w:r>
    </w:p>
    <w:p w14:paraId="63ADB8B4">
      <w:pPr>
        <w:spacing w:beforeLines="0" w:afterLines="0" w:line="360" w:lineRule="auto"/>
        <w:ind w:firstLine="721" w:firstLineChars="300"/>
        <w:outlineLvl w:val="1"/>
        <w:rPr>
          <w:rFonts w:hint="eastAsia" w:ascii="宋体" w:hAnsi="宋体" w:eastAsia="宋体" w:cs="宋体"/>
          <w:sz w:val="24"/>
          <w:szCs w:val="24"/>
        </w:rPr>
      </w:pPr>
      <w:r>
        <w:rPr>
          <w:rFonts w:hint="eastAsia" w:ascii="宋体" w:hAnsi="宋体" w:eastAsia="宋体" w:cs="宋体"/>
          <w:b/>
          <w:bCs/>
          <w:sz w:val="24"/>
          <w:szCs w:val="24"/>
          <w:lang w:val="en-US" w:eastAsia="zh-CN"/>
        </w:rPr>
        <w:t xml:space="preserve">2 </w:t>
      </w:r>
      <w:r>
        <w:rPr>
          <w:rFonts w:hint="eastAsia" w:ascii="宋体" w:hAnsi="宋体" w:eastAsia="宋体" w:cs="宋体"/>
          <w:sz w:val="24"/>
          <w:szCs w:val="24"/>
        </w:rPr>
        <w:t>地面与低区（1-3层）：应布局高公共性、高人流的产业与服务功能（如商业、文化）及公共服务（如社区服务中心、派出所），并与街道活动紧密互动。</w:t>
      </w:r>
    </w:p>
    <w:p w14:paraId="2312E490">
      <w:pPr>
        <w:spacing w:beforeLines="0" w:afterLines="0" w:line="360" w:lineRule="auto"/>
        <w:ind w:firstLine="721" w:firstLineChars="300"/>
        <w:outlineLvl w:val="1"/>
        <w:rPr>
          <w:rFonts w:hint="eastAsia" w:ascii="宋体" w:hAnsi="宋体" w:eastAsia="宋体" w:cs="宋体"/>
          <w:sz w:val="24"/>
          <w:szCs w:val="24"/>
        </w:rPr>
      </w:pPr>
      <w:r>
        <w:rPr>
          <w:rFonts w:hint="eastAsia" w:ascii="宋体" w:hAnsi="宋体" w:eastAsia="宋体" w:cs="宋体"/>
          <w:b/>
          <w:bCs/>
          <w:sz w:val="24"/>
          <w:szCs w:val="24"/>
          <w:lang w:val="en-US" w:eastAsia="zh-CN"/>
        </w:rPr>
        <w:t xml:space="preserve">3 </w:t>
      </w:r>
      <w:r>
        <w:rPr>
          <w:rFonts w:hint="eastAsia" w:ascii="宋体" w:hAnsi="宋体" w:eastAsia="宋体" w:cs="宋体"/>
          <w:sz w:val="24"/>
          <w:szCs w:val="24"/>
        </w:rPr>
        <w:t>中区与高区：宜布局产业与服务功能（如办公）及长短期居住功能（如酒店、公寓）。</w:t>
      </w:r>
    </w:p>
    <w:p w14:paraId="1D11DE44">
      <w:pPr>
        <w:spacing w:beforeLines="0" w:afterLines="0" w:line="360" w:lineRule="auto"/>
        <w:outlineLvl w:val="1"/>
        <w:rPr>
          <w:rFonts w:hint="eastAsia" w:ascii="宋体" w:hAnsi="宋体" w:eastAsia="宋体" w:cs="宋体"/>
          <w:sz w:val="24"/>
          <w:szCs w:val="24"/>
        </w:rPr>
      </w:pPr>
      <w:r>
        <w:rPr>
          <w:rFonts w:hint="eastAsia" w:ascii="宋体" w:hAnsi="宋体" w:eastAsia="宋体" w:cs="宋体"/>
          <w:b/>
          <w:bCs/>
          <w:sz w:val="24"/>
          <w:szCs w:val="24"/>
        </w:rPr>
        <w:t xml:space="preserve">5.2.4 </w:t>
      </w:r>
      <w:r>
        <w:rPr>
          <w:rFonts w:hint="eastAsia" w:ascii="宋体" w:hAnsi="宋体" w:eastAsia="宋体" w:cs="宋体"/>
          <w:sz w:val="24"/>
          <w:szCs w:val="24"/>
        </w:rPr>
        <w:t>应强化“水平混合”，通过宜人的步行系统将承载不同功能的街区串联，形成功能互补的“活力单元”。</w:t>
      </w:r>
    </w:p>
    <w:p w14:paraId="0E6C326E">
      <w:pPr>
        <w:spacing w:beforeLines="0" w:afterLines="0" w:line="360" w:lineRule="auto"/>
        <w:outlineLvl w:val="1"/>
        <w:rPr>
          <w:rFonts w:hint="eastAsia" w:ascii="宋体" w:hAnsi="宋体" w:eastAsia="宋体" w:cs="宋体"/>
          <w:sz w:val="24"/>
          <w:szCs w:val="24"/>
        </w:rPr>
      </w:pPr>
      <w:r>
        <w:rPr>
          <w:rFonts w:hint="eastAsia" w:ascii="宋体" w:hAnsi="宋体" w:eastAsia="宋体" w:cs="宋体"/>
          <w:b/>
          <w:bCs/>
          <w:sz w:val="24"/>
          <w:szCs w:val="24"/>
        </w:rPr>
        <w:t xml:space="preserve">5.2.5 </w:t>
      </w:r>
      <w:r>
        <w:rPr>
          <w:rFonts w:hint="eastAsia" w:ascii="宋体" w:hAnsi="宋体" w:eastAsia="宋体" w:cs="宋体"/>
          <w:sz w:val="24"/>
          <w:szCs w:val="24"/>
        </w:rPr>
        <w:t>片区功能配置应遵循“5-10-15分钟工作生活圈”层级体系，并应符合下列规定：</w:t>
      </w:r>
    </w:p>
    <w:p w14:paraId="6B451D5D">
      <w:pPr>
        <w:spacing w:beforeLines="0" w:afterLines="0" w:line="360" w:lineRule="auto"/>
        <w:ind w:firstLine="721" w:firstLineChars="300"/>
        <w:outlineLvl w:val="1"/>
        <w:rPr>
          <w:rFonts w:hint="eastAsia" w:ascii="宋体" w:hAnsi="宋体" w:eastAsia="宋体" w:cs="宋体"/>
          <w:sz w:val="24"/>
          <w:szCs w:val="24"/>
        </w:rPr>
      </w:pPr>
      <w:r>
        <w:rPr>
          <w:rFonts w:hint="eastAsia" w:ascii="宋体" w:hAnsi="宋体" w:eastAsia="宋体" w:cs="宋体"/>
          <w:b/>
          <w:bCs/>
          <w:sz w:val="24"/>
          <w:szCs w:val="24"/>
          <w:lang w:val="en-US" w:eastAsia="zh-CN"/>
        </w:rPr>
        <w:t>1</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5分钟步行圈（约300-500米）：宜配置最基本的产业与服务功能（如便利店、咖啡馆、餐饮），满足高频即时需求。</w:t>
      </w:r>
    </w:p>
    <w:p w14:paraId="36542E2F">
      <w:pPr>
        <w:spacing w:beforeLines="0" w:afterLines="0" w:line="360" w:lineRule="auto"/>
        <w:ind w:firstLine="721" w:firstLineChars="300"/>
        <w:outlineLvl w:val="1"/>
        <w:rPr>
          <w:rFonts w:hint="eastAsia" w:ascii="宋体" w:hAnsi="宋体" w:eastAsia="宋体" w:cs="宋体"/>
          <w:sz w:val="24"/>
          <w:szCs w:val="24"/>
        </w:rPr>
      </w:pPr>
      <w:r>
        <w:rPr>
          <w:rFonts w:hint="eastAsia" w:ascii="宋体" w:hAnsi="宋体" w:eastAsia="宋体" w:cs="宋体"/>
          <w:b/>
          <w:bCs/>
          <w:sz w:val="24"/>
          <w:szCs w:val="24"/>
          <w:lang w:val="en-US" w:eastAsia="zh-CN"/>
        </w:rPr>
        <w:t xml:space="preserve">2 </w:t>
      </w:r>
      <w:r>
        <w:rPr>
          <w:rFonts w:hint="eastAsia" w:ascii="宋体" w:hAnsi="宋体" w:eastAsia="宋体" w:cs="宋体"/>
          <w:sz w:val="24"/>
          <w:szCs w:val="24"/>
        </w:rPr>
        <w:t>10分钟步行圈（约500-1000米）：宜配置全面的产业与服务功能（如超市、银行、书店）和公共服务（如社区医院、小学、社区中心），满足日常综合需求。</w:t>
      </w:r>
    </w:p>
    <w:p w14:paraId="673D0C26">
      <w:pPr>
        <w:spacing w:beforeLines="0" w:afterLines="0" w:line="360" w:lineRule="auto"/>
        <w:ind w:firstLine="721" w:firstLineChars="300"/>
        <w:outlineLvl w:val="1"/>
        <w:rPr>
          <w:rFonts w:hint="eastAsia" w:ascii="宋体" w:hAnsi="宋体" w:eastAsia="宋体" w:cs="宋体"/>
          <w:sz w:val="24"/>
          <w:szCs w:val="24"/>
        </w:rPr>
      </w:pPr>
      <w:r>
        <w:rPr>
          <w:rFonts w:hint="eastAsia" w:ascii="宋体" w:hAnsi="宋体" w:eastAsia="宋体" w:cs="宋体"/>
          <w:b/>
          <w:bCs/>
          <w:sz w:val="24"/>
          <w:szCs w:val="24"/>
          <w:lang w:val="en-US" w:eastAsia="zh-CN"/>
        </w:rPr>
        <w:t xml:space="preserve">3 </w:t>
      </w:r>
      <w:r>
        <w:rPr>
          <w:rFonts w:hint="eastAsia" w:ascii="宋体" w:hAnsi="宋体" w:eastAsia="宋体" w:cs="宋体"/>
          <w:sz w:val="24"/>
          <w:szCs w:val="24"/>
        </w:rPr>
        <w:t>15分钟步行圈（约1000米以上）：宜配置片区级的产业与服务功能（如购物中心、影院、文化中心）、公共服务（如综合医院、中学、行政大厅）和居住功能（如住宅、酒店），满足高等级与周期性需求。</w:t>
      </w:r>
    </w:p>
    <w:p w14:paraId="0D633B9E">
      <w:pPr>
        <w:spacing w:beforeLines="0" w:afterLines="0" w:line="360" w:lineRule="auto"/>
        <w:outlineLvl w:val="1"/>
        <w:rPr>
          <w:rFonts w:hint="eastAsia" w:ascii="宋体" w:hAnsi="宋体" w:eastAsia="宋体" w:cs="宋体"/>
          <w:sz w:val="24"/>
          <w:szCs w:val="24"/>
        </w:rPr>
      </w:pPr>
    </w:p>
    <w:p w14:paraId="0777989A">
      <w:pPr>
        <w:spacing w:beforeLines="0" w:afterLines="0" w:line="360" w:lineRule="auto"/>
        <w:jc w:val="center"/>
        <w:outlineLvl w:val="1"/>
        <w:rPr>
          <w:rFonts w:hint="eastAsia" w:ascii="宋体" w:hAnsi="宋体" w:eastAsia="宋体" w:cs="宋体"/>
          <w:b/>
          <w:sz w:val="28"/>
          <w:szCs w:val="28"/>
        </w:rPr>
      </w:pPr>
      <w:r>
        <w:rPr>
          <w:rFonts w:hint="eastAsia" w:ascii="宋体" w:hAnsi="宋体" w:eastAsia="宋体" w:cs="宋体"/>
          <w:b/>
          <w:sz w:val="28"/>
          <w:szCs w:val="28"/>
        </w:rPr>
        <w:t>5.3 权属配比</w:t>
      </w:r>
    </w:p>
    <w:p w14:paraId="2A96A3C2">
      <w:pPr>
        <w:spacing w:beforeLines="0" w:afterLines="0" w:line="360" w:lineRule="auto"/>
        <w:rPr>
          <w:rFonts w:hint="eastAsia" w:ascii="宋体" w:hAnsi="宋体" w:eastAsia="宋体" w:cs="宋体"/>
          <w:sz w:val="24"/>
          <w:szCs w:val="24"/>
        </w:rPr>
      </w:pPr>
      <w:r>
        <w:rPr>
          <w:rFonts w:hint="eastAsia" w:ascii="宋体" w:hAnsi="宋体" w:eastAsia="宋体" w:cs="宋体"/>
          <w:b/>
          <w:bCs/>
          <w:sz w:val="24"/>
          <w:szCs w:val="24"/>
        </w:rPr>
        <w:t xml:space="preserve">5.3.1 </w:t>
      </w:r>
      <w:r>
        <w:rPr>
          <w:rFonts w:hint="eastAsia" w:ascii="宋体" w:hAnsi="宋体" w:eastAsia="宋体" w:cs="宋体"/>
          <w:sz w:val="24"/>
          <w:szCs w:val="24"/>
        </w:rPr>
        <w:t>为保障片区功能的公共属性与长期活力，应对片区内的物业权属类型及其配比进行规划引导。</w:t>
      </w:r>
    </w:p>
    <w:p w14:paraId="667A2603">
      <w:pPr>
        <w:spacing w:beforeLines="0" w:afterLines="0" w:line="360" w:lineRule="auto"/>
        <w:rPr>
          <w:rFonts w:hint="eastAsia" w:ascii="宋体" w:hAnsi="宋体" w:eastAsia="宋体" w:cs="宋体"/>
          <w:sz w:val="24"/>
          <w:szCs w:val="24"/>
        </w:rPr>
      </w:pPr>
      <w:r>
        <w:rPr>
          <w:rFonts w:hint="eastAsia" w:ascii="宋体" w:hAnsi="宋体" w:eastAsia="宋体" w:cs="宋体"/>
          <w:b/>
          <w:bCs/>
          <w:sz w:val="24"/>
          <w:szCs w:val="24"/>
        </w:rPr>
        <w:t>5.3.2</w:t>
      </w:r>
      <w:r>
        <w:rPr>
          <w:rFonts w:hint="eastAsia" w:ascii="宋体" w:hAnsi="宋体" w:eastAsia="宋体" w:cs="宋体"/>
          <w:sz w:val="24"/>
          <w:szCs w:val="24"/>
        </w:rPr>
        <w:t>片区物业按权属与管理方式应分为“出让物业”与“公共物业”两大类。出让物业指通过市场化方式出让，由市场主体自主经营、以营利为目的的物业，主要对应长短期居住功能和产业与服务功能。公共物业指由政府或公共机构持有和运营，以保障公共利益为核心的物业，主要对应公共与后勤服务功能。</w:t>
      </w:r>
    </w:p>
    <w:p w14:paraId="5FC9D0D3">
      <w:pPr>
        <w:spacing w:beforeLines="0" w:afterLines="0" w:line="360" w:lineRule="auto"/>
        <w:rPr>
          <w:rFonts w:hint="eastAsia" w:ascii="宋体" w:hAnsi="宋体" w:eastAsia="宋体" w:cs="宋体"/>
          <w:sz w:val="24"/>
          <w:szCs w:val="24"/>
        </w:rPr>
      </w:pPr>
      <w:r>
        <w:rPr>
          <w:rFonts w:hint="eastAsia" w:ascii="宋体" w:hAnsi="宋体" w:eastAsia="宋体" w:cs="宋体"/>
          <w:b/>
          <w:bCs/>
          <w:sz w:val="24"/>
          <w:szCs w:val="24"/>
        </w:rPr>
        <w:t xml:space="preserve">5.3.3 </w:t>
      </w:r>
      <w:r>
        <w:rPr>
          <w:rFonts w:hint="eastAsia" w:ascii="宋体" w:hAnsi="宋体" w:eastAsia="宋体" w:cs="宋体"/>
          <w:sz w:val="24"/>
          <w:szCs w:val="24"/>
        </w:rPr>
        <w:t>公共物业（即公共与后勤服务功能）的建筑面积占片区总建筑面积的比例不宜低于表5.3.3的规定；</w:t>
      </w:r>
    </w:p>
    <w:p w14:paraId="68D839C6">
      <w:pPr>
        <w:spacing w:beforeLines="0" w:afterLines="0" w:line="360" w:lineRule="auto"/>
        <w:rPr>
          <w:rFonts w:hint="eastAsia" w:ascii="宋体" w:hAnsi="宋体" w:eastAsia="宋体" w:cs="宋体"/>
          <w:sz w:val="24"/>
          <w:szCs w:val="24"/>
        </w:rPr>
      </w:pPr>
    </w:p>
    <w:p w14:paraId="7FE8113E">
      <w:pPr>
        <w:spacing w:beforeLines="0" w:afterLines="0" w:line="360" w:lineRule="auto"/>
        <w:rPr>
          <w:rFonts w:hint="eastAsia" w:ascii="宋体" w:hAnsi="宋体" w:eastAsia="宋体" w:cs="宋体"/>
          <w:sz w:val="24"/>
          <w:szCs w:val="24"/>
        </w:rPr>
      </w:pPr>
    </w:p>
    <w:p w14:paraId="5E7FDB55">
      <w:pPr>
        <w:spacing w:beforeLines="0" w:afterLines="0" w:line="360" w:lineRule="auto"/>
        <w:rPr>
          <w:rFonts w:hint="eastAsia" w:ascii="宋体" w:hAnsi="宋体" w:eastAsia="宋体" w:cs="宋体"/>
          <w:sz w:val="24"/>
          <w:szCs w:val="24"/>
        </w:rPr>
      </w:pPr>
    </w:p>
    <w:p w14:paraId="7A667BD8">
      <w:pPr>
        <w:spacing w:beforeLines="0" w:afterLines="0" w:line="360" w:lineRule="auto"/>
        <w:rPr>
          <w:rFonts w:hint="eastAsia" w:ascii="宋体" w:hAnsi="宋体" w:eastAsia="宋体" w:cs="宋体"/>
          <w:sz w:val="24"/>
          <w:szCs w:val="24"/>
        </w:rPr>
      </w:pPr>
    </w:p>
    <w:p w14:paraId="593B883B">
      <w:pPr>
        <w:pStyle w:val="44"/>
        <w:numPr>
          <w:ilvl w:val="0"/>
          <w:numId w:val="0"/>
        </w:numPr>
        <w:overflowPunct w:val="0"/>
        <w:spacing w:beforeLines="0" w:afterLines="0" w:line="360" w:lineRule="auto"/>
        <w:ind w:left="0"/>
        <w:jc w:val="center"/>
        <w:rPr>
          <w:rFonts w:hint="eastAsia" w:ascii="宋体" w:hAnsi="宋体" w:eastAsia="宋体" w:cs="宋体"/>
          <w:sz w:val="24"/>
          <w:szCs w:val="24"/>
        </w:rPr>
      </w:pPr>
      <w:r>
        <w:rPr>
          <w:rFonts w:hint="eastAsia" w:eastAsia="宋体"/>
          <w:b/>
          <w:kern w:val="0"/>
          <w:sz w:val="21"/>
          <w:szCs w:val="21"/>
          <w:lang w:bidi="zh-CN"/>
        </w:rPr>
        <w:t>表5.3.3 公共物业（公共与后勤服务功能）建设配比建议</w:t>
      </w:r>
    </w:p>
    <w:tbl>
      <w:tblPr>
        <w:tblStyle w:val="24"/>
        <w:tblW w:w="5000" w:type="pct"/>
        <w:tblInd w:w="0" w:type="dxa"/>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fixed"/>
        <w:tblCellMar>
          <w:top w:w="0" w:type="dxa"/>
          <w:left w:w="108" w:type="dxa"/>
          <w:bottom w:w="0" w:type="dxa"/>
          <w:right w:w="108" w:type="dxa"/>
        </w:tblCellMar>
      </w:tblPr>
      <w:tblGrid>
        <w:gridCol w:w="1741"/>
        <w:gridCol w:w="2039"/>
        <w:gridCol w:w="4742"/>
      </w:tblGrid>
      <w:tr w14:paraId="657156E0">
        <w:trPr>
          <w:trHeight w:val="340" w:hRule="exact"/>
        </w:trPr>
        <w:tc>
          <w:tcPr>
            <w:tcW w:w="1022" w:type="pct"/>
            <w:tcBorders>
              <w:top w:val="single" w:color="auto" w:sz="12" w:space="0"/>
              <w:left w:val="single" w:color="auto" w:sz="12" w:space="0"/>
              <w:bottom w:val="single" w:color="000000" w:sz="4" w:space="0"/>
              <w:right w:val="single" w:color="000000" w:sz="4" w:space="0"/>
              <w:tl2br w:val="nil"/>
              <w:tr2bl w:val="nil"/>
            </w:tcBorders>
            <w:noWrap/>
            <w:vAlign w:val="center"/>
          </w:tcPr>
          <w:p w14:paraId="59EB4299">
            <w:pPr>
              <w:widowControl/>
              <w:spacing w:beforeLines="0" w:afterLines="0"/>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片区类型</w:t>
            </w:r>
          </w:p>
        </w:tc>
        <w:tc>
          <w:tcPr>
            <w:tcW w:w="1196" w:type="pct"/>
            <w:tcBorders>
              <w:top w:val="single" w:color="auto" w:sz="12" w:space="0"/>
              <w:left w:val="single" w:color="000000" w:sz="4" w:space="0"/>
              <w:bottom w:val="single" w:color="000000" w:sz="4" w:space="0"/>
              <w:right w:val="single" w:color="000000" w:sz="4" w:space="0"/>
              <w:tl2br w:val="nil"/>
              <w:tr2bl w:val="nil"/>
            </w:tcBorders>
            <w:noWrap/>
            <w:vAlign w:val="center"/>
          </w:tcPr>
          <w:p w14:paraId="51B6A891">
            <w:pPr>
              <w:widowControl/>
              <w:spacing w:beforeLines="0" w:afterLines="0"/>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公共物业占比建议</w:t>
            </w:r>
          </w:p>
        </w:tc>
        <w:tc>
          <w:tcPr>
            <w:tcW w:w="2781" w:type="pct"/>
            <w:tcBorders>
              <w:top w:val="single" w:color="auto" w:sz="12" w:space="0"/>
              <w:left w:val="single" w:color="000000" w:sz="4" w:space="0"/>
              <w:bottom w:val="single" w:color="000000" w:sz="4" w:space="0"/>
              <w:right w:val="single" w:color="auto" w:sz="12" w:space="0"/>
              <w:tl2br w:val="nil"/>
              <w:tr2bl w:val="nil"/>
            </w:tcBorders>
            <w:noWrap/>
            <w:vAlign w:val="center"/>
          </w:tcPr>
          <w:p w14:paraId="320DAED9">
            <w:pPr>
              <w:widowControl/>
              <w:spacing w:beforeLines="0" w:afterLines="0"/>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配置说明</w:t>
            </w:r>
          </w:p>
        </w:tc>
      </w:tr>
      <w:tr w14:paraId="555370C1">
        <w:trPr>
          <w:trHeight w:val="2590" w:hRule="exact"/>
        </w:trPr>
        <w:tc>
          <w:tcPr>
            <w:tcW w:w="1022" w:type="pct"/>
            <w:tcBorders>
              <w:top w:val="single" w:color="000000" w:sz="4" w:space="0"/>
              <w:left w:val="single" w:color="auto" w:sz="12" w:space="0"/>
              <w:bottom w:val="single" w:color="000000" w:sz="4" w:space="0"/>
              <w:right w:val="single" w:color="000000" w:sz="4" w:space="0"/>
              <w:tl2br w:val="nil"/>
              <w:tr2bl w:val="nil"/>
            </w:tcBorders>
            <w:noWrap/>
            <w:vAlign w:val="center"/>
          </w:tcPr>
          <w:p w14:paraId="3FEDED2F">
            <w:pPr>
              <w:widowControl/>
              <w:spacing w:beforeLines="0" w:afterLines="0"/>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综合城市中心区</w:t>
            </w:r>
          </w:p>
          <w:p w14:paraId="17F03D24">
            <w:pPr>
              <w:widowControl/>
              <w:spacing w:beforeLines="0" w:afterLines="0"/>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（中央商务区）</w:t>
            </w:r>
          </w:p>
        </w:tc>
        <w:tc>
          <w:tcPr>
            <w:tcW w:w="1196" w:type="pct"/>
            <w:tcBorders>
              <w:top w:val="single" w:color="000000" w:sz="4" w:space="0"/>
              <w:left w:val="single" w:color="000000" w:sz="4" w:space="0"/>
              <w:bottom w:val="single" w:color="000000" w:sz="4" w:space="0"/>
              <w:right w:val="single" w:color="000000" w:sz="4" w:space="0"/>
              <w:tl2br w:val="nil"/>
              <w:tr2bl w:val="nil"/>
            </w:tcBorders>
            <w:noWrap/>
            <w:vAlign w:val="center"/>
          </w:tcPr>
          <w:p w14:paraId="7D76F6C3">
            <w:pPr>
              <w:widowControl/>
              <w:spacing w:beforeLines="0" w:afterLines="0"/>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15%-20%</w:t>
            </w:r>
          </w:p>
        </w:tc>
        <w:tc>
          <w:tcPr>
            <w:tcW w:w="2781" w:type="pct"/>
            <w:tcBorders>
              <w:top w:val="single" w:color="000000" w:sz="4" w:space="0"/>
              <w:left w:val="single" w:color="000000" w:sz="4" w:space="0"/>
              <w:bottom w:val="single" w:color="000000" w:sz="4" w:space="0"/>
              <w:right w:val="single" w:color="auto" w:sz="12" w:space="0"/>
              <w:tl2br w:val="nil"/>
              <w:tr2bl w:val="nil"/>
            </w:tcBorders>
            <w:noWrap/>
            <w:vAlign w:val="center"/>
          </w:tcPr>
          <w:p w14:paraId="6C4218AD">
            <w:pPr>
              <w:widowControl/>
              <w:spacing w:beforeLines="0" w:afterLines="0"/>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 核心配置：管理服务（区域应急指挥中心、政务服务大厅）、体育（体育场馆及公共运动场所）、市政辅助（地下综合管廊、集中能源站）。</w:t>
            </w:r>
          </w:p>
          <w:p w14:paraId="52D2E1F6">
            <w:pPr>
              <w:widowControl/>
              <w:spacing w:beforeLines="0" w:afterLines="0"/>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 重点保障：管理服务（消防站、派出所）、市政辅助（大型公共停车场、公交场站）。</w:t>
            </w:r>
          </w:p>
          <w:p w14:paraId="75B3B13E">
            <w:pPr>
              <w:widowControl/>
              <w:spacing w:beforeLines="0" w:afterLines="0"/>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 特点：侧重区域级管理、应急与高效市政支撑，设施集约化、复合化程度高，以保障超高层、高密度环境下的公共安全与运行效率。</w:t>
            </w:r>
          </w:p>
        </w:tc>
      </w:tr>
      <w:tr w14:paraId="6655937C">
        <w:trPr>
          <w:trHeight w:val="2854" w:hRule="exact"/>
        </w:trPr>
        <w:tc>
          <w:tcPr>
            <w:tcW w:w="1022" w:type="pct"/>
            <w:tcBorders>
              <w:top w:val="single" w:color="000000" w:sz="4" w:space="0"/>
              <w:left w:val="single" w:color="auto" w:sz="12" w:space="0"/>
              <w:bottom w:val="single" w:color="000000" w:sz="4" w:space="0"/>
              <w:right w:val="single" w:color="000000" w:sz="4" w:space="0"/>
              <w:tl2br w:val="nil"/>
              <w:tr2bl w:val="nil"/>
            </w:tcBorders>
            <w:noWrap/>
            <w:vAlign w:val="center"/>
          </w:tcPr>
          <w:p w14:paraId="7A4B0446">
            <w:pPr>
              <w:widowControl/>
              <w:spacing w:beforeLines="0" w:afterLines="0"/>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综合产业园区（科创产业区）</w:t>
            </w:r>
          </w:p>
        </w:tc>
        <w:tc>
          <w:tcPr>
            <w:tcW w:w="1196" w:type="pct"/>
            <w:tcBorders>
              <w:top w:val="single" w:color="000000" w:sz="4" w:space="0"/>
              <w:left w:val="single" w:color="000000" w:sz="4" w:space="0"/>
              <w:bottom w:val="single" w:color="000000" w:sz="4" w:space="0"/>
              <w:right w:val="single" w:color="000000" w:sz="4" w:space="0"/>
              <w:tl2br w:val="nil"/>
              <w:tr2bl w:val="nil"/>
            </w:tcBorders>
            <w:noWrap/>
            <w:vAlign w:val="center"/>
          </w:tcPr>
          <w:p w14:paraId="192BA3DA">
            <w:pPr>
              <w:widowControl/>
              <w:spacing w:beforeLines="0" w:afterLines="0"/>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18%-25%</w:t>
            </w:r>
          </w:p>
        </w:tc>
        <w:tc>
          <w:tcPr>
            <w:tcW w:w="2781" w:type="pct"/>
            <w:tcBorders>
              <w:top w:val="single" w:color="000000" w:sz="4" w:space="0"/>
              <w:left w:val="single" w:color="000000" w:sz="4" w:space="0"/>
              <w:bottom w:val="single" w:color="000000" w:sz="4" w:space="0"/>
              <w:right w:val="single" w:color="auto" w:sz="12" w:space="0"/>
              <w:tl2br w:val="nil"/>
              <w:tr2bl w:val="nil"/>
            </w:tcBorders>
            <w:noWrap/>
            <w:vAlign w:val="center"/>
          </w:tcPr>
          <w:p w14:paraId="79CDA796">
            <w:pPr>
              <w:widowControl/>
              <w:spacing w:beforeLines="0" w:afterLines="0"/>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 核心配置：管理服务（知识产权服务中心）、市政辅助（特殊废弃物转运站、高标准数据中心）。</w:t>
            </w:r>
          </w:p>
          <w:p w14:paraId="3DBB0BB7">
            <w:pPr>
              <w:widowControl/>
              <w:spacing w:beforeLines="0" w:afterLines="0"/>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 重点保障：医疗（科研配套健康监测点）、社会福利（人才服务中心）、市政辅助（充足装卸货区与专用物流通道）。</w:t>
            </w:r>
          </w:p>
          <w:p w14:paraId="18B571AA">
            <w:pPr>
              <w:widowControl/>
              <w:spacing w:beforeLines="0" w:afterLines="0"/>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 特点：侧重服务创新生态的专业化管理平台、共享研发设施与特殊后勤保障，满足科研活动对安全、协作与特殊物资流转的刚性需求</w:t>
            </w:r>
          </w:p>
        </w:tc>
      </w:tr>
      <w:tr w14:paraId="7C42ED45">
        <w:trPr>
          <w:trHeight w:val="2996" w:hRule="exact"/>
        </w:trPr>
        <w:tc>
          <w:tcPr>
            <w:tcW w:w="1022" w:type="pct"/>
            <w:tcBorders>
              <w:top w:val="single" w:color="000000" w:sz="4" w:space="0"/>
              <w:left w:val="single" w:color="auto" w:sz="12" w:space="0"/>
              <w:bottom w:val="single" w:color="000000" w:sz="4" w:space="0"/>
              <w:right w:val="single" w:color="000000" w:sz="4" w:space="0"/>
              <w:tl2br w:val="nil"/>
              <w:tr2bl w:val="nil"/>
            </w:tcBorders>
            <w:noWrap/>
            <w:vAlign w:val="center"/>
          </w:tcPr>
          <w:p w14:paraId="28911A2B">
            <w:pPr>
              <w:widowControl/>
              <w:spacing w:beforeLines="0" w:afterLines="0"/>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综合交通枢纽区</w:t>
            </w:r>
          </w:p>
          <w:p w14:paraId="2E1E9936">
            <w:pPr>
              <w:widowControl/>
              <w:spacing w:beforeLines="0" w:afterLines="0"/>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（高铁新城）</w:t>
            </w:r>
          </w:p>
        </w:tc>
        <w:tc>
          <w:tcPr>
            <w:tcW w:w="1196" w:type="pct"/>
            <w:tcBorders>
              <w:top w:val="single" w:color="000000" w:sz="4" w:space="0"/>
              <w:left w:val="single" w:color="000000" w:sz="4" w:space="0"/>
              <w:bottom w:val="single" w:color="000000" w:sz="4" w:space="0"/>
              <w:right w:val="single" w:color="000000" w:sz="4" w:space="0"/>
              <w:tl2br w:val="nil"/>
              <w:tr2bl w:val="nil"/>
            </w:tcBorders>
            <w:noWrap/>
            <w:vAlign w:val="center"/>
          </w:tcPr>
          <w:p w14:paraId="2D343D41">
            <w:pPr>
              <w:widowControl/>
              <w:spacing w:beforeLines="0" w:afterLines="0"/>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20%-28%</w:t>
            </w:r>
          </w:p>
        </w:tc>
        <w:tc>
          <w:tcPr>
            <w:tcW w:w="2781" w:type="pct"/>
            <w:tcBorders>
              <w:top w:val="single" w:color="000000" w:sz="4" w:space="0"/>
              <w:left w:val="single" w:color="000000" w:sz="4" w:space="0"/>
              <w:bottom w:val="single" w:color="000000" w:sz="4" w:space="0"/>
              <w:right w:val="single" w:color="auto" w:sz="12" w:space="0"/>
              <w:tl2br w:val="nil"/>
              <w:tr2bl w:val="nil"/>
            </w:tcBorders>
            <w:noWrap/>
            <w:vAlign w:val="center"/>
          </w:tcPr>
          <w:p w14:paraId="3F46D68F">
            <w:pPr>
              <w:widowControl/>
              <w:spacing w:beforeLines="0" w:afterLines="0"/>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 核心配置：管理服务（交通枢纽综合管理中心、旅客服务中心）、医疗（紧急医疗救援站）、市政辅助（大型换乘大厅、出租车蓄车场）。</w:t>
            </w:r>
          </w:p>
          <w:p w14:paraId="15CF4DA8">
            <w:pPr>
              <w:widowControl/>
              <w:spacing w:beforeLines="0" w:afterLines="0"/>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 重点保障：社会福利（无障碍服务中心、母婴服务中心）、市政辅助（集中行李托管、片区级环卫设施）。</w:t>
            </w:r>
          </w:p>
          <w:p w14:paraId="63E14621">
            <w:pPr>
              <w:widowControl/>
              <w:spacing w:beforeLines="0" w:afterLines="0"/>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 特点：侧重应对大客流瞬时集散的交通管理、应急医疗与高密度辅助服务，设施需具备高强度使用、全天候运营和快速响应能力。</w:t>
            </w:r>
          </w:p>
        </w:tc>
      </w:tr>
      <w:tr w14:paraId="6009BD95">
        <w:trPr>
          <w:trHeight w:val="2998" w:hRule="exact"/>
        </w:trPr>
        <w:tc>
          <w:tcPr>
            <w:tcW w:w="1022" w:type="pct"/>
            <w:tcBorders>
              <w:top w:val="single" w:color="000000" w:sz="4" w:space="0"/>
              <w:left w:val="single" w:color="auto" w:sz="12" w:space="0"/>
              <w:bottom w:val="single" w:color="auto" w:sz="12" w:space="0"/>
              <w:right w:val="single" w:color="000000" w:sz="4" w:space="0"/>
              <w:tl2br w:val="nil"/>
              <w:tr2bl w:val="nil"/>
            </w:tcBorders>
            <w:noWrap/>
            <w:vAlign w:val="center"/>
          </w:tcPr>
          <w:p w14:paraId="70692264">
            <w:pPr>
              <w:widowControl/>
              <w:spacing w:beforeLines="0" w:afterLines="0"/>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综合居住生活区</w:t>
            </w:r>
          </w:p>
          <w:p w14:paraId="3503D1F3">
            <w:pPr>
              <w:widowControl/>
              <w:spacing w:beforeLines="0" w:afterLines="0"/>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（居住新城）</w:t>
            </w:r>
          </w:p>
        </w:tc>
        <w:tc>
          <w:tcPr>
            <w:tcW w:w="1196" w:type="pct"/>
            <w:tcBorders>
              <w:top w:val="single" w:color="000000" w:sz="4" w:space="0"/>
              <w:left w:val="single" w:color="000000" w:sz="4" w:space="0"/>
              <w:bottom w:val="single" w:color="auto" w:sz="12" w:space="0"/>
              <w:right w:val="single" w:color="000000" w:sz="4" w:space="0"/>
              <w:tl2br w:val="nil"/>
              <w:tr2bl w:val="nil"/>
            </w:tcBorders>
            <w:noWrap/>
            <w:vAlign w:val="center"/>
          </w:tcPr>
          <w:p w14:paraId="6D4156B4">
            <w:pPr>
              <w:widowControl/>
              <w:spacing w:beforeLines="0" w:afterLines="0"/>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22%-30%</w:t>
            </w:r>
          </w:p>
        </w:tc>
        <w:tc>
          <w:tcPr>
            <w:tcW w:w="2781" w:type="pct"/>
            <w:tcBorders>
              <w:top w:val="single" w:color="000000" w:sz="4" w:space="0"/>
              <w:left w:val="single" w:color="000000" w:sz="4" w:space="0"/>
              <w:bottom w:val="single" w:color="auto" w:sz="12" w:space="0"/>
              <w:right w:val="single" w:color="auto" w:sz="12" w:space="0"/>
              <w:tl2br w:val="nil"/>
              <w:tr2bl w:val="nil"/>
            </w:tcBorders>
            <w:noWrap/>
            <w:vAlign w:val="center"/>
          </w:tcPr>
          <w:p w14:paraId="216D1EBD">
            <w:pPr>
              <w:widowControl/>
              <w:spacing w:beforeLines="0" w:afterLines="0"/>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 核心配置：教育（中小学）、医疗（社区卫生服务中心）、社会福利（社区养老设施）、管理服务（街道办事处、社区党群服务中心）。</w:t>
            </w:r>
          </w:p>
          <w:p w14:paraId="63850419">
            <w:pPr>
              <w:widowControl/>
              <w:spacing w:beforeLines="0" w:afterLines="0"/>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 重点保障：体育（社区体育中心与场地）、社会福利（社区助残服务中心）、市政辅助（公交首末站、菜市场、社区公园）。</w:t>
            </w:r>
          </w:p>
          <w:p w14:paraId="2006F8C1">
            <w:pPr>
              <w:widowControl/>
              <w:spacing w:beforeLines="0" w:afterLines="0"/>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 特点：侧重构建完整社区生活圈，设施配置全面均衡、贴近居民，强调教育、医疗、养老等基本公共服务的步行可达性与全龄友好性。</w:t>
            </w:r>
          </w:p>
        </w:tc>
      </w:tr>
    </w:tbl>
    <w:p w14:paraId="25D00515">
      <w:pPr>
        <w:spacing w:beforeLines="0" w:afterLines="0" w:line="360" w:lineRule="auto"/>
        <w:rPr>
          <w:rFonts w:hint="eastAsia" w:ascii="宋体" w:hAnsi="宋体" w:eastAsia="宋体" w:cs="宋体"/>
          <w:sz w:val="24"/>
          <w:szCs w:val="24"/>
        </w:rPr>
      </w:pPr>
      <w:r>
        <w:rPr>
          <w:rFonts w:hint="eastAsia" w:ascii="宋体" w:hAnsi="宋体" w:eastAsia="宋体" w:cs="宋体"/>
          <w:b/>
          <w:bCs/>
          <w:sz w:val="24"/>
          <w:szCs w:val="24"/>
        </w:rPr>
        <w:t>5.3.4</w:t>
      </w:r>
      <w:r>
        <w:rPr>
          <w:rFonts w:hint="eastAsia" w:ascii="宋体" w:hAnsi="宋体" w:eastAsia="宋体" w:cs="宋体"/>
          <w:sz w:val="24"/>
          <w:szCs w:val="24"/>
        </w:rPr>
        <w:t xml:space="preserve"> 在土地出让条件中，宜明确公共物业的配置要求、持有主体和运营模式，确保其公共属性得以长期维系。</w:t>
      </w:r>
    </w:p>
    <w:p w14:paraId="1BE72EF3">
      <w:pPr>
        <w:pStyle w:val="70"/>
        <w:spacing w:beforeLines="0" w:afterLines="0" w:line="360" w:lineRule="auto"/>
        <w:jc w:val="center"/>
        <w:outlineLvl w:val="0"/>
        <w:rPr>
          <w:rFonts w:hint="eastAsia" w:ascii="宋体" w:hAnsi="宋体" w:eastAsia="宋体" w:cs="宋体"/>
          <w:sz w:val="28"/>
          <w:szCs w:val="24"/>
        </w:rPr>
      </w:pPr>
      <w:r>
        <w:rPr>
          <w:rFonts w:hint="eastAsia" w:ascii="宋体" w:hAnsi="宋体" w:eastAsia="宋体" w:cs="宋体"/>
          <w:sz w:val="28"/>
          <w:szCs w:val="24"/>
        </w:rPr>
        <w:t>6 近地空间基面集约</w:t>
      </w:r>
    </w:p>
    <w:p w14:paraId="557FE3C0">
      <w:pPr>
        <w:spacing w:beforeLines="0" w:afterLines="0" w:line="360" w:lineRule="auto"/>
        <w:jc w:val="center"/>
        <w:outlineLvl w:val="1"/>
        <w:rPr>
          <w:rFonts w:hint="eastAsia" w:ascii="宋体" w:hAnsi="宋体" w:eastAsia="宋体" w:cs="宋体"/>
          <w:b/>
          <w:sz w:val="28"/>
          <w:szCs w:val="28"/>
        </w:rPr>
      </w:pPr>
      <w:r>
        <w:rPr>
          <w:rFonts w:hint="eastAsia" w:ascii="宋体" w:hAnsi="宋体" w:eastAsia="宋体" w:cs="宋体"/>
          <w:b/>
          <w:sz w:val="28"/>
          <w:szCs w:val="28"/>
        </w:rPr>
        <w:t>6.1 近地空间基面系统</w:t>
      </w:r>
    </w:p>
    <w:p w14:paraId="0F8CF7C2">
      <w:pPr>
        <w:spacing w:beforeLines="0" w:afterLines="0" w:line="360" w:lineRule="auto"/>
        <w:rPr>
          <w:rFonts w:hint="eastAsia" w:ascii="宋体" w:hAnsi="宋体" w:eastAsia="宋体" w:cs="宋体"/>
          <w:sz w:val="24"/>
          <w:szCs w:val="24"/>
        </w:rPr>
      </w:pPr>
      <w:r>
        <w:rPr>
          <w:rFonts w:hint="eastAsia" w:ascii="宋体" w:hAnsi="宋体" w:eastAsia="宋体" w:cs="宋体"/>
          <w:b/>
          <w:bCs/>
          <w:sz w:val="24"/>
          <w:szCs w:val="24"/>
        </w:rPr>
        <w:t xml:space="preserve">6.1.1 </w:t>
      </w:r>
      <w:r>
        <w:rPr>
          <w:rFonts w:hint="eastAsia" w:ascii="宋体" w:hAnsi="宋体" w:eastAsia="宋体" w:cs="宋体"/>
          <w:sz w:val="24"/>
          <w:szCs w:val="24"/>
        </w:rPr>
        <w:t>高强度片区在开展建筑体量及街区地块的连接设计时，应统筹不同高度的近地空间，并以基面系统为单位进行一体化规划与导控。单个基面系统由连续的近地空间基面及相应的公共竖向构件构成。</w:t>
      </w:r>
    </w:p>
    <w:p w14:paraId="5C56D587">
      <w:pPr>
        <w:spacing w:beforeLines="0" w:afterLines="0" w:line="360" w:lineRule="auto"/>
        <w:rPr>
          <w:rFonts w:hint="eastAsia" w:ascii="宋体" w:hAnsi="宋体" w:eastAsia="宋体" w:cs="宋体"/>
          <w:sz w:val="24"/>
          <w:szCs w:val="24"/>
        </w:rPr>
      </w:pPr>
      <w:r>
        <w:rPr>
          <w:rFonts w:hint="eastAsia" w:ascii="宋体" w:hAnsi="宋体" w:eastAsia="宋体" w:cs="宋体"/>
          <w:b/>
          <w:bCs/>
          <w:sz w:val="24"/>
          <w:szCs w:val="24"/>
        </w:rPr>
        <w:t xml:space="preserve">6.1.2 </w:t>
      </w:r>
      <w:r>
        <w:rPr>
          <w:rFonts w:hint="eastAsia" w:ascii="宋体" w:hAnsi="宋体" w:eastAsia="宋体" w:cs="宋体"/>
          <w:sz w:val="24"/>
          <w:szCs w:val="24"/>
        </w:rPr>
        <w:t>参与构成近地空间基面系统的竖向构件应具备24小时公共开放属性，可包括室外或半室外的坡道、扶梯、楼梯等；封闭楼梯间、防烟楼梯间及垂直电梯不可作为近地空间基面系统的竖向构件。上述竖向构件宜同步配备无障碍设施或无障碍通行手段。</w:t>
      </w:r>
    </w:p>
    <w:p w14:paraId="58F3728B">
      <w:pPr>
        <w:spacing w:beforeLines="0" w:afterLines="0" w:line="360" w:lineRule="auto"/>
        <w:rPr>
          <w:rFonts w:hint="eastAsia" w:ascii="宋体" w:hAnsi="宋体" w:eastAsia="宋体" w:cs="宋体"/>
          <w:sz w:val="24"/>
          <w:szCs w:val="24"/>
        </w:rPr>
      </w:pPr>
      <w:r>
        <w:rPr>
          <w:rFonts w:hint="eastAsia" w:ascii="宋体" w:hAnsi="宋体" w:eastAsia="宋体" w:cs="宋体"/>
          <w:b/>
          <w:bCs/>
          <w:sz w:val="24"/>
          <w:szCs w:val="24"/>
        </w:rPr>
        <w:t xml:space="preserve">6.1.3 </w:t>
      </w:r>
      <w:r>
        <w:rPr>
          <w:rFonts w:hint="eastAsia" w:ascii="宋体" w:hAnsi="宋体" w:eastAsia="宋体" w:cs="宋体"/>
          <w:sz w:val="24"/>
          <w:szCs w:val="24"/>
        </w:rPr>
        <w:t>近地空间基面的类型可划分为空中近地基面、屋顶近地基面、地下近地基面和其他近地基面四类。不同类型的近地空间基面在高强度片区中的常见形式可参见图6.1.3-1，分类判定流程见图6.1.3-2。</w:t>
      </w:r>
    </w:p>
    <w:p w14:paraId="3CAB236C">
      <w:pPr>
        <w:spacing w:beforeLines="0" w:afterLines="0" w:line="360" w:lineRule="auto"/>
        <w:rPr>
          <w:rFonts w:hint="eastAsia" w:ascii="宋体" w:hAnsi="宋体" w:eastAsia="宋体" w:cs="宋体"/>
          <w:sz w:val="24"/>
          <w:szCs w:val="24"/>
        </w:rPr>
      </w:pPr>
      <w:r>
        <w:rPr>
          <w:rFonts w:hint="default" w:ascii="宋体" w:hAnsi="宋体" w:eastAsia="宋体" w:cs="宋体"/>
          <w:sz w:val="24"/>
          <w:szCs w:val="24"/>
        </w:rPr>
        <w:drawing>
          <wp:inline distT="0" distB="0" distL="114300" distR="114300">
            <wp:extent cx="5257800" cy="2959100"/>
            <wp:effectExtent l="0" t="0" r="0" b="12700"/>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11"/>
                    <a:stretch>
                      <a:fillRect/>
                    </a:stretch>
                  </pic:blipFill>
                  <pic:spPr>
                    <a:xfrm>
                      <a:off x="0" y="0"/>
                      <a:ext cx="5257800" cy="2959100"/>
                    </a:xfrm>
                    <a:prstGeom prst="rect">
                      <a:avLst/>
                    </a:prstGeom>
                    <a:noFill/>
                    <a:ln>
                      <a:noFill/>
                    </a:ln>
                  </pic:spPr>
                </pic:pic>
              </a:graphicData>
            </a:graphic>
          </wp:inline>
        </w:drawing>
      </w:r>
    </w:p>
    <w:p w14:paraId="6FBD480D">
      <w:pPr>
        <w:spacing w:beforeLines="0" w:afterLines="0" w:line="360" w:lineRule="auto"/>
        <w:jc w:val="center"/>
        <w:rPr>
          <w:rFonts w:hint="eastAsia" w:ascii="宋体" w:hAnsi="宋体" w:eastAsia="宋体" w:cs="宋体"/>
          <w:sz w:val="24"/>
          <w:szCs w:val="24"/>
        </w:rPr>
      </w:pPr>
      <w:r>
        <w:rPr>
          <w:rFonts w:hint="eastAsia" w:ascii="宋体" w:hAnsi="宋体" w:eastAsia="宋体" w:cs="宋体"/>
          <w:sz w:val="24"/>
          <w:szCs w:val="24"/>
        </w:rPr>
        <w:t>图6.1.3-1 高强度片区近地空间基面分类及常见形式示意图</w:t>
      </w:r>
    </w:p>
    <w:p w14:paraId="0F3CE334">
      <w:pPr>
        <w:spacing w:beforeLines="0" w:afterLines="0" w:line="360" w:lineRule="auto"/>
        <w:rPr>
          <w:rFonts w:hint="eastAsia" w:ascii="宋体" w:hAnsi="宋体" w:eastAsia="宋体" w:cs="宋体"/>
          <w:sz w:val="24"/>
          <w:szCs w:val="24"/>
        </w:rPr>
      </w:pPr>
      <w:r>
        <w:rPr>
          <w:rFonts w:hint="default" w:ascii="宋体" w:hAnsi="宋体" w:eastAsia="宋体" w:cs="宋体"/>
          <w:sz w:val="24"/>
          <w:szCs w:val="24"/>
        </w:rPr>
        <w:drawing>
          <wp:inline distT="0" distB="0" distL="114300" distR="114300">
            <wp:extent cx="5274310" cy="2343150"/>
            <wp:effectExtent l="0" t="0" r="2540" b="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2"/>
                    <a:stretch>
                      <a:fillRect/>
                    </a:stretch>
                  </pic:blipFill>
                  <pic:spPr>
                    <a:xfrm>
                      <a:off x="0" y="0"/>
                      <a:ext cx="5274310" cy="2343150"/>
                    </a:xfrm>
                    <a:prstGeom prst="rect">
                      <a:avLst/>
                    </a:prstGeom>
                    <a:noFill/>
                    <a:ln>
                      <a:noFill/>
                    </a:ln>
                  </pic:spPr>
                </pic:pic>
              </a:graphicData>
            </a:graphic>
          </wp:inline>
        </w:drawing>
      </w:r>
    </w:p>
    <w:p w14:paraId="37489BBE">
      <w:pPr>
        <w:spacing w:beforeLines="0" w:afterLines="0" w:line="360" w:lineRule="auto"/>
        <w:jc w:val="center"/>
        <w:rPr>
          <w:rFonts w:hint="eastAsia" w:ascii="宋体" w:hAnsi="宋体" w:eastAsia="宋体" w:cs="宋体"/>
          <w:color w:val="EE0000"/>
          <w:sz w:val="24"/>
          <w:szCs w:val="24"/>
        </w:rPr>
      </w:pPr>
      <w:r>
        <w:rPr>
          <w:rFonts w:hint="eastAsia" w:ascii="宋体" w:hAnsi="宋体" w:eastAsia="宋体" w:cs="宋体"/>
          <w:sz w:val="24"/>
          <w:szCs w:val="24"/>
        </w:rPr>
        <w:t>图6.1.3-2近地空间基面分类判定流程示意图</w:t>
      </w:r>
    </w:p>
    <w:p w14:paraId="20CA2DE8">
      <w:pPr>
        <w:spacing w:beforeLines="0" w:afterLines="0" w:line="360" w:lineRule="auto"/>
        <w:rPr>
          <w:rFonts w:hint="eastAsia" w:ascii="宋体" w:hAnsi="宋体" w:eastAsia="宋体" w:cs="宋体"/>
          <w:sz w:val="24"/>
          <w:szCs w:val="24"/>
        </w:rPr>
      </w:pPr>
    </w:p>
    <w:p w14:paraId="735AD919">
      <w:pPr>
        <w:spacing w:beforeLines="0" w:afterLines="0" w:line="360" w:lineRule="auto"/>
        <w:jc w:val="center"/>
        <w:outlineLvl w:val="1"/>
        <w:rPr>
          <w:rFonts w:hint="eastAsia" w:ascii="宋体" w:hAnsi="宋体" w:eastAsia="宋体" w:cs="宋体"/>
          <w:b/>
          <w:sz w:val="28"/>
          <w:szCs w:val="28"/>
        </w:rPr>
      </w:pPr>
      <w:r>
        <w:rPr>
          <w:rFonts w:hint="eastAsia" w:ascii="宋体" w:hAnsi="宋体" w:eastAsia="宋体" w:cs="宋体"/>
          <w:b/>
          <w:sz w:val="28"/>
          <w:szCs w:val="28"/>
        </w:rPr>
        <w:t>6.2 连接效能</w:t>
      </w:r>
    </w:p>
    <w:p w14:paraId="6A2487A0">
      <w:pPr>
        <w:spacing w:beforeLines="0" w:afterLines="0" w:line="360" w:lineRule="auto"/>
        <w:jc w:val="left"/>
        <w:rPr>
          <w:rFonts w:hint="eastAsia" w:ascii="宋体" w:hAnsi="宋体" w:eastAsia="宋体" w:cs="宋体"/>
          <w:sz w:val="24"/>
          <w:szCs w:val="24"/>
        </w:rPr>
      </w:pPr>
      <w:r>
        <w:rPr>
          <w:rFonts w:hint="eastAsia" w:ascii="宋体" w:hAnsi="宋体" w:eastAsia="宋体" w:cs="宋体"/>
          <w:b/>
          <w:bCs/>
          <w:sz w:val="24"/>
          <w:szCs w:val="24"/>
        </w:rPr>
        <w:t>6.2.1</w:t>
      </w:r>
      <w:r>
        <w:rPr>
          <w:rFonts w:hint="eastAsia" w:ascii="宋体" w:hAnsi="宋体" w:eastAsia="宋体" w:cs="宋体"/>
          <w:sz w:val="24"/>
          <w:szCs w:val="24"/>
        </w:rPr>
        <w:t>在完成高强度片区的近地空间系统设计后，可通过计算其近地空间基面连接工效比（以下称“工效比”）的数值，初步评估连接效能，并基于连接效能提高其集约程度。工效比应按下式计算：</w:t>
      </w:r>
    </w:p>
    <w:p w14:paraId="0E0CFEA0">
      <w:pPr>
        <w:spacing w:beforeLines="0" w:afterLines="0" w:line="360" w:lineRule="auto"/>
        <w:jc w:val="right"/>
        <w:rPr>
          <w:rFonts w:hint="eastAsia" w:ascii="宋体" w:hAnsi="宋体" w:eastAsia="宋体" w:cs="宋体"/>
          <w:sz w:val="24"/>
          <w:szCs w:val="24"/>
        </w:rPr>
      </w:pPr>
      <w:r>
        <w:rPr>
          <w:rFonts w:hint="default" w:ascii="宋体" w:hAnsi="宋体" w:eastAsia="宋体" w:cs="宋体"/>
          <w:position w:val="-24"/>
          <w:sz w:val="24"/>
          <w:szCs w:val="24"/>
        </w:rPr>
        <w:object>
          <v:shape id="_x0000_i1025" o:spt="75" type="#_x0000_t75" style="height:36.6pt;width:200pt;" o:ole="t" filled="f" o:preferrelative="t" stroked="f" coordsize="21600,21600">
            <v:path/>
            <v:fill on="f" focussize="0,0"/>
            <v:stroke on="f" joinstyle="miter"/>
            <v:imagedata r:id="rId14" o:title=""/>
            <o:lock v:ext="edit" aspectratio="t"/>
            <w10:wrap type="none"/>
            <w10:anchorlock/>
          </v:shape>
          <o:OLEObject Type="Embed" ProgID="Equation.DSMT4" ShapeID="_x0000_i1025" DrawAspect="Content" ObjectID="_1468075725" r:id="rId13">
            <o:LockedField>false</o:LockedField>
          </o:OLEObject>
        </w:object>
      </w:r>
      <w:r>
        <w:rPr>
          <w:rFonts w:hint="eastAsia" w:ascii="宋体" w:hAnsi="宋体" w:eastAsia="宋体" w:cs="宋体"/>
          <w:position w:val="-24"/>
          <w:sz w:val="24"/>
          <w:szCs w:val="24"/>
        </w:rPr>
        <w:t xml:space="preserve">           </w:t>
      </w:r>
      <w:r>
        <w:rPr>
          <w:rFonts w:hint="eastAsia" w:ascii="宋体" w:hAnsi="宋体" w:eastAsia="宋体" w:cs="宋体"/>
          <w:sz w:val="24"/>
          <w:szCs w:val="24"/>
        </w:rPr>
        <w:t>(6.</w:t>
      </w:r>
      <w:r>
        <w:rPr>
          <w:rFonts w:hint="eastAsia" w:ascii="宋体" w:hAnsi="宋体" w:eastAsia="宋体" w:cs="宋体"/>
          <w:sz w:val="24"/>
          <w:szCs w:val="24"/>
          <w:lang w:val="en-US" w:eastAsia="zh-CN"/>
        </w:rPr>
        <w:t>2</w:t>
      </w:r>
      <w:r>
        <w:rPr>
          <w:rFonts w:hint="eastAsia" w:ascii="宋体" w:hAnsi="宋体" w:eastAsia="宋体" w:cs="宋体"/>
          <w:sz w:val="24"/>
          <w:szCs w:val="24"/>
        </w:rPr>
        <w:t>.1)</w:t>
      </w:r>
    </w:p>
    <w:p w14:paraId="47BA76EF">
      <w:pPr>
        <w:spacing w:beforeLines="0" w:afterLines="0" w:line="360" w:lineRule="auto"/>
        <w:rPr>
          <w:rFonts w:hint="eastAsia" w:ascii="宋体" w:hAnsi="宋体" w:eastAsia="宋体" w:cs="宋体"/>
          <w:sz w:val="24"/>
          <w:szCs w:val="24"/>
        </w:rPr>
      </w:pPr>
      <w:r>
        <w:rPr>
          <w:rFonts w:hint="eastAsia" w:ascii="宋体" w:hAnsi="宋体" w:eastAsia="宋体" w:cs="宋体"/>
          <w:sz w:val="24"/>
          <w:szCs w:val="24"/>
        </w:rPr>
        <w:t>式中：</w:t>
      </w:r>
      <w:r>
        <w:rPr>
          <w:rFonts w:hint="eastAsia" w:ascii="宋体" w:hAnsi="宋体" w:eastAsia="宋体" w:cs="宋体"/>
          <w:i/>
          <w:sz w:val="24"/>
          <w:szCs w:val="24"/>
        </w:rPr>
        <w:t>MPER</w:t>
      </w:r>
      <w:r>
        <w:rPr>
          <w:rFonts w:hint="eastAsia" w:ascii="宋体" w:hAnsi="宋体" w:eastAsia="宋体" w:cs="宋体"/>
          <w:sz w:val="24"/>
          <w:szCs w:val="24"/>
        </w:rPr>
        <w:t>——近地空间基面连接工效比；</w:t>
      </w:r>
    </w:p>
    <w:p w14:paraId="1871B729">
      <w:pPr>
        <w:spacing w:beforeLines="0" w:afterLines="0" w:line="360" w:lineRule="auto"/>
        <w:ind w:firstLine="720" w:firstLineChars="300"/>
        <w:rPr>
          <w:rFonts w:hint="eastAsia" w:ascii="宋体" w:hAnsi="宋体" w:eastAsia="宋体" w:cs="宋体"/>
          <w:sz w:val="24"/>
          <w:szCs w:val="24"/>
        </w:rPr>
      </w:pPr>
      <w:r>
        <w:rPr>
          <w:rFonts w:hint="eastAsia" w:ascii="宋体" w:hAnsi="宋体" w:eastAsia="宋体" w:cs="宋体"/>
          <w:i/>
          <w:sz w:val="24"/>
          <w:szCs w:val="24"/>
        </w:rPr>
        <w:t>N</w:t>
      </w:r>
      <w:r>
        <w:rPr>
          <w:rFonts w:hint="eastAsia" w:ascii="宋体" w:hAnsi="宋体" w:eastAsia="宋体" w:cs="宋体"/>
          <w:sz w:val="24"/>
          <w:szCs w:val="24"/>
        </w:rPr>
        <w:t>——近地空间基面系统数量；</w:t>
      </w:r>
    </w:p>
    <w:p w14:paraId="07E8BD11">
      <w:pPr>
        <w:spacing w:beforeLines="0" w:afterLines="0" w:line="360" w:lineRule="auto"/>
        <w:ind w:firstLine="720" w:firstLineChars="300"/>
        <w:rPr>
          <w:rFonts w:hint="eastAsia" w:ascii="宋体" w:hAnsi="宋体" w:eastAsia="宋体" w:cs="宋体"/>
          <w:sz w:val="24"/>
          <w:szCs w:val="24"/>
        </w:rPr>
      </w:pPr>
      <w:r>
        <w:rPr>
          <w:rFonts w:hint="eastAsia" w:ascii="宋体" w:hAnsi="宋体" w:eastAsia="宋体" w:cs="宋体"/>
          <w:i/>
          <w:sz w:val="24"/>
          <w:szCs w:val="24"/>
        </w:rPr>
        <w:t>F</w:t>
      </w:r>
      <w:r>
        <w:rPr>
          <w:rFonts w:hint="eastAsia" w:ascii="宋体" w:hAnsi="宋体" w:eastAsia="宋体" w:cs="宋体"/>
          <w:i/>
          <w:sz w:val="24"/>
          <w:szCs w:val="24"/>
          <w:vertAlign w:val="subscript"/>
        </w:rPr>
        <w:t>i</w:t>
      </w:r>
      <w:r>
        <w:rPr>
          <w:rFonts w:hint="eastAsia" w:ascii="宋体" w:hAnsi="宋体" w:eastAsia="宋体" w:cs="宋体"/>
          <w:sz w:val="24"/>
          <w:szCs w:val="24"/>
        </w:rPr>
        <w:t>——第</w:t>
      </w:r>
      <w:r>
        <w:rPr>
          <w:rFonts w:hint="eastAsia" w:ascii="宋体" w:hAnsi="宋体" w:eastAsia="宋体" w:cs="宋体"/>
          <w:i/>
          <w:sz w:val="24"/>
          <w:szCs w:val="24"/>
        </w:rPr>
        <w:t>i</w:t>
      </w:r>
      <w:r>
        <w:rPr>
          <w:rFonts w:hint="eastAsia" w:ascii="宋体" w:hAnsi="宋体" w:eastAsia="宋体" w:cs="宋体"/>
          <w:sz w:val="24"/>
          <w:szCs w:val="24"/>
        </w:rPr>
        <w:t>个近地空间基面系统所连通的楼层数量；</w:t>
      </w:r>
    </w:p>
    <w:p w14:paraId="3BA3F9E9">
      <w:pPr>
        <w:spacing w:beforeLines="0" w:afterLines="0" w:line="360" w:lineRule="auto"/>
        <w:ind w:firstLine="720" w:firstLineChars="300"/>
        <w:rPr>
          <w:rFonts w:hint="eastAsia" w:ascii="宋体" w:hAnsi="宋体" w:eastAsia="宋体" w:cs="宋体"/>
          <w:sz w:val="24"/>
          <w:szCs w:val="24"/>
        </w:rPr>
      </w:pPr>
      <w:r>
        <w:rPr>
          <w:rFonts w:hint="eastAsia" w:ascii="宋体" w:hAnsi="宋体" w:eastAsia="宋体" w:cs="宋体"/>
          <w:i/>
          <w:sz w:val="24"/>
          <w:szCs w:val="24"/>
        </w:rPr>
        <w:t>A</w:t>
      </w:r>
      <w:r>
        <w:rPr>
          <w:rFonts w:hint="eastAsia" w:ascii="宋体" w:hAnsi="宋体" w:eastAsia="宋体" w:cs="宋体"/>
          <w:i/>
          <w:sz w:val="24"/>
          <w:szCs w:val="24"/>
          <w:vertAlign w:val="subscript"/>
        </w:rPr>
        <w:t>PD</w:t>
      </w:r>
      <w:r>
        <w:rPr>
          <w:rFonts w:hint="eastAsia" w:ascii="宋体" w:hAnsi="宋体" w:eastAsia="宋体" w:cs="宋体"/>
          <w:sz w:val="24"/>
          <w:szCs w:val="24"/>
        </w:rPr>
        <w:t>——片区规划用地面积；</w:t>
      </w:r>
    </w:p>
    <w:p w14:paraId="1492BCCF">
      <w:pPr>
        <w:spacing w:beforeLines="0" w:afterLines="0" w:line="360" w:lineRule="auto"/>
        <w:ind w:firstLine="720" w:firstLineChars="300"/>
        <w:rPr>
          <w:rFonts w:hint="eastAsia" w:ascii="宋体" w:hAnsi="宋体" w:eastAsia="宋体" w:cs="宋体"/>
          <w:sz w:val="24"/>
          <w:szCs w:val="24"/>
        </w:rPr>
      </w:pPr>
      <w:r>
        <w:rPr>
          <w:rFonts w:hint="eastAsia" w:ascii="宋体" w:hAnsi="宋体" w:eastAsia="宋体" w:cs="宋体"/>
          <w:i/>
          <w:sz w:val="24"/>
          <w:szCs w:val="24"/>
        </w:rPr>
        <w:t>A</w:t>
      </w:r>
      <w:r>
        <w:rPr>
          <w:rFonts w:hint="eastAsia" w:ascii="宋体" w:hAnsi="宋体" w:eastAsia="宋体" w:cs="宋体"/>
          <w:i/>
          <w:sz w:val="24"/>
          <w:szCs w:val="24"/>
          <w:vertAlign w:val="subscript"/>
        </w:rPr>
        <w:t>MGS</w:t>
      </w:r>
      <w:r>
        <w:rPr>
          <w:rFonts w:hint="eastAsia" w:ascii="宋体" w:hAnsi="宋体" w:eastAsia="宋体" w:cs="宋体"/>
          <w:sz w:val="24"/>
          <w:szCs w:val="24"/>
        </w:rPr>
        <w:t>——</w:t>
      </w:r>
      <w:bookmarkStart w:id="27" w:name="OLE_LINK133"/>
      <w:r>
        <w:rPr>
          <w:rFonts w:hint="eastAsia" w:ascii="宋体" w:hAnsi="宋体" w:eastAsia="宋体" w:cs="宋体"/>
          <w:sz w:val="24"/>
          <w:szCs w:val="24"/>
        </w:rPr>
        <w:t>片区近地基面的总面积</w:t>
      </w:r>
      <w:bookmarkEnd w:id="27"/>
      <w:r>
        <w:rPr>
          <w:rFonts w:hint="eastAsia" w:ascii="宋体" w:hAnsi="宋体" w:eastAsia="宋体" w:cs="宋体"/>
          <w:sz w:val="24"/>
          <w:szCs w:val="24"/>
        </w:rPr>
        <w:t>；</w:t>
      </w:r>
    </w:p>
    <w:p w14:paraId="61702A01">
      <w:pPr>
        <w:spacing w:beforeLines="0" w:afterLines="0" w:line="360" w:lineRule="auto"/>
        <w:ind w:firstLine="720" w:firstLineChars="300"/>
        <w:rPr>
          <w:rFonts w:hint="eastAsia" w:ascii="宋体" w:hAnsi="宋体" w:eastAsia="宋体" w:cs="宋体"/>
          <w:sz w:val="24"/>
          <w:szCs w:val="24"/>
        </w:rPr>
      </w:pPr>
      <w:r>
        <w:rPr>
          <w:rFonts w:hint="eastAsia" w:ascii="宋体" w:hAnsi="宋体" w:eastAsia="宋体" w:cs="宋体"/>
          <w:i/>
          <w:sz w:val="24"/>
          <w:szCs w:val="24"/>
        </w:rPr>
        <w:t>A</w:t>
      </w:r>
      <w:r>
        <w:rPr>
          <w:rFonts w:hint="eastAsia" w:ascii="宋体" w:hAnsi="宋体" w:eastAsia="宋体" w:cs="宋体"/>
          <w:i/>
          <w:sz w:val="24"/>
          <w:szCs w:val="24"/>
          <w:vertAlign w:val="subscript"/>
        </w:rPr>
        <w:t>VH</w:t>
      </w:r>
      <w:r>
        <w:rPr>
          <w:rFonts w:hint="eastAsia" w:ascii="宋体" w:hAnsi="宋体" w:eastAsia="宋体" w:cs="宋体"/>
          <w:sz w:val="24"/>
          <w:szCs w:val="24"/>
        </w:rPr>
        <w:t>——竖向构件的水平投影面积；</w:t>
      </w:r>
    </w:p>
    <w:p w14:paraId="7A22F847">
      <w:pPr>
        <w:spacing w:beforeLines="0" w:afterLines="0" w:line="360" w:lineRule="auto"/>
        <w:ind w:firstLine="720" w:firstLineChars="300"/>
        <w:rPr>
          <w:rFonts w:hint="eastAsia" w:ascii="宋体" w:hAnsi="宋体" w:eastAsia="宋体" w:cs="宋体"/>
          <w:sz w:val="24"/>
          <w:szCs w:val="24"/>
        </w:rPr>
      </w:pPr>
      <w:r>
        <w:rPr>
          <w:rFonts w:hint="eastAsia" w:ascii="宋体" w:hAnsi="宋体" w:eastAsia="宋体" w:cs="宋体"/>
          <w:i/>
          <w:sz w:val="24"/>
          <w:szCs w:val="24"/>
        </w:rPr>
        <w:t>A</w:t>
      </w:r>
      <w:r>
        <w:rPr>
          <w:rFonts w:hint="eastAsia" w:ascii="宋体" w:hAnsi="宋体" w:eastAsia="宋体" w:cs="宋体"/>
          <w:i/>
          <w:sz w:val="24"/>
          <w:szCs w:val="24"/>
          <w:vertAlign w:val="subscript"/>
        </w:rPr>
        <w:t>VZ</w:t>
      </w:r>
      <w:r>
        <w:rPr>
          <w:rFonts w:hint="eastAsia" w:ascii="宋体" w:hAnsi="宋体" w:eastAsia="宋体" w:cs="宋体"/>
          <w:sz w:val="24"/>
          <w:szCs w:val="24"/>
        </w:rPr>
        <w:t>——竖向构件的竖向投影面积。</w:t>
      </w:r>
    </w:p>
    <w:p w14:paraId="2EDED8BC">
      <w:pPr>
        <w:spacing w:beforeLines="0" w:afterLines="0" w:line="360" w:lineRule="auto"/>
        <w:rPr>
          <w:rFonts w:hint="eastAsia" w:ascii="宋体" w:hAnsi="宋体" w:eastAsia="宋体" w:cs="宋体"/>
          <w:sz w:val="24"/>
          <w:szCs w:val="24"/>
        </w:rPr>
      </w:pPr>
      <w:r>
        <w:rPr>
          <w:rFonts w:hint="eastAsia" w:ascii="宋体" w:hAnsi="宋体" w:eastAsia="宋体" w:cs="宋体"/>
          <w:b/>
          <w:bCs/>
          <w:sz w:val="24"/>
          <w:szCs w:val="24"/>
        </w:rPr>
        <w:t>6.2.2</w:t>
      </w:r>
      <w:r>
        <w:rPr>
          <w:rFonts w:hint="eastAsia" w:ascii="宋体" w:hAnsi="宋体" w:eastAsia="宋体" w:cs="宋体"/>
          <w:sz w:val="24"/>
          <w:szCs w:val="24"/>
        </w:rPr>
        <w:t>工效比的指标取范围见表6.</w:t>
      </w:r>
      <w:r>
        <w:rPr>
          <w:rFonts w:hint="eastAsia" w:ascii="宋体" w:hAnsi="宋体" w:eastAsia="宋体" w:cs="宋体"/>
          <w:sz w:val="24"/>
          <w:szCs w:val="24"/>
          <w:lang w:val="en-US" w:eastAsia="zh-CN"/>
        </w:rPr>
        <w:t>2</w:t>
      </w:r>
      <w:r>
        <w:rPr>
          <w:rFonts w:hint="eastAsia" w:ascii="宋体" w:hAnsi="宋体" w:eastAsia="宋体" w:cs="宋体"/>
          <w:sz w:val="24"/>
          <w:szCs w:val="24"/>
        </w:rPr>
        <w:t>.2，并对其进行评级。评级位于一般等级时，应调整近地空间的形态布局或连接方式，将其修正至良好等级；评级位于良好等级时，鼓励进一步优化近地空间的态布局或连接方式，将其修正至优秀等级。</w:t>
      </w:r>
    </w:p>
    <w:p w14:paraId="2EE56CAC">
      <w:pPr>
        <w:spacing w:beforeLines="0" w:afterLines="0" w:line="360" w:lineRule="auto"/>
        <w:jc w:val="left"/>
        <w:rPr>
          <w:rFonts w:hint="eastAsia" w:ascii="宋体" w:hAnsi="宋体" w:eastAsia="宋体" w:cs="宋体"/>
          <w:sz w:val="24"/>
          <w:szCs w:val="24"/>
        </w:rPr>
      </w:pPr>
    </w:p>
    <w:p w14:paraId="0A4D3D9C">
      <w:pPr>
        <w:spacing w:beforeLines="0" w:afterLines="0" w:line="360" w:lineRule="auto"/>
        <w:jc w:val="left"/>
        <w:rPr>
          <w:rFonts w:hint="eastAsia" w:ascii="宋体" w:hAnsi="宋体" w:eastAsia="宋体" w:cs="宋体"/>
          <w:sz w:val="24"/>
          <w:szCs w:val="24"/>
        </w:rPr>
      </w:pPr>
    </w:p>
    <w:p w14:paraId="20EADB49">
      <w:pPr>
        <w:spacing w:beforeLines="0" w:afterLines="0" w:line="360" w:lineRule="auto"/>
        <w:jc w:val="center"/>
        <w:rPr>
          <w:rFonts w:hint="eastAsia" w:ascii="宋体" w:hAnsi="宋体" w:eastAsia="宋体" w:cs="宋体"/>
          <w:sz w:val="24"/>
          <w:szCs w:val="24"/>
        </w:rPr>
      </w:pPr>
    </w:p>
    <w:p w14:paraId="18500CB7">
      <w:pPr>
        <w:pStyle w:val="44"/>
        <w:numPr>
          <w:ilvl w:val="0"/>
          <w:numId w:val="0"/>
        </w:numPr>
        <w:overflowPunct w:val="0"/>
        <w:spacing w:beforeLines="0" w:afterLines="0" w:line="360" w:lineRule="auto"/>
        <w:ind w:left="0"/>
        <w:jc w:val="center"/>
        <w:rPr>
          <w:rFonts w:hint="eastAsia" w:ascii="宋体" w:hAnsi="宋体" w:eastAsia="宋体" w:cs="宋体"/>
          <w:sz w:val="24"/>
          <w:szCs w:val="24"/>
        </w:rPr>
      </w:pPr>
      <w:r>
        <w:rPr>
          <w:rFonts w:hint="eastAsia" w:eastAsia="宋体"/>
          <w:b/>
          <w:kern w:val="0"/>
          <w:sz w:val="21"/>
          <w:szCs w:val="21"/>
          <w:lang w:bidi="zh-CN"/>
        </w:rPr>
        <w:t>表6.2.2 近地空间基面连接工效比评级对照表</w:t>
      </w:r>
    </w:p>
    <w:tbl>
      <w:tblPr>
        <w:tblStyle w:val="24"/>
        <w:tblW w:w="833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928"/>
        <w:gridCol w:w="3402"/>
      </w:tblGrid>
      <w:tr w14:paraId="37D81264">
        <w:tc>
          <w:tcPr>
            <w:tcW w:w="4928" w:type="dxa"/>
            <w:tcBorders>
              <w:top w:val="single" w:color="auto" w:sz="12" w:space="0"/>
              <w:left w:val="single" w:color="auto" w:sz="12" w:space="0"/>
              <w:bottom w:val="single" w:color="auto" w:sz="4" w:space="0"/>
              <w:right w:val="single" w:color="auto" w:sz="4" w:space="0"/>
              <w:tl2br w:val="nil"/>
              <w:tr2bl w:val="nil"/>
            </w:tcBorders>
            <w:noWrap w:val="0"/>
            <w:vAlign w:val="center"/>
          </w:tcPr>
          <w:p w14:paraId="580B7C41">
            <w:pPr>
              <w:spacing w:beforeLines="0" w:afterLines="0"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近地空间基面连接工效比范围</w:t>
            </w:r>
          </w:p>
        </w:tc>
        <w:tc>
          <w:tcPr>
            <w:tcW w:w="3402" w:type="dxa"/>
            <w:tcBorders>
              <w:top w:val="single" w:color="auto" w:sz="12" w:space="0"/>
              <w:left w:val="single" w:color="auto" w:sz="4" w:space="0"/>
              <w:bottom w:val="single" w:color="auto" w:sz="4" w:space="0"/>
              <w:right w:val="single" w:color="auto" w:sz="12" w:space="0"/>
              <w:tl2br w:val="nil"/>
              <w:tr2bl w:val="nil"/>
            </w:tcBorders>
            <w:noWrap w:val="0"/>
            <w:vAlign w:val="center"/>
          </w:tcPr>
          <w:p w14:paraId="224C218F">
            <w:pPr>
              <w:spacing w:beforeLines="0" w:afterLines="0"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对应评级</w:t>
            </w:r>
          </w:p>
        </w:tc>
      </w:tr>
      <w:tr w14:paraId="28F46BD0">
        <w:tc>
          <w:tcPr>
            <w:tcW w:w="4928" w:type="dxa"/>
            <w:tcBorders>
              <w:top w:val="single" w:color="auto" w:sz="4" w:space="0"/>
              <w:left w:val="single" w:color="auto" w:sz="12" w:space="0"/>
              <w:bottom w:val="single" w:color="auto" w:sz="4" w:space="0"/>
              <w:right w:val="single" w:color="auto" w:sz="4" w:space="0"/>
              <w:tl2br w:val="nil"/>
              <w:tr2bl w:val="nil"/>
            </w:tcBorders>
            <w:noWrap w:val="0"/>
            <w:vAlign w:val="center"/>
          </w:tcPr>
          <w:p w14:paraId="1DD62E0B">
            <w:pPr>
              <w:spacing w:beforeLines="0" w:afterLines="0"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≥3且≤5</w:t>
            </w:r>
          </w:p>
        </w:tc>
        <w:tc>
          <w:tcPr>
            <w:tcW w:w="3402" w:type="dxa"/>
            <w:tcBorders>
              <w:top w:val="single" w:color="auto" w:sz="4" w:space="0"/>
              <w:left w:val="single" w:color="auto" w:sz="4" w:space="0"/>
              <w:bottom w:val="single" w:color="auto" w:sz="4" w:space="0"/>
              <w:right w:val="single" w:color="auto" w:sz="12" w:space="0"/>
              <w:tl2br w:val="nil"/>
              <w:tr2bl w:val="nil"/>
            </w:tcBorders>
            <w:noWrap w:val="0"/>
            <w:vAlign w:val="center"/>
          </w:tcPr>
          <w:p w14:paraId="76C82949">
            <w:pPr>
              <w:spacing w:beforeLines="0" w:afterLines="0"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优秀</w:t>
            </w:r>
          </w:p>
        </w:tc>
      </w:tr>
      <w:tr w14:paraId="77ECDB93">
        <w:tc>
          <w:tcPr>
            <w:tcW w:w="4928" w:type="dxa"/>
            <w:tcBorders>
              <w:top w:val="single" w:color="auto" w:sz="4" w:space="0"/>
              <w:left w:val="single" w:color="auto" w:sz="12" w:space="0"/>
              <w:bottom w:val="single" w:color="auto" w:sz="4" w:space="0"/>
              <w:right w:val="single" w:color="auto" w:sz="4" w:space="0"/>
              <w:tl2br w:val="nil"/>
              <w:tr2bl w:val="nil"/>
            </w:tcBorders>
            <w:noWrap w:val="0"/>
            <w:vAlign w:val="center"/>
          </w:tcPr>
          <w:p w14:paraId="61D92A46">
            <w:pPr>
              <w:spacing w:beforeLines="0" w:afterLines="0"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≥1且＜3，或＞5且≤7</w:t>
            </w:r>
          </w:p>
        </w:tc>
        <w:tc>
          <w:tcPr>
            <w:tcW w:w="3402" w:type="dxa"/>
            <w:tcBorders>
              <w:top w:val="single" w:color="auto" w:sz="4" w:space="0"/>
              <w:left w:val="single" w:color="auto" w:sz="4" w:space="0"/>
              <w:bottom w:val="single" w:color="auto" w:sz="4" w:space="0"/>
              <w:right w:val="single" w:color="auto" w:sz="12" w:space="0"/>
              <w:tl2br w:val="nil"/>
              <w:tr2bl w:val="nil"/>
            </w:tcBorders>
            <w:noWrap w:val="0"/>
            <w:vAlign w:val="center"/>
          </w:tcPr>
          <w:p w14:paraId="3AF7BBB1">
            <w:pPr>
              <w:spacing w:beforeLines="0" w:afterLines="0"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良好</w:t>
            </w:r>
          </w:p>
        </w:tc>
      </w:tr>
      <w:tr w14:paraId="44F42028">
        <w:tc>
          <w:tcPr>
            <w:tcW w:w="4928" w:type="dxa"/>
            <w:tcBorders>
              <w:top w:val="single" w:color="auto" w:sz="4" w:space="0"/>
              <w:left w:val="single" w:color="auto" w:sz="12" w:space="0"/>
              <w:bottom w:val="single" w:color="auto" w:sz="12" w:space="0"/>
              <w:right w:val="single" w:color="auto" w:sz="4" w:space="0"/>
              <w:tl2br w:val="nil"/>
              <w:tr2bl w:val="nil"/>
            </w:tcBorders>
            <w:noWrap w:val="0"/>
            <w:vAlign w:val="center"/>
          </w:tcPr>
          <w:p w14:paraId="43FE32B9">
            <w:pPr>
              <w:spacing w:beforeLines="0" w:afterLines="0"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＜1，或＞7</w:t>
            </w:r>
          </w:p>
        </w:tc>
        <w:tc>
          <w:tcPr>
            <w:tcW w:w="3402" w:type="dxa"/>
            <w:tcBorders>
              <w:top w:val="single" w:color="auto" w:sz="4" w:space="0"/>
              <w:left w:val="single" w:color="auto" w:sz="4" w:space="0"/>
              <w:bottom w:val="single" w:color="auto" w:sz="12" w:space="0"/>
              <w:right w:val="single" w:color="auto" w:sz="12" w:space="0"/>
              <w:tl2br w:val="nil"/>
              <w:tr2bl w:val="nil"/>
            </w:tcBorders>
            <w:noWrap w:val="0"/>
            <w:vAlign w:val="center"/>
          </w:tcPr>
          <w:p w14:paraId="01C78DB2">
            <w:pPr>
              <w:spacing w:beforeLines="0" w:afterLines="0"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一般</w:t>
            </w:r>
          </w:p>
        </w:tc>
      </w:tr>
    </w:tbl>
    <w:p w14:paraId="54883A25">
      <w:pPr>
        <w:spacing w:beforeLines="0" w:afterLines="0" w:line="360" w:lineRule="auto"/>
        <w:jc w:val="left"/>
        <w:rPr>
          <w:rFonts w:hint="eastAsia" w:ascii="宋体" w:hAnsi="宋体" w:eastAsia="宋体" w:cs="宋体"/>
          <w:sz w:val="24"/>
          <w:szCs w:val="24"/>
        </w:rPr>
      </w:pPr>
    </w:p>
    <w:p w14:paraId="298C82F3">
      <w:pPr>
        <w:spacing w:beforeLines="0" w:afterLines="0" w:line="360" w:lineRule="auto"/>
        <w:jc w:val="center"/>
        <w:outlineLvl w:val="1"/>
        <w:rPr>
          <w:rFonts w:hint="eastAsia" w:ascii="宋体" w:hAnsi="宋体" w:eastAsia="宋体" w:cs="宋体"/>
          <w:b/>
          <w:sz w:val="28"/>
          <w:szCs w:val="28"/>
        </w:rPr>
      </w:pPr>
      <w:r>
        <w:rPr>
          <w:rFonts w:hint="eastAsia" w:ascii="宋体" w:hAnsi="宋体" w:eastAsia="宋体" w:cs="宋体"/>
          <w:b/>
          <w:sz w:val="28"/>
          <w:szCs w:val="28"/>
        </w:rPr>
        <w:t>6.3 低空物流起降空间</w:t>
      </w:r>
    </w:p>
    <w:p w14:paraId="0656245E">
      <w:pPr>
        <w:spacing w:beforeLines="0" w:afterLines="0" w:line="360" w:lineRule="auto"/>
        <w:rPr>
          <w:rFonts w:hint="eastAsia" w:ascii="宋体" w:hAnsi="宋体" w:eastAsia="宋体" w:cs="宋体"/>
          <w:sz w:val="24"/>
          <w:szCs w:val="24"/>
        </w:rPr>
      </w:pPr>
      <w:r>
        <w:rPr>
          <w:rFonts w:hint="eastAsia" w:ascii="宋体" w:hAnsi="宋体" w:eastAsia="宋体" w:cs="宋体"/>
          <w:b/>
          <w:bCs/>
          <w:sz w:val="24"/>
          <w:szCs w:val="24"/>
        </w:rPr>
        <w:t>6.3.1</w:t>
      </w:r>
      <w:r>
        <w:rPr>
          <w:rFonts w:hint="eastAsia" w:ascii="宋体" w:hAnsi="宋体" w:eastAsia="宋体" w:cs="宋体"/>
          <w:sz w:val="24"/>
          <w:szCs w:val="24"/>
        </w:rPr>
        <w:t>宜在片区层面统筹近地空间基面设置低空即时配送的低空物流起降空间，形成“空中到达—交接处理—地面集散”的连续作业链路，并与地面慢行、车行集散体系衔接。</w:t>
      </w:r>
    </w:p>
    <w:p w14:paraId="228B75E0">
      <w:pPr>
        <w:spacing w:beforeLines="0" w:afterLines="0" w:line="360" w:lineRule="auto"/>
        <w:rPr>
          <w:rFonts w:hint="eastAsia" w:ascii="宋体" w:hAnsi="宋体" w:eastAsia="宋体" w:cs="宋体"/>
          <w:sz w:val="24"/>
          <w:szCs w:val="24"/>
        </w:rPr>
      </w:pPr>
      <w:r>
        <w:rPr>
          <w:rFonts w:hint="eastAsia" w:ascii="宋体" w:hAnsi="宋体" w:eastAsia="宋体" w:cs="宋体"/>
          <w:b/>
          <w:bCs/>
          <w:sz w:val="24"/>
          <w:szCs w:val="24"/>
        </w:rPr>
        <w:t>6.3.2</w:t>
      </w:r>
      <w:r>
        <w:rPr>
          <w:rFonts w:hint="eastAsia" w:ascii="宋体" w:hAnsi="宋体" w:eastAsia="宋体" w:cs="宋体"/>
          <w:sz w:val="24"/>
          <w:szCs w:val="24"/>
        </w:rPr>
        <w:t xml:space="preserve"> 应优先选择屋顶花园/露台、空中连廊、空中活动平台等权属清晰、结构适宜、运维便利的载体作为低空物流起降空间。</w:t>
      </w:r>
    </w:p>
    <w:p w14:paraId="36DD2AEA">
      <w:pPr>
        <w:spacing w:beforeLines="0" w:afterLines="0" w:line="360" w:lineRule="auto"/>
        <w:rPr>
          <w:rFonts w:hint="eastAsia" w:ascii="宋体" w:hAnsi="宋体" w:eastAsia="宋体" w:cs="宋体"/>
          <w:sz w:val="24"/>
          <w:szCs w:val="24"/>
        </w:rPr>
      </w:pPr>
      <w:r>
        <w:rPr>
          <w:rFonts w:hint="eastAsia" w:ascii="宋体" w:hAnsi="宋体" w:eastAsia="宋体" w:cs="宋体"/>
          <w:b/>
          <w:bCs/>
          <w:sz w:val="24"/>
          <w:szCs w:val="24"/>
        </w:rPr>
        <w:t xml:space="preserve">6.3.3 </w:t>
      </w:r>
      <w:r>
        <w:rPr>
          <w:rFonts w:hint="eastAsia" w:ascii="宋体" w:hAnsi="宋体" w:eastAsia="宋体" w:cs="宋体"/>
          <w:sz w:val="24"/>
          <w:szCs w:val="24"/>
        </w:rPr>
        <w:t>低空物流起降空间的交接界面应明确“作业区—公众活动区”的分区关系，必要时设置缓冲区、围护隔离与导向标识，保障公共通行连续性。</w:t>
      </w:r>
    </w:p>
    <w:p w14:paraId="19315C37">
      <w:pPr>
        <w:spacing w:beforeLines="0" w:afterLines="0" w:line="360" w:lineRule="auto"/>
        <w:rPr>
          <w:rFonts w:hint="eastAsia" w:ascii="宋体" w:hAnsi="宋体" w:eastAsia="宋体" w:cs="宋体"/>
          <w:sz w:val="24"/>
          <w:szCs w:val="24"/>
        </w:rPr>
      </w:pPr>
      <w:r>
        <w:rPr>
          <w:rFonts w:hint="eastAsia" w:ascii="宋体" w:hAnsi="宋体" w:eastAsia="宋体" w:cs="宋体"/>
          <w:b/>
          <w:bCs/>
          <w:sz w:val="24"/>
          <w:szCs w:val="24"/>
        </w:rPr>
        <w:t xml:space="preserve">6.3.4 </w:t>
      </w:r>
      <w:r>
        <w:rPr>
          <w:rFonts w:hint="eastAsia" w:ascii="宋体" w:hAnsi="宋体" w:eastAsia="宋体" w:cs="宋体"/>
          <w:sz w:val="24"/>
          <w:szCs w:val="24"/>
        </w:rPr>
        <w:t>低空物流起降空间应满足竖向净空与通视的基本要求，避免在高遮挡环境中设置；必要时可对楼宇界面、广告牌等遮挡要素开展专项评估。</w:t>
      </w:r>
    </w:p>
    <w:p w14:paraId="069DC05D">
      <w:pPr>
        <w:spacing w:beforeLines="0" w:afterLines="0" w:line="360" w:lineRule="auto"/>
        <w:rPr>
          <w:rFonts w:hint="eastAsia" w:ascii="宋体" w:hAnsi="宋体" w:eastAsia="宋体" w:cs="宋体"/>
          <w:sz w:val="24"/>
          <w:szCs w:val="24"/>
        </w:rPr>
      </w:pPr>
      <w:r>
        <w:rPr>
          <w:rFonts w:hint="eastAsia" w:ascii="宋体" w:hAnsi="宋体" w:eastAsia="宋体" w:cs="宋体"/>
          <w:b/>
          <w:bCs/>
          <w:sz w:val="24"/>
          <w:szCs w:val="24"/>
        </w:rPr>
        <w:t xml:space="preserve">6.3.5 </w:t>
      </w:r>
      <w:r>
        <w:rPr>
          <w:rFonts w:hint="eastAsia" w:ascii="宋体" w:hAnsi="宋体" w:eastAsia="宋体" w:cs="宋体"/>
          <w:sz w:val="24"/>
          <w:szCs w:val="24"/>
        </w:rPr>
        <w:t>低空物流起降空间应综合考虑禁飞/限飞、机场净空、敏感设施避让、生态保护等底线约束，并与片区公共安全组织要求协同。</w:t>
      </w:r>
    </w:p>
    <w:p w14:paraId="63DD6723">
      <w:pPr>
        <w:spacing w:beforeLines="0" w:afterLines="0" w:line="360" w:lineRule="auto"/>
        <w:rPr>
          <w:rFonts w:hint="eastAsia" w:ascii="宋体" w:hAnsi="宋体" w:eastAsia="宋体" w:cs="宋体"/>
          <w:sz w:val="24"/>
          <w:szCs w:val="24"/>
        </w:rPr>
      </w:pPr>
      <w:r>
        <w:rPr>
          <w:rFonts w:hint="eastAsia" w:ascii="宋体" w:hAnsi="宋体" w:eastAsia="宋体" w:cs="宋体"/>
          <w:b/>
          <w:bCs/>
          <w:sz w:val="24"/>
          <w:szCs w:val="24"/>
        </w:rPr>
        <w:t xml:space="preserve">6.3.6 </w:t>
      </w:r>
      <w:r>
        <w:rPr>
          <w:rFonts w:hint="eastAsia" w:ascii="宋体" w:hAnsi="宋体" w:eastAsia="宋体" w:cs="宋体"/>
          <w:sz w:val="24"/>
          <w:szCs w:val="24"/>
        </w:rPr>
        <w:t>应避免在噪声敏感区（居住、医院、学校等）周边密集布设低空物流起降空间；必要时宜通过空间隔离或分时段运行降低扰动。</w:t>
      </w:r>
    </w:p>
    <w:p w14:paraId="6B17AD21">
      <w:pPr>
        <w:spacing w:beforeLines="0" w:afterLines="0" w:line="360" w:lineRule="auto"/>
        <w:rPr>
          <w:rFonts w:hint="eastAsia" w:ascii="宋体" w:hAnsi="宋体" w:eastAsia="宋体" w:cs="宋体"/>
          <w:sz w:val="24"/>
          <w:szCs w:val="24"/>
        </w:rPr>
      </w:pPr>
      <w:r>
        <w:rPr>
          <w:rFonts w:hint="eastAsia" w:ascii="宋体" w:hAnsi="宋体" w:eastAsia="宋体" w:cs="宋体"/>
          <w:b/>
          <w:bCs/>
          <w:sz w:val="24"/>
          <w:szCs w:val="24"/>
        </w:rPr>
        <w:t xml:space="preserve">6.3.7 </w:t>
      </w:r>
      <w:r>
        <w:rPr>
          <w:rFonts w:hint="eastAsia" w:ascii="宋体" w:hAnsi="宋体" w:eastAsia="宋体" w:cs="宋体"/>
          <w:sz w:val="24"/>
          <w:szCs w:val="24"/>
        </w:rPr>
        <w:t>低空物流起降空间宜同步校核风场、光环境、电磁干扰等物理环境条件；对电磁、振动等干扰风险较高的载体，应采取适配性措施。</w:t>
      </w:r>
    </w:p>
    <w:p w14:paraId="44E2F1AA">
      <w:pPr>
        <w:spacing w:beforeLines="0" w:afterLines="0" w:line="360" w:lineRule="auto"/>
        <w:rPr>
          <w:rFonts w:hint="eastAsia" w:ascii="宋体" w:hAnsi="宋体" w:eastAsia="宋体" w:cs="宋体"/>
          <w:sz w:val="24"/>
          <w:szCs w:val="24"/>
        </w:rPr>
      </w:pPr>
    </w:p>
    <w:p w14:paraId="6CC1D398">
      <w:pPr>
        <w:spacing w:beforeLines="0" w:afterLines="0" w:line="360" w:lineRule="auto"/>
        <w:rPr>
          <w:rFonts w:hint="eastAsia" w:ascii="宋体" w:hAnsi="宋体" w:eastAsia="宋体" w:cs="宋体"/>
          <w:sz w:val="24"/>
          <w:szCs w:val="24"/>
        </w:rPr>
      </w:pPr>
    </w:p>
    <w:p w14:paraId="7F617530">
      <w:pPr>
        <w:spacing w:beforeLines="0" w:afterLines="0" w:line="360" w:lineRule="auto"/>
        <w:rPr>
          <w:rFonts w:hint="eastAsia" w:ascii="宋体" w:hAnsi="宋体" w:eastAsia="宋体" w:cs="宋体"/>
          <w:sz w:val="24"/>
          <w:szCs w:val="24"/>
        </w:rPr>
      </w:pPr>
    </w:p>
    <w:p w14:paraId="550CE409">
      <w:pPr>
        <w:spacing w:beforeLines="0" w:afterLines="0" w:line="360" w:lineRule="auto"/>
        <w:rPr>
          <w:rFonts w:hint="eastAsia" w:ascii="宋体" w:hAnsi="宋体" w:eastAsia="宋体" w:cs="宋体"/>
          <w:sz w:val="24"/>
          <w:szCs w:val="24"/>
        </w:rPr>
      </w:pPr>
    </w:p>
    <w:p w14:paraId="57BA4217">
      <w:pPr>
        <w:spacing w:beforeLines="0" w:afterLines="0" w:line="360" w:lineRule="auto"/>
        <w:rPr>
          <w:rFonts w:hint="eastAsia" w:ascii="宋体" w:hAnsi="宋体" w:eastAsia="宋体" w:cs="宋体"/>
          <w:sz w:val="24"/>
          <w:szCs w:val="24"/>
        </w:rPr>
      </w:pPr>
    </w:p>
    <w:p w14:paraId="3592A0A8">
      <w:pPr>
        <w:spacing w:beforeLines="0" w:afterLines="0" w:line="360" w:lineRule="auto"/>
        <w:rPr>
          <w:rFonts w:hint="eastAsia" w:ascii="宋体" w:hAnsi="宋体" w:eastAsia="宋体" w:cs="宋体"/>
          <w:sz w:val="24"/>
          <w:szCs w:val="24"/>
        </w:rPr>
      </w:pPr>
    </w:p>
    <w:p w14:paraId="08E91C8A">
      <w:pPr>
        <w:spacing w:beforeLines="0" w:afterLines="0" w:line="360" w:lineRule="auto"/>
        <w:rPr>
          <w:rFonts w:hint="eastAsia" w:ascii="宋体" w:hAnsi="宋体" w:eastAsia="宋体" w:cs="宋体"/>
          <w:sz w:val="24"/>
          <w:szCs w:val="24"/>
        </w:rPr>
      </w:pPr>
    </w:p>
    <w:p w14:paraId="2231B7E2">
      <w:pPr>
        <w:spacing w:beforeLines="0" w:afterLines="0"/>
        <w:rPr>
          <w:rFonts w:hint="eastAsia" w:ascii="宋体" w:hAnsi="宋体" w:eastAsia="宋体" w:cs="宋体"/>
          <w:color w:val="000000"/>
          <w:sz w:val="24"/>
          <w:szCs w:val="24"/>
        </w:rPr>
      </w:pPr>
      <w:r>
        <w:rPr>
          <w:rFonts w:hint="eastAsia" w:ascii="宋体" w:hAnsi="宋体" w:eastAsia="宋体" w:cs="宋体"/>
          <w:color w:val="000000"/>
          <w:sz w:val="24"/>
          <w:szCs w:val="24"/>
        </w:rPr>
        <w:br w:type="page"/>
      </w:r>
    </w:p>
    <w:p w14:paraId="76EC2542">
      <w:pPr>
        <w:pStyle w:val="70"/>
        <w:spacing w:beforeLines="0" w:afterLines="0" w:line="360" w:lineRule="auto"/>
        <w:jc w:val="center"/>
        <w:outlineLvl w:val="0"/>
        <w:rPr>
          <w:rFonts w:hint="eastAsia" w:ascii="宋体" w:hAnsi="宋体" w:eastAsia="宋体" w:cs="宋体"/>
          <w:color w:val="000000"/>
          <w:sz w:val="28"/>
          <w:szCs w:val="24"/>
        </w:rPr>
      </w:pPr>
      <w:bookmarkStart w:id="28" w:name="_GoBack"/>
      <w:bookmarkEnd w:id="28"/>
      <w:r>
        <w:rPr>
          <w:rFonts w:hint="eastAsia" w:ascii="宋体" w:hAnsi="宋体" w:eastAsia="宋体" w:cs="宋体"/>
          <w:color w:val="000000"/>
          <w:sz w:val="28"/>
          <w:szCs w:val="24"/>
        </w:rPr>
        <w:t>7 立体景观配置</w:t>
      </w:r>
    </w:p>
    <w:p w14:paraId="379A9C3C">
      <w:pPr>
        <w:spacing w:beforeLines="0" w:afterLines="0" w:line="360" w:lineRule="auto"/>
        <w:rPr>
          <w:rFonts w:hint="eastAsia" w:ascii="宋体" w:hAnsi="宋体" w:eastAsia="宋体" w:cs="宋体"/>
          <w:color w:val="000000"/>
          <w:sz w:val="24"/>
          <w:szCs w:val="24"/>
        </w:rPr>
      </w:pPr>
      <w:r>
        <w:rPr>
          <w:rFonts w:hint="eastAsia" w:ascii="宋体" w:hAnsi="宋体" w:eastAsia="宋体" w:cs="宋体"/>
          <w:b/>
          <w:bCs/>
          <w:color w:val="000000"/>
          <w:sz w:val="24"/>
          <w:szCs w:val="24"/>
        </w:rPr>
        <w:t>7.</w:t>
      </w:r>
      <w:r>
        <w:rPr>
          <w:rFonts w:hint="eastAsia" w:ascii="宋体" w:hAnsi="宋体" w:eastAsia="宋体" w:cs="宋体"/>
          <w:b/>
          <w:bCs/>
          <w:color w:val="000000"/>
          <w:sz w:val="24"/>
          <w:szCs w:val="24"/>
          <w:lang w:val="en-US" w:eastAsia="zh-CN"/>
        </w:rPr>
        <w:t>0</w:t>
      </w:r>
      <w:r>
        <w:rPr>
          <w:rFonts w:hint="eastAsia" w:ascii="宋体" w:hAnsi="宋体" w:eastAsia="宋体" w:cs="宋体"/>
          <w:b/>
          <w:bCs/>
          <w:color w:val="000000"/>
          <w:sz w:val="24"/>
          <w:szCs w:val="24"/>
        </w:rPr>
        <w:t>.1</w:t>
      </w:r>
      <w:r>
        <w:rPr>
          <w:rFonts w:hint="eastAsia" w:ascii="宋体" w:hAnsi="宋体" w:eastAsia="宋体" w:cs="宋体"/>
          <w:color w:val="000000"/>
          <w:sz w:val="24"/>
          <w:szCs w:val="24"/>
        </w:rPr>
        <w:t>立体景观设计应以“立体连续、层次清晰、通透有序”为原则，通过建筑间距与体量退让、视线通廊组织、公共开放空间与景观节点布置等方法，构建多层次景观体系；不宜形成近距离压迫性界面或封闭、单一的视觉空间。</w:t>
      </w:r>
    </w:p>
    <w:p w14:paraId="4804E23F">
      <w:pPr>
        <w:spacing w:beforeLines="0" w:afterLines="0" w:line="360" w:lineRule="auto"/>
        <w:rPr>
          <w:rFonts w:hint="eastAsia" w:ascii="宋体" w:hAnsi="宋体" w:eastAsia="宋体" w:cs="宋体"/>
          <w:color w:val="000000"/>
          <w:sz w:val="24"/>
          <w:szCs w:val="24"/>
        </w:rPr>
      </w:pPr>
      <w:r>
        <w:rPr>
          <w:rFonts w:hint="eastAsia" w:ascii="宋体" w:hAnsi="宋体" w:eastAsia="宋体" w:cs="宋体"/>
          <w:b/>
          <w:bCs/>
          <w:color w:val="000000"/>
          <w:sz w:val="24"/>
          <w:szCs w:val="24"/>
        </w:rPr>
        <w:t>7.</w:t>
      </w:r>
      <w:r>
        <w:rPr>
          <w:rFonts w:hint="eastAsia" w:ascii="宋体" w:hAnsi="宋体" w:eastAsia="宋体" w:cs="宋体"/>
          <w:b/>
          <w:bCs/>
          <w:color w:val="000000"/>
          <w:sz w:val="24"/>
          <w:szCs w:val="24"/>
          <w:lang w:val="en-US" w:eastAsia="zh-CN"/>
        </w:rPr>
        <w:t>0</w:t>
      </w:r>
      <w:r>
        <w:rPr>
          <w:rFonts w:hint="eastAsia" w:ascii="宋体" w:hAnsi="宋体" w:eastAsia="宋体" w:cs="宋体"/>
          <w:b/>
          <w:bCs/>
          <w:color w:val="000000"/>
          <w:sz w:val="24"/>
          <w:szCs w:val="24"/>
        </w:rPr>
        <w:t>.2</w:t>
      </w:r>
      <w:r>
        <w:rPr>
          <w:rFonts w:hint="eastAsia" w:ascii="宋体" w:hAnsi="宋体" w:eastAsia="宋体" w:cs="宋体"/>
          <w:color w:val="000000"/>
          <w:sz w:val="24"/>
          <w:szCs w:val="24"/>
        </w:rPr>
        <w:t>立体景观配置应纳入窗景视角的综合评估，优化绿化、建筑与天空等要素的可视结构与连续性，避免出现近景连续遮挡、建筑界面占比过大或天空可视性不足等不利视觉效应。</w:t>
      </w:r>
    </w:p>
    <w:p w14:paraId="10D50005">
      <w:pPr>
        <w:spacing w:beforeLines="0" w:afterLines="0" w:line="360" w:lineRule="auto"/>
        <w:rPr>
          <w:rFonts w:hint="eastAsia" w:ascii="宋体" w:hAnsi="宋体" w:eastAsia="宋体" w:cs="宋体"/>
          <w:color w:val="000000"/>
          <w:sz w:val="24"/>
          <w:szCs w:val="24"/>
        </w:rPr>
      </w:pPr>
      <w:r>
        <w:rPr>
          <w:rFonts w:hint="eastAsia" w:ascii="宋体" w:hAnsi="宋体" w:eastAsia="宋体" w:cs="宋体"/>
          <w:b/>
          <w:bCs/>
          <w:color w:val="000000"/>
          <w:sz w:val="24"/>
          <w:szCs w:val="24"/>
        </w:rPr>
        <w:t>7.</w:t>
      </w:r>
      <w:r>
        <w:rPr>
          <w:rFonts w:hint="eastAsia" w:ascii="宋体" w:hAnsi="宋体" w:eastAsia="宋体" w:cs="宋体"/>
          <w:b/>
          <w:bCs/>
          <w:color w:val="000000"/>
          <w:sz w:val="24"/>
          <w:szCs w:val="24"/>
          <w:lang w:val="en-US" w:eastAsia="zh-CN"/>
        </w:rPr>
        <w:t>0</w:t>
      </w:r>
      <w:r>
        <w:rPr>
          <w:rFonts w:hint="eastAsia" w:ascii="宋体" w:hAnsi="宋体" w:eastAsia="宋体" w:cs="宋体"/>
          <w:b/>
          <w:bCs/>
          <w:color w:val="000000"/>
          <w:sz w:val="24"/>
          <w:szCs w:val="24"/>
        </w:rPr>
        <w:t>.3</w:t>
      </w:r>
      <w:r>
        <w:rPr>
          <w:rFonts w:hint="eastAsia" w:ascii="宋体" w:hAnsi="宋体" w:eastAsia="宋体" w:cs="宋体"/>
          <w:color w:val="000000"/>
          <w:sz w:val="24"/>
          <w:szCs w:val="24"/>
        </w:rPr>
        <w:t>植被密度与高度应进行精细化控制，形成“疏密有致、透景可达”的界面，避免视觉压迫与视线阻隔。绿化界面宜设置层次过渡，强化前—中—后景的空间识别。</w:t>
      </w:r>
    </w:p>
    <w:p w14:paraId="4F79B665">
      <w:pPr>
        <w:spacing w:beforeLines="0" w:afterLines="0" w:line="360" w:lineRule="auto"/>
        <w:rPr>
          <w:rFonts w:hint="eastAsia" w:ascii="宋体" w:hAnsi="宋体" w:eastAsia="宋体" w:cs="宋体"/>
          <w:color w:val="000000"/>
          <w:sz w:val="24"/>
          <w:szCs w:val="24"/>
        </w:rPr>
      </w:pPr>
      <w:r>
        <w:rPr>
          <w:rFonts w:hint="eastAsia" w:ascii="宋体" w:hAnsi="宋体" w:eastAsia="宋体" w:cs="宋体"/>
          <w:b/>
          <w:bCs/>
          <w:color w:val="000000"/>
          <w:sz w:val="24"/>
          <w:szCs w:val="24"/>
        </w:rPr>
        <w:t>7.</w:t>
      </w:r>
      <w:r>
        <w:rPr>
          <w:rFonts w:hint="eastAsia" w:ascii="宋体" w:hAnsi="宋体" w:eastAsia="宋体" w:cs="宋体"/>
          <w:b/>
          <w:bCs/>
          <w:color w:val="000000"/>
          <w:sz w:val="24"/>
          <w:szCs w:val="24"/>
          <w:lang w:val="en-US" w:eastAsia="zh-CN"/>
        </w:rPr>
        <w:t>0</w:t>
      </w:r>
      <w:r>
        <w:rPr>
          <w:rFonts w:hint="eastAsia" w:ascii="宋体" w:hAnsi="宋体" w:eastAsia="宋体" w:cs="宋体"/>
          <w:b/>
          <w:bCs/>
          <w:color w:val="000000"/>
          <w:sz w:val="24"/>
          <w:szCs w:val="24"/>
        </w:rPr>
        <w:t>.4</w:t>
      </w:r>
      <w:r>
        <w:rPr>
          <w:rFonts w:hint="eastAsia" w:ascii="宋体" w:hAnsi="宋体" w:eastAsia="宋体" w:cs="宋体"/>
          <w:color w:val="000000"/>
          <w:sz w:val="24"/>
          <w:szCs w:val="24"/>
        </w:rPr>
        <w:t>绿化配置宜采用分层、交错的空间组织方式以增强视觉丰富性与景深层次。植物选择与搭配宜体现形态差异、色彩层次与季相变化，以提升景观的美学品质与活力感。</w:t>
      </w:r>
    </w:p>
    <w:p w14:paraId="58F05E31">
      <w:pPr>
        <w:spacing w:beforeLines="0" w:afterLines="0" w:line="360" w:lineRule="auto"/>
        <w:rPr>
          <w:rFonts w:hint="eastAsia" w:ascii="宋体" w:hAnsi="宋体" w:eastAsia="宋体" w:cs="宋体"/>
          <w:color w:val="000000"/>
          <w:sz w:val="24"/>
          <w:szCs w:val="24"/>
        </w:rPr>
      </w:pPr>
    </w:p>
    <w:p w14:paraId="3E9AF43B">
      <w:pPr>
        <w:spacing w:beforeLines="0" w:afterLines="0" w:line="360" w:lineRule="auto"/>
        <w:rPr>
          <w:rFonts w:hint="eastAsia" w:ascii="宋体" w:hAnsi="宋体" w:eastAsia="宋体" w:cs="宋体"/>
          <w:color w:val="000000"/>
          <w:sz w:val="24"/>
          <w:szCs w:val="24"/>
        </w:rPr>
      </w:pPr>
    </w:p>
    <w:p w14:paraId="5E21BBED">
      <w:pPr>
        <w:spacing w:beforeLines="0" w:afterLines="0" w:line="360" w:lineRule="auto"/>
        <w:rPr>
          <w:rFonts w:hint="eastAsia" w:ascii="宋体" w:hAnsi="宋体" w:eastAsia="宋体" w:cs="宋体"/>
          <w:color w:val="000000"/>
          <w:sz w:val="24"/>
          <w:szCs w:val="24"/>
        </w:rPr>
      </w:pPr>
    </w:p>
    <w:p w14:paraId="318D0547">
      <w:pPr>
        <w:spacing w:beforeLines="0" w:afterLines="0" w:line="360" w:lineRule="auto"/>
        <w:rPr>
          <w:rFonts w:hint="eastAsia" w:ascii="宋体" w:hAnsi="宋体" w:eastAsia="宋体" w:cs="宋体"/>
          <w:color w:val="000000"/>
          <w:sz w:val="24"/>
          <w:szCs w:val="24"/>
        </w:rPr>
      </w:pPr>
    </w:p>
    <w:p w14:paraId="534C1539">
      <w:pPr>
        <w:spacing w:beforeLines="0" w:afterLines="0" w:line="360" w:lineRule="auto"/>
        <w:rPr>
          <w:rFonts w:hint="eastAsia" w:ascii="宋体" w:hAnsi="宋体" w:eastAsia="宋体" w:cs="宋体"/>
          <w:color w:val="000000"/>
          <w:sz w:val="24"/>
          <w:szCs w:val="24"/>
        </w:rPr>
      </w:pPr>
    </w:p>
    <w:p w14:paraId="2711B68C">
      <w:pPr>
        <w:spacing w:beforeLines="0" w:afterLines="0" w:line="360" w:lineRule="auto"/>
        <w:rPr>
          <w:rFonts w:hint="eastAsia" w:ascii="宋体" w:hAnsi="宋体" w:eastAsia="宋体" w:cs="宋体"/>
          <w:color w:val="000000"/>
          <w:sz w:val="24"/>
          <w:szCs w:val="24"/>
        </w:rPr>
      </w:pPr>
    </w:p>
    <w:p w14:paraId="499D6CAD">
      <w:pPr>
        <w:spacing w:beforeLines="0" w:afterLines="0" w:line="360" w:lineRule="auto"/>
        <w:rPr>
          <w:rFonts w:hint="eastAsia" w:ascii="宋体" w:hAnsi="宋体" w:eastAsia="宋体" w:cs="宋体"/>
          <w:color w:val="000000"/>
          <w:sz w:val="24"/>
          <w:szCs w:val="24"/>
        </w:rPr>
      </w:pPr>
    </w:p>
    <w:p w14:paraId="37531E40">
      <w:pPr>
        <w:spacing w:beforeLines="0" w:afterLines="0" w:line="360" w:lineRule="auto"/>
        <w:rPr>
          <w:rFonts w:hint="eastAsia" w:ascii="宋体" w:hAnsi="宋体" w:eastAsia="宋体" w:cs="宋体"/>
          <w:sz w:val="24"/>
          <w:szCs w:val="24"/>
        </w:rPr>
      </w:pPr>
    </w:p>
    <w:p w14:paraId="10223ADE">
      <w:pPr>
        <w:spacing w:beforeLines="0" w:afterLines="0" w:line="360" w:lineRule="auto"/>
        <w:rPr>
          <w:rFonts w:hint="eastAsia" w:ascii="宋体" w:hAnsi="宋体" w:eastAsia="宋体" w:cs="宋体"/>
          <w:sz w:val="24"/>
          <w:szCs w:val="24"/>
        </w:rPr>
      </w:pPr>
    </w:p>
    <w:p w14:paraId="45949E19">
      <w:pPr>
        <w:spacing w:beforeLines="0" w:afterLines="0" w:line="360" w:lineRule="auto"/>
        <w:rPr>
          <w:rFonts w:hint="eastAsia" w:ascii="宋体" w:hAnsi="宋体" w:eastAsia="宋体" w:cs="宋体"/>
          <w:sz w:val="24"/>
          <w:szCs w:val="24"/>
        </w:rPr>
      </w:pPr>
    </w:p>
    <w:p w14:paraId="29B0E0B8">
      <w:pPr>
        <w:spacing w:beforeLines="0" w:afterLines="0" w:line="360" w:lineRule="auto"/>
        <w:rPr>
          <w:rFonts w:hint="eastAsia" w:ascii="宋体" w:hAnsi="宋体" w:eastAsia="宋体" w:cs="宋体"/>
          <w:sz w:val="24"/>
          <w:szCs w:val="24"/>
        </w:rPr>
      </w:pPr>
    </w:p>
    <w:p w14:paraId="408074EB">
      <w:pPr>
        <w:spacing w:beforeLines="0" w:afterLines="0" w:line="360" w:lineRule="auto"/>
        <w:rPr>
          <w:rFonts w:hint="eastAsia" w:ascii="宋体" w:hAnsi="宋体" w:eastAsia="宋体" w:cs="宋体"/>
          <w:sz w:val="24"/>
          <w:szCs w:val="24"/>
        </w:rPr>
      </w:pPr>
    </w:p>
    <w:p w14:paraId="6E28ACB0">
      <w:pPr>
        <w:spacing w:beforeLines="0" w:afterLines="0" w:line="360" w:lineRule="auto"/>
        <w:rPr>
          <w:rFonts w:hint="eastAsia" w:ascii="宋体" w:hAnsi="宋体" w:eastAsia="宋体" w:cs="宋体"/>
          <w:sz w:val="24"/>
          <w:szCs w:val="24"/>
        </w:rPr>
      </w:pPr>
    </w:p>
    <w:p w14:paraId="07A7E34C">
      <w:pPr>
        <w:spacing w:beforeLines="0" w:afterLines="0" w:line="360" w:lineRule="auto"/>
        <w:rPr>
          <w:rFonts w:hint="eastAsia" w:ascii="宋体" w:hAnsi="宋体" w:eastAsia="宋体" w:cs="宋体"/>
          <w:sz w:val="24"/>
          <w:szCs w:val="24"/>
        </w:rPr>
      </w:pPr>
    </w:p>
    <w:p w14:paraId="72182BE7">
      <w:pPr>
        <w:spacing w:beforeLines="0" w:afterLines="0" w:line="360" w:lineRule="auto"/>
        <w:rPr>
          <w:rFonts w:hint="eastAsia" w:ascii="宋体" w:hAnsi="宋体" w:eastAsia="宋体" w:cs="宋体"/>
          <w:sz w:val="24"/>
          <w:szCs w:val="24"/>
        </w:rPr>
      </w:pPr>
    </w:p>
    <w:p w14:paraId="3190638C">
      <w:pPr>
        <w:spacing w:beforeLines="0" w:afterLines="0"/>
        <w:rPr>
          <w:rFonts w:hint="eastAsia" w:ascii="宋体" w:hAnsi="宋体" w:eastAsia="宋体" w:cs="宋体"/>
          <w:color w:val="000000"/>
          <w:sz w:val="24"/>
          <w:szCs w:val="24"/>
        </w:rPr>
      </w:pPr>
      <w:r>
        <w:rPr>
          <w:rFonts w:hint="eastAsia" w:ascii="宋体" w:hAnsi="宋体" w:eastAsia="宋体" w:cs="宋体"/>
          <w:color w:val="000000"/>
          <w:sz w:val="24"/>
          <w:szCs w:val="24"/>
        </w:rPr>
        <w:br w:type="page"/>
      </w:r>
    </w:p>
    <w:p w14:paraId="311B6257">
      <w:pPr>
        <w:pStyle w:val="70"/>
        <w:spacing w:beforeLines="0" w:afterLines="0" w:line="360" w:lineRule="auto"/>
        <w:jc w:val="center"/>
        <w:outlineLvl w:val="0"/>
        <w:rPr>
          <w:rFonts w:hint="eastAsia" w:ascii="宋体" w:hAnsi="宋体" w:eastAsia="宋体" w:cs="宋体"/>
          <w:color w:val="000000"/>
          <w:sz w:val="28"/>
          <w:szCs w:val="24"/>
        </w:rPr>
      </w:pPr>
      <w:r>
        <w:rPr>
          <w:rFonts w:hint="eastAsia" w:ascii="宋体" w:hAnsi="宋体" w:eastAsia="宋体" w:cs="宋体"/>
          <w:color w:val="000000"/>
          <w:sz w:val="28"/>
          <w:szCs w:val="24"/>
        </w:rPr>
        <w:t>用词说明</w:t>
      </w:r>
    </w:p>
    <w:p w14:paraId="0993232C">
      <w:pPr>
        <w:spacing w:beforeLines="0" w:afterLines="0" w:line="360" w:lineRule="auto"/>
        <w:ind w:firstLine="420"/>
        <w:jc w:val="left"/>
        <w:rPr>
          <w:rFonts w:hint="eastAsia" w:ascii="宋体" w:hAnsi="宋体" w:eastAsia="宋体" w:cs="宋体"/>
          <w:sz w:val="24"/>
          <w:szCs w:val="24"/>
        </w:rPr>
      </w:pPr>
      <w:r>
        <w:rPr>
          <w:rFonts w:hint="eastAsia" w:ascii="宋体" w:hAnsi="宋体" w:eastAsia="宋体" w:cs="宋体"/>
          <w:sz w:val="24"/>
          <w:szCs w:val="24"/>
        </w:rPr>
        <w:t>为便于在执行本标准条款时区别对待，对要求严格程度不同的用词说明如下：</w:t>
      </w:r>
    </w:p>
    <w:p w14:paraId="7B0BF17C">
      <w:pPr>
        <w:spacing w:beforeLines="0" w:afterLines="0" w:line="360" w:lineRule="auto"/>
        <w:ind w:firstLine="420"/>
        <w:jc w:val="left"/>
        <w:rPr>
          <w:rFonts w:hint="eastAsia" w:ascii="宋体" w:hAnsi="宋体" w:eastAsia="宋体" w:cs="宋体"/>
          <w:sz w:val="24"/>
          <w:szCs w:val="24"/>
        </w:rPr>
      </w:pPr>
      <w:r>
        <w:rPr>
          <w:rFonts w:hint="eastAsia" w:ascii="宋体" w:hAnsi="宋体" w:eastAsia="宋体" w:cs="宋体"/>
          <w:b/>
          <w:bCs/>
          <w:sz w:val="24"/>
          <w:szCs w:val="24"/>
        </w:rPr>
        <w:t xml:space="preserve">1 </w:t>
      </w:r>
      <w:r>
        <w:rPr>
          <w:rFonts w:hint="eastAsia" w:ascii="宋体" w:hAnsi="宋体" w:eastAsia="宋体" w:cs="宋体"/>
          <w:sz w:val="24"/>
          <w:szCs w:val="24"/>
        </w:rPr>
        <w:t>表示很严格，非这样做不可</w:t>
      </w:r>
    </w:p>
    <w:p w14:paraId="5FA6EFAD">
      <w:pPr>
        <w:spacing w:beforeLines="0" w:afterLines="0" w:line="360" w:lineRule="auto"/>
        <w:ind w:firstLine="420"/>
        <w:jc w:val="left"/>
        <w:rPr>
          <w:rFonts w:hint="eastAsia" w:ascii="宋体" w:hAnsi="宋体" w:eastAsia="宋体" w:cs="宋体"/>
          <w:sz w:val="24"/>
          <w:szCs w:val="24"/>
        </w:rPr>
      </w:pPr>
      <w:r>
        <w:rPr>
          <w:rFonts w:hint="eastAsia" w:ascii="宋体" w:hAnsi="宋体" w:eastAsia="宋体" w:cs="宋体"/>
          <w:sz w:val="24"/>
          <w:szCs w:val="24"/>
        </w:rPr>
        <w:t>正面词采用“必须”，反面词采用“严禁”；</w:t>
      </w:r>
    </w:p>
    <w:p w14:paraId="6BD58974">
      <w:pPr>
        <w:spacing w:beforeLines="0" w:afterLines="0" w:line="360" w:lineRule="auto"/>
        <w:ind w:left="480" w:leftChars="200" w:hanging="60" w:hangingChars="25"/>
        <w:jc w:val="left"/>
        <w:rPr>
          <w:rFonts w:hint="eastAsia" w:ascii="宋体" w:hAnsi="宋体" w:eastAsia="宋体" w:cs="宋体"/>
          <w:sz w:val="24"/>
          <w:szCs w:val="24"/>
        </w:rPr>
      </w:pPr>
      <w:r>
        <w:rPr>
          <w:rFonts w:hint="eastAsia" w:ascii="宋体" w:hAnsi="宋体" w:eastAsia="宋体" w:cs="宋体"/>
          <w:b/>
          <w:bCs/>
          <w:sz w:val="24"/>
          <w:szCs w:val="24"/>
        </w:rPr>
        <w:t xml:space="preserve">2 </w:t>
      </w:r>
      <w:r>
        <w:rPr>
          <w:rFonts w:hint="eastAsia" w:ascii="宋体" w:hAnsi="宋体" w:eastAsia="宋体" w:cs="宋体"/>
          <w:sz w:val="24"/>
          <w:szCs w:val="24"/>
        </w:rPr>
        <w:t>表示严格，在正常情况下均应这样做的：</w:t>
      </w:r>
      <w:r>
        <w:rPr>
          <w:rFonts w:hint="eastAsia" w:ascii="宋体" w:hAnsi="宋体" w:eastAsia="宋体" w:cs="宋体"/>
          <w:sz w:val="24"/>
          <w:szCs w:val="24"/>
        </w:rPr>
        <w:br w:type="textWrapping"/>
      </w:r>
      <w:r>
        <w:rPr>
          <w:rFonts w:hint="eastAsia" w:ascii="宋体" w:hAnsi="宋体" w:eastAsia="宋体" w:cs="宋体"/>
          <w:sz w:val="24"/>
          <w:szCs w:val="24"/>
        </w:rPr>
        <w:t>正面词采用“应”，反面词采用“不应”或“不得”；</w:t>
      </w:r>
    </w:p>
    <w:p w14:paraId="4336BFDC">
      <w:pPr>
        <w:spacing w:beforeLines="0" w:afterLines="0" w:line="360" w:lineRule="auto"/>
        <w:ind w:left="480" w:leftChars="200" w:hanging="60" w:hangingChars="25"/>
        <w:jc w:val="left"/>
        <w:rPr>
          <w:rFonts w:hint="eastAsia" w:ascii="宋体" w:hAnsi="宋体" w:eastAsia="宋体" w:cs="宋体"/>
          <w:sz w:val="24"/>
          <w:szCs w:val="24"/>
        </w:rPr>
      </w:pPr>
      <w:r>
        <w:rPr>
          <w:rFonts w:hint="eastAsia" w:ascii="宋体" w:hAnsi="宋体" w:eastAsia="宋体" w:cs="宋体"/>
          <w:b/>
          <w:bCs/>
          <w:sz w:val="24"/>
          <w:szCs w:val="24"/>
        </w:rPr>
        <w:t xml:space="preserve">3 </w:t>
      </w:r>
      <w:r>
        <w:rPr>
          <w:rFonts w:hint="eastAsia" w:ascii="宋体" w:hAnsi="宋体" w:eastAsia="宋体" w:cs="宋体"/>
          <w:sz w:val="24"/>
          <w:szCs w:val="24"/>
        </w:rPr>
        <w:t>表示允许稍有选择，在条件许可时首先应这样做的：</w:t>
      </w:r>
      <w:r>
        <w:rPr>
          <w:rFonts w:hint="eastAsia" w:ascii="宋体" w:hAnsi="宋体" w:eastAsia="宋体" w:cs="宋体"/>
          <w:sz w:val="24"/>
          <w:szCs w:val="24"/>
        </w:rPr>
        <w:br w:type="textWrapping"/>
      </w:r>
      <w:r>
        <w:rPr>
          <w:rFonts w:hint="eastAsia" w:ascii="宋体" w:hAnsi="宋体" w:eastAsia="宋体" w:cs="宋体"/>
          <w:sz w:val="24"/>
          <w:szCs w:val="24"/>
        </w:rPr>
        <w:t>正面词采用“宜”，反面词采用“不宜”；</w:t>
      </w:r>
    </w:p>
    <w:p w14:paraId="4DC12846">
      <w:pPr>
        <w:spacing w:beforeLines="0" w:afterLines="0" w:line="360" w:lineRule="auto"/>
        <w:ind w:left="480" w:leftChars="200" w:hanging="60" w:hangingChars="25"/>
        <w:jc w:val="left"/>
        <w:rPr>
          <w:rFonts w:hint="eastAsia" w:ascii="宋体" w:hAnsi="宋体" w:eastAsia="宋体" w:cs="宋体"/>
          <w:sz w:val="24"/>
          <w:szCs w:val="24"/>
        </w:rPr>
      </w:pPr>
      <w:r>
        <w:rPr>
          <w:rFonts w:hint="eastAsia" w:ascii="宋体" w:hAnsi="宋体" w:eastAsia="宋体" w:cs="宋体"/>
          <w:b/>
          <w:bCs/>
          <w:sz w:val="24"/>
          <w:szCs w:val="24"/>
        </w:rPr>
        <w:t>4</w:t>
      </w:r>
      <w:r>
        <w:rPr>
          <w:rFonts w:hint="eastAsia" w:ascii="宋体" w:hAnsi="宋体" w:eastAsia="宋体" w:cs="宋体"/>
          <w:sz w:val="24"/>
          <w:szCs w:val="24"/>
        </w:rPr>
        <w:t>表示有选择，在一定条件下可以这样做的，采用“可”。</w:t>
      </w:r>
    </w:p>
    <w:p w14:paraId="494A698C">
      <w:pPr>
        <w:spacing w:beforeLines="0" w:afterLines="0" w:line="360" w:lineRule="auto"/>
        <w:rPr>
          <w:rFonts w:hint="eastAsia" w:ascii="宋体" w:hAnsi="宋体" w:eastAsia="宋体" w:cs="宋体"/>
          <w:sz w:val="24"/>
          <w:szCs w:val="24"/>
        </w:rPr>
      </w:pPr>
    </w:p>
    <w:p w14:paraId="668373E1">
      <w:pPr>
        <w:spacing w:beforeLines="0" w:afterLines="0" w:line="360" w:lineRule="auto"/>
        <w:rPr>
          <w:rFonts w:hint="eastAsia" w:ascii="宋体" w:hAnsi="宋体" w:eastAsia="宋体" w:cs="宋体"/>
          <w:sz w:val="24"/>
          <w:szCs w:val="24"/>
        </w:rPr>
      </w:pPr>
    </w:p>
    <w:p w14:paraId="0BFBF075">
      <w:pPr>
        <w:spacing w:beforeLines="0" w:afterLines="0" w:line="360" w:lineRule="auto"/>
        <w:rPr>
          <w:rFonts w:hint="eastAsia" w:ascii="宋体" w:hAnsi="宋体" w:eastAsia="宋体" w:cs="宋体"/>
          <w:sz w:val="24"/>
          <w:szCs w:val="24"/>
        </w:rPr>
      </w:pPr>
    </w:p>
    <w:p w14:paraId="028E9241">
      <w:pPr>
        <w:spacing w:beforeLines="0" w:afterLines="0" w:line="360" w:lineRule="auto"/>
        <w:rPr>
          <w:rFonts w:hint="eastAsia" w:ascii="宋体" w:hAnsi="宋体" w:eastAsia="宋体" w:cs="宋体"/>
          <w:sz w:val="24"/>
          <w:szCs w:val="24"/>
        </w:rPr>
      </w:pPr>
    </w:p>
    <w:p w14:paraId="787B5E4F">
      <w:pPr>
        <w:spacing w:beforeLines="0" w:afterLines="0" w:line="360" w:lineRule="auto"/>
        <w:rPr>
          <w:rFonts w:hint="eastAsia" w:ascii="宋体" w:hAnsi="宋体" w:eastAsia="宋体" w:cs="宋体"/>
          <w:sz w:val="24"/>
          <w:szCs w:val="24"/>
        </w:rPr>
      </w:pPr>
    </w:p>
    <w:p w14:paraId="5B9F46D4">
      <w:pPr>
        <w:spacing w:beforeLines="0" w:afterLines="0" w:line="360" w:lineRule="auto"/>
        <w:rPr>
          <w:rFonts w:hint="eastAsia" w:ascii="宋体" w:hAnsi="宋体" w:eastAsia="宋体" w:cs="宋体"/>
          <w:sz w:val="24"/>
          <w:szCs w:val="24"/>
        </w:rPr>
      </w:pPr>
    </w:p>
    <w:p w14:paraId="3D4F7E00">
      <w:pPr>
        <w:spacing w:beforeLines="0" w:afterLines="0" w:line="360" w:lineRule="auto"/>
        <w:rPr>
          <w:rFonts w:hint="eastAsia" w:ascii="宋体" w:hAnsi="宋体" w:eastAsia="宋体" w:cs="宋体"/>
          <w:sz w:val="24"/>
          <w:szCs w:val="24"/>
        </w:rPr>
      </w:pPr>
    </w:p>
    <w:p w14:paraId="16DCFA6E">
      <w:pPr>
        <w:spacing w:beforeLines="0" w:afterLines="0" w:line="360" w:lineRule="auto"/>
        <w:rPr>
          <w:rFonts w:hint="eastAsia" w:ascii="宋体" w:hAnsi="宋体" w:eastAsia="宋体" w:cs="宋体"/>
          <w:sz w:val="24"/>
          <w:szCs w:val="24"/>
        </w:rPr>
      </w:pPr>
    </w:p>
    <w:p w14:paraId="6B3E288A">
      <w:pPr>
        <w:spacing w:beforeLines="0" w:afterLines="0" w:line="360" w:lineRule="auto"/>
        <w:rPr>
          <w:rFonts w:hint="eastAsia" w:ascii="宋体" w:hAnsi="宋体" w:eastAsia="宋体" w:cs="宋体"/>
          <w:sz w:val="24"/>
          <w:szCs w:val="24"/>
        </w:rPr>
      </w:pPr>
    </w:p>
    <w:p w14:paraId="01DB6B12">
      <w:pPr>
        <w:spacing w:beforeLines="0" w:afterLines="0" w:line="360" w:lineRule="auto"/>
        <w:rPr>
          <w:rFonts w:hint="eastAsia" w:ascii="宋体" w:hAnsi="宋体" w:eastAsia="宋体" w:cs="宋体"/>
          <w:sz w:val="24"/>
          <w:szCs w:val="24"/>
        </w:rPr>
      </w:pPr>
    </w:p>
    <w:p w14:paraId="31B60E94">
      <w:pPr>
        <w:spacing w:beforeLines="0" w:afterLines="0" w:line="360" w:lineRule="auto"/>
        <w:rPr>
          <w:rFonts w:hint="eastAsia" w:ascii="宋体" w:hAnsi="宋体" w:eastAsia="宋体" w:cs="宋体"/>
          <w:sz w:val="24"/>
          <w:szCs w:val="24"/>
        </w:rPr>
      </w:pPr>
    </w:p>
    <w:p w14:paraId="051F62CA">
      <w:pPr>
        <w:spacing w:beforeLines="0" w:afterLines="0" w:line="360" w:lineRule="auto"/>
        <w:rPr>
          <w:rFonts w:hint="eastAsia" w:ascii="宋体" w:hAnsi="宋体" w:eastAsia="宋体" w:cs="宋体"/>
          <w:sz w:val="24"/>
          <w:szCs w:val="24"/>
        </w:rPr>
      </w:pPr>
    </w:p>
    <w:p w14:paraId="1B7BCC25">
      <w:pPr>
        <w:spacing w:beforeLines="0" w:afterLines="0" w:line="360" w:lineRule="auto"/>
        <w:rPr>
          <w:rFonts w:hint="eastAsia" w:ascii="宋体" w:hAnsi="宋体" w:eastAsia="宋体" w:cs="宋体"/>
          <w:sz w:val="24"/>
          <w:szCs w:val="24"/>
        </w:rPr>
      </w:pPr>
    </w:p>
    <w:p w14:paraId="5A06AB56">
      <w:pPr>
        <w:spacing w:beforeLines="0" w:afterLines="0" w:line="360" w:lineRule="auto"/>
        <w:rPr>
          <w:rFonts w:hint="eastAsia" w:ascii="宋体" w:hAnsi="宋体" w:eastAsia="宋体" w:cs="宋体"/>
          <w:sz w:val="24"/>
          <w:szCs w:val="24"/>
        </w:rPr>
      </w:pPr>
    </w:p>
    <w:p w14:paraId="5F6C61D4">
      <w:pPr>
        <w:spacing w:beforeLines="0" w:afterLines="0" w:line="360" w:lineRule="auto"/>
        <w:rPr>
          <w:rFonts w:hint="eastAsia" w:ascii="宋体" w:hAnsi="宋体" w:eastAsia="宋体" w:cs="宋体"/>
          <w:sz w:val="24"/>
          <w:szCs w:val="24"/>
        </w:rPr>
      </w:pPr>
    </w:p>
    <w:p w14:paraId="2FDF19DB">
      <w:pPr>
        <w:spacing w:beforeLines="0" w:afterLines="0" w:line="360" w:lineRule="auto"/>
        <w:rPr>
          <w:rFonts w:hint="eastAsia" w:ascii="宋体" w:hAnsi="宋体" w:eastAsia="宋体" w:cs="宋体"/>
          <w:sz w:val="24"/>
          <w:szCs w:val="24"/>
        </w:rPr>
      </w:pPr>
    </w:p>
    <w:p w14:paraId="14F61AA9">
      <w:pPr>
        <w:spacing w:beforeLines="0" w:afterLines="0" w:line="360" w:lineRule="auto"/>
        <w:rPr>
          <w:rFonts w:hint="eastAsia" w:ascii="宋体" w:hAnsi="宋体" w:eastAsia="宋体" w:cs="宋体"/>
          <w:sz w:val="24"/>
          <w:szCs w:val="24"/>
        </w:rPr>
      </w:pPr>
    </w:p>
    <w:p w14:paraId="5050321C">
      <w:pPr>
        <w:spacing w:beforeLines="0" w:afterLines="0" w:line="360" w:lineRule="auto"/>
        <w:rPr>
          <w:rFonts w:hint="eastAsia" w:ascii="宋体" w:hAnsi="宋体" w:eastAsia="宋体" w:cs="宋体"/>
          <w:sz w:val="24"/>
          <w:szCs w:val="24"/>
        </w:rPr>
      </w:pPr>
    </w:p>
    <w:p w14:paraId="2EEE8D3E">
      <w:pPr>
        <w:spacing w:beforeLines="0" w:afterLines="0" w:line="360" w:lineRule="auto"/>
        <w:rPr>
          <w:rFonts w:hint="eastAsia" w:ascii="宋体" w:hAnsi="宋体" w:eastAsia="宋体" w:cs="宋体"/>
          <w:sz w:val="24"/>
          <w:szCs w:val="24"/>
        </w:rPr>
      </w:pPr>
    </w:p>
    <w:p w14:paraId="1DDC1C58">
      <w:pPr>
        <w:spacing w:beforeLines="0" w:afterLines="0" w:line="360" w:lineRule="auto"/>
        <w:rPr>
          <w:rFonts w:hint="eastAsia" w:ascii="宋体" w:hAnsi="宋体" w:eastAsia="宋体" w:cs="宋体"/>
          <w:sz w:val="24"/>
          <w:szCs w:val="24"/>
        </w:rPr>
      </w:pPr>
    </w:p>
    <w:p w14:paraId="1CF0F0C3">
      <w:pPr>
        <w:spacing w:beforeLines="0" w:afterLines="0"/>
        <w:rPr>
          <w:rFonts w:hint="eastAsia" w:ascii="宋体" w:hAnsi="宋体" w:eastAsia="宋体" w:cs="宋体"/>
          <w:color w:val="000000"/>
          <w:sz w:val="24"/>
          <w:szCs w:val="24"/>
        </w:rPr>
      </w:pPr>
      <w:r>
        <w:rPr>
          <w:rFonts w:hint="eastAsia" w:ascii="宋体" w:hAnsi="宋体" w:eastAsia="宋体" w:cs="宋体"/>
          <w:color w:val="000000"/>
          <w:sz w:val="24"/>
          <w:szCs w:val="24"/>
        </w:rPr>
        <w:br w:type="page"/>
      </w:r>
    </w:p>
    <w:p w14:paraId="5040795C">
      <w:pPr>
        <w:pStyle w:val="70"/>
        <w:spacing w:beforeLines="0" w:afterLines="0" w:line="360" w:lineRule="auto"/>
        <w:jc w:val="center"/>
        <w:outlineLvl w:val="0"/>
        <w:rPr>
          <w:rFonts w:hint="eastAsia" w:ascii="宋体" w:hAnsi="宋体" w:eastAsia="宋体" w:cs="宋体"/>
          <w:color w:val="000000"/>
          <w:sz w:val="28"/>
          <w:szCs w:val="24"/>
        </w:rPr>
      </w:pPr>
      <w:r>
        <w:rPr>
          <w:rFonts w:hint="eastAsia" w:ascii="宋体" w:hAnsi="宋体" w:eastAsia="宋体" w:cs="宋体"/>
          <w:color w:val="000000"/>
          <w:sz w:val="28"/>
          <w:szCs w:val="24"/>
        </w:rPr>
        <w:t>引用标准目录</w:t>
      </w:r>
    </w:p>
    <w:p w14:paraId="19648E3E">
      <w:pPr>
        <w:spacing w:beforeLines="0" w:afterLines="0" w:line="360" w:lineRule="auto"/>
        <w:ind w:firstLine="420"/>
        <w:rPr>
          <w:rFonts w:hint="eastAsia" w:ascii="宋体" w:hAnsi="宋体" w:eastAsia="宋体" w:cs="宋体"/>
          <w:sz w:val="24"/>
          <w:szCs w:val="24"/>
        </w:rPr>
      </w:pPr>
      <w:r>
        <w:rPr>
          <w:rFonts w:hint="eastAsia" w:ascii="宋体" w:hAnsi="宋体" w:eastAsia="宋体" w:cs="宋体"/>
          <w:sz w:val="24"/>
          <w:szCs w:val="24"/>
        </w:rPr>
        <w:t>本标准引用下列标准。其中，注日期的，仅该日期对应的版本适用本标准；不标注日期的，其最新班适用于本标准。</w:t>
      </w:r>
    </w:p>
    <w:p w14:paraId="0D1F0EF2">
      <w:pPr>
        <w:spacing w:beforeLines="0" w:afterLines="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《建筑防火通用规范》（GB 55037-2022）</w:t>
      </w:r>
    </w:p>
    <w:p w14:paraId="3F5EB8C6">
      <w:pPr>
        <w:spacing w:beforeLines="0" w:afterLines="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《建筑设计防火规范》（GB 50016-2014）</w:t>
      </w:r>
    </w:p>
    <w:p w14:paraId="57BAA9B8">
      <w:pPr>
        <w:spacing w:beforeLines="0" w:afterLines="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《国民经济行业分类的国家标准》GB/T 4754-2017</w:t>
      </w:r>
    </w:p>
    <w:p w14:paraId="488B1825">
      <w:pPr>
        <w:spacing w:beforeLines="0" w:afterLines="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《城市用地分类与规划建设用地标准》GB 50137-2011</w:t>
      </w:r>
    </w:p>
    <w:p w14:paraId="36CD9C8E">
      <w:pPr>
        <w:spacing w:beforeLines="0" w:afterLines="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《深圳市城市规划标准与准则》</w:t>
      </w:r>
    </w:p>
    <w:p w14:paraId="64479FE0">
      <w:pPr>
        <w:spacing w:beforeLines="0" w:afterLines="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《城市步行和自行车交通系统规划标准》（GB 51439-2021）</w:t>
      </w:r>
    </w:p>
    <w:p w14:paraId="3CE7E3C5">
      <w:pPr>
        <w:spacing w:beforeLines="0" w:afterLines="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《建筑与市政工程无障碍通用规范》（GB 55019-2021）</w:t>
      </w:r>
    </w:p>
    <w:p w14:paraId="1319224F">
      <w:pPr>
        <w:spacing w:beforeLines="0" w:afterLines="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《无人机物流配送运行要求》JT/T 1440-2022</w:t>
      </w:r>
    </w:p>
    <w:p w14:paraId="7D548708">
      <w:pPr>
        <w:spacing w:beforeLines="0" w:afterLines="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《电动垂直起降航空器（eVTOL）起降场技术要求》T/CCAATB 0062-2024</w:t>
      </w:r>
    </w:p>
    <w:p w14:paraId="01024FD9">
      <w:pPr>
        <w:spacing w:beforeLines="0" w:afterLines="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《无人驾驶航空器飞行管理暂行条例》国务院、中央军委令 第761号</w:t>
      </w:r>
    </w:p>
    <w:p w14:paraId="24F9727D">
      <w:pPr>
        <w:spacing w:beforeLines="0" w:afterLines="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《民用无人驾驶航空器系统空中交通管理办法》MD-TM-2016-004</w:t>
      </w:r>
    </w:p>
    <w:p w14:paraId="125901E2">
      <w:pPr>
        <w:spacing w:beforeLines="0" w:afterLines="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《城市场景轻小型无人驾驶航空器物流航线划设规范》MH/T 4054-2022</w:t>
      </w:r>
    </w:p>
    <w:p w14:paraId="5D8A0378">
      <w:pPr>
        <w:spacing w:beforeLines="0" w:afterLines="0" w:line="360" w:lineRule="auto"/>
        <w:ind w:left="420" w:leftChars="200"/>
        <w:rPr>
          <w:rFonts w:hint="eastAsia" w:ascii="宋体" w:hAnsi="宋体" w:eastAsia="宋体" w:cs="宋体"/>
          <w:sz w:val="24"/>
          <w:szCs w:val="24"/>
        </w:rPr>
      </w:pPr>
      <w:r>
        <w:rPr>
          <w:rFonts w:hint="eastAsia" w:ascii="宋体" w:hAnsi="宋体" w:eastAsia="宋体" w:cs="宋体"/>
          <w:sz w:val="24"/>
          <w:szCs w:val="24"/>
        </w:rPr>
        <w:t>《民用无人驾驶航空器系统适航安全评定指南》AC-92-AA-2024-01</w:t>
      </w:r>
      <w:r>
        <w:rPr>
          <w:rFonts w:hint="eastAsia" w:ascii="宋体" w:hAnsi="宋体" w:eastAsia="宋体" w:cs="宋体"/>
          <w:sz w:val="24"/>
          <w:szCs w:val="24"/>
        </w:rPr>
        <w:br w:type="textWrapping"/>
      </w:r>
      <w:r>
        <w:rPr>
          <w:rFonts w:hint="eastAsia" w:ascii="宋体" w:hAnsi="宋体" w:eastAsia="宋体" w:cs="宋体"/>
          <w:sz w:val="24"/>
          <w:szCs w:val="24"/>
        </w:rPr>
        <w:t>《风景园林基本术语标准》（CJJ/T 91-2017）</w:t>
      </w:r>
    </w:p>
    <w:p w14:paraId="10D309FF">
      <w:pPr>
        <w:widowControl/>
        <w:spacing w:beforeLines="0" w:afterLines="0"/>
        <w:jc w:val="left"/>
        <w:rPr>
          <w:rFonts w:hint="eastAsia" w:ascii="宋体" w:hAnsi="宋体" w:eastAsia="宋体" w:cs="宋体"/>
          <w:color w:val="000000"/>
          <w:sz w:val="24"/>
          <w:szCs w:val="24"/>
        </w:rPr>
      </w:pPr>
    </w:p>
    <w:p w14:paraId="7D8CD626">
      <w:pPr>
        <w:spacing w:beforeLines="0" w:afterLines="0"/>
        <w:rPr>
          <w:rFonts w:hint="eastAsia" w:ascii="宋体" w:hAnsi="宋体" w:eastAsia="宋体" w:cs="宋体"/>
          <w:color w:val="000000"/>
          <w:sz w:val="24"/>
          <w:szCs w:val="24"/>
        </w:rPr>
      </w:pPr>
      <w:r>
        <w:rPr>
          <w:rFonts w:hint="eastAsia" w:ascii="宋体" w:hAnsi="宋体" w:eastAsia="宋体" w:cs="宋体"/>
          <w:color w:val="000000"/>
          <w:sz w:val="24"/>
          <w:szCs w:val="24"/>
        </w:rPr>
        <w:br w:type="page"/>
      </w:r>
    </w:p>
    <w:p w14:paraId="13073E2F">
      <w:pPr>
        <w:pStyle w:val="70"/>
        <w:spacing w:beforeLines="0" w:afterLines="0" w:line="360" w:lineRule="auto"/>
        <w:jc w:val="center"/>
        <w:outlineLvl w:val="0"/>
        <w:rPr>
          <w:rFonts w:hint="eastAsia" w:ascii="宋体" w:hAnsi="宋体" w:eastAsia="宋体" w:cs="宋体"/>
          <w:color w:val="000000"/>
          <w:sz w:val="28"/>
          <w:szCs w:val="24"/>
        </w:rPr>
      </w:pPr>
      <w:r>
        <w:rPr>
          <w:rFonts w:hint="eastAsia" w:ascii="宋体" w:hAnsi="宋体" w:eastAsia="宋体" w:cs="宋体"/>
          <w:color w:val="000000"/>
          <w:sz w:val="28"/>
          <w:szCs w:val="24"/>
        </w:rPr>
        <w:t>条文说明</w:t>
      </w:r>
    </w:p>
    <w:p w14:paraId="358537F8">
      <w:pPr>
        <w:pStyle w:val="70"/>
        <w:spacing w:beforeLines="0" w:afterLines="0" w:line="360" w:lineRule="auto"/>
        <w:jc w:val="center"/>
        <w:outlineLvl w:val="0"/>
        <w:rPr>
          <w:rFonts w:hint="eastAsia" w:ascii="宋体" w:hAnsi="宋体" w:eastAsia="宋体" w:cs="宋体"/>
          <w:color w:val="000000"/>
          <w:sz w:val="28"/>
          <w:szCs w:val="24"/>
        </w:rPr>
      </w:pPr>
    </w:p>
    <w:p w14:paraId="583B6564">
      <w:pPr>
        <w:spacing w:beforeLines="0" w:afterLines="0" w:line="360" w:lineRule="auto"/>
        <w:jc w:val="center"/>
        <w:outlineLvl w:val="1"/>
        <w:rPr>
          <w:rFonts w:hint="eastAsia" w:ascii="宋体" w:hAnsi="宋体" w:eastAsia="宋体" w:cs="宋体"/>
          <w:b/>
          <w:sz w:val="28"/>
          <w:szCs w:val="28"/>
        </w:rPr>
      </w:pPr>
      <w:r>
        <w:rPr>
          <w:rFonts w:hint="eastAsia" w:ascii="宋体" w:hAnsi="宋体" w:eastAsia="宋体" w:cs="宋体"/>
          <w:b/>
          <w:sz w:val="28"/>
          <w:szCs w:val="28"/>
        </w:rPr>
        <w:t>3基本规定</w:t>
      </w:r>
    </w:p>
    <w:p w14:paraId="3425F705">
      <w:pPr>
        <w:pStyle w:val="70"/>
        <w:spacing w:beforeLines="0" w:afterLines="0" w:line="360" w:lineRule="auto"/>
        <w:outlineLvl w:val="0"/>
        <w:rPr>
          <w:rFonts w:hint="eastAsia" w:ascii="宋体" w:hAnsi="宋体" w:eastAsia="宋体" w:cs="宋体"/>
          <w:b w:val="0"/>
          <w:sz w:val="24"/>
          <w:szCs w:val="24"/>
        </w:rPr>
      </w:pPr>
      <w:r>
        <w:rPr>
          <w:rFonts w:hint="eastAsia" w:ascii="宋体" w:hAnsi="宋体" w:eastAsia="宋体" w:cs="宋体"/>
          <w:b/>
          <w:bCs/>
          <w:sz w:val="24"/>
          <w:szCs w:val="24"/>
        </w:rPr>
        <w:t>3.0.1</w:t>
      </w:r>
      <w:r>
        <w:rPr>
          <w:rFonts w:hint="eastAsia" w:ascii="宋体" w:hAnsi="宋体" w:eastAsia="宋体" w:cs="宋体"/>
          <w:b w:val="0"/>
          <w:sz w:val="24"/>
          <w:szCs w:val="24"/>
        </w:rPr>
        <w:t>高强度片区的设计中，建设强度、交通强度和功能强度是影响空间形态的核心因素。建设强度主要与建筑密度和建筑规模有关，影响空间利用的效率和土地资源的集约度。交通强度涉及片区内交通设施的承载能力，尤其是公共交通和步行系统的设计，以确保交通流畅并支持高密度发展。功能强度则反映了片区内不同功能空间的密集度和合理布局，确保居住、商业、办公和公共服务等功能的高效组合。</w:t>
      </w:r>
    </w:p>
    <w:p w14:paraId="6E6D9BAA">
      <w:pPr>
        <w:pStyle w:val="70"/>
        <w:spacing w:beforeLines="0" w:afterLines="0" w:line="360" w:lineRule="auto"/>
        <w:ind w:firstLine="720" w:firstLineChars="300"/>
        <w:outlineLvl w:val="0"/>
        <w:rPr>
          <w:rFonts w:hint="eastAsia" w:ascii="宋体" w:hAnsi="宋体" w:eastAsia="宋体" w:cs="宋体"/>
          <w:b w:val="0"/>
          <w:sz w:val="24"/>
          <w:szCs w:val="24"/>
        </w:rPr>
      </w:pPr>
      <w:r>
        <w:rPr>
          <w:rFonts w:hint="eastAsia" w:ascii="宋体" w:hAnsi="宋体" w:eastAsia="宋体" w:cs="宋体"/>
          <w:b w:val="0"/>
          <w:sz w:val="24"/>
          <w:szCs w:val="24"/>
        </w:rPr>
        <w:t>这些强度应综合考虑，以空间集约原则为指导，合理划分地块的尺度与布局，优化功能配置，并强化近地空间的基面连接。通过立体景观设计与空间组织的统筹，提升整体空间利用效率，确保高强度片区在实现高效功能集成的同时，最大化空间的使用效益，达到集约高效的空间布局目标。</w:t>
      </w:r>
    </w:p>
    <w:p w14:paraId="204C0649">
      <w:pPr>
        <w:pStyle w:val="70"/>
        <w:spacing w:beforeLines="0" w:afterLines="0" w:line="360" w:lineRule="auto"/>
        <w:outlineLvl w:val="0"/>
        <w:rPr>
          <w:rFonts w:hint="eastAsia" w:ascii="宋体" w:hAnsi="宋体" w:eastAsia="宋体" w:cs="宋体"/>
          <w:b w:val="0"/>
          <w:sz w:val="24"/>
          <w:szCs w:val="24"/>
        </w:rPr>
      </w:pPr>
      <w:r>
        <w:rPr>
          <w:rFonts w:hint="eastAsia" w:ascii="宋体" w:hAnsi="宋体" w:eastAsia="宋体" w:cs="宋体"/>
          <w:b/>
          <w:bCs/>
          <w:sz w:val="24"/>
          <w:szCs w:val="24"/>
        </w:rPr>
        <w:t>3.0.3</w:t>
      </w:r>
      <w:r>
        <w:rPr>
          <w:rFonts w:hint="eastAsia" w:ascii="宋体" w:hAnsi="宋体" w:eastAsia="宋体" w:cs="宋体"/>
          <w:b w:val="0"/>
          <w:sz w:val="24"/>
          <w:szCs w:val="24"/>
        </w:rPr>
        <w:t>空间使用效能评估参考《城市高强度片区使用效能评估标准》</w:t>
      </w:r>
    </w:p>
    <w:p w14:paraId="19006F33">
      <w:pPr>
        <w:pStyle w:val="70"/>
        <w:spacing w:beforeLines="0" w:afterLines="0" w:line="360" w:lineRule="auto"/>
        <w:outlineLvl w:val="0"/>
        <w:rPr>
          <w:rFonts w:hint="eastAsia" w:ascii="宋体" w:hAnsi="宋体" w:eastAsia="宋体" w:cs="宋体"/>
          <w:sz w:val="28"/>
          <w:szCs w:val="24"/>
        </w:rPr>
      </w:pPr>
    </w:p>
    <w:p w14:paraId="4B1021F8">
      <w:pPr>
        <w:spacing w:beforeLines="0" w:afterLines="0" w:line="360" w:lineRule="auto"/>
        <w:jc w:val="center"/>
        <w:outlineLvl w:val="1"/>
        <w:rPr>
          <w:rFonts w:hint="eastAsia" w:ascii="宋体" w:hAnsi="宋体" w:eastAsia="宋体" w:cs="宋体"/>
          <w:b/>
          <w:sz w:val="28"/>
          <w:szCs w:val="28"/>
        </w:rPr>
      </w:pPr>
      <w:r>
        <w:rPr>
          <w:rFonts w:hint="eastAsia" w:ascii="宋体" w:hAnsi="宋体" w:eastAsia="宋体" w:cs="宋体"/>
          <w:b/>
          <w:sz w:val="28"/>
          <w:szCs w:val="28"/>
        </w:rPr>
        <w:t>4地块划分</w:t>
      </w:r>
    </w:p>
    <w:p w14:paraId="24BFA28B">
      <w:pPr>
        <w:spacing w:beforeLines="0" w:afterLines="0" w:line="360" w:lineRule="auto"/>
        <w:jc w:val="center"/>
        <w:outlineLvl w:val="1"/>
        <w:rPr>
          <w:rFonts w:hint="eastAsia" w:ascii="宋体" w:hAnsi="宋体" w:eastAsia="宋体" w:cs="宋体"/>
          <w:b/>
          <w:sz w:val="28"/>
          <w:szCs w:val="28"/>
        </w:rPr>
      </w:pPr>
      <w:r>
        <w:rPr>
          <w:rFonts w:hint="eastAsia" w:ascii="宋体" w:hAnsi="宋体" w:eastAsia="宋体" w:cs="宋体"/>
          <w:b/>
          <w:sz w:val="28"/>
          <w:szCs w:val="28"/>
        </w:rPr>
        <w:t>4.1 划分依据</w:t>
      </w:r>
    </w:p>
    <w:p w14:paraId="3461954A">
      <w:pPr>
        <w:spacing w:beforeLines="0" w:afterLines="0" w:line="360" w:lineRule="auto"/>
        <w:jc w:val="left"/>
        <w:rPr>
          <w:rFonts w:hint="eastAsia" w:ascii="宋体" w:hAnsi="宋体" w:eastAsia="宋体" w:cs="宋体"/>
          <w:sz w:val="24"/>
          <w:szCs w:val="24"/>
        </w:rPr>
      </w:pPr>
      <w:r>
        <w:rPr>
          <w:rFonts w:hint="eastAsia" w:ascii="宋体" w:hAnsi="宋体" w:eastAsia="宋体" w:cs="宋体"/>
          <w:b/>
          <w:bCs/>
          <w:sz w:val="24"/>
          <w:szCs w:val="24"/>
        </w:rPr>
        <w:t xml:space="preserve">4.1.2 </w:t>
      </w:r>
      <w:r>
        <w:rPr>
          <w:rFonts w:hint="eastAsia" w:ascii="宋体" w:hAnsi="宋体" w:eastAsia="宋体" w:cs="宋体"/>
          <w:sz w:val="24"/>
          <w:szCs w:val="24"/>
        </w:rPr>
        <w:t>“小街区，密路网”模式源于中共中央国务院《关于进一步加强城市规划建设管理工作的若干意见》，并被多个城市根据实际情况在地方专项规划中予以实施。该模式有助于提高地块可达性、丰富街区层次，并改善步行环境，适应高容积率片区的空间需求。</w:t>
      </w:r>
    </w:p>
    <w:p w14:paraId="0FAB867E">
      <w:pPr>
        <w:spacing w:beforeLines="0" w:afterLines="0" w:line="360" w:lineRule="auto"/>
        <w:jc w:val="left"/>
        <w:rPr>
          <w:rFonts w:hint="eastAsia" w:ascii="宋体" w:hAnsi="宋体" w:eastAsia="宋体" w:cs="宋体"/>
          <w:sz w:val="24"/>
          <w:szCs w:val="24"/>
        </w:rPr>
      </w:pPr>
      <w:r>
        <w:rPr>
          <w:rFonts w:hint="eastAsia" w:ascii="宋体" w:hAnsi="宋体" w:eastAsia="宋体" w:cs="宋体"/>
          <w:b/>
          <w:bCs/>
          <w:sz w:val="24"/>
          <w:szCs w:val="24"/>
        </w:rPr>
        <w:t>4.1.3</w:t>
      </w:r>
      <w:r>
        <w:rPr>
          <w:rFonts w:hint="eastAsia" w:ascii="宋体" w:hAnsi="宋体" w:eastAsia="宋体" w:cs="宋体"/>
          <w:sz w:val="24"/>
          <w:szCs w:val="24"/>
        </w:rPr>
        <w:t>地块划分规定</w:t>
      </w:r>
    </w:p>
    <w:p w14:paraId="63438C3A">
      <w:pPr>
        <w:spacing w:beforeLines="0" w:afterLines="0" w:line="360" w:lineRule="auto"/>
        <w:ind w:firstLine="720" w:firstLineChars="300"/>
        <w:jc w:val="left"/>
        <w:rPr>
          <w:rFonts w:hint="eastAsia" w:ascii="宋体" w:hAnsi="宋体" w:eastAsia="宋体" w:cs="宋体"/>
          <w:sz w:val="24"/>
          <w:szCs w:val="24"/>
        </w:rPr>
      </w:pPr>
      <w:r>
        <w:rPr>
          <w:rFonts w:hint="eastAsia" w:ascii="宋体" w:hAnsi="宋体" w:eastAsia="宋体" w:cs="宋体"/>
          <w:sz w:val="24"/>
          <w:szCs w:val="24"/>
        </w:rPr>
        <w:t>高强度片区由于开发密度大、功能集聚强，对道路网络的要求也更高。《中国主要城市道路网密度与运行状态监测报告》显示，在发达城市中心区，道路网密度往往在 8 km/km² 以上，深圳中心区甚至达到 10～12 km/km²。这表明随着容积率的提高，路网也需要更加密集来支撑建筑与功能的布局。</w:t>
      </w:r>
    </w:p>
    <w:p w14:paraId="44121B23">
      <w:pPr>
        <w:spacing w:beforeLines="0" w:afterLines="0" w:line="360" w:lineRule="auto"/>
        <w:ind w:firstLine="720" w:firstLineChars="300"/>
        <w:jc w:val="left"/>
        <w:rPr>
          <w:rFonts w:hint="eastAsia" w:ascii="宋体" w:hAnsi="宋体" w:eastAsia="宋体" w:cs="宋体"/>
          <w:sz w:val="24"/>
          <w:szCs w:val="24"/>
        </w:rPr>
      </w:pPr>
      <w:r>
        <w:rPr>
          <w:rFonts w:hint="eastAsia" w:ascii="宋体" w:hAnsi="宋体" w:eastAsia="宋体" w:cs="宋体"/>
          <w:sz w:val="24"/>
          <w:szCs w:val="24"/>
        </w:rPr>
        <w:t xml:space="preserve"> 《上海市街道设计导则》指出，街区建筑界面与街道空间的连续性是提升公共空间品质的重要条件。这种连续性不仅影响道路与空间的组织关系，还关系到建筑退红线、街道贴线率等空间设计内容。界面连续意味着沿街建筑和空间间的逻辑关系清晰、空间边界稳定，是构建连续街道空间、提升步行体验和公共空间效能的重要控制指标。因此在空间形态设计与地块划分中，应重视街道界面与建筑界面的统筹组织。</w:t>
      </w:r>
    </w:p>
    <w:p w14:paraId="527376C9">
      <w:pPr>
        <w:spacing w:beforeLines="0" w:afterLines="0" w:line="360" w:lineRule="auto"/>
        <w:jc w:val="left"/>
        <w:rPr>
          <w:rFonts w:hint="eastAsia" w:ascii="宋体" w:hAnsi="宋体" w:eastAsia="宋体" w:cs="宋体"/>
          <w:sz w:val="24"/>
          <w:szCs w:val="24"/>
        </w:rPr>
      </w:pPr>
      <w:r>
        <w:rPr>
          <w:rFonts w:hint="eastAsia" w:ascii="宋体" w:hAnsi="宋体" w:eastAsia="宋体" w:cs="宋体"/>
          <w:b/>
          <w:bCs/>
          <w:sz w:val="24"/>
          <w:szCs w:val="24"/>
        </w:rPr>
        <w:t>4.1.4</w:t>
      </w:r>
      <w:r>
        <w:rPr>
          <w:rFonts w:hint="eastAsia" w:ascii="宋体" w:hAnsi="宋体" w:eastAsia="宋体" w:cs="宋体"/>
          <w:sz w:val="24"/>
          <w:szCs w:val="24"/>
        </w:rPr>
        <w:t>基于集约性理论体系的构建与数字化转译，本导则结合大量实际建筑数据，通过规划模拟生成理想城市形态，并对建筑平均层数进行了统计分析。结果显示，在高强度空间组织条件下，多数适宜的建筑层数集中在 7～25 层范围内，整体建筑层数一般控制在 40 层以下较为合理。同时，最新发布的《关于进一步加强城市与建筑风貌管理的通知》对 250 m（约 80 层以上）高度范围提出严格控制要求，不鼓励泛化建设。因此，本条明确提出片区内建筑的平均层数不应超过 80 层，以确保片区尺度与集约性空间的协调。</w:t>
      </w:r>
    </w:p>
    <w:p w14:paraId="756E7A60">
      <w:pPr>
        <w:spacing w:beforeLines="0" w:afterLines="0" w:line="360" w:lineRule="auto"/>
        <w:jc w:val="left"/>
        <w:rPr>
          <w:rFonts w:hint="eastAsia" w:ascii="宋体" w:hAnsi="宋体" w:eastAsia="宋体" w:cs="宋体"/>
          <w:sz w:val="24"/>
          <w:szCs w:val="24"/>
        </w:rPr>
      </w:pPr>
    </w:p>
    <w:p w14:paraId="2488ACE2">
      <w:pPr>
        <w:spacing w:beforeLines="0" w:afterLines="0" w:line="360" w:lineRule="auto"/>
        <w:jc w:val="center"/>
        <w:outlineLvl w:val="1"/>
        <w:rPr>
          <w:rFonts w:hint="eastAsia" w:ascii="宋体" w:hAnsi="宋体" w:eastAsia="宋体" w:cs="宋体"/>
          <w:sz w:val="24"/>
          <w:szCs w:val="24"/>
        </w:rPr>
      </w:pPr>
      <w:r>
        <w:rPr>
          <w:rFonts w:hint="eastAsia" w:ascii="宋体" w:hAnsi="宋体" w:eastAsia="宋体" w:cs="宋体"/>
          <w:b/>
          <w:sz w:val="28"/>
          <w:szCs w:val="28"/>
        </w:rPr>
        <w:t>4.2 地块尺寸</w:t>
      </w:r>
    </w:p>
    <w:p w14:paraId="531FC5F9">
      <w:pPr>
        <w:spacing w:beforeLines="0" w:afterLines="0" w:line="360" w:lineRule="auto"/>
        <w:jc w:val="left"/>
        <w:rPr>
          <w:rFonts w:hint="eastAsia" w:ascii="宋体" w:hAnsi="宋体" w:eastAsia="宋体" w:cs="宋体"/>
          <w:sz w:val="24"/>
          <w:szCs w:val="24"/>
        </w:rPr>
      </w:pPr>
      <w:r>
        <w:rPr>
          <w:rFonts w:hint="eastAsia" w:ascii="宋体" w:hAnsi="宋体" w:eastAsia="宋体" w:cs="宋体"/>
          <w:b/>
          <w:bCs/>
          <w:sz w:val="24"/>
          <w:szCs w:val="24"/>
        </w:rPr>
        <w:t>4.2.2</w:t>
      </w:r>
      <w:r>
        <w:rPr>
          <w:rFonts w:hint="eastAsia" w:ascii="宋体" w:hAnsi="宋体" w:eastAsia="宋体" w:cs="宋体"/>
          <w:sz w:val="24"/>
          <w:szCs w:val="24"/>
        </w:rPr>
        <w:t>本条中所规定的高强度片区主要用地性质包括商业用地、居住用地、公共管理与公共服务用地以及混合用地。这一用地组合首先符合国家规划用地分类标准的要求。《城市用地分类与规划建设用地标准》（GB50137‑2011）明确按照土地使用的主要性质，对城市建设用地进行分类，包括居住用地、商业服务业用地、公共管理与公共服务用地等大类和中类类别，这些类别构成了城市总体规划和控规编制时常用的基础用地体系。</w:t>
      </w:r>
    </w:p>
    <w:p w14:paraId="2FC6B185">
      <w:pPr>
        <w:spacing w:beforeLines="0" w:afterLines="0" w:line="360" w:lineRule="auto"/>
        <w:ind w:firstLine="720" w:firstLineChars="300"/>
        <w:jc w:val="left"/>
        <w:rPr>
          <w:rFonts w:hint="eastAsia" w:ascii="宋体" w:hAnsi="宋体" w:eastAsia="宋体" w:cs="宋体"/>
          <w:sz w:val="24"/>
          <w:szCs w:val="24"/>
        </w:rPr>
      </w:pPr>
      <w:r>
        <w:rPr>
          <w:rFonts w:hint="eastAsia" w:ascii="宋体" w:hAnsi="宋体" w:eastAsia="宋体" w:cs="宋体"/>
          <w:sz w:val="24"/>
          <w:szCs w:val="24"/>
        </w:rPr>
        <w:t>其次，本导则的用地性质选择立足于对典型高强度片区的实际调研。在对深圳、广州、北京、上海等多地规划数据库进行系统统计分析后发现，这几类用地在实际高强度开发片区中占比较高，并且更常与其他用地相互混合布局，实现功能叠加和高效利用。因此，将这些用地类型作为本导则的主要覆盖对象，有助于更好体现高强度片区空间组织的实际特征和功能组合逻辑。</w:t>
      </w:r>
    </w:p>
    <w:p w14:paraId="16549405">
      <w:pPr>
        <w:spacing w:beforeLines="0" w:afterLines="0" w:line="360" w:lineRule="auto"/>
        <w:ind w:firstLine="720" w:firstLineChars="300"/>
        <w:jc w:val="left"/>
        <w:rPr>
          <w:rFonts w:hint="eastAsia" w:ascii="宋体" w:hAnsi="宋体" w:eastAsia="宋体" w:cs="宋体"/>
          <w:sz w:val="24"/>
          <w:szCs w:val="24"/>
        </w:rPr>
      </w:pPr>
      <w:r>
        <w:rPr>
          <w:rFonts w:hint="eastAsia" w:ascii="宋体" w:hAnsi="宋体" w:eastAsia="宋体" w:cs="宋体"/>
          <w:sz w:val="24"/>
          <w:szCs w:val="24"/>
        </w:rPr>
        <w:t>在此基础上，本导则通过构建城市集约性多维度理论体系，并将其进行数字化转译，结合大量实际建筑和地块形态数据，先生成理想地块模型，再通过规划模拟进行统计分析和对比调整，从而逐步确定了不同用地性质下适宜的地块尺寸指标。</w:t>
      </w:r>
    </w:p>
    <w:p w14:paraId="61605DE0">
      <w:pPr>
        <w:spacing w:beforeLines="0" w:afterLines="0" w:line="360" w:lineRule="auto"/>
        <w:jc w:val="center"/>
        <w:outlineLvl w:val="1"/>
        <w:rPr>
          <w:rFonts w:hint="eastAsia" w:ascii="宋体" w:hAnsi="宋体" w:eastAsia="宋体" w:cs="宋体"/>
          <w:b/>
          <w:sz w:val="28"/>
          <w:szCs w:val="28"/>
        </w:rPr>
      </w:pPr>
      <w:r>
        <w:rPr>
          <w:rFonts w:hint="eastAsia" w:ascii="宋体" w:hAnsi="宋体" w:eastAsia="宋体" w:cs="宋体"/>
          <w:b/>
          <w:sz w:val="28"/>
          <w:szCs w:val="28"/>
        </w:rPr>
        <w:t>5 功能混合</w:t>
      </w:r>
    </w:p>
    <w:p w14:paraId="2E1FBBE7">
      <w:pPr>
        <w:spacing w:beforeLines="0" w:afterLines="0" w:line="360" w:lineRule="auto"/>
        <w:jc w:val="center"/>
        <w:outlineLvl w:val="1"/>
        <w:rPr>
          <w:rFonts w:hint="eastAsia" w:ascii="宋体" w:hAnsi="宋体" w:eastAsia="宋体" w:cs="宋体"/>
          <w:b/>
          <w:sz w:val="28"/>
          <w:szCs w:val="28"/>
        </w:rPr>
      </w:pPr>
      <w:r>
        <w:rPr>
          <w:rFonts w:hint="eastAsia" w:ascii="宋体" w:hAnsi="宋体" w:eastAsia="宋体" w:cs="宋体"/>
          <w:b/>
          <w:sz w:val="28"/>
          <w:szCs w:val="28"/>
        </w:rPr>
        <w:t>5.1 功能类型</w:t>
      </w:r>
    </w:p>
    <w:p w14:paraId="13F2BF72">
      <w:pPr>
        <w:pStyle w:val="70"/>
        <w:spacing w:beforeLines="0" w:afterLines="0" w:line="360" w:lineRule="auto"/>
        <w:outlineLvl w:val="0"/>
        <w:rPr>
          <w:rFonts w:hint="eastAsia" w:ascii="宋体" w:hAnsi="宋体" w:eastAsia="宋体" w:cs="宋体"/>
          <w:b w:val="0"/>
          <w:sz w:val="24"/>
          <w:szCs w:val="24"/>
        </w:rPr>
      </w:pPr>
      <w:r>
        <w:rPr>
          <w:rFonts w:hint="eastAsia" w:ascii="宋体" w:hAnsi="宋体" w:eastAsia="宋体" w:cs="宋体"/>
          <w:b/>
          <w:bCs/>
          <w:sz w:val="24"/>
          <w:szCs w:val="24"/>
        </w:rPr>
        <w:t xml:space="preserve">5.1.2 </w:t>
      </w:r>
      <w:r>
        <w:rPr>
          <w:rFonts w:hint="eastAsia" w:ascii="宋体" w:hAnsi="宋体" w:eastAsia="宋体" w:cs="宋体"/>
          <w:b w:val="0"/>
          <w:sz w:val="24"/>
          <w:szCs w:val="24"/>
        </w:rPr>
        <w:t>本条提出了高强度片区功能空间的基本架构原则。制定依据主要为《国民经济行业分类的国家标准》（GB/T 4754—2017）、《城市用地分类与规划建设用地标准》（GB 50137-2011）以及大量实践案例。其核心是借鉴“LWP中心区”（Live-Work-Play Center）理论，在紧凑空间内系统性满足人群“居住、就业、休闲与服务”的全方位需求。</w:t>
      </w:r>
    </w:p>
    <w:p w14:paraId="2676FCAA">
      <w:pPr>
        <w:pStyle w:val="70"/>
        <w:spacing w:beforeLines="0" w:afterLines="0" w:line="360" w:lineRule="auto"/>
        <w:ind w:firstLine="721" w:firstLineChars="300"/>
        <w:outlineLvl w:val="0"/>
        <w:rPr>
          <w:rFonts w:hint="eastAsia" w:ascii="宋体" w:hAnsi="宋体" w:eastAsia="宋体" w:cs="宋体"/>
          <w:b w:val="0"/>
          <w:sz w:val="24"/>
          <w:szCs w:val="24"/>
        </w:rPr>
      </w:pPr>
      <w:r>
        <w:rPr>
          <w:rFonts w:hint="eastAsia" w:ascii="宋体" w:hAnsi="宋体" w:eastAsia="宋体" w:cs="宋体"/>
          <w:b/>
          <w:bCs/>
          <w:sz w:val="24"/>
          <w:szCs w:val="24"/>
          <w:lang w:val="en-US" w:eastAsia="zh-CN"/>
        </w:rPr>
        <w:t>1</w:t>
      </w:r>
      <w:r>
        <w:rPr>
          <w:rFonts w:hint="eastAsia" w:ascii="宋体" w:hAnsi="宋体" w:eastAsia="宋体" w:cs="宋体"/>
          <w:b/>
          <w:bCs/>
          <w:sz w:val="24"/>
          <w:szCs w:val="24"/>
        </w:rPr>
        <w:t xml:space="preserve"> </w:t>
      </w:r>
      <w:r>
        <w:rPr>
          <w:rFonts w:hint="eastAsia" w:ascii="宋体" w:hAnsi="宋体" w:eastAsia="宋体" w:cs="宋体"/>
          <w:b w:val="0"/>
          <w:sz w:val="24"/>
          <w:szCs w:val="24"/>
        </w:rPr>
        <w:t>本条对产业与服务功能进行了具体界定。办公功能是指符合一般办公空间建筑标准的办公、研发及轻型实验制造空间，不包括大型独立式实验制造厂房。商业功能采取广义界定，除传统零售餐饮娱乐外，亦包括市场化运营的教育培训与医疗机构。文化功能包含商业运营与公共服务性质的各类公共文化场所。</w:t>
      </w:r>
    </w:p>
    <w:p w14:paraId="4E81B14A">
      <w:pPr>
        <w:pStyle w:val="70"/>
        <w:spacing w:beforeLines="0" w:afterLines="0" w:line="360" w:lineRule="auto"/>
        <w:ind w:firstLine="721" w:firstLineChars="300"/>
        <w:outlineLvl w:val="0"/>
        <w:rPr>
          <w:rFonts w:hint="eastAsia" w:ascii="宋体" w:hAnsi="宋体" w:eastAsia="宋体" w:cs="宋体"/>
          <w:b w:val="0"/>
          <w:sz w:val="24"/>
          <w:szCs w:val="24"/>
        </w:rPr>
      </w:pPr>
      <w:r>
        <w:rPr>
          <w:rFonts w:hint="eastAsia" w:ascii="宋体" w:hAnsi="宋体" w:eastAsia="宋体" w:cs="宋体"/>
          <w:b/>
          <w:bCs/>
          <w:sz w:val="24"/>
          <w:szCs w:val="24"/>
          <w:lang w:val="en-US" w:eastAsia="zh-CN"/>
        </w:rPr>
        <w:t>2</w:t>
      </w:r>
      <w:r>
        <w:rPr>
          <w:rFonts w:hint="eastAsia" w:ascii="宋体" w:hAnsi="宋体" w:eastAsia="宋体" w:cs="宋体"/>
          <w:b w:val="0"/>
          <w:sz w:val="24"/>
          <w:szCs w:val="24"/>
        </w:rPr>
        <w:t xml:space="preserve"> 本条对长短期居住功能进行了具体界定。长期居住功能，如商品住房、保障性租赁住房等，主要满足片区常住人口的稳定性居住需求。短期居住功能，如酒店等，主要满足商务、旅游、探亲等流动人口的临时性住宿需求。</w:t>
      </w:r>
    </w:p>
    <w:p w14:paraId="70F552A7">
      <w:pPr>
        <w:pStyle w:val="70"/>
        <w:spacing w:beforeLines="0" w:afterLines="0" w:line="360" w:lineRule="auto"/>
        <w:ind w:firstLine="721" w:firstLineChars="300"/>
        <w:outlineLvl w:val="0"/>
        <w:rPr>
          <w:rFonts w:hint="eastAsia" w:ascii="宋体" w:hAnsi="宋体" w:eastAsia="宋体" w:cs="宋体"/>
          <w:b w:val="0"/>
          <w:sz w:val="24"/>
          <w:szCs w:val="24"/>
        </w:rPr>
      </w:pPr>
      <w:r>
        <w:rPr>
          <w:rFonts w:hint="eastAsia" w:ascii="宋体" w:hAnsi="宋体" w:eastAsia="宋体" w:cs="宋体"/>
          <w:b/>
          <w:bCs/>
          <w:sz w:val="24"/>
          <w:szCs w:val="24"/>
          <w:lang w:val="en-US" w:eastAsia="zh-CN"/>
        </w:rPr>
        <w:t>3</w:t>
      </w:r>
      <w:r>
        <w:rPr>
          <w:rFonts w:hint="eastAsia" w:ascii="宋体" w:hAnsi="宋体" w:eastAsia="宋体" w:cs="宋体"/>
          <w:b/>
          <w:bCs/>
          <w:sz w:val="24"/>
          <w:szCs w:val="24"/>
        </w:rPr>
        <w:t xml:space="preserve"> </w:t>
      </w:r>
      <w:r>
        <w:rPr>
          <w:rFonts w:hint="eastAsia" w:ascii="宋体" w:hAnsi="宋体" w:eastAsia="宋体" w:cs="宋体"/>
          <w:b w:val="0"/>
          <w:sz w:val="24"/>
          <w:szCs w:val="24"/>
        </w:rPr>
        <w:t>本条对公共与后勤服务功能进行了具体界定。公共服务功能主要依据《深圳市城市规划标准与准则》中公共设施分类分级标准和城市用地里公共管理与服务用地的分类标准。</w:t>
      </w:r>
    </w:p>
    <w:p w14:paraId="594175A7">
      <w:pPr>
        <w:pStyle w:val="70"/>
        <w:spacing w:beforeLines="0" w:afterLines="0" w:line="360" w:lineRule="auto"/>
        <w:outlineLvl w:val="0"/>
        <w:rPr>
          <w:rFonts w:hint="eastAsia" w:ascii="宋体" w:hAnsi="宋体" w:eastAsia="宋体" w:cs="宋体"/>
          <w:b w:val="0"/>
          <w:sz w:val="24"/>
          <w:szCs w:val="24"/>
        </w:rPr>
      </w:pPr>
    </w:p>
    <w:p w14:paraId="5ACB4AC1">
      <w:pPr>
        <w:spacing w:beforeLines="0" w:afterLines="0" w:line="360" w:lineRule="auto"/>
        <w:jc w:val="center"/>
        <w:outlineLvl w:val="1"/>
        <w:rPr>
          <w:rFonts w:hint="eastAsia" w:ascii="宋体" w:hAnsi="宋体" w:eastAsia="宋体" w:cs="宋体"/>
          <w:sz w:val="24"/>
          <w:szCs w:val="24"/>
        </w:rPr>
      </w:pPr>
      <w:r>
        <w:rPr>
          <w:rFonts w:hint="eastAsia" w:ascii="宋体" w:hAnsi="宋体" w:eastAsia="宋体" w:cs="宋体"/>
          <w:b/>
          <w:sz w:val="28"/>
          <w:szCs w:val="28"/>
        </w:rPr>
        <w:t>5.2 立体组合</w:t>
      </w:r>
    </w:p>
    <w:p w14:paraId="51D93FAD">
      <w:pPr>
        <w:pStyle w:val="70"/>
        <w:spacing w:beforeLines="0" w:afterLines="0" w:line="360" w:lineRule="auto"/>
        <w:outlineLvl w:val="0"/>
        <w:rPr>
          <w:rFonts w:hint="eastAsia" w:ascii="宋体" w:hAnsi="宋体" w:eastAsia="宋体" w:cs="宋体"/>
          <w:b w:val="0"/>
          <w:sz w:val="24"/>
          <w:szCs w:val="24"/>
        </w:rPr>
      </w:pPr>
      <w:r>
        <w:rPr>
          <w:rFonts w:hint="eastAsia" w:ascii="宋体" w:hAnsi="宋体" w:eastAsia="宋体" w:cs="宋体"/>
          <w:b/>
          <w:bCs/>
          <w:sz w:val="24"/>
          <w:szCs w:val="24"/>
        </w:rPr>
        <w:t>5.2.5</w:t>
      </w:r>
      <w:r>
        <w:rPr>
          <w:rFonts w:hint="eastAsia" w:ascii="宋体" w:hAnsi="宋体" w:eastAsia="宋体" w:cs="宋体"/>
          <w:b w:val="0"/>
          <w:sz w:val="24"/>
          <w:szCs w:val="24"/>
        </w:rPr>
        <w:t xml:space="preserve"> 本条提出了片区工作生活圈功能配置建议。通过构建“5-10-15分钟”三级时空覆盖体系，将日常生产生活需求与步行可达范围内的功能供给精准匹配，旨在提升空间集约程度和片区运行效率。体系构建中，首先基于办公人群的行为特征与需求调研，结合对现状类似片区人群满意度评估的结果，识别并优先配置高频、高满意度需求的功能类型。其次，综合平均步行速度（约5公里/小时）、路网密度折减（约0.7）、垂直交通时间（电梯平均速度按2.5-3.5米/秒）等因素，进行多模式交通叠加的时空可达性分析，确定各层级服务圈的物理覆盖范围。最终，将需求侧的人群满意度与供给侧的空间可达性进行耦合分析，对“核心补给-日常支持-综合配套”三级圈层的功能清单、布局模式和配置标准进行动态校核与优化，形成最终片区工作生活圈功能配置建议。</w:t>
      </w:r>
    </w:p>
    <w:p w14:paraId="05CA32A8">
      <w:pPr>
        <w:spacing w:beforeLines="0" w:afterLines="0" w:line="360" w:lineRule="auto"/>
        <w:jc w:val="center"/>
        <w:outlineLvl w:val="1"/>
        <w:rPr>
          <w:rFonts w:hint="eastAsia" w:ascii="宋体" w:hAnsi="宋体" w:eastAsia="宋体" w:cs="宋体"/>
          <w:sz w:val="24"/>
          <w:szCs w:val="24"/>
        </w:rPr>
      </w:pPr>
      <w:r>
        <w:rPr>
          <w:rFonts w:hint="eastAsia" w:ascii="宋体" w:hAnsi="宋体" w:eastAsia="宋体" w:cs="宋体"/>
          <w:b/>
          <w:sz w:val="28"/>
          <w:szCs w:val="28"/>
        </w:rPr>
        <w:t>5.3 权属配比</w:t>
      </w:r>
    </w:p>
    <w:p w14:paraId="51A3815F">
      <w:pPr>
        <w:pStyle w:val="70"/>
        <w:spacing w:beforeLines="0" w:afterLines="0" w:line="360" w:lineRule="auto"/>
        <w:outlineLvl w:val="0"/>
        <w:rPr>
          <w:rFonts w:hint="eastAsia" w:ascii="宋体" w:hAnsi="宋体" w:eastAsia="宋体" w:cs="宋体"/>
          <w:b w:val="0"/>
          <w:sz w:val="24"/>
          <w:szCs w:val="24"/>
        </w:rPr>
      </w:pPr>
      <w:r>
        <w:rPr>
          <w:rFonts w:hint="eastAsia" w:ascii="宋体" w:hAnsi="宋体" w:eastAsia="宋体" w:cs="宋体"/>
          <w:b/>
          <w:bCs/>
          <w:sz w:val="24"/>
          <w:szCs w:val="24"/>
        </w:rPr>
        <w:t>5.3.3</w:t>
      </w:r>
      <w:r>
        <w:rPr>
          <w:rFonts w:hint="eastAsia" w:ascii="宋体" w:hAnsi="宋体" w:eastAsia="宋体" w:cs="宋体"/>
          <w:b w:val="0"/>
          <w:sz w:val="24"/>
          <w:szCs w:val="24"/>
        </w:rPr>
        <w:t xml:space="preserve"> 本条参考《深圳市城市规划标准与准则》及国家相关规范中对各类公共服务与基础设施的基础配置要求，提出了高强度片区公共物业（公共与后勤服务功能）建筑面积配比建议。表中各类片区配比建议值（15%-20%、18%-25%、20%-28%、22%-30%）体现了对不同功能片区差异化需求的响应，包括中心区对集约化设施的侧重、产业园区对专业管理配套的需求、枢纽区对大容量交通辅助设施的需求，以及居住区对全龄化社区服务的需求。该建议值通过对法定配置标准的数值建议进行分类核算与汇总，并结合深圳、上海、北京等城市典型片区案例进行校核。在实际应用中应结合具体片区的发展定位、人口特征及空间条件，通过专项研究在本建议区间内论证确定适宜的规划控制值。</w:t>
      </w:r>
    </w:p>
    <w:p w14:paraId="47BB9B06">
      <w:pPr>
        <w:pStyle w:val="70"/>
        <w:spacing w:beforeLines="0" w:afterLines="0" w:line="360" w:lineRule="auto"/>
        <w:outlineLvl w:val="0"/>
        <w:rPr>
          <w:rFonts w:hint="eastAsia" w:ascii="宋体" w:hAnsi="宋体" w:eastAsia="宋体" w:cs="宋体"/>
          <w:b w:val="0"/>
          <w:sz w:val="24"/>
          <w:szCs w:val="24"/>
        </w:rPr>
      </w:pPr>
    </w:p>
    <w:p w14:paraId="225FE214">
      <w:pPr>
        <w:spacing w:beforeLines="0" w:afterLines="0" w:line="360" w:lineRule="auto"/>
        <w:jc w:val="center"/>
        <w:outlineLvl w:val="1"/>
        <w:rPr>
          <w:rFonts w:hint="eastAsia" w:ascii="宋体" w:hAnsi="宋体" w:eastAsia="宋体" w:cs="宋体"/>
          <w:b/>
          <w:sz w:val="28"/>
          <w:szCs w:val="28"/>
        </w:rPr>
      </w:pPr>
      <w:r>
        <w:rPr>
          <w:rFonts w:hint="eastAsia" w:ascii="宋体" w:hAnsi="宋体" w:eastAsia="宋体" w:cs="宋体"/>
          <w:b/>
          <w:sz w:val="28"/>
          <w:szCs w:val="28"/>
        </w:rPr>
        <w:t>6 近地空间基面集约</w:t>
      </w:r>
    </w:p>
    <w:p w14:paraId="5FBEF35A">
      <w:pPr>
        <w:spacing w:beforeLines="0" w:afterLines="0" w:line="360" w:lineRule="auto"/>
        <w:jc w:val="center"/>
        <w:outlineLvl w:val="1"/>
        <w:rPr>
          <w:rFonts w:hint="eastAsia" w:ascii="宋体" w:hAnsi="宋体" w:eastAsia="宋体" w:cs="宋体"/>
          <w:b/>
          <w:sz w:val="28"/>
          <w:szCs w:val="28"/>
        </w:rPr>
      </w:pPr>
      <w:r>
        <w:rPr>
          <w:rFonts w:hint="eastAsia" w:ascii="宋体" w:hAnsi="宋体" w:eastAsia="宋体" w:cs="宋体"/>
          <w:b/>
          <w:sz w:val="28"/>
          <w:szCs w:val="28"/>
        </w:rPr>
        <w:t>6.1 近地空间基面系统</w:t>
      </w:r>
    </w:p>
    <w:p w14:paraId="54AA1023">
      <w:pPr>
        <w:spacing w:beforeLines="0" w:afterLines="0" w:line="360" w:lineRule="auto"/>
        <w:rPr>
          <w:rFonts w:hint="eastAsia" w:ascii="宋体" w:hAnsi="宋体" w:eastAsia="宋体" w:cs="宋体"/>
          <w:sz w:val="24"/>
          <w:szCs w:val="24"/>
        </w:rPr>
      </w:pPr>
      <w:r>
        <w:rPr>
          <w:rFonts w:hint="eastAsia" w:ascii="宋体" w:hAnsi="宋体" w:eastAsia="宋体" w:cs="宋体"/>
          <w:b/>
          <w:bCs/>
          <w:sz w:val="24"/>
          <w:szCs w:val="24"/>
        </w:rPr>
        <w:t xml:space="preserve">6.1.1 </w:t>
      </w:r>
      <w:r>
        <w:rPr>
          <w:rFonts w:hint="eastAsia" w:ascii="宋体" w:hAnsi="宋体" w:eastAsia="宋体" w:cs="宋体"/>
          <w:sz w:val="24"/>
          <w:szCs w:val="24"/>
        </w:rPr>
        <w:t>本条提出以“近地空间基面系统”为片区统筹单元，强调将空中、地面、地下等多层步行空间按连续网络整体组织，避免单体自建导致的断点与绕行；其理念与《深圳市步行和自行车交通系统规划设计导则》关于立体步行设施将步行交通组织到不同垂直平面、实现便捷联系的要求一致，并呼应韩冬青《集约·低碳·再生：城市建筑的一体化设计》中对系统性整体设计与一体化组织的倡导，可支撑系统化导控与落图管理。</w:t>
      </w:r>
    </w:p>
    <w:p w14:paraId="12F1A222">
      <w:pPr>
        <w:spacing w:beforeLines="0" w:afterLines="0" w:line="360" w:lineRule="auto"/>
        <w:rPr>
          <w:rFonts w:hint="eastAsia" w:ascii="宋体" w:hAnsi="宋体" w:eastAsia="宋体" w:cs="宋体"/>
          <w:sz w:val="24"/>
          <w:szCs w:val="24"/>
        </w:rPr>
      </w:pPr>
      <w:r>
        <w:rPr>
          <w:rFonts w:hint="eastAsia" w:ascii="宋体" w:hAnsi="宋体" w:eastAsia="宋体" w:cs="宋体"/>
          <w:b/>
          <w:bCs/>
          <w:sz w:val="24"/>
          <w:szCs w:val="24"/>
        </w:rPr>
        <w:t>6.1.2</w:t>
      </w:r>
      <w:r>
        <w:rPr>
          <w:rFonts w:hint="eastAsia" w:ascii="宋体" w:hAnsi="宋体" w:eastAsia="宋体" w:cs="宋体"/>
          <w:sz w:val="24"/>
          <w:szCs w:val="24"/>
        </w:rPr>
        <w:t>本条限定可计入系统的竖向构件范围，目的是保证连接路径具备公共开放、连续可达与可运营属性，并与疏散专用空间明确边界；执行中无障碍连续通达应符合《建筑与市政工程无障碍通用规范》（GB 55019-2021），消防疏散及相关安全底线应符合《建筑防火通用规范》（GB 55037-2022），避免以疏散楼梯替代日常公共连接，导致管理与安全责任混淆。</w:t>
      </w:r>
    </w:p>
    <w:p w14:paraId="6D6CE978">
      <w:pPr>
        <w:spacing w:beforeLines="0" w:afterLines="0" w:line="360" w:lineRule="auto"/>
        <w:rPr>
          <w:rFonts w:hint="eastAsia" w:ascii="宋体" w:hAnsi="宋体" w:eastAsia="宋体" w:cs="宋体"/>
          <w:sz w:val="24"/>
          <w:szCs w:val="24"/>
        </w:rPr>
      </w:pPr>
      <w:r>
        <w:rPr>
          <w:rFonts w:hint="eastAsia" w:ascii="宋体" w:hAnsi="宋体" w:eastAsia="宋体" w:cs="宋体"/>
          <w:b/>
          <w:bCs/>
          <w:sz w:val="24"/>
          <w:szCs w:val="24"/>
        </w:rPr>
        <w:t>6.1.3</w:t>
      </w:r>
      <w:r>
        <w:rPr>
          <w:rFonts w:hint="eastAsia" w:ascii="宋体" w:hAnsi="宋体" w:eastAsia="宋体" w:cs="宋体"/>
          <w:sz w:val="24"/>
          <w:szCs w:val="24"/>
        </w:rPr>
        <w:t xml:space="preserve"> 本条建立空中、地下、屋顶及其他近地空间基面的分类与判定流程，旨在统一识别口径，并为后续分类型控制与连接效能评价提供一致的对象边界。既有高强度片区规划设计文本（如《南山后海中心区城市设计实施评估与深化设计》《虹桥商务区核心区控制性详细规划（2010年）（核心区一期暨城市设计）》《丽泽金融商务区规划综合实施方案》等）在近地空间组织上，多采用按物理高度（空中、地面/地下等）分区的分类思路，本条在此基础上进一步将分类规则制度化。与此同时，分类依据可与《城市步行和自行车交通系统规划标准》（GB 51439-2021）《上海市街道设计导则》《广州市建设用地规划条件》等城市设计要求中“空中步行连廊”“地下步行廊道”等概念及其公共开放属性要求对接，通过流程化判定，将复合空间的归类从经验判断转化为可复核、可审查的技术依据。既有工程与管理语境中常以地表上下约24m作为近地空间的经验边界（与《建筑设计防火规范》（GB 50016-2014）以24m作为多层/高层建筑划分的高度分界有关）。但在城市高强度片区，受超高密度开发、塔楼—裙房叠合、轨道与综合体多标高接驳、人车分流与全天候步行及智能物流等因素影响，部分公共慢行、公共活动及公共物流空间已超出该范围。综合技术条件与人的心理感受，本导则将近地空间基面适用范围扩展为地上250m以下、地下30m以上；相较于“物理接近地面”的传统理解，本导则更强调其在通行、停留与服务承载上的“地面性”，以及室外/半室外的环境特征。</w:t>
      </w:r>
    </w:p>
    <w:p w14:paraId="754BE672">
      <w:pPr>
        <w:spacing w:beforeLines="0" w:afterLines="0" w:line="360" w:lineRule="auto"/>
        <w:rPr>
          <w:rFonts w:hint="eastAsia" w:ascii="宋体" w:hAnsi="宋体" w:eastAsia="宋体" w:cs="宋体"/>
          <w:sz w:val="24"/>
          <w:szCs w:val="24"/>
        </w:rPr>
      </w:pPr>
      <w:r>
        <w:rPr>
          <w:rFonts w:hint="eastAsia" w:ascii="宋体" w:hAnsi="宋体" w:eastAsia="宋体" w:cs="宋体"/>
          <w:sz w:val="24"/>
          <w:szCs w:val="24"/>
        </w:rPr>
        <w:t>图6.1.3.1汇总展示了高强度片区各类近地空间基面的典型形态，便于使用者快速识别与对照判别；图6.1.3.2以流程图方式明确分类判定步骤，使分类过程可操作、可复核，从而为后续管控要求的精准落实提供依据。</w:t>
      </w:r>
    </w:p>
    <w:p w14:paraId="25D68F50">
      <w:pPr>
        <w:spacing w:beforeLines="0" w:afterLines="0" w:line="360" w:lineRule="auto"/>
        <w:rPr>
          <w:rFonts w:hint="eastAsia" w:ascii="宋体" w:hAnsi="宋体" w:eastAsia="宋体" w:cs="宋体"/>
          <w:sz w:val="24"/>
          <w:szCs w:val="24"/>
        </w:rPr>
      </w:pPr>
    </w:p>
    <w:p w14:paraId="0F96E999">
      <w:pPr>
        <w:spacing w:beforeLines="0" w:afterLines="0" w:line="360" w:lineRule="auto"/>
        <w:jc w:val="center"/>
        <w:outlineLvl w:val="1"/>
        <w:rPr>
          <w:rFonts w:hint="eastAsia" w:ascii="宋体" w:hAnsi="宋体" w:eastAsia="宋体" w:cs="宋体"/>
          <w:b/>
          <w:sz w:val="28"/>
          <w:szCs w:val="28"/>
        </w:rPr>
      </w:pPr>
      <w:r>
        <w:rPr>
          <w:rFonts w:hint="eastAsia" w:ascii="宋体" w:hAnsi="宋体" w:eastAsia="宋体" w:cs="宋体"/>
          <w:b/>
          <w:sz w:val="28"/>
          <w:szCs w:val="28"/>
        </w:rPr>
        <w:t>6.2 连接效能</w:t>
      </w:r>
    </w:p>
    <w:p w14:paraId="74BE58EA">
      <w:pPr>
        <w:spacing w:beforeLines="0" w:afterLines="0" w:line="360" w:lineRule="auto"/>
        <w:rPr>
          <w:rFonts w:hint="eastAsia" w:ascii="宋体" w:hAnsi="宋体" w:eastAsia="宋体" w:cs="宋体"/>
          <w:sz w:val="24"/>
          <w:szCs w:val="24"/>
        </w:rPr>
      </w:pPr>
      <w:r>
        <w:rPr>
          <w:rFonts w:hint="eastAsia" w:ascii="宋体" w:hAnsi="宋体" w:eastAsia="宋体" w:cs="宋体"/>
          <w:b/>
          <w:bCs/>
          <w:sz w:val="24"/>
          <w:szCs w:val="24"/>
        </w:rPr>
        <w:t>6.2.1</w:t>
      </w:r>
      <w:r>
        <w:rPr>
          <w:rFonts w:hint="eastAsia" w:ascii="宋体" w:hAnsi="宋体" w:eastAsia="宋体" w:cs="宋体"/>
          <w:sz w:val="24"/>
          <w:szCs w:val="24"/>
        </w:rPr>
        <w:t xml:space="preserve"> 本条提出近地空间基面连接工效比（MPER），用于在完成片区近地空间基面系统设计后，对其连接效能进行快速、可比的综合评价：在同等片区用地规模条件下，衡量“连接产出”（系统可连通的楼层数量）相对于“资源投入”（近地基面与竖向构件等效面积）的效率水平。MPER值越高，表明片区近地空间在相同投入下可实现更强连通能力，或在达到既定连通水平时所需投入更少，从而体现更高的集约性与效率。公式的评价逻辑可与“公共空间容积率”等基于“产出/用地”思想的指标体系相衔接（参考韩冬青《集约·低碳·再生：城市建筑的一体化设计》相关论述），并借鉴城市空间效能评价类研究中“产出—投入”比值化的基本结构，同时在“连通能力”刻画上参考空间句法等网络分析对连接关系的量化思路，将复杂的立体连通转译为可计算、可对比的评价变量。工效比计算式及符号含义见公式（6.2.1）。该公式已经过理想模型的有效验证，被证明其对于近地空间基面的连接效能评级具有一定的有效性和敏感度。为便于统一Fi的统计规则（不同空间类型对“楼层连通”的贡献强度不同），本导则将“被连通楼层数量”按楼层面积折算进行标准化计数，参考《建筑设计防火规范》（GB 50016-2014）对防火分区最大面积的分档思路：地上楼层按每3000m2计为1层，超过部分按区间累加（如3000–6000m2计2层，6000–9000m2计3层，以此类推）；地下楼层按每2000m2计为1层并同样折算。地上与地下分别统计后求和。与地表层的连接无论面积大小均计1，以避免面积过大导致失真并突出非地面层连接机制；设备用房、机电层、地下车库等配套空间不纳入统计范围，上述折算规则如下表6.2.1与图6.2.1所示：</w:t>
      </w:r>
    </w:p>
    <w:p w14:paraId="4C2251F4">
      <w:pPr>
        <w:pStyle w:val="44"/>
        <w:numPr>
          <w:ilvl w:val="0"/>
          <w:numId w:val="0"/>
        </w:numPr>
        <w:overflowPunct w:val="0"/>
        <w:spacing w:beforeLines="0" w:afterLines="0" w:line="360" w:lineRule="auto"/>
        <w:ind w:left="0"/>
        <w:jc w:val="center"/>
        <w:rPr>
          <w:rFonts w:hint="eastAsia" w:ascii="宋体" w:hAnsi="宋体" w:eastAsia="宋体" w:cs="宋体"/>
          <w:sz w:val="24"/>
          <w:szCs w:val="24"/>
        </w:rPr>
      </w:pPr>
      <w:r>
        <w:rPr>
          <w:rFonts w:hint="default" w:eastAsia="宋体"/>
          <w:b/>
          <w:kern w:val="0"/>
          <w:sz w:val="21"/>
          <w:szCs w:val="21"/>
          <w:lang w:bidi="zh-CN"/>
        </w:rPr>
        <w:drawing>
          <wp:anchor distT="0" distB="0" distL="114300" distR="114300" simplePos="0" relativeHeight="251660288" behindDoc="0" locked="0" layoutInCell="1" allowOverlap="1">
            <wp:simplePos x="0" y="0"/>
            <wp:positionH relativeFrom="margin">
              <wp:posOffset>1624330</wp:posOffset>
            </wp:positionH>
            <wp:positionV relativeFrom="paragraph">
              <wp:posOffset>1075690</wp:posOffset>
            </wp:positionV>
            <wp:extent cx="1990090" cy="1906270"/>
            <wp:effectExtent l="0" t="0" r="10160" b="17780"/>
            <wp:wrapTopAndBottom/>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5"/>
                    <a:stretch>
                      <a:fillRect/>
                    </a:stretch>
                  </pic:blipFill>
                  <pic:spPr>
                    <a:xfrm>
                      <a:off x="0" y="0"/>
                      <a:ext cx="1990090" cy="1906270"/>
                    </a:xfrm>
                    <a:prstGeom prst="rect">
                      <a:avLst/>
                    </a:prstGeom>
                    <a:noFill/>
                    <a:ln>
                      <a:noFill/>
                    </a:ln>
                  </pic:spPr>
                </pic:pic>
              </a:graphicData>
            </a:graphic>
          </wp:anchor>
        </w:drawing>
      </w:r>
      <w:r>
        <w:rPr>
          <w:rFonts w:hint="eastAsia" w:eastAsia="宋体"/>
          <w:b/>
          <w:kern w:val="0"/>
          <w:sz w:val="21"/>
          <w:szCs w:val="21"/>
          <w:lang w:bidi="zh-CN"/>
        </w:rPr>
        <w:t>表6.2.1 不同连通空间与基面系统所连通的楼层数量（Fi）换算表</w:t>
      </w:r>
    </w:p>
    <w:tbl>
      <w:tblPr>
        <w:tblStyle w:val="24"/>
        <w:tblpPr w:leftFromText="180" w:rightFromText="180" w:vertAnchor="text" w:horzAnchor="page" w:tblpX="1898" w:tblpY="16"/>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131"/>
        <w:gridCol w:w="2474"/>
        <w:gridCol w:w="2473"/>
        <w:gridCol w:w="988"/>
        <w:gridCol w:w="1210"/>
      </w:tblGrid>
      <w:tr w14:paraId="4F38041F">
        <w:trPr>
          <w:trHeight w:val="558" w:hRule="atLeast"/>
          <w:tblHeader/>
        </w:trPr>
        <w:tc>
          <w:tcPr>
            <w:tcW w:w="1131" w:type="dxa"/>
            <w:tcBorders>
              <w:top w:val="nil"/>
              <w:left w:val="nil"/>
              <w:bottom w:val="nil"/>
              <w:right w:val="nil"/>
              <w:tl2br w:val="nil"/>
              <w:tr2bl w:val="nil"/>
            </w:tcBorders>
            <w:noWrap w:val="0"/>
            <w:vAlign w:val="center"/>
          </w:tcPr>
          <w:p w14:paraId="4D2BA3EF">
            <w:pPr>
              <w:spacing w:beforeLines="0" w:afterLines="0"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空间类型</w:t>
            </w:r>
          </w:p>
        </w:tc>
        <w:tc>
          <w:tcPr>
            <w:tcW w:w="2474" w:type="dxa"/>
            <w:tcBorders>
              <w:top w:val="nil"/>
              <w:left w:val="nil"/>
              <w:bottom w:val="nil"/>
              <w:right w:val="nil"/>
              <w:tl2br w:val="nil"/>
              <w:tr2bl w:val="nil"/>
            </w:tcBorders>
            <w:noWrap w:val="0"/>
            <w:vAlign w:val="center"/>
          </w:tcPr>
          <w:p w14:paraId="34CBDBFF">
            <w:pPr>
              <w:spacing w:beforeLines="0" w:afterLines="0"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地上楼层</w:t>
            </w:r>
          </w:p>
        </w:tc>
        <w:tc>
          <w:tcPr>
            <w:tcW w:w="2473" w:type="dxa"/>
            <w:tcBorders>
              <w:top w:val="nil"/>
              <w:left w:val="nil"/>
              <w:bottom w:val="nil"/>
              <w:right w:val="nil"/>
              <w:tl2br w:val="nil"/>
              <w:tr2bl w:val="nil"/>
            </w:tcBorders>
            <w:noWrap w:val="0"/>
            <w:vAlign w:val="center"/>
          </w:tcPr>
          <w:p w14:paraId="1557297F">
            <w:pPr>
              <w:spacing w:beforeLines="0" w:afterLines="0"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地下楼层</w:t>
            </w:r>
          </w:p>
        </w:tc>
        <w:tc>
          <w:tcPr>
            <w:tcW w:w="988" w:type="dxa"/>
            <w:tcBorders>
              <w:top w:val="nil"/>
              <w:left w:val="nil"/>
              <w:bottom w:val="nil"/>
              <w:right w:val="nil"/>
              <w:tl2br w:val="nil"/>
              <w:tr2bl w:val="nil"/>
            </w:tcBorders>
            <w:noWrap w:val="0"/>
            <w:vAlign w:val="center"/>
          </w:tcPr>
          <w:p w14:paraId="743EE3DC">
            <w:pPr>
              <w:spacing w:beforeLines="0" w:afterLines="0"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地表层</w:t>
            </w:r>
          </w:p>
        </w:tc>
        <w:tc>
          <w:tcPr>
            <w:tcW w:w="1210" w:type="dxa"/>
            <w:tcBorders>
              <w:top w:val="nil"/>
              <w:left w:val="nil"/>
              <w:bottom w:val="nil"/>
              <w:right w:val="nil"/>
              <w:tl2br w:val="nil"/>
              <w:tr2bl w:val="nil"/>
            </w:tcBorders>
            <w:noWrap w:val="0"/>
            <w:vAlign w:val="center"/>
          </w:tcPr>
          <w:p w14:paraId="6E62C902">
            <w:pPr>
              <w:spacing w:beforeLines="0" w:afterLines="0"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配套空间</w:t>
            </w:r>
          </w:p>
        </w:tc>
      </w:tr>
      <w:tr w14:paraId="7B17FD8E">
        <w:tc>
          <w:tcPr>
            <w:tcW w:w="1131" w:type="dxa"/>
            <w:tcBorders>
              <w:top w:val="single" w:color="auto" w:sz="4" w:space="0"/>
              <w:left w:val="single" w:color="auto" w:sz="12" w:space="0"/>
              <w:bottom w:val="single" w:color="auto" w:sz="12" w:space="0"/>
              <w:right w:val="single" w:color="auto" w:sz="4" w:space="0"/>
              <w:tl2br w:val="nil"/>
              <w:tr2bl w:val="nil"/>
            </w:tcBorders>
            <w:noWrap w:val="0"/>
            <w:vAlign w:val="center"/>
          </w:tcPr>
          <w:p w14:paraId="711EC29D">
            <w:pPr>
              <w:spacing w:beforeLines="0" w:afterLines="0" w:line="360" w:lineRule="auto"/>
              <w:jc w:val="center"/>
              <w:rPr>
                <w:rFonts w:hint="eastAsia" w:ascii="宋体" w:hAnsi="宋体" w:eastAsia="宋体" w:cs="宋体"/>
                <w:color w:val="000000"/>
                <w:sz w:val="21"/>
                <w:szCs w:val="21"/>
              </w:rPr>
            </w:pPr>
            <w:r>
              <w:rPr>
                <w:rFonts w:hint="eastAsia" w:ascii="宋体" w:hAnsi="宋体" w:eastAsia="宋体" w:cs="宋体"/>
                <w:i/>
                <w:color w:val="000000"/>
                <w:sz w:val="21"/>
                <w:szCs w:val="21"/>
              </w:rPr>
              <w:t>F</w:t>
            </w:r>
            <w:r>
              <w:rPr>
                <w:rFonts w:hint="eastAsia" w:ascii="宋体" w:hAnsi="宋体" w:eastAsia="宋体" w:cs="宋体"/>
                <w:i/>
                <w:color w:val="000000"/>
                <w:sz w:val="21"/>
                <w:szCs w:val="21"/>
                <w:vertAlign w:val="subscript"/>
              </w:rPr>
              <w:t>i</w:t>
            </w:r>
            <w:r>
              <w:rPr>
                <w:rFonts w:hint="eastAsia" w:ascii="宋体" w:hAnsi="宋体" w:eastAsia="宋体" w:cs="宋体"/>
                <w:color w:val="000000"/>
                <w:sz w:val="21"/>
                <w:szCs w:val="21"/>
              </w:rPr>
              <w:t>值</w:t>
            </w:r>
          </w:p>
        </w:tc>
        <w:tc>
          <w:tcPr>
            <w:tcW w:w="2474" w:type="dxa"/>
            <w:tcBorders>
              <w:top w:val="single" w:color="auto" w:sz="4" w:space="0"/>
              <w:left w:val="single" w:color="auto" w:sz="4" w:space="0"/>
              <w:bottom w:val="single" w:color="auto" w:sz="12" w:space="0"/>
              <w:right w:val="single" w:color="auto" w:sz="4" w:space="0"/>
              <w:tl2br w:val="nil"/>
              <w:tr2bl w:val="nil"/>
            </w:tcBorders>
            <w:noWrap w:val="0"/>
            <w:vAlign w:val="center"/>
          </w:tcPr>
          <w:p w14:paraId="7B3014F6">
            <w:pPr>
              <w:spacing w:beforeLines="0" w:afterLines="0"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面积/3000m</w:t>
            </w:r>
            <w:r>
              <w:rPr>
                <w:rFonts w:hint="eastAsia" w:ascii="宋体" w:hAnsi="宋体" w:eastAsia="宋体" w:cs="宋体"/>
                <w:color w:val="000000"/>
                <w:sz w:val="21"/>
                <w:szCs w:val="21"/>
                <w:vertAlign w:val="superscript"/>
              </w:rPr>
              <w:t>2</w:t>
            </w:r>
          </w:p>
        </w:tc>
        <w:tc>
          <w:tcPr>
            <w:tcW w:w="2473" w:type="dxa"/>
            <w:tcBorders>
              <w:top w:val="single" w:color="auto" w:sz="4" w:space="0"/>
              <w:left w:val="single" w:color="auto" w:sz="4" w:space="0"/>
              <w:bottom w:val="single" w:color="auto" w:sz="12" w:space="0"/>
              <w:right w:val="single" w:color="auto" w:sz="4" w:space="0"/>
              <w:tl2br w:val="nil"/>
              <w:tr2bl w:val="nil"/>
            </w:tcBorders>
            <w:noWrap w:val="0"/>
            <w:vAlign w:val="center"/>
          </w:tcPr>
          <w:p w14:paraId="0A8184FF">
            <w:pPr>
              <w:spacing w:beforeLines="0" w:afterLines="0"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面积/2000m</w:t>
            </w:r>
            <w:r>
              <w:rPr>
                <w:rFonts w:hint="eastAsia" w:ascii="宋体" w:hAnsi="宋体" w:eastAsia="宋体" w:cs="宋体"/>
                <w:color w:val="000000"/>
                <w:sz w:val="21"/>
                <w:szCs w:val="21"/>
                <w:vertAlign w:val="superscript"/>
              </w:rPr>
              <w:t>2</w:t>
            </w:r>
          </w:p>
        </w:tc>
        <w:tc>
          <w:tcPr>
            <w:tcW w:w="988" w:type="dxa"/>
            <w:tcBorders>
              <w:top w:val="single" w:color="auto" w:sz="4" w:space="0"/>
              <w:left w:val="single" w:color="auto" w:sz="4" w:space="0"/>
              <w:bottom w:val="single" w:color="auto" w:sz="12" w:space="0"/>
              <w:right w:val="single" w:color="auto" w:sz="4" w:space="0"/>
              <w:tl2br w:val="nil"/>
              <w:tr2bl w:val="nil"/>
            </w:tcBorders>
            <w:noWrap w:val="0"/>
            <w:vAlign w:val="center"/>
          </w:tcPr>
          <w:p w14:paraId="24DD9838">
            <w:pPr>
              <w:spacing w:beforeLines="0" w:afterLines="0"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210" w:type="dxa"/>
            <w:tcBorders>
              <w:top w:val="single" w:color="auto" w:sz="4" w:space="0"/>
              <w:left w:val="single" w:color="auto" w:sz="4" w:space="0"/>
              <w:bottom w:val="single" w:color="auto" w:sz="12" w:space="0"/>
              <w:right w:val="single" w:color="auto" w:sz="12" w:space="0"/>
              <w:tl2br w:val="nil"/>
              <w:tr2bl w:val="nil"/>
            </w:tcBorders>
            <w:noWrap w:val="0"/>
            <w:vAlign w:val="center"/>
          </w:tcPr>
          <w:p w14:paraId="004C7D9A">
            <w:pPr>
              <w:spacing w:beforeLines="0" w:afterLines="0"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0</w:t>
            </w:r>
          </w:p>
        </w:tc>
      </w:tr>
    </w:tbl>
    <w:p w14:paraId="3ABB781A">
      <w:pPr>
        <w:spacing w:beforeLines="0" w:afterLines="0" w:line="360" w:lineRule="auto"/>
        <w:rPr>
          <w:rFonts w:hint="eastAsia" w:ascii="宋体" w:hAnsi="宋体" w:eastAsia="宋体" w:cs="宋体"/>
          <w:sz w:val="24"/>
          <w:szCs w:val="24"/>
        </w:rPr>
      </w:pPr>
    </w:p>
    <w:p w14:paraId="22707C2F">
      <w:pPr>
        <w:pStyle w:val="44"/>
        <w:numPr>
          <w:ilvl w:val="0"/>
          <w:numId w:val="0"/>
        </w:numPr>
        <w:overflowPunct w:val="0"/>
        <w:spacing w:beforeLines="0" w:afterLines="0" w:line="360" w:lineRule="auto"/>
        <w:ind w:left="0"/>
        <w:jc w:val="center"/>
        <w:rPr>
          <w:rFonts w:hint="eastAsia" w:ascii="宋体" w:hAnsi="宋体" w:eastAsia="宋体" w:cs="宋体"/>
          <w:sz w:val="24"/>
          <w:szCs w:val="24"/>
        </w:rPr>
      </w:pPr>
      <w:r>
        <w:rPr>
          <w:rFonts w:hint="eastAsia" w:eastAsia="宋体"/>
          <w:b/>
          <w:kern w:val="0"/>
          <w:sz w:val="21"/>
          <w:szCs w:val="21"/>
          <w:lang w:val="en-US" w:bidi="zh-CN"/>
        </w:rPr>
        <w:t>图</w:t>
      </w:r>
      <w:r>
        <w:rPr>
          <w:rFonts w:hint="eastAsia" w:eastAsia="宋体"/>
          <w:b/>
          <w:kern w:val="0"/>
          <w:sz w:val="21"/>
          <w:szCs w:val="21"/>
          <w:lang w:bidi="zh-CN"/>
        </w:rPr>
        <w:t>6.2.1单个基面系统所连通的楼层数量（Fi）计数示例图</w:t>
      </w:r>
    </w:p>
    <w:p w14:paraId="4F3F578C">
      <w:pPr>
        <w:spacing w:beforeLines="0" w:afterLines="0" w:line="360" w:lineRule="auto"/>
        <w:rPr>
          <w:rFonts w:hint="eastAsia" w:ascii="宋体" w:hAnsi="宋体" w:eastAsia="宋体" w:cs="宋体"/>
          <w:sz w:val="24"/>
          <w:szCs w:val="24"/>
        </w:rPr>
      </w:pPr>
      <w:r>
        <w:rPr>
          <w:rFonts w:hint="eastAsia" w:ascii="宋体" w:hAnsi="宋体" w:eastAsia="宋体" w:cs="宋体"/>
          <w:sz w:val="24"/>
          <w:szCs w:val="24"/>
        </w:rPr>
        <w:t>最终计算得出的MPER值为无量纲指标，需配合6.2.2条中的阈值范围于评级规则共同使用，需与6.2.2条的阈值区间及分级规则配套使用，以形成可比的评价结论，并据此指导近地空间基面的集约组织与优化。</w:t>
      </w:r>
    </w:p>
    <w:p w14:paraId="34AD6EDC">
      <w:pPr>
        <w:spacing w:beforeLines="0" w:afterLines="0" w:line="360" w:lineRule="auto"/>
        <w:rPr>
          <w:rFonts w:hint="eastAsia" w:ascii="宋体" w:hAnsi="宋体" w:eastAsia="宋体" w:cs="宋体"/>
          <w:sz w:val="24"/>
          <w:szCs w:val="24"/>
        </w:rPr>
      </w:pPr>
      <w:r>
        <w:rPr>
          <w:rFonts w:hint="eastAsia" w:ascii="宋体" w:hAnsi="宋体" w:eastAsia="宋体" w:cs="宋体"/>
          <w:b/>
          <w:bCs/>
          <w:sz w:val="24"/>
          <w:szCs w:val="24"/>
        </w:rPr>
        <w:t xml:space="preserve">6.2.2 </w:t>
      </w:r>
      <w:r>
        <w:rPr>
          <w:rFonts w:hint="eastAsia" w:ascii="宋体" w:hAnsi="宋体" w:eastAsia="宋体" w:cs="宋体"/>
          <w:sz w:val="24"/>
          <w:szCs w:val="24"/>
        </w:rPr>
        <w:t>本条通过设定MPER的阈值区间与分级规则，将6.2.1的计算结果转化为可判读、可对比的评价结论，用于指导方案比选、问题诊断与优化方向判断。其逻辑是以“合理区间”为参照：指标落入合理区间表明连接产出与空间投入匹配度较高，偏离区间则提示存在连接不足或投入失衡等问题。阈值与评级依据来自对深圳湾生态科技园、深圳湾超级总部基地、虹桥商务核心区、南山后海中心区、福田中心区、东莞国际商务区首开区、中关村东升科技园等在内的20余个典型高强度片区案例开展MPER指标统计分析，在获得样本分布特征后，结合专家问卷咨询对分级边界进行校核与修正，最终形成三个数值区间，以兼顾指标的区分度、解释性与工程可用性。</w:t>
      </w:r>
    </w:p>
    <w:p w14:paraId="2E7E5BA9">
      <w:pPr>
        <w:spacing w:beforeLines="0" w:afterLines="0" w:line="360" w:lineRule="auto"/>
        <w:rPr>
          <w:rFonts w:hint="eastAsia" w:ascii="宋体" w:hAnsi="宋体" w:eastAsia="宋体" w:cs="宋体"/>
          <w:sz w:val="24"/>
          <w:szCs w:val="24"/>
        </w:rPr>
      </w:pPr>
    </w:p>
    <w:p w14:paraId="308DD16E">
      <w:pPr>
        <w:spacing w:beforeLines="0" w:afterLines="0" w:line="360" w:lineRule="auto"/>
        <w:jc w:val="center"/>
        <w:outlineLvl w:val="1"/>
        <w:rPr>
          <w:rFonts w:hint="eastAsia" w:ascii="宋体" w:hAnsi="宋体" w:eastAsia="宋体" w:cs="宋体"/>
          <w:b/>
          <w:sz w:val="28"/>
          <w:szCs w:val="28"/>
        </w:rPr>
      </w:pPr>
      <w:r>
        <w:rPr>
          <w:rFonts w:hint="eastAsia" w:ascii="宋体" w:hAnsi="宋体" w:eastAsia="宋体" w:cs="宋体"/>
          <w:b/>
          <w:sz w:val="28"/>
          <w:szCs w:val="28"/>
        </w:rPr>
        <w:t>6.3 低空物流起降空间</w:t>
      </w:r>
    </w:p>
    <w:p w14:paraId="5F5B2AE5">
      <w:pPr>
        <w:pStyle w:val="70"/>
        <w:spacing w:beforeLines="0" w:afterLines="0" w:line="360" w:lineRule="auto"/>
        <w:outlineLvl w:val="0"/>
        <w:rPr>
          <w:rFonts w:hint="eastAsia" w:ascii="宋体" w:hAnsi="宋体" w:eastAsia="宋体" w:cs="宋体"/>
          <w:sz w:val="28"/>
          <w:szCs w:val="24"/>
        </w:rPr>
      </w:pPr>
      <w:r>
        <w:rPr>
          <w:rFonts w:hint="eastAsia" w:ascii="宋体" w:hAnsi="宋体" w:eastAsia="宋体" w:cs="宋体"/>
          <w:b/>
          <w:bCs/>
          <w:sz w:val="24"/>
          <w:szCs w:val="24"/>
        </w:rPr>
        <w:t xml:space="preserve">6.3.1 </w:t>
      </w:r>
      <w:r>
        <w:rPr>
          <w:rFonts w:hint="eastAsia" w:ascii="宋体" w:hAnsi="宋体" w:eastAsia="宋体" w:cs="宋体"/>
          <w:b w:val="0"/>
          <w:sz w:val="24"/>
          <w:szCs w:val="24"/>
        </w:rPr>
        <w:t>本条依据《无人机物流配送运行要求》（JT/T 1440-2022）发展而来，并结合深圳市低空物流节点调研结果进行了补充与细化。标准明确末端交接包含“卸载—移送—核对/分拣/存储/交付”等连续环节，因此在片区层面应统筹设置空地转换节点，形成“空中到达—交接处理—地面集散”的连续作业链路，并与地面集散组织相衔接。并明确地面开放空间型节点易受人群活动干扰，且后期治理成本较高，因此不宜将其作为低空连接节点的常态化主载体。若确需采用地面开放空间，应严格控制其布设密度与运行强度，并落实物理隔离与属地管理条件，以保障运行安全与效率。</w:t>
      </w:r>
    </w:p>
    <w:p w14:paraId="537AC08C">
      <w:pPr>
        <w:pStyle w:val="70"/>
        <w:spacing w:beforeLines="0" w:afterLines="0" w:line="360" w:lineRule="auto"/>
        <w:outlineLvl w:val="0"/>
        <w:rPr>
          <w:rFonts w:hint="eastAsia" w:ascii="宋体" w:hAnsi="宋体" w:eastAsia="宋体" w:cs="宋体"/>
          <w:b w:val="0"/>
          <w:sz w:val="24"/>
          <w:szCs w:val="24"/>
        </w:rPr>
      </w:pPr>
      <w:r>
        <w:rPr>
          <w:rFonts w:hint="eastAsia" w:ascii="宋体" w:hAnsi="宋体" w:eastAsia="宋体" w:cs="宋体"/>
          <w:b/>
          <w:bCs/>
          <w:sz w:val="24"/>
          <w:szCs w:val="24"/>
        </w:rPr>
        <w:t xml:space="preserve">6.3.2 </w:t>
      </w:r>
      <w:r>
        <w:rPr>
          <w:rFonts w:hint="eastAsia" w:ascii="宋体" w:hAnsi="宋体" w:eastAsia="宋体" w:cs="宋体"/>
          <w:b w:val="0"/>
          <w:sz w:val="24"/>
          <w:szCs w:val="24"/>
        </w:rPr>
        <w:t>本条结合深圳、上海等地低空物流节点调研结果发展而来。调研显示节点在高密度城区集中于商业中心屋顶平台等载体，故在选址层面具体体现在：宜优先选择屋顶花园/露台、空中连廊、空中活动平台等权属清晰、结构适宜、运维便利的载体作为低空连接节点。</w:t>
      </w:r>
    </w:p>
    <w:p w14:paraId="54C46628">
      <w:pPr>
        <w:pStyle w:val="70"/>
        <w:spacing w:beforeLines="0" w:afterLines="0" w:line="360" w:lineRule="auto"/>
        <w:outlineLvl w:val="0"/>
        <w:rPr>
          <w:rFonts w:hint="eastAsia" w:ascii="宋体" w:hAnsi="宋体" w:eastAsia="宋体" w:cs="宋体"/>
          <w:b w:val="0"/>
          <w:sz w:val="24"/>
          <w:szCs w:val="24"/>
        </w:rPr>
      </w:pPr>
      <w:r>
        <w:rPr>
          <w:rFonts w:hint="eastAsia" w:ascii="宋体" w:hAnsi="宋体" w:eastAsia="宋体" w:cs="宋体"/>
          <w:b/>
          <w:bCs/>
          <w:sz w:val="24"/>
          <w:szCs w:val="24"/>
        </w:rPr>
        <w:t>6.3.3</w:t>
      </w:r>
      <w:r>
        <w:rPr>
          <w:rFonts w:hint="eastAsia" w:ascii="宋体" w:hAnsi="宋体" w:eastAsia="宋体" w:cs="宋体"/>
          <w:b w:val="0"/>
          <w:sz w:val="24"/>
          <w:szCs w:val="24"/>
        </w:rPr>
        <w:t xml:space="preserve"> 本条依据《无人机物流运行规范》（JT/T 1440-2022）及《电动垂直起降航空器（eVTOL）起降场技术要求》（T/CCAATB 0062—2024）第 9.2 条发展而来。相关文件对交接作业功能与安全防护提出要求，故在设计层面具体体现在：交接界面应明确“作业区—公众活动区”分区关系，必要时设置缓冲区、围护隔离与导向标识，保障公共通行连续性与运行安全。</w:t>
      </w:r>
    </w:p>
    <w:p w14:paraId="00E696E6">
      <w:pPr>
        <w:pStyle w:val="70"/>
        <w:spacing w:beforeLines="0" w:afterLines="0" w:line="360" w:lineRule="auto"/>
        <w:outlineLvl w:val="0"/>
        <w:rPr>
          <w:rFonts w:hint="eastAsia" w:ascii="宋体" w:hAnsi="宋体" w:eastAsia="宋体" w:cs="宋体"/>
          <w:b w:val="0"/>
          <w:sz w:val="24"/>
          <w:szCs w:val="24"/>
        </w:rPr>
      </w:pPr>
      <w:r>
        <w:rPr>
          <w:rFonts w:hint="eastAsia" w:ascii="宋体" w:hAnsi="宋体" w:eastAsia="宋体" w:cs="宋体"/>
          <w:b/>
          <w:bCs/>
          <w:sz w:val="24"/>
          <w:szCs w:val="24"/>
        </w:rPr>
        <w:t xml:space="preserve">6.3.4 </w:t>
      </w:r>
      <w:r>
        <w:rPr>
          <w:rFonts w:hint="eastAsia" w:ascii="宋体" w:hAnsi="宋体" w:eastAsia="宋体" w:cs="宋体"/>
          <w:b w:val="0"/>
          <w:sz w:val="24"/>
          <w:szCs w:val="24"/>
        </w:rPr>
        <w:t>本条依据《电动垂直起降航空器（eVTOL）起降场技术要求》（T/CCAATB 0062—2024）第 5.2 条、第 5.3 条及第 6 章发展而来。标准明确起降关键区域的障碍物控制与净空要求，故在选址层面具体体现在：低空连接节点应满足竖向净空与通视的基本要求，避免在高遮挡环境中设置；必要时对楼宇界面、广告牌等遮挡要素开展专项评估。</w:t>
      </w:r>
    </w:p>
    <w:p w14:paraId="6FE40CEB">
      <w:pPr>
        <w:pStyle w:val="70"/>
        <w:spacing w:beforeLines="0" w:afterLines="0" w:line="360" w:lineRule="auto"/>
        <w:outlineLvl w:val="0"/>
        <w:rPr>
          <w:rFonts w:hint="eastAsia" w:ascii="宋体" w:hAnsi="宋体" w:eastAsia="宋体" w:cs="宋体"/>
          <w:b w:val="0"/>
          <w:sz w:val="24"/>
          <w:szCs w:val="24"/>
        </w:rPr>
      </w:pPr>
      <w:r>
        <w:rPr>
          <w:rFonts w:hint="eastAsia" w:ascii="宋体" w:hAnsi="宋体" w:eastAsia="宋体" w:cs="宋体"/>
          <w:b/>
          <w:bCs/>
          <w:sz w:val="24"/>
          <w:szCs w:val="24"/>
        </w:rPr>
        <w:t xml:space="preserve">6.3.5 </w:t>
      </w:r>
      <w:r>
        <w:rPr>
          <w:rFonts w:hint="eastAsia" w:ascii="宋体" w:hAnsi="宋体" w:eastAsia="宋体" w:cs="宋体"/>
          <w:b w:val="0"/>
          <w:sz w:val="24"/>
          <w:szCs w:val="24"/>
        </w:rPr>
        <w:t>本条依据《无人驾驶航空器飞行管理暂行条例》及《民用无人驾驶航空器系统空中交通管理办法》（MD-TM-2016-004）发展而来。相关法规对禁飞/限飞、机场净空、重要目标控制等提出制度性要求，故在选址层面具体体现在：应将禁飞/限飞区域、机场及其净空保护范围、重要目标周边控制区域及其他依法应限制飞行的空间单元作为硬性约束进行前置剔除，并与片区公共安全组织要求协同，确保候选点具备合规运行基础。</w:t>
      </w:r>
    </w:p>
    <w:p w14:paraId="274B9A42">
      <w:pPr>
        <w:pStyle w:val="70"/>
        <w:spacing w:beforeLines="0" w:afterLines="0" w:line="360" w:lineRule="auto"/>
        <w:outlineLvl w:val="0"/>
        <w:rPr>
          <w:rFonts w:hint="eastAsia" w:ascii="宋体" w:hAnsi="宋体" w:eastAsia="宋体" w:cs="宋体"/>
          <w:b w:val="0"/>
          <w:sz w:val="24"/>
          <w:szCs w:val="24"/>
        </w:rPr>
      </w:pPr>
      <w:r>
        <w:rPr>
          <w:rFonts w:hint="eastAsia" w:ascii="宋体" w:hAnsi="宋体" w:eastAsia="宋体" w:cs="宋体"/>
          <w:b/>
          <w:bCs/>
          <w:sz w:val="24"/>
          <w:szCs w:val="24"/>
        </w:rPr>
        <w:t xml:space="preserve">6.3.6 </w:t>
      </w:r>
      <w:r>
        <w:rPr>
          <w:rFonts w:hint="eastAsia" w:ascii="宋体" w:hAnsi="宋体" w:eastAsia="宋体" w:cs="宋体"/>
          <w:b w:val="0"/>
          <w:sz w:val="24"/>
          <w:szCs w:val="24"/>
        </w:rPr>
        <w:t>本条依据《城市场景轻小型无人驾驶航空器物流航线划设规范》（MH/T 4054-2022）第 5.4 条发展而来。规范提出需开展公众可接受性评估并综合环境影响与地面风险，故在选址与运行层面具体体现在：应避免在噪声敏感区（居住、医院、学校等）周边密集布设；必要时宜通过空间隔离或分时段运行降低扰动。</w:t>
      </w:r>
    </w:p>
    <w:p w14:paraId="602D8A50">
      <w:pPr>
        <w:pStyle w:val="70"/>
        <w:spacing w:beforeLines="0" w:afterLines="0" w:line="360" w:lineRule="auto"/>
        <w:outlineLvl w:val="0"/>
        <w:rPr>
          <w:rFonts w:hint="eastAsia" w:ascii="宋体" w:hAnsi="宋体" w:eastAsia="宋体" w:cs="宋体"/>
          <w:b w:val="0"/>
          <w:sz w:val="24"/>
          <w:szCs w:val="24"/>
        </w:rPr>
      </w:pPr>
      <w:r>
        <w:rPr>
          <w:rFonts w:hint="eastAsia" w:ascii="宋体" w:hAnsi="宋体" w:eastAsia="宋体" w:cs="宋体"/>
          <w:b/>
          <w:bCs/>
          <w:sz w:val="24"/>
          <w:szCs w:val="24"/>
        </w:rPr>
        <w:t xml:space="preserve">6.3.7 </w:t>
      </w:r>
      <w:r>
        <w:rPr>
          <w:rFonts w:hint="eastAsia" w:ascii="宋体" w:hAnsi="宋体" w:eastAsia="宋体" w:cs="宋体"/>
          <w:b w:val="0"/>
          <w:sz w:val="24"/>
          <w:szCs w:val="24"/>
        </w:rPr>
        <w:t>本条依据《电动垂直起降航空器（eVTOL）起降场技术要求》（T/CCAATB 0062—2024）第 7 条及《民用无人驾驶航空器系统适航安全评定指南》发展而来。相关文件要求对气象、电磁等运行环境开展调查评估，故在选址与运行层面具体体现在：宜同步校核风场、光环境、电磁干扰等物理环境条件；对电磁、振动等干扰风险较高的载体，应采取适配性措施。</w:t>
      </w:r>
    </w:p>
    <w:p w14:paraId="739036A1">
      <w:pPr>
        <w:pStyle w:val="70"/>
        <w:spacing w:beforeLines="0" w:afterLines="0" w:line="360" w:lineRule="auto"/>
        <w:outlineLvl w:val="0"/>
        <w:rPr>
          <w:rFonts w:hint="eastAsia" w:ascii="宋体" w:hAnsi="宋体" w:eastAsia="宋体" w:cs="宋体"/>
          <w:b w:val="0"/>
          <w:sz w:val="24"/>
          <w:szCs w:val="24"/>
        </w:rPr>
      </w:pPr>
    </w:p>
    <w:p w14:paraId="05830B8C">
      <w:pPr>
        <w:spacing w:beforeLines="0" w:afterLines="0" w:line="360" w:lineRule="auto"/>
        <w:jc w:val="center"/>
        <w:outlineLvl w:val="1"/>
        <w:rPr>
          <w:rFonts w:hint="eastAsia" w:ascii="宋体" w:hAnsi="宋体" w:eastAsia="宋体" w:cs="宋体"/>
          <w:b/>
          <w:sz w:val="28"/>
          <w:szCs w:val="28"/>
        </w:rPr>
      </w:pPr>
      <w:r>
        <w:rPr>
          <w:rFonts w:hint="eastAsia" w:ascii="宋体" w:hAnsi="宋体" w:eastAsia="宋体" w:cs="宋体"/>
          <w:b/>
          <w:sz w:val="28"/>
          <w:szCs w:val="28"/>
        </w:rPr>
        <w:t>7 立体景观配置</w:t>
      </w:r>
    </w:p>
    <w:p w14:paraId="426A0B44">
      <w:pPr>
        <w:spacing w:beforeLines="0" w:afterLines="0" w:line="360" w:lineRule="auto"/>
        <w:rPr>
          <w:rFonts w:hint="eastAsia" w:ascii="宋体" w:hAnsi="宋体" w:eastAsia="宋体" w:cs="宋体"/>
          <w:sz w:val="24"/>
          <w:szCs w:val="24"/>
        </w:rPr>
      </w:pPr>
      <w:r>
        <w:rPr>
          <w:rFonts w:hint="eastAsia" w:ascii="宋体" w:hAnsi="宋体" w:eastAsia="宋体" w:cs="宋体"/>
          <w:b/>
          <w:bCs/>
          <w:sz w:val="24"/>
          <w:szCs w:val="24"/>
        </w:rPr>
        <w:t>7.</w:t>
      </w:r>
      <w:r>
        <w:rPr>
          <w:rFonts w:hint="eastAsia" w:ascii="宋体" w:hAnsi="宋体" w:eastAsia="宋体" w:cs="宋体"/>
          <w:b/>
          <w:bCs/>
          <w:sz w:val="24"/>
          <w:szCs w:val="24"/>
          <w:lang w:val="en-US" w:eastAsia="zh-CN"/>
        </w:rPr>
        <w:t>0</w:t>
      </w:r>
      <w:r>
        <w:rPr>
          <w:rFonts w:hint="eastAsia" w:ascii="宋体" w:hAnsi="宋体" w:eastAsia="宋体" w:cs="宋体"/>
          <w:b/>
          <w:bCs/>
          <w:sz w:val="24"/>
          <w:szCs w:val="24"/>
        </w:rPr>
        <w:t>.1</w:t>
      </w:r>
      <w:r>
        <w:rPr>
          <w:rFonts w:hint="eastAsia" w:ascii="宋体" w:hAnsi="宋体" w:eastAsia="宋体" w:cs="宋体"/>
          <w:sz w:val="24"/>
          <w:szCs w:val="24"/>
        </w:rPr>
        <w:t>高强度片区建筑密度大、界面连续，易产生视域压缩与空间闭塞，影响景观感受与环境舒适性。本条提出“立体连续、层次清晰、通透有序”的总体原则，旨在从城市三维空间组织层面，统筹建筑间距与体量退让、视线通廊、公共开放空间与景观节点等要素，构建可感知的多层次景观体系。通过视廊与节点的组织，增强景观可见性与连续性。条文同时强调不宜形成近距离压迫性界面或封闭、单一的视觉空间，以避免由体量贴近、界面过于完整导致的压迫感与单调感。</w:t>
      </w:r>
    </w:p>
    <w:p w14:paraId="3ACC43EC">
      <w:pPr>
        <w:spacing w:beforeLines="0" w:afterLines="0" w:line="360" w:lineRule="auto"/>
        <w:rPr>
          <w:rFonts w:hint="eastAsia" w:ascii="宋体" w:hAnsi="宋体" w:eastAsia="宋体" w:cs="宋体"/>
          <w:sz w:val="24"/>
          <w:szCs w:val="24"/>
        </w:rPr>
      </w:pPr>
      <w:r>
        <w:rPr>
          <w:rFonts w:hint="eastAsia" w:ascii="宋体" w:hAnsi="宋体" w:eastAsia="宋体" w:cs="宋体"/>
          <w:b/>
          <w:bCs/>
          <w:sz w:val="24"/>
          <w:szCs w:val="24"/>
        </w:rPr>
        <w:t>7.</w:t>
      </w:r>
      <w:r>
        <w:rPr>
          <w:rFonts w:hint="eastAsia" w:ascii="宋体" w:hAnsi="宋体" w:eastAsia="宋体" w:cs="宋体"/>
          <w:b/>
          <w:bCs/>
          <w:sz w:val="24"/>
          <w:szCs w:val="24"/>
          <w:lang w:val="en-US" w:eastAsia="zh-CN"/>
        </w:rPr>
        <w:t>0</w:t>
      </w:r>
      <w:r>
        <w:rPr>
          <w:rFonts w:hint="eastAsia" w:ascii="宋体" w:hAnsi="宋体" w:eastAsia="宋体" w:cs="宋体"/>
          <w:b/>
          <w:bCs/>
          <w:sz w:val="24"/>
          <w:szCs w:val="24"/>
        </w:rPr>
        <w:t>.2</w:t>
      </w:r>
      <w:r>
        <w:rPr>
          <w:rFonts w:hint="eastAsia" w:ascii="宋体" w:hAnsi="宋体" w:eastAsia="宋体" w:cs="宋体"/>
          <w:sz w:val="24"/>
          <w:szCs w:val="24"/>
        </w:rPr>
        <w:t>高强度片区人群活动呈现高度室内化的背景下，窗景作为高频、低成本的日常环境暴露方式，其自然景观可见程度与舒适感、恢复体验等密切相关。基于此，本条要求立体景观配置纳入窗景视角的综合评估，重点优化绿化、建筑与天空等要素的可视结构与连续性，避免近景连续遮挡、建筑界面占比过大或天空可视性不足等不利视觉效应，从而提升窗景的恢复潜力与健康效益。</w:t>
      </w:r>
    </w:p>
    <w:p w14:paraId="5F38854C">
      <w:pPr>
        <w:spacing w:beforeLines="0" w:afterLines="0" w:line="360" w:lineRule="auto"/>
        <w:rPr>
          <w:rFonts w:hint="eastAsia" w:ascii="宋体" w:hAnsi="宋体" w:eastAsia="宋体" w:cs="宋体"/>
          <w:sz w:val="24"/>
          <w:szCs w:val="24"/>
        </w:rPr>
      </w:pPr>
      <w:r>
        <w:rPr>
          <w:rFonts w:hint="eastAsia" w:ascii="宋体" w:hAnsi="宋体" w:eastAsia="宋体" w:cs="宋体"/>
          <w:b/>
          <w:bCs/>
          <w:sz w:val="24"/>
          <w:szCs w:val="24"/>
        </w:rPr>
        <w:t>7.</w:t>
      </w:r>
      <w:r>
        <w:rPr>
          <w:rFonts w:hint="eastAsia" w:ascii="宋体" w:hAnsi="宋体" w:eastAsia="宋体" w:cs="宋体"/>
          <w:b/>
          <w:bCs/>
          <w:sz w:val="24"/>
          <w:szCs w:val="24"/>
          <w:lang w:val="en-US" w:eastAsia="zh-CN"/>
        </w:rPr>
        <w:t>0</w:t>
      </w:r>
      <w:r>
        <w:rPr>
          <w:rFonts w:hint="eastAsia" w:ascii="宋体" w:hAnsi="宋体" w:eastAsia="宋体" w:cs="宋体"/>
          <w:b/>
          <w:bCs/>
          <w:sz w:val="24"/>
          <w:szCs w:val="24"/>
        </w:rPr>
        <w:t>.3</w:t>
      </w:r>
      <w:r>
        <w:rPr>
          <w:rFonts w:hint="eastAsia" w:ascii="宋体" w:hAnsi="宋体" w:eastAsia="宋体" w:cs="宋体"/>
          <w:sz w:val="24"/>
          <w:szCs w:val="24"/>
        </w:rPr>
        <w:t>高强度片区若采用连续高密度绿化或不当的高度控制，容易形成视觉屏障，造成视线阻隔与压迫感。本条强调精细化控制，目标是形成“疏密有致、透景可达”的绿化界面，即在保证一定绿量与遮荫效益的同时，为视线渗透与景深提供必要的通透性。</w:t>
      </w:r>
    </w:p>
    <w:p w14:paraId="45A4BE30">
      <w:pPr>
        <w:spacing w:beforeLines="0" w:afterLines="0" w:line="360" w:lineRule="auto"/>
        <w:rPr>
          <w:rFonts w:hint="eastAsia" w:ascii="宋体" w:hAnsi="宋体" w:eastAsia="宋体" w:cs="宋体"/>
          <w:sz w:val="24"/>
          <w:szCs w:val="24"/>
        </w:rPr>
      </w:pPr>
      <w:r>
        <w:rPr>
          <w:rFonts w:hint="eastAsia" w:ascii="宋体" w:hAnsi="宋体" w:eastAsia="宋体" w:cs="宋体"/>
          <w:b/>
          <w:bCs/>
          <w:sz w:val="24"/>
          <w:szCs w:val="24"/>
        </w:rPr>
        <w:t>7.</w:t>
      </w:r>
      <w:r>
        <w:rPr>
          <w:rFonts w:hint="eastAsia" w:ascii="宋体" w:hAnsi="宋体" w:eastAsia="宋体" w:cs="宋体"/>
          <w:b/>
          <w:bCs/>
          <w:sz w:val="24"/>
          <w:szCs w:val="24"/>
          <w:lang w:val="en-US" w:eastAsia="zh-CN"/>
        </w:rPr>
        <w:t>0</w:t>
      </w:r>
      <w:r>
        <w:rPr>
          <w:rFonts w:hint="eastAsia" w:ascii="宋体" w:hAnsi="宋体" w:eastAsia="宋体" w:cs="宋体"/>
          <w:b/>
          <w:bCs/>
          <w:sz w:val="24"/>
          <w:szCs w:val="24"/>
        </w:rPr>
        <w:t>.4</w:t>
      </w:r>
      <w:r>
        <w:rPr>
          <w:rFonts w:hint="eastAsia" w:ascii="宋体" w:hAnsi="宋体" w:eastAsia="宋体" w:cs="宋体"/>
          <w:sz w:val="24"/>
          <w:szCs w:val="24"/>
        </w:rPr>
        <w:t>将绿化集中布置或形成大尺度同质界面，易导致景观构图单一、景深不足与视觉疲劳。本条提出分层、交错、疏密有致的组织方式，旨在增强前—中—远景之间的层次关系与视觉丰富性，提升景深与空间延展感。同时，植物形态、色彩与季相的综合配置可在不同季节与不同光照条件下维持稳定的景观吸引力与生态活力感，避免景观在时间维度上“单季有效”或因色彩、形态过于单一导致的品质衰减。</w:t>
      </w:r>
    </w:p>
    <w:p w14:paraId="340AB819">
      <w:pPr>
        <w:pStyle w:val="70"/>
        <w:spacing w:beforeLines="0" w:afterLines="0" w:line="360" w:lineRule="auto"/>
        <w:rPr>
          <w:rFonts w:hint="default"/>
          <w:sz w:val="28"/>
          <w:szCs w:val="24"/>
        </w:rPr>
      </w:pPr>
    </w:p>
    <w:p w14:paraId="236351B6">
      <w:pPr>
        <w:rPr>
          <w:rFonts w:hint="eastAsia"/>
        </w:rPr>
      </w:pPr>
    </w:p>
    <w:sectPr>
      <w:footerReference r:id="rId7" w:type="default"/>
      <w:footerReference r:id="rId8" w:type="even"/>
      <w:pgSz w:w="11906" w:h="16838"/>
      <w:pgMar w:top="1440" w:right="1800" w:bottom="1440" w:left="1800" w:header="851" w:footer="992" w:gutter="0"/>
      <w:pgNumType w:start="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等线">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800002BF" w:usb1="004F7CFA" w:usb2="00000000" w:usb3="00000000" w:csb0="00040001" w:csb1="00000000"/>
  </w:font>
  <w:font w:name="等线 Light">
    <w:altName w:val="汉仪中等线KW"/>
    <w:panose1 w:val="02010600030101010101"/>
    <w:charset w:val="86"/>
    <w:family w:val="auto"/>
    <w:pitch w:val="default"/>
    <w:sig w:usb0="00000000" w:usb1="00000000" w:usb2="00000016" w:usb3="00000000" w:csb0="0004000F" w:csb1="00000000"/>
  </w:font>
  <w:font w:name="汉仪中黑KW">
    <w:panose1 w:val="00020600040101010101"/>
    <w:charset w:val="86"/>
    <w:family w:val="auto"/>
    <w:pitch w:val="default"/>
    <w:sig w:usb0="A00002BF" w:usb1="18EF7CFA" w:usb2="00000016" w:usb3="00000000" w:csb0="00040000" w:csb1="00000000"/>
  </w:font>
  <w:font w:name="方正仿宋_GB2312">
    <w:altName w:val="方正仿宋_GBK"/>
    <w:panose1 w:val="02000000000000000000"/>
    <w:charset w:val="86"/>
    <w:family w:val="auto"/>
    <w:pitch w:val="default"/>
    <w:sig w:usb0="00000000" w:usb1="00000000" w:usb2="00000012" w:usb3="00000000" w:csb0="00040001" w:csb1="00000000"/>
  </w:font>
  <w:font w:name="方正仿宋_GBK">
    <w:panose1 w:val="02000000000000000000"/>
    <w:charset w:val="86"/>
    <w:family w:val="auto"/>
    <w:pitch w:val="default"/>
    <w:sig w:usb0="A00002BF" w:usb1="38CF7CFA" w:usb2="00082016"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Times New Roman Bold">
    <w:panose1 w:val="02020503050405090304"/>
    <w:charset w:val="00"/>
    <w:family w:val="auto"/>
    <w:pitch w:val="default"/>
    <w:sig w:usb0="E0000AFF" w:usb1="00007843" w:usb2="00000001" w:usb3="00000000" w:csb0="400001BF" w:csb1="DFF70000"/>
  </w:font>
  <w:font w:name="Heiti SC Medium">
    <w:panose1 w:val="02000000000000000000"/>
    <w:charset w:val="86"/>
    <w:family w:val="auto"/>
    <w:pitch w:val="default"/>
    <w:sig w:usb0="8000002F" w:usb1="0800004A" w:usb2="00000000" w:usb3="00000000" w:csb0="203E0000" w:csb1="00000000"/>
  </w:font>
  <w:font w:name="等线">
    <w:altName w:val="汉仪中等线KW"/>
    <w:panose1 w:val="00000000000000000000"/>
    <w:charset w:val="00"/>
    <w:family w:val="auto"/>
    <w:pitch w:val="default"/>
    <w:sig w:usb0="00000000" w:usb1="00000000" w:usb2="00000000" w:usb3="00000000" w:csb0="00000000" w:csb1="00000000"/>
  </w:font>
  <w:font w:name="宋体-简">
    <w:panose1 w:val="02010800040101010101"/>
    <w:charset w:val="86"/>
    <w:family w:val="auto"/>
    <w:pitch w:val="default"/>
    <w:sig w:usb0="00000001" w:usb1="080F0000" w:usb2="00000000" w:usb3="00000000" w:csb0="00040000" w:csb1="00000000"/>
  </w:font>
  <w:font w:name="等线 Light">
    <w:altName w:val="汉仪中等线KW"/>
    <w:panose1 w:val="00000000000000000000"/>
    <w:charset w:val="00"/>
    <w:family w:val="auto"/>
    <w:pitch w:val="default"/>
    <w:sig w:usb0="00000000" w:usb1="00000000" w:usb2="00000000" w:usb3="00000000" w:csb0="00000000" w:csb1="00000000"/>
  </w:font>
  <w:font w:name="Kingsoft Sign">
    <w:panose1 w:val="05050102010706020507"/>
    <w:charset w:val="00"/>
    <w:family w:val="auto"/>
    <w:pitch w:val="default"/>
    <w:sig w:usb0="00000000" w:usb1="10000000" w:usb2="00000000" w:usb3="00000000" w:csb0="00000001" w:csb1="00000000"/>
  </w:font>
  <w:font w:name="PingFang SC">
    <w:panose1 w:val="020B0400000000000000"/>
    <w:charset w:val="86"/>
    <w:family w:val="auto"/>
    <w:pitch w:val="default"/>
    <w:sig w:usb0="A00002FF" w:usb1="7ACFFDFB" w:usb2="00000017" w:usb3="00000000" w:csb0="00040001" w:csb1="00000000"/>
  </w:font>
  <w:font w:name="Tahoma">
    <w:panose1 w:val="020B0604030504040204"/>
    <w:charset w:val="00"/>
    <w:family w:val="auto"/>
    <w:pitch w:val="default"/>
    <w:sig w:usb0="E1002AFF" w:usb1="C000605B" w:usb2="00000029" w:usb3="00000000" w:csb0="200101FF" w:csb1="20280000"/>
  </w:font>
  <w:font w:name="儷宋 Pro">
    <w:panose1 w:val="02020300000000000000"/>
    <w:charset w:val="88"/>
    <w:family w:val="auto"/>
    <w:pitch w:val="default"/>
    <w:sig w:usb0="80000001" w:usb1="28091800" w:usb2="00000016"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1C530F">
    <w:pPr>
      <w:pStyle w:val="15"/>
      <w:jc w:val="right"/>
      <w:rPr>
        <w:rFonts w:hint="eastAsia"/>
      </w:rPr>
    </w:pPr>
  </w:p>
  <w:p w14:paraId="4B95E804">
    <w:pPr>
      <w:pStyle w:val="15"/>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2A0E83">
    <w:pPr>
      <w:pStyle w:val="15"/>
      <w:ind w:right="360"/>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FEDBC7">
    <w:pPr>
      <w:pStyle w:val="15"/>
      <w:framePr w:wrap="auto" w:vAnchor="text" w:hAnchor="margin" w:xAlign="right" w:y="1"/>
      <w:rPr>
        <w:rStyle w:val="28"/>
        <w:rFonts w:hint="eastAsia"/>
      </w:rPr>
    </w:pPr>
  </w:p>
  <w:p w14:paraId="05422CE6">
    <w:pPr>
      <w:pStyle w:val="15"/>
      <w:ind w:right="360"/>
      <w:rPr>
        <w:rFonts w:hint="eastAsi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77615869"/>
      <w:docPartObj>
        <w:docPartGallery w:val="autotext"/>
      </w:docPartObj>
    </w:sdtPr>
    <w:sdtEndPr>
      <w:rPr>
        <w:rFonts w:ascii="仿宋" w:hAnsi="仿宋" w:eastAsia="仿宋" w:cs="Times New Roman"/>
        <w:sz w:val="20"/>
        <w:szCs w:val="20"/>
      </w:rPr>
    </w:sdtEndPr>
    <w:sdtContent>
      <w:p w14:paraId="7ECEAEAA">
        <w:pPr>
          <w:pStyle w:val="15"/>
          <w:jc w:val="right"/>
          <w:rPr>
            <w:rFonts w:ascii="Times New Roman" w:hAnsi="Times New Roman" w:cs="Times New Roman"/>
            <w:sz w:val="20"/>
            <w:szCs w:val="20"/>
          </w:rPr>
        </w:pPr>
        <w:r>
          <w:rPr>
            <w:rFonts w:ascii="仿宋" w:hAnsi="仿宋" w:eastAsia="仿宋" w:cs="Times New Roman"/>
            <w:sz w:val="20"/>
            <w:szCs w:val="20"/>
          </w:rPr>
          <w:t>·</w:t>
        </w:r>
        <w:r>
          <w:rPr>
            <w:rFonts w:ascii="Times New Roman" w:hAnsi="Times New Roman" w:cs="Times New Roman"/>
            <w:sz w:val="20"/>
            <w:szCs w:val="20"/>
          </w:rPr>
          <w:fldChar w:fldCharType="begin"/>
        </w:r>
        <w:r>
          <w:rPr>
            <w:rFonts w:ascii="Times New Roman" w:hAnsi="Times New Roman" w:cs="Times New Roman"/>
            <w:sz w:val="20"/>
            <w:szCs w:val="20"/>
          </w:rPr>
          <w:instrText xml:space="preserve">PAGE   \* MERGEFORMAT</w:instrText>
        </w:r>
        <w:r>
          <w:rPr>
            <w:rFonts w:ascii="Times New Roman" w:hAnsi="Times New Roman" w:cs="Times New Roman"/>
            <w:sz w:val="20"/>
            <w:szCs w:val="20"/>
          </w:rPr>
          <w:fldChar w:fldCharType="separate"/>
        </w:r>
        <w:r>
          <w:rPr>
            <w:rFonts w:ascii="Times New Roman" w:hAnsi="Times New Roman" w:cs="Times New Roman"/>
            <w:sz w:val="20"/>
            <w:szCs w:val="20"/>
            <w:lang w:val="zh-CN"/>
          </w:rPr>
          <w:t>2</w:t>
        </w:r>
        <w:r>
          <w:rPr>
            <w:rFonts w:ascii="Times New Roman" w:hAnsi="Times New Roman" w:cs="Times New Roman"/>
            <w:sz w:val="20"/>
            <w:szCs w:val="20"/>
          </w:rPr>
          <w:fldChar w:fldCharType="end"/>
        </w:r>
        <w:r>
          <w:rPr>
            <w:rFonts w:ascii="仿宋" w:hAnsi="仿宋" w:eastAsia="仿宋" w:cs="Times New Roman"/>
            <w:sz w:val="20"/>
            <w:szCs w:val="20"/>
          </w:rPr>
          <w:t>·</w:t>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29231167"/>
      <w:docPartObj>
        <w:docPartGallery w:val="autotext"/>
      </w:docPartObj>
    </w:sdtPr>
    <w:sdtContent>
      <w:p w14:paraId="4B116B59">
        <w:pPr>
          <w:pStyle w:val="15"/>
          <w:jc w:val="right"/>
          <w:rPr>
            <w:rFonts w:hint="eastAsia" w:ascii="仿宋" w:hAnsi="仿宋" w:eastAsia="仿宋" w:cs="Times New Roman"/>
            <w:sz w:val="20"/>
            <w:szCs w:val="20"/>
          </w:rPr>
        </w:pPr>
        <w:sdt>
          <w:sdtPr>
            <w:id w:val="-1"/>
            <w:docPartObj>
              <w:docPartGallery w:val="autotext"/>
            </w:docPartObj>
          </w:sdtPr>
          <w:sdtEndPr>
            <w:rPr>
              <w:rFonts w:ascii="仿宋" w:hAnsi="仿宋" w:eastAsia="仿宋" w:cs="Times New Roman"/>
              <w:sz w:val="20"/>
              <w:szCs w:val="20"/>
            </w:rPr>
          </w:sdtEndPr>
          <w:sdtContent>
            <w:r>
              <w:rPr>
                <w:rFonts w:ascii="仿宋" w:hAnsi="仿宋" w:eastAsia="仿宋" w:cs="Times New Roman"/>
                <w:sz w:val="20"/>
                <w:szCs w:val="20"/>
              </w:rPr>
              <w:t>·</w:t>
            </w:r>
            <w:r>
              <w:rPr>
                <w:rFonts w:ascii="Times New Roman" w:hAnsi="Times New Roman" w:cs="Times New Roman"/>
                <w:sz w:val="20"/>
                <w:szCs w:val="20"/>
              </w:rPr>
              <w:fldChar w:fldCharType="begin"/>
            </w:r>
            <w:r>
              <w:rPr>
                <w:rFonts w:ascii="Times New Roman" w:hAnsi="Times New Roman" w:cs="Times New Roman"/>
                <w:sz w:val="20"/>
                <w:szCs w:val="20"/>
              </w:rPr>
              <w:instrText xml:space="preserve">PAGE   \* MERGEFORMAT</w:instrText>
            </w:r>
            <w:r>
              <w:rPr>
                <w:rFonts w:ascii="Times New Roman" w:hAnsi="Times New Roman" w:cs="Times New Roman"/>
                <w:sz w:val="20"/>
                <w:szCs w:val="20"/>
              </w:rPr>
              <w:fldChar w:fldCharType="separate"/>
            </w:r>
            <w:r>
              <w:rPr>
                <w:rFonts w:ascii="Times New Roman" w:hAnsi="Times New Roman" w:cs="Times New Roman"/>
                <w:sz w:val="20"/>
                <w:szCs w:val="20"/>
              </w:rPr>
              <w:t>1</w:t>
            </w:r>
            <w:r>
              <w:rPr>
                <w:rFonts w:ascii="Times New Roman" w:hAnsi="Times New Roman" w:cs="Times New Roman"/>
                <w:sz w:val="20"/>
                <w:szCs w:val="20"/>
              </w:rPr>
              <w:fldChar w:fldCharType="end"/>
            </w:r>
            <w:r>
              <w:rPr>
                <w:rFonts w:ascii="仿宋" w:hAnsi="仿宋" w:eastAsia="仿宋" w:cs="Times New Roman"/>
                <w:sz w:val="20"/>
                <w:szCs w:val="20"/>
              </w:rPr>
              <w:t>·</w:t>
            </w:r>
          </w:sdtContent>
        </w:sdt>
      </w:p>
    </w:sdtContent>
  </w:sdt>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BE3BA6">
    <w:pPr>
      <w:pStyle w:val="15"/>
      <w:ind w:right="360"/>
      <w:rPr>
        <w:rFonts w:hint="eastAsia"/>
      </w:rPr>
    </w:pPr>
    <w:sdt>
      <w:sdtPr>
        <w:id w:val="1754624376"/>
        <w:docPartObj>
          <w:docPartGallery w:val="autotext"/>
        </w:docPartObj>
      </w:sdtPr>
      <w:sdtEndPr>
        <w:rPr>
          <w:rFonts w:ascii="仿宋" w:hAnsi="仿宋" w:eastAsia="仿宋" w:cs="Times New Roman"/>
          <w:sz w:val="20"/>
          <w:szCs w:val="20"/>
        </w:rPr>
      </w:sdtEndPr>
      <w:sdtContent>
        <w:r>
          <w:rPr>
            <w:rFonts w:ascii="仿宋" w:hAnsi="仿宋" w:eastAsia="仿宋" w:cs="Times New Roman"/>
            <w:sz w:val="20"/>
            <w:szCs w:val="20"/>
          </w:rPr>
          <w:t>·</w:t>
        </w:r>
        <w:r>
          <w:rPr>
            <w:rFonts w:ascii="Times New Roman" w:hAnsi="Times New Roman" w:cs="Times New Roman"/>
            <w:sz w:val="20"/>
            <w:szCs w:val="20"/>
          </w:rPr>
          <w:fldChar w:fldCharType="begin"/>
        </w:r>
        <w:r>
          <w:rPr>
            <w:rFonts w:ascii="Times New Roman" w:hAnsi="Times New Roman" w:cs="Times New Roman"/>
            <w:sz w:val="20"/>
            <w:szCs w:val="20"/>
          </w:rPr>
          <w:instrText xml:space="preserve">PAGE   \* MERGEFORMAT</w:instrText>
        </w:r>
        <w:r>
          <w:rPr>
            <w:rFonts w:ascii="Times New Roman" w:hAnsi="Times New Roman" w:cs="Times New Roman"/>
            <w:sz w:val="20"/>
            <w:szCs w:val="20"/>
          </w:rPr>
          <w:fldChar w:fldCharType="separate"/>
        </w:r>
        <w:r>
          <w:rPr>
            <w:rFonts w:ascii="Times New Roman" w:hAnsi="Times New Roman" w:cs="Times New Roman"/>
            <w:sz w:val="20"/>
            <w:szCs w:val="20"/>
          </w:rPr>
          <w:t>3</w:t>
        </w:r>
        <w:r>
          <w:rPr>
            <w:rFonts w:ascii="Times New Roman" w:hAnsi="Times New Roman" w:cs="Times New Roman"/>
            <w:sz w:val="20"/>
            <w:szCs w:val="20"/>
          </w:rPr>
          <w:fldChar w:fldCharType="end"/>
        </w:r>
        <w:r>
          <w:rPr>
            <w:rFonts w:ascii="仿宋" w:hAnsi="仿宋" w:eastAsia="仿宋" w:cs="Times New Roman"/>
            <w:sz w:val="20"/>
            <w:szCs w:val="20"/>
          </w:rPr>
          <w:t>·</w:t>
        </w:r>
      </w:sdtContent>
    </w:sdt>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BD853CD"/>
    <w:multiLevelType w:val="multilevel"/>
    <w:tmpl w:val="4BD853CD"/>
    <w:lvl w:ilvl="0" w:tentative="0">
      <w:start w:val="1"/>
      <w:numFmt w:val="decimal"/>
      <w:pStyle w:val="52"/>
      <w:lvlText w:val="4.2.%1"/>
      <w:lvlJc w:val="left"/>
      <w:pPr>
        <w:ind w:left="0" w:firstLine="0"/>
      </w:pPr>
      <w:rPr>
        <w:rFonts w:hint="default" w:ascii="Times New Roman" w:hAnsi="Times New Roman"/>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0EB12C0"/>
    <w:multiLevelType w:val="multilevel"/>
    <w:tmpl w:val="50EB12C0"/>
    <w:lvl w:ilvl="0" w:tentative="0">
      <w:start w:val="1"/>
      <w:numFmt w:val="decimal"/>
      <w:pStyle w:val="49"/>
      <w:lvlText w:val="4.1.%1"/>
      <w:lvlJc w:val="left"/>
      <w:pPr>
        <w:ind w:left="142" w:firstLine="0"/>
      </w:pPr>
      <w:rPr>
        <w:rFonts w:hint="default" w:ascii="Times New Roman" w:hAnsi="Times New Roman" w:eastAsia="宋体" w:cs="Times New Roman"/>
        <w:b/>
        <w:i w:val="0"/>
      </w:rPr>
    </w:lvl>
    <w:lvl w:ilvl="1" w:tentative="0">
      <w:start w:val="1"/>
      <w:numFmt w:val="lowerLetter"/>
      <w:lvlText w:val="%2)"/>
      <w:lvlJc w:val="left"/>
      <w:pPr>
        <w:ind w:left="-294" w:hanging="420"/>
      </w:pPr>
    </w:lvl>
    <w:lvl w:ilvl="2" w:tentative="0">
      <w:start w:val="1"/>
      <w:numFmt w:val="lowerRoman"/>
      <w:lvlText w:val="%3."/>
      <w:lvlJc w:val="right"/>
      <w:pPr>
        <w:ind w:left="126" w:hanging="420"/>
      </w:pPr>
    </w:lvl>
    <w:lvl w:ilvl="3" w:tentative="0">
      <w:start w:val="1"/>
      <w:numFmt w:val="decimal"/>
      <w:lvlText w:val="%4."/>
      <w:lvlJc w:val="left"/>
      <w:pPr>
        <w:ind w:left="546" w:hanging="420"/>
      </w:pPr>
    </w:lvl>
    <w:lvl w:ilvl="4" w:tentative="0">
      <w:start w:val="1"/>
      <w:numFmt w:val="lowerLetter"/>
      <w:lvlText w:val="%5)"/>
      <w:lvlJc w:val="left"/>
      <w:pPr>
        <w:ind w:left="966" w:hanging="420"/>
      </w:pPr>
    </w:lvl>
    <w:lvl w:ilvl="5" w:tentative="0">
      <w:start w:val="1"/>
      <w:numFmt w:val="lowerRoman"/>
      <w:lvlText w:val="%6."/>
      <w:lvlJc w:val="right"/>
      <w:pPr>
        <w:ind w:left="1386" w:hanging="420"/>
      </w:pPr>
    </w:lvl>
    <w:lvl w:ilvl="6" w:tentative="0">
      <w:start w:val="1"/>
      <w:numFmt w:val="decimal"/>
      <w:lvlText w:val="%7."/>
      <w:lvlJc w:val="left"/>
      <w:pPr>
        <w:ind w:left="1806" w:hanging="420"/>
      </w:pPr>
    </w:lvl>
    <w:lvl w:ilvl="7" w:tentative="0">
      <w:start w:val="1"/>
      <w:numFmt w:val="lowerLetter"/>
      <w:lvlText w:val="%8)"/>
      <w:lvlJc w:val="left"/>
      <w:pPr>
        <w:ind w:left="2226" w:hanging="420"/>
      </w:pPr>
    </w:lvl>
    <w:lvl w:ilvl="8" w:tentative="0">
      <w:start w:val="1"/>
      <w:numFmt w:val="lowerRoman"/>
      <w:lvlText w:val="%9."/>
      <w:lvlJc w:val="right"/>
      <w:pPr>
        <w:ind w:left="2646" w:hanging="420"/>
      </w:pPr>
    </w:lvl>
  </w:abstractNum>
  <w:abstractNum w:abstractNumId="2">
    <w:nsid w:val="5342261D"/>
    <w:multiLevelType w:val="multilevel"/>
    <w:tmpl w:val="5342261D"/>
    <w:lvl w:ilvl="0" w:tentative="0">
      <w:start w:val="4"/>
      <w:numFmt w:val="decimal"/>
      <w:suff w:val="space"/>
      <w:lvlText w:val="%1"/>
      <w:lvlJc w:val="left"/>
      <w:pPr>
        <w:ind w:left="480" w:hanging="480"/>
      </w:pPr>
      <w:rPr>
        <w:rFonts w:hint="default"/>
        <w:b/>
      </w:rPr>
    </w:lvl>
    <w:lvl w:ilvl="1" w:tentative="0">
      <w:start w:val="1"/>
      <w:numFmt w:val="decimal"/>
      <w:pStyle w:val="60"/>
      <w:lvlText w:val="%1.%2"/>
      <w:lvlJc w:val="left"/>
      <w:pPr>
        <w:ind w:left="480" w:hanging="480"/>
      </w:pPr>
      <w:rPr>
        <w:rFonts w:hint="default"/>
        <w:b/>
      </w:rPr>
    </w:lvl>
    <w:lvl w:ilvl="2" w:tentative="0">
      <w:start w:val="1"/>
      <w:numFmt w:val="decimal"/>
      <w:lvlRestart w:val="1"/>
      <w:suff w:val="space"/>
      <w:lvlText w:val="%1.%2.%3"/>
      <w:lvlJc w:val="left"/>
      <w:pPr>
        <w:tabs>
          <w:tab w:val="left" w:pos="0"/>
        </w:tabs>
        <w:ind w:left="720" w:hanging="720"/>
      </w:pPr>
      <w:rPr>
        <w:rFonts w:hint="default"/>
        <w:b/>
      </w:rPr>
    </w:lvl>
    <w:lvl w:ilvl="3" w:tentative="0">
      <w:start w:val="1"/>
      <w:numFmt w:val="decimal"/>
      <w:lvlText w:val="%1.%2.%3.%4"/>
      <w:lvlJc w:val="left"/>
      <w:pPr>
        <w:tabs>
          <w:tab w:val="left" w:pos="420"/>
        </w:tabs>
        <w:ind w:left="720" w:hanging="720"/>
      </w:pPr>
      <w:rPr>
        <w:rFonts w:hint="default"/>
        <w:b/>
      </w:rPr>
    </w:lvl>
    <w:lvl w:ilvl="4" w:tentative="0">
      <w:start w:val="1"/>
      <w:numFmt w:val="decimal"/>
      <w:lvlText w:val="%1.%2.%3.%4.%5"/>
      <w:lvlJc w:val="left"/>
      <w:pPr>
        <w:ind w:left="1080" w:hanging="1080"/>
      </w:pPr>
      <w:rPr>
        <w:rFonts w:hint="default"/>
        <w:b/>
      </w:rPr>
    </w:lvl>
    <w:lvl w:ilvl="5" w:tentative="0">
      <w:start w:val="1"/>
      <w:numFmt w:val="decimal"/>
      <w:lvlText w:val="%1.%2.%3.%4.%5.%6"/>
      <w:lvlJc w:val="left"/>
      <w:pPr>
        <w:ind w:left="1080" w:hanging="1080"/>
      </w:pPr>
      <w:rPr>
        <w:rFonts w:hint="default"/>
        <w:b/>
      </w:rPr>
    </w:lvl>
    <w:lvl w:ilvl="6" w:tentative="0">
      <w:start w:val="1"/>
      <w:numFmt w:val="decimal"/>
      <w:lvlText w:val="%1.%2.%3.%4.%5.%6.%7"/>
      <w:lvlJc w:val="left"/>
      <w:pPr>
        <w:ind w:left="1440" w:hanging="1440"/>
      </w:pPr>
      <w:rPr>
        <w:rFonts w:hint="default"/>
        <w:b/>
      </w:rPr>
    </w:lvl>
    <w:lvl w:ilvl="7" w:tentative="0">
      <w:start w:val="1"/>
      <w:numFmt w:val="decimal"/>
      <w:lvlText w:val="%1.%2.%3.%4.%5.%6.%7.%8"/>
      <w:lvlJc w:val="left"/>
      <w:pPr>
        <w:ind w:left="1440" w:hanging="1440"/>
      </w:pPr>
      <w:rPr>
        <w:rFonts w:hint="default"/>
        <w:b/>
      </w:rPr>
    </w:lvl>
    <w:lvl w:ilvl="8" w:tentative="0">
      <w:start w:val="1"/>
      <w:numFmt w:val="decimal"/>
      <w:lvlText w:val="%1.%2.%3.%4.%5.%6.%7.%8.%9"/>
      <w:lvlJc w:val="left"/>
      <w:pPr>
        <w:ind w:left="1440" w:hanging="1440"/>
      </w:pPr>
      <w:rPr>
        <w:rFonts w:hint="default"/>
        <w:b/>
      </w:rPr>
    </w:lvl>
  </w:abstractNum>
  <w:abstractNum w:abstractNumId="3">
    <w:nsid w:val="79674140"/>
    <w:multiLevelType w:val="multilevel"/>
    <w:tmpl w:val="79674140"/>
    <w:lvl w:ilvl="0" w:tentative="0">
      <w:start w:val="1"/>
      <w:numFmt w:val="decimal"/>
      <w:pStyle w:val="55"/>
      <w:lvlText w:val="4.3.%1"/>
      <w:lvlJc w:val="left"/>
      <w:pPr>
        <w:ind w:left="0" w:firstLine="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7"/>
  <w:displayBackgroundShape w:val="1"/>
  <w:bordersDoNotSurroundHeader w:val="1"/>
  <w:bordersDoNotSurroundFooter w:val="1"/>
  <w:documentProtection w:enforcement="0"/>
  <w:defaultTabStop w:val="420"/>
  <w:evenAndOddHeaders w:val="1"/>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1B96"/>
    <w:rsid w:val="000034C3"/>
    <w:rsid w:val="0000670E"/>
    <w:rsid w:val="00010A90"/>
    <w:rsid w:val="00011B3C"/>
    <w:rsid w:val="00016F6E"/>
    <w:rsid w:val="0002249B"/>
    <w:rsid w:val="000229DF"/>
    <w:rsid w:val="00027987"/>
    <w:rsid w:val="00031241"/>
    <w:rsid w:val="0003442E"/>
    <w:rsid w:val="000426AA"/>
    <w:rsid w:val="0004568B"/>
    <w:rsid w:val="00045CAF"/>
    <w:rsid w:val="00046B3E"/>
    <w:rsid w:val="00047324"/>
    <w:rsid w:val="00063599"/>
    <w:rsid w:val="0006622C"/>
    <w:rsid w:val="0007006C"/>
    <w:rsid w:val="00075111"/>
    <w:rsid w:val="0008303B"/>
    <w:rsid w:val="00085DDA"/>
    <w:rsid w:val="00087714"/>
    <w:rsid w:val="00090472"/>
    <w:rsid w:val="000A07AC"/>
    <w:rsid w:val="000A3CC0"/>
    <w:rsid w:val="000B0B0F"/>
    <w:rsid w:val="000B0D90"/>
    <w:rsid w:val="000B2220"/>
    <w:rsid w:val="000C02C7"/>
    <w:rsid w:val="000C1E5E"/>
    <w:rsid w:val="000C297E"/>
    <w:rsid w:val="000C3A9F"/>
    <w:rsid w:val="000C473D"/>
    <w:rsid w:val="000C5329"/>
    <w:rsid w:val="000D3FB2"/>
    <w:rsid w:val="000E07D1"/>
    <w:rsid w:val="000E1014"/>
    <w:rsid w:val="000E1564"/>
    <w:rsid w:val="000E7950"/>
    <w:rsid w:val="000F1E15"/>
    <w:rsid w:val="00101AE9"/>
    <w:rsid w:val="0010284B"/>
    <w:rsid w:val="00106C20"/>
    <w:rsid w:val="00110C3E"/>
    <w:rsid w:val="00115D3C"/>
    <w:rsid w:val="00120FBD"/>
    <w:rsid w:val="001216E3"/>
    <w:rsid w:val="00127866"/>
    <w:rsid w:val="00135B0D"/>
    <w:rsid w:val="00146E53"/>
    <w:rsid w:val="0014734E"/>
    <w:rsid w:val="00150A0D"/>
    <w:rsid w:val="00157FD3"/>
    <w:rsid w:val="00160526"/>
    <w:rsid w:val="0016076B"/>
    <w:rsid w:val="00160D3C"/>
    <w:rsid w:val="00161D14"/>
    <w:rsid w:val="0016263C"/>
    <w:rsid w:val="00163B70"/>
    <w:rsid w:val="00165E74"/>
    <w:rsid w:val="00170359"/>
    <w:rsid w:val="0017395C"/>
    <w:rsid w:val="00173997"/>
    <w:rsid w:val="001807A6"/>
    <w:rsid w:val="00181FF0"/>
    <w:rsid w:val="00183B8E"/>
    <w:rsid w:val="0018461F"/>
    <w:rsid w:val="00194E30"/>
    <w:rsid w:val="00195041"/>
    <w:rsid w:val="00195F37"/>
    <w:rsid w:val="00196E9D"/>
    <w:rsid w:val="001A69F0"/>
    <w:rsid w:val="001B0635"/>
    <w:rsid w:val="001B0B27"/>
    <w:rsid w:val="001B367B"/>
    <w:rsid w:val="001C01BB"/>
    <w:rsid w:val="001C1EF1"/>
    <w:rsid w:val="001C2EBD"/>
    <w:rsid w:val="001C38E4"/>
    <w:rsid w:val="001C698A"/>
    <w:rsid w:val="001C7E07"/>
    <w:rsid w:val="001D2054"/>
    <w:rsid w:val="001D24A2"/>
    <w:rsid w:val="001D2C1A"/>
    <w:rsid w:val="001D642F"/>
    <w:rsid w:val="001E4B06"/>
    <w:rsid w:val="001E64EA"/>
    <w:rsid w:val="001F52CE"/>
    <w:rsid w:val="001F7A23"/>
    <w:rsid w:val="00200C98"/>
    <w:rsid w:val="00207F8F"/>
    <w:rsid w:val="00213A7A"/>
    <w:rsid w:val="002143A7"/>
    <w:rsid w:val="00217662"/>
    <w:rsid w:val="00224F5B"/>
    <w:rsid w:val="002258A1"/>
    <w:rsid w:val="00225E01"/>
    <w:rsid w:val="0022615E"/>
    <w:rsid w:val="00226344"/>
    <w:rsid w:val="00230596"/>
    <w:rsid w:val="00232191"/>
    <w:rsid w:val="00232B0A"/>
    <w:rsid w:val="00235C07"/>
    <w:rsid w:val="00237B4A"/>
    <w:rsid w:val="00240043"/>
    <w:rsid w:val="00243B2C"/>
    <w:rsid w:val="00244F82"/>
    <w:rsid w:val="002460F9"/>
    <w:rsid w:val="00250878"/>
    <w:rsid w:val="002538F1"/>
    <w:rsid w:val="00254917"/>
    <w:rsid w:val="00262F29"/>
    <w:rsid w:val="00265ECD"/>
    <w:rsid w:val="0026697F"/>
    <w:rsid w:val="00270FFB"/>
    <w:rsid w:val="00271618"/>
    <w:rsid w:val="0027286F"/>
    <w:rsid w:val="00272A90"/>
    <w:rsid w:val="002734D8"/>
    <w:rsid w:val="00275CF7"/>
    <w:rsid w:val="0028153A"/>
    <w:rsid w:val="002822FE"/>
    <w:rsid w:val="002829C0"/>
    <w:rsid w:val="00282CAD"/>
    <w:rsid w:val="00291F08"/>
    <w:rsid w:val="00294B12"/>
    <w:rsid w:val="00295C4F"/>
    <w:rsid w:val="00296B06"/>
    <w:rsid w:val="00297F0A"/>
    <w:rsid w:val="002A22BF"/>
    <w:rsid w:val="002A3FB9"/>
    <w:rsid w:val="002A4CEF"/>
    <w:rsid w:val="002B1079"/>
    <w:rsid w:val="002B2739"/>
    <w:rsid w:val="002C20C8"/>
    <w:rsid w:val="002C34E4"/>
    <w:rsid w:val="002D0775"/>
    <w:rsid w:val="002D1B9C"/>
    <w:rsid w:val="002D2F23"/>
    <w:rsid w:val="002D42A0"/>
    <w:rsid w:val="002D6F04"/>
    <w:rsid w:val="002E1967"/>
    <w:rsid w:val="002E5466"/>
    <w:rsid w:val="002F7AE6"/>
    <w:rsid w:val="003006B3"/>
    <w:rsid w:val="00300F9D"/>
    <w:rsid w:val="00306779"/>
    <w:rsid w:val="0031389D"/>
    <w:rsid w:val="00315A4D"/>
    <w:rsid w:val="00316E08"/>
    <w:rsid w:val="0031789D"/>
    <w:rsid w:val="00320588"/>
    <w:rsid w:val="0032661C"/>
    <w:rsid w:val="00330A24"/>
    <w:rsid w:val="00332D4D"/>
    <w:rsid w:val="003359FB"/>
    <w:rsid w:val="00336287"/>
    <w:rsid w:val="00337DF6"/>
    <w:rsid w:val="00341A4B"/>
    <w:rsid w:val="00344081"/>
    <w:rsid w:val="00346A89"/>
    <w:rsid w:val="00355855"/>
    <w:rsid w:val="003562FA"/>
    <w:rsid w:val="00360854"/>
    <w:rsid w:val="0036189B"/>
    <w:rsid w:val="003631CB"/>
    <w:rsid w:val="003643EA"/>
    <w:rsid w:val="00371449"/>
    <w:rsid w:val="003717C0"/>
    <w:rsid w:val="00371D23"/>
    <w:rsid w:val="0037263B"/>
    <w:rsid w:val="00372D9F"/>
    <w:rsid w:val="00375557"/>
    <w:rsid w:val="00375EDD"/>
    <w:rsid w:val="00376091"/>
    <w:rsid w:val="00376C0F"/>
    <w:rsid w:val="00381B11"/>
    <w:rsid w:val="00381D6D"/>
    <w:rsid w:val="0038342F"/>
    <w:rsid w:val="003865B6"/>
    <w:rsid w:val="0038679F"/>
    <w:rsid w:val="00394A25"/>
    <w:rsid w:val="00395758"/>
    <w:rsid w:val="003A4882"/>
    <w:rsid w:val="003A77E0"/>
    <w:rsid w:val="003B30B3"/>
    <w:rsid w:val="003B6D29"/>
    <w:rsid w:val="003C15BE"/>
    <w:rsid w:val="003C2F7F"/>
    <w:rsid w:val="003C4BF0"/>
    <w:rsid w:val="003C4EE1"/>
    <w:rsid w:val="003C5605"/>
    <w:rsid w:val="003D1D5B"/>
    <w:rsid w:val="003D2737"/>
    <w:rsid w:val="003D2ABD"/>
    <w:rsid w:val="003D3D46"/>
    <w:rsid w:val="003D6CD5"/>
    <w:rsid w:val="003E774F"/>
    <w:rsid w:val="003F3EB8"/>
    <w:rsid w:val="003F576F"/>
    <w:rsid w:val="003F5B38"/>
    <w:rsid w:val="004024C2"/>
    <w:rsid w:val="00403103"/>
    <w:rsid w:val="0040526C"/>
    <w:rsid w:val="00405C51"/>
    <w:rsid w:val="00406CCC"/>
    <w:rsid w:val="00412889"/>
    <w:rsid w:val="00425065"/>
    <w:rsid w:val="004251F4"/>
    <w:rsid w:val="004300FF"/>
    <w:rsid w:val="00430851"/>
    <w:rsid w:val="004413C6"/>
    <w:rsid w:val="004424C1"/>
    <w:rsid w:val="00442897"/>
    <w:rsid w:val="0044426C"/>
    <w:rsid w:val="004453CA"/>
    <w:rsid w:val="0044545D"/>
    <w:rsid w:val="00452A61"/>
    <w:rsid w:val="0045379E"/>
    <w:rsid w:val="00454BBC"/>
    <w:rsid w:val="004573E0"/>
    <w:rsid w:val="00457A2C"/>
    <w:rsid w:val="0046151D"/>
    <w:rsid w:val="00462E15"/>
    <w:rsid w:val="004647C8"/>
    <w:rsid w:val="004652B7"/>
    <w:rsid w:val="0046562D"/>
    <w:rsid w:val="00465E6B"/>
    <w:rsid w:val="00470F41"/>
    <w:rsid w:val="00472896"/>
    <w:rsid w:val="00472CA8"/>
    <w:rsid w:val="00483881"/>
    <w:rsid w:val="00484F3F"/>
    <w:rsid w:val="004864B2"/>
    <w:rsid w:val="00491F37"/>
    <w:rsid w:val="0049286A"/>
    <w:rsid w:val="00495037"/>
    <w:rsid w:val="00497353"/>
    <w:rsid w:val="004A69D9"/>
    <w:rsid w:val="004B40E3"/>
    <w:rsid w:val="004B4E49"/>
    <w:rsid w:val="004B5C1A"/>
    <w:rsid w:val="004C0064"/>
    <w:rsid w:val="004C025C"/>
    <w:rsid w:val="004C0754"/>
    <w:rsid w:val="004C1219"/>
    <w:rsid w:val="004C26C1"/>
    <w:rsid w:val="004C5239"/>
    <w:rsid w:val="004C5D8C"/>
    <w:rsid w:val="004C64BE"/>
    <w:rsid w:val="004D0486"/>
    <w:rsid w:val="004D23D5"/>
    <w:rsid w:val="004D4F25"/>
    <w:rsid w:val="004D7462"/>
    <w:rsid w:val="004D7F82"/>
    <w:rsid w:val="004E2AC0"/>
    <w:rsid w:val="004E3769"/>
    <w:rsid w:val="004F540B"/>
    <w:rsid w:val="004F7666"/>
    <w:rsid w:val="004F79E0"/>
    <w:rsid w:val="005032A8"/>
    <w:rsid w:val="00505426"/>
    <w:rsid w:val="00515CD3"/>
    <w:rsid w:val="005212EF"/>
    <w:rsid w:val="005300AA"/>
    <w:rsid w:val="00531CC4"/>
    <w:rsid w:val="005377CA"/>
    <w:rsid w:val="00542330"/>
    <w:rsid w:val="005433A7"/>
    <w:rsid w:val="00543B58"/>
    <w:rsid w:val="00544958"/>
    <w:rsid w:val="00545869"/>
    <w:rsid w:val="00562E02"/>
    <w:rsid w:val="0056502A"/>
    <w:rsid w:val="0057295C"/>
    <w:rsid w:val="0057532B"/>
    <w:rsid w:val="00577D27"/>
    <w:rsid w:val="00581BEE"/>
    <w:rsid w:val="0058315E"/>
    <w:rsid w:val="00583322"/>
    <w:rsid w:val="00584FB6"/>
    <w:rsid w:val="0058648F"/>
    <w:rsid w:val="005944F8"/>
    <w:rsid w:val="005946AA"/>
    <w:rsid w:val="005947E4"/>
    <w:rsid w:val="005A16E9"/>
    <w:rsid w:val="005A3F0E"/>
    <w:rsid w:val="005A707E"/>
    <w:rsid w:val="005B2BEF"/>
    <w:rsid w:val="005C5353"/>
    <w:rsid w:val="005D2EB4"/>
    <w:rsid w:val="005D377B"/>
    <w:rsid w:val="005D5209"/>
    <w:rsid w:val="005E651B"/>
    <w:rsid w:val="005E772A"/>
    <w:rsid w:val="005E7C8D"/>
    <w:rsid w:val="005F23D7"/>
    <w:rsid w:val="005F2D6D"/>
    <w:rsid w:val="005F5518"/>
    <w:rsid w:val="006014FF"/>
    <w:rsid w:val="00601888"/>
    <w:rsid w:val="0060671C"/>
    <w:rsid w:val="00622C66"/>
    <w:rsid w:val="00626EE0"/>
    <w:rsid w:val="0063063B"/>
    <w:rsid w:val="006377FE"/>
    <w:rsid w:val="00637E98"/>
    <w:rsid w:val="00642817"/>
    <w:rsid w:val="00642BFA"/>
    <w:rsid w:val="00642E63"/>
    <w:rsid w:val="00643885"/>
    <w:rsid w:val="00643B6A"/>
    <w:rsid w:val="006450C6"/>
    <w:rsid w:val="0064607F"/>
    <w:rsid w:val="00646CD3"/>
    <w:rsid w:val="006511A5"/>
    <w:rsid w:val="00653E90"/>
    <w:rsid w:val="006540F0"/>
    <w:rsid w:val="00655A89"/>
    <w:rsid w:val="006642B9"/>
    <w:rsid w:val="006656D6"/>
    <w:rsid w:val="00667B37"/>
    <w:rsid w:val="00670952"/>
    <w:rsid w:val="00671767"/>
    <w:rsid w:val="0067609D"/>
    <w:rsid w:val="006825AF"/>
    <w:rsid w:val="00683FFF"/>
    <w:rsid w:val="00685AB8"/>
    <w:rsid w:val="00692547"/>
    <w:rsid w:val="00694F57"/>
    <w:rsid w:val="006A0D84"/>
    <w:rsid w:val="006A1257"/>
    <w:rsid w:val="006A2F81"/>
    <w:rsid w:val="006A56ED"/>
    <w:rsid w:val="006B4620"/>
    <w:rsid w:val="006B4A7A"/>
    <w:rsid w:val="006B7224"/>
    <w:rsid w:val="006C1EBE"/>
    <w:rsid w:val="006C2039"/>
    <w:rsid w:val="006C208B"/>
    <w:rsid w:val="006C2960"/>
    <w:rsid w:val="006C4C41"/>
    <w:rsid w:val="006C4D50"/>
    <w:rsid w:val="006C54CF"/>
    <w:rsid w:val="006C7E7D"/>
    <w:rsid w:val="006D01E4"/>
    <w:rsid w:val="006D06D3"/>
    <w:rsid w:val="006D1755"/>
    <w:rsid w:val="006D3A23"/>
    <w:rsid w:val="006D428E"/>
    <w:rsid w:val="006D7157"/>
    <w:rsid w:val="006D7EF5"/>
    <w:rsid w:val="006E2AE8"/>
    <w:rsid w:val="006E7532"/>
    <w:rsid w:val="006E782E"/>
    <w:rsid w:val="006F6DAC"/>
    <w:rsid w:val="0070201E"/>
    <w:rsid w:val="00702AD2"/>
    <w:rsid w:val="00705064"/>
    <w:rsid w:val="007058E2"/>
    <w:rsid w:val="00712BB7"/>
    <w:rsid w:val="007133EC"/>
    <w:rsid w:val="007149F5"/>
    <w:rsid w:val="007177CD"/>
    <w:rsid w:val="00720A0C"/>
    <w:rsid w:val="007212FA"/>
    <w:rsid w:val="00724200"/>
    <w:rsid w:val="00724C8B"/>
    <w:rsid w:val="00726320"/>
    <w:rsid w:val="00727EF7"/>
    <w:rsid w:val="00731F21"/>
    <w:rsid w:val="007324E5"/>
    <w:rsid w:val="007353B0"/>
    <w:rsid w:val="00741B5D"/>
    <w:rsid w:val="00742111"/>
    <w:rsid w:val="007431AD"/>
    <w:rsid w:val="00745866"/>
    <w:rsid w:val="00747B75"/>
    <w:rsid w:val="00750F1C"/>
    <w:rsid w:val="007536FF"/>
    <w:rsid w:val="0075500D"/>
    <w:rsid w:val="007550E6"/>
    <w:rsid w:val="00755773"/>
    <w:rsid w:val="00755901"/>
    <w:rsid w:val="00767525"/>
    <w:rsid w:val="0077220C"/>
    <w:rsid w:val="00776327"/>
    <w:rsid w:val="00780E7F"/>
    <w:rsid w:val="0078405B"/>
    <w:rsid w:val="00785125"/>
    <w:rsid w:val="00792738"/>
    <w:rsid w:val="007963B6"/>
    <w:rsid w:val="00796433"/>
    <w:rsid w:val="007A1C94"/>
    <w:rsid w:val="007A6721"/>
    <w:rsid w:val="007B0FBD"/>
    <w:rsid w:val="007B2D4A"/>
    <w:rsid w:val="007B3567"/>
    <w:rsid w:val="007B68BC"/>
    <w:rsid w:val="007B7F81"/>
    <w:rsid w:val="007C1FE6"/>
    <w:rsid w:val="007C28D2"/>
    <w:rsid w:val="007C71C6"/>
    <w:rsid w:val="007C7907"/>
    <w:rsid w:val="007D0F6D"/>
    <w:rsid w:val="007D4585"/>
    <w:rsid w:val="007D45D5"/>
    <w:rsid w:val="007D4B24"/>
    <w:rsid w:val="007D68FC"/>
    <w:rsid w:val="007E5265"/>
    <w:rsid w:val="007E5B12"/>
    <w:rsid w:val="007E63F2"/>
    <w:rsid w:val="007E7B4A"/>
    <w:rsid w:val="007F0FAC"/>
    <w:rsid w:val="007F1130"/>
    <w:rsid w:val="007F60F6"/>
    <w:rsid w:val="007F619A"/>
    <w:rsid w:val="007F7CFF"/>
    <w:rsid w:val="00800050"/>
    <w:rsid w:val="00800863"/>
    <w:rsid w:val="00802DAF"/>
    <w:rsid w:val="00802F8D"/>
    <w:rsid w:val="008063B3"/>
    <w:rsid w:val="008177BF"/>
    <w:rsid w:val="00821543"/>
    <w:rsid w:val="00825791"/>
    <w:rsid w:val="00826CB2"/>
    <w:rsid w:val="00832D7B"/>
    <w:rsid w:val="008357A1"/>
    <w:rsid w:val="008358C8"/>
    <w:rsid w:val="008363E6"/>
    <w:rsid w:val="00836573"/>
    <w:rsid w:val="008469DA"/>
    <w:rsid w:val="00852ADB"/>
    <w:rsid w:val="00852AFE"/>
    <w:rsid w:val="00854DDB"/>
    <w:rsid w:val="008553A7"/>
    <w:rsid w:val="0085726D"/>
    <w:rsid w:val="00861DCA"/>
    <w:rsid w:val="00864526"/>
    <w:rsid w:val="0086528C"/>
    <w:rsid w:val="0086529D"/>
    <w:rsid w:val="00865E3E"/>
    <w:rsid w:val="00867A55"/>
    <w:rsid w:val="008712C6"/>
    <w:rsid w:val="00874761"/>
    <w:rsid w:val="00877DA2"/>
    <w:rsid w:val="00884A31"/>
    <w:rsid w:val="00885A00"/>
    <w:rsid w:val="00885B10"/>
    <w:rsid w:val="00895141"/>
    <w:rsid w:val="00897D31"/>
    <w:rsid w:val="008A1798"/>
    <w:rsid w:val="008A7E61"/>
    <w:rsid w:val="008B0DEB"/>
    <w:rsid w:val="008B3CB9"/>
    <w:rsid w:val="008B5C63"/>
    <w:rsid w:val="008B7012"/>
    <w:rsid w:val="008C3E61"/>
    <w:rsid w:val="008D2411"/>
    <w:rsid w:val="008D2623"/>
    <w:rsid w:val="008D5809"/>
    <w:rsid w:val="008D60FC"/>
    <w:rsid w:val="008D6278"/>
    <w:rsid w:val="008E2852"/>
    <w:rsid w:val="008E46B8"/>
    <w:rsid w:val="008E7DA8"/>
    <w:rsid w:val="008F740D"/>
    <w:rsid w:val="0090085A"/>
    <w:rsid w:val="00903D70"/>
    <w:rsid w:val="009044EC"/>
    <w:rsid w:val="00905E21"/>
    <w:rsid w:val="009102A2"/>
    <w:rsid w:val="00910C36"/>
    <w:rsid w:val="00912AF4"/>
    <w:rsid w:val="0091521F"/>
    <w:rsid w:val="00917E04"/>
    <w:rsid w:val="00917FB6"/>
    <w:rsid w:val="00921D64"/>
    <w:rsid w:val="00922666"/>
    <w:rsid w:val="00923AB6"/>
    <w:rsid w:val="00923D7A"/>
    <w:rsid w:val="00925DF6"/>
    <w:rsid w:val="009303B3"/>
    <w:rsid w:val="009323AC"/>
    <w:rsid w:val="00933AFA"/>
    <w:rsid w:val="00934B61"/>
    <w:rsid w:val="00934D67"/>
    <w:rsid w:val="0094147B"/>
    <w:rsid w:val="00942BB8"/>
    <w:rsid w:val="00955ACA"/>
    <w:rsid w:val="00956B43"/>
    <w:rsid w:val="00957567"/>
    <w:rsid w:val="00960024"/>
    <w:rsid w:val="0096083E"/>
    <w:rsid w:val="00963D55"/>
    <w:rsid w:val="0096708F"/>
    <w:rsid w:val="00977432"/>
    <w:rsid w:val="009865ED"/>
    <w:rsid w:val="0099636E"/>
    <w:rsid w:val="009A41C3"/>
    <w:rsid w:val="009A6FC3"/>
    <w:rsid w:val="009A7066"/>
    <w:rsid w:val="009B28B7"/>
    <w:rsid w:val="009B4F45"/>
    <w:rsid w:val="009B6627"/>
    <w:rsid w:val="009B772B"/>
    <w:rsid w:val="009B7913"/>
    <w:rsid w:val="009C37D5"/>
    <w:rsid w:val="009C5FD9"/>
    <w:rsid w:val="009C687C"/>
    <w:rsid w:val="009C7559"/>
    <w:rsid w:val="009C7B79"/>
    <w:rsid w:val="009C7D30"/>
    <w:rsid w:val="009D1C9E"/>
    <w:rsid w:val="009D258A"/>
    <w:rsid w:val="009D31C2"/>
    <w:rsid w:val="009E241B"/>
    <w:rsid w:val="009E4DE7"/>
    <w:rsid w:val="009E53E9"/>
    <w:rsid w:val="009F4B8E"/>
    <w:rsid w:val="009F5136"/>
    <w:rsid w:val="009F7490"/>
    <w:rsid w:val="00A00879"/>
    <w:rsid w:val="00A03008"/>
    <w:rsid w:val="00A03479"/>
    <w:rsid w:val="00A03673"/>
    <w:rsid w:val="00A03DF1"/>
    <w:rsid w:val="00A05CC3"/>
    <w:rsid w:val="00A065F5"/>
    <w:rsid w:val="00A152CF"/>
    <w:rsid w:val="00A17BAF"/>
    <w:rsid w:val="00A21CAB"/>
    <w:rsid w:val="00A23460"/>
    <w:rsid w:val="00A24D3E"/>
    <w:rsid w:val="00A307A3"/>
    <w:rsid w:val="00A330CA"/>
    <w:rsid w:val="00A37001"/>
    <w:rsid w:val="00A4302D"/>
    <w:rsid w:val="00A4643A"/>
    <w:rsid w:val="00A476EC"/>
    <w:rsid w:val="00A5109D"/>
    <w:rsid w:val="00A534C0"/>
    <w:rsid w:val="00A55462"/>
    <w:rsid w:val="00A623CD"/>
    <w:rsid w:val="00A656DE"/>
    <w:rsid w:val="00A65CEA"/>
    <w:rsid w:val="00A70EC7"/>
    <w:rsid w:val="00A75F89"/>
    <w:rsid w:val="00A77E02"/>
    <w:rsid w:val="00A8004C"/>
    <w:rsid w:val="00A8218E"/>
    <w:rsid w:val="00A840A6"/>
    <w:rsid w:val="00A84DCA"/>
    <w:rsid w:val="00A86CAE"/>
    <w:rsid w:val="00A90E20"/>
    <w:rsid w:val="00AA3B0C"/>
    <w:rsid w:val="00AB0B53"/>
    <w:rsid w:val="00AB15E9"/>
    <w:rsid w:val="00AB3949"/>
    <w:rsid w:val="00AB6E6D"/>
    <w:rsid w:val="00AB73E8"/>
    <w:rsid w:val="00AC0451"/>
    <w:rsid w:val="00AC4D4B"/>
    <w:rsid w:val="00AC6D0C"/>
    <w:rsid w:val="00AD2C6E"/>
    <w:rsid w:val="00AD40F3"/>
    <w:rsid w:val="00AE1B58"/>
    <w:rsid w:val="00AE3769"/>
    <w:rsid w:val="00AE670A"/>
    <w:rsid w:val="00AF1EAA"/>
    <w:rsid w:val="00AF22F0"/>
    <w:rsid w:val="00AF6C51"/>
    <w:rsid w:val="00B017D3"/>
    <w:rsid w:val="00B02B94"/>
    <w:rsid w:val="00B033F4"/>
    <w:rsid w:val="00B06323"/>
    <w:rsid w:val="00B07283"/>
    <w:rsid w:val="00B1232F"/>
    <w:rsid w:val="00B12CCA"/>
    <w:rsid w:val="00B12D89"/>
    <w:rsid w:val="00B14CA6"/>
    <w:rsid w:val="00B17830"/>
    <w:rsid w:val="00B37015"/>
    <w:rsid w:val="00B3739A"/>
    <w:rsid w:val="00B43208"/>
    <w:rsid w:val="00B43528"/>
    <w:rsid w:val="00B51385"/>
    <w:rsid w:val="00B538F7"/>
    <w:rsid w:val="00B53FA2"/>
    <w:rsid w:val="00B53FF3"/>
    <w:rsid w:val="00B549CF"/>
    <w:rsid w:val="00B55280"/>
    <w:rsid w:val="00B55E3A"/>
    <w:rsid w:val="00B61F7D"/>
    <w:rsid w:val="00B62AE8"/>
    <w:rsid w:val="00B63D8C"/>
    <w:rsid w:val="00B74BBC"/>
    <w:rsid w:val="00B74CFB"/>
    <w:rsid w:val="00B80022"/>
    <w:rsid w:val="00B80B6E"/>
    <w:rsid w:val="00B85BA8"/>
    <w:rsid w:val="00B90598"/>
    <w:rsid w:val="00B94237"/>
    <w:rsid w:val="00B94E50"/>
    <w:rsid w:val="00B971B1"/>
    <w:rsid w:val="00BA2320"/>
    <w:rsid w:val="00BB428D"/>
    <w:rsid w:val="00BB42ED"/>
    <w:rsid w:val="00BC2115"/>
    <w:rsid w:val="00BC73C3"/>
    <w:rsid w:val="00BC7B08"/>
    <w:rsid w:val="00BD19A5"/>
    <w:rsid w:val="00BD1AC8"/>
    <w:rsid w:val="00BD4555"/>
    <w:rsid w:val="00BD47B2"/>
    <w:rsid w:val="00BD7F6B"/>
    <w:rsid w:val="00BE14BA"/>
    <w:rsid w:val="00BE1DB8"/>
    <w:rsid w:val="00BE3881"/>
    <w:rsid w:val="00BE42BD"/>
    <w:rsid w:val="00BE4EBA"/>
    <w:rsid w:val="00BE7F8D"/>
    <w:rsid w:val="00BF39E2"/>
    <w:rsid w:val="00BF5395"/>
    <w:rsid w:val="00BF5D40"/>
    <w:rsid w:val="00BF729B"/>
    <w:rsid w:val="00C00788"/>
    <w:rsid w:val="00C025E7"/>
    <w:rsid w:val="00C07F8C"/>
    <w:rsid w:val="00C12570"/>
    <w:rsid w:val="00C13222"/>
    <w:rsid w:val="00C153D9"/>
    <w:rsid w:val="00C1644D"/>
    <w:rsid w:val="00C20F8A"/>
    <w:rsid w:val="00C235C1"/>
    <w:rsid w:val="00C23DED"/>
    <w:rsid w:val="00C2508B"/>
    <w:rsid w:val="00C25F3B"/>
    <w:rsid w:val="00C312CD"/>
    <w:rsid w:val="00C34E28"/>
    <w:rsid w:val="00C35311"/>
    <w:rsid w:val="00C41C06"/>
    <w:rsid w:val="00C43011"/>
    <w:rsid w:val="00C44DAD"/>
    <w:rsid w:val="00C45676"/>
    <w:rsid w:val="00C56793"/>
    <w:rsid w:val="00C579B2"/>
    <w:rsid w:val="00C632FD"/>
    <w:rsid w:val="00C71EE6"/>
    <w:rsid w:val="00C734A3"/>
    <w:rsid w:val="00C74264"/>
    <w:rsid w:val="00C810DB"/>
    <w:rsid w:val="00C81E92"/>
    <w:rsid w:val="00C82338"/>
    <w:rsid w:val="00C85A1B"/>
    <w:rsid w:val="00C91485"/>
    <w:rsid w:val="00C91C34"/>
    <w:rsid w:val="00C939CD"/>
    <w:rsid w:val="00CA04DE"/>
    <w:rsid w:val="00CA07CF"/>
    <w:rsid w:val="00CA3852"/>
    <w:rsid w:val="00CA518C"/>
    <w:rsid w:val="00CA685A"/>
    <w:rsid w:val="00CA692E"/>
    <w:rsid w:val="00CA7B6A"/>
    <w:rsid w:val="00CA7CAA"/>
    <w:rsid w:val="00CB2633"/>
    <w:rsid w:val="00CB4769"/>
    <w:rsid w:val="00CC3C13"/>
    <w:rsid w:val="00CC6719"/>
    <w:rsid w:val="00CC75F6"/>
    <w:rsid w:val="00CD2537"/>
    <w:rsid w:val="00CD4A4A"/>
    <w:rsid w:val="00CD5D03"/>
    <w:rsid w:val="00CE1E7D"/>
    <w:rsid w:val="00CE5A68"/>
    <w:rsid w:val="00CE6735"/>
    <w:rsid w:val="00CF255F"/>
    <w:rsid w:val="00D0617C"/>
    <w:rsid w:val="00D10FDE"/>
    <w:rsid w:val="00D1282F"/>
    <w:rsid w:val="00D24F71"/>
    <w:rsid w:val="00D26977"/>
    <w:rsid w:val="00D30951"/>
    <w:rsid w:val="00D32A96"/>
    <w:rsid w:val="00D36E78"/>
    <w:rsid w:val="00D43955"/>
    <w:rsid w:val="00D43B21"/>
    <w:rsid w:val="00D461D0"/>
    <w:rsid w:val="00D61326"/>
    <w:rsid w:val="00D6169D"/>
    <w:rsid w:val="00D6243F"/>
    <w:rsid w:val="00D634E7"/>
    <w:rsid w:val="00D66F31"/>
    <w:rsid w:val="00D73BAC"/>
    <w:rsid w:val="00D77A81"/>
    <w:rsid w:val="00D802DB"/>
    <w:rsid w:val="00D81A09"/>
    <w:rsid w:val="00D834F1"/>
    <w:rsid w:val="00D83687"/>
    <w:rsid w:val="00D84583"/>
    <w:rsid w:val="00D92E08"/>
    <w:rsid w:val="00D95EB5"/>
    <w:rsid w:val="00D97095"/>
    <w:rsid w:val="00DA1706"/>
    <w:rsid w:val="00DA6C86"/>
    <w:rsid w:val="00DB1890"/>
    <w:rsid w:val="00DB1F2D"/>
    <w:rsid w:val="00DB3E0D"/>
    <w:rsid w:val="00DB575B"/>
    <w:rsid w:val="00DB59DB"/>
    <w:rsid w:val="00DB7F4F"/>
    <w:rsid w:val="00DC0E7A"/>
    <w:rsid w:val="00DC1222"/>
    <w:rsid w:val="00DC2337"/>
    <w:rsid w:val="00DD2205"/>
    <w:rsid w:val="00DD35CC"/>
    <w:rsid w:val="00DD6138"/>
    <w:rsid w:val="00DE4550"/>
    <w:rsid w:val="00DE7745"/>
    <w:rsid w:val="00E0131A"/>
    <w:rsid w:val="00E03F45"/>
    <w:rsid w:val="00E12774"/>
    <w:rsid w:val="00E12B55"/>
    <w:rsid w:val="00E2061E"/>
    <w:rsid w:val="00E20F8D"/>
    <w:rsid w:val="00E229E3"/>
    <w:rsid w:val="00E25848"/>
    <w:rsid w:val="00E274C6"/>
    <w:rsid w:val="00E2773D"/>
    <w:rsid w:val="00E32594"/>
    <w:rsid w:val="00E336A7"/>
    <w:rsid w:val="00E35C03"/>
    <w:rsid w:val="00E40673"/>
    <w:rsid w:val="00E44862"/>
    <w:rsid w:val="00E475C8"/>
    <w:rsid w:val="00E47C9D"/>
    <w:rsid w:val="00E623D0"/>
    <w:rsid w:val="00E73D1F"/>
    <w:rsid w:val="00E90A7F"/>
    <w:rsid w:val="00EA273B"/>
    <w:rsid w:val="00EA3F85"/>
    <w:rsid w:val="00EB0E7A"/>
    <w:rsid w:val="00EB6B36"/>
    <w:rsid w:val="00EB7976"/>
    <w:rsid w:val="00EB79CA"/>
    <w:rsid w:val="00EC12EB"/>
    <w:rsid w:val="00EC272E"/>
    <w:rsid w:val="00EC339D"/>
    <w:rsid w:val="00EC3886"/>
    <w:rsid w:val="00EC5983"/>
    <w:rsid w:val="00EC6FD7"/>
    <w:rsid w:val="00EC72E7"/>
    <w:rsid w:val="00ED1A69"/>
    <w:rsid w:val="00ED2668"/>
    <w:rsid w:val="00ED2CB3"/>
    <w:rsid w:val="00ED5BE6"/>
    <w:rsid w:val="00ED6D94"/>
    <w:rsid w:val="00EE3136"/>
    <w:rsid w:val="00EE55E5"/>
    <w:rsid w:val="00EE5940"/>
    <w:rsid w:val="00EF7E9B"/>
    <w:rsid w:val="00F0048D"/>
    <w:rsid w:val="00F01A78"/>
    <w:rsid w:val="00F06D0B"/>
    <w:rsid w:val="00F25AA0"/>
    <w:rsid w:val="00F26D56"/>
    <w:rsid w:val="00F26DCF"/>
    <w:rsid w:val="00F472AD"/>
    <w:rsid w:val="00F502CF"/>
    <w:rsid w:val="00F6056A"/>
    <w:rsid w:val="00F640D2"/>
    <w:rsid w:val="00F64475"/>
    <w:rsid w:val="00F65EE7"/>
    <w:rsid w:val="00F665FE"/>
    <w:rsid w:val="00F6782D"/>
    <w:rsid w:val="00F73922"/>
    <w:rsid w:val="00F82917"/>
    <w:rsid w:val="00F83259"/>
    <w:rsid w:val="00F8527F"/>
    <w:rsid w:val="00F85F2F"/>
    <w:rsid w:val="00F87DB6"/>
    <w:rsid w:val="00F91C1E"/>
    <w:rsid w:val="00F93E91"/>
    <w:rsid w:val="00F96083"/>
    <w:rsid w:val="00F96108"/>
    <w:rsid w:val="00F97697"/>
    <w:rsid w:val="00FA14C5"/>
    <w:rsid w:val="00FA5E50"/>
    <w:rsid w:val="00FA7095"/>
    <w:rsid w:val="00FC0C22"/>
    <w:rsid w:val="00FC2368"/>
    <w:rsid w:val="00FC3B1B"/>
    <w:rsid w:val="00FC3C72"/>
    <w:rsid w:val="00FC3F5C"/>
    <w:rsid w:val="00FC5438"/>
    <w:rsid w:val="00FC6DE4"/>
    <w:rsid w:val="00FD230A"/>
    <w:rsid w:val="00FD2539"/>
    <w:rsid w:val="00FD4DE0"/>
    <w:rsid w:val="00FD5384"/>
    <w:rsid w:val="00FD64F2"/>
    <w:rsid w:val="00FE0265"/>
    <w:rsid w:val="00FE22F8"/>
    <w:rsid w:val="00FE595F"/>
    <w:rsid w:val="00FE7AD5"/>
    <w:rsid w:val="00FF02C1"/>
    <w:rsid w:val="00FF25E9"/>
    <w:rsid w:val="00FF267A"/>
    <w:rsid w:val="01B23139"/>
    <w:rsid w:val="022C5A34"/>
    <w:rsid w:val="03616FCC"/>
    <w:rsid w:val="043F606C"/>
    <w:rsid w:val="050609FC"/>
    <w:rsid w:val="05252666"/>
    <w:rsid w:val="066745FE"/>
    <w:rsid w:val="06C13157"/>
    <w:rsid w:val="06E66C5A"/>
    <w:rsid w:val="071D5BA9"/>
    <w:rsid w:val="072576BE"/>
    <w:rsid w:val="07876C6B"/>
    <w:rsid w:val="0799235A"/>
    <w:rsid w:val="081E3021"/>
    <w:rsid w:val="09B1041A"/>
    <w:rsid w:val="0A6F7B41"/>
    <w:rsid w:val="0B5B4F02"/>
    <w:rsid w:val="0B791F19"/>
    <w:rsid w:val="0C6B4898"/>
    <w:rsid w:val="0CEC75B8"/>
    <w:rsid w:val="0D1349C7"/>
    <w:rsid w:val="0D2A7656"/>
    <w:rsid w:val="0D6871B9"/>
    <w:rsid w:val="0E143275"/>
    <w:rsid w:val="0E8E2C22"/>
    <w:rsid w:val="0E947644"/>
    <w:rsid w:val="0EF0290F"/>
    <w:rsid w:val="0F9F1DAD"/>
    <w:rsid w:val="101967EB"/>
    <w:rsid w:val="102B6161"/>
    <w:rsid w:val="112C4249"/>
    <w:rsid w:val="117B694F"/>
    <w:rsid w:val="124D1945"/>
    <w:rsid w:val="12725F52"/>
    <w:rsid w:val="13FE6A2D"/>
    <w:rsid w:val="14363A4C"/>
    <w:rsid w:val="1474049C"/>
    <w:rsid w:val="167E46F9"/>
    <w:rsid w:val="183C2B7D"/>
    <w:rsid w:val="18C206E3"/>
    <w:rsid w:val="18F41B50"/>
    <w:rsid w:val="19432259"/>
    <w:rsid w:val="1A8707A2"/>
    <w:rsid w:val="1A893C02"/>
    <w:rsid w:val="1A9E5437"/>
    <w:rsid w:val="1AFC01EC"/>
    <w:rsid w:val="1B0030C6"/>
    <w:rsid w:val="1B585D53"/>
    <w:rsid w:val="1C8B1088"/>
    <w:rsid w:val="1CEA380F"/>
    <w:rsid w:val="1D966C8F"/>
    <w:rsid w:val="1E3364AC"/>
    <w:rsid w:val="1E801B56"/>
    <w:rsid w:val="1EE405AC"/>
    <w:rsid w:val="1F237AE2"/>
    <w:rsid w:val="1F720FA1"/>
    <w:rsid w:val="202A6FBF"/>
    <w:rsid w:val="21560017"/>
    <w:rsid w:val="21D3401F"/>
    <w:rsid w:val="224B7266"/>
    <w:rsid w:val="24022A1D"/>
    <w:rsid w:val="2557266A"/>
    <w:rsid w:val="255A1966"/>
    <w:rsid w:val="25987730"/>
    <w:rsid w:val="25AF2CF5"/>
    <w:rsid w:val="269E75D9"/>
    <w:rsid w:val="26A53B32"/>
    <w:rsid w:val="28054EE8"/>
    <w:rsid w:val="28AB3EC1"/>
    <w:rsid w:val="28B66476"/>
    <w:rsid w:val="296B2271"/>
    <w:rsid w:val="298D0D44"/>
    <w:rsid w:val="2A3D1EBD"/>
    <w:rsid w:val="2A7D517C"/>
    <w:rsid w:val="2B2C345E"/>
    <w:rsid w:val="2BD52412"/>
    <w:rsid w:val="2BFE6BFB"/>
    <w:rsid w:val="2D9B0804"/>
    <w:rsid w:val="2DFD7471"/>
    <w:rsid w:val="2E06476F"/>
    <w:rsid w:val="2E42341C"/>
    <w:rsid w:val="2E620032"/>
    <w:rsid w:val="2E9A0320"/>
    <w:rsid w:val="2F647299"/>
    <w:rsid w:val="2F7E0D0D"/>
    <w:rsid w:val="2FBE65BC"/>
    <w:rsid w:val="2FFE22F6"/>
    <w:rsid w:val="30AB1EC1"/>
    <w:rsid w:val="31534556"/>
    <w:rsid w:val="316B520B"/>
    <w:rsid w:val="31A14504"/>
    <w:rsid w:val="31D55A8D"/>
    <w:rsid w:val="31D6121F"/>
    <w:rsid w:val="323068B9"/>
    <w:rsid w:val="3239796C"/>
    <w:rsid w:val="325B0828"/>
    <w:rsid w:val="32AC6A89"/>
    <w:rsid w:val="33364A40"/>
    <w:rsid w:val="33527747"/>
    <w:rsid w:val="341C35DA"/>
    <w:rsid w:val="341C3E0E"/>
    <w:rsid w:val="342B60C3"/>
    <w:rsid w:val="344A74B3"/>
    <w:rsid w:val="34C541B1"/>
    <w:rsid w:val="36162B46"/>
    <w:rsid w:val="365F16D4"/>
    <w:rsid w:val="36C477CE"/>
    <w:rsid w:val="373130F9"/>
    <w:rsid w:val="37335C97"/>
    <w:rsid w:val="37871150"/>
    <w:rsid w:val="39270331"/>
    <w:rsid w:val="39BB1544"/>
    <w:rsid w:val="3AC56A51"/>
    <w:rsid w:val="3B4936CC"/>
    <w:rsid w:val="3B66382C"/>
    <w:rsid w:val="3BB34532"/>
    <w:rsid w:val="3BC87037"/>
    <w:rsid w:val="3C8C1498"/>
    <w:rsid w:val="3C8E297B"/>
    <w:rsid w:val="3EDA675C"/>
    <w:rsid w:val="3EEE2A2A"/>
    <w:rsid w:val="3F557799"/>
    <w:rsid w:val="3F6F51DD"/>
    <w:rsid w:val="3FDB16F2"/>
    <w:rsid w:val="3FED73CA"/>
    <w:rsid w:val="40894550"/>
    <w:rsid w:val="40AD6BCB"/>
    <w:rsid w:val="40E0108E"/>
    <w:rsid w:val="411053AE"/>
    <w:rsid w:val="42683FF6"/>
    <w:rsid w:val="440E054D"/>
    <w:rsid w:val="445762B7"/>
    <w:rsid w:val="445E26EB"/>
    <w:rsid w:val="44962DE2"/>
    <w:rsid w:val="45214F71"/>
    <w:rsid w:val="46040765"/>
    <w:rsid w:val="46CE4DAB"/>
    <w:rsid w:val="483A6FCD"/>
    <w:rsid w:val="48853E70"/>
    <w:rsid w:val="48D471B2"/>
    <w:rsid w:val="494D658F"/>
    <w:rsid w:val="49A1492A"/>
    <w:rsid w:val="49C3230F"/>
    <w:rsid w:val="49EC7369"/>
    <w:rsid w:val="49F9689A"/>
    <w:rsid w:val="4A0F7EE3"/>
    <w:rsid w:val="4A415353"/>
    <w:rsid w:val="4A8F3D78"/>
    <w:rsid w:val="4C3F1086"/>
    <w:rsid w:val="4CFD3C38"/>
    <w:rsid w:val="4D6D5937"/>
    <w:rsid w:val="4E0B5A44"/>
    <w:rsid w:val="4E2B2F1C"/>
    <w:rsid w:val="4E85078E"/>
    <w:rsid w:val="4F91369B"/>
    <w:rsid w:val="50812E34"/>
    <w:rsid w:val="5155778A"/>
    <w:rsid w:val="51C129A4"/>
    <w:rsid w:val="523E05D2"/>
    <w:rsid w:val="52E84218"/>
    <w:rsid w:val="53377434"/>
    <w:rsid w:val="53790268"/>
    <w:rsid w:val="538547CD"/>
    <w:rsid w:val="53F23CD0"/>
    <w:rsid w:val="54591C90"/>
    <w:rsid w:val="54653139"/>
    <w:rsid w:val="546E5A28"/>
    <w:rsid w:val="54AB1B5B"/>
    <w:rsid w:val="555510AB"/>
    <w:rsid w:val="5564311F"/>
    <w:rsid w:val="559D089E"/>
    <w:rsid w:val="55D16071"/>
    <w:rsid w:val="56AA2253"/>
    <w:rsid w:val="56CC0A5D"/>
    <w:rsid w:val="56DD4993"/>
    <w:rsid w:val="57184DA4"/>
    <w:rsid w:val="571A42B8"/>
    <w:rsid w:val="59BF7E01"/>
    <w:rsid w:val="5A45325F"/>
    <w:rsid w:val="5AC56B14"/>
    <w:rsid w:val="5AF061B4"/>
    <w:rsid w:val="5C6D699E"/>
    <w:rsid w:val="5C83501B"/>
    <w:rsid w:val="5C8A349B"/>
    <w:rsid w:val="5CA603E5"/>
    <w:rsid w:val="5D13300E"/>
    <w:rsid w:val="5D227761"/>
    <w:rsid w:val="5EC5475E"/>
    <w:rsid w:val="5F1E7486"/>
    <w:rsid w:val="5F1F053F"/>
    <w:rsid w:val="5F365FED"/>
    <w:rsid w:val="5F676807"/>
    <w:rsid w:val="5F8C6B6D"/>
    <w:rsid w:val="5F8D669F"/>
    <w:rsid w:val="5FD21FAE"/>
    <w:rsid w:val="6062071A"/>
    <w:rsid w:val="60E636CE"/>
    <w:rsid w:val="61CE3337"/>
    <w:rsid w:val="61D5127C"/>
    <w:rsid w:val="61D730C2"/>
    <w:rsid w:val="61E217AA"/>
    <w:rsid w:val="62594691"/>
    <w:rsid w:val="629467E7"/>
    <w:rsid w:val="62C4097E"/>
    <w:rsid w:val="63AF45CA"/>
    <w:rsid w:val="63DF4869"/>
    <w:rsid w:val="641A6FE8"/>
    <w:rsid w:val="64436BAA"/>
    <w:rsid w:val="659A5AB0"/>
    <w:rsid w:val="66060AAD"/>
    <w:rsid w:val="67370803"/>
    <w:rsid w:val="67AD1FFD"/>
    <w:rsid w:val="68040D11"/>
    <w:rsid w:val="685D39EE"/>
    <w:rsid w:val="698010A5"/>
    <w:rsid w:val="69BE748F"/>
    <w:rsid w:val="69BF7EA1"/>
    <w:rsid w:val="6A1C0217"/>
    <w:rsid w:val="6A2000E5"/>
    <w:rsid w:val="6A4B51B2"/>
    <w:rsid w:val="6A7355BD"/>
    <w:rsid w:val="6AAD0E35"/>
    <w:rsid w:val="6B393B78"/>
    <w:rsid w:val="6BF67BFF"/>
    <w:rsid w:val="6C904B89"/>
    <w:rsid w:val="6C931068"/>
    <w:rsid w:val="6ECC3B18"/>
    <w:rsid w:val="6F0A330C"/>
    <w:rsid w:val="6F2B43F9"/>
    <w:rsid w:val="703A60E9"/>
    <w:rsid w:val="708520DC"/>
    <w:rsid w:val="71E80B39"/>
    <w:rsid w:val="71FE4A65"/>
    <w:rsid w:val="72A44B1A"/>
    <w:rsid w:val="72C33577"/>
    <w:rsid w:val="73DA4BFF"/>
    <w:rsid w:val="74564BCE"/>
    <w:rsid w:val="75EB6D38"/>
    <w:rsid w:val="766121B1"/>
    <w:rsid w:val="76B16DEA"/>
    <w:rsid w:val="76F01DC7"/>
    <w:rsid w:val="77D82FB3"/>
    <w:rsid w:val="7825474A"/>
    <w:rsid w:val="78DB3308"/>
    <w:rsid w:val="792C2C97"/>
    <w:rsid w:val="793F1B83"/>
    <w:rsid w:val="795A054C"/>
    <w:rsid w:val="79CA3AA6"/>
    <w:rsid w:val="79CD5581"/>
    <w:rsid w:val="7A301431"/>
    <w:rsid w:val="7A4856F3"/>
    <w:rsid w:val="7BC04A89"/>
    <w:rsid w:val="7C0202AA"/>
    <w:rsid w:val="7C581498"/>
    <w:rsid w:val="7C662FAD"/>
    <w:rsid w:val="7C8B31C2"/>
    <w:rsid w:val="7CBE0F77"/>
    <w:rsid w:val="7D1961AD"/>
    <w:rsid w:val="7D921593"/>
    <w:rsid w:val="7DA36282"/>
    <w:rsid w:val="7E387B97"/>
    <w:rsid w:val="7E8D5C93"/>
    <w:rsid w:val="7EB77281"/>
    <w:rsid w:val="7F67575B"/>
    <w:rsid w:val="BBF7C0F3"/>
    <w:rsid w:val="DEB9EA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iPriority="39" w:semiHidden="0" w:name="Table Grid"/>
    <w:lsdException w:uiPriority="99"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1"/>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32"/>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33"/>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34"/>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35"/>
    <w:semiHidden/>
    <w:unhideWhenUsed/>
    <w:qFormat/>
    <w:uiPriority w:val="9"/>
    <w:pPr>
      <w:keepNext/>
      <w:keepLines/>
      <w:spacing w:before="80" w:after="40"/>
      <w:outlineLvl w:val="4"/>
    </w:pPr>
    <w:rPr>
      <w:rFonts w:cstheme="majorBidi"/>
      <w:color w:val="104862" w:themeColor="accent1" w:themeShade="BF"/>
      <w:sz w:val="24"/>
      <w:szCs w:val="24"/>
    </w:rPr>
  </w:style>
  <w:style w:type="paragraph" w:styleId="7">
    <w:name w:val="heading 6"/>
    <w:basedOn w:val="1"/>
    <w:next w:val="1"/>
    <w:link w:val="36"/>
    <w:semiHidden/>
    <w:unhideWhenUsed/>
    <w:qFormat/>
    <w:uiPriority w:val="9"/>
    <w:pPr>
      <w:keepNext/>
      <w:keepLines/>
      <w:spacing w:before="40"/>
      <w:outlineLvl w:val="5"/>
    </w:pPr>
    <w:rPr>
      <w:rFonts w:cstheme="majorBidi"/>
      <w:b/>
      <w:bCs/>
      <w:color w:val="104862" w:themeColor="accent1" w:themeShade="BF"/>
    </w:rPr>
  </w:style>
  <w:style w:type="paragraph" w:styleId="8">
    <w:name w:val="heading 7"/>
    <w:basedOn w:val="1"/>
    <w:next w:val="1"/>
    <w:link w:val="37"/>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38"/>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39"/>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26">
    <w:name w:val="Default Paragraph Font"/>
    <w:semiHidden/>
    <w:unhideWhenUsed/>
    <w:uiPriority w:val="1"/>
  </w:style>
  <w:style w:type="table" w:default="1" w:styleId="24">
    <w:name w:val="Normal Table"/>
    <w:semiHidden/>
    <w:unhideWhenUsed/>
    <w:uiPriority w:val="99"/>
    <w:tblPr>
      <w:tblCellMar>
        <w:top w:w="0" w:type="dxa"/>
        <w:left w:w="108" w:type="dxa"/>
        <w:bottom w:w="0" w:type="dxa"/>
        <w:right w:w="108" w:type="dxa"/>
      </w:tblCellMar>
    </w:tblPr>
  </w:style>
  <w:style w:type="paragraph" w:styleId="11">
    <w:name w:val="caption"/>
    <w:basedOn w:val="1"/>
    <w:next w:val="1"/>
    <w:unhideWhenUsed/>
    <w:qFormat/>
    <w:uiPriority w:val="35"/>
    <w:rPr>
      <w:rFonts w:eastAsia="黑体" w:asciiTheme="majorHAnsi" w:hAnsiTheme="majorHAnsi" w:cstheme="majorBidi"/>
      <w:sz w:val="20"/>
      <w:szCs w:val="20"/>
    </w:rPr>
  </w:style>
  <w:style w:type="paragraph" w:styleId="12">
    <w:name w:val="annotation text"/>
    <w:basedOn w:val="1"/>
    <w:link w:val="58"/>
    <w:unhideWhenUsed/>
    <w:qFormat/>
    <w:uiPriority w:val="99"/>
    <w:pPr>
      <w:jc w:val="left"/>
    </w:pPr>
  </w:style>
  <w:style w:type="paragraph" w:styleId="13">
    <w:name w:val="Body Text Indent"/>
    <w:basedOn w:val="1"/>
    <w:link w:val="68"/>
    <w:semiHidden/>
    <w:unhideWhenUsed/>
    <w:qFormat/>
    <w:uiPriority w:val="99"/>
    <w:pPr>
      <w:spacing w:after="120"/>
      <w:ind w:left="420" w:leftChars="200"/>
    </w:pPr>
  </w:style>
  <w:style w:type="paragraph" w:styleId="14">
    <w:name w:val="Date"/>
    <w:basedOn w:val="1"/>
    <w:next w:val="1"/>
    <w:link w:val="54"/>
    <w:semiHidden/>
    <w:unhideWhenUsed/>
    <w:qFormat/>
    <w:uiPriority w:val="99"/>
    <w:pPr>
      <w:ind w:left="100" w:leftChars="2500"/>
    </w:pPr>
  </w:style>
  <w:style w:type="paragraph" w:styleId="15">
    <w:name w:val="footer"/>
    <w:basedOn w:val="1"/>
    <w:link w:val="64"/>
    <w:unhideWhenUsed/>
    <w:qFormat/>
    <w:uiPriority w:val="99"/>
    <w:pPr>
      <w:tabs>
        <w:tab w:val="center" w:pos="4153"/>
        <w:tab w:val="right" w:pos="8306"/>
      </w:tabs>
      <w:snapToGrid w:val="0"/>
      <w:jc w:val="left"/>
    </w:pPr>
    <w:rPr>
      <w:sz w:val="18"/>
      <w:szCs w:val="18"/>
    </w:rPr>
  </w:style>
  <w:style w:type="paragraph" w:styleId="16">
    <w:name w:val="header"/>
    <w:basedOn w:val="1"/>
    <w:link w:val="53"/>
    <w:unhideWhenUsed/>
    <w:qFormat/>
    <w:uiPriority w:val="99"/>
    <w:pPr>
      <w:tabs>
        <w:tab w:val="center" w:pos="4153"/>
        <w:tab w:val="right" w:pos="8306"/>
      </w:tabs>
      <w:snapToGrid w:val="0"/>
      <w:jc w:val="center"/>
    </w:pPr>
    <w:rPr>
      <w:sz w:val="18"/>
      <w:szCs w:val="18"/>
    </w:rPr>
  </w:style>
  <w:style w:type="paragraph" w:styleId="17">
    <w:name w:val="toc 1"/>
    <w:basedOn w:val="1"/>
    <w:next w:val="1"/>
    <w:unhideWhenUsed/>
    <w:qFormat/>
    <w:uiPriority w:val="39"/>
    <w:pPr>
      <w:widowControl/>
      <w:tabs>
        <w:tab w:val="left" w:pos="440"/>
        <w:tab w:val="right" w:leader="dot" w:pos="8296"/>
      </w:tabs>
      <w:spacing w:after="100" w:line="259" w:lineRule="auto"/>
      <w:jc w:val="left"/>
    </w:pPr>
    <w:rPr>
      <w:rFonts w:ascii="Times New Roman" w:hAnsi="Times New Roman" w:eastAsia="宋体" w:cs="Times New Roman"/>
      <w:b/>
      <w:color w:val="000000" w:themeColor="text1"/>
      <w:kern w:val="44"/>
      <w:sz w:val="24"/>
      <w:szCs w:val="24"/>
      <w:lang w:bidi="zh-CN"/>
      <w14:textFill>
        <w14:solidFill>
          <w14:schemeClr w14:val="tx1"/>
        </w14:solidFill>
      </w14:textFill>
    </w:rPr>
  </w:style>
  <w:style w:type="paragraph" w:styleId="18">
    <w:name w:val="Subtitle"/>
    <w:basedOn w:val="1"/>
    <w:next w:val="1"/>
    <w:link w:val="41"/>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9">
    <w:name w:val="footnote text"/>
    <w:basedOn w:val="1"/>
    <w:link w:val="48"/>
    <w:qFormat/>
    <w:uiPriority w:val="0"/>
    <w:pPr>
      <w:snapToGrid w:val="0"/>
      <w:spacing w:line="300" w:lineRule="auto"/>
      <w:ind w:firstLine="480" w:firstLineChars="200"/>
      <w:jc w:val="left"/>
    </w:pPr>
    <w:rPr>
      <w:rFonts w:ascii="Times New Roman" w:hAnsi="Times New Roman" w:eastAsia="宋体" w:cs="Times New Roman"/>
      <w:sz w:val="18"/>
      <w:szCs w:val="20"/>
    </w:rPr>
  </w:style>
  <w:style w:type="paragraph" w:styleId="20">
    <w:name w:val="toc 2"/>
    <w:basedOn w:val="1"/>
    <w:next w:val="1"/>
    <w:unhideWhenUsed/>
    <w:qFormat/>
    <w:uiPriority w:val="39"/>
    <w:pPr>
      <w:widowControl/>
      <w:tabs>
        <w:tab w:val="right" w:leader="dot" w:pos="8296"/>
      </w:tabs>
      <w:spacing w:after="100" w:line="259" w:lineRule="auto"/>
      <w:ind w:left="220"/>
      <w:jc w:val="left"/>
    </w:pPr>
    <w:rPr>
      <w:rFonts w:cs="Times New Roman"/>
      <w:kern w:val="0"/>
      <w:sz w:val="22"/>
    </w:rPr>
  </w:style>
  <w:style w:type="paragraph" w:styleId="21">
    <w:name w:val="Title"/>
    <w:basedOn w:val="1"/>
    <w:next w:val="1"/>
    <w:link w:val="40"/>
    <w:qFormat/>
    <w:uiPriority w:val="10"/>
    <w:pPr>
      <w:spacing w:after="80"/>
      <w:contextualSpacing/>
      <w:jc w:val="center"/>
    </w:pPr>
    <w:rPr>
      <w:rFonts w:asciiTheme="majorHAnsi" w:hAnsiTheme="majorHAnsi" w:eastAsiaTheme="majorEastAsia" w:cstheme="majorBidi"/>
      <w:spacing w:val="-10"/>
      <w:kern w:val="28"/>
      <w:sz w:val="56"/>
      <w:szCs w:val="56"/>
    </w:rPr>
  </w:style>
  <w:style w:type="paragraph" w:styleId="22">
    <w:name w:val="annotation subject"/>
    <w:basedOn w:val="12"/>
    <w:next w:val="12"/>
    <w:link w:val="59"/>
    <w:semiHidden/>
    <w:unhideWhenUsed/>
    <w:qFormat/>
    <w:uiPriority w:val="99"/>
    <w:rPr>
      <w:b/>
      <w:bCs/>
    </w:rPr>
  </w:style>
  <w:style w:type="paragraph" w:styleId="23">
    <w:name w:val="Body Text First Indent 2"/>
    <w:basedOn w:val="13"/>
    <w:link w:val="69"/>
    <w:qFormat/>
    <w:uiPriority w:val="99"/>
    <w:pPr>
      <w:ind w:left="0" w:leftChars="0" w:firstLine="40"/>
    </w:pPr>
    <w:rPr>
      <w:rFonts w:ascii="方正仿宋_GB2312" w:hAnsi="方正仿宋_GB2312" w:eastAsia="仿宋" w:cs="方正仿宋_GB2312"/>
      <w:sz w:val="32"/>
      <w:szCs w:val="32"/>
    </w:rPr>
  </w:style>
  <w:style w:type="table" w:styleId="25">
    <w:name w:val="Table Grid"/>
    <w:basedOn w:val="24"/>
    <w:unhideWhenUsed/>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basedOn w:val="26"/>
    <w:qFormat/>
    <w:uiPriority w:val="22"/>
    <w:rPr>
      <w:b/>
    </w:rPr>
  </w:style>
  <w:style w:type="character" w:styleId="28">
    <w:name w:val="page number"/>
    <w:basedOn w:val="26"/>
    <w:semiHidden/>
    <w:unhideWhenUsed/>
    <w:qFormat/>
    <w:uiPriority w:val="99"/>
  </w:style>
  <w:style w:type="character" w:styleId="29">
    <w:name w:val="Hyperlink"/>
    <w:basedOn w:val="26"/>
    <w:unhideWhenUsed/>
    <w:qFormat/>
    <w:uiPriority w:val="99"/>
    <w:rPr>
      <w:color w:val="467886" w:themeColor="hyperlink"/>
      <w:u w:val="single"/>
      <w14:textFill>
        <w14:solidFill>
          <w14:schemeClr w14:val="hlink"/>
        </w14:solidFill>
      </w14:textFill>
    </w:rPr>
  </w:style>
  <w:style w:type="character" w:styleId="30">
    <w:name w:val="annotation reference"/>
    <w:basedOn w:val="26"/>
    <w:semiHidden/>
    <w:unhideWhenUsed/>
    <w:qFormat/>
    <w:uiPriority w:val="99"/>
    <w:rPr>
      <w:sz w:val="21"/>
      <w:szCs w:val="21"/>
    </w:rPr>
  </w:style>
  <w:style w:type="character" w:customStyle="1" w:styleId="31">
    <w:name w:val="标题 1 字符"/>
    <w:basedOn w:val="26"/>
    <w:link w:val="2"/>
    <w:qFormat/>
    <w:uiPriority w:val="9"/>
    <w:rPr>
      <w:rFonts w:asciiTheme="majorHAnsi" w:hAnsiTheme="majorHAnsi" w:eastAsiaTheme="majorEastAsia" w:cstheme="majorBidi"/>
      <w:color w:val="104862" w:themeColor="accent1" w:themeShade="BF"/>
      <w:sz w:val="48"/>
      <w:szCs w:val="48"/>
    </w:rPr>
  </w:style>
  <w:style w:type="character" w:customStyle="1" w:styleId="32">
    <w:name w:val="标题 2 字符"/>
    <w:basedOn w:val="26"/>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33">
    <w:name w:val="标题 3 字符"/>
    <w:basedOn w:val="26"/>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34">
    <w:name w:val="标题 4 字符"/>
    <w:basedOn w:val="26"/>
    <w:link w:val="5"/>
    <w:semiHidden/>
    <w:qFormat/>
    <w:uiPriority w:val="9"/>
    <w:rPr>
      <w:rFonts w:cstheme="majorBidi"/>
      <w:color w:val="104862" w:themeColor="accent1" w:themeShade="BF"/>
      <w:sz w:val="28"/>
      <w:szCs w:val="28"/>
    </w:rPr>
  </w:style>
  <w:style w:type="character" w:customStyle="1" w:styleId="35">
    <w:name w:val="标题 5 字符"/>
    <w:basedOn w:val="26"/>
    <w:link w:val="6"/>
    <w:semiHidden/>
    <w:qFormat/>
    <w:uiPriority w:val="9"/>
    <w:rPr>
      <w:rFonts w:cstheme="majorBidi"/>
      <w:color w:val="104862" w:themeColor="accent1" w:themeShade="BF"/>
      <w:sz w:val="24"/>
      <w:szCs w:val="24"/>
    </w:rPr>
  </w:style>
  <w:style w:type="character" w:customStyle="1" w:styleId="36">
    <w:name w:val="标题 6 字符"/>
    <w:basedOn w:val="26"/>
    <w:link w:val="7"/>
    <w:semiHidden/>
    <w:qFormat/>
    <w:uiPriority w:val="9"/>
    <w:rPr>
      <w:rFonts w:cstheme="majorBidi"/>
      <w:b/>
      <w:bCs/>
      <w:color w:val="104862" w:themeColor="accent1" w:themeShade="BF"/>
    </w:rPr>
  </w:style>
  <w:style w:type="character" w:customStyle="1" w:styleId="37">
    <w:name w:val="标题 7 字符"/>
    <w:basedOn w:val="26"/>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38">
    <w:name w:val="标题 8 字符"/>
    <w:basedOn w:val="26"/>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39">
    <w:name w:val="标题 9 字符"/>
    <w:basedOn w:val="26"/>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40">
    <w:name w:val="标题 字符"/>
    <w:basedOn w:val="26"/>
    <w:link w:val="21"/>
    <w:qFormat/>
    <w:uiPriority w:val="10"/>
    <w:rPr>
      <w:rFonts w:asciiTheme="majorHAnsi" w:hAnsiTheme="majorHAnsi" w:eastAsiaTheme="majorEastAsia" w:cstheme="majorBidi"/>
      <w:spacing w:val="-10"/>
      <w:kern w:val="28"/>
      <w:sz w:val="56"/>
      <w:szCs w:val="56"/>
    </w:rPr>
  </w:style>
  <w:style w:type="character" w:customStyle="1" w:styleId="41">
    <w:name w:val="副标题 字符"/>
    <w:basedOn w:val="26"/>
    <w:link w:val="18"/>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42">
    <w:name w:val="Quote"/>
    <w:basedOn w:val="1"/>
    <w:next w:val="1"/>
    <w:link w:val="43"/>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43">
    <w:name w:val="引用 字符"/>
    <w:basedOn w:val="26"/>
    <w:link w:val="42"/>
    <w:qFormat/>
    <w:uiPriority w:val="29"/>
    <w:rPr>
      <w:i/>
      <w:iCs/>
      <w:color w:val="404040" w:themeColor="text1" w:themeTint="BF"/>
      <w14:textFill>
        <w14:solidFill>
          <w14:schemeClr w14:val="tx1">
            <w14:lumMod w14:val="75000"/>
            <w14:lumOff w14:val="25000"/>
          </w14:schemeClr>
        </w14:solidFill>
      </w14:textFill>
    </w:rPr>
  </w:style>
  <w:style w:type="paragraph" w:styleId="44">
    <w:name w:val="List Paragraph"/>
    <w:basedOn w:val="1"/>
    <w:qFormat/>
    <w:uiPriority w:val="34"/>
    <w:pPr>
      <w:ind w:left="720"/>
      <w:contextualSpacing/>
    </w:pPr>
  </w:style>
  <w:style w:type="paragraph" w:styleId="45">
    <w:name w:val="Intense Quote"/>
    <w:basedOn w:val="1"/>
    <w:next w:val="1"/>
    <w:link w:val="46"/>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46">
    <w:name w:val="明显引用 字符"/>
    <w:basedOn w:val="26"/>
    <w:link w:val="45"/>
    <w:qFormat/>
    <w:uiPriority w:val="30"/>
    <w:rPr>
      <w:i/>
      <w:iCs/>
      <w:color w:val="104862" w:themeColor="accent1" w:themeShade="BF"/>
    </w:rPr>
  </w:style>
  <w:style w:type="character" w:customStyle="1" w:styleId="47">
    <w:name w:val="明显参考1"/>
    <w:basedOn w:val="26"/>
    <w:qFormat/>
    <w:uiPriority w:val="32"/>
    <w:rPr>
      <w:b/>
      <w:bCs/>
      <w:smallCaps/>
      <w:color w:val="104862" w:themeColor="accent1" w:themeShade="BF"/>
      <w:spacing w:val="5"/>
    </w:rPr>
  </w:style>
  <w:style w:type="character" w:customStyle="1" w:styleId="48">
    <w:name w:val="脚注文本 字符"/>
    <w:basedOn w:val="26"/>
    <w:link w:val="19"/>
    <w:qFormat/>
    <w:uiPriority w:val="0"/>
    <w:rPr>
      <w:rFonts w:ascii="Times New Roman" w:hAnsi="Times New Roman" w:eastAsia="宋体" w:cs="Times New Roman"/>
      <w:sz w:val="18"/>
      <w:szCs w:val="20"/>
    </w:rPr>
  </w:style>
  <w:style w:type="paragraph" w:customStyle="1" w:styleId="49">
    <w:name w:val="标准2"/>
    <w:basedOn w:val="19"/>
    <w:link w:val="50"/>
    <w:qFormat/>
    <w:uiPriority w:val="0"/>
    <w:pPr>
      <w:numPr>
        <w:ilvl w:val="0"/>
        <w:numId w:val="1"/>
      </w:numPr>
      <w:ind w:right="210" w:rightChars="100" w:firstLineChars="0"/>
    </w:pPr>
    <w:rPr>
      <w:rFonts w:ascii="宋体" w:hAnsi="宋体"/>
      <w:sz w:val="24"/>
      <w:szCs w:val="24"/>
    </w:rPr>
  </w:style>
  <w:style w:type="character" w:customStyle="1" w:styleId="50">
    <w:name w:val="标准2 字符"/>
    <w:basedOn w:val="48"/>
    <w:link w:val="49"/>
    <w:qFormat/>
    <w:uiPriority w:val="0"/>
    <w:rPr>
      <w:rFonts w:ascii="宋体" w:hAnsi="宋体" w:eastAsia="宋体" w:cs="Times New Roman"/>
      <w:sz w:val="24"/>
      <w:szCs w:val="24"/>
    </w:rPr>
  </w:style>
  <w:style w:type="paragraph" w:customStyle="1" w:styleId="51">
    <w:name w:val="TOC 标题1"/>
    <w:basedOn w:val="2"/>
    <w:next w:val="1"/>
    <w:unhideWhenUsed/>
    <w:qFormat/>
    <w:uiPriority w:val="39"/>
    <w:pPr>
      <w:widowControl/>
      <w:spacing w:before="240" w:line="259" w:lineRule="auto"/>
      <w:jc w:val="left"/>
      <w:outlineLvl w:val="9"/>
    </w:pPr>
    <w:rPr>
      <w:kern w:val="0"/>
      <w:sz w:val="32"/>
      <w:szCs w:val="32"/>
    </w:rPr>
  </w:style>
  <w:style w:type="paragraph" w:customStyle="1" w:styleId="52">
    <w:name w:val="标准3"/>
    <w:basedOn w:val="19"/>
    <w:next w:val="49"/>
    <w:qFormat/>
    <w:uiPriority w:val="0"/>
    <w:pPr>
      <w:numPr>
        <w:ilvl w:val="0"/>
        <w:numId w:val="2"/>
      </w:numPr>
      <w:ind w:firstLineChars="0"/>
    </w:pPr>
    <w:rPr>
      <w:sz w:val="24"/>
    </w:rPr>
  </w:style>
  <w:style w:type="character" w:customStyle="1" w:styleId="53">
    <w:name w:val="页眉 字符"/>
    <w:basedOn w:val="26"/>
    <w:link w:val="16"/>
    <w:qFormat/>
    <w:uiPriority w:val="99"/>
    <w:rPr>
      <w:rFonts w:asciiTheme="minorHAnsi" w:hAnsiTheme="minorHAnsi" w:eastAsiaTheme="minorEastAsia" w:cstheme="minorBidi"/>
      <w:kern w:val="2"/>
      <w:sz w:val="18"/>
      <w:szCs w:val="18"/>
    </w:rPr>
  </w:style>
  <w:style w:type="character" w:customStyle="1" w:styleId="54">
    <w:name w:val="日期 字符"/>
    <w:basedOn w:val="26"/>
    <w:link w:val="14"/>
    <w:semiHidden/>
    <w:qFormat/>
    <w:uiPriority w:val="99"/>
    <w:rPr>
      <w:rFonts w:asciiTheme="minorHAnsi" w:hAnsiTheme="minorHAnsi" w:eastAsiaTheme="minorEastAsia" w:cstheme="minorBidi"/>
      <w:kern w:val="2"/>
      <w:sz w:val="21"/>
      <w:szCs w:val="22"/>
    </w:rPr>
  </w:style>
  <w:style w:type="paragraph" w:customStyle="1" w:styleId="55">
    <w:name w:val="标准4"/>
    <w:basedOn w:val="19"/>
    <w:next w:val="49"/>
    <w:qFormat/>
    <w:uiPriority w:val="0"/>
    <w:pPr>
      <w:numPr>
        <w:ilvl w:val="0"/>
        <w:numId w:val="3"/>
      </w:numPr>
      <w:ind w:firstLineChars="0"/>
    </w:pPr>
    <w:rPr>
      <w:sz w:val="24"/>
    </w:rPr>
  </w:style>
  <w:style w:type="character" w:styleId="56">
    <w:name w:val="Placeholder Text"/>
    <w:basedOn w:val="26"/>
    <w:unhideWhenUsed/>
    <w:qFormat/>
    <w:uiPriority w:val="99"/>
    <w:rPr>
      <w:color w:val="666666"/>
    </w:rPr>
  </w:style>
  <w:style w:type="paragraph" w:customStyle="1" w:styleId="57">
    <w:name w:val="修订1"/>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58">
    <w:name w:val="批注文字 字符"/>
    <w:basedOn w:val="26"/>
    <w:link w:val="12"/>
    <w:qFormat/>
    <w:uiPriority w:val="99"/>
    <w:rPr>
      <w:rFonts w:asciiTheme="minorHAnsi" w:hAnsiTheme="minorHAnsi" w:eastAsiaTheme="minorEastAsia" w:cstheme="minorBidi"/>
      <w:kern w:val="2"/>
      <w:sz w:val="21"/>
      <w:szCs w:val="22"/>
    </w:rPr>
  </w:style>
  <w:style w:type="character" w:customStyle="1" w:styleId="59">
    <w:name w:val="批注主题 字符"/>
    <w:basedOn w:val="58"/>
    <w:link w:val="22"/>
    <w:semiHidden/>
    <w:qFormat/>
    <w:uiPriority w:val="99"/>
    <w:rPr>
      <w:rFonts w:asciiTheme="minorHAnsi" w:hAnsiTheme="minorHAnsi" w:eastAsiaTheme="minorEastAsia" w:cstheme="minorBidi"/>
      <w:b/>
      <w:bCs/>
      <w:kern w:val="2"/>
      <w:sz w:val="21"/>
      <w:szCs w:val="22"/>
    </w:rPr>
  </w:style>
  <w:style w:type="paragraph" w:customStyle="1" w:styleId="60">
    <w:name w:val="节标题"/>
    <w:basedOn w:val="1"/>
    <w:link w:val="61"/>
    <w:qFormat/>
    <w:uiPriority w:val="0"/>
    <w:pPr>
      <w:numPr>
        <w:ilvl w:val="1"/>
        <w:numId w:val="4"/>
      </w:numPr>
      <w:tabs>
        <w:tab w:val="left" w:pos="420"/>
      </w:tabs>
      <w:overflowPunct w:val="0"/>
      <w:snapToGrid w:val="0"/>
      <w:spacing w:line="360" w:lineRule="auto"/>
      <w:ind w:right="84" w:rightChars="40"/>
      <w:jc w:val="center"/>
    </w:pPr>
    <w:rPr>
      <w:rFonts w:hint="eastAsia" w:ascii="黑体" w:hAnsi="黑体" w:eastAsia="黑体" w:cs="黑体"/>
      <w:b/>
      <w:bCs/>
      <w:color w:val="000000" w:themeColor="text1"/>
      <w:kern w:val="0"/>
      <w:sz w:val="28"/>
      <w:szCs w:val="28"/>
      <w:lang w:bidi="zh-CN"/>
      <w14:textFill>
        <w14:solidFill>
          <w14:schemeClr w14:val="tx1"/>
        </w14:solidFill>
      </w14:textFill>
    </w:rPr>
  </w:style>
  <w:style w:type="character" w:customStyle="1" w:styleId="61">
    <w:name w:val="节标题 Char"/>
    <w:link w:val="60"/>
    <w:qFormat/>
    <w:uiPriority w:val="0"/>
    <w:rPr>
      <w:rFonts w:hint="eastAsia" w:ascii="黑体" w:hAnsi="黑体" w:eastAsia="黑体" w:cs="黑体"/>
      <w:b/>
      <w:bCs/>
      <w:color w:val="000000" w:themeColor="text1"/>
      <w:kern w:val="0"/>
      <w:sz w:val="28"/>
      <w:szCs w:val="28"/>
      <w:lang w:bidi="zh-CN"/>
      <w14:textFill>
        <w14:solidFill>
          <w14:schemeClr w14:val="tx1"/>
        </w14:solidFill>
      </w14:textFill>
    </w:rPr>
  </w:style>
  <w:style w:type="paragraph" w:customStyle="1" w:styleId="62">
    <w:name w:val="修订2"/>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63">
    <w:name w:val="修订3"/>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64">
    <w:name w:val="页脚 字符"/>
    <w:basedOn w:val="26"/>
    <w:link w:val="15"/>
    <w:qFormat/>
    <w:uiPriority w:val="99"/>
    <w:rPr>
      <w:rFonts w:asciiTheme="minorHAnsi" w:hAnsiTheme="minorHAnsi" w:eastAsiaTheme="minorEastAsia" w:cstheme="minorBidi"/>
      <w:kern w:val="2"/>
      <w:sz w:val="18"/>
      <w:szCs w:val="18"/>
    </w:rPr>
  </w:style>
  <w:style w:type="paragraph" w:customStyle="1" w:styleId="65">
    <w:name w:val="Revision"/>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66">
    <w:name w:val="Intense Emphasis"/>
    <w:basedOn w:val="26"/>
    <w:qFormat/>
    <w:uiPriority w:val="21"/>
    <w:rPr>
      <w:i/>
      <w:iCs/>
      <w:color w:val="104862" w:themeColor="accent1" w:themeShade="BF"/>
    </w:rPr>
  </w:style>
  <w:style w:type="character" w:customStyle="1" w:styleId="67">
    <w:name w:val="Intense Reference"/>
    <w:basedOn w:val="26"/>
    <w:qFormat/>
    <w:uiPriority w:val="32"/>
    <w:rPr>
      <w:b/>
      <w:bCs/>
      <w:smallCaps/>
      <w:color w:val="104862" w:themeColor="accent1" w:themeShade="BF"/>
      <w:spacing w:val="5"/>
    </w:rPr>
  </w:style>
  <w:style w:type="character" w:customStyle="1" w:styleId="68">
    <w:name w:val="正文文本缩进 字符"/>
    <w:basedOn w:val="26"/>
    <w:link w:val="13"/>
    <w:semiHidden/>
    <w:qFormat/>
    <w:uiPriority w:val="99"/>
    <w:rPr>
      <w:rFonts w:asciiTheme="minorHAnsi" w:hAnsiTheme="minorHAnsi" w:eastAsiaTheme="minorEastAsia" w:cstheme="minorBidi"/>
      <w:kern w:val="2"/>
      <w:sz w:val="21"/>
      <w:szCs w:val="22"/>
    </w:rPr>
  </w:style>
  <w:style w:type="character" w:customStyle="1" w:styleId="69">
    <w:name w:val="正文文本首行缩进 2 字符"/>
    <w:basedOn w:val="68"/>
    <w:link w:val="23"/>
    <w:qFormat/>
    <w:uiPriority w:val="99"/>
    <w:rPr>
      <w:rFonts w:ascii="方正仿宋_GB2312" w:hAnsi="方正仿宋_GB2312" w:eastAsia="仿宋" w:cs="方正仿宋_GB2312"/>
      <w:kern w:val="2"/>
      <w:sz w:val="32"/>
      <w:szCs w:val="32"/>
    </w:rPr>
  </w:style>
  <w:style w:type="paragraph" w:customStyle="1" w:styleId="70">
    <w:name w:val="二级标题（节）"/>
    <w:basedOn w:val="1"/>
    <w:unhideWhenUsed/>
    <w:qFormat/>
    <w:uiPriority w:val="0"/>
    <w:pPr>
      <w:spacing w:beforeLines="0" w:afterLines="0"/>
    </w:pPr>
    <w:rPr>
      <w:rFonts w:hint="default" w:ascii="Times New Roman Bold" w:hAnsi="Times New Roman Bold" w:eastAsia="Heiti SC Medium"/>
      <w:b/>
      <w:sz w:val="28"/>
      <w:szCs w:val="24"/>
    </w:rPr>
  </w:style>
  <w:style w:type="paragraph" w:customStyle="1" w:styleId="71">
    <w:name w:val="真正文"/>
    <w:basedOn w:val="1"/>
    <w:unhideWhenUsed/>
    <w:qFormat/>
    <w:uiPriority w:val="0"/>
    <w:pPr>
      <w:spacing w:beforeLines="0" w:afterLines="0" w:line="460" w:lineRule="exact"/>
      <w:ind w:firstLine="480" w:firstLineChars="200"/>
    </w:pPr>
    <w:rPr>
      <w:rFonts w:hint="default" w:eastAsia="宋体" w:cs="宋体"/>
      <w:sz w:val="24"/>
      <w:szCs w:val="2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5.jpeg"/><Relationship Id="rId14" Type="http://schemas.openxmlformats.org/officeDocument/2006/relationships/image" Target="media/image4.wmf"/><Relationship Id="rId13" Type="http://schemas.openxmlformats.org/officeDocument/2006/relationships/oleObject" Target="embeddings/oleObject1.bin"/><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tyleName="APA" Version="6" SelectedStyle="\APASixthEditionOfficeOnline.xsl"/>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B0FAACD-28C4-468A-8E6B-97D5E1D71E45}">
  <ds:schemaRefs/>
</ds:datastoreItem>
</file>

<file path=docProps/app.xml><?xml version="1.0" encoding="utf-8"?>
<Properties xmlns="http://schemas.openxmlformats.org/officeDocument/2006/extended-properties" xmlns:vt="http://schemas.openxmlformats.org/officeDocument/2006/docPropsVTypes">
  <Template>Normal.dotm</Template>
  <Pages>27</Pages>
  <Words>2791</Words>
  <Characters>3309</Characters>
  <Lines>170</Lines>
  <Paragraphs>47</Paragraphs>
  <TotalTime>29</TotalTime>
  <ScaleCrop>false</ScaleCrop>
  <LinksUpToDate>false</LinksUpToDate>
  <CharactersWithSpaces>3444</CharactersWithSpaces>
  <Application>WPS Office_12.1.24709.24709_F1E327BC-269C-435d-A152-05C5408002CA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2025-11-18T06:33:00Z</dcterms:created>
  <dc:creator>MIko Lin</dc:creator>
  <cp:lastModifiedBy>suanyan</cp:lastModifiedBy>
  <cp:lastPrinted>2025-09-25T18:48:00Z</cp:lastPrinted>
  <dcterms:modified xsi:type="dcterms:W3CDTF">2026-02-10T18:53:06Z</dcterms:modified>
  <cp:revision>296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eyJoZGlkIjoiYjlhYmUyMGYxYTFmYTY4MjI1NjY3ODVmMmY5Yzk1ZjciLCJ1c2VySWQiOiIyMzQwMDc0MDcifQ==</vt:lpwstr>
  </property>
  <property fmtid="{D5CDD505-2E9C-101B-9397-08002B2CF9AE}" pid="3" name="KSOProductBuildVer">
    <vt:lpwstr>2052-12.1.24709.24709</vt:lpwstr>
  </property>
  <property fmtid="{D5CDD505-2E9C-101B-9397-08002B2CF9AE}" pid="4" name="ICV">
    <vt:lpwstr>BD48E2D0E93D4F79BA22D8014AB4A5B8_13</vt:lpwstr>
  </property>
</Properties>
</file>